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43C" w:rsidRPr="00E16870" w:rsidRDefault="002B243C" w:rsidP="002B243C">
      <w:pPr>
        <w:pStyle w:val="NormalSchedule"/>
        <w:spacing w:line="240" w:lineRule="auto"/>
        <w:rPr>
          <w:sz w:val="6"/>
        </w:rPr>
        <w:sectPr w:rsidR="002B243C" w:rsidRPr="00E16870" w:rsidSect="0097445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16870">
        <w:rPr>
          <w:rStyle w:val="CommentReference"/>
        </w:rPr>
        <w:commentReference w:id="0"/>
      </w:r>
    </w:p>
    <w:p w:rsidR="00C85F0D" w:rsidRPr="00C85F0D" w:rsidRDefault="0059751C" w:rsidP="00597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C85F0D" w:rsidRPr="00C85F0D">
        <w:t xml:space="preserve">Comité para la Eliminación de la </w:t>
      </w:r>
      <w:r>
        <w:br/>
      </w:r>
      <w:r w:rsidR="00C85F0D" w:rsidRPr="00C85F0D">
        <w:t>Discriminación</w:t>
      </w:r>
      <w:r>
        <w:t xml:space="preserve"> </w:t>
      </w:r>
      <w:r w:rsidR="00C85F0D" w:rsidRPr="00C85F0D">
        <w:t>contra la Mujer</w:t>
      </w:r>
    </w:p>
    <w:p w:rsidR="0059751C" w:rsidRPr="0059751C" w:rsidRDefault="0059751C" w:rsidP="0059751C">
      <w:pPr>
        <w:pStyle w:val="SingleTxt"/>
        <w:suppressAutoHyphens/>
        <w:spacing w:after="0" w:line="120" w:lineRule="exact"/>
        <w:rPr>
          <w:sz w:val="10"/>
        </w:rPr>
      </w:pPr>
    </w:p>
    <w:p w:rsidR="0059751C" w:rsidRPr="0059751C" w:rsidRDefault="0059751C" w:rsidP="0059751C">
      <w:pPr>
        <w:pStyle w:val="SingleTxt"/>
        <w:suppressAutoHyphens/>
        <w:spacing w:after="0" w:line="120" w:lineRule="exact"/>
        <w:rPr>
          <w:sz w:val="10"/>
        </w:rPr>
      </w:pPr>
    </w:p>
    <w:p w:rsidR="0059751C" w:rsidRPr="0059751C" w:rsidRDefault="0059751C" w:rsidP="0059751C">
      <w:pPr>
        <w:pStyle w:val="SingleTxt"/>
        <w:suppressAutoHyphens/>
        <w:spacing w:after="0" w:line="120" w:lineRule="exact"/>
        <w:rPr>
          <w:sz w:val="10"/>
        </w:rPr>
      </w:pPr>
    </w:p>
    <w:p w:rsidR="00C85F0D" w:rsidRPr="00C85F0D" w:rsidRDefault="00FF2DE9" w:rsidP="00FF2D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F0D" w:rsidRPr="00C85F0D">
        <w:t xml:space="preserve">Examen de los informes presentados por los Estados </w:t>
      </w:r>
      <w:r w:rsidR="00DA1CF8">
        <w:br/>
      </w:r>
      <w:r w:rsidR="00C85F0D" w:rsidRPr="00C85F0D">
        <w:t xml:space="preserve">partes en virtud del artículo 18 de la Convención </w:t>
      </w:r>
      <w:r w:rsidR="00DA1CF8">
        <w:br/>
      </w:r>
      <w:r w:rsidR="00C85F0D" w:rsidRPr="00C85F0D">
        <w:t xml:space="preserve">sobre la eliminación de todas las formas de </w:t>
      </w:r>
      <w:r w:rsidR="00DA1CF8">
        <w:br/>
      </w:r>
      <w:r w:rsidR="00C85F0D" w:rsidRPr="00C85F0D">
        <w:t>discriminación contra la mujer</w:t>
      </w:r>
    </w:p>
    <w:p w:rsidR="00FF2DE9" w:rsidRPr="00FF2DE9" w:rsidRDefault="00FF2DE9" w:rsidP="00FF2DE9">
      <w:pPr>
        <w:pStyle w:val="SingleTxt"/>
        <w:suppressAutoHyphens/>
        <w:spacing w:after="0" w:line="120" w:lineRule="exact"/>
        <w:rPr>
          <w:sz w:val="10"/>
        </w:rPr>
      </w:pPr>
    </w:p>
    <w:p w:rsidR="00FF2DE9" w:rsidRPr="00FF2DE9" w:rsidRDefault="00FF2DE9" w:rsidP="00FF2DE9">
      <w:pPr>
        <w:pStyle w:val="SingleTxt"/>
        <w:suppressAutoHyphens/>
        <w:spacing w:after="0" w:line="120" w:lineRule="exact"/>
        <w:rPr>
          <w:sz w:val="10"/>
        </w:rPr>
      </w:pPr>
    </w:p>
    <w:p w:rsidR="008E1BB6" w:rsidRPr="008E1BB6" w:rsidRDefault="008E1BB6" w:rsidP="008E1BB6">
      <w:pPr>
        <w:framePr w:w="9792" w:h="432" w:hSpace="180" w:wrap="around" w:hAnchor="page" w:x="1210" w:yAlign="bottom"/>
        <w:spacing w:line="240" w:lineRule="auto"/>
        <w:rPr>
          <w:sz w:val="10"/>
        </w:rPr>
      </w:pPr>
    </w:p>
    <w:p w:rsidR="008E1BB6" w:rsidRPr="008E1BB6" w:rsidRDefault="008E1BB6" w:rsidP="008E1BB6">
      <w:pPr>
        <w:framePr w:w="9792" w:h="432" w:hSpace="180" w:wrap="around" w:hAnchor="page" w:x="1210" w:yAlign="bottom"/>
        <w:spacing w:line="240" w:lineRule="auto"/>
        <w:rPr>
          <w:sz w:val="6"/>
        </w:rPr>
      </w:pPr>
      <w:r w:rsidRPr="008E1BB6">
        <w:rPr>
          <w:noProof/>
          <w:w w:val="100"/>
          <w:sz w:val="6"/>
          <w:lang w:val="en-US"/>
        </w:rPr>
        <w:pict>
          <v:line id="_x0000_s1026" style="position:absolute;z-index:1;mso-position-horizontal-relative:page" from="108pt,-1pt" to="180pt,-1pt" strokeweight=".25pt">
            <w10:wrap anchorx="page"/>
          </v:line>
        </w:pict>
      </w:r>
    </w:p>
    <w:p w:rsidR="008E1BB6" w:rsidRPr="008E1BB6" w:rsidRDefault="008E1BB6" w:rsidP="008E1BB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B96A65" w:rsidRPr="00B96A65">
        <w:rPr>
          <w:sz w:val="17"/>
        </w:rPr>
        <w:t>El presente documento se publica sin revisión editorial formal.</w:t>
      </w:r>
    </w:p>
    <w:p w:rsidR="00C85F0D" w:rsidRPr="00C85F0D" w:rsidRDefault="00FF2DE9" w:rsidP="00FF2D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F0D" w:rsidRPr="00C85F0D">
        <w:t>Ind</w:t>
      </w:r>
      <w:r w:rsidR="00420B77">
        <w:t>ia</w:t>
      </w:r>
      <w:r w:rsidR="00420B77" w:rsidRPr="00420B77">
        <w:rPr>
          <w:b w:val="0"/>
          <w:sz w:val="20"/>
        </w:rPr>
        <w:t>*</w:t>
      </w:r>
    </w:p>
    <w:p w:rsidR="00FF2DE9" w:rsidRPr="00FF2DE9" w:rsidRDefault="00FF2DE9" w:rsidP="00FF2DE9">
      <w:pPr>
        <w:pStyle w:val="SingleTxt"/>
        <w:suppressAutoHyphens/>
        <w:spacing w:after="0" w:line="120" w:lineRule="exact"/>
        <w:rPr>
          <w:b/>
          <w:bCs/>
          <w:sz w:val="10"/>
        </w:rPr>
      </w:pPr>
    </w:p>
    <w:p w:rsidR="00FF2DE9" w:rsidRPr="00FF2DE9" w:rsidRDefault="00FF2DE9" w:rsidP="00FF2DE9">
      <w:pPr>
        <w:pStyle w:val="SingleTxt"/>
        <w:suppressAutoHyphens/>
        <w:spacing w:after="0" w:line="120" w:lineRule="exact"/>
        <w:rPr>
          <w:b/>
          <w:bCs/>
          <w:sz w:val="10"/>
        </w:rPr>
      </w:pPr>
    </w:p>
    <w:p w:rsidR="00C85F0D" w:rsidRDefault="00FF2DE9" w:rsidP="00FF2D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85F0D" w:rsidRPr="00C85F0D">
        <w:t>Informe con carácter excepcional</w:t>
      </w:r>
    </w:p>
    <w:p w:rsidR="00FF2DE9" w:rsidRPr="00FF2DE9" w:rsidRDefault="00FF2DE9" w:rsidP="00FF2DE9">
      <w:pPr>
        <w:pStyle w:val="SingleTxt"/>
        <w:suppressAutoHyphens/>
      </w:pPr>
    </w:p>
    <w:p w:rsidR="00C85F0D" w:rsidRPr="00C85F0D" w:rsidRDefault="00C85F0D" w:rsidP="006C65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5F0D">
        <w:br w:type="page"/>
      </w:r>
      <w:r w:rsidR="00FA2A2D">
        <w:tab/>
      </w:r>
      <w:r w:rsidR="00FA2A2D">
        <w:tab/>
      </w:r>
      <w:r w:rsidRPr="00C85F0D">
        <w:t xml:space="preserve">Informe de seguimiento de los informes periódicos combinados segundo y tercero presentados por la India: cuestiones relacionadas con la repercusión </w:t>
      </w:r>
      <w:r w:rsidR="00B16665">
        <w:t>en</w:t>
      </w:r>
      <w:r w:rsidRPr="00C85F0D">
        <w:t xml:space="preserve"> las mujeres del incidente ocurrido en 2002 en Gujarat</w:t>
      </w:r>
    </w:p>
    <w:p w:rsidR="00FA2A2D" w:rsidRPr="00FA2A2D" w:rsidRDefault="00FA2A2D" w:rsidP="00FA2A2D">
      <w:pPr>
        <w:pStyle w:val="SingleTxt"/>
        <w:suppressAutoHyphens/>
        <w:spacing w:after="0" w:line="120" w:lineRule="exact"/>
        <w:rPr>
          <w:sz w:val="10"/>
        </w:rPr>
      </w:pPr>
    </w:p>
    <w:p w:rsidR="00FA2A2D" w:rsidRPr="00FA2A2D" w:rsidRDefault="00FA2A2D" w:rsidP="00FA2A2D">
      <w:pPr>
        <w:pStyle w:val="SingleTxt"/>
        <w:suppressAutoHyphens/>
        <w:spacing w:after="0" w:line="120" w:lineRule="exact"/>
        <w:rPr>
          <w:sz w:val="10"/>
        </w:rPr>
      </w:pPr>
    </w:p>
    <w:p w:rsidR="00C85F0D" w:rsidRPr="00C85F0D" w:rsidRDefault="00FA2A2D" w:rsidP="00C85F0D">
      <w:pPr>
        <w:pStyle w:val="SingleTxt"/>
        <w:suppressAutoHyphens/>
      </w:pPr>
      <w:r>
        <w:tab/>
      </w:r>
      <w:r w:rsidR="00C85F0D" w:rsidRPr="00C85F0D">
        <w:t xml:space="preserve">Durante la presentación por el Estado </w:t>
      </w:r>
      <w:r w:rsidR="003F246C">
        <w:t>p</w:t>
      </w:r>
      <w:r w:rsidR="00C85F0D" w:rsidRPr="00C85F0D">
        <w:t>arte de los informes periódicos combinados segundo y tercero</w:t>
      </w:r>
      <w:r w:rsidR="002F62C3">
        <w:rPr>
          <w:rStyle w:val="FootnoteReference"/>
        </w:rPr>
        <w:footnoteReference w:id="1"/>
      </w:r>
      <w:r w:rsidR="00C85F0D" w:rsidRPr="00C85F0D">
        <w:t>, el Comité para la Eliminación de la Discriminación contra la Mujer pidió, en el párrafo 68 de sus observaciones finales</w:t>
      </w:r>
      <w:r w:rsidR="002F62C3">
        <w:rPr>
          <w:rStyle w:val="FootnoteReference"/>
        </w:rPr>
        <w:footnoteReference w:id="2"/>
      </w:r>
      <w:r w:rsidR="00C85F0D" w:rsidRPr="00C85F0D">
        <w:t>, un informe de seguimi</w:t>
      </w:r>
      <w:r w:rsidR="00906A66">
        <w:t>ento acerca de la repercusión en</w:t>
      </w:r>
      <w:r w:rsidR="00C85F0D" w:rsidRPr="00C85F0D">
        <w:t xml:space="preserve"> las mujeres del incidente ocurrido en 2002 en Gujarat. En relación con este asunto, las respuestas a las preguntas planteadas por el Comité son las siguientes:</w:t>
      </w:r>
    </w:p>
    <w:p w:rsidR="00C85F0D" w:rsidRPr="00C85F0D" w:rsidRDefault="00A908B1" w:rsidP="00906A66">
      <w:pPr>
        <w:pStyle w:val="SingleTxt"/>
        <w:suppressAutoHyphens/>
      </w:pPr>
      <w:r>
        <w:rPr>
          <w:b/>
        </w:rPr>
        <w:tab/>
      </w:r>
      <w:r w:rsidR="00C85F0D" w:rsidRPr="00906A66">
        <w:rPr>
          <w:b/>
        </w:rPr>
        <w:t>a)</w:t>
      </w:r>
      <w:r w:rsidR="00906A66" w:rsidRPr="00906A66">
        <w:rPr>
          <w:b/>
        </w:rPr>
        <w:tab/>
      </w:r>
      <w:r w:rsidR="00C85F0D" w:rsidRPr="00906A66">
        <w:rPr>
          <w:b/>
        </w:rPr>
        <w:t>Datos desglosados por sexo relativos a las aproximadamente 2.000 causas relacionadas con la matanza que se han reabierto y su resolución</w:t>
      </w:r>
    </w:p>
    <w:p w:rsidR="00C85F0D" w:rsidRPr="00C85F0D" w:rsidRDefault="00906A66" w:rsidP="00C85F0D">
      <w:pPr>
        <w:pStyle w:val="SingleTxt"/>
        <w:suppressAutoHyphens/>
      </w:pPr>
      <w:r>
        <w:tab/>
        <w:t>Se han reabierto 169 causa</w:t>
      </w:r>
      <w:r w:rsidR="00C85F0D" w:rsidRPr="00C85F0D">
        <w:t>s (146 correspondientes a hombres y 23 a mujeres) de asesinato denunciados en 2002 en Gujarat y se han presentado cargos en 12 relacionados con hombres</w:t>
      </w:r>
      <w:r>
        <w:t xml:space="preserve"> y 1 relacionada</w:t>
      </w:r>
      <w:r w:rsidR="00C85F0D" w:rsidRPr="00C85F0D">
        <w:t xml:space="preserve"> con mujeres.</w:t>
      </w:r>
    </w:p>
    <w:p w:rsidR="00C85F0D" w:rsidRPr="00906A66" w:rsidRDefault="00A908B1" w:rsidP="00C85F0D">
      <w:pPr>
        <w:pStyle w:val="SingleTxt"/>
        <w:suppressAutoHyphens/>
        <w:rPr>
          <w:b/>
        </w:rPr>
      </w:pPr>
      <w:r>
        <w:rPr>
          <w:b/>
        </w:rPr>
        <w:tab/>
      </w:r>
      <w:r w:rsidR="00C85F0D" w:rsidRPr="00906A66">
        <w:rPr>
          <w:b/>
        </w:rPr>
        <w:t>b)</w:t>
      </w:r>
      <w:r w:rsidR="00906A66" w:rsidRPr="00906A66">
        <w:rPr>
          <w:b/>
        </w:rPr>
        <w:tab/>
      </w:r>
      <w:r w:rsidR="00C85F0D" w:rsidRPr="00906A66">
        <w:rPr>
          <w:b/>
        </w:rPr>
        <w:t xml:space="preserve">Datos sobre el número de casos de violencia y agresiones sexuales contra mujeres que se han denunciado y </w:t>
      </w:r>
      <w:r>
        <w:rPr>
          <w:b/>
        </w:rPr>
        <w:t>cómo se han resuelto esos casos</w:t>
      </w:r>
    </w:p>
    <w:p w:rsidR="00C85F0D" w:rsidRPr="00C85F0D" w:rsidRDefault="00906A66" w:rsidP="00C85F0D">
      <w:pPr>
        <w:pStyle w:val="SingleTxt"/>
        <w:suppressAutoHyphens/>
      </w:pPr>
      <w:r>
        <w:tab/>
      </w:r>
      <w:r w:rsidR="00C85F0D" w:rsidRPr="00C85F0D">
        <w:t>En total, se denunciaron 19 casos de violencia y agresiones sexuales contra mujeres. La distribución geográfica es la siguiente:</w:t>
      </w:r>
    </w:p>
    <w:p w:rsidR="00C85F0D" w:rsidRPr="00C85F0D" w:rsidRDefault="00C85F0D" w:rsidP="001E48FD">
      <w:pPr>
        <w:pStyle w:val="SingleTxt"/>
        <w:suppressAutoHyphens/>
        <w:ind w:left="1742"/>
      </w:pPr>
      <w:r w:rsidRPr="00C85F0D">
        <w:t xml:space="preserve">Ciudad de Ahmadabad: </w:t>
      </w:r>
      <w:r w:rsidRPr="00C85F0D">
        <w:tab/>
      </w:r>
      <w:r w:rsidR="00E147FE">
        <w:tab/>
      </w:r>
      <w:r w:rsidRPr="00C85F0D">
        <w:t>2</w:t>
      </w:r>
    </w:p>
    <w:p w:rsidR="00C85F0D" w:rsidRPr="00C85F0D" w:rsidRDefault="00C85F0D" w:rsidP="001E48FD">
      <w:pPr>
        <w:pStyle w:val="SingleTxt"/>
        <w:suppressAutoHyphens/>
        <w:ind w:left="1742"/>
      </w:pPr>
      <w:r w:rsidRPr="00C85F0D">
        <w:t xml:space="preserve">Distrito de Kheda: </w:t>
      </w:r>
      <w:r w:rsidRPr="00C85F0D">
        <w:tab/>
      </w:r>
      <w:r w:rsidRPr="00C85F0D">
        <w:tab/>
      </w:r>
      <w:r w:rsidR="00E147FE">
        <w:tab/>
      </w:r>
      <w:r w:rsidRPr="00C85F0D">
        <w:t>4</w:t>
      </w:r>
    </w:p>
    <w:p w:rsidR="00C85F0D" w:rsidRPr="00C85F0D" w:rsidRDefault="00C85F0D" w:rsidP="001E48FD">
      <w:pPr>
        <w:pStyle w:val="SingleTxt"/>
        <w:suppressAutoHyphens/>
        <w:ind w:left="1742"/>
      </w:pPr>
      <w:r w:rsidRPr="00C85F0D">
        <w:t xml:space="preserve">Distrito de Anand: </w:t>
      </w:r>
      <w:r w:rsidRPr="00C85F0D">
        <w:tab/>
      </w:r>
      <w:r w:rsidRPr="00C85F0D">
        <w:tab/>
      </w:r>
      <w:r w:rsidR="00E147FE">
        <w:tab/>
      </w:r>
      <w:r w:rsidRPr="00C85F0D">
        <w:t>1</w:t>
      </w:r>
    </w:p>
    <w:p w:rsidR="00C85F0D" w:rsidRPr="00C85F0D" w:rsidRDefault="00C85F0D" w:rsidP="001E48FD">
      <w:pPr>
        <w:pStyle w:val="SingleTxt"/>
        <w:suppressAutoHyphens/>
        <w:ind w:left="1742"/>
      </w:pPr>
      <w:r w:rsidRPr="00C85F0D">
        <w:t>Distrito de Ghandinagar:</w:t>
      </w:r>
      <w:r w:rsidRPr="00C85F0D">
        <w:tab/>
      </w:r>
      <w:r w:rsidR="00E147FE">
        <w:tab/>
      </w:r>
      <w:r w:rsidRPr="00C85F0D">
        <w:t>1</w:t>
      </w:r>
    </w:p>
    <w:p w:rsidR="00C85F0D" w:rsidRPr="00C85F0D" w:rsidRDefault="00D36B7A" w:rsidP="001E48FD">
      <w:pPr>
        <w:pStyle w:val="SingleTxt"/>
        <w:suppressAutoHyphens/>
        <w:ind w:left="1742"/>
      </w:pPr>
      <w:r>
        <w:t>Distrito de Sabarkantha:</w:t>
      </w:r>
      <w:r w:rsidR="00C85F0D" w:rsidRPr="00C85F0D">
        <w:tab/>
      </w:r>
      <w:r w:rsidR="00E147FE">
        <w:tab/>
      </w:r>
      <w:r w:rsidR="00C85F0D" w:rsidRPr="00C85F0D">
        <w:t>2</w:t>
      </w:r>
    </w:p>
    <w:p w:rsidR="00C85F0D" w:rsidRPr="00C85F0D" w:rsidRDefault="00C85F0D" w:rsidP="001E48FD">
      <w:pPr>
        <w:pStyle w:val="SingleTxt"/>
        <w:suppressAutoHyphens/>
        <w:ind w:left="1742"/>
      </w:pPr>
      <w:r w:rsidRPr="00C85F0D">
        <w:t>Distrito rural de Rajkot</w:t>
      </w:r>
      <w:r w:rsidR="00E147FE">
        <w:t>:</w:t>
      </w:r>
      <w:r w:rsidR="00E147FE">
        <w:tab/>
      </w:r>
      <w:r w:rsidRPr="00C85F0D">
        <w:tab/>
        <w:t>1</w:t>
      </w:r>
    </w:p>
    <w:p w:rsidR="00C85F0D" w:rsidRPr="00C85F0D" w:rsidRDefault="00D36B7A" w:rsidP="001E48FD">
      <w:pPr>
        <w:pStyle w:val="SingleTxt"/>
        <w:suppressAutoHyphens/>
        <w:ind w:left="1742"/>
      </w:pPr>
      <w:r>
        <w:t>Distrito de Godhra:</w:t>
      </w:r>
      <w:r w:rsidR="00C85F0D" w:rsidRPr="00C85F0D">
        <w:tab/>
      </w:r>
      <w:r w:rsidR="00C85F0D" w:rsidRPr="00C85F0D">
        <w:tab/>
      </w:r>
      <w:r w:rsidR="00E147FE">
        <w:tab/>
      </w:r>
      <w:r w:rsidR="00C85F0D" w:rsidRPr="00C85F0D">
        <w:t>6</w:t>
      </w:r>
    </w:p>
    <w:p w:rsidR="00C85F0D" w:rsidRPr="00C85F0D" w:rsidRDefault="00D36B7A" w:rsidP="001E48FD">
      <w:pPr>
        <w:pStyle w:val="SingleTxt"/>
        <w:suppressAutoHyphens/>
        <w:ind w:left="1742"/>
      </w:pPr>
      <w:r>
        <w:t>Distrito de Dahod:</w:t>
      </w:r>
      <w:r w:rsidR="00C85F0D" w:rsidRPr="00C85F0D">
        <w:tab/>
      </w:r>
      <w:r w:rsidR="00C85F0D" w:rsidRPr="00C85F0D">
        <w:tab/>
      </w:r>
      <w:r w:rsidR="00E147FE">
        <w:tab/>
      </w:r>
      <w:r w:rsidR="00C85F0D" w:rsidRPr="00C85F0D">
        <w:t>1</w:t>
      </w:r>
    </w:p>
    <w:p w:rsidR="00C85F0D" w:rsidRPr="00C85F0D" w:rsidRDefault="00C85F0D" w:rsidP="001E48FD">
      <w:pPr>
        <w:pStyle w:val="SingleTxt"/>
        <w:suppressAutoHyphens/>
        <w:ind w:left="1742"/>
      </w:pPr>
      <w:r w:rsidRPr="00C85F0D">
        <w:t>Distrito de Valsad:</w:t>
      </w:r>
      <w:r w:rsidRPr="00C85F0D">
        <w:tab/>
      </w:r>
      <w:r w:rsidRPr="00C85F0D">
        <w:tab/>
      </w:r>
      <w:r w:rsidR="00E147FE">
        <w:tab/>
      </w:r>
      <w:r w:rsidRPr="00C85F0D">
        <w:t>1</w:t>
      </w:r>
    </w:p>
    <w:p w:rsidR="00C85F0D" w:rsidRPr="00A908B1" w:rsidRDefault="00A908B1" w:rsidP="00A908B1">
      <w:pPr>
        <w:pStyle w:val="SingleTxt"/>
        <w:suppressAutoHyphens/>
        <w:rPr>
          <w:b/>
        </w:rPr>
      </w:pPr>
      <w:r>
        <w:tab/>
      </w:r>
      <w:r w:rsidRPr="00A908B1">
        <w:rPr>
          <w:b/>
        </w:rPr>
        <w:t>c</w:t>
      </w:r>
      <w:r w:rsidR="00C85F0D" w:rsidRPr="00A908B1">
        <w:rPr>
          <w:b/>
        </w:rPr>
        <w:t>)</w:t>
      </w:r>
      <w:r w:rsidRPr="00A908B1">
        <w:rPr>
          <w:b/>
        </w:rPr>
        <w:tab/>
      </w:r>
      <w:r w:rsidR="00C85F0D" w:rsidRPr="00A908B1">
        <w:rPr>
          <w:b/>
        </w:rPr>
        <w:t>Datos sobre las medidas de protección de las víctimas y otras medidas de apoyo a las víctimas que se hayan adoptado y</w:t>
      </w:r>
      <w:r w:rsidR="00D36B7A" w:rsidRPr="00A908B1">
        <w:rPr>
          <w:b/>
        </w:rPr>
        <w:t xml:space="preserve"> los efectos de dichas medidas</w:t>
      </w:r>
    </w:p>
    <w:p w:rsidR="00E16870" w:rsidRDefault="00D36B7A" w:rsidP="00C85F0D">
      <w:pPr>
        <w:pStyle w:val="SingleTxt"/>
        <w:suppressAutoHyphens/>
      </w:pPr>
      <w:r>
        <w:tab/>
      </w:r>
      <w:r w:rsidR="00C85F0D" w:rsidRPr="00C85F0D">
        <w:t xml:space="preserve">Se ha proporcionado protección policial a las víctimas en Ahmadabad, en Surat y en los distritos de Godhra, Dahod y Valsad, para </w:t>
      </w:r>
      <w:r>
        <w:t>evitarles nuevos sufrimientos</w:t>
      </w:r>
      <w:r w:rsidR="00C85F0D" w:rsidRPr="00C85F0D">
        <w:t>. Los datos sobre la protección ofrecida a los testigos en los principales casos figuran en la tabla siguiente:</w:t>
      </w:r>
    </w:p>
    <w:p w:rsidR="00B80964" w:rsidRDefault="00B80964" w:rsidP="00C85F0D">
      <w:pPr>
        <w:pStyle w:val="SingleTxt"/>
        <w:suppressAutoHyphens/>
      </w:pPr>
    </w:p>
    <w:p w:rsidR="00B27397" w:rsidRPr="00B27397" w:rsidRDefault="00B27397" w:rsidP="00B27397">
      <w:pPr>
        <w:pStyle w:val="SingleTxt"/>
        <w:suppressAutoHyphens/>
        <w:spacing w:after="0" w:line="120" w:lineRule="exact"/>
        <w:rPr>
          <w:sz w:val="10"/>
        </w:rPr>
      </w:pPr>
    </w:p>
    <w:tbl>
      <w:tblPr>
        <w:tblW w:w="8577" w:type="dxa"/>
        <w:tblInd w:w="1260" w:type="dxa"/>
        <w:tblLayout w:type="fixed"/>
        <w:tblCellMar>
          <w:left w:w="0" w:type="dxa"/>
          <w:right w:w="0" w:type="dxa"/>
        </w:tblCellMar>
        <w:tblLook w:val="0000" w:firstRow="0" w:lastRow="0" w:firstColumn="0" w:lastColumn="0" w:noHBand="0" w:noVBand="0"/>
      </w:tblPr>
      <w:tblGrid>
        <w:gridCol w:w="675"/>
        <w:gridCol w:w="1629"/>
        <w:gridCol w:w="855"/>
        <w:gridCol w:w="5418"/>
      </w:tblGrid>
      <w:tr w:rsidR="00CF5BA2" w:rsidRPr="00AA7F1D" w:rsidTr="000F2F70">
        <w:tblPrEx>
          <w:tblCellMar>
            <w:top w:w="0" w:type="dxa"/>
            <w:bottom w:w="0" w:type="dxa"/>
          </w:tblCellMar>
        </w:tblPrEx>
        <w:trPr>
          <w:tblHeader/>
        </w:trPr>
        <w:tc>
          <w:tcPr>
            <w:tcW w:w="675" w:type="dxa"/>
            <w:tcBorders>
              <w:top w:val="single" w:sz="4" w:space="0" w:color="auto"/>
              <w:bottom w:val="single" w:sz="12" w:space="0" w:color="auto"/>
            </w:tcBorders>
            <w:shd w:val="clear" w:color="auto" w:fill="auto"/>
            <w:vAlign w:val="bottom"/>
          </w:tcPr>
          <w:p w:rsidR="00CF5BA2" w:rsidRPr="00AA7F1D" w:rsidRDefault="008B6E41" w:rsidP="00AA7F1D">
            <w:pPr>
              <w:tabs>
                <w:tab w:val="left" w:pos="288"/>
                <w:tab w:val="left" w:pos="576"/>
                <w:tab w:val="left" w:pos="864"/>
                <w:tab w:val="left" w:pos="1152"/>
              </w:tabs>
              <w:spacing w:before="80" w:after="80" w:line="160" w:lineRule="exact"/>
              <w:ind w:right="40"/>
              <w:rPr>
                <w:i/>
                <w:kern w:val="0"/>
                <w:sz w:val="14"/>
              </w:rPr>
            </w:pPr>
            <w:r>
              <w:rPr>
                <w:i/>
                <w:kern w:val="0"/>
                <w:sz w:val="14"/>
              </w:rPr>
              <w:t>Número</w:t>
            </w:r>
            <w:r w:rsidR="0059434A">
              <w:rPr>
                <w:i/>
                <w:kern w:val="0"/>
                <w:sz w:val="14"/>
              </w:rPr>
              <w:t xml:space="preserve"> </w:t>
            </w:r>
            <w:r w:rsidR="0059434A">
              <w:rPr>
                <w:i/>
                <w:kern w:val="0"/>
                <w:sz w:val="14"/>
              </w:rPr>
              <w:br/>
            </w:r>
            <w:r w:rsidR="00CF5BA2" w:rsidRPr="00AA7F1D">
              <w:rPr>
                <w:i/>
                <w:kern w:val="0"/>
                <w:sz w:val="14"/>
              </w:rPr>
              <w:t>de ref</w:t>
            </w:r>
            <w:r w:rsidR="0059434A">
              <w:rPr>
                <w:i/>
                <w:kern w:val="0"/>
                <w:sz w:val="14"/>
              </w:rPr>
              <w:t>.</w:t>
            </w:r>
          </w:p>
        </w:tc>
        <w:tc>
          <w:tcPr>
            <w:tcW w:w="1629" w:type="dxa"/>
            <w:tcBorders>
              <w:top w:val="single" w:sz="4" w:space="0" w:color="auto"/>
              <w:bottom w:val="single" w:sz="12" w:space="0" w:color="auto"/>
            </w:tcBorders>
            <w:shd w:val="clear" w:color="auto" w:fill="auto"/>
            <w:vAlign w:val="bottom"/>
          </w:tcPr>
          <w:p w:rsidR="00CF5BA2" w:rsidRPr="00AA7F1D" w:rsidRDefault="008B6E41" w:rsidP="00AA7F1D">
            <w:pPr>
              <w:tabs>
                <w:tab w:val="left" w:pos="288"/>
                <w:tab w:val="left" w:pos="576"/>
                <w:tab w:val="left" w:pos="864"/>
                <w:tab w:val="left" w:pos="1152"/>
              </w:tabs>
              <w:spacing w:before="80" w:after="80" w:line="160" w:lineRule="exact"/>
              <w:ind w:right="40"/>
              <w:rPr>
                <w:i/>
                <w:kern w:val="0"/>
                <w:sz w:val="14"/>
              </w:rPr>
            </w:pPr>
            <w:r>
              <w:rPr>
                <w:i/>
                <w:kern w:val="0"/>
                <w:sz w:val="14"/>
              </w:rPr>
              <w:t>Comisaría de policía/</w:t>
            </w:r>
            <w:r>
              <w:rPr>
                <w:i/>
                <w:kern w:val="0"/>
                <w:sz w:val="14"/>
              </w:rPr>
              <w:br/>
              <w:t>Número</w:t>
            </w:r>
            <w:r w:rsidR="00917A0E" w:rsidRPr="00AA7F1D">
              <w:rPr>
                <w:i/>
                <w:kern w:val="0"/>
                <w:sz w:val="14"/>
              </w:rPr>
              <w:t xml:space="preserve"> de expediente</w:t>
            </w:r>
          </w:p>
        </w:tc>
        <w:tc>
          <w:tcPr>
            <w:tcW w:w="855" w:type="dxa"/>
            <w:tcBorders>
              <w:top w:val="single" w:sz="4" w:space="0" w:color="auto"/>
              <w:bottom w:val="single" w:sz="12" w:space="0" w:color="auto"/>
            </w:tcBorders>
            <w:shd w:val="clear" w:color="auto" w:fill="auto"/>
            <w:vAlign w:val="bottom"/>
          </w:tcPr>
          <w:p w:rsidR="00CF5BA2" w:rsidRPr="00AA7F1D" w:rsidRDefault="008B6E41" w:rsidP="00AA7F1D">
            <w:pPr>
              <w:tabs>
                <w:tab w:val="left" w:pos="288"/>
                <w:tab w:val="left" w:pos="576"/>
                <w:tab w:val="left" w:pos="864"/>
                <w:tab w:val="left" w:pos="1152"/>
              </w:tabs>
              <w:spacing w:before="80" w:after="80" w:line="160" w:lineRule="exact"/>
              <w:ind w:right="40"/>
              <w:rPr>
                <w:i/>
                <w:kern w:val="0"/>
                <w:sz w:val="14"/>
              </w:rPr>
            </w:pPr>
            <w:r>
              <w:rPr>
                <w:i/>
                <w:kern w:val="0"/>
                <w:sz w:val="14"/>
              </w:rPr>
              <w:t xml:space="preserve">Número </w:t>
            </w:r>
            <w:r w:rsidR="00763770">
              <w:rPr>
                <w:i/>
                <w:kern w:val="0"/>
                <w:sz w:val="14"/>
              </w:rPr>
              <w:br/>
            </w:r>
            <w:r w:rsidR="00917A0E" w:rsidRPr="00AA7F1D">
              <w:rPr>
                <w:i/>
                <w:kern w:val="0"/>
                <w:sz w:val="14"/>
              </w:rPr>
              <w:t>de</w:t>
            </w:r>
            <w:r w:rsidR="00763770">
              <w:rPr>
                <w:i/>
                <w:kern w:val="0"/>
                <w:sz w:val="14"/>
              </w:rPr>
              <w:t xml:space="preserve"> </w:t>
            </w:r>
            <w:r w:rsidR="00917A0E" w:rsidRPr="00AA7F1D">
              <w:rPr>
                <w:i/>
                <w:kern w:val="0"/>
                <w:sz w:val="14"/>
              </w:rPr>
              <w:t>testigos</w:t>
            </w:r>
          </w:p>
        </w:tc>
        <w:tc>
          <w:tcPr>
            <w:tcW w:w="5418" w:type="dxa"/>
            <w:tcBorders>
              <w:top w:val="single" w:sz="4" w:space="0" w:color="auto"/>
              <w:bottom w:val="single" w:sz="12" w:space="0" w:color="auto"/>
            </w:tcBorders>
            <w:shd w:val="clear" w:color="auto" w:fill="auto"/>
            <w:vAlign w:val="bottom"/>
          </w:tcPr>
          <w:p w:rsidR="00CF5BA2" w:rsidRPr="00AA7F1D" w:rsidRDefault="00917A0E" w:rsidP="001D2877">
            <w:pPr>
              <w:tabs>
                <w:tab w:val="left" w:pos="288"/>
                <w:tab w:val="left" w:pos="597"/>
                <w:tab w:val="left" w:pos="864"/>
                <w:tab w:val="left" w:pos="1152"/>
              </w:tabs>
              <w:spacing w:before="80" w:after="80" w:line="160" w:lineRule="exact"/>
              <w:ind w:right="40"/>
              <w:rPr>
                <w:i/>
                <w:kern w:val="0"/>
                <w:sz w:val="14"/>
              </w:rPr>
            </w:pPr>
            <w:r w:rsidRPr="00AA7F1D">
              <w:rPr>
                <w:i/>
                <w:kern w:val="0"/>
                <w:sz w:val="14"/>
              </w:rPr>
              <w:t>Tipo de protección</w:t>
            </w:r>
          </w:p>
        </w:tc>
      </w:tr>
      <w:tr w:rsidR="00CF5BA2" w:rsidRPr="00AA7F1D" w:rsidTr="000F2F70">
        <w:tblPrEx>
          <w:tblCellMar>
            <w:top w:w="0" w:type="dxa"/>
            <w:bottom w:w="0" w:type="dxa"/>
          </w:tblCellMar>
        </w:tblPrEx>
        <w:trPr>
          <w:trHeight w:hRule="exact" w:val="115"/>
          <w:tblHeader/>
        </w:trPr>
        <w:tc>
          <w:tcPr>
            <w:tcW w:w="675" w:type="dxa"/>
            <w:tcBorders>
              <w:top w:val="single" w:sz="12" w:space="0" w:color="auto"/>
            </w:tcBorders>
            <w:shd w:val="clear" w:color="auto" w:fill="auto"/>
            <w:vAlign w:val="bottom"/>
          </w:tcPr>
          <w:p w:rsidR="00CF5BA2" w:rsidRPr="00AA7F1D" w:rsidRDefault="00CF5BA2" w:rsidP="00AA7F1D">
            <w:pPr>
              <w:tabs>
                <w:tab w:val="left" w:pos="288"/>
                <w:tab w:val="left" w:pos="576"/>
                <w:tab w:val="left" w:pos="864"/>
                <w:tab w:val="left" w:pos="1152"/>
              </w:tabs>
              <w:spacing w:before="40" w:after="80"/>
              <w:ind w:right="40"/>
              <w:rPr>
                <w:kern w:val="0"/>
              </w:rPr>
            </w:pPr>
          </w:p>
        </w:tc>
        <w:tc>
          <w:tcPr>
            <w:tcW w:w="1629" w:type="dxa"/>
            <w:tcBorders>
              <w:top w:val="single" w:sz="12" w:space="0" w:color="auto"/>
            </w:tcBorders>
            <w:shd w:val="clear" w:color="auto" w:fill="auto"/>
            <w:vAlign w:val="bottom"/>
          </w:tcPr>
          <w:p w:rsidR="00CF5BA2" w:rsidRPr="00AA7F1D" w:rsidRDefault="00CF5BA2" w:rsidP="00AA7F1D">
            <w:pPr>
              <w:tabs>
                <w:tab w:val="left" w:pos="288"/>
                <w:tab w:val="left" w:pos="576"/>
                <w:tab w:val="left" w:pos="864"/>
                <w:tab w:val="left" w:pos="1152"/>
              </w:tabs>
              <w:spacing w:before="40" w:after="80"/>
              <w:ind w:right="40"/>
              <w:rPr>
                <w:kern w:val="0"/>
              </w:rPr>
            </w:pPr>
          </w:p>
        </w:tc>
        <w:tc>
          <w:tcPr>
            <w:tcW w:w="855" w:type="dxa"/>
            <w:tcBorders>
              <w:top w:val="single" w:sz="12" w:space="0" w:color="auto"/>
            </w:tcBorders>
            <w:shd w:val="clear" w:color="auto" w:fill="auto"/>
            <w:vAlign w:val="bottom"/>
          </w:tcPr>
          <w:p w:rsidR="00CF5BA2" w:rsidRPr="00AA7F1D" w:rsidRDefault="00CF5BA2" w:rsidP="00AA7F1D">
            <w:pPr>
              <w:tabs>
                <w:tab w:val="left" w:pos="288"/>
                <w:tab w:val="left" w:pos="576"/>
                <w:tab w:val="left" w:pos="864"/>
                <w:tab w:val="left" w:pos="1152"/>
              </w:tabs>
              <w:spacing w:before="40" w:after="80"/>
              <w:ind w:right="40"/>
              <w:rPr>
                <w:kern w:val="0"/>
              </w:rPr>
            </w:pPr>
          </w:p>
        </w:tc>
        <w:tc>
          <w:tcPr>
            <w:tcW w:w="5418" w:type="dxa"/>
            <w:tcBorders>
              <w:top w:val="single" w:sz="12" w:space="0" w:color="auto"/>
            </w:tcBorders>
            <w:shd w:val="clear" w:color="auto" w:fill="auto"/>
            <w:vAlign w:val="bottom"/>
          </w:tcPr>
          <w:p w:rsidR="00CF5BA2" w:rsidRPr="00AA7F1D" w:rsidRDefault="00CF5BA2" w:rsidP="001D2877">
            <w:pPr>
              <w:tabs>
                <w:tab w:val="left" w:pos="288"/>
                <w:tab w:val="left" w:pos="597"/>
                <w:tab w:val="left" w:pos="864"/>
                <w:tab w:val="left" w:pos="1152"/>
              </w:tabs>
              <w:spacing w:before="40" w:after="80"/>
              <w:ind w:right="40"/>
              <w:rPr>
                <w:kern w:val="0"/>
              </w:rPr>
            </w:pP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1</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Prantij</w:t>
            </w:r>
            <w:r w:rsidR="003503D0" w:rsidRPr="00AA7F1D">
              <w:rPr>
                <w:kern w:val="0"/>
              </w:rPr>
              <w:t xml:space="preserve"> </w:t>
            </w:r>
            <w:r w:rsidRPr="00AA7F1D">
              <w:rPr>
                <w:kern w:val="0"/>
              </w:rPr>
              <w:t>26/02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p>
        </w:tc>
        <w:tc>
          <w:tcPr>
            <w:tcW w:w="5418" w:type="dxa"/>
            <w:shd w:val="clear" w:color="auto" w:fill="auto"/>
          </w:tcPr>
          <w:p w:rsidR="00F76C6C" w:rsidRPr="00AA7F1D" w:rsidRDefault="0050054C" w:rsidP="001D2877">
            <w:pPr>
              <w:tabs>
                <w:tab w:val="left" w:pos="288"/>
                <w:tab w:val="left" w:pos="864"/>
                <w:tab w:val="left" w:pos="1152"/>
              </w:tabs>
              <w:spacing w:before="40" w:after="80"/>
              <w:ind w:right="40"/>
              <w:rPr>
                <w:kern w:val="0"/>
              </w:rPr>
            </w:pPr>
            <w:r w:rsidRPr="0050054C">
              <w:rPr>
                <w:kern w:val="0"/>
              </w:rPr>
              <w:t>No hubo solicitudes de protección de testigos; por tanto, no se prestó este tipo de servicios. No obstante, la policía l</w:t>
            </w:r>
            <w:r>
              <w:rPr>
                <w:kern w:val="0"/>
              </w:rPr>
              <w:t>ocal sigue realizando patrullas</w:t>
            </w:r>
            <w:r w:rsidRPr="00AA7F1D">
              <w:rPr>
                <w:kern w:val="0"/>
              </w:rPr>
              <w:t>.</w:t>
            </w:r>
          </w:p>
        </w:tc>
      </w:tr>
      <w:tr w:rsidR="00F76C6C" w:rsidRPr="00AA7F1D" w:rsidTr="000F2F70">
        <w:tblPrEx>
          <w:tblCellMar>
            <w:top w:w="0" w:type="dxa"/>
            <w:bottom w:w="0" w:type="dxa"/>
          </w:tblCellMar>
        </w:tblPrEx>
        <w:tc>
          <w:tcPr>
            <w:tcW w:w="675" w:type="dxa"/>
            <w:shd w:val="clear" w:color="auto" w:fill="auto"/>
          </w:tcPr>
          <w:p w:rsidR="00F76C6C" w:rsidRPr="00AA7F1D" w:rsidRDefault="00695E01" w:rsidP="00AA7F1D">
            <w:pPr>
              <w:tabs>
                <w:tab w:val="left" w:pos="288"/>
                <w:tab w:val="left" w:pos="576"/>
                <w:tab w:val="left" w:pos="864"/>
                <w:tab w:val="left" w:pos="1152"/>
              </w:tabs>
              <w:spacing w:before="40" w:after="80"/>
              <w:ind w:right="40"/>
              <w:rPr>
                <w:kern w:val="0"/>
              </w:rPr>
            </w:pPr>
            <w:r>
              <w:rPr>
                <w:kern w:val="0"/>
              </w:rPr>
              <w:t>2</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Comisaría de Policía de la estación de ferrocarril de Godhra 09/2002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8</w:t>
            </w:r>
          </w:p>
        </w:tc>
        <w:tc>
          <w:tcPr>
            <w:tcW w:w="5418" w:type="dxa"/>
            <w:shd w:val="clear" w:color="auto" w:fill="auto"/>
          </w:tcPr>
          <w:p w:rsidR="00F76C6C" w:rsidRPr="00AA7F1D" w:rsidRDefault="0053772D"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asignó un agente de policía armado por persona a dos testigos.</w:t>
            </w:r>
          </w:p>
          <w:p w:rsidR="00F76C6C" w:rsidRPr="00A97182" w:rsidRDefault="00A97182"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97182">
              <w:t xml:space="preserve">Se asignó un grupo de 1+2 </w:t>
            </w:r>
            <w:r w:rsidR="00F76C6C" w:rsidRPr="00A97182">
              <w:rPr>
                <w:kern w:val="0"/>
              </w:rPr>
              <w:t>guardias armados a uno de los testigos.</w:t>
            </w:r>
          </w:p>
          <w:p w:rsidR="00F76C6C" w:rsidRPr="00A97182" w:rsidRDefault="00A97182"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97182">
              <w:rPr>
                <w:kern w:val="0"/>
              </w:rPr>
              <w:t>Se asignó un agente de seguridad de la policía de la reserva especial por persona a cuatro testigos.</w:t>
            </w:r>
          </w:p>
          <w:p w:rsidR="00F76C6C" w:rsidRPr="00A97182" w:rsidRDefault="00A97182"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A02A83" w:rsidRPr="00A97182">
              <w:rPr>
                <w:kern w:val="0"/>
              </w:rPr>
              <w:t>Un testigo rechaz</w:t>
            </w:r>
            <w:r w:rsidR="0037323E" w:rsidRPr="00A97182">
              <w:rPr>
                <w:kern w:val="0"/>
              </w:rPr>
              <w:t>ó por escrito la protección;</w:t>
            </w:r>
            <w:r w:rsidR="00F76C6C" w:rsidRPr="00A97182">
              <w:rPr>
                <w:kern w:val="0"/>
              </w:rPr>
              <w:t xml:space="preserve"> por tanto, no se prestó este tipo de servicios.</w:t>
            </w:r>
          </w:p>
          <w:p w:rsidR="00F76C6C" w:rsidRPr="00AA7F1D" w:rsidRDefault="00A97182"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97182">
              <w:rPr>
                <w:kern w:val="0"/>
              </w:rPr>
              <w:t>Además, la policía local y las</w:t>
            </w:r>
            <w:r w:rsidR="00F76C6C" w:rsidRPr="00CF0203">
              <w:rPr>
                <w:kern w:val="0"/>
              </w:rPr>
              <w:t xml:space="preserve"> fuerzas paramilitares (Fuerza</w:t>
            </w:r>
            <w:r w:rsidR="00F76C6C" w:rsidRPr="00AA7F1D">
              <w:rPr>
                <w:kern w:val="0"/>
              </w:rPr>
              <w:t xml:space="preserve"> central de seguridad industrial, CISF) realizaron patrullas.</w:t>
            </w: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3</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Vijapur 46/2002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9</w:t>
            </w:r>
          </w:p>
        </w:tc>
        <w:tc>
          <w:tcPr>
            <w:tcW w:w="5418" w:type="dxa"/>
            <w:shd w:val="clear" w:color="auto" w:fill="auto"/>
          </w:tcPr>
          <w:p w:rsidR="00F76C6C" w:rsidRPr="00AA7F1D" w:rsidRDefault="000D5640"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asignó un agente de policía armado a cada testigo.</w:t>
            </w:r>
          </w:p>
          <w:p w:rsidR="00F76C6C" w:rsidRPr="00AA7F1D" w:rsidRDefault="000D5640"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asignaron 1+4 guardias armados a la aldea de Satnagar.</w:t>
            </w:r>
          </w:p>
          <w:p w:rsidR="0050054C" w:rsidRPr="0050054C" w:rsidRDefault="000D5640"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50054C" w:rsidRPr="0050054C">
              <w:rPr>
                <w:kern w:val="0"/>
              </w:rPr>
              <w:t>Se asignó una agente de policía y 1+3 guardias de la policía de la reserva especial a la aldea de Sardarpura.</w:t>
            </w:r>
          </w:p>
          <w:p w:rsidR="00F76C6C" w:rsidRPr="00AA7F1D" w:rsidRDefault="000D5640"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50054C" w:rsidRPr="0050054C">
              <w:rPr>
                <w:kern w:val="0"/>
              </w:rPr>
              <w:t>La policía local realizó patrullas.</w:t>
            </w: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4</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Meghaninagar</w:t>
            </w:r>
            <w:r w:rsidR="003503D0" w:rsidRPr="00AA7F1D">
              <w:rPr>
                <w:kern w:val="0"/>
              </w:rPr>
              <w:t xml:space="preserve"> </w:t>
            </w:r>
            <w:r w:rsidRPr="00AA7F1D">
              <w:rPr>
                <w:kern w:val="0"/>
              </w:rPr>
              <w:t>67/02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41</w:t>
            </w:r>
          </w:p>
        </w:tc>
        <w:tc>
          <w:tcPr>
            <w:tcW w:w="5418" w:type="dxa"/>
            <w:shd w:val="clear" w:color="auto" w:fill="auto"/>
          </w:tcPr>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 xml:space="preserve">Se asignó un agente de policía armado por persona a 40 testigos. </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asignaron tres agentes de seguridad de la policía de la reserva especial como protección permanente para uno de los testigos.</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La policía local y la CISF realizaron patrullas.</w:t>
            </w: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5</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Naroda</w:t>
            </w:r>
            <w:r w:rsidR="003503D0" w:rsidRPr="00AA7F1D">
              <w:rPr>
                <w:kern w:val="0"/>
              </w:rPr>
              <w:t xml:space="preserve"> </w:t>
            </w:r>
            <w:r w:rsidRPr="00AA7F1D">
              <w:rPr>
                <w:kern w:val="0"/>
              </w:rPr>
              <w:t>100/02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96</w:t>
            </w:r>
          </w:p>
        </w:tc>
        <w:tc>
          <w:tcPr>
            <w:tcW w:w="5418" w:type="dxa"/>
            <w:shd w:val="clear" w:color="auto" w:fill="auto"/>
          </w:tcPr>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asignó un agente de policía armado a cada uno de los testigos.</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La policía local y la CISF realizaron patrullas.</w:t>
            </w: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8915C4">
            <w:pPr>
              <w:tabs>
                <w:tab w:val="left" w:pos="288"/>
                <w:tab w:val="left" w:pos="576"/>
                <w:tab w:val="left" w:pos="864"/>
                <w:tab w:val="left" w:pos="1152"/>
              </w:tabs>
              <w:spacing w:before="40" w:after="80"/>
              <w:ind w:right="43"/>
              <w:rPr>
                <w:kern w:val="0"/>
              </w:rPr>
            </w:pPr>
            <w:r w:rsidRPr="00AA7F1D">
              <w:rPr>
                <w:kern w:val="0"/>
              </w:rPr>
              <w:t>6</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Khambholaj</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2</w:t>
            </w:r>
          </w:p>
        </w:tc>
        <w:tc>
          <w:tcPr>
            <w:tcW w:w="5418" w:type="dxa"/>
            <w:shd w:val="clear" w:color="auto" w:fill="auto"/>
          </w:tcPr>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asignaron dos agentes de policía armados a Vinaben M. Patel y Sumitraben B. Patel a partir del 24 de agosto de 2003</w:t>
            </w:r>
            <w:r w:rsidR="003F246C">
              <w:rPr>
                <w:kern w:val="0"/>
              </w:rPr>
              <w:t>.</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Ningún otro testigo solicitó protección.</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asignó una sección de BW/HG a las aldeas de Suravali Bhagol y Piravali Bhagol.</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Un subinspector de policía, un subinspector adjunto y tres agentes de policía del puesto avanzado de OAD visitaron frecuentemente a los testigos.</w:t>
            </w:r>
          </w:p>
        </w:tc>
      </w:tr>
      <w:tr w:rsidR="008915C4" w:rsidRPr="00AA7F1D" w:rsidTr="000F2F70">
        <w:tblPrEx>
          <w:tblCellMar>
            <w:top w:w="0" w:type="dxa"/>
            <w:bottom w:w="0" w:type="dxa"/>
          </w:tblCellMar>
        </w:tblPrEx>
        <w:tc>
          <w:tcPr>
            <w:tcW w:w="675" w:type="dxa"/>
            <w:shd w:val="clear" w:color="auto" w:fill="auto"/>
          </w:tcPr>
          <w:p w:rsidR="008915C4" w:rsidRPr="00AA7F1D" w:rsidRDefault="008915C4" w:rsidP="008915C4">
            <w:pPr>
              <w:pageBreakBefore/>
              <w:tabs>
                <w:tab w:val="left" w:pos="288"/>
                <w:tab w:val="left" w:pos="576"/>
                <w:tab w:val="left" w:pos="864"/>
                <w:tab w:val="left" w:pos="1152"/>
              </w:tabs>
              <w:spacing w:before="40" w:after="80"/>
              <w:ind w:right="43"/>
              <w:rPr>
                <w:kern w:val="0"/>
              </w:rPr>
            </w:pPr>
          </w:p>
        </w:tc>
        <w:tc>
          <w:tcPr>
            <w:tcW w:w="1629" w:type="dxa"/>
            <w:shd w:val="clear" w:color="auto" w:fill="auto"/>
          </w:tcPr>
          <w:p w:rsidR="008915C4" w:rsidRPr="00AA7F1D" w:rsidRDefault="008915C4" w:rsidP="00AA7F1D">
            <w:pPr>
              <w:tabs>
                <w:tab w:val="left" w:pos="288"/>
                <w:tab w:val="left" w:pos="576"/>
                <w:tab w:val="left" w:pos="864"/>
                <w:tab w:val="left" w:pos="1152"/>
              </w:tabs>
              <w:spacing w:before="40" w:after="80"/>
              <w:ind w:right="40"/>
              <w:rPr>
                <w:kern w:val="0"/>
              </w:rPr>
            </w:pPr>
          </w:p>
        </w:tc>
        <w:tc>
          <w:tcPr>
            <w:tcW w:w="855" w:type="dxa"/>
            <w:shd w:val="clear" w:color="auto" w:fill="auto"/>
          </w:tcPr>
          <w:p w:rsidR="008915C4" w:rsidRPr="00AA7F1D" w:rsidRDefault="008915C4" w:rsidP="00AA7F1D">
            <w:pPr>
              <w:tabs>
                <w:tab w:val="left" w:pos="288"/>
                <w:tab w:val="left" w:pos="576"/>
                <w:tab w:val="left" w:pos="864"/>
                <w:tab w:val="left" w:pos="1152"/>
              </w:tabs>
              <w:spacing w:before="40" w:after="80"/>
              <w:ind w:right="40"/>
              <w:rPr>
                <w:kern w:val="0"/>
              </w:rPr>
            </w:pPr>
          </w:p>
        </w:tc>
        <w:tc>
          <w:tcPr>
            <w:tcW w:w="5418" w:type="dxa"/>
            <w:shd w:val="clear" w:color="auto" w:fill="auto"/>
          </w:tcPr>
          <w:p w:rsidR="008915C4" w:rsidRDefault="008915C4"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Pr="00AA7F1D">
              <w:rPr>
                <w:kern w:val="0"/>
              </w:rPr>
              <w:t>Se asignó media sección de BG/HG a la aldea de Bhalej, dado que algunos de los testigos residían en la zona.</w:t>
            </w:r>
          </w:p>
        </w:tc>
      </w:tr>
      <w:tr w:rsidR="008915C4" w:rsidRPr="00AA7F1D" w:rsidTr="000F2F70">
        <w:tblPrEx>
          <w:tblCellMar>
            <w:top w:w="0" w:type="dxa"/>
            <w:bottom w:w="0" w:type="dxa"/>
          </w:tblCellMar>
        </w:tblPrEx>
        <w:tc>
          <w:tcPr>
            <w:tcW w:w="675" w:type="dxa"/>
            <w:shd w:val="clear" w:color="auto" w:fill="auto"/>
          </w:tcPr>
          <w:p w:rsidR="008915C4" w:rsidRPr="00AA7F1D" w:rsidRDefault="008915C4" w:rsidP="00AA7F1D">
            <w:pPr>
              <w:tabs>
                <w:tab w:val="left" w:pos="288"/>
                <w:tab w:val="left" w:pos="576"/>
                <w:tab w:val="left" w:pos="864"/>
                <w:tab w:val="left" w:pos="1152"/>
              </w:tabs>
              <w:spacing w:before="40" w:after="80"/>
              <w:ind w:right="40"/>
              <w:rPr>
                <w:kern w:val="0"/>
              </w:rPr>
            </w:pPr>
          </w:p>
        </w:tc>
        <w:tc>
          <w:tcPr>
            <w:tcW w:w="1629" w:type="dxa"/>
            <w:shd w:val="clear" w:color="auto" w:fill="auto"/>
          </w:tcPr>
          <w:p w:rsidR="008915C4" w:rsidRPr="00AA7F1D" w:rsidRDefault="008915C4" w:rsidP="00AA7F1D">
            <w:pPr>
              <w:tabs>
                <w:tab w:val="left" w:pos="288"/>
                <w:tab w:val="left" w:pos="576"/>
                <w:tab w:val="left" w:pos="864"/>
                <w:tab w:val="left" w:pos="1152"/>
              </w:tabs>
              <w:spacing w:before="40" w:after="80"/>
              <w:ind w:right="40"/>
              <w:rPr>
                <w:kern w:val="0"/>
              </w:rPr>
            </w:pPr>
          </w:p>
        </w:tc>
        <w:tc>
          <w:tcPr>
            <w:tcW w:w="855" w:type="dxa"/>
            <w:shd w:val="clear" w:color="auto" w:fill="auto"/>
          </w:tcPr>
          <w:p w:rsidR="008915C4" w:rsidRPr="00AA7F1D" w:rsidRDefault="008915C4" w:rsidP="00AA7F1D">
            <w:pPr>
              <w:tabs>
                <w:tab w:val="left" w:pos="288"/>
                <w:tab w:val="left" w:pos="576"/>
                <w:tab w:val="left" w:pos="864"/>
                <w:tab w:val="left" w:pos="1152"/>
              </w:tabs>
              <w:spacing w:before="40" w:after="80"/>
              <w:ind w:right="40"/>
              <w:rPr>
                <w:kern w:val="0"/>
              </w:rPr>
            </w:pPr>
          </w:p>
        </w:tc>
        <w:tc>
          <w:tcPr>
            <w:tcW w:w="5418" w:type="dxa"/>
            <w:shd w:val="clear" w:color="auto" w:fill="auto"/>
          </w:tcPr>
          <w:p w:rsidR="008915C4" w:rsidRDefault="008915C4"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Pr="00AA7F1D">
              <w:rPr>
                <w:kern w:val="0"/>
              </w:rPr>
              <w:t>La policía local y la CISF realizaron patrullas.</w:t>
            </w: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7</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Khambholaj</w:t>
            </w:r>
            <w:r w:rsidR="003503D0" w:rsidRPr="00AA7F1D">
              <w:rPr>
                <w:kern w:val="0"/>
              </w:rPr>
              <w:t xml:space="preserve"> </w:t>
            </w:r>
            <w:r w:rsidRPr="00AA7F1D">
              <w:rPr>
                <w:kern w:val="0"/>
              </w:rPr>
              <w:t>27/02</w:t>
            </w:r>
          </w:p>
        </w:tc>
        <w:tc>
          <w:tcPr>
            <w:tcW w:w="855" w:type="dxa"/>
            <w:shd w:val="clear" w:color="auto" w:fill="auto"/>
          </w:tcPr>
          <w:p w:rsidR="00F76C6C" w:rsidRPr="00AA7F1D" w:rsidRDefault="0037323E" w:rsidP="00AA7F1D">
            <w:pPr>
              <w:tabs>
                <w:tab w:val="left" w:pos="288"/>
                <w:tab w:val="left" w:pos="576"/>
                <w:tab w:val="left" w:pos="864"/>
                <w:tab w:val="left" w:pos="1152"/>
              </w:tabs>
              <w:spacing w:before="40" w:after="80"/>
              <w:ind w:right="40"/>
              <w:rPr>
                <w:kern w:val="0"/>
              </w:rPr>
            </w:pPr>
            <w:r>
              <w:rPr>
                <w:kern w:val="0"/>
              </w:rPr>
              <w:t>–</w:t>
            </w:r>
          </w:p>
        </w:tc>
        <w:tc>
          <w:tcPr>
            <w:tcW w:w="5418" w:type="dxa"/>
            <w:shd w:val="clear" w:color="auto" w:fill="auto"/>
          </w:tcPr>
          <w:p w:rsidR="00F76C6C" w:rsidRPr="00AA7F1D" w:rsidRDefault="00F76C6C" w:rsidP="001D2877">
            <w:pPr>
              <w:pStyle w:val="SingleTxt"/>
              <w:tabs>
                <w:tab w:val="clear" w:pos="1742"/>
                <w:tab w:val="clear" w:pos="4133"/>
                <w:tab w:val="right" w:pos="179"/>
                <w:tab w:val="left" w:pos="252"/>
              </w:tabs>
              <w:suppressAutoHyphens/>
              <w:ind w:left="270" w:right="14" w:hanging="270"/>
              <w:jc w:val="left"/>
              <w:rPr>
                <w:kern w:val="0"/>
              </w:rPr>
            </w:pP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8</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Visnagar</w:t>
            </w:r>
            <w:r w:rsidR="003503D0" w:rsidRPr="00AA7F1D">
              <w:rPr>
                <w:kern w:val="0"/>
              </w:rPr>
              <w:t xml:space="preserve"> </w:t>
            </w:r>
            <w:r w:rsidRPr="00AA7F1D">
              <w:rPr>
                <w:kern w:val="0"/>
              </w:rPr>
              <w:t>60/02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4</w:t>
            </w:r>
          </w:p>
        </w:tc>
        <w:tc>
          <w:tcPr>
            <w:tcW w:w="5418" w:type="dxa"/>
            <w:shd w:val="clear" w:color="auto" w:fill="auto"/>
          </w:tcPr>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 xml:space="preserve">Se asignaron dos agentes de la policía de la reserva especial a cada testigo. </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La policía local realizó patrullas.</w:t>
            </w: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9</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Naroda</w:t>
            </w:r>
            <w:r w:rsidR="003503D0" w:rsidRPr="00AA7F1D">
              <w:rPr>
                <w:kern w:val="0"/>
              </w:rPr>
              <w:t xml:space="preserve"> </w:t>
            </w:r>
            <w:r w:rsidRPr="00AA7F1D">
              <w:rPr>
                <w:kern w:val="0"/>
              </w:rPr>
              <w:t>98/02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3</w:t>
            </w:r>
          </w:p>
        </w:tc>
        <w:tc>
          <w:tcPr>
            <w:tcW w:w="5418" w:type="dxa"/>
            <w:shd w:val="clear" w:color="auto" w:fill="auto"/>
          </w:tcPr>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1 agente de policía armado por persona.</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La policía local realizó patrullas.</w:t>
            </w: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10</w:t>
            </w:r>
            <w:r w:rsidR="00B80964">
              <w:rPr>
                <w:kern w:val="0"/>
              </w:rPr>
              <w:t>.</w:t>
            </w:r>
            <w:r w:rsidR="00427C51" w:rsidRPr="00AA7F1D">
              <w:rPr>
                <w:kern w:val="0"/>
              </w:rPr>
              <w:t xml:space="preserve"> </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Khanpur 111/02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5</w:t>
            </w:r>
          </w:p>
        </w:tc>
        <w:tc>
          <w:tcPr>
            <w:tcW w:w="5418" w:type="dxa"/>
            <w:shd w:val="clear" w:color="auto" w:fill="auto"/>
          </w:tcPr>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estableció una unidad fija compuesta por 1+3 agentes de la policía de la reserva especial en la aldea de Pandarvada.</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La policía local y la CISF realizaron patrullas.</w:t>
            </w: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11</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Khanpur 13/02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4</w:t>
            </w:r>
          </w:p>
        </w:tc>
        <w:tc>
          <w:tcPr>
            <w:tcW w:w="5418" w:type="dxa"/>
            <w:shd w:val="clear" w:color="auto" w:fill="auto"/>
          </w:tcPr>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La policía local y la CISF realizaron patrullas.</w:t>
            </w: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12</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Kalol</w:t>
            </w:r>
            <w:r w:rsidR="003503D0" w:rsidRPr="00AA7F1D">
              <w:rPr>
                <w:kern w:val="0"/>
              </w:rPr>
              <w:t xml:space="preserve"> </w:t>
            </w:r>
            <w:r w:rsidRPr="00AA7F1D">
              <w:rPr>
                <w:kern w:val="0"/>
              </w:rPr>
              <w:t>60/02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1</w:t>
            </w:r>
          </w:p>
        </w:tc>
        <w:tc>
          <w:tcPr>
            <w:tcW w:w="5418" w:type="dxa"/>
            <w:shd w:val="clear" w:color="auto" w:fill="auto"/>
          </w:tcPr>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asignó un oficial de la policía de la reserva especial y cuatro agentes de policía.</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estableció el cuartel general de un pelotón de policía de la reserva especial en esta aldea.</w:t>
            </w:r>
          </w:p>
          <w:p w:rsidR="00F76C6C" w:rsidRPr="00AA7F1D" w:rsidRDefault="006A11B8"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La policía local y la CISF realizaron patrullas.</w:t>
            </w:r>
          </w:p>
        </w:tc>
      </w:tr>
      <w:tr w:rsidR="00F76C6C" w:rsidRPr="00AA7F1D" w:rsidTr="000F2F70">
        <w:tblPrEx>
          <w:tblCellMar>
            <w:top w:w="0" w:type="dxa"/>
            <w:bottom w:w="0" w:type="dxa"/>
          </w:tblCellMar>
        </w:tblPrEx>
        <w:tc>
          <w:tcPr>
            <w:tcW w:w="67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13</w:t>
            </w:r>
            <w:r w:rsidR="00B80964">
              <w:rPr>
                <w:kern w:val="0"/>
              </w:rPr>
              <w:t>.</w:t>
            </w:r>
          </w:p>
        </w:tc>
        <w:tc>
          <w:tcPr>
            <w:tcW w:w="1629"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Kalol</w:t>
            </w:r>
            <w:r w:rsidR="003503D0" w:rsidRPr="00AA7F1D">
              <w:rPr>
                <w:kern w:val="0"/>
              </w:rPr>
              <w:t xml:space="preserve"> </w:t>
            </w:r>
            <w:r w:rsidRPr="00AA7F1D">
              <w:rPr>
                <w:kern w:val="0"/>
              </w:rPr>
              <w:t>36/02</w:t>
            </w:r>
          </w:p>
        </w:tc>
        <w:tc>
          <w:tcPr>
            <w:tcW w:w="855" w:type="dxa"/>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3</w:t>
            </w:r>
          </w:p>
        </w:tc>
        <w:tc>
          <w:tcPr>
            <w:tcW w:w="5418" w:type="dxa"/>
            <w:shd w:val="clear" w:color="auto" w:fill="auto"/>
          </w:tcPr>
          <w:p w:rsidR="00F76C6C" w:rsidRPr="00AA7F1D" w:rsidRDefault="00CF4C46"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asignó un oficial de la policía de la reserva especial y un agente de policía a cada testigo.</w:t>
            </w:r>
          </w:p>
          <w:p w:rsidR="00F76C6C" w:rsidRPr="00AA7F1D" w:rsidRDefault="00CF4C46"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Se estableció una unidad fija compuesta por 1+3 agentes de la policía de la reserva especial en esta aldea.</w:t>
            </w:r>
          </w:p>
          <w:p w:rsidR="00F76C6C" w:rsidRPr="00AA7F1D" w:rsidRDefault="00CF4C46"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La policía local y la CISF realizaron patrullas.</w:t>
            </w:r>
          </w:p>
        </w:tc>
      </w:tr>
      <w:tr w:rsidR="00F76C6C" w:rsidRPr="00AA7F1D" w:rsidTr="000F2F70">
        <w:tblPrEx>
          <w:tblCellMar>
            <w:top w:w="0" w:type="dxa"/>
            <w:bottom w:w="0" w:type="dxa"/>
          </w:tblCellMar>
        </w:tblPrEx>
        <w:tc>
          <w:tcPr>
            <w:tcW w:w="675" w:type="dxa"/>
            <w:tcBorders>
              <w:bottom w:val="single" w:sz="12" w:space="0" w:color="auto"/>
            </w:tcBorders>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14</w:t>
            </w:r>
            <w:r w:rsidR="00B80964">
              <w:rPr>
                <w:kern w:val="0"/>
              </w:rPr>
              <w:t>.</w:t>
            </w:r>
          </w:p>
        </w:tc>
        <w:tc>
          <w:tcPr>
            <w:tcW w:w="1629" w:type="dxa"/>
            <w:tcBorders>
              <w:bottom w:val="single" w:sz="12" w:space="0" w:color="auto"/>
            </w:tcBorders>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r w:rsidRPr="00AA7F1D">
              <w:rPr>
                <w:kern w:val="0"/>
              </w:rPr>
              <w:t>Kalol 222/02</w:t>
            </w:r>
          </w:p>
        </w:tc>
        <w:tc>
          <w:tcPr>
            <w:tcW w:w="855" w:type="dxa"/>
            <w:tcBorders>
              <w:bottom w:val="single" w:sz="12" w:space="0" w:color="auto"/>
            </w:tcBorders>
            <w:shd w:val="clear" w:color="auto" w:fill="auto"/>
          </w:tcPr>
          <w:p w:rsidR="00F76C6C" w:rsidRPr="00AA7F1D" w:rsidRDefault="00F76C6C" w:rsidP="00AA7F1D">
            <w:pPr>
              <w:tabs>
                <w:tab w:val="left" w:pos="288"/>
                <w:tab w:val="left" w:pos="576"/>
                <w:tab w:val="left" w:pos="864"/>
                <w:tab w:val="left" w:pos="1152"/>
              </w:tabs>
              <w:spacing w:before="40" w:after="80"/>
              <w:ind w:right="40"/>
              <w:rPr>
                <w:kern w:val="0"/>
              </w:rPr>
            </w:pPr>
          </w:p>
        </w:tc>
        <w:tc>
          <w:tcPr>
            <w:tcW w:w="5418" w:type="dxa"/>
            <w:tcBorders>
              <w:bottom w:val="single" w:sz="12" w:space="0" w:color="auto"/>
            </w:tcBorders>
            <w:shd w:val="clear" w:color="auto" w:fill="auto"/>
          </w:tcPr>
          <w:p w:rsidR="00F76C6C" w:rsidRPr="00AA7F1D" w:rsidRDefault="00CF4C46" w:rsidP="001D2877">
            <w:pPr>
              <w:pStyle w:val="SingleTxt"/>
              <w:tabs>
                <w:tab w:val="clear" w:pos="1742"/>
                <w:tab w:val="clear" w:pos="4133"/>
                <w:tab w:val="right" w:pos="179"/>
                <w:tab w:val="left" w:pos="252"/>
              </w:tabs>
              <w:suppressAutoHyphens/>
              <w:ind w:left="270" w:right="14" w:hanging="270"/>
              <w:jc w:val="left"/>
              <w:rPr>
                <w:kern w:val="0"/>
              </w:rPr>
            </w:pPr>
            <w:r>
              <w:rPr>
                <w:kern w:val="0"/>
              </w:rPr>
              <w:tab/>
              <w:t>•</w:t>
            </w:r>
            <w:r>
              <w:rPr>
                <w:kern w:val="0"/>
              </w:rPr>
              <w:tab/>
            </w:r>
            <w:r w:rsidR="00F76C6C" w:rsidRPr="00AA7F1D">
              <w:rPr>
                <w:kern w:val="0"/>
              </w:rPr>
              <w:t xml:space="preserve">No ha habido solicitudes de protección. </w:t>
            </w:r>
          </w:p>
          <w:p w:rsidR="00F76C6C" w:rsidRPr="00AA7F1D" w:rsidRDefault="00CF4C46" w:rsidP="007C2F40">
            <w:pPr>
              <w:pStyle w:val="SingleTxt"/>
              <w:tabs>
                <w:tab w:val="clear" w:pos="1742"/>
                <w:tab w:val="clear" w:pos="4133"/>
                <w:tab w:val="right" w:pos="179"/>
                <w:tab w:val="left" w:pos="252"/>
              </w:tabs>
              <w:suppressAutoHyphens/>
              <w:spacing w:after="80"/>
              <w:ind w:left="274" w:right="14" w:hanging="274"/>
              <w:jc w:val="left"/>
              <w:rPr>
                <w:kern w:val="0"/>
              </w:rPr>
            </w:pPr>
            <w:r>
              <w:rPr>
                <w:kern w:val="0"/>
              </w:rPr>
              <w:tab/>
              <w:t>•</w:t>
            </w:r>
            <w:r>
              <w:rPr>
                <w:kern w:val="0"/>
              </w:rPr>
              <w:tab/>
            </w:r>
            <w:r w:rsidR="00F76C6C" w:rsidRPr="00AA7F1D">
              <w:rPr>
                <w:kern w:val="0"/>
              </w:rPr>
              <w:t>La policía local y la CISF realizaron frecuentemente patrullas.</w:t>
            </w:r>
          </w:p>
        </w:tc>
      </w:tr>
    </w:tbl>
    <w:p w:rsidR="000A1FB7" w:rsidRPr="000A1FB7" w:rsidRDefault="000A1FB7" w:rsidP="000A1FB7">
      <w:pPr>
        <w:pStyle w:val="SingleTxt"/>
        <w:suppressAutoHyphens/>
        <w:spacing w:after="0" w:line="120" w:lineRule="exact"/>
        <w:rPr>
          <w:sz w:val="10"/>
        </w:rPr>
      </w:pPr>
    </w:p>
    <w:p w:rsidR="000A1FB7" w:rsidRPr="000A1FB7" w:rsidRDefault="000A1FB7" w:rsidP="000A1FB7">
      <w:pPr>
        <w:pStyle w:val="SingleTxt"/>
        <w:suppressAutoHyphens/>
        <w:spacing w:after="0" w:line="120" w:lineRule="exact"/>
        <w:rPr>
          <w:sz w:val="10"/>
        </w:rPr>
      </w:pPr>
    </w:p>
    <w:p w:rsidR="000A1FB7" w:rsidRPr="00E83166" w:rsidRDefault="000A1FB7" w:rsidP="000A1FB7">
      <w:pPr>
        <w:pStyle w:val="SingleTxt"/>
        <w:suppressAutoHyphens/>
        <w:rPr>
          <w:b/>
          <w:bCs/>
        </w:rPr>
      </w:pPr>
      <w:r>
        <w:rPr>
          <w:b/>
          <w:bCs/>
        </w:rPr>
        <w:tab/>
        <w:t>d)</w:t>
      </w:r>
      <w:r>
        <w:rPr>
          <w:b/>
          <w:bCs/>
        </w:rPr>
        <w:tab/>
      </w:r>
      <w:r w:rsidRPr="00E83166">
        <w:rPr>
          <w:b/>
          <w:bCs/>
        </w:rPr>
        <w:t>Datos sobre las detenciones que se hayan hecho y las condenas impuestas, incluso a funcionarios públicos que hayan sido declarados cómplices en ese tipo de delitos</w:t>
      </w:r>
    </w:p>
    <w:p w:rsidR="000A1FB7" w:rsidRDefault="009658BB" w:rsidP="000A1FB7">
      <w:pPr>
        <w:pStyle w:val="SingleTxt"/>
        <w:suppressAutoHyphens/>
      </w:pPr>
      <w:r>
        <w:br w:type="page"/>
      </w:r>
      <w:r w:rsidR="000A1FB7">
        <w:tab/>
      </w:r>
      <w:r w:rsidR="000A1FB7" w:rsidRPr="00E83166">
        <w:t>Los datos sobre el número de detenciones realizadas y las condenas impuestas son los siguientes:</w:t>
      </w:r>
    </w:p>
    <w:p w:rsidR="000A1FB7" w:rsidRPr="00DF619B" w:rsidRDefault="000A1FB7" w:rsidP="000A1FB7">
      <w:pPr>
        <w:pStyle w:val="SingleTxt"/>
        <w:suppressAutoHyphen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293"/>
        <w:gridCol w:w="758"/>
        <w:gridCol w:w="2168"/>
        <w:gridCol w:w="3363"/>
      </w:tblGrid>
      <w:tr w:rsidR="000A1FB7" w:rsidRPr="00E83166" w:rsidTr="009658BB">
        <w:tblPrEx>
          <w:tblCellMar>
            <w:top w:w="0" w:type="dxa"/>
            <w:bottom w:w="0" w:type="dxa"/>
          </w:tblCellMar>
        </w:tblPrEx>
        <w:trPr>
          <w:tblHeader/>
        </w:trPr>
        <w:tc>
          <w:tcPr>
            <w:tcW w:w="2293" w:type="dxa"/>
            <w:tcBorders>
              <w:top w:val="single" w:sz="4" w:space="0" w:color="auto"/>
              <w:bottom w:val="single" w:sz="12" w:space="0" w:color="auto"/>
            </w:tcBorders>
            <w:shd w:val="clear" w:color="auto" w:fill="auto"/>
            <w:vAlign w:val="bottom"/>
          </w:tcPr>
          <w:p w:rsidR="000A1FB7" w:rsidRPr="00E83166" w:rsidRDefault="000A1FB7" w:rsidP="009658BB">
            <w:pPr>
              <w:tabs>
                <w:tab w:val="left" w:pos="288"/>
                <w:tab w:val="left" w:pos="576"/>
                <w:tab w:val="left" w:pos="864"/>
                <w:tab w:val="left" w:pos="1152"/>
              </w:tabs>
              <w:spacing w:before="80" w:after="80" w:line="160" w:lineRule="exact"/>
              <w:ind w:right="40"/>
              <w:rPr>
                <w:i/>
                <w:kern w:val="0"/>
                <w:sz w:val="14"/>
              </w:rPr>
            </w:pPr>
            <w:r>
              <w:rPr>
                <w:i/>
                <w:kern w:val="0"/>
                <w:sz w:val="14"/>
              </w:rPr>
              <w:t>Distrito</w:t>
            </w:r>
          </w:p>
        </w:tc>
        <w:tc>
          <w:tcPr>
            <w:tcW w:w="758" w:type="dxa"/>
            <w:tcBorders>
              <w:top w:val="single" w:sz="4" w:space="0" w:color="auto"/>
              <w:bottom w:val="single" w:sz="12" w:space="0" w:color="auto"/>
            </w:tcBorders>
            <w:shd w:val="clear" w:color="auto" w:fill="auto"/>
            <w:vAlign w:val="bottom"/>
          </w:tcPr>
          <w:p w:rsidR="000A1FB7" w:rsidRPr="00E83166" w:rsidRDefault="000A1FB7" w:rsidP="009658BB">
            <w:pPr>
              <w:tabs>
                <w:tab w:val="left" w:pos="288"/>
                <w:tab w:val="left" w:pos="576"/>
                <w:tab w:val="left" w:pos="864"/>
                <w:tab w:val="left" w:pos="1152"/>
              </w:tabs>
              <w:spacing w:before="80" w:after="80" w:line="160" w:lineRule="exact"/>
              <w:ind w:right="40"/>
              <w:rPr>
                <w:i/>
                <w:kern w:val="0"/>
                <w:sz w:val="14"/>
              </w:rPr>
            </w:pPr>
            <w:r>
              <w:rPr>
                <w:i/>
                <w:kern w:val="0"/>
                <w:sz w:val="14"/>
              </w:rPr>
              <w:t xml:space="preserve">Número </w:t>
            </w:r>
            <w:r>
              <w:rPr>
                <w:i/>
                <w:kern w:val="0"/>
                <w:sz w:val="14"/>
              </w:rPr>
              <w:br/>
              <w:t>de casos</w:t>
            </w:r>
          </w:p>
        </w:tc>
        <w:tc>
          <w:tcPr>
            <w:tcW w:w="2168" w:type="dxa"/>
            <w:tcBorders>
              <w:top w:val="single" w:sz="4" w:space="0" w:color="auto"/>
              <w:bottom w:val="single" w:sz="12" w:space="0" w:color="auto"/>
            </w:tcBorders>
            <w:shd w:val="clear" w:color="auto" w:fill="auto"/>
            <w:vAlign w:val="bottom"/>
          </w:tcPr>
          <w:p w:rsidR="000A1FB7" w:rsidRPr="00E83166" w:rsidRDefault="000A1FB7" w:rsidP="009658BB">
            <w:pPr>
              <w:tabs>
                <w:tab w:val="left" w:pos="288"/>
                <w:tab w:val="left" w:pos="576"/>
                <w:tab w:val="left" w:pos="864"/>
                <w:tab w:val="left" w:pos="1152"/>
              </w:tabs>
              <w:spacing w:before="80" w:after="80" w:line="160" w:lineRule="exact"/>
              <w:ind w:right="40"/>
              <w:rPr>
                <w:i/>
                <w:kern w:val="0"/>
                <w:sz w:val="14"/>
              </w:rPr>
            </w:pPr>
            <w:r>
              <w:rPr>
                <w:i/>
                <w:kern w:val="0"/>
                <w:sz w:val="14"/>
              </w:rPr>
              <w:t>Número de acusados arrestados</w:t>
            </w:r>
          </w:p>
        </w:tc>
        <w:tc>
          <w:tcPr>
            <w:tcW w:w="3363" w:type="dxa"/>
            <w:tcBorders>
              <w:top w:val="single" w:sz="4" w:space="0" w:color="auto"/>
              <w:bottom w:val="single" w:sz="12" w:space="0" w:color="auto"/>
            </w:tcBorders>
            <w:shd w:val="clear" w:color="auto" w:fill="auto"/>
            <w:vAlign w:val="bottom"/>
          </w:tcPr>
          <w:p w:rsidR="000A1FB7" w:rsidRPr="00E83166" w:rsidRDefault="000A1FB7" w:rsidP="009658BB">
            <w:pPr>
              <w:tabs>
                <w:tab w:val="left" w:pos="288"/>
                <w:tab w:val="left" w:pos="576"/>
                <w:tab w:val="left" w:pos="864"/>
                <w:tab w:val="left" w:pos="1152"/>
              </w:tabs>
              <w:spacing w:before="80" w:after="80" w:line="160" w:lineRule="exact"/>
              <w:ind w:right="40"/>
              <w:rPr>
                <w:i/>
                <w:kern w:val="0"/>
                <w:sz w:val="14"/>
              </w:rPr>
            </w:pPr>
            <w:r>
              <w:rPr>
                <w:i/>
                <w:kern w:val="0"/>
                <w:sz w:val="14"/>
              </w:rPr>
              <w:t>Situación del caso</w:t>
            </w:r>
          </w:p>
        </w:tc>
      </w:tr>
      <w:tr w:rsidR="000A1FB7" w:rsidRPr="00E83166" w:rsidTr="009658BB">
        <w:tblPrEx>
          <w:tblCellMar>
            <w:top w:w="0" w:type="dxa"/>
            <w:bottom w:w="0" w:type="dxa"/>
          </w:tblCellMar>
        </w:tblPrEx>
        <w:trPr>
          <w:trHeight w:hRule="exact" w:val="115"/>
          <w:tblHeader/>
        </w:trPr>
        <w:tc>
          <w:tcPr>
            <w:tcW w:w="2293" w:type="dxa"/>
            <w:tcBorders>
              <w:top w:val="single" w:sz="12" w:space="0" w:color="auto"/>
            </w:tcBorders>
            <w:shd w:val="clear" w:color="auto" w:fill="auto"/>
            <w:vAlign w:val="bottom"/>
          </w:tcPr>
          <w:p w:rsidR="000A1FB7" w:rsidRPr="00E83166" w:rsidRDefault="000A1FB7" w:rsidP="009658BB">
            <w:pPr>
              <w:tabs>
                <w:tab w:val="left" w:pos="288"/>
                <w:tab w:val="left" w:pos="576"/>
                <w:tab w:val="left" w:pos="864"/>
                <w:tab w:val="left" w:pos="1152"/>
              </w:tabs>
              <w:spacing w:before="40" w:after="80"/>
              <w:ind w:right="40"/>
              <w:rPr>
                <w:kern w:val="0"/>
              </w:rPr>
            </w:pPr>
          </w:p>
        </w:tc>
        <w:tc>
          <w:tcPr>
            <w:tcW w:w="758" w:type="dxa"/>
            <w:tcBorders>
              <w:top w:val="single" w:sz="12" w:space="0" w:color="auto"/>
            </w:tcBorders>
            <w:shd w:val="clear" w:color="auto" w:fill="auto"/>
            <w:vAlign w:val="bottom"/>
          </w:tcPr>
          <w:p w:rsidR="000A1FB7" w:rsidRPr="00E83166" w:rsidRDefault="000A1FB7" w:rsidP="009658BB">
            <w:pPr>
              <w:tabs>
                <w:tab w:val="left" w:pos="288"/>
                <w:tab w:val="left" w:pos="576"/>
                <w:tab w:val="left" w:pos="864"/>
                <w:tab w:val="left" w:pos="1152"/>
              </w:tabs>
              <w:spacing w:before="40" w:after="80"/>
              <w:ind w:right="40"/>
              <w:rPr>
                <w:kern w:val="0"/>
              </w:rPr>
            </w:pPr>
          </w:p>
        </w:tc>
        <w:tc>
          <w:tcPr>
            <w:tcW w:w="2168" w:type="dxa"/>
            <w:tcBorders>
              <w:top w:val="single" w:sz="12" w:space="0" w:color="auto"/>
            </w:tcBorders>
            <w:shd w:val="clear" w:color="auto" w:fill="auto"/>
            <w:vAlign w:val="bottom"/>
          </w:tcPr>
          <w:p w:rsidR="000A1FB7" w:rsidRPr="00E83166" w:rsidRDefault="000A1FB7" w:rsidP="009658BB">
            <w:pPr>
              <w:tabs>
                <w:tab w:val="left" w:pos="288"/>
                <w:tab w:val="left" w:pos="576"/>
                <w:tab w:val="left" w:pos="864"/>
                <w:tab w:val="left" w:pos="1152"/>
              </w:tabs>
              <w:spacing w:before="40" w:after="80"/>
              <w:ind w:right="40"/>
              <w:rPr>
                <w:kern w:val="0"/>
              </w:rPr>
            </w:pPr>
          </w:p>
        </w:tc>
        <w:tc>
          <w:tcPr>
            <w:tcW w:w="3363" w:type="dxa"/>
            <w:tcBorders>
              <w:top w:val="single" w:sz="12" w:space="0" w:color="auto"/>
            </w:tcBorders>
            <w:shd w:val="clear" w:color="auto" w:fill="auto"/>
            <w:vAlign w:val="bottom"/>
          </w:tcPr>
          <w:p w:rsidR="000A1FB7" w:rsidRPr="00E83166" w:rsidRDefault="000A1FB7" w:rsidP="009658BB">
            <w:pPr>
              <w:tabs>
                <w:tab w:val="left" w:pos="288"/>
                <w:tab w:val="left" w:pos="576"/>
                <w:tab w:val="left" w:pos="864"/>
                <w:tab w:val="left" w:pos="1152"/>
              </w:tabs>
              <w:spacing w:before="40" w:after="80"/>
              <w:ind w:right="40"/>
              <w:rPr>
                <w:kern w:val="0"/>
              </w:rPr>
            </w:pPr>
          </w:p>
        </w:tc>
      </w:tr>
      <w:tr w:rsidR="000A1FB7" w:rsidRPr="00E83166" w:rsidTr="009658BB">
        <w:tblPrEx>
          <w:tblCellMar>
            <w:top w:w="0" w:type="dxa"/>
            <w:bottom w:w="0" w:type="dxa"/>
          </w:tblCellMar>
        </w:tblPrEx>
        <w:tc>
          <w:tcPr>
            <w:tcW w:w="229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 xml:space="preserve">Ciudad de Ahmadabad </w:t>
            </w:r>
          </w:p>
        </w:tc>
        <w:tc>
          <w:tcPr>
            <w:tcW w:w="75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2</w:t>
            </w:r>
          </w:p>
        </w:tc>
        <w:tc>
          <w:tcPr>
            <w:tcW w:w="216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5</w:t>
            </w:r>
          </w:p>
        </w:tc>
        <w:tc>
          <w:tcPr>
            <w:tcW w:w="336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El juicio ha sido suspendido por el Tribunal Supremo</w:t>
            </w:r>
          </w:p>
        </w:tc>
      </w:tr>
      <w:tr w:rsidR="000A1FB7" w:rsidRPr="00E83166" w:rsidTr="009658BB">
        <w:tblPrEx>
          <w:tblCellMar>
            <w:top w:w="0" w:type="dxa"/>
            <w:bottom w:w="0" w:type="dxa"/>
          </w:tblCellMar>
        </w:tblPrEx>
        <w:tc>
          <w:tcPr>
            <w:tcW w:w="229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Distrito de Kheda</w:t>
            </w:r>
          </w:p>
        </w:tc>
        <w:tc>
          <w:tcPr>
            <w:tcW w:w="75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4</w:t>
            </w:r>
          </w:p>
        </w:tc>
        <w:tc>
          <w:tcPr>
            <w:tcW w:w="216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17</w:t>
            </w:r>
          </w:p>
        </w:tc>
        <w:tc>
          <w:tcPr>
            <w:tcW w:w="336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12 condenados</w:t>
            </w:r>
          </w:p>
        </w:tc>
      </w:tr>
      <w:tr w:rsidR="000A1FB7" w:rsidRPr="00E83166" w:rsidTr="009658BB">
        <w:tblPrEx>
          <w:tblCellMar>
            <w:top w:w="0" w:type="dxa"/>
            <w:bottom w:w="0" w:type="dxa"/>
          </w:tblCellMar>
        </w:tblPrEx>
        <w:tc>
          <w:tcPr>
            <w:tcW w:w="229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Distrito de Anand</w:t>
            </w:r>
          </w:p>
        </w:tc>
        <w:tc>
          <w:tcPr>
            <w:tcW w:w="75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1</w:t>
            </w:r>
          </w:p>
        </w:tc>
        <w:tc>
          <w:tcPr>
            <w:tcW w:w="216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30</w:t>
            </w:r>
          </w:p>
        </w:tc>
        <w:tc>
          <w:tcPr>
            <w:tcW w:w="336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Pendiente de juicio</w:t>
            </w:r>
          </w:p>
        </w:tc>
      </w:tr>
      <w:tr w:rsidR="000A1FB7" w:rsidRPr="00E83166" w:rsidTr="009658BB">
        <w:tblPrEx>
          <w:tblCellMar>
            <w:top w:w="0" w:type="dxa"/>
            <w:bottom w:w="0" w:type="dxa"/>
          </w:tblCellMar>
        </w:tblPrEx>
        <w:tc>
          <w:tcPr>
            <w:tcW w:w="229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Distrito de Gandhinagar</w:t>
            </w:r>
          </w:p>
        </w:tc>
        <w:tc>
          <w:tcPr>
            <w:tcW w:w="75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1</w:t>
            </w:r>
          </w:p>
        </w:tc>
        <w:tc>
          <w:tcPr>
            <w:tcW w:w="216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1</w:t>
            </w:r>
          </w:p>
        </w:tc>
        <w:tc>
          <w:tcPr>
            <w:tcW w:w="336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Absolución</w:t>
            </w:r>
          </w:p>
        </w:tc>
      </w:tr>
      <w:tr w:rsidR="000A1FB7" w:rsidRPr="00E83166" w:rsidTr="009658BB">
        <w:tblPrEx>
          <w:tblCellMar>
            <w:top w:w="0" w:type="dxa"/>
            <w:bottom w:w="0" w:type="dxa"/>
          </w:tblCellMar>
        </w:tblPrEx>
        <w:tc>
          <w:tcPr>
            <w:tcW w:w="229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Distrito de Sabarkantha</w:t>
            </w:r>
          </w:p>
        </w:tc>
        <w:tc>
          <w:tcPr>
            <w:tcW w:w="75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2</w:t>
            </w:r>
          </w:p>
        </w:tc>
        <w:tc>
          <w:tcPr>
            <w:tcW w:w="216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17</w:t>
            </w:r>
          </w:p>
        </w:tc>
        <w:tc>
          <w:tcPr>
            <w:tcW w:w="336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Absolución</w:t>
            </w:r>
          </w:p>
        </w:tc>
      </w:tr>
      <w:tr w:rsidR="000A1FB7" w:rsidRPr="00E83166" w:rsidTr="009658BB">
        <w:tblPrEx>
          <w:tblCellMar>
            <w:top w:w="0" w:type="dxa"/>
            <w:bottom w:w="0" w:type="dxa"/>
          </w:tblCellMar>
        </w:tblPrEx>
        <w:tc>
          <w:tcPr>
            <w:tcW w:w="229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smartTag w:uri="urn:schemas-microsoft-com:office:smarttags" w:element="place">
              <w:smartTag w:uri="urn:schemas-microsoft-com:office:smarttags" w:element="City">
                <w:r w:rsidRPr="00E83166">
                  <w:rPr>
                    <w:kern w:val="0"/>
                  </w:rPr>
                  <w:t>Área rural de Rajkot</w:t>
                </w:r>
              </w:smartTag>
            </w:smartTag>
            <w:r w:rsidRPr="00E83166">
              <w:rPr>
                <w:kern w:val="0"/>
              </w:rPr>
              <w:t xml:space="preserve"> </w:t>
            </w:r>
          </w:p>
        </w:tc>
        <w:tc>
          <w:tcPr>
            <w:tcW w:w="75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1</w:t>
            </w:r>
          </w:p>
        </w:tc>
        <w:tc>
          <w:tcPr>
            <w:tcW w:w="216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0</w:t>
            </w:r>
          </w:p>
        </w:tc>
        <w:tc>
          <w:tcPr>
            <w:tcW w:w="336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No se ha localizado al sospechoso</w:t>
            </w:r>
          </w:p>
        </w:tc>
      </w:tr>
      <w:tr w:rsidR="000A1FB7" w:rsidRPr="00E83166" w:rsidTr="009658BB">
        <w:tblPrEx>
          <w:tblCellMar>
            <w:top w:w="0" w:type="dxa"/>
            <w:bottom w:w="0" w:type="dxa"/>
          </w:tblCellMar>
        </w:tblPrEx>
        <w:tc>
          <w:tcPr>
            <w:tcW w:w="229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Distrito de Godhra</w:t>
            </w:r>
          </w:p>
        </w:tc>
        <w:tc>
          <w:tcPr>
            <w:tcW w:w="75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1</w:t>
            </w:r>
          </w:p>
        </w:tc>
        <w:tc>
          <w:tcPr>
            <w:tcW w:w="216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70</w:t>
            </w:r>
          </w:p>
        </w:tc>
        <w:tc>
          <w:tcPr>
            <w:tcW w:w="336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Pendiente de juicio</w:t>
            </w:r>
          </w:p>
        </w:tc>
      </w:tr>
      <w:tr w:rsidR="000A1FB7" w:rsidRPr="00E83166" w:rsidTr="009658BB">
        <w:tblPrEx>
          <w:tblCellMar>
            <w:top w:w="0" w:type="dxa"/>
            <w:bottom w:w="0" w:type="dxa"/>
          </w:tblCellMar>
        </w:tblPrEx>
        <w:tc>
          <w:tcPr>
            <w:tcW w:w="229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Distrito de Dahod</w:t>
            </w:r>
          </w:p>
        </w:tc>
        <w:tc>
          <w:tcPr>
            <w:tcW w:w="75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1</w:t>
            </w:r>
          </w:p>
        </w:tc>
        <w:tc>
          <w:tcPr>
            <w:tcW w:w="2168"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Pr>
                <w:kern w:val="0"/>
              </w:rPr>
              <w:t>20, incluidos</w:t>
            </w:r>
            <w:r>
              <w:rPr>
                <w:kern w:val="0"/>
              </w:rPr>
              <w:br/>
              <w:t>2 superintendentes de policía adjuntos,</w:t>
            </w:r>
          </w:p>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 xml:space="preserve">2 subinspectores de policía, </w:t>
            </w:r>
          </w:p>
          <w:p w:rsidR="000A1FB7" w:rsidRPr="00E83166" w:rsidRDefault="000A1FB7" w:rsidP="009658BB">
            <w:pPr>
              <w:tabs>
                <w:tab w:val="left" w:pos="288"/>
                <w:tab w:val="left" w:pos="576"/>
                <w:tab w:val="left" w:pos="864"/>
                <w:tab w:val="left" w:pos="1152"/>
              </w:tabs>
              <w:spacing w:before="40" w:after="80"/>
              <w:ind w:right="40"/>
              <w:rPr>
                <w:kern w:val="0"/>
              </w:rPr>
            </w:pPr>
            <w:r>
              <w:rPr>
                <w:kern w:val="0"/>
              </w:rPr>
              <w:t>2 oficiales de policía y </w:t>
            </w:r>
            <w:r w:rsidRPr="00E83166">
              <w:rPr>
                <w:kern w:val="0"/>
              </w:rPr>
              <w:t>2</w:t>
            </w:r>
            <w:r>
              <w:rPr>
                <w:kern w:val="0"/>
              </w:rPr>
              <w:t> </w:t>
            </w:r>
            <w:r w:rsidRPr="00E83166">
              <w:rPr>
                <w:kern w:val="0"/>
              </w:rPr>
              <w:t xml:space="preserve">funcionarios médicos </w:t>
            </w:r>
          </w:p>
        </w:tc>
        <w:tc>
          <w:tcPr>
            <w:tcW w:w="3363" w:type="dxa"/>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 xml:space="preserve">La </w:t>
            </w:r>
            <w:r>
              <w:rPr>
                <w:kern w:val="0"/>
              </w:rPr>
              <w:t>Dirección</w:t>
            </w:r>
            <w:r w:rsidRPr="00E83166">
              <w:rPr>
                <w:kern w:val="0"/>
              </w:rPr>
              <w:t xml:space="preserve"> Central de Investigación se encargó del caso de Bilkis Bano. En cuanto a la orden del Tribunal Supremo de fecha 16 de agosto de 2004 que figura en la solicitud de transferencia con número de registro 192/04, </w:t>
            </w:r>
            <w:r>
              <w:rPr>
                <w:kern w:val="0"/>
              </w:rPr>
              <w:t>la causa</w:t>
            </w:r>
            <w:r w:rsidRPr="00E83166">
              <w:rPr>
                <w:kern w:val="0"/>
              </w:rPr>
              <w:t xml:space="preserve"> se transfirió a la sala del Magistrado U. D. Salvi, del Tribunal Superior de Justicia del distrito metropolitano de Bombay. El tribunal de primera instancia había condenado a 11 acusados, y 9 habían sido absueltos por la orden del tribunal de primera instanc</w:t>
            </w:r>
            <w:r>
              <w:rPr>
                <w:kern w:val="0"/>
              </w:rPr>
              <w:t>ia de fecha 21 de enero de 2008</w:t>
            </w:r>
          </w:p>
        </w:tc>
      </w:tr>
      <w:tr w:rsidR="000A1FB7" w:rsidRPr="00E83166" w:rsidTr="009658BB">
        <w:tblPrEx>
          <w:tblCellMar>
            <w:top w:w="0" w:type="dxa"/>
            <w:bottom w:w="0" w:type="dxa"/>
          </w:tblCellMar>
        </w:tblPrEx>
        <w:tc>
          <w:tcPr>
            <w:tcW w:w="2293" w:type="dxa"/>
            <w:tcBorders>
              <w:bottom w:val="single" w:sz="12" w:space="0" w:color="auto"/>
            </w:tcBorders>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Distrito de Valsad</w:t>
            </w:r>
          </w:p>
        </w:tc>
        <w:tc>
          <w:tcPr>
            <w:tcW w:w="758" w:type="dxa"/>
            <w:tcBorders>
              <w:bottom w:val="single" w:sz="12" w:space="0" w:color="auto"/>
            </w:tcBorders>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1</w:t>
            </w:r>
          </w:p>
        </w:tc>
        <w:tc>
          <w:tcPr>
            <w:tcW w:w="2168" w:type="dxa"/>
            <w:tcBorders>
              <w:bottom w:val="single" w:sz="12" w:space="0" w:color="auto"/>
            </w:tcBorders>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0</w:t>
            </w:r>
          </w:p>
        </w:tc>
        <w:tc>
          <w:tcPr>
            <w:tcW w:w="3363" w:type="dxa"/>
            <w:tcBorders>
              <w:bottom w:val="single" w:sz="12" w:space="0" w:color="auto"/>
            </w:tcBorders>
            <w:shd w:val="clear" w:color="auto" w:fill="auto"/>
          </w:tcPr>
          <w:p w:rsidR="000A1FB7" w:rsidRPr="00E83166" w:rsidRDefault="000A1FB7" w:rsidP="009658BB">
            <w:pPr>
              <w:tabs>
                <w:tab w:val="left" w:pos="288"/>
                <w:tab w:val="left" w:pos="576"/>
                <w:tab w:val="left" w:pos="864"/>
                <w:tab w:val="left" w:pos="1152"/>
              </w:tabs>
              <w:spacing w:before="40" w:after="80"/>
              <w:ind w:right="40"/>
              <w:rPr>
                <w:kern w:val="0"/>
              </w:rPr>
            </w:pPr>
            <w:r w:rsidRPr="00E83166">
              <w:rPr>
                <w:kern w:val="0"/>
              </w:rPr>
              <w:t>Se instruyó un sumario el 15 de mayo de 2002</w:t>
            </w:r>
          </w:p>
        </w:tc>
      </w:tr>
    </w:tbl>
    <w:p w:rsidR="000A1FB7" w:rsidRPr="00DF619B" w:rsidRDefault="000A1FB7" w:rsidP="000A1FB7">
      <w:pPr>
        <w:pStyle w:val="SingleTxt"/>
        <w:suppressAutoHyphens/>
        <w:spacing w:after="0" w:line="120" w:lineRule="exact"/>
        <w:rPr>
          <w:b/>
          <w:bCs/>
          <w:sz w:val="10"/>
        </w:rPr>
      </w:pPr>
    </w:p>
    <w:p w:rsidR="000A1FB7" w:rsidRPr="00DF619B" w:rsidRDefault="000A1FB7" w:rsidP="000A1FB7">
      <w:pPr>
        <w:pStyle w:val="SingleTxt"/>
        <w:suppressAutoHyphens/>
        <w:spacing w:after="0" w:line="120" w:lineRule="exact"/>
        <w:rPr>
          <w:b/>
          <w:bCs/>
          <w:sz w:val="10"/>
        </w:rPr>
      </w:pPr>
    </w:p>
    <w:p w:rsidR="000A1FB7" w:rsidRPr="00DF619B" w:rsidRDefault="000A1FB7" w:rsidP="000A1FB7">
      <w:pPr>
        <w:pStyle w:val="SingleTxt"/>
        <w:suppressAutoHyphens/>
        <w:rPr>
          <w:b/>
        </w:rPr>
      </w:pPr>
      <w:r>
        <w:tab/>
      </w:r>
      <w:r w:rsidRPr="00AE335D">
        <w:rPr>
          <w:b/>
        </w:rPr>
        <w:t>e)</w:t>
      </w:r>
      <w:r>
        <w:tab/>
      </w:r>
      <w:r w:rsidRPr="00DF619B">
        <w:rPr>
          <w:b/>
        </w:rPr>
        <w:t>Datos sobre las medidas específicamente relacionadas con la mujer que haya adoptado el Estado Parte para rehabilitar e indemnizar a las mujeres víctimas de este tipo de delitos, y el número de mujeres que se hayan beneficiado de estas medidas</w:t>
      </w:r>
    </w:p>
    <w:p w:rsidR="000A1FB7" w:rsidRPr="00E83166" w:rsidRDefault="000A1FB7" w:rsidP="000A1FB7">
      <w:pPr>
        <w:pStyle w:val="SingleTxt"/>
        <w:suppressAutoHyphens/>
      </w:pPr>
      <w:r>
        <w:tab/>
      </w:r>
      <w:r w:rsidRPr="00E83166">
        <w:t xml:space="preserve">Las medidas adoptadas para rehabilitar a las víctimas son las siguientes: </w:t>
      </w:r>
    </w:p>
    <w:p w:rsidR="000A1FB7" w:rsidRPr="00E83166" w:rsidRDefault="000A1FB7" w:rsidP="000A1FB7">
      <w:pPr>
        <w:pStyle w:val="SingleTxt"/>
        <w:tabs>
          <w:tab w:val="right" w:pos="1685"/>
        </w:tabs>
        <w:suppressAutoHyphens/>
        <w:ind w:left="1742" w:hanging="475"/>
      </w:pPr>
      <w:r>
        <w:tab/>
        <w:t>•</w:t>
      </w:r>
      <w:r>
        <w:tab/>
      </w:r>
      <w:r w:rsidRPr="00E83166">
        <w:t>El gobierno estatal, en colaboración con el programa de formación del Organismo Noruego de Desarrollo Internacional (NORAD), puso en marcha un programa de capacitación profesional dirigido a las mujeres víctimas de los disturbios que permanecen en los campamentos de socorro, y 5.731 mujeres recibieron formación en diversos oficios.</w:t>
      </w:r>
    </w:p>
    <w:p w:rsidR="000A1FB7" w:rsidRPr="00E83166" w:rsidRDefault="000A1FB7" w:rsidP="000A1FB7">
      <w:pPr>
        <w:pStyle w:val="SingleTxt"/>
        <w:tabs>
          <w:tab w:val="right" w:pos="1685"/>
        </w:tabs>
        <w:suppressAutoHyphens/>
        <w:ind w:left="1742" w:hanging="475"/>
      </w:pPr>
      <w:r>
        <w:tab/>
        <w:t>•</w:t>
      </w:r>
      <w:r>
        <w:tab/>
      </w:r>
      <w:r w:rsidRPr="00E83166">
        <w:t>Se realizó un estudio de los huérfanos y las viudas que habían sido víctimas de los disturbios comunitarios y se habían refugiado en los campamentos de socorro. Esta iniciativa se llevó a cabo con la colaboración de organizaciones no gubernamentales como Child Line Organisation, ASAG, SEWA, AKHAND JOYT FOUNDATION y la organización H.K. JANI, entre otras.</w:t>
      </w:r>
    </w:p>
    <w:p w:rsidR="000A1FB7" w:rsidRPr="00E83166" w:rsidRDefault="000A1FB7" w:rsidP="000A1FB7">
      <w:pPr>
        <w:pStyle w:val="SingleTxt"/>
        <w:tabs>
          <w:tab w:val="right" w:pos="1685"/>
        </w:tabs>
        <w:suppressAutoHyphens/>
        <w:ind w:left="1742" w:hanging="475"/>
      </w:pPr>
      <w:r>
        <w:tab/>
        <w:t>•</w:t>
      </w:r>
      <w:r>
        <w:tab/>
      </w:r>
      <w:r w:rsidRPr="00E83166">
        <w:t xml:space="preserve">480 mujeres afectadas por los disturbios </w:t>
      </w:r>
      <w:r>
        <w:t xml:space="preserve">que residían </w:t>
      </w:r>
      <w:r w:rsidRPr="00E83166">
        <w:t xml:space="preserve">en los campamentos de socorro recibieron 824.857 rupias en concepto de asistencia económica, en el marco del </w:t>
      </w:r>
      <w:r>
        <w:t>p</w:t>
      </w:r>
      <w:r w:rsidRPr="00E83166">
        <w:t>rograma de asistencia económica dirigido a las viudas.</w:t>
      </w:r>
    </w:p>
    <w:p w:rsidR="000A1FB7" w:rsidRPr="00E83166" w:rsidRDefault="000A1FB7" w:rsidP="000A1FB7">
      <w:pPr>
        <w:pStyle w:val="SingleTxt"/>
        <w:tabs>
          <w:tab w:val="right" w:pos="1685"/>
        </w:tabs>
        <w:suppressAutoHyphens/>
        <w:ind w:left="1742" w:hanging="475"/>
      </w:pPr>
      <w:r>
        <w:tab/>
        <w:t>•</w:t>
      </w:r>
      <w:r>
        <w:tab/>
      </w:r>
      <w:r w:rsidRPr="00E83166">
        <w:t xml:space="preserve">2 niños de los campamentos de socorro que habían sido víctimas de los disturbios se beneficiaron del programa de hogares de guarda. Se les </w:t>
      </w:r>
      <w:r>
        <w:t xml:space="preserve">concedió una asignación de </w:t>
      </w:r>
      <w:r w:rsidRPr="00E83166">
        <w:t xml:space="preserve">500 rupias mensuales en concepto de </w:t>
      </w:r>
      <w:r>
        <w:t xml:space="preserve">asistencia hasta que cumplan 18 </w:t>
      </w:r>
      <w:r w:rsidRPr="00E83166">
        <w:t>años.</w:t>
      </w:r>
    </w:p>
    <w:p w:rsidR="000A1FB7" w:rsidRPr="00E83166" w:rsidRDefault="000A1FB7" w:rsidP="000A1FB7">
      <w:pPr>
        <w:pStyle w:val="SingleTxt"/>
        <w:tabs>
          <w:tab w:val="right" w:pos="1685"/>
        </w:tabs>
        <w:suppressAutoHyphens/>
        <w:ind w:left="1742" w:hanging="475"/>
      </w:pPr>
      <w:r>
        <w:tab/>
        <w:t>•</w:t>
      </w:r>
      <w:r>
        <w:tab/>
      </w:r>
      <w:r w:rsidRPr="00E83166">
        <w:t>334 niños se beneficiaron del programa de asistencia organizado por la Fundación Nacional para la Armonía Comunitaria (Nueva Delhi). Se estaban llevando a cabo labores de seguimiento de este programa en coordinación con todos los recaudadores de distrito.</w:t>
      </w:r>
    </w:p>
    <w:p w:rsidR="000A1FB7" w:rsidRPr="00E83166" w:rsidRDefault="000A1FB7" w:rsidP="000A1FB7">
      <w:pPr>
        <w:pStyle w:val="SingleTxt"/>
        <w:tabs>
          <w:tab w:val="right" w:pos="1685"/>
        </w:tabs>
        <w:suppressAutoHyphens/>
        <w:ind w:left="1742" w:hanging="475"/>
      </w:pPr>
      <w:r>
        <w:tab/>
        <w:t>•</w:t>
      </w:r>
      <w:r>
        <w:tab/>
      </w:r>
      <w:r w:rsidRPr="00E83166">
        <w:t>3 personas refugiadas en los campamentos de socorro que padecen discapacidades como consecuencia de los disturbios recibieron la tarjeta para discapacitados, que les da derecho a viajar gratuitamente en los autobuses de la red de transporte estatal.</w:t>
      </w:r>
    </w:p>
    <w:p w:rsidR="000A1FB7" w:rsidRDefault="000A1FB7" w:rsidP="000A1FB7">
      <w:pPr>
        <w:pStyle w:val="SingleTxt"/>
        <w:tabs>
          <w:tab w:val="right" w:pos="1685"/>
        </w:tabs>
        <w:suppressAutoHyphens/>
        <w:ind w:left="1742" w:hanging="475"/>
      </w:pPr>
      <w:r>
        <w:tab/>
        <w:t>•</w:t>
      </w:r>
      <w:r>
        <w:tab/>
      </w:r>
      <w:r w:rsidRPr="00E83166">
        <w:t xml:space="preserve">Los disturbios comunitarios ocasionaron graves secuelas mentales y traumas psicológicos, especialmente entre las mujeres y los niños. </w:t>
      </w:r>
      <w:r>
        <w:t xml:space="preserve">Para crear la infraestructura necesaria para ofrecer orientación psicológica a las mujeres y a los niños en los campamentos de socorro del estado se adoptaron las siguientes medidas: </w:t>
      </w:r>
      <w:r w:rsidRPr="00E83166">
        <w:t xml:space="preserve">varias </w:t>
      </w:r>
      <w:r>
        <w:t xml:space="preserve">organizaciones no </w:t>
      </w:r>
      <w:r w:rsidRPr="008D27F8">
        <w:t>gubernamentales</w:t>
      </w:r>
      <w:r>
        <w:t xml:space="preserve"> </w:t>
      </w:r>
      <w:r w:rsidRPr="008D27F8">
        <w:t>facilitaron</w:t>
      </w:r>
      <w:r w:rsidRPr="00E83166">
        <w:t xml:space="preserve"> asesores para ofrecer servicios a las mujeres</w:t>
      </w:r>
      <w:r>
        <w:t xml:space="preserve">; en el Instituto del Trabajo Mahatma Gandhi </w:t>
      </w:r>
      <w:r w:rsidRPr="00E83166">
        <w:t>se organizó un campamento de formación de tres días de duración, del 30 de mayo al 1</w:t>
      </w:r>
      <w:r>
        <w:t>°</w:t>
      </w:r>
      <w:r w:rsidRPr="00E83166">
        <w:t xml:space="preserve"> de junio de 2002;</w:t>
      </w:r>
      <w:r>
        <w:t xml:space="preserve"> </w:t>
      </w:r>
      <w:r w:rsidRPr="00E83166">
        <w:t>33 consultores debidamente capacitados ofrecieron asesoramiento a personas traumatizadas por la experiencia entre mayo y agosto de 2002 (aproximadamente, cuatro meses). A continuación se indica el número de beneficiarios de esta iniciativa:</w:t>
      </w:r>
    </w:p>
    <w:p w:rsidR="000A1FB7" w:rsidRPr="005B6C3E" w:rsidRDefault="000A1FB7" w:rsidP="000A1FB7">
      <w:pPr>
        <w:pStyle w:val="SingleTxt"/>
        <w:tabs>
          <w:tab w:val="right" w:pos="1685"/>
        </w:tabs>
        <w:suppressAutoHyphens/>
        <w:spacing w:after="0" w:line="120" w:lineRule="exact"/>
        <w:ind w:left="1742" w:hanging="475"/>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47"/>
        <w:gridCol w:w="1178"/>
        <w:gridCol w:w="1350"/>
        <w:gridCol w:w="1245"/>
      </w:tblGrid>
      <w:tr w:rsidR="000A1FB7" w:rsidRPr="009F745D" w:rsidTr="009658BB">
        <w:tblPrEx>
          <w:tblCellMar>
            <w:top w:w="0" w:type="dxa"/>
            <w:bottom w:w="0" w:type="dxa"/>
          </w:tblCellMar>
        </w:tblPrEx>
        <w:trPr>
          <w:tblHeader/>
        </w:trPr>
        <w:tc>
          <w:tcPr>
            <w:tcW w:w="3547" w:type="dxa"/>
            <w:tcBorders>
              <w:top w:val="single" w:sz="4" w:space="0" w:color="auto"/>
            </w:tcBorders>
            <w:shd w:val="clear" w:color="auto" w:fill="auto"/>
            <w:vAlign w:val="bottom"/>
          </w:tcPr>
          <w:p w:rsidR="000A1FB7" w:rsidRPr="009F745D" w:rsidRDefault="000A1FB7" w:rsidP="00C27BBA">
            <w:pPr>
              <w:tabs>
                <w:tab w:val="left" w:pos="288"/>
                <w:tab w:val="left" w:pos="576"/>
                <w:tab w:val="left" w:pos="864"/>
                <w:tab w:val="left" w:pos="1152"/>
              </w:tabs>
              <w:spacing w:before="80" w:after="80" w:line="160" w:lineRule="exact"/>
              <w:ind w:right="43"/>
              <w:rPr>
                <w:i/>
                <w:kern w:val="0"/>
                <w:sz w:val="14"/>
              </w:rPr>
            </w:pPr>
          </w:p>
        </w:tc>
        <w:tc>
          <w:tcPr>
            <w:tcW w:w="3773" w:type="dxa"/>
            <w:gridSpan w:val="3"/>
            <w:tcBorders>
              <w:top w:val="single" w:sz="4" w:space="0" w:color="auto"/>
              <w:bottom w:val="single" w:sz="4" w:space="0" w:color="auto"/>
            </w:tcBorders>
            <w:shd w:val="clear" w:color="auto" w:fill="auto"/>
            <w:vAlign w:val="bottom"/>
          </w:tcPr>
          <w:p w:rsidR="000A1FB7" w:rsidRPr="009F745D" w:rsidRDefault="000A1FB7" w:rsidP="00C27BBA">
            <w:pPr>
              <w:tabs>
                <w:tab w:val="left" w:pos="288"/>
                <w:tab w:val="left" w:pos="576"/>
                <w:tab w:val="left" w:pos="864"/>
                <w:tab w:val="left" w:pos="1152"/>
              </w:tabs>
              <w:spacing w:before="80" w:after="80" w:line="160" w:lineRule="exact"/>
              <w:ind w:right="43"/>
              <w:jc w:val="center"/>
              <w:rPr>
                <w:i/>
                <w:kern w:val="0"/>
                <w:sz w:val="14"/>
              </w:rPr>
            </w:pPr>
            <w:r w:rsidRPr="009F745D">
              <w:rPr>
                <w:i/>
                <w:kern w:val="0"/>
                <w:sz w:val="14"/>
              </w:rPr>
              <w:t>Núm</w:t>
            </w:r>
            <w:r>
              <w:rPr>
                <w:i/>
                <w:kern w:val="0"/>
                <w:sz w:val="14"/>
              </w:rPr>
              <w:t>ero</w:t>
            </w:r>
            <w:r w:rsidRPr="009F745D">
              <w:rPr>
                <w:i/>
                <w:kern w:val="0"/>
                <w:sz w:val="14"/>
              </w:rPr>
              <w:t xml:space="preserve"> de beneficiarios</w:t>
            </w:r>
          </w:p>
        </w:tc>
      </w:tr>
      <w:tr w:rsidR="000A1FB7" w:rsidRPr="009F745D" w:rsidTr="009658BB">
        <w:tblPrEx>
          <w:tblCellMar>
            <w:top w:w="0" w:type="dxa"/>
            <w:bottom w:w="0" w:type="dxa"/>
          </w:tblCellMar>
        </w:tblPrEx>
        <w:trPr>
          <w:tblHeader/>
        </w:trPr>
        <w:tc>
          <w:tcPr>
            <w:tcW w:w="3547" w:type="dxa"/>
            <w:tcBorders>
              <w:bottom w:val="single" w:sz="12" w:space="0" w:color="auto"/>
            </w:tcBorders>
            <w:shd w:val="clear" w:color="auto" w:fill="auto"/>
            <w:vAlign w:val="bottom"/>
          </w:tcPr>
          <w:p w:rsidR="000A1FB7" w:rsidRPr="009F745D" w:rsidRDefault="000A1FB7" w:rsidP="00C27BBA">
            <w:pPr>
              <w:tabs>
                <w:tab w:val="left" w:pos="288"/>
                <w:tab w:val="left" w:pos="576"/>
                <w:tab w:val="left" w:pos="864"/>
                <w:tab w:val="left" w:pos="1152"/>
              </w:tabs>
              <w:spacing w:before="80" w:after="80" w:line="160" w:lineRule="exact"/>
              <w:ind w:right="43"/>
              <w:rPr>
                <w:i/>
                <w:kern w:val="0"/>
                <w:sz w:val="14"/>
              </w:rPr>
            </w:pPr>
            <w:r w:rsidRPr="009F745D">
              <w:rPr>
                <w:i/>
                <w:kern w:val="0"/>
                <w:sz w:val="14"/>
              </w:rPr>
              <w:t>Tipo de beneficiario</w:t>
            </w:r>
            <w:r>
              <w:rPr>
                <w:i/>
                <w:kern w:val="0"/>
                <w:sz w:val="14"/>
              </w:rPr>
              <w:t>s</w:t>
            </w:r>
          </w:p>
        </w:tc>
        <w:tc>
          <w:tcPr>
            <w:tcW w:w="1178" w:type="dxa"/>
            <w:tcBorders>
              <w:top w:val="single" w:sz="4" w:space="0" w:color="auto"/>
              <w:bottom w:val="single" w:sz="12" w:space="0" w:color="auto"/>
            </w:tcBorders>
            <w:shd w:val="clear" w:color="auto" w:fill="auto"/>
            <w:vAlign w:val="bottom"/>
          </w:tcPr>
          <w:p w:rsidR="000A1FB7" w:rsidRPr="009F745D" w:rsidRDefault="000A1FB7" w:rsidP="00C27BBA">
            <w:pPr>
              <w:tabs>
                <w:tab w:val="left" w:pos="288"/>
                <w:tab w:val="left" w:pos="576"/>
                <w:tab w:val="left" w:pos="864"/>
                <w:tab w:val="left" w:pos="1152"/>
              </w:tabs>
              <w:spacing w:before="80" w:after="80" w:line="160" w:lineRule="exact"/>
              <w:ind w:right="43"/>
              <w:jc w:val="right"/>
              <w:rPr>
                <w:i/>
                <w:kern w:val="0"/>
                <w:sz w:val="14"/>
              </w:rPr>
            </w:pPr>
            <w:r w:rsidRPr="009F745D">
              <w:rPr>
                <w:i/>
                <w:kern w:val="0"/>
                <w:sz w:val="14"/>
              </w:rPr>
              <w:t>Hombres</w:t>
            </w:r>
          </w:p>
        </w:tc>
        <w:tc>
          <w:tcPr>
            <w:tcW w:w="1350" w:type="dxa"/>
            <w:tcBorders>
              <w:top w:val="single" w:sz="4" w:space="0" w:color="auto"/>
              <w:bottom w:val="single" w:sz="12" w:space="0" w:color="auto"/>
            </w:tcBorders>
            <w:shd w:val="clear" w:color="auto" w:fill="auto"/>
            <w:vAlign w:val="bottom"/>
          </w:tcPr>
          <w:p w:rsidR="000A1FB7" w:rsidRPr="009F745D" w:rsidRDefault="000A1FB7" w:rsidP="00C27BBA">
            <w:pPr>
              <w:tabs>
                <w:tab w:val="left" w:pos="288"/>
                <w:tab w:val="left" w:pos="576"/>
                <w:tab w:val="left" w:pos="864"/>
                <w:tab w:val="left" w:pos="1152"/>
              </w:tabs>
              <w:spacing w:before="80" w:after="80" w:line="160" w:lineRule="exact"/>
              <w:ind w:right="43"/>
              <w:jc w:val="right"/>
              <w:rPr>
                <w:i/>
                <w:kern w:val="0"/>
                <w:sz w:val="14"/>
              </w:rPr>
            </w:pPr>
            <w:r w:rsidRPr="009F745D">
              <w:rPr>
                <w:i/>
                <w:kern w:val="0"/>
                <w:sz w:val="14"/>
              </w:rPr>
              <w:t>Mujeres</w:t>
            </w:r>
          </w:p>
        </w:tc>
        <w:tc>
          <w:tcPr>
            <w:tcW w:w="1245" w:type="dxa"/>
            <w:tcBorders>
              <w:top w:val="single" w:sz="4" w:space="0" w:color="auto"/>
              <w:bottom w:val="single" w:sz="12" w:space="0" w:color="auto"/>
            </w:tcBorders>
            <w:shd w:val="clear" w:color="auto" w:fill="auto"/>
            <w:vAlign w:val="bottom"/>
          </w:tcPr>
          <w:p w:rsidR="000A1FB7" w:rsidRPr="009F745D" w:rsidRDefault="000A1FB7" w:rsidP="00C27BBA">
            <w:pPr>
              <w:tabs>
                <w:tab w:val="left" w:pos="288"/>
                <w:tab w:val="left" w:pos="576"/>
                <w:tab w:val="left" w:pos="864"/>
                <w:tab w:val="left" w:pos="1152"/>
              </w:tabs>
              <w:spacing w:before="80" w:after="80" w:line="160" w:lineRule="exact"/>
              <w:ind w:right="43"/>
              <w:jc w:val="right"/>
              <w:rPr>
                <w:i/>
                <w:kern w:val="0"/>
                <w:sz w:val="14"/>
              </w:rPr>
            </w:pPr>
            <w:r w:rsidRPr="009F745D">
              <w:rPr>
                <w:i/>
                <w:kern w:val="0"/>
                <w:sz w:val="14"/>
              </w:rPr>
              <w:t>Total</w:t>
            </w:r>
          </w:p>
        </w:tc>
      </w:tr>
      <w:tr w:rsidR="000A1FB7" w:rsidRPr="009F745D" w:rsidTr="009658BB">
        <w:tblPrEx>
          <w:tblCellMar>
            <w:top w:w="0" w:type="dxa"/>
            <w:bottom w:w="0" w:type="dxa"/>
          </w:tblCellMar>
        </w:tblPrEx>
        <w:trPr>
          <w:trHeight w:hRule="exact" w:val="115"/>
          <w:tblHeader/>
        </w:trPr>
        <w:tc>
          <w:tcPr>
            <w:tcW w:w="3547" w:type="dxa"/>
            <w:tcBorders>
              <w:top w:val="single" w:sz="12" w:space="0" w:color="auto"/>
            </w:tcBorders>
            <w:shd w:val="clear" w:color="auto" w:fill="auto"/>
            <w:vAlign w:val="bottom"/>
          </w:tcPr>
          <w:p w:rsidR="000A1FB7" w:rsidRPr="009F745D" w:rsidRDefault="000A1FB7" w:rsidP="009658BB">
            <w:pPr>
              <w:tabs>
                <w:tab w:val="left" w:pos="288"/>
                <w:tab w:val="left" w:pos="576"/>
                <w:tab w:val="left" w:pos="864"/>
                <w:tab w:val="left" w:pos="1152"/>
              </w:tabs>
              <w:spacing w:before="40" w:after="40" w:line="210" w:lineRule="exact"/>
              <w:ind w:right="40"/>
              <w:rPr>
                <w:kern w:val="0"/>
                <w:sz w:val="17"/>
              </w:rPr>
            </w:pPr>
          </w:p>
        </w:tc>
        <w:tc>
          <w:tcPr>
            <w:tcW w:w="1178" w:type="dxa"/>
            <w:tcBorders>
              <w:top w:val="single" w:sz="12" w:space="0" w:color="auto"/>
            </w:tcBorders>
            <w:shd w:val="clear" w:color="auto" w:fill="auto"/>
            <w:vAlign w:val="bottom"/>
          </w:tcPr>
          <w:p w:rsidR="000A1FB7" w:rsidRPr="009F745D" w:rsidRDefault="000A1FB7" w:rsidP="009658BB">
            <w:pPr>
              <w:tabs>
                <w:tab w:val="left" w:pos="288"/>
                <w:tab w:val="left" w:pos="576"/>
                <w:tab w:val="left" w:pos="864"/>
                <w:tab w:val="left" w:pos="1152"/>
              </w:tabs>
              <w:spacing w:before="40" w:after="40" w:line="210" w:lineRule="exact"/>
              <w:ind w:right="40"/>
              <w:rPr>
                <w:kern w:val="0"/>
                <w:sz w:val="17"/>
              </w:rPr>
            </w:pPr>
          </w:p>
        </w:tc>
        <w:tc>
          <w:tcPr>
            <w:tcW w:w="1350" w:type="dxa"/>
            <w:tcBorders>
              <w:top w:val="single" w:sz="12" w:space="0" w:color="auto"/>
            </w:tcBorders>
            <w:shd w:val="clear" w:color="auto" w:fill="auto"/>
            <w:vAlign w:val="bottom"/>
          </w:tcPr>
          <w:p w:rsidR="000A1FB7" w:rsidRPr="009F745D" w:rsidRDefault="000A1FB7" w:rsidP="009658BB">
            <w:pPr>
              <w:tabs>
                <w:tab w:val="left" w:pos="288"/>
                <w:tab w:val="left" w:pos="576"/>
                <w:tab w:val="left" w:pos="864"/>
                <w:tab w:val="left" w:pos="1152"/>
              </w:tabs>
              <w:spacing w:before="40" w:after="40" w:line="210" w:lineRule="exact"/>
              <w:ind w:right="40"/>
              <w:rPr>
                <w:kern w:val="0"/>
                <w:sz w:val="17"/>
              </w:rPr>
            </w:pPr>
          </w:p>
        </w:tc>
        <w:tc>
          <w:tcPr>
            <w:tcW w:w="1245" w:type="dxa"/>
            <w:tcBorders>
              <w:top w:val="single" w:sz="12" w:space="0" w:color="auto"/>
            </w:tcBorders>
            <w:shd w:val="clear" w:color="auto" w:fill="auto"/>
            <w:vAlign w:val="bottom"/>
          </w:tcPr>
          <w:p w:rsidR="000A1FB7" w:rsidRPr="009F745D" w:rsidRDefault="000A1FB7" w:rsidP="009658BB">
            <w:pPr>
              <w:tabs>
                <w:tab w:val="left" w:pos="288"/>
                <w:tab w:val="left" w:pos="576"/>
                <w:tab w:val="left" w:pos="864"/>
                <w:tab w:val="left" w:pos="1152"/>
              </w:tabs>
              <w:spacing w:before="40" w:after="40" w:line="210" w:lineRule="exact"/>
              <w:ind w:right="40"/>
              <w:rPr>
                <w:kern w:val="0"/>
                <w:sz w:val="17"/>
              </w:rPr>
            </w:pPr>
          </w:p>
        </w:tc>
      </w:tr>
      <w:tr w:rsidR="000A1FB7" w:rsidRPr="009F745D" w:rsidTr="009658BB">
        <w:tblPrEx>
          <w:tblCellMar>
            <w:top w:w="0" w:type="dxa"/>
            <w:bottom w:w="0" w:type="dxa"/>
          </w:tblCellMar>
        </w:tblPrEx>
        <w:trPr>
          <w:tblHeader/>
        </w:trPr>
        <w:tc>
          <w:tcPr>
            <w:tcW w:w="3547"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rPr>
                <w:kern w:val="0"/>
                <w:sz w:val="17"/>
              </w:rPr>
            </w:pPr>
            <w:r w:rsidRPr="009F745D">
              <w:rPr>
                <w:kern w:val="0"/>
                <w:sz w:val="17"/>
              </w:rPr>
              <w:t>1.</w:t>
            </w:r>
            <w:r w:rsidRPr="009F745D">
              <w:rPr>
                <w:kern w:val="0"/>
                <w:sz w:val="17"/>
              </w:rPr>
              <w:tab/>
              <w:t>Niños</w:t>
            </w:r>
          </w:p>
        </w:tc>
        <w:tc>
          <w:tcPr>
            <w:tcW w:w="1178"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jc w:val="right"/>
              <w:rPr>
                <w:kern w:val="0"/>
                <w:sz w:val="17"/>
              </w:rPr>
            </w:pPr>
            <w:r w:rsidRPr="009F745D">
              <w:rPr>
                <w:kern w:val="0"/>
                <w:sz w:val="17"/>
              </w:rPr>
              <w:t>1</w:t>
            </w:r>
            <w:r>
              <w:rPr>
                <w:kern w:val="0"/>
                <w:sz w:val="17"/>
              </w:rPr>
              <w:t xml:space="preserve"> 522</w:t>
            </w:r>
          </w:p>
        </w:tc>
        <w:tc>
          <w:tcPr>
            <w:tcW w:w="1350"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jc w:val="right"/>
              <w:rPr>
                <w:kern w:val="0"/>
                <w:sz w:val="17"/>
              </w:rPr>
            </w:pPr>
            <w:r>
              <w:rPr>
                <w:kern w:val="0"/>
                <w:sz w:val="17"/>
              </w:rPr>
              <w:t>2 302</w:t>
            </w:r>
          </w:p>
        </w:tc>
        <w:tc>
          <w:tcPr>
            <w:tcW w:w="1245"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jc w:val="right"/>
              <w:rPr>
                <w:kern w:val="0"/>
                <w:sz w:val="17"/>
              </w:rPr>
            </w:pPr>
            <w:r>
              <w:rPr>
                <w:kern w:val="0"/>
                <w:sz w:val="17"/>
              </w:rPr>
              <w:t>3 824</w:t>
            </w:r>
          </w:p>
        </w:tc>
      </w:tr>
      <w:tr w:rsidR="000A1FB7" w:rsidRPr="009F745D" w:rsidTr="009658BB">
        <w:tblPrEx>
          <w:tblCellMar>
            <w:top w:w="0" w:type="dxa"/>
            <w:bottom w:w="0" w:type="dxa"/>
          </w:tblCellMar>
        </w:tblPrEx>
        <w:trPr>
          <w:tblHeader/>
        </w:trPr>
        <w:tc>
          <w:tcPr>
            <w:tcW w:w="3547"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rPr>
                <w:kern w:val="0"/>
                <w:sz w:val="17"/>
              </w:rPr>
            </w:pPr>
            <w:r w:rsidRPr="009F745D">
              <w:rPr>
                <w:kern w:val="0"/>
                <w:sz w:val="17"/>
              </w:rPr>
              <w:t>2.</w:t>
            </w:r>
            <w:r w:rsidRPr="009F745D">
              <w:rPr>
                <w:kern w:val="0"/>
                <w:sz w:val="17"/>
              </w:rPr>
              <w:tab/>
              <w:t>Adolescentes</w:t>
            </w:r>
          </w:p>
        </w:tc>
        <w:tc>
          <w:tcPr>
            <w:tcW w:w="1178"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jc w:val="right"/>
              <w:rPr>
                <w:kern w:val="0"/>
                <w:sz w:val="17"/>
              </w:rPr>
            </w:pPr>
            <w:r>
              <w:rPr>
                <w:kern w:val="0"/>
                <w:sz w:val="17"/>
              </w:rPr>
              <w:t>1 065</w:t>
            </w:r>
          </w:p>
        </w:tc>
        <w:tc>
          <w:tcPr>
            <w:tcW w:w="1350"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jc w:val="right"/>
              <w:rPr>
                <w:kern w:val="0"/>
                <w:sz w:val="17"/>
              </w:rPr>
            </w:pPr>
            <w:r>
              <w:rPr>
                <w:kern w:val="0"/>
                <w:sz w:val="17"/>
              </w:rPr>
              <w:t>2 042</w:t>
            </w:r>
          </w:p>
        </w:tc>
        <w:tc>
          <w:tcPr>
            <w:tcW w:w="1245"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jc w:val="right"/>
              <w:rPr>
                <w:kern w:val="0"/>
                <w:sz w:val="17"/>
              </w:rPr>
            </w:pPr>
            <w:r>
              <w:rPr>
                <w:kern w:val="0"/>
                <w:sz w:val="17"/>
              </w:rPr>
              <w:t>3 107</w:t>
            </w:r>
          </w:p>
        </w:tc>
      </w:tr>
      <w:tr w:rsidR="000A1FB7" w:rsidRPr="009F745D" w:rsidTr="009658BB">
        <w:tblPrEx>
          <w:tblCellMar>
            <w:top w:w="0" w:type="dxa"/>
            <w:bottom w:w="0" w:type="dxa"/>
          </w:tblCellMar>
        </w:tblPrEx>
        <w:trPr>
          <w:tblHeader/>
        </w:trPr>
        <w:tc>
          <w:tcPr>
            <w:tcW w:w="3547"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rPr>
                <w:kern w:val="0"/>
                <w:sz w:val="17"/>
              </w:rPr>
            </w:pPr>
            <w:r w:rsidRPr="009F745D">
              <w:rPr>
                <w:kern w:val="0"/>
                <w:sz w:val="17"/>
              </w:rPr>
              <w:t>3.</w:t>
            </w:r>
            <w:r w:rsidRPr="009F745D">
              <w:rPr>
                <w:kern w:val="0"/>
                <w:sz w:val="17"/>
              </w:rPr>
              <w:tab/>
              <w:t>Adultos</w:t>
            </w:r>
          </w:p>
        </w:tc>
        <w:tc>
          <w:tcPr>
            <w:tcW w:w="1178"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jc w:val="right"/>
              <w:rPr>
                <w:kern w:val="0"/>
                <w:sz w:val="17"/>
              </w:rPr>
            </w:pPr>
            <w:r>
              <w:rPr>
                <w:kern w:val="0"/>
                <w:sz w:val="17"/>
              </w:rPr>
              <w:t>831</w:t>
            </w:r>
          </w:p>
        </w:tc>
        <w:tc>
          <w:tcPr>
            <w:tcW w:w="1350"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jc w:val="right"/>
              <w:rPr>
                <w:kern w:val="0"/>
                <w:sz w:val="17"/>
              </w:rPr>
            </w:pPr>
            <w:r>
              <w:rPr>
                <w:kern w:val="0"/>
                <w:sz w:val="17"/>
              </w:rPr>
              <w:t>3 474</w:t>
            </w:r>
          </w:p>
        </w:tc>
        <w:tc>
          <w:tcPr>
            <w:tcW w:w="1245" w:type="dxa"/>
            <w:shd w:val="clear" w:color="auto" w:fill="auto"/>
            <w:vAlign w:val="bottom"/>
          </w:tcPr>
          <w:p w:rsidR="000A1FB7" w:rsidRPr="009F745D" w:rsidRDefault="000A1FB7" w:rsidP="00C27BBA">
            <w:pPr>
              <w:tabs>
                <w:tab w:val="left" w:pos="288"/>
                <w:tab w:val="left" w:pos="576"/>
                <w:tab w:val="left" w:pos="864"/>
                <w:tab w:val="left" w:pos="1152"/>
              </w:tabs>
              <w:spacing w:before="40" w:after="40" w:line="210" w:lineRule="exact"/>
              <w:ind w:right="43"/>
              <w:jc w:val="right"/>
              <w:rPr>
                <w:kern w:val="0"/>
                <w:sz w:val="17"/>
              </w:rPr>
            </w:pPr>
            <w:r>
              <w:rPr>
                <w:kern w:val="0"/>
                <w:sz w:val="17"/>
              </w:rPr>
              <w:t>4 305</w:t>
            </w:r>
          </w:p>
        </w:tc>
      </w:tr>
      <w:tr w:rsidR="000A1FB7" w:rsidRPr="009F745D" w:rsidTr="009658BB">
        <w:tblPrEx>
          <w:tblCellMar>
            <w:top w:w="0" w:type="dxa"/>
            <w:bottom w:w="0" w:type="dxa"/>
          </w:tblCellMar>
        </w:tblPrEx>
        <w:trPr>
          <w:tblHeader/>
        </w:trPr>
        <w:tc>
          <w:tcPr>
            <w:tcW w:w="3547" w:type="dxa"/>
            <w:tcBorders>
              <w:bottom w:val="single" w:sz="12" w:space="0" w:color="auto"/>
            </w:tcBorders>
            <w:shd w:val="clear" w:color="auto" w:fill="auto"/>
            <w:vAlign w:val="bottom"/>
          </w:tcPr>
          <w:p w:rsidR="000A1FB7" w:rsidRPr="009F745D" w:rsidRDefault="000A1FB7" w:rsidP="00C27BBA">
            <w:pPr>
              <w:tabs>
                <w:tab w:val="left" w:pos="288"/>
                <w:tab w:val="left" w:pos="576"/>
                <w:tab w:val="left" w:pos="864"/>
                <w:tab w:val="left" w:pos="1152"/>
              </w:tabs>
              <w:spacing w:before="40" w:after="80" w:line="210" w:lineRule="exact"/>
              <w:ind w:right="43"/>
              <w:rPr>
                <w:kern w:val="0"/>
                <w:sz w:val="17"/>
              </w:rPr>
            </w:pPr>
            <w:r w:rsidRPr="009F745D">
              <w:rPr>
                <w:kern w:val="0"/>
                <w:sz w:val="17"/>
              </w:rPr>
              <w:t>4.</w:t>
            </w:r>
            <w:r w:rsidRPr="009F745D">
              <w:rPr>
                <w:kern w:val="0"/>
                <w:sz w:val="17"/>
              </w:rPr>
              <w:tab/>
              <w:t>Personas de edad</w:t>
            </w:r>
          </w:p>
        </w:tc>
        <w:tc>
          <w:tcPr>
            <w:tcW w:w="1178" w:type="dxa"/>
            <w:tcBorders>
              <w:bottom w:val="single" w:sz="12" w:space="0" w:color="auto"/>
            </w:tcBorders>
            <w:shd w:val="clear" w:color="auto" w:fill="auto"/>
            <w:vAlign w:val="bottom"/>
          </w:tcPr>
          <w:p w:rsidR="000A1FB7" w:rsidRPr="009F745D" w:rsidRDefault="000A1FB7" w:rsidP="00C27BBA">
            <w:pPr>
              <w:tabs>
                <w:tab w:val="left" w:pos="288"/>
                <w:tab w:val="left" w:pos="576"/>
                <w:tab w:val="left" w:pos="864"/>
                <w:tab w:val="left" w:pos="1152"/>
              </w:tabs>
              <w:spacing w:before="40" w:after="80" w:line="210" w:lineRule="exact"/>
              <w:ind w:right="43"/>
              <w:jc w:val="right"/>
              <w:rPr>
                <w:kern w:val="0"/>
                <w:sz w:val="17"/>
              </w:rPr>
            </w:pPr>
            <w:r>
              <w:rPr>
                <w:kern w:val="0"/>
                <w:sz w:val="17"/>
              </w:rPr>
              <w:t>4 306</w:t>
            </w:r>
          </w:p>
        </w:tc>
        <w:tc>
          <w:tcPr>
            <w:tcW w:w="1350" w:type="dxa"/>
            <w:tcBorders>
              <w:bottom w:val="single" w:sz="12" w:space="0" w:color="auto"/>
            </w:tcBorders>
            <w:shd w:val="clear" w:color="auto" w:fill="auto"/>
            <w:vAlign w:val="bottom"/>
          </w:tcPr>
          <w:p w:rsidR="000A1FB7" w:rsidRPr="009F745D" w:rsidRDefault="000A1FB7" w:rsidP="00C27BBA">
            <w:pPr>
              <w:tabs>
                <w:tab w:val="left" w:pos="288"/>
                <w:tab w:val="left" w:pos="576"/>
                <w:tab w:val="left" w:pos="864"/>
                <w:tab w:val="left" w:pos="1152"/>
              </w:tabs>
              <w:spacing w:before="40" w:after="80" w:line="210" w:lineRule="exact"/>
              <w:ind w:right="43"/>
              <w:jc w:val="right"/>
              <w:rPr>
                <w:kern w:val="0"/>
                <w:sz w:val="17"/>
              </w:rPr>
            </w:pPr>
            <w:r>
              <w:rPr>
                <w:kern w:val="0"/>
                <w:sz w:val="17"/>
              </w:rPr>
              <w:t>11 565</w:t>
            </w:r>
          </w:p>
        </w:tc>
        <w:tc>
          <w:tcPr>
            <w:tcW w:w="1245" w:type="dxa"/>
            <w:tcBorders>
              <w:bottom w:val="single" w:sz="12" w:space="0" w:color="auto"/>
            </w:tcBorders>
            <w:shd w:val="clear" w:color="auto" w:fill="auto"/>
            <w:vAlign w:val="bottom"/>
          </w:tcPr>
          <w:p w:rsidR="000A1FB7" w:rsidRPr="009F745D" w:rsidRDefault="000A1FB7" w:rsidP="00C27BBA">
            <w:pPr>
              <w:tabs>
                <w:tab w:val="left" w:pos="288"/>
                <w:tab w:val="left" w:pos="576"/>
                <w:tab w:val="left" w:pos="864"/>
                <w:tab w:val="left" w:pos="1152"/>
              </w:tabs>
              <w:spacing w:before="40" w:after="80" w:line="210" w:lineRule="exact"/>
              <w:ind w:right="43"/>
              <w:jc w:val="right"/>
              <w:rPr>
                <w:kern w:val="0"/>
                <w:sz w:val="17"/>
              </w:rPr>
            </w:pPr>
            <w:r>
              <w:rPr>
                <w:kern w:val="0"/>
                <w:sz w:val="17"/>
              </w:rPr>
              <w:t>15 871</w:t>
            </w:r>
          </w:p>
        </w:tc>
      </w:tr>
    </w:tbl>
    <w:p w:rsidR="000A1FB7" w:rsidRPr="00AE335D" w:rsidRDefault="000A1FB7" w:rsidP="000A1FB7">
      <w:pPr>
        <w:pStyle w:val="SingleTxt"/>
        <w:tabs>
          <w:tab w:val="right" w:pos="1685"/>
        </w:tabs>
        <w:suppressAutoHyphens/>
        <w:spacing w:after="0" w:line="120" w:lineRule="exact"/>
        <w:ind w:left="1742" w:hanging="475"/>
        <w:rPr>
          <w:sz w:val="10"/>
        </w:rPr>
      </w:pPr>
    </w:p>
    <w:p w:rsidR="000A1FB7" w:rsidRPr="00654DDA" w:rsidRDefault="000A1FB7" w:rsidP="000A1FB7">
      <w:pPr>
        <w:pStyle w:val="SingleTxt"/>
        <w:tabs>
          <w:tab w:val="right" w:pos="1685"/>
        </w:tabs>
        <w:suppressAutoHyphens/>
        <w:spacing w:after="0" w:line="120" w:lineRule="exact"/>
        <w:ind w:left="1742" w:hanging="475"/>
        <w:rPr>
          <w:sz w:val="10"/>
        </w:rPr>
      </w:pPr>
    </w:p>
    <w:p w:rsidR="000A1FB7" w:rsidRPr="008D27F8" w:rsidRDefault="000A1FB7" w:rsidP="000A1FB7">
      <w:pPr>
        <w:pStyle w:val="SingleTxt"/>
        <w:suppressAutoHyphens/>
        <w:rPr>
          <w:b/>
        </w:rPr>
      </w:pPr>
      <w:r>
        <w:tab/>
      </w:r>
      <w:r w:rsidRPr="00AE335D">
        <w:rPr>
          <w:b/>
        </w:rPr>
        <w:t>f)</w:t>
      </w:r>
      <w:r>
        <w:tab/>
      </w:r>
      <w:r w:rsidRPr="008D27F8">
        <w:rPr>
          <w:b/>
        </w:rPr>
        <w:t>Datos sobre las indemnizaciones concedidas a las mujeres que hayan sido víctimas de delitos, en particular de delitos de violencia contra la mujer</w:t>
      </w:r>
    </w:p>
    <w:p w:rsidR="000A1FB7" w:rsidRPr="00E83166" w:rsidRDefault="000A1FB7" w:rsidP="000A1FB7">
      <w:pPr>
        <w:pStyle w:val="SingleTxt"/>
        <w:suppressAutoHyphens/>
        <w:rPr>
          <w:b/>
          <w:bCs/>
        </w:rPr>
      </w:pPr>
      <w:r>
        <w:tab/>
      </w:r>
      <w:r w:rsidRPr="00E83166">
        <w:t>El Gobierno estatal, a través de la Gujarat Women Economic Development Cooperation, propuso un programa de formación, organizado por el NORAD, dirigido a las víctimas de los disturbios alojadas en los campamentos de socorro.</w:t>
      </w:r>
      <w:r>
        <w:t xml:space="preserve"> </w:t>
      </w:r>
      <w:r w:rsidRPr="00E83166">
        <w:t>El Gobierno de la India ha concedido 23,6 millones de rupias para organizar actividades de capacitación orientadas a rehabilitar a las mujeres afectadas por los disturbios.</w:t>
      </w:r>
      <w:r>
        <w:t xml:space="preserve"> </w:t>
      </w:r>
      <w:r w:rsidRPr="00E83166">
        <w:t>El Gobierno del estado ha invertido 23 millones de rupias en cursos de formación profesional en todos los distritos.</w:t>
      </w:r>
    </w:p>
    <w:p w:rsidR="000A1FB7" w:rsidRPr="00E83166" w:rsidRDefault="000A1FB7" w:rsidP="000A1FB7">
      <w:pPr>
        <w:pStyle w:val="SingleTxt"/>
        <w:suppressAutoHyphens/>
        <w:rPr>
          <w:b/>
          <w:bCs/>
        </w:rPr>
      </w:pPr>
      <w:r>
        <w:rPr>
          <w:b/>
          <w:bCs/>
        </w:rPr>
        <w:tab/>
      </w:r>
      <w:r w:rsidRPr="00AE335D">
        <w:rPr>
          <w:b/>
          <w:bCs/>
        </w:rPr>
        <w:t>g)</w:t>
      </w:r>
      <w:r>
        <w:rPr>
          <w:b/>
          <w:bCs/>
        </w:rPr>
        <w:tab/>
      </w:r>
      <w:r w:rsidRPr="00E83166">
        <w:rPr>
          <w:b/>
          <w:bCs/>
        </w:rPr>
        <w:t xml:space="preserve">Datos desglosados por sexo </w:t>
      </w:r>
      <w:r>
        <w:rPr>
          <w:b/>
          <w:bCs/>
        </w:rPr>
        <w:t>sobre las aproximadamente 5.000 </w:t>
      </w:r>
      <w:r w:rsidRPr="00E83166">
        <w:rPr>
          <w:b/>
          <w:bCs/>
        </w:rPr>
        <w:t xml:space="preserve">familias musulmanas desplazadas por los actos de violencia y sobre las medidas adoptadas por el Gobierno para su reasentamiento y rehabilitación </w:t>
      </w:r>
    </w:p>
    <w:p w:rsidR="000A1FB7" w:rsidRPr="00E83166" w:rsidRDefault="000A1FB7" w:rsidP="000A1FB7">
      <w:pPr>
        <w:pStyle w:val="SingleTxt"/>
        <w:suppressAutoHyphens/>
      </w:pPr>
      <w:r>
        <w:tab/>
      </w:r>
      <w:r w:rsidRPr="00E83166">
        <w:t>Existían 86 colonias en distintas partes</w:t>
      </w:r>
      <w:r>
        <w:t xml:space="preserve"> de Gujarat que acogían a 3.644 </w:t>
      </w:r>
      <w:r w:rsidRPr="00E83166">
        <w:t>familias víctimas de los disturbios, con una pobla</w:t>
      </w:r>
      <w:r>
        <w:t xml:space="preserve">ción total de 19.107 personas. </w:t>
      </w:r>
      <w:r w:rsidRPr="00E83166">
        <w:t>En muchas de las colonias se ofrecían distintos regímenes de alojamiento y servicios cívicos de carácter general. No obstante, una parte considerable de las labores de rehabilitación se llevó a cabo mediante la concesión de derechos a título individual para utilizar los siguientes servicios en esas colonias:</w:t>
      </w:r>
    </w:p>
    <w:p w:rsidR="000A1FB7" w:rsidRPr="00E83166" w:rsidRDefault="000A1FB7" w:rsidP="000A1FB7">
      <w:pPr>
        <w:pStyle w:val="SingleTxt"/>
        <w:suppressAutoHyphens/>
      </w:pPr>
      <w:r>
        <w:tab/>
        <w:t>1.</w:t>
      </w:r>
      <w:r>
        <w:tab/>
      </w:r>
      <w:r w:rsidRPr="00E83166">
        <w:t>Escuelas primarias con comedor para el almuerzo e</w:t>
      </w:r>
      <w:r>
        <w:t>n la totalidad de las 86 </w:t>
      </w:r>
      <w:r w:rsidRPr="00E83166">
        <w:t xml:space="preserve">colonias, en un radio de 2 </w:t>
      </w:r>
      <w:r w:rsidR="009658BB">
        <w:t>kilómetros</w:t>
      </w:r>
      <w:r w:rsidRPr="00E83166">
        <w:t xml:space="preserve"> de distancia.</w:t>
      </w:r>
    </w:p>
    <w:p w:rsidR="000A1FB7" w:rsidRPr="00E83166" w:rsidRDefault="000A1FB7" w:rsidP="000A1FB7">
      <w:pPr>
        <w:pStyle w:val="SingleTxt"/>
        <w:suppressAutoHyphens/>
      </w:pPr>
      <w:r>
        <w:tab/>
        <w:t>2.</w:t>
      </w:r>
      <w:r>
        <w:tab/>
      </w:r>
      <w:r w:rsidRPr="00E83166">
        <w:t>Centros completamente habilitados de servicios de desarrollo infantil integrado, que prestan servicios de salud, nutric</w:t>
      </w:r>
      <w:r>
        <w:t>ión y desarrollo infantil en 85 </w:t>
      </w:r>
      <w:r w:rsidRPr="00E83166">
        <w:t>colonias.</w:t>
      </w:r>
    </w:p>
    <w:p w:rsidR="000A1FB7" w:rsidRPr="00E83166" w:rsidRDefault="000A1FB7" w:rsidP="000A1FB7">
      <w:pPr>
        <w:pStyle w:val="SingleTxt"/>
        <w:suppressAutoHyphens/>
      </w:pPr>
      <w:r>
        <w:tab/>
        <w:t>3.</w:t>
      </w:r>
      <w:r>
        <w:tab/>
      </w:r>
      <w:r w:rsidRPr="00E83166">
        <w:t>Economatos en la totalidad de las 86 colonias, en un rad</w:t>
      </w:r>
      <w:r w:rsidR="009658BB">
        <w:t>io de 3 kilómetros</w:t>
      </w:r>
      <w:r w:rsidRPr="00E83166">
        <w:t xml:space="preserve"> de distancia, que suministran cereales subvencionados.</w:t>
      </w:r>
    </w:p>
    <w:p w:rsidR="000A1FB7" w:rsidRPr="00E83166" w:rsidRDefault="000A1FB7" w:rsidP="000A1FB7">
      <w:pPr>
        <w:pStyle w:val="SingleTxt"/>
        <w:suppressAutoHyphens/>
      </w:pPr>
      <w:r>
        <w:tab/>
        <w:t>4.</w:t>
      </w:r>
      <w:r>
        <w:tab/>
      </w:r>
      <w:r w:rsidRPr="00E83166">
        <w:t>Se distribuyeron cartillas de racionamiento a la mayoría de las familias, y 3.322 familias recibieron la tarjeta Antodaya que les permite obtener cereales con un gran descuento.</w:t>
      </w:r>
    </w:p>
    <w:p w:rsidR="000A1FB7" w:rsidRPr="00E83166" w:rsidRDefault="000A1FB7" w:rsidP="000A1FB7">
      <w:pPr>
        <w:pStyle w:val="SingleTxt"/>
        <w:suppressAutoHyphens/>
        <w:rPr>
          <w:b/>
          <w:bCs/>
        </w:rPr>
      </w:pPr>
      <w:r w:rsidRPr="00B121AC">
        <w:tab/>
      </w:r>
      <w:r w:rsidRPr="00AE335D">
        <w:rPr>
          <w:b/>
          <w:bCs/>
        </w:rPr>
        <w:t>h)</w:t>
      </w:r>
      <w:r w:rsidRPr="00B121AC">
        <w:rPr>
          <w:bCs/>
        </w:rPr>
        <w:tab/>
      </w:r>
      <w:r w:rsidRPr="00E83166">
        <w:rPr>
          <w:b/>
          <w:bCs/>
        </w:rPr>
        <w:t>Datos sobre las medidas adoptadas para facilitar la rehabilitación económica de las comunidades afectadas y la reconstrucción de las infraestructuras básicas que quedaron destruidas tras los disturbios</w:t>
      </w:r>
    </w:p>
    <w:p w:rsidR="000A1FB7" w:rsidRPr="00E83166" w:rsidRDefault="000A1FB7" w:rsidP="000A1FB7">
      <w:pPr>
        <w:pStyle w:val="SingleTxt"/>
        <w:suppressAutoHyphens/>
      </w:pPr>
      <w:r>
        <w:tab/>
      </w:r>
      <w:r w:rsidRPr="00E83166">
        <w:t xml:space="preserve">Se adoptaron las siguientes medidas encaminadas a la rehabilitación económica: </w:t>
      </w:r>
    </w:p>
    <w:p w:rsidR="000A1FB7" w:rsidRPr="00E83166" w:rsidRDefault="000A1FB7" w:rsidP="000A1FB7">
      <w:pPr>
        <w:pStyle w:val="SingleTxt"/>
        <w:suppressAutoHyphens/>
      </w:pPr>
      <w:r>
        <w:tab/>
        <w:t>1.</w:t>
      </w:r>
      <w:r>
        <w:tab/>
      </w:r>
      <w:r w:rsidRPr="00E83166">
        <w:t xml:space="preserve">Conforme a lo previsto por el Gobierno en </w:t>
      </w:r>
      <w:r>
        <w:t xml:space="preserve">el decreto </w:t>
      </w:r>
      <w:r w:rsidRPr="00E83166">
        <w:t>del Ministerio de Hacienda de 20 de marzo de 2002, se distribuyeron 178,2 millones de rupias en las zonas rurales entre 11.204 beneficiarios, en el marco del programa Indira Awas Yojna.</w:t>
      </w:r>
    </w:p>
    <w:p w:rsidR="000A1FB7" w:rsidRPr="00E83166" w:rsidRDefault="000A1FB7" w:rsidP="000A1FB7">
      <w:pPr>
        <w:pStyle w:val="SingleTxt"/>
        <w:suppressAutoHyphens/>
        <w:rPr>
          <w:b/>
          <w:bCs/>
        </w:rPr>
      </w:pPr>
      <w:r>
        <w:tab/>
        <w:t>2.</w:t>
      </w:r>
      <w:r>
        <w:tab/>
      </w:r>
      <w:r w:rsidRPr="00E83166">
        <w:t xml:space="preserve">Se distribuyeron 122,8 millones de rupias entre 18.037 beneficiarios en las zonas urbanas, en el marco del programa Valmiki Avas Yojna. Esta cantidad se hizo efectiva con cargo a la dotación de 1.500 millones de rupias del gobierno central. </w:t>
      </w:r>
    </w:p>
    <w:p w:rsidR="000A1FB7" w:rsidRPr="00E83166" w:rsidRDefault="000A1FB7" w:rsidP="000A1FB7">
      <w:pPr>
        <w:pStyle w:val="SingleTxt"/>
        <w:suppressAutoHyphens/>
        <w:rPr>
          <w:b/>
          <w:bCs/>
        </w:rPr>
      </w:pPr>
      <w:r>
        <w:tab/>
        <w:t>3.</w:t>
      </w:r>
      <w:r>
        <w:tab/>
      </w:r>
      <w:r w:rsidRPr="00E83166">
        <w:t>Además, el gobierno estatal ha puesto en marcha una iniciativa a través de la Gujarat Women E</w:t>
      </w:r>
      <w:r>
        <w:t xml:space="preserve">conomic Development Cooperation, </w:t>
      </w:r>
      <w:r w:rsidRPr="00E83166">
        <w:t>dentro del programa de formación del NORAD, para ofrecer cursos de capacitación profesional a las mujeres víctimas de los disturbios que permanecen en los campamentos de socorro, y 5.731 mujeres recibieron formación en diversos oficios.</w:t>
      </w:r>
    </w:p>
    <w:p w:rsidR="000A1FB7" w:rsidRPr="003E4091" w:rsidRDefault="000A1FB7" w:rsidP="000A1FB7">
      <w:pPr>
        <w:pStyle w:val="SingleTxt"/>
        <w:suppressAutoHyphens/>
      </w:pPr>
      <w:r>
        <w:rPr>
          <w:noProof/>
          <w:w w:val="100"/>
          <w:lang w:val="en-US"/>
        </w:rPr>
        <w:pict>
          <v:line id="_x0000_s1027" style="position:absolute;left:0;text-align:left;z-index:2" from="210.2pt,24pt" to="282.2pt,24pt" strokeweight=".25pt"/>
        </w:pict>
      </w:r>
    </w:p>
    <w:p w:rsidR="00F76C6C" w:rsidRDefault="00F76C6C" w:rsidP="0049676B">
      <w:pPr>
        <w:pStyle w:val="SingleTxt"/>
        <w:suppressAutoHyphens/>
      </w:pPr>
    </w:p>
    <w:p w:rsidR="0049676B" w:rsidRDefault="0049676B" w:rsidP="0049676B">
      <w:pPr>
        <w:pStyle w:val="SingleTxt"/>
        <w:suppressAutoHyphens/>
      </w:pPr>
    </w:p>
    <w:p w:rsidR="0049676B" w:rsidRPr="00F76C6C" w:rsidRDefault="0049676B" w:rsidP="0049676B">
      <w:pPr>
        <w:pStyle w:val="SingleTxt"/>
        <w:suppressAutoHyphens/>
      </w:pPr>
    </w:p>
    <w:sectPr w:rsidR="0049676B" w:rsidRPr="00F76C6C" w:rsidSect="0097445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2-17T09:53:00Z" w:initials="Start">
    <w:p w:rsidR="00C27BBA" w:rsidRPr="00E16870" w:rsidRDefault="00C27BBA">
      <w:pPr>
        <w:pStyle w:val="CommentText"/>
        <w:rPr>
          <w:lang w:val="en-US"/>
        </w:rPr>
      </w:pPr>
      <w:r>
        <w:fldChar w:fldCharType="begin"/>
      </w:r>
      <w:r w:rsidRPr="00E16870">
        <w:rPr>
          <w:rStyle w:val="CommentReference"/>
          <w:lang w:val="en-US"/>
        </w:rPr>
        <w:instrText xml:space="preserve"> </w:instrText>
      </w:r>
      <w:r w:rsidRPr="00E16870">
        <w:rPr>
          <w:lang w:val="en-US"/>
        </w:rPr>
        <w:instrText>PAGE \# "'Page: '#'</w:instrText>
      </w:r>
      <w:r w:rsidRPr="00E16870">
        <w:rPr>
          <w:lang w:val="en-US"/>
        </w:rPr>
        <w:br/>
        <w:instrText>'"</w:instrText>
      </w:r>
      <w:r w:rsidRPr="00E16870">
        <w:rPr>
          <w:rStyle w:val="CommentReference"/>
          <w:lang w:val="en-US"/>
        </w:rPr>
        <w:instrText xml:space="preserve"> </w:instrText>
      </w:r>
      <w:r>
        <w:fldChar w:fldCharType="end"/>
      </w:r>
      <w:r>
        <w:rPr>
          <w:rStyle w:val="CommentReference"/>
        </w:rPr>
        <w:annotationRef/>
      </w:r>
      <w:r w:rsidRPr="00E16870">
        <w:rPr>
          <w:lang w:val="en-US"/>
        </w:rPr>
        <w:t>&lt;&lt;ODS JOB NO&gt;&gt;N0962599S&lt;&lt;ODS JOB NO&gt;&gt;</w:t>
      </w:r>
    </w:p>
    <w:p w:rsidR="00C27BBA" w:rsidRPr="00E16870" w:rsidRDefault="00C27BBA">
      <w:pPr>
        <w:pStyle w:val="CommentText"/>
        <w:rPr>
          <w:lang w:val="en-US"/>
        </w:rPr>
      </w:pPr>
      <w:r w:rsidRPr="00E16870">
        <w:rPr>
          <w:lang w:val="en-US"/>
        </w:rPr>
        <w:t>&lt;&lt;ODS DOC SYMBOL1&gt;&gt;CEDAW/C/IND/SP.1&lt;&lt;ODS DOC SYMBOL1&gt;&gt;</w:t>
      </w:r>
    </w:p>
    <w:p w:rsidR="00C27BBA" w:rsidRPr="00E16870" w:rsidRDefault="00C27BBA">
      <w:pPr>
        <w:pStyle w:val="CommentText"/>
        <w:rPr>
          <w:lang w:val="en-US"/>
        </w:rPr>
      </w:pPr>
      <w:r w:rsidRPr="00E1687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919" w:rsidRDefault="00716919" w:rsidP="002B243C">
      <w:pPr>
        <w:pStyle w:val="NormalSchedule"/>
      </w:pPr>
      <w:r>
        <w:separator/>
      </w:r>
    </w:p>
  </w:endnote>
  <w:endnote w:type="continuationSeparator" w:id="0">
    <w:p w:rsidR="00716919" w:rsidRDefault="00716919" w:rsidP="002B243C">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27BBA" w:rsidTr="002B243C">
      <w:tblPrEx>
        <w:tblCellMar>
          <w:top w:w="0" w:type="dxa"/>
          <w:bottom w:w="0" w:type="dxa"/>
        </w:tblCellMar>
      </w:tblPrEx>
      <w:tc>
        <w:tcPr>
          <w:tcW w:w="5033" w:type="dxa"/>
          <w:shd w:val="clear" w:color="auto" w:fill="auto"/>
        </w:tcPr>
        <w:p w:rsidR="00C27BBA" w:rsidRPr="002B243C" w:rsidRDefault="00C27BBA" w:rsidP="002B24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09-62599</w:t>
          </w:r>
          <w:r>
            <w:rPr>
              <w:b w:val="0"/>
              <w:w w:val="103"/>
              <w:sz w:val="14"/>
            </w:rPr>
            <w:fldChar w:fldCharType="end"/>
          </w:r>
        </w:p>
      </w:tc>
      <w:tc>
        <w:tcPr>
          <w:tcW w:w="5033" w:type="dxa"/>
          <w:shd w:val="clear" w:color="auto" w:fill="auto"/>
        </w:tcPr>
        <w:p w:rsidR="00C27BBA" w:rsidRPr="002B243C" w:rsidRDefault="00C27BBA" w:rsidP="002B243C">
          <w:pPr>
            <w:pStyle w:val="Footer"/>
            <w:rPr>
              <w:w w:val="103"/>
            </w:rPr>
          </w:pPr>
          <w:r>
            <w:rPr>
              <w:w w:val="103"/>
            </w:rPr>
            <w:fldChar w:fldCharType="begin"/>
          </w:r>
          <w:r>
            <w:rPr>
              <w:w w:val="103"/>
            </w:rPr>
            <w:instrText xml:space="preserve"> PAGE  \* MERGEFORMAT </w:instrText>
          </w:r>
          <w:r>
            <w:rPr>
              <w:w w:val="103"/>
            </w:rPr>
            <w:fldChar w:fldCharType="separate"/>
          </w:r>
          <w:r w:rsidR="00F25D83">
            <w:rPr>
              <w:w w:val="103"/>
            </w:rPr>
            <w:t>6</w:t>
          </w:r>
          <w:r>
            <w:rPr>
              <w:w w:val="103"/>
            </w:rPr>
            <w:fldChar w:fldCharType="end"/>
          </w:r>
        </w:p>
      </w:tc>
    </w:tr>
  </w:tbl>
  <w:p w:rsidR="00C27BBA" w:rsidRPr="002B243C" w:rsidRDefault="00C27BBA" w:rsidP="002B24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27BBA" w:rsidTr="002B243C">
      <w:tblPrEx>
        <w:tblCellMar>
          <w:top w:w="0" w:type="dxa"/>
          <w:bottom w:w="0" w:type="dxa"/>
        </w:tblCellMar>
      </w:tblPrEx>
      <w:tc>
        <w:tcPr>
          <w:tcW w:w="5033" w:type="dxa"/>
          <w:shd w:val="clear" w:color="auto" w:fill="auto"/>
        </w:tcPr>
        <w:p w:rsidR="00C27BBA" w:rsidRPr="002B243C" w:rsidRDefault="00C27BBA" w:rsidP="002B243C">
          <w:pPr>
            <w:pStyle w:val="Footer"/>
            <w:jc w:val="right"/>
            <w:rPr>
              <w:w w:val="103"/>
            </w:rPr>
          </w:pPr>
          <w:r>
            <w:rPr>
              <w:w w:val="103"/>
            </w:rPr>
            <w:fldChar w:fldCharType="begin"/>
          </w:r>
          <w:r>
            <w:rPr>
              <w:w w:val="103"/>
            </w:rPr>
            <w:instrText xml:space="preserve"> PAGE  \* MERGEFORMAT </w:instrText>
          </w:r>
          <w:r>
            <w:rPr>
              <w:w w:val="103"/>
            </w:rPr>
            <w:fldChar w:fldCharType="separate"/>
          </w:r>
          <w:r w:rsidR="00F25D83">
            <w:rPr>
              <w:w w:val="103"/>
            </w:rPr>
            <w:t>7</w:t>
          </w:r>
          <w:r>
            <w:rPr>
              <w:w w:val="103"/>
            </w:rPr>
            <w:fldChar w:fldCharType="end"/>
          </w:r>
        </w:p>
      </w:tc>
      <w:tc>
        <w:tcPr>
          <w:tcW w:w="5033" w:type="dxa"/>
          <w:shd w:val="clear" w:color="auto" w:fill="auto"/>
        </w:tcPr>
        <w:p w:rsidR="00C27BBA" w:rsidRPr="002B243C" w:rsidRDefault="00C27BBA" w:rsidP="002B24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09-62599</w:t>
          </w:r>
          <w:r>
            <w:rPr>
              <w:b w:val="0"/>
              <w:w w:val="103"/>
              <w:sz w:val="14"/>
            </w:rPr>
            <w:fldChar w:fldCharType="end"/>
          </w:r>
        </w:p>
      </w:tc>
    </w:tr>
  </w:tbl>
  <w:p w:rsidR="00C27BBA" w:rsidRPr="002B243C" w:rsidRDefault="00C27BBA" w:rsidP="002B24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27BBA">
      <w:tblPrEx>
        <w:tblCellMar>
          <w:top w:w="0" w:type="dxa"/>
          <w:bottom w:w="0" w:type="dxa"/>
        </w:tblCellMar>
      </w:tblPrEx>
      <w:tc>
        <w:tcPr>
          <w:tcW w:w="5033" w:type="dxa"/>
        </w:tcPr>
        <w:p w:rsidR="00C27BBA" w:rsidRDefault="00C27BBA" w:rsidP="002B243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09-62599 (S)</w:t>
          </w:r>
          <w:r>
            <w:rPr>
              <w:b w:val="0"/>
              <w:sz w:val="20"/>
            </w:rPr>
            <w:fldChar w:fldCharType="end"/>
          </w:r>
          <w:r>
            <w:rPr>
              <w:b w:val="0"/>
              <w:sz w:val="20"/>
            </w:rPr>
            <w:t xml:space="preserve">    161209    181209</w:t>
          </w:r>
        </w:p>
        <w:p w:rsidR="00C27BBA" w:rsidRPr="002B243C" w:rsidRDefault="00C27BBA" w:rsidP="002B243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*0962599*</w:t>
          </w:r>
          <w:r>
            <w:rPr>
              <w:rFonts w:ascii="Barcode 3 of 9 by request" w:hAnsi="Barcode 3 of 9 by request"/>
              <w:b w:val="0"/>
              <w:sz w:val="24"/>
            </w:rPr>
            <w:fldChar w:fldCharType="end"/>
          </w:r>
        </w:p>
      </w:tc>
      <w:tc>
        <w:tcPr>
          <w:tcW w:w="5033" w:type="dxa"/>
        </w:tcPr>
        <w:p w:rsidR="00C27BBA" w:rsidRDefault="00C27BBA" w:rsidP="002B243C">
          <w:pPr>
            <w:pStyle w:val="Footer"/>
            <w:jc w:val="right"/>
            <w:rPr>
              <w:b w:val="0"/>
              <w:sz w:val="20"/>
            </w:rPr>
          </w:pPr>
          <w:r w:rsidRPr="002B243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27BBA" w:rsidRPr="002B243C" w:rsidRDefault="00C27BBA" w:rsidP="002B243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919" w:rsidRPr="002F62C3" w:rsidRDefault="00716919" w:rsidP="002F62C3">
      <w:pPr>
        <w:pStyle w:val="Footer"/>
        <w:spacing w:after="80"/>
        <w:ind w:left="792"/>
        <w:rPr>
          <w:sz w:val="16"/>
        </w:rPr>
      </w:pPr>
      <w:r w:rsidRPr="002F62C3">
        <w:rPr>
          <w:sz w:val="16"/>
        </w:rPr>
        <w:t>__________________</w:t>
      </w:r>
    </w:p>
  </w:footnote>
  <w:footnote w:type="continuationSeparator" w:id="0">
    <w:p w:rsidR="00716919" w:rsidRPr="002F62C3" w:rsidRDefault="00716919" w:rsidP="002F62C3">
      <w:pPr>
        <w:pStyle w:val="Footer"/>
        <w:spacing w:after="80"/>
        <w:ind w:left="792"/>
        <w:rPr>
          <w:sz w:val="16"/>
        </w:rPr>
      </w:pPr>
      <w:r w:rsidRPr="002F62C3">
        <w:rPr>
          <w:sz w:val="16"/>
        </w:rPr>
        <w:t>__________________</w:t>
      </w:r>
    </w:p>
  </w:footnote>
  <w:footnote w:id="1">
    <w:p w:rsidR="00C27BBA" w:rsidRPr="002F62C3" w:rsidRDefault="00C27BBA" w:rsidP="002F62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2F62C3">
        <w:rPr>
          <w:lang w:val="en-US"/>
        </w:rPr>
        <w:tab/>
        <w:t>CEDAW/</w:t>
      </w:r>
      <w:r>
        <w:rPr>
          <w:lang w:val="en-US"/>
        </w:rPr>
        <w:t>C/IND/2-</w:t>
      </w:r>
      <w:r w:rsidRPr="002F62C3">
        <w:rPr>
          <w:lang w:val="en-US"/>
        </w:rPr>
        <w:t>3.</w:t>
      </w:r>
    </w:p>
  </w:footnote>
  <w:footnote w:id="2">
    <w:p w:rsidR="00C27BBA" w:rsidRPr="002F62C3" w:rsidRDefault="00C27BBA" w:rsidP="002F62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2F62C3">
        <w:rPr>
          <w:lang w:val="en-US"/>
        </w:rPr>
        <w:tab/>
      </w:r>
      <w:r>
        <w:rPr>
          <w:rStyle w:val="FootnoteReference"/>
        </w:rPr>
        <w:footnoteRef/>
      </w:r>
      <w:r w:rsidRPr="002F62C3">
        <w:rPr>
          <w:lang w:val="en-US"/>
        </w:rPr>
        <w:tab/>
        <w:t>CEDAW/C/IND/CO/3.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27BBA" w:rsidTr="002B243C">
      <w:tblPrEx>
        <w:tblCellMar>
          <w:top w:w="0" w:type="dxa"/>
          <w:bottom w:w="0" w:type="dxa"/>
        </w:tblCellMar>
      </w:tblPrEx>
      <w:trPr>
        <w:trHeight w:hRule="exact" w:val="864"/>
      </w:trPr>
      <w:tc>
        <w:tcPr>
          <w:tcW w:w="4838" w:type="dxa"/>
          <w:shd w:val="clear" w:color="auto" w:fill="auto"/>
          <w:vAlign w:val="bottom"/>
        </w:tcPr>
        <w:p w:rsidR="00C27BBA" w:rsidRPr="002B243C" w:rsidRDefault="00C27BBA" w:rsidP="002B243C">
          <w:pPr>
            <w:pStyle w:val="Header"/>
            <w:spacing w:after="80"/>
            <w:rPr>
              <w:b/>
            </w:rPr>
          </w:pPr>
          <w:r>
            <w:rPr>
              <w:b/>
            </w:rPr>
            <w:fldChar w:fldCharType="begin"/>
          </w:r>
          <w:r>
            <w:rPr>
              <w:b/>
            </w:rPr>
            <w:instrText xml:space="preserve"> DOCVARIABLE "sss1" \* MERGEFORMAT </w:instrText>
          </w:r>
          <w:r>
            <w:rPr>
              <w:b/>
            </w:rPr>
            <w:fldChar w:fldCharType="separate"/>
          </w:r>
          <w:r>
            <w:rPr>
              <w:b/>
            </w:rPr>
            <w:t>CEDAW/C/IND/SP.1</w:t>
          </w:r>
          <w:r>
            <w:rPr>
              <w:b/>
            </w:rPr>
            <w:fldChar w:fldCharType="end"/>
          </w:r>
        </w:p>
      </w:tc>
      <w:tc>
        <w:tcPr>
          <w:tcW w:w="5033" w:type="dxa"/>
          <w:shd w:val="clear" w:color="auto" w:fill="auto"/>
          <w:vAlign w:val="bottom"/>
        </w:tcPr>
        <w:p w:rsidR="00C27BBA" w:rsidRDefault="00C27BBA" w:rsidP="002B243C">
          <w:pPr>
            <w:pStyle w:val="Header"/>
          </w:pPr>
        </w:p>
      </w:tc>
    </w:tr>
  </w:tbl>
  <w:p w:rsidR="00C27BBA" w:rsidRPr="002B243C" w:rsidRDefault="00C27BBA" w:rsidP="002B24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27BBA" w:rsidTr="002B243C">
      <w:tblPrEx>
        <w:tblCellMar>
          <w:top w:w="0" w:type="dxa"/>
          <w:bottom w:w="0" w:type="dxa"/>
        </w:tblCellMar>
      </w:tblPrEx>
      <w:trPr>
        <w:trHeight w:hRule="exact" w:val="864"/>
      </w:trPr>
      <w:tc>
        <w:tcPr>
          <w:tcW w:w="4838" w:type="dxa"/>
          <w:shd w:val="clear" w:color="auto" w:fill="auto"/>
          <w:vAlign w:val="bottom"/>
        </w:tcPr>
        <w:p w:rsidR="00C27BBA" w:rsidRDefault="00C27BBA" w:rsidP="002B243C">
          <w:pPr>
            <w:pStyle w:val="Header"/>
          </w:pPr>
        </w:p>
      </w:tc>
      <w:tc>
        <w:tcPr>
          <w:tcW w:w="5033" w:type="dxa"/>
          <w:shd w:val="clear" w:color="auto" w:fill="auto"/>
          <w:vAlign w:val="bottom"/>
        </w:tcPr>
        <w:p w:rsidR="00C27BBA" w:rsidRPr="002B243C" w:rsidRDefault="00C27BBA" w:rsidP="002B243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CEDAW/C/IND/SP.1</w:t>
          </w:r>
          <w:r>
            <w:rPr>
              <w:b/>
            </w:rPr>
            <w:fldChar w:fldCharType="end"/>
          </w:r>
        </w:p>
      </w:tc>
    </w:tr>
  </w:tbl>
  <w:p w:rsidR="00C27BBA" w:rsidRPr="002B243C" w:rsidRDefault="00C27BBA" w:rsidP="002B24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27BBA" w:rsidTr="002B243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27BBA" w:rsidRDefault="00C27BBA" w:rsidP="002B243C">
          <w:pPr>
            <w:pStyle w:val="Header"/>
            <w:spacing w:after="120"/>
          </w:pPr>
        </w:p>
      </w:tc>
      <w:tc>
        <w:tcPr>
          <w:tcW w:w="2059" w:type="dxa"/>
          <w:tcBorders>
            <w:bottom w:val="single" w:sz="4" w:space="0" w:color="auto"/>
          </w:tcBorders>
          <w:shd w:val="clear" w:color="auto" w:fill="auto"/>
          <w:vAlign w:val="bottom"/>
        </w:tcPr>
        <w:p w:rsidR="00C27BBA" w:rsidRPr="002B243C" w:rsidRDefault="00C27BBA" w:rsidP="002B243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27BBA" w:rsidRDefault="00C27BBA" w:rsidP="002B243C">
          <w:pPr>
            <w:pStyle w:val="Header"/>
            <w:spacing w:after="120"/>
          </w:pPr>
        </w:p>
      </w:tc>
      <w:tc>
        <w:tcPr>
          <w:tcW w:w="6523" w:type="dxa"/>
          <w:gridSpan w:val="3"/>
          <w:tcBorders>
            <w:bottom w:val="single" w:sz="4" w:space="0" w:color="auto"/>
          </w:tcBorders>
          <w:shd w:val="clear" w:color="auto" w:fill="auto"/>
          <w:vAlign w:val="bottom"/>
        </w:tcPr>
        <w:p w:rsidR="00C27BBA" w:rsidRPr="002B243C" w:rsidRDefault="00C27BBA" w:rsidP="002B243C">
          <w:pPr>
            <w:spacing w:after="80" w:line="240" w:lineRule="auto"/>
            <w:jc w:val="right"/>
            <w:rPr>
              <w:position w:val="-4"/>
            </w:rPr>
          </w:pPr>
          <w:r>
            <w:rPr>
              <w:position w:val="-4"/>
              <w:sz w:val="40"/>
            </w:rPr>
            <w:t>CEDAW</w:t>
          </w:r>
          <w:r>
            <w:rPr>
              <w:position w:val="-4"/>
            </w:rPr>
            <w:t>/C/IND/SP.1</w:t>
          </w:r>
        </w:p>
      </w:tc>
    </w:tr>
    <w:tr w:rsidR="00C27BBA" w:rsidRPr="002B243C" w:rsidTr="002B243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27BBA" w:rsidRDefault="00C27BBA" w:rsidP="002B243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27BBA" w:rsidRPr="002B243C" w:rsidRDefault="00C27BBA" w:rsidP="002B243C">
          <w:pPr>
            <w:pStyle w:val="Header"/>
            <w:spacing w:before="109"/>
          </w:pPr>
        </w:p>
      </w:tc>
      <w:tc>
        <w:tcPr>
          <w:tcW w:w="5227" w:type="dxa"/>
          <w:gridSpan w:val="3"/>
          <w:tcBorders>
            <w:top w:val="single" w:sz="4" w:space="0" w:color="auto"/>
            <w:bottom w:val="single" w:sz="12" w:space="0" w:color="auto"/>
          </w:tcBorders>
          <w:shd w:val="clear" w:color="auto" w:fill="auto"/>
        </w:tcPr>
        <w:p w:rsidR="00C27BBA" w:rsidRPr="002B243C" w:rsidRDefault="00C27BBA" w:rsidP="002B243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27BBA" w:rsidRPr="00E16870" w:rsidRDefault="00C27BBA" w:rsidP="002B243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27BBA" w:rsidRDefault="00C27BBA" w:rsidP="002B243C">
          <w:pPr>
            <w:spacing w:before="240"/>
          </w:pPr>
          <w:r>
            <w:t>Distr. general</w:t>
          </w:r>
        </w:p>
        <w:p w:rsidR="00C27BBA" w:rsidRDefault="00C27BBA" w:rsidP="002B243C">
          <w:r>
            <w:t>1° de diciembre de 2009</w:t>
          </w:r>
        </w:p>
        <w:p w:rsidR="00C27BBA" w:rsidRDefault="00C27BBA" w:rsidP="002B243C">
          <w:r>
            <w:t>Español</w:t>
          </w:r>
        </w:p>
        <w:p w:rsidR="00C27BBA" w:rsidRPr="002B243C" w:rsidRDefault="00C27BBA" w:rsidP="002B243C">
          <w:r>
            <w:t>Original: inglés</w:t>
          </w:r>
        </w:p>
      </w:tc>
    </w:tr>
  </w:tbl>
  <w:p w:rsidR="00C27BBA" w:rsidRPr="002B243C" w:rsidRDefault="00C27BBA" w:rsidP="002B243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66B91019"/>
    <w:multiLevelType w:val="hybridMultilevel"/>
    <w:tmpl w:val="A0B02FE8"/>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76905481"/>
    <w:multiLevelType w:val="hybridMultilevel"/>
    <w:tmpl w:val="392A7624"/>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62599*"/>
    <w:docVar w:name="CreationDt" w:val="17/12/2009 9:53::07"/>
    <w:docVar w:name="DocCategory" w:val="Doc"/>
    <w:docVar w:name="DocType" w:val="Final"/>
    <w:docVar w:name="FooterJN" w:val="09-62599"/>
    <w:docVar w:name="jobn" w:val="09-62599 (S)"/>
    <w:docVar w:name="jobnDT" w:val="09-62599 (S)   171209"/>
    <w:docVar w:name="jobnDTDT" w:val="09-62599 (S)   171209   171209"/>
    <w:docVar w:name="JobNo" w:val="0962599S"/>
    <w:docVar w:name="OandT" w:val="CP"/>
    <w:docVar w:name="sss1" w:val="CEDAW/C/IND/SP.1"/>
    <w:docVar w:name="sss2" w:val="-"/>
    <w:docVar w:name="Symbol1" w:val="CEDAW/C/IND/SP.1"/>
    <w:docVar w:name="Symbol2" w:val="-"/>
  </w:docVars>
  <w:rsids>
    <w:rsidRoot w:val="00DA67F0"/>
    <w:rsid w:val="000271D6"/>
    <w:rsid w:val="000336E0"/>
    <w:rsid w:val="00044517"/>
    <w:rsid w:val="00057933"/>
    <w:rsid w:val="00061177"/>
    <w:rsid w:val="00067D9C"/>
    <w:rsid w:val="000806AC"/>
    <w:rsid w:val="000871C1"/>
    <w:rsid w:val="000A1971"/>
    <w:rsid w:val="000A1FB7"/>
    <w:rsid w:val="000B2A4E"/>
    <w:rsid w:val="000C1009"/>
    <w:rsid w:val="000C4DCC"/>
    <w:rsid w:val="000D21E6"/>
    <w:rsid w:val="000D5640"/>
    <w:rsid w:val="000F2F70"/>
    <w:rsid w:val="00102135"/>
    <w:rsid w:val="001109AD"/>
    <w:rsid w:val="00142D4D"/>
    <w:rsid w:val="00143B7C"/>
    <w:rsid w:val="00152E53"/>
    <w:rsid w:val="00153EA2"/>
    <w:rsid w:val="001701FE"/>
    <w:rsid w:val="00170784"/>
    <w:rsid w:val="001777D0"/>
    <w:rsid w:val="001A2E38"/>
    <w:rsid w:val="001A2FAC"/>
    <w:rsid w:val="001A72EA"/>
    <w:rsid w:val="001D2877"/>
    <w:rsid w:val="001E48FD"/>
    <w:rsid w:val="001F74B0"/>
    <w:rsid w:val="00200A61"/>
    <w:rsid w:val="0020785F"/>
    <w:rsid w:val="0022060C"/>
    <w:rsid w:val="0025615B"/>
    <w:rsid w:val="00266F6B"/>
    <w:rsid w:val="002971F6"/>
    <w:rsid w:val="00297ED1"/>
    <w:rsid w:val="002A5006"/>
    <w:rsid w:val="002B243C"/>
    <w:rsid w:val="002B7407"/>
    <w:rsid w:val="002C345B"/>
    <w:rsid w:val="002C3E79"/>
    <w:rsid w:val="002E1262"/>
    <w:rsid w:val="002F0A5D"/>
    <w:rsid w:val="002F62C3"/>
    <w:rsid w:val="003359DE"/>
    <w:rsid w:val="003452B8"/>
    <w:rsid w:val="003503D0"/>
    <w:rsid w:val="0037323E"/>
    <w:rsid w:val="0037429E"/>
    <w:rsid w:val="00375801"/>
    <w:rsid w:val="003A5CE7"/>
    <w:rsid w:val="003B613E"/>
    <w:rsid w:val="003C12C7"/>
    <w:rsid w:val="003C473B"/>
    <w:rsid w:val="003C5008"/>
    <w:rsid w:val="003C67B3"/>
    <w:rsid w:val="003D2D4A"/>
    <w:rsid w:val="003E551E"/>
    <w:rsid w:val="003F246C"/>
    <w:rsid w:val="003F3C3C"/>
    <w:rsid w:val="00400307"/>
    <w:rsid w:val="00420B77"/>
    <w:rsid w:val="00427C51"/>
    <w:rsid w:val="00431501"/>
    <w:rsid w:val="004452B0"/>
    <w:rsid w:val="004627DC"/>
    <w:rsid w:val="004713D8"/>
    <w:rsid w:val="004843EE"/>
    <w:rsid w:val="0049207E"/>
    <w:rsid w:val="0049676B"/>
    <w:rsid w:val="004A2617"/>
    <w:rsid w:val="004A7C6C"/>
    <w:rsid w:val="004B7140"/>
    <w:rsid w:val="004C1BCD"/>
    <w:rsid w:val="004D6407"/>
    <w:rsid w:val="004D779E"/>
    <w:rsid w:val="004E3B6B"/>
    <w:rsid w:val="004F7B34"/>
    <w:rsid w:val="0050054C"/>
    <w:rsid w:val="00507265"/>
    <w:rsid w:val="005130D6"/>
    <w:rsid w:val="00524407"/>
    <w:rsid w:val="00524C14"/>
    <w:rsid w:val="00534D37"/>
    <w:rsid w:val="0053661C"/>
    <w:rsid w:val="0053772D"/>
    <w:rsid w:val="00542A52"/>
    <w:rsid w:val="005434BC"/>
    <w:rsid w:val="00556F69"/>
    <w:rsid w:val="00587E23"/>
    <w:rsid w:val="0059434A"/>
    <w:rsid w:val="00595DE1"/>
    <w:rsid w:val="0059751C"/>
    <w:rsid w:val="005D3721"/>
    <w:rsid w:val="00612DA1"/>
    <w:rsid w:val="006169F5"/>
    <w:rsid w:val="00620953"/>
    <w:rsid w:val="00630CE1"/>
    <w:rsid w:val="00636DA1"/>
    <w:rsid w:val="00637AB0"/>
    <w:rsid w:val="00641130"/>
    <w:rsid w:val="00645DF2"/>
    <w:rsid w:val="006463C7"/>
    <w:rsid w:val="00664183"/>
    <w:rsid w:val="00673F3D"/>
    <w:rsid w:val="00695E01"/>
    <w:rsid w:val="00696921"/>
    <w:rsid w:val="006A11B8"/>
    <w:rsid w:val="006C6173"/>
    <w:rsid w:val="006C650B"/>
    <w:rsid w:val="006D3321"/>
    <w:rsid w:val="006E0E95"/>
    <w:rsid w:val="006F36E2"/>
    <w:rsid w:val="0070602F"/>
    <w:rsid w:val="00716919"/>
    <w:rsid w:val="0074000F"/>
    <w:rsid w:val="00763770"/>
    <w:rsid w:val="007717D1"/>
    <w:rsid w:val="00781DFE"/>
    <w:rsid w:val="007B04E8"/>
    <w:rsid w:val="007B2E44"/>
    <w:rsid w:val="007C2F40"/>
    <w:rsid w:val="007C566A"/>
    <w:rsid w:val="007D0893"/>
    <w:rsid w:val="007D59F4"/>
    <w:rsid w:val="007E322D"/>
    <w:rsid w:val="007F5AF9"/>
    <w:rsid w:val="00813690"/>
    <w:rsid w:val="00813C40"/>
    <w:rsid w:val="00815EA8"/>
    <w:rsid w:val="00821E34"/>
    <w:rsid w:val="00823BE3"/>
    <w:rsid w:val="0083457C"/>
    <w:rsid w:val="008466A7"/>
    <w:rsid w:val="00860868"/>
    <w:rsid w:val="00884349"/>
    <w:rsid w:val="008915C4"/>
    <w:rsid w:val="008B5FC3"/>
    <w:rsid w:val="008B6E41"/>
    <w:rsid w:val="008D17EE"/>
    <w:rsid w:val="008D53A0"/>
    <w:rsid w:val="008E1BB6"/>
    <w:rsid w:val="008E2B2E"/>
    <w:rsid w:val="00906A66"/>
    <w:rsid w:val="00913197"/>
    <w:rsid w:val="0091591F"/>
    <w:rsid w:val="00917A0E"/>
    <w:rsid w:val="0093190E"/>
    <w:rsid w:val="00935AD9"/>
    <w:rsid w:val="00936752"/>
    <w:rsid w:val="009540A8"/>
    <w:rsid w:val="009658BB"/>
    <w:rsid w:val="0097445E"/>
    <w:rsid w:val="00984E6C"/>
    <w:rsid w:val="00995BD2"/>
    <w:rsid w:val="009B1C06"/>
    <w:rsid w:val="009B26B8"/>
    <w:rsid w:val="009B6140"/>
    <w:rsid w:val="009C3306"/>
    <w:rsid w:val="009D32AC"/>
    <w:rsid w:val="009D374E"/>
    <w:rsid w:val="009D74CD"/>
    <w:rsid w:val="009E5765"/>
    <w:rsid w:val="009E6D58"/>
    <w:rsid w:val="009F6D65"/>
    <w:rsid w:val="009F701F"/>
    <w:rsid w:val="00A01177"/>
    <w:rsid w:val="00A0166A"/>
    <w:rsid w:val="00A02A83"/>
    <w:rsid w:val="00A02FF4"/>
    <w:rsid w:val="00A058FF"/>
    <w:rsid w:val="00A10FDF"/>
    <w:rsid w:val="00A5353F"/>
    <w:rsid w:val="00A6067E"/>
    <w:rsid w:val="00A627D6"/>
    <w:rsid w:val="00A6761C"/>
    <w:rsid w:val="00A86FEA"/>
    <w:rsid w:val="00A908B1"/>
    <w:rsid w:val="00A97182"/>
    <w:rsid w:val="00AA7F1D"/>
    <w:rsid w:val="00AB7836"/>
    <w:rsid w:val="00AD5D6A"/>
    <w:rsid w:val="00B151F5"/>
    <w:rsid w:val="00B16665"/>
    <w:rsid w:val="00B27397"/>
    <w:rsid w:val="00B34BCE"/>
    <w:rsid w:val="00B71834"/>
    <w:rsid w:val="00B73792"/>
    <w:rsid w:val="00B80964"/>
    <w:rsid w:val="00B832BA"/>
    <w:rsid w:val="00B96A65"/>
    <w:rsid w:val="00BA0FE2"/>
    <w:rsid w:val="00BC1CBF"/>
    <w:rsid w:val="00BC7B5B"/>
    <w:rsid w:val="00BE2BF9"/>
    <w:rsid w:val="00C019D4"/>
    <w:rsid w:val="00C02367"/>
    <w:rsid w:val="00C13D38"/>
    <w:rsid w:val="00C26F5D"/>
    <w:rsid w:val="00C27BBA"/>
    <w:rsid w:val="00C312D6"/>
    <w:rsid w:val="00C8131F"/>
    <w:rsid w:val="00C847F0"/>
    <w:rsid w:val="00C859E1"/>
    <w:rsid w:val="00C85F0D"/>
    <w:rsid w:val="00C91CE9"/>
    <w:rsid w:val="00CB5C47"/>
    <w:rsid w:val="00CD4760"/>
    <w:rsid w:val="00CD57FF"/>
    <w:rsid w:val="00CE0045"/>
    <w:rsid w:val="00CE1381"/>
    <w:rsid w:val="00CF0203"/>
    <w:rsid w:val="00CF4C46"/>
    <w:rsid w:val="00CF5BA2"/>
    <w:rsid w:val="00D2412C"/>
    <w:rsid w:val="00D36B7A"/>
    <w:rsid w:val="00D63218"/>
    <w:rsid w:val="00D75DCF"/>
    <w:rsid w:val="00DA1CF8"/>
    <w:rsid w:val="00DA67F0"/>
    <w:rsid w:val="00DA7DFA"/>
    <w:rsid w:val="00E054C0"/>
    <w:rsid w:val="00E147FE"/>
    <w:rsid w:val="00E16870"/>
    <w:rsid w:val="00E241A1"/>
    <w:rsid w:val="00E31D49"/>
    <w:rsid w:val="00E50390"/>
    <w:rsid w:val="00E51BC9"/>
    <w:rsid w:val="00E65BE8"/>
    <w:rsid w:val="00E84B10"/>
    <w:rsid w:val="00E875CB"/>
    <w:rsid w:val="00E932A5"/>
    <w:rsid w:val="00EB3BF0"/>
    <w:rsid w:val="00EC3D06"/>
    <w:rsid w:val="00EC528D"/>
    <w:rsid w:val="00EC5E68"/>
    <w:rsid w:val="00ED1F10"/>
    <w:rsid w:val="00EE1892"/>
    <w:rsid w:val="00EF1B7A"/>
    <w:rsid w:val="00EF1FE3"/>
    <w:rsid w:val="00EF3B31"/>
    <w:rsid w:val="00F061A0"/>
    <w:rsid w:val="00F06B9B"/>
    <w:rsid w:val="00F161BF"/>
    <w:rsid w:val="00F249E4"/>
    <w:rsid w:val="00F25D83"/>
    <w:rsid w:val="00F274AF"/>
    <w:rsid w:val="00F35B3D"/>
    <w:rsid w:val="00F44608"/>
    <w:rsid w:val="00F44E91"/>
    <w:rsid w:val="00F47FCF"/>
    <w:rsid w:val="00F76C6C"/>
    <w:rsid w:val="00F920FD"/>
    <w:rsid w:val="00F92E1F"/>
    <w:rsid w:val="00FA2A2D"/>
    <w:rsid w:val="00FB2CE9"/>
    <w:rsid w:val="00FC4C00"/>
    <w:rsid w:val="00FD17C3"/>
    <w:rsid w:val="00FD4F74"/>
    <w:rsid w:val="00FF2D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B243C"/>
  </w:style>
  <w:style w:type="paragraph" w:styleId="CommentSubject">
    <w:name w:val="annotation subject"/>
    <w:basedOn w:val="CommentText"/>
    <w:next w:val="CommentText"/>
    <w:semiHidden/>
    <w:rsid w:val="002B24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104</TotalTime>
  <Pages>1</Pages>
  <Words>2088</Words>
  <Characters>11093</Characters>
  <Application>Microsoft Office Word</Application>
  <DocSecurity>4</DocSecurity>
  <Lines>205</Lines>
  <Paragraphs>31</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142</cp:revision>
  <cp:lastPrinted>2009-12-18T09:38:00Z</cp:lastPrinted>
  <dcterms:created xsi:type="dcterms:W3CDTF">2009-12-17T07:48:00Z</dcterms:created>
  <dcterms:modified xsi:type="dcterms:W3CDTF">2009-12-18T20:32:00Z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0962599</vt:lpwstr>
  </property>
  <property fmtid="{D5CDD505-2E9C-101B-9397-08002B2CF9AE}" pid="3" name="Symbol1">
    <vt:lpwstr>CEDAW/C/IND/SP.1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