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F52A8" w:rsidP="004F52A8">
            <w:pPr>
              <w:bidi w:val="0"/>
              <w:spacing w:after="20"/>
              <w:jc w:val="left"/>
              <w:rPr>
                <w:szCs w:val="20"/>
              </w:rPr>
            </w:pPr>
            <w:r w:rsidRPr="004F52A8">
              <w:rPr>
                <w:sz w:val="40"/>
                <w:szCs w:val="20"/>
              </w:rPr>
              <w:t>CCPR</w:t>
            </w:r>
            <w:r>
              <w:rPr>
                <w:szCs w:val="20"/>
              </w:rPr>
              <w:t>/C/SDN/CO/4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F52A8" w:rsidRDefault="004F52A8" w:rsidP="004F52A8">
            <w:pPr>
              <w:bidi w:val="0"/>
              <w:spacing w:before="240"/>
              <w:jc w:val="left"/>
            </w:pPr>
            <w:r>
              <w:t>Distr.: General</w:t>
            </w:r>
          </w:p>
          <w:p w:rsidR="004F52A8" w:rsidRDefault="004F52A8" w:rsidP="004F52A8">
            <w:pPr>
              <w:bidi w:val="0"/>
              <w:jc w:val="left"/>
            </w:pPr>
            <w:r>
              <w:t>19 August 2014</w:t>
            </w:r>
          </w:p>
          <w:p w:rsidR="004F52A8" w:rsidRDefault="004F52A8" w:rsidP="004F52A8">
            <w:pPr>
              <w:bidi w:val="0"/>
              <w:jc w:val="left"/>
            </w:pPr>
            <w:r>
              <w:t>Arabic</w:t>
            </w:r>
          </w:p>
          <w:p w:rsidR="00257225" w:rsidRPr="008B4BC6" w:rsidRDefault="004F52A8" w:rsidP="004F52A8">
            <w:pPr>
              <w:bidi w:val="0"/>
              <w:jc w:val="left"/>
            </w:pPr>
            <w:r>
              <w:t>Original: English</w:t>
            </w:r>
          </w:p>
        </w:tc>
      </w:tr>
    </w:tbl>
    <w:p w:rsidR="004F52A8" w:rsidRPr="005F6D23" w:rsidRDefault="004F52A8" w:rsidP="005F6D23">
      <w:pPr>
        <w:spacing w:before="120" w:line="380" w:lineRule="exact"/>
        <w:rPr>
          <w:b/>
          <w:bCs/>
          <w:sz w:val="26"/>
          <w:szCs w:val="36"/>
          <w:rtl/>
        </w:rPr>
      </w:pPr>
      <w:r w:rsidRPr="005F6D23">
        <w:rPr>
          <w:rFonts w:hint="cs"/>
          <w:b/>
          <w:bCs/>
          <w:sz w:val="26"/>
          <w:szCs w:val="36"/>
          <w:rtl/>
        </w:rPr>
        <w:t>ا</w:t>
      </w:r>
      <w:r w:rsidRPr="005F6D23">
        <w:rPr>
          <w:b/>
          <w:bCs/>
          <w:sz w:val="26"/>
          <w:szCs w:val="36"/>
          <w:rtl/>
        </w:rPr>
        <w:t>للجنة المعنية بحقوق الإنسان</w:t>
      </w:r>
    </w:p>
    <w:p w:rsidR="004F52A8" w:rsidRPr="004F52A8" w:rsidRDefault="005F6D23" w:rsidP="005F6D23">
      <w:pPr>
        <w:pStyle w:val="HChGA"/>
        <w:rPr>
          <w:rtl/>
        </w:rPr>
      </w:pPr>
      <w:r>
        <w:rPr>
          <w:rtl/>
        </w:rPr>
        <w:tab/>
      </w:r>
      <w:r>
        <w:rPr>
          <w:rFonts w:hint="cs"/>
          <w:rtl/>
        </w:rPr>
        <w:tab/>
      </w:r>
      <w:r w:rsidR="004F52A8" w:rsidRPr="004F52A8">
        <w:rPr>
          <w:rFonts w:hint="cs"/>
          <w:rtl/>
        </w:rPr>
        <w:t>ا</w:t>
      </w:r>
      <w:r w:rsidR="004F52A8" w:rsidRPr="004F52A8">
        <w:rPr>
          <w:rtl/>
        </w:rPr>
        <w:t>لملاحظات الختامية بشأن التقرير الدوري الرابع للسودان</w:t>
      </w:r>
      <w:r w:rsidRPr="005F6D23">
        <w:rPr>
          <w:rStyle w:val="FootnoteReference"/>
          <w:sz w:val="20"/>
          <w:vertAlign w:val="baseline"/>
          <w:rtl/>
        </w:rPr>
        <w:footnoteReference w:customMarkFollows="1" w:id="1"/>
        <w:t>*</w:t>
      </w:r>
    </w:p>
    <w:p w:rsidR="004F52A8" w:rsidRPr="004F52A8" w:rsidRDefault="005F6D23" w:rsidP="00BE2244">
      <w:pPr>
        <w:pStyle w:val="SingleTxtGA"/>
      </w:pPr>
      <w:r>
        <w:rPr>
          <w:rFonts w:hint="cs"/>
          <w:rtl/>
        </w:rPr>
        <w:t>1-</w:t>
      </w:r>
      <w:r>
        <w:rPr>
          <w:rFonts w:hint="cs"/>
          <w:rtl/>
        </w:rPr>
        <w:tab/>
      </w:r>
      <w:r w:rsidR="004F52A8" w:rsidRPr="004F52A8">
        <w:rPr>
          <w:rFonts w:hint="cs"/>
          <w:rtl/>
        </w:rPr>
        <w:t>ن</w:t>
      </w:r>
      <w:r w:rsidR="004F52A8" w:rsidRPr="004F52A8">
        <w:rPr>
          <w:rtl/>
        </w:rPr>
        <w:t xml:space="preserve">ظرت اللجنة في التقرير الدوري الرابع المقدم من السودان </w:t>
      </w:r>
      <w:r w:rsidR="004F52A8" w:rsidRPr="004F52A8">
        <w:t>(CCPR/C/SDN/4)</w:t>
      </w:r>
      <w:r w:rsidR="004F52A8" w:rsidRPr="004F52A8">
        <w:rPr>
          <w:rtl/>
        </w:rPr>
        <w:t xml:space="preserve"> في جلستيها 3070 و3071 </w:t>
      </w:r>
      <w:r w:rsidR="004F52A8" w:rsidRPr="004F52A8">
        <w:t>CCPR/C/SR.3070)</w:t>
      </w:r>
      <w:r w:rsidR="00BD08F6">
        <w:rPr>
          <w:rtl/>
        </w:rPr>
        <w:t xml:space="preserve"> و</w:t>
      </w:r>
      <w:r w:rsidR="004F52A8" w:rsidRPr="004F52A8">
        <w:t>3071</w:t>
      </w:r>
      <w:r w:rsidR="004F52A8" w:rsidRPr="004F52A8">
        <w:rPr>
          <w:rtl/>
        </w:rPr>
        <w:t>)، المعقودتين في 8 و9 تموز/</w:t>
      </w:r>
      <w:r w:rsidR="0020422B">
        <w:rPr>
          <w:rFonts w:hint="cs"/>
          <w:rtl/>
        </w:rPr>
        <w:t xml:space="preserve"> </w:t>
      </w:r>
      <w:r w:rsidR="004F52A8" w:rsidRPr="004F52A8">
        <w:rPr>
          <w:rtl/>
        </w:rPr>
        <w:t>يوليه</w:t>
      </w:r>
      <w:r w:rsidR="0020422B">
        <w:rPr>
          <w:rFonts w:hint="cs"/>
          <w:rtl/>
        </w:rPr>
        <w:t> </w:t>
      </w:r>
      <w:r w:rsidR="004F52A8" w:rsidRPr="004F52A8">
        <w:rPr>
          <w:rtl/>
        </w:rPr>
        <w:t xml:space="preserve">2014. واعتمدت في جلستها 3090 </w:t>
      </w:r>
      <w:r w:rsidR="004F52A8" w:rsidRPr="004F52A8">
        <w:t>(CCPR/C/SR.3090)</w:t>
      </w:r>
      <w:r w:rsidR="004F52A8" w:rsidRPr="004F52A8">
        <w:rPr>
          <w:rtl/>
        </w:rPr>
        <w:t>، المعقودة في 22 تموز/</w:t>
      </w:r>
      <w:r w:rsidR="0020422B">
        <w:rPr>
          <w:rFonts w:hint="cs"/>
          <w:rtl/>
        </w:rPr>
        <w:t xml:space="preserve"> </w:t>
      </w:r>
      <w:r w:rsidR="004F52A8" w:rsidRPr="004F52A8">
        <w:rPr>
          <w:rtl/>
        </w:rPr>
        <w:t>يوليه 2014، الملاحظات الختامية التالية.</w:t>
      </w:r>
    </w:p>
    <w:p w:rsidR="004F52A8" w:rsidRPr="004F52A8" w:rsidRDefault="005F6D23" w:rsidP="005F6D23">
      <w:pPr>
        <w:pStyle w:val="H1GA"/>
        <w:rPr>
          <w:rtl/>
        </w:rPr>
      </w:pPr>
      <w:r>
        <w:rPr>
          <w:rFonts w:hint="cs"/>
          <w:rtl/>
        </w:rPr>
        <w:tab/>
      </w:r>
      <w:r w:rsidR="004F52A8" w:rsidRPr="004F52A8">
        <w:rPr>
          <w:rFonts w:hint="cs"/>
          <w:rtl/>
        </w:rPr>
        <w:t>أ</w:t>
      </w:r>
      <w:r w:rsidR="004F52A8" w:rsidRPr="004F52A8">
        <w:rPr>
          <w:rtl/>
        </w:rPr>
        <w:t>لف-</w:t>
      </w:r>
      <w:r w:rsidR="004F52A8" w:rsidRPr="004F52A8">
        <w:rPr>
          <w:rtl/>
        </w:rPr>
        <w:tab/>
        <w:t>مقدمة</w:t>
      </w:r>
    </w:p>
    <w:p w:rsidR="004F52A8" w:rsidRPr="004F52A8" w:rsidRDefault="004F52A8" w:rsidP="00BD08F6">
      <w:pPr>
        <w:pStyle w:val="SingleTxtGA"/>
        <w:rPr>
          <w:rtl/>
        </w:rPr>
      </w:pPr>
      <w:r w:rsidRPr="004F52A8">
        <w:rPr>
          <w:rtl/>
        </w:rPr>
        <w:t>2-</w:t>
      </w:r>
      <w:r w:rsidRPr="004F52A8">
        <w:rPr>
          <w:rtl/>
        </w:rPr>
        <w:tab/>
        <w:t>ترحب اللجنة بتقديم التقرير الدوري الرابع للسودان وبالمعلومات المقدمة فيه. وتعرب عن تقديرها لفرصة تجديد حوارها البنّاء مع وفد الدولة الطرف الرفيع المستوى بشأن التدابير التي اتخذتها الدولة الطرف خلال الفترة</w:t>
      </w:r>
      <w:r w:rsidR="00BD08F6">
        <w:rPr>
          <w:rFonts w:hint="cs"/>
          <w:rtl/>
        </w:rPr>
        <w:t xml:space="preserve"> </w:t>
      </w:r>
      <w:r w:rsidRPr="004F52A8">
        <w:rPr>
          <w:rtl/>
        </w:rPr>
        <w:t>المشمولة بالتقرير</w:t>
      </w:r>
      <w:r w:rsidR="00BD08F6">
        <w:rPr>
          <w:rFonts w:hint="cs"/>
          <w:rtl/>
        </w:rPr>
        <w:t xml:space="preserve"> </w:t>
      </w:r>
      <w:r w:rsidRPr="004F52A8">
        <w:rPr>
          <w:rtl/>
        </w:rPr>
        <w:t xml:space="preserve">من أجل تنفيذ أحكام العهد. كما تعرب اللجنة عن امتنانها للدولة الطرف لما قدمته من ردود خطية </w:t>
      </w:r>
      <w:r w:rsidRPr="004F52A8">
        <w:t>(CCPR/C/SDN/Q/4/Add.1)</w:t>
      </w:r>
      <w:r w:rsidRPr="004F52A8">
        <w:rPr>
          <w:rtl/>
        </w:rPr>
        <w:t xml:space="preserve"> على قائمة المسائل </w:t>
      </w:r>
      <w:r w:rsidRPr="004F52A8">
        <w:t>(CCPR/C/SDN/Q/4)</w:t>
      </w:r>
      <w:r w:rsidRPr="004F52A8">
        <w:rPr>
          <w:rFonts w:hint="cs"/>
          <w:rtl/>
        </w:rPr>
        <w:t>،</w:t>
      </w:r>
      <w:r w:rsidRPr="004F52A8">
        <w:rPr>
          <w:rtl/>
        </w:rPr>
        <w:t xml:space="preserve"> استُكملت بالردود الشفوية المقدمة من الوفد، وللمعلومات التكميلية المقدمة خطياً إلى اللجنة.</w:t>
      </w:r>
    </w:p>
    <w:p w:rsidR="004F52A8" w:rsidRPr="004F52A8" w:rsidRDefault="004519CD" w:rsidP="004519CD">
      <w:pPr>
        <w:pStyle w:val="H1GA"/>
        <w:rPr>
          <w:rtl/>
        </w:rPr>
      </w:pPr>
      <w:r>
        <w:rPr>
          <w:rFonts w:hint="cs"/>
          <w:rtl/>
        </w:rPr>
        <w:tab/>
      </w:r>
      <w:r w:rsidR="004F52A8" w:rsidRPr="004F52A8">
        <w:rPr>
          <w:rFonts w:hint="cs"/>
          <w:rtl/>
        </w:rPr>
        <w:t>ب</w:t>
      </w:r>
      <w:r w:rsidR="004F52A8" w:rsidRPr="004F52A8">
        <w:rPr>
          <w:rtl/>
        </w:rPr>
        <w:t>اء-</w:t>
      </w:r>
      <w:r w:rsidR="004F52A8" w:rsidRPr="004F52A8">
        <w:rPr>
          <w:rtl/>
        </w:rPr>
        <w:tab/>
        <w:t>الجوانب الإيجابية</w:t>
      </w:r>
    </w:p>
    <w:p w:rsidR="004F52A8" w:rsidRPr="004F52A8" w:rsidRDefault="004F52A8" w:rsidP="004F52A8">
      <w:pPr>
        <w:pStyle w:val="SingleTxtGA"/>
        <w:rPr>
          <w:rtl/>
        </w:rPr>
      </w:pPr>
      <w:r w:rsidRPr="004F52A8">
        <w:rPr>
          <w:rtl/>
        </w:rPr>
        <w:t>3-</w:t>
      </w:r>
      <w:r w:rsidRPr="004F52A8">
        <w:rPr>
          <w:rtl/>
        </w:rPr>
        <w:tab/>
        <w:t>ترحب اللجنة بالخطوات التشريعية والمؤسسية التالية التي اتخذتها الدولة الطرف:</w:t>
      </w:r>
    </w:p>
    <w:p w:rsidR="004F52A8" w:rsidRPr="004F52A8" w:rsidRDefault="004519CD" w:rsidP="004F52A8">
      <w:pPr>
        <w:pStyle w:val="SingleTxtGA"/>
      </w:pPr>
      <w:r>
        <w:rPr>
          <w:rFonts w:hint="cs"/>
          <w:rtl/>
        </w:rPr>
        <w:tab/>
        <w:t>(أ)</w:t>
      </w:r>
      <w:r>
        <w:rPr>
          <w:rFonts w:hint="cs"/>
          <w:rtl/>
        </w:rPr>
        <w:tab/>
      </w:r>
      <w:r w:rsidR="004F52A8" w:rsidRPr="004F52A8">
        <w:rPr>
          <w:rFonts w:hint="cs"/>
          <w:rtl/>
        </w:rPr>
        <w:t>ا</w:t>
      </w:r>
      <w:r w:rsidR="004F52A8" w:rsidRPr="004F52A8">
        <w:rPr>
          <w:rtl/>
        </w:rPr>
        <w:t xml:space="preserve">عتماد </w:t>
      </w:r>
      <w:r w:rsidR="004F52A8" w:rsidRPr="004F52A8">
        <w:rPr>
          <w:rFonts w:hint="cs"/>
          <w:rtl/>
        </w:rPr>
        <w:t>ق</w:t>
      </w:r>
      <w:r w:rsidR="004F52A8" w:rsidRPr="004F52A8">
        <w:rPr>
          <w:rtl/>
        </w:rPr>
        <w:t xml:space="preserve">انون </w:t>
      </w:r>
      <w:r w:rsidR="004F52A8" w:rsidRPr="004F52A8">
        <w:rPr>
          <w:rFonts w:hint="cs"/>
          <w:rtl/>
        </w:rPr>
        <w:t>ا</w:t>
      </w:r>
      <w:r w:rsidR="004F52A8" w:rsidRPr="004F52A8">
        <w:rPr>
          <w:rtl/>
        </w:rPr>
        <w:t xml:space="preserve">لمفوضية </w:t>
      </w:r>
      <w:r w:rsidR="004F52A8" w:rsidRPr="004F52A8">
        <w:rPr>
          <w:rFonts w:hint="cs"/>
          <w:rtl/>
        </w:rPr>
        <w:t>ا</w:t>
      </w:r>
      <w:r w:rsidR="004F52A8" w:rsidRPr="004F52A8">
        <w:rPr>
          <w:rtl/>
        </w:rPr>
        <w:t xml:space="preserve">لقومية </w:t>
      </w:r>
      <w:r w:rsidR="004F52A8" w:rsidRPr="004F52A8">
        <w:rPr>
          <w:rFonts w:hint="cs"/>
          <w:rtl/>
        </w:rPr>
        <w:t>ل</w:t>
      </w:r>
      <w:r w:rsidR="004F52A8" w:rsidRPr="004F52A8">
        <w:rPr>
          <w:rtl/>
        </w:rPr>
        <w:t xml:space="preserve">حقوق </w:t>
      </w:r>
      <w:r w:rsidR="004F52A8" w:rsidRPr="004F52A8">
        <w:rPr>
          <w:rFonts w:hint="cs"/>
          <w:rtl/>
        </w:rPr>
        <w:t>ا</w:t>
      </w:r>
      <w:r w:rsidR="004F52A8" w:rsidRPr="004F52A8">
        <w:rPr>
          <w:rtl/>
        </w:rPr>
        <w:t xml:space="preserve">لإنسان، </w:t>
      </w:r>
      <w:r w:rsidR="004F52A8" w:rsidRPr="004F52A8">
        <w:rPr>
          <w:rFonts w:hint="cs"/>
          <w:rtl/>
        </w:rPr>
        <w:t>ف</w:t>
      </w:r>
      <w:r w:rsidR="004F52A8" w:rsidRPr="004F52A8">
        <w:rPr>
          <w:rtl/>
        </w:rPr>
        <w:t xml:space="preserve">ي </w:t>
      </w:r>
      <w:r w:rsidR="004F52A8" w:rsidRPr="004F52A8">
        <w:rPr>
          <w:rFonts w:hint="cs"/>
          <w:rtl/>
        </w:rPr>
        <w:t>ع</w:t>
      </w:r>
      <w:r w:rsidR="004F52A8" w:rsidRPr="004F52A8">
        <w:rPr>
          <w:rtl/>
        </w:rPr>
        <w:t>ام 2009</w:t>
      </w:r>
      <w:r w:rsidR="004F52A8" w:rsidRPr="004F52A8">
        <w:rPr>
          <w:rFonts w:hint="cs"/>
          <w:rtl/>
        </w:rPr>
        <w:t>؛</w:t>
      </w:r>
    </w:p>
    <w:p w:rsidR="004F52A8" w:rsidRPr="004F52A8" w:rsidRDefault="004519CD" w:rsidP="004F52A8">
      <w:pPr>
        <w:pStyle w:val="SingleTxtGA"/>
      </w:pPr>
      <w:r>
        <w:rPr>
          <w:rFonts w:hint="cs"/>
          <w:rtl/>
        </w:rPr>
        <w:tab/>
        <w:t>(ب)</w:t>
      </w:r>
      <w:r>
        <w:rPr>
          <w:rFonts w:hint="cs"/>
          <w:rtl/>
        </w:rPr>
        <w:tab/>
      </w:r>
      <w:r w:rsidR="004F52A8" w:rsidRPr="004F52A8">
        <w:rPr>
          <w:rFonts w:hint="cs"/>
          <w:rtl/>
        </w:rPr>
        <w:t>ا</w:t>
      </w:r>
      <w:r w:rsidR="004F52A8" w:rsidRPr="004F52A8">
        <w:rPr>
          <w:rtl/>
        </w:rPr>
        <w:t xml:space="preserve">عتماد </w:t>
      </w:r>
      <w:r w:rsidR="004F52A8" w:rsidRPr="004F52A8">
        <w:rPr>
          <w:rFonts w:hint="cs"/>
          <w:rtl/>
        </w:rPr>
        <w:t>ق</w:t>
      </w:r>
      <w:r w:rsidR="004F52A8" w:rsidRPr="004F52A8">
        <w:rPr>
          <w:rtl/>
        </w:rPr>
        <w:t xml:space="preserve">انون </w:t>
      </w:r>
      <w:r w:rsidR="004F52A8" w:rsidRPr="004F52A8">
        <w:rPr>
          <w:rFonts w:hint="cs"/>
          <w:rtl/>
        </w:rPr>
        <w:t>ا</w:t>
      </w:r>
      <w:r w:rsidR="004F52A8" w:rsidRPr="004F52A8">
        <w:rPr>
          <w:rtl/>
        </w:rPr>
        <w:t xml:space="preserve">لمعاقين، </w:t>
      </w:r>
      <w:r w:rsidR="004F52A8" w:rsidRPr="004F52A8">
        <w:rPr>
          <w:rFonts w:hint="cs"/>
          <w:rtl/>
        </w:rPr>
        <w:t>ف</w:t>
      </w:r>
      <w:r w:rsidR="004F52A8" w:rsidRPr="004F52A8">
        <w:rPr>
          <w:rtl/>
        </w:rPr>
        <w:t xml:space="preserve">ي </w:t>
      </w:r>
      <w:r w:rsidR="004F52A8" w:rsidRPr="004F52A8">
        <w:rPr>
          <w:rFonts w:hint="cs"/>
          <w:rtl/>
        </w:rPr>
        <w:t>ع</w:t>
      </w:r>
      <w:r w:rsidR="004F52A8" w:rsidRPr="004F52A8">
        <w:rPr>
          <w:rtl/>
        </w:rPr>
        <w:t>ام 2009</w:t>
      </w:r>
      <w:r w:rsidR="004F52A8" w:rsidRPr="004F52A8">
        <w:rPr>
          <w:rFonts w:hint="cs"/>
          <w:rtl/>
        </w:rPr>
        <w:t>؛</w:t>
      </w:r>
    </w:p>
    <w:p w:rsidR="004F52A8" w:rsidRPr="004F52A8" w:rsidRDefault="004519CD" w:rsidP="004F52A8">
      <w:pPr>
        <w:pStyle w:val="SingleTxtGA"/>
        <w:rPr>
          <w:rtl/>
        </w:rPr>
      </w:pPr>
      <w:r>
        <w:rPr>
          <w:rFonts w:hint="cs"/>
          <w:rtl/>
        </w:rPr>
        <w:tab/>
      </w:r>
      <w:r w:rsidR="004F52A8" w:rsidRPr="004F52A8">
        <w:rPr>
          <w:rtl/>
        </w:rPr>
        <w:t>(</w:t>
      </w:r>
      <w:r w:rsidR="004F52A8" w:rsidRPr="004F52A8">
        <w:rPr>
          <w:rFonts w:hint="cs"/>
          <w:rtl/>
        </w:rPr>
        <w:t>ج</w:t>
      </w:r>
      <w:r w:rsidR="004F52A8" w:rsidRPr="004F52A8">
        <w:rPr>
          <w:rtl/>
        </w:rPr>
        <w:t>)</w:t>
      </w:r>
      <w:r w:rsidR="004F52A8" w:rsidRPr="004F52A8">
        <w:rPr>
          <w:rtl/>
        </w:rPr>
        <w:tab/>
      </w:r>
      <w:r w:rsidR="004F52A8" w:rsidRPr="004F52A8">
        <w:rPr>
          <w:rFonts w:hint="cs"/>
          <w:rtl/>
        </w:rPr>
        <w:t>ا</w:t>
      </w:r>
      <w:r w:rsidR="004F52A8" w:rsidRPr="004F52A8">
        <w:rPr>
          <w:rtl/>
        </w:rPr>
        <w:t xml:space="preserve">عتماد </w:t>
      </w:r>
      <w:r w:rsidR="004F52A8" w:rsidRPr="004F52A8">
        <w:rPr>
          <w:rFonts w:hint="cs"/>
          <w:rtl/>
        </w:rPr>
        <w:t>ق</w:t>
      </w:r>
      <w:r w:rsidR="004F52A8" w:rsidRPr="004F52A8">
        <w:rPr>
          <w:rtl/>
        </w:rPr>
        <w:t xml:space="preserve">انون </w:t>
      </w:r>
      <w:r w:rsidR="004F52A8" w:rsidRPr="004F52A8">
        <w:rPr>
          <w:rFonts w:hint="cs"/>
          <w:rtl/>
        </w:rPr>
        <w:t>ا</w:t>
      </w:r>
      <w:r w:rsidR="004F52A8" w:rsidRPr="004F52A8">
        <w:rPr>
          <w:rtl/>
        </w:rPr>
        <w:t xml:space="preserve">لطفل، </w:t>
      </w:r>
      <w:r w:rsidR="004F52A8" w:rsidRPr="004F52A8">
        <w:rPr>
          <w:rFonts w:hint="cs"/>
          <w:rtl/>
        </w:rPr>
        <w:t>ف</w:t>
      </w:r>
      <w:r w:rsidR="004F52A8" w:rsidRPr="004F52A8">
        <w:rPr>
          <w:rtl/>
        </w:rPr>
        <w:t xml:space="preserve">ي </w:t>
      </w:r>
      <w:r w:rsidR="004F52A8" w:rsidRPr="004F52A8">
        <w:rPr>
          <w:rFonts w:hint="cs"/>
          <w:rtl/>
        </w:rPr>
        <w:t>ع</w:t>
      </w:r>
      <w:r w:rsidR="004F52A8" w:rsidRPr="004F52A8">
        <w:rPr>
          <w:rtl/>
        </w:rPr>
        <w:t>ام 2010</w:t>
      </w:r>
      <w:r w:rsidR="004F52A8" w:rsidRPr="004F52A8">
        <w:rPr>
          <w:rFonts w:hint="cs"/>
          <w:rtl/>
        </w:rPr>
        <w:t>؛</w:t>
      </w:r>
    </w:p>
    <w:p w:rsidR="004F52A8" w:rsidRPr="004F52A8" w:rsidRDefault="004519CD" w:rsidP="004519CD">
      <w:pPr>
        <w:pStyle w:val="SingleTxtGA"/>
        <w:rPr>
          <w:rtl/>
        </w:rPr>
      </w:pPr>
      <w:r>
        <w:rPr>
          <w:rFonts w:hint="cs"/>
          <w:rtl/>
        </w:rPr>
        <w:tab/>
      </w:r>
      <w:r w:rsidR="004F52A8" w:rsidRPr="004F52A8">
        <w:rPr>
          <w:rtl/>
        </w:rPr>
        <w:t>(</w:t>
      </w:r>
      <w:r w:rsidR="004F52A8" w:rsidRPr="004F52A8">
        <w:rPr>
          <w:rFonts w:hint="cs"/>
          <w:rtl/>
        </w:rPr>
        <w:t>د</w:t>
      </w:r>
      <w:r w:rsidR="004F52A8" w:rsidRPr="004F52A8">
        <w:rPr>
          <w:rtl/>
        </w:rPr>
        <w:t>)</w:t>
      </w:r>
      <w:r w:rsidR="004F52A8" w:rsidRPr="004F52A8">
        <w:rPr>
          <w:rtl/>
        </w:rPr>
        <w:tab/>
      </w:r>
      <w:r w:rsidR="004F52A8" w:rsidRPr="004F52A8">
        <w:rPr>
          <w:rFonts w:hint="cs"/>
          <w:rtl/>
        </w:rPr>
        <w:t>ا</w:t>
      </w:r>
      <w:r w:rsidR="004F52A8" w:rsidRPr="004F52A8">
        <w:rPr>
          <w:rtl/>
        </w:rPr>
        <w:t xml:space="preserve">عتماد </w:t>
      </w:r>
      <w:r w:rsidR="004F52A8" w:rsidRPr="004F52A8">
        <w:rPr>
          <w:rFonts w:hint="cs"/>
          <w:rtl/>
        </w:rPr>
        <w:t>ا</w:t>
      </w:r>
      <w:r w:rsidR="004F52A8" w:rsidRPr="004F52A8">
        <w:rPr>
          <w:rtl/>
        </w:rPr>
        <w:t xml:space="preserve">لخطة </w:t>
      </w:r>
      <w:r w:rsidR="004F52A8" w:rsidRPr="004F52A8">
        <w:rPr>
          <w:rFonts w:hint="cs"/>
          <w:rtl/>
        </w:rPr>
        <w:t>ا</w:t>
      </w:r>
      <w:r w:rsidR="004F52A8" w:rsidRPr="004F52A8">
        <w:rPr>
          <w:rtl/>
        </w:rPr>
        <w:t xml:space="preserve">لوطنية </w:t>
      </w:r>
      <w:r w:rsidR="004F52A8" w:rsidRPr="004F52A8">
        <w:rPr>
          <w:rFonts w:hint="cs"/>
          <w:rtl/>
        </w:rPr>
        <w:t>ل</w:t>
      </w:r>
      <w:r w:rsidR="004F52A8" w:rsidRPr="004F52A8">
        <w:rPr>
          <w:rtl/>
        </w:rPr>
        <w:t xml:space="preserve">حماية </w:t>
      </w:r>
      <w:r w:rsidR="004F52A8" w:rsidRPr="004F52A8">
        <w:rPr>
          <w:rFonts w:hint="cs"/>
          <w:rtl/>
        </w:rPr>
        <w:t>و</w:t>
      </w:r>
      <w:r w:rsidR="004F52A8" w:rsidRPr="004F52A8">
        <w:rPr>
          <w:rtl/>
        </w:rPr>
        <w:t xml:space="preserve">تعزيز </w:t>
      </w:r>
      <w:r w:rsidR="004F52A8" w:rsidRPr="004F52A8">
        <w:rPr>
          <w:rFonts w:hint="cs"/>
          <w:rtl/>
        </w:rPr>
        <w:t>ح</w:t>
      </w:r>
      <w:r w:rsidR="004F52A8" w:rsidRPr="004F52A8">
        <w:rPr>
          <w:rtl/>
        </w:rPr>
        <w:t xml:space="preserve">قوق </w:t>
      </w:r>
      <w:r w:rsidR="004F52A8" w:rsidRPr="004F52A8">
        <w:rPr>
          <w:rFonts w:hint="cs"/>
          <w:rtl/>
        </w:rPr>
        <w:t>ا</w:t>
      </w:r>
      <w:r w:rsidR="004F52A8" w:rsidRPr="004F52A8">
        <w:rPr>
          <w:rtl/>
        </w:rPr>
        <w:t>لإنسان</w:t>
      </w:r>
      <w:r>
        <w:rPr>
          <w:rFonts w:hint="cs"/>
          <w:rtl/>
        </w:rPr>
        <w:t xml:space="preserve"> </w:t>
      </w:r>
      <w:r w:rsidRPr="004F52A8">
        <w:rPr>
          <w:rtl/>
        </w:rPr>
        <w:t xml:space="preserve"> </w:t>
      </w:r>
      <w:r>
        <w:rPr>
          <w:rFonts w:hint="cs"/>
          <w:rtl/>
        </w:rPr>
        <w:t xml:space="preserve">        </w:t>
      </w:r>
      <w:r w:rsidR="004F52A8" w:rsidRPr="004F52A8">
        <w:rPr>
          <w:rFonts w:hint="cs"/>
          <w:rtl/>
        </w:rPr>
        <w:t>ل</w:t>
      </w:r>
      <w:r w:rsidR="004F52A8" w:rsidRPr="004F52A8">
        <w:rPr>
          <w:rtl/>
        </w:rPr>
        <w:t>لفترة</w:t>
      </w:r>
      <w:r>
        <w:rPr>
          <w:rFonts w:hint="cs"/>
          <w:rtl/>
        </w:rPr>
        <w:t> </w:t>
      </w:r>
      <w:r w:rsidR="004F52A8" w:rsidRPr="004F52A8">
        <w:rPr>
          <w:rtl/>
        </w:rPr>
        <w:t>2013-2023.</w:t>
      </w:r>
    </w:p>
    <w:p w:rsidR="004F52A8" w:rsidRPr="00E7070A" w:rsidRDefault="004F52A8" w:rsidP="004519CD">
      <w:pPr>
        <w:pStyle w:val="SingleTxtGA"/>
        <w:rPr>
          <w:rFonts w:hint="cs"/>
          <w:spacing w:val="-1"/>
          <w:rtl/>
        </w:rPr>
      </w:pPr>
      <w:r w:rsidRPr="00E7070A">
        <w:rPr>
          <w:spacing w:val="-1"/>
          <w:rtl/>
        </w:rPr>
        <w:t>4-</w:t>
      </w:r>
      <w:r w:rsidRPr="00E7070A">
        <w:rPr>
          <w:spacing w:val="-1"/>
          <w:rtl/>
        </w:rPr>
        <w:tab/>
        <w:t xml:space="preserve">وإذ تشير اللجنة إلى ملاحظاتها الختامية السابقة (انظر </w:t>
      </w:r>
      <w:r w:rsidRPr="00E7070A">
        <w:rPr>
          <w:spacing w:val="-1"/>
        </w:rPr>
        <w:t>CCPR/C/SDN/CO/3</w:t>
      </w:r>
      <w:r w:rsidRPr="00E7070A">
        <w:rPr>
          <w:rFonts w:hint="cs"/>
          <w:spacing w:val="-1"/>
          <w:rtl/>
        </w:rPr>
        <w:t>،</w:t>
      </w:r>
      <w:r w:rsidRPr="00E7070A">
        <w:rPr>
          <w:spacing w:val="-1"/>
          <w:rtl/>
        </w:rPr>
        <w:t xml:space="preserve"> الفقرة</w:t>
      </w:r>
      <w:r w:rsidR="004519CD" w:rsidRPr="00E7070A">
        <w:rPr>
          <w:rFonts w:hint="cs"/>
          <w:spacing w:val="-1"/>
          <w:rtl/>
        </w:rPr>
        <w:t> </w:t>
      </w:r>
      <w:r w:rsidRPr="00E7070A">
        <w:rPr>
          <w:spacing w:val="-1"/>
          <w:rtl/>
        </w:rPr>
        <w:t>7)، ترحب باعتماد قانون استفتاء جنوب السودان في عام 2009، وكذلك بإجراء الاستفتاء في 9 كانون الثاني/يناير 2011، على أساس الدستور الوطني الانتقالي لعام</w:t>
      </w:r>
      <w:r w:rsidR="004519CD" w:rsidRPr="00E7070A">
        <w:rPr>
          <w:rFonts w:hint="cs"/>
          <w:spacing w:val="-1"/>
          <w:rtl/>
        </w:rPr>
        <w:t> </w:t>
      </w:r>
      <w:r w:rsidR="00E7070A" w:rsidRPr="00E7070A">
        <w:rPr>
          <w:spacing w:val="-1"/>
          <w:rtl/>
        </w:rPr>
        <w:t>2005.</w:t>
      </w:r>
    </w:p>
    <w:p w:rsidR="004F52A8" w:rsidRPr="004F52A8" w:rsidRDefault="004F52A8" w:rsidP="004F52A8">
      <w:pPr>
        <w:pStyle w:val="SingleTxtGA"/>
        <w:rPr>
          <w:rtl/>
        </w:rPr>
      </w:pPr>
      <w:r w:rsidRPr="004F52A8">
        <w:rPr>
          <w:rtl/>
        </w:rPr>
        <w:t>5-</w:t>
      </w:r>
      <w:r w:rsidRPr="004F52A8">
        <w:rPr>
          <w:rtl/>
        </w:rPr>
        <w:tab/>
        <w:t>كما ترحب اللجنة بتصديق الدولة الطرف على اتفاقية حقوق الأشخاص ذوي الإعاقة وانضمامها إلى البروتوكول الاختياري للاتفاقية في عام 2009.</w:t>
      </w:r>
    </w:p>
    <w:p w:rsidR="004F52A8" w:rsidRPr="004F52A8" w:rsidRDefault="004519CD" w:rsidP="004519CD">
      <w:pPr>
        <w:pStyle w:val="H1GA"/>
        <w:rPr>
          <w:rtl/>
        </w:rPr>
      </w:pPr>
      <w:r>
        <w:rPr>
          <w:rtl/>
        </w:rPr>
        <w:tab/>
      </w:r>
      <w:r w:rsidR="004F52A8" w:rsidRPr="004F52A8">
        <w:rPr>
          <w:rFonts w:hint="cs"/>
          <w:rtl/>
        </w:rPr>
        <w:t>ج</w:t>
      </w:r>
      <w:r w:rsidR="004F52A8" w:rsidRPr="004F52A8">
        <w:rPr>
          <w:rtl/>
        </w:rPr>
        <w:t>يم-</w:t>
      </w:r>
      <w:r w:rsidR="004F52A8" w:rsidRPr="004F52A8">
        <w:rPr>
          <w:rtl/>
        </w:rPr>
        <w:tab/>
        <w:t>الشواغل الرئيسية والتوصيات</w:t>
      </w:r>
    </w:p>
    <w:p w:rsidR="004F52A8" w:rsidRPr="004F52A8" w:rsidRDefault="004519CD" w:rsidP="004519CD">
      <w:pPr>
        <w:pStyle w:val="H23GA"/>
        <w:rPr>
          <w:rtl/>
        </w:rPr>
      </w:pPr>
      <w:r>
        <w:rPr>
          <w:rtl/>
        </w:rPr>
        <w:tab/>
      </w:r>
      <w:r>
        <w:rPr>
          <w:rFonts w:hint="cs"/>
          <w:rtl/>
        </w:rPr>
        <w:tab/>
      </w:r>
      <w:r w:rsidR="004F52A8" w:rsidRPr="004F52A8">
        <w:rPr>
          <w:rFonts w:hint="cs"/>
          <w:rtl/>
        </w:rPr>
        <w:t>ا</w:t>
      </w:r>
      <w:r w:rsidR="004F52A8" w:rsidRPr="004F52A8">
        <w:rPr>
          <w:rtl/>
        </w:rPr>
        <w:t>لإطار الدستوري والقانوني</w:t>
      </w:r>
    </w:p>
    <w:p w:rsidR="004F52A8" w:rsidRPr="004F52A8" w:rsidRDefault="004F52A8" w:rsidP="00BD08F6">
      <w:pPr>
        <w:pStyle w:val="SingleTxtGA"/>
        <w:rPr>
          <w:rtl/>
        </w:rPr>
      </w:pPr>
      <w:r w:rsidRPr="004F52A8">
        <w:rPr>
          <w:rtl/>
        </w:rPr>
        <w:t>6-</w:t>
      </w:r>
      <w:r w:rsidRPr="004F52A8">
        <w:rPr>
          <w:rtl/>
        </w:rPr>
        <w:tab/>
        <w:t>ترحب اللجنة ببدء عملية الاستعراض الدستوري في البلد، لكنها تشعر</w:t>
      </w:r>
      <w:r w:rsidR="00BD08F6">
        <w:rPr>
          <w:rFonts w:hint="cs"/>
          <w:rtl/>
        </w:rPr>
        <w:t xml:space="preserve"> </w:t>
      </w:r>
      <w:r w:rsidRPr="004F52A8">
        <w:rPr>
          <w:rtl/>
        </w:rPr>
        <w:t>بالقلق لورود تقارير تفيد بعدم إجراء العملية بصورة شاملة أو</w:t>
      </w:r>
      <w:r w:rsidR="00BD08F6">
        <w:rPr>
          <w:rFonts w:hint="cs"/>
          <w:rtl/>
        </w:rPr>
        <w:t xml:space="preserve"> </w:t>
      </w:r>
      <w:r w:rsidRPr="004F52A8">
        <w:rPr>
          <w:rtl/>
        </w:rPr>
        <w:t>في ظروف تمكن من الحوار</w:t>
      </w:r>
      <w:r w:rsidR="00BD08F6">
        <w:rPr>
          <w:rFonts w:hint="cs"/>
          <w:rtl/>
        </w:rPr>
        <w:t xml:space="preserve"> </w:t>
      </w:r>
      <w:r w:rsidRPr="004F52A8">
        <w:rPr>
          <w:rtl/>
        </w:rPr>
        <w:t>بحرية تامة. وإضافة إلى ذلك، تأسف اللجنة لعدم تلقّي معلومات كافية عما اتُّخذ من تدابير لضمان اتفاق نص الدستور الجديد اتفاقا</w:t>
      </w:r>
      <w:r w:rsidR="00AE24FB">
        <w:rPr>
          <w:rFonts w:hint="cs"/>
          <w:rtl/>
        </w:rPr>
        <w:t>ً</w:t>
      </w:r>
      <w:r w:rsidRPr="004F52A8">
        <w:rPr>
          <w:rtl/>
        </w:rPr>
        <w:t xml:space="preserve"> تاما</w:t>
      </w:r>
      <w:r w:rsidR="00AE24FB">
        <w:rPr>
          <w:rFonts w:hint="cs"/>
          <w:rtl/>
        </w:rPr>
        <w:t>ً</w:t>
      </w:r>
      <w:r w:rsidRPr="004F52A8">
        <w:rPr>
          <w:rtl/>
        </w:rPr>
        <w:t xml:space="preserve"> مع أحكام العهد (المادتان 2 و19). </w:t>
      </w:r>
    </w:p>
    <w:p w:rsidR="004F52A8" w:rsidRPr="00684822" w:rsidRDefault="006F23B3" w:rsidP="00BD08F6">
      <w:pPr>
        <w:pStyle w:val="SingleTxtGA"/>
        <w:rPr>
          <w:b/>
          <w:bCs/>
          <w:spacing w:val="-1"/>
          <w:rtl/>
        </w:rPr>
      </w:pPr>
      <w:r w:rsidRPr="00684822">
        <w:rPr>
          <w:spacing w:val="-1"/>
          <w:rtl/>
        </w:rPr>
        <w:tab/>
      </w:r>
      <w:r w:rsidR="004F52A8" w:rsidRPr="00684822">
        <w:rPr>
          <w:rFonts w:hint="cs"/>
          <w:b/>
          <w:bCs/>
          <w:spacing w:val="-1"/>
          <w:rtl/>
        </w:rPr>
        <w:t>ت</w:t>
      </w:r>
      <w:r w:rsidR="004F52A8" w:rsidRPr="00684822">
        <w:rPr>
          <w:b/>
          <w:bCs/>
          <w:spacing w:val="-1"/>
          <w:rtl/>
        </w:rPr>
        <w:t>وصي اللجنة بأن تتخذ الدولة الطرف التدابير اللازمة لضمان الشفافية في جميع مراحل عملية الاستعراض الدستوري،</w:t>
      </w:r>
      <w:r w:rsidR="00BD08F6" w:rsidRPr="00684822">
        <w:rPr>
          <w:rFonts w:hint="cs"/>
          <w:b/>
          <w:bCs/>
          <w:spacing w:val="-1"/>
          <w:rtl/>
        </w:rPr>
        <w:t xml:space="preserve"> </w:t>
      </w:r>
      <w:r w:rsidR="004F52A8" w:rsidRPr="00684822">
        <w:rPr>
          <w:b/>
          <w:bCs/>
          <w:spacing w:val="-1"/>
          <w:rtl/>
        </w:rPr>
        <w:t>ولكفالة مشاركة جميع الأطراف الفاعلة المعنية مشاركةً فعالة وهادفة، بما فيها ممثلو أحزاب المعارضة ومؤسسات المجتمع المدني بأكملها. وينبغي للدولة الطرف أن تضمن اتساق نص الدستور الجديد اتساقا</w:t>
      </w:r>
      <w:r w:rsidR="00AE24FB" w:rsidRPr="00684822">
        <w:rPr>
          <w:rFonts w:hint="cs"/>
          <w:b/>
          <w:bCs/>
          <w:spacing w:val="-1"/>
          <w:rtl/>
        </w:rPr>
        <w:t>ً</w:t>
      </w:r>
      <w:r w:rsidR="004F52A8" w:rsidRPr="00684822">
        <w:rPr>
          <w:b/>
          <w:bCs/>
          <w:spacing w:val="-1"/>
          <w:rtl/>
        </w:rPr>
        <w:t xml:space="preserve"> تاما</w:t>
      </w:r>
      <w:r w:rsidR="00AE24FB" w:rsidRPr="00684822">
        <w:rPr>
          <w:rFonts w:hint="cs"/>
          <w:b/>
          <w:bCs/>
          <w:spacing w:val="-1"/>
          <w:rtl/>
        </w:rPr>
        <w:t>ً</w:t>
      </w:r>
      <w:r w:rsidR="004F52A8" w:rsidRPr="00684822">
        <w:rPr>
          <w:b/>
          <w:bCs/>
          <w:spacing w:val="-1"/>
          <w:rtl/>
        </w:rPr>
        <w:t xml:space="preserve"> مع أحكام العهد. </w:t>
      </w:r>
    </w:p>
    <w:p w:rsidR="004F52A8" w:rsidRPr="004F52A8" w:rsidRDefault="004F52A8" w:rsidP="00BD08F6">
      <w:pPr>
        <w:pStyle w:val="SingleTxtGA"/>
        <w:rPr>
          <w:rtl/>
        </w:rPr>
      </w:pPr>
      <w:r w:rsidRPr="004F52A8">
        <w:rPr>
          <w:rtl/>
        </w:rPr>
        <w:t>7-</w:t>
      </w:r>
      <w:r w:rsidRPr="004F52A8">
        <w:rPr>
          <w:rtl/>
        </w:rPr>
        <w:tab/>
        <w:t>ويساور اللجنة قلق لأنه على الرغم من أحكام المادة 27 من الدستور الوطني الانتقالي لعام 2005، لم يُعترف حتى الآن بالحقوق المحمية بموجب العهد ولم</w:t>
      </w:r>
      <w:r w:rsidR="00BD08F6">
        <w:rPr>
          <w:rFonts w:hint="cs"/>
          <w:rtl/>
        </w:rPr>
        <w:t xml:space="preserve"> </w:t>
      </w:r>
      <w:r w:rsidRPr="004F52A8">
        <w:rPr>
          <w:rtl/>
        </w:rPr>
        <w:t>تنفّذ في الإطار القانوني الوطني إنفاذا</w:t>
      </w:r>
      <w:r w:rsidR="00AE24FB">
        <w:rPr>
          <w:rFonts w:hint="cs"/>
          <w:rtl/>
        </w:rPr>
        <w:t>ً</w:t>
      </w:r>
      <w:r w:rsidRPr="004F52A8">
        <w:rPr>
          <w:rtl/>
        </w:rPr>
        <w:t xml:space="preserve"> كاملا</w:t>
      </w:r>
      <w:r w:rsidR="00AE24FB">
        <w:rPr>
          <w:rFonts w:hint="cs"/>
          <w:rtl/>
        </w:rPr>
        <w:t>ً</w:t>
      </w:r>
      <w:r w:rsidRPr="004F52A8">
        <w:rPr>
          <w:rtl/>
        </w:rPr>
        <w:t>. كما يساورها قلق لعدم وضوح أسبقية العهد على القانون الداخلي المتضارب معه، بما في ذلك قواعد الأحوال الشخصية وقانون الأسرة والقانون الجنائي (المادة 2).</w:t>
      </w:r>
    </w:p>
    <w:p w:rsidR="004F52A8" w:rsidRPr="006F23B3" w:rsidRDefault="006F23B3" w:rsidP="00BE2244">
      <w:pPr>
        <w:pStyle w:val="SingleTxtGA"/>
        <w:rPr>
          <w:b/>
          <w:bCs/>
          <w:rtl/>
        </w:rPr>
      </w:pPr>
      <w:r>
        <w:rPr>
          <w:rFonts w:hint="cs"/>
          <w:rtl/>
        </w:rPr>
        <w:tab/>
      </w:r>
      <w:r w:rsidR="004F52A8" w:rsidRPr="006F23B3">
        <w:rPr>
          <w:rFonts w:hint="cs"/>
          <w:b/>
          <w:bCs/>
          <w:rtl/>
        </w:rPr>
        <w:t>ف</w:t>
      </w:r>
      <w:r w:rsidR="004F52A8" w:rsidRPr="006F23B3">
        <w:rPr>
          <w:b/>
          <w:bCs/>
          <w:rtl/>
        </w:rPr>
        <w:t xml:space="preserve">ي ضوء الملاحظات الختامية السابقة للجنة (انظر </w:t>
      </w:r>
      <w:r w:rsidR="004F52A8" w:rsidRPr="006F23B3">
        <w:rPr>
          <w:b/>
          <w:bCs/>
        </w:rPr>
        <w:t>CCPR/C/SDN/CO/3</w:t>
      </w:r>
      <w:r w:rsidR="004F52A8" w:rsidRPr="006F23B3">
        <w:rPr>
          <w:rFonts w:hint="cs"/>
          <w:b/>
          <w:bCs/>
          <w:rtl/>
        </w:rPr>
        <w:t>،</w:t>
      </w:r>
      <w:r w:rsidR="004F52A8" w:rsidRPr="006F23B3">
        <w:rPr>
          <w:b/>
          <w:bCs/>
          <w:rtl/>
        </w:rPr>
        <w:t xml:space="preserve"> الفقرة</w:t>
      </w:r>
      <w:r w:rsidR="00BE2244">
        <w:rPr>
          <w:rFonts w:hint="cs"/>
          <w:b/>
          <w:bCs/>
          <w:rtl/>
        </w:rPr>
        <w:t> </w:t>
      </w:r>
      <w:r w:rsidR="004F52A8" w:rsidRPr="006F23B3">
        <w:rPr>
          <w:b/>
          <w:bCs/>
          <w:rtl/>
        </w:rPr>
        <w:t>8)، ينبغي للدولة الطرف ضمان أن تُنفِذ تشريعاتها على نحو كامل جميع الحقوق المعترَف بها في العهد. وينبغي للدولة الطرف أن تتخذ التدابير الملائمة لضمان عدم تفسير أو تطبيق قانونها الداخلي، بما في ذلك قواعد الأحوال الشخصية وقانون الأسرة والقانون الجنائي، على نحو يتعارض مع التزاماتها بموجب العهد. وينبغي لها أيضا</w:t>
      </w:r>
      <w:r w:rsidR="00AE24FB">
        <w:rPr>
          <w:rFonts w:hint="cs"/>
          <w:b/>
          <w:bCs/>
          <w:rtl/>
        </w:rPr>
        <w:t>ً</w:t>
      </w:r>
      <w:r w:rsidR="004F52A8" w:rsidRPr="006F23B3">
        <w:rPr>
          <w:b/>
          <w:bCs/>
          <w:rtl/>
        </w:rPr>
        <w:t xml:space="preserve"> أن تذكيَ وعي القضاة وموظفي القضاء بالعهد ووجوب تطبيقه في إطار القانون الداخلي. وإضافة إلى ذلك، تشجع اللجنة الدولة الطرف على الانضمام إلى البروتوكول الاختياري الملحق بالعهد الدولي الخاص بالحقوق المدنية والسياسية بشأن البلاغات الفردية.</w:t>
      </w:r>
    </w:p>
    <w:p w:rsidR="004F52A8" w:rsidRPr="004F52A8" w:rsidRDefault="006F23B3" w:rsidP="006F23B3">
      <w:pPr>
        <w:pStyle w:val="H23GA"/>
        <w:rPr>
          <w:rtl/>
        </w:rPr>
      </w:pPr>
      <w:r>
        <w:rPr>
          <w:rFonts w:hint="cs"/>
          <w:rtl/>
        </w:rPr>
        <w:tab/>
      </w:r>
      <w:r>
        <w:rPr>
          <w:rFonts w:hint="cs"/>
          <w:rtl/>
        </w:rPr>
        <w:tab/>
      </w:r>
      <w:r w:rsidR="004F52A8" w:rsidRPr="004F52A8">
        <w:rPr>
          <w:rFonts w:hint="cs"/>
          <w:rtl/>
        </w:rPr>
        <w:t>ا</w:t>
      </w:r>
      <w:r w:rsidR="004F52A8" w:rsidRPr="004F52A8">
        <w:rPr>
          <w:rtl/>
        </w:rPr>
        <w:t>دعاءات انتهاك حقوق الإنسان في سياق النزاعات المسلحة</w:t>
      </w:r>
    </w:p>
    <w:p w:rsidR="004F52A8" w:rsidRPr="004F52A8" w:rsidRDefault="004F52A8" w:rsidP="004F52A8">
      <w:pPr>
        <w:pStyle w:val="SingleTxtGA"/>
        <w:rPr>
          <w:rtl/>
        </w:rPr>
      </w:pPr>
      <w:r w:rsidRPr="004F52A8">
        <w:rPr>
          <w:rtl/>
        </w:rPr>
        <w:t>8-</w:t>
      </w:r>
      <w:r w:rsidRPr="004F52A8">
        <w:rPr>
          <w:rtl/>
        </w:rPr>
        <w:tab/>
        <w:t>يساور اللجنة قلق إزاء ورود تقارير عما ارتُكب، وما زال يُرتكب، من انتهاكاتٍ خطيرة لحقوق الإنسان تشمل الاغتصاب والتعذيب والاحتجاز التعسفي والتشريد الجماعي وعمليات القتل خارج القضاء، في المناطق المتأثرة بالنزاعات، ولا سيما في دارفور وشمال كردفان والنيل الأزرق، وعن عدم المساءلة على هذه الجرائم. ويساور اللجنة قلق كذلك إزاء ورود تقارير تشير إلى عدم سماح سلطات الدولة الطرف في بعض الأحيان، تعسفا</w:t>
      </w:r>
      <w:r w:rsidR="00AE24FB">
        <w:rPr>
          <w:rFonts w:hint="cs"/>
          <w:rtl/>
        </w:rPr>
        <w:t>ً</w:t>
      </w:r>
      <w:r w:rsidRPr="004F52A8">
        <w:rPr>
          <w:rtl/>
        </w:rPr>
        <w:t xml:space="preserve">، بوصول المساعدات الإنسانية في الوقت المناسب لإنقاذ حياة السكان المدنيين في المناطق المتأثرة بالنزاعات، ولا سيما تلك التي تسيطر عليها جماعات المتمردين (المواد 2 و6 و7 و9 و12). </w:t>
      </w:r>
    </w:p>
    <w:p w:rsidR="004F52A8" w:rsidRPr="006F23B3" w:rsidRDefault="006F23B3" w:rsidP="00836252">
      <w:pPr>
        <w:pStyle w:val="SingleTxtGA"/>
        <w:rPr>
          <w:b/>
          <w:bCs/>
          <w:rtl/>
        </w:rPr>
      </w:pPr>
      <w:r>
        <w:rPr>
          <w:rtl/>
        </w:rPr>
        <w:tab/>
      </w:r>
      <w:r w:rsidR="004F52A8" w:rsidRPr="006F23B3">
        <w:rPr>
          <w:rFonts w:hint="cs"/>
          <w:b/>
          <w:bCs/>
          <w:rtl/>
        </w:rPr>
        <w:t>ف</w:t>
      </w:r>
      <w:r w:rsidR="004F52A8" w:rsidRPr="006F23B3">
        <w:rPr>
          <w:b/>
          <w:bCs/>
          <w:rtl/>
        </w:rPr>
        <w:t xml:space="preserve">ي ضوء الملاحظات الختامية السابقة للجنة (انظر </w:t>
      </w:r>
      <w:r w:rsidR="004F52A8" w:rsidRPr="006F23B3">
        <w:rPr>
          <w:b/>
          <w:bCs/>
        </w:rPr>
        <w:t>CCPR/C/SDN/CO/3</w:t>
      </w:r>
      <w:r w:rsidR="004F52A8" w:rsidRPr="006F23B3">
        <w:rPr>
          <w:rFonts w:hint="cs"/>
          <w:b/>
          <w:bCs/>
          <w:rtl/>
        </w:rPr>
        <w:t>،</w:t>
      </w:r>
      <w:r w:rsidR="004F52A8" w:rsidRPr="006F23B3">
        <w:rPr>
          <w:b/>
          <w:bCs/>
          <w:rtl/>
        </w:rPr>
        <w:t xml:space="preserve"> الفقرتان</w:t>
      </w:r>
      <w:r w:rsidR="00836252">
        <w:rPr>
          <w:rFonts w:hint="cs"/>
          <w:b/>
          <w:bCs/>
          <w:rtl/>
        </w:rPr>
        <w:t> </w:t>
      </w:r>
      <w:r w:rsidR="004F52A8" w:rsidRPr="006F23B3">
        <w:rPr>
          <w:b/>
          <w:bCs/>
          <w:rtl/>
        </w:rPr>
        <w:t>9 و11)، ينبغي للدولة الطرف الاضطلاع بما يلي:</w:t>
      </w:r>
    </w:p>
    <w:p w:rsidR="004F52A8" w:rsidRPr="00BE2244" w:rsidRDefault="006F23B3" w:rsidP="006F23B3">
      <w:pPr>
        <w:pStyle w:val="SingleTxtGA"/>
        <w:rPr>
          <w:b/>
          <w:bCs/>
        </w:rPr>
      </w:pPr>
      <w:r w:rsidRPr="00BE2244">
        <w:rPr>
          <w:rFonts w:hint="cs"/>
          <w:b/>
          <w:bCs/>
          <w:rtl/>
        </w:rPr>
        <w:tab/>
        <w:t>(أ)</w:t>
      </w:r>
      <w:r w:rsidRPr="00BE2244">
        <w:rPr>
          <w:rFonts w:hint="cs"/>
          <w:b/>
          <w:bCs/>
          <w:rtl/>
        </w:rPr>
        <w:tab/>
      </w:r>
      <w:r w:rsidR="004F52A8" w:rsidRPr="00BE2244">
        <w:rPr>
          <w:rFonts w:hint="cs"/>
          <w:b/>
          <w:bCs/>
          <w:rtl/>
        </w:rPr>
        <w:t>أ</w:t>
      </w:r>
      <w:r w:rsidR="004F52A8" w:rsidRPr="00BE2244">
        <w:rPr>
          <w:b/>
          <w:bCs/>
          <w:rtl/>
        </w:rPr>
        <w:t>ن تضمن ألا ترتكب قوات الدولة والجماعات الخاضعة لسيطرتها، بأي حال، انتهاكات</w:t>
      </w:r>
      <w:r w:rsidRPr="00BE2244">
        <w:rPr>
          <w:rFonts w:hint="cs"/>
          <w:b/>
          <w:bCs/>
          <w:rtl/>
        </w:rPr>
        <w:t xml:space="preserve"> </w:t>
      </w:r>
      <w:r w:rsidR="004F52A8" w:rsidRPr="00BE2244">
        <w:rPr>
          <w:rFonts w:hint="cs"/>
          <w:b/>
          <w:bCs/>
          <w:rtl/>
        </w:rPr>
        <w:t>ل</w:t>
      </w:r>
      <w:r w:rsidR="004F52A8" w:rsidRPr="00BE2244">
        <w:rPr>
          <w:b/>
          <w:bCs/>
          <w:rtl/>
        </w:rPr>
        <w:t xml:space="preserve">حقوق الإنسان، وتتخذ كل ما يمكن تنفيذه من تدابير لتلافي وقوع خسائر في أرواح المدنيين؛ </w:t>
      </w:r>
    </w:p>
    <w:p w:rsidR="004F52A8" w:rsidRPr="00BE2244" w:rsidRDefault="006F23B3" w:rsidP="006F23B3">
      <w:pPr>
        <w:pStyle w:val="SingleTxtGA"/>
        <w:rPr>
          <w:b/>
          <w:bCs/>
        </w:rPr>
      </w:pPr>
      <w:r w:rsidRPr="00BE2244">
        <w:rPr>
          <w:rFonts w:hint="cs"/>
          <w:b/>
          <w:bCs/>
          <w:rtl/>
        </w:rPr>
        <w:tab/>
        <w:t>(ب)</w:t>
      </w:r>
      <w:r w:rsidRPr="00BE2244">
        <w:rPr>
          <w:rFonts w:hint="cs"/>
          <w:b/>
          <w:bCs/>
          <w:rtl/>
        </w:rPr>
        <w:tab/>
      </w:r>
      <w:r w:rsidR="004F52A8" w:rsidRPr="00BE2244">
        <w:rPr>
          <w:rFonts w:hint="cs"/>
          <w:b/>
          <w:bCs/>
          <w:rtl/>
        </w:rPr>
        <w:t>أ</w:t>
      </w:r>
      <w:r w:rsidR="004F52A8" w:rsidRPr="00BE2244">
        <w:rPr>
          <w:b/>
          <w:bCs/>
          <w:rtl/>
        </w:rPr>
        <w:t>ن تضمن قيام هيئات الدولة وأعوانها بتقديم الحماية اللازمة لضحايا الانتهاكات الخطيرة التي ترتكبها أطراف أخرى؛</w:t>
      </w:r>
    </w:p>
    <w:p w:rsidR="004F52A8" w:rsidRPr="00BE2244" w:rsidRDefault="006F23B3" w:rsidP="004F52A8">
      <w:pPr>
        <w:pStyle w:val="SingleTxtGA"/>
        <w:rPr>
          <w:b/>
          <w:bCs/>
          <w:rtl/>
        </w:rPr>
      </w:pPr>
      <w:r w:rsidRPr="00BE2244">
        <w:rPr>
          <w:rFonts w:hint="cs"/>
          <w:b/>
          <w:bCs/>
          <w:rtl/>
        </w:rPr>
        <w:tab/>
      </w:r>
      <w:r w:rsidR="004F52A8" w:rsidRPr="00BE2244">
        <w:rPr>
          <w:b/>
          <w:bCs/>
          <w:rtl/>
        </w:rPr>
        <w:t>(ج)</w:t>
      </w:r>
      <w:r w:rsidR="004F52A8" w:rsidRPr="00BE2244">
        <w:rPr>
          <w:b/>
          <w:bCs/>
          <w:rtl/>
        </w:rPr>
        <w:tab/>
        <w:t>أن تضمن عدم تقديم الدعم المالي أو المادي إلى الجماعات التي تتعمّد استهداف المدنيين؛</w:t>
      </w:r>
    </w:p>
    <w:p w:rsidR="004F52A8" w:rsidRPr="00BE2244" w:rsidRDefault="006F23B3" w:rsidP="006F23B3">
      <w:pPr>
        <w:pStyle w:val="SingleTxtGA"/>
        <w:rPr>
          <w:rFonts w:hint="cs"/>
          <w:b/>
          <w:bCs/>
          <w:rtl/>
        </w:rPr>
      </w:pPr>
      <w:r w:rsidRPr="00BE2244">
        <w:rPr>
          <w:rFonts w:hint="cs"/>
          <w:b/>
          <w:bCs/>
          <w:rtl/>
        </w:rPr>
        <w:tab/>
      </w:r>
      <w:r w:rsidR="004F52A8" w:rsidRPr="00BE2244">
        <w:rPr>
          <w:b/>
          <w:bCs/>
          <w:rtl/>
        </w:rPr>
        <w:t>(د)</w:t>
      </w:r>
      <w:r w:rsidR="004F52A8" w:rsidRPr="00BE2244">
        <w:rPr>
          <w:b/>
          <w:bCs/>
          <w:rtl/>
        </w:rPr>
        <w:tab/>
        <w:t xml:space="preserve"> أن تضمن التحقيق على نحو مستقل وسريع ووافٍ في ادعاءات انتهاكات حقوق الإنسان ومحاكمة مرتكبيها ومعاقبتهم إذا ثبتت إدانتهم، بعقوبات مناسبة. وينبغي للدولة الطرف ضمان التعجيل بالتحقيقات والمحاكمات المتعلقة بالانتهاكات الخطيرة لحقوق الإنسان التي ارتُكبت في دارفور منذ شباط/فبراير 2003، وزيادة تعاونها مع الآليات الدولية للمساءلة، بما</w:t>
      </w:r>
      <w:r w:rsidR="00BE2244">
        <w:rPr>
          <w:b/>
          <w:bCs/>
          <w:rtl/>
        </w:rPr>
        <w:t xml:space="preserve"> فيها المحكمة الجنائية الدولية</w:t>
      </w:r>
      <w:r w:rsidR="00BE2244">
        <w:rPr>
          <w:rFonts w:hint="cs"/>
          <w:b/>
          <w:bCs/>
          <w:rtl/>
        </w:rPr>
        <w:t>؛</w:t>
      </w:r>
    </w:p>
    <w:p w:rsidR="004F52A8" w:rsidRPr="00BE2244" w:rsidRDefault="006F23B3" w:rsidP="006F23B3">
      <w:pPr>
        <w:pStyle w:val="SingleTxtGA"/>
        <w:rPr>
          <w:b/>
          <w:bCs/>
          <w:rtl/>
        </w:rPr>
      </w:pPr>
      <w:r w:rsidRPr="00BE2244">
        <w:rPr>
          <w:rFonts w:hint="cs"/>
          <w:b/>
          <w:bCs/>
          <w:rtl/>
        </w:rPr>
        <w:tab/>
        <w:t>(ه‍(</w:t>
      </w:r>
      <w:r w:rsidR="004F52A8" w:rsidRPr="00BE2244">
        <w:rPr>
          <w:b/>
          <w:bCs/>
          <w:rtl/>
        </w:rPr>
        <w:tab/>
        <w:t>أن تضمن امتلاك سلطات التحقيقات ما يكفي من موارد بشرية وتقنية ومالية لتتمكن من إنجاز مهامها بكفاءة؛</w:t>
      </w:r>
    </w:p>
    <w:p w:rsidR="004F52A8" w:rsidRPr="00BE2244" w:rsidRDefault="006F23B3" w:rsidP="004F52A8">
      <w:pPr>
        <w:pStyle w:val="SingleTxtGA"/>
        <w:rPr>
          <w:b/>
          <w:bCs/>
          <w:rtl/>
        </w:rPr>
      </w:pPr>
      <w:r w:rsidRPr="00BE2244">
        <w:rPr>
          <w:rFonts w:hint="cs"/>
          <w:b/>
          <w:bCs/>
          <w:rtl/>
        </w:rPr>
        <w:tab/>
      </w:r>
      <w:r w:rsidR="004F52A8" w:rsidRPr="00BE2244">
        <w:rPr>
          <w:b/>
          <w:bCs/>
          <w:rtl/>
        </w:rPr>
        <w:t>(و)</w:t>
      </w:r>
      <w:r w:rsidR="004F52A8" w:rsidRPr="00BE2244">
        <w:rPr>
          <w:b/>
          <w:bCs/>
          <w:rtl/>
        </w:rPr>
        <w:tab/>
        <w:t>أن تأذن بوصول المساعدات الإنسانية في الوقت المناسب ودون قيد أو شرط إلى السكان المدنيين في المناطق المتأثرة بالنزاعات وتيسّر ذلك، بالتقيّد التام بحظر المنع التعسفي لوصول المساعدات الإنسانية؛</w:t>
      </w:r>
    </w:p>
    <w:p w:rsidR="004F52A8" w:rsidRPr="00BE2244" w:rsidRDefault="006F23B3" w:rsidP="004F52A8">
      <w:pPr>
        <w:pStyle w:val="SingleTxtGA"/>
        <w:rPr>
          <w:b/>
          <w:bCs/>
          <w:rtl/>
        </w:rPr>
      </w:pPr>
      <w:r w:rsidRPr="00BE2244">
        <w:rPr>
          <w:rFonts w:hint="cs"/>
          <w:b/>
          <w:bCs/>
          <w:rtl/>
        </w:rPr>
        <w:tab/>
      </w:r>
      <w:r w:rsidR="004F52A8" w:rsidRPr="00BE2244">
        <w:rPr>
          <w:b/>
          <w:bCs/>
          <w:rtl/>
        </w:rPr>
        <w:t>(ز)</w:t>
      </w:r>
      <w:r w:rsidR="004F52A8" w:rsidRPr="00BE2244">
        <w:rPr>
          <w:b/>
          <w:bCs/>
          <w:rtl/>
        </w:rPr>
        <w:tab/>
        <w:t>أن تكفل حصول الضحايا على الجبر الكافي، بما في ذلك خدمات إعادة التأهيل.</w:t>
      </w:r>
    </w:p>
    <w:p w:rsidR="004F52A8" w:rsidRPr="004F52A8" w:rsidRDefault="006F23B3" w:rsidP="008C55BC">
      <w:pPr>
        <w:pStyle w:val="H23GA"/>
        <w:keepNext/>
        <w:keepLines/>
        <w:rPr>
          <w:rFonts w:hint="cs"/>
          <w:rtl/>
        </w:rPr>
      </w:pPr>
      <w:r>
        <w:rPr>
          <w:rtl/>
        </w:rPr>
        <w:tab/>
      </w:r>
      <w:r>
        <w:rPr>
          <w:rFonts w:hint="cs"/>
          <w:rtl/>
        </w:rPr>
        <w:tab/>
      </w:r>
      <w:r w:rsidR="004F52A8" w:rsidRPr="004F52A8">
        <w:rPr>
          <w:rFonts w:hint="cs"/>
          <w:rtl/>
        </w:rPr>
        <w:t>ا</w:t>
      </w:r>
      <w:r w:rsidR="004F52A8" w:rsidRPr="004F52A8">
        <w:rPr>
          <w:rtl/>
        </w:rPr>
        <w:t>لمشرّدون داخليا</w:t>
      </w:r>
      <w:r>
        <w:rPr>
          <w:rFonts w:hint="cs"/>
          <w:rtl/>
        </w:rPr>
        <w:t>ً</w:t>
      </w:r>
    </w:p>
    <w:p w:rsidR="004F52A8" w:rsidRPr="004F52A8" w:rsidRDefault="004F52A8" w:rsidP="00BD08F6">
      <w:pPr>
        <w:pStyle w:val="SingleTxtGA"/>
        <w:rPr>
          <w:rtl/>
        </w:rPr>
      </w:pPr>
      <w:r w:rsidRPr="004F52A8">
        <w:rPr>
          <w:rtl/>
        </w:rPr>
        <w:t>9-</w:t>
      </w:r>
      <w:r w:rsidRPr="004F52A8">
        <w:rPr>
          <w:rtl/>
        </w:rPr>
        <w:tab/>
        <w:t>تلاحظ اللجنة التدابير التي اتخذتها الدولة الطرف لمعالجة وضع الأشخاص المشرّدين داخليا</w:t>
      </w:r>
      <w:r w:rsidR="00AE24FB">
        <w:rPr>
          <w:rFonts w:hint="cs"/>
          <w:rtl/>
        </w:rPr>
        <w:t>ً</w:t>
      </w:r>
      <w:r w:rsidRPr="004F52A8">
        <w:rPr>
          <w:rtl/>
        </w:rPr>
        <w:t>، لكنها تشعر</w:t>
      </w:r>
      <w:r w:rsidR="00BD08F6">
        <w:rPr>
          <w:rFonts w:hint="cs"/>
          <w:rtl/>
        </w:rPr>
        <w:t xml:space="preserve"> </w:t>
      </w:r>
      <w:r w:rsidRPr="004F52A8">
        <w:rPr>
          <w:rtl/>
        </w:rPr>
        <w:t>بالقلق لاستمرار حالات التشرّد الجماعي نظرا</w:t>
      </w:r>
      <w:r w:rsidR="00AE24FB">
        <w:rPr>
          <w:rFonts w:hint="cs"/>
          <w:rtl/>
        </w:rPr>
        <w:t>ً</w:t>
      </w:r>
      <w:r w:rsidRPr="004F52A8">
        <w:rPr>
          <w:rtl/>
        </w:rPr>
        <w:t xml:space="preserve"> لعوامل عديدة، تشمل أفعال القوات المسلحة في سياق النزاعات المسلحة. ويساور اللجنة قلق أيضا</w:t>
      </w:r>
      <w:r w:rsidR="00AE24FB">
        <w:rPr>
          <w:rFonts w:hint="cs"/>
          <w:rtl/>
        </w:rPr>
        <w:t>ً</w:t>
      </w:r>
      <w:r w:rsidRPr="004F52A8">
        <w:rPr>
          <w:rtl/>
        </w:rPr>
        <w:t xml:space="preserve"> لأن المشردين داخليا</w:t>
      </w:r>
      <w:r w:rsidR="00AE24FB">
        <w:rPr>
          <w:rFonts w:hint="cs"/>
          <w:rtl/>
        </w:rPr>
        <w:t>ً</w:t>
      </w:r>
      <w:r w:rsidRPr="004F52A8">
        <w:rPr>
          <w:rtl/>
        </w:rPr>
        <w:t xml:space="preserve"> لا يحصلون على الحماية الكافية، ليس في المخيّمات فحسب، بل خصوصا</w:t>
      </w:r>
      <w:r w:rsidR="00AE24FB">
        <w:rPr>
          <w:rFonts w:hint="cs"/>
          <w:rtl/>
        </w:rPr>
        <w:t>ً</w:t>
      </w:r>
      <w:r w:rsidR="00BE2244">
        <w:rPr>
          <w:rtl/>
        </w:rPr>
        <w:t xml:space="preserve"> لدى نقلهم للعيش في مجتمعات م</w:t>
      </w:r>
      <w:r w:rsidRPr="004F52A8">
        <w:rPr>
          <w:rtl/>
        </w:rPr>
        <w:t>ضيفة (المواد 2 و7 و12).</w:t>
      </w:r>
    </w:p>
    <w:p w:rsidR="004F52A8" w:rsidRPr="006F23B3" w:rsidRDefault="006F23B3" w:rsidP="004F52A8">
      <w:pPr>
        <w:pStyle w:val="SingleTxtGA"/>
        <w:rPr>
          <w:b/>
          <w:bCs/>
          <w:rtl/>
        </w:rPr>
      </w:pPr>
      <w:r>
        <w:rPr>
          <w:rtl/>
        </w:rPr>
        <w:tab/>
      </w:r>
      <w:r w:rsidR="004F52A8" w:rsidRPr="006F23B3">
        <w:rPr>
          <w:rFonts w:hint="cs"/>
          <w:b/>
          <w:bCs/>
          <w:rtl/>
        </w:rPr>
        <w:t>ي</w:t>
      </w:r>
      <w:r w:rsidR="004F52A8" w:rsidRPr="006F23B3">
        <w:rPr>
          <w:b/>
          <w:bCs/>
          <w:rtl/>
        </w:rPr>
        <w:t xml:space="preserve">نبغي للدولة الطرف أن تتخذ كل ما هو متاح لديها من تدابير لمنع تشريد الأشخاص وتلافيه، بسبل تشمل تدريب قواتها الأمنية على كيفية تجنب الأساليب المؤدية إلى التشرّد. وفي ضوء الملاحظات الختامية السابقة للجنة (انظر </w:t>
      </w:r>
      <w:r w:rsidR="004F52A8" w:rsidRPr="006F23B3">
        <w:rPr>
          <w:b/>
          <w:bCs/>
        </w:rPr>
        <w:t>CCPR/C/SDN/CO/3</w:t>
      </w:r>
      <w:r w:rsidR="004F52A8" w:rsidRPr="006F23B3">
        <w:rPr>
          <w:rFonts w:hint="cs"/>
          <w:b/>
          <w:bCs/>
          <w:rtl/>
        </w:rPr>
        <w:t>،</w:t>
      </w:r>
      <w:r w:rsidR="004F52A8" w:rsidRPr="006F23B3">
        <w:rPr>
          <w:b/>
          <w:bCs/>
          <w:rtl/>
        </w:rPr>
        <w:t xml:space="preserve"> الفقرة 23)، ينبغي للدولة الطرف أيضا</w:t>
      </w:r>
      <w:r w:rsidR="00AE24FB">
        <w:rPr>
          <w:rFonts w:hint="cs"/>
          <w:b/>
          <w:bCs/>
          <w:rtl/>
        </w:rPr>
        <w:t>ً</w:t>
      </w:r>
      <w:r w:rsidR="004F52A8" w:rsidRPr="006F23B3">
        <w:rPr>
          <w:b/>
          <w:bCs/>
          <w:rtl/>
        </w:rPr>
        <w:t xml:space="preserve"> أن تضمن توفير الحماية الكافية والفعلية للمشردين داخليا</w:t>
      </w:r>
      <w:r w:rsidR="00AE24FB">
        <w:rPr>
          <w:rFonts w:hint="cs"/>
          <w:b/>
          <w:bCs/>
          <w:rtl/>
        </w:rPr>
        <w:t>ً</w:t>
      </w:r>
      <w:r w:rsidR="004F52A8" w:rsidRPr="006F23B3">
        <w:rPr>
          <w:b/>
          <w:bCs/>
          <w:rtl/>
        </w:rPr>
        <w:t xml:space="preserve"> في المخيّمات وفي غيرها من الأوضاع.</w:t>
      </w:r>
    </w:p>
    <w:p w:rsidR="004F52A8" w:rsidRPr="004F52A8" w:rsidRDefault="006F23B3" w:rsidP="006F23B3">
      <w:pPr>
        <w:pStyle w:val="H23GA"/>
        <w:rPr>
          <w:rtl/>
        </w:rPr>
      </w:pPr>
      <w:r>
        <w:rPr>
          <w:rtl/>
        </w:rPr>
        <w:tab/>
      </w:r>
      <w:r>
        <w:rPr>
          <w:rFonts w:hint="cs"/>
          <w:rtl/>
        </w:rPr>
        <w:tab/>
      </w:r>
      <w:r w:rsidR="004F52A8" w:rsidRPr="004F52A8">
        <w:rPr>
          <w:rFonts w:hint="cs"/>
          <w:rtl/>
        </w:rPr>
        <w:t>ع</w:t>
      </w:r>
      <w:r w:rsidR="004F52A8" w:rsidRPr="004F52A8">
        <w:rPr>
          <w:rtl/>
        </w:rPr>
        <w:t>دم التمييز والمساواة في الحقوق بين الرجل والمرأة</w:t>
      </w:r>
    </w:p>
    <w:p w:rsidR="004F52A8" w:rsidRPr="004F52A8" w:rsidRDefault="004F52A8" w:rsidP="004F52A8">
      <w:pPr>
        <w:pStyle w:val="SingleTxtGA"/>
        <w:rPr>
          <w:rtl/>
        </w:rPr>
      </w:pPr>
      <w:r w:rsidRPr="004F52A8">
        <w:rPr>
          <w:rtl/>
        </w:rPr>
        <w:t>10-</w:t>
      </w:r>
      <w:r w:rsidRPr="004F52A8">
        <w:rPr>
          <w:rtl/>
        </w:rPr>
        <w:tab/>
        <w:t>يساور اللجنة قلق لاستمرار احتواء التشريعات على أحكام تمييزية ضد المرأة، بما في ذلك في مجالي الأسرة والأحوال الشخصية. كما يساورها قلق إزاء ورود تقارير عن تعرّض المرأة للتمييز في إطار إنفاذ بعض أحكام القوانين، ولا سيما المادة 152، المبهمة الصياغة، من القانون الجنائي لعام 1991، بشأن السلوك أو الزي الفاضح (المواد 3 و23 و26).</w:t>
      </w:r>
    </w:p>
    <w:p w:rsidR="004F52A8" w:rsidRPr="00856D7C" w:rsidRDefault="006F23B3" w:rsidP="004F52A8">
      <w:pPr>
        <w:pStyle w:val="SingleTxtGA"/>
        <w:rPr>
          <w:b/>
          <w:bCs/>
          <w:rtl/>
        </w:rPr>
      </w:pPr>
      <w:r w:rsidRPr="00856D7C">
        <w:rPr>
          <w:b/>
          <w:bCs/>
          <w:rtl/>
        </w:rPr>
        <w:tab/>
      </w:r>
      <w:r w:rsidR="004F52A8" w:rsidRPr="00856D7C">
        <w:rPr>
          <w:rFonts w:hint="cs"/>
          <w:b/>
          <w:bCs/>
          <w:rtl/>
        </w:rPr>
        <w:t>إ</w:t>
      </w:r>
      <w:r w:rsidR="004F52A8" w:rsidRPr="00856D7C">
        <w:rPr>
          <w:b/>
          <w:bCs/>
          <w:rtl/>
        </w:rPr>
        <w:t xml:space="preserve">ذ تشير اللجنة إلى ملاحظاتها الختامية السابقة (انظر </w:t>
      </w:r>
      <w:r w:rsidR="004F52A8" w:rsidRPr="00856D7C">
        <w:rPr>
          <w:b/>
          <w:bCs/>
        </w:rPr>
        <w:t>CCPR/C/SDN/CO/3</w:t>
      </w:r>
      <w:r w:rsidR="004F52A8" w:rsidRPr="00856D7C">
        <w:rPr>
          <w:rFonts w:hint="cs"/>
          <w:b/>
          <w:bCs/>
          <w:rtl/>
        </w:rPr>
        <w:t>،</w:t>
      </w:r>
      <w:r w:rsidR="004F52A8" w:rsidRPr="00856D7C">
        <w:rPr>
          <w:b/>
          <w:bCs/>
          <w:rtl/>
        </w:rPr>
        <w:t xml:space="preserve"> الفقر</w:t>
      </w:r>
      <w:r w:rsidR="00BE2244">
        <w:rPr>
          <w:b/>
          <w:bCs/>
          <w:rtl/>
        </w:rPr>
        <w:t>ة 13) وإلى تعليقها العام رقم 28</w:t>
      </w:r>
      <w:r w:rsidR="004F52A8" w:rsidRPr="00856D7C">
        <w:rPr>
          <w:b/>
          <w:bCs/>
          <w:rtl/>
        </w:rPr>
        <w:t xml:space="preserve">(2000)، توصي بأن تعزز الدولة الطرف جهودها الرامية إلى كفالة المساواة القانونية والفعلية بين الرجل والمرأة. وفي هذا الصدد، ينبغي للدولة الطرف الاضطلاع بما يلي: </w:t>
      </w:r>
    </w:p>
    <w:p w:rsidR="004F52A8" w:rsidRPr="00856D7C" w:rsidRDefault="00856D7C" w:rsidP="00856D7C">
      <w:pPr>
        <w:pStyle w:val="SingleTxtGA"/>
        <w:rPr>
          <w:b/>
          <w:bCs/>
          <w:rtl/>
        </w:rPr>
      </w:pPr>
      <w:r w:rsidRPr="00856D7C">
        <w:rPr>
          <w:b/>
          <w:bCs/>
          <w:rtl/>
        </w:rPr>
        <w:tab/>
      </w:r>
      <w:r w:rsidRPr="00856D7C">
        <w:rPr>
          <w:rFonts w:hint="cs"/>
          <w:b/>
          <w:bCs/>
          <w:rtl/>
        </w:rPr>
        <w:t>(أ)</w:t>
      </w:r>
      <w:r w:rsidRPr="00856D7C">
        <w:rPr>
          <w:rFonts w:hint="cs"/>
          <w:b/>
          <w:bCs/>
          <w:rtl/>
        </w:rPr>
        <w:tab/>
      </w:r>
      <w:r w:rsidR="004F52A8" w:rsidRPr="00856D7C">
        <w:rPr>
          <w:rFonts w:hint="cs"/>
          <w:b/>
          <w:bCs/>
          <w:rtl/>
        </w:rPr>
        <w:t>أ</w:t>
      </w:r>
      <w:r w:rsidR="004F52A8" w:rsidRPr="00856D7C">
        <w:rPr>
          <w:b/>
          <w:bCs/>
          <w:rtl/>
        </w:rPr>
        <w:t xml:space="preserve">ن تعجّل بإعادة النظر في قوانينها الداخلية، بما فيها تلك المنظِّمة للأسرة والأحوال الشخصية </w:t>
      </w:r>
      <w:r w:rsidR="004F52A8" w:rsidRPr="00856D7C">
        <w:rPr>
          <w:rFonts w:hint="cs"/>
          <w:b/>
          <w:bCs/>
          <w:rtl/>
        </w:rPr>
        <w:t>و</w:t>
      </w:r>
      <w:r w:rsidR="004F52A8" w:rsidRPr="00856D7C">
        <w:rPr>
          <w:b/>
          <w:bCs/>
          <w:rtl/>
        </w:rPr>
        <w:t>تلك المتعلقة بالأفعال الفاضحة في الأماكن العامة، لضمان اتفاقها اتفاقا</w:t>
      </w:r>
      <w:r w:rsidR="00AE24FB">
        <w:rPr>
          <w:rFonts w:hint="cs"/>
          <w:b/>
          <w:bCs/>
          <w:rtl/>
        </w:rPr>
        <w:t>ً</w:t>
      </w:r>
      <w:r w:rsidR="004F52A8" w:rsidRPr="00856D7C">
        <w:rPr>
          <w:b/>
          <w:bCs/>
          <w:rtl/>
        </w:rPr>
        <w:t xml:space="preserve"> تاما</w:t>
      </w:r>
      <w:r w:rsidR="00AE24FB">
        <w:rPr>
          <w:rFonts w:hint="cs"/>
          <w:b/>
          <w:bCs/>
          <w:rtl/>
        </w:rPr>
        <w:t>ً</w:t>
      </w:r>
      <w:r w:rsidR="004F52A8" w:rsidRPr="00856D7C">
        <w:rPr>
          <w:b/>
          <w:bCs/>
          <w:rtl/>
        </w:rPr>
        <w:t xml:space="preserve"> مع أحكام المواد 3 و23 و26 من العهد؛</w:t>
      </w:r>
    </w:p>
    <w:p w:rsidR="004F52A8" w:rsidRPr="00856D7C" w:rsidRDefault="00856D7C" w:rsidP="00856D7C">
      <w:pPr>
        <w:pStyle w:val="SingleTxtGA"/>
        <w:rPr>
          <w:b/>
          <w:bCs/>
          <w:rtl/>
        </w:rPr>
      </w:pPr>
      <w:r w:rsidRPr="00856D7C">
        <w:rPr>
          <w:rFonts w:hint="cs"/>
          <w:b/>
          <w:bCs/>
          <w:rtl/>
        </w:rPr>
        <w:tab/>
        <w:t>(ب)</w:t>
      </w:r>
      <w:r w:rsidRPr="00856D7C">
        <w:rPr>
          <w:rFonts w:hint="cs"/>
          <w:b/>
          <w:bCs/>
          <w:rtl/>
        </w:rPr>
        <w:tab/>
      </w:r>
      <w:r w:rsidR="004F52A8" w:rsidRPr="00856D7C">
        <w:rPr>
          <w:b/>
          <w:bCs/>
          <w:rtl/>
        </w:rPr>
        <w:t xml:space="preserve">أن تكثف جهودها الرامية إلى توعية الجمهور بحقوق المرأة وتدريب موظفي الدولة في هذا </w:t>
      </w:r>
      <w:r w:rsidR="004F52A8" w:rsidRPr="00856D7C">
        <w:rPr>
          <w:rFonts w:hint="cs"/>
          <w:b/>
          <w:bCs/>
          <w:rtl/>
        </w:rPr>
        <w:t>ا</w:t>
      </w:r>
      <w:r w:rsidR="004F52A8" w:rsidRPr="00856D7C">
        <w:rPr>
          <w:b/>
          <w:bCs/>
          <w:rtl/>
        </w:rPr>
        <w:t>لمجال، ولا سيما القضاة وأعضاء النيابة وأفراد الشرطة.</w:t>
      </w:r>
    </w:p>
    <w:p w:rsidR="004F52A8" w:rsidRPr="004F52A8" w:rsidRDefault="004F52A8" w:rsidP="00BD08F6">
      <w:pPr>
        <w:pStyle w:val="SingleTxtGA"/>
        <w:rPr>
          <w:rtl/>
        </w:rPr>
      </w:pPr>
      <w:r w:rsidRPr="004F52A8">
        <w:rPr>
          <w:rtl/>
        </w:rPr>
        <w:t>11-</w:t>
      </w:r>
      <w:r w:rsidRPr="004F52A8">
        <w:rPr>
          <w:rtl/>
        </w:rPr>
        <w:tab/>
        <w:t>ويساور اللجنة قلق لعدم وجود قانون شامل لمكافحة التمييز يحظر التمييز القائم على</w:t>
      </w:r>
      <w:r w:rsidR="00BD08F6">
        <w:rPr>
          <w:rFonts w:hint="cs"/>
          <w:rtl/>
        </w:rPr>
        <w:t xml:space="preserve"> </w:t>
      </w:r>
      <w:r w:rsidRPr="004F52A8">
        <w:rPr>
          <w:rtl/>
        </w:rPr>
        <w:t>أسباب من قبيل السن والميل الجنسي والهوية الجنسانية والحالة الصحية (ولا سيما ضد الأشخاص المصابين</w:t>
      </w:r>
      <w:r w:rsidR="00BD08F6">
        <w:rPr>
          <w:rFonts w:hint="cs"/>
          <w:rtl/>
        </w:rPr>
        <w:t xml:space="preserve"> </w:t>
      </w:r>
      <w:r w:rsidRPr="004F52A8">
        <w:rPr>
          <w:rtl/>
        </w:rPr>
        <w:t>بفيروس نقص المناعة البشرية/الإيدز) (المادتان 2 و26).</w:t>
      </w:r>
    </w:p>
    <w:p w:rsidR="004F52A8" w:rsidRPr="00856D7C" w:rsidRDefault="00856D7C" w:rsidP="00BD08F6">
      <w:pPr>
        <w:pStyle w:val="SingleTxtGA"/>
        <w:rPr>
          <w:b/>
          <w:bCs/>
          <w:rtl/>
        </w:rPr>
      </w:pPr>
      <w:r>
        <w:rPr>
          <w:rtl/>
        </w:rPr>
        <w:tab/>
      </w:r>
      <w:r w:rsidR="004F52A8" w:rsidRPr="00856D7C">
        <w:rPr>
          <w:rFonts w:hint="cs"/>
          <w:b/>
          <w:bCs/>
          <w:rtl/>
        </w:rPr>
        <w:t>ي</w:t>
      </w:r>
      <w:r w:rsidR="004F52A8" w:rsidRPr="00856D7C">
        <w:rPr>
          <w:b/>
          <w:bCs/>
          <w:rtl/>
        </w:rPr>
        <w:t>نبغي للدولة الطرف أن تنظر في اعتماد قانون شامل لمكافحة التمييز يتضمّن أحكاما</w:t>
      </w:r>
      <w:r w:rsidR="00AE24FB">
        <w:rPr>
          <w:rFonts w:hint="cs"/>
          <w:b/>
          <w:bCs/>
          <w:rtl/>
        </w:rPr>
        <w:t>ً</w:t>
      </w:r>
      <w:r w:rsidR="004F52A8" w:rsidRPr="00856D7C">
        <w:rPr>
          <w:b/>
          <w:bCs/>
          <w:rtl/>
        </w:rPr>
        <w:t xml:space="preserve"> تحمي من التمييز القائم على</w:t>
      </w:r>
      <w:r w:rsidR="00BD08F6">
        <w:rPr>
          <w:rFonts w:hint="cs"/>
          <w:b/>
          <w:bCs/>
          <w:rtl/>
        </w:rPr>
        <w:t xml:space="preserve"> </w:t>
      </w:r>
      <w:r w:rsidR="004F52A8" w:rsidRPr="00856D7C">
        <w:rPr>
          <w:b/>
          <w:bCs/>
          <w:rtl/>
        </w:rPr>
        <w:t>أسباب من قبيل السن والميل الجنسي والهوية الجنسانية والحالة الصحية (ولا سيما ضد الأشخاص المصابين</w:t>
      </w:r>
      <w:r w:rsidR="00BD08F6">
        <w:rPr>
          <w:rFonts w:hint="cs"/>
          <w:b/>
          <w:bCs/>
          <w:rtl/>
        </w:rPr>
        <w:t xml:space="preserve"> </w:t>
      </w:r>
      <w:r w:rsidR="004F52A8" w:rsidRPr="00856D7C">
        <w:rPr>
          <w:b/>
          <w:bCs/>
          <w:rtl/>
        </w:rPr>
        <w:t>بفيروس نقص المناعة البشرية/الإيدز). كما ين</w:t>
      </w:r>
      <w:r w:rsidR="007613F4">
        <w:rPr>
          <w:rFonts w:hint="cs"/>
          <w:b/>
          <w:bCs/>
          <w:rtl/>
        </w:rPr>
        <w:t>ب</w:t>
      </w:r>
      <w:r w:rsidR="004F52A8" w:rsidRPr="00856D7C">
        <w:rPr>
          <w:b/>
          <w:bCs/>
          <w:rtl/>
        </w:rPr>
        <w:t>غي للدولة الطرف أن تولي الأولوية لتنفيذ برامج تهدف إلى القضاء على التنميط والتمييز وكفالة التسامح واحترام التنوع.</w:t>
      </w:r>
    </w:p>
    <w:p w:rsidR="004F52A8" w:rsidRPr="004F52A8" w:rsidRDefault="00856D7C" w:rsidP="00856D7C">
      <w:pPr>
        <w:pStyle w:val="H23GA"/>
        <w:rPr>
          <w:rtl/>
        </w:rPr>
      </w:pPr>
      <w:r>
        <w:rPr>
          <w:rtl/>
        </w:rPr>
        <w:tab/>
      </w:r>
      <w:r>
        <w:rPr>
          <w:rFonts w:hint="cs"/>
          <w:rtl/>
        </w:rPr>
        <w:tab/>
      </w:r>
      <w:r w:rsidR="004F52A8" w:rsidRPr="004F52A8">
        <w:rPr>
          <w:rFonts w:hint="cs"/>
          <w:rtl/>
        </w:rPr>
        <w:t>ا</w:t>
      </w:r>
      <w:r w:rsidR="004F52A8" w:rsidRPr="004F52A8">
        <w:rPr>
          <w:rtl/>
        </w:rPr>
        <w:t>لعنف ضد المرأة</w:t>
      </w:r>
    </w:p>
    <w:p w:rsidR="004F52A8" w:rsidRPr="004F52A8" w:rsidRDefault="004F52A8" w:rsidP="004F52A8">
      <w:pPr>
        <w:pStyle w:val="SingleTxtGA"/>
        <w:rPr>
          <w:rtl/>
        </w:rPr>
      </w:pPr>
      <w:r w:rsidRPr="004F52A8">
        <w:rPr>
          <w:rtl/>
        </w:rPr>
        <w:t>12-</w:t>
      </w:r>
      <w:r w:rsidRPr="004F52A8">
        <w:rPr>
          <w:rtl/>
        </w:rPr>
        <w:tab/>
        <w:t>تلاحظ اللجنة بقلق أن ظاهرة العنف ضد المرأة لا تزال مشكلة خطيرة في البلاد، بما في ذلك في المناطق المتأثرة بالنزاعات. ويساورها قلق أيضا</w:t>
      </w:r>
      <w:r w:rsidR="00AE24FB">
        <w:rPr>
          <w:rFonts w:hint="cs"/>
          <w:rtl/>
        </w:rPr>
        <w:t>ً</w:t>
      </w:r>
      <w:r w:rsidRPr="004F52A8">
        <w:rPr>
          <w:rtl/>
        </w:rPr>
        <w:t xml:space="preserve"> لأن المادتين 145 (بشأن الزنا) و149 (بشأن الاغتصاب) من القانون الجنائي لعام 1991، اللتين تُثنيان المرأة عن الإبلاغ عن التعرّض للاغتصاب، لم تُعدَّلا حتى الآن (المادتان 3 و7).</w:t>
      </w:r>
    </w:p>
    <w:p w:rsidR="004F52A8" w:rsidRPr="00856D7C" w:rsidRDefault="00856D7C" w:rsidP="00856D7C">
      <w:pPr>
        <w:pStyle w:val="SingleTxtGA"/>
        <w:rPr>
          <w:b/>
          <w:bCs/>
          <w:rtl/>
        </w:rPr>
      </w:pPr>
      <w:r>
        <w:rPr>
          <w:rtl/>
        </w:rPr>
        <w:tab/>
      </w:r>
      <w:r w:rsidR="004F52A8" w:rsidRPr="00856D7C">
        <w:rPr>
          <w:rFonts w:hint="cs"/>
          <w:b/>
          <w:bCs/>
          <w:rtl/>
        </w:rPr>
        <w:t>ف</w:t>
      </w:r>
      <w:r w:rsidR="004F52A8" w:rsidRPr="00856D7C">
        <w:rPr>
          <w:b/>
          <w:bCs/>
          <w:rtl/>
        </w:rPr>
        <w:t xml:space="preserve">ي ضوء الملاحظات الختامية السابقة للجنة (انظر </w:t>
      </w:r>
      <w:r w:rsidR="004F52A8" w:rsidRPr="00856D7C">
        <w:rPr>
          <w:b/>
          <w:bCs/>
        </w:rPr>
        <w:t>CCPR/C/SDN/CO/3</w:t>
      </w:r>
      <w:r w:rsidR="004F52A8" w:rsidRPr="00856D7C">
        <w:rPr>
          <w:rFonts w:hint="cs"/>
          <w:b/>
          <w:bCs/>
          <w:rtl/>
        </w:rPr>
        <w:t>،</w:t>
      </w:r>
      <w:r w:rsidR="004F52A8" w:rsidRPr="00856D7C">
        <w:rPr>
          <w:b/>
          <w:bCs/>
          <w:rtl/>
        </w:rPr>
        <w:t xml:space="preserve"> الفقرة</w:t>
      </w:r>
      <w:r>
        <w:rPr>
          <w:rFonts w:hint="cs"/>
          <w:b/>
          <w:bCs/>
          <w:rtl/>
        </w:rPr>
        <w:t> </w:t>
      </w:r>
      <w:r w:rsidR="004F52A8" w:rsidRPr="00856D7C">
        <w:rPr>
          <w:b/>
          <w:bCs/>
          <w:rtl/>
        </w:rPr>
        <w:t>14)، ينبغي للدولة الطرف أن تضاعف جهودها من أجل منع ومكافحة جميع أشكال التمييز ضد المرأة، وفي هذا الصدد، ينبغي لها الاضطلاع بما يلي:</w:t>
      </w:r>
    </w:p>
    <w:p w:rsidR="004F52A8" w:rsidRPr="00856D7C" w:rsidRDefault="004F52A8" w:rsidP="004F52A8">
      <w:pPr>
        <w:pStyle w:val="SingleTxtGA"/>
        <w:rPr>
          <w:b/>
          <w:bCs/>
          <w:rtl/>
        </w:rPr>
      </w:pPr>
      <w:r w:rsidRPr="00856D7C">
        <w:rPr>
          <w:b/>
          <w:bCs/>
          <w:rtl/>
        </w:rPr>
        <w:tab/>
        <w:t>(أ)</w:t>
      </w:r>
      <w:r w:rsidRPr="00856D7C">
        <w:rPr>
          <w:b/>
          <w:bCs/>
          <w:rtl/>
        </w:rPr>
        <w:tab/>
        <w:t>أن تضمن حماية المرأة من العنف حماية كافية في التشريعات، بما يشمل تعديل المادتين 145 و149 من القانون الجنائي لعام 1991على وجه السرعة، فضلا</w:t>
      </w:r>
      <w:r w:rsidR="00AE24FB">
        <w:rPr>
          <w:rFonts w:hint="cs"/>
          <w:b/>
          <w:bCs/>
          <w:rtl/>
        </w:rPr>
        <w:t>ً</w:t>
      </w:r>
      <w:r w:rsidRPr="00856D7C">
        <w:rPr>
          <w:b/>
          <w:bCs/>
          <w:rtl/>
        </w:rPr>
        <w:t xml:space="preserve"> عن تجريم العنف المنزلي والاغتصاب الزوجي؛ </w:t>
      </w:r>
    </w:p>
    <w:p w:rsidR="004F52A8" w:rsidRPr="00856D7C" w:rsidRDefault="004F52A8" w:rsidP="004F52A8">
      <w:pPr>
        <w:pStyle w:val="SingleTxtGA"/>
        <w:rPr>
          <w:b/>
          <w:bCs/>
          <w:rtl/>
        </w:rPr>
      </w:pPr>
      <w:r w:rsidRPr="00856D7C">
        <w:rPr>
          <w:b/>
          <w:bCs/>
          <w:rtl/>
        </w:rPr>
        <w:tab/>
        <w:t>(ب)</w:t>
      </w:r>
      <w:r w:rsidRPr="00856D7C">
        <w:rPr>
          <w:b/>
          <w:bCs/>
          <w:rtl/>
        </w:rPr>
        <w:tab/>
        <w:t>أن تزيد أنشطتها التوعوية بشأن الآثار السلبية لظاهرة العنف ضد المرأة وتعزز أنشطتها التدريبية لموظفي الدولة، ولا سيما القضاة وأعضاء النيابة وأفراد الشرطة، ضمانا</w:t>
      </w:r>
      <w:r w:rsidR="00AE24FB">
        <w:rPr>
          <w:rFonts w:hint="cs"/>
          <w:b/>
          <w:bCs/>
          <w:rtl/>
        </w:rPr>
        <w:t>ً</w:t>
      </w:r>
      <w:r w:rsidRPr="00856D7C">
        <w:rPr>
          <w:b/>
          <w:bCs/>
          <w:rtl/>
        </w:rPr>
        <w:t xml:space="preserve"> لقدرتهم على التصدي بفعالية لجميع أشكال العنف ضد المرأة؛</w:t>
      </w:r>
    </w:p>
    <w:p w:rsidR="004F52A8" w:rsidRPr="00856D7C" w:rsidRDefault="004F52A8" w:rsidP="004F52A8">
      <w:pPr>
        <w:pStyle w:val="SingleTxtGA"/>
        <w:rPr>
          <w:b/>
          <w:bCs/>
          <w:rtl/>
        </w:rPr>
      </w:pPr>
      <w:r w:rsidRPr="00856D7C">
        <w:rPr>
          <w:b/>
          <w:bCs/>
          <w:rtl/>
        </w:rPr>
        <w:tab/>
        <w:t>(ج)</w:t>
      </w:r>
      <w:r w:rsidRPr="00856D7C">
        <w:rPr>
          <w:b/>
          <w:bCs/>
          <w:rtl/>
        </w:rPr>
        <w:tab/>
        <w:t xml:space="preserve"> أن تيسّر الإبلاغ عن جريمة الاغتصاب وتضمن التحقيق على وجه السرعة وعلى نحو وافٍ في جميع حالات العنف ضد المرأة، ومحاكمة الجُناة، ومعاقبتهم بعقوبات مناسبة، وإمكانية حصول الضحايا على تعويضات وسبل حماية كافية، بما في ذلك توفير مراكز إيواء أو مراكز متخصصة.</w:t>
      </w:r>
    </w:p>
    <w:p w:rsidR="004F52A8" w:rsidRPr="004F52A8" w:rsidRDefault="00856D7C" w:rsidP="00856D7C">
      <w:pPr>
        <w:pStyle w:val="H23GA"/>
        <w:rPr>
          <w:rtl/>
        </w:rPr>
      </w:pPr>
      <w:r>
        <w:rPr>
          <w:rtl/>
        </w:rPr>
        <w:tab/>
      </w:r>
      <w:r>
        <w:rPr>
          <w:rFonts w:hint="cs"/>
          <w:rtl/>
        </w:rPr>
        <w:tab/>
      </w:r>
      <w:r w:rsidR="004F52A8" w:rsidRPr="004F52A8">
        <w:rPr>
          <w:rFonts w:hint="cs"/>
          <w:rtl/>
        </w:rPr>
        <w:t>ت</w:t>
      </w:r>
      <w:r w:rsidR="004F52A8" w:rsidRPr="004F52A8">
        <w:rPr>
          <w:rtl/>
        </w:rPr>
        <w:t>شويه الأعضاء التناسلية للإناث</w:t>
      </w:r>
    </w:p>
    <w:p w:rsidR="004F52A8" w:rsidRPr="004F52A8" w:rsidRDefault="004F52A8" w:rsidP="00BD08F6">
      <w:pPr>
        <w:pStyle w:val="SingleTxtGA"/>
        <w:rPr>
          <w:rtl/>
        </w:rPr>
      </w:pPr>
      <w:r w:rsidRPr="004F52A8">
        <w:rPr>
          <w:rtl/>
        </w:rPr>
        <w:t>13-</w:t>
      </w:r>
      <w:r w:rsidRPr="004F52A8">
        <w:rPr>
          <w:rtl/>
        </w:rPr>
        <w:tab/>
        <w:t>ترحب اللجنة بما بذلته الدولة الطرف من جهود في سبيل مكافحة تشويه الأعضاء التناسلية للإناث، بما في ذلك حظره في بعض الولايات. ومع ذلك، تشعر اللجنة بالقلق إزاء</w:t>
      </w:r>
      <w:r w:rsidR="00BD08F6">
        <w:rPr>
          <w:rFonts w:hint="cs"/>
          <w:rtl/>
        </w:rPr>
        <w:t xml:space="preserve"> </w:t>
      </w:r>
      <w:r w:rsidRPr="004F52A8">
        <w:rPr>
          <w:rtl/>
        </w:rPr>
        <w:t>استمرار ممارسة تشويه الأعضاء الت</w:t>
      </w:r>
      <w:r w:rsidR="00AE24FB">
        <w:rPr>
          <w:rtl/>
        </w:rPr>
        <w:t>ناسلية للإناث في الدولة الطرف و</w:t>
      </w:r>
      <w:r w:rsidRPr="004F52A8">
        <w:rPr>
          <w:rtl/>
        </w:rPr>
        <w:t xml:space="preserve">عدم وجود قانون خاص يحظره على الصعيد الوطني (المواد 3 و7 و24). </w:t>
      </w:r>
    </w:p>
    <w:p w:rsidR="004F52A8" w:rsidRPr="00856D7C" w:rsidRDefault="00856D7C" w:rsidP="00856D7C">
      <w:pPr>
        <w:pStyle w:val="SingleTxtGA"/>
        <w:rPr>
          <w:b/>
          <w:bCs/>
          <w:rtl/>
        </w:rPr>
      </w:pPr>
      <w:r>
        <w:rPr>
          <w:rtl/>
        </w:rPr>
        <w:tab/>
      </w:r>
      <w:r w:rsidR="004F52A8" w:rsidRPr="00856D7C">
        <w:rPr>
          <w:rFonts w:hint="cs"/>
          <w:b/>
          <w:bCs/>
          <w:rtl/>
        </w:rPr>
        <w:t>ف</w:t>
      </w:r>
      <w:r w:rsidR="004F52A8" w:rsidRPr="00856D7C">
        <w:rPr>
          <w:b/>
          <w:bCs/>
          <w:rtl/>
        </w:rPr>
        <w:t xml:space="preserve">ي ضوء الملاحظات الختامية السابقة للجنة (انظر </w:t>
      </w:r>
      <w:r w:rsidR="004F52A8" w:rsidRPr="00856D7C">
        <w:rPr>
          <w:b/>
          <w:bCs/>
        </w:rPr>
        <w:t>CCPR/C/SDN/CO/3</w:t>
      </w:r>
      <w:r w:rsidR="004F52A8" w:rsidRPr="00856D7C">
        <w:rPr>
          <w:rFonts w:hint="cs"/>
          <w:b/>
          <w:bCs/>
          <w:rtl/>
        </w:rPr>
        <w:t>،</w:t>
      </w:r>
      <w:r w:rsidR="004F52A8" w:rsidRPr="00856D7C">
        <w:rPr>
          <w:b/>
          <w:bCs/>
          <w:rtl/>
        </w:rPr>
        <w:t xml:space="preserve"> الفقرة</w:t>
      </w:r>
      <w:r>
        <w:rPr>
          <w:rFonts w:hint="cs"/>
          <w:b/>
          <w:bCs/>
          <w:rtl/>
        </w:rPr>
        <w:t> </w:t>
      </w:r>
      <w:r w:rsidR="004F52A8" w:rsidRPr="00856D7C">
        <w:rPr>
          <w:b/>
          <w:bCs/>
          <w:rtl/>
        </w:rPr>
        <w:t>15)، ينبغي للدولة الطرف الاضطلاع بما يلي:</w:t>
      </w:r>
    </w:p>
    <w:p w:rsidR="004F52A8" w:rsidRPr="00856D7C" w:rsidRDefault="00856D7C" w:rsidP="004F52A8">
      <w:pPr>
        <w:pStyle w:val="SingleTxtGA"/>
        <w:rPr>
          <w:b/>
          <w:bCs/>
          <w:rtl/>
        </w:rPr>
      </w:pPr>
      <w:r>
        <w:rPr>
          <w:rFonts w:hint="cs"/>
          <w:b/>
          <w:bCs/>
          <w:rtl/>
        </w:rPr>
        <w:tab/>
      </w:r>
      <w:r w:rsidR="004F52A8" w:rsidRPr="00856D7C">
        <w:rPr>
          <w:b/>
          <w:bCs/>
          <w:rtl/>
        </w:rPr>
        <w:t>(أ)</w:t>
      </w:r>
      <w:r w:rsidR="004F52A8" w:rsidRPr="00856D7C">
        <w:rPr>
          <w:b/>
          <w:bCs/>
          <w:rtl/>
        </w:rPr>
        <w:tab/>
        <w:t>أن تعتمد وتنفِذ التدابير التشريعية اللازمة لضمان حظر كل أشكال تشويه الأعضاء التناسلية للإناث في جميع أنحاء إقليمها؛</w:t>
      </w:r>
    </w:p>
    <w:p w:rsidR="004F52A8" w:rsidRPr="00856D7C" w:rsidRDefault="004F52A8" w:rsidP="004F52A8">
      <w:pPr>
        <w:pStyle w:val="SingleTxtGA"/>
        <w:rPr>
          <w:b/>
          <w:bCs/>
          <w:rtl/>
        </w:rPr>
      </w:pPr>
      <w:r w:rsidRPr="00856D7C">
        <w:rPr>
          <w:b/>
          <w:bCs/>
          <w:rtl/>
        </w:rPr>
        <w:tab/>
        <w:t>(ب)</w:t>
      </w:r>
      <w:r w:rsidRPr="00856D7C">
        <w:rPr>
          <w:b/>
          <w:bCs/>
          <w:rtl/>
        </w:rPr>
        <w:tab/>
        <w:t>أن تضاعف جهودها بغية القضاء على ممارسة تشويه الأعضاء التناسلية للإناث، بسبل تشمل تكثيف حملات توعية السكان وغيرها من التدابير التوعوية.</w:t>
      </w:r>
    </w:p>
    <w:p w:rsidR="004F52A8" w:rsidRPr="00856D7C" w:rsidRDefault="00856D7C" w:rsidP="00856D7C">
      <w:pPr>
        <w:pStyle w:val="H23GA"/>
        <w:rPr>
          <w:rtl/>
        </w:rPr>
      </w:pPr>
      <w:r>
        <w:rPr>
          <w:rtl/>
        </w:rPr>
        <w:tab/>
      </w:r>
      <w:r>
        <w:rPr>
          <w:rFonts w:hint="cs"/>
          <w:rtl/>
        </w:rPr>
        <w:tab/>
      </w:r>
      <w:r w:rsidR="004F52A8" w:rsidRPr="00856D7C">
        <w:rPr>
          <w:rFonts w:hint="cs"/>
          <w:rtl/>
        </w:rPr>
        <w:t>ع</w:t>
      </w:r>
      <w:r w:rsidR="004F52A8" w:rsidRPr="00856D7C">
        <w:rPr>
          <w:rtl/>
        </w:rPr>
        <w:t>قوبة الإعدام</w:t>
      </w:r>
    </w:p>
    <w:p w:rsidR="004F52A8" w:rsidRPr="004F52A8" w:rsidRDefault="004F52A8" w:rsidP="004F52A8">
      <w:pPr>
        <w:pStyle w:val="SingleTxtGA"/>
        <w:rPr>
          <w:rtl/>
        </w:rPr>
      </w:pPr>
      <w:r w:rsidRPr="004F52A8">
        <w:rPr>
          <w:rtl/>
        </w:rPr>
        <w:t>14-</w:t>
      </w:r>
      <w:r w:rsidRPr="004F52A8">
        <w:rPr>
          <w:rtl/>
        </w:rPr>
        <w:tab/>
        <w:t xml:space="preserve">يساور اللجنة قلق لأنه بالرغم من توصيتها السابقة (انظر </w:t>
      </w:r>
      <w:r w:rsidRPr="004F52A8">
        <w:t>CCPR/C/SDN/CO/3</w:t>
      </w:r>
      <w:r w:rsidRPr="004F52A8">
        <w:rPr>
          <w:rFonts w:hint="cs"/>
          <w:rtl/>
        </w:rPr>
        <w:t>،</w:t>
      </w:r>
      <w:r w:rsidRPr="004F52A8">
        <w:rPr>
          <w:rtl/>
        </w:rPr>
        <w:t xml:space="preserve"> الفقرة 19)، فقد أُبقي على عقوبة الإعدام على جرائم لا تبلغ حد "أشد الجرائم خطورة"، وكذلك على ممارسات يحظر العهد تجريمها بأي حال من الأحوال (المادتان 6 و7).</w:t>
      </w:r>
    </w:p>
    <w:p w:rsidR="004F52A8" w:rsidRPr="00856D7C" w:rsidRDefault="00856D7C" w:rsidP="00BD08F6">
      <w:pPr>
        <w:pStyle w:val="SingleTxtGA"/>
        <w:rPr>
          <w:b/>
          <w:bCs/>
          <w:rtl/>
        </w:rPr>
      </w:pPr>
      <w:r>
        <w:rPr>
          <w:rtl/>
        </w:rPr>
        <w:tab/>
      </w:r>
      <w:r w:rsidR="004F52A8" w:rsidRPr="00856D7C">
        <w:rPr>
          <w:rFonts w:hint="cs"/>
          <w:b/>
          <w:bCs/>
          <w:rtl/>
        </w:rPr>
        <w:t>ي</w:t>
      </w:r>
      <w:r w:rsidR="004F52A8" w:rsidRPr="00856D7C">
        <w:rPr>
          <w:b/>
          <w:bCs/>
          <w:rtl/>
        </w:rPr>
        <w:t>نبغي للدولة الطرف أن تنظر في إلغاء عقوبة الإعدام والانضمام إلى البروتوكول الاختياري الثاني الملحق بالعهد الدولي الخاص بالحقوق المدنية والسياسية، الهادف إلى إلغاء عقوبة الإعدام. فإن أُبقي على عقوبة الإعدام، ينبغي للدولة الطرف أن تضمن عدم تطبيقها إلا للمعاقبة على أشد الجرائم خطورة في إطار معنى الفقرة 2 من المادة 6 من العهد، دون أن يكون التطبيق إلزامياً بأي حال من الأحوال. كما ينبغي للدولة الطرف أن تضمن عدم فرض عقوبة الإعدام مطلقا</w:t>
      </w:r>
      <w:r w:rsidR="00AE24FB">
        <w:rPr>
          <w:rFonts w:hint="cs"/>
          <w:b/>
          <w:bCs/>
          <w:rtl/>
        </w:rPr>
        <w:t>ً</w:t>
      </w:r>
      <w:r w:rsidR="004F52A8" w:rsidRPr="00856D7C">
        <w:rPr>
          <w:b/>
          <w:bCs/>
          <w:rtl/>
        </w:rPr>
        <w:t xml:space="preserve"> بصورة</w:t>
      </w:r>
      <w:r w:rsidR="00BD08F6">
        <w:rPr>
          <w:rFonts w:hint="cs"/>
          <w:b/>
          <w:bCs/>
          <w:rtl/>
        </w:rPr>
        <w:t xml:space="preserve"> </w:t>
      </w:r>
      <w:r w:rsidR="004F52A8" w:rsidRPr="00856D7C">
        <w:rPr>
          <w:b/>
          <w:bCs/>
          <w:rtl/>
        </w:rPr>
        <w:t>تشكل انتهاكا</w:t>
      </w:r>
      <w:r w:rsidR="00AE24FB">
        <w:rPr>
          <w:rFonts w:hint="cs"/>
          <w:b/>
          <w:bCs/>
          <w:rtl/>
        </w:rPr>
        <w:t>ً</w:t>
      </w:r>
      <w:r w:rsidR="004F52A8" w:rsidRPr="00856D7C">
        <w:rPr>
          <w:b/>
          <w:bCs/>
          <w:rtl/>
        </w:rPr>
        <w:t xml:space="preserve"> لأحكام العهد، وعدم تطبيقها مطلقا</w:t>
      </w:r>
      <w:r w:rsidR="00AE24FB">
        <w:rPr>
          <w:rFonts w:hint="cs"/>
          <w:b/>
          <w:bCs/>
          <w:rtl/>
        </w:rPr>
        <w:t>ً</w:t>
      </w:r>
      <w:r w:rsidR="004F52A8" w:rsidRPr="00856D7C">
        <w:rPr>
          <w:b/>
          <w:bCs/>
          <w:rtl/>
        </w:rPr>
        <w:t xml:space="preserve"> على جرائم ارتكبها أشخاص دون سن الثامنة عشرة.</w:t>
      </w:r>
    </w:p>
    <w:p w:rsidR="004F52A8" w:rsidRPr="004F52A8" w:rsidRDefault="00856D7C" w:rsidP="00856D7C">
      <w:pPr>
        <w:pStyle w:val="H23GA"/>
        <w:rPr>
          <w:rtl/>
        </w:rPr>
      </w:pPr>
      <w:r>
        <w:rPr>
          <w:rtl/>
        </w:rPr>
        <w:tab/>
      </w:r>
      <w:r>
        <w:rPr>
          <w:rFonts w:hint="cs"/>
          <w:rtl/>
        </w:rPr>
        <w:tab/>
      </w:r>
      <w:r w:rsidR="004F52A8" w:rsidRPr="004F52A8">
        <w:rPr>
          <w:rFonts w:hint="cs"/>
          <w:rtl/>
        </w:rPr>
        <w:t>ح</w:t>
      </w:r>
      <w:r w:rsidR="004F52A8" w:rsidRPr="004F52A8">
        <w:rPr>
          <w:rtl/>
        </w:rPr>
        <w:t>ظر التعذيب وسوء المعاملة</w:t>
      </w:r>
    </w:p>
    <w:p w:rsidR="004F52A8" w:rsidRPr="004F52A8" w:rsidRDefault="004F52A8" w:rsidP="00BD08F6">
      <w:pPr>
        <w:pStyle w:val="SingleTxtGA"/>
        <w:rPr>
          <w:rtl/>
        </w:rPr>
      </w:pPr>
      <w:r w:rsidRPr="004F52A8">
        <w:rPr>
          <w:rtl/>
        </w:rPr>
        <w:t>15-</w:t>
      </w:r>
      <w:r w:rsidRPr="004F52A8">
        <w:rPr>
          <w:rtl/>
        </w:rPr>
        <w:tab/>
        <w:t>تلاحظ اللجنة أن القانون يحظر الحصول على الاعترافات عن طريق الإغراء أو الإكراه، لكنها تشعر</w:t>
      </w:r>
      <w:r w:rsidR="00BD08F6">
        <w:rPr>
          <w:rFonts w:hint="cs"/>
          <w:rtl/>
        </w:rPr>
        <w:t xml:space="preserve"> </w:t>
      </w:r>
      <w:r w:rsidRPr="004F52A8">
        <w:rPr>
          <w:rtl/>
        </w:rPr>
        <w:t>بالقلق لأن قانون الدولة الطرف الجنائي لا ينص حتى الآن على تعريف قانوني للتعذيب، كما يساورها قلق إزاء ادعاءات استخدام المحاكم في بعض القضايا اعترافاتٍ حُصل عليها</w:t>
      </w:r>
      <w:r w:rsidR="00BD08F6">
        <w:rPr>
          <w:rFonts w:hint="cs"/>
          <w:rtl/>
        </w:rPr>
        <w:t xml:space="preserve"> </w:t>
      </w:r>
      <w:r w:rsidRPr="004F52A8">
        <w:rPr>
          <w:rtl/>
        </w:rPr>
        <w:t>بطريقة تشكل انتهاكا</w:t>
      </w:r>
      <w:r w:rsidR="00AE24FB">
        <w:rPr>
          <w:rFonts w:hint="cs"/>
          <w:rtl/>
        </w:rPr>
        <w:t>ً</w:t>
      </w:r>
      <w:r w:rsidRPr="004F52A8">
        <w:rPr>
          <w:rtl/>
        </w:rPr>
        <w:t xml:space="preserve"> للمادة 7 من العهد. ويساور اللجنة قلق أيضا</w:t>
      </w:r>
      <w:r w:rsidR="00AE24FB">
        <w:rPr>
          <w:rFonts w:hint="cs"/>
          <w:rtl/>
        </w:rPr>
        <w:t>ً</w:t>
      </w:r>
      <w:r w:rsidRPr="004F52A8">
        <w:rPr>
          <w:rtl/>
        </w:rPr>
        <w:t xml:space="preserve"> لتعدد ادعاءات</w:t>
      </w:r>
      <w:r w:rsidR="00BD08F6">
        <w:rPr>
          <w:rFonts w:hint="cs"/>
          <w:rtl/>
        </w:rPr>
        <w:t xml:space="preserve"> </w:t>
      </w:r>
      <w:r w:rsidRPr="004F52A8">
        <w:rPr>
          <w:rtl/>
        </w:rPr>
        <w:t>أفعال التعذيب أو سوء المعاملة المرتكبة من جانب بعض موظفي الدولة (المواد 2 و6 و7 و14).</w:t>
      </w:r>
    </w:p>
    <w:p w:rsidR="004F52A8" w:rsidRPr="00856D7C" w:rsidRDefault="00856D7C" w:rsidP="00856D7C">
      <w:pPr>
        <w:pStyle w:val="SingleTxtGA"/>
        <w:rPr>
          <w:b/>
          <w:bCs/>
          <w:rtl/>
        </w:rPr>
      </w:pPr>
      <w:r>
        <w:rPr>
          <w:b/>
          <w:bCs/>
          <w:rtl/>
        </w:rPr>
        <w:tab/>
      </w:r>
      <w:r w:rsidR="004F52A8" w:rsidRPr="00856D7C">
        <w:rPr>
          <w:rFonts w:hint="cs"/>
          <w:b/>
          <w:bCs/>
          <w:rtl/>
        </w:rPr>
        <w:t>ف</w:t>
      </w:r>
      <w:r w:rsidR="004F52A8" w:rsidRPr="00856D7C">
        <w:rPr>
          <w:b/>
          <w:bCs/>
          <w:rtl/>
        </w:rPr>
        <w:t xml:space="preserve">ي ضوء الملاحظات الختامية السابقة للجنة (انظر </w:t>
      </w:r>
      <w:r w:rsidR="004F52A8" w:rsidRPr="00856D7C">
        <w:rPr>
          <w:b/>
          <w:bCs/>
        </w:rPr>
        <w:t>CCPR/C/SDN/CO/3</w:t>
      </w:r>
      <w:r w:rsidR="004F52A8" w:rsidRPr="00856D7C">
        <w:rPr>
          <w:rFonts w:hint="cs"/>
          <w:b/>
          <w:bCs/>
          <w:rtl/>
        </w:rPr>
        <w:t>،</w:t>
      </w:r>
      <w:r w:rsidR="004F52A8" w:rsidRPr="00856D7C">
        <w:rPr>
          <w:b/>
          <w:bCs/>
          <w:rtl/>
        </w:rPr>
        <w:t xml:space="preserve"> الفقرتان</w:t>
      </w:r>
      <w:r>
        <w:rPr>
          <w:rFonts w:hint="cs"/>
          <w:b/>
          <w:bCs/>
          <w:rtl/>
        </w:rPr>
        <w:t> </w:t>
      </w:r>
      <w:r w:rsidR="004F52A8" w:rsidRPr="00856D7C">
        <w:rPr>
          <w:b/>
          <w:bCs/>
          <w:rtl/>
        </w:rPr>
        <w:t>16 و25)، ينبغي للدولة الطرف الاضطلاع بما يلي:</w:t>
      </w:r>
    </w:p>
    <w:p w:rsidR="004F52A8" w:rsidRPr="00856D7C" w:rsidRDefault="00856D7C" w:rsidP="004F52A8">
      <w:pPr>
        <w:pStyle w:val="SingleTxtGA"/>
        <w:rPr>
          <w:b/>
          <w:bCs/>
          <w:rtl/>
        </w:rPr>
      </w:pPr>
      <w:r>
        <w:rPr>
          <w:b/>
          <w:bCs/>
          <w:rtl/>
        </w:rPr>
        <w:tab/>
      </w:r>
      <w:r>
        <w:rPr>
          <w:rFonts w:hint="cs"/>
          <w:b/>
          <w:bCs/>
          <w:rtl/>
        </w:rPr>
        <w:t>(أ)</w:t>
      </w:r>
      <w:r>
        <w:rPr>
          <w:rFonts w:hint="cs"/>
          <w:b/>
          <w:bCs/>
          <w:rtl/>
        </w:rPr>
        <w:tab/>
      </w:r>
      <w:r w:rsidR="004F52A8" w:rsidRPr="00856D7C">
        <w:rPr>
          <w:rFonts w:hint="cs"/>
          <w:b/>
          <w:bCs/>
          <w:rtl/>
        </w:rPr>
        <w:t>أ</w:t>
      </w:r>
      <w:r w:rsidR="004F52A8" w:rsidRPr="00856D7C">
        <w:rPr>
          <w:b/>
          <w:bCs/>
          <w:rtl/>
        </w:rPr>
        <w:t>ن تعتمد قانونا</w:t>
      </w:r>
      <w:r w:rsidR="00AE24FB">
        <w:rPr>
          <w:rFonts w:hint="cs"/>
          <w:b/>
          <w:bCs/>
          <w:rtl/>
        </w:rPr>
        <w:t>ً</w:t>
      </w:r>
      <w:r w:rsidR="004F52A8" w:rsidRPr="00856D7C">
        <w:rPr>
          <w:b/>
          <w:bCs/>
          <w:rtl/>
        </w:rPr>
        <w:t xml:space="preserve"> جنائيا</w:t>
      </w:r>
      <w:r w:rsidR="00AE24FB">
        <w:rPr>
          <w:rFonts w:hint="cs"/>
          <w:b/>
          <w:bCs/>
          <w:rtl/>
        </w:rPr>
        <w:t>ً</w:t>
      </w:r>
      <w:r w:rsidR="004F52A8" w:rsidRPr="00856D7C">
        <w:rPr>
          <w:b/>
          <w:bCs/>
          <w:rtl/>
        </w:rPr>
        <w:t xml:space="preserve"> يعرّف فعل التعذيب ويجرّمه وفقا</w:t>
      </w:r>
      <w:r w:rsidR="00AE24FB">
        <w:rPr>
          <w:rFonts w:hint="cs"/>
          <w:b/>
          <w:bCs/>
          <w:rtl/>
        </w:rPr>
        <w:t>ً</w:t>
      </w:r>
      <w:r w:rsidR="004F52A8" w:rsidRPr="00856D7C">
        <w:rPr>
          <w:b/>
          <w:bCs/>
          <w:rtl/>
        </w:rPr>
        <w:t xml:space="preserve"> للمعايير الدولية وينص على عقوبات متناسبة مع جسامة الفعل؛</w:t>
      </w:r>
    </w:p>
    <w:p w:rsidR="004F52A8" w:rsidRPr="00856D7C" w:rsidRDefault="00856D7C" w:rsidP="00BD08F6">
      <w:pPr>
        <w:pStyle w:val="SingleTxtGA"/>
        <w:rPr>
          <w:rFonts w:hint="cs"/>
          <w:b/>
          <w:bCs/>
        </w:rPr>
      </w:pPr>
      <w:r>
        <w:rPr>
          <w:rFonts w:hint="cs"/>
          <w:b/>
          <w:bCs/>
          <w:rtl/>
        </w:rPr>
        <w:tab/>
        <w:t>(ب)</w:t>
      </w:r>
      <w:r>
        <w:rPr>
          <w:rFonts w:hint="cs"/>
          <w:b/>
          <w:bCs/>
          <w:rtl/>
        </w:rPr>
        <w:tab/>
      </w:r>
      <w:r w:rsidR="004F52A8" w:rsidRPr="00856D7C">
        <w:rPr>
          <w:rFonts w:hint="cs"/>
          <w:b/>
          <w:bCs/>
          <w:rtl/>
        </w:rPr>
        <w:t>أ</w:t>
      </w:r>
      <w:r w:rsidR="004F52A8" w:rsidRPr="00856D7C">
        <w:rPr>
          <w:b/>
          <w:bCs/>
          <w:rtl/>
        </w:rPr>
        <w:t>ن تضمن التحقيق على وجه السرعة وعلى نحو مستقل ووافٍ في جميع ادعاءات التعذيب وسوء المعاملة، ومحاكمة الجُناة، ومعاقبتهم، إن أُدينوا، بعقوباتٍ مناسبة، وحصول الضحايا على الجبر الكافي، بما في ذلك رد الاعتبار؛</w:t>
      </w:r>
    </w:p>
    <w:p w:rsidR="004F52A8" w:rsidRPr="00856D7C" w:rsidRDefault="00FB5855" w:rsidP="004F52A8">
      <w:pPr>
        <w:pStyle w:val="SingleTxtGA"/>
        <w:rPr>
          <w:b/>
          <w:bCs/>
          <w:rtl/>
        </w:rPr>
      </w:pPr>
      <w:r>
        <w:rPr>
          <w:rFonts w:hint="cs"/>
          <w:b/>
          <w:bCs/>
          <w:rtl/>
        </w:rPr>
        <w:tab/>
      </w:r>
      <w:r w:rsidR="004F52A8" w:rsidRPr="00856D7C">
        <w:rPr>
          <w:b/>
          <w:bCs/>
          <w:rtl/>
        </w:rPr>
        <w:t>(ج)</w:t>
      </w:r>
      <w:r w:rsidR="004F52A8" w:rsidRPr="00856D7C">
        <w:rPr>
          <w:b/>
          <w:bCs/>
          <w:rtl/>
        </w:rPr>
        <w:tab/>
        <w:t>أن تضمن تدريب القضاة وأعضاء النيابة والمهنيين في مجال الصحة وغيرهم من المهنيين المعنيين، المشاركين في توثيق حالات التعذيب وسوء المعاملة والتحقيق فيها، تدريبا</w:t>
      </w:r>
      <w:r w:rsidR="00AE24FB">
        <w:rPr>
          <w:rFonts w:hint="cs"/>
          <w:b/>
          <w:bCs/>
          <w:rtl/>
        </w:rPr>
        <w:t>ً</w:t>
      </w:r>
      <w:r w:rsidR="004F52A8" w:rsidRPr="00856D7C">
        <w:rPr>
          <w:b/>
          <w:bCs/>
          <w:rtl/>
        </w:rPr>
        <w:t xml:space="preserve"> مناسبا</w:t>
      </w:r>
      <w:r w:rsidR="00AE24FB">
        <w:rPr>
          <w:rFonts w:hint="cs"/>
          <w:b/>
          <w:bCs/>
          <w:rtl/>
        </w:rPr>
        <w:t>ً</w:t>
      </w:r>
      <w:r w:rsidR="004F52A8" w:rsidRPr="00856D7C">
        <w:rPr>
          <w:b/>
          <w:bCs/>
          <w:rtl/>
        </w:rPr>
        <w:t xml:space="preserve"> على استخدام </w:t>
      </w:r>
      <w:r w:rsidR="004F52A8" w:rsidRPr="00856D7C">
        <w:rPr>
          <w:rFonts w:hint="cs"/>
          <w:b/>
          <w:bCs/>
          <w:rtl/>
        </w:rPr>
        <w:t>د</w:t>
      </w:r>
      <w:r w:rsidR="004F52A8" w:rsidRPr="00856D7C">
        <w:rPr>
          <w:b/>
          <w:bCs/>
          <w:rtl/>
        </w:rPr>
        <w:t xml:space="preserve">ليل </w:t>
      </w:r>
      <w:r w:rsidR="004F52A8" w:rsidRPr="00856D7C">
        <w:rPr>
          <w:rFonts w:hint="cs"/>
          <w:b/>
          <w:bCs/>
          <w:rtl/>
        </w:rPr>
        <w:t>ا</w:t>
      </w:r>
      <w:r w:rsidR="004F52A8" w:rsidRPr="00856D7C">
        <w:rPr>
          <w:b/>
          <w:bCs/>
          <w:rtl/>
        </w:rPr>
        <w:t xml:space="preserve">لتقصي </w:t>
      </w:r>
      <w:r w:rsidR="004F52A8" w:rsidRPr="00856D7C">
        <w:rPr>
          <w:rFonts w:hint="cs"/>
          <w:b/>
          <w:bCs/>
          <w:rtl/>
        </w:rPr>
        <w:t>و</w:t>
      </w:r>
      <w:r w:rsidR="004F52A8" w:rsidRPr="00856D7C">
        <w:rPr>
          <w:b/>
          <w:bCs/>
          <w:rtl/>
        </w:rPr>
        <w:t xml:space="preserve">التوثيق </w:t>
      </w:r>
      <w:r w:rsidR="004F52A8" w:rsidRPr="00856D7C">
        <w:rPr>
          <w:rFonts w:hint="cs"/>
          <w:b/>
          <w:bCs/>
          <w:rtl/>
        </w:rPr>
        <w:t>ا</w:t>
      </w:r>
      <w:r w:rsidR="004F52A8" w:rsidRPr="00856D7C">
        <w:rPr>
          <w:b/>
          <w:bCs/>
          <w:rtl/>
        </w:rPr>
        <w:t xml:space="preserve">لفعالين </w:t>
      </w:r>
      <w:r w:rsidR="004F52A8" w:rsidRPr="00856D7C">
        <w:rPr>
          <w:rFonts w:hint="cs"/>
          <w:b/>
          <w:bCs/>
          <w:rtl/>
        </w:rPr>
        <w:t>ب</w:t>
      </w:r>
      <w:r w:rsidR="004F52A8" w:rsidRPr="00856D7C">
        <w:rPr>
          <w:b/>
          <w:bCs/>
          <w:rtl/>
        </w:rPr>
        <w:t xml:space="preserve">شأن </w:t>
      </w:r>
      <w:r w:rsidR="004F52A8" w:rsidRPr="00856D7C">
        <w:rPr>
          <w:rFonts w:hint="cs"/>
          <w:b/>
          <w:bCs/>
          <w:rtl/>
        </w:rPr>
        <w:t>ا</w:t>
      </w:r>
      <w:r w:rsidR="004F52A8" w:rsidRPr="00856D7C">
        <w:rPr>
          <w:b/>
          <w:bCs/>
          <w:rtl/>
        </w:rPr>
        <w:t xml:space="preserve">لتعذيب </w:t>
      </w:r>
      <w:r w:rsidR="004F52A8" w:rsidRPr="00856D7C">
        <w:rPr>
          <w:rFonts w:hint="cs"/>
          <w:b/>
          <w:bCs/>
          <w:rtl/>
        </w:rPr>
        <w:t>و</w:t>
      </w:r>
      <w:r w:rsidR="004F52A8" w:rsidRPr="00856D7C">
        <w:rPr>
          <w:b/>
          <w:bCs/>
          <w:rtl/>
        </w:rPr>
        <w:t xml:space="preserve">غيره </w:t>
      </w:r>
      <w:r w:rsidR="004F52A8" w:rsidRPr="00856D7C">
        <w:rPr>
          <w:rFonts w:hint="cs"/>
          <w:b/>
          <w:bCs/>
          <w:rtl/>
        </w:rPr>
        <w:t>م</w:t>
      </w:r>
      <w:r w:rsidR="004F52A8" w:rsidRPr="00856D7C">
        <w:rPr>
          <w:b/>
          <w:bCs/>
          <w:rtl/>
        </w:rPr>
        <w:t xml:space="preserve">ن </w:t>
      </w:r>
      <w:r w:rsidR="004F52A8" w:rsidRPr="00856D7C">
        <w:rPr>
          <w:rFonts w:hint="cs"/>
          <w:b/>
          <w:bCs/>
          <w:rtl/>
        </w:rPr>
        <w:t>ض</w:t>
      </w:r>
      <w:r w:rsidR="004F52A8" w:rsidRPr="00856D7C">
        <w:rPr>
          <w:b/>
          <w:bCs/>
          <w:rtl/>
        </w:rPr>
        <w:t xml:space="preserve">روب </w:t>
      </w:r>
      <w:r w:rsidR="004F52A8" w:rsidRPr="00856D7C">
        <w:rPr>
          <w:rFonts w:hint="cs"/>
          <w:b/>
          <w:bCs/>
          <w:rtl/>
        </w:rPr>
        <w:t>ا</w:t>
      </w:r>
      <w:r w:rsidR="004F52A8" w:rsidRPr="00856D7C">
        <w:rPr>
          <w:b/>
          <w:bCs/>
          <w:rtl/>
        </w:rPr>
        <w:t xml:space="preserve">لمعاملة </w:t>
      </w:r>
      <w:r w:rsidR="004F52A8" w:rsidRPr="00856D7C">
        <w:rPr>
          <w:rFonts w:hint="cs"/>
          <w:b/>
          <w:bCs/>
          <w:rtl/>
        </w:rPr>
        <w:t>أ</w:t>
      </w:r>
      <w:r w:rsidR="004F52A8" w:rsidRPr="00856D7C">
        <w:rPr>
          <w:b/>
          <w:bCs/>
          <w:rtl/>
        </w:rPr>
        <w:t xml:space="preserve">و </w:t>
      </w:r>
      <w:r w:rsidR="004F52A8" w:rsidRPr="00856D7C">
        <w:rPr>
          <w:rFonts w:hint="cs"/>
          <w:b/>
          <w:bCs/>
          <w:rtl/>
        </w:rPr>
        <w:t>ا</w:t>
      </w:r>
      <w:r w:rsidR="004F52A8" w:rsidRPr="00856D7C">
        <w:rPr>
          <w:b/>
          <w:bCs/>
          <w:rtl/>
        </w:rPr>
        <w:t xml:space="preserve">لعقوبة </w:t>
      </w:r>
      <w:r w:rsidR="004F52A8" w:rsidRPr="00856D7C">
        <w:rPr>
          <w:rFonts w:hint="cs"/>
          <w:b/>
          <w:bCs/>
          <w:rtl/>
        </w:rPr>
        <w:t>ا</w:t>
      </w:r>
      <w:r w:rsidR="004F52A8" w:rsidRPr="00856D7C">
        <w:rPr>
          <w:b/>
          <w:bCs/>
          <w:rtl/>
        </w:rPr>
        <w:t xml:space="preserve">لقاسية </w:t>
      </w:r>
      <w:r w:rsidR="004F52A8" w:rsidRPr="00856D7C">
        <w:rPr>
          <w:rFonts w:hint="cs"/>
          <w:b/>
          <w:bCs/>
          <w:rtl/>
        </w:rPr>
        <w:t>أ</w:t>
      </w:r>
      <w:r w:rsidR="004F52A8" w:rsidRPr="00856D7C">
        <w:rPr>
          <w:b/>
          <w:bCs/>
          <w:rtl/>
        </w:rPr>
        <w:t xml:space="preserve">و </w:t>
      </w:r>
      <w:r w:rsidR="004F52A8" w:rsidRPr="00856D7C">
        <w:rPr>
          <w:rFonts w:hint="cs"/>
          <w:b/>
          <w:bCs/>
          <w:rtl/>
        </w:rPr>
        <w:t>ا</w:t>
      </w:r>
      <w:r w:rsidR="004F52A8" w:rsidRPr="00856D7C">
        <w:rPr>
          <w:b/>
          <w:bCs/>
          <w:rtl/>
        </w:rPr>
        <w:t xml:space="preserve">للاإنسانية </w:t>
      </w:r>
      <w:r w:rsidR="004F52A8" w:rsidRPr="00856D7C">
        <w:rPr>
          <w:rFonts w:hint="cs"/>
          <w:b/>
          <w:bCs/>
          <w:rtl/>
        </w:rPr>
        <w:t>أ</w:t>
      </w:r>
      <w:r w:rsidR="004F52A8" w:rsidRPr="00856D7C">
        <w:rPr>
          <w:b/>
          <w:bCs/>
          <w:rtl/>
        </w:rPr>
        <w:t xml:space="preserve">و </w:t>
      </w:r>
      <w:r w:rsidR="004F52A8" w:rsidRPr="00856D7C">
        <w:rPr>
          <w:rFonts w:hint="cs"/>
          <w:b/>
          <w:bCs/>
          <w:rtl/>
        </w:rPr>
        <w:t>ا</w:t>
      </w:r>
      <w:r w:rsidR="004F52A8" w:rsidRPr="00856D7C">
        <w:rPr>
          <w:b/>
          <w:bCs/>
          <w:rtl/>
        </w:rPr>
        <w:t>لمهينة (</w:t>
      </w:r>
      <w:r w:rsidR="004F52A8" w:rsidRPr="00856D7C">
        <w:rPr>
          <w:rFonts w:hint="cs"/>
          <w:b/>
          <w:bCs/>
          <w:rtl/>
        </w:rPr>
        <w:t>ب</w:t>
      </w:r>
      <w:r w:rsidR="004F52A8" w:rsidRPr="00856D7C">
        <w:rPr>
          <w:b/>
          <w:bCs/>
          <w:rtl/>
        </w:rPr>
        <w:t xml:space="preserve">روتوكول </w:t>
      </w:r>
      <w:r w:rsidR="004F52A8" w:rsidRPr="00856D7C">
        <w:rPr>
          <w:rFonts w:hint="cs"/>
          <w:b/>
          <w:bCs/>
          <w:rtl/>
        </w:rPr>
        <w:t>ا</w:t>
      </w:r>
      <w:r w:rsidR="004F52A8" w:rsidRPr="00856D7C">
        <w:rPr>
          <w:b/>
          <w:bCs/>
          <w:rtl/>
        </w:rPr>
        <w:t>سطنبول)</w:t>
      </w:r>
      <w:r w:rsidR="004F52A8" w:rsidRPr="00856D7C">
        <w:rPr>
          <w:rFonts w:hint="cs"/>
          <w:b/>
          <w:bCs/>
          <w:rtl/>
        </w:rPr>
        <w:t>،</w:t>
      </w:r>
      <w:r w:rsidR="004F52A8" w:rsidRPr="00856D7C">
        <w:rPr>
          <w:b/>
          <w:bCs/>
          <w:rtl/>
        </w:rPr>
        <w:t xml:space="preserve"> </w:t>
      </w:r>
      <w:r w:rsidR="004F52A8" w:rsidRPr="00856D7C">
        <w:rPr>
          <w:rFonts w:hint="cs"/>
          <w:b/>
          <w:bCs/>
          <w:rtl/>
        </w:rPr>
        <w:t>و</w:t>
      </w:r>
      <w:r w:rsidR="004F52A8" w:rsidRPr="00856D7C">
        <w:rPr>
          <w:b/>
          <w:bCs/>
          <w:rtl/>
        </w:rPr>
        <w:t xml:space="preserve">على </w:t>
      </w:r>
      <w:r w:rsidR="004F52A8" w:rsidRPr="00856D7C">
        <w:rPr>
          <w:rFonts w:hint="cs"/>
          <w:b/>
          <w:bCs/>
          <w:rtl/>
        </w:rPr>
        <w:t>ا</w:t>
      </w:r>
      <w:r w:rsidR="004F52A8" w:rsidRPr="00856D7C">
        <w:rPr>
          <w:b/>
          <w:bCs/>
          <w:rtl/>
        </w:rPr>
        <w:t xml:space="preserve">لأخذ </w:t>
      </w:r>
      <w:r w:rsidR="004F52A8" w:rsidRPr="00856D7C">
        <w:rPr>
          <w:rFonts w:hint="cs"/>
          <w:b/>
          <w:bCs/>
          <w:rtl/>
        </w:rPr>
        <w:t>ب</w:t>
      </w:r>
      <w:r w:rsidR="004F52A8" w:rsidRPr="00856D7C">
        <w:rPr>
          <w:b/>
          <w:bCs/>
          <w:rtl/>
        </w:rPr>
        <w:t xml:space="preserve">المعايير </w:t>
      </w:r>
      <w:r w:rsidR="004F52A8" w:rsidRPr="00856D7C">
        <w:rPr>
          <w:rFonts w:hint="cs"/>
          <w:b/>
          <w:bCs/>
          <w:rtl/>
        </w:rPr>
        <w:t>ا</w:t>
      </w:r>
      <w:r w:rsidR="004F52A8" w:rsidRPr="00856D7C">
        <w:rPr>
          <w:b/>
          <w:bCs/>
          <w:rtl/>
        </w:rPr>
        <w:t xml:space="preserve">لدولية </w:t>
      </w:r>
      <w:r w:rsidR="004F52A8" w:rsidRPr="00856D7C">
        <w:rPr>
          <w:rFonts w:hint="cs"/>
          <w:b/>
          <w:bCs/>
          <w:rtl/>
        </w:rPr>
        <w:t>ا</w:t>
      </w:r>
      <w:r w:rsidR="004F52A8" w:rsidRPr="00856D7C">
        <w:rPr>
          <w:b/>
          <w:bCs/>
          <w:rtl/>
        </w:rPr>
        <w:t xml:space="preserve">لمتعلقة </w:t>
      </w:r>
      <w:r w:rsidR="004F52A8" w:rsidRPr="00856D7C">
        <w:rPr>
          <w:rFonts w:hint="cs"/>
          <w:b/>
          <w:bCs/>
          <w:rtl/>
        </w:rPr>
        <w:t>ب</w:t>
      </w:r>
      <w:r w:rsidR="004F52A8" w:rsidRPr="00856D7C">
        <w:rPr>
          <w:b/>
          <w:bCs/>
          <w:rtl/>
        </w:rPr>
        <w:t xml:space="preserve">فعل </w:t>
      </w:r>
      <w:r w:rsidR="004F52A8" w:rsidRPr="00856D7C">
        <w:rPr>
          <w:rFonts w:hint="cs"/>
          <w:b/>
          <w:bCs/>
          <w:rtl/>
        </w:rPr>
        <w:t>ا</w:t>
      </w:r>
      <w:r w:rsidR="004F52A8" w:rsidRPr="00856D7C">
        <w:rPr>
          <w:b/>
          <w:bCs/>
          <w:rtl/>
        </w:rPr>
        <w:t xml:space="preserve">لتعذيب </w:t>
      </w:r>
      <w:r w:rsidR="004F52A8" w:rsidRPr="00856D7C">
        <w:rPr>
          <w:rFonts w:hint="cs"/>
          <w:b/>
          <w:bCs/>
          <w:rtl/>
        </w:rPr>
        <w:t>و</w:t>
      </w:r>
      <w:r w:rsidR="004F52A8" w:rsidRPr="00856D7C">
        <w:rPr>
          <w:b/>
          <w:bCs/>
          <w:rtl/>
        </w:rPr>
        <w:t xml:space="preserve">سوء </w:t>
      </w:r>
      <w:r w:rsidR="004F52A8" w:rsidRPr="00856D7C">
        <w:rPr>
          <w:rFonts w:hint="cs"/>
          <w:b/>
          <w:bCs/>
          <w:rtl/>
        </w:rPr>
        <w:t>ا</w:t>
      </w:r>
      <w:r w:rsidR="004F52A8" w:rsidRPr="00856D7C">
        <w:rPr>
          <w:b/>
          <w:bCs/>
          <w:rtl/>
        </w:rPr>
        <w:t>لمعاملة؛</w:t>
      </w:r>
    </w:p>
    <w:p w:rsidR="004F52A8" w:rsidRPr="00856D7C" w:rsidRDefault="004C4B4B" w:rsidP="004F52A8">
      <w:pPr>
        <w:pStyle w:val="SingleTxtGA"/>
        <w:rPr>
          <w:b/>
          <w:bCs/>
          <w:rtl/>
        </w:rPr>
      </w:pPr>
      <w:r>
        <w:rPr>
          <w:rFonts w:hint="cs"/>
          <w:b/>
          <w:bCs/>
          <w:rtl/>
        </w:rPr>
        <w:tab/>
      </w:r>
      <w:r w:rsidR="004F52A8" w:rsidRPr="00856D7C">
        <w:rPr>
          <w:b/>
          <w:bCs/>
          <w:rtl/>
        </w:rPr>
        <w:t>(</w:t>
      </w:r>
      <w:r w:rsidR="004F52A8" w:rsidRPr="00856D7C">
        <w:rPr>
          <w:rFonts w:hint="cs"/>
          <w:b/>
          <w:bCs/>
          <w:rtl/>
        </w:rPr>
        <w:t>د</w:t>
      </w:r>
      <w:r w:rsidR="004F52A8" w:rsidRPr="00856D7C">
        <w:rPr>
          <w:b/>
          <w:bCs/>
          <w:rtl/>
        </w:rPr>
        <w:t>)</w:t>
      </w:r>
      <w:r w:rsidR="004F52A8" w:rsidRPr="00856D7C">
        <w:rPr>
          <w:b/>
          <w:bCs/>
          <w:rtl/>
        </w:rPr>
        <w:tab/>
      </w:r>
      <w:r w:rsidR="004F52A8" w:rsidRPr="00856D7C">
        <w:rPr>
          <w:rFonts w:hint="cs"/>
          <w:b/>
          <w:bCs/>
          <w:rtl/>
        </w:rPr>
        <w:t>أ</w:t>
      </w:r>
      <w:r w:rsidR="004F52A8" w:rsidRPr="00856D7C">
        <w:rPr>
          <w:b/>
          <w:bCs/>
          <w:rtl/>
        </w:rPr>
        <w:t xml:space="preserve">ن </w:t>
      </w:r>
      <w:r w:rsidR="004F52A8" w:rsidRPr="00856D7C">
        <w:rPr>
          <w:rFonts w:hint="cs"/>
          <w:b/>
          <w:bCs/>
          <w:rtl/>
        </w:rPr>
        <w:t>ت</w:t>
      </w:r>
      <w:r w:rsidR="004F52A8" w:rsidRPr="00856D7C">
        <w:rPr>
          <w:b/>
          <w:bCs/>
          <w:rtl/>
        </w:rPr>
        <w:t xml:space="preserve">ضمن </w:t>
      </w:r>
      <w:r w:rsidR="004F52A8" w:rsidRPr="00856D7C">
        <w:rPr>
          <w:rFonts w:hint="cs"/>
          <w:b/>
          <w:bCs/>
          <w:rtl/>
        </w:rPr>
        <w:t>ع</w:t>
      </w:r>
      <w:r w:rsidR="004F52A8" w:rsidRPr="00856D7C">
        <w:rPr>
          <w:b/>
          <w:bCs/>
          <w:rtl/>
        </w:rPr>
        <w:t xml:space="preserve">دم </w:t>
      </w:r>
      <w:r w:rsidR="004F52A8" w:rsidRPr="00856D7C">
        <w:rPr>
          <w:rFonts w:hint="cs"/>
          <w:b/>
          <w:bCs/>
          <w:rtl/>
        </w:rPr>
        <w:t>ل</w:t>
      </w:r>
      <w:r w:rsidR="004F52A8" w:rsidRPr="00856D7C">
        <w:rPr>
          <w:b/>
          <w:bCs/>
          <w:rtl/>
        </w:rPr>
        <w:t xml:space="preserve">جوء </w:t>
      </w:r>
      <w:r w:rsidR="004F52A8" w:rsidRPr="00856D7C">
        <w:rPr>
          <w:rFonts w:hint="cs"/>
          <w:b/>
          <w:bCs/>
          <w:rtl/>
        </w:rPr>
        <w:t>ا</w:t>
      </w:r>
      <w:r w:rsidR="004F52A8" w:rsidRPr="00856D7C">
        <w:rPr>
          <w:b/>
          <w:bCs/>
          <w:rtl/>
        </w:rPr>
        <w:t xml:space="preserve">لمحاكم، </w:t>
      </w:r>
      <w:r w:rsidR="004F52A8" w:rsidRPr="00856D7C">
        <w:rPr>
          <w:rFonts w:hint="cs"/>
          <w:b/>
          <w:bCs/>
          <w:rtl/>
        </w:rPr>
        <w:t>ب</w:t>
      </w:r>
      <w:r w:rsidR="004F52A8" w:rsidRPr="00856D7C">
        <w:rPr>
          <w:b/>
          <w:bCs/>
          <w:rtl/>
        </w:rPr>
        <w:t xml:space="preserve">أي </w:t>
      </w:r>
      <w:r w:rsidR="004F52A8" w:rsidRPr="00856D7C">
        <w:rPr>
          <w:rFonts w:hint="cs"/>
          <w:b/>
          <w:bCs/>
          <w:rtl/>
        </w:rPr>
        <w:t>ح</w:t>
      </w:r>
      <w:r w:rsidR="004F52A8" w:rsidRPr="00856D7C">
        <w:rPr>
          <w:b/>
          <w:bCs/>
          <w:rtl/>
        </w:rPr>
        <w:t xml:space="preserve">ال </w:t>
      </w:r>
      <w:r w:rsidR="004F52A8" w:rsidRPr="00856D7C">
        <w:rPr>
          <w:rFonts w:hint="cs"/>
          <w:b/>
          <w:bCs/>
          <w:rtl/>
        </w:rPr>
        <w:t>م</w:t>
      </w:r>
      <w:r w:rsidR="004F52A8" w:rsidRPr="00856D7C">
        <w:rPr>
          <w:b/>
          <w:bCs/>
          <w:rtl/>
        </w:rPr>
        <w:t xml:space="preserve">ن </w:t>
      </w:r>
      <w:r w:rsidR="004F52A8" w:rsidRPr="00856D7C">
        <w:rPr>
          <w:rFonts w:hint="cs"/>
          <w:b/>
          <w:bCs/>
          <w:rtl/>
        </w:rPr>
        <w:t>ا</w:t>
      </w:r>
      <w:r w:rsidR="004F52A8" w:rsidRPr="00856D7C">
        <w:rPr>
          <w:b/>
          <w:bCs/>
          <w:rtl/>
        </w:rPr>
        <w:t xml:space="preserve">لأحوال، </w:t>
      </w:r>
      <w:r w:rsidR="004F52A8" w:rsidRPr="00856D7C">
        <w:rPr>
          <w:rFonts w:hint="cs"/>
          <w:b/>
          <w:bCs/>
          <w:rtl/>
        </w:rPr>
        <w:t>إ</w:t>
      </w:r>
      <w:r w:rsidR="004F52A8" w:rsidRPr="00856D7C">
        <w:rPr>
          <w:b/>
          <w:bCs/>
          <w:rtl/>
        </w:rPr>
        <w:t xml:space="preserve">لى </w:t>
      </w:r>
      <w:r w:rsidR="004F52A8" w:rsidRPr="00856D7C">
        <w:rPr>
          <w:rFonts w:hint="cs"/>
          <w:b/>
          <w:bCs/>
          <w:rtl/>
        </w:rPr>
        <w:t>ا</w:t>
      </w:r>
      <w:r w:rsidR="004F52A8" w:rsidRPr="00856D7C">
        <w:rPr>
          <w:b/>
          <w:bCs/>
          <w:rtl/>
        </w:rPr>
        <w:t xml:space="preserve">ستخدام </w:t>
      </w:r>
      <w:r w:rsidR="004F52A8" w:rsidRPr="00856D7C">
        <w:rPr>
          <w:rFonts w:hint="cs"/>
          <w:b/>
          <w:bCs/>
          <w:rtl/>
        </w:rPr>
        <w:t>أ</w:t>
      </w:r>
      <w:r w:rsidR="004F52A8" w:rsidRPr="00856D7C">
        <w:rPr>
          <w:b/>
          <w:bCs/>
          <w:rtl/>
        </w:rPr>
        <w:t xml:space="preserve">و </w:t>
      </w:r>
      <w:r w:rsidR="004F52A8" w:rsidRPr="00856D7C">
        <w:rPr>
          <w:rFonts w:hint="cs"/>
          <w:b/>
          <w:bCs/>
          <w:rtl/>
        </w:rPr>
        <w:t>ق</w:t>
      </w:r>
      <w:r w:rsidR="004F52A8" w:rsidRPr="00856D7C">
        <w:rPr>
          <w:b/>
          <w:bCs/>
          <w:rtl/>
        </w:rPr>
        <w:t xml:space="preserve">بول </w:t>
      </w:r>
      <w:r w:rsidR="004F52A8" w:rsidRPr="00856D7C">
        <w:rPr>
          <w:rFonts w:hint="cs"/>
          <w:b/>
          <w:bCs/>
          <w:rtl/>
        </w:rPr>
        <w:t>ا</w:t>
      </w:r>
      <w:r w:rsidR="004F52A8" w:rsidRPr="00856D7C">
        <w:rPr>
          <w:b/>
          <w:bCs/>
          <w:rtl/>
        </w:rPr>
        <w:t xml:space="preserve">لاعترافات </w:t>
      </w:r>
      <w:r w:rsidR="004F52A8" w:rsidRPr="00856D7C">
        <w:rPr>
          <w:rFonts w:hint="cs"/>
          <w:b/>
          <w:bCs/>
          <w:rtl/>
        </w:rPr>
        <w:t>ا</w:t>
      </w:r>
      <w:r w:rsidR="004F52A8" w:rsidRPr="00856D7C">
        <w:rPr>
          <w:b/>
          <w:bCs/>
          <w:rtl/>
        </w:rPr>
        <w:t xml:space="preserve">لتي </w:t>
      </w:r>
      <w:r w:rsidR="004F52A8" w:rsidRPr="00856D7C">
        <w:rPr>
          <w:rFonts w:hint="cs"/>
          <w:b/>
          <w:bCs/>
          <w:rtl/>
        </w:rPr>
        <w:t>ح</w:t>
      </w:r>
      <w:r w:rsidR="004F52A8" w:rsidRPr="00856D7C">
        <w:rPr>
          <w:b/>
          <w:bCs/>
          <w:rtl/>
        </w:rPr>
        <w:t xml:space="preserve">ُصل </w:t>
      </w:r>
      <w:r w:rsidR="004F52A8" w:rsidRPr="00856D7C">
        <w:rPr>
          <w:rFonts w:hint="cs"/>
          <w:b/>
          <w:bCs/>
          <w:rtl/>
        </w:rPr>
        <w:t>ع</w:t>
      </w:r>
      <w:r w:rsidR="004F52A8" w:rsidRPr="00856D7C">
        <w:rPr>
          <w:b/>
          <w:bCs/>
          <w:rtl/>
        </w:rPr>
        <w:t xml:space="preserve">ليها </w:t>
      </w:r>
      <w:r w:rsidR="004F52A8" w:rsidRPr="00856D7C">
        <w:rPr>
          <w:rFonts w:hint="cs"/>
          <w:b/>
          <w:bCs/>
          <w:rtl/>
        </w:rPr>
        <w:t>ع</w:t>
      </w:r>
      <w:r w:rsidR="004F52A8" w:rsidRPr="00856D7C">
        <w:rPr>
          <w:b/>
          <w:bCs/>
          <w:rtl/>
        </w:rPr>
        <w:t xml:space="preserve">لى </w:t>
      </w:r>
      <w:r w:rsidR="004F52A8" w:rsidRPr="00856D7C">
        <w:rPr>
          <w:rFonts w:hint="cs"/>
          <w:b/>
          <w:bCs/>
          <w:rtl/>
        </w:rPr>
        <w:t>ن</w:t>
      </w:r>
      <w:r w:rsidR="004F52A8" w:rsidRPr="00856D7C">
        <w:rPr>
          <w:b/>
          <w:bCs/>
          <w:rtl/>
        </w:rPr>
        <w:t xml:space="preserve">حو </w:t>
      </w:r>
      <w:r w:rsidR="004F52A8" w:rsidRPr="00856D7C">
        <w:rPr>
          <w:rFonts w:hint="cs"/>
          <w:b/>
          <w:bCs/>
          <w:rtl/>
        </w:rPr>
        <w:t>ي</w:t>
      </w:r>
      <w:r w:rsidR="004F52A8" w:rsidRPr="00856D7C">
        <w:rPr>
          <w:b/>
          <w:bCs/>
          <w:rtl/>
        </w:rPr>
        <w:t xml:space="preserve">شكل </w:t>
      </w:r>
      <w:r w:rsidR="004F52A8" w:rsidRPr="00856D7C">
        <w:rPr>
          <w:rFonts w:hint="cs"/>
          <w:b/>
          <w:bCs/>
          <w:rtl/>
        </w:rPr>
        <w:t>ا</w:t>
      </w:r>
      <w:r w:rsidR="004F52A8" w:rsidRPr="00856D7C">
        <w:rPr>
          <w:b/>
          <w:bCs/>
          <w:rtl/>
        </w:rPr>
        <w:t>نتهاكا</w:t>
      </w:r>
      <w:r w:rsidR="00AE24FB">
        <w:rPr>
          <w:rFonts w:hint="cs"/>
          <w:b/>
          <w:bCs/>
          <w:rtl/>
        </w:rPr>
        <w:t>ً</w:t>
      </w:r>
      <w:r w:rsidR="004F52A8" w:rsidRPr="00856D7C">
        <w:rPr>
          <w:b/>
          <w:bCs/>
          <w:rtl/>
        </w:rPr>
        <w:t xml:space="preserve"> </w:t>
      </w:r>
      <w:r w:rsidR="004F52A8" w:rsidRPr="00856D7C">
        <w:rPr>
          <w:rFonts w:hint="cs"/>
          <w:b/>
          <w:bCs/>
          <w:rtl/>
        </w:rPr>
        <w:t>ل</w:t>
      </w:r>
      <w:r w:rsidR="004F52A8" w:rsidRPr="00856D7C">
        <w:rPr>
          <w:b/>
          <w:bCs/>
          <w:rtl/>
        </w:rPr>
        <w:t xml:space="preserve">لمادة 7 </w:t>
      </w:r>
      <w:r w:rsidR="004F52A8" w:rsidRPr="00856D7C">
        <w:rPr>
          <w:rFonts w:hint="cs"/>
          <w:b/>
          <w:bCs/>
          <w:rtl/>
        </w:rPr>
        <w:t>م</w:t>
      </w:r>
      <w:r w:rsidR="004F52A8" w:rsidRPr="00856D7C">
        <w:rPr>
          <w:b/>
          <w:bCs/>
          <w:rtl/>
        </w:rPr>
        <w:t xml:space="preserve">ن </w:t>
      </w:r>
      <w:r w:rsidR="004F52A8" w:rsidRPr="00856D7C">
        <w:rPr>
          <w:rFonts w:hint="cs"/>
          <w:b/>
          <w:bCs/>
          <w:rtl/>
        </w:rPr>
        <w:t>ا</w:t>
      </w:r>
      <w:r w:rsidR="004F52A8" w:rsidRPr="00856D7C">
        <w:rPr>
          <w:b/>
          <w:bCs/>
          <w:rtl/>
        </w:rPr>
        <w:t>لعهد.</w:t>
      </w:r>
    </w:p>
    <w:p w:rsidR="004F52A8" w:rsidRPr="004F52A8" w:rsidRDefault="00856D7C" w:rsidP="00856D7C">
      <w:pPr>
        <w:pStyle w:val="H23GA"/>
        <w:rPr>
          <w:rtl/>
        </w:rPr>
      </w:pPr>
      <w:r>
        <w:rPr>
          <w:rFonts w:hint="cs"/>
          <w:rtl/>
        </w:rPr>
        <w:tab/>
      </w:r>
      <w:r w:rsidR="004F52A8" w:rsidRPr="004F52A8">
        <w:rPr>
          <w:rtl/>
        </w:rPr>
        <w:tab/>
      </w:r>
      <w:r w:rsidR="004F52A8" w:rsidRPr="004F52A8">
        <w:rPr>
          <w:rFonts w:hint="cs"/>
          <w:rtl/>
        </w:rPr>
        <w:t>ا</w:t>
      </w:r>
      <w:r w:rsidR="004F52A8" w:rsidRPr="004F52A8">
        <w:rPr>
          <w:rtl/>
        </w:rPr>
        <w:t>لعقوبة البدنية</w:t>
      </w:r>
    </w:p>
    <w:p w:rsidR="004F52A8" w:rsidRPr="004F52A8" w:rsidRDefault="004F52A8" w:rsidP="004F52A8">
      <w:pPr>
        <w:pStyle w:val="SingleTxtGA"/>
        <w:rPr>
          <w:rtl/>
        </w:rPr>
      </w:pPr>
      <w:r w:rsidRPr="004F52A8">
        <w:rPr>
          <w:rtl/>
        </w:rPr>
        <w:t>16-</w:t>
      </w:r>
      <w:r w:rsidRPr="004F52A8">
        <w:rPr>
          <w:rtl/>
        </w:rPr>
        <w:tab/>
        <w:t xml:space="preserve">تأسف اللجنة لأنه على الرغم من توصيتها السابقة (انظر </w:t>
      </w:r>
      <w:r w:rsidRPr="004F52A8">
        <w:t>CCPR/C/SDN/CO/3</w:t>
      </w:r>
      <w:r w:rsidRPr="004F52A8">
        <w:rPr>
          <w:rFonts w:hint="cs"/>
          <w:rtl/>
        </w:rPr>
        <w:t>،</w:t>
      </w:r>
      <w:r w:rsidRPr="004F52A8">
        <w:rPr>
          <w:rtl/>
        </w:rPr>
        <w:t xml:space="preserve"> الفقرة 10)، ما زال قانون الدولة الطرف ينص على أشكال متعددة من العقوبة البدنية، كالجلد والبتْر، تشكل انتهاكا</w:t>
      </w:r>
      <w:r w:rsidR="00AE24FB">
        <w:rPr>
          <w:rFonts w:hint="cs"/>
          <w:rtl/>
        </w:rPr>
        <w:t>ً</w:t>
      </w:r>
      <w:r w:rsidRPr="004F52A8">
        <w:rPr>
          <w:rtl/>
        </w:rPr>
        <w:t xml:space="preserve"> للمادة 7 من العهد.</w:t>
      </w:r>
    </w:p>
    <w:p w:rsidR="004F52A8" w:rsidRPr="00856D7C" w:rsidRDefault="00856D7C" w:rsidP="004F52A8">
      <w:pPr>
        <w:pStyle w:val="SingleTxtGA"/>
        <w:rPr>
          <w:b/>
          <w:bCs/>
          <w:rtl/>
        </w:rPr>
      </w:pPr>
      <w:r>
        <w:rPr>
          <w:rtl/>
        </w:rPr>
        <w:tab/>
      </w:r>
      <w:r w:rsidR="004F52A8" w:rsidRPr="00856D7C">
        <w:rPr>
          <w:rFonts w:hint="cs"/>
          <w:b/>
          <w:bCs/>
          <w:rtl/>
        </w:rPr>
        <w:t>ي</w:t>
      </w:r>
      <w:r w:rsidR="004F52A8" w:rsidRPr="00856D7C">
        <w:rPr>
          <w:b/>
          <w:bCs/>
          <w:rtl/>
        </w:rPr>
        <w:t>نبغي للدولة الطرف أن تلغي العقوبة البدنية من نظام العقوبات وتدأب، أيضا</w:t>
      </w:r>
      <w:r w:rsidR="00AE24FB">
        <w:rPr>
          <w:rFonts w:hint="cs"/>
          <w:b/>
          <w:bCs/>
          <w:rtl/>
        </w:rPr>
        <w:t>ً</w:t>
      </w:r>
      <w:r w:rsidR="004F52A8" w:rsidRPr="00856D7C">
        <w:rPr>
          <w:b/>
          <w:bCs/>
          <w:rtl/>
        </w:rPr>
        <w:t xml:space="preserve">، على منع أي استخدام لهذا النوع من العقوبات إلى حين إلغاء القانون ذي الصلة. </w:t>
      </w:r>
    </w:p>
    <w:p w:rsidR="004F52A8" w:rsidRPr="004F52A8" w:rsidRDefault="00856D7C" w:rsidP="00856D7C">
      <w:pPr>
        <w:pStyle w:val="H23GA"/>
        <w:rPr>
          <w:rtl/>
        </w:rPr>
      </w:pPr>
      <w:r>
        <w:rPr>
          <w:rtl/>
        </w:rPr>
        <w:tab/>
      </w:r>
      <w:r>
        <w:rPr>
          <w:rFonts w:hint="cs"/>
          <w:rtl/>
        </w:rPr>
        <w:tab/>
      </w:r>
      <w:r w:rsidR="004F52A8" w:rsidRPr="004F52A8">
        <w:rPr>
          <w:rFonts w:hint="cs"/>
          <w:rtl/>
        </w:rPr>
        <w:t>ح</w:t>
      </w:r>
      <w:r w:rsidR="004F52A8" w:rsidRPr="004F52A8">
        <w:rPr>
          <w:rtl/>
        </w:rPr>
        <w:t>صانات موظفي الدولة</w:t>
      </w:r>
    </w:p>
    <w:p w:rsidR="004F52A8" w:rsidRPr="004F52A8" w:rsidRDefault="004F52A8" w:rsidP="004F52A8">
      <w:pPr>
        <w:pStyle w:val="SingleTxtGA"/>
        <w:rPr>
          <w:rtl/>
        </w:rPr>
      </w:pPr>
      <w:r w:rsidRPr="004F52A8">
        <w:rPr>
          <w:rtl/>
        </w:rPr>
        <w:t>17-</w:t>
      </w:r>
      <w:r w:rsidRPr="004F52A8">
        <w:rPr>
          <w:rtl/>
        </w:rPr>
        <w:tab/>
        <w:t xml:space="preserve">تأسف اللجنة، إذ تشير إلى ملاحظاتها الختامية السابقة (انظر </w:t>
      </w:r>
      <w:r w:rsidRPr="004F52A8">
        <w:t>CCPR/C/SDN/CO/3</w:t>
      </w:r>
      <w:r w:rsidRPr="004F52A8">
        <w:rPr>
          <w:rFonts w:hint="cs"/>
          <w:rtl/>
        </w:rPr>
        <w:t>،</w:t>
      </w:r>
      <w:r w:rsidRPr="004F52A8">
        <w:rPr>
          <w:rtl/>
        </w:rPr>
        <w:t xml:space="preserve"> الفقرة 9)، لأن قانون الدولة الطرف لا يزال يمنح قوات الشرطة والقوات المسلحة وقوات الأمن الوطني حصانة من المقاضاة الجنائية على أي انتهاكات لحقوق الإنسان قد يرتكبونها أثناء أداء مهامهم (المواد 2 و14 و26). </w:t>
      </w:r>
    </w:p>
    <w:p w:rsidR="004F52A8" w:rsidRPr="00856D7C" w:rsidRDefault="00856D7C" w:rsidP="004F52A8">
      <w:pPr>
        <w:pStyle w:val="SingleTxtGA"/>
        <w:rPr>
          <w:b/>
          <w:bCs/>
          <w:rtl/>
        </w:rPr>
      </w:pPr>
      <w:r>
        <w:rPr>
          <w:rFonts w:hint="cs"/>
          <w:b/>
          <w:bCs/>
          <w:rtl/>
        </w:rPr>
        <w:tab/>
      </w:r>
      <w:r w:rsidR="004F52A8" w:rsidRPr="00856D7C">
        <w:rPr>
          <w:rFonts w:hint="cs"/>
          <w:b/>
          <w:bCs/>
          <w:rtl/>
        </w:rPr>
        <w:t>ي</w:t>
      </w:r>
      <w:r w:rsidR="004F52A8" w:rsidRPr="00856D7C">
        <w:rPr>
          <w:b/>
          <w:bCs/>
          <w:rtl/>
        </w:rPr>
        <w:t>نبغي للدولة الطرف أن تلغي الأحكام التي تمنح قوات الشرطة والقوات المسلحة وقوات الأمن الوطني حصانة من المقاضاة الجنائية.</w:t>
      </w:r>
    </w:p>
    <w:p w:rsidR="004F52A8" w:rsidRPr="004F52A8" w:rsidRDefault="00856D7C" w:rsidP="00856D7C">
      <w:pPr>
        <w:pStyle w:val="H23GA"/>
        <w:rPr>
          <w:rtl/>
        </w:rPr>
      </w:pPr>
      <w:r>
        <w:rPr>
          <w:rFonts w:hint="cs"/>
          <w:rtl/>
        </w:rPr>
        <w:tab/>
      </w:r>
      <w:r>
        <w:rPr>
          <w:rFonts w:hint="cs"/>
          <w:rtl/>
        </w:rPr>
        <w:tab/>
      </w:r>
      <w:r w:rsidR="004F52A8" w:rsidRPr="004F52A8">
        <w:rPr>
          <w:rFonts w:hint="cs"/>
          <w:rtl/>
        </w:rPr>
        <w:t>ع</w:t>
      </w:r>
      <w:r w:rsidR="004F52A8" w:rsidRPr="004F52A8">
        <w:rPr>
          <w:rtl/>
        </w:rPr>
        <w:t>مليات التوقيف والاحتجاز بموجب قانون الأمن الوطني</w:t>
      </w:r>
    </w:p>
    <w:p w:rsidR="004F52A8" w:rsidRPr="004F52A8" w:rsidRDefault="004F52A8" w:rsidP="004F52A8">
      <w:pPr>
        <w:pStyle w:val="SingleTxtGA"/>
        <w:rPr>
          <w:rtl/>
        </w:rPr>
      </w:pPr>
      <w:r w:rsidRPr="004F52A8">
        <w:rPr>
          <w:rtl/>
        </w:rPr>
        <w:t>18-</w:t>
      </w:r>
      <w:r w:rsidRPr="004F52A8">
        <w:rPr>
          <w:rtl/>
        </w:rPr>
        <w:tab/>
        <w:t>يساور اللجنة قلق لأنه يجوز لجهاز الأمن والمخابرات الوطني، بموجب قانون الأمن الوطني لعام 2010، احتجاز الأشخاص المشتبه فيهم لمدد يصل إجماليها إلى أربعة أشهر ونصف الشهر دون إشراف قضائي. كما يساور اللجنة قلق لورود تقارير عن إيداع العديد من المحتجزين في مراكز احتجاز سرية (المادة 9).</w:t>
      </w:r>
    </w:p>
    <w:p w:rsidR="004F52A8" w:rsidRPr="005F0074" w:rsidRDefault="00856D7C" w:rsidP="004F52A8">
      <w:pPr>
        <w:pStyle w:val="SingleTxtGA"/>
        <w:rPr>
          <w:b/>
          <w:bCs/>
          <w:spacing w:val="-3"/>
          <w:rtl/>
        </w:rPr>
      </w:pPr>
      <w:r w:rsidRPr="005F0074">
        <w:rPr>
          <w:b/>
          <w:bCs/>
          <w:spacing w:val="-3"/>
          <w:rtl/>
        </w:rPr>
        <w:tab/>
      </w:r>
      <w:r w:rsidR="004F52A8" w:rsidRPr="005F0074">
        <w:rPr>
          <w:rFonts w:hint="cs"/>
          <w:b/>
          <w:bCs/>
          <w:spacing w:val="-3"/>
          <w:rtl/>
        </w:rPr>
        <w:t>ي</w:t>
      </w:r>
      <w:r w:rsidR="004F52A8" w:rsidRPr="005F0074">
        <w:rPr>
          <w:b/>
          <w:bCs/>
          <w:spacing w:val="-3"/>
          <w:rtl/>
        </w:rPr>
        <w:t xml:space="preserve">نبغي للدولة الطرف أن تضمن عرض الأشخاص الذين يحتجزهم موظفو الأمن الوطني على قاضٍ في غضون 48 ساعة. وفي هذا الصدد، ينبغي للدولة الطرف أن تعيد النظر في تشريعاتها الوطنية، ولا سيما في قانون الأمن الوطني لعام 2010، من أجل مواءمتها مع المادة 9 من العهد. كما ينبغي للدولة الطرف </w:t>
      </w:r>
      <w:r w:rsidR="00B0589F" w:rsidRPr="005F0074">
        <w:rPr>
          <w:rFonts w:hint="cs"/>
          <w:b/>
          <w:bCs/>
          <w:spacing w:val="-3"/>
          <w:rtl/>
        </w:rPr>
        <w:t>إغلاق</w:t>
      </w:r>
      <w:r w:rsidR="004F52A8" w:rsidRPr="005F0074">
        <w:rPr>
          <w:b/>
          <w:bCs/>
          <w:spacing w:val="-3"/>
          <w:rtl/>
        </w:rPr>
        <w:t xml:space="preserve"> جميع أماكن الاحتجاز السرية وضمان تمتع مسلوبي الحرية بجميع الضمانات القانونية الواردة في المادة 9 من العهد. </w:t>
      </w:r>
    </w:p>
    <w:p w:rsidR="004F52A8" w:rsidRPr="004F52A8" w:rsidRDefault="00856D7C" w:rsidP="005E4E62">
      <w:pPr>
        <w:pStyle w:val="H23GA"/>
        <w:keepNext/>
        <w:keepLines/>
        <w:rPr>
          <w:rtl/>
        </w:rPr>
      </w:pPr>
      <w:r>
        <w:rPr>
          <w:rtl/>
        </w:rPr>
        <w:tab/>
      </w:r>
      <w:r>
        <w:rPr>
          <w:rFonts w:hint="cs"/>
          <w:rtl/>
        </w:rPr>
        <w:tab/>
      </w:r>
      <w:r w:rsidR="004F52A8" w:rsidRPr="004F52A8">
        <w:rPr>
          <w:rFonts w:hint="cs"/>
          <w:rtl/>
        </w:rPr>
        <w:t>ا</w:t>
      </w:r>
      <w:r w:rsidR="004F52A8" w:rsidRPr="004F52A8">
        <w:rPr>
          <w:rtl/>
        </w:rPr>
        <w:t>لمحاكم العسكرية</w:t>
      </w:r>
    </w:p>
    <w:p w:rsidR="004F52A8" w:rsidRPr="004F52A8" w:rsidRDefault="004F52A8" w:rsidP="00856D7C">
      <w:pPr>
        <w:pStyle w:val="SingleTxtGA"/>
        <w:rPr>
          <w:rtl/>
        </w:rPr>
      </w:pPr>
      <w:r w:rsidRPr="004F52A8">
        <w:rPr>
          <w:rtl/>
        </w:rPr>
        <w:t>19-</w:t>
      </w:r>
      <w:r w:rsidRPr="004F52A8">
        <w:rPr>
          <w:rtl/>
        </w:rPr>
        <w:tab/>
        <w:t>في حين تحيط اللجنة علما</w:t>
      </w:r>
      <w:r w:rsidR="00AE24FB">
        <w:rPr>
          <w:rFonts w:hint="cs"/>
          <w:rtl/>
        </w:rPr>
        <w:t>ً</w:t>
      </w:r>
      <w:r w:rsidRPr="004F52A8">
        <w:rPr>
          <w:rtl/>
        </w:rPr>
        <w:t xml:space="preserve"> بتأكيد الدولة الطرف أن التعديل الذي أُدخل في عام</w:t>
      </w:r>
      <w:r w:rsidR="00856D7C">
        <w:rPr>
          <w:rFonts w:hint="cs"/>
          <w:rtl/>
        </w:rPr>
        <w:t> </w:t>
      </w:r>
      <w:r w:rsidRPr="004F52A8">
        <w:rPr>
          <w:rtl/>
        </w:rPr>
        <w:t>2013 على قانون القوات المسلحة "لا يمسّ المدنيين بصفتهم هذه"، يساورها قلق إزاء ورود تقارير عن أن القانون بصيغته المنقحة يجيز للسلطات العسكرية محاكمة المدنيين على طائفة عريضة من الجرائم المنصوص عليها فيه وفي القانون الجنائي لعام 1991 (المادة 14).</w:t>
      </w:r>
    </w:p>
    <w:p w:rsidR="004F52A8" w:rsidRPr="00856D7C" w:rsidRDefault="00856D7C" w:rsidP="004F52A8">
      <w:pPr>
        <w:pStyle w:val="SingleTxtGA"/>
        <w:rPr>
          <w:b/>
          <w:bCs/>
          <w:rtl/>
        </w:rPr>
      </w:pPr>
      <w:r>
        <w:rPr>
          <w:rtl/>
        </w:rPr>
        <w:tab/>
      </w:r>
      <w:r w:rsidR="004F52A8" w:rsidRPr="00856D7C">
        <w:rPr>
          <w:rFonts w:hint="cs"/>
          <w:b/>
          <w:bCs/>
          <w:rtl/>
        </w:rPr>
        <w:t>ي</w:t>
      </w:r>
      <w:r w:rsidR="004F52A8" w:rsidRPr="00856D7C">
        <w:rPr>
          <w:b/>
          <w:bCs/>
          <w:rtl/>
        </w:rPr>
        <w:t xml:space="preserve">نبغي للدولة الطرف اعتماد التدابير القانونية اللازمة ليُحظر على المحاكم العسكرية ممارسة الولاية القضائية على المدنيين. </w:t>
      </w:r>
    </w:p>
    <w:p w:rsidR="004F52A8" w:rsidRPr="004F52A8" w:rsidRDefault="00856D7C" w:rsidP="00856D7C">
      <w:pPr>
        <w:pStyle w:val="H23GA"/>
        <w:rPr>
          <w:rtl/>
        </w:rPr>
      </w:pPr>
      <w:r>
        <w:rPr>
          <w:rtl/>
        </w:rPr>
        <w:tab/>
      </w:r>
      <w:r>
        <w:rPr>
          <w:rFonts w:hint="cs"/>
          <w:rtl/>
        </w:rPr>
        <w:tab/>
      </w:r>
      <w:r w:rsidR="004F52A8" w:rsidRPr="004F52A8">
        <w:rPr>
          <w:rFonts w:hint="cs"/>
          <w:rtl/>
        </w:rPr>
        <w:t>ح</w:t>
      </w:r>
      <w:r w:rsidR="004F52A8" w:rsidRPr="004F52A8">
        <w:rPr>
          <w:rtl/>
        </w:rPr>
        <w:t>رية الدين</w:t>
      </w:r>
    </w:p>
    <w:p w:rsidR="004F52A8" w:rsidRPr="004F52A8" w:rsidRDefault="004F52A8" w:rsidP="004F52A8">
      <w:pPr>
        <w:pStyle w:val="SingleTxtGA"/>
        <w:rPr>
          <w:rtl/>
        </w:rPr>
      </w:pPr>
      <w:r w:rsidRPr="004F52A8">
        <w:rPr>
          <w:rtl/>
        </w:rPr>
        <w:t>20-</w:t>
      </w:r>
      <w:r w:rsidRPr="004F52A8">
        <w:rPr>
          <w:rtl/>
        </w:rPr>
        <w:tab/>
        <w:t>ويساور اللجنة قلق لاستمرار تجريم الرِّدة في الدولة الطرف واحتواء التشريعات على أشكال أخرى من التمييز ضد غير المسلمين أو ممارستها عمليا</w:t>
      </w:r>
      <w:r w:rsidR="00AE24FB">
        <w:rPr>
          <w:rFonts w:hint="cs"/>
          <w:rtl/>
        </w:rPr>
        <w:t>ً</w:t>
      </w:r>
      <w:r w:rsidRPr="004F52A8">
        <w:rPr>
          <w:rtl/>
        </w:rPr>
        <w:t xml:space="preserve"> (المادة 18). </w:t>
      </w:r>
    </w:p>
    <w:p w:rsidR="004F52A8" w:rsidRPr="00856D7C" w:rsidRDefault="00856D7C" w:rsidP="004F52A8">
      <w:pPr>
        <w:pStyle w:val="SingleTxtGA"/>
        <w:rPr>
          <w:b/>
          <w:bCs/>
          <w:rtl/>
        </w:rPr>
      </w:pPr>
      <w:r>
        <w:rPr>
          <w:rtl/>
        </w:rPr>
        <w:tab/>
      </w:r>
      <w:r w:rsidR="004F52A8" w:rsidRPr="00856D7C">
        <w:rPr>
          <w:rFonts w:hint="cs"/>
          <w:b/>
          <w:bCs/>
          <w:rtl/>
        </w:rPr>
        <w:t>ي</w:t>
      </w:r>
      <w:r w:rsidR="004F52A8" w:rsidRPr="00856D7C">
        <w:rPr>
          <w:b/>
          <w:bCs/>
          <w:rtl/>
        </w:rPr>
        <w:t>نبغي للدولة الطرف إلغاء جريمة الرِّدة المتعارضة مع أحكام المادة 18 من العهد. وينبغي للدولة الطرف أيضا</w:t>
      </w:r>
      <w:r w:rsidR="00AE24FB">
        <w:rPr>
          <w:rFonts w:hint="cs"/>
          <w:b/>
          <w:bCs/>
          <w:rtl/>
        </w:rPr>
        <w:t>ً</w:t>
      </w:r>
      <w:r w:rsidR="004F52A8" w:rsidRPr="00856D7C">
        <w:rPr>
          <w:b/>
          <w:bCs/>
          <w:rtl/>
        </w:rPr>
        <w:t xml:space="preserve"> إلغاء القوانين والممارسات التمييزية الأخرى التي تنتهك حرية الدين، كما أوضحت</w:t>
      </w:r>
      <w:r w:rsidR="00AE24FB">
        <w:rPr>
          <w:b/>
          <w:bCs/>
          <w:rtl/>
        </w:rPr>
        <w:t xml:space="preserve"> اللجنة في تعليقها العام رقم 22</w:t>
      </w:r>
      <w:r w:rsidR="004F52A8" w:rsidRPr="00856D7C">
        <w:rPr>
          <w:b/>
          <w:bCs/>
          <w:rtl/>
        </w:rPr>
        <w:t>(1993).</w:t>
      </w:r>
    </w:p>
    <w:p w:rsidR="004F52A8" w:rsidRPr="004F52A8" w:rsidRDefault="00856D7C" w:rsidP="00856D7C">
      <w:pPr>
        <w:pStyle w:val="H23GA"/>
        <w:rPr>
          <w:rtl/>
        </w:rPr>
      </w:pPr>
      <w:r>
        <w:rPr>
          <w:rtl/>
        </w:rPr>
        <w:tab/>
      </w:r>
      <w:r>
        <w:rPr>
          <w:rFonts w:hint="cs"/>
          <w:rtl/>
        </w:rPr>
        <w:tab/>
      </w:r>
      <w:r w:rsidR="004F52A8" w:rsidRPr="004F52A8">
        <w:rPr>
          <w:rFonts w:hint="cs"/>
          <w:rtl/>
        </w:rPr>
        <w:t>ح</w:t>
      </w:r>
      <w:r w:rsidR="004F52A8" w:rsidRPr="004F52A8">
        <w:rPr>
          <w:rtl/>
        </w:rPr>
        <w:t>رية التعبير والتجمع وتكوين الجمعيات</w:t>
      </w:r>
    </w:p>
    <w:p w:rsidR="004F52A8" w:rsidRPr="004F52A8" w:rsidRDefault="004F52A8" w:rsidP="00BD08F6">
      <w:pPr>
        <w:pStyle w:val="SingleTxtGA"/>
        <w:rPr>
          <w:rtl/>
        </w:rPr>
      </w:pPr>
      <w:r w:rsidRPr="004F52A8">
        <w:rPr>
          <w:rtl/>
        </w:rPr>
        <w:t>21-</w:t>
      </w:r>
      <w:r w:rsidRPr="004F52A8">
        <w:rPr>
          <w:rtl/>
        </w:rPr>
        <w:tab/>
        <w:t>يساور اللجنة قلق لتعدد الادعاءات التي تفيد بكبح</w:t>
      </w:r>
      <w:r w:rsidR="00BD08F6">
        <w:rPr>
          <w:rFonts w:hint="cs"/>
          <w:rtl/>
        </w:rPr>
        <w:t xml:space="preserve"> </w:t>
      </w:r>
      <w:r w:rsidRPr="004F52A8">
        <w:rPr>
          <w:rtl/>
        </w:rPr>
        <w:t>موظفي الدولة</w:t>
      </w:r>
      <w:r w:rsidR="00BD08F6">
        <w:rPr>
          <w:rFonts w:hint="cs"/>
          <w:rtl/>
        </w:rPr>
        <w:t xml:space="preserve"> </w:t>
      </w:r>
      <w:r w:rsidRPr="004F52A8">
        <w:rPr>
          <w:rtl/>
        </w:rPr>
        <w:t>للتمتع الكامل والفعلي بالحق في حرية التعبير، بطرق منها إغلاق الصحف دون أمر قضائي، ومصادرة طبعات كاملة من الصحف، وتعريض الصحفيين للترهيب والمضايقة. ويساور اللجنة قلق أيضا</w:t>
      </w:r>
      <w:r w:rsidR="00AE24FB">
        <w:rPr>
          <w:rFonts w:hint="cs"/>
          <w:rtl/>
        </w:rPr>
        <w:t>ً</w:t>
      </w:r>
      <w:r w:rsidRPr="004F52A8">
        <w:rPr>
          <w:rtl/>
        </w:rPr>
        <w:t xml:space="preserve"> بشأن الالتزامات المفروضة على الصحفيين بموجب قانون الصحافة والمطبوعات الصحفية لعام 2009 ومقاضاتهم بتهمة نشر "أخبار كاذبة" (المادة 19).</w:t>
      </w:r>
    </w:p>
    <w:p w:rsidR="004F52A8" w:rsidRPr="00856D7C" w:rsidRDefault="00856D7C" w:rsidP="004C4B4B">
      <w:pPr>
        <w:pStyle w:val="SingleTxtGA"/>
        <w:rPr>
          <w:b/>
          <w:bCs/>
          <w:rtl/>
        </w:rPr>
      </w:pPr>
      <w:r>
        <w:rPr>
          <w:rtl/>
        </w:rPr>
        <w:tab/>
      </w:r>
      <w:r w:rsidR="004F52A8" w:rsidRPr="00856D7C">
        <w:rPr>
          <w:rFonts w:hint="cs"/>
          <w:b/>
          <w:bCs/>
          <w:rtl/>
        </w:rPr>
        <w:t>ف</w:t>
      </w:r>
      <w:r w:rsidR="00AE24FB">
        <w:rPr>
          <w:b/>
          <w:bCs/>
          <w:rtl/>
        </w:rPr>
        <w:t>ي ضوء تعليق اللجنة العام رقم 34</w:t>
      </w:r>
      <w:r w:rsidR="004F52A8" w:rsidRPr="00856D7C">
        <w:rPr>
          <w:b/>
          <w:bCs/>
          <w:rtl/>
        </w:rPr>
        <w:t>(2011)، فضلا</w:t>
      </w:r>
      <w:r w:rsidR="00AE24FB">
        <w:rPr>
          <w:rFonts w:hint="cs"/>
          <w:b/>
          <w:bCs/>
          <w:rtl/>
        </w:rPr>
        <w:t>ً</w:t>
      </w:r>
      <w:r w:rsidR="004F52A8" w:rsidRPr="00856D7C">
        <w:rPr>
          <w:b/>
          <w:bCs/>
          <w:rtl/>
        </w:rPr>
        <w:t xml:space="preserve"> عن ملاحظاتها الختامية السابقة (انظر </w:t>
      </w:r>
      <w:r w:rsidR="004F52A8" w:rsidRPr="00856D7C">
        <w:rPr>
          <w:b/>
          <w:bCs/>
        </w:rPr>
        <w:t>CCPR/C/SDN/CO/3</w:t>
      </w:r>
      <w:r w:rsidR="004F52A8" w:rsidRPr="00856D7C">
        <w:rPr>
          <w:rFonts w:hint="cs"/>
          <w:b/>
          <w:bCs/>
          <w:rtl/>
        </w:rPr>
        <w:t>،</w:t>
      </w:r>
      <w:r w:rsidR="004F52A8" w:rsidRPr="00856D7C">
        <w:rPr>
          <w:b/>
          <w:bCs/>
          <w:rtl/>
        </w:rPr>
        <w:t xml:space="preserve"> الفقرة 27)، ينبغي للدولة الطرف أن تعتمد التدابير اللازمة لكفالة التمتع الكامل بالحق في حرية الرأي والتعبير بجميع أشكالها وفقا</w:t>
      </w:r>
      <w:r w:rsidR="00AE24FB">
        <w:rPr>
          <w:rFonts w:hint="cs"/>
          <w:b/>
          <w:bCs/>
          <w:rtl/>
        </w:rPr>
        <w:t>ً</w:t>
      </w:r>
      <w:r w:rsidR="004F52A8" w:rsidRPr="00856D7C">
        <w:rPr>
          <w:b/>
          <w:bCs/>
          <w:rtl/>
        </w:rPr>
        <w:t xml:space="preserve"> للمادة 19 من العهد. كما ينبغي لها، في هذا الصدد، أن تضمن اتفاق تشريعاتها، بما فيها قانون الصحافة والمطبوعات الصحفية لعام </w:t>
      </w:r>
      <w:r w:rsidR="004C4B4B">
        <w:rPr>
          <w:rFonts w:hint="cs"/>
          <w:b/>
          <w:bCs/>
          <w:rtl/>
        </w:rPr>
        <w:t>2009</w:t>
      </w:r>
      <w:r w:rsidR="004F52A8" w:rsidRPr="00856D7C">
        <w:rPr>
          <w:b/>
          <w:bCs/>
          <w:rtl/>
        </w:rPr>
        <w:t>، اتفاقا</w:t>
      </w:r>
      <w:r w:rsidR="00AE24FB">
        <w:rPr>
          <w:rFonts w:hint="cs"/>
          <w:b/>
          <w:bCs/>
          <w:rtl/>
        </w:rPr>
        <w:t>ً</w:t>
      </w:r>
      <w:r w:rsidR="004F52A8" w:rsidRPr="00856D7C">
        <w:rPr>
          <w:b/>
          <w:bCs/>
          <w:rtl/>
        </w:rPr>
        <w:t xml:space="preserve"> تاما</w:t>
      </w:r>
      <w:r w:rsidR="00AE24FB">
        <w:rPr>
          <w:rFonts w:hint="cs"/>
          <w:b/>
          <w:bCs/>
          <w:rtl/>
        </w:rPr>
        <w:t>ً</w:t>
      </w:r>
      <w:r w:rsidR="004F52A8" w:rsidRPr="00856D7C">
        <w:rPr>
          <w:b/>
          <w:bCs/>
          <w:rtl/>
        </w:rPr>
        <w:t xml:space="preserve"> مع أحكام المادة 19 من العهد. وينبغي للدولة الطرف أيضا</w:t>
      </w:r>
      <w:r w:rsidR="00AE24FB">
        <w:rPr>
          <w:rFonts w:hint="cs"/>
          <w:b/>
          <w:bCs/>
          <w:rtl/>
        </w:rPr>
        <w:t>ً</w:t>
      </w:r>
      <w:r w:rsidR="004F52A8" w:rsidRPr="00856D7C">
        <w:rPr>
          <w:b/>
          <w:bCs/>
          <w:rtl/>
        </w:rPr>
        <w:t xml:space="preserve"> ضمان أن يجتنب موظفوها أي تقييد لا داعي له أو غير متناسب لحق وسائط الإعلام في حرية التعبير، وضمان حماية الصحفيين من التعرض لأي من أشكال الترهيب أو المضايقة.</w:t>
      </w:r>
    </w:p>
    <w:p w:rsidR="004F52A8" w:rsidRPr="004F52A8" w:rsidRDefault="004F52A8" w:rsidP="00BD08F6">
      <w:pPr>
        <w:pStyle w:val="SingleTxtGA"/>
        <w:rPr>
          <w:rFonts w:hint="cs"/>
          <w:rtl/>
        </w:rPr>
      </w:pPr>
      <w:r w:rsidRPr="004F52A8">
        <w:rPr>
          <w:rtl/>
        </w:rPr>
        <w:t>22-</w:t>
      </w:r>
      <w:r w:rsidRPr="004F52A8">
        <w:rPr>
          <w:rtl/>
        </w:rPr>
        <w:tab/>
        <w:t>ويساور اللجنة قلق لورود تقارير عديدة عن استخدام القوة على نحو مفرط وغير متناسب من جانب</w:t>
      </w:r>
      <w:r w:rsidR="00BD08F6">
        <w:rPr>
          <w:rFonts w:hint="cs"/>
          <w:rtl/>
        </w:rPr>
        <w:t xml:space="preserve"> </w:t>
      </w:r>
      <w:r w:rsidRPr="004F52A8">
        <w:rPr>
          <w:rtl/>
        </w:rPr>
        <w:t>المكلفين بإنفاذ القانون وأفراد الأمن لدى تفريق المظاهرات، وهو ما أسفر في عدة مناسبات عن وقوع خسائر في الأرواح. كما يساور اللجنة قلق إزاء ادعاءات تفيد بممارسة موظفي الدولة</w:t>
      </w:r>
      <w:r w:rsidR="00BD08F6">
        <w:rPr>
          <w:rFonts w:hint="cs"/>
          <w:rtl/>
        </w:rPr>
        <w:t xml:space="preserve"> </w:t>
      </w:r>
      <w:r w:rsidRPr="004F52A8">
        <w:rPr>
          <w:rtl/>
        </w:rPr>
        <w:t>للمضايقة، والترهيب، والتوقيف والاحتجاز التعسفيين، والتعذيب وسوء المعاملة بحق أشخاص معارضين للحكومة ومحسوبين على المعارضة ومدافعين عن حقوق الإنسان ونشطاء آخرين</w:t>
      </w:r>
      <w:r w:rsidR="00BD08F6">
        <w:rPr>
          <w:rtl/>
        </w:rPr>
        <w:t xml:space="preserve"> (المواد 6 و7 و9 و19 و21 و22).</w:t>
      </w:r>
    </w:p>
    <w:p w:rsidR="004F52A8" w:rsidRPr="00856D7C" w:rsidRDefault="00856D7C" w:rsidP="00BD08F6">
      <w:pPr>
        <w:pStyle w:val="SingleTxtGA"/>
        <w:rPr>
          <w:b/>
          <w:bCs/>
          <w:rtl/>
        </w:rPr>
      </w:pPr>
      <w:r>
        <w:rPr>
          <w:rtl/>
        </w:rPr>
        <w:tab/>
      </w:r>
      <w:r w:rsidR="004F52A8" w:rsidRPr="00856D7C">
        <w:rPr>
          <w:rFonts w:hint="cs"/>
          <w:b/>
          <w:bCs/>
          <w:rtl/>
        </w:rPr>
        <w:t>ي</w:t>
      </w:r>
      <w:r w:rsidR="004F52A8" w:rsidRPr="00856D7C">
        <w:rPr>
          <w:b/>
          <w:bCs/>
          <w:rtl/>
        </w:rPr>
        <w:t>نبغي للدولة الطرف أن تتخذ خطوات محددة لمنع وإنهاء جميع أشكال الإفراط في استخدام القوة من جانب موظفي الدولة، وذلك بضمان مباشرة أنشطتهم وفقا</w:t>
      </w:r>
      <w:r w:rsidR="00AE24FB">
        <w:rPr>
          <w:rFonts w:hint="cs"/>
          <w:b/>
          <w:bCs/>
          <w:rtl/>
        </w:rPr>
        <w:t>ً</w:t>
      </w:r>
      <w:r w:rsidR="004F52A8" w:rsidRPr="00856D7C">
        <w:rPr>
          <w:b/>
          <w:bCs/>
          <w:rtl/>
        </w:rPr>
        <w:t xml:space="preserve"> للمبادئ الأساسية بشأن استخدام القوة والأسلحة النارية من جانب</w:t>
      </w:r>
      <w:r w:rsidR="00BD08F6">
        <w:rPr>
          <w:rFonts w:hint="cs"/>
          <w:b/>
          <w:bCs/>
          <w:rtl/>
        </w:rPr>
        <w:t xml:space="preserve"> </w:t>
      </w:r>
      <w:r w:rsidR="004F52A8" w:rsidRPr="00856D7C">
        <w:rPr>
          <w:b/>
          <w:bCs/>
          <w:rtl/>
        </w:rPr>
        <w:t>الموظفين المكلفين بإنفاذ القوانين، ووفقا</w:t>
      </w:r>
      <w:r w:rsidR="00AE24FB">
        <w:rPr>
          <w:rFonts w:hint="cs"/>
          <w:b/>
          <w:bCs/>
          <w:rtl/>
        </w:rPr>
        <w:t>ً</w:t>
      </w:r>
      <w:r w:rsidR="004F52A8" w:rsidRPr="00856D7C">
        <w:rPr>
          <w:b/>
          <w:bCs/>
          <w:rtl/>
        </w:rPr>
        <w:t xml:space="preserve"> للمعايير الأخرى لحقوق الإنسان. وينبغي للدولة الطرف أن تضمن التحقيق على نحو وافٍ فيما يرد من بلاغات بالإفراط في استخدام القوة وارتكاب انتهاكات مماثلة بحق الأِشخاص الساعين إلى ممارسة حقهم في حرية التعبير والتجمع وتكوين الجمعيات، وأن تضمن كذلك محاكمة المسؤولين عن هذه الأفعال.</w:t>
      </w:r>
    </w:p>
    <w:p w:rsidR="004F52A8" w:rsidRPr="004F52A8" w:rsidRDefault="00856D7C" w:rsidP="00856D7C">
      <w:pPr>
        <w:pStyle w:val="H23GA"/>
        <w:rPr>
          <w:rtl/>
        </w:rPr>
      </w:pPr>
      <w:r>
        <w:rPr>
          <w:rtl/>
        </w:rPr>
        <w:tab/>
      </w:r>
      <w:r>
        <w:rPr>
          <w:rFonts w:hint="cs"/>
          <w:rtl/>
        </w:rPr>
        <w:tab/>
      </w:r>
      <w:r w:rsidR="004F52A8" w:rsidRPr="004F52A8">
        <w:rPr>
          <w:rFonts w:hint="cs"/>
          <w:rtl/>
        </w:rPr>
        <w:t>ع</w:t>
      </w:r>
      <w:r w:rsidR="004F52A8" w:rsidRPr="004F52A8">
        <w:rPr>
          <w:rtl/>
        </w:rPr>
        <w:t>دم إعادة اللاجئين قسرا</w:t>
      </w:r>
      <w:r w:rsidR="00AE24FB">
        <w:rPr>
          <w:rFonts w:hint="cs"/>
          <w:u w:val="words"/>
          <w:rtl/>
        </w:rPr>
        <w:t>ً</w:t>
      </w:r>
      <w:r w:rsidR="004F52A8" w:rsidRPr="004F52A8">
        <w:rPr>
          <w:rtl/>
        </w:rPr>
        <w:t xml:space="preserve"> وسلامتهم</w:t>
      </w:r>
    </w:p>
    <w:p w:rsidR="004F52A8" w:rsidRPr="00B31D60" w:rsidRDefault="004F52A8" w:rsidP="004C4B4B">
      <w:pPr>
        <w:pStyle w:val="SingleTxtGA"/>
        <w:rPr>
          <w:rFonts w:hint="cs"/>
          <w:spacing w:val="-3"/>
          <w:rtl/>
        </w:rPr>
      </w:pPr>
      <w:r w:rsidRPr="00B31D60">
        <w:rPr>
          <w:spacing w:val="-3"/>
          <w:rtl/>
        </w:rPr>
        <w:t>23-</w:t>
      </w:r>
      <w:r w:rsidRPr="00B31D60">
        <w:rPr>
          <w:spacing w:val="-3"/>
          <w:rtl/>
        </w:rPr>
        <w:tab/>
        <w:t>تلاحظ اللجنة بقلق التقارير التي تفيد بعدم التقيّد دوما</w:t>
      </w:r>
      <w:r w:rsidR="00AE24FB" w:rsidRPr="00B31D60">
        <w:rPr>
          <w:rFonts w:hint="cs"/>
          <w:spacing w:val="-3"/>
          <w:rtl/>
        </w:rPr>
        <w:t>ً</w:t>
      </w:r>
      <w:r w:rsidRPr="00B31D60">
        <w:rPr>
          <w:spacing w:val="-3"/>
          <w:rtl/>
        </w:rPr>
        <w:t xml:space="preserve"> بمبدأ عدم الإعادة القسرية، ولا</w:t>
      </w:r>
      <w:r w:rsidR="004C4B4B">
        <w:rPr>
          <w:rFonts w:hint="cs"/>
          <w:spacing w:val="-3"/>
          <w:rtl/>
        </w:rPr>
        <w:t> </w:t>
      </w:r>
      <w:r w:rsidRPr="00B31D60">
        <w:rPr>
          <w:spacing w:val="-3"/>
          <w:rtl/>
        </w:rPr>
        <w:t>سيما فيما يتعلق باللاجئين وملتمسي اللجوء الإريتريين. ويساور اللجنة قلق أيضا</w:t>
      </w:r>
      <w:r w:rsidR="00AE24FB" w:rsidRPr="00B31D60">
        <w:rPr>
          <w:rFonts w:hint="cs"/>
          <w:spacing w:val="-3"/>
          <w:rtl/>
        </w:rPr>
        <w:t>ً</w:t>
      </w:r>
      <w:r w:rsidRPr="00B31D60">
        <w:rPr>
          <w:spacing w:val="-3"/>
          <w:rtl/>
        </w:rPr>
        <w:t xml:space="preserve"> إزاء ورود تقارير عن اختطاف ملتمسي اللجوء واللاجئين لطلب فدية أو للاتجار بهم (الموا</w:t>
      </w:r>
      <w:r w:rsidR="00BD08F6" w:rsidRPr="00B31D60">
        <w:rPr>
          <w:spacing w:val="-3"/>
          <w:rtl/>
        </w:rPr>
        <w:t>د من 6 إلى 9).</w:t>
      </w:r>
    </w:p>
    <w:p w:rsidR="004F52A8" w:rsidRPr="00856D7C" w:rsidRDefault="00856D7C" w:rsidP="004F52A8">
      <w:pPr>
        <w:pStyle w:val="SingleTxtGA"/>
        <w:rPr>
          <w:b/>
          <w:bCs/>
          <w:rtl/>
        </w:rPr>
      </w:pPr>
      <w:r>
        <w:rPr>
          <w:rtl/>
        </w:rPr>
        <w:tab/>
      </w:r>
      <w:r w:rsidR="004F52A8" w:rsidRPr="00856D7C">
        <w:rPr>
          <w:rFonts w:hint="cs"/>
          <w:b/>
          <w:bCs/>
          <w:rtl/>
        </w:rPr>
        <w:t>ي</w:t>
      </w:r>
      <w:r w:rsidR="004F52A8" w:rsidRPr="00856D7C">
        <w:rPr>
          <w:b/>
          <w:bCs/>
          <w:rtl/>
        </w:rPr>
        <w:t>نبغي للدولة الطرف أن تضمن احترام حظر الإعادة القسرية المطلق بموجب المادتين 6 و7 من العهد احتراما</w:t>
      </w:r>
      <w:r w:rsidR="00AE24FB">
        <w:rPr>
          <w:rFonts w:hint="cs"/>
          <w:b/>
          <w:bCs/>
          <w:rtl/>
        </w:rPr>
        <w:t>ً</w:t>
      </w:r>
      <w:r w:rsidR="004F52A8" w:rsidRPr="00856D7C">
        <w:rPr>
          <w:b/>
          <w:bCs/>
          <w:rtl/>
        </w:rPr>
        <w:t xml:space="preserve"> صارما</w:t>
      </w:r>
      <w:r w:rsidR="00AE24FB">
        <w:rPr>
          <w:rFonts w:hint="cs"/>
          <w:b/>
          <w:bCs/>
          <w:rtl/>
        </w:rPr>
        <w:t>ً</w:t>
      </w:r>
      <w:r w:rsidR="004F52A8" w:rsidRPr="00856D7C">
        <w:rPr>
          <w:b/>
          <w:bCs/>
          <w:rtl/>
        </w:rPr>
        <w:t xml:space="preserve"> في جميع الأحوال. كما ينبغي للدولة الطرف أن تبذل مزيدا</w:t>
      </w:r>
      <w:r w:rsidR="00AE24FB">
        <w:rPr>
          <w:rFonts w:hint="cs"/>
          <w:b/>
          <w:bCs/>
          <w:rtl/>
        </w:rPr>
        <w:t>ً</w:t>
      </w:r>
      <w:r w:rsidR="004F52A8" w:rsidRPr="00856D7C">
        <w:rPr>
          <w:b/>
          <w:bCs/>
          <w:rtl/>
        </w:rPr>
        <w:t xml:space="preserve"> من الجهود لمنع اختطاف ملتمسي اللجوء واللاجئين والمعاقبة عليه، بسبلٍ تشمل تعزيز الأمن في مخيمات اللاجئين.</w:t>
      </w:r>
    </w:p>
    <w:p w:rsidR="004F52A8" w:rsidRPr="004F52A8" w:rsidRDefault="00856D7C" w:rsidP="00856D7C">
      <w:pPr>
        <w:pStyle w:val="H23GA"/>
        <w:rPr>
          <w:rtl/>
        </w:rPr>
      </w:pPr>
      <w:r>
        <w:rPr>
          <w:rtl/>
        </w:rPr>
        <w:tab/>
      </w:r>
      <w:r>
        <w:rPr>
          <w:rFonts w:hint="cs"/>
          <w:rtl/>
        </w:rPr>
        <w:tab/>
      </w:r>
      <w:r w:rsidR="004F52A8" w:rsidRPr="004F52A8">
        <w:rPr>
          <w:rFonts w:hint="cs"/>
          <w:rtl/>
        </w:rPr>
        <w:t>ا</w:t>
      </w:r>
      <w:r w:rsidR="004F52A8" w:rsidRPr="004F52A8">
        <w:rPr>
          <w:rtl/>
        </w:rPr>
        <w:t>لجنود الأطفال</w:t>
      </w:r>
    </w:p>
    <w:p w:rsidR="00856D7C" w:rsidRDefault="004F52A8" w:rsidP="00BD08F6">
      <w:pPr>
        <w:pStyle w:val="SingleTxtGA"/>
        <w:rPr>
          <w:rFonts w:hint="cs"/>
          <w:rtl/>
        </w:rPr>
      </w:pPr>
      <w:r w:rsidRPr="004F52A8">
        <w:rPr>
          <w:rtl/>
        </w:rPr>
        <w:t>24-</w:t>
      </w:r>
      <w:r w:rsidRPr="004F52A8">
        <w:rPr>
          <w:rtl/>
        </w:rPr>
        <w:tab/>
        <w:t xml:space="preserve">تشير اللجنة إلى ملاحظاتها الختامية السابقة (انظر </w:t>
      </w:r>
      <w:r w:rsidRPr="004F52A8">
        <w:t>CCPR/C/SDN/CO/3</w:t>
      </w:r>
      <w:r w:rsidRPr="004F52A8">
        <w:rPr>
          <w:rFonts w:hint="cs"/>
          <w:rtl/>
        </w:rPr>
        <w:t>،</w:t>
      </w:r>
      <w:r w:rsidRPr="004F52A8">
        <w:rPr>
          <w:rtl/>
        </w:rPr>
        <w:t xml:space="preserve"> الفقرة 17) وتحيط علما</w:t>
      </w:r>
      <w:r w:rsidR="00AE24FB">
        <w:rPr>
          <w:rFonts w:hint="cs"/>
          <w:rtl/>
        </w:rPr>
        <w:t>ً</w:t>
      </w:r>
      <w:r w:rsidRPr="004F52A8">
        <w:rPr>
          <w:rtl/>
        </w:rPr>
        <w:t xml:space="preserve"> بما بذلته الدولة الطرف من جهود لحظر تجنيد الأطفال واستخدام الجنود الأطفال، لكنها تشعر</w:t>
      </w:r>
      <w:r w:rsidR="00BD08F6">
        <w:rPr>
          <w:rFonts w:hint="cs"/>
          <w:rtl/>
        </w:rPr>
        <w:t xml:space="preserve"> </w:t>
      </w:r>
      <w:r w:rsidRPr="004F52A8">
        <w:rPr>
          <w:rtl/>
        </w:rPr>
        <w:t>بالقلق لورود تقارير تفيد باستمرار تجنيد الأطفال واستخدامهم في النزاعات المسلحة، وعدم كفاية الجهود المبذولة لرصد ه</w:t>
      </w:r>
      <w:r w:rsidR="00856D7C">
        <w:rPr>
          <w:rtl/>
        </w:rPr>
        <w:t>ذه الممارسة (المادتان 8 و24).</w:t>
      </w:r>
    </w:p>
    <w:p w:rsidR="004F52A8" w:rsidRPr="00856D7C" w:rsidRDefault="00856D7C" w:rsidP="00856D7C">
      <w:pPr>
        <w:pStyle w:val="SingleTxtGA"/>
        <w:rPr>
          <w:b/>
          <w:bCs/>
          <w:rtl/>
        </w:rPr>
      </w:pPr>
      <w:r>
        <w:rPr>
          <w:rtl/>
        </w:rPr>
        <w:tab/>
      </w:r>
      <w:r w:rsidR="004F52A8" w:rsidRPr="00856D7C">
        <w:rPr>
          <w:rFonts w:hint="cs"/>
          <w:b/>
          <w:bCs/>
          <w:rtl/>
        </w:rPr>
        <w:t>ي</w:t>
      </w:r>
      <w:r w:rsidR="004F52A8" w:rsidRPr="00856D7C">
        <w:rPr>
          <w:b/>
          <w:bCs/>
          <w:rtl/>
        </w:rPr>
        <w:t>نبغي للدولة الطرف أن تضاعف جهودها الرامية إلى الكشف عن حالات تجنيد الأطفال واستخدام الجنود الأطفال وإلى القضاء على هذه الممارسة، وكذلك إلى ضمان نزع أسلحتهم وتسريحهم وإعادة إدماجهم في المجتمع على وجه السرعة. وينبغي للدولة الطرف أيضا</w:t>
      </w:r>
      <w:r w:rsidR="00AE24FB">
        <w:rPr>
          <w:rFonts w:hint="cs"/>
          <w:b/>
          <w:bCs/>
          <w:rtl/>
        </w:rPr>
        <w:t>ً</w:t>
      </w:r>
      <w:r w:rsidR="004F52A8" w:rsidRPr="00856D7C">
        <w:rPr>
          <w:b/>
          <w:bCs/>
          <w:rtl/>
        </w:rPr>
        <w:t xml:space="preserve"> أن تضمن محاكمة الجُناة، ومعاقبتهم بعقوباتٍ مناسبة إذا أُدينوا.</w:t>
      </w:r>
    </w:p>
    <w:p w:rsidR="004F52A8" w:rsidRPr="004F52A8" w:rsidRDefault="00856D7C" w:rsidP="00856D7C">
      <w:pPr>
        <w:pStyle w:val="H23GA"/>
        <w:rPr>
          <w:rtl/>
        </w:rPr>
      </w:pPr>
      <w:r>
        <w:rPr>
          <w:rtl/>
        </w:rPr>
        <w:tab/>
      </w:r>
      <w:r>
        <w:rPr>
          <w:rFonts w:hint="cs"/>
          <w:rtl/>
        </w:rPr>
        <w:tab/>
      </w:r>
      <w:r w:rsidR="004F52A8" w:rsidRPr="004F52A8">
        <w:rPr>
          <w:rFonts w:hint="cs"/>
          <w:rtl/>
        </w:rPr>
        <w:t>ت</w:t>
      </w:r>
      <w:r w:rsidR="004F52A8" w:rsidRPr="004F52A8">
        <w:rPr>
          <w:rtl/>
        </w:rPr>
        <w:t>سجيل المواليد</w:t>
      </w:r>
    </w:p>
    <w:p w:rsidR="004F52A8" w:rsidRPr="004F52A8" w:rsidRDefault="004F52A8" w:rsidP="00BD08F6">
      <w:pPr>
        <w:pStyle w:val="SingleTxtGA"/>
        <w:rPr>
          <w:rtl/>
        </w:rPr>
      </w:pPr>
      <w:r w:rsidRPr="004F52A8">
        <w:rPr>
          <w:rtl/>
        </w:rPr>
        <w:t>25-</w:t>
      </w:r>
      <w:r w:rsidRPr="004F52A8">
        <w:rPr>
          <w:rtl/>
        </w:rPr>
        <w:tab/>
        <w:t>تحيط اللجنة علما</w:t>
      </w:r>
      <w:r w:rsidR="00AE24FB">
        <w:rPr>
          <w:rFonts w:hint="cs"/>
          <w:rtl/>
        </w:rPr>
        <w:t>ً</w:t>
      </w:r>
      <w:r w:rsidRPr="004F52A8">
        <w:rPr>
          <w:rtl/>
        </w:rPr>
        <w:t xml:space="preserve"> بما بذلته الدولة الطرف من جهود لتعزيز وضمان تسجيل المواليد بالمجان، لكنها تشعر</w:t>
      </w:r>
      <w:r w:rsidR="00BD08F6">
        <w:rPr>
          <w:rFonts w:hint="cs"/>
          <w:rtl/>
        </w:rPr>
        <w:t xml:space="preserve"> </w:t>
      </w:r>
      <w:r w:rsidRPr="004F52A8">
        <w:rPr>
          <w:rtl/>
        </w:rPr>
        <w:t>بالقلق حيال عدم تسجيل نسبة كبيرة من الأطفال حتى الآن، وورود تقارير تفيد بفرض رسوم رسمية وغير رسمية في بعض أرجاء البلد، فضلا</w:t>
      </w:r>
      <w:r w:rsidR="00AE24FB">
        <w:rPr>
          <w:rFonts w:hint="cs"/>
          <w:rtl/>
        </w:rPr>
        <w:t>ً</w:t>
      </w:r>
      <w:r w:rsidRPr="004F52A8">
        <w:rPr>
          <w:rtl/>
        </w:rPr>
        <w:t xml:space="preserve"> عن غرامات لتأخر التسجيل (المادة 24). </w:t>
      </w:r>
    </w:p>
    <w:p w:rsidR="004F52A8" w:rsidRPr="00856D7C" w:rsidRDefault="00856D7C" w:rsidP="004F52A8">
      <w:pPr>
        <w:pStyle w:val="SingleTxtGA"/>
        <w:rPr>
          <w:b/>
          <w:bCs/>
          <w:rtl/>
        </w:rPr>
      </w:pPr>
      <w:r>
        <w:rPr>
          <w:rtl/>
        </w:rPr>
        <w:tab/>
      </w:r>
      <w:r w:rsidR="004F52A8" w:rsidRPr="00856D7C">
        <w:rPr>
          <w:rFonts w:hint="cs"/>
          <w:b/>
          <w:bCs/>
          <w:rtl/>
        </w:rPr>
        <w:t>ي</w:t>
      </w:r>
      <w:r w:rsidR="004F52A8" w:rsidRPr="00856D7C">
        <w:rPr>
          <w:b/>
          <w:bCs/>
          <w:rtl/>
        </w:rPr>
        <w:t>نبغي للدولة الطرف أن تعزز جهودها الرامية إلى ضمان التسجيل المجاني لجميع الأطفال المولودين في إقليمها وحصولهم على شهادات ميلاد رسمية.</w:t>
      </w:r>
    </w:p>
    <w:p w:rsidR="004F52A8" w:rsidRPr="004F52A8" w:rsidRDefault="00856D7C" w:rsidP="00856D7C">
      <w:pPr>
        <w:pStyle w:val="H23GA"/>
        <w:rPr>
          <w:rtl/>
        </w:rPr>
      </w:pPr>
      <w:r>
        <w:rPr>
          <w:rtl/>
        </w:rPr>
        <w:tab/>
      </w:r>
      <w:r>
        <w:rPr>
          <w:rFonts w:hint="cs"/>
          <w:rtl/>
        </w:rPr>
        <w:tab/>
      </w:r>
      <w:r w:rsidR="004F52A8" w:rsidRPr="004F52A8">
        <w:rPr>
          <w:rFonts w:hint="cs"/>
          <w:rtl/>
        </w:rPr>
        <w:t>ا</w:t>
      </w:r>
      <w:r w:rsidR="004F52A8" w:rsidRPr="004F52A8">
        <w:rPr>
          <w:rtl/>
        </w:rPr>
        <w:t>لنشر والمتابعة</w:t>
      </w:r>
    </w:p>
    <w:p w:rsidR="004F52A8" w:rsidRPr="004F52A8" w:rsidRDefault="004F52A8" w:rsidP="004F52A8">
      <w:pPr>
        <w:pStyle w:val="SingleTxtGA"/>
        <w:rPr>
          <w:rtl/>
        </w:rPr>
      </w:pPr>
      <w:r w:rsidRPr="004F52A8">
        <w:rPr>
          <w:rtl/>
        </w:rPr>
        <w:t>26-</w:t>
      </w:r>
      <w:r w:rsidRPr="004F52A8">
        <w:rPr>
          <w:rtl/>
        </w:rPr>
        <w:tab/>
        <w:t>ينبغي للدولة الطرف أن تنشر العهد ونص التقرير الدوري الرابع والردود الخطية على قائمة القضايا التي وضعتها اللجنة وهذه الملاحظات الختامية، وذلك على نطاق واسع في أوساط السلطات القضائية والتشريعية والإدارية ومنظمات المجتمع المدني والمنظمات غير الحكومية العاملة في البلد، وكذلك عامة الجمهور.</w:t>
      </w:r>
    </w:p>
    <w:p w:rsidR="004F52A8" w:rsidRPr="004F52A8" w:rsidRDefault="004F52A8" w:rsidP="00BD08F6">
      <w:pPr>
        <w:pStyle w:val="SingleTxtGA"/>
        <w:rPr>
          <w:rtl/>
        </w:rPr>
      </w:pPr>
      <w:r w:rsidRPr="004F52A8">
        <w:rPr>
          <w:rtl/>
        </w:rPr>
        <w:t>27-</w:t>
      </w:r>
      <w:r w:rsidRPr="004F52A8">
        <w:rPr>
          <w:rtl/>
        </w:rPr>
        <w:tab/>
        <w:t>ووفقاً للفقرة 5 من المادة 71 من النظام الداخلي للجنة، ينبغي أن تقدّم الدولة الطرف، في غضون عام واحد، معلومات</w:t>
      </w:r>
      <w:r w:rsidR="00BD08F6">
        <w:rPr>
          <w:rFonts w:hint="cs"/>
          <w:rtl/>
        </w:rPr>
        <w:t xml:space="preserve"> </w:t>
      </w:r>
      <w:r w:rsidRPr="004F52A8">
        <w:rPr>
          <w:rtl/>
        </w:rPr>
        <w:t xml:space="preserve">عن تنفيذ توصيات اللجنة الواردة في الفقرات </w:t>
      </w:r>
      <w:r w:rsidR="008A51E6">
        <w:rPr>
          <w:rtl/>
        </w:rPr>
        <w:t>10 و</w:t>
      </w:r>
      <w:r w:rsidRPr="004F52A8">
        <w:rPr>
          <w:rtl/>
        </w:rPr>
        <w:t>14 و15 و18 أعلاه.</w:t>
      </w:r>
    </w:p>
    <w:p w:rsidR="004F52A8" w:rsidRPr="004F52A8" w:rsidRDefault="004F52A8" w:rsidP="004F52A8">
      <w:pPr>
        <w:pStyle w:val="SingleTxtGA"/>
        <w:rPr>
          <w:rtl/>
        </w:rPr>
      </w:pPr>
      <w:r w:rsidRPr="004F52A8">
        <w:rPr>
          <w:rtl/>
        </w:rPr>
        <w:t>28-</w:t>
      </w:r>
      <w:r w:rsidRPr="004F52A8">
        <w:rPr>
          <w:rtl/>
        </w:rPr>
        <w:tab/>
        <w:t>وتطلب اللجنة إلى الدولة الطرف أن تقدم في تقريرها الدوري المقبل، الذي يحل موعد تقديمه في 31 تموز/يوليه 2017، معلومات محددة ومحدثة عن تنفيذ جميع توصيات اللجنة وعن العهد ككل. وتطلب اللجنة إلى الدولة الطرف أيضاً أن تعقد، عند إعداد تقريرها الدوري المقبل، مش</w:t>
      </w:r>
      <w:bookmarkStart w:id="0" w:name="_GoBack"/>
      <w:bookmarkEnd w:id="0"/>
      <w:r w:rsidRPr="004F52A8">
        <w:rPr>
          <w:rtl/>
        </w:rPr>
        <w:t>اورات واسعة النطاق مع منظمات المجتمع المدني والمنظمات غير الحكومية العاملة في البلد.</w:t>
      </w:r>
    </w:p>
    <w:p w:rsidR="008B4BC6" w:rsidRPr="004F52A8" w:rsidRDefault="004F52A8" w:rsidP="004F52A8">
      <w:pPr>
        <w:spacing w:before="120"/>
        <w:jc w:val="center"/>
        <w:rPr>
          <w:rFonts w:hint="cs"/>
          <w:u w:val="single"/>
          <w:rtl/>
        </w:rPr>
      </w:pPr>
      <w:r>
        <w:rPr>
          <w:u w:val="single"/>
          <w:rtl/>
        </w:rPr>
        <w:tab/>
      </w:r>
      <w:r>
        <w:rPr>
          <w:u w:val="single"/>
          <w:rtl/>
        </w:rPr>
        <w:tab/>
      </w:r>
      <w:r>
        <w:rPr>
          <w:u w:val="single"/>
          <w:rtl/>
        </w:rPr>
        <w:tab/>
      </w:r>
    </w:p>
    <w:sectPr w:rsidR="008B4BC6" w:rsidRPr="004F52A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841" w:rsidRPr="00FE6865" w:rsidRDefault="00BA5841" w:rsidP="00FE6865">
      <w:pPr>
        <w:pStyle w:val="Footer"/>
      </w:pPr>
    </w:p>
  </w:endnote>
  <w:endnote w:type="continuationSeparator" w:id="0">
    <w:p w:rsidR="00BA5841" w:rsidRDefault="00BA5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Pr="004F52A8" w:rsidRDefault="004F52A8" w:rsidP="004F52A8">
    <w:pPr>
      <w:pStyle w:val="Footer"/>
      <w:tabs>
        <w:tab w:val="right" w:pos="9598"/>
      </w:tabs>
    </w:pPr>
    <w:r>
      <w:t>GE.14-14189</w:t>
    </w:r>
    <w:r>
      <w:tab/>
    </w:r>
    <w:r w:rsidRPr="004F52A8">
      <w:rPr>
        <w:b/>
        <w:sz w:val="18"/>
      </w:rPr>
      <w:fldChar w:fldCharType="begin"/>
    </w:r>
    <w:r w:rsidRPr="004F52A8">
      <w:rPr>
        <w:b/>
        <w:sz w:val="18"/>
      </w:rPr>
      <w:instrText xml:space="preserve"> PAGE  \* MERGEFORMAT </w:instrText>
    </w:r>
    <w:r w:rsidRPr="004F52A8">
      <w:rPr>
        <w:b/>
        <w:sz w:val="18"/>
      </w:rPr>
      <w:fldChar w:fldCharType="separate"/>
    </w:r>
    <w:r w:rsidR="00326A96">
      <w:rPr>
        <w:b/>
        <w:noProof/>
        <w:sz w:val="18"/>
      </w:rPr>
      <w:t>10</w:t>
    </w:r>
    <w:r w:rsidRPr="004F52A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Pr="004F52A8" w:rsidRDefault="004F52A8" w:rsidP="004F52A8">
    <w:pPr>
      <w:pStyle w:val="Footer"/>
      <w:tabs>
        <w:tab w:val="right" w:pos="9598"/>
      </w:tabs>
      <w:rPr>
        <w:b/>
        <w:sz w:val="18"/>
      </w:rPr>
    </w:pPr>
    <w:r w:rsidRPr="004F52A8">
      <w:rPr>
        <w:b/>
        <w:sz w:val="18"/>
      </w:rPr>
      <w:fldChar w:fldCharType="begin"/>
    </w:r>
    <w:r w:rsidRPr="004F52A8">
      <w:rPr>
        <w:b/>
        <w:sz w:val="18"/>
      </w:rPr>
      <w:instrText xml:space="preserve"> PAGE  \* MERGEFORMAT </w:instrText>
    </w:r>
    <w:r w:rsidRPr="004F52A8">
      <w:rPr>
        <w:b/>
        <w:sz w:val="18"/>
      </w:rPr>
      <w:fldChar w:fldCharType="separate"/>
    </w:r>
    <w:r w:rsidR="00326A96">
      <w:rPr>
        <w:b/>
        <w:noProof/>
        <w:sz w:val="18"/>
      </w:rPr>
      <w:t>9</w:t>
    </w:r>
    <w:r w:rsidRPr="004F52A8">
      <w:rPr>
        <w:b/>
        <w:sz w:val="18"/>
      </w:rPr>
      <w:fldChar w:fldCharType="end"/>
    </w:r>
    <w:r>
      <w:rPr>
        <w:b/>
        <w:sz w:val="18"/>
      </w:rPr>
      <w:tab/>
    </w:r>
    <w:r>
      <w:t>GE.14-14189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Default="004F52A8" w:rsidP="004F52A8">
    <w:pPr>
      <w:pStyle w:val="Footer"/>
      <w:jc w:val="right"/>
    </w:pPr>
    <w:r>
      <w:rPr>
        <w:sz w:val="20"/>
      </w:rPr>
      <w:t>(A)   GE.14-14189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20422B">
      <w:rPr>
        <w:sz w:val="20"/>
      </w:rPr>
      <w:t xml:space="preserve">    151014    161014</w:t>
    </w:r>
    <w:r w:rsidR="00326A96">
      <w:br/>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rsidRPr="00326A96">
      <w:rPr>
        <w:rFonts w:ascii="C39T30Lfz" w:hAnsi="C39T30Lfz"/>
        <w:sz w:val="56"/>
      </w:rPr>
      <w:t></w:t>
    </w:r>
    <w:r w:rsidR="00326A96">
      <w:tab/>
    </w:r>
    <w:r w:rsidR="00326A96">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841" w:rsidRDefault="00BA5841" w:rsidP="007E4686">
      <w:pPr>
        <w:pStyle w:val="Footer"/>
        <w:bidi/>
        <w:spacing w:after="80" w:line="200" w:lineRule="exact"/>
        <w:ind w:left="680"/>
      </w:pPr>
      <w:r>
        <w:rPr>
          <w:rFonts w:hint="cs"/>
          <w:rtl/>
        </w:rPr>
        <w:t>__________</w:t>
      </w:r>
    </w:p>
  </w:footnote>
  <w:footnote w:type="continuationSeparator" w:id="0">
    <w:p w:rsidR="00BA5841" w:rsidRDefault="00BA5841" w:rsidP="007E4686">
      <w:pPr>
        <w:pStyle w:val="Footer"/>
        <w:bidi/>
        <w:spacing w:after="80" w:line="200" w:lineRule="exact"/>
        <w:ind w:left="680"/>
      </w:pPr>
      <w:r>
        <w:rPr>
          <w:rFonts w:hint="cs"/>
          <w:rtl/>
        </w:rPr>
        <w:t>__________</w:t>
      </w:r>
    </w:p>
  </w:footnote>
  <w:footnote w:id="1">
    <w:p w:rsidR="005F6D23" w:rsidRPr="005F6D23" w:rsidRDefault="005F6D23" w:rsidP="00326A96">
      <w:pPr>
        <w:pStyle w:val="footnoteText0"/>
        <w:spacing w:after="240"/>
        <w:rPr>
          <w:rFonts w:hint="cs"/>
          <w:rtl/>
        </w:rPr>
      </w:pPr>
      <w:r>
        <w:rPr>
          <w:rtl/>
        </w:rPr>
        <w:tab/>
      </w:r>
      <w:r w:rsidRPr="005F6D23">
        <w:rPr>
          <w:rStyle w:val="FootnoteReference"/>
          <w:sz w:val="20"/>
          <w:vertAlign w:val="baseline"/>
          <w:rtl/>
        </w:rPr>
        <w:t>*</w:t>
      </w:r>
      <w:r>
        <w:rPr>
          <w:rtl/>
        </w:rPr>
        <w:tab/>
      </w:r>
      <w:r w:rsidRPr="005F6D23">
        <w:rPr>
          <w:rtl/>
        </w:rPr>
        <w:t>اعتمدتها اللجنة في دورتها 111 (7-25 تموز/يوليه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Pr="004F52A8" w:rsidRDefault="004F52A8" w:rsidP="004F52A8">
    <w:pPr>
      <w:pStyle w:val="Header"/>
      <w:jc w:val="right"/>
    </w:pPr>
    <w:r w:rsidRPr="004F52A8">
      <w:t>CCPR/C/SDN/CO/4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Pr="004F52A8" w:rsidRDefault="004F52A8" w:rsidP="004F52A8">
    <w:pPr>
      <w:pStyle w:val="Header"/>
      <w:jc w:val="left"/>
    </w:pPr>
    <w:r w:rsidRPr="004F52A8">
      <w:t>CCPR/C/SDN/CO/4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2A8" w:rsidRDefault="004F52A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F52A8" w:rsidRPr="008F6743" w:rsidRDefault="004F52A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1464BF60"/>
    <w:lvl w:ilvl="0">
      <w:start w:val="1"/>
      <w:numFmt w:val="bullet"/>
      <w:lvlText w:val=""/>
      <w:lvlJc w:val="left"/>
      <w:pPr>
        <w:tabs>
          <w:tab w:val="num" w:pos="1800"/>
        </w:tabs>
        <w:ind w:left="1800" w:hanging="360"/>
      </w:pPr>
      <w:rPr>
        <w:rFonts w:ascii="Symbol" w:hAnsi="Symbol" w:hint="default"/>
      </w:rPr>
    </w:lvl>
  </w:abstractNum>
  <w:abstractNum w:abstractNumId="1">
    <w:nsid w:val="FFFFFF81"/>
    <w:multiLevelType w:val="singleLevel"/>
    <w:tmpl w:val="924AC012"/>
    <w:lvl w:ilvl="0">
      <w:start w:val="1"/>
      <w:numFmt w:val="bullet"/>
      <w:lvlText w:val=""/>
      <w:lvlJc w:val="left"/>
      <w:pPr>
        <w:tabs>
          <w:tab w:val="num" w:pos="1440"/>
        </w:tabs>
        <w:ind w:left="1440" w:hanging="360"/>
      </w:pPr>
      <w:rPr>
        <w:rFonts w:ascii="Symbol" w:hAnsi="Symbol" w:hint="default"/>
      </w:rPr>
    </w:lvl>
  </w:abstractNum>
  <w:abstractNum w:abstractNumId="2">
    <w:nsid w:val="FFFFFF82"/>
    <w:multiLevelType w:val="singleLevel"/>
    <w:tmpl w:val="244855D0"/>
    <w:lvl w:ilvl="0">
      <w:start w:val="1"/>
      <w:numFmt w:val="bullet"/>
      <w:lvlText w:val=""/>
      <w:lvlJc w:val="left"/>
      <w:pPr>
        <w:tabs>
          <w:tab w:val="num" w:pos="1080"/>
        </w:tabs>
        <w:ind w:left="1080" w:hanging="360"/>
      </w:pPr>
      <w:rPr>
        <w:rFonts w:ascii="Symbol" w:hAnsi="Symbol" w:hint="default"/>
      </w:rPr>
    </w:lvl>
  </w:abstractNum>
  <w:abstractNum w:abstractNumId="3">
    <w:nsid w:val="FFFFFF83"/>
    <w:multiLevelType w:val="singleLevel"/>
    <w:tmpl w:val="6414CA36"/>
    <w:lvl w:ilvl="0">
      <w:start w:val="1"/>
      <w:numFmt w:val="bullet"/>
      <w:lvlText w:val=""/>
      <w:lvlJc w:val="left"/>
      <w:pPr>
        <w:tabs>
          <w:tab w:val="num" w:pos="720"/>
        </w:tabs>
        <w:ind w:left="720" w:hanging="360"/>
      </w:pPr>
      <w:rPr>
        <w:rFonts w:ascii="Symbol" w:hAnsi="Symbol" w:hint="default"/>
      </w:rPr>
    </w:lvl>
  </w:abstractNum>
  <w:abstractNum w:abstractNumId="4">
    <w:nsid w:val="FFFFFF89"/>
    <w:multiLevelType w:val="singleLevel"/>
    <w:tmpl w:val="A67430BE"/>
    <w:lvl w:ilvl="0">
      <w:start w:val="1"/>
      <w:numFmt w:val="bullet"/>
      <w:lvlText w:val=""/>
      <w:lvlJc w:val="left"/>
      <w:pPr>
        <w:tabs>
          <w:tab w:val="num" w:pos="360"/>
        </w:tabs>
        <w:ind w:left="360" w:hanging="360"/>
      </w:pPr>
      <w:rPr>
        <w:rFonts w:ascii="Symbol" w:hAnsi="Symbol" w:hint="default"/>
      </w:rPr>
    </w:lvl>
  </w:abstractNum>
  <w:abstractNum w:abstractNumId="5">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2">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6">
    <w:nsid w:val="2F6335A2"/>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EC51A3A"/>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num w:numId="1">
    <w:abstractNumId w:val="17"/>
  </w:num>
  <w:num w:numId="2">
    <w:abstractNumId w:val="6"/>
  </w:num>
  <w:num w:numId="3">
    <w:abstractNumId w:val="19"/>
  </w:num>
  <w:num w:numId="4">
    <w:abstractNumId w:val="17"/>
  </w:num>
  <w:num w:numId="5">
    <w:abstractNumId w:val="13"/>
  </w:num>
  <w:num w:numId="6">
    <w:abstractNumId w:val="26"/>
  </w:num>
  <w:num w:numId="7">
    <w:abstractNumId w:val="15"/>
  </w:num>
  <w:num w:numId="8">
    <w:abstractNumId w:val="14"/>
  </w:num>
  <w:num w:numId="9">
    <w:abstractNumId w:val="18"/>
  </w:num>
  <w:num w:numId="10">
    <w:abstractNumId w:val="25"/>
  </w:num>
  <w:num w:numId="11">
    <w:abstractNumId w:val="6"/>
  </w:num>
  <w:num w:numId="12">
    <w:abstractNumId w:val="19"/>
  </w:num>
  <w:num w:numId="13">
    <w:abstractNumId w:val="17"/>
  </w:num>
  <w:num w:numId="14">
    <w:abstractNumId w:val="13"/>
  </w:num>
  <w:num w:numId="15">
    <w:abstractNumId w:val="26"/>
  </w:num>
  <w:num w:numId="16">
    <w:abstractNumId w:val="6"/>
  </w:num>
  <w:num w:numId="17">
    <w:abstractNumId w:val="19"/>
  </w:num>
  <w:num w:numId="18">
    <w:abstractNumId w:val="17"/>
  </w:num>
  <w:num w:numId="19">
    <w:abstractNumId w:val="13"/>
  </w:num>
  <w:num w:numId="20">
    <w:abstractNumId w:val="26"/>
  </w:num>
  <w:num w:numId="21">
    <w:abstractNumId w:val="6"/>
  </w:num>
  <w:num w:numId="22">
    <w:abstractNumId w:val="19"/>
  </w:num>
  <w:num w:numId="23">
    <w:abstractNumId w:val="13"/>
  </w:num>
  <w:num w:numId="24">
    <w:abstractNumId w:val="26"/>
  </w:num>
  <w:num w:numId="25">
    <w:abstractNumId w:val="19"/>
  </w:num>
  <w:num w:numId="26">
    <w:abstractNumId w:val="6"/>
  </w:num>
  <w:num w:numId="27">
    <w:abstractNumId w:val="8"/>
  </w:num>
  <w:num w:numId="28">
    <w:abstractNumId w:val="7"/>
  </w:num>
  <w:num w:numId="29">
    <w:abstractNumId w:val="21"/>
  </w:num>
  <w:num w:numId="30">
    <w:abstractNumId w:val="9"/>
  </w:num>
  <w:num w:numId="31">
    <w:abstractNumId w:val="12"/>
  </w:num>
  <w:num w:numId="32">
    <w:abstractNumId w:val="20"/>
  </w:num>
  <w:num w:numId="33">
    <w:abstractNumId w:val="23"/>
  </w:num>
  <w:num w:numId="34">
    <w:abstractNumId w:val="27"/>
  </w:num>
  <w:num w:numId="35">
    <w:abstractNumId w:val="10"/>
  </w:num>
  <w:num w:numId="36">
    <w:abstractNumId w:val="22"/>
  </w:num>
  <w:num w:numId="37">
    <w:abstractNumId w:val="24"/>
  </w:num>
  <w:num w:numId="38">
    <w:abstractNumId w:val="5"/>
  </w:num>
  <w:num w:numId="39">
    <w:abstractNumId w:val="11"/>
  </w:num>
  <w:num w:numId="40">
    <w:abstractNumId w:val="28"/>
  </w:num>
  <w:num w:numId="41">
    <w:abstractNumId w:val="16"/>
  </w:num>
  <w:num w:numId="42">
    <w:abstractNumId w:val="4"/>
  </w:num>
  <w:num w:numId="43">
    <w:abstractNumId w:val="3"/>
  </w:num>
  <w:num w:numId="44">
    <w:abstractNumId w:val="2"/>
  </w:num>
  <w:num w:numId="45">
    <w:abstractNumId w:val="1"/>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293"/>
    <w:rsid w:val="00040E25"/>
    <w:rsid w:val="00042149"/>
    <w:rsid w:val="000648EA"/>
    <w:rsid w:val="000673A5"/>
    <w:rsid w:val="000957C8"/>
    <w:rsid w:val="00097049"/>
    <w:rsid w:val="000A04D5"/>
    <w:rsid w:val="000B52F2"/>
    <w:rsid w:val="000D0EAE"/>
    <w:rsid w:val="000D5380"/>
    <w:rsid w:val="000D6654"/>
    <w:rsid w:val="000E103D"/>
    <w:rsid w:val="000E1E45"/>
    <w:rsid w:val="000F0264"/>
    <w:rsid w:val="000F2EBF"/>
    <w:rsid w:val="000F3A9F"/>
    <w:rsid w:val="000F5FF6"/>
    <w:rsid w:val="001022B5"/>
    <w:rsid w:val="00113FA5"/>
    <w:rsid w:val="0013589F"/>
    <w:rsid w:val="001455A0"/>
    <w:rsid w:val="001602A3"/>
    <w:rsid w:val="001A5161"/>
    <w:rsid w:val="001A60BD"/>
    <w:rsid w:val="001C6D53"/>
    <w:rsid w:val="0020422B"/>
    <w:rsid w:val="00232277"/>
    <w:rsid w:val="0023736D"/>
    <w:rsid w:val="00257225"/>
    <w:rsid w:val="00310160"/>
    <w:rsid w:val="00326A96"/>
    <w:rsid w:val="00341A8C"/>
    <w:rsid w:val="003519E6"/>
    <w:rsid w:val="00355F81"/>
    <w:rsid w:val="003B4356"/>
    <w:rsid w:val="003F08A8"/>
    <w:rsid w:val="004250E3"/>
    <w:rsid w:val="0044376D"/>
    <w:rsid w:val="00444293"/>
    <w:rsid w:val="004519CD"/>
    <w:rsid w:val="00472A81"/>
    <w:rsid w:val="004A20A6"/>
    <w:rsid w:val="004B2C92"/>
    <w:rsid w:val="004C03D7"/>
    <w:rsid w:val="004C4B4B"/>
    <w:rsid w:val="004D6A3A"/>
    <w:rsid w:val="004F4AD7"/>
    <w:rsid w:val="004F52A8"/>
    <w:rsid w:val="00503121"/>
    <w:rsid w:val="00557CD3"/>
    <w:rsid w:val="00571432"/>
    <w:rsid w:val="005732A2"/>
    <w:rsid w:val="005762A5"/>
    <w:rsid w:val="00590BA3"/>
    <w:rsid w:val="005B46D9"/>
    <w:rsid w:val="005B7AE0"/>
    <w:rsid w:val="005E23F5"/>
    <w:rsid w:val="005E4E62"/>
    <w:rsid w:val="005F0074"/>
    <w:rsid w:val="005F146F"/>
    <w:rsid w:val="005F6D23"/>
    <w:rsid w:val="005F71B6"/>
    <w:rsid w:val="00654786"/>
    <w:rsid w:val="00660FD4"/>
    <w:rsid w:val="00665BE4"/>
    <w:rsid w:val="00684822"/>
    <w:rsid w:val="006A4425"/>
    <w:rsid w:val="006B00A4"/>
    <w:rsid w:val="006B4669"/>
    <w:rsid w:val="006D3CFA"/>
    <w:rsid w:val="006F23B3"/>
    <w:rsid w:val="006F6BF8"/>
    <w:rsid w:val="00707BDF"/>
    <w:rsid w:val="00710727"/>
    <w:rsid w:val="00715F45"/>
    <w:rsid w:val="0072608F"/>
    <w:rsid w:val="00731815"/>
    <w:rsid w:val="00731B84"/>
    <w:rsid w:val="00734AE7"/>
    <w:rsid w:val="007613F4"/>
    <w:rsid w:val="007664AD"/>
    <w:rsid w:val="0079344E"/>
    <w:rsid w:val="007E197F"/>
    <w:rsid w:val="007E2786"/>
    <w:rsid w:val="007E4686"/>
    <w:rsid w:val="007F68C4"/>
    <w:rsid w:val="00800A5E"/>
    <w:rsid w:val="008153DE"/>
    <w:rsid w:val="00836252"/>
    <w:rsid w:val="00852A10"/>
    <w:rsid w:val="00856D7C"/>
    <w:rsid w:val="00862634"/>
    <w:rsid w:val="00866C59"/>
    <w:rsid w:val="008770B0"/>
    <w:rsid w:val="00877306"/>
    <w:rsid w:val="00885524"/>
    <w:rsid w:val="008A51E6"/>
    <w:rsid w:val="008A6242"/>
    <w:rsid w:val="008B4BC6"/>
    <w:rsid w:val="008C55BC"/>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A53B0"/>
    <w:rsid w:val="00AD0014"/>
    <w:rsid w:val="00AD4CF2"/>
    <w:rsid w:val="00AE24FB"/>
    <w:rsid w:val="00AF0BBA"/>
    <w:rsid w:val="00B0589F"/>
    <w:rsid w:val="00B25159"/>
    <w:rsid w:val="00B30468"/>
    <w:rsid w:val="00B31D60"/>
    <w:rsid w:val="00B44E31"/>
    <w:rsid w:val="00BA4F7E"/>
    <w:rsid w:val="00BA5841"/>
    <w:rsid w:val="00BB2C41"/>
    <w:rsid w:val="00BC55C8"/>
    <w:rsid w:val="00BC5C10"/>
    <w:rsid w:val="00BD08F6"/>
    <w:rsid w:val="00BE2244"/>
    <w:rsid w:val="00BE2964"/>
    <w:rsid w:val="00C21623"/>
    <w:rsid w:val="00C24FBD"/>
    <w:rsid w:val="00C473BA"/>
    <w:rsid w:val="00C611ED"/>
    <w:rsid w:val="00C6490A"/>
    <w:rsid w:val="00C64FE1"/>
    <w:rsid w:val="00C726D2"/>
    <w:rsid w:val="00C74296"/>
    <w:rsid w:val="00C8345E"/>
    <w:rsid w:val="00CA5F7C"/>
    <w:rsid w:val="00CE7E5A"/>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070A"/>
    <w:rsid w:val="00E771AB"/>
    <w:rsid w:val="00EA796F"/>
    <w:rsid w:val="00EB077B"/>
    <w:rsid w:val="00EC50B9"/>
    <w:rsid w:val="00ED26A0"/>
    <w:rsid w:val="00F1727A"/>
    <w:rsid w:val="00F34764"/>
    <w:rsid w:val="00F54E3C"/>
    <w:rsid w:val="00F874BD"/>
    <w:rsid w:val="00FB1D0B"/>
    <w:rsid w:val="00FB585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4F52A8"/>
    <w:pPr>
      <w:keepNext/>
      <w:spacing w:before="240" w:after="60"/>
      <w:outlineLvl w:val="3"/>
    </w:pPr>
    <w:rPr>
      <w:rFonts w:eastAsia="Calibri" w:cs="Times New Roman"/>
      <w:b/>
      <w:bCs/>
      <w:sz w:val="28"/>
      <w:szCs w:val="28"/>
    </w:rPr>
  </w:style>
  <w:style w:type="paragraph" w:styleId="Heading5">
    <w:name w:val="heading 5"/>
    <w:basedOn w:val="Normal"/>
    <w:next w:val="Normal"/>
    <w:qFormat/>
    <w:rsid w:val="004F52A8"/>
    <w:pPr>
      <w:spacing w:before="240" w:after="60"/>
      <w:outlineLvl w:val="4"/>
    </w:pPr>
    <w:rPr>
      <w:rFonts w:eastAsia="Calibri"/>
      <w:b/>
      <w:bCs/>
      <w:i/>
      <w:iCs/>
      <w:sz w:val="26"/>
      <w:szCs w:val="26"/>
    </w:rPr>
  </w:style>
  <w:style w:type="paragraph" w:styleId="Heading6">
    <w:name w:val="heading 6"/>
    <w:basedOn w:val="Normal"/>
    <w:next w:val="Normal"/>
    <w:qFormat/>
    <w:rsid w:val="004F52A8"/>
    <w:pPr>
      <w:spacing w:before="240" w:after="60"/>
      <w:outlineLvl w:val="5"/>
    </w:pPr>
    <w:rPr>
      <w:rFonts w:eastAsia="Calibri" w:cs="Times New Roman"/>
      <w:b/>
      <w:bCs/>
      <w:sz w:val="22"/>
      <w:szCs w:val="22"/>
    </w:rPr>
  </w:style>
  <w:style w:type="paragraph" w:styleId="Heading7">
    <w:name w:val="heading 7"/>
    <w:basedOn w:val="Normal"/>
    <w:next w:val="Normal"/>
    <w:qFormat/>
    <w:rsid w:val="004F52A8"/>
    <w:pPr>
      <w:spacing w:before="240" w:after="60"/>
      <w:outlineLvl w:val="6"/>
    </w:pPr>
    <w:rPr>
      <w:rFonts w:eastAsia="Calibri" w:cs="Times New Roman"/>
      <w:sz w:val="24"/>
      <w:szCs w:val="24"/>
    </w:rPr>
  </w:style>
  <w:style w:type="paragraph" w:styleId="Heading8">
    <w:name w:val="heading 8"/>
    <w:basedOn w:val="Normal"/>
    <w:next w:val="Normal"/>
    <w:qFormat/>
    <w:rsid w:val="004F52A8"/>
    <w:pPr>
      <w:spacing w:before="240" w:after="60"/>
      <w:outlineLvl w:val="7"/>
    </w:pPr>
    <w:rPr>
      <w:rFonts w:eastAsia="Calibri" w:cs="Times New Roman"/>
      <w:i/>
      <w:iCs/>
      <w:sz w:val="24"/>
      <w:szCs w:val="24"/>
    </w:rPr>
  </w:style>
  <w:style w:type="paragraph" w:styleId="Heading9">
    <w:name w:val="heading 9"/>
    <w:basedOn w:val="Normal"/>
    <w:next w:val="Normal"/>
    <w:qFormat/>
    <w:rsid w:val="004F52A8"/>
    <w:pPr>
      <w:spacing w:before="240" w:after="60"/>
      <w:outlineLvl w:val="8"/>
    </w:pPr>
    <w:rPr>
      <w:rFonts w:ascii="Arial" w:eastAsia="Calibri"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lockText">
    <w:name w:val="Block Text"/>
    <w:basedOn w:val="Normal"/>
    <w:semiHidden/>
    <w:rsid w:val="004F52A8"/>
    <w:pPr>
      <w:spacing w:after="120"/>
      <w:ind w:left="1440" w:right="1440"/>
    </w:pPr>
    <w:rPr>
      <w:rFonts w:eastAsia="Calibri"/>
    </w:rPr>
  </w:style>
  <w:style w:type="paragraph" w:styleId="BodyText">
    <w:name w:val="Body Text"/>
    <w:basedOn w:val="Normal"/>
    <w:semiHidden/>
    <w:rsid w:val="004F52A8"/>
    <w:pPr>
      <w:spacing w:after="120"/>
    </w:pPr>
    <w:rPr>
      <w:rFonts w:eastAsia="Calibri"/>
    </w:rPr>
  </w:style>
  <w:style w:type="paragraph" w:styleId="BodyText2">
    <w:name w:val="Body Text 2"/>
    <w:basedOn w:val="Normal"/>
    <w:semiHidden/>
    <w:rsid w:val="004F52A8"/>
    <w:pPr>
      <w:spacing w:after="120" w:line="480" w:lineRule="auto"/>
    </w:pPr>
    <w:rPr>
      <w:rFonts w:eastAsia="Calibri"/>
    </w:rPr>
  </w:style>
  <w:style w:type="paragraph" w:styleId="BodyText3">
    <w:name w:val="Body Text 3"/>
    <w:basedOn w:val="Normal"/>
    <w:semiHidden/>
    <w:rsid w:val="004F52A8"/>
    <w:pPr>
      <w:spacing w:after="120"/>
    </w:pPr>
    <w:rPr>
      <w:rFonts w:eastAsia="Calibri"/>
      <w:sz w:val="16"/>
      <w:szCs w:val="16"/>
    </w:rPr>
  </w:style>
  <w:style w:type="paragraph" w:styleId="BodyTextFirstIndent">
    <w:name w:val="Body Text First Indent"/>
    <w:basedOn w:val="BodyText"/>
    <w:semiHidden/>
    <w:rsid w:val="004F52A8"/>
    <w:pPr>
      <w:ind w:firstLine="210"/>
    </w:pPr>
  </w:style>
  <w:style w:type="paragraph" w:styleId="BodyTextIndent">
    <w:name w:val="Body Text Indent"/>
    <w:basedOn w:val="Normal"/>
    <w:semiHidden/>
    <w:rsid w:val="004F52A8"/>
    <w:pPr>
      <w:spacing w:after="120"/>
      <w:ind w:left="360"/>
    </w:pPr>
    <w:rPr>
      <w:rFonts w:eastAsia="Calibri"/>
    </w:rPr>
  </w:style>
  <w:style w:type="paragraph" w:styleId="BodyTextFirstIndent2">
    <w:name w:val="Body Text First Indent 2"/>
    <w:basedOn w:val="BodyTextIndent"/>
    <w:semiHidden/>
    <w:rsid w:val="004F52A8"/>
    <w:pPr>
      <w:ind w:firstLine="210"/>
    </w:pPr>
  </w:style>
  <w:style w:type="paragraph" w:styleId="BodyTextIndent2">
    <w:name w:val="Body Text Indent 2"/>
    <w:basedOn w:val="Normal"/>
    <w:semiHidden/>
    <w:rsid w:val="004F52A8"/>
    <w:pPr>
      <w:spacing w:after="120" w:line="480" w:lineRule="auto"/>
      <w:ind w:left="360"/>
    </w:pPr>
    <w:rPr>
      <w:rFonts w:eastAsia="Calibri"/>
    </w:rPr>
  </w:style>
  <w:style w:type="paragraph" w:styleId="BodyTextIndent3">
    <w:name w:val="Body Text Indent 3"/>
    <w:basedOn w:val="Normal"/>
    <w:semiHidden/>
    <w:rsid w:val="004F52A8"/>
    <w:pPr>
      <w:spacing w:after="120"/>
      <w:ind w:left="360"/>
    </w:pPr>
    <w:rPr>
      <w:rFonts w:eastAsia="Calibri"/>
      <w:sz w:val="16"/>
      <w:szCs w:val="16"/>
    </w:rPr>
  </w:style>
  <w:style w:type="paragraph" w:styleId="Closing">
    <w:name w:val="Closing"/>
    <w:basedOn w:val="Normal"/>
    <w:semiHidden/>
    <w:rsid w:val="004F52A8"/>
    <w:pPr>
      <w:ind w:left="4320"/>
    </w:pPr>
    <w:rPr>
      <w:rFonts w:eastAsia="Calibri"/>
    </w:rPr>
  </w:style>
  <w:style w:type="paragraph" w:styleId="Date">
    <w:name w:val="Date"/>
    <w:basedOn w:val="Normal"/>
    <w:next w:val="Normal"/>
    <w:semiHidden/>
    <w:rsid w:val="004F52A8"/>
    <w:rPr>
      <w:rFonts w:eastAsia="Calibri"/>
    </w:rPr>
  </w:style>
  <w:style w:type="paragraph" w:styleId="E-mailSignature">
    <w:name w:val="E-mail Signature"/>
    <w:basedOn w:val="Normal"/>
    <w:semiHidden/>
    <w:rsid w:val="004F52A8"/>
    <w:rPr>
      <w:rFonts w:eastAsia="Calibri"/>
    </w:rPr>
  </w:style>
  <w:style w:type="character" w:styleId="Emphasis">
    <w:name w:val="Emphasis"/>
    <w:qFormat/>
    <w:rsid w:val="004F52A8"/>
    <w:rPr>
      <w:rFonts w:cs="Times New Roman"/>
      <w:i/>
      <w:iCs/>
    </w:rPr>
  </w:style>
  <w:style w:type="paragraph" w:styleId="EnvelopeAddress">
    <w:name w:val="envelope address"/>
    <w:basedOn w:val="Normal"/>
    <w:semiHidden/>
    <w:rsid w:val="004F52A8"/>
    <w:pPr>
      <w:framePr w:w="7920" w:h="1980" w:hRule="exact" w:hSpace="180" w:wrap="auto" w:hAnchor="page" w:xAlign="center" w:yAlign="bottom"/>
      <w:ind w:left="2880"/>
    </w:pPr>
    <w:rPr>
      <w:rFonts w:ascii="Arial" w:eastAsia="Calibri" w:hAnsi="Arial" w:cs="Arial"/>
      <w:sz w:val="24"/>
      <w:szCs w:val="24"/>
    </w:rPr>
  </w:style>
  <w:style w:type="paragraph" w:styleId="EnvelopeReturn">
    <w:name w:val="envelope return"/>
    <w:basedOn w:val="Normal"/>
    <w:semiHidden/>
    <w:rsid w:val="004F52A8"/>
    <w:rPr>
      <w:rFonts w:ascii="Arial" w:eastAsia="Calibri" w:hAnsi="Arial" w:cs="Arial"/>
      <w:szCs w:val="20"/>
    </w:rPr>
  </w:style>
  <w:style w:type="character" w:styleId="FollowedHyperlink">
    <w:name w:val="FollowedHyperlink"/>
    <w:semiHidden/>
    <w:rsid w:val="004F52A8"/>
    <w:rPr>
      <w:rFonts w:cs="Times New Roman"/>
      <w:color w:val="800080"/>
      <w:u w:val="single"/>
    </w:rPr>
  </w:style>
  <w:style w:type="character" w:styleId="HTMLAcronym">
    <w:name w:val="HTML Acronym"/>
    <w:semiHidden/>
    <w:rsid w:val="004F52A8"/>
    <w:rPr>
      <w:rFonts w:cs="Times New Roman"/>
    </w:rPr>
  </w:style>
  <w:style w:type="paragraph" w:styleId="HTMLAddress">
    <w:name w:val="HTML Address"/>
    <w:basedOn w:val="Normal"/>
    <w:semiHidden/>
    <w:rsid w:val="004F52A8"/>
    <w:rPr>
      <w:rFonts w:eastAsia="Calibri"/>
      <w:i/>
      <w:iCs/>
    </w:rPr>
  </w:style>
  <w:style w:type="character" w:styleId="HTMLCite">
    <w:name w:val="HTML Cite"/>
    <w:semiHidden/>
    <w:rsid w:val="004F52A8"/>
    <w:rPr>
      <w:rFonts w:cs="Times New Roman"/>
      <w:i/>
      <w:iCs/>
    </w:rPr>
  </w:style>
  <w:style w:type="character" w:styleId="HTMLCode">
    <w:name w:val="HTML Code"/>
    <w:semiHidden/>
    <w:rsid w:val="004F52A8"/>
    <w:rPr>
      <w:rFonts w:ascii="Courier New" w:hAnsi="Courier New" w:cs="Courier New"/>
      <w:sz w:val="20"/>
      <w:szCs w:val="20"/>
    </w:rPr>
  </w:style>
  <w:style w:type="character" w:styleId="HTMLDefinition">
    <w:name w:val="HTML Definition"/>
    <w:semiHidden/>
    <w:rsid w:val="004F52A8"/>
    <w:rPr>
      <w:rFonts w:cs="Times New Roman"/>
      <w:i/>
      <w:iCs/>
    </w:rPr>
  </w:style>
  <w:style w:type="character" w:styleId="HTMLKeyboard">
    <w:name w:val="HTML Keyboard"/>
    <w:semiHidden/>
    <w:rsid w:val="004F52A8"/>
    <w:rPr>
      <w:rFonts w:ascii="Courier New" w:hAnsi="Courier New" w:cs="Courier New"/>
      <w:sz w:val="20"/>
      <w:szCs w:val="20"/>
    </w:rPr>
  </w:style>
  <w:style w:type="paragraph" w:styleId="HTMLPreformatted">
    <w:name w:val="HTML Preformatted"/>
    <w:basedOn w:val="Normal"/>
    <w:semiHidden/>
    <w:rsid w:val="004F52A8"/>
    <w:rPr>
      <w:rFonts w:ascii="Courier New" w:eastAsia="Calibri" w:hAnsi="Courier New" w:cs="Courier New"/>
      <w:szCs w:val="20"/>
    </w:rPr>
  </w:style>
  <w:style w:type="character" w:styleId="HTMLSample">
    <w:name w:val="HTML Sample"/>
    <w:semiHidden/>
    <w:rsid w:val="004F52A8"/>
    <w:rPr>
      <w:rFonts w:ascii="Courier New" w:hAnsi="Courier New" w:cs="Courier New"/>
    </w:rPr>
  </w:style>
  <w:style w:type="character" w:styleId="HTMLTypewriter">
    <w:name w:val="HTML Typewriter"/>
    <w:semiHidden/>
    <w:rsid w:val="004F52A8"/>
    <w:rPr>
      <w:rFonts w:ascii="Courier New" w:hAnsi="Courier New" w:cs="Courier New"/>
      <w:sz w:val="20"/>
      <w:szCs w:val="20"/>
    </w:rPr>
  </w:style>
  <w:style w:type="character" w:styleId="HTMLVariable">
    <w:name w:val="HTML Variable"/>
    <w:semiHidden/>
    <w:rsid w:val="004F52A8"/>
    <w:rPr>
      <w:rFonts w:cs="Times New Roman"/>
      <w:i/>
      <w:iCs/>
    </w:rPr>
  </w:style>
  <w:style w:type="character" w:styleId="Hyperlink">
    <w:name w:val="Hyperlink"/>
    <w:semiHidden/>
    <w:rsid w:val="004F52A8"/>
    <w:rPr>
      <w:rFonts w:cs="Times New Roman"/>
      <w:color w:val="0000FF"/>
      <w:u w:val="single"/>
    </w:rPr>
  </w:style>
  <w:style w:type="character" w:styleId="LineNumber">
    <w:name w:val="line number"/>
    <w:semiHidden/>
    <w:rsid w:val="004F52A8"/>
    <w:rPr>
      <w:rFonts w:cs="Times New Roman"/>
    </w:rPr>
  </w:style>
  <w:style w:type="paragraph" w:styleId="List">
    <w:name w:val="List"/>
    <w:basedOn w:val="Normal"/>
    <w:semiHidden/>
    <w:rsid w:val="004F52A8"/>
    <w:pPr>
      <w:ind w:left="360" w:hanging="360"/>
    </w:pPr>
    <w:rPr>
      <w:rFonts w:eastAsia="Calibri"/>
    </w:rPr>
  </w:style>
  <w:style w:type="paragraph" w:styleId="List2">
    <w:name w:val="List 2"/>
    <w:basedOn w:val="Normal"/>
    <w:semiHidden/>
    <w:rsid w:val="004F52A8"/>
    <w:pPr>
      <w:ind w:left="720" w:hanging="360"/>
    </w:pPr>
    <w:rPr>
      <w:rFonts w:eastAsia="Calibri"/>
    </w:rPr>
  </w:style>
  <w:style w:type="paragraph" w:styleId="List3">
    <w:name w:val="List 3"/>
    <w:basedOn w:val="Normal"/>
    <w:semiHidden/>
    <w:rsid w:val="004F52A8"/>
    <w:pPr>
      <w:ind w:left="1080" w:hanging="360"/>
    </w:pPr>
    <w:rPr>
      <w:rFonts w:eastAsia="Calibri"/>
    </w:rPr>
  </w:style>
  <w:style w:type="paragraph" w:styleId="List4">
    <w:name w:val="List 4"/>
    <w:basedOn w:val="Normal"/>
    <w:semiHidden/>
    <w:rsid w:val="004F52A8"/>
    <w:pPr>
      <w:ind w:left="1440" w:hanging="360"/>
    </w:pPr>
    <w:rPr>
      <w:rFonts w:eastAsia="Calibri"/>
    </w:rPr>
  </w:style>
  <w:style w:type="paragraph" w:styleId="List5">
    <w:name w:val="List 5"/>
    <w:basedOn w:val="Normal"/>
    <w:semiHidden/>
    <w:rsid w:val="004F52A8"/>
    <w:pPr>
      <w:ind w:left="1800" w:hanging="360"/>
    </w:pPr>
    <w:rPr>
      <w:rFonts w:eastAsia="Calibri"/>
    </w:rPr>
  </w:style>
  <w:style w:type="paragraph" w:styleId="ListBullet">
    <w:name w:val="List Bullet"/>
    <w:basedOn w:val="Normal"/>
    <w:semiHidden/>
    <w:rsid w:val="004F52A8"/>
    <w:pPr>
      <w:numPr>
        <w:numId w:val="3"/>
      </w:numPr>
      <w:tabs>
        <w:tab w:val="num" w:pos="360"/>
      </w:tabs>
      <w:ind w:left="360" w:hanging="360"/>
    </w:pPr>
    <w:rPr>
      <w:rFonts w:eastAsia="Calibri"/>
    </w:rPr>
  </w:style>
  <w:style w:type="paragraph" w:styleId="ListBullet2">
    <w:name w:val="List Bullet 2"/>
    <w:basedOn w:val="Normal"/>
    <w:semiHidden/>
    <w:rsid w:val="004F52A8"/>
    <w:pPr>
      <w:numPr>
        <w:numId w:val="5"/>
      </w:numPr>
      <w:tabs>
        <w:tab w:val="num" w:pos="720"/>
      </w:tabs>
      <w:ind w:left="720"/>
    </w:pPr>
    <w:rPr>
      <w:rFonts w:eastAsia="Calibri"/>
    </w:rPr>
  </w:style>
  <w:style w:type="paragraph" w:styleId="ListBullet3">
    <w:name w:val="List Bullet 3"/>
    <w:basedOn w:val="Normal"/>
    <w:semiHidden/>
    <w:rsid w:val="004F52A8"/>
    <w:pPr>
      <w:numPr>
        <w:numId w:val="6"/>
      </w:numPr>
      <w:tabs>
        <w:tab w:val="num" w:pos="1080"/>
      </w:tabs>
      <w:ind w:left="1080"/>
    </w:pPr>
    <w:rPr>
      <w:rFonts w:eastAsia="Calibri"/>
    </w:rPr>
  </w:style>
  <w:style w:type="paragraph" w:styleId="ListBullet4">
    <w:name w:val="List Bullet 4"/>
    <w:basedOn w:val="Normal"/>
    <w:semiHidden/>
    <w:rsid w:val="004F52A8"/>
    <w:pPr>
      <w:numPr>
        <w:numId w:val="7"/>
      </w:numPr>
      <w:tabs>
        <w:tab w:val="clear" w:pos="360"/>
        <w:tab w:val="num" w:pos="1440"/>
      </w:tabs>
      <w:ind w:left="1440"/>
    </w:pPr>
    <w:rPr>
      <w:rFonts w:eastAsia="Calibri"/>
    </w:rPr>
  </w:style>
  <w:style w:type="paragraph" w:styleId="ListBullet5">
    <w:name w:val="List Bullet 5"/>
    <w:basedOn w:val="Normal"/>
    <w:semiHidden/>
    <w:rsid w:val="004F52A8"/>
    <w:pPr>
      <w:numPr>
        <w:numId w:val="9"/>
      </w:numPr>
      <w:tabs>
        <w:tab w:val="num" w:pos="1800"/>
      </w:tabs>
      <w:ind w:left="1800"/>
    </w:pPr>
    <w:rPr>
      <w:rFonts w:eastAsia="Calibri"/>
    </w:rPr>
  </w:style>
  <w:style w:type="paragraph" w:styleId="ListContinue">
    <w:name w:val="List Continue"/>
    <w:basedOn w:val="Normal"/>
    <w:semiHidden/>
    <w:rsid w:val="004F52A8"/>
    <w:pPr>
      <w:spacing w:after="120"/>
      <w:ind w:left="360"/>
    </w:pPr>
    <w:rPr>
      <w:rFonts w:eastAsia="Calibri"/>
    </w:rPr>
  </w:style>
  <w:style w:type="paragraph" w:styleId="ListContinue2">
    <w:name w:val="List Continue 2"/>
    <w:basedOn w:val="Normal"/>
    <w:semiHidden/>
    <w:rsid w:val="004F52A8"/>
    <w:pPr>
      <w:spacing w:after="120"/>
      <w:ind w:left="720"/>
    </w:pPr>
    <w:rPr>
      <w:rFonts w:eastAsia="Calibri"/>
    </w:rPr>
  </w:style>
  <w:style w:type="paragraph" w:styleId="ListContinue3">
    <w:name w:val="List Continue 3"/>
    <w:basedOn w:val="Normal"/>
    <w:semiHidden/>
    <w:rsid w:val="004F52A8"/>
    <w:pPr>
      <w:spacing w:after="120"/>
      <w:ind w:left="1080"/>
    </w:pPr>
    <w:rPr>
      <w:rFonts w:eastAsia="Calibri"/>
    </w:rPr>
  </w:style>
  <w:style w:type="paragraph" w:styleId="ListContinue4">
    <w:name w:val="List Continue 4"/>
    <w:basedOn w:val="Normal"/>
    <w:semiHidden/>
    <w:rsid w:val="004F52A8"/>
    <w:pPr>
      <w:spacing w:after="120"/>
      <w:ind w:left="1440"/>
    </w:pPr>
    <w:rPr>
      <w:rFonts w:eastAsia="Calibri"/>
    </w:rPr>
  </w:style>
  <w:style w:type="paragraph" w:styleId="ListContinue5">
    <w:name w:val="List Continue 5"/>
    <w:basedOn w:val="Normal"/>
    <w:semiHidden/>
    <w:rsid w:val="004F52A8"/>
    <w:pPr>
      <w:spacing w:after="120"/>
      <w:ind w:left="1800"/>
    </w:pPr>
    <w:rPr>
      <w:rFonts w:eastAsia="Calibri"/>
    </w:rPr>
  </w:style>
  <w:style w:type="paragraph" w:styleId="ListNumber">
    <w:name w:val="List Number"/>
    <w:basedOn w:val="Normal"/>
    <w:semiHidden/>
    <w:rsid w:val="004F52A8"/>
    <w:pPr>
      <w:numPr>
        <w:numId w:val="10"/>
      </w:numPr>
    </w:pPr>
    <w:rPr>
      <w:rFonts w:eastAsia="Calibri"/>
    </w:rPr>
  </w:style>
  <w:style w:type="paragraph" w:styleId="ListNumber2">
    <w:name w:val="List Number 2"/>
    <w:basedOn w:val="Normal"/>
    <w:semiHidden/>
    <w:rsid w:val="004F52A8"/>
    <w:pPr>
      <w:numPr>
        <w:numId w:val="11"/>
      </w:numPr>
    </w:pPr>
    <w:rPr>
      <w:rFonts w:eastAsia="Calibri"/>
    </w:rPr>
  </w:style>
  <w:style w:type="paragraph" w:styleId="ListNumber3">
    <w:name w:val="List Number 3"/>
    <w:basedOn w:val="Normal"/>
    <w:semiHidden/>
    <w:rsid w:val="004F52A8"/>
    <w:pPr>
      <w:numPr>
        <w:numId w:val="12"/>
      </w:numPr>
    </w:pPr>
    <w:rPr>
      <w:rFonts w:eastAsia="Calibri"/>
    </w:rPr>
  </w:style>
  <w:style w:type="paragraph" w:styleId="ListNumber4">
    <w:name w:val="List Number 4"/>
    <w:basedOn w:val="Normal"/>
    <w:semiHidden/>
    <w:rsid w:val="004F52A8"/>
    <w:pPr>
      <w:numPr>
        <w:numId w:val="13"/>
      </w:numPr>
    </w:pPr>
    <w:rPr>
      <w:rFonts w:eastAsia="Calibri"/>
    </w:rPr>
  </w:style>
  <w:style w:type="paragraph" w:styleId="ListNumber5">
    <w:name w:val="List Number 5"/>
    <w:basedOn w:val="Normal"/>
    <w:semiHidden/>
    <w:rsid w:val="004F52A8"/>
    <w:pPr>
      <w:numPr>
        <w:numId w:val="14"/>
      </w:numPr>
    </w:pPr>
    <w:rPr>
      <w:rFonts w:eastAsia="Calibri"/>
    </w:rPr>
  </w:style>
  <w:style w:type="paragraph" w:styleId="MessageHeader">
    <w:name w:val="Message Header"/>
    <w:basedOn w:val="Normal"/>
    <w:semiHidden/>
    <w:rsid w:val="004F52A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Calibri" w:hAnsi="Arial" w:cs="Arial"/>
      <w:sz w:val="24"/>
      <w:szCs w:val="24"/>
    </w:rPr>
  </w:style>
  <w:style w:type="paragraph" w:styleId="NormalWeb">
    <w:name w:val="Normal (Web)"/>
    <w:basedOn w:val="Normal"/>
    <w:semiHidden/>
    <w:rsid w:val="004F52A8"/>
    <w:rPr>
      <w:rFonts w:eastAsia="Calibri" w:cs="Times New Roman"/>
      <w:sz w:val="24"/>
      <w:szCs w:val="24"/>
    </w:rPr>
  </w:style>
  <w:style w:type="paragraph" w:styleId="NormalIndent">
    <w:name w:val="Normal Indent"/>
    <w:basedOn w:val="Normal"/>
    <w:semiHidden/>
    <w:rsid w:val="004F52A8"/>
    <w:pPr>
      <w:ind w:left="680"/>
    </w:pPr>
    <w:rPr>
      <w:rFonts w:eastAsia="Calibri"/>
    </w:rPr>
  </w:style>
  <w:style w:type="paragraph" w:styleId="NoteHeading">
    <w:name w:val="Note Heading"/>
    <w:basedOn w:val="Normal"/>
    <w:next w:val="Normal"/>
    <w:semiHidden/>
    <w:rsid w:val="004F52A8"/>
    <w:rPr>
      <w:rFonts w:eastAsia="Calibri"/>
    </w:rPr>
  </w:style>
  <w:style w:type="paragraph" w:styleId="PlainText">
    <w:name w:val="Plain Text"/>
    <w:basedOn w:val="Normal"/>
    <w:semiHidden/>
    <w:rsid w:val="004F52A8"/>
    <w:rPr>
      <w:rFonts w:ascii="Courier New" w:eastAsia="Calibri" w:hAnsi="Courier New" w:cs="Courier New"/>
      <w:szCs w:val="20"/>
    </w:rPr>
  </w:style>
  <w:style w:type="paragraph" w:styleId="Salutation">
    <w:name w:val="Salutation"/>
    <w:basedOn w:val="Normal"/>
    <w:next w:val="Normal"/>
    <w:semiHidden/>
    <w:rsid w:val="004F52A8"/>
    <w:rPr>
      <w:rFonts w:eastAsia="Calibri"/>
    </w:rPr>
  </w:style>
  <w:style w:type="paragraph" w:styleId="Signature">
    <w:name w:val="Signature"/>
    <w:basedOn w:val="Normal"/>
    <w:semiHidden/>
    <w:rsid w:val="004F52A8"/>
    <w:pPr>
      <w:ind w:left="4320"/>
    </w:pPr>
    <w:rPr>
      <w:rFonts w:eastAsia="Calibri"/>
    </w:rPr>
  </w:style>
  <w:style w:type="character" w:styleId="Strong">
    <w:name w:val="Strong"/>
    <w:qFormat/>
    <w:rsid w:val="004F52A8"/>
    <w:rPr>
      <w:rFonts w:cs="Times New Roman"/>
      <w:b/>
      <w:bCs/>
    </w:rPr>
  </w:style>
  <w:style w:type="table" w:styleId="Table3Deffects1">
    <w:name w:val="Table 3D effects 1"/>
    <w:basedOn w:val="TableNormal"/>
    <w:semiHidden/>
    <w:rsid w:val="004F52A8"/>
    <w:pPr>
      <w:bidi/>
      <w:spacing w:line="240" w:lineRule="atLeast"/>
      <w:jc w:val="lowKashida"/>
    </w:pPr>
    <w:rPr>
      <w:rFonts w:eastAsia="Calibri"/>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F52A8"/>
    <w:pPr>
      <w:bidi/>
      <w:spacing w:line="240" w:lineRule="atLeast"/>
      <w:jc w:val="lowKashida"/>
    </w:pPr>
    <w:rPr>
      <w:rFonts w:eastAsia="Calibri"/>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4F52A8"/>
    <w:pPr>
      <w:bidi/>
      <w:spacing w:line="240" w:lineRule="atLeast"/>
      <w:jc w:val="lowKashida"/>
    </w:pPr>
    <w:rPr>
      <w:rFonts w:eastAsia="Calibri"/>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4F52A8"/>
    <w:pPr>
      <w:bidi/>
      <w:spacing w:line="240" w:lineRule="atLeast"/>
      <w:jc w:val="lowKashida"/>
    </w:pPr>
    <w:rPr>
      <w:rFonts w:eastAsia="Calibri"/>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4F52A8"/>
    <w:pPr>
      <w:bidi/>
      <w:spacing w:line="240" w:lineRule="atLeast"/>
      <w:jc w:val="lowKashida"/>
    </w:pPr>
    <w:rPr>
      <w:rFonts w:eastAsia="Calibri"/>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F52A8"/>
    <w:pPr>
      <w:bidi/>
      <w:spacing w:line="240" w:lineRule="atLeast"/>
      <w:jc w:val="lowKashida"/>
    </w:pPr>
    <w:rPr>
      <w:rFonts w:eastAsia="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numbering" w:styleId="ArticleSection">
    <w:name w:val="Outline List 3"/>
    <w:basedOn w:val="NoList"/>
    <w:rsid w:val="004F52A8"/>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2730</Words>
  <Characters>15567</Characters>
  <Application>Microsoft Office Word</Application>
  <DocSecurity>4</DocSecurity>
  <Lines>129</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CCPR/C/SDN/CO/4</vt:lpstr>
      <vt:lpstr>CCPR/C/SDN/CO/4</vt:lpstr>
    </vt:vector>
  </TitlesOfParts>
  <Company>CSD</Company>
  <LinksUpToDate>false</LinksUpToDate>
  <CharactersWithSpaces>18261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CCPR/C/SDN/CO/4</dc:title>
  <dc:subject>MONA ALY, SHAKOUR</dc:subject>
  <dc:creator>SAYED</dc:creator>
  <cp:keywords/>
  <dc:description/>
  <cp:lastModifiedBy>TPS</cp:lastModifiedBy>
  <cp:revision>2</cp:revision>
  <cp:lastPrinted>2014-10-15T13:40:00Z</cp:lastPrinted>
  <dcterms:created xsi:type="dcterms:W3CDTF">2014-10-16T10:40:00Z</dcterms:created>
  <dcterms:modified xsi:type="dcterms:W3CDTF">2014-10-16T10:40:00Z</dcterms:modified>
</cp:coreProperties>
</file>