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9458D" w:rsidP="0049458D">
            <w:pPr>
              <w:bidi w:val="0"/>
              <w:spacing w:after="20"/>
              <w:jc w:val="left"/>
              <w:rPr>
                <w:szCs w:val="20"/>
              </w:rPr>
            </w:pPr>
            <w:r w:rsidRPr="0049458D">
              <w:rPr>
                <w:sz w:val="40"/>
                <w:szCs w:val="20"/>
              </w:rPr>
              <w:t>CAT</w:t>
            </w:r>
            <w:r>
              <w:rPr>
                <w:szCs w:val="20"/>
              </w:rPr>
              <w:t>/OP/4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9458D" w:rsidRDefault="0049458D" w:rsidP="0049458D">
            <w:pPr>
              <w:bidi w:val="0"/>
              <w:spacing w:before="240"/>
              <w:jc w:val="left"/>
            </w:pPr>
            <w:r>
              <w:t>Distr.: General</w:t>
            </w:r>
          </w:p>
          <w:p w:rsidR="0049458D" w:rsidRDefault="0049458D" w:rsidP="0049458D">
            <w:pPr>
              <w:bidi w:val="0"/>
              <w:jc w:val="left"/>
            </w:pPr>
            <w:r>
              <w:t>5 January 2013</w:t>
            </w:r>
          </w:p>
          <w:p w:rsidR="0049458D" w:rsidRDefault="0049458D" w:rsidP="0049458D">
            <w:pPr>
              <w:bidi w:val="0"/>
              <w:jc w:val="left"/>
            </w:pPr>
            <w:r>
              <w:t>Arabic</w:t>
            </w:r>
          </w:p>
          <w:p w:rsidR="00257225" w:rsidRPr="008B4BC6" w:rsidRDefault="0049458D" w:rsidP="0049458D">
            <w:pPr>
              <w:bidi w:val="0"/>
              <w:jc w:val="left"/>
            </w:pPr>
            <w:r>
              <w:t>Original: English</w:t>
            </w:r>
          </w:p>
        </w:tc>
      </w:tr>
    </w:tbl>
    <w:p w:rsidR="0049458D" w:rsidRPr="00950F13" w:rsidRDefault="0049458D" w:rsidP="0049458D">
      <w:pPr>
        <w:spacing w:before="120" w:line="380" w:lineRule="exact"/>
        <w:rPr>
          <w:rFonts w:hint="cs"/>
          <w:b/>
          <w:bCs/>
          <w:sz w:val="26"/>
          <w:szCs w:val="36"/>
          <w:rtl/>
          <w:lang w:bidi="ar-EG"/>
        </w:rPr>
      </w:pPr>
      <w:r w:rsidRPr="00950F13">
        <w:rPr>
          <w:rFonts w:hint="cs"/>
          <w:b/>
          <w:bCs/>
          <w:sz w:val="26"/>
          <w:szCs w:val="36"/>
          <w:rtl/>
          <w:lang w:bidi="ar-EG"/>
        </w:rPr>
        <w:t>اللجنة الفرعية لمنع التعذيب وغيره من ضروب المعاملة</w:t>
      </w:r>
    </w:p>
    <w:p w:rsidR="0049458D" w:rsidRDefault="0049458D" w:rsidP="0049458D">
      <w:pPr>
        <w:spacing w:after="240" w:line="380" w:lineRule="exact"/>
        <w:rPr>
          <w:rFonts w:hint="cs"/>
          <w:sz w:val="26"/>
          <w:szCs w:val="36"/>
          <w:rtl/>
          <w:lang w:bidi="ar-EG"/>
        </w:rPr>
      </w:pPr>
      <w:r w:rsidRPr="00950F13">
        <w:rPr>
          <w:rFonts w:hint="cs"/>
          <w:b/>
          <w:bCs/>
          <w:sz w:val="26"/>
          <w:szCs w:val="36"/>
          <w:rtl/>
          <w:lang w:bidi="ar-EG"/>
        </w:rPr>
        <w:t xml:space="preserve">أو العقوبة القاسية أو </w:t>
      </w:r>
      <w:proofErr w:type="spellStart"/>
      <w:r w:rsidRPr="00950F13">
        <w:rPr>
          <w:rFonts w:hint="cs"/>
          <w:b/>
          <w:bCs/>
          <w:sz w:val="26"/>
          <w:szCs w:val="36"/>
          <w:rtl/>
          <w:lang w:bidi="ar-EG"/>
        </w:rPr>
        <w:t>اللاإنسانية</w:t>
      </w:r>
      <w:proofErr w:type="spellEnd"/>
      <w:r w:rsidRPr="00950F13">
        <w:rPr>
          <w:rFonts w:hint="cs"/>
          <w:b/>
          <w:bCs/>
          <w:sz w:val="26"/>
          <w:szCs w:val="36"/>
          <w:rtl/>
          <w:lang w:bidi="ar-EG"/>
        </w:rPr>
        <w:t xml:space="preserve"> أو المهينة</w:t>
      </w:r>
    </w:p>
    <w:p w:rsidR="0049458D" w:rsidRDefault="0049458D" w:rsidP="0049458D">
      <w:pPr>
        <w:pStyle w:val="HMGA"/>
        <w:rPr>
          <w:rFonts w:hint="cs"/>
          <w:rtl/>
          <w:lang w:val="fr-CH"/>
        </w:rPr>
      </w:pPr>
      <w:r w:rsidRPr="00950F13">
        <w:rPr>
          <w:rFonts w:hint="cs"/>
          <w:rtl/>
          <w:lang w:bidi="ar-EG"/>
        </w:rPr>
        <w:tab/>
      </w:r>
      <w:r w:rsidRPr="00950F13">
        <w:rPr>
          <w:rFonts w:hint="cs"/>
          <w:rtl/>
          <w:lang w:bidi="ar-EG"/>
        </w:rPr>
        <w:tab/>
      </w:r>
      <w:r>
        <w:rPr>
          <w:rFonts w:hint="cs"/>
          <w:rtl/>
          <w:lang w:val="fr-CH"/>
        </w:rPr>
        <w:t>موجز لمناقشة العملية الجارية بشأن تعديل قواعد الأمم المتحدة النموذجية الدنيا لمعاملة السجناء (القواعد النموذجية)</w:t>
      </w:r>
      <w:r w:rsidRPr="00644C91">
        <w:rPr>
          <w:rStyle w:val="FootnoteReference"/>
          <w:b/>
          <w:bCs w:val="0"/>
          <w:sz w:val="20"/>
          <w:vertAlign w:val="baseline"/>
          <w:rtl/>
          <w:lang w:val="fr-CH"/>
        </w:rPr>
        <w:footnoteReference w:customMarkFollows="1" w:id="1"/>
        <w:t>*</w:t>
      </w:r>
    </w:p>
    <w:p w:rsidR="0049458D" w:rsidRPr="00950F13" w:rsidRDefault="0049458D" w:rsidP="0049458D">
      <w:pPr>
        <w:pStyle w:val="HMGA"/>
        <w:rPr>
          <w:rFonts w:hint="cs"/>
          <w:rtl/>
        </w:rPr>
      </w:pPr>
    </w:p>
    <w:p w:rsidR="0049458D" w:rsidRPr="00982D8B" w:rsidRDefault="0049458D">
      <w:pPr>
        <w:spacing w:line="360" w:lineRule="exact"/>
        <w:rPr>
          <w:rFonts w:hint="cs"/>
          <w:sz w:val="36"/>
          <w:szCs w:val="36"/>
          <w:rtl/>
        </w:rPr>
      </w:pPr>
      <w:r w:rsidRPr="00950F13">
        <w:rPr>
          <w:rtl/>
          <w:lang w:bidi="ar-EG"/>
        </w:rPr>
        <w:br w:type="page"/>
      </w:r>
      <w:r>
        <w:rPr>
          <w:rFonts w:hint="cs"/>
          <w:sz w:val="36"/>
          <w:szCs w:val="36"/>
          <w:rtl/>
        </w:rPr>
        <w:t>المحتويات</w:t>
      </w:r>
    </w:p>
    <w:p w:rsidR="0049458D" w:rsidRPr="00E64ED3" w:rsidRDefault="0049458D">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49458D" w:rsidRDefault="0049458D" w:rsidP="0049458D">
      <w:pPr>
        <w:tabs>
          <w:tab w:val="right" w:pos="1021"/>
          <w:tab w:val="left" w:pos="1077"/>
          <w:tab w:val="left" w:pos="1525"/>
          <w:tab w:val="left" w:pos="1842"/>
          <w:tab w:val="left" w:pos="1898"/>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Pr>
          <w:rFonts w:hint="cs"/>
          <w:szCs w:val="28"/>
          <w:rtl/>
          <w:lang w:val="fr-CH"/>
        </w:rPr>
        <w:t>مقدمة</w:t>
      </w:r>
      <w:r>
        <w:rPr>
          <w:rFonts w:hint="cs"/>
          <w:szCs w:val="28"/>
          <w:rtl/>
          <w:lang w:val="fr-CH"/>
        </w:rPr>
        <w:tab/>
      </w:r>
      <w:r>
        <w:rPr>
          <w:rFonts w:hint="cs"/>
          <w:szCs w:val="28"/>
          <w:rtl/>
          <w:lang w:val="fr-CH"/>
        </w:rPr>
        <w:tab/>
        <w:t>1-3</w:t>
      </w:r>
      <w:r w:rsidRPr="00E64ED3">
        <w:rPr>
          <w:rFonts w:hint="cs"/>
          <w:szCs w:val="28"/>
          <w:rtl/>
          <w:lang w:val="fr-CH"/>
        </w:rPr>
        <w:tab/>
      </w:r>
      <w:r>
        <w:rPr>
          <w:rFonts w:hint="cs"/>
          <w:szCs w:val="28"/>
          <w:rtl/>
          <w:lang w:val="fr-CH"/>
        </w:rPr>
        <w:t>3</w:t>
      </w:r>
    </w:p>
    <w:p w:rsidR="0049458D" w:rsidRPr="0049458D" w:rsidRDefault="0049458D" w:rsidP="0049458D">
      <w:pPr>
        <w:tabs>
          <w:tab w:val="right" w:pos="1021"/>
          <w:tab w:val="left" w:pos="1077"/>
          <w:tab w:val="left" w:pos="1525"/>
          <w:tab w:val="left" w:pos="1842"/>
          <w:tab w:val="left" w:pos="1898"/>
          <w:tab w:val="left" w:leader="dot" w:pos="7469"/>
          <w:tab w:val="left" w:pos="7972"/>
          <w:tab w:val="right" w:pos="9638"/>
        </w:tabs>
        <w:spacing w:line="360" w:lineRule="exact"/>
        <w:rPr>
          <w:rFonts w:hint="cs"/>
          <w:sz w:val="28"/>
          <w:szCs w:val="28"/>
          <w:rtl/>
          <w:lang w:val="fr-CH"/>
        </w:rPr>
      </w:pPr>
      <w:r w:rsidRPr="0049458D">
        <w:rPr>
          <w:rFonts w:hint="cs"/>
          <w:sz w:val="28"/>
          <w:szCs w:val="28"/>
          <w:rtl/>
          <w:lang w:val="fr-CH"/>
        </w:rPr>
        <w:tab/>
        <w:t>ثانياً</w:t>
      </w:r>
      <w:r w:rsidRPr="0049458D">
        <w:rPr>
          <w:rFonts w:hint="cs"/>
          <w:sz w:val="28"/>
          <w:szCs w:val="28"/>
          <w:rtl/>
          <w:lang w:val="fr-CH"/>
        </w:rPr>
        <w:tab/>
        <w:t>-</w:t>
      </w:r>
      <w:r w:rsidRPr="0049458D">
        <w:rPr>
          <w:rFonts w:hint="cs"/>
          <w:sz w:val="28"/>
          <w:szCs w:val="28"/>
          <w:rtl/>
          <w:lang w:val="fr-CH"/>
        </w:rPr>
        <w:tab/>
        <w:t>التغييرات المقترحة</w:t>
      </w:r>
      <w:r w:rsidRPr="0049458D">
        <w:rPr>
          <w:rFonts w:hint="cs"/>
          <w:sz w:val="28"/>
          <w:szCs w:val="28"/>
          <w:rtl/>
          <w:lang w:val="fr-CH"/>
        </w:rPr>
        <w:tab/>
      </w:r>
      <w:r w:rsidRPr="0049458D">
        <w:rPr>
          <w:rFonts w:hint="cs"/>
          <w:sz w:val="28"/>
          <w:szCs w:val="28"/>
          <w:rtl/>
          <w:lang w:val="fr-CH"/>
        </w:rPr>
        <w:tab/>
        <w:t>4-25</w:t>
      </w:r>
      <w:r w:rsidRPr="0049458D">
        <w:rPr>
          <w:rFonts w:hint="cs"/>
          <w:sz w:val="28"/>
          <w:szCs w:val="28"/>
          <w:rtl/>
          <w:lang w:val="fr-CH"/>
        </w:rPr>
        <w:tab/>
      </w:r>
      <w:r w:rsidR="003A2014">
        <w:rPr>
          <w:rFonts w:hint="cs"/>
          <w:sz w:val="28"/>
          <w:szCs w:val="28"/>
          <w:rtl/>
          <w:lang w:val="fr-CH"/>
        </w:rPr>
        <w:t>3</w:t>
      </w:r>
    </w:p>
    <w:p w:rsidR="0049458D" w:rsidRPr="0049458D" w:rsidRDefault="0049458D" w:rsidP="0049458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sidRPr="0049458D">
        <w:rPr>
          <w:rFonts w:hint="cs"/>
          <w:sz w:val="28"/>
          <w:szCs w:val="28"/>
          <w:rtl/>
          <w:lang w:val="fr-CH"/>
        </w:rPr>
        <w:tab/>
      </w:r>
      <w:r w:rsidRPr="0049458D">
        <w:rPr>
          <w:rFonts w:hint="cs"/>
          <w:sz w:val="28"/>
          <w:szCs w:val="28"/>
          <w:rtl/>
          <w:lang w:val="fr-CH"/>
        </w:rPr>
        <w:tab/>
      </w:r>
      <w:r w:rsidRPr="0049458D">
        <w:rPr>
          <w:rFonts w:hint="cs"/>
          <w:sz w:val="28"/>
          <w:szCs w:val="28"/>
          <w:rtl/>
          <w:lang w:val="fr-CH"/>
        </w:rPr>
        <w:tab/>
        <w:t>ألف</w:t>
      </w:r>
      <w:r w:rsidRPr="0049458D">
        <w:rPr>
          <w:rFonts w:hint="cs"/>
          <w:sz w:val="28"/>
          <w:szCs w:val="28"/>
          <w:rtl/>
          <w:lang w:val="fr-CH"/>
        </w:rPr>
        <w:tab/>
        <w:t>-</w:t>
      </w:r>
      <w:r w:rsidRPr="0049458D">
        <w:rPr>
          <w:rFonts w:hint="cs"/>
          <w:sz w:val="28"/>
          <w:szCs w:val="28"/>
          <w:rtl/>
          <w:lang w:val="fr-CH"/>
        </w:rPr>
        <w:tab/>
        <w:t>تزويد السجناء بالمعلومات وحقهم في الشكوى</w:t>
      </w:r>
      <w:r w:rsidRPr="0049458D">
        <w:rPr>
          <w:rFonts w:hint="cs"/>
          <w:sz w:val="28"/>
          <w:szCs w:val="28"/>
          <w:rtl/>
          <w:lang w:val="fr-CH"/>
        </w:rPr>
        <w:tab/>
      </w:r>
      <w:r w:rsidRPr="0049458D">
        <w:rPr>
          <w:rFonts w:hint="cs"/>
          <w:sz w:val="28"/>
          <w:szCs w:val="28"/>
          <w:rtl/>
          <w:lang w:val="fr-CH"/>
        </w:rPr>
        <w:tab/>
        <w:t>4-8</w:t>
      </w:r>
      <w:r w:rsidRPr="0049458D">
        <w:rPr>
          <w:rFonts w:hint="cs"/>
          <w:sz w:val="28"/>
          <w:szCs w:val="28"/>
          <w:rtl/>
          <w:lang w:val="fr-CH"/>
        </w:rPr>
        <w:tab/>
      </w:r>
      <w:r w:rsidR="003A2014">
        <w:rPr>
          <w:rFonts w:hint="cs"/>
          <w:sz w:val="28"/>
          <w:szCs w:val="28"/>
          <w:rtl/>
          <w:lang w:val="fr-CH"/>
        </w:rPr>
        <w:t>3</w:t>
      </w:r>
    </w:p>
    <w:p w:rsidR="0049458D" w:rsidRPr="003A2014" w:rsidRDefault="0049458D" w:rsidP="003A2014">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sidRPr="003A2014">
        <w:rPr>
          <w:rFonts w:hint="cs"/>
          <w:sz w:val="28"/>
          <w:szCs w:val="28"/>
          <w:rtl/>
          <w:lang w:val="fr-CH"/>
        </w:rPr>
        <w:tab/>
      </w:r>
      <w:r w:rsidRPr="003A2014">
        <w:rPr>
          <w:rFonts w:hint="cs"/>
          <w:sz w:val="28"/>
          <w:szCs w:val="28"/>
          <w:rtl/>
          <w:lang w:val="fr-CH"/>
        </w:rPr>
        <w:tab/>
      </w:r>
      <w:r w:rsidRPr="003A2014">
        <w:rPr>
          <w:rFonts w:hint="cs"/>
          <w:sz w:val="28"/>
          <w:szCs w:val="28"/>
          <w:rtl/>
          <w:lang w:val="fr-CH"/>
        </w:rPr>
        <w:tab/>
        <w:t>باء</w:t>
      </w:r>
      <w:r w:rsidRPr="003A2014">
        <w:rPr>
          <w:rFonts w:hint="cs"/>
          <w:sz w:val="28"/>
          <w:szCs w:val="28"/>
          <w:rtl/>
          <w:lang w:val="fr-CH"/>
        </w:rPr>
        <w:tab/>
        <w:t>-</w:t>
      </w:r>
      <w:r w:rsidRPr="003A2014">
        <w:rPr>
          <w:rFonts w:hint="cs"/>
          <w:sz w:val="28"/>
          <w:szCs w:val="28"/>
          <w:rtl/>
          <w:lang w:val="fr-CH"/>
        </w:rPr>
        <w:tab/>
      </w:r>
      <w:r w:rsidR="003A2014" w:rsidRPr="003A2014">
        <w:rPr>
          <w:rFonts w:hint="cs"/>
          <w:sz w:val="28"/>
          <w:szCs w:val="28"/>
          <w:rtl/>
          <w:lang w:val="fr-CH"/>
        </w:rPr>
        <w:t>الاتصال بالعالم الخارجي/العلاقات الاجتماعية وخدمات ما بعد الرعاية</w:t>
      </w:r>
      <w:r w:rsidRPr="003A2014">
        <w:rPr>
          <w:rFonts w:hint="cs"/>
          <w:sz w:val="28"/>
          <w:szCs w:val="28"/>
          <w:rtl/>
          <w:lang w:val="fr-CH"/>
        </w:rPr>
        <w:tab/>
      </w:r>
      <w:r w:rsidR="003A2014">
        <w:rPr>
          <w:rFonts w:hint="cs"/>
          <w:sz w:val="28"/>
          <w:szCs w:val="28"/>
          <w:rtl/>
          <w:lang w:val="fr-CH"/>
        </w:rPr>
        <w:tab/>
      </w:r>
      <w:r w:rsidRPr="003A2014">
        <w:rPr>
          <w:rFonts w:hint="cs"/>
          <w:sz w:val="28"/>
          <w:szCs w:val="28"/>
          <w:rtl/>
          <w:lang w:val="fr-CH"/>
        </w:rPr>
        <w:t>9-10</w:t>
      </w:r>
      <w:r w:rsidRPr="003A2014">
        <w:rPr>
          <w:rFonts w:hint="cs"/>
          <w:sz w:val="28"/>
          <w:szCs w:val="28"/>
          <w:rtl/>
          <w:lang w:val="fr-CH"/>
        </w:rPr>
        <w:tab/>
      </w:r>
      <w:r w:rsidR="003A2014" w:rsidRPr="003A2014">
        <w:rPr>
          <w:rFonts w:hint="cs"/>
          <w:sz w:val="28"/>
          <w:szCs w:val="28"/>
          <w:rtl/>
          <w:lang w:val="fr-CH"/>
        </w:rPr>
        <w:t>4</w:t>
      </w:r>
    </w:p>
    <w:p w:rsidR="0049458D" w:rsidRPr="003A2014" w:rsidRDefault="0049458D" w:rsidP="003A2014">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sidRPr="003A2014">
        <w:rPr>
          <w:rFonts w:hint="cs"/>
          <w:sz w:val="28"/>
          <w:szCs w:val="28"/>
          <w:rtl/>
          <w:lang w:val="fr-CH"/>
        </w:rPr>
        <w:tab/>
      </w:r>
      <w:r w:rsidRPr="003A2014">
        <w:rPr>
          <w:rFonts w:hint="cs"/>
          <w:sz w:val="28"/>
          <w:szCs w:val="28"/>
          <w:rtl/>
          <w:lang w:val="fr-CH"/>
        </w:rPr>
        <w:tab/>
      </w:r>
      <w:r w:rsidRPr="003A2014">
        <w:rPr>
          <w:rFonts w:hint="cs"/>
          <w:sz w:val="28"/>
          <w:szCs w:val="28"/>
          <w:rtl/>
          <w:lang w:val="fr-CH"/>
        </w:rPr>
        <w:tab/>
        <w:t>جيم</w:t>
      </w:r>
      <w:r w:rsidRPr="003A2014">
        <w:rPr>
          <w:rFonts w:hint="cs"/>
          <w:sz w:val="28"/>
          <w:szCs w:val="28"/>
          <w:rtl/>
          <w:lang w:val="fr-CH"/>
        </w:rPr>
        <w:tab/>
        <w:t>-</w:t>
      </w:r>
      <w:r w:rsidRPr="003A2014">
        <w:rPr>
          <w:rFonts w:hint="cs"/>
          <w:sz w:val="28"/>
          <w:szCs w:val="28"/>
          <w:rtl/>
          <w:lang w:val="fr-CH"/>
        </w:rPr>
        <w:tab/>
      </w:r>
      <w:r w:rsidR="003A2014" w:rsidRPr="003A2014">
        <w:rPr>
          <w:rFonts w:hint="cs"/>
          <w:sz w:val="28"/>
          <w:szCs w:val="28"/>
          <w:rtl/>
          <w:lang w:val="fr-CH"/>
        </w:rPr>
        <w:t>الدين أو المعتقد</w:t>
      </w:r>
      <w:r w:rsidRPr="003A2014">
        <w:rPr>
          <w:rFonts w:hint="cs"/>
          <w:sz w:val="28"/>
          <w:szCs w:val="28"/>
          <w:rtl/>
          <w:lang w:val="fr-CH"/>
        </w:rPr>
        <w:tab/>
      </w:r>
      <w:r w:rsidRPr="003A2014">
        <w:rPr>
          <w:rFonts w:hint="cs"/>
          <w:sz w:val="28"/>
          <w:szCs w:val="28"/>
          <w:rtl/>
          <w:lang w:val="fr-CH"/>
        </w:rPr>
        <w:tab/>
        <w:t>11-15</w:t>
      </w:r>
      <w:r w:rsidRPr="003A2014">
        <w:rPr>
          <w:rFonts w:hint="cs"/>
          <w:sz w:val="28"/>
          <w:szCs w:val="28"/>
          <w:rtl/>
          <w:lang w:val="fr-CH"/>
        </w:rPr>
        <w:tab/>
      </w:r>
      <w:r w:rsidR="003A2014" w:rsidRPr="003A2014">
        <w:rPr>
          <w:rFonts w:hint="cs"/>
          <w:sz w:val="28"/>
          <w:szCs w:val="28"/>
          <w:rtl/>
          <w:lang w:val="fr-CH"/>
        </w:rPr>
        <w:t>5</w:t>
      </w:r>
    </w:p>
    <w:p w:rsidR="0049458D" w:rsidRPr="003A2014" w:rsidRDefault="0049458D" w:rsidP="003A201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 w:val="28"/>
          <w:szCs w:val="28"/>
          <w:rtl/>
          <w:lang w:val="fr-CH"/>
        </w:rPr>
      </w:pPr>
      <w:r w:rsidRPr="003A2014">
        <w:rPr>
          <w:rFonts w:hint="cs"/>
          <w:sz w:val="28"/>
          <w:szCs w:val="28"/>
          <w:rtl/>
          <w:lang w:val="fr-CH"/>
        </w:rPr>
        <w:tab/>
      </w:r>
      <w:r w:rsidRPr="003A2014">
        <w:rPr>
          <w:rFonts w:hint="cs"/>
          <w:sz w:val="28"/>
          <w:szCs w:val="28"/>
          <w:rtl/>
          <w:lang w:val="fr-CH"/>
        </w:rPr>
        <w:tab/>
      </w:r>
      <w:r w:rsidRPr="003A2014">
        <w:rPr>
          <w:rFonts w:hint="cs"/>
          <w:sz w:val="28"/>
          <w:szCs w:val="28"/>
          <w:rtl/>
          <w:lang w:val="fr-CH"/>
        </w:rPr>
        <w:tab/>
        <w:t>دال</w:t>
      </w:r>
      <w:r w:rsidRPr="003A2014">
        <w:rPr>
          <w:rFonts w:hint="cs"/>
          <w:sz w:val="28"/>
          <w:szCs w:val="28"/>
          <w:rtl/>
          <w:lang w:val="fr-CH"/>
        </w:rPr>
        <w:tab/>
        <w:t>-</w:t>
      </w:r>
      <w:r w:rsidRPr="003A2014">
        <w:rPr>
          <w:rFonts w:hint="cs"/>
          <w:sz w:val="28"/>
          <w:szCs w:val="28"/>
          <w:rtl/>
          <w:lang w:val="fr-CH"/>
        </w:rPr>
        <w:tab/>
      </w:r>
      <w:r w:rsidR="003A2014" w:rsidRPr="003A2014">
        <w:rPr>
          <w:rFonts w:hint="cs"/>
          <w:sz w:val="28"/>
          <w:szCs w:val="28"/>
          <w:rtl/>
          <w:lang w:val="fr-CH"/>
        </w:rPr>
        <w:t>مسائل أخرى</w:t>
      </w:r>
      <w:r w:rsidRPr="003A2014">
        <w:rPr>
          <w:rFonts w:hint="cs"/>
          <w:sz w:val="28"/>
          <w:szCs w:val="28"/>
          <w:rtl/>
          <w:lang w:val="fr-CH"/>
        </w:rPr>
        <w:tab/>
      </w:r>
      <w:r w:rsidRPr="003A2014">
        <w:rPr>
          <w:rFonts w:hint="cs"/>
          <w:sz w:val="28"/>
          <w:szCs w:val="28"/>
          <w:rtl/>
          <w:lang w:val="fr-CH"/>
        </w:rPr>
        <w:tab/>
        <w:t>16-24</w:t>
      </w:r>
      <w:r w:rsidRPr="003A2014">
        <w:rPr>
          <w:rFonts w:hint="cs"/>
          <w:sz w:val="28"/>
          <w:szCs w:val="28"/>
          <w:rtl/>
          <w:lang w:val="fr-CH"/>
        </w:rPr>
        <w:tab/>
      </w:r>
      <w:r w:rsidR="003A2014" w:rsidRPr="003A2014">
        <w:rPr>
          <w:rFonts w:hint="cs"/>
          <w:sz w:val="28"/>
          <w:szCs w:val="28"/>
          <w:rtl/>
          <w:lang w:val="fr-CH"/>
        </w:rPr>
        <w:t>8</w:t>
      </w:r>
    </w:p>
    <w:p w:rsidR="0049458D" w:rsidRPr="000D62BD" w:rsidRDefault="0049458D">
      <w:pPr>
        <w:rPr>
          <w:rFonts w:hint="cs"/>
        </w:rPr>
      </w:pPr>
    </w:p>
    <w:p w:rsidR="0049458D" w:rsidRDefault="0049458D" w:rsidP="0049458D">
      <w:pPr>
        <w:spacing w:line="360" w:lineRule="exact"/>
        <w:rPr>
          <w:rFonts w:hint="cs"/>
          <w:rtl/>
          <w:lang w:bidi="ar-EG"/>
        </w:rPr>
      </w:pPr>
    </w:p>
    <w:p w:rsidR="0049458D" w:rsidRDefault="0049458D" w:rsidP="001D61E2">
      <w:pPr>
        <w:pStyle w:val="HChGA"/>
        <w:spacing w:before="120"/>
        <w:rPr>
          <w:lang w:val="fr-CH"/>
        </w:rPr>
      </w:pPr>
      <w:r>
        <w:rPr>
          <w:rtl/>
          <w:lang w:val="fr-CH"/>
        </w:rPr>
        <w:br w:type="page"/>
      </w:r>
      <w:r>
        <w:rPr>
          <w:rFonts w:hint="cs"/>
          <w:rtl/>
          <w:lang w:val="fr-CH"/>
        </w:rPr>
        <w:tab/>
        <w:t>أولاً-</w:t>
      </w:r>
      <w:r>
        <w:rPr>
          <w:rFonts w:hint="cs"/>
          <w:rtl/>
          <w:lang w:val="fr-CH"/>
        </w:rPr>
        <w:tab/>
        <w:t>مقدمة</w:t>
      </w:r>
    </w:p>
    <w:p w:rsidR="0049458D" w:rsidRDefault="0049458D" w:rsidP="0049458D">
      <w:pPr>
        <w:pStyle w:val="SingleTxtGA"/>
        <w:rPr>
          <w:rFonts w:hint="cs"/>
          <w:rtl/>
          <w:lang w:val="fr-CH"/>
        </w:rPr>
      </w:pPr>
      <w:r>
        <w:rPr>
          <w:rFonts w:hint="cs"/>
          <w:rtl/>
          <w:lang w:val="fr-CH"/>
        </w:rPr>
        <w:t>1-</w:t>
      </w:r>
      <w:r>
        <w:rPr>
          <w:rFonts w:hint="cs"/>
          <w:rtl/>
          <w:lang w:val="fr-CH"/>
        </w:rPr>
        <w:tab/>
        <w:t xml:space="preserve">توجز هذه الوثيقة المناقشات التي أجراها الفريق العامل المعني بالقواعد النموذجية الدنيا لمعاملة السجناء التابع للجنة الفرعية لمنع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والتي تتناول فيها العملية الجارية لتعديل قواعد الأمم المتحدة النموذجية الدنيا لمعاملة السجناء (القواعد النموذجية).</w:t>
      </w:r>
    </w:p>
    <w:p w:rsidR="0049458D" w:rsidRDefault="0049458D" w:rsidP="0049458D">
      <w:pPr>
        <w:pStyle w:val="SingleTxtGA"/>
        <w:rPr>
          <w:rFonts w:hint="cs"/>
          <w:rtl/>
          <w:lang w:val="fr-CH"/>
        </w:rPr>
      </w:pPr>
      <w:r>
        <w:rPr>
          <w:rFonts w:hint="cs"/>
          <w:rtl/>
          <w:lang w:val="fr-CH"/>
        </w:rPr>
        <w:t>2-</w:t>
      </w:r>
      <w:r>
        <w:rPr>
          <w:rFonts w:hint="cs"/>
          <w:rtl/>
          <w:lang w:val="fr-CH"/>
        </w:rPr>
        <w:tab/>
        <w:t xml:space="preserve">وترحب اللجنة الفرعية بالخطط الرامية إلى إدخال تعديلات محددة على هذه القواعد. وبإمكان اللجنة الفرعية، من منطلق تجربتها وخبرتها، أن تنتهز هذه الفرصة الثمينة للإعراب عن شواغلها إزاء عدة جوانب من القواعد النموذجية ذات الصلة بولايتها. </w:t>
      </w:r>
    </w:p>
    <w:p w:rsidR="0049458D" w:rsidRDefault="0049458D" w:rsidP="0049458D">
      <w:pPr>
        <w:pStyle w:val="SingleTxtGA"/>
        <w:rPr>
          <w:rFonts w:hint="cs"/>
          <w:rtl/>
          <w:lang w:val="fr-CH"/>
        </w:rPr>
      </w:pPr>
      <w:r>
        <w:rPr>
          <w:rFonts w:hint="cs"/>
          <w:rtl/>
          <w:lang w:val="fr-CH"/>
        </w:rPr>
        <w:t>3-</w:t>
      </w:r>
      <w:r>
        <w:rPr>
          <w:rFonts w:hint="cs"/>
          <w:rtl/>
          <w:lang w:val="fr-CH"/>
        </w:rPr>
        <w:tab/>
        <w:t xml:space="preserve">وتقدَّم النقاط التالية كأمثلة بحتة، بيد أنها ترمي إلى تأكيد الحاجة الملحة والعاجلة إلى إدخال بعض التغييرات والإضافات على القواعد النموذجية بغية تضمينها نهجاً لحقوق الإنسان. وترى اللجنة الفرعية أن القواعد النموذجية ينبغي أن تركز على الحاجة إلى ضمان حقوق الإنسان باتخاذ تدابير مناسبة عندما يُحرَم أشخاص من حريتهم. </w:t>
      </w:r>
    </w:p>
    <w:p w:rsidR="0049458D" w:rsidRDefault="0049458D" w:rsidP="0049458D">
      <w:pPr>
        <w:pStyle w:val="HChGA"/>
        <w:rPr>
          <w:rFonts w:hint="cs"/>
          <w:rtl/>
          <w:lang w:val="fr-CH"/>
        </w:rPr>
      </w:pPr>
      <w:r>
        <w:rPr>
          <w:rFonts w:hint="cs"/>
          <w:rtl/>
          <w:lang w:val="fr-CH"/>
        </w:rPr>
        <w:tab/>
        <w:t>ثانياً-</w:t>
      </w:r>
      <w:r>
        <w:rPr>
          <w:rFonts w:hint="cs"/>
          <w:rtl/>
          <w:lang w:val="fr-CH"/>
        </w:rPr>
        <w:tab/>
        <w:t>التغييرات المقترحة</w:t>
      </w:r>
    </w:p>
    <w:p w:rsidR="0049458D" w:rsidRDefault="0049458D" w:rsidP="00E32E78">
      <w:pPr>
        <w:pStyle w:val="H1GA"/>
        <w:rPr>
          <w:rFonts w:hint="cs"/>
          <w:rtl/>
          <w:lang w:val="fr-CH"/>
        </w:rPr>
      </w:pPr>
      <w:r>
        <w:rPr>
          <w:rFonts w:hint="cs"/>
          <w:rtl/>
          <w:lang w:val="fr-CH"/>
        </w:rPr>
        <w:tab/>
        <w:t>ألف-</w:t>
      </w:r>
      <w:r>
        <w:rPr>
          <w:rFonts w:hint="cs"/>
          <w:rtl/>
          <w:lang w:val="fr-CH"/>
        </w:rPr>
        <w:tab/>
        <w:t>تزويد السجناء بالمعلومات وحقهم في الشكوى</w:t>
      </w:r>
    </w:p>
    <w:p w:rsidR="0049458D" w:rsidRDefault="0049458D" w:rsidP="00BB7AE1">
      <w:pPr>
        <w:pStyle w:val="SingleTxtGA"/>
        <w:rPr>
          <w:rFonts w:hint="cs"/>
          <w:rtl/>
          <w:lang w:val="fr-CH"/>
        </w:rPr>
      </w:pPr>
      <w:r>
        <w:rPr>
          <w:rFonts w:hint="cs"/>
          <w:rtl/>
          <w:lang w:val="fr-CH"/>
        </w:rPr>
        <w:t>4-</w:t>
      </w:r>
      <w:r>
        <w:rPr>
          <w:rFonts w:hint="cs"/>
          <w:rtl/>
          <w:lang w:val="fr-CH"/>
        </w:rPr>
        <w:tab/>
        <w:t xml:space="preserve">لا تعترف القواعد النموذجية بالحق في التمثيل القانوني، وفقاً للإجراءات القانونية الواجبة. وترى اللجنة الفرعية أن الحصول على التمثيل القانوني شرط أساسي، سواء لحماية حقوق السجناء الطبيعية (التي تشمل الحصول على الغذاء والمسكن المناسبين وتلقي الزيارات والحصول على الخدمات) أم لمد السجناء بمعلومات إضافية عن احتجازهم وطرائق إِنفاذ حقوقهم. </w:t>
      </w:r>
      <w:r w:rsidR="00BB7AE1">
        <w:rPr>
          <w:rFonts w:hint="cs"/>
          <w:rtl/>
          <w:lang w:val="fr-CH"/>
        </w:rPr>
        <w:t>ف</w:t>
      </w:r>
      <w:r>
        <w:rPr>
          <w:rFonts w:hint="cs"/>
          <w:rtl/>
          <w:lang w:val="fr-CH"/>
        </w:rPr>
        <w:t xml:space="preserve">ينبغي أن يحصل جميع السجناء على التمثيل القانوني بغض النظر عما إذا كان احتجازهم سابقاً للمحاكمة أو بعد الإدانة (انظر القاعدة 35). </w:t>
      </w:r>
    </w:p>
    <w:p w:rsidR="0049458D" w:rsidRDefault="0049458D" w:rsidP="0049458D">
      <w:pPr>
        <w:pStyle w:val="SingleTxtGA"/>
        <w:rPr>
          <w:rFonts w:hint="cs"/>
          <w:rtl/>
          <w:lang w:val="fr-CH"/>
        </w:rPr>
      </w:pPr>
      <w:r>
        <w:rPr>
          <w:rFonts w:hint="cs"/>
          <w:rtl/>
          <w:lang w:val="fr-CH"/>
        </w:rPr>
        <w:t>5-</w:t>
      </w:r>
      <w:r>
        <w:rPr>
          <w:rFonts w:hint="cs"/>
          <w:rtl/>
          <w:lang w:val="fr-CH"/>
        </w:rPr>
        <w:tab/>
        <w:t xml:space="preserve">ونطاق الحق في التمثيل القانوني هام جداً عندما يتعلق الأمر بالحالات المرتبطة بالسجن. وينبغي توفير هذا التمثيل منذ بداية احتجاز الشخص، خاصة وأن هذا الضمان يتجاوز مجرد تقديم المشورة إلى السجين، حيث يمكن للمحامي الاطلاع على الوضع المادي للمحتجز أثناء زيارته. </w:t>
      </w:r>
    </w:p>
    <w:p w:rsidR="0049458D" w:rsidRDefault="0049458D" w:rsidP="0049458D">
      <w:pPr>
        <w:pStyle w:val="SingleTxtGA"/>
        <w:rPr>
          <w:rFonts w:hint="cs"/>
          <w:rtl/>
          <w:lang w:val="fr-CH"/>
        </w:rPr>
      </w:pPr>
      <w:r>
        <w:rPr>
          <w:rFonts w:hint="cs"/>
          <w:rtl/>
          <w:lang w:val="fr-CH"/>
        </w:rPr>
        <w:t>6-</w:t>
      </w:r>
      <w:r>
        <w:rPr>
          <w:rFonts w:hint="cs"/>
          <w:rtl/>
          <w:lang w:val="fr-CH"/>
        </w:rPr>
        <w:tab/>
        <w:t xml:space="preserve">وعند تقديم شكوى، يجب أن يُمكَّن السجناء من المثول أمام قاض أو أي سلطة قضائية مختصة ومستقلة، للنظر في شكواهم. وهذا مهم بصفة خاصة إذا لم تُسوَّ المشكلة عن طريق تقديم شكوى إلى إدارة السجن. </w:t>
      </w:r>
    </w:p>
    <w:p w:rsidR="0049458D" w:rsidRDefault="0049458D" w:rsidP="0049458D">
      <w:pPr>
        <w:pStyle w:val="SingleTxtGA"/>
        <w:rPr>
          <w:rFonts w:hint="cs"/>
          <w:rtl/>
          <w:lang w:val="fr-CH"/>
        </w:rPr>
      </w:pPr>
      <w:r>
        <w:rPr>
          <w:rFonts w:hint="cs"/>
          <w:rtl/>
          <w:lang w:val="fr-CH"/>
        </w:rPr>
        <w:t>7-</w:t>
      </w:r>
      <w:r>
        <w:rPr>
          <w:rFonts w:hint="cs"/>
          <w:rtl/>
          <w:lang w:val="fr-CH"/>
        </w:rPr>
        <w:tab/>
        <w:t xml:space="preserve">وينبغي أن تتخذ التدابير الوقائية لتفادي أي نوع من الانتقام - بما في ذلك من جانب النزلاء الآخرين </w:t>
      </w:r>
      <w:r w:rsidR="00BB7AE1">
        <w:rPr>
          <w:rFonts w:hint="cs"/>
          <w:rtl/>
          <w:lang w:val="fr-CH"/>
        </w:rPr>
        <w:t>-</w:t>
      </w:r>
      <w:r>
        <w:rPr>
          <w:rFonts w:hint="cs"/>
          <w:rtl/>
          <w:lang w:val="fr-CH"/>
        </w:rPr>
        <w:t xml:space="preserve"> بسبب تقديم شكاوى أو رفع قضايا ضد إدارة السجن.</w:t>
      </w:r>
    </w:p>
    <w:p w:rsidR="0049458D" w:rsidRDefault="0049458D" w:rsidP="0049458D">
      <w:pPr>
        <w:pStyle w:val="SingleTxtGA"/>
        <w:rPr>
          <w:rFonts w:hint="cs"/>
          <w:rtl/>
          <w:lang w:val="fr-CH"/>
        </w:rPr>
      </w:pPr>
      <w:r w:rsidRPr="00BB7AE1">
        <w:rPr>
          <w:rFonts w:hint="cs"/>
          <w:spacing w:val="-4"/>
          <w:rtl/>
          <w:lang w:val="fr-CH"/>
        </w:rPr>
        <w:t>8-</w:t>
      </w:r>
      <w:r w:rsidRPr="00BB7AE1">
        <w:rPr>
          <w:rFonts w:hint="cs"/>
          <w:spacing w:val="-4"/>
          <w:rtl/>
          <w:lang w:val="fr-CH"/>
        </w:rPr>
        <w:tab/>
        <w:t>وفي ضوء التطورات اللاحقة الواردة في القاعدة 3-6 من قواعد طوكيو، والمبدأين</w:t>
      </w:r>
      <w:r>
        <w:rPr>
          <w:rFonts w:hint="cs"/>
          <w:rtl/>
          <w:lang w:val="fr-CH"/>
        </w:rPr>
        <w:t xml:space="preserve"> 3 و4 من المبادئ الأساسية بشأن استقلال السلطة القضائية</w:t>
      </w:r>
      <w:r>
        <w:rPr>
          <w:rFonts w:hint="cs"/>
          <w:vertAlign w:val="superscript"/>
          <w:rtl/>
          <w:lang w:val="fr-CH"/>
        </w:rPr>
        <w:t>(</w:t>
      </w:r>
      <w:r>
        <w:rPr>
          <w:rStyle w:val="FootnoteReference"/>
          <w:rtl/>
          <w:lang w:val="fr-CH"/>
        </w:rPr>
        <w:footnoteReference w:id="2"/>
      </w:r>
      <w:r>
        <w:rPr>
          <w:rFonts w:hint="cs"/>
          <w:vertAlign w:val="superscript"/>
          <w:rtl/>
          <w:lang w:val="fr-CH"/>
        </w:rPr>
        <w:t>)</w:t>
      </w:r>
      <w:r>
        <w:rPr>
          <w:rFonts w:hint="cs"/>
          <w:rtl/>
          <w:lang w:val="fr-CH"/>
        </w:rPr>
        <w:t>، والمادة 13(ب) و(ج) من المبادئ الأساسية بشأن دور المحامين</w:t>
      </w:r>
      <w:r>
        <w:rPr>
          <w:rFonts w:hint="cs"/>
          <w:vertAlign w:val="superscript"/>
          <w:rtl/>
          <w:lang w:val="fr-CH"/>
        </w:rPr>
        <w:t>(</w:t>
      </w:r>
      <w:r>
        <w:rPr>
          <w:rStyle w:val="FootnoteReference"/>
          <w:rtl/>
          <w:lang w:val="fr-CH"/>
        </w:rPr>
        <w:footnoteReference w:id="3"/>
      </w:r>
      <w:r>
        <w:rPr>
          <w:rFonts w:hint="cs"/>
          <w:vertAlign w:val="superscript"/>
          <w:rtl/>
          <w:lang w:val="fr-CH"/>
        </w:rPr>
        <w:t>)</w:t>
      </w:r>
      <w:r>
        <w:rPr>
          <w:rFonts w:hint="cs"/>
          <w:rtl/>
          <w:lang w:val="fr-CH"/>
        </w:rPr>
        <w:t>، والمبدأ 33 من مجموعة المبادئ المتعلقة بحماية جميع الأشخاص الذين يتعرضون لأي شكل من أشكال الاحتجاز أو السجن، وعمل اللجنة الفرعية بشأن الحاجة إلى "الضمانات الإجرائية والضمانات المتعلقة بالمحاكمة العادلة ذات الصلة بالاحتجاز"، و"مفهوم المنع"</w:t>
      </w:r>
      <w:r>
        <w:rPr>
          <w:rFonts w:hint="cs"/>
          <w:vertAlign w:val="superscript"/>
          <w:rtl/>
          <w:lang w:val="fr-CH"/>
        </w:rPr>
        <w:t>(</w:t>
      </w:r>
      <w:r>
        <w:rPr>
          <w:rStyle w:val="FootnoteReference"/>
          <w:rtl/>
          <w:lang w:val="fr-CH"/>
        </w:rPr>
        <w:footnoteReference w:id="4"/>
      </w:r>
      <w:r>
        <w:rPr>
          <w:rFonts w:hint="cs"/>
          <w:vertAlign w:val="superscript"/>
          <w:rtl/>
          <w:lang w:val="fr-CH"/>
        </w:rPr>
        <w:t>)</w:t>
      </w:r>
      <w:r>
        <w:rPr>
          <w:rFonts w:hint="cs"/>
          <w:rtl/>
          <w:lang w:val="fr-CH"/>
        </w:rPr>
        <w:t xml:space="preserve"> وما لعدم وجود إطار قانوني مناسب من أثر ضار - من الناحية التنظيمية والإجرائية على السواء، - على حماية حقوق السجناء واحترامها</w:t>
      </w:r>
      <w:r>
        <w:rPr>
          <w:rFonts w:hint="cs"/>
          <w:vertAlign w:val="superscript"/>
          <w:rtl/>
          <w:lang w:val="fr-CH"/>
        </w:rPr>
        <w:t>(</w:t>
      </w:r>
      <w:r>
        <w:rPr>
          <w:rStyle w:val="FootnoteReference"/>
          <w:rtl/>
          <w:lang w:val="fr-CH"/>
        </w:rPr>
        <w:footnoteReference w:id="5"/>
      </w:r>
      <w:r>
        <w:rPr>
          <w:rFonts w:hint="cs"/>
          <w:vertAlign w:val="superscript"/>
          <w:rtl/>
          <w:lang w:val="fr-CH"/>
        </w:rPr>
        <w:t>)</w:t>
      </w:r>
      <w:r>
        <w:rPr>
          <w:rFonts w:hint="cs"/>
          <w:rtl/>
          <w:lang w:val="fr-CH"/>
        </w:rPr>
        <w:t>، تطلب اللجنة الفرعية إجراء التعديلات التالية:</w:t>
      </w:r>
    </w:p>
    <w:p w:rsidR="0049458D" w:rsidRDefault="0049458D" w:rsidP="0049458D">
      <w:pPr>
        <w:pStyle w:val="SingleTxtGA"/>
        <w:rPr>
          <w:rFonts w:hint="cs"/>
          <w:rtl/>
          <w:lang w:val="fr-CH"/>
        </w:rPr>
      </w:pPr>
      <w:r>
        <w:rPr>
          <w:rFonts w:hint="cs"/>
          <w:rtl/>
          <w:lang w:val="fr-CH"/>
        </w:rPr>
        <w:tab/>
        <w:t>(أ)</w:t>
      </w:r>
      <w:r>
        <w:rPr>
          <w:rFonts w:hint="cs"/>
          <w:rtl/>
          <w:lang w:val="fr-CH"/>
        </w:rPr>
        <w:tab/>
        <w:t xml:space="preserve">يجب أن يتجلى تطور المعايير الدولية في إدخال تغييرات على القاعدة 35 من القواعد النموذجية بما يعكس عدم اقتصار حقوق السجناء في التمثيل القانوني وفي الاحتكام إلى القضاء على المحاكمة العادلة فحسب، بل أيضاً على حماية الحقوق الخاصة بالسجناء ذات الصلة بنظام الاحتجاز وظروفه؛ </w:t>
      </w:r>
    </w:p>
    <w:p w:rsidR="0049458D" w:rsidRDefault="0049458D" w:rsidP="0049458D">
      <w:pPr>
        <w:pStyle w:val="SingleTxtGA"/>
        <w:rPr>
          <w:rFonts w:hint="cs"/>
          <w:rtl/>
          <w:lang w:val="fr-CH"/>
        </w:rPr>
      </w:pPr>
      <w:r>
        <w:rPr>
          <w:rFonts w:hint="cs"/>
          <w:rtl/>
          <w:lang w:val="fr-CH"/>
        </w:rPr>
        <w:tab/>
        <w:t>(ب)</w:t>
      </w:r>
      <w:r>
        <w:rPr>
          <w:rFonts w:hint="cs"/>
          <w:rtl/>
          <w:lang w:val="fr-CH"/>
        </w:rPr>
        <w:tab/>
        <w:t>ينبغي أن تضمن هذه الحماية تطب</w:t>
      </w:r>
      <w:r w:rsidR="00BB7AE1">
        <w:rPr>
          <w:rFonts w:hint="cs"/>
          <w:rtl/>
          <w:lang w:val="fr-CH"/>
        </w:rPr>
        <w:t>ي</w:t>
      </w:r>
      <w:r>
        <w:rPr>
          <w:rFonts w:hint="cs"/>
          <w:rtl/>
          <w:lang w:val="fr-CH"/>
        </w:rPr>
        <w:t xml:space="preserve">ق قواعدَ الإجراءات القانونية الواجبة على كل من المتهمين والمدانين. وينبغي اتخاذ التدابير الضرورية لتوفير المساعدة القانونية للسجناء - سواء أكانوا محتجزين رهن المحاكمة أم بعد الإدانة - ولا </w:t>
      </w:r>
      <w:proofErr w:type="spellStart"/>
      <w:r>
        <w:rPr>
          <w:rFonts w:hint="cs"/>
          <w:rtl/>
          <w:lang w:val="fr-CH"/>
        </w:rPr>
        <w:t>سيما</w:t>
      </w:r>
      <w:proofErr w:type="spellEnd"/>
      <w:r>
        <w:rPr>
          <w:rFonts w:hint="cs"/>
          <w:rtl/>
          <w:lang w:val="fr-CH"/>
        </w:rPr>
        <w:t xml:space="preserve"> إذا كانوا في وضع لا يمكنهم من دفع أتعاب المحامي؛</w:t>
      </w:r>
    </w:p>
    <w:p w:rsidR="0049458D" w:rsidRDefault="0049458D" w:rsidP="00BB7AE1">
      <w:pPr>
        <w:pStyle w:val="SingleTxtGA"/>
        <w:rPr>
          <w:rFonts w:hint="cs"/>
          <w:rtl/>
          <w:lang w:val="fr-CH"/>
        </w:rPr>
      </w:pPr>
      <w:r>
        <w:rPr>
          <w:rFonts w:hint="cs"/>
          <w:rtl/>
          <w:lang w:val="fr-CH"/>
        </w:rPr>
        <w:tab/>
        <w:t>(ج)</w:t>
      </w:r>
      <w:r>
        <w:rPr>
          <w:rFonts w:hint="cs"/>
          <w:rtl/>
          <w:lang w:val="fr-CH"/>
        </w:rPr>
        <w:tab/>
        <w:t>ينبغي أن تقر القواعد النموذجية بالتخصص الشديد لقضايا السجون وبوجوب توفير خبرة محامين يختلفون عن المحامين الذين يُوَكَّلون في قضايا الدفاع الجنائي.</w:t>
      </w:r>
    </w:p>
    <w:p w:rsidR="0049458D" w:rsidRDefault="0049458D" w:rsidP="0049458D">
      <w:pPr>
        <w:pStyle w:val="H1GA"/>
        <w:rPr>
          <w:rFonts w:hint="cs"/>
          <w:rtl/>
          <w:lang w:val="fr-CH"/>
        </w:rPr>
      </w:pPr>
      <w:r>
        <w:rPr>
          <w:rFonts w:hint="cs"/>
          <w:rtl/>
          <w:lang w:val="fr-CH"/>
        </w:rPr>
        <w:tab/>
        <w:t>باء-</w:t>
      </w:r>
      <w:r>
        <w:rPr>
          <w:rFonts w:hint="cs"/>
          <w:rtl/>
          <w:lang w:val="fr-CH"/>
        </w:rPr>
        <w:tab/>
        <w:t>الاتصال بالعالم الخارجي/العلاقات الاجتماعية وخدمات ما بعد الرعاية</w:t>
      </w:r>
    </w:p>
    <w:p w:rsidR="0049458D" w:rsidRDefault="0049458D" w:rsidP="0049458D">
      <w:pPr>
        <w:pStyle w:val="SingleTxtGA"/>
        <w:rPr>
          <w:rFonts w:hint="cs"/>
          <w:rtl/>
          <w:lang w:val="fr-CH"/>
        </w:rPr>
      </w:pPr>
      <w:r>
        <w:rPr>
          <w:rFonts w:hint="cs"/>
          <w:rtl/>
          <w:lang w:val="fr-CH"/>
        </w:rPr>
        <w:t>9-</w:t>
      </w:r>
      <w:r>
        <w:rPr>
          <w:rFonts w:hint="cs"/>
          <w:rtl/>
          <w:lang w:val="fr-CH"/>
        </w:rPr>
        <w:tab/>
        <w:t xml:space="preserve">بالرغم من أن القاعدة 37 من القواعد النموذجية </w:t>
      </w:r>
      <w:proofErr w:type="spellStart"/>
      <w:r>
        <w:rPr>
          <w:rFonts w:hint="cs"/>
          <w:rtl/>
          <w:lang w:val="fr-CH"/>
        </w:rPr>
        <w:t>تنص</w:t>
      </w:r>
      <w:proofErr w:type="spellEnd"/>
      <w:r>
        <w:rPr>
          <w:rFonts w:hint="cs"/>
          <w:rtl/>
          <w:lang w:val="fr-CH"/>
        </w:rPr>
        <w:t xml:space="preserve"> على الاتصال بالعالم الخارجي، فإن استخدام لفظ "يُسمح" تحديداً في نصها يشير إلى نهج تقييدي. وينبغي أن يُعتبر الاتصال بالعالم الخارجي عنصراً أساسياً يُشجَّع عليه بدل أن يُسمَح </w:t>
      </w:r>
      <w:proofErr w:type="spellStart"/>
      <w:r>
        <w:rPr>
          <w:rFonts w:hint="cs"/>
          <w:rtl/>
          <w:lang w:val="fr-CH"/>
        </w:rPr>
        <w:t>به</w:t>
      </w:r>
      <w:proofErr w:type="spellEnd"/>
      <w:r>
        <w:rPr>
          <w:rFonts w:hint="cs"/>
          <w:rtl/>
          <w:lang w:val="fr-CH"/>
        </w:rPr>
        <w:t>.</w:t>
      </w:r>
    </w:p>
    <w:p w:rsidR="0049458D" w:rsidRDefault="0049458D" w:rsidP="0049458D">
      <w:pPr>
        <w:pStyle w:val="SingleTxtGA"/>
        <w:rPr>
          <w:rFonts w:hint="cs"/>
          <w:rtl/>
          <w:lang w:val="fr-CH"/>
        </w:rPr>
      </w:pPr>
      <w:r>
        <w:rPr>
          <w:rFonts w:hint="cs"/>
          <w:rtl/>
          <w:lang w:val="fr-CH"/>
        </w:rPr>
        <w:t>10-</w:t>
      </w:r>
      <w:r>
        <w:rPr>
          <w:rFonts w:hint="cs"/>
          <w:rtl/>
          <w:lang w:val="fr-CH"/>
        </w:rPr>
        <w:tab/>
        <w:t xml:space="preserve">ومع مراعاة المادة 23(1) من العهد الدولي الخاص بالحقوق المدنية والسياسية، والمواد 9 و10 و20 و21 من اتفاقية حقوق الطفل، والمادتين 18 و25 من الميثاق الأفريقي لحقوق الإنسان والشعوب، والمادة 9 من اتفاقية حماية حقوق الإنسان والحريات الأساسية لمجلس أوروبا، والمادة 17 من الميثاق العربي والقاعدة 28 من قواعد بانكوك، تطلب اللجنة الفرعية تعديل القواعد النموذجية على النحو التالي: </w:t>
      </w:r>
    </w:p>
    <w:p w:rsidR="0049458D" w:rsidRDefault="0049458D" w:rsidP="0049458D">
      <w:pPr>
        <w:pStyle w:val="SingleTxtGA"/>
        <w:rPr>
          <w:rFonts w:hint="cs"/>
          <w:rtl/>
          <w:lang w:val="fr-CH"/>
        </w:rPr>
      </w:pPr>
      <w:r>
        <w:rPr>
          <w:rFonts w:hint="cs"/>
          <w:rtl/>
          <w:lang w:val="fr-CH"/>
        </w:rPr>
        <w:tab/>
        <w:t>(أ)</w:t>
      </w:r>
      <w:r>
        <w:rPr>
          <w:rFonts w:hint="cs"/>
          <w:rtl/>
          <w:lang w:val="fr-CH"/>
        </w:rPr>
        <w:tab/>
        <w:t>ينبغي لإدارة السجن أن تشجع الاتصال بين السجناء وأقاربهم وأصدقائهم، ما دام لا يوجد اعتراض منطقي/مبرَّر على القيام بذلك. ويجب أن تُجرى الاتصالات على فترات منتظمة بالمراسلة أو بالهاتف أو بأي وسائل اتصال أخرى، وبالزيارات. وعندما يزور السجينَ شريكه</w:t>
      </w:r>
      <w:r w:rsidR="00BB7AE1">
        <w:rPr>
          <w:rFonts w:hint="cs"/>
          <w:rtl/>
          <w:lang w:val="fr-CH"/>
        </w:rPr>
        <w:t>ُ</w:t>
      </w:r>
      <w:r>
        <w:rPr>
          <w:rFonts w:hint="cs"/>
          <w:rtl/>
          <w:lang w:val="fr-CH"/>
        </w:rPr>
        <w:t>/زوجُه أو أحدُ أفراد أسرته، ينبغي أن يُسمح بالاتصال البدني؛</w:t>
      </w:r>
    </w:p>
    <w:p w:rsidR="0049458D" w:rsidRDefault="0049458D" w:rsidP="0049458D">
      <w:pPr>
        <w:pStyle w:val="SingleTxtGA"/>
        <w:rPr>
          <w:rFonts w:hint="cs"/>
          <w:rtl/>
          <w:lang w:val="fr-CH"/>
        </w:rPr>
      </w:pPr>
      <w:r>
        <w:rPr>
          <w:rFonts w:hint="cs"/>
          <w:rtl/>
          <w:lang w:val="fr-CH"/>
        </w:rPr>
        <w:tab/>
        <w:t>(ب)</w:t>
      </w:r>
      <w:r>
        <w:rPr>
          <w:rFonts w:hint="cs"/>
          <w:rtl/>
          <w:lang w:val="fr-CH"/>
        </w:rPr>
        <w:tab/>
        <w:t xml:space="preserve">ينبغي لإدارة السجن أن تهيئ ظروفاً لائقة للزيارات تكفل للسجناء إمكانية الحفاظ على العلاقات الأسرية وتعزيزها بطريقة طبيعية دون أي تمييز. وينبغي إجراء عمليات تفتيش الزوار بطريقة تحترم الكرامة البشرية وأن يقوم </w:t>
      </w:r>
      <w:proofErr w:type="spellStart"/>
      <w:r>
        <w:rPr>
          <w:rFonts w:hint="cs"/>
          <w:rtl/>
          <w:lang w:val="fr-CH"/>
        </w:rPr>
        <w:t>بها</w:t>
      </w:r>
      <w:proofErr w:type="spellEnd"/>
      <w:r>
        <w:rPr>
          <w:rFonts w:hint="cs"/>
          <w:rtl/>
          <w:lang w:val="fr-CH"/>
        </w:rPr>
        <w:t xml:space="preserve"> موظفون مؤهلون من نفس جنس الشخص الذي يجري تفتيشه؛</w:t>
      </w:r>
    </w:p>
    <w:p w:rsidR="0049458D" w:rsidRDefault="0049458D" w:rsidP="0049458D">
      <w:pPr>
        <w:pStyle w:val="H1GA"/>
        <w:rPr>
          <w:rFonts w:hint="cs"/>
          <w:rtl/>
          <w:lang w:val="fr-CH"/>
        </w:rPr>
      </w:pPr>
      <w:r>
        <w:rPr>
          <w:rFonts w:hint="cs"/>
          <w:rtl/>
          <w:lang w:val="fr-CH"/>
        </w:rPr>
        <w:tab/>
        <w:t>جيم-</w:t>
      </w:r>
      <w:r>
        <w:rPr>
          <w:rFonts w:hint="cs"/>
          <w:rtl/>
          <w:lang w:val="fr-CH"/>
        </w:rPr>
        <w:tab/>
        <w:t>الدين أو المعتقد</w:t>
      </w:r>
    </w:p>
    <w:p w:rsidR="0049458D" w:rsidRDefault="0049458D" w:rsidP="0049458D">
      <w:pPr>
        <w:pStyle w:val="SingleTxtGA"/>
        <w:rPr>
          <w:rFonts w:hint="cs"/>
          <w:rtl/>
          <w:lang w:val="fr-CH"/>
        </w:rPr>
      </w:pPr>
      <w:r>
        <w:rPr>
          <w:rFonts w:hint="cs"/>
          <w:rtl/>
          <w:lang w:val="fr-CH"/>
        </w:rPr>
        <w:t>11-</w:t>
      </w:r>
      <w:r>
        <w:rPr>
          <w:rFonts w:hint="cs"/>
          <w:rtl/>
          <w:lang w:val="fr-CH"/>
        </w:rPr>
        <w:tab/>
        <w:t xml:space="preserve">فيما يتعلق بالدين أو المعتقد، تركز اللجنة الفرعية على إتاحة إمكانية الاتصال </w:t>
      </w:r>
      <w:r w:rsidRPr="00BB7AE1">
        <w:rPr>
          <w:rFonts w:hint="cs"/>
          <w:spacing w:val="-2"/>
          <w:rtl/>
          <w:lang w:val="fr-CH"/>
        </w:rPr>
        <w:t>بالزعماء الروحيين والمشاركة في الاحتفالات الدينية. وبالرغم من أن القواعد مناسبة فيما</w:t>
      </w:r>
      <w:r>
        <w:rPr>
          <w:rFonts w:hint="cs"/>
          <w:rtl/>
          <w:lang w:val="fr-CH"/>
        </w:rPr>
        <w:t xml:space="preserve"> يتعلق بهذه المسألة، يستصوب إدراج حكم عام يركز على احترام جميع الأديان والتسامح بينها ويوصى </w:t>
      </w:r>
      <w:proofErr w:type="spellStart"/>
      <w:r>
        <w:rPr>
          <w:rFonts w:hint="cs"/>
          <w:rtl/>
          <w:lang w:val="fr-CH"/>
        </w:rPr>
        <w:t>به</w:t>
      </w:r>
      <w:proofErr w:type="spellEnd"/>
      <w:r>
        <w:rPr>
          <w:rFonts w:hint="cs"/>
          <w:rtl/>
          <w:lang w:val="fr-CH"/>
        </w:rPr>
        <w:t xml:space="preserve">. </w:t>
      </w:r>
    </w:p>
    <w:p w:rsidR="0049458D" w:rsidRPr="00B270E6" w:rsidRDefault="0049458D" w:rsidP="0049458D">
      <w:pPr>
        <w:pStyle w:val="SingleTxtGA"/>
        <w:rPr>
          <w:rFonts w:cs="Times New Roman" w:hint="cs"/>
          <w:sz w:val="24"/>
          <w:szCs w:val="24"/>
          <w:rtl/>
        </w:rPr>
      </w:pPr>
      <w:r>
        <w:rPr>
          <w:rFonts w:hint="cs"/>
          <w:rtl/>
          <w:lang w:val="fr-CH"/>
        </w:rPr>
        <w:t>12-</w:t>
      </w:r>
      <w:r>
        <w:rPr>
          <w:rFonts w:hint="cs"/>
          <w:rtl/>
          <w:lang w:val="fr-CH"/>
        </w:rPr>
        <w:tab/>
        <w:t>وفضلاً عن التعديلات المقترح إدخالها على القواعد النموذجية، توصي اللجنة الفرعية بأن يضاف إليها ما يلي.</w:t>
      </w:r>
    </w:p>
    <w:p w:rsidR="0049458D" w:rsidRDefault="0049458D" w:rsidP="0049458D">
      <w:pPr>
        <w:pStyle w:val="H23GA"/>
        <w:rPr>
          <w:lang w:val="fr-CH" w:bidi="ar"/>
        </w:rPr>
      </w:pPr>
      <w:r>
        <w:rPr>
          <w:rFonts w:hint="cs"/>
          <w:rtl/>
          <w:lang w:val="fr-CH"/>
        </w:rPr>
        <w:tab/>
        <w:t>1-</w:t>
      </w:r>
      <w:r>
        <w:rPr>
          <w:rFonts w:hint="cs"/>
          <w:rtl/>
          <w:lang w:val="fr-CH"/>
        </w:rPr>
        <w:tab/>
        <w:t xml:space="preserve">التركيز </w:t>
      </w:r>
      <w:r w:rsidRPr="00192EF5">
        <w:rPr>
          <w:rFonts w:hint="cs"/>
          <w:rtl/>
          <w:lang w:val="fr-CH"/>
        </w:rPr>
        <w:t>على</w:t>
      </w:r>
      <w:r>
        <w:rPr>
          <w:rFonts w:hint="cs"/>
          <w:rtl/>
          <w:lang w:val="fr-CH"/>
        </w:rPr>
        <w:t xml:space="preserve"> الأشخاص </w:t>
      </w:r>
      <w:r w:rsidRPr="00987D3D">
        <w:rPr>
          <w:rFonts w:hint="cs"/>
          <w:rtl/>
          <w:lang w:bidi="ar"/>
        </w:rPr>
        <w:t>الذين يعانون من هشاشة أوضاعهم</w:t>
      </w:r>
    </w:p>
    <w:p w:rsidR="0049458D" w:rsidRDefault="0049458D" w:rsidP="0049458D">
      <w:pPr>
        <w:pStyle w:val="SingleTxtGA"/>
        <w:rPr>
          <w:rFonts w:hint="cs"/>
          <w:rtl/>
          <w:lang w:val="fr-CH"/>
        </w:rPr>
      </w:pPr>
      <w:r>
        <w:rPr>
          <w:rFonts w:hint="cs"/>
          <w:rtl/>
          <w:lang w:val="fr-CH"/>
        </w:rPr>
        <w:t>13-</w:t>
      </w:r>
      <w:r>
        <w:rPr>
          <w:rFonts w:hint="cs"/>
          <w:rtl/>
          <w:lang w:val="fr-CH"/>
        </w:rPr>
        <w:tab/>
        <w:t xml:space="preserve">توفر القواعد النموذجية مبادئ توجيهية عامة، بيد أنها لا تراعي المسائل التي يواجهها الأشخاص </w:t>
      </w:r>
      <w:r>
        <w:rPr>
          <w:rFonts w:hint="cs"/>
          <w:rtl/>
          <w:lang w:bidi="ar"/>
        </w:rPr>
        <w:t xml:space="preserve">الذين يعانون من هشاشة أوضاعهم </w:t>
      </w:r>
      <w:r>
        <w:rPr>
          <w:rFonts w:hint="cs"/>
          <w:rtl/>
          <w:lang w:val="fr-CH"/>
        </w:rPr>
        <w:t xml:space="preserve">- مثل النساء والأطفال والرَّعايا الأجانب والأشخاص الذين يعانون من مشاكل صحية والأشخاص ذوي الإعاقة والمثليين والمثليات ومشتهي الجنسين ومغايري الهوية الجنسية وغيرهم. </w:t>
      </w:r>
    </w:p>
    <w:p w:rsidR="0049458D" w:rsidRDefault="0049458D" w:rsidP="0049458D">
      <w:pPr>
        <w:pStyle w:val="SingleTxtGA"/>
        <w:rPr>
          <w:rFonts w:hint="cs"/>
          <w:rtl/>
          <w:lang w:val="fr-CH"/>
        </w:rPr>
      </w:pPr>
      <w:r>
        <w:rPr>
          <w:rFonts w:hint="cs"/>
          <w:rtl/>
          <w:lang w:val="fr-CH"/>
        </w:rPr>
        <w:t>14-</w:t>
      </w:r>
      <w:r>
        <w:rPr>
          <w:rFonts w:hint="cs"/>
          <w:rtl/>
          <w:lang w:val="fr-CH"/>
        </w:rPr>
        <w:tab/>
        <w:t xml:space="preserve">وفي هذا الصدد، يجب فهم الجوانب الاجتماعية - الإجرامية واستخدامها لضمان </w:t>
      </w:r>
      <w:proofErr w:type="spellStart"/>
      <w:r>
        <w:rPr>
          <w:rFonts w:hint="cs"/>
          <w:rtl/>
          <w:lang w:val="fr-CH"/>
        </w:rPr>
        <w:t>ملاءمة</w:t>
      </w:r>
      <w:proofErr w:type="spellEnd"/>
      <w:r>
        <w:rPr>
          <w:rFonts w:hint="cs"/>
          <w:rtl/>
          <w:lang w:val="fr-CH"/>
        </w:rPr>
        <w:t xml:space="preserve"> الخدمات المقدمة للنزلاء والوصول إليها وقبولها وتكيفها. وينبغي أن يجري ذلك بمراعاة ما يلي:</w:t>
      </w:r>
    </w:p>
    <w:p w:rsidR="0049458D" w:rsidRDefault="0049458D" w:rsidP="0049458D">
      <w:pPr>
        <w:pStyle w:val="SingleTxtGA"/>
        <w:rPr>
          <w:rFonts w:hint="cs"/>
          <w:rtl/>
          <w:lang w:val="fr-CH"/>
        </w:rPr>
      </w:pPr>
      <w:r>
        <w:rPr>
          <w:rFonts w:hint="cs"/>
          <w:rtl/>
          <w:lang w:val="fr-CH"/>
        </w:rPr>
        <w:tab/>
        <w:t>(أ)</w:t>
      </w:r>
      <w:r>
        <w:rPr>
          <w:rFonts w:hint="cs"/>
          <w:rtl/>
          <w:lang w:val="fr-CH"/>
        </w:rPr>
        <w:tab/>
        <w:t xml:space="preserve">عدم استيفاء الرعاية الصحية والنظافة وغيرها من الاحتياجات الخاصة بالأشخاص </w:t>
      </w:r>
      <w:r>
        <w:rPr>
          <w:rFonts w:hint="cs"/>
          <w:rtl/>
          <w:lang w:bidi="ar"/>
        </w:rPr>
        <w:t>الذين يعانون من هشاشة أوضاعهم</w:t>
      </w:r>
      <w:r>
        <w:rPr>
          <w:rFonts w:hint="cs"/>
          <w:rtl/>
          <w:lang w:val="fr-CH"/>
        </w:rPr>
        <w:t>، مثل النساء والأطفال والمسنين والأشخاص ذوي الإعاقة. ويجب معالجة هذه المسائل أثناء الاحتجاز؛</w:t>
      </w:r>
    </w:p>
    <w:p w:rsidR="0049458D" w:rsidRDefault="0049458D" w:rsidP="0049458D">
      <w:pPr>
        <w:pStyle w:val="SingleTxtGA"/>
        <w:rPr>
          <w:rFonts w:hint="cs"/>
          <w:rtl/>
          <w:lang w:val="fr-CH"/>
        </w:rPr>
      </w:pPr>
      <w:r>
        <w:rPr>
          <w:rFonts w:hint="cs"/>
          <w:rtl/>
          <w:lang w:val="fr-CH"/>
        </w:rPr>
        <w:tab/>
        <w:t>(ب)</w:t>
      </w:r>
      <w:r>
        <w:rPr>
          <w:rFonts w:hint="cs"/>
          <w:rtl/>
          <w:lang w:val="fr-CH"/>
        </w:rPr>
        <w:tab/>
        <w:t>تباين الظروف التي ترتكب فيها مجموعات مختلفة الجرائم؛</w:t>
      </w:r>
    </w:p>
    <w:p w:rsidR="0049458D" w:rsidRDefault="0049458D" w:rsidP="0049458D">
      <w:pPr>
        <w:pStyle w:val="SingleTxtGA"/>
        <w:rPr>
          <w:rFonts w:hint="cs"/>
          <w:rtl/>
          <w:lang w:val="fr-CH"/>
        </w:rPr>
      </w:pPr>
      <w:r>
        <w:rPr>
          <w:rFonts w:hint="cs"/>
          <w:rtl/>
          <w:lang w:val="fr-CH"/>
        </w:rPr>
        <w:tab/>
        <w:t>(ج)</w:t>
      </w:r>
      <w:r>
        <w:rPr>
          <w:rFonts w:hint="cs"/>
          <w:rtl/>
          <w:lang w:val="fr-CH"/>
        </w:rPr>
        <w:tab/>
        <w:t>الوصم والإثارة في وسائط الإعلام وأثرهما في الحياة الشخصية/الأسرية، ومضاعفة الحسَّ بالخجلٍ</w:t>
      </w:r>
      <w:r w:rsidR="00BB7AE1">
        <w:rPr>
          <w:rFonts w:hint="cs"/>
          <w:rtl/>
          <w:lang w:val="fr-CH"/>
        </w:rPr>
        <w:t>،</w:t>
      </w:r>
      <w:r>
        <w:rPr>
          <w:rFonts w:hint="cs"/>
          <w:rtl/>
          <w:lang w:val="fr-CH"/>
        </w:rPr>
        <w:t xml:space="preserve"> والتنميط وما إلى ذلك، بما يسهم في أنماط الإساءة؛</w:t>
      </w:r>
    </w:p>
    <w:p w:rsidR="0049458D" w:rsidRDefault="0049458D" w:rsidP="0049458D">
      <w:pPr>
        <w:pStyle w:val="SingleTxtGA"/>
        <w:rPr>
          <w:rFonts w:hint="cs"/>
          <w:rtl/>
          <w:lang w:val="fr-CH"/>
        </w:rPr>
      </w:pPr>
      <w:r>
        <w:rPr>
          <w:rFonts w:hint="cs"/>
          <w:rtl/>
          <w:lang w:val="fr-CH"/>
        </w:rPr>
        <w:tab/>
        <w:t>(د)</w:t>
      </w:r>
      <w:r>
        <w:rPr>
          <w:rFonts w:hint="cs"/>
          <w:rtl/>
          <w:lang w:val="fr-CH"/>
        </w:rPr>
        <w:tab/>
        <w:t xml:space="preserve">قد تكون مواقف نظام العدالة الجنائية والمجتمع فيما يتعلق بالفئات الضعيفة صارمة نظراً إلى أنه قد ينظر إلى الأفراد لا بصفتهم قد ارتكبوا جريمة فحسب، بل أيضاً بصفتهم قد تجاوزوا دورهم/مكانهم في المجتمع - مما يؤدي إلى محاكمتهم على الجرم نفسه مرتين عند مواجهة العقاب الفعلي حيث كثيراً ما يعاملون بطريقة أشد صرامة؛ </w:t>
      </w:r>
    </w:p>
    <w:p w:rsidR="0049458D" w:rsidRDefault="0049458D" w:rsidP="0049458D">
      <w:pPr>
        <w:pStyle w:val="SingleTxtGA"/>
        <w:rPr>
          <w:rFonts w:hint="cs"/>
          <w:rtl/>
          <w:lang w:val="fr-CH"/>
        </w:rPr>
      </w:pPr>
      <w:r>
        <w:rPr>
          <w:rFonts w:hint="cs"/>
          <w:rtl/>
          <w:lang w:val="fr-CH"/>
        </w:rPr>
        <w:tab/>
        <w:t>(</w:t>
      </w:r>
      <w:r>
        <w:rPr>
          <w:rFonts w:hint="cs"/>
          <w:sz w:val="30"/>
          <w:rtl/>
          <w:lang w:val="fr-CH"/>
        </w:rPr>
        <w:t>ﻫ</w:t>
      </w:r>
      <w:r>
        <w:rPr>
          <w:rFonts w:hint="cs"/>
          <w:rtl/>
          <w:lang w:val="fr-CH"/>
        </w:rPr>
        <w:t>)</w:t>
      </w:r>
      <w:r>
        <w:rPr>
          <w:rFonts w:hint="cs"/>
          <w:rtl/>
          <w:lang w:val="fr-CH"/>
        </w:rPr>
        <w:tab/>
        <w:t>تعرضت أغلبية الأشخاص المحتجزين</w:t>
      </w:r>
      <w:r>
        <w:rPr>
          <w:rFonts w:hint="cs"/>
          <w:rtl/>
          <w:lang w:bidi="ar"/>
        </w:rPr>
        <w:t xml:space="preserve"> الذين يعانون من هشاشة أوضاعهم</w:t>
      </w:r>
      <w:r>
        <w:rPr>
          <w:rFonts w:hint="cs"/>
          <w:rtl/>
          <w:lang w:val="fr-CH"/>
        </w:rPr>
        <w:t>، في إحدى مراحل حياتهم للإيذاء، سواءً أكان بدنياً أم جنسياً أم نفسياً. وثمة حاجة إلى معالجة هذه المسائل عند الاحتجاز؛</w:t>
      </w:r>
    </w:p>
    <w:p w:rsidR="0049458D" w:rsidRDefault="0049458D" w:rsidP="0049458D">
      <w:pPr>
        <w:pStyle w:val="SingleTxtGA"/>
        <w:rPr>
          <w:rFonts w:hint="cs"/>
          <w:rtl/>
          <w:lang w:val="fr-CH"/>
        </w:rPr>
      </w:pPr>
      <w:r>
        <w:rPr>
          <w:rFonts w:hint="cs"/>
          <w:rtl/>
          <w:lang w:val="fr-CH"/>
        </w:rPr>
        <w:tab/>
        <w:t>(و)</w:t>
      </w:r>
      <w:r>
        <w:rPr>
          <w:rFonts w:hint="cs"/>
          <w:rtl/>
          <w:lang w:val="fr-CH"/>
        </w:rPr>
        <w:tab/>
        <w:t>احتمال التعرض للإيذاء، سواء أكان بدنياً أم عقلياً أم جنسياً - على يد الموظفين المكلفين بإنفاذ القوانين أو النزلاء على السواء. والاغتصاب والمقايضة بالجنس أداتان للبقاء على قيد الحياة في السجن - الآثار النفسية/الجروح؛</w:t>
      </w:r>
    </w:p>
    <w:p w:rsidR="0049458D" w:rsidRDefault="0049458D" w:rsidP="0049458D">
      <w:pPr>
        <w:pStyle w:val="SingleTxtGA"/>
        <w:rPr>
          <w:rFonts w:hint="cs"/>
          <w:rtl/>
          <w:lang w:val="fr-CH"/>
        </w:rPr>
      </w:pPr>
      <w:r>
        <w:rPr>
          <w:rFonts w:hint="cs"/>
          <w:rtl/>
          <w:lang w:val="fr-CH"/>
        </w:rPr>
        <w:tab/>
        <w:t>(ز)</w:t>
      </w:r>
      <w:r>
        <w:rPr>
          <w:rFonts w:hint="cs"/>
          <w:rtl/>
          <w:lang w:val="fr-CH"/>
        </w:rPr>
        <w:tab/>
        <w:t xml:space="preserve">يتعرض الأشخاص </w:t>
      </w:r>
      <w:r>
        <w:rPr>
          <w:rFonts w:hint="cs"/>
          <w:rtl/>
          <w:lang w:bidi="ar"/>
        </w:rPr>
        <w:t xml:space="preserve">الذين يعانون من هشاشة أوضاعهم </w:t>
      </w:r>
      <w:r>
        <w:rPr>
          <w:rFonts w:hint="cs"/>
          <w:rtl/>
          <w:lang w:val="fr-CH"/>
        </w:rPr>
        <w:t xml:space="preserve">لاحتمال زيادة التعرض للإصابة بفيروس نقص المناعة البشري/الإيدز أو فيروس التهاب الكبد الوبائي أو غيره </w:t>
      </w:r>
      <w:r>
        <w:rPr>
          <w:rFonts w:hint="cs"/>
          <w:rtl/>
          <w:lang w:bidi="ar"/>
        </w:rPr>
        <w:t>من الأمراض المنقولة عن طريق الدم</w:t>
      </w:r>
      <w:r>
        <w:rPr>
          <w:rFonts w:hint="cs"/>
          <w:rtl/>
          <w:lang w:val="fr-CH"/>
        </w:rPr>
        <w:t>؛</w:t>
      </w:r>
    </w:p>
    <w:p w:rsidR="0049458D" w:rsidRDefault="0049458D" w:rsidP="0049458D">
      <w:pPr>
        <w:pStyle w:val="SingleTxtGA"/>
        <w:rPr>
          <w:rFonts w:hint="cs"/>
          <w:rtl/>
          <w:lang w:val="fr-CH"/>
        </w:rPr>
      </w:pPr>
      <w:r>
        <w:rPr>
          <w:rFonts w:hint="cs"/>
          <w:rtl/>
          <w:lang w:val="fr-CH"/>
        </w:rPr>
        <w:tab/>
        <w:t>(ح)</w:t>
      </w:r>
      <w:r>
        <w:rPr>
          <w:rFonts w:hint="cs"/>
          <w:rtl/>
          <w:lang w:val="fr-CH"/>
        </w:rPr>
        <w:tab/>
        <w:t xml:space="preserve">أثر التفتيش الروتيني للأشخاص وهم عراة - الترابط مع تاريخ إيذاء الأشخاص الذين يعانون من هشاشة أوضاعهم؛ </w:t>
      </w:r>
    </w:p>
    <w:p w:rsidR="0049458D" w:rsidRDefault="0049458D" w:rsidP="0049458D">
      <w:pPr>
        <w:pStyle w:val="SingleTxtGA"/>
        <w:rPr>
          <w:rFonts w:hint="cs"/>
          <w:rtl/>
          <w:lang w:val="fr-CH"/>
        </w:rPr>
      </w:pPr>
      <w:r>
        <w:rPr>
          <w:rFonts w:hint="cs"/>
          <w:rtl/>
          <w:lang w:val="fr-CH"/>
        </w:rPr>
        <w:tab/>
        <w:t>(ط)</w:t>
      </w:r>
      <w:r>
        <w:rPr>
          <w:rFonts w:hint="cs"/>
          <w:rtl/>
          <w:lang w:val="fr-CH"/>
        </w:rPr>
        <w:tab/>
        <w:t>ضعف إمكانية الاحتكام إلى القضاء بسبب الحرمان الاجتماعي -الاقتصادي - من قبيل الفقر وقلة التعلم والموارد؛</w:t>
      </w:r>
    </w:p>
    <w:p w:rsidR="0049458D" w:rsidRDefault="0049458D" w:rsidP="00BB7AE1">
      <w:pPr>
        <w:pStyle w:val="SingleTxtGA"/>
        <w:rPr>
          <w:rFonts w:hint="cs"/>
          <w:rtl/>
          <w:lang w:val="fr-CH"/>
        </w:rPr>
      </w:pPr>
      <w:r>
        <w:rPr>
          <w:rFonts w:hint="cs"/>
          <w:rtl/>
          <w:lang w:val="fr-CH"/>
        </w:rPr>
        <w:tab/>
        <w:t>(ي)</w:t>
      </w:r>
      <w:r>
        <w:rPr>
          <w:rFonts w:hint="cs"/>
          <w:rtl/>
          <w:lang w:val="fr-CH"/>
        </w:rPr>
        <w:tab/>
        <w:t xml:space="preserve">التمويل غير المناسب لخطط المساعدة القانونية وقلة موارد الأشخاص المتهمين أو المدانين يؤثران تأثيراً بالغاً في أمور منها معاملتهم في نظامي العدالة والسجون. </w:t>
      </w:r>
    </w:p>
    <w:p w:rsidR="0049458D" w:rsidRDefault="0049458D" w:rsidP="0049458D">
      <w:pPr>
        <w:pStyle w:val="H23GA"/>
        <w:rPr>
          <w:rFonts w:hint="cs"/>
          <w:rtl/>
          <w:lang w:val="fr-CH"/>
        </w:rPr>
      </w:pPr>
      <w:r>
        <w:rPr>
          <w:rFonts w:hint="cs"/>
          <w:rtl/>
          <w:lang w:val="fr-CH"/>
        </w:rPr>
        <w:tab/>
        <w:t>2-</w:t>
      </w:r>
      <w:r>
        <w:rPr>
          <w:rFonts w:hint="cs"/>
          <w:rtl/>
          <w:lang w:val="fr-CH"/>
        </w:rPr>
        <w:tab/>
        <w:t xml:space="preserve">الفئات </w:t>
      </w:r>
      <w:r w:rsidRPr="00192EF5">
        <w:rPr>
          <w:rFonts w:hint="cs"/>
          <w:rtl/>
          <w:lang w:val="fr-CH"/>
        </w:rPr>
        <w:t>الخاصة</w:t>
      </w:r>
      <w:r>
        <w:rPr>
          <w:rFonts w:hint="cs"/>
          <w:rtl/>
          <w:lang w:val="fr-CH"/>
        </w:rPr>
        <w:t xml:space="preserve"> من المساجين</w:t>
      </w:r>
    </w:p>
    <w:p w:rsidR="0049458D" w:rsidRDefault="0049458D" w:rsidP="0049458D">
      <w:pPr>
        <w:pStyle w:val="SingleTxtGA"/>
        <w:rPr>
          <w:rFonts w:hint="cs"/>
          <w:rtl/>
          <w:lang w:val="fr-CH"/>
        </w:rPr>
      </w:pPr>
      <w:r>
        <w:rPr>
          <w:rFonts w:hint="cs"/>
          <w:rtl/>
          <w:lang w:val="fr-CH"/>
        </w:rPr>
        <w:t>15-</w:t>
      </w:r>
      <w:r>
        <w:rPr>
          <w:rFonts w:hint="cs"/>
          <w:rtl/>
          <w:lang w:val="fr-CH"/>
        </w:rPr>
        <w:tab/>
        <w:t>لا تركز القواعد النموذجية بصورة عامة على فئات محددة من السجناء بالرغم من أن اللوائح الدولية أصبحت أكثر تفصيلاً وتركيزاً. وفضلاً عن التشديد على مسائل تتصل بالأشخاص الضعفاء المشار إليهم آنفاً، ينبغي مراعاة الفئات التالية:</w:t>
      </w:r>
    </w:p>
    <w:p w:rsidR="0049458D" w:rsidRDefault="0049458D" w:rsidP="0049458D">
      <w:pPr>
        <w:pStyle w:val="SingleTxtGA"/>
        <w:rPr>
          <w:rFonts w:hint="cs"/>
          <w:rtl/>
          <w:lang w:val="fr-CH"/>
        </w:rPr>
      </w:pPr>
      <w:r>
        <w:rPr>
          <w:rFonts w:hint="cs"/>
          <w:rtl/>
          <w:lang w:val="fr-CH"/>
        </w:rPr>
        <w:tab/>
        <w:t>(أ</w:t>
      </w:r>
      <w:r w:rsidR="00BB7AE1">
        <w:rPr>
          <w:rFonts w:hint="cs"/>
          <w:rtl/>
          <w:lang w:val="fr-CH"/>
        </w:rPr>
        <w:t>)</w:t>
      </w:r>
      <w:r w:rsidR="00BB7AE1">
        <w:rPr>
          <w:rFonts w:hint="cs"/>
          <w:rtl/>
          <w:lang w:val="fr-CH"/>
        </w:rPr>
        <w:tab/>
        <w:t>"المحكوم عليهم بالسجن المؤبد"</w:t>
      </w:r>
    </w:p>
    <w:p w:rsidR="0049458D" w:rsidRDefault="0049458D" w:rsidP="0049458D">
      <w:pPr>
        <w:pStyle w:val="Bullet2GA"/>
        <w:tabs>
          <w:tab w:val="clear" w:pos="2438"/>
          <w:tab w:val="left" w:pos="2618"/>
        </w:tabs>
        <w:bidi/>
        <w:ind w:left="2618" w:hanging="540"/>
        <w:rPr>
          <w:rFonts w:hint="cs"/>
          <w:rtl/>
          <w:lang w:val="fr-CH"/>
        </w:rPr>
      </w:pPr>
      <w:r>
        <w:rPr>
          <w:rFonts w:hint="cs"/>
          <w:rtl/>
          <w:lang w:val="fr-CH"/>
        </w:rPr>
        <w:t xml:space="preserve">كثيراً ما تُنزَل أحكام بالعقوبة بالسجن المؤبد في أغلبية البلدان الأعضاء في الأمم المتحدة. وسيتزايد عدد القضايا التي تنزل فيها هذه العقوبة بحق أشخاص بسبب الاتجاه نحو إلغاء عقوبة الإعدام، والنظر إلى السجن المؤبد كبديل طبيعي. وبالرغم من ذلك، لا توجد مجموعة قواعد مقبولة عامة تتصل بهذه الفئة من السجناء باستثناء الأحكام العامة الواردة في العهد الدولي الخاص بالحقوق المدنية والسياسية واتفاقية مناهضة التعذيب. ومن ثم، فإن مراجعة القواعد النموذجية لتدارك هذه الفجوة مسألة جوهرية جداً لسببين، هما: </w:t>
      </w:r>
    </w:p>
    <w:p w:rsidR="0049458D" w:rsidRDefault="0049458D" w:rsidP="00E1025F">
      <w:pPr>
        <w:pStyle w:val="Bullet2GA"/>
        <w:tabs>
          <w:tab w:val="clear" w:pos="1644"/>
          <w:tab w:val="clear" w:pos="2438"/>
          <w:tab w:val="left" w:pos="2618"/>
        </w:tabs>
        <w:bidi/>
        <w:ind w:left="2618" w:hanging="540"/>
        <w:rPr>
          <w:lang w:val="fr-CH"/>
        </w:rPr>
      </w:pPr>
      <w:r>
        <w:rPr>
          <w:rFonts w:hint="cs"/>
          <w:rtl/>
          <w:lang w:val="fr-CH"/>
        </w:rPr>
        <w:t>أولاً، لا ينبغي اعتبار الأشخاص المنزلة بحقهم عقوبة بالسجن المؤبد كسجناء "خطرين"</w:t>
      </w:r>
      <w:r w:rsidR="00BB7AE1">
        <w:rPr>
          <w:rFonts w:hint="cs"/>
          <w:rtl/>
          <w:lang w:val="fr-CH"/>
        </w:rPr>
        <w:t xml:space="preserve"> </w:t>
      </w:r>
      <w:r>
        <w:rPr>
          <w:rFonts w:hint="cs"/>
          <w:rtl/>
          <w:lang w:val="fr-CH"/>
        </w:rPr>
        <w:t xml:space="preserve">بصفة آلية ومعاملتهم على هذا الأساس، ولا ينبغي أن يعني السجن المؤبد في حد ذاته </w:t>
      </w:r>
      <w:r w:rsidR="00E1025F">
        <w:rPr>
          <w:rFonts w:hint="cs"/>
          <w:rtl/>
          <w:lang w:val="fr-CH"/>
        </w:rPr>
        <w:t xml:space="preserve">إخضاع </w:t>
      </w:r>
      <w:r>
        <w:rPr>
          <w:rFonts w:hint="cs"/>
          <w:rtl/>
          <w:lang w:val="fr-CH"/>
        </w:rPr>
        <w:t>هؤلاء السجناء لنظام أشد صرامة مقارنة بالسجناء الذين لم تُنزل بحقهم عقوبة بالسجن المؤبد أو الذين يحتجزون في الحبس الانفرادي</w:t>
      </w:r>
      <w:r w:rsidR="00E1025F">
        <w:rPr>
          <w:rFonts w:hint="cs"/>
          <w:rtl/>
          <w:lang w:val="fr-CH"/>
        </w:rPr>
        <w:t>؛</w:t>
      </w:r>
    </w:p>
    <w:p w:rsidR="0049458D" w:rsidRDefault="0049458D" w:rsidP="0049458D">
      <w:pPr>
        <w:pStyle w:val="Bullet2GA"/>
        <w:tabs>
          <w:tab w:val="clear" w:pos="1644"/>
          <w:tab w:val="clear" w:pos="2438"/>
          <w:tab w:val="left" w:pos="2618"/>
        </w:tabs>
        <w:bidi/>
        <w:ind w:left="2618" w:hanging="540"/>
        <w:rPr>
          <w:lang w:val="fr-CH"/>
        </w:rPr>
      </w:pPr>
      <w:r>
        <w:rPr>
          <w:rFonts w:hint="cs"/>
          <w:rtl/>
          <w:lang w:val="fr-CH"/>
        </w:rPr>
        <w:t>ثانياً، يجب إيواء السجناء المنزلة بحقهم عقوبة بالسجن المؤبد في سجون محمية حماية وافية وتوفير إمكانية قيامهم بمختلف الأنشطة، بما في ذلك العلاج و/أو إعادة التأهيل الطبي، والثقافة و/أو الرياضة. وينبغي أن يُسمح لهم بتشخيص/فرش زنزاناتهم وفقاً لرغبتهم في حدود القواعد المعقولة التي تحددها سلطات السجن.</w:t>
      </w:r>
    </w:p>
    <w:p w:rsidR="0049458D" w:rsidRDefault="0049458D" w:rsidP="0049458D">
      <w:pPr>
        <w:pStyle w:val="SingleTxtGA"/>
        <w:rPr>
          <w:lang w:val="fr-CH"/>
        </w:rPr>
      </w:pPr>
      <w:r>
        <w:rPr>
          <w:rFonts w:hint="cs"/>
          <w:rtl/>
          <w:lang w:val="fr-CH"/>
        </w:rPr>
        <w:tab/>
        <w:t>(ب)</w:t>
      </w:r>
      <w:r>
        <w:rPr>
          <w:rFonts w:hint="cs"/>
          <w:rtl/>
          <w:lang w:val="fr-CH"/>
        </w:rPr>
        <w:tab/>
        <w:t>السجناء "الخطرون"</w:t>
      </w:r>
    </w:p>
    <w:p w:rsidR="0049458D" w:rsidRDefault="0049458D" w:rsidP="00BB7AE1">
      <w:pPr>
        <w:pStyle w:val="Bullet2GA"/>
        <w:tabs>
          <w:tab w:val="clear" w:pos="1644"/>
          <w:tab w:val="clear" w:pos="2438"/>
          <w:tab w:val="left" w:pos="2618"/>
        </w:tabs>
        <w:bidi/>
        <w:ind w:left="2618" w:hanging="540"/>
        <w:rPr>
          <w:rFonts w:hint="cs"/>
          <w:rtl/>
          <w:lang w:val="fr-CH"/>
        </w:rPr>
      </w:pPr>
      <w:r>
        <w:rPr>
          <w:rFonts w:hint="cs"/>
          <w:rtl/>
          <w:lang w:val="fr-CH"/>
        </w:rPr>
        <w:t>تُعتبر فئة من السجناء، في العديد من نظام السجون، "خطرة"</w:t>
      </w:r>
      <w:r w:rsidR="00BB7AE1">
        <w:rPr>
          <w:rFonts w:hint="cs"/>
          <w:rtl/>
          <w:lang w:val="fr-CH"/>
        </w:rPr>
        <w:t xml:space="preserve"> لأسباب مختلفة. وتُنعت كذلك لأن</w:t>
      </w:r>
      <w:r>
        <w:rPr>
          <w:rFonts w:hint="cs"/>
          <w:rtl/>
          <w:lang w:val="fr-CH"/>
        </w:rPr>
        <w:t xml:space="preserve"> أفرادها يشكلون </w:t>
      </w:r>
      <w:r w:rsidR="00E1025F">
        <w:rPr>
          <w:rFonts w:hint="cs"/>
          <w:rtl/>
          <w:lang w:val="fr-CH"/>
        </w:rPr>
        <w:t xml:space="preserve">خطراً </w:t>
      </w:r>
      <w:r>
        <w:rPr>
          <w:rFonts w:hint="cs"/>
          <w:rtl/>
          <w:lang w:val="fr-CH"/>
        </w:rPr>
        <w:t>على السجناء الآخرين، وعلى المؤسسة التي يحتجزون فيها، وعلى المجتمع بأكمله. ولا يعني اعتبارهم "خطرين" القبول بتقييد حريتهم إلى درجة أنها تمثل تعذيباً أو</w:t>
      </w:r>
      <w:r w:rsidR="00E1025F">
        <w:rPr>
          <w:rFonts w:hint="eastAsia"/>
          <w:rtl/>
          <w:lang w:val="fr-CH"/>
        </w:rPr>
        <w:t> </w:t>
      </w:r>
      <w:r>
        <w:rPr>
          <w:rFonts w:hint="cs"/>
          <w:rtl/>
          <w:lang w:val="fr-CH"/>
        </w:rPr>
        <w:t xml:space="preserve">معاملة لا </w:t>
      </w:r>
      <w:r w:rsidR="00E1025F">
        <w:rPr>
          <w:rFonts w:hint="cs"/>
          <w:rtl/>
          <w:lang w:val="fr-CH"/>
        </w:rPr>
        <w:t>إنسانية؛</w:t>
      </w:r>
    </w:p>
    <w:p w:rsidR="0049458D" w:rsidRDefault="0049458D" w:rsidP="00BB7AE1">
      <w:pPr>
        <w:pStyle w:val="Bullet2GA"/>
        <w:tabs>
          <w:tab w:val="clear" w:pos="1644"/>
          <w:tab w:val="clear" w:pos="2438"/>
          <w:tab w:val="left" w:pos="2618"/>
        </w:tabs>
        <w:bidi/>
        <w:ind w:left="2618" w:hanging="540"/>
        <w:rPr>
          <w:lang w:val="fr-CH"/>
        </w:rPr>
      </w:pPr>
      <w:r>
        <w:rPr>
          <w:rFonts w:hint="cs"/>
          <w:rtl/>
          <w:lang w:val="fr-CH"/>
        </w:rPr>
        <w:t>تعرب اللجنة الفرعية عن تقديرها للنهج الواسع النطاق والتقدمي للجنة الأوروبية المعنية بمكافحة التعذيب، التي ركزت على أن "مختلف مفاهي</w:t>
      </w:r>
      <w:r w:rsidR="00E1025F">
        <w:rPr>
          <w:rFonts w:hint="cs"/>
          <w:rtl/>
          <w:lang w:val="fr-CH"/>
        </w:rPr>
        <w:t>م</w:t>
      </w:r>
      <w:r>
        <w:rPr>
          <w:rFonts w:hint="cs"/>
          <w:rtl/>
          <w:lang w:val="fr-CH"/>
        </w:rPr>
        <w:t xml:space="preserve"> </w:t>
      </w:r>
      <w:r w:rsidR="00BB7AE1">
        <w:rPr>
          <w:rFonts w:hint="cs"/>
          <w:rtl/>
          <w:lang w:val="fr-CH"/>
        </w:rPr>
        <w:t>"</w:t>
      </w:r>
      <w:r>
        <w:rPr>
          <w:rFonts w:hint="cs"/>
          <w:rtl/>
          <w:lang w:val="fr-CH"/>
        </w:rPr>
        <w:t>الخطورة على المجتمع"</w:t>
      </w:r>
      <w:r w:rsidR="00BB7AE1">
        <w:rPr>
          <w:rFonts w:hint="cs"/>
          <w:rtl/>
          <w:lang w:val="fr-CH"/>
        </w:rPr>
        <w:t xml:space="preserve"> </w:t>
      </w:r>
      <w:r>
        <w:rPr>
          <w:rFonts w:hint="cs"/>
          <w:rtl/>
          <w:lang w:val="fr-CH"/>
        </w:rPr>
        <w:t xml:space="preserve">(المشار إليها صراحة في القوانين)، </w:t>
      </w:r>
      <w:r w:rsidR="00E1025F">
        <w:rPr>
          <w:rFonts w:hint="cs"/>
          <w:rtl/>
          <w:lang w:val="fr-CH"/>
        </w:rPr>
        <w:t>و</w:t>
      </w:r>
      <w:r>
        <w:rPr>
          <w:rFonts w:hint="cs"/>
          <w:rtl/>
          <w:lang w:val="fr-CH"/>
        </w:rPr>
        <w:t xml:space="preserve">الخطورة الإجرامية (احتمال تكرار الجريمة) والخطورة النفسانية (المتعلقة بالأمراض العقلية) [...] </w:t>
      </w:r>
      <w:r w:rsidR="00E1025F">
        <w:rPr>
          <w:rFonts w:hint="cs"/>
          <w:rtl/>
          <w:lang w:val="fr-CH"/>
        </w:rPr>
        <w:t xml:space="preserve">تحتمل </w:t>
      </w:r>
      <w:r>
        <w:rPr>
          <w:rFonts w:hint="cs"/>
          <w:rtl/>
          <w:lang w:val="fr-CH"/>
        </w:rPr>
        <w:t xml:space="preserve">تفسيرات </w:t>
      </w:r>
      <w:r w:rsidR="00E1025F">
        <w:rPr>
          <w:rFonts w:hint="cs"/>
          <w:rtl/>
          <w:lang w:val="fr-CH"/>
        </w:rPr>
        <w:t xml:space="preserve">فضفاضة </w:t>
      </w:r>
      <w:r>
        <w:rPr>
          <w:rFonts w:hint="cs"/>
          <w:rtl/>
          <w:lang w:val="fr-CH"/>
        </w:rPr>
        <w:t>جداً وذاتية، [...]"</w:t>
      </w:r>
      <w:r>
        <w:rPr>
          <w:rFonts w:hint="cs"/>
          <w:vertAlign w:val="superscript"/>
          <w:rtl/>
          <w:lang w:val="fr-CH"/>
        </w:rPr>
        <w:t>(</w:t>
      </w:r>
      <w:r>
        <w:rPr>
          <w:rStyle w:val="FootnoteReference"/>
          <w:rtl/>
          <w:lang w:val="fr-CH"/>
        </w:rPr>
        <w:footnoteReference w:id="6"/>
      </w:r>
      <w:r>
        <w:rPr>
          <w:rFonts w:hint="cs"/>
          <w:vertAlign w:val="superscript"/>
          <w:rtl/>
          <w:lang w:val="fr-CH"/>
        </w:rPr>
        <w:t>)</w:t>
      </w:r>
      <w:r>
        <w:rPr>
          <w:rFonts w:hint="cs"/>
          <w:rtl/>
          <w:lang w:val="fr-CH"/>
        </w:rPr>
        <w:t xml:space="preserve">. وتؤكد اللجنة الفرعية من جديد أنه لا ينبغي إيداع الأشخاص المحرومين من حريتهم في الحبس الانفرادي إلا عند اللزوم وكتدبير من تدابير الملاذ الأخير، بيد أنه ينبغي </w:t>
      </w:r>
      <w:r w:rsidR="00E1025F">
        <w:rPr>
          <w:rFonts w:hint="cs"/>
          <w:rtl/>
          <w:lang w:val="fr-CH"/>
        </w:rPr>
        <w:t>أن يكون هذا ا</w:t>
      </w:r>
      <w:r>
        <w:rPr>
          <w:rFonts w:hint="cs"/>
          <w:rtl/>
          <w:lang w:val="fr-CH"/>
        </w:rPr>
        <w:t xml:space="preserve">لإيداع مؤقتاً </w:t>
      </w:r>
      <w:r w:rsidR="00E1025F">
        <w:rPr>
          <w:rFonts w:hint="cs"/>
          <w:rtl/>
          <w:lang w:val="fr-CH"/>
        </w:rPr>
        <w:t xml:space="preserve">وتحت الإشراف الطبي </w:t>
      </w:r>
      <w:r>
        <w:rPr>
          <w:rFonts w:hint="cs"/>
          <w:rtl/>
          <w:lang w:val="fr-CH"/>
        </w:rPr>
        <w:t xml:space="preserve">وأن يخضع للمراجعة. وتطلب اللجنة الفرعية إدخال تعديلات على القواعد النموذجية تتضمن ما يلي: </w:t>
      </w:r>
    </w:p>
    <w:p w:rsidR="0049458D" w:rsidRDefault="0049458D" w:rsidP="00E1025F">
      <w:pPr>
        <w:pStyle w:val="SingleTxtGA"/>
        <w:ind w:left="2608"/>
        <w:rPr>
          <w:lang w:val="fr-CH"/>
        </w:rPr>
      </w:pPr>
      <w:r>
        <w:rPr>
          <w:rFonts w:hint="cs"/>
          <w:rtl/>
          <w:lang w:val="fr-CH"/>
        </w:rPr>
        <w:tab/>
        <w:t>(أ)</w:t>
      </w:r>
      <w:r>
        <w:rPr>
          <w:rFonts w:hint="cs"/>
          <w:rtl/>
          <w:lang w:val="fr-CH"/>
        </w:rPr>
        <w:tab/>
        <w:t xml:space="preserve">ينبغي أن يُمكَّن من الاتصال الاجتماعي الأشخاص الذين يمكن أن يشكلوا </w:t>
      </w:r>
      <w:r w:rsidR="00E1025F">
        <w:rPr>
          <w:rFonts w:hint="cs"/>
          <w:rtl/>
          <w:lang w:val="fr-CH"/>
        </w:rPr>
        <w:t xml:space="preserve">خطراً على </w:t>
      </w:r>
      <w:r>
        <w:rPr>
          <w:rFonts w:hint="cs"/>
          <w:rtl/>
          <w:lang w:val="fr-CH"/>
        </w:rPr>
        <w:t>سلامتهم أو سلامة الآخرين. ولا ينبغي حظر الاتصال الاجتماعي، إذ لوحظ فعلاً أن بعض النزلاء قد يفقدون جزئياً قدراتهم على الحديث بحرية بعد سنوات من العزل؛</w:t>
      </w:r>
    </w:p>
    <w:p w:rsidR="0049458D" w:rsidRDefault="00E1025F" w:rsidP="00BB7AE1">
      <w:pPr>
        <w:pStyle w:val="SingleTxtGA"/>
        <w:ind w:left="2608"/>
        <w:rPr>
          <w:rFonts w:hint="cs"/>
          <w:rtl/>
          <w:lang w:val="fr-CH"/>
        </w:rPr>
      </w:pPr>
      <w:r>
        <w:rPr>
          <w:rFonts w:hint="cs"/>
          <w:rtl/>
          <w:lang w:val="fr-CH"/>
        </w:rPr>
        <w:tab/>
      </w:r>
      <w:r w:rsidR="0049458D">
        <w:rPr>
          <w:rFonts w:hint="cs"/>
          <w:rtl/>
          <w:lang w:val="fr-CH"/>
        </w:rPr>
        <w:t>(ب)</w:t>
      </w:r>
      <w:r w:rsidR="0049458D">
        <w:rPr>
          <w:rFonts w:hint="cs"/>
          <w:rtl/>
          <w:lang w:val="fr-CH"/>
        </w:rPr>
        <w:tab/>
      </w:r>
      <w:r w:rsidR="00BB7AE1">
        <w:rPr>
          <w:rFonts w:hint="cs"/>
          <w:rtl/>
          <w:lang w:val="fr-CH"/>
        </w:rPr>
        <w:t xml:space="preserve">لا </w:t>
      </w:r>
      <w:r w:rsidR="0049458D">
        <w:rPr>
          <w:rFonts w:hint="cs"/>
          <w:rtl/>
          <w:lang w:val="fr-CH"/>
        </w:rPr>
        <w:t xml:space="preserve">ينبغي تطبيق التدابير الأمنية </w:t>
      </w:r>
      <w:r>
        <w:rPr>
          <w:rFonts w:hint="cs"/>
          <w:rtl/>
          <w:lang w:val="fr-CH"/>
        </w:rPr>
        <w:t xml:space="preserve">إلا </w:t>
      </w:r>
      <w:r w:rsidR="0049458D">
        <w:rPr>
          <w:rFonts w:hint="cs"/>
          <w:rtl/>
          <w:lang w:val="fr-CH"/>
        </w:rPr>
        <w:t>ضمن الحدود المبررة (أي الضرورية والمتناسبة)، والمعقولة لوضع الشخص المعني؛</w:t>
      </w:r>
    </w:p>
    <w:p w:rsidR="0049458D" w:rsidRDefault="00E1025F" w:rsidP="00E1025F">
      <w:pPr>
        <w:pStyle w:val="SingleTxtGA"/>
        <w:ind w:left="2608"/>
        <w:rPr>
          <w:rFonts w:hint="cs"/>
          <w:rtl/>
          <w:lang w:val="fr-CH"/>
        </w:rPr>
      </w:pPr>
      <w:r>
        <w:rPr>
          <w:rFonts w:hint="cs"/>
          <w:rtl/>
          <w:lang w:val="fr-CH"/>
        </w:rPr>
        <w:tab/>
      </w:r>
      <w:r w:rsidR="0049458D">
        <w:rPr>
          <w:rFonts w:hint="cs"/>
          <w:rtl/>
          <w:lang w:val="fr-CH"/>
        </w:rPr>
        <w:t>(ج)</w:t>
      </w:r>
      <w:r w:rsidR="0049458D">
        <w:rPr>
          <w:rFonts w:hint="cs"/>
          <w:rtl/>
          <w:lang w:val="fr-CH"/>
        </w:rPr>
        <w:tab/>
        <w:t xml:space="preserve">ينبغي </w:t>
      </w:r>
      <w:r>
        <w:rPr>
          <w:rFonts w:hint="cs"/>
          <w:rtl/>
          <w:lang w:val="fr-CH"/>
        </w:rPr>
        <w:t>أن يكون وضع الشخص بصفته "سجيناً خطراً" خاضعاً للمراجعة.</w:t>
      </w:r>
    </w:p>
    <w:p w:rsidR="0049458D" w:rsidRDefault="00E1025F" w:rsidP="00E1025F">
      <w:pPr>
        <w:pStyle w:val="H1GA"/>
        <w:rPr>
          <w:lang w:val="fr-CH"/>
        </w:rPr>
      </w:pPr>
      <w:r>
        <w:rPr>
          <w:rFonts w:hint="cs"/>
          <w:rtl/>
          <w:lang w:val="fr-CH"/>
        </w:rPr>
        <w:tab/>
      </w:r>
      <w:r w:rsidR="0049458D">
        <w:rPr>
          <w:rFonts w:hint="cs"/>
          <w:rtl/>
          <w:lang w:val="fr-CH"/>
        </w:rPr>
        <w:t>دال-</w:t>
      </w:r>
      <w:r w:rsidR="0049458D">
        <w:rPr>
          <w:rFonts w:hint="cs"/>
          <w:rtl/>
          <w:lang w:val="fr-CH"/>
        </w:rPr>
        <w:tab/>
        <w:t>مسائل أخرى</w:t>
      </w:r>
    </w:p>
    <w:p w:rsidR="0049458D" w:rsidRDefault="00E1025F" w:rsidP="00E1025F">
      <w:pPr>
        <w:pStyle w:val="H23GA"/>
        <w:rPr>
          <w:rFonts w:hint="cs"/>
          <w:rtl/>
          <w:lang w:val="fr-CH"/>
        </w:rPr>
      </w:pPr>
      <w:r>
        <w:rPr>
          <w:rFonts w:hint="cs"/>
          <w:rtl/>
          <w:lang w:val="fr-CH"/>
        </w:rPr>
        <w:tab/>
      </w:r>
      <w:r w:rsidR="0049458D">
        <w:rPr>
          <w:rFonts w:hint="cs"/>
          <w:rtl/>
          <w:lang w:val="fr-CH"/>
        </w:rPr>
        <w:t>1-</w:t>
      </w:r>
      <w:r w:rsidR="0049458D">
        <w:rPr>
          <w:rFonts w:hint="cs"/>
          <w:rtl/>
          <w:lang w:val="fr-CH"/>
        </w:rPr>
        <w:tab/>
        <w:t>التفتيش المستقل</w:t>
      </w:r>
    </w:p>
    <w:p w:rsidR="0049458D" w:rsidRDefault="0049458D" w:rsidP="00BB7AE1">
      <w:pPr>
        <w:pStyle w:val="SingleTxtGA"/>
        <w:rPr>
          <w:rFonts w:hint="cs"/>
          <w:rtl/>
          <w:lang w:val="fr-CH"/>
        </w:rPr>
      </w:pPr>
      <w:r>
        <w:rPr>
          <w:rFonts w:hint="cs"/>
          <w:rtl/>
          <w:lang w:val="fr-CH"/>
        </w:rPr>
        <w:t>16-</w:t>
      </w:r>
      <w:r>
        <w:rPr>
          <w:rFonts w:hint="cs"/>
          <w:rtl/>
          <w:lang w:val="fr-CH"/>
        </w:rPr>
        <w:tab/>
      </w:r>
      <w:r w:rsidR="00BB7AE1">
        <w:rPr>
          <w:rFonts w:hint="cs"/>
          <w:rtl/>
          <w:lang w:val="fr-CH"/>
        </w:rPr>
        <w:t>إ</w:t>
      </w:r>
      <w:r w:rsidR="00E1025F">
        <w:rPr>
          <w:rFonts w:hint="cs"/>
          <w:rtl/>
          <w:lang w:val="fr-CH"/>
        </w:rPr>
        <w:t>ن السجناء ضعفاء لأنهم محتجزون</w:t>
      </w:r>
      <w:r>
        <w:rPr>
          <w:rFonts w:hint="cs"/>
          <w:rtl/>
          <w:lang w:val="fr-CH"/>
        </w:rPr>
        <w:t>. وعليه، ينبغي إتاحة أقصى قدر ممكن من الضمانات التي تتعلق بسجنهم. وي</w:t>
      </w:r>
      <w:r w:rsidR="00E1025F">
        <w:rPr>
          <w:rFonts w:hint="cs"/>
          <w:rtl/>
          <w:lang w:val="fr-CH"/>
        </w:rPr>
        <w:t>ت</w:t>
      </w:r>
      <w:r w:rsidR="00BB7AE1">
        <w:rPr>
          <w:rFonts w:hint="cs"/>
          <w:rtl/>
          <w:lang w:val="fr-CH"/>
        </w:rPr>
        <w:t>س</w:t>
      </w:r>
      <w:r w:rsidR="00E1025F">
        <w:rPr>
          <w:rFonts w:hint="cs"/>
          <w:rtl/>
          <w:lang w:val="fr-CH"/>
        </w:rPr>
        <w:t>م تفتيش ا</w:t>
      </w:r>
      <w:r>
        <w:rPr>
          <w:rFonts w:hint="cs"/>
          <w:rtl/>
          <w:lang w:val="fr-CH"/>
        </w:rPr>
        <w:t xml:space="preserve">لسجون </w:t>
      </w:r>
      <w:r w:rsidR="00E1025F">
        <w:rPr>
          <w:rFonts w:hint="cs"/>
          <w:rtl/>
          <w:lang w:val="fr-CH"/>
        </w:rPr>
        <w:t xml:space="preserve">تفتيشاً دقيقاً </w:t>
      </w:r>
      <w:r>
        <w:rPr>
          <w:rFonts w:hint="cs"/>
          <w:rtl/>
          <w:lang w:val="fr-CH"/>
        </w:rPr>
        <w:t xml:space="preserve">من جانب مؤسسات عامة مثل آليات الوقاية الوطنية ومكاتب أمناء المظالم وغيرهم، بما في ذلك المنظمات الدولية </w:t>
      </w:r>
      <w:r w:rsidR="00E1025F">
        <w:rPr>
          <w:rFonts w:hint="cs"/>
          <w:rtl/>
          <w:lang w:val="fr-CH"/>
        </w:rPr>
        <w:t>بأهمية جوهرية</w:t>
      </w:r>
      <w:r w:rsidR="00BB7AE1">
        <w:rPr>
          <w:rFonts w:hint="cs"/>
          <w:rtl/>
          <w:lang w:val="fr-CH"/>
        </w:rPr>
        <w:t>.</w:t>
      </w:r>
      <w:r w:rsidR="00E1025F">
        <w:rPr>
          <w:rFonts w:hint="cs"/>
          <w:rtl/>
          <w:lang w:val="fr-CH"/>
        </w:rPr>
        <w:t xml:space="preserve"> </w:t>
      </w:r>
      <w:r>
        <w:rPr>
          <w:rFonts w:hint="cs"/>
          <w:rtl/>
          <w:lang w:val="fr-CH"/>
        </w:rPr>
        <w:t xml:space="preserve">وفضلاً عن ذلك، ينبغي أن تُفتَح السجون لتدقيق المجتمع المدني بصورة علنية. ويمكن </w:t>
      </w:r>
      <w:r w:rsidR="00E1025F">
        <w:rPr>
          <w:rFonts w:hint="cs"/>
          <w:rtl/>
          <w:lang w:val="fr-CH"/>
        </w:rPr>
        <w:t xml:space="preserve">تحقيق </w:t>
      </w:r>
      <w:r>
        <w:rPr>
          <w:rFonts w:hint="cs"/>
          <w:rtl/>
          <w:lang w:val="fr-CH"/>
        </w:rPr>
        <w:t xml:space="preserve">ذلك بإضفاء مزيد من الشفافية على السجون وعلى نظام العدالة الجنائية. وينبغي أن تعتبر مختلف خطط الزيارات مكملة لبعضها البعض، ولا يستبعد كل منها الآخر. وينبغي للدول أن تشجع وتعزز أنشطة هيئات الرقابة المستقلة للإشراف على </w:t>
      </w:r>
      <w:r w:rsidR="00E1025F">
        <w:rPr>
          <w:rFonts w:hint="cs"/>
          <w:rtl/>
          <w:lang w:val="fr-CH"/>
        </w:rPr>
        <w:t xml:space="preserve">أوضاع </w:t>
      </w:r>
      <w:r>
        <w:rPr>
          <w:rFonts w:hint="cs"/>
          <w:rtl/>
          <w:lang w:val="fr-CH"/>
        </w:rPr>
        <w:t xml:space="preserve">احتجاز السجناء وطريقة معاملتهم. وينبغي أن تُمنح هيئات الرقابة هذه ولاية زيارة مرافق السجون </w:t>
      </w:r>
      <w:r w:rsidR="00E1025F">
        <w:rPr>
          <w:rFonts w:hint="cs"/>
          <w:rtl/>
          <w:lang w:val="fr-CH"/>
        </w:rPr>
        <w:t xml:space="preserve">وكذلك </w:t>
      </w:r>
      <w:r>
        <w:rPr>
          <w:rFonts w:hint="cs"/>
          <w:rtl/>
          <w:lang w:val="fr-CH"/>
        </w:rPr>
        <w:t>إمكانية الاتصال بالسجناء على انفراد</w:t>
      </w:r>
      <w:r w:rsidRPr="00316484">
        <w:rPr>
          <w:rFonts w:hint="cs"/>
          <w:rtl/>
          <w:lang w:val="fr-CH"/>
        </w:rPr>
        <w:t xml:space="preserve"> </w:t>
      </w:r>
      <w:r>
        <w:rPr>
          <w:rFonts w:hint="cs"/>
          <w:rtl/>
          <w:lang w:val="fr-CH"/>
        </w:rPr>
        <w:t xml:space="preserve">دون أي عوائق. وينبغي لهيئات الرقابة المستقلة أن تتمكن من إبلاغ السلطات العامة </w:t>
      </w:r>
      <w:proofErr w:type="spellStart"/>
      <w:r>
        <w:rPr>
          <w:rFonts w:hint="cs"/>
          <w:rtl/>
          <w:lang w:val="fr-CH"/>
        </w:rPr>
        <w:t>المسؤولة</w:t>
      </w:r>
      <w:proofErr w:type="spellEnd"/>
      <w:r>
        <w:rPr>
          <w:rFonts w:hint="cs"/>
          <w:rtl/>
          <w:lang w:val="fr-CH"/>
        </w:rPr>
        <w:t xml:space="preserve"> عن نظام السجون والرأي العام بصورة عامة بنتائج أنشطتها. </w:t>
      </w:r>
    </w:p>
    <w:p w:rsidR="0049458D" w:rsidRDefault="0049458D" w:rsidP="00BB7AE1">
      <w:pPr>
        <w:pStyle w:val="SingleTxtGA"/>
        <w:rPr>
          <w:rFonts w:hint="cs"/>
          <w:rtl/>
          <w:lang w:val="fr-CH"/>
        </w:rPr>
      </w:pPr>
      <w:r>
        <w:rPr>
          <w:rFonts w:hint="cs"/>
          <w:rtl/>
          <w:lang w:val="fr-CH"/>
        </w:rPr>
        <w:t>17-</w:t>
      </w:r>
      <w:r>
        <w:rPr>
          <w:rFonts w:hint="cs"/>
          <w:rtl/>
          <w:lang w:val="fr-CH"/>
        </w:rPr>
        <w:tab/>
        <w:t xml:space="preserve">وينبغي </w:t>
      </w:r>
      <w:r w:rsidR="00E1025F">
        <w:rPr>
          <w:rFonts w:hint="cs"/>
          <w:rtl/>
          <w:lang w:val="fr-CH"/>
        </w:rPr>
        <w:t>كذلك أن تُبرز ا</w:t>
      </w:r>
      <w:r>
        <w:rPr>
          <w:rFonts w:hint="cs"/>
          <w:rtl/>
          <w:lang w:val="fr-CH"/>
        </w:rPr>
        <w:t xml:space="preserve">لقواعد النموذجية </w:t>
      </w:r>
      <w:r w:rsidR="00E1025F">
        <w:rPr>
          <w:rFonts w:hint="cs"/>
          <w:rtl/>
          <w:lang w:val="fr-CH"/>
        </w:rPr>
        <w:t xml:space="preserve">الفوارق في </w:t>
      </w:r>
      <w:r>
        <w:rPr>
          <w:rFonts w:hint="cs"/>
          <w:rtl/>
          <w:lang w:val="fr-CH"/>
        </w:rPr>
        <w:t xml:space="preserve">إشراف آليات الرقابة المختلفة، بما في ذلك إمكانية وجود فوارق في صلاحياتها وقدراتها، </w:t>
      </w:r>
      <w:r w:rsidR="00E1025F">
        <w:rPr>
          <w:rFonts w:hint="cs"/>
          <w:rtl/>
          <w:lang w:val="fr-CH"/>
        </w:rPr>
        <w:t xml:space="preserve">مما يستدعي </w:t>
      </w:r>
      <w:r>
        <w:rPr>
          <w:rFonts w:hint="cs"/>
          <w:rtl/>
          <w:lang w:val="fr-CH"/>
        </w:rPr>
        <w:t xml:space="preserve">نهجاً مختلفاً. وعلى سبيل المثال، يمكن أن تختلف زيارة آلية الوقاية الوطنية </w:t>
      </w:r>
      <w:r w:rsidR="00E1025F">
        <w:rPr>
          <w:rFonts w:hint="cs"/>
          <w:rtl/>
          <w:lang w:val="fr-CH"/>
        </w:rPr>
        <w:t xml:space="preserve">عن زيارة </w:t>
      </w:r>
      <w:r>
        <w:rPr>
          <w:rFonts w:hint="cs"/>
          <w:rtl/>
          <w:lang w:val="fr-CH"/>
        </w:rPr>
        <w:t>أمين المظالم، (</w:t>
      </w:r>
      <w:r w:rsidR="00E1025F">
        <w:rPr>
          <w:rFonts w:hint="cs"/>
          <w:rtl/>
          <w:lang w:val="fr-CH"/>
        </w:rPr>
        <w:t xml:space="preserve">على الرغم من </w:t>
      </w:r>
      <w:r>
        <w:rPr>
          <w:rFonts w:hint="cs"/>
          <w:rtl/>
          <w:lang w:val="fr-CH"/>
        </w:rPr>
        <w:t>أن أمين المظالم في بعض الدول هو آلية الوقاية الوطنية)؛ كأن تكون زيارة وقائية أو زيارة للتحقيق في شكوى. وينبغي</w:t>
      </w:r>
      <w:r w:rsidR="00E1025F">
        <w:rPr>
          <w:rFonts w:hint="cs"/>
          <w:rtl/>
          <w:lang w:val="fr-CH"/>
        </w:rPr>
        <w:t xml:space="preserve"> اعتبار زيارة أحد القضاة </w:t>
      </w:r>
      <w:r>
        <w:rPr>
          <w:rFonts w:hint="cs"/>
          <w:rtl/>
          <w:lang w:val="fr-CH"/>
        </w:rPr>
        <w:t>مختلفة أيضاً. فدور القضاة لا يتمثل في النظر في ظروف العيش أو غيرها من المسائل ذات الصلة بالاحتجاز من منظور وقائي</w:t>
      </w:r>
      <w:r w:rsidR="00E1025F">
        <w:rPr>
          <w:rFonts w:hint="cs"/>
          <w:rtl/>
          <w:lang w:val="fr-CH"/>
        </w:rPr>
        <w:t xml:space="preserve">، وإنما </w:t>
      </w:r>
      <w:r>
        <w:rPr>
          <w:rFonts w:hint="cs"/>
          <w:rtl/>
          <w:lang w:val="fr-CH"/>
        </w:rPr>
        <w:t xml:space="preserve">يمكن للقاضي أن يزور سجناً لمساعدته على اتخاذ قرار قضائي يتعلق بقضية أو شكوى. </w:t>
      </w:r>
      <w:r w:rsidR="00E1025F">
        <w:rPr>
          <w:rFonts w:hint="cs"/>
          <w:rtl/>
          <w:lang w:val="fr-CH"/>
        </w:rPr>
        <w:t>وإن</w:t>
      </w:r>
      <w:r w:rsidR="00BB7AE1">
        <w:rPr>
          <w:rFonts w:hint="eastAsia"/>
          <w:rtl/>
          <w:lang w:val="fr-CH"/>
        </w:rPr>
        <w:t> </w:t>
      </w:r>
      <w:r w:rsidR="00E1025F">
        <w:rPr>
          <w:rFonts w:hint="cs"/>
          <w:rtl/>
          <w:lang w:val="fr-CH"/>
        </w:rPr>
        <w:t xml:space="preserve">إسناد دور </w:t>
      </w:r>
      <w:r>
        <w:rPr>
          <w:rFonts w:hint="cs"/>
          <w:rtl/>
          <w:lang w:val="fr-CH"/>
        </w:rPr>
        <w:t xml:space="preserve">إشرافي </w:t>
      </w:r>
      <w:r w:rsidR="00E1025F">
        <w:rPr>
          <w:rFonts w:hint="cs"/>
          <w:rtl/>
          <w:lang w:val="fr-CH"/>
        </w:rPr>
        <w:t xml:space="preserve">إلى القضاة </w:t>
      </w:r>
      <w:r>
        <w:rPr>
          <w:rFonts w:hint="cs"/>
          <w:rtl/>
          <w:lang w:val="fr-CH"/>
        </w:rPr>
        <w:t xml:space="preserve">يتضمن صياغة توصيات (ذات طابع وقائي) </w:t>
      </w:r>
      <w:r w:rsidR="00E1025F">
        <w:rPr>
          <w:rFonts w:hint="cs"/>
          <w:rtl/>
          <w:lang w:val="fr-CH"/>
        </w:rPr>
        <w:t>قد يكون له أثر سلبي على دورهم المتمثل في البت في قضايا</w:t>
      </w:r>
      <w:r>
        <w:rPr>
          <w:rFonts w:hint="cs"/>
          <w:rtl/>
          <w:lang w:val="fr-CH"/>
        </w:rPr>
        <w:t xml:space="preserve">. </w:t>
      </w:r>
    </w:p>
    <w:p w:rsidR="0049458D" w:rsidRDefault="00E1025F" w:rsidP="00E1025F">
      <w:pPr>
        <w:pStyle w:val="H23GA"/>
        <w:rPr>
          <w:rFonts w:hint="cs"/>
          <w:rtl/>
          <w:lang w:val="fr-CH"/>
        </w:rPr>
      </w:pPr>
      <w:r>
        <w:rPr>
          <w:rFonts w:hint="cs"/>
          <w:rtl/>
          <w:lang w:val="fr-CH"/>
        </w:rPr>
        <w:tab/>
      </w:r>
      <w:r w:rsidR="0049458D">
        <w:rPr>
          <w:rFonts w:hint="cs"/>
          <w:rtl/>
          <w:lang w:val="fr-CH"/>
        </w:rPr>
        <w:t>2-</w:t>
      </w:r>
      <w:r w:rsidR="0049458D">
        <w:rPr>
          <w:rFonts w:hint="cs"/>
          <w:rtl/>
          <w:lang w:val="fr-CH"/>
        </w:rPr>
        <w:tab/>
        <w:t xml:space="preserve">منع التعذيب </w:t>
      </w:r>
    </w:p>
    <w:p w:rsidR="0049458D" w:rsidRDefault="0049458D" w:rsidP="00E1025F">
      <w:pPr>
        <w:pStyle w:val="SingleTxtGA"/>
        <w:rPr>
          <w:rFonts w:hint="cs"/>
          <w:rtl/>
          <w:lang w:val="fr-CH"/>
        </w:rPr>
      </w:pPr>
      <w:r>
        <w:rPr>
          <w:rFonts w:hint="cs"/>
          <w:rtl/>
          <w:lang w:val="fr-CH"/>
        </w:rPr>
        <w:t>18-</w:t>
      </w:r>
      <w:r>
        <w:rPr>
          <w:rFonts w:hint="cs"/>
          <w:rtl/>
          <w:lang w:val="fr-CH"/>
        </w:rPr>
        <w:tab/>
        <w:t xml:space="preserve">ينبغي أن تُستخدَم بعض أحكام القواعد النموذجية لتناول منع التعذيب وغيره من المعاملة السيئة تحديداً. وينبغي أن تكون هناك تدابير على أرض الواقع تُمكِّن من تسجيل الإصابات والشكاوى من جانب طبيب </w:t>
      </w:r>
      <w:r w:rsidR="00E1025F">
        <w:rPr>
          <w:rFonts w:hint="cs"/>
          <w:rtl/>
          <w:lang w:val="fr-CH"/>
        </w:rPr>
        <w:t xml:space="preserve">مؤهل </w:t>
      </w:r>
      <w:r>
        <w:rPr>
          <w:rFonts w:hint="cs"/>
          <w:rtl/>
          <w:lang w:val="fr-CH"/>
        </w:rPr>
        <w:t xml:space="preserve">عندما يصل السجين إلى السجن، أو عندما يشتكى من هذه الإصابات أو يقدم هذه الادعاءات أو يجري اكتشافها. وعند اكتشاف الإصابات أو في الحالات التي تُقدَّم فيها شكوى بإساءة المعاملة، ينبغي لموظفي السجون أن يبلغوا فوراً بذلك السلطات المعنية </w:t>
      </w:r>
      <w:proofErr w:type="spellStart"/>
      <w:r>
        <w:rPr>
          <w:rFonts w:hint="cs"/>
          <w:rtl/>
          <w:lang w:val="fr-CH"/>
        </w:rPr>
        <w:t>المسؤولة</w:t>
      </w:r>
      <w:proofErr w:type="spellEnd"/>
      <w:r>
        <w:rPr>
          <w:rFonts w:hint="cs"/>
          <w:rtl/>
          <w:lang w:val="fr-CH"/>
        </w:rPr>
        <w:t xml:space="preserve"> عن التحقيق في هذه الادّعاءات. وبالمثل، ينبغي تأمين العرض على طبيب يختاره السجين لهذا الغرض (وهو قرار يمكن أن يستند إلى اختصاص طبي و/ أو إلى طبيب محدد). </w:t>
      </w:r>
    </w:p>
    <w:p w:rsidR="0049458D" w:rsidRDefault="00E1025F" w:rsidP="00E1025F">
      <w:pPr>
        <w:pStyle w:val="H23GA"/>
        <w:rPr>
          <w:rFonts w:hint="cs"/>
          <w:rtl/>
          <w:lang w:val="fr-CH"/>
        </w:rPr>
      </w:pPr>
      <w:r>
        <w:rPr>
          <w:rFonts w:hint="cs"/>
          <w:rtl/>
          <w:lang w:val="fr-CH"/>
        </w:rPr>
        <w:tab/>
      </w:r>
      <w:r w:rsidR="0049458D">
        <w:rPr>
          <w:rFonts w:hint="cs"/>
          <w:rtl/>
          <w:lang w:val="fr-CH"/>
        </w:rPr>
        <w:t>3-</w:t>
      </w:r>
      <w:r w:rsidR="0049458D">
        <w:rPr>
          <w:rFonts w:hint="cs"/>
          <w:rtl/>
          <w:lang w:val="fr-CH"/>
        </w:rPr>
        <w:tab/>
        <w:t xml:space="preserve">السجون الخاصة </w:t>
      </w:r>
    </w:p>
    <w:p w:rsidR="0049458D" w:rsidRDefault="0049458D" w:rsidP="00E1025F">
      <w:pPr>
        <w:pStyle w:val="SingleTxtGA"/>
        <w:rPr>
          <w:rFonts w:hint="cs"/>
          <w:rtl/>
          <w:lang w:val="fr-CH"/>
        </w:rPr>
      </w:pPr>
      <w:r>
        <w:rPr>
          <w:rFonts w:hint="cs"/>
          <w:rtl/>
          <w:lang w:val="fr-CH"/>
        </w:rPr>
        <w:t>19-</w:t>
      </w:r>
      <w:r>
        <w:rPr>
          <w:rFonts w:hint="cs"/>
          <w:rtl/>
          <w:lang w:val="fr-CH"/>
        </w:rPr>
        <w:tab/>
        <w:t>يجب أن تشمل لوائح القواعد النموذجية حكماً بشأن انطباقها على السجون الخاصة مثل انطباقها على السجون الخاضعة للإدارة العامة. وينبغي أن تخضع السجون الخاصة</w:t>
      </w:r>
      <w:r w:rsidR="00E1025F">
        <w:rPr>
          <w:rFonts w:hint="cs"/>
          <w:rtl/>
          <w:lang w:val="fr-CH"/>
        </w:rPr>
        <w:t xml:space="preserve"> </w:t>
      </w:r>
      <w:r>
        <w:rPr>
          <w:rFonts w:hint="cs"/>
          <w:rtl/>
          <w:lang w:val="fr-CH"/>
        </w:rPr>
        <w:t xml:space="preserve">لتدقيق </w:t>
      </w:r>
      <w:r w:rsidR="00E1025F">
        <w:rPr>
          <w:rFonts w:hint="cs"/>
          <w:rtl/>
          <w:lang w:val="fr-CH"/>
        </w:rPr>
        <w:t xml:space="preserve">خاص </w:t>
      </w:r>
      <w:r>
        <w:rPr>
          <w:rFonts w:hint="cs"/>
          <w:rtl/>
          <w:lang w:val="fr-CH"/>
        </w:rPr>
        <w:t>من جانب آلية الوقاية الوطنية أو الهيئات المستقلة الأخرى، مثل أمين المظالم أو لجنة برلمانية. وينبغي</w:t>
      </w:r>
      <w:r w:rsidR="00E1025F">
        <w:rPr>
          <w:rFonts w:hint="cs"/>
          <w:rtl/>
          <w:lang w:val="fr-CH"/>
        </w:rPr>
        <w:t xml:space="preserve"> أن توضح ا</w:t>
      </w:r>
      <w:r>
        <w:rPr>
          <w:rFonts w:hint="cs"/>
          <w:rtl/>
          <w:lang w:val="fr-CH"/>
        </w:rPr>
        <w:t xml:space="preserve">لقواعد النموذجية ذلك. </w:t>
      </w:r>
    </w:p>
    <w:p w:rsidR="0049458D" w:rsidRDefault="00E1025F" w:rsidP="00E1025F">
      <w:pPr>
        <w:pStyle w:val="H23GA"/>
        <w:rPr>
          <w:rFonts w:hint="cs"/>
          <w:rtl/>
          <w:lang w:val="fr-CH"/>
        </w:rPr>
      </w:pPr>
      <w:r>
        <w:rPr>
          <w:rFonts w:hint="cs"/>
          <w:rtl/>
          <w:lang w:val="fr-CH"/>
        </w:rPr>
        <w:tab/>
      </w:r>
      <w:r w:rsidR="0049458D">
        <w:rPr>
          <w:rFonts w:hint="cs"/>
          <w:rtl/>
          <w:lang w:val="fr-CH"/>
        </w:rPr>
        <w:t>4-</w:t>
      </w:r>
      <w:r w:rsidR="0049458D">
        <w:rPr>
          <w:rFonts w:hint="cs"/>
          <w:rtl/>
          <w:lang w:val="fr-CH"/>
        </w:rPr>
        <w:tab/>
        <w:t>الاستعاضة عن المصطلحات/المفاهيم البالية</w:t>
      </w:r>
    </w:p>
    <w:p w:rsidR="0049458D" w:rsidRDefault="0049458D" w:rsidP="00E1025F">
      <w:pPr>
        <w:pStyle w:val="SingleTxtGA"/>
        <w:rPr>
          <w:rFonts w:hint="cs"/>
          <w:rtl/>
          <w:lang w:val="fr-CH"/>
        </w:rPr>
      </w:pPr>
      <w:r>
        <w:rPr>
          <w:rFonts w:hint="cs"/>
          <w:rtl/>
          <w:lang w:val="fr-CH"/>
        </w:rPr>
        <w:t>20-</w:t>
      </w:r>
      <w:r>
        <w:rPr>
          <w:rFonts w:hint="cs"/>
          <w:rtl/>
          <w:lang w:val="fr-CH"/>
        </w:rPr>
        <w:tab/>
        <w:t xml:space="preserve">ينبغي التخلي نهائياً عن استعمال المفاهيم والألفاظ التي تعتبر النزلاء مرضى </w:t>
      </w:r>
      <w:proofErr w:type="spellStart"/>
      <w:r>
        <w:rPr>
          <w:rFonts w:hint="cs"/>
          <w:rtl/>
          <w:lang w:val="fr-CH"/>
        </w:rPr>
        <w:t>سريريين</w:t>
      </w:r>
      <w:proofErr w:type="spellEnd"/>
      <w:r>
        <w:rPr>
          <w:rFonts w:hint="cs"/>
          <w:rtl/>
          <w:lang w:val="fr-CH"/>
        </w:rPr>
        <w:t xml:space="preserve"> أو يخضعون للعلاج أو لإعادة التأهيل. وبدل ذلك، يجب استخدام نهج لحقوق الإنسان قائم على المساءلة والحقوق والالتزامات والمحاكمة العادلة والتركيز </w:t>
      </w:r>
      <w:r w:rsidR="00E1025F">
        <w:rPr>
          <w:rFonts w:hint="cs"/>
          <w:rtl/>
          <w:lang w:val="fr-CH"/>
        </w:rPr>
        <w:t>عليها، و</w:t>
      </w:r>
      <w:r>
        <w:rPr>
          <w:rFonts w:hint="cs"/>
          <w:rtl/>
          <w:lang w:val="fr-CH"/>
        </w:rPr>
        <w:t xml:space="preserve">على سبيل المثال، </w:t>
      </w:r>
      <w:r w:rsidR="00E1025F">
        <w:rPr>
          <w:rFonts w:hint="cs"/>
          <w:rtl/>
          <w:lang w:val="fr-CH"/>
        </w:rPr>
        <w:t>ال</w:t>
      </w:r>
      <w:r>
        <w:rPr>
          <w:rFonts w:hint="cs"/>
          <w:rtl/>
          <w:lang w:val="fr-CH"/>
        </w:rPr>
        <w:t xml:space="preserve">مصطلحات </w:t>
      </w:r>
      <w:r w:rsidR="00E1025F">
        <w:rPr>
          <w:rFonts w:hint="cs"/>
          <w:rtl/>
          <w:lang w:val="fr-CH"/>
        </w:rPr>
        <w:t xml:space="preserve">التي </w:t>
      </w:r>
      <w:r>
        <w:rPr>
          <w:rFonts w:hint="cs"/>
          <w:rtl/>
          <w:lang w:val="fr-CH"/>
        </w:rPr>
        <w:t xml:space="preserve">تتصل بالأشخاص ذوي الإعاقة العقلية. </w:t>
      </w:r>
    </w:p>
    <w:p w:rsidR="0049458D" w:rsidRDefault="0049458D" w:rsidP="00E1025F">
      <w:pPr>
        <w:pStyle w:val="SingleTxtGA"/>
        <w:rPr>
          <w:rFonts w:hint="cs"/>
          <w:rtl/>
          <w:lang w:val="fr-CH"/>
        </w:rPr>
      </w:pPr>
      <w:r>
        <w:rPr>
          <w:rFonts w:hint="cs"/>
          <w:rtl/>
          <w:lang w:val="fr-CH"/>
        </w:rPr>
        <w:t>21-</w:t>
      </w:r>
      <w:r>
        <w:rPr>
          <w:rFonts w:hint="cs"/>
          <w:rtl/>
          <w:lang w:val="fr-CH"/>
        </w:rPr>
        <w:tab/>
        <w:t xml:space="preserve">ويجب أن تسترشد القرارات </w:t>
      </w:r>
      <w:r w:rsidR="00E1025F">
        <w:rPr>
          <w:rFonts w:hint="cs"/>
          <w:rtl/>
          <w:lang w:val="fr-CH"/>
        </w:rPr>
        <w:t xml:space="preserve">المتعلقة بمختلف الأماكن والمرافق التي يُحتجَز فيها السجين بمراقبة السلوك أثناء الاحتجاز، وبنهج الحس السليم القائم على وقائع موضوعية. </w:t>
      </w:r>
      <w:r>
        <w:rPr>
          <w:rFonts w:hint="cs"/>
          <w:rtl/>
          <w:lang w:val="fr-CH"/>
        </w:rPr>
        <w:t xml:space="preserve">ومن غير المناسب الاستناد إلى نهج يوصم المحتجز. </w:t>
      </w:r>
    </w:p>
    <w:p w:rsidR="0049458D" w:rsidRDefault="0049458D" w:rsidP="00E1025F">
      <w:pPr>
        <w:pStyle w:val="SingleTxtGA"/>
        <w:rPr>
          <w:rFonts w:hint="cs"/>
          <w:rtl/>
          <w:lang w:val="fr-CH"/>
        </w:rPr>
      </w:pPr>
      <w:r>
        <w:rPr>
          <w:rFonts w:hint="cs"/>
          <w:rtl/>
          <w:lang w:val="fr-CH"/>
        </w:rPr>
        <w:t>22-</w:t>
      </w:r>
      <w:r>
        <w:rPr>
          <w:rFonts w:hint="cs"/>
          <w:rtl/>
          <w:lang w:val="fr-CH"/>
        </w:rPr>
        <w:tab/>
        <w:t>وينبغي تفادي الافتراضات القائمة على أن الأشخاص المدانين بجرائم يفتقرون إلى الاحترام الذاتي أو إلى حس بالمسؤولية، و</w:t>
      </w:r>
      <w:r w:rsidR="00E1025F">
        <w:rPr>
          <w:rFonts w:hint="cs"/>
          <w:rtl/>
          <w:lang w:val="fr-CH"/>
        </w:rPr>
        <w:t xml:space="preserve">أنهم بحاجة إلى </w:t>
      </w:r>
      <w:r>
        <w:rPr>
          <w:rFonts w:hint="cs"/>
          <w:rtl/>
          <w:lang w:val="fr-CH"/>
        </w:rPr>
        <w:t xml:space="preserve">إحراز تقدم، أو أنه ينبغي أن يُقيَّموا على أسس مَرَضية. </w:t>
      </w:r>
    </w:p>
    <w:p w:rsidR="0049458D" w:rsidRDefault="0049458D" w:rsidP="0070695A">
      <w:pPr>
        <w:pStyle w:val="SingleTxtGA"/>
        <w:rPr>
          <w:rFonts w:hint="cs"/>
          <w:rtl/>
          <w:lang w:val="fr-CH"/>
        </w:rPr>
      </w:pPr>
      <w:r>
        <w:rPr>
          <w:rFonts w:hint="cs"/>
          <w:rtl/>
          <w:lang w:val="fr-CH"/>
        </w:rPr>
        <w:t>23-</w:t>
      </w:r>
      <w:r>
        <w:rPr>
          <w:rFonts w:hint="cs"/>
          <w:rtl/>
          <w:lang w:val="fr-CH"/>
        </w:rPr>
        <w:tab/>
        <w:t xml:space="preserve">وينبغي التشديد على أنه بالرغم من أن </w:t>
      </w:r>
      <w:r w:rsidR="00E1025F">
        <w:rPr>
          <w:rFonts w:hint="cs"/>
          <w:rtl/>
          <w:lang w:val="fr-CH"/>
        </w:rPr>
        <w:t xml:space="preserve">السجون لا تمثل </w:t>
      </w:r>
      <w:r>
        <w:rPr>
          <w:rFonts w:hint="cs"/>
          <w:rtl/>
          <w:lang w:val="fr-CH"/>
        </w:rPr>
        <w:t>جزءاً من نظام العدالة الجنائية في بعض الدول (أي أنه لا ي</w:t>
      </w:r>
      <w:r w:rsidR="0070695A">
        <w:rPr>
          <w:rFonts w:hint="cs"/>
          <w:rtl/>
          <w:lang w:val="fr-CH"/>
        </w:rPr>
        <w:t xml:space="preserve">حكمها </w:t>
      </w:r>
      <w:r>
        <w:rPr>
          <w:rFonts w:hint="cs"/>
          <w:rtl/>
          <w:lang w:val="fr-CH"/>
        </w:rPr>
        <w:t xml:space="preserve">الجهاز القضائي وتشرف </w:t>
      </w:r>
      <w:r w:rsidR="0070695A">
        <w:rPr>
          <w:rFonts w:hint="cs"/>
          <w:rtl/>
          <w:lang w:val="fr-CH"/>
        </w:rPr>
        <w:t xml:space="preserve">عليها </w:t>
      </w:r>
      <w:r>
        <w:rPr>
          <w:rFonts w:hint="cs"/>
          <w:rtl/>
          <w:lang w:val="fr-CH"/>
        </w:rPr>
        <w:t xml:space="preserve">سلطات إدارية فرعية)، </w:t>
      </w:r>
      <w:r w:rsidR="0070695A">
        <w:rPr>
          <w:rFonts w:hint="cs"/>
          <w:rtl/>
          <w:lang w:val="fr-CH"/>
        </w:rPr>
        <w:t xml:space="preserve">فإنه </w:t>
      </w:r>
      <w:r>
        <w:rPr>
          <w:rFonts w:hint="cs"/>
          <w:rtl/>
          <w:lang w:val="fr-CH"/>
        </w:rPr>
        <w:t xml:space="preserve">يجب عليها أن </w:t>
      </w:r>
      <w:r w:rsidR="0070695A">
        <w:rPr>
          <w:rFonts w:hint="cs"/>
          <w:rtl/>
          <w:lang w:val="fr-CH"/>
        </w:rPr>
        <w:t xml:space="preserve">تتقيد بالأحكام والقرارات </w:t>
      </w:r>
      <w:r>
        <w:rPr>
          <w:rFonts w:hint="cs"/>
          <w:rtl/>
          <w:lang w:val="fr-CH"/>
        </w:rPr>
        <w:t xml:space="preserve">التي </w:t>
      </w:r>
      <w:r w:rsidR="0070695A">
        <w:rPr>
          <w:rFonts w:hint="cs"/>
          <w:rtl/>
          <w:lang w:val="fr-CH"/>
        </w:rPr>
        <w:t xml:space="preserve">تمنحها </w:t>
      </w:r>
      <w:r>
        <w:rPr>
          <w:rFonts w:hint="cs"/>
          <w:rtl/>
          <w:lang w:val="fr-CH"/>
        </w:rPr>
        <w:t xml:space="preserve">السلطة الشرعية لاحتجاز النزلاء. </w:t>
      </w:r>
      <w:r w:rsidR="0070695A">
        <w:rPr>
          <w:rFonts w:hint="cs"/>
          <w:rtl/>
          <w:lang w:val="fr-CH"/>
        </w:rPr>
        <w:t xml:space="preserve">أي </w:t>
      </w:r>
      <w:r>
        <w:rPr>
          <w:rFonts w:hint="cs"/>
          <w:rtl/>
          <w:lang w:val="fr-CH"/>
        </w:rPr>
        <w:t xml:space="preserve">يجب على السجون أن تعمل في إطار معايير سلطتها المشروعة </w:t>
      </w:r>
      <w:r w:rsidR="0070695A">
        <w:rPr>
          <w:rFonts w:hint="cs"/>
          <w:rtl/>
          <w:lang w:val="fr-CH"/>
        </w:rPr>
        <w:t>و</w:t>
      </w:r>
      <w:r>
        <w:rPr>
          <w:rFonts w:hint="cs"/>
          <w:rtl/>
          <w:lang w:val="fr-CH"/>
        </w:rPr>
        <w:t xml:space="preserve">في الإطار القانوني </w:t>
      </w:r>
      <w:r w:rsidR="0070695A">
        <w:rPr>
          <w:rFonts w:hint="cs"/>
          <w:rtl/>
          <w:lang w:val="fr-CH"/>
        </w:rPr>
        <w:t xml:space="preserve">وإطار </w:t>
      </w:r>
      <w:r>
        <w:rPr>
          <w:rFonts w:hint="cs"/>
          <w:rtl/>
          <w:lang w:val="fr-CH"/>
        </w:rPr>
        <w:t xml:space="preserve">احترام حقوق الإنسان. ولا يحق لأي سلطة إدارية تشديد </w:t>
      </w:r>
      <w:r w:rsidR="0070695A">
        <w:rPr>
          <w:rFonts w:hint="cs"/>
          <w:rtl/>
          <w:lang w:val="fr-CH"/>
        </w:rPr>
        <w:t xml:space="preserve">الحكم </w:t>
      </w:r>
      <w:r>
        <w:rPr>
          <w:rFonts w:hint="cs"/>
          <w:rtl/>
          <w:lang w:val="fr-CH"/>
        </w:rPr>
        <w:t xml:space="preserve">القضائي بموجب قرار صادر عنها. </w:t>
      </w:r>
    </w:p>
    <w:p w:rsidR="0049458D" w:rsidRDefault="0049458D" w:rsidP="0049458D">
      <w:pPr>
        <w:pStyle w:val="SingleTxtGA"/>
        <w:rPr>
          <w:rFonts w:hint="cs"/>
          <w:rtl/>
          <w:lang w:val="fr-CH"/>
        </w:rPr>
      </w:pPr>
      <w:r>
        <w:rPr>
          <w:rFonts w:hint="cs"/>
          <w:rtl/>
          <w:lang w:val="fr-CH"/>
        </w:rPr>
        <w:t>24-</w:t>
      </w:r>
      <w:r>
        <w:rPr>
          <w:rFonts w:hint="cs"/>
          <w:rtl/>
          <w:lang w:val="fr-CH"/>
        </w:rPr>
        <w:tab/>
        <w:t xml:space="preserve">وينبغي إعادة النظر في البيانات والتدخلات التي تؤيد ممارسة تقليص وجبة السجين كشكل من أشكال العقاب في ظل أي ظروف. </w:t>
      </w:r>
    </w:p>
    <w:p w:rsidR="0049458D" w:rsidRDefault="0049458D" w:rsidP="00BB7AE1">
      <w:pPr>
        <w:pStyle w:val="SingleTxtGA"/>
        <w:rPr>
          <w:rFonts w:hint="cs"/>
          <w:rtl/>
          <w:lang w:val="fr-CH"/>
        </w:rPr>
      </w:pPr>
      <w:r>
        <w:rPr>
          <w:rFonts w:hint="cs"/>
          <w:rtl/>
          <w:lang w:val="fr-CH"/>
        </w:rPr>
        <w:t>25-</w:t>
      </w:r>
      <w:r>
        <w:rPr>
          <w:rFonts w:hint="cs"/>
          <w:rtl/>
          <w:lang w:val="fr-CH"/>
        </w:rPr>
        <w:tab/>
        <w:t xml:space="preserve">ويجب احترام حرية ضمير السجناء في جميع الأوقات، والتخلي التام عن دراسات الشخصية الواردة في القواعد النموذجية وكذلك عن أي محاولات لتغيير شخصية المحتجز الذاتية. وبدل ذلك، يجب توجيه العناية إلى الخدمات التي تتيحها المؤسسات والحكم الرشيد والمساءلة. </w:t>
      </w:r>
    </w:p>
    <w:p w:rsidR="0070695A" w:rsidRPr="0070695A" w:rsidRDefault="0070695A" w:rsidP="0070695A">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70695A" w:rsidRPr="0070695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29E" w:rsidRPr="00FE6865" w:rsidRDefault="0009529E" w:rsidP="00FE6865">
      <w:pPr>
        <w:pStyle w:val="Footer"/>
      </w:pPr>
    </w:p>
  </w:endnote>
  <w:endnote w:type="continuationSeparator" w:id="0">
    <w:p w:rsidR="0009529E" w:rsidRDefault="00095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25F" w:rsidRPr="0049458D" w:rsidRDefault="00E1025F" w:rsidP="0049458D">
    <w:pPr>
      <w:pStyle w:val="Footer"/>
      <w:tabs>
        <w:tab w:val="right" w:pos="9598"/>
      </w:tabs>
    </w:pPr>
    <w:r>
      <w:t>GE.13-40868</w:t>
    </w:r>
    <w:r>
      <w:tab/>
    </w:r>
    <w:r w:rsidRPr="0049458D">
      <w:rPr>
        <w:b/>
        <w:sz w:val="18"/>
      </w:rPr>
      <w:fldChar w:fldCharType="begin"/>
    </w:r>
    <w:r w:rsidRPr="0049458D">
      <w:rPr>
        <w:b/>
        <w:sz w:val="18"/>
      </w:rPr>
      <w:instrText xml:space="preserve"> PAGE  \* MERGEFORMAT </w:instrText>
    </w:r>
    <w:r w:rsidRPr="0049458D">
      <w:rPr>
        <w:b/>
        <w:sz w:val="18"/>
      </w:rPr>
      <w:fldChar w:fldCharType="separate"/>
    </w:r>
    <w:r w:rsidR="00201B83">
      <w:rPr>
        <w:b/>
        <w:noProof/>
        <w:sz w:val="18"/>
      </w:rPr>
      <w:t>10</w:t>
    </w:r>
    <w:r w:rsidRPr="0049458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25F" w:rsidRPr="0049458D" w:rsidRDefault="00E1025F" w:rsidP="0049458D">
    <w:pPr>
      <w:pStyle w:val="Footer"/>
      <w:tabs>
        <w:tab w:val="right" w:pos="9598"/>
      </w:tabs>
      <w:rPr>
        <w:b/>
        <w:sz w:val="18"/>
      </w:rPr>
    </w:pPr>
    <w:r w:rsidRPr="0049458D">
      <w:rPr>
        <w:b/>
        <w:sz w:val="18"/>
      </w:rPr>
      <w:fldChar w:fldCharType="begin"/>
    </w:r>
    <w:r w:rsidRPr="0049458D">
      <w:rPr>
        <w:b/>
        <w:sz w:val="18"/>
      </w:rPr>
      <w:instrText xml:space="preserve"> PAGE  \* MERGEFORMAT </w:instrText>
    </w:r>
    <w:r w:rsidRPr="0049458D">
      <w:rPr>
        <w:b/>
        <w:sz w:val="18"/>
      </w:rPr>
      <w:fldChar w:fldCharType="separate"/>
    </w:r>
    <w:r w:rsidR="00201B83">
      <w:rPr>
        <w:b/>
        <w:noProof/>
        <w:sz w:val="18"/>
      </w:rPr>
      <w:t>9</w:t>
    </w:r>
    <w:r w:rsidRPr="0049458D">
      <w:rPr>
        <w:b/>
        <w:sz w:val="18"/>
      </w:rPr>
      <w:fldChar w:fldCharType="end"/>
    </w:r>
    <w:r>
      <w:rPr>
        <w:b/>
        <w:sz w:val="18"/>
      </w:rPr>
      <w:tab/>
    </w:r>
    <w:r>
      <w:t>GE.13-40868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25F" w:rsidRDefault="00E1025F" w:rsidP="002C1BA9">
    <w:pPr>
      <w:pStyle w:val="Footer"/>
      <w:jc w:val="right"/>
    </w:pPr>
    <w:r>
      <w:rPr>
        <w:sz w:val="20"/>
      </w:rPr>
      <w:t>(A)   GE.13-40868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2C1BA9">
      <w:rPr>
        <w:sz w:val="20"/>
      </w:rPr>
      <w:t xml:space="preserve">    280213    0103</w:t>
    </w:r>
    <w:r>
      <w:rPr>
        <w:sz w:val="20"/>
      </w:rPr>
      <w:t>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29E" w:rsidRDefault="0009529E" w:rsidP="00834FF4">
      <w:pPr>
        <w:pStyle w:val="Footer"/>
        <w:bidi/>
        <w:spacing w:after="80" w:line="200" w:lineRule="exact"/>
        <w:ind w:left="680"/>
      </w:pPr>
      <w:r>
        <w:rPr>
          <w:rFonts w:hint="cs"/>
          <w:rtl/>
        </w:rPr>
        <w:t>__________</w:t>
      </w:r>
    </w:p>
  </w:footnote>
  <w:footnote w:type="continuationSeparator" w:id="0">
    <w:p w:rsidR="0009529E" w:rsidRDefault="0009529E" w:rsidP="00834FF4">
      <w:pPr>
        <w:pStyle w:val="Footer"/>
        <w:bidi/>
        <w:spacing w:after="80" w:line="200" w:lineRule="exact"/>
        <w:ind w:left="680"/>
      </w:pPr>
      <w:r>
        <w:rPr>
          <w:rFonts w:hint="cs"/>
          <w:rtl/>
        </w:rPr>
        <w:t>__________</w:t>
      </w:r>
    </w:p>
  </w:footnote>
  <w:footnote w:id="1">
    <w:p w:rsidR="00E1025F" w:rsidRPr="00E32E78" w:rsidRDefault="00E1025F" w:rsidP="0049458D">
      <w:pPr>
        <w:pStyle w:val="footnoteText0"/>
        <w:rPr>
          <w:rFonts w:hint="cs"/>
        </w:rPr>
      </w:pPr>
      <w:r w:rsidRPr="00E32E78">
        <w:rPr>
          <w:rtl/>
        </w:rPr>
        <w:tab/>
      </w:r>
      <w:r w:rsidRPr="00E32E78">
        <w:rPr>
          <w:rStyle w:val="FootnoteReference"/>
          <w:szCs w:val="26"/>
          <w:vertAlign w:val="baseline"/>
          <w:rtl/>
        </w:rPr>
        <w:t>*</w:t>
      </w:r>
      <w:r w:rsidRPr="00E32E78">
        <w:rPr>
          <w:rtl/>
        </w:rPr>
        <w:tab/>
      </w:r>
      <w:r w:rsidRPr="00E32E78">
        <w:rPr>
          <w:rFonts w:hint="cs"/>
          <w:rtl/>
        </w:rPr>
        <w:t>لم تحرر هذه الوثيقة رسمياً قبل إرسالها إلى دوائر الترجمة التحريرية في الأمم المتحدة.</w:t>
      </w:r>
    </w:p>
  </w:footnote>
  <w:footnote w:id="2">
    <w:p w:rsidR="00E1025F" w:rsidRPr="00E32E78" w:rsidRDefault="00E1025F" w:rsidP="0049458D">
      <w:pPr>
        <w:pStyle w:val="FootnoteText"/>
        <w:numPr>
          <w:ilvl w:val="0"/>
          <w:numId w:val="40"/>
        </w:numPr>
        <w:spacing w:after="60" w:line="300" w:lineRule="exact"/>
        <w:ind w:left="1247" w:right="1247"/>
        <w:rPr>
          <w:sz w:val="18"/>
          <w:szCs w:val="26"/>
        </w:rPr>
      </w:pPr>
      <w:r w:rsidRPr="00E32E78">
        <w:rPr>
          <w:rFonts w:hint="cs"/>
          <w:sz w:val="18"/>
          <w:szCs w:val="26"/>
          <w:rtl/>
        </w:rPr>
        <w:t>مؤتمر الأمم المتحدة السابع لمنع الجريمة، 1985.</w:t>
      </w:r>
    </w:p>
  </w:footnote>
  <w:footnote w:id="3">
    <w:p w:rsidR="00E1025F" w:rsidRPr="00E32E78" w:rsidRDefault="00E1025F" w:rsidP="0049458D">
      <w:pPr>
        <w:pStyle w:val="FootnoteText"/>
        <w:numPr>
          <w:ilvl w:val="0"/>
          <w:numId w:val="40"/>
        </w:numPr>
        <w:spacing w:after="60" w:line="300" w:lineRule="exact"/>
        <w:ind w:left="1247" w:right="1247"/>
        <w:rPr>
          <w:sz w:val="18"/>
          <w:szCs w:val="26"/>
          <w:rtl/>
        </w:rPr>
      </w:pPr>
      <w:r w:rsidRPr="00E32E78">
        <w:rPr>
          <w:rFonts w:hint="cs"/>
          <w:sz w:val="18"/>
          <w:szCs w:val="26"/>
          <w:rtl/>
        </w:rPr>
        <w:t>اعتمدها مؤتمر الأمم المتحدة الثامن لمنع الجريمة (1990).</w:t>
      </w:r>
    </w:p>
  </w:footnote>
  <w:footnote w:id="4">
    <w:p w:rsidR="00E1025F" w:rsidRPr="00E32E78" w:rsidRDefault="00E1025F" w:rsidP="0049458D">
      <w:pPr>
        <w:pStyle w:val="FootnoteText"/>
        <w:numPr>
          <w:ilvl w:val="0"/>
          <w:numId w:val="40"/>
        </w:numPr>
        <w:spacing w:after="60" w:line="300" w:lineRule="exact"/>
        <w:ind w:left="1247" w:right="1247"/>
        <w:rPr>
          <w:sz w:val="18"/>
          <w:szCs w:val="26"/>
          <w:rtl/>
        </w:rPr>
      </w:pPr>
      <w:r w:rsidRPr="00E32E78">
        <w:rPr>
          <w:bCs/>
          <w:sz w:val="18"/>
          <w:szCs w:val="26"/>
        </w:rPr>
        <w:t>CAT/OP/12/6</w:t>
      </w:r>
      <w:r w:rsidRPr="00E32E78">
        <w:rPr>
          <w:sz w:val="18"/>
          <w:szCs w:val="26"/>
        </w:rPr>
        <w:t xml:space="preserve"> (2010)</w:t>
      </w:r>
      <w:r w:rsidRPr="00E32E78">
        <w:rPr>
          <w:rFonts w:hint="cs"/>
          <w:sz w:val="18"/>
          <w:szCs w:val="26"/>
          <w:rtl/>
        </w:rPr>
        <w:t>.</w:t>
      </w:r>
    </w:p>
  </w:footnote>
  <w:footnote w:id="5">
    <w:p w:rsidR="00E1025F" w:rsidRPr="00E32E78" w:rsidRDefault="00E1025F" w:rsidP="0049458D">
      <w:pPr>
        <w:pStyle w:val="FootnoteText"/>
        <w:numPr>
          <w:ilvl w:val="0"/>
          <w:numId w:val="40"/>
        </w:numPr>
        <w:spacing w:after="60" w:line="300" w:lineRule="exact"/>
        <w:ind w:left="1247" w:right="1247"/>
        <w:rPr>
          <w:sz w:val="18"/>
          <w:szCs w:val="26"/>
        </w:rPr>
      </w:pPr>
      <w:r w:rsidRPr="00E32E78">
        <w:rPr>
          <w:rFonts w:hint="cs"/>
          <w:sz w:val="18"/>
          <w:szCs w:val="26"/>
          <w:rtl/>
        </w:rPr>
        <w:t>التقرير السنوي الخامس (2011).</w:t>
      </w:r>
    </w:p>
  </w:footnote>
  <w:footnote w:id="6">
    <w:p w:rsidR="00E1025F" w:rsidRPr="00E32E78" w:rsidRDefault="00E1025F" w:rsidP="0049458D">
      <w:pPr>
        <w:pStyle w:val="FootnoteText"/>
        <w:numPr>
          <w:ilvl w:val="0"/>
          <w:numId w:val="42"/>
        </w:numPr>
        <w:spacing w:after="60" w:line="300" w:lineRule="exact"/>
        <w:ind w:right="1247"/>
        <w:rPr>
          <w:rFonts w:hint="cs"/>
          <w:sz w:val="18"/>
          <w:szCs w:val="26"/>
          <w:rtl/>
        </w:rPr>
      </w:pPr>
      <w:r w:rsidRPr="00E32E78">
        <w:rPr>
          <w:rFonts w:hint="cs"/>
          <w:sz w:val="18"/>
          <w:szCs w:val="26"/>
          <w:rtl/>
        </w:rPr>
        <w:t>تقرير عن الزيارة إلى إيطاليا (2008)، الفقرة 160.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25F" w:rsidRPr="0049458D" w:rsidRDefault="00E1025F" w:rsidP="0049458D">
    <w:pPr>
      <w:pStyle w:val="Header"/>
      <w:jc w:val="right"/>
    </w:pPr>
    <w:r w:rsidRPr="0049458D">
      <w:t>CAT/OP/4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25F" w:rsidRPr="0049458D" w:rsidRDefault="00E1025F" w:rsidP="0049458D">
    <w:pPr>
      <w:pStyle w:val="Header"/>
      <w:jc w:val="left"/>
    </w:pPr>
    <w:r w:rsidRPr="0049458D">
      <w:t>CAT/OP/4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25F" w:rsidRDefault="00E1025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71pt;margin-top:19.35pt;width:252pt;height:117pt;z-index:2" o:allowincell="f" filled="f" stroked="f">
          <v:textbox inset="0,0,0,0">
            <w:txbxContent>
              <w:p w:rsidR="00A959F4" w:rsidRPr="00285D6D" w:rsidRDefault="00A959F4" w:rsidP="00A959F4">
                <w:pPr>
                  <w:spacing w:line="540" w:lineRule="exact"/>
                  <w:rPr>
                    <w:rFonts w:hint="cs"/>
                  </w:rPr>
                </w:pPr>
                <w:r w:rsidRPr="00A959F4">
                  <w:rPr>
                    <w:rFonts w:hint="cs"/>
                    <w:b/>
                    <w:bCs/>
                    <w:spacing w:val="-2"/>
                    <w:sz w:val="54"/>
                    <w:szCs w:val="54"/>
                    <w:rtl/>
                  </w:rPr>
                  <w:t xml:space="preserve">البروتوكول الاختياري لاتفاقية مناهضة </w:t>
                </w:r>
                <w:r w:rsidRPr="00A959F4">
                  <w:rPr>
                    <w:rFonts w:hint="cs"/>
                    <w:b/>
                    <w:bCs/>
                    <w:sz w:val="54"/>
                    <w:szCs w:val="54"/>
                    <w:rtl/>
                  </w:rPr>
                  <w:t>التعذيب</w:t>
                </w:r>
                <w:r w:rsidRPr="00A959F4">
                  <w:rPr>
                    <w:rFonts w:hint="cs"/>
                    <w:b/>
                    <w:bCs/>
                    <w:spacing w:val="-2"/>
                    <w:sz w:val="54"/>
                    <w:szCs w:val="54"/>
                    <w:rtl/>
                  </w:rPr>
                  <w:t xml:space="preserve"> </w:t>
                </w:r>
                <w:r w:rsidRPr="00A959F4">
                  <w:rPr>
                    <w:rFonts w:hint="cs"/>
                    <w:b/>
                    <w:bCs/>
                    <w:sz w:val="54"/>
                    <w:szCs w:val="54"/>
                    <w:rtl/>
                  </w:rPr>
                  <w:t>وغيره</w:t>
                </w:r>
                <w:r w:rsidRPr="00A959F4">
                  <w:rPr>
                    <w:rFonts w:hint="cs"/>
                    <w:b/>
                    <w:bCs/>
                    <w:spacing w:val="-2"/>
                    <w:sz w:val="54"/>
                    <w:szCs w:val="54"/>
                    <w:rtl/>
                  </w:rPr>
                  <w:t xml:space="preserve"> </w:t>
                </w:r>
                <w:r w:rsidRPr="00A959F4">
                  <w:rPr>
                    <w:rFonts w:hint="cs"/>
                    <w:b/>
                    <w:bCs/>
                    <w:sz w:val="54"/>
                    <w:szCs w:val="54"/>
                    <w:rtl/>
                  </w:rPr>
                  <w:t>من</w:t>
                </w:r>
                <w:r w:rsidRPr="00A959F4">
                  <w:rPr>
                    <w:rFonts w:hint="cs"/>
                    <w:b/>
                    <w:bCs/>
                    <w:spacing w:val="-2"/>
                    <w:sz w:val="54"/>
                    <w:szCs w:val="54"/>
                    <w:rtl/>
                  </w:rPr>
                  <w:t xml:space="preserve"> ضروب </w:t>
                </w:r>
                <w:r w:rsidRPr="00A959F4">
                  <w:rPr>
                    <w:rFonts w:hint="cs"/>
                    <w:b/>
                    <w:bCs/>
                    <w:sz w:val="54"/>
                    <w:szCs w:val="54"/>
                    <w:rtl/>
                  </w:rPr>
                  <w:t>المعاملة</w:t>
                </w:r>
                <w:r w:rsidRPr="00A959F4">
                  <w:rPr>
                    <w:rFonts w:hint="cs"/>
                    <w:b/>
                    <w:bCs/>
                    <w:spacing w:val="-2"/>
                    <w:sz w:val="54"/>
                    <w:szCs w:val="54"/>
                    <w:rtl/>
                  </w:rPr>
                  <w:t xml:space="preserve"> أو العقوبة </w:t>
                </w:r>
                <w:r w:rsidRPr="00A959F4">
                  <w:rPr>
                    <w:rFonts w:hint="cs"/>
                    <w:b/>
                    <w:bCs/>
                    <w:spacing w:val="-2"/>
                    <w:sz w:val="52"/>
                    <w:szCs w:val="52"/>
                    <w:rtl/>
                  </w:rPr>
                  <w:t>القاسية</w:t>
                </w:r>
                <w:r w:rsidRPr="002B399E">
                  <w:rPr>
                    <w:rFonts w:hint="cs"/>
                    <w:b/>
                    <w:bCs/>
                    <w:sz w:val="52"/>
                    <w:szCs w:val="52"/>
                    <w:rtl/>
                  </w:rPr>
                  <w:t xml:space="preserve"> </w:t>
                </w:r>
                <w:r>
                  <w:rPr>
                    <w:b/>
                    <w:bCs/>
                    <w:sz w:val="52"/>
                    <w:szCs w:val="52"/>
                    <w:rtl/>
                  </w:rPr>
                  <w:br/>
                </w:r>
                <w:r w:rsidRPr="002B399E">
                  <w:rPr>
                    <w:rFonts w:hint="cs"/>
                    <w:b/>
                    <w:bCs/>
                    <w:sz w:val="52"/>
                    <w:szCs w:val="52"/>
                    <w:rtl/>
                  </w:rPr>
                  <w:t>أو اللاإنسانية أو المهينة</w:t>
                </w:r>
              </w:p>
              <w:p w:rsidR="00E1025F" w:rsidRDefault="00E1025F" w:rsidP="00A959F4">
                <w:pPr>
                  <w:spacing w:before="120" w:line="460" w:lineRule="exact"/>
                  <w:rPr>
                    <w:rFonts w:hint="cs"/>
                  </w:rPr>
                </w:pP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9E708B5"/>
    <w:multiLevelType w:val="hybridMultilevel"/>
    <w:tmpl w:val="8BB8968A"/>
    <w:lvl w:ilvl="0" w:tplc="04090001">
      <w:start w:val="1"/>
      <w:numFmt w:val="bullet"/>
      <w:lvlText w:val=""/>
      <w:lvlJc w:val="left"/>
      <w:pPr>
        <w:tabs>
          <w:tab w:val="num" w:pos="2652"/>
        </w:tabs>
        <w:ind w:left="2652"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A6D72EC"/>
    <w:multiLevelType w:val="hybridMultilevel"/>
    <w:tmpl w:val="42F41FDE"/>
    <w:lvl w:ilvl="0" w:tplc="6E1EFEF4">
      <w:start w:val="1"/>
      <w:numFmt w:val="decimal"/>
      <w:lvlText w:val="(%1)"/>
      <w:lvlJc w:val="right"/>
      <w:pPr>
        <w:tabs>
          <w:tab w:val="num" w:pos="1297"/>
        </w:tabs>
        <w:ind w:left="1297" w:hanging="227"/>
      </w:pPr>
      <w:rPr>
        <w:rFonts w:ascii="Traditional Arabic" w:hAnsi="Traditional Arabic" w:cs="Traditional Arabic" w:hint="cs"/>
        <w:sz w:val="26"/>
        <w:szCs w:val="26"/>
      </w:rPr>
    </w:lvl>
    <w:lvl w:ilvl="1" w:tplc="E4C63A38">
      <w:start w:val="1"/>
      <w:numFmt w:val="decimal"/>
      <w:lvlRestart w:val="0"/>
      <w:lvlText w:val="(%2)"/>
      <w:lvlJc w:val="right"/>
      <w:pPr>
        <w:tabs>
          <w:tab w:val="num" w:pos="1357"/>
        </w:tabs>
        <w:ind w:left="1357" w:hanging="227"/>
      </w:pPr>
      <w:rPr>
        <w:rFonts w:ascii="Traditional Arabic" w:hAnsi="Traditional Arabic" w:cs="Traditional Arabic" w:hint="cs"/>
        <w:sz w:val="26"/>
        <w:szCs w:val="26"/>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30220ED"/>
    <w:multiLevelType w:val="hybridMultilevel"/>
    <w:tmpl w:val="27381090"/>
    <w:lvl w:ilvl="0" w:tplc="F7AC3744">
      <w:start w:val="5"/>
      <w:numFmt w:val="decimal"/>
      <w:lvlText w:val="(%1)"/>
      <w:lvlJc w:val="right"/>
      <w:pPr>
        <w:tabs>
          <w:tab w:val="num" w:pos="1295"/>
        </w:tabs>
        <w:ind w:left="1295" w:hanging="227"/>
      </w:pPr>
      <w:rPr>
        <w:rFonts w:ascii="Traditional Arabic" w:hAnsi="Traditional Arabic" w:cs="Traditional Arabic" w:hint="cs"/>
        <w:sz w:val="26"/>
        <w:szCs w:val="26"/>
        <w:vertAlign w:val="baseli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2"/>
  </w:num>
  <w:num w:numId="3">
    <w:abstractNumId w:val="16"/>
  </w:num>
  <w:num w:numId="4">
    <w:abstractNumId w:val="13"/>
  </w:num>
  <w:num w:numId="5">
    <w:abstractNumId w:val="10"/>
  </w:num>
  <w:num w:numId="6">
    <w:abstractNumId w:val="23"/>
  </w:num>
  <w:num w:numId="7">
    <w:abstractNumId w:val="12"/>
  </w:num>
  <w:num w:numId="8">
    <w:abstractNumId w:val="11"/>
  </w:num>
  <w:num w:numId="9">
    <w:abstractNumId w:val="15"/>
  </w:num>
  <w:num w:numId="10">
    <w:abstractNumId w:val="22"/>
  </w:num>
  <w:num w:numId="11">
    <w:abstractNumId w:val="2"/>
  </w:num>
  <w:num w:numId="12">
    <w:abstractNumId w:val="16"/>
  </w:num>
  <w:num w:numId="13">
    <w:abstractNumId w:val="13"/>
  </w:num>
  <w:num w:numId="14">
    <w:abstractNumId w:val="10"/>
  </w:num>
  <w:num w:numId="15">
    <w:abstractNumId w:val="23"/>
  </w:num>
  <w:num w:numId="16">
    <w:abstractNumId w:val="2"/>
  </w:num>
  <w:num w:numId="17">
    <w:abstractNumId w:val="16"/>
  </w:num>
  <w:num w:numId="18">
    <w:abstractNumId w:val="13"/>
  </w:num>
  <w:num w:numId="19">
    <w:abstractNumId w:val="10"/>
  </w:num>
  <w:num w:numId="20">
    <w:abstractNumId w:val="23"/>
  </w:num>
  <w:num w:numId="21">
    <w:abstractNumId w:val="2"/>
  </w:num>
  <w:num w:numId="22">
    <w:abstractNumId w:val="16"/>
  </w:num>
  <w:num w:numId="23">
    <w:abstractNumId w:val="10"/>
  </w:num>
  <w:num w:numId="24">
    <w:abstractNumId w:val="23"/>
  </w:num>
  <w:num w:numId="25">
    <w:abstractNumId w:val="16"/>
  </w:num>
  <w:num w:numId="26">
    <w:abstractNumId w:val="2"/>
  </w:num>
  <w:num w:numId="27">
    <w:abstractNumId w:val="4"/>
  </w:num>
  <w:num w:numId="28">
    <w:abstractNumId w:val="3"/>
  </w:num>
  <w:num w:numId="29">
    <w:abstractNumId w:val="18"/>
  </w:num>
  <w:num w:numId="30">
    <w:abstractNumId w:val="5"/>
  </w:num>
  <w:num w:numId="31">
    <w:abstractNumId w:val="9"/>
  </w:num>
  <w:num w:numId="32">
    <w:abstractNumId w:val="17"/>
  </w:num>
  <w:num w:numId="33">
    <w:abstractNumId w:val="20"/>
  </w:num>
  <w:num w:numId="34">
    <w:abstractNumId w:val="24"/>
  </w:num>
  <w:num w:numId="35">
    <w:abstractNumId w:val="7"/>
  </w:num>
  <w:num w:numId="36">
    <w:abstractNumId w:val="19"/>
  </w:num>
  <w:num w:numId="37">
    <w:abstractNumId w:val="21"/>
  </w:num>
  <w:num w:numId="38">
    <w:abstractNumId w:val="0"/>
  </w:num>
  <w:num w:numId="39">
    <w:abstractNumId w:val="8"/>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num>
  <w:num w:numId="44">
    <w:abstractNumId w:val="16"/>
  </w:num>
  <w:num w:numId="45">
    <w:abstractNumId w:val="16"/>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09DF"/>
    <w:rsid w:val="00040E25"/>
    <w:rsid w:val="00042149"/>
    <w:rsid w:val="000648EA"/>
    <w:rsid w:val="0009529E"/>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D61E2"/>
    <w:rsid w:val="00201B83"/>
    <w:rsid w:val="002244FB"/>
    <w:rsid w:val="00232277"/>
    <w:rsid w:val="0023736D"/>
    <w:rsid w:val="00257225"/>
    <w:rsid w:val="002C1BA9"/>
    <w:rsid w:val="00310160"/>
    <w:rsid w:val="00341A8C"/>
    <w:rsid w:val="003519E6"/>
    <w:rsid w:val="003A2014"/>
    <w:rsid w:val="003B4356"/>
    <w:rsid w:val="003F08A8"/>
    <w:rsid w:val="004250E3"/>
    <w:rsid w:val="00472A81"/>
    <w:rsid w:val="0049458D"/>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695A"/>
    <w:rsid w:val="00707BDF"/>
    <w:rsid w:val="00710727"/>
    <w:rsid w:val="00715F45"/>
    <w:rsid w:val="00731815"/>
    <w:rsid w:val="00731B84"/>
    <w:rsid w:val="00734AE7"/>
    <w:rsid w:val="0079344E"/>
    <w:rsid w:val="007D1DCA"/>
    <w:rsid w:val="007E197F"/>
    <w:rsid w:val="007F68C4"/>
    <w:rsid w:val="00801438"/>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B521B"/>
    <w:rsid w:val="009D1DD5"/>
    <w:rsid w:val="009F722C"/>
    <w:rsid w:val="00A26157"/>
    <w:rsid w:val="00A265C3"/>
    <w:rsid w:val="00A43F9A"/>
    <w:rsid w:val="00A53F38"/>
    <w:rsid w:val="00A543D4"/>
    <w:rsid w:val="00A959F4"/>
    <w:rsid w:val="00AD0014"/>
    <w:rsid w:val="00AD4CF2"/>
    <w:rsid w:val="00AF0BBA"/>
    <w:rsid w:val="00B209DF"/>
    <w:rsid w:val="00B25BBD"/>
    <w:rsid w:val="00B30468"/>
    <w:rsid w:val="00B40EFE"/>
    <w:rsid w:val="00B44E31"/>
    <w:rsid w:val="00BA4F7E"/>
    <w:rsid w:val="00BB2C41"/>
    <w:rsid w:val="00BB7AE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025F"/>
    <w:rsid w:val="00E14D2B"/>
    <w:rsid w:val="00E20DBA"/>
    <w:rsid w:val="00E32E78"/>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left" w:pos="2438"/>
      </w:tabs>
      <w:suppressAutoHyphens/>
      <w:bidi w:val="0"/>
      <w:spacing w:after="120" w:line="380" w:lineRule="exact"/>
      <w:ind w:right="124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2165</Words>
  <Characters>12346</Characters>
  <Application>Microsoft Office Word</Application>
  <DocSecurity>4</DocSecurity>
  <Lines>102</Lines>
  <Paragraphs>28</Paragraphs>
  <ScaleCrop>false</ScaleCrop>
  <HeadingPairs>
    <vt:vector size="2" baseType="variant">
      <vt:variant>
        <vt:lpstr>العنوان</vt:lpstr>
      </vt:variant>
      <vt:variant>
        <vt:i4>1</vt:i4>
      </vt:variant>
    </vt:vector>
  </HeadingPairs>
  <TitlesOfParts>
    <vt:vector size="1" baseType="lpstr">
      <vt:lpstr>CAT/OP/4</vt:lpstr>
    </vt:vector>
  </TitlesOfParts>
  <Company>CSD</Company>
  <LinksUpToDate>false</LinksUpToDate>
  <CharactersWithSpaces>14483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CAT/OP/4</dc:title>
  <dc:subject>FERJANI-ZEDANE</dc:subject>
  <dc:creator>BUHNAM</dc:creator>
  <cp:keywords/>
  <dc:description/>
  <cp:lastModifiedBy>BUHNAM</cp:lastModifiedBy>
  <cp:revision>2</cp:revision>
  <cp:lastPrinted>2013-02-28T15:49:00Z</cp:lastPrinted>
  <dcterms:created xsi:type="dcterms:W3CDTF">2013-03-01T10:53:00Z</dcterms:created>
  <dcterms:modified xsi:type="dcterms:W3CDTF">2013-03-01T10:53:00Z</dcterms:modified>
</cp:coreProperties>
</file>