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239" w:rsidRDefault="00282239" w:rsidP="00282239">
      <w:pPr>
        <w:spacing w:line="60" w:lineRule="exact"/>
        <w:rPr>
          <w:sz w:val="6"/>
        </w:rPr>
        <w:sectPr w:rsidR="00282239" w:rsidSect="0028223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282239" w:rsidRDefault="00282239" w:rsidP="00282239">
      <w:pPr>
        <w:spacing w:line="60" w:lineRule="exact"/>
        <w:rPr>
          <w:sz w:val="6"/>
        </w:rPr>
      </w:pPr>
    </w:p>
    <w:p w:rsidR="00FD4AF0" w:rsidRDefault="00FD4AF0" w:rsidP="004C2A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FD4AF0" w:rsidRDefault="00FD4AF0" w:rsidP="004C2A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会前工作组</w:t>
      </w:r>
    </w:p>
    <w:p w:rsidR="00FD4AF0" w:rsidRDefault="00FD4AF0" w:rsidP="004C2A4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第四十四届会议</w:t>
      </w:r>
    </w:p>
    <w:p w:rsidR="00FD4AF0" w:rsidRDefault="00FD4AF0" w:rsidP="00711817">
      <w:pPr>
        <w:pStyle w:val="SingleTxt"/>
        <w:ind w:left="0"/>
        <w:rPr>
          <w:rFonts w:hint="eastAsia"/>
        </w:rPr>
      </w:pPr>
      <w:r>
        <w:rPr>
          <w:rFonts w:hint="eastAsia"/>
        </w:rPr>
        <w:t>2009年7月20日至8月7日</w:t>
      </w:r>
    </w:p>
    <w:p w:rsidR="004C2A40" w:rsidRPr="004C2A40" w:rsidRDefault="004C2A40" w:rsidP="004C2A4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SimSun" w:eastAsia="SimSun"/>
          <w:color w:val="auto"/>
          <w:sz w:val="10"/>
        </w:rPr>
      </w:pPr>
    </w:p>
    <w:p w:rsidR="004C2A40" w:rsidRPr="004C2A40" w:rsidRDefault="004C2A40" w:rsidP="004C2A4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D4AF0" w:rsidRDefault="00FD4AF0" w:rsidP="007118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与审议定期报告有关的议题和问题清单</w:t>
      </w:r>
      <w:r w:rsidR="003659AC" w:rsidRPr="003659AC">
        <w:rPr>
          <w:rStyle w:val="FootnoteReference"/>
          <w:sz w:val="21"/>
        </w:rPr>
        <w:footnoteReference w:customMarkFollows="1" w:id="1"/>
        <w:sym w:font="Symbol" w:char="F02A"/>
      </w:r>
    </w:p>
    <w:p w:rsidR="00711817" w:rsidRPr="00711817" w:rsidRDefault="00711817" w:rsidP="00711817">
      <w:pPr>
        <w:pStyle w:val="SingleTxt"/>
        <w:spacing w:after="0" w:line="120" w:lineRule="exact"/>
        <w:ind w:left="0"/>
        <w:rPr>
          <w:sz w:val="10"/>
        </w:rPr>
      </w:pPr>
    </w:p>
    <w:p w:rsidR="00711817" w:rsidRPr="00711817" w:rsidRDefault="00711817" w:rsidP="00711817">
      <w:pPr>
        <w:pStyle w:val="SingleTxt"/>
        <w:spacing w:after="0" w:line="120" w:lineRule="exact"/>
        <w:ind w:left="0"/>
        <w:rPr>
          <w:sz w:val="10"/>
        </w:rPr>
      </w:pPr>
    </w:p>
    <w:p w:rsidR="00FD4AF0" w:rsidRDefault="00FD4AF0" w:rsidP="007118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阿塞拜疆</w:t>
      </w:r>
    </w:p>
    <w:p w:rsidR="00711817" w:rsidRPr="00711817" w:rsidRDefault="00711817" w:rsidP="00711817">
      <w:pPr>
        <w:pStyle w:val="SingleTxt"/>
        <w:spacing w:after="0" w:line="120" w:lineRule="exact"/>
        <w:ind w:left="0"/>
        <w:rPr>
          <w:sz w:val="10"/>
        </w:rPr>
      </w:pPr>
    </w:p>
    <w:p w:rsidR="00711817" w:rsidRPr="00711817" w:rsidRDefault="00711817" w:rsidP="00711817">
      <w:pPr>
        <w:pStyle w:val="SingleTxt"/>
        <w:spacing w:after="0" w:line="120" w:lineRule="exact"/>
        <w:ind w:left="0"/>
        <w:rPr>
          <w:rFonts w:hint="eastAsia"/>
          <w:sz w:val="10"/>
        </w:rPr>
      </w:pPr>
    </w:p>
    <w:p w:rsidR="00FD4AF0" w:rsidRPr="00711817" w:rsidRDefault="00711817" w:rsidP="00711817">
      <w:pPr>
        <w:pStyle w:val="SingleTxt"/>
        <w:spacing w:after="100"/>
        <w:ind w:left="0"/>
        <w:rPr>
          <w:rFonts w:ascii="SimHei" w:eastAsia="SimHei" w:hint="eastAsia"/>
          <w:color w:val="FF0000"/>
        </w:rPr>
      </w:pPr>
      <w:bookmarkStart w:id="1" w:name="TmpSave"/>
      <w:bookmarkEnd w:id="1"/>
      <w:r>
        <w:rPr>
          <w:rFonts w:hint="eastAsia"/>
        </w:rPr>
        <w:tab/>
      </w:r>
      <w:r w:rsidR="00FD4AF0" w:rsidRPr="00711817">
        <w:rPr>
          <w:rFonts w:ascii="SimHei" w:eastAsia="SimHei" w:hint="eastAsia"/>
          <w:color w:val="FF0000"/>
        </w:rPr>
        <w:t>数据收集和分析</w:t>
      </w:r>
    </w:p>
    <w:p w:rsidR="00FD4AF0" w:rsidRDefault="00FD4AF0" w:rsidP="00711817">
      <w:pPr>
        <w:pStyle w:val="SingleTxt"/>
        <w:spacing w:after="100"/>
        <w:rPr>
          <w:rFonts w:hint="eastAsia"/>
        </w:rPr>
      </w:pPr>
      <w:r>
        <w:rPr>
          <w:rFonts w:hint="eastAsia"/>
        </w:rPr>
        <w:t>1.</w:t>
      </w:r>
      <w:r>
        <w:rPr>
          <w:rFonts w:hint="eastAsia"/>
        </w:rPr>
        <w:tab/>
        <w:t>报告(CEDAW/C/AZE/4)中按性别分列的关于《公约》所涉领域妇女状况的统计数据非常有限，且几乎没有有关男女状况的比较资料。请提供资料，说明已按照委员会在先前的结论意见</w:t>
      </w:r>
      <w:r w:rsidR="00711817">
        <w:rPr>
          <w:rFonts w:hint="eastAsia"/>
        </w:rPr>
        <w:t>(CEDAW/C/AZE/CO/3,</w:t>
      </w:r>
      <w:r>
        <w:rPr>
          <w:rFonts w:hint="eastAsia"/>
        </w:rPr>
        <w:t>第10段)中所提出的建议采取了或计划采取步骤建立一个全面的数据收集系统。</w:t>
      </w:r>
    </w:p>
    <w:p w:rsidR="00FD4AF0" w:rsidRPr="00711817" w:rsidRDefault="00FD4AF0" w:rsidP="00711817">
      <w:pPr>
        <w:pStyle w:val="SingleTxt"/>
        <w:spacing w:after="100"/>
        <w:rPr>
          <w:rFonts w:ascii="SimHei" w:eastAsia="SimHei" w:hint="eastAsia"/>
          <w:color w:val="FF0000"/>
        </w:rPr>
      </w:pPr>
      <w:r w:rsidRPr="00711817">
        <w:rPr>
          <w:rFonts w:ascii="SimHei" w:eastAsia="SimHei" w:hint="eastAsia"/>
          <w:color w:val="FF0000"/>
        </w:rPr>
        <w:t>宪政、立法和体制框架</w:t>
      </w:r>
    </w:p>
    <w:p w:rsidR="00FD4AF0" w:rsidRDefault="00FD4AF0" w:rsidP="00711817">
      <w:pPr>
        <w:pStyle w:val="SingleTxt"/>
        <w:spacing w:after="100"/>
        <w:rPr>
          <w:rFonts w:hint="eastAsia"/>
        </w:rPr>
      </w:pPr>
      <w:r>
        <w:rPr>
          <w:rFonts w:hint="eastAsia"/>
        </w:rPr>
        <w:t>2.</w:t>
      </w:r>
      <w:r>
        <w:rPr>
          <w:rFonts w:hint="eastAsia"/>
        </w:rPr>
        <w:tab/>
        <w:t>请澄清《两性平等法》是否与委员会在先前的结论意见</w:t>
      </w:r>
      <w:r w:rsidR="00711817">
        <w:rPr>
          <w:rFonts w:hint="eastAsia"/>
        </w:rPr>
        <w:t>(</w:t>
      </w:r>
      <w:r>
        <w:rPr>
          <w:rFonts w:hint="eastAsia"/>
        </w:rPr>
        <w:t>第14段</w:t>
      </w:r>
      <w:r w:rsidR="00711817">
        <w:rPr>
          <w:rFonts w:hint="eastAsia"/>
        </w:rPr>
        <w:t>)</w:t>
      </w:r>
      <w:r>
        <w:rPr>
          <w:rFonts w:hint="eastAsia"/>
        </w:rPr>
        <w:t>中所提出的建议一样，包含直接和非直接歧视，并延伸涵盖公私行为体的歧视行为。还请提供该法律的有关条款的文本。</w:t>
      </w:r>
    </w:p>
    <w:p w:rsidR="00FD4AF0" w:rsidRDefault="00FD4AF0" w:rsidP="003659AC">
      <w:pPr>
        <w:pStyle w:val="SingleTxt"/>
        <w:tabs>
          <w:tab w:val="clear" w:pos="1264"/>
        </w:tabs>
        <w:spacing w:after="100"/>
        <w:rPr>
          <w:rFonts w:hint="eastAsia"/>
        </w:rPr>
      </w:pPr>
      <w:r>
        <w:rPr>
          <w:rFonts w:hint="eastAsia"/>
        </w:rPr>
        <w:t>3.</w:t>
      </w:r>
      <w:r>
        <w:rPr>
          <w:rFonts w:hint="eastAsia"/>
        </w:rPr>
        <w:tab/>
        <w:t>按照委员会在先前的结论意见</w:t>
      </w:r>
      <w:r w:rsidR="00711817">
        <w:rPr>
          <w:rFonts w:hint="eastAsia"/>
        </w:rPr>
        <w:t>(</w:t>
      </w:r>
      <w:r>
        <w:rPr>
          <w:rFonts w:hint="eastAsia"/>
        </w:rPr>
        <w:t>第12段</w:t>
      </w:r>
      <w:r w:rsidR="00711817">
        <w:rPr>
          <w:rFonts w:hint="eastAsia"/>
        </w:rPr>
        <w:t>)</w:t>
      </w:r>
      <w:r>
        <w:rPr>
          <w:rFonts w:hint="eastAsia"/>
        </w:rPr>
        <w:t xml:space="preserve">中所提出的要求，请提供统计说明妇女如何利用法律系统在《公约》所述各个领域获得歧视补偿以及今后的趋势。还请举例说明有关国家和私人行为体两者的歧视行为的相关案例法及因此而获得的补偿。 </w:t>
      </w:r>
    </w:p>
    <w:p w:rsidR="00FD4AF0" w:rsidRDefault="00FD4AF0" w:rsidP="00711817">
      <w:pPr>
        <w:pStyle w:val="SingleTxt"/>
        <w:spacing w:after="100"/>
      </w:pPr>
      <w:r>
        <w:rPr>
          <w:rFonts w:hint="eastAsia"/>
        </w:rPr>
        <w:t>4.</w:t>
      </w:r>
      <w:r>
        <w:rPr>
          <w:rFonts w:hint="eastAsia"/>
        </w:rPr>
        <w:tab/>
        <w:t>请就妇女向人权事务专员</w:t>
      </w:r>
      <w:r w:rsidR="00711817">
        <w:rPr>
          <w:rFonts w:hint="eastAsia"/>
        </w:rPr>
        <w:t>(</w:t>
      </w:r>
      <w:r>
        <w:rPr>
          <w:rFonts w:hint="eastAsia"/>
        </w:rPr>
        <w:t>监察员</w:t>
      </w:r>
      <w:r w:rsidR="00711817">
        <w:rPr>
          <w:rFonts w:hint="eastAsia"/>
        </w:rPr>
        <w:t>)</w:t>
      </w:r>
      <w:r>
        <w:rPr>
          <w:rFonts w:hint="eastAsia"/>
        </w:rPr>
        <w:t>提出的有关歧视指控的投诉类型以及着手调查的次数、结果和其后的遵守情况提供涵盖2007年和2008年的最新统计资料。还请详细说明已计划或采取旨在鼓励妇女寻求歧视赔偿的各项具体措施。</w:t>
      </w:r>
    </w:p>
    <w:p w:rsidR="00FD4AF0" w:rsidRDefault="00FD4AF0" w:rsidP="00711817">
      <w:pPr>
        <w:pStyle w:val="SingleTxt"/>
        <w:spacing w:after="120"/>
        <w:rPr>
          <w:rFonts w:hint="eastAsia"/>
        </w:rPr>
      </w:pPr>
      <w:r>
        <w:rPr>
          <w:rFonts w:hint="eastAsia"/>
        </w:rPr>
        <w:t>5.</w:t>
      </w:r>
      <w:r>
        <w:rPr>
          <w:rFonts w:hint="eastAsia"/>
        </w:rPr>
        <w:tab/>
        <w:t>报告第4页指出，保障两性平等法第3.2条为在必要时采取特别措施以加快落实事实上平等并实现妇女的实质性平等提供法律依据。请澄清这一规定是否允许按照《公约》第四条第1款采取临时特别措施，并提供资料说明根据2007-2008年的法律所采取的任何临时特别措施，以促进实现法律上和事实上的两性平等及其影响。</w:t>
      </w:r>
    </w:p>
    <w:p w:rsidR="00FD4AF0" w:rsidRDefault="00FD4AF0" w:rsidP="00711817">
      <w:pPr>
        <w:pStyle w:val="SingleTxt"/>
        <w:spacing w:after="120"/>
        <w:rPr>
          <w:rFonts w:hint="eastAsia"/>
        </w:rPr>
      </w:pPr>
      <w:r>
        <w:rPr>
          <w:rFonts w:hint="eastAsia"/>
        </w:rPr>
        <w:t>6.</w:t>
      </w:r>
      <w:r>
        <w:rPr>
          <w:rFonts w:hint="eastAsia"/>
        </w:rPr>
        <w:tab/>
        <w:t>委员会在先前的结论意见</w:t>
      </w:r>
      <w:r w:rsidR="00711817">
        <w:rPr>
          <w:rFonts w:hint="eastAsia"/>
        </w:rPr>
        <w:t>(</w:t>
      </w:r>
      <w:r>
        <w:rPr>
          <w:rFonts w:hint="eastAsia"/>
        </w:rPr>
        <w:t>第5段</w:t>
      </w:r>
      <w:r w:rsidR="00711817">
        <w:rPr>
          <w:rFonts w:hint="eastAsia"/>
        </w:rPr>
        <w:t>)</w:t>
      </w:r>
      <w:r>
        <w:rPr>
          <w:rFonts w:hint="eastAsia"/>
        </w:rPr>
        <w:t>中欢迎每个政府部门</w:t>
      </w:r>
      <w:r w:rsidR="004C2A40">
        <w:rPr>
          <w:rFonts w:hint="eastAsia"/>
        </w:rPr>
        <w:t>都</w:t>
      </w:r>
      <w:r>
        <w:rPr>
          <w:rFonts w:hint="eastAsia"/>
        </w:rPr>
        <w:t>设立性别问题协调中心，以监测国家妇女问题政策的执行情况。请提供资料说明这些协调中心的工作，包括就协调中心确定的有关地方一级执行国家妇女问题和将性别问题纳入主流的政策取得成功的任何具体情况以及妨碍政策执行的障碍提供资料。</w:t>
      </w:r>
    </w:p>
    <w:p w:rsidR="00FD4AF0" w:rsidRDefault="00FD4AF0" w:rsidP="00711817">
      <w:pPr>
        <w:pStyle w:val="SingleTxt"/>
        <w:spacing w:after="120"/>
        <w:rPr>
          <w:rFonts w:hint="eastAsia"/>
        </w:rPr>
      </w:pPr>
      <w:r>
        <w:rPr>
          <w:rFonts w:hint="eastAsia"/>
        </w:rPr>
        <w:t>7.</w:t>
      </w:r>
      <w:r>
        <w:rPr>
          <w:rFonts w:hint="eastAsia"/>
        </w:rPr>
        <w:tab/>
        <w:t>请提供资料说明设想在2009年执行的具体措施，以实施2008-2012年期间国家家庭和妇女问题行动计划以及规划建立监测和评价机制。</w:t>
      </w:r>
    </w:p>
    <w:p w:rsidR="00FD4AF0" w:rsidRPr="00711817" w:rsidRDefault="00FD4AF0" w:rsidP="00711817">
      <w:pPr>
        <w:pStyle w:val="SingleTxt"/>
        <w:spacing w:after="120"/>
        <w:rPr>
          <w:rFonts w:ascii="SimHei" w:eastAsia="SimHei" w:hint="eastAsia"/>
          <w:color w:val="FF0000"/>
        </w:rPr>
      </w:pPr>
      <w:r w:rsidRPr="00711817">
        <w:rPr>
          <w:rFonts w:ascii="SimHei" w:eastAsia="SimHei" w:hint="eastAsia"/>
          <w:color w:val="FF0000"/>
        </w:rPr>
        <w:t>暴力侵害妇女</w:t>
      </w:r>
    </w:p>
    <w:p w:rsidR="00FD4AF0" w:rsidRDefault="00FD4AF0" w:rsidP="00711817">
      <w:pPr>
        <w:pStyle w:val="SingleTxt"/>
        <w:spacing w:after="120"/>
      </w:pPr>
      <w:r>
        <w:rPr>
          <w:rFonts w:hint="eastAsia"/>
        </w:rPr>
        <w:t>8.</w:t>
      </w:r>
      <w:r>
        <w:rPr>
          <w:rFonts w:hint="eastAsia"/>
        </w:rPr>
        <w:tab/>
        <w:t>报告提到关于家庭暴力的两项法律即“预防家庭暴力法”(第6页)和“打击家庭暴力法”(第17页)的拟订工作。请澄清这是否是一个有关两项不同法律的问题，并就这些法律的现状及其通过的估计时间提供最新的资料。</w:t>
      </w:r>
    </w:p>
    <w:p w:rsidR="00FD4AF0" w:rsidRDefault="00FD4AF0" w:rsidP="00711817">
      <w:pPr>
        <w:pStyle w:val="SingleTxt"/>
        <w:spacing w:after="120"/>
      </w:pPr>
      <w:r>
        <w:rPr>
          <w:rFonts w:hint="eastAsia"/>
        </w:rPr>
        <w:t>9.</w:t>
      </w:r>
      <w:r>
        <w:rPr>
          <w:rFonts w:hint="eastAsia"/>
        </w:rPr>
        <w:tab/>
        <w:t>报告提到含有旨在打击暴力侵害妇女行为的措施的若干方案和项目(第8、15和16页)。请提供资料说明为落实这些措施而采取的具体行动及其影响。还请提供资料说明为加强受暴力侵害的女受害者诉求司法而采取或计划采取的任何具体步骤。</w:t>
      </w:r>
    </w:p>
    <w:p w:rsidR="00FD4AF0" w:rsidRDefault="00FD4AF0" w:rsidP="00711817">
      <w:pPr>
        <w:pStyle w:val="SingleTxt"/>
        <w:spacing w:after="120"/>
        <w:rPr>
          <w:rFonts w:hint="eastAsia"/>
        </w:rPr>
      </w:pPr>
      <w:r>
        <w:rPr>
          <w:rFonts w:hint="eastAsia"/>
        </w:rPr>
        <w:t>10.</w:t>
      </w:r>
      <w:r>
        <w:rPr>
          <w:rFonts w:hint="eastAsia"/>
        </w:rPr>
        <w:tab/>
        <w:t>请向委员会通报是否已经或设想对《刑法典》中的强奸定义进行审查，以惩罚对未表示同意者实施的、包括在无抵抗情况下实施的任何性行为。</w:t>
      </w:r>
    </w:p>
    <w:p w:rsidR="00FD4AF0" w:rsidRDefault="00FD4AF0" w:rsidP="00711817">
      <w:pPr>
        <w:pStyle w:val="SingleTxt"/>
        <w:spacing w:after="120"/>
        <w:rPr>
          <w:rFonts w:hint="eastAsia"/>
        </w:rPr>
      </w:pPr>
      <w:r>
        <w:rPr>
          <w:rFonts w:hint="eastAsia"/>
        </w:rPr>
        <w:t>11.</w:t>
      </w:r>
      <w:r>
        <w:rPr>
          <w:rFonts w:hint="eastAsia"/>
        </w:rPr>
        <w:tab/>
        <w:t>请提供资料说明工作场所发生性骚扰的程度。还请提供资料说明性骚扰女受害者寻求补偿和启动针对犯罪嫌疑人的刑事诉讼的投诉程序和其他形式的机制以及妇女是否利用这些机制；2007-2008年期间投诉的数目及其结果；根据《劳工法典》新规定对受害者作出的任何赔偿。有关《劳工法典》新规定，还请说明性骚扰女受害者决定辞职作为解决问题的办法的情况是否普遍。</w:t>
      </w:r>
    </w:p>
    <w:p w:rsidR="00FD4AF0" w:rsidRPr="00711817" w:rsidRDefault="00FD4AF0" w:rsidP="00711817">
      <w:pPr>
        <w:pStyle w:val="SingleTxt"/>
        <w:spacing w:after="120"/>
        <w:rPr>
          <w:rFonts w:ascii="SimHei" w:eastAsia="SimHei" w:hint="eastAsia"/>
          <w:color w:val="FF0000"/>
        </w:rPr>
      </w:pPr>
      <w:r w:rsidRPr="00711817">
        <w:rPr>
          <w:rFonts w:ascii="SimHei" w:eastAsia="SimHei" w:hint="eastAsia"/>
          <w:color w:val="FF0000"/>
        </w:rPr>
        <w:t>贩卖人口和对卖淫的剥削</w:t>
      </w:r>
    </w:p>
    <w:p w:rsidR="00FD4AF0" w:rsidRDefault="00FD4AF0" w:rsidP="00711817">
      <w:pPr>
        <w:pStyle w:val="SingleTxt"/>
        <w:spacing w:after="120"/>
        <w:rPr>
          <w:rFonts w:hint="eastAsia"/>
        </w:rPr>
      </w:pPr>
      <w:r>
        <w:rPr>
          <w:rFonts w:hint="eastAsia"/>
        </w:rPr>
        <w:t>12.</w:t>
      </w:r>
      <w:r>
        <w:rPr>
          <w:rFonts w:hint="eastAsia"/>
        </w:rPr>
        <w:tab/>
      </w:r>
      <w:r w:rsidRPr="00711817">
        <w:rPr>
          <w:rFonts w:hint="eastAsia"/>
          <w:spacing w:val="-2"/>
        </w:rPr>
        <w:t>报告第20页指出，在2004-2007年期间，当局登记了769起贩卖案件，并对766人进行起诉。请提供详细统计资料说明这些案件的刑事诉讼结果和判刑情况。</w:t>
      </w:r>
    </w:p>
    <w:p w:rsidR="00FD4AF0" w:rsidRDefault="00FD4AF0" w:rsidP="00711817">
      <w:pPr>
        <w:pStyle w:val="SingleTxt"/>
        <w:spacing w:after="120"/>
        <w:rPr>
          <w:rFonts w:hint="eastAsia"/>
        </w:rPr>
      </w:pPr>
      <w:r>
        <w:rPr>
          <w:rFonts w:hint="eastAsia"/>
        </w:rPr>
        <w:t>13.</w:t>
      </w:r>
      <w:r>
        <w:rPr>
          <w:rFonts w:hint="eastAsia"/>
        </w:rPr>
        <w:tab/>
        <w:t>请提供资料说明报告第19页所提到的贩卖受害者避难所的床位数目，并说明是否有计划开设任何新的受害者避难所。还请说明是否为受暴力侵害的女受害者开设任何避难所。</w:t>
      </w:r>
    </w:p>
    <w:p w:rsidR="00FD4AF0" w:rsidRDefault="00FD4AF0" w:rsidP="00711817">
      <w:pPr>
        <w:pStyle w:val="SingleTxt"/>
        <w:rPr>
          <w:rFonts w:hint="eastAsia"/>
        </w:rPr>
      </w:pPr>
      <w:r>
        <w:rPr>
          <w:rFonts w:hint="eastAsia"/>
        </w:rPr>
        <w:t>14.</w:t>
      </w:r>
      <w:r>
        <w:rPr>
          <w:rFonts w:hint="eastAsia"/>
        </w:rPr>
        <w:tab/>
        <w:t>报告第20页提到，有关贩卖受害者简介的分析表明，在多数情况下，受害者是来自单亲家庭的妇女、单身母亲、受教育程度低的妇女或文盲妇女。请提供资料说明正在采取的措施，以减少这些妇女容易沦为贩卖的受害者，并解决助长贩卖妇女的根本原因。</w:t>
      </w:r>
    </w:p>
    <w:p w:rsidR="00FD4AF0" w:rsidRPr="00711817" w:rsidRDefault="00FD4AF0" w:rsidP="00711817">
      <w:pPr>
        <w:pStyle w:val="SingleTxt"/>
        <w:rPr>
          <w:rFonts w:ascii="SimHei" w:eastAsia="SimHei" w:hint="eastAsia"/>
          <w:color w:val="FF0000"/>
        </w:rPr>
      </w:pPr>
      <w:r w:rsidRPr="00711817">
        <w:rPr>
          <w:rFonts w:ascii="SimHei" w:eastAsia="SimHei" w:hint="eastAsia"/>
          <w:color w:val="FF0000"/>
        </w:rPr>
        <w:t>妇女参与政治生活和公共生活的情况</w:t>
      </w:r>
    </w:p>
    <w:p w:rsidR="00FD4AF0" w:rsidRDefault="00FD4AF0" w:rsidP="00711817">
      <w:pPr>
        <w:pStyle w:val="SingleTxt"/>
        <w:rPr>
          <w:rFonts w:hint="eastAsia"/>
        </w:rPr>
      </w:pPr>
      <w:r>
        <w:rPr>
          <w:rFonts w:hint="eastAsia"/>
        </w:rPr>
        <w:t>15.</w:t>
      </w:r>
      <w:r>
        <w:rPr>
          <w:rFonts w:hint="eastAsia"/>
        </w:rPr>
        <w:tab/>
        <w:t>报告第21页指出，在2005年举行的上届选举中，妇女在国民议会议员中占11.2</w:t>
      </w:r>
      <w:r w:rsidR="00711817">
        <w:t>%</w:t>
      </w:r>
      <w:r>
        <w:rPr>
          <w:rFonts w:hint="eastAsia"/>
        </w:rPr>
        <w:t>。此外，根据就有关第二次和第三次定期报告提出的问题</w:t>
      </w:r>
      <w:r w:rsidR="00711817">
        <w:rPr>
          <w:rFonts w:hint="eastAsia"/>
        </w:rPr>
        <w:t>(</w:t>
      </w:r>
      <w:r>
        <w:rPr>
          <w:rFonts w:hint="eastAsia"/>
        </w:rPr>
        <w:t>CEDAW/C/AZE/</w:t>
      </w:r>
      <w:r w:rsidR="00711817">
        <w:t xml:space="preserve"> </w:t>
      </w:r>
      <w:r>
        <w:rPr>
          <w:rFonts w:hint="eastAsia"/>
        </w:rPr>
        <w:t>Q/3/Add.1,问题12)所作出的答复，妇女在2004年的市一级选举中占候选人5.01</w:t>
      </w:r>
      <w:r w:rsidR="00711817">
        <w:t>%</w:t>
      </w:r>
      <w:r>
        <w:rPr>
          <w:rFonts w:hint="eastAsia"/>
        </w:rPr>
        <w:t>，占当选人4.08</w:t>
      </w:r>
      <w:r w:rsidR="00711817">
        <w:t>%</w:t>
      </w:r>
      <w:r>
        <w:rPr>
          <w:rFonts w:hint="eastAsia"/>
        </w:rPr>
        <w:t>。请提供资料说明政府已经或设想采取的任何具体措施，以促进妇女参与政治生活，并增加妇女在国家和地方各级当选机构的所占比例，特别是在2010年举行的国民议会下届选举中的所占比例。</w:t>
      </w:r>
    </w:p>
    <w:p w:rsidR="00FD4AF0" w:rsidRDefault="00FD4AF0" w:rsidP="00711817">
      <w:pPr>
        <w:pStyle w:val="SingleTxt"/>
        <w:rPr>
          <w:rFonts w:hint="eastAsia"/>
        </w:rPr>
      </w:pPr>
      <w:r>
        <w:rPr>
          <w:rFonts w:hint="eastAsia"/>
        </w:rPr>
        <w:t>16.</w:t>
      </w:r>
      <w:r>
        <w:rPr>
          <w:rFonts w:hint="eastAsia"/>
        </w:rPr>
        <w:tab/>
        <w:t>报告第21页指出，国家家庭、妇女及儿童事务委员会汇编了妇女在各个国家机构包括担任决策职务的平均比例数据库。请向委员会提供涵盖2007年和2008年的现有资料。</w:t>
      </w:r>
    </w:p>
    <w:p w:rsidR="00FD4AF0" w:rsidRPr="00711817" w:rsidRDefault="00FD4AF0" w:rsidP="00711817">
      <w:pPr>
        <w:pStyle w:val="SingleTxt"/>
        <w:rPr>
          <w:rFonts w:ascii="SimHei" w:eastAsia="SimHei" w:hint="eastAsia"/>
          <w:color w:val="FF0000"/>
        </w:rPr>
      </w:pPr>
      <w:r w:rsidRPr="00711817">
        <w:rPr>
          <w:rFonts w:ascii="SimHei" w:eastAsia="SimHei" w:hint="eastAsia"/>
          <w:color w:val="FF0000"/>
        </w:rPr>
        <w:t>陈规定型观念和教育</w:t>
      </w:r>
    </w:p>
    <w:p w:rsidR="00FD4AF0" w:rsidRDefault="00FD4AF0" w:rsidP="00711817">
      <w:pPr>
        <w:pStyle w:val="SingleTxt"/>
        <w:rPr>
          <w:rFonts w:hint="eastAsia"/>
        </w:rPr>
      </w:pPr>
      <w:r>
        <w:rPr>
          <w:rFonts w:hint="eastAsia"/>
        </w:rPr>
        <w:t>17.</w:t>
      </w:r>
      <w:r>
        <w:rPr>
          <w:rFonts w:hint="eastAsia"/>
        </w:rPr>
        <w:tab/>
        <w:t>报告指出，最近几年进行的研究确认，阿塞拜疆的男子在社会担任领导职位，</w:t>
      </w:r>
      <w:r w:rsidRPr="00711817">
        <w:rPr>
          <w:rFonts w:hint="eastAsia"/>
          <w:spacing w:val="-2"/>
        </w:rPr>
        <w:t>阿塞拜疆的妇女传统上自愿从事家庭生活、照料子女和类似的活动，这成为社会心态的一部分。报告还阐述了为消除对男女角色的陈规定型态度而采取的若干行动(第13-15页)。请说明各种举措产生的影响，并提供资料说明已查明的主要挑战。</w:t>
      </w:r>
    </w:p>
    <w:p w:rsidR="00FD4AF0" w:rsidRDefault="00FD4AF0" w:rsidP="00711817">
      <w:pPr>
        <w:pStyle w:val="SingleTxt"/>
        <w:rPr>
          <w:rFonts w:hint="eastAsia"/>
        </w:rPr>
      </w:pPr>
      <w:r>
        <w:rPr>
          <w:rFonts w:hint="eastAsia"/>
        </w:rPr>
        <w:t>18.</w:t>
      </w:r>
      <w:r>
        <w:rPr>
          <w:rFonts w:hint="eastAsia"/>
        </w:rPr>
        <w:tab/>
        <w:t>委员会在先前的结论意见</w:t>
      </w:r>
      <w:r w:rsidR="00711817">
        <w:rPr>
          <w:rFonts w:hint="eastAsia"/>
        </w:rPr>
        <w:t>(</w:t>
      </w:r>
      <w:r>
        <w:rPr>
          <w:rFonts w:hint="eastAsia"/>
        </w:rPr>
        <w:t>CEDAW/C/AZE/CO/3</w:t>
      </w:r>
      <w:r w:rsidR="00711817">
        <w:rPr>
          <w:rFonts w:hint="eastAsia"/>
        </w:rPr>
        <w:t>)</w:t>
      </w:r>
      <w:r>
        <w:rPr>
          <w:rFonts w:hint="eastAsia"/>
        </w:rPr>
        <w:t>中表示关切学校教科书长期存在陈规定型观念。报告(CEDAW/C/AZE/4)指出，学校教科书不得出现陈规定型的形象(第14页)，并在教育部的支持下对教科书进行性别分析(第26页)。请提供资料说明这一分析的结果以及在此基础上采取的行动，以确保学校教科书不出现有关男女角色的陈规定型形象。</w:t>
      </w:r>
    </w:p>
    <w:p w:rsidR="00FD4AF0" w:rsidRDefault="00FD4AF0" w:rsidP="00711817">
      <w:pPr>
        <w:pStyle w:val="SingleTxt"/>
        <w:rPr>
          <w:rFonts w:hint="eastAsia"/>
        </w:rPr>
      </w:pPr>
      <w:r>
        <w:rPr>
          <w:rFonts w:hint="eastAsia"/>
        </w:rPr>
        <w:t>19.</w:t>
      </w:r>
      <w:r>
        <w:rPr>
          <w:rFonts w:hint="eastAsia"/>
        </w:rPr>
        <w:tab/>
        <w:t>请提供涵盖2007年和2008年按城乡地区分类的统计资料，说明小学、中学和高等教育的男女入学比率。还请说明已提出什么措施来解决阿塞拜疆在答复有关第二次和第三次定期报告提出的问题</w:t>
      </w:r>
      <w:r w:rsidR="00711817">
        <w:rPr>
          <w:rFonts w:hint="eastAsia"/>
        </w:rPr>
        <w:t>(CEDAW/C/AZE/Q/3/Add.1,</w:t>
      </w:r>
      <w:r>
        <w:rPr>
          <w:rFonts w:hint="eastAsia"/>
        </w:rPr>
        <w:t>问题14)时所查明的有关女童和年轻妇女辍学的主要原因及其影响。</w:t>
      </w:r>
    </w:p>
    <w:p w:rsidR="00FD4AF0" w:rsidRPr="00711817" w:rsidRDefault="00FD4AF0" w:rsidP="00711817">
      <w:pPr>
        <w:pStyle w:val="SingleTxt"/>
        <w:rPr>
          <w:rFonts w:ascii="SimHei" w:eastAsia="SimHei" w:hint="eastAsia"/>
          <w:color w:val="FF0000"/>
        </w:rPr>
      </w:pPr>
      <w:r w:rsidRPr="00711817">
        <w:rPr>
          <w:rFonts w:ascii="SimHei" w:eastAsia="SimHei" w:hint="eastAsia"/>
          <w:color w:val="FF0000"/>
        </w:rPr>
        <w:t>就业</w:t>
      </w:r>
    </w:p>
    <w:p w:rsidR="00FD4AF0" w:rsidRDefault="00FD4AF0" w:rsidP="00711817">
      <w:pPr>
        <w:pStyle w:val="SingleTxt"/>
        <w:rPr>
          <w:rFonts w:hint="eastAsia"/>
        </w:rPr>
      </w:pPr>
      <w:r>
        <w:rPr>
          <w:rFonts w:hint="eastAsia"/>
        </w:rPr>
        <w:t>20.</w:t>
      </w:r>
      <w:r>
        <w:rPr>
          <w:rFonts w:hint="eastAsia"/>
        </w:rPr>
        <w:tab/>
        <w:t>根据阿塞拜疆向委员会提交的第二次和第三次合并定期报告，“平均来说，妇女的薪金约为男子的70</w:t>
      </w:r>
      <w:r w:rsidR="00711817">
        <w:t>%</w:t>
      </w:r>
      <w:r>
        <w:rPr>
          <w:rFonts w:hint="eastAsia"/>
        </w:rPr>
        <w:t>”(CEDAW/C/AZE/2-3,第47页)。请提供最新资料说明男女工资的差距，并说明按照委员会在先前的结论意见中所提出的建议</w:t>
      </w:r>
      <w:r w:rsidR="00711817">
        <w:rPr>
          <w:rFonts w:hint="eastAsia"/>
        </w:rPr>
        <w:t>(</w:t>
      </w:r>
      <w:r>
        <w:rPr>
          <w:rFonts w:hint="eastAsia"/>
        </w:rPr>
        <w:t>第24段</w:t>
      </w:r>
      <w:r w:rsidR="00711817">
        <w:rPr>
          <w:rFonts w:hint="eastAsia"/>
        </w:rPr>
        <w:t>)</w:t>
      </w:r>
      <w:r>
        <w:rPr>
          <w:rFonts w:hint="eastAsia"/>
        </w:rPr>
        <w:t>采取什么措施来缩小和消除男女工资差距。</w:t>
      </w:r>
    </w:p>
    <w:p w:rsidR="00FD4AF0" w:rsidRDefault="00FD4AF0" w:rsidP="00711817">
      <w:pPr>
        <w:pStyle w:val="SingleTxt"/>
        <w:spacing w:after="120"/>
        <w:rPr>
          <w:rFonts w:hint="eastAsia"/>
        </w:rPr>
      </w:pPr>
      <w:r>
        <w:rPr>
          <w:rFonts w:hint="eastAsia"/>
        </w:rPr>
        <w:t>21.</w:t>
      </w:r>
      <w:r>
        <w:rPr>
          <w:rFonts w:hint="eastAsia"/>
        </w:rPr>
        <w:tab/>
        <w:t>报告第27页提到有关提供就业的定额制，特别是针对各社会弱势群体。请提供更多资料，说明这一制度的运作以及涉及的就业部门。</w:t>
      </w:r>
    </w:p>
    <w:p w:rsidR="00FD4AF0" w:rsidRDefault="00FD4AF0" w:rsidP="00711817">
      <w:pPr>
        <w:pStyle w:val="SingleTxt"/>
        <w:spacing w:after="120"/>
        <w:rPr>
          <w:rFonts w:hint="eastAsia"/>
        </w:rPr>
      </w:pPr>
      <w:r>
        <w:rPr>
          <w:rFonts w:hint="eastAsia"/>
        </w:rPr>
        <w:t>22.</w:t>
      </w:r>
      <w:r>
        <w:rPr>
          <w:rFonts w:hint="eastAsia"/>
        </w:rPr>
        <w:tab/>
        <w:t>报告第29页指出，自2007年以来，国家企业支助基金会增加了对妇女企业家的资助渠道，所设立的小额信贷机制在提供基本资金方面发挥了重要作用。请提供资料说明这些资助妇女企业家的新渠道所产生的影响，尤其是按城乡地区分类受益于这些机制的妇女人数。</w:t>
      </w:r>
    </w:p>
    <w:p w:rsidR="00FD4AF0" w:rsidRPr="00711817" w:rsidRDefault="00FD4AF0" w:rsidP="00711817">
      <w:pPr>
        <w:pStyle w:val="SingleTxt"/>
        <w:spacing w:after="120"/>
        <w:rPr>
          <w:rFonts w:ascii="SimHei" w:eastAsia="SimHei" w:hint="eastAsia"/>
          <w:color w:val="FF0000"/>
        </w:rPr>
      </w:pPr>
      <w:r w:rsidRPr="00711817">
        <w:rPr>
          <w:rFonts w:ascii="SimHei" w:eastAsia="SimHei" w:hint="eastAsia"/>
          <w:color w:val="FF0000"/>
        </w:rPr>
        <w:t>卫生</w:t>
      </w:r>
    </w:p>
    <w:p w:rsidR="00FD4AF0" w:rsidRDefault="00FD4AF0" w:rsidP="00711817">
      <w:pPr>
        <w:pStyle w:val="SingleTxt"/>
        <w:spacing w:after="120"/>
      </w:pPr>
      <w:r>
        <w:rPr>
          <w:rFonts w:hint="eastAsia"/>
        </w:rPr>
        <w:t>23.</w:t>
      </w:r>
      <w:r>
        <w:rPr>
          <w:rFonts w:hint="eastAsia"/>
        </w:rPr>
        <w:tab/>
        <w:t>报告指出，尽管已采取措施来解决这一问题，但孕产妇死亡率在2004年和2006年期间上升了</w:t>
      </w:r>
      <w:r w:rsidR="00711817">
        <w:rPr>
          <w:rFonts w:hint="eastAsia"/>
        </w:rPr>
        <w:t>(</w:t>
      </w:r>
      <w:r>
        <w:rPr>
          <w:rFonts w:hint="eastAsia"/>
        </w:rPr>
        <w:t>第30和34页</w:t>
      </w:r>
      <w:r w:rsidR="00711817">
        <w:rPr>
          <w:rFonts w:hint="eastAsia"/>
        </w:rPr>
        <w:t>)</w:t>
      </w:r>
      <w:r>
        <w:rPr>
          <w:rFonts w:hint="eastAsia"/>
        </w:rPr>
        <w:t>。请说明已经或计划采取什么进一步的步骤来处理这种情况，如有数据，请提供涵盖2007年和2008年的相关统计数据。</w:t>
      </w:r>
    </w:p>
    <w:p w:rsidR="00FD4AF0" w:rsidRDefault="00FD4AF0" w:rsidP="00711817">
      <w:pPr>
        <w:pStyle w:val="SingleTxt"/>
        <w:spacing w:after="120"/>
      </w:pPr>
      <w:r>
        <w:rPr>
          <w:rFonts w:hint="eastAsia"/>
        </w:rPr>
        <w:t>24.</w:t>
      </w:r>
      <w:r>
        <w:rPr>
          <w:rFonts w:hint="eastAsia"/>
        </w:rPr>
        <w:tab/>
        <w:t>请提供资料说明2006-2010年国家保护母婴健康方案的执行情况以及所采取的措施的影响。</w:t>
      </w:r>
    </w:p>
    <w:p w:rsidR="00FD4AF0" w:rsidRDefault="00FD4AF0" w:rsidP="00711817">
      <w:pPr>
        <w:pStyle w:val="SingleTxt"/>
        <w:spacing w:after="120"/>
        <w:rPr>
          <w:rFonts w:hint="eastAsia"/>
        </w:rPr>
      </w:pPr>
      <w:r>
        <w:rPr>
          <w:rFonts w:hint="eastAsia"/>
        </w:rPr>
        <w:t>25.</w:t>
      </w:r>
      <w:r>
        <w:rPr>
          <w:rFonts w:hint="eastAsia"/>
        </w:rPr>
        <w:tab/>
      </w:r>
      <w:r w:rsidRPr="00711817">
        <w:rPr>
          <w:rFonts w:hint="eastAsia"/>
          <w:spacing w:val="-2"/>
        </w:rPr>
        <w:t>委员会在先前的结论意见</w:t>
      </w:r>
      <w:r w:rsidR="00711817" w:rsidRPr="00711817">
        <w:rPr>
          <w:rFonts w:hint="eastAsia"/>
          <w:spacing w:val="-2"/>
        </w:rPr>
        <w:t>(CEDAW/C/AZE/CO/3,</w:t>
      </w:r>
      <w:r w:rsidRPr="00711817">
        <w:rPr>
          <w:rFonts w:hint="eastAsia"/>
          <w:spacing w:val="-2"/>
        </w:rPr>
        <w:t>第25段)中表示关切阿塞拜疆所使用的产妇死亡定义不符合世界卫生组织的标准定义。但是，报告指出，自2001年以来就使用这一定义了。请向委员会提供阿塞拜疆目前使用的孕产妇死亡定义。</w:t>
      </w:r>
    </w:p>
    <w:p w:rsidR="00FD4AF0" w:rsidRDefault="00FD4AF0" w:rsidP="00711817">
      <w:pPr>
        <w:pStyle w:val="SingleTxt"/>
        <w:spacing w:after="120"/>
      </w:pPr>
      <w:r>
        <w:rPr>
          <w:rFonts w:hint="eastAsia"/>
        </w:rPr>
        <w:t>26.</w:t>
      </w:r>
      <w:r>
        <w:rPr>
          <w:rFonts w:hint="eastAsia"/>
        </w:rPr>
        <w:tab/>
        <w:t>报告注意到现代避孕药具的使用和提供都有限，因而造成堕胎数量的增加</w:t>
      </w:r>
      <w:r w:rsidRPr="00711817">
        <w:rPr>
          <w:rFonts w:hint="eastAsia"/>
          <w:spacing w:val="-2"/>
        </w:rPr>
        <w:t>(第38和第39页)。报告还注意到，随着艾滋病毒/艾滋病的增加，性病也越来越多(第40页)。请提供资料说明已经或计划采取具体的步骤，以确保男女</w:t>
      </w:r>
      <w:r w:rsidR="00711817" w:rsidRPr="00711817">
        <w:rPr>
          <w:rFonts w:hint="eastAsia"/>
          <w:spacing w:val="-2"/>
        </w:rPr>
        <w:t>(</w:t>
      </w:r>
      <w:r w:rsidRPr="00711817">
        <w:rPr>
          <w:rFonts w:hint="eastAsia"/>
          <w:spacing w:val="-2"/>
        </w:rPr>
        <w:t>包括青少年</w:t>
      </w:r>
      <w:r w:rsidR="00711817" w:rsidRPr="00711817">
        <w:rPr>
          <w:rFonts w:hint="eastAsia"/>
          <w:spacing w:val="-2"/>
        </w:rPr>
        <w:t>)</w:t>
      </w:r>
      <w:r w:rsidRPr="00711817">
        <w:rPr>
          <w:rFonts w:hint="eastAsia"/>
          <w:spacing w:val="-2"/>
        </w:rPr>
        <w:t>获得有关生殖保健和计划生育的资料以及负担得起的避孕方法，养成负责任的性行为，并说明其结果。如有的话，还请提供2007年和2008年的相关统计。</w:t>
      </w:r>
    </w:p>
    <w:p w:rsidR="00FD4AF0" w:rsidRPr="00711817" w:rsidRDefault="00FD4AF0" w:rsidP="00711817">
      <w:pPr>
        <w:pStyle w:val="SingleTxt"/>
        <w:spacing w:after="120"/>
        <w:rPr>
          <w:rFonts w:ascii="SimHei" w:eastAsia="SimHei" w:hint="eastAsia"/>
          <w:color w:val="FF0000"/>
        </w:rPr>
      </w:pPr>
      <w:r w:rsidRPr="00711817">
        <w:rPr>
          <w:rFonts w:ascii="SimHei" w:eastAsia="SimHei" w:hint="eastAsia"/>
          <w:color w:val="FF0000"/>
        </w:rPr>
        <w:t>境内流离失所的妇女和女孩</w:t>
      </w:r>
    </w:p>
    <w:p w:rsidR="00FD4AF0" w:rsidRDefault="00FD4AF0" w:rsidP="00711817">
      <w:pPr>
        <w:pStyle w:val="SingleTxt"/>
        <w:spacing w:after="120"/>
        <w:rPr>
          <w:rFonts w:hint="eastAsia"/>
        </w:rPr>
      </w:pPr>
      <w:r>
        <w:rPr>
          <w:rFonts w:hint="eastAsia"/>
        </w:rPr>
        <w:t>27.</w:t>
      </w:r>
      <w:r>
        <w:rPr>
          <w:rFonts w:hint="eastAsia"/>
        </w:rPr>
        <w:tab/>
        <w:t>请提供资料，说明根据关于加强妇女在阿塞拜疆的作用的总统令、民主社会打击日常暴力行为方案以及报告第2、8和10页提到的有关制止暴力侵害妇女的项目，采取具体措施改善境内流离失所的妇女和女孩的处境，并说明其影响以及在执行中遇到的任何挑战。</w:t>
      </w:r>
    </w:p>
    <w:p w:rsidR="00FD4AF0" w:rsidRDefault="00FD4AF0" w:rsidP="00711817">
      <w:pPr>
        <w:pStyle w:val="SingleTxt"/>
        <w:spacing w:after="120"/>
      </w:pPr>
      <w:r>
        <w:rPr>
          <w:rFonts w:hint="eastAsia"/>
        </w:rPr>
        <w:t>28.</w:t>
      </w:r>
      <w:r>
        <w:rPr>
          <w:rFonts w:hint="eastAsia"/>
        </w:rPr>
        <w:tab/>
        <w:t>请提供资料，说明采取的任何步骤，以确保等待重新安置的境内流离失所的妇女参与对新安置的地点、设计和设备进行规划，并执行负责境内流离失所者人权问题的秘书长代表相应提出的建议(A/HRC/8/6/Add.2,第64段)。请特别Baku、Sumgait和Ganga在这方面作出的努力。</w:t>
      </w:r>
    </w:p>
    <w:p w:rsidR="00FD4AF0" w:rsidRPr="00711817" w:rsidRDefault="00FD4AF0" w:rsidP="00711817">
      <w:pPr>
        <w:pStyle w:val="SingleTxt"/>
        <w:spacing w:after="120"/>
        <w:rPr>
          <w:rFonts w:ascii="SimHei" w:eastAsia="SimHei" w:hint="eastAsia"/>
          <w:color w:val="FF0000"/>
        </w:rPr>
      </w:pPr>
      <w:r w:rsidRPr="00711817">
        <w:rPr>
          <w:rFonts w:ascii="SimHei" w:eastAsia="SimHei" w:hint="eastAsia"/>
          <w:color w:val="FF0000"/>
        </w:rPr>
        <w:t>婚姻和家庭生活</w:t>
      </w:r>
    </w:p>
    <w:p w:rsidR="00FD4AF0" w:rsidRDefault="00FD4AF0" w:rsidP="00711817">
      <w:pPr>
        <w:pStyle w:val="SingleTxt"/>
        <w:spacing w:after="120"/>
        <w:rPr>
          <w:rFonts w:hint="eastAsia"/>
        </w:rPr>
      </w:pPr>
      <w:r>
        <w:rPr>
          <w:rFonts w:hint="eastAsia"/>
        </w:rPr>
        <w:t>29.</w:t>
      </w:r>
      <w:r>
        <w:rPr>
          <w:rFonts w:hint="eastAsia"/>
        </w:rPr>
        <w:tab/>
        <w:t>请提供最新资料，说明男女结婚年龄平等家庭法典拟议修正案的现状。还请详细说明有关婚前必须进行体格检查和缔结婚约的提议的内容和目的。</w:t>
      </w:r>
    </w:p>
    <w:p w:rsidR="00EA31C3" w:rsidRDefault="00711817" w:rsidP="00711817">
      <w:pPr>
        <w:pStyle w:val="SingleTxt"/>
        <w:spacing w:after="120"/>
        <w:rPr>
          <w:rFonts w:hint="eastAsia"/>
        </w:rPr>
      </w:pPr>
      <w:r>
        <w:rPr>
          <w:rFonts w:hint="eastAsia"/>
          <w:noProof/>
          <w:sz w:val="20"/>
        </w:rPr>
        <w:pict>
          <v:line id="_x0000_s1027" style="position:absolute;left:0;text-align:left;z-index:1" from="215.25pt,62.4pt" to="287.25pt,62.4pt" strokeweight=".25pt"/>
        </w:pict>
      </w:r>
      <w:r w:rsidR="00FD4AF0">
        <w:rPr>
          <w:rFonts w:hint="eastAsia"/>
        </w:rPr>
        <w:t>30.</w:t>
      </w:r>
      <w:r w:rsidR="00FD4AF0">
        <w:rPr>
          <w:rFonts w:hint="eastAsia"/>
        </w:rPr>
        <w:tab/>
        <w:t>委员会重申其在先前结论意见中向该缔约国提出的要求(第30段)，即向委员会提供未满18岁女孩结婚的数据以及宗教婚姻和传统婚姻的资料，包括其法律身份。</w:t>
      </w:r>
    </w:p>
    <w:sectPr w:rsidR="00EA31C3" w:rsidSect="00282239">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7T11:18:00Z" w:initials="Start">
    <w:p w:rsidR="003659AC" w:rsidRDefault="003659AC">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NO&gt;&gt;N0922683C&lt;&lt;ODS JOB NO&gt;&gt;</w:t>
      </w:r>
    </w:p>
    <w:p w:rsidR="003659AC" w:rsidRDefault="003659AC">
      <w:pPr>
        <w:pStyle w:val="CommentText"/>
      </w:pPr>
      <w:r>
        <w:t>&lt;&lt;ODS DOC SYMBOL1&gt;&gt;CEDAW/C/AZE/Q/4&lt;&lt;ODS DOC SYMBOL1&gt;&gt;</w:t>
      </w:r>
    </w:p>
    <w:p w:rsidR="003659AC" w:rsidRDefault="003659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585" w:rsidRDefault="002A7585">
      <w:r>
        <w:separator/>
      </w:r>
    </w:p>
  </w:endnote>
  <w:endnote w:type="continuationSeparator" w:id="0">
    <w:p w:rsidR="002A7585" w:rsidRDefault="002A7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59AC" w:rsidTr="00282239">
      <w:tblPrEx>
        <w:tblCellMar>
          <w:top w:w="0" w:type="dxa"/>
          <w:bottom w:w="0" w:type="dxa"/>
        </w:tblCellMar>
      </w:tblPrEx>
      <w:tc>
        <w:tcPr>
          <w:tcW w:w="5033" w:type="dxa"/>
          <w:shd w:val="clear" w:color="auto" w:fill="auto"/>
        </w:tcPr>
        <w:p w:rsidR="003659AC" w:rsidRPr="00282239" w:rsidRDefault="003659AC" w:rsidP="002822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029">
            <w:rPr>
              <w:b w:val="0"/>
              <w:w w:val="103"/>
              <w:sz w:val="14"/>
            </w:rPr>
            <w:t>09-22683 (C)</w:t>
          </w:r>
          <w:r>
            <w:rPr>
              <w:b w:val="0"/>
              <w:w w:val="103"/>
              <w:sz w:val="14"/>
            </w:rPr>
            <w:fldChar w:fldCharType="end"/>
          </w:r>
        </w:p>
      </w:tc>
      <w:tc>
        <w:tcPr>
          <w:tcW w:w="5033" w:type="dxa"/>
          <w:shd w:val="clear" w:color="auto" w:fill="auto"/>
        </w:tcPr>
        <w:p w:rsidR="003659AC" w:rsidRPr="00282239" w:rsidRDefault="003659AC" w:rsidP="00282239">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666029">
            <w:rPr>
              <w:w w:val="103"/>
              <w:sz w:val="17"/>
            </w:rPr>
            <w:t>4</w:t>
          </w:r>
          <w:r>
            <w:rPr>
              <w:w w:val="103"/>
              <w:sz w:val="17"/>
            </w:rPr>
            <w:fldChar w:fldCharType="end"/>
          </w:r>
        </w:p>
      </w:tc>
    </w:tr>
  </w:tbl>
  <w:p w:rsidR="003659AC" w:rsidRPr="00282239" w:rsidRDefault="003659AC" w:rsidP="002822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59AC" w:rsidTr="00282239">
      <w:tblPrEx>
        <w:tblCellMar>
          <w:top w:w="0" w:type="dxa"/>
          <w:bottom w:w="0" w:type="dxa"/>
        </w:tblCellMar>
      </w:tblPrEx>
      <w:tc>
        <w:tcPr>
          <w:tcW w:w="5033" w:type="dxa"/>
          <w:shd w:val="clear" w:color="auto" w:fill="auto"/>
        </w:tcPr>
        <w:p w:rsidR="003659AC" w:rsidRPr="00282239" w:rsidRDefault="003659AC" w:rsidP="00282239">
          <w:pPr>
            <w:pStyle w:val="Footer"/>
            <w:jc w:val="right"/>
          </w:pPr>
          <w:r>
            <w:fldChar w:fldCharType="begin"/>
          </w:r>
          <w:r>
            <w:instrText xml:space="preserve"> PAGE  \* MERGEFORMAT </w:instrText>
          </w:r>
          <w:r>
            <w:fldChar w:fldCharType="separate"/>
          </w:r>
          <w:r w:rsidR="00666029">
            <w:t>3</w:t>
          </w:r>
          <w:r>
            <w:fldChar w:fldCharType="end"/>
          </w:r>
        </w:p>
      </w:tc>
      <w:tc>
        <w:tcPr>
          <w:tcW w:w="5033" w:type="dxa"/>
          <w:shd w:val="clear" w:color="auto" w:fill="auto"/>
        </w:tcPr>
        <w:p w:rsidR="003659AC" w:rsidRPr="00282239" w:rsidRDefault="003659AC" w:rsidP="00282239">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66029">
            <w:rPr>
              <w:b w:val="0"/>
              <w:w w:val="103"/>
              <w:sz w:val="14"/>
            </w:rPr>
            <w:t>09-22683 (C)</w:t>
          </w:r>
          <w:r>
            <w:rPr>
              <w:b w:val="0"/>
              <w:w w:val="103"/>
              <w:sz w:val="14"/>
            </w:rPr>
            <w:fldChar w:fldCharType="end"/>
          </w:r>
        </w:p>
      </w:tc>
    </w:tr>
  </w:tbl>
  <w:p w:rsidR="003659AC" w:rsidRPr="00282239" w:rsidRDefault="003659AC" w:rsidP="002822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59AC" w:rsidRDefault="003659AC" w:rsidP="00282239">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66029">
      <w:rPr>
        <w:b w:val="0"/>
        <w:sz w:val="21"/>
      </w:rPr>
      <w:t>09-22683 (C)</w:t>
    </w:r>
    <w:r>
      <w:rPr>
        <w:b w:val="0"/>
        <w:sz w:val="21"/>
      </w:rPr>
      <w:fldChar w:fldCharType="end"/>
    </w:r>
    <w:r>
      <w:rPr>
        <w:b w:val="0"/>
        <w:sz w:val="21"/>
      </w:rPr>
      <w:t xml:space="preserve">    170209    1</w:t>
    </w:r>
    <w:r w:rsidR="00666029">
      <w:rPr>
        <w:rFonts w:hint="eastAsia"/>
        <w:b w:val="0"/>
        <w:sz w:val="21"/>
      </w:rPr>
      <w:t>8</w:t>
    </w:r>
    <w:r>
      <w:rPr>
        <w:b w:val="0"/>
        <w:sz w:val="21"/>
      </w:rPr>
      <w:t>0209</w:t>
    </w:r>
  </w:p>
  <w:p w:rsidR="003659AC" w:rsidRPr="00282239" w:rsidRDefault="003659AC" w:rsidP="00282239">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666029">
      <w:rPr>
        <w:rFonts w:ascii="Barcode 3 of 9 by request" w:hAnsi="Barcode 3 of 9 by request"/>
        <w:sz w:val="24"/>
      </w:rPr>
      <w:t>*0922683*</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585" w:rsidRPr="003659AC" w:rsidRDefault="002A7585" w:rsidP="003659AC">
      <w:pPr>
        <w:pStyle w:val="Footer"/>
        <w:spacing w:after="80"/>
        <w:ind w:left="792"/>
        <w:rPr>
          <w:sz w:val="16"/>
        </w:rPr>
      </w:pPr>
      <w:r w:rsidRPr="003659AC">
        <w:rPr>
          <w:sz w:val="16"/>
        </w:rPr>
        <w:t>__________________</w:t>
      </w:r>
    </w:p>
  </w:footnote>
  <w:footnote w:type="continuationSeparator" w:id="0">
    <w:p w:rsidR="002A7585" w:rsidRPr="003659AC" w:rsidRDefault="002A7585" w:rsidP="003659AC">
      <w:pPr>
        <w:pStyle w:val="Footer"/>
        <w:spacing w:after="80"/>
        <w:ind w:left="792"/>
        <w:rPr>
          <w:sz w:val="16"/>
        </w:rPr>
      </w:pPr>
      <w:r w:rsidRPr="003659AC">
        <w:rPr>
          <w:sz w:val="16"/>
        </w:rPr>
        <w:t>__________________</w:t>
      </w:r>
    </w:p>
  </w:footnote>
  <w:footnote w:id="1">
    <w:p w:rsidR="003659AC" w:rsidRDefault="003659AC" w:rsidP="003659AC">
      <w:pPr>
        <w:pStyle w:val="FootnoteText"/>
        <w:tabs>
          <w:tab w:val="clear" w:pos="418"/>
          <w:tab w:val="right" w:pos="1195"/>
          <w:tab w:val="left" w:pos="1264"/>
          <w:tab w:val="left" w:pos="1695"/>
          <w:tab w:val="left" w:pos="2126"/>
          <w:tab w:val="left" w:pos="2557"/>
        </w:tabs>
        <w:ind w:left="1264" w:right="1264" w:hanging="432"/>
        <w:rPr>
          <w:rFonts w:hint="eastAsia"/>
        </w:rPr>
      </w:pPr>
      <w:r>
        <w:rPr>
          <w:rFonts w:hint="eastAsia"/>
        </w:rPr>
        <w:tab/>
      </w:r>
      <w:r w:rsidRPr="003659AC">
        <w:rPr>
          <w:rStyle w:val="FootnoteReference"/>
        </w:rPr>
        <w:sym w:font="Symbol" w:char="F02A"/>
      </w:r>
      <w:r>
        <w:rPr>
          <w:rFonts w:hint="eastAsia"/>
        </w:rPr>
        <w:tab/>
        <w:t>本议题和问题清单中的页次系指该报告英文本的页次。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59AC" w:rsidTr="00282239">
      <w:tblPrEx>
        <w:tblCellMar>
          <w:top w:w="0" w:type="dxa"/>
          <w:bottom w:w="0" w:type="dxa"/>
        </w:tblCellMar>
      </w:tblPrEx>
      <w:trPr>
        <w:trHeight w:hRule="exact" w:val="864"/>
      </w:trPr>
      <w:tc>
        <w:tcPr>
          <w:tcW w:w="4838" w:type="dxa"/>
          <w:shd w:val="clear" w:color="auto" w:fill="auto"/>
          <w:vAlign w:val="bottom"/>
        </w:tcPr>
        <w:p w:rsidR="003659AC" w:rsidRPr="00282239" w:rsidRDefault="003659AC" w:rsidP="00282239">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66029">
            <w:rPr>
              <w:b/>
              <w:sz w:val="17"/>
            </w:rPr>
            <w:t>CEDAW/C/AZE/Q/4</w:t>
          </w:r>
          <w:r>
            <w:rPr>
              <w:b/>
              <w:sz w:val="17"/>
            </w:rPr>
            <w:fldChar w:fldCharType="end"/>
          </w:r>
        </w:p>
      </w:tc>
      <w:tc>
        <w:tcPr>
          <w:tcW w:w="5033" w:type="dxa"/>
          <w:shd w:val="clear" w:color="auto" w:fill="auto"/>
          <w:vAlign w:val="bottom"/>
        </w:tcPr>
        <w:p w:rsidR="003659AC" w:rsidRDefault="003659AC" w:rsidP="00282239">
          <w:pPr>
            <w:pStyle w:val="Header"/>
          </w:pPr>
        </w:p>
      </w:tc>
    </w:tr>
  </w:tbl>
  <w:p w:rsidR="003659AC" w:rsidRPr="00282239" w:rsidRDefault="003659AC" w:rsidP="002822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3659AC" w:rsidTr="00282239">
      <w:tblPrEx>
        <w:tblCellMar>
          <w:top w:w="0" w:type="dxa"/>
          <w:bottom w:w="0" w:type="dxa"/>
        </w:tblCellMar>
      </w:tblPrEx>
      <w:trPr>
        <w:trHeight w:hRule="exact" w:val="864"/>
      </w:trPr>
      <w:tc>
        <w:tcPr>
          <w:tcW w:w="4838" w:type="dxa"/>
          <w:shd w:val="clear" w:color="auto" w:fill="auto"/>
          <w:vAlign w:val="bottom"/>
        </w:tcPr>
        <w:p w:rsidR="003659AC" w:rsidRDefault="003659AC" w:rsidP="00282239">
          <w:pPr>
            <w:pStyle w:val="Header"/>
          </w:pPr>
        </w:p>
      </w:tc>
      <w:tc>
        <w:tcPr>
          <w:tcW w:w="5033" w:type="dxa"/>
          <w:shd w:val="clear" w:color="auto" w:fill="auto"/>
          <w:vAlign w:val="bottom"/>
        </w:tcPr>
        <w:p w:rsidR="003659AC" w:rsidRPr="00282239" w:rsidRDefault="003659AC" w:rsidP="00282239">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66029">
            <w:rPr>
              <w:b/>
              <w:sz w:val="17"/>
            </w:rPr>
            <w:t>CEDAW/C/AZE/Q/4</w:t>
          </w:r>
          <w:r>
            <w:rPr>
              <w:b/>
              <w:sz w:val="17"/>
            </w:rPr>
            <w:fldChar w:fldCharType="end"/>
          </w:r>
        </w:p>
      </w:tc>
    </w:tr>
  </w:tbl>
  <w:p w:rsidR="003659AC" w:rsidRPr="00282239" w:rsidRDefault="003659AC" w:rsidP="002822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659AC" w:rsidTr="0028223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659AC" w:rsidRDefault="003659AC" w:rsidP="00282239">
          <w:pPr>
            <w:pStyle w:val="Header"/>
            <w:spacing w:after="120"/>
          </w:pPr>
        </w:p>
      </w:tc>
      <w:tc>
        <w:tcPr>
          <w:tcW w:w="1872" w:type="dxa"/>
          <w:tcBorders>
            <w:bottom w:val="single" w:sz="4" w:space="0" w:color="auto"/>
          </w:tcBorders>
          <w:shd w:val="clear" w:color="auto" w:fill="auto"/>
          <w:vAlign w:val="bottom"/>
        </w:tcPr>
        <w:p w:rsidR="003659AC" w:rsidRPr="00282239" w:rsidRDefault="003659AC" w:rsidP="00282239">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3659AC" w:rsidRDefault="003659AC" w:rsidP="00282239">
          <w:pPr>
            <w:pStyle w:val="Header"/>
            <w:spacing w:after="120"/>
          </w:pPr>
        </w:p>
      </w:tc>
      <w:tc>
        <w:tcPr>
          <w:tcW w:w="6523" w:type="dxa"/>
          <w:gridSpan w:val="3"/>
          <w:tcBorders>
            <w:bottom w:val="single" w:sz="4" w:space="0" w:color="auto"/>
          </w:tcBorders>
          <w:shd w:val="clear" w:color="auto" w:fill="auto"/>
          <w:vAlign w:val="bottom"/>
        </w:tcPr>
        <w:p w:rsidR="003659AC" w:rsidRPr="00282239" w:rsidRDefault="003659AC" w:rsidP="00282239">
          <w:pPr>
            <w:spacing w:after="80" w:line="240" w:lineRule="auto"/>
            <w:jc w:val="right"/>
            <w:rPr>
              <w:rFonts w:ascii="Times New Roman"/>
              <w:position w:val="-4"/>
            </w:rPr>
          </w:pPr>
          <w:r>
            <w:rPr>
              <w:rFonts w:ascii="Times New Roman"/>
              <w:position w:val="-4"/>
              <w:sz w:val="40"/>
            </w:rPr>
            <w:t>CEDAW</w:t>
          </w:r>
          <w:r>
            <w:rPr>
              <w:rFonts w:ascii="Times New Roman"/>
              <w:position w:val="-4"/>
            </w:rPr>
            <w:t>/C/AZE/Q/4</w:t>
          </w:r>
        </w:p>
      </w:tc>
    </w:tr>
    <w:tr w:rsidR="003659AC" w:rsidRPr="00282239" w:rsidTr="0028223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659AC" w:rsidRDefault="003659AC" w:rsidP="00282239">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3659AC" w:rsidRPr="00282239" w:rsidRDefault="003659AC" w:rsidP="00282239">
          <w:pPr>
            <w:pStyle w:val="Header"/>
            <w:spacing w:before="109"/>
            <w:ind w:left="-72"/>
          </w:pPr>
        </w:p>
      </w:tc>
      <w:tc>
        <w:tcPr>
          <w:tcW w:w="5227" w:type="dxa"/>
          <w:gridSpan w:val="3"/>
          <w:tcBorders>
            <w:top w:val="single" w:sz="4" w:space="0" w:color="auto"/>
            <w:bottom w:val="single" w:sz="12" w:space="0" w:color="auto"/>
          </w:tcBorders>
          <w:shd w:val="clear" w:color="auto" w:fill="auto"/>
        </w:tcPr>
        <w:p w:rsidR="003659AC" w:rsidRPr="00282239" w:rsidRDefault="003659AC" w:rsidP="00282239">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3659AC" w:rsidRPr="00282239" w:rsidRDefault="003659AC" w:rsidP="00282239">
          <w:pPr>
            <w:pStyle w:val="Header"/>
            <w:spacing w:before="109"/>
          </w:pPr>
        </w:p>
      </w:tc>
      <w:tc>
        <w:tcPr>
          <w:tcW w:w="3180" w:type="dxa"/>
          <w:gridSpan w:val="2"/>
          <w:tcBorders>
            <w:top w:val="single" w:sz="4" w:space="0" w:color="auto"/>
            <w:bottom w:val="single" w:sz="12" w:space="0" w:color="auto"/>
          </w:tcBorders>
          <w:shd w:val="clear" w:color="auto" w:fill="auto"/>
        </w:tcPr>
        <w:p w:rsidR="003659AC" w:rsidRDefault="003659AC" w:rsidP="00282239">
          <w:pPr>
            <w:spacing w:before="240" w:line="240" w:lineRule="exact"/>
            <w:rPr>
              <w:rFonts w:ascii="Times New Roman"/>
            </w:rPr>
          </w:pPr>
          <w:r>
            <w:rPr>
              <w:rFonts w:ascii="Times New Roman"/>
            </w:rPr>
            <w:t>Distr.: General</w:t>
          </w:r>
        </w:p>
        <w:p w:rsidR="003659AC" w:rsidRDefault="003659AC" w:rsidP="00282239">
          <w:pPr>
            <w:spacing w:line="240" w:lineRule="exact"/>
            <w:rPr>
              <w:rFonts w:ascii="Times New Roman"/>
            </w:rPr>
          </w:pPr>
          <w:r>
            <w:rPr>
              <w:rFonts w:ascii="Times New Roman"/>
            </w:rPr>
            <w:t>4 February 2009</w:t>
          </w:r>
        </w:p>
        <w:p w:rsidR="003659AC" w:rsidRDefault="003659AC" w:rsidP="00282239">
          <w:pPr>
            <w:spacing w:line="240" w:lineRule="exact"/>
            <w:rPr>
              <w:rFonts w:ascii="Times New Roman"/>
            </w:rPr>
          </w:pPr>
          <w:r>
            <w:rPr>
              <w:rFonts w:ascii="Times New Roman"/>
            </w:rPr>
            <w:t>Chinese</w:t>
          </w:r>
        </w:p>
        <w:p w:rsidR="003659AC" w:rsidRPr="00282239" w:rsidRDefault="003659AC" w:rsidP="00282239">
          <w:pPr>
            <w:spacing w:line="240" w:lineRule="exact"/>
            <w:rPr>
              <w:rFonts w:ascii="Times New Roman"/>
            </w:rPr>
          </w:pPr>
          <w:r>
            <w:rPr>
              <w:rFonts w:ascii="Times New Roman"/>
            </w:rPr>
            <w:t>Original: English</w:t>
          </w:r>
        </w:p>
      </w:tc>
    </w:tr>
  </w:tbl>
  <w:p w:rsidR="003659AC" w:rsidRPr="00282239" w:rsidRDefault="003659AC" w:rsidP="002822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83*"/>
    <w:docVar w:name="CreationDt" w:val="17/02/2009 11:01:08"/>
    <w:docVar w:name="DocCategory" w:val="Doc"/>
    <w:docVar w:name="DocType" w:val="Final"/>
    <w:docVar w:name="FooterJN" w:val="09-22683 (C)"/>
    <w:docVar w:name="jobn" w:val="09-22683 (C)"/>
    <w:docVar w:name="jobnDT" w:val="09-22683 (C)   170209"/>
    <w:docVar w:name="jobnDTDT" w:val="09-22683 (C)   170209   170209"/>
    <w:docVar w:name="JobNo" w:val="0922683C"/>
    <w:docVar w:name="OandT" w:val="jia"/>
    <w:docVar w:name="sss1" w:val="CEDAW/C/AZE/Q/4"/>
    <w:docVar w:name="sss2" w:val="-"/>
    <w:docVar w:name="Symbol1" w:val="CEDAW/C/AZE/Q/4"/>
    <w:docVar w:name="Symbol2" w:val="-"/>
  </w:docVars>
  <w:rsids>
    <w:rsidRoot w:val="006E535A"/>
    <w:rsid w:val="0000347C"/>
    <w:rsid w:val="000125BC"/>
    <w:rsid w:val="00021A2B"/>
    <w:rsid w:val="00037B39"/>
    <w:rsid w:val="00044CA4"/>
    <w:rsid w:val="00045EFE"/>
    <w:rsid w:val="0007337D"/>
    <w:rsid w:val="000758DF"/>
    <w:rsid w:val="00076EB8"/>
    <w:rsid w:val="00095C67"/>
    <w:rsid w:val="000A31F9"/>
    <w:rsid w:val="000C1786"/>
    <w:rsid w:val="000D571A"/>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21070"/>
    <w:rsid w:val="00231575"/>
    <w:rsid w:val="00247382"/>
    <w:rsid w:val="00252E35"/>
    <w:rsid w:val="00254858"/>
    <w:rsid w:val="00257053"/>
    <w:rsid w:val="00266257"/>
    <w:rsid w:val="00271BE6"/>
    <w:rsid w:val="0027454D"/>
    <w:rsid w:val="00280671"/>
    <w:rsid w:val="002814F9"/>
    <w:rsid w:val="00282239"/>
    <w:rsid w:val="00282D17"/>
    <w:rsid w:val="002A4AEF"/>
    <w:rsid w:val="002A7585"/>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659AC"/>
    <w:rsid w:val="00371BC6"/>
    <w:rsid w:val="00373A15"/>
    <w:rsid w:val="00394A02"/>
    <w:rsid w:val="003C7B20"/>
    <w:rsid w:val="003D1AE9"/>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2A40"/>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029"/>
    <w:rsid w:val="00666F57"/>
    <w:rsid w:val="006740A7"/>
    <w:rsid w:val="00691524"/>
    <w:rsid w:val="006A654B"/>
    <w:rsid w:val="006E2924"/>
    <w:rsid w:val="006E535A"/>
    <w:rsid w:val="006E7A26"/>
    <w:rsid w:val="006F2B3D"/>
    <w:rsid w:val="007052CC"/>
    <w:rsid w:val="00711817"/>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366EE"/>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30D6"/>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4AF0"/>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554</Words>
  <Characters>3164</Characters>
  <Application>Microsoft Office Word</Application>
  <DocSecurity>4</DocSecurity>
  <Lines>26</Lines>
  <Paragraphs>7</Paragraphs>
  <ScaleCrop>false</ScaleCrop>
  <Company>United Nations</Company>
  <LinksUpToDate>false</LinksUpToDate>
  <CharactersWithSpaces>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2009-02-18T10:09:00Z</cp:lastPrinted>
  <dcterms:created xsi:type="dcterms:W3CDTF">2009-02-17T10:00:00Z</dcterms:created>
  <dcterms:modified xsi:type="dcterms:W3CDTF">2009-02-18T10:10:00Z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0922683</vt:lpwstr>
  </property>
  <property fmtid="{D5CDD505-2E9C-101B-9397-08002B2CF9AE}" pid="3" name="Symbol1">
    <vt:lpwstr>CEDAW/C/AZE/Q/4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