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/>
    <w:tbl>
      <w:tblPr>
        <w:tblW w:w="0" w:type="auto"/>
        <w:tblInd w:w="793" w:type="dxa"/>
        <w:tblLayout w:type="fixed"/>
        <w:tblCellMar>
          <w:left w:w="793" w:type="dxa"/>
          <w:right w:w="793" w:type="dxa"/>
        </w:tblCellMar>
        <w:tblLook w:val="0000" w:firstRow="0" w:lastRow="0" w:firstColumn="0" w:lastColumn="0" w:noHBand="0" w:noVBand="0"/>
      </w:tblPr>
      <w:tblGrid>
        <w:gridCol w:w="4734"/>
        <w:gridCol w:w="473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134"/>
        </w:trPr>
        <w:tc>
          <w:tcPr>
            <w:tcW w:w="4734" w:type="dxa"/>
          </w:tcPr>
          <w:p w:rsidR="00000000" w:rsidRDefault="00000000">
            <w:pPr>
              <w:spacing w:after="58"/>
              <w:ind w:left="-651"/>
              <w:rPr>
                <w:rFonts w:ascii="Courier New" w:hAnsi="Courier New"/>
                <w:sz w:val="20"/>
              </w:rPr>
            </w:pPr>
            <w:r>
              <w:rPr>
                <w:rFonts w:ascii="Courier New" w:hAnsi="Courier New"/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0;margin-top:.35pt;width:96.3pt;height:37.35pt;flip:y;z-index:3;mso-position-horizontal-relative:page;mso-position-vertical-relative:page" filled="f" stroked="f">
                  <v:textbox inset="0">
                    <w:txbxContent>
                      <w:p w:rsidR="00000000" w:rsidRDefault="00000000">
                        <w:pPr>
                          <w:pStyle w:val="BodyText"/>
                        </w:pPr>
                        <w:r>
                          <w:t>NATIONS UNIES</w:t>
                        </w:r>
                      </w:p>
                    </w:txbxContent>
                  </v:textbox>
                  <w10:wrap anchorx="page" anchory="page"/>
                </v:shape>
              </w:pict>
            </w:r>
          </w:p>
        </w:tc>
        <w:tc>
          <w:tcPr>
            <w:tcW w:w="4734" w:type="dxa"/>
          </w:tcPr>
          <w:p w:rsidR="00000000" w:rsidRDefault="00000000">
            <w:pPr>
              <w:pStyle w:val="Heading1"/>
              <w:ind w:left="2268" w:right="-539"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E</w:t>
            </w:r>
          </w:p>
        </w:tc>
      </w:tr>
    </w:tbl>
    <w:p w:rsidR="00000000" w:rsidRDefault="00000000">
      <w:pPr>
        <w:tabs>
          <w:tab w:val="right" w:pos="3195"/>
        </w:tabs>
        <w:spacing w:line="19" w:lineRule="exact"/>
        <w:ind w:hanging="1"/>
        <w:rPr>
          <w:rFonts w:ascii="Courier New" w:hAnsi="Courier New"/>
          <w:sz w:val="20"/>
        </w:rPr>
      </w:pPr>
      <w:r>
        <w:rPr>
          <w:noProof/>
        </w:rPr>
        <w:pict>
          <v:rect id="_x0000_s1026" style="position:absolute;margin-left:86.4pt;margin-top:-6.6pt;width:467.7pt;height:.95pt;z-index:-3;mso-position-horizontal-relative:page;mso-position-vertical-relative:text" o:allowincell="f" fillcolor="black" stroked="f" strokeweight="0">
            <v:fill color2="black"/>
            <w10:wrap anchorx="page"/>
            <w10:anchorlock/>
          </v:rect>
        </w:pict>
      </w: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4534"/>
        <w:gridCol w:w="3402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496"/>
        </w:trPr>
        <w:tc>
          <w:tcPr>
            <w:tcW w:w="1530" w:type="dxa"/>
          </w:tcPr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60pt" fillcolor="window">
                  <v:imagedata r:id="rId7" o:title="" croptop="-46f" cropbottom="-46f" cropleft="-1312f" cropright="-1312f"/>
                </v:shape>
              </w:pic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noProof/>
              </w:rPr>
              <w:pict>
                <v:rect id="_x0000_s1027" style="position:absolute;margin-left:-6pt;margin-top:122.7pt;width:467.7pt;height:4.25pt;z-index:-2;mso-position-horizontal-relative:margin;mso-position-vertical-relative:page" fillcolor="black" stroked="f" strokeweight="0">
                  <v:fill color2="black"/>
                  <w10:wrap anchorx="margin" anchory="page"/>
                  <w10:anchorlock/>
                </v:rect>
              </w:pict>
            </w:r>
          </w:p>
        </w:tc>
        <w:tc>
          <w:tcPr>
            <w:tcW w:w="4534" w:type="dxa"/>
          </w:tcPr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</w:p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Conseil économique </w:t>
            </w:r>
            <w:r>
              <w:rPr>
                <w:rFonts w:ascii="Arial" w:hAnsi="Arial"/>
                <w:b/>
                <w:sz w:val="32"/>
              </w:rPr>
              <w:br/>
              <w:t>et social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</w:rPr>
            </w:pPr>
          </w:p>
        </w:tc>
        <w:tc>
          <w:tcPr>
            <w:tcW w:w="3402" w:type="dxa"/>
          </w:tcPr>
          <w:p w:rsidR="00000000" w:rsidRDefault="00000000">
            <w:pPr>
              <w:spacing w:line="120" w:lineRule="exact"/>
            </w:pPr>
          </w:p>
          <w:p w:rsidR="00000000" w:rsidRDefault="00000000">
            <w:r>
              <w:t>Distr.</w:t>
            </w:r>
          </w:p>
          <w:p w:rsidR="00000000" w:rsidRDefault="00000000">
            <w:r>
              <w:t>GÉNÉRALE</w:t>
            </w:r>
          </w:p>
          <w:p w:rsidR="00000000" w:rsidRDefault="00000000"/>
          <w:p w:rsidR="00000000" w:rsidRDefault="00000000">
            <w:r>
              <w:t>E/C.12/Q/GTM/1</w:t>
            </w:r>
          </w:p>
          <w:p w:rsidR="00000000" w:rsidRDefault="00000000">
            <w:r>
              <w:t>14 janvier 2003</w:t>
            </w:r>
          </w:p>
          <w:p w:rsidR="00000000" w:rsidRDefault="00000000"/>
          <w:p w:rsidR="00000000" w:rsidRDefault="00000000">
            <w:r>
              <w:t>FRANÇAIS</w:t>
            </w:r>
          </w:p>
          <w:p w:rsidR="00000000" w:rsidRDefault="00000000">
            <w:r>
              <w:t>Original: ANGLAIS</w:t>
            </w:r>
          </w:p>
          <w:p w:rsidR="00000000" w:rsidRDefault="00000000"/>
        </w:tc>
      </w:tr>
    </w:tbl>
    <w:p w:rsidR="00000000" w:rsidRDefault="00000000">
      <w:pPr>
        <w:spacing w:before="120"/>
      </w:pPr>
      <w:r>
        <w:t>COMITÉ DES DROITS ÉCONOMIQUES,</w:t>
      </w:r>
      <w:r>
        <w:br/>
        <w:t>SOCIAUX ET CULTURELS</w:t>
      </w:r>
    </w:p>
    <w:p w:rsidR="00000000" w:rsidRDefault="00000000">
      <w:r>
        <w:t>Groupe de travail de présession</w:t>
      </w:r>
    </w:p>
    <w:p w:rsidR="00000000" w:rsidRDefault="00000000">
      <w:r>
        <w:t>2-6 décembre 2002</w:t>
      </w:r>
    </w:p>
    <w:p w:rsidR="00000000" w:rsidRDefault="00000000">
      <w:pPr>
        <w:spacing w:after="240"/>
        <w:jc w:val="center"/>
      </w:pPr>
    </w:p>
    <w:p w:rsidR="00000000" w:rsidRDefault="00000000">
      <w:pPr>
        <w:spacing w:after="240"/>
        <w:jc w:val="center"/>
      </w:pPr>
    </w:p>
    <w:p w:rsidR="00000000" w:rsidRDefault="00000000">
      <w:pPr>
        <w:spacing w:after="240"/>
        <w:jc w:val="center"/>
      </w:pPr>
    </w:p>
    <w:p w:rsidR="00000000" w:rsidRDefault="00000000">
      <w:pPr>
        <w:spacing w:after="240"/>
        <w:jc w:val="center"/>
      </w:pPr>
      <w:r>
        <w:t>APPLICATION DU PACTE INTERNATIONAL RELATIF AUX DROITS</w:t>
      </w:r>
      <w:r>
        <w:br/>
        <w:t>ÉCONOMIQUES, SOCIAUX ET CULTURELS</w:t>
      </w:r>
    </w:p>
    <w:p w:rsidR="00000000" w:rsidRDefault="00000000">
      <w:pPr>
        <w:spacing w:after="240"/>
        <w:jc w:val="center"/>
      </w:pPr>
    </w:p>
    <w:p w:rsidR="00000000" w:rsidRDefault="00000000">
      <w:pPr>
        <w:spacing w:after="240"/>
        <w:jc w:val="center"/>
      </w:pPr>
      <w:r>
        <w:t>Liste des points à traiter à l’occasion de l’examen du deuxième rapport périodique</w:t>
      </w:r>
      <w:r>
        <w:br/>
        <w:t xml:space="preserve">du </w:t>
      </w:r>
      <w:r>
        <w:rPr>
          <w:b/>
        </w:rPr>
        <w:t xml:space="preserve">GUATEMALA </w:t>
      </w:r>
      <w:r>
        <w:t>concernant les droits visés aux articles 1 à 15 du Pacte</w:t>
      </w:r>
      <w:r>
        <w:br/>
        <w:t>international relatif aux droits économiques, sociaux et culturels</w:t>
      </w:r>
      <w:r>
        <w:br/>
        <w:t>(E/1990/6/Add.34)</w:t>
      </w:r>
    </w:p>
    <w:p w:rsidR="00000000" w:rsidRDefault="00000000">
      <w:pPr>
        <w:jc w:val="center"/>
        <w:rPr>
          <w:b/>
        </w:rPr>
      </w:pPr>
      <w:r>
        <w:br w:type="page"/>
      </w:r>
      <w:r>
        <w:rPr>
          <w:b/>
        </w:rPr>
        <w:t>I.  POINTS RELATIFS AUX DISPOSITIONS GÉNÉRALES DU PACTE</w:t>
      </w:r>
      <w:r>
        <w:rPr>
          <w:b/>
        </w:rPr>
        <w:br/>
        <w:t>(art. 1 à 5)</w:t>
      </w:r>
    </w:p>
    <w:p w:rsidR="00000000" w:rsidRDefault="00000000">
      <w:pPr>
        <w:rPr>
          <w:b/>
        </w:rPr>
      </w:pPr>
    </w:p>
    <w:p w:rsidR="00000000" w:rsidRDefault="00000000">
      <w:pPr>
        <w:spacing w:after="240"/>
        <w:ind w:left="567" w:hanging="567"/>
      </w:pPr>
      <w:r>
        <w:t>1.</w:t>
      </w:r>
      <w:r>
        <w:tab/>
        <w:t>De quelle autonomie jouissent les populations autochtones dans le système constitutionnel de l’État partie et dans quelle mesure leur représentation est-elle assurée?</w:t>
      </w:r>
    </w:p>
    <w:p w:rsidR="00000000" w:rsidRDefault="00000000">
      <w:pPr>
        <w:spacing w:after="240"/>
        <w:ind w:left="567" w:hanging="567"/>
      </w:pPr>
      <w:r>
        <w:t>2.</w:t>
      </w:r>
      <w:r>
        <w:tab/>
        <w:t>L’emploi des langues autochtones est-il obligatoire dans le cadre de certaines procédures judiciaires et administratives?</w:t>
      </w:r>
    </w:p>
    <w:p w:rsidR="00000000" w:rsidRDefault="00000000">
      <w:pPr>
        <w:spacing w:after="240"/>
        <w:ind w:left="567" w:hanging="567"/>
      </w:pPr>
      <w:r>
        <w:t>3.</w:t>
      </w:r>
      <w:r>
        <w:tab/>
        <w:t>Quelles sont les mesures concrètes, législatives ou autres, que l’État partie a adoptées pour lutter contre la discrimination raciale et qui pourraient avoir un impact sur la réalisation des droits économiques, sociaux et culturels?</w:t>
      </w:r>
    </w:p>
    <w:p w:rsidR="00000000" w:rsidRDefault="00000000">
      <w:pPr>
        <w:spacing w:after="240"/>
        <w:ind w:left="567" w:hanging="567"/>
      </w:pPr>
      <w:r>
        <w:t>4.</w:t>
      </w:r>
      <w:r>
        <w:tab/>
        <w:t>Indiquer de manière détaillée si le droit de la famille reconnaît aux hommes et aux femmes les mêmes droits.</w:t>
      </w:r>
    </w:p>
    <w:p w:rsidR="00000000" w:rsidRDefault="00000000">
      <w:pPr>
        <w:spacing w:after="240"/>
        <w:ind w:left="567" w:hanging="567"/>
        <w:jc w:val="center"/>
        <w:rPr>
          <w:b/>
        </w:rPr>
      </w:pPr>
      <w:r>
        <w:rPr>
          <w:b/>
        </w:rPr>
        <w:t>II.  POINTS RELATIFS À DES DISPOSITIONS SPÉCIFIQUES DU PACTE</w:t>
      </w:r>
      <w:r>
        <w:rPr>
          <w:b/>
        </w:rPr>
        <w:br/>
        <w:t>(art. 6 à 15)</w:t>
      </w:r>
    </w:p>
    <w:p w:rsidR="00000000" w:rsidRDefault="00000000">
      <w:pPr>
        <w:keepNext/>
        <w:spacing w:after="240"/>
        <w:ind w:left="567" w:hanging="567"/>
        <w:rPr>
          <w:b/>
        </w:rPr>
      </w:pPr>
      <w:r>
        <w:rPr>
          <w:b/>
        </w:rPr>
        <w:t>Article 6 − Droit au travail</w:t>
      </w:r>
    </w:p>
    <w:p w:rsidR="00000000" w:rsidRDefault="00000000">
      <w:pPr>
        <w:spacing w:after="240"/>
        <w:ind w:left="567" w:hanging="567"/>
      </w:pPr>
      <w:r>
        <w:t>5.</w:t>
      </w:r>
      <w:r>
        <w:tab/>
        <w:t>Fournir des statistiques comparatives récentes sur le chômage, ventilées par région, tranche d’âge et sexe.</w:t>
      </w:r>
    </w:p>
    <w:p w:rsidR="00000000" w:rsidRDefault="00000000">
      <w:pPr>
        <w:spacing w:after="240"/>
        <w:ind w:left="567" w:hanging="567"/>
      </w:pPr>
      <w:r>
        <w:t>6.</w:t>
      </w:r>
      <w:r>
        <w:tab/>
        <w:t>Les politiques de l’emploi mentionnées aux paragraphes 80, 81 et 82 du rapport ont-elles donné des résultats positifs?</w:t>
      </w:r>
    </w:p>
    <w:p w:rsidR="00000000" w:rsidRDefault="00000000">
      <w:pPr>
        <w:spacing w:after="240"/>
        <w:ind w:left="567" w:hanging="567"/>
      </w:pPr>
      <w:r>
        <w:t>7.</w:t>
      </w:r>
      <w:r>
        <w:tab/>
        <w:t>Les accords d’immigration conclus entre les Gouvernements guatémaltèque et mexicain reconnaissent-ils les droits économiques, sociaux et culturels des travailleurs qui viennent dans la zone de Soconusco?</w:t>
      </w:r>
    </w:p>
    <w:p w:rsidR="00000000" w:rsidRDefault="00000000">
      <w:pPr>
        <w:spacing w:after="240"/>
        <w:ind w:left="567" w:hanging="567"/>
      </w:pPr>
      <w:r>
        <w:t>8.</w:t>
      </w:r>
      <w:r>
        <w:tab/>
        <w:t>Indiquer si l’État partie envisage de ratifier les Conventions de l’OIT n</w:t>
      </w:r>
      <w:r>
        <w:rPr>
          <w:vertAlign w:val="superscript"/>
        </w:rPr>
        <w:t>o</w:t>
      </w:r>
      <w:r>
        <w:t> 2 concernant le chômage, n</w:t>
      </w:r>
      <w:r>
        <w:rPr>
          <w:vertAlign w:val="superscript"/>
        </w:rPr>
        <w:t xml:space="preserve">o </w:t>
      </w:r>
      <w:r>
        <w:t>102 concernant la norme minimum de la sécurité sociale et n</w:t>
      </w:r>
      <w:r>
        <w:rPr>
          <w:vertAlign w:val="superscript"/>
        </w:rPr>
        <w:t>o</w:t>
      </w:r>
      <w:r>
        <w:t> 174 concernant la prévention des accidents industriels majeurs.</w:t>
      </w:r>
    </w:p>
    <w:p w:rsidR="00000000" w:rsidRDefault="00000000">
      <w:pPr>
        <w:keepNext/>
        <w:spacing w:after="240"/>
        <w:ind w:left="567" w:hanging="567"/>
        <w:rPr>
          <w:b/>
        </w:rPr>
      </w:pPr>
      <w:r>
        <w:rPr>
          <w:b/>
        </w:rPr>
        <w:t>Article 7 − Droit à des conditions de travail justes et favorables</w:t>
      </w:r>
    </w:p>
    <w:p w:rsidR="00000000" w:rsidRDefault="00000000">
      <w:pPr>
        <w:spacing w:after="240"/>
        <w:ind w:left="567" w:hanging="567"/>
      </w:pPr>
      <w:r>
        <w:t>9.</w:t>
      </w:r>
      <w:r>
        <w:tab/>
        <w:t>Quelles sont les dispositions prises par la Commission des salaires et les commissions paritaires du salaire minimum pour garantir que le salaire minimum permet aux travailleurs et à leur famille de jouir d’un niveau de vie correct?</w:t>
      </w:r>
    </w:p>
    <w:p w:rsidR="00000000" w:rsidRDefault="00000000">
      <w:pPr>
        <w:keepNext/>
        <w:spacing w:after="240"/>
        <w:ind w:left="567" w:hanging="567"/>
        <w:rPr>
          <w:b/>
        </w:rPr>
      </w:pPr>
      <w:r>
        <w:rPr>
          <w:b/>
        </w:rPr>
        <w:t>Article 8 − Droits syndicaux</w:t>
      </w:r>
    </w:p>
    <w:p w:rsidR="00000000" w:rsidRDefault="00000000">
      <w:pPr>
        <w:spacing w:after="240"/>
        <w:ind w:left="567" w:hanging="567"/>
      </w:pPr>
      <w:r>
        <w:t xml:space="preserve">10. </w:t>
      </w:r>
      <w:r>
        <w:tab/>
        <w:t>Donner des explications plus détaillées concernant l’interdiction du droit de grève dans l’administration publique, en particulier pour les catégories de personnel n’assurant pas des services essentiels.</w:t>
      </w:r>
    </w:p>
    <w:p w:rsidR="00000000" w:rsidRDefault="00000000">
      <w:pPr>
        <w:keepNext/>
        <w:spacing w:after="240"/>
        <w:ind w:left="567" w:hanging="567"/>
        <w:rPr>
          <w:b/>
        </w:rPr>
      </w:pPr>
      <w:r>
        <w:rPr>
          <w:b/>
        </w:rPr>
        <w:t>Article 9 − Droit à la sécurité sociale</w:t>
      </w:r>
    </w:p>
    <w:p w:rsidR="00000000" w:rsidRDefault="00000000">
      <w:pPr>
        <w:spacing w:after="240"/>
        <w:ind w:left="567" w:hanging="567"/>
      </w:pPr>
      <w:r>
        <w:t xml:space="preserve">11. </w:t>
      </w:r>
      <w:r>
        <w:tab/>
        <w:t>Fournir des statistiques détaillées pour les cinq dernières années sur les personnes bénéficiant de prestations de sécurité sociale: pensions, allocations chômage, aide sociale, assurance santé, maladie et autres prestations. Indiquer aussi quelle part du budget a été allouée aux dépenses sociales au cours des cinq dernières années. Au paragraphe 125 du rapport, il est dit qu’au Guatemala, 1,2 % du PIB a été consacré à la sécurité sociale, mais aucune année n’est indiquée. Veuillez préciser l’année.</w:t>
      </w:r>
    </w:p>
    <w:p w:rsidR="00000000" w:rsidRDefault="00000000">
      <w:pPr>
        <w:spacing w:after="240"/>
        <w:ind w:left="567" w:hanging="567"/>
      </w:pPr>
      <w:r>
        <w:t xml:space="preserve">12. </w:t>
      </w:r>
      <w:r>
        <w:tab/>
        <w:t>De quels droits jouissent les personnes qui sont à la charge d’un travailleur assuré, mais qui ne font pas partie des membres de la famille inscrits auprès de la sécurité sociale?</w:t>
      </w:r>
    </w:p>
    <w:p w:rsidR="00000000" w:rsidRDefault="00000000">
      <w:pPr>
        <w:keepNext/>
        <w:spacing w:after="240"/>
        <w:ind w:left="567" w:hanging="567"/>
        <w:rPr>
          <w:b/>
        </w:rPr>
      </w:pPr>
      <w:r>
        <w:rPr>
          <w:b/>
        </w:rPr>
        <w:t>Article 10 − Protection de la famille, de la mère et de l’enfant</w:t>
      </w:r>
    </w:p>
    <w:p w:rsidR="00000000" w:rsidRDefault="00000000">
      <w:pPr>
        <w:spacing w:after="240"/>
        <w:ind w:left="567" w:hanging="567"/>
      </w:pPr>
      <w:r>
        <w:t>13.</w:t>
      </w:r>
      <w:r>
        <w:tab/>
        <w:t>Quelle action l’État partie envisage-t-il de mener en vue de faire adopter des dispositions législatives érigeant la violence domestique et le viol conjugal en infractions pénales spécifiques?</w:t>
      </w:r>
    </w:p>
    <w:p w:rsidR="00000000" w:rsidRDefault="00000000">
      <w:pPr>
        <w:spacing w:after="240"/>
        <w:ind w:left="567" w:hanging="567"/>
      </w:pPr>
      <w:r>
        <w:t>14.</w:t>
      </w:r>
      <w:r>
        <w:tab/>
        <w:t>Quelle est l’ampleur du problème des «enfants de la rue» dans l’État partie et quelles sont les mesures prises pour y remédier?</w:t>
      </w:r>
    </w:p>
    <w:p w:rsidR="00000000" w:rsidRDefault="00000000">
      <w:pPr>
        <w:spacing w:after="240"/>
        <w:ind w:left="567" w:hanging="567"/>
      </w:pPr>
      <w:r>
        <w:t>15.</w:t>
      </w:r>
      <w:r>
        <w:tab/>
        <w:t>Quels sont les programmes et mesures adoptés pour combattre la traite d’enfants, la pornographie et la prostitution infantile?</w:t>
      </w:r>
    </w:p>
    <w:p w:rsidR="00000000" w:rsidRDefault="00000000">
      <w:pPr>
        <w:spacing w:after="240"/>
        <w:ind w:left="567" w:hanging="567"/>
      </w:pPr>
      <w:r>
        <w:t xml:space="preserve">16. </w:t>
      </w:r>
      <w:r>
        <w:tab/>
        <w:t>Quels programmes et mesures systématiques l’État partie a-t-il adoptés en matière de santé de la procréation et d’hygiène sexuelle pour prévenir la propagation du VIH/sida chez les enfants et les jeunes?</w:t>
      </w:r>
    </w:p>
    <w:p w:rsidR="00000000" w:rsidRDefault="00000000">
      <w:pPr>
        <w:keepNext/>
        <w:spacing w:after="240"/>
        <w:ind w:left="567" w:hanging="567"/>
        <w:rPr>
          <w:b/>
        </w:rPr>
      </w:pPr>
      <w:r>
        <w:rPr>
          <w:b/>
        </w:rPr>
        <w:t>Article 11 − Droit à un niveau de vie suffisant</w:t>
      </w:r>
    </w:p>
    <w:p w:rsidR="00000000" w:rsidRDefault="00000000">
      <w:pPr>
        <w:spacing w:after="240"/>
        <w:ind w:left="567" w:hanging="567"/>
      </w:pPr>
      <w:r>
        <w:t>17.</w:t>
      </w:r>
      <w:r>
        <w:tab/>
        <w:t>Existe-t-il une stratégie tendant spécifiquement à réduire les disparités de revenu et autres entre les différentes régions du pays et, en particulier, à favoriser le développement de la partie occidentale du Guatemala et d’El Petén?</w:t>
      </w:r>
    </w:p>
    <w:p w:rsidR="00000000" w:rsidRDefault="00000000">
      <w:pPr>
        <w:spacing w:after="240"/>
        <w:ind w:left="567" w:hanging="567"/>
      </w:pPr>
      <w:r>
        <w:t>18.</w:t>
      </w:r>
      <w:r>
        <w:tab/>
        <w:t>Quelles ont été les résultats de la politique visant à restituer aux communautés autochtones les terres dont elles avaient été dépossédées par les grands propriétaires terriens et, en général, à régulariser les titres de propriété foncière dans les zones rurales depuis 1996?</w:t>
      </w:r>
    </w:p>
    <w:p w:rsidR="00000000" w:rsidRDefault="00000000">
      <w:pPr>
        <w:tabs>
          <w:tab w:val="num" w:pos="600"/>
        </w:tabs>
        <w:spacing w:after="240"/>
        <w:ind w:left="567" w:hanging="567"/>
      </w:pPr>
      <w:r>
        <w:t>19.</w:t>
      </w:r>
      <w:r>
        <w:tab/>
        <w:t>Existe-t-il un programme global de logements sociaux? Fournir des statistiques comparatives ventilées par région sur la pénurie de logements au cours des cinq dernières années. Existe-t-il un cadre juridique fournissant, conformément à l’Observation générale n</w:t>
      </w:r>
      <w:r>
        <w:rPr>
          <w:vertAlign w:val="superscript"/>
        </w:rPr>
        <w:t>o</w:t>
      </w:r>
      <w:r>
        <w:t> 7 du Comité, d’autres possibilités de logement aux personnes et aux groupes victimes d’expulsions?</w:t>
      </w:r>
    </w:p>
    <w:p w:rsidR="00000000" w:rsidRDefault="00000000">
      <w:pPr>
        <w:keepNext/>
        <w:spacing w:after="240"/>
        <w:rPr>
          <w:b/>
        </w:rPr>
      </w:pPr>
      <w:r>
        <w:rPr>
          <w:b/>
        </w:rPr>
        <w:t>Article 12 − Droit à la santé physique et mentale</w:t>
      </w:r>
    </w:p>
    <w:p w:rsidR="00000000" w:rsidRDefault="00000000">
      <w:pPr>
        <w:spacing w:after="240"/>
        <w:ind w:left="567" w:hanging="567"/>
        <w:rPr>
          <w:bCs/>
        </w:rPr>
      </w:pPr>
      <w:r>
        <w:rPr>
          <w:bCs/>
        </w:rPr>
        <w:t>20.</w:t>
      </w:r>
      <w:r>
        <w:rPr>
          <w:bCs/>
        </w:rPr>
        <w:tab/>
        <w:t>Fournir des statistiques comparatives sur le pourcentage d’hôpitaux, de cliniques et de médecins par rapport à la population, dans les zones rurales et urbaines, pour les cinq dernières années.</w:t>
      </w:r>
    </w:p>
    <w:p w:rsidR="00000000" w:rsidRDefault="00000000">
      <w:pPr>
        <w:spacing w:after="240"/>
        <w:ind w:left="567" w:hanging="567"/>
        <w:rPr>
          <w:bCs/>
        </w:rPr>
      </w:pPr>
      <w:r>
        <w:rPr>
          <w:bCs/>
        </w:rPr>
        <w:t>21.</w:t>
      </w:r>
      <w:r>
        <w:rPr>
          <w:bCs/>
        </w:rPr>
        <w:tab/>
        <w:t>Quel a été le taux de mortalité maternelle et infantile au cours des cinq dernières années? Quelles mesures concrètes l’État partie a-t-il prises pour le réduire?</w:t>
      </w:r>
    </w:p>
    <w:p w:rsidR="00000000" w:rsidRDefault="00000000">
      <w:pPr>
        <w:spacing w:after="240"/>
        <w:ind w:left="567" w:hanging="567"/>
      </w:pPr>
      <w:r>
        <w:t>22.</w:t>
      </w:r>
      <w:r>
        <w:tab/>
        <w:t>Fournir des informations sur le nombre de personnes atteintes par le VIH/sida et sur les programmes de lutte contre cette épidémie, conformément à l’Observation générale n</w:t>
      </w:r>
      <w:r>
        <w:rPr>
          <w:vertAlign w:val="superscript"/>
        </w:rPr>
        <w:t>o</w:t>
      </w:r>
      <w:r>
        <w:t> 14 du Comité.</w:t>
      </w:r>
    </w:p>
    <w:p w:rsidR="00000000" w:rsidRDefault="00000000">
      <w:pPr>
        <w:spacing w:after="240"/>
        <w:ind w:left="567" w:hanging="567"/>
      </w:pPr>
      <w:r>
        <w:t>23.</w:t>
      </w:r>
      <w:r>
        <w:tab/>
        <w:t>Quelles dispositions ont été prises par l’État partie pour lutter contre le problème des drogues illicites?</w:t>
      </w:r>
    </w:p>
    <w:p w:rsidR="00000000" w:rsidRDefault="00000000">
      <w:pPr>
        <w:pStyle w:val="BodyTextIndent"/>
        <w:keepNext/>
        <w:spacing w:after="240" w:line="240" w:lineRule="auto"/>
        <w:ind w:left="0"/>
        <w:rPr>
          <w:b/>
        </w:rPr>
      </w:pPr>
      <w:r>
        <w:rPr>
          <w:b/>
        </w:rPr>
        <w:t>Articles 13 et 14 − Droit à l’éducation</w:t>
      </w:r>
    </w:p>
    <w:p w:rsidR="00000000" w:rsidRDefault="00000000">
      <w:pPr>
        <w:spacing w:after="240"/>
        <w:ind w:left="567" w:hanging="567"/>
      </w:pPr>
      <w:r>
        <w:t>24.</w:t>
      </w:r>
      <w:r>
        <w:tab/>
        <w:t>Dans quelle mesure des repas sont</w:t>
      </w:r>
      <w:r>
        <w:noBreakHyphen/>
        <w:t>ils fournis aux élèves pour encourager la fréquentation scolaire et, en particulier, réduire le taux d’abandon scolaire, conformément à l’Observation générale n</w:t>
      </w:r>
      <w:r>
        <w:rPr>
          <w:vertAlign w:val="superscript"/>
        </w:rPr>
        <w:t>o</w:t>
      </w:r>
      <w:r>
        <w:t> 13?</w:t>
      </w:r>
    </w:p>
    <w:p w:rsidR="00000000" w:rsidRDefault="00000000">
      <w:pPr>
        <w:spacing w:after="240"/>
        <w:ind w:left="567" w:hanging="567"/>
      </w:pPr>
      <w:r>
        <w:t>25.</w:t>
      </w:r>
      <w:r>
        <w:tab/>
        <w:t>Préciser si les manuels et fournitures scolaires sont gratuits dans l’enseignement primaire.</w:t>
      </w:r>
    </w:p>
    <w:p w:rsidR="00000000" w:rsidRDefault="00000000">
      <w:pPr>
        <w:spacing w:after="240"/>
        <w:ind w:left="567" w:hanging="567"/>
      </w:pPr>
      <w:r>
        <w:t>26.</w:t>
      </w:r>
      <w:r>
        <w:tab/>
        <w:t>Un enseignement bilingue est-il assuré dans les 18 principales variantes de la langue maya?</w:t>
      </w:r>
    </w:p>
    <w:p w:rsidR="00000000" w:rsidRDefault="00000000">
      <w:pPr>
        <w:pStyle w:val="BodyTextIndent"/>
        <w:keepNext/>
        <w:spacing w:after="240" w:line="240" w:lineRule="auto"/>
        <w:ind w:left="0"/>
        <w:rPr>
          <w:b/>
        </w:rPr>
      </w:pPr>
      <w:r>
        <w:rPr>
          <w:b/>
        </w:rPr>
        <w:t>Article 15 − Droit de participer à la vie culturelle et de bénéficier du progrès scientifique et de la protection de la propriété intellectuelle</w:t>
      </w:r>
    </w:p>
    <w:p w:rsidR="00000000" w:rsidRDefault="00000000">
      <w:pPr>
        <w:spacing w:after="240"/>
        <w:ind w:left="567" w:hanging="567"/>
      </w:pPr>
      <w:r>
        <w:t>27.</w:t>
      </w:r>
      <w:r>
        <w:tab/>
        <w:t>Des institutions et des programmes d’enseignement ont-ils été créés afin de préserver et d’étudier les langues autochtones?</w:t>
      </w:r>
    </w:p>
    <w:p w:rsidR="00000000" w:rsidRDefault="00000000">
      <w:pPr>
        <w:spacing w:after="240"/>
        <w:ind w:left="567" w:hanging="567"/>
      </w:pPr>
      <w:r>
        <w:t>28.</w:t>
      </w:r>
      <w:r>
        <w:tab/>
        <w:t>L</w:t>
      </w:r>
      <w:r>
        <w:rPr>
          <w:bCs/>
        </w:rPr>
        <w:t>’</w:t>
      </w:r>
      <w:r>
        <w:t>État partie a-t-il mis en place un organisme ou un programme chargé de promouvoir la culture, les traditions et les arts des populations autochtones?</w:t>
      </w:r>
    </w:p>
    <w:p w:rsidR="00000000" w:rsidRDefault="00000000">
      <w:pPr>
        <w:spacing w:after="240"/>
        <w:ind w:left="567" w:hanging="567"/>
      </w:pPr>
      <w:r>
        <w:t>29.</w:t>
      </w:r>
      <w:r>
        <w:tab/>
        <w:t>Existe-t-il des programmes de radio et de télévision en langues autochtones? La télévision privée diffuse-t-elle des émissions officielles à caractère culturel?</w:t>
      </w:r>
    </w:p>
    <w:p w:rsidR="00000000" w:rsidRDefault="00000000">
      <w:pPr>
        <w:pStyle w:val="BodyTextIndent"/>
        <w:spacing w:after="240" w:line="240" w:lineRule="auto"/>
        <w:ind w:left="1134" w:hanging="774"/>
        <w:jc w:val="center"/>
      </w:pPr>
      <w:r>
        <w:t>-----</w:t>
      </w:r>
    </w:p>
    <w:p w:rsidR="00000000" w:rsidRDefault="00000000">
      <w:pPr>
        <w:spacing w:after="240"/>
      </w:pPr>
    </w:p>
    <w:p w:rsidR="00000000" w:rsidRDefault="00000000">
      <w:pPr>
        <w:spacing w:after="240"/>
      </w:pPr>
    </w:p>
    <w:sectPr w:rsidR="00000000">
      <w:headerReference w:type="even" r:id="rId8"/>
      <w:headerReference w:type="default" r:id="rId9"/>
      <w:footerReference w:type="first" r:id="rId10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t>GE.03-40105  (F)    120203    130203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E/C.12/Q/GTM/1</w:t>
    </w:r>
  </w:p>
  <w:p w:rsidR="00000000" w:rsidRDefault="00000000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4</w:t>
    </w:r>
    <w: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320"/>
        <w:tab w:val="clear" w:pos="8640"/>
        <w:tab w:val="left" w:pos="6803"/>
      </w:tabs>
    </w:pPr>
    <w:r>
      <w:tab/>
      <w:t>E/C.12/Q/GTM/1</w:t>
    </w:r>
  </w:p>
  <w:p w:rsidR="00000000" w:rsidRDefault="00000000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  <w:p w:rsidR="00000000" w:rsidRDefault="00000000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FR" w:vendorID="9" w:dllVersion="512" w:checkStyle="1"/>
  <w:attachedTemplate r:id="rId1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spacing w:after="58"/>
      <w:ind w:firstLine="1561"/>
      <w:outlineLvl w:val="0"/>
    </w:pPr>
    <w:rPr>
      <w:rFonts w:ascii="Times New Roman Gras" w:hAnsi="Times New Roman Gras"/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customStyle="1" w:styleId="ParaNo">
    <w:name w:val="ParaNo."/>
    <w:basedOn w:val="Normal"/>
    <w:pPr>
      <w:numPr>
        <w:numId w:val="30"/>
      </w:numPr>
      <w:tabs>
        <w:tab w:val="clear" w:pos="36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44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46"/>
      </w:numPr>
      <w:tabs>
        <w:tab w:val="clear" w:pos="927"/>
      </w:tabs>
      <w:ind w:left="1712" w:hanging="465"/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customStyle="1" w:styleId="Style1">
    <w:name w:val="Style1"/>
    <w:basedOn w:val="Normal"/>
    <w:pPr>
      <w:tabs>
        <w:tab w:val="left" w:pos="567"/>
      </w:tabs>
    </w:pPr>
  </w:style>
  <w:style w:type="paragraph" w:styleId="BodyText">
    <w:name w:val="Body Text"/>
    <w:basedOn w:val="Normal"/>
    <w:semiHidden/>
    <w:rPr>
      <w:rFonts w:ascii="Arial" w:hAnsi="Arial"/>
      <w:b/>
      <w:sz w:val="28"/>
    </w:rPr>
  </w:style>
  <w:style w:type="paragraph" w:styleId="BodyTextIndent">
    <w:name w:val="Body Text Indent"/>
    <w:basedOn w:val="Normal"/>
    <w:semiHidden/>
    <w:pPr>
      <w:spacing w:line="960" w:lineRule="exact"/>
      <w:ind w:left="360"/>
    </w:pPr>
    <w:rPr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2000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975</Words>
  <Characters>5559</Characters>
  <Application>Microsoft Office Word</Application>
  <DocSecurity>4</DocSecurity>
  <Lines>46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E/C.12/Q/GTM/1</vt:lpstr>
    </vt:vector>
  </TitlesOfParts>
  <Company>ONU</Company>
  <LinksUpToDate>false</LinksUpToDate>
  <CharactersWithSpaces>6826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E/C.12/Q/GTM/1</dc:title>
  <dc:subject/>
  <dc:creator>Brèque</dc:creator>
  <cp:keywords/>
  <dc:description/>
  <cp:lastModifiedBy>Monique Urli</cp:lastModifiedBy>
  <cp:revision>2</cp:revision>
  <cp:lastPrinted>2003-02-13T06:15:00Z</cp:lastPrinted>
  <dcterms:created xsi:type="dcterms:W3CDTF">2003-02-13T07:56:00Z</dcterms:created>
  <dcterms:modified xsi:type="dcterms:W3CDTF">2003-02-13T07:56:00Z</dcterms:modified>
</cp:coreProperties>
</file>