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F4164C5" w14:textId="77777777" w:rsidTr="003349E4">
        <w:trPr>
          <w:trHeight w:hRule="exact" w:val="851"/>
        </w:trPr>
        <w:tc>
          <w:tcPr>
            <w:tcW w:w="142" w:type="dxa"/>
            <w:tcBorders>
              <w:bottom w:val="single" w:sz="4" w:space="0" w:color="auto"/>
            </w:tcBorders>
          </w:tcPr>
          <w:p w14:paraId="4A9D3B1D" w14:textId="77777777" w:rsidR="002D5AAC" w:rsidRDefault="002D5AAC" w:rsidP="00B134D2">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CF196BD"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B3083EA" w14:textId="134F28A2" w:rsidR="002D5AAC" w:rsidRDefault="00B134D2" w:rsidP="00B134D2">
            <w:pPr>
              <w:jc w:val="right"/>
            </w:pPr>
            <w:r w:rsidRPr="00B134D2">
              <w:rPr>
                <w:sz w:val="40"/>
              </w:rPr>
              <w:t>CRPD</w:t>
            </w:r>
            <w:r>
              <w:t>/C/6</w:t>
            </w:r>
          </w:p>
        </w:tc>
      </w:tr>
      <w:tr w:rsidR="002D5AAC" w:rsidRPr="00B134D2" w14:paraId="30740878" w14:textId="77777777" w:rsidTr="003349E4">
        <w:trPr>
          <w:trHeight w:hRule="exact" w:val="2835"/>
        </w:trPr>
        <w:tc>
          <w:tcPr>
            <w:tcW w:w="1280" w:type="dxa"/>
            <w:gridSpan w:val="2"/>
            <w:tcBorders>
              <w:top w:val="single" w:sz="4" w:space="0" w:color="auto"/>
              <w:bottom w:val="single" w:sz="12" w:space="0" w:color="auto"/>
            </w:tcBorders>
          </w:tcPr>
          <w:p w14:paraId="0AC3E5B0" w14:textId="77777777" w:rsidR="002D5AAC" w:rsidRDefault="002E5067" w:rsidP="003349E4">
            <w:pPr>
              <w:spacing w:before="120"/>
              <w:jc w:val="center"/>
            </w:pPr>
            <w:r>
              <w:rPr>
                <w:noProof/>
                <w:lang w:val="fr-CH" w:eastAsia="fr-CH"/>
              </w:rPr>
              <w:drawing>
                <wp:inline distT="0" distB="0" distL="0" distR="0" wp14:anchorId="3644793F" wp14:editId="7BEC3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4F37D4" w14:textId="77777777" w:rsidR="002D5AAC" w:rsidRPr="00033EE1" w:rsidRDefault="005966F1" w:rsidP="008A246C">
            <w:pPr>
              <w:spacing w:before="120" w:line="38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5A91F1D7" w14:textId="77777777" w:rsidR="002D5AAC" w:rsidRDefault="00B134D2" w:rsidP="003349E4">
            <w:pPr>
              <w:spacing w:before="240"/>
              <w:rPr>
                <w:lang w:val="en-US"/>
              </w:rPr>
            </w:pPr>
            <w:r>
              <w:rPr>
                <w:lang w:val="en-US"/>
              </w:rPr>
              <w:t>Distr.: General</w:t>
            </w:r>
          </w:p>
          <w:p w14:paraId="50BAEF16" w14:textId="77777777" w:rsidR="00B134D2" w:rsidRDefault="00B134D2" w:rsidP="00B134D2">
            <w:pPr>
              <w:spacing w:line="240" w:lineRule="exact"/>
              <w:rPr>
                <w:lang w:val="en-US"/>
              </w:rPr>
            </w:pPr>
            <w:r>
              <w:rPr>
                <w:lang w:val="en-US"/>
              </w:rPr>
              <w:t>10 September 2024</w:t>
            </w:r>
          </w:p>
          <w:p w14:paraId="61FBAD15" w14:textId="77777777" w:rsidR="00B134D2" w:rsidRDefault="00B134D2" w:rsidP="00B134D2">
            <w:pPr>
              <w:spacing w:line="240" w:lineRule="exact"/>
              <w:rPr>
                <w:lang w:val="en-US"/>
              </w:rPr>
            </w:pPr>
            <w:r>
              <w:rPr>
                <w:lang w:val="en-US"/>
              </w:rPr>
              <w:t>Russian</w:t>
            </w:r>
          </w:p>
          <w:p w14:paraId="321D7DE8" w14:textId="248BB22F" w:rsidR="00B134D2" w:rsidRPr="008934D2" w:rsidRDefault="00B134D2" w:rsidP="00B134D2">
            <w:pPr>
              <w:spacing w:line="240" w:lineRule="exact"/>
              <w:rPr>
                <w:lang w:val="en-US"/>
              </w:rPr>
            </w:pPr>
            <w:r>
              <w:rPr>
                <w:lang w:val="en-US"/>
              </w:rPr>
              <w:t>Original: English</w:t>
            </w:r>
          </w:p>
        </w:tc>
      </w:tr>
    </w:tbl>
    <w:p w14:paraId="22CB3DFC" w14:textId="77777777" w:rsidR="00B134D2" w:rsidRPr="00B134D2" w:rsidRDefault="00B134D2" w:rsidP="00B134D2">
      <w:pPr>
        <w:spacing w:before="120"/>
        <w:rPr>
          <w:b/>
          <w:bCs/>
          <w:color w:val="000000" w:themeColor="text1"/>
          <w:sz w:val="24"/>
          <w:szCs w:val="24"/>
          <w:shd w:val="clear" w:color="000000" w:fill="FFFFFF"/>
        </w:rPr>
      </w:pPr>
      <w:r w:rsidRPr="00B134D2">
        <w:rPr>
          <w:b/>
          <w:bCs/>
          <w:sz w:val="24"/>
          <w:szCs w:val="24"/>
        </w:rPr>
        <w:t>Комитет по правам инвалидов</w:t>
      </w:r>
    </w:p>
    <w:p w14:paraId="6A15B9B9" w14:textId="77777777" w:rsidR="00B134D2" w:rsidRPr="00C6298F" w:rsidRDefault="00B134D2" w:rsidP="00B134D2">
      <w:pPr>
        <w:pStyle w:val="HChG"/>
        <w:rPr>
          <w:shd w:val="clear" w:color="000000" w:fill="FFFFFF"/>
        </w:rPr>
      </w:pPr>
      <w:r w:rsidRPr="00C6298F">
        <w:tab/>
      </w:r>
      <w:r w:rsidRPr="00C6298F">
        <w:tab/>
      </w:r>
      <w:r w:rsidRPr="00B134D2">
        <w:t>Руководящие</w:t>
      </w:r>
      <w:r w:rsidRPr="00C6298F">
        <w:t xml:space="preserve"> принципы в отношении представлений третьих сторон в связи с сообщениями, представленными в соответствии с Факультативным протоколом к Конвенции</w:t>
      </w:r>
      <w:r w:rsidRPr="00B134D2">
        <w:rPr>
          <w:rStyle w:val="aa"/>
          <w:b w:val="0"/>
          <w:bCs/>
          <w:sz w:val="20"/>
          <w:shd w:val="clear" w:color="000000" w:fill="FFFFFF"/>
          <w:vertAlign w:val="baseline"/>
        </w:rPr>
        <w:footnoteReference w:customMarkFollows="1" w:id="1"/>
        <w:t>*</w:t>
      </w:r>
    </w:p>
    <w:p w14:paraId="5E82CB7E" w14:textId="3B96C434" w:rsidR="00B134D2" w:rsidRPr="00C6298F" w:rsidRDefault="00B134D2" w:rsidP="00B134D2">
      <w:pPr>
        <w:pStyle w:val="HChG"/>
        <w:rPr>
          <w:shd w:val="clear" w:color="000000" w:fill="FFFFFF"/>
        </w:rPr>
      </w:pPr>
      <w:bookmarkStart w:id="0" w:name="_Toc156979737"/>
      <w:r>
        <w:rPr>
          <w:lang w:val="en-US"/>
        </w:rPr>
        <w:tab/>
      </w:r>
      <w:r w:rsidRPr="00C6298F">
        <w:t>I.</w:t>
      </w:r>
      <w:r w:rsidRPr="00C6298F">
        <w:tab/>
        <w:t>Введение</w:t>
      </w:r>
      <w:bookmarkEnd w:id="0"/>
    </w:p>
    <w:p w14:paraId="5AC58015" w14:textId="77777777" w:rsidR="00B134D2" w:rsidRPr="00C6298F" w:rsidRDefault="00B134D2" w:rsidP="00B134D2">
      <w:pPr>
        <w:pStyle w:val="SingleTxtG"/>
        <w:rPr>
          <w:shd w:val="clear" w:color="000000" w:fill="FFFFFF"/>
        </w:rPr>
      </w:pPr>
      <w:r w:rsidRPr="00C6298F">
        <w:t>1.</w:t>
      </w:r>
      <w:r w:rsidRPr="00C6298F">
        <w:tab/>
        <w:t>В соответствии с правилом 72 (3) правил процедуры Комитета</w:t>
      </w:r>
      <w:r w:rsidRPr="00B134D2">
        <w:rPr>
          <w:rStyle w:val="aa"/>
        </w:rPr>
        <w:footnoteReference w:id="2"/>
      </w:r>
      <w:r w:rsidRPr="00C6298F">
        <w:t xml:space="preserve"> Комитет либо специальный докладчик по новым сообщениям и временным мерам или рабочая группа по сообщениям, действующая от имени Комитета, могут в любое время в ходе рассмотрения сообщения принять представления по этому сообщению от третьих сторон. Комитет может установить в отношении представлений третьих сторон руководящие принципы. Комитет будет препровождать такие представления сторонам сообщения, которые вправе представить в ответ на них в течение установленного срока письменные замечания и комментарии. Физические лица или организации, являющиеся третьими сторонами, не будут считаться сторонами сообщения.</w:t>
      </w:r>
    </w:p>
    <w:p w14:paraId="65CF8144" w14:textId="77777777" w:rsidR="00B134D2" w:rsidRPr="00C6298F" w:rsidRDefault="00B134D2" w:rsidP="00B134D2">
      <w:pPr>
        <w:pStyle w:val="SingleTxtG"/>
        <w:rPr>
          <w:shd w:val="clear" w:color="000000" w:fill="FFFFFF"/>
        </w:rPr>
      </w:pPr>
      <w:r w:rsidRPr="00C6298F">
        <w:t>2.</w:t>
      </w:r>
      <w:r w:rsidRPr="00C6298F">
        <w:tab/>
        <w:t>В преставлениях третьих сторон не должен делаться акцент на фактах дела и/или утверждениях по нему. Представления, в которых оспариваются представленные сторонами сообщения факты и/или утверждения или представляются новые утверждения, рассматриваться Комитетом не будут.</w:t>
      </w:r>
    </w:p>
    <w:p w14:paraId="649EED29" w14:textId="44E4939A" w:rsidR="00B134D2" w:rsidRPr="00C6298F" w:rsidRDefault="00B134D2" w:rsidP="00B134D2">
      <w:pPr>
        <w:pStyle w:val="HChG"/>
        <w:rPr>
          <w:shd w:val="clear" w:color="000000" w:fill="FFFFFF"/>
        </w:rPr>
      </w:pPr>
      <w:r>
        <w:rPr>
          <w:lang w:val="en-US"/>
        </w:rPr>
        <w:tab/>
      </w:r>
      <w:r w:rsidRPr="00C6298F">
        <w:t>II.</w:t>
      </w:r>
      <w:r w:rsidRPr="00C6298F">
        <w:tab/>
        <w:t xml:space="preserve">Процедура для представлений третьих сторон </w:t>
      </w:r>
    </w:p>
    <w:p w14:paraId="3FFD2778" w14:textId="76BB0EEC" w:rsidR="00B134D2" w:rsidRPr="00C6298F" w:rsidRDefault="00B134D2" w:rsidP="00B134D2">
      <w:pPr>
        <w:pStyle w:val="SingleTxtG"/>
        <w:rPr>
          <w:shd w:val="clear" w:color="000000" w:fill="FFFFFF"/>
        </w:rPr>
      </w:pPr>
      <w:r w:rsidRPr="00C6298F">
        <w:t>3.</w:t>
      </w:r>
      <w:r w:rsidRPr="00C6298F">
        <w:tab/>
        <w:t xml:space="preserve">Если только Комитет по собственной инициативе не примет решения запросить представление третьей стороны, желающая сделать представление третья сторона должна направить соответствующею просьбу в Комитет через Секцию петиций Управления Верховного комиссара Организации Объединенных Наций по правам человека по адресу </w:t>
      </w:r>
      <w:hyperlink r:id="rId9" w:history="1">
        <w:r w:rsidRPr="00293D68">
          <w:rPr>
            <w:rStyle w:val="af1"/>
          </w:rPr>
          <w:t>ohchr-petitions@un.org</w:t>
        </w:r>
      </w:hyperlink>
      <w:r w:rsidRPr="00C6298F">
        <w:t>. В просьбе должны содержаться краткая характеристика подавшего просьбу лица или организации, номер соответствующего сообщения, а также предмет и цель вмешательства. Просьба должна быть максимально краткой и не должна превышать одной страницы.</w:t>
      </w:r>
    </w:p>
    <w:p w14:paraId="6DDFFDCF" w14:textId="0138687A" w:rsidR="00B134D2" w:rsidRPr="00C6298F" w:rsidRDefault="00B134D2" w:rsidP="00B134D2">
      <w:pPr>
        <w:pStyle w:val="SingleTxtG"/>
        <w:rPr>
          <w:shd w:val="clear" w:color="000000" w:fill="FFFFFF"/>
        </w:rPr>
      </w:pPr>
      <w:r w:rsidRPr="00C6298F">
        <w:t>4.</w:t>
      </w:r>
      <w:r w:rsidRPr="00C6298F">
        <w:tab/>
        <w:t>Если Комитет либо специальный докладчик по новым сообщениям и временным мерам или рабочая группа по сообщениям, действующая от имени Комитета, удовлетворяет эту просьбу, он предложит третьей стороне подать представление в течение конкретно определенного срока. Комитет также может предложить третьей стороне сосредоточиться на конкретных вопросах, которые он считает актуальными. Объем представления не должен превышать 7000 слов.</w:t>
      </w:r>
    </w:p>
    <w:p w14:paraId="4518D886" w14:textId="77777777" w:rsidR="00B134D2" w:rsidRPr="00C6298F" w:rsidRDefault="00B134D2" w:rsidP="00B134D2">
      <w:pPr>
        <w:pStyle w:val="SingleTxtG"/>
        <w:rPr>
          <w:shd w:val="clear" w:color="000000" w:fill="FFFFFF"/>
        </w:rPr>
      </w:pPr>
      <w:r w:rsidRPr="00C6298F">
        <w:lastRenderedPageBreak/>
        <w:t>5.</w:t>
      </w:r>
      <w:r w:rsidRPr="00C6298F">
        <w:tab/>
        <w:t xml:space="preserve">Комитет будет публиковать и регулярно обновлять список неурегулированных дел, в частности краткое резюме их содержания. Третьи лица должны использовать эту информацию при подготовке представления. </w:t>
      </w:r>
    </w:p>
    <w:p w14:paraId="65375CED" w14:textId="77777777" w:rsidR="00B134D2" w:rsidRPr="00C6298F" w:rsidRDefault="00B134D2" w:rsidP="00B134D2">
      <w:pPr>
        <w:pStyle w:val="SingleTxtG"/>
        <w:rPr>
          <w:shd w:val="clear" w:color="000000" w:fill="FFFFFF"/>
        </w:rPr>
      </w:pPr>
      <w:r w:rsidRPr="00C6298F">
        <w:t>6.</w:t>
      </w:r>
      <w:r w:rsidRPr="00C6298F">
        <w:tab/>
        <w:t>По просьбе третьей стороны Секция петиций с предварительного письменного согласия каждого из авторов или их представителей обеспечивает установление контакта между третьей стороны и авторами или их представителями, которые могут согласиться на то, чтобы поделиться любыми содержащимися в досье актуальными документами.</w:t>
      </w:r>
    </w:p>
    <w:p w14:paraId="17F4DE8B" w14:textId="77777777" w:rsidR="00B134D2" w:rsidRPr="00C6298F" w:rsidRDefault="00B134D2" w:rsidP="00B134D2">
      <w:pPr>
        <w:pStyle w:val="SingleTxtG"/>
        <w:rPr>
          <w:shd w:val="clear" w:color="000000" w:fill="FFFFFF"/>
        </w:rPr>
      </w:pPr>
      <w:r w:rsidRPr="00C6298F">
        <w:t>7.</w:t>
      </w:r>
      <w:r w:rsidRPr="00C6298F">
        <w:tab/>
        <w:t>Представления третьих сторон должны подаваться в письменной форме на одном из рабочих языков Комитета, предпочтительно на официальном языке государства-участника, против которого направлено соответствующее сообщение, если этот язык является рабочим языком Комитета.</w:t>
      </w:r>
    </w:p>
    <w:p w14:paraId="280A4A4C" w14:textId="77777777" w:rsidR="00B134D2" w:rsidRPr="00C6298F" w:rsidRDefault="00B134D2" w:rsidP="00B134D2">
      <w:pPr>
        <w:pStyle w:val="SingleTxtG"/>
        <w:rPr>
          <w:shd w:val="clear" w:color="000000" w:fill="FFFFFF"/>
        </w:rPr>
      </w:pPr>
      <w:r w:rsidRPr="00C6298F">
        <w:t>8.</w:t>
      </w:r>
      <w:r w:rsidRPr="00C6298F">
        <w:tab/>
        <w:t>Когда третьи стороны имеют доступ к материалам дела, они не могут разглашать никакую из содержащейся в нем информации, в том числе в своих собственных представлениях или в связи с представлениями любой из сторон, пока сообщение находится на рассмотрении Комитета.</w:t>
      </w:r>
    </w:p>
    <w:p w14:paraId="2DD10A3F" w14:textId="77777777" w:rsidR="00B134D2" w:rsidRPr="00C6298F" w:rsidRDefault="00B134D2" w:rsidP="00B134D2">
      <w:pPr>
        <w:pStyle w:val="SingleTxtG"/>
        <w:rPr>
          <w:shd w:val="clear" w:color="000000" w:fill="FFFFFF"/>
        </w:rPr>
      </w:pPr>
      <w:r w:rsidRPr="00C6298F">
        <w:t>9.</w:t>
      </w:r>
      <w:r w:rsidRPr="00C6298F">
        <w:tab/>
        <w:t>Если какое-либо из условий, установленных в настоящих руководящих принципах, не соблюдается, Комитет может принять решение не рассматривать представление третьей стороны.</w:t>
      </w:r>
    </w:p>
    <w:p w14:paraId="4782D50C" w14:textId="77777777" w:rsidR="00B134D2" w:rsidRPr="00C6298F" w:rsidRDefault="00B134D2" w:rsidP="00B134D2">
      <w:pPr>
        <w:pStyle w:val="SingleTxtG"/>
        <w:rPr>
          <w:shd w:val="clear" w:color="000000" w:fill="FFFFFF"/>
        </w:rPr>
      </w:pPr>
      <w:r w:rsidRPr="00C6298F">
        <w:t>10.</w:t>
      </w:r>
      <w:r w:rsidRPr="00C6298F">
        <w:tab/>
        <w:t>Комитет будет препровождать представления третьих сторон обеим сторонам сообщения, которым будет предложено представить в течение одного месяца любые письменные замечания и комментарии к ним.</w:t>
      </w:r>
    </w:p>
    <w:p w14:paraId="0134161D" w14:textId="77777777" w:rsidR="00B134D2" w:rsidRPr="00C6298F" w:rsidRDefault="00B134D2" w:rsidP="00B134D2">
      <w:pPr>
        <w:pStyle w:val="SingleTxtG"/>
        <w:rPr>
          <w:shd w:val="clear" w:color="000000" w:fill="FFFFFF"/>
        </w:rPr>
      </w:pPr>
      <w:r w:rsidRPr="00C6298F">
        <w:t>11.</w:t>
      </w:r>
      <w:r w:rsidRPr="00C6298F">
        <w:tab/>
        <w:t>Комитет может, если сочтет нужным, ссылаться на представления третьих сторон, а также на замечания и комментарии сторон к ним в своих решениях или соображениях. Комитет не будет ссылаться на те или иные представления, которые он не считает актуальными для рассмотрения соответствующих сообщений, которые содержат оскорбительные выражения или иным образом не соответствуют условиям, установленным в настоящих руководящих принципах.</w:t>
      </w:r>
    </w:p>
    <w:p w14:paraId="46410777" w14:textId="77777777" w:rsidR="00B134D2" w:rsidRPr="00C6298F" w:rsidRDefault="00B134D2" w:rsidP="00B134D2">
      <w:pPr>
        <w:pStyle w:val="SingleTxtG"/>
        <w:rPr>
          <w:shd w:val="clear" w:color="000000" w:fill="FFFFFF"/>
        </w:rPr>
      </w:pPr>
      <w:r w:rsidRPr="00C6298F">
        <w:t>12.</w:t>
      </w:r>
      <w:r w:rsidRPr="00C6298F">
        <w:tab/>
        <w:t>Третьи стороны могут публиковать свои представления после обнародования решений или соображений Комитета, не раскрывая личности авторов и/или жертв.</w:t>
      </w:r>
    </w:p>
    <w:p w14:paraId="47C82B29" w14:textId="77777777" w:rsidR="00B134D2" w:rsidRPr="00C6298F" w:rsidRDefault="00B134D2" w:rsidP="00B134D2">
      <w:pPr>
        <w:pStyle w:val="SingleTxtG"/>
        <w:spacing w:after="240"/>
        <w:rPr>
          <w:shd w:val="clear" w:color="000000" w:fill="FFFFFF"/>
        </w:rPr>
      </w:pPr>
      <w:r w:rsidRPr="00C6298F">
        <w:t>13.</w:t>
      </w:r>
      <w:r w:rsidRPr="00C6298F">
        <w:tab/>
        <w:t>Решения или соображения, в которых Комитет ссылается на представления третьих сторон, будут препровождаться соответствующим третьим сторонам после их принятия.</w:t>
      </w:r>
    </w:p>
    <w:p w14:paraId="65FA365B" w14:textId="77777777" w:rsidR="00B134D2" w:rsidRDefault="00B134D2" w:rsidP="00B134D2">
      <w:pPr>
        <w:jc w:val="center"/>
        <w:rPr>
          <w:u w:val="single"/>
        </w:rPr>
      </w:pPr>
      <w:r w:rsidRPr="00C6298F">
        <w:rPr>
          <w:u w:val="single"/>
        </w:rPr>
        <w:tab/>
      </w:r>
      <w:r w:rsidRPr="00C6298F">
        <w:rPr>
          <w:u w:val="single"/>
        </w:rPr>
        <w:tab/>
      </w:r>
      <w:r w:rsidRPr="00C6298F">
        <w:rPr>
          <w:u w:val="single"/>
        </w:rPr>
        <w:tab/>
      </w:r>
    </w:p>
    <w:p w14:paraId="6919618D" w14:textId="370F6DF6" w:rsidR="00381C24" w:rsidRPr="00B134D2" w:rsidRDefault="00381C24" w:rsidP="00983128"/>
    <w:sectPr w:rsidR="00381C24" w:rsidRPr="00B134D2" w:rsidSect="00B134D2">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37299" w14:textId="77777777" w:rsidR="00A16B77" w:rsidRPr="00A312BC" w:rsidRDefault="00A16B77" w:rsidP="00A312BC"/>
  </w:endnote>
  <w:endnote w:type="continuationSeparator" w:id="0">
    <w:p w14:paraId="5FDD1865" w14:textId="77777777" w:rsidR="00A16B77" w:rsidRPr="00A312BC" w:rsidRDefault="00A16B7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CCD15" w14:textId="09618300" w:rsidR="00B134D2" w:rsidRPr="00B134D2" w:rsidRDefault="00B134D2">
    <w:pPr>
      <w:pStyle w:val="a8"/>
    </w:pPr>
    <w:r w:rsidRPr="00B134D2">
      <w:rPr>
        <w:b/>
        <w:sz w:val="18"/>
      </w:rPr>
      <w:fldChar w:fldCharType="begin"/>
    </w:r>
    <w:r w:rsidRPr="00B134D2">
      <w:rPr>
        <w:b/>
        <w:sz w:val="18"/>
      </w:rPr>
      <w:instrText xml:space="preserve"> PAGE  \* MERGEFORMAT </w:instrText>
    </w:r>
    <w:r w:rsidRPr="00B134D2">
      <w:rPr>
        <w:b/>
        <w:sz w:val="18"/>
      </w:rPr>
      <w:fldChar w:fldCharType="separate"/>
    </w:r>
    <w:r w:rsidRPr="00B134D2">
      <w:rPr>
        <w:b/>
        <w:noProof/>
        <w:sz w:val="18"/>
      </w:rPr>
      <w:t>2</w:t>
    </w:r>
    <w:r w:rsidRPr="00B134D2">
      <w:rPr>
        <w:b/>
        <w:sz w:val="18"/>
      </w:rPr>
      <w:fldChar w:fldCharType="end"/>
    </w:r>
    <w:r>
      <w:rPr>
        <w:b/>
        <w:sz w:val="18"/>
      </w:rPr>
      <w:tab/>
    </w:r>
    <w:r>
      <w:t>GE.24-15725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F217F" w14:textId="5818E967" w:rsidR="00B134D2" w:rsidRPr="00B134D2" w:rsidRDefault="00B134D2" w:rsidP="00B134D2">
    <w:pPr>
      <w:pStyle w:val="a8"/>
      <w:tabs>
        <w:tab w:val="clear" w:pos="9639"/>
        <w:tab w:val="right" w:pos="9638"/>
      </w:tabs>
      <w:rPr>
        <w:b/>
        <w:sz w:val="18"/>
      </w:rPr>
    </w:pPr>
    <w:r>
      <w:t>GE.24-15725</w:t>
    </w:r>
    <w:r>
      <w:tab/>
    </w:r>
    <w:r w:rsidRPr="00B134D2">
      <w:rPr>
        <w:b/>
        <w:sz w:val="18"/>
      </w:rPr>
      <w:fldChar w:fldCharType="begin"/>
    </w:r>
    <w:r w:rsidRPr="00B134D2">
      <w:rPr>
        <w:b/>
        <w:sz w:val="18"/>
      </w:rPr>
      <w:instrText xml:space="preserve"> PAGE  \* MERGEFORMAT </w:instrText>
    </w:r>
    <w:r w:rsidRPr="00B134D2">
      <w:rPr>
        <w:b/>
        <w:sz w:val="18"/>
      </w:rPr>
      <w:fldChar w:fldCharType="separate"/>
    </w:r>
    <w:r w:rsidRPr="00B134D2">
      <w:rPr>
        <w:b/>
        <w:noProof/>
        <w:sz w:val="18"/>
      </w:rPr>
      <w:t>3</w:t>
    </w:r>
    <w:r w:rsidRPr="00B134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A1DEB" w14:textId="1EC4FE0E" w:rsidR="00042B72" w:rsidRPr="00B134D2" w:rsidRDefault="00B134D2" w:rsidP="00B134D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8CB42D2" wp14:editId="4192FF7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24-15725  (R)</w:t>
    </w:r>
    <w:r>
      <w:rPr>
        <w:noProof/>
      </w:rPr>
      <w:drawing>
        <wp:anchor distT="0" distB="0" distL="114300" distR="114300" simplePos="0" relativeHeight="251659264" behindDoc="0" locked="0" layoutInCell="1" allowOverlap="1" wp14:anchorId="5873A4F8" wp14:editId="0CF49687">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221124   251124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D9C85" w14:textId="77777777" w:rsidR="00A16B77" w:rsidRPr="001075E9" w:rsidRDefault="00A16B77" w:rsidP="001075E9">
      <w:pPr>
        <w:tabs>
          <w:tab w:val="right" w:pos="2155"/>
        </w:tabs>
        <w:spacing w:after="80" w:line="240" w:lineRule="auto"/>
        <w:ind w:left="680"/>
        <w:rPr>
          <w:u w:val="single"/>
        </w:rPr>
      </w:pPr>
      <w:r>
        <w:rPr>
          <w:u w:val="single"/>
        </w:rPr>
        <w:tab/>
      </w:r>
    </w:p>
  </w:footnote>
  <w:footnote w:type="continuationSeparator" w:id="0">
    <w:p w14:paraId="3ED37CFF" w14:textId="77777777" w:rsidR="00A16B77" w:rsidRDefault="00A16B77" w:rsidP="00407B78">
      <w:pPr>
        <w:tabs>
          <w:tab w:val="right" w:pos="2155"/>
        </w:tabs>
        <w:spacing w:after="80"/>
        <w:ind w:left="680"/>
        <w:rPr>
          <w:u w:val="single"/>
        </w:rPr>
      </w:pPr>
      <w:r>
        <w:rPr>
          <w:u w:val="single"/>
        </w:rPr>
        <w:tab/>
      </w:r>
    </w:p>
  </w:footnote>
  <w:footnote w:id="1">
    <w:p w14:paraId="7B52EAF9" w14:textId="77777777" w:rsidR="00B134D2" w:rsidRPr="00C6298F" w:rsidRDefault="00B134D2" w:rsidP="00B134D2">
      <w:pPr>
        <w:pStyle w:val="ad"/>
      </w:pPr>
      <w:r>
        <w:tab/>
      </w:r>
      <w:r w:rsidRPr="00C6298F">
        <w:t>*</w:t>
      </w:r>
      <w:r w:rsidRPr="00C6298F">
        <w:tab/>
        <w:t>Приняты Комитетом на его тридцать первой сессии (12 августа ⸺ 5 сентября 2024 года).</w:t>
      </w:r>
    </w:p>
  </w:footnote>
  <w:footnote w:id="2">
    <w:p w14:paraId="370D5EE0" w14:textId="7B61DBF4" w:rsidR="00B134D2" w:rsidRPr="00C6298F" w:rsidRDefault="00B134D2" w:rsidP="00B134D2">
      <w:pPr>
        <w:pStyle w:val="ad"/>
      </w:pPr>
      <w:r w:rsidRPr="00C6298F">
        <w:tab/>
      </w:r>
      <w:r w:rsidRPr="00B134D2">
        <w:rPr>
          <w:rStyle w:val="aa"/>
        </w:rPr>
        <w:footnoteRef/>
      </w:r>
      <w:r w:rsidRPr="00C6298F">
        <w:tab/>
      </w:r>
      <w:hyperlink r:id="rId1" w:history="1">
        <w:r w:rsidRPr="00B134D2">
          <w:rPr>
            <w:rStyle w:val="af1"/>
            <w:szCs w:val="18"/>
          </w:rPr>
          <w:t>CRPD/C/1/Rev.2</w:t>
        </w:r>
      </w:hyperlink>
      <w:r w:rsidRPr="00C6298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662B4" w14:textId="17F0C573" w:rsidR="00B134D2" w:rsidRPr="00B134D2" w:rsidRDefault="00B134D2">
    <w:pPr>
      <w:pStyle w:val="a5"/>
    </w:pPr>
    <w:fldSimple w:instr=" TITLE  \* MERGEFORMAT ">
      <w:r w:rsidR="00204CCF">
        <w:t>CRPD/C/6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46723" w14:textId="71EE6CA0" w:rsidR="00B134D2" w:rsidRPr="00B134D2" w:rsidRDefault="00B134D2" w:rsidP="00B134D2">
    <w:pPr>
      <w:pStyle w:val="a5"/>
      <w:jc w:val="right"/>
    </w:pPr>
    <w:fldSimple w:instr=" TITLE  \* MERGEFORMAT ">
      <w:r w:rsidR="00204CCF">
        <w:t>CRPD/C/6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421023853">
    <w:abstractNumId w:val="16"/>
  </w:num>
  <w:num w:numId="2" w16cid:durableId="1365910494">
    <w:abstractNumId w:val="11"/>
  </w:num>
  <w:num w:numId="3" w16cid:durableId="665287963">
    <w:abstractNumId w:val="10"/>
  </w:num>
  <w:num w:numId="4" w16cid:durableId="1757701707">
    <w:abstractNumId w:val="17"/>
  </w:num>
  <w:num w:numId="5" w16cid:durableId="1395662093">
    <w:abstractNumId w:val="13"/>
  </w:num>
  <w:num w:numId="6" w16cid:durableId="2052918076">
    <w:abstractNumId w:val="8"/>
  </w:num>
  <w:num w:numId="7" w16cid:durableId="608243617">
    <w:abstractNumId w:val="3"/>
  </w:num>
  <w:num w:numId="8" w16cid:durableId="321204788">
    <w:abstractNumId w:val="2"/>
  </w:num>
  <w:num w:numId="9" w16cid:durableId="540435780">
    <w:abstractNumId w:val="1"/>
  </w:num>
  <w:num w:numId="10" w16cid:durableId="1440367792">
    <w:abstractNumId w:val="0"/>
  </w:num>
  <w:num w:numId="11" w16cid:durableId="1135634355">
    <w:abstractNumId w:val="9"/>
  </w:num>
  <w:num w:numId="12" w16cid:durableId="1529374879">
    <w:abstractNumId w:val="7"/>
  </w:num>
  <w:num w:numId="13" w16cid:durableId="783228940">
    <w:abstractNumId w:val="6"/>
  </w:num>
  <w:num w:numId="14" w16cid:durableId="388453810">
    <w:abstractNumId w:val="5"/>
  </w:num>
  <w:num w:numId="15" w16cid:durableId="449712075">
    <w:abstractNumId w:val="4"/>
  </w:num>
  <w:num w:numId="16" w16cid:durableId="1905218128">
    <w:abstractNumId w:val="15"/>
  </w:num>
  <w:num w:numId="17" w16cid:durableId="1308633681">
    <w:abstractNumId w:val="12"/>
  </w:num>
  <w:num w:numId="18" w16cid:durableId="1198157292">
    <w:abstractNumId w:val="14"/>
  </w:num>
  <w:num w:numId="19" w16cid:durableId="5715612">
    <w:abstractNumId w:val="15"/>
  </w:num>
  <w:num w:numId="20" w16cid:durableId="1488472499">
    <w:abstractNumId w:val="12"/>
  </w:num>
  <w:num w:numId="21" w16cid:durableId="124626456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B77"/>
    <w:rsid w:val="00011089"/>
    <w:rsid w:val="00026643"/>
    <w:rsid w:val="00033EE1"/>
    <w:rsid w:val="00042B72"/>
    <w:rsid w:val="000558BD"/>
    <w:rsid w:val="000B57E7"/>
    <w:rsid w:val="000B6373"/>
    <w:rsid w:val="000B732B"/>
    <w:rsid w:val="000F09DF"/>
    <w:rsid w:val="000F61B2"/>
    <w:rsid w:val="001075E9"/>
    <w:rsid w:val="00180183"/>
    <w:rsid w:val="0018024D"/>
    <w:rsid w:val="00184607"/>
    <w:rsid w:val="0018649F"/>
    <w:rsid w:val="00196389"/>
    <w:rsid w:val="001B3EF6"/>
    <w:rsid w:val="001C499F"/>
    <w:rsid w:val="001C7A89"/>
    <w:rsid w:val="001E7B61"/>
    <w:rsid w:val="00204CCF"/>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D7914"/>
    <w:rsid w:val="005E2B41"/>
    <w:rsid w:val="005F0B42"/>
    <w:rsid w:val="00654EC0"/>
    <w:rsid w:val="00681A10"/>
    <w:rsid w:val="006A1ED8"/>
    <w:rsid w:val="006B5625"/>
    <w:rsid w:val="006C2031"/>
    <w:rsid w:val="006D461A"/>
    <w:rsid w:val="006F35EE"/>
    <w:rsid w:val="007021FF"/>
    <w:rsid w:val="00712895"/>
    <w:rsid w:val="00757357"/>
    <w:rsid w:val="00757BAA"/>
    <w:rsid w:val="007C3F50"/>
    <w:rsid w:val="00806737"/>
    <w:rsid w:val="00825F8D"/>
    <w:rsid w:val="00833758"/>
    <w:rsid w:val="00834B71"/>
    <w:rsid w:val="0086445C"/>
    <w:rsid w:val="008934D2"/>
    <w:rsid w:val="00894693"/>
    <w:rsid w:val="008A08D7"/>
    <w:rsid w:val="008A246C"/>
    <w:rsid w:val="008B6909"/>
    <w:rsid w:val="00903712"/>
    <w:rsid w:val="00906890"/>
    <w:rsid w:val="00906901"/>
    <w:rsid w:val="00911BE4"/>
    <w:rsid w:val="00951972"/>
    <w:rsid w:val="009608F3"/>
    <w:rsid w:val="00983128"/>
    <w:rsid w:val="009A24AC"/>
    <w:rsid w:val="00A14DA8"/>
    <w:rsid w:val="00A16B77"/>
    <w:rsid w:val="00A312BC"/>
    <w:rsid w:val="00A84021"/>
    <w:rsid w:val="00A84D35"/>
    <w:rsid w:val="00A917B3"/>
    <w:rsid w:val="00AB4B51"/>
    <w:rsid w:val="00AC12E8"/>
    <w:rsid w:val="00AD298F"/>
    <w:rsid w:val="00B10CC7"/>
    <w:rsid w:val="00B134D2"/>
    <w:rsid w:val="00B36DF7"/>
    <w:rsid w:val="00B539E7"/>
    <w:rsid w:val="00B62458"/>
    <w:rsid w:val="00B739FE"/>
    <w:rsid w:val="00BC18B2"/>
    <w:rsid w:val="00BD33EE"/>
    <w:rsid w:val="00C106D6"/>
    <w:rsid w:val="00C60F0C"/>
    <w:rsid w:val="00C805C9"/>
    <w:rsid w:val="00C92939"/>
    <w:rsid w:val="00CA1679"/>
    <w:rsid w:val="00CB151C"/>
    <w:rsid w:val="00CE5A1A"/>
    <w:rsid w:val="00CF55F6"/>
    <w:rsid w:val="00D33D63"/>
    <w:rsid w:val="00D90028"/>
    <w:rsid w:val="00D90138"/>
    <w:rsid w:val="00DD1D1E"/>
    <w:rsid w:val="00DD78D1"/>
    <w:rsid w:val="00DE32CD"/>
    <w:rsid w:val="00DF71B9"/>
    <w:rsid w:val="00E30B7B"/>
    <w:rsid w:val="00E73F76"/>
    <w:rsid w:val="00E74465"/>
    <w:rsid w:val="00E77684"/>
    <w:rsid w:val="00E92F15"/>
    <w:rsid w:val="00EA2C9F"/>
    <w:rsid w:val="00EA420E"/>
    <w:rsid w:val="00ED0BDA"/>
    <w:rsid w:val="00EF1360"/>
    <w:rsid w:val="00EF3220"/>
    <w:rsid w:val="00F25B74"/>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68494"/>
  <w15:docId w15:val="{8E2F6C62-9DCD-444A-B10B-B8463E577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uiPriority w:val="99"/>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u w:val="none"/>
    </w:rPr>
  </w:style>
  <w:style w:type="character" w:styleId="af2">
    <w:name w:val="FollowedHyperlink"/>
    <w:basedOn w:val="a0"/>
    <w:rsid w:val="00E92F15"/>
    <w:rPr>
      <w:color w:val="0000FF"/>
      <w:u w:val="none"/>
    </w:rPr>
  </w:style>
  <w:style w:type="character" w:customStyle="1" w:styleId="SingleTxtGChar">
    <w:name w:val="_ Single Txt_G Char"/>
    <w:basedOn w:val="a0"/>
    <w:link w:val="SingleTxtG"/>
    <w:rsid w:val="00B134D2"/>
    <w:rPr>
      <w:lang w:val="ru-RU" w:eastAsia="en-US"/>
    </w:rPr>
  </w:style>
  <w:style w:type="character" w:styleId="af3">
    <w:name w:val="Unresolved Mention"/>
    <w:basedOn w:val="a0"/>
    <w:uiPriority w:val="99"/>
    <w:semiHidden/>
    <w:unhideWhenUsed/>
    <w:rsid w:val="00B134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hchr-petitions@un.or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ru/CRPD/C/1/Rev.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2</Pages>
  <Words>578</Words>
  <Characters>3947</Characters>
  <Application>Microsoft Office Word</Application>
  <DocSecurity>0</DocSecurity>
  <Lines>78</Lines>
  <Paragraphs>24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CRPD/C/6</vt:lpstr>
      <vt:lpstr>A/</vt:lpstr>
      <vt:lpstr>A/</vt:lpstr>
    </vt:vector>
  </TitlesOfParts>
  <Company>DCM</Company>
  <LinksUpToDate>false</LinksUpToDate>
  <CharactersWithSpaces>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CRPD/C/6</dc:title>
  <dc:subject/>
  <dc:creator>Anna BLAGODATSKIKH</dc:creator>
  <cp:keywords/>
  <cp:lastModifiedBy>Anna Blagodatskikh</cp:lastModifiedBy>
  <cp:revision>3</cp:revision>
  <cp:lastPrinted>2024-11-25T10:48:00Z</cp:lastPrinted>
  <dcterms:created xsi:type="dcterms:W3CDTF">2024-11-25T10:48:00Z</dcterms:created>
  <dcterms:modified xsi:type="dcterms:W3CDTF">2024-11-25T10:49:00Z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