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41164</w:t>
                  </w:r>
                  <w:r>
                    <w:rPr>
                      <w:lang w:val="en-US"/>
                    </w:rPr>
                    <w:fldChar w:fldCharType="end"/>
                  </w:r>
                  <w:r>
                    <w:rPr>
                      <w:lang w:val="en-US"/>
                    </w:rPr>
                    <w:t xml:space="preserve">   (R)</w:t>
                  </w:r>
                  <w:r>
                    <w:t xml:space="preserve">    200902    250902</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53"/>
        <w:gridCol w:w="2268"/>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953"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268"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CAT/C/55/</w:t>
            </w:r>
            <w:proofErr w:type="spellStart"/>
            <w:r>
              <w:rPr>
                <w:sz w:val="22"/>
                <w:lang w:val="en-US"/>
              </w:rPr>
              <w:t>Add.5</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18 April 2001</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t>КОМИТЕТ ПРОТИВ ПЫТОК</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1"/>
      </w:pPr>
      <w:r>
        <w:t>Четвертые доклады государств-участников, которые должны быть</w:t>
      </w:r>
    </w:p>
    <w:p w:rsidR="00000000" w:rsidRDefault="00000000">
      <w:pPr>
        <w:pStyle w:val="11"/>
      </w:pPr>
      <w:r>
        <w:t>представлены в 2000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pStyle w:val="16"/>
      </w:pPr>
      <w:r>
        <w:t>ИСПАНИЯ*</w:t>
      </w:r>
    </w:p>
    <w:p w:rsidR="00000000" w:rsidRDefault="00000000">
      <w:pPr>
        <w:pStyle w:val="16"/>
      </w:pPr>
    </w:p>
    <w:p w:rsidR="00000000" w:rsidRDefault="00000000">
      <w:pPr>
        <w:jc w:val="right"/>
      </w:pPr>
      <w:r>
        <w:t>[8 января 2001 года]</w:t>
      </w:r>
    </w:p>
    <w:p w:rsidR="00000000" w:rsidRDefault="00000000">
      <w:pPr>
        <w:jc w:val="right"/>
      </w:pPr>
    </w:p>
    <w:p w:rsidR="00000000" w:rsidRDefault="00000000">
      <w:pPr>
        <w:pStyle w:val="FootnoteText"/>
        <w:spacing w:line="288" w:lineRule="auto"/>
      </w:pPr>
      <w:r>
        <w:t>__________________</w:t>
      </w:r>
    </w:p>
    <w:p w:rsidR="00000000" w:rsidRDefault="00000000">
      <w:pPr>
        <w:pStyle w:val="FootnoteText"/>
        <w:spacing w:line="288" w:lineRule="auto"/>
      </w:pPr>
    </w:p>
    <w:p w:rsidR="00000000" w:rsidRDefault="00000000">
      <w:pPr>
        <w:spacing w:line="240" w:lineRule="auto"/>
      </w:pPr>
      <w:r>
        <w:t>*</w:t>
      </w:r>
      <w:r>
        <w:tab/>
        <w:t xml:space="preserve">Первоначальный доклад Испании см. в документе </w:t>
      </w:r>
      <w:r>
        <w:rPr>
          <w:lang w:val="en-US"/>
        </w:rPr>
        <w:t>CAT</w:t>
      </w:r>
      <w:r>
        <w:t>/</w:t>
      </w:r>
      <w:r>
        <w:rPr>
          <w:lang w:val="en-US"/>
        </w:rPr>
        <w:t>C</w:t>
      </w:r>
      <w:r>
        <w:t>/5/</w:t>
      </w:r>
      <w:r>
        <w:rPr>
          <w:lang w:val="en-US"/>
        </w:rPr>
        <w:t>Add</w:t>
      </w:r>
      <w:r>
        <w:t xml:space="preserve">.21;  отчет о его рассмотрении Комитетом см. в документах </w:t>
      </w:r>
      <w:r>
        <w:rPr>
          <w:lang w:val="en-US"/>
        </w:rPr>
        <w:t>CAT</w:t>
      </w:r>
      <w:r>
        <w:t>/</w:t>
      </w:r>
      <w:r>
        <w:rPr>
          <w:lang w:val="en-US"/>
        </w:rPr>
        <w:t>C</w:t>
      </w:r>
      <w:r>
        <w:t>/</w:t>
      </w:r>
      <w:r>
        <w:rPr>
          <w:lang w:val="en-US"/>
        </w:rPr>
        <w:t>SR</w:t>
      </w:r>
      <w:r>
        <w:t xml:space="preserve">.59 и 60, а также в </w:t>
      </w:r>
      <w:r>
        <w:rPr>
          <w:u w:val="single"/>
        </w:rPr>
        <w:t>Официальных отчетах Генеральной Ассамблеи, сорок шестая сессия, Дополнение № 46</w:t>
      </w:r>
      <w:r>
        <w:t xml:space="preserve"> (А/46/46, пункты 57-86).  Второй периодический доклад см. в документе </w:t>
      </w:r>
      <w:r>
        <w:rPr>
          <w:lang w:val="en-US"/>
        </w:rPr>
        <w:t>CAT</w:t>
      </w:r>
      <w:r>
        <w:t>/</w:t>
      </w:r>
      <w:r>
        <w:rPr>
          <w:lang w:val="en-US"/>
        </w:rPr>
        <w:t>C</w:t>
      </w:r>
      <w:r>
        <w:t>/17/</w:t>
      </w:r>
      <w:r>
        <w:rPr>
          <w:lang w:val="en-US"/>
        </w:rPr>
        <w:t>Add</w:t>
      </w:r>
      <w:r>
        <w:t xml:space="preserve">.10;  отчет о его рассмотрении Комитетом см. в документах </w:t>
      </w:r>
      <w:r>
        <w:rPr>
          <w:lang w:val="en-US"/>
        </w:rPr>
        <w:t>CAT</w:t>
      </w:r>
      <w:r>
        <w:t>/</w:t>
      </w:r>
      <w:r>
        <w:rPr>
          <w:lang w:val="en-US"/>
        </w:rPr>
        <w:t>C</w:t>
      </w:r>
      <w:r>
        <w:t>/</w:t>
      </w:r>
      <w:r>
        <w:rPr>
          <w:lang w:val="en-US"/>
        </w:rPr>
        <w:t>SR</w:t>
      </w:r>
      <w:r>
        <w:t>.145, 146 и 146/</w:t>
      </w:r>
      <w:r>
        <w:rPr>
          <w:lang w:val="en-US"/>
        </w:rPr>
        <w:t>Add</w:t>
      </w:r>
      <w:r>
        <w:t xml:space="preserve">.2, а также в </w:t>
      </w:r>
      <w:r>
        <w:rPr>
          <w:u w:val="single"/>
        </w:rPr>
        <w:t xml:space="preserve">Официальных отчетах Генеральной Ассамблеи, сорок восьмая сессия, Дополнение № 44 </w:t>
      </w:r>
      <w:r>
        <w:t xml:space="preserve">(А/48/44), пункты 430-458.  Третий периодический доклад см. в документе </w:t>
      </w:r>
      <w:r>
        <w:rPr>
          <w:lang w:val="en-US"/>
        </w:rPr>
        <w:t>CAT</w:t>
      </w:r>
      <w:r>
        <w:t>/</w:t>
      </w:r>
      <w:r>
        <w:rPr>
          <w:lang w:val="en-US"/>
        </w:rPr>
        <w:t>C</w:t>
      </w:r>
      <w:r>
        <w:t xml:space="preserve">/34/ </w:t>
      </w:r>
      <w:r>
        <w:rPr>
          <w:lang w:val="en-US"/>
        </w:rPr>
        <w:t>Add</w:t>
      </w:r>
      <w:r>
        <w:t xml:space="preserve">.7;  отчет о его рассмотрении Комитетом см. в документах </w:t>
      </w:r>
      <w:r>
        <w:rPr>
          <w:lang w:val="en-US"/>
        </w:rPr>
        <w:t>CAT</w:t>
      </w:r>
      <w:r>
        <w:t>/</w:t>
      </w:r>
      <w:r>
        <w:rPr>
          <w:lang w:val="en-US"/>
        </w:rPr>
        <w:t>C</w:t>
      </w:r>
      <w:r>
        <w:t>/</w:t>
      </w:r>
      <w:r>
        <w:rPr>
          <w:lang w:val="en-US"/>
        </w:rPr>
        <w:t>SR</w:t>
      </w:r>
      <w:r>
        <w:t xml:space="preserve">.311 и 312, а также в </w:t>
      </w:r>
      <w:r>
        <w:rPr>
          <w:u w:val="single"/>
        </w:rPr>
        <w:t>Официальных отчетах Генеральной Ассамблеи, пятьдесят третья сессия</w:t>
      </w:r>
      <w:r>
        <w:t>,</w:t>
      </w:r>
      <w:r>
        <w:rPr>
          <w:u w:val="single"/>
        </w:rPr>
        <w:t xml:space="preserve"> Дополнение № 44</w:t>
      </w:r>
      <w:r>
        <w:t xml:space="preserve"> (А/53/44) пункты 119-136.</w:t>
      </w:r>
    </w:p>
    <w:p w:rsidR="00000000" w:rsidRDefault="00000000"/>
    <w:p w:rsidR="00000000" w:rsidRDefault="00000000">
      <w:pPr>
        <w:pStyle w:val="16"/>
      </w:pPr>
      <w:r>
        <w:br w:type="page"/>
        <w:t>ВВЕДЕНИЕ</w:t>
      </w:r>
    </w:p>
    <w:p w:rsidR="00000000" w:rsidRDefault="00000000">
      <w:pPr>
        <w:pStyle w:val="16"/>
      </w:pPr>
    </w:p>
    <w:p w:rsidR="00000000" w:rsidRDefault="00000000">
      <w:r>
        <w:t>1.</w:t>
      </w:r>
      <w:r>
        <w:tab/>
      </w:r>
      <w:r>
        <w:rPr>
          <w:u w:val="single"/>
        </w:rPr>
        <w:t>Данные о территории, демографическом и экономическом положении</w:t>
      </w:r>
    </w:p>
    <w:p w:rsidR="00000000" w:rsidRDefault="00000000">
      <w:pPr>
        <w:jc w:val="center"/>
      </w:pPr>
    </w:p>
    <w:p w:rsidR="00000000" w:rsidRDefault="00000000">
      <w:pPr>
        <w:pStyle w:val="FootnoteText"/>
        <w:spacing w:line="288" w:lineRule="auto"/>
      </w:pPr>
      <w:r>
        <w:t>1.</w:t>
      </w:r>
      <w:r>
        <w:tab/>
        <w:t>Ниже приводятся данные общего характера:</w:t>
      </w:r>
    </w:p>
    <w:p w:rsidR="00000000" w:rsidRDefault="00000000">
      <w:pPr>
        <w:pStyle w:val="FootnoteText"/>
        <w:spacing w:line="288" w:lineRule="auto"/>
      </w:pPr>
    </w:p>
    <w:p w:rsidR="00000000" w:rsidRDefault="00000000">
      <w:pPr>
        <w:pStyle w:val="Heading2"/>
      </w:pPr>
      <w:r>
        <w:rPr>
          <w:u w:val="none"/>
        </w:rPr>
        <w:tab/>
      </w:r>
      <w:r>
        <w:t>Данные о территории</w:t>
      </w:r>
    </w:p>
    <w:p w:rsidR="00000000" w:rsidRDefault="00000000">
      <w:pPr>
        <w:pStyle w:val="Heading2"/>
        <w:tabs>
          <w:tab w:val="clear" w:pos="6237"/>
          <w:tab w:val="left" w:pos="5670"/>
        </w:tabs>
      </w:pPr>
    </w:p>
    <w:p w:rsidR="00000000" w:rsidRDefault="00000000">
      <w:pPr>
        <w:tabs>
          <w:tab w:val="clear" w:pos="6237"/>
          <w:tab w:val="left" w:pos="3969"/>
          <w:tab w:val="left" w:pos="5103"/>
          <w:tab w:val="left" w:pos="6096"/>
        </w:tabs>
      </w:pPr>
      <w:r>
        <w:tab/>
        <w:t>Площадь территории:  506 000 км</w:t>
      </w:r>
      <w:r>
        <w:rPr>
          <w:vertAlign w:val="superscript"/>
        </w:rPr>
        <w:t>2</w:t>
      </w:r>
    </w:p>
    <w:p w:rsidR="00000000" w:rsidRDefault="00000000">
      <w:pPr>
        <w:pStyle w:val="Header"/>
        <w:tabs>
          <w:tab w:val="clear" w:pos="4153"/>
          <w:tab w:val="clear" w:pos="8306"/>
          <w:tab w:val="left" w:pos="567"/>
          <w:tab w:val="left" w:pos="1134"/>
          <w:tab w:val="left" w:pos="1701"/>
          <w:tab w:val="left" w:pos="2268"/>
          <w:tab w:val="left" w:pos="3969"/>
          <w:tab w:val="left" w:pos="5103"/>
        </w:tabs>
        <w:spacing w:line="288" w:lineRule="auto"/>
        <w:ind w:firstLine="567"/>
      </w:pPr>
      <w:r>
        <w:t>Протяженность береговой линии:  4 830 км</w:t>
      </w:r>
    </w:p>
    <w:p w:rsidR="00000000" w:rsidRDefault="00000000">
      <w:pPr>
        <w:pStyle w:val="Header"/>
        <w:tabs>
          <w:tab w:val="clear" w:pos="4153"/>
          <w:tab w:val="clear" w:pos="8306"/>
          <w:tab w:val="left" w:pos="567"/>
          <w:tab w:val="left" w:pos="1134"/>
          <w:tab w:val="left" w:pos="1701"/>
          <w:tab w:val="left" w:pos="2268"/>
          <w:tab w:val="left" w:pos="3969"/>
          <w:tab w:val="left" w:pos="5103"/>
        </w:tabs>
        <w:spacing w:line="288" w:lineRule="auto"/>
        <w:ind w:firstLine="567"/>
      </w:pPr>
      <w:r>
        <w:t>Протяженность сухопутных границ:  2 013 км</w:t>
      </w:r>
    </w:p>
    <w:p w:rsidR="00000000" w:rsidRDefault="00000000">
      <w:pPr>
        <w:pStyle w:val="Header"/>
        <w:tabs>
          <w:tab w:val="clear" w:pos="4153"/>
          <w:tab w:val="clear" w:pos="8306"/>
          <w:tab w:val="left" w:pos="567"/>
          <w:tab w:val="left" w:pos="1134"/>
          <w:tab w:val="left" w:pos="1701"/>
          <w:tab w:val="left" w:pos="2268"/>
          <w:tab w:val="left" w:pos="5103"/>
          <w:tab w:val="left" w:pos="5670"/>
          <w:tab w:val="left" w:pos="6171"/>
        </w:tabs>
        <w:spacing w:line="288" w:lineRule="auto"/>
      </w:pPr>
    </w:p>
    <w:p w:rsidR="00000000" w:rsidRDefault="00000000">
      <w:pPr>
        <w:pStyle w:val="Heading2"/>
        <w:tabs>
          <w:tab w:val="clear" w:pos="6237"/>
          <w:tab w:val="left" w:pos="5103"/>
          <w:tab w:val="left" w:pos="6171"/>
        </w:tabs>
        <w:ind w:firstLine="567"/>
      </w:pPr>
      <w:r>
        <w:t>Данные о населении</w:t>
      </w:r>
    </w:p>
    <w:p w:rsidR="00000000" w:rsidRDefault="00000000">
      <w:pPr>
        <w:pStyle w:val="Heading2"/>
        <w:tabs>
          <w:tab w:val="clear" w:pos="6237"/>
          <w:tab w:val="left" w:pos="5103"/>
          <w:tab w:val="left" w:pos="6171"/>
        </w:tabs>
      </w:pPr>
    </w:p>
    <w:p w:rsidR="00000000" w:rsidRDefault="00000000">
      <w:pPr>
        <w:tabs>
          <w:tab w:val="clear" w:pos="6237"/>
          <w:tab w:val="left" w:pos="5103"/>
          <w:tab w:val="left" w:pos="6171"/>
        </w:tabs>
      </w:pPr>
      <w:r>
        <w:tab/>
        <w:t>Численность лиц, проживающих на законном основании:  39 852 651</w:t>
      </w:r>
    </w:p>
    <w:p w:rsidR="00000000" w:rsidRDefault="00000000">
      <w:pPr>
        <w:pStyle w:val="Header"/>
        <w:tabs>
          <w:tab w:val="clear" w:pos="4153"/>
          <w:tab w:val="clear" w:pos="8306"/>
          <w:tab w:val="left" w:pos="567"/>
          <w:tab w:val="left" w:pos="1134"/>
          <w:tab w:val="left" w:pos="1701"/>
          <w:tab w:val="left" w:pos="2268"/>
          <w:tab w:val="left" w:pos="3969"/>
          <w:tab w:val="left" w:pos="5103"/>
          <w:tab w:val="left" w:pos="5670"/>
        </w:tabs>
        <w:spacing w:line="288" w:lineRule="auto"/>
        <w:ind w:firstLine="567"/>
      </w:pPr>
      <w:r>
        <w:t xml:space="preserve">Процентная доля мужчин и женщин:  </w:t>
      </w:r>
      <w:proofErr w:type="spellStart"/>
      <w:r>
        <w:t>48,9%</w:t>
      </w:r>
      <w:proofErr w:type="spellEnd"/>
      <w:r>
        <w:t xml:space="preserve"> - мужчин</w:t>
      </w:r>
    </w:p>
    <w:p w:rsidR="00000000" w:rsidRDefault="00000000">
      <w:pPr>
        <w:pStyle w:val="Header"/>
        <w:tabs>
          <w:tab w:val="clear" w:pos="4153"/>
          <w:tab w:val="clear" w:pos="8306"/>
          <w:tab w:val="left" w:pos="567"/>
          <w:tab w:val="left" w:pos="1134"/>
          <w:tab w:val="left" w:pos="1701"/>
          <w:tab w:val="left" w:pos="2268"/>
          <w:tab w:val="left" w:pos="3969"/>
          <w:tab w:val="left" w:pos="5103"/>
          <w:tab w:val="left" w:pos="5670"/>
        </w:tabs>
        <w:spacing w:line="288" w:lineRule="auto"/>
      </w:pPr>
      <w:r>
        <w:tab/>
      </w:r>
      <w:r>
        <w:tab/>
      </w:r>
      <w:r>
        <w:tab/>
      </w:r>
      <w:r>
        <w:tab/>
      </w:r>
      <w:r>
        <w:tab/>
        <w:t xml:space="preserve">         </w:t>
      </w:r>
      <w:proofErr w:type="spellStart"/>
      <w:r>
        <w:t>51,1%</w:t>
      </w:r>
      <w:proofErr w:type="spellEnd"/>
      <w:r>
        <w:t xml:space="preserve"> - женщин</w:t>
      </w:r>
    </w:p>
    <w:p w:rsidR="00000000" w:rsidRDefault="00000000">
      <w:pPr>
        <w:pStyle w:val="Header"/>
        <w:tabs>
          <w:tab w:val="clear" w:pos="4153"/>
          <w:tab w:val="clear" w:pos="8306"/>
          <w:tab w:val="left" w:pos="567"/>
          <w:tab w:val="left" w:pos="1134"/>
          <w:tab w:val="left" w:pos="1701"/>
          <w:tab w:val="left" w:pos="2268"/>
          <w:tab w:val="left" w:pos="6171"/>
        </w:tabs>
        <w:spacing w:line="288" w:lineRule="auto"/>
      </w:pPr>
      <w:r>
        <w:tab/>
        <w:t>Численность проживающих в Испании иммигрантов:  718 952</w:t>
      </w:r>
    </w:p>
    <w:p w:rsidR="00000000" w:rsidRDefault="00000000">
      <w:pPr>
        <w:pStyle w:val="FootnoteText"/>
        <w:tabs>
          <w:tab w:val="clear" w:pos="6237"/>
          <w:tab w:val="left" w:pos="5103"/>
        </w:tabs>
        <w:spacing w:line="288" w:lineRule="auto"/>
      </w:pPr>
      <w:r>
        <w:tab/>
        <w:t>Население в возрасте моложе 15 лет и не старше 65 лет:  27 743 742</w:t>
      </w:r>
    </w:p>
    <w:p w:rsidR="00000000" w:rsidRDefault="00000000">
      <w:pPr>
        <w:pStyle w:val="FootnoteText"/>
        <w:tabs>
          <w:tab w:val="clear" w:pos="6237"/>
          <w:tab w:val="left" w:pos="4488"/>
          <w:tab w:val="left" w:pos="5103"/>
          <w:tab w:val="left" w:pos="6607"/>
          <w:tab w:val="left" w:pos="6919"/>
        </w:tabs>
        <w:spacing w:line="288" w:lineRule="auto"/>
      </w:pPr>
      <w:r>
        <w:tab/>
        <w:t>Распределение населения по районам:</w:t>
      </w:r>
      <w:r>
        <w:tab/>
        <w:t xml:space="preserve">  сельские районы</w:t>
      </w:r>
      <w:r>
        <w:tab/>
        <w:t>-</w:t>
      </w:r>
      <w:r>
        <w:tab/>
        <w:t>23%</w:t>
      </w:r>
    </w:p>
    <w:p w:rsidR="00000000" w:rsidRDefault="00000000">
      <w:pPr>
        <w:pStyle w:val="FootnoteText"/>
        <w:tabs>
          <w:tab w:val="clear" w:pos="6237"/>
          <w:tab w:val="left" w:pos="4488"/>
          <w:tab w:val="left" w:pos="5103"/>
          <w:tab w:val="left" w:pos="6607"/>
          <w:tab w:val="left" w:pos="6919"/>
        </w:tabs>
        <w:spacing w:line="288" w:lineRule="auto"/>
      </w:pPr>
      <w:r>
        <w:tab/>
      </w:r>
      <w:r>
        <w:tab/>
      </w:r>
      <w:r>
        <w:tab/>
      </w:r>
      <w:r>
        <w:tab/>
      </w:r>
      <w:r>
        <w:tab/>
        <w:t xml:space="preserve">  городские районы</w:t>
      </w:r>
      <w:r>
        <w:tab/>
        <w:t>-</w:t>
      </w:r>
      <w:r>
        <w:tab/>
      </w:r>
      <w:proofErr w:type="spellStart"/>
      <w:r>
        <w:t>77%</w:t>
      </w:r>
      <w:proofErr w:type="spellEnd"/>
    </w:p>
    <w:p w:rsidR="00000000" w:rsidRDefault="00000000">
      <w:pPr>
        <w:pStyle w:val="FootnoteText"/>
        <w:tabs>
          <w:tab w:val="clear" w:pos="6237"/>
          <w:tab w:val="left" w:pos="4488"/>
          <w:tab w:val="left" w:pos="5103"/>
          <w:tab w:val="left" w:pos="6607"/>
          <w:tab w:val="left" w:pos="6919"/>
        </w:tabs>
        <w:spacing w:line="288" w:lineRule="auto"/>
      </w:pPr>
    </w:p>
    <w:p w:rsidR="00000000" w:rsidRDefault="00000000">
      <w:pPr>
        <w:pStyle w:val="FootnoteText"/>
        <w:tabs>
          <w:tab w:val="clear" w:pos="6237"/>
          <w:tab w:val="left" w:pos="4488"/>
          <w:tab w:val="left" w:pos="6607"/>
          <w:tab w:val="left" w:pos="6919"/>
        </w:tabs>
        <w:spacing w:line="288" w:lineRule="auto"/>
        <w:ind w:left="1701" w:hanging="1701"/>
      </w:pPr>
      <w:r>
        <w:tab/>
      </w:r>
      <w:r>
        <w:rPr>
          <w:u w:val="single"/>
        </w:rPr>
        <w:t>Данные об экономическом и демографическом положении</w:t>
      </w:r>
    </w:p>
    <w:p w:rsidR="00000000" w:rsidRDefault="00000000">
      <w:pPr>
        <w:pStyle w:val="FootnoteText"/>
        <w:tabs>
          <w:tab w:val="clear" w:pos="6237"/>
          <w:tab w:val="left" w:pos="4488"/>
          <w:tab w:val="left" w:pos="6607"/>
          <w:tab w:val="left" w:pos="6919"/>
        </w:tabs>
        <w:spacing w:line="288" w:lineRule="auto"/>
      </w:pPr>
    </w:p>
    <w:p w:rsidR="00000000" w:rsidRDefault="00000000">
      <w:pPr>
        <w:pStyle w:val="FootnoteText"/>
        <w:tabs>
          <w:tab w:val="clear" w:pos="6237"/>
          <w:tab w:val="left" w:pos="3969"/>
          <w:tab w:val="left" w:pos="4678"/>
        </w:tabs>
        <w:spacing w:line="288" w:lineRule="auto"/>
      </w:pPr>
      <w:r>
        <w:tab/>
        <w:t>Валовой национальный продукт:  93 068 288 песет (1999 год)</w:t>
      </w:r>
    </w:p>
    <w:p w:rsidR="00000000" w:rsidRDefault="00000000">
      <w:pPr>
        <w:pStyle w:val="FootnoteText"/>
        <w:tabs>
          <w:tab w:val="clear" w:pos="6237"/>
          <w:tab w:val="left" w:pos="3969"/>
          <w:tab w:val="left" w:pos="4678"/>
        </w:tabs>
        <w:spacing w:line="288" w:lineRule="auto"/>
      </w:pPr>
      <w:r>
        <w:tab/>
        <w:t>ИПЦ изменение к предыдущему году:  3,6% (июль 1999 года - июль 2000 года)</w:t>
      </w:r>
    </w:p>
    <w:p w:rsidR="00000000" w:rsidRDefault="00000000">
      <w:pPr>
        <w:pStyle w:val="FootnoteText"/>
        <w:tabs>
          <w:tab w:val="clear" w:pos="6237"/>
          <w:tab w:val="left" w:pos="3969"/>
          <w:tab w:val="left" w:pos="4678"/>
        </w:tabs>
        <w:spacing w:line="288" w:lineRule="auto"/>
      </w:pPr>
      <w:r>
        <w:tab/>
        <w:t>Доход на душу населения:  1 904 500 песет (данные за 1998 год)</w:t>
      </w:r>
    </w:p>
    <w:p w:rsidR="00000000" w:rsidRDefault="00000000">
      <w:pPr>
        <w:pStyle w:val="FootnoteText"/>
        <w:tabs>
          <w:tab w:val="clear" w:pos="6237"/>
          <w:tab w:val="left" w:pos="3969"/>
          <w:tab w:val="left" w:pos="4678"/>
        </w:tabs>
        <w:spacing w:line="288" w:lineRule="auto"/>
      </w:pPr>
      <w:r>
        <w:tab/>
        <w:t>Темпы инфляции:  2,9% (данные за 1999 год)</w:t>
      </w:r>
    </w:p>
    <w:p w:rsidR="00000000" w:rsidRDefault="00000000">
      <w:pPr>
        <w:pStyle w:val="FootnoteText"/>
        <w:tabs>
          <w:tab w:val="clear" w:pos="6237"/>
          <w:tab w:val="left" w:pos="3969"/>
          <w:tab w:val="left" w:pos="4678"/>
        </w:tabs>
        <w:spacing w:line="288" w:lineRule="auto"/>
        <w:ind w:left="2835" w:hanging="2835"/>
      </w:pPr>
      <w:r>
        <w:tab/>
        <w:t>Уровень безработицы:  13,97% (данные за первое полугодие 2000 года)</w:t>
      </w:r>
    </w:p>
    <w:p w:rsidR="00000000" w:rsidRDefault="00000000">
      <w:pPr>
        <w:pStyle w:val="FootnoteText"/>
        <w:tabs>
          <w:tab w:val="clear" w:pos="6237"/>
          <w:tab w:val="left" w:pos="4678"/>
        </w:tabs>
        <w:spacing w:line="288" w:lineRule="auto"/>
        <w:ind w:left="567" w:hanging="567"/>
      </w:pPr>
      <w:r>
        <w:tab/>
        <w:t>Показатель экономически активного населения:</w:t>
      </w:r>
      <w:r>
        <w:tab/>
        <w:t>51,18% (данные за первое</w:t>
      </w:r>
    </w:p>
    <w:p w:rsidR="00000000" w:rsidRDefault="00000000">
      <w:pPr>
        <w:pStyle w:val="FootnoteText"/>
        <w:tabs>
          <w:tab w:val="clear" w:pos="6237"/>
          <w:tab w:val="left" w:pos="4678"/>
        </w:tabs>
        <w:spacing w:line="288" w:lineRule="auto"/>
        <w:ind w:left="567" w:hanging="567"/>
      </w:pPr>
      <w:r>
        <w:tab/>
        <w:t xml:space="preserve">    полугодие 2000 года)</w:t>
      </w:r>
    </w:p>
    <w:p w:rsidR="00000000" w:rsidRDefault="00000000">
      <w:pPr>
        <w:pStyle w:val="FootnoteText"/>
        <w:tabs>
          <w:tab w:val="clear" w:pos="6237"/>
          <w:tab w:val="left" w:pos="5166"/>
        </w:tabs>
        <w:spacing w:line="288" w:lineRule="auto"/>
      </w:pPr>
      <w:r>
        <w:tab/>
        <w:t>Уровень грамотности среди взрослого населения:  97,2% (данные за 1997 год)</w:t>
      </w:r>
    </w:p>
    <w:p w:rsidR="00000000" w:rsidRDefault="00000000">
      <w:pPr>
        <w:pStyle w:val="FootnoteText"/>
        <w:tabs>
          <w:tab w:val="clear" w:pos="6237"/>
          <w:tab w:val="left" w:pos="5166"/>
        </w:tabs>
        <w:spacing w:line="288" w:lineRule="auto"/>
        <w:ind w:left="1701" w:hanging="1134"/>
      </w:pPr>
      <w:r>
        <w:t>Вероятная продолжительность жизни при рождении:</w:t>
      </w:r>
      <w:r>
        <w:tab/>
        <w:t>мужчин - 74,74 года</w:t>
      </w:r>
    </w:p>
    <w:p w:rsidR="00000000" w:rsidRDefault="00000000">
      <w:pPr>
        <w:pStyle w:val="FootnoteText"/>
        <w:tabs>
          <w:tab w:val="clear" w:pos="6237"/>
          <w:tab w:val="left" w:pos="3969"/>
          <w:tab w:val="left" w:pos="4675"/>
        </w:tabs>
        <w:spacing w:line="288" w:lineRule="auto"/>
      </w:pPr>
      <w:r>
        <w:tab/>
      </w:r>
      <w:r>
        <w:tab/>
      </w:r>
      <w:r>
        <w:tab/>
      </w:r>
      <w:r>
        <w:tab/>
      </w:r>
      <w:r>
        <w:tab/>
      </w:r>
      <w:r>
        <w:tab/>
      </w:r>
      <w:r>
        <w:tab/>
      </w:r>
      <w:r>
        <w:tab/>
      </w:r>
      <w:r>
        <w:tab/>
        <w:t>женщин - 81,88 года</w:t>
      </w:r>
    </w:p>
    <w:p w:rsidR="00000000" w:rsidRDefault="00000000">
      <w:pPr>
        <w:pStyle w:val="FootnoteText"/>
        <w:tabs>
          <w:tab w:val="clear" w:pos="6237"/>
          <w:tab w:val="left" w:pos="3969"/>
          <w:tab w:val="left" w:pos="4675"/>
        </w:tabs>
        <w:spacing w:line="288" w:lineRule="auto"/>
      </w:pPr>
      <w:r>
        <w:tab/>
        <w:t>Детская смертность:  5 смертей на каждые 1 000 рождений</w:t>
      </w:r>
    </w:p>
    <w:p w:rsidR="00000000" w:rsidRDefault="00000000">
      <w:pPr>
        <w:pStyle w:val="FootnoteText"/>
        <w:tabs>
          <w:tab w:val="clear" w:pos="6237"/>
          <w:tab w:val="left" w:pos="3969"/>
          <w:tab w:val="left" w:pos="5166"/>
        </w:tabs>
        <w:spacing w:line="288" w:lineRule="auto"/>
      </w:pPr>
      <w:r>
        <w:tab/>
        <w:t>Материнская смертность:  0,05 смертей на каждые 100 000 рождений</w:t>
      </w:r>
    </w:p>
    <w:p w:rsidR="00000000" w:rsidRDefault="00000000">
      <w:pPr>
        <w:pStyle w:val="FootnoteText"/>
        <w:tabs>
          <w:tab w:val="clear" w:pos="6237"/>
          <w:tab w:val="left" w:pos="3969"/>
          <w:tab w:val="left" w:pos="5166"/>
        </w:tabs>
        <w:spacing w:line="288" w:lineRule="auto"/>
      </w:pPr>
      <w:r>
        <w:tab/>
        <w:t>Коэффициент фертильности:  1,1 новорожденных на одну женщину</w:t>
      </w:r>
    </w:p>
    <w:p w:rsidR="00000000" w:rsidRDefault="00000000">
      <w:pPr>
        <w:pStyle w:val="FootnoteText"/>
        <w:tabs>
          <w:tab w:val="clear" w:pos="6237"/>
          <w:tab w:val="left" w:pos="3969"/>
          <w:tab w:val="left" w:pos="5166"/>
        </w:tabs>
        <w:spacing w:line="288" w:lineRule="auto"/>
      </w:pPr>
      <w:r>
        <w:tab/>
        <w:t>Домашние хозяйства:  12 313 000 (данные за 1999 год)</w:t>
      </w:r>
    </w:p>
    <w:p w:rsidR="00000000" w:rsidRDefault="00000000">
      <w:pPr>
        <w:pStyle w:val="FootnoteText"/>
        <w:tabs>
          <w:tab w:val="clear" w:pos="6237"/>
          <w:tab w:val="left" w:pos="5166"/>
        </w:tabs>
        <w:spacing w:line="288" w:lineRule="auto"/>
      </w:pPr>
      <w:r>
        <w:br w:type="page"/>
        <w:t>2.</w:t>
      </w:r>
      <w:r>
        <w:tab/>
      </w:r>
      <w:r>
        <w:rPr>
          <w:u w:val="single"/>
        </w:rPr>
        <w:t>Общеполитическая структура</w:t>
      </w:r>
    </w:p>
    <w:p w:rsidR="00000000" w:rsidRDefault="00000000">
      <w:pPr>
        <w:pStyle w:val="FootnoteText"/>
        <w:tabs>
          <w:tab w:val="clear" w:pos="6237"/>
          <w:tab w:val="left" w:pos="5166"/>
        </w:tabs>
        <w:spacing w:line="288" w:lineRule="auto"/>
        <w:jc w:val="center"/>
      </w:pPr>
    </w:p>
    <w:p w:rsidR="00000000" w:rsidRDefault="00000000">
      <w:pPr>
        <w:pStyle w:val="FootnoteText"/>
        <w:tabs>
          <w:tab w:val="clear" w:pos="6237"/>
          <w:tab w:val="left" w:pos="5166"/>
        </w:tabs>
        <w:spacing w:line="288" w:lineRule="auto"/>
      </w:pPr>
      <w:r>
        <w:t>2.</w:t>
      </w:r>
      <w:r>
        <w:tab/>
        <w:t>Общеполитическая структура не претерпела изменений.  Согласно Конституции Испании от 27 декабря 1978 года, Испания - это правовое демократическое социальное государство, политической формой которого является парламентарная монархия.</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rPr>
          <w:u w:val="single"/>
        </w:rPr>
      </w:pPr>
      <w:r>
        <w:t>3.</w:t>
      </w:r>
      <w:r>
        <w:tab/>
      </w:r>
      <w:r>
        <w:rPr>
          <w:u w:val="single"/>
        </w:rPr>
        <w:t xml:space="preserve">Общая нормативно-правовая база защиты прав человека </w:t>
      </w:r>
    </w:p>
    <w:p w:rsidR="00000000" w:rsidRDefault="00000000">
      <w:pPr>
        <w:pStyle w:val="FootnoteText"/>
        <w:tabs>
          <w:tab w:val="clear" w:pos="6237"/>
          <w:tab w:val="left" w:pos="5166"/>
        </w:tabs>
        <w:spacing w:line="288" w:lineRule="auto"/>
        <w:rPr>
          <w:u w:val="single"/>
        </w:rPr>
      </w:pPr>
    </w:p>
    <w:p w:rsidR="00000000" w:rsidRDefault="00000000">
      <w:pPr>
        <w:pStyle w:val="FootnoteText"/>
        <w:tabs>
          <w:tab w:val="clear" w:pos="6237"/>
          <w:tab w:val="left" w:pos="5166"/>
        </w:tabs>
        <w:spacing w:line="288" w:lineRule="auto"/>
      </w:pPr>
      <w:r>
        <w:tab/>
      </w:r>
      <w:r>
        <w:rPr>
          <w:u w:val="single"/>
        </w:rPr>
        <w:t>Общая правовая база</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3.</w:t>
      </w:r>
      <w:r>
        <w:tab/>
        <w:t>Пункт 2 статьи 10 Конституции Испании гласит, что закрепленные в ней нормы, связанные с основными правами и свободами, соответствуют Всеобщей декларации прав человека.  Кроме того, статья 15 Конституции запрещает пытки и бесчеловечное или унижающее достоинство обращение.</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4.</w:t>
      </w:r>
      <w:r>
        <w:tab/>
        <w:t>Поэтому статья 96 Конституции устанавливает, что Конвенция против пыток и других жестоких, бесчеловечных или унижающих достоинство видов обращения и наказания является составной частью внутреннего законодательства и в то же время предусматривает, что в Испании применяются различные договоры и соглашения в этой области, в частности такие, как Европейская конвенция о правах человека и Европейская конвенция о предупреждении пыток и бесчеловечных или унижающих достоинство видов обращения и наказания.</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5.</w:t>
      </w:r>
      <w:r>
        <w:tab/>
        <w:t>Что касается уголовного законодательства, то в течение последних четырех лет оставались в силе все положения, связанные с пытками и жестоким обращением, которые содержатся в действующем Уголовном кодексе, вступившем в силу, с внесенными в него изменениями, 25 мая 1996 года.</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6.</w:t>
      </w:r>
      <w:r>
        <w:tab/>
        <w:t>Таким образом, никаких существенных изменений в общей правовой базе защиты прав человека не произошло.</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4.</w:t>
      </w:r>
      <w:r>
        <w:tab/>
      </w:r>
      <w:r>
        <w:rPr>
          <w:u w:val="single"/>
        </w:rPr>
        <w:t>Информирование и пропаганда</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7.</w:t>
      </w:r>
      <w:r>
        <w:tab/>
        <w:t>Никаких изменений в этой области не произошло.</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jc w:val="center"/>
      </w:pPr>
      <w:r>
        <w:rPr>
          <w:lang w:val="en-US"/>
        </w:rPr>
        <w:br w:type="page"/>
        <w:t>I</w:t>
      </w:r>
      <w:r>
        <w:t>.</w:t>
      </w:r>
      <w:r>
        <w:tab/>
        <w:t>ИНФОРМАЦИЯ О НОВЫХ МЕРАХ И СОБЫТИЯХ, СВЯЗАННЫХ</w:t>
      </w:r>
    </w:p>
    <w:p w:rsidR="00000000" w:rsidRDefault="00000000">
      <w:pPr>
        <w:pStyle w:val="FootnoteText"/>
        <w:tabs>
          <w:tab w:val="clear" w:pos="6237"/>
          <w:tab w:val="left" w:pos="5166"/>
        </w:tabs>
        <w:spacing w:line="288" w:lineRule="auto"/>
        <w:jc w:val="center"/>
      </w:pPr>
      <w:r>
        <w:t>С ПРИМЕНЕНИЕМ КОНВЕНЦИИ</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rPr>
          <w:u w:val="single"/>
        </w:rPr>
        <w:t>Предварительная информация</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8.</w:t>
      </w:r>
      <w:r>
        <w:tab/>
        <w:t>Можно констатировать тот факт, что после подписания Испанией Конвенции против пыток и других жестоких, бесчеловечных или унижающих достоинство видов обращения и наказания набирает темпы рост правосознания, направленного против правонарушений, связанных с пытками и жестоким обращением, что находит свое отражение в последовательной кодификации законов и норм в этой области, которые уже разработаны и продолжают разрабатываться.</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9.</w:t>
      </w:r>
      <w:r>
        <w:tab/>
        <w:t>Развитие испанского общества, а также обществ других развитых стран и такое, хотя и не новое, но расширяющееся в своих масштабах явление, как иммиграция, наряду с принципом надлежащего обращения с гражданами различных стран и культур - все это придает вопросу запрещения пыток и соблюдения прав человека интернациональный характер.</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10.</w:t>
      </w:r>
      <w:r>
        <w:tab/>
        <w:t>В свете изложенного Испания может по праву считать себя членом сообщества развитых стран, соблюдающих международные стандарты, и с удовлетворением констатировать тот факт, что в стране отсутствует практика пыток и применения жестокого обращения, за исключением единичных случаев.  В подтверждение сказанного можно привести пример того, что сообщения о подобной практике прекратились или поступают крайне редко, в том числе от организации "Международная амнистия" и народного защитника при Генеральном кортесе, где каждый год количество сообщений о жестоком обращении сокращается, а в отдельные годы, в частности в том, что касается сил и органов безопасности, они практически отсутствовали.</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11.</w:t>
      </w:r>
      <w:r>
        <w:tab/>
        <w:t>Осознание испанским обществом того, что посягательства на достоинство и неприкосновенность человека, в частности связанные с этим пытки и жестокое обращение, заслуживают решительного осуждения, находит отклик у испанских властей, которые придают первостепенное значение этой проблеме и держат ее под особым контролем, что явствует из законодательных нововведений, осуществляемых в последние годы.</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12.</w:t>
      </w:r>
      <w:r>
        <w:tab/>
        <w:t>Примером таких законодательных нововведений служит внесение изменений в Уголовный кодекс Испании в 1995 году по инициативе и рекомендации Комитета против пыток, которые были предметом тщательного анализа в предыдущем периодическом докладе.  Опираясь на накопленный за истекшие годы опыт в этой области, можно сказать, что эти изменения позволяют укреплять в позитивном, по мнению испанского правительства, направлении законодательство Испании в области правонарушений, связанных с пытками.</w:t>
      </w:r>
    </w:p>
    <w:p w:rsidR="00000000" w:rsidRDefault="00000000">
      <w:pPr>
        <w:pStyle w:val="FootnoteText"/>
        <w:tabs>
          <w:tab w:val="clear" w:pos="6237"/>
          <w:tab w:val="left" w:pos="5166"/>
        </w:tabs>
        <w:spacing w:line="288" w:lineRule="auto"/>
      </w:pPr>
    </w:p>
    <w:p w:rsidR="00000000" w:rsidRDefault="00000000">
      <w:pPr>
        <w:pStyle w:val="FootnoteText"/>
        <w:tabs>
          <w:tab w:val="clear" w:pos="6237"/>
          <w:tab w:val="left" w:pos="5166"/>
        </w:tabs>
        <w:spacing w:line="288" w:lineRule="auto"/>
      </w:pPr>
      <w:r>
        <w:t>13.</w:t>
      </w:r>
      <w:r>
        <w:tab/>
        <w:t>Далее для сведения Комитета против пыток приводятся законодательные меры, различные мероприятия и другие акции, которые были осуществлены в области запрещения пыток в период 1996-2000 годов.</w:t>
      </w:r>
    </w:p>
    <w:p w:rsidR="00000000" w:rsidRDefault="00000000">
      <w:pPr>
        <w:pStyle w:val="FootnoteText"/>
        <w:tabs>
          <w:tab w:val="clear" w:pos="6237"/>
          <w:tab w:val="left" w:pos="5166"/>
        </w:tabs>
        <w:spacing w:line="288" w:lineRule="auto"/>
      </w:pPr>
    </w:p>
    <w:p w:rsidR="00000000" w:rsidRDefault="00000000">
      <w:pPr>
        <w:pStyle w:val="Heading2"/>
        <w:rPr>
          <w:u w:val="none"/>
        </w:rPr>
      </w:pPr>
      <w:r>
        <w:t>Статья 1</w:t>
      </w:r>
    </w:p>
    <w:p w:rsidR="00000000" w:rsidRDefault="00000000"/>
    <w:p w:rsidR="00000000" w:rsidRDefault="00000000">
      <w:r>
        <w:t>14.</w:t>
      </w:r>
      <w:r>
        <w:tab/>
        <w:t>Как уже сообщалось в третьем периодическом докладе Королевства Испании Комитету против пыток, 25 мая 1996 года вступил в силу новый Уголовный кодекс, об изменениях в котором было подробно сказано в упомянутом докладе, представленном в ноябре 1996 года.</w:t>
      </w:r>
    </w:p>
    <w:p w:rsidR="00000000" w:rsidRDefault="00000000"/>
    <w:p w:rsidR="00000000" w:rsidRDefault="00000000">
      <w:r>
        <w:t>15.</w:t>
      </w:r>
      <w:r>
        <w:tab/>
        <w:t>Впоследствии не произошло каких-либо законодательных изменений, затрагивающих концептуальную основу такого правонарушения, как пытка, ее криминализацию, а также наказание и гражданскую ответственность за нее.  Эти аспекты нашли отражение в статьях Уголовного кодекса 173-177 и 530-533, содержание которых подробно анализируется в третьем периодическом докладе.</w:t>
      </w:r>
    </w:p>
    <w:p w:rsidR="00000000" w:rsidRDefault="00000000"/>
    <w:p w:rsidR="00000000" w:rsidRDefault="00000000">
      <w:r>
        <w:t>16.</w:t>
      </w:r>
      <w:r>
        <w:tab/>
        <w:t>Ниже приводится текст названных действующих статей:</w:t>
      </w:r>
    </w:p>
    <w:p w:rsidR="00000000" w:rsidRDefault="00000000"/>
    <w:p w:rsidR="00000000" w:rsidRDefault="00000000">
      <w:pPr>
        <w:pStyle w:val="11"/>
        <w:rPr>
          <w:iCs/>
        </w:rPr>
      </w:pPr>
      <w:r>
        <w:rPr>
          <w:iCs/>
        </w:rPr>
        <w:t>Статья 173</w:t>
      </w:r>
    </w:p>
    <w:p w:rsidR="00000000" w:rsidRDefault="00000000">
      <w:pPr>
        <w:rPr>
          <w:i/>
          <w:iCs/>
        </w:rPr>
      </w:pPr>
    </w:p>
    <w:p w:rsidR="00000000" w:rsidRDefault="00000000">
      <w:pPr>
        <w:ind w:left="567" w:hanging="567"/>
        <w:rPr>
          <w:iCs/>
        </w:rPr>
      </w:pPr>
      <w:r>
        <w:rPr>
          <w:i/>
          <w:iCs/>
        </w:rPr>
        <w:tab/>
      </w:r>
      <w:r>
        <w:rPr>
          <w:i/>
          <w:iCs/>
        </w:rPr>
        <w:tab/>
      </w:r>
      <w:r>
        <w:rPr>
          <w:iCs/>
        </w:rPr>
        <w:t>Лицо, применившее по отношению к другому лицу унижающий его достоинство вид обращения, нанеся тем самым серьезный ущерб его нравственной неприкосновенности, подлежит наказанию в виде тюремного заключения на срок от шести месяцев до двух лет.</w:t>
      </w:r>
    </w:p>
    <w:p w:rsidR="00000000" w:rsidRDefault="00000000">
      <w:pPr>
        <w:rPr>
          <w:iCs/>
        </w:rPr>
      </w:pPr>
    </w:p>
    <w:p w:rsidR="00000000" w:rsidRDefault="00000000">
      <w:pPr>
        <w:pStyle w:val="11"/>
      </w:pPr>
      <w:r>
        <w:t>Статья 174</w:t>
      </w:r>
    </w:p>
    <w:p w:rsidR="00000000" w:rsidRDefault="00000000">
      <w:pPr>
        <w:rPr>
          <w:i/>
          <w:iCs/>
        </w:rPr>
      </w:pPr>
    </w:p>
    <w:p w:rsidR="00000000" w:rsidRDefault="00000000">
      <w:pPr>
        <w:ind w:left="567" w:hanging="567"/>
        <w:rPr>
          <w:iCs/>
        </w:rPr>
      </w:pPr>
      <w:r>
        <w:rPr>
          <w:i/>
          <w:iCs/>
        </w:rPr>
        <w:tab/>
      </w:r>
      <w:r>
        <w:rPr>
          <w:i/>
          <w:iCs/>
        </w:rPr>
        <w:tab/>
      </w:r>
      <w:r>
        <w:rPr>
          <w:iCs/>
        </w:rPr>
        <w:t>1.</w:t>
      </w:r>
      <w:r>
        <w:rPr>
          <w:iCs/>
        </w:rPr>
        <w:tab/>
        <w:t>Применением пытки со стороны представителей власти или государственных должностных лиц считаются действия, совершенные ими в целях получения признания или сведений от любого лица или его наказания в связи с любым предполагаемым деянием или подозрением в его совершении.  При этом данное лицо ставится в такие условия, которые по своему характеру, продолжительности или другим обстоятельствам причиняют ему физические или психические страдания, лишают или уменьшают его возможности в плане внешней ориентации или принятия решений и которые фактически означают покушение на его нравственную неприкосновенность.  Лицо, виновное в применении пыток, подлежит наказанию в виде тюремного заключения сроком от двух до шести лет, в том случае, если преступление носило тяжкий характер, или в виде тюремного заключения от одного года до трех лет, если оно не являлось таковым.  Кроме того, виновный подлежит наказанию в виде полного поражения в правах на срок от 8 до 12 лет.</w:t>
      </w:r>
    </w:p>
    <w:p w:rsidR="00000000" w:rsidRDefault="00000000">
      <w:pPr>
        <w:rPr>
          <w:iCs/>
        </w:rPr>
      </w:pPr>
    </w:p>
    <w:p w:rsidR="00000000" w:rsidRDefault="00000000">
      <w:pPr>
        <w:ind w:left="567" w:hanging="567"/>
        <w:rPr>
          <w:iCs/>
        </w:rPr>
      </w:pPr>
      <w:r>
        <w:rPr>
          <w:i/>
          <w:iCs/>
        </w:rPr>
        <w:tab/>
      </w:r>
      <w:r>
        <w:rPr>
          <w:iCs/>
        </w:rPr>
        <w:tab/>
        <w:t>2.</w:t>
      </w:r>
      <w:r>
        <w:rPr>
          <w:iCs/>
        </w:rPr>
        <w:tab/>
        <w:t>Аналогичным наказаниям подлежат представители власти или сотрудники пенитенциарных или воспитательно-трудовых учреждений для несовершеннолетних, которые совершают по отношению к содержащимся под стражей воспитанникам или заключенным действия, указанные в предыдущем пункте.</w:t>
      </w:r>
    </w:p>
    <w:p w:rsidR="00000000" w:rsidRDefault="00000000">
      <w:pPr>
        <w:ind w:left="567" w:hanging="567"/>
        <w:rPr>
          <w:iCs/>
        </w:rPr>
      </w:pPr>
    </w:p>
    <w:p w:rsidR="00000000" w:rsidRDefault="00000000">
      <w:pPr>
        <w:pStyle w:val="12"/>
        <w:rPr>
          <w:i w:val="0"/>
          <w:u w:val="single"/>
        </w:rPr>
      </w:pPr>
      <w:r>
        <w:rPr>
          <w:i w:val="0"/>
          <w:u w:val="single"/>
        </w:rPr>
        <w:t>Статья 175</w:t>
      </w:r>
    </w:p>
    <w:p w:rsidR="00000000" w:rsidRDefault="00000000"/>
    <w:p w:rsidR="00000000" w:rsidRDefault="00000000">
      <w:pPr>
        <w:ind w:left="567" w:hanging="567"/>
      </w:pPr>
      <w:r>
        <w:tab/>
      </w:r>
      <w:r>
        <w:tab/>
        <w:t>Представители власти или государственные служащие, которые, злоупотребляя своим служебным положением, и безотносительно к случаям, описанным в предыдущей статье, покушаются на нравственную неприкосновенность какого-либо лица, подлежат наказанию в виде тюремного заключения на срок от двух до четырех лет в том случае, если преступление является тяжким, и на срок от шести месяцев до двух лет, если преступление не относится к категории тяжких.  В любом случае лицо, совершившее преступление, помимо вышеуказанного наказания, подлежит частичному лишению права занимать государственные должности или состоять на государственной службе на срок от двух до четырех лет.</w:t>
      </w:r>
    </w:p>
    <w:p w:rsidR="00000000" w:rsidRDefault="00000000"/>
    <w:p w:rsidR="00000000" w:rsidRDefault="00000000">
      <w:pPr>
        <w:pStyle w:val="16"/>
        <w:rPr>
          <w:u w:val="single"/>
        </w:rPr>
      </w:pPr>
      <w:r>
        <w:rPr>
          <w:u w:val="single"/>
        </w:rPr>
        <w:t>Статья 176</w:t>
      </w:r>
    </w:p>
    <w:p w:rsidR="00000000" w:rsidRDefault="00000000"/>
    <w:p w:rsidR="00000000" w:rsidRDefault="00000000">
      <w:pPr>
        <w:ind w:left="567" w:hanging="567"/>
      </w:pPr>
      <w:r>
        <w:tab/>
      </w:r>
      <w:r>
        <w:tab/>
        <w:t>Представители власти или государственные служащие подлежат наказанию, установленному в предыдущих статьях, в случаях, когда, пренебрегая своими должностными обязанностями, они разрешают другим лицам совершать деяния, предусмотренные в этих статьях.</w:t>
      </w:r>
    </w:p>
    <w:p w:rsidR="00000000" w:rsidRDefault="00000000"/>
    <w:p w:rsidR="00000000" w:rsidRDefault="00000000">
      <w:pPr>
        <w:pStyle w:val="16"/>
        <w:rPr>
          <w:u w:val="single"/>
        </w:rPr>
      </w:pPr>
      <w:r>
        <w:rPr>
          <w:u w:val="single"/>
        </w:rPr>
        <w:t>Статья 177</w:t>
      </w:r>
    </w:p>
    <w:p w:rsidR="00000000" w:rsidRDefault="00000000"/>
    <w:p w:rsidR="00000000" w:rsidRDefault="00000000">
      <w:pPr>
        <w:ind w:left="567" w:hanging="567"/>
      </w:pPr>
      <w:r>
        <w:tab/>
      </w:r>
      <w:r>
        <w:tab/>
        <w:t>Если преступления, описанные в предыдущих статьях, кроме покушения на нравственную неприкосновенность какого-либо лица, влекут за собой увечья или представляют опасность для жизни, физической неприкосновенности, здоровья, сексуальной свободы или материальных ценностей жертвы, то эти деяния подлежат отдельному наказанию за преступления или правонарушения, за исключением тех случаев, когда данное лицо уже было наказано по закону.</w:t>
      </w:r>
    </w:p>
    <w:p w:rsidR="00000000" w:rsidRDefault="00000000"/>
    <w:p w:rsidR="00000000" w:rsidRDefault="00000000">
      <w:pPr>
        <w:pStyle w:val="16"/>
        <w:rPr>
          <w:u w:val="single"/>
        </w:rPr>
      </w:pPr>
      <w:r>
        <w:rPr>
          <w:u w:val="single"/>
        </w:rPr>
        <w:t>Статья 530</w:t>
      </w:r>
    </w:p>
    <w:p w:rsidR="00000000" w:rsidRDefault="00000000"/>
    <w:p w:rsidR="00000000" w:rsidRDefault="00000000">
      <w:pPr>
        <w:ind w:left="567" w:hanging="567"/>
      </w:pPr>
      <w:r>
        <w:tab/>
      </w:r>
      <w:r>
        <w:tab/>
        <w:t>Представители власти или государственные служащие, которые принимают и осуществляют решения о лишении свободы арестованного, заключенного или осужденного лица или продлении его срока в нарушение установленных сроков содержания под стражей или других конституционных или законных гарантий, подлежат наказанию в виде частичного лишения права занимать государственные должности или состоять на государственной службе на срок от четырех до восьми лет.</w:t>
      </w:r>
    </w:p>
    <w:p w:rsidR="00000000" w:rsidRDefault="00000000"/>
    <w:p w:rsidR="00000000" w:rsidRDefault="00000000">
      <w:pPr>
        <w:pStyle w:val="16"/>
        <w:rPr>
          <w:u w:val="single"/>
        </w:rPr>
      </w:pPr>
      <w:r>
        <w:rPr>
          <w:u w:val="single"/>
        </w:rPr>
        <w:t>Статья 531</w:t>
      </w:r>
    </w:p>
    <w:p w:rsidR="00000000" w:rsidRDefault="00000000"/>
    <w:p w:rsidR="00000000" w:rsidRDefault="00000000">
      <w:pPr>
        <w:ind w:left="567" w:hanging="567"/>
      </w:pPr>
      <w:r>
        <w:tab/>
      </w:r>
      <w:r>
        <w:tab/>
        <w:t>Представители власти или государственные служащие, которые принимают и осуществляют решения о помещении в одиночное заключение арестованного, заключенного или осужденного лица или о продлении сроков такого заключения в нарушение установленных сроков содержания под стражей или других конституционных или законных гарантий, подлежат наказанию в виде частичного лишения права занимать государственные должности или состоять на государственной службе на срок от двух до шести лет.</w:t>
      </w:r>
    </w:p>
    <w:p w:rsidR="00000000" w:rsidRDefault="00000000"/>
    <w:p w:rsidR="00000000" w:rsidRDefault="00000000">
      <w:pPr>
        <w:pStyle w:val="16"/>
        <w:rPr>
          <w:u w:val="single"/>
        </w:rPr>
      </w:pPr>
      <w:r>
        <w:rPr>
          <w:u w:val="single"/>
        </w:rPr>
        <w:t>Статья 532</w:t>
      </w:r>
    </w:p>
    <w:p w:rsidR="00000000" w:rsidRDefault="00000000"/>
    <w:p w:rsidR="00000000" w:rsidRDefault="00000000">
      <w:pPr>
        <w:ind w:left="567" w:hanging="567"/>
      </w:pPr>
      <w:r>
        <w:tab/>
      </w:r>
      <w:r>
        <w:tab/>
        <w:t>Если деяния, описанные в двух предыдущих статьях, были совершены в результате преступной халатности, то указанные выше лица подлежат наказанию в виде лишения права занимать государственные должности или состоять на государственной службе на срок от шести месяцев до двух лет.</w:t>
      </w:r>
    </w:p>
    <w:p w:rsidR="00000000" w:rsidRDefault="00000000"/>
    <w:p w:rsidR="00000000" w:rsidRDefault="00000000">
      <w:pPr>
        <w:pStyle w:val="16"/>
        <w:rPr>
          <w:u w:val="single"/>
        </w:rPr>
      </w:pPr>
      <w:r>
        <w:rPr>
          <w:u w:val="single"/>
        </w:rPr>
        <w:t>Статья 533</w:t>
      </w:r>
    </w:p>
    <w:p w:rsidR="00000000" w:rsidRDefault="00000000"/>
    <w:p w:rsidR="00000000" w:rsidRDefault="00000000">
      <w:pPr>
        <w:pStyle w:val="BodyText"/>
        <w:spacing w:line="288" w:lineRule="auto"/>
        <w:ind w:left="567" w:hanging="567"/>
        <w:rPr>
          <w:i w:val="0"/>
          <w:iCs w:val="0"/>
        </w:rPr>
      </w:pPr>
      <w:r>
        <w:rPr>
          <w:i w:val="0"/>
          <w:iCs w:val="0"/>
        </w:rPr>
        <w:tab/>
      </w:r>
      <w:r>
        <w:rPr>
          <w:i w:val="0"/>
          <w:iCs w:val="0"/>
        </w:rPr>
        <w:tab/>
        <w:t>Сотрудники пенитенциарных или исправительно-трудовых учреждений для несовершеннолетних, которые применяют по отношению к задержанным или содержащимся под стражей лицам необоснованные меры наказания или особо жестокое обращение, подлежат частичному лишению права занимать государственные должности или состоять на государственной службе на срок от двух до шести лет.</w:t>
      </w:r>
    </w:p>
    <w:p w:rsidR="00000000" w:rsidRDefault="00000000">
      <w:pPr>
        <w:pStyle w:val="BodyText"/>
        <w:spacing w:line="288" w:lineRule="auto"/>
        <w:rPr>
          <w:i w:val="0"/>
          <w:iCs w:val="0"/>
        </w:rPr>
      </w:pPr>
    </w:p>
    <w:p w:rsidR="00000000" w:rsidRDefault="00000000">
      <w:pPr>
        <w:pStyle w:val="11"/>
        <w:jc w:val="left"/>
      </w:pPr>
      <w:r>
        <w:t>Статья 2</w:t>
      </w:r>
    </w:p>
    <w:p w:rsidR="00000000" w:rsidRDefault="00000000">
      <w:pPr>
        <w:pStyle w:val="11"/>
      </w:pPr>
    </w:p>
    <w:p w:rsidR="00000000" w:rsidRDefault="00000000">
      <w:r>
        <w:t>17.</w:t>
      </w:r>
      <w:r>
        <w:tab/>
        <w:t>Обязательство в отношении криминализации пытки, которое содержится в данной статье, перекликается со статьей 15 Конституции Испании, которая гласит, что никто ни при каких обстоятельствах не может быть подвергнут пыткам или бесчеловечному или унижающему достоинство обращению.</w:t>
      </w:r>
    </w:p>
    <w:p w:rsidR="00000000" w:rsidRDefault="00000000"/>
    <w:p w:rsidR="00000000" w:rsidRDefault="00000000">
      <w:r>
        <w:t>18.</w:t>
      </w:r>
      <w:r>
        <w:tab/>
        <w:t>В этом вопросе испанское законодательство полностью соответствует положениям Конвенции, и запрещение пыток как абсолютное основное право человека продолжало действовать без изменений в период, охватываемый настоящим докладом.</w:t>
      </w:r>
    </w:p>
    <w:p w:rsidR="00000000" w:rsidRDefault="00000000"/>
    <w:p w:rsidR="00000000" w:rsidRDefault="00000000">
      <w:r>
        <w:t>19.</w:t>
      </w:r>
      <w:r>
        <w:tab/>
        <w:t>Признаки правонарушения, связанного с пытками, доведены до сведения сотрудников государственных сил и служб безопасности, с тем чтобы они отдавали себе отчет в отношении абсолютной и не имеющей исключений противоправности пыток, вина за которые не имеет оправдания, а также недопустимости совершения других действий, например вынесения наказания за невыполнение противозаконных приказов, касающихся этого правонарушения.</w:t>
      </w:r>
    </w:p>
    <w:p w:rsidR="00000000" w:rsidRDefault="00000000"/>
    <w:p w:rsidR="00000000" w:rsidRDefault="00000000">
      <w:r>
        <w:t>20.</w:t>
      </w:r>
      <w:r>
        <w:tab/>
        <w:t>Среди различных законодательных норм, циркуляров и инструкций, связанных с этим вопросом, следует упомянуть следующие:</w:t>
      </w:r>
    </w:p>
    <w:p w:rsidR="00000000" w:rsidRDefault="00000000"/>
    <w:p w:rsidR="00000000" w:rsidRDefault="00000000">
      <w:r>
        <w:tab/>
        <w:t>а)</w:t>
      </w:r>
      <w:r>
        <w:tab/>
        <w:t xml:space="preserve">органический закон о силах и органах безопасности, который вменяет в обязанность должностным лицам препятствовать, при исполнении своих служебных обязанностей, любым противозаконным, самовольным или дискриминационным действиям, связанным с физическим или моральным насилием.  В законе говорится также, что ни при каких обстоятельствах беспрекословное подчинение приказу не может давать право на совершение действий, явно образующих состав правонарушений или противоречащих конституции или законам (пункт 2 а) и пункт 1 </w:t>
      </w:r>
      <w:r>
        <w:rPr>
          <w:lang w:val="en-US"/>
        </w:rPr>
        <w:t>d</w:t>
      </w:r>
      <w:r>
        <w:t>) статьи 5, соответственно);</w:t>
      </w:r>
    </w:p>
    <w:p w:rsidR="00000000" w:rsidRDefault="00000000"/>
    <w:p w:rsidR="00000000" w:rsidRDefault="00000000">
      <w:r>
        <w:tab/>
      </w:r>
      <w:r>
        <w:rPr>
          <w:lang w:val="en-US"/>
        </w:rPr>
        <w:t>b</w:t>
      </w:r>
      <w:r>
        <w:t>)</w:t>
      </w:r>
      <w:r>
        <w:tab/>
        <w:t>равным образом Дисциплинарный устав служащих национальной полиции, принятый на основании Королевского указа 884/1989 от 14 июля, в пункте 3 статьи 6 квалифицирует в качестве тягчайшего дисциплинарного преступления (в соответствии с положениями статьи 27.3 Органического закона № 2/1986 от 13 марта о деятельности сил и органов безопасности) злоупотребление служебными полномочиями и практику бесчеловечного, унижающего достоинство, дискриминационного или издевательского обращения с лицами, которые находятся под их стражей, и предусматривает вынесение наказания за такие действия в виде отстранения от должности;</w:t>
      </w:r>
    </w:p>
    <w:p w:rsidR="00000000" w:rsidRDefault="00000000"/>
    <w:p w:rsidR="00000000" w:rsidRDefault="00000000">
      <w:r>
        <w:tab/>
        <w:t>с)</w:t>
      </w:r>
      <w:r>
        <w:tab/>
        <w:t>в качестве другого примера, Органический закон № 11/1991 от 17 июня, Дисциплинарный устав служащих Гражданской гвардии квалифицируют тягчайшим преступлением (пункт 2 статьи 9) злоупотребление служебными полномочиями и практику бесчеловечного, унижающего достоинство, дискриминационного или издевательского обращения с лицами, которые находятся под их стражей, и предусматривают вынесение наказания за такие действия в виде отстранения от должности вплоть до увольнения из рядов Гражданской гвардии (статьи 10.3 и 17);</w:t>
      </w:r>
    </w:p>
    <w:p w:rsidR="00000000" w:rsidRDefault="00000000"/>
    <w:p w:rsidR="00000000" w:rsidRDefault="00000000">
      <w:r>
        <w:tab/>
      </w:r>
      <w:r>
        <w:rPr>
          <w:lang w:val="en-US"/>
        </w:rPr>
        <w:t>d</w:t>
      </w:r>
      <w:r>
        <w:t>)</w:t>
      </w:r>
      <w:r>
        <w:tab/>
        <w:t xml:space="preserve">в свою очередь, статья 36 закона о полиции Страны Басков (дополненная впоследствии инструкцией № 29 от 1999 года Об Управлении безопасности правительства Страны Басков всем центрам </w:t>
      </w:r>
      <w:proofErr w:type="spellStart"/>
      <w:r>
        <w:rPr>
          <w:lang w:val="en-US"/>
        </w:rPr>
        <w:t>Ertzaintza</w:t>
      </w:r>
      <w:proofErr w:type="spellEnd"/>
      <w:r>
        <w:t>) гласит:</w:t>
      </w:r>
    </w:p>
    <w:p w:rsidR="00000000" w:rsidRDefault="00000000"/>
    <w:p w:rsidR="00000000" w:rsidRDefault="00000000">
      <w:pPr>
        <w:pStyle w:val="BodyTextIndent"/>
        <w:spacing w:line="288" w:lineRule="auto"/>
      </w:pPr>
      <w:r>
        <w:tab/>
        <w:t>"1.</w:t>
      </w:r>
      <w:r>
        <w:tab/>
        <w:t>Сотрудники баскской полиции несут ответственность за жизнь и физическую неприкосновенность задержанных ими лиц или лиц, которых они содержат под стражей, а также уважают их честь, достоинство и права, которые принадлежат им на законном основании.</w:t>
      </w:r>
    </w:p>
    <w:p w:rsidR="00000000" w:rsidRDefault="00000000">
      <w:pPr>
        <w:pStyle w:val="BodyTextIndent"/>
        <w:spacing w:line="288" w:lineRule="auto"/>
      </w:pPr>
    </w:p>
    <w:p w:rsidR="00000000" w:rsidRDefault="00000000">
      <w:pPr>
        <w:ind w:left="567"/>
      </w:pPr>
      <w:r>
        <w:tab/>
        <w:t>2.</w:t>
      </w:r>
      <w:r>
        <w:tab/>
        <w:t>Сотрудники баскской полиции не имеют права применять любые пытки, подстрекать и проявлять терпимость к пыткам, включая другие виды жестокого, бесчеловечного или унижающего достоинство обращения, равно как ссылаться на приказ вышестоящего начальника или особые обстоятельства, такие, как угроза войны и национальная безопасность или какое-либо другое чрезвычайное положение в качестве оправдания своих действий".</w:t>
      </w:r>
    </w:p>
    <w:p w:rsidR="00000000" w:rsidRDefault="00000000">
      <w:pPr>
        <w:ind w:left="567"/>
      </w:pPr>
    </w:p>
    <w:p w:rsidR="00000000" w:rsidRDefault="00000000">
      <w:r>
        <w:t>21.</w:t>
      </w:r>
      <w:r>
        <w:tab/>
        <w:t>Упомянутые выше общие положения дополняются инструкциями, циркулярами и руководствами по их выполнению, которые имеют своей целью регламентировать конкретные действия служащих сил и органов безопасности в случаях задержания или заключения под стражу подозреваемых или обвиняемых в каком-либо правонарушении и которые подробно рассматриваются в комментариях к статьям 6 и 7 Конвенции в настоящем докладе.</w:t>
      </w:r>
    </w:p>
    <w:p w:rsidR="00000000" w:rsidRDefault="00000000"/>
    <w:p w:rsidR="00000000" w:rsidRDefault="00000000">
      <w:pPr>
        <w:pStyle w:val="Heading2"/>
        <w:rPr>
          <w:u w:val="none"/>
        </w:rPr>
      </w:pPr>
      <w:r>
        <w:t>Статья 3</w:t>
      </w:r>
    </w:p>
    <w:p w:rsidR="00000000" w:rsidRDefault="00000000">
      <w:pPr>
        <w:pStyle w:val="Heading2"/>
        <w:rPr>
          <w:u w:val="none"/>
        </w:rPr>
      </w:pPr>
    </w:p>
    <w:p w:rsidR="00000000" w:rsidRDefault="00000000">
      <w:r>
        <w:t>22.</w:t>
      </w:r>
      <w:r>
        <w:tab/>
        <w:t>В рассматриваемый в настоящем докладе период продолжал действовать закон о пассивной выдаче (закон № 4/1985 от 21 марта), пункт 6 статьи 4 которого гласит:  "Выдача не допускается в тех случаях, когда запрашивающее государство не дает гарантии в отношении того, что требуемое к выдаче лицо не будет казнено или подвергнуто наказаниям, посягающим на его физическую неприкосновенность, или бесчеловечному или унижающему достоинство обращению".</w:t>
      </w:r>
    </w:p>
    <w:p w:rsidR="00000000" w:rsidRDefault="00000000">
      <w:r>
        <w:t>23.</w:t>
      </w:r>
      <w:r>
        <w:tab/>
        <w:t>В соответствии с этим положением, а также в связи с прямым применением статьи 3 Конвенции и независимо от договоров о выдаче, заключенных Испанией с другими странами, не допускается возможность выдачи, когда существует явная угроза того, что подлежащее выдаче лицо может стать жертвой пыток.</w:t>
      </w:r>
    </w:p>
    <w:p w:rsidR="00000000" w:rsidRDefault="00000000"/>
    <w:p w:rsidR="00000000" w:rsidRDefault="00000000">
      <w:r>
        <w:t>24.</w:t>
      </w:r>
      <w:r>
        <w:tab/>
        <w:t>В этой связи следует отметить, что в рассматриваемый в настоящем докладе период был принят ряд мер, в частности издана инструкция № 3/1998 от 17 ноября секретариата государственной безопасности об обращении с бродягами, в разделе 4 которой говорится, что "представитель правительства рассматривает полученное сообщение и принимает безотлагательные меры к отстранению от должности таких лиц при наличии подтверждений факта нарушения запрета подвергать людей бесчеловечному или унижающему достоинство обращению, согласно положениям статьи 3 Европейской конвенции о защите прав человека и основных свобод".</w:t>
      </w:r>
    </w:p>
    <w:p w:rsidR="00000000" w:rsidRDefault="00000000"/>
    <w:p w:rsidR="00000000" w:rsidRDefault="00000000">
      <w:pPr>
        <w:pStyle w:val="Heading2"/>
      </w:pPr>
      <w:r>
        <w:t>Статья 4</w:t>
      </w:r>
    </w:p>
    <w:p w:rsidR="00000000" w:rsidRDefault="00000000">
      <w:pPr>
        <w:pStyle w:val="Heading2"/>
      </w:pPr>
    </w:p>
    <w:p w:rsidR="00000000" w:rsidRDefault="00000000">
      <w:r>
        <w:t>25.</w:t>
      </w:r>
      <w:r>
        <w:tab/>
        <w:t>В связи с обязательством сделать пытки уголовным преступлением испанское законодательство предусматривает, среди прочего, следующие законоположения:</w:t>
      </w:r>
    </w:p>
    <w:p w:rsidR="00000000" w:rsidRDefault="00000000"/>
    <w:p w:rsidR="00000000" w:rsidRDefault="00000000">
      <w:r>
        <w:tab/>
        <w:t>а)</w:t>
      </w:r>
      <w:r>
        <w:tab/>
        <w:t>статьи 173-177 действующего Уголовного кодекса квалифицируют преступлением не только пытки, но и любые акты посягательства на моральную неприкосновенность любого лица, что свидетельствует о наличии воли искоренить подобные презренные акты.</w:t>
      </w:r>
    </w:p>
    <w:p w:rsidR="00000000" w:rsidRDefault="00000000">
      <w:pPr>
        <w:ind w:left="1134" w:hanging="1134"/>
      </w:pPr>
    </w:p>
    <w:p w:rsidR="00000000" w:rsidRDefault="00000000">
      <w:r>
        <w:tab/>
      </w:r>
      <w:r>
        <w:rPr>
          <w:lang w:val="en-US"/>
        </w:rPr>
        <w:t>b</w:t>
      </w:r>
      <w:r>
        <w:t>)</w:t>
      </w:r>
      <w:r>
        <w:tab/>
        <w:t>В подпункте с) пункта 3 статьи 27 Органического закона о силах и органах государственной безопасности содержится прямое указание на то, что должностным лицам, подпадающим под действие названного Закона, запрещается "злоупотреблять своими полномочиями и практиковать бесчеловечное, унижающее достоинство и унизительное обращение с лицами, которые содержатся у них под стражей".</w:t>
      </w:r>
    </w:p>
    <w:p w:rsidR="00000000" w:rsidRDefault="00000000">
      <w:pPr>
        <w:ind w:left="1134" w:hanging="1134"/>
      </w:pPr>
    </w:p>
    <w:p w:rsidR="00000000" w:rsidRDefault="00000000">
      <w:r>
        <w:tab/>
        <w:t>с)</w:t>
      </w:r>
      <w:r>
        <w:tab/>
        <w:t>Помимо классификации пытки как серьезного преступления, влекущего наказание в виде тюремного заключения от 6 месяцев до 2 лет, в Уголовном кодексе, в статье 57, с изменениями, внесенными на основании Органического закона № 14/1999 от 9 июня, говорится, что суды или трибуналы могут при вынесении своих приговоров по факту связанных с пытками правонарушений налагать один или несколько из следующих запретов:</w:t>
      </w:r>
    </w:p>
    <w:p w:rsidR="00000000" w:rsidRDefault="00000000">
      <w:pPr>
        <w:ind w:left="1134" w:hanging="1134"/>
      </w:pPr>
    </w:p>
    <w:p w:rsidR="00000000" w:rsidRDefault="00000000">
      <w:pPr>
        <w:ind w:left="1701" w:hanging="1701"/>
      </w:pPr>
      <w:r>
        <w:tab/>
      </w:r>
      <w:r>
        <w:tab/>
      </w:r>
      <w:proofErr w:type="spellStart"/>
      <w:r>
        <w:rPr>
          <w:lang w:val="en-US"/>
        </w:rPr>
        <w:t>i</w:t>
      </w:r>
      <w:proofErr w:type="spellEnd"/>
      <w:r>
        <w:t>)</w:t>
      </w:r>
      <w:r>
        <w:tab/>
        <w:t>запрет приближаться к жертве или к кому-либо из членов его или ее семьи и другим лицам, которые назовет суд или трибунал;</w:t>
      </w:r>
    </w:p>
    <w:p w:rsidR="00000000" w:rsidRDefault="00000000">
      <w:pPr>
        <w:ind w:left="1701" w:hanging="1701"/>
      </w:pPr>
      <w:r>
        <w:tab/>
      </w:r>
      <w:r>
        <w:tab/>
      </w:r>
      <w:r>
        <w:rPr>
          <w:lang w:val="en-US"/>
        </w:rPr>
        <w:t>ii</w:t>
      </w:r>
      <w:r>
        <w:t>)</w:t>
      </w:r>
      <w:r>
        <w:tab/>
        <w:t>запрет на общение с жертвой или с кем-либо из членов его или ее семьи, которых назовет суд или трибунал;</w:t>
      </w:r>
    </w:p>
    <w:p w:rsidR="00000000" w:rsidRDefault="00000000">
      <w:pPr>
        <w:ind w:left="1701" w:hanging="1701"/>
      </w:pPr>
    </w:p>
    <w:p w:rsidR="00000000" w:rsidRDefault="00000000">
      <w:pPr>
        <w:ind w:left="1701" w:hanging="1701"/>
      </w:pPr>
      <w:r>
        <w:tab/>
      </w:r>
      <w:r>
        <w:tab/>
      </w:r>
      <w:r>
        <w:rPr>
          <w:lang w:val="en-US"/>
        </w:rPr>
        <w:t>iii</w:t>
      </w:r>
      <w:r>
        <w:t>)</w:t>
      </w:r>
      <w:r>
        <w:tab/>
        <w:t>запрет возвращения на место совершения преступления или посещение жертвы по месту его или ее жительства или месту жительства его или ее семьи, если они проживают раздельно.</w:t>
      </w:r>
    </w:p>
    <w:p w:rsidR="00000000" w:rsidRDefault="00000000">
      <w:pPr>
        <w:ind w:left="1701" w:hanging="1701"/>
      </w:pPr>
    </w:p>
    <w:p w:rsidR="00000000" w:rsidRDefault="00000000">
      <w:pPr>
        <w:pStyle w:val="Heading2"/>
      </w:pPr>
      <w:r>
        <w:t>Статья 5</w:t>
      </w:r>
    </w:p>
    <w:p w:rsidR="00000000" w:rsidRDefault="00000000">
      <w:pPr>
        <w:pStyle w:val="Heading2"/>
      </w:pPr>
    </w:p>
    <w:p w:rsidR="00000000" w:rsidRDefault="00000000">
      <w:r>
        <w:t>26.</w:t>
      </w:r>
      <w:r>
        <w:tab/>
        <w:t>Испания признает концепцию в этой статье, вследствие косвенного применения которой пытки считаются международным преступлением.  Так, в статье 23.4.</w:t>
      </w:r>
      <w:r>
        <w:rPr>
          <w:lang w:val="en-US"/>
        </w:rPr>
        <w:t>g</w:t>
      </w:r>
      <w:r>
        <w:t xml:space="preserve"> Органического закона о судебной власти говорится, что под юрисдикцию Испании подпадают преступления, которые, согласно международным договорам или конвенциям, подлежат судебному разбирательству в Испании.</w:t>
      </w:r>
    </w:p>
    <w:p w:rsidR="00000000" w:rsidRDefault="00000000"/>
    <w:p w:rsidR="00000000" w:rsidRDefault="00000000">
      <w:r>
        <w:t>27.</w:t>
      </w:r>
      <w:r>
        <w:tab/>
        <w:t>Независимо от сказанного упомянутый Органический закон признает в качестве адекватных критерии установления юрисдикции, перечисленные в пункте 1 статьи 5 Конвенции.  В частности, в статье 23.1 признается юрисдикция государства, на территории которого было совершено преступление, а в пункте 1 статьи 23 признается гражданство жертвы.</w:t>
      </w:r>
    </w:p>
    <w:p w:rsidR="00000000" w:rsidRDefault="00000000"/>
    <w:p w:rsidR="00000000" w:rsidRDefault="00000000">
      <w:pPr>
        <w:pStyle w:val="Heading2"/>
      </w:pPr>
      <w:r>
        <w:t>Статья 6</w:t>
      </w:r>
    </w:p>
    <w:p w:rsidR="00000000" w:rsidRDefault="00000000">
      <w:pPr>
        <w:pStyle w:val="Heading2"/>
      </w:pPr>
    </w:p>
    <w:p w:rsidR="00000000" w:rsidRDefault="00000000">
      <w:r>
        <w:t>28.</w:t>
      </w:r>
      <w:r>
        <w:tab/>
        <w:t>В Испании любое лицо с момента своего задержания пользуется гарантиями, закрепленными в Конституции страны.</w:t>
      </w:r>
    </w:p>
    <w:p w:rsidR="00000000" w:rsidRDefault="00000000"/>
    <w:p w:rsidR="00000000" w:rsidRDefault="00000000">
      <w:r>
        <w:t>29.</w:t>
      </w:r>
      <w:r>
        <w:tab/>
        <w:t>Статья 17 Конституции гласит:</w:t>
      </w:r>
    </w:p>
    <w:p w:rsidR="00000000" w:rsidRDefault="00000000"/>
    <w:p w:rsidR="00000000" w:rsidRDefault="00000000">
      <w:pPr>
        <w:pStyle w:val="BodyTextIndent"/>
        <w:spacing w:line="288" w:lineRule="auto"/>
      </w:pPr>
      <w:r>
        <w:tab/>
        <w:t>"1.</w:t>
      </w:r>
      <w:r>
        <w:tab/>
        <w:t>Каждый человек имеет право на свободу и безопасность.  Никто не может быть лишен свободы иначе как в соответствии с положениями настоящей статьи и в случаях и в форме, предусмотренных законом.</w:t>
      </w:r>
    </w:p>
    <w:p w:rsidR="00000000" w:rsidRDefault="00000000">
      <w:pPr>
        <w:pStyle w:val="BodyTextIndent"/>
        <w:spacing w:line="288" w:lineRule="auto"/>
      </w:pPr>
    </w:p>
    <w:p w:rsidR="00000000" w:rsidRDefault="00000000">
      <w:pPr>
        <w:ind w:left="561"/>
      </w:pPr>
      <w:r>
        <w:tab/>
      </w:r>
      <w:r>
        <w:tab/>
        <w:t>2.</w:t>
      </w:r>
      <w:r>
        <w:tab/>
        <w:t>Предварительное заключение под стражу не может длиться дольше срока, необходимого для выяснения обстоятельств дела, и в любом случае не может превышать 72 часа, по истечении которых задержанный должен быть либо освобожден, либо передан судебным властям.</w:t>
      </w:r>
    </w:p>
    <w:p w:rsidR="00000000" w:rsidRDefault="00000000">
      <w:pPr>
        <w:ind w:left="561"/>
      </w:pPr>
    </w:p>
    <w:p w:rsidR="00000000" w:rsidRDefault="00000000">
      <w:pPr>
        <w:ind w:left="561"/>
      </w:pPr>
      <w:r>
        <w:tab/>
      </w:r>
      <w:r>
        <w:tab/>
        <w:t>3.</w:t>
      </w:r>
      <w:r>
        <w:tab/>
        <w:t>Каждый задержанный должен быть проинформирован немедленно и в доступной для него форме о своих правах и причинах задержания и не может быть принужден давать показания.  Задержанному гарантируется присутствие и помощь адвоката в оформлении полицейских и судебных актов в порядке, установленном законом".</w:t>
      </w:r>
    </w:p>
    <w:p w:rsidR="00000000" w:rsidRDefault="00000000">
      <w:pPr>
        <w:ind w:left="561"/>
      </w:pPr>
    </w:p>
    <w:p w:rsidR="00000000" w:rsidRDefault="00000000">
      <w:pPr>
        <w:tabs>
          <w:tab w:val="clear" w:pos="567"/>
          <w:tab w:val="left" w:pos="561"/>
        </w:tabs>
      </w:pPr>
      <w:r>
        <w:t>30.</w:t>
      </w:r>
      <w:r>
        <w:tab/>
        <w:t xml:space="preserve">Эти конституционные нормы, безусловно, получают свое развитие и конкретизируются в других законодательных актах, прежде всего в законе об уголовном судопроизводстве, статья </w:t>
      </w:r>
      <w:r>
        <w:rPr>
          <w:lang w:val="en-US"/>
        </w:rPr>
        <w:t>IV</w:t>
      </w:r>
      <w:r>
        <w:t xml:space="preserve"> которого регламентирует осуществление права на защиту, присутствие и помощь адвоката и обращение с задержанными.</w:t>
      </w:r>
    </w:p>
    <w:p w:rsidR="00000000" w:rsidRDefault="00000000">
      <w:pPr>
        <w:tabs>
          <w:tab w:val="clear" w:pos="567"/>
          <w:tab w:val="left" w:pos="561"/>
        </w:tabs>
      </w:pPr>
    </w:p>
    <w:p w:rsidR="00000000" w:rsidRDefault="00000000">
      <w:pPr>
        <w:tabs>
          <w:tab w:val="clear" w:pos="567"/>
          <w:tab w:val="left" w:pos="561"/>
        </w:tabs>
      </w:pPr>
      <w:r>
        <w:tab/>
      </w:r>
      <w:r>
        <w:rPr>
          <w:u w:val="single"/>
        </w:rPr>
        <w:t>Право на защиту</w:t>
      </w:r>
    </w:p>
    <w:p w:rsidR="00000000" w:rsidRDefault="00000000">
      <w:pPr>
        <w:tabs>
          <w:tab w:val="clear" w:pos="567"/>
          <w:tab w:val="left" w:pos="561"/>
        </w:tabs>
      </w:pPr>
    </w:p>
    <w:p w:rsidR="00000000" w:rsidRDefault="00000000">
      <w:pPr>
        <w:tabs>
          <w:tab w:val="clear" w:pos="567"/>
          <w:tab w:val="left" w:pos="561"/>
        </w:tabs>
      </w:pPr>
      <w:r>
        <w:t>31.</w:t>
      </w:r>
      <w:r>
        <w:tab/>
        <w:t xml:space="preserve">Принцип </w:t>
      </w:r>
      <w:r>
        <w:rPr>
          <w:lang w:val="en-US"/>
        </w:rPr>
        <w:t>habeas</w:t>
      </w:r>
      <w:r>
        <w:t xml:space="preserve"> </w:t>
      </w:r>
      <w:r>
        <w:rPr>
          <w:lang w:val="en-US"/>
        </w:rPr>
        <w:t>corpus</w:t>
      </w:r>
      <w:r>
        <w:t xml:space="preserve">, закрепленный в пункте 4 статьи 17 Конституции, гарантирует немедленную передачу судебным властям любого незаконно задержанного лица.  В этой связи Органический закон № 6/1984 от 24 мая, регламентирующий порядок применения принципа </w:t>
      </w:r>
      <w:r>
        <w:rPr>
          <w:lang w:val="en-US"/>
        </w:rPr>
        <w:t>habeas</w:t>
      </w:r>
      <w:r>
        <w:t xml:space="preserve"> </w:t>
      </w:r>
      <w:r>
        <w:rPr>
          <w:lang w:val="en-US"/>
        </w:rPr>
        <w:t>corpus</w:t>
      </w:r>
      <w:r>
        <w:t xml:space="preserve">, признает право лишенного свободы или его родителей, а также государственного прокурора, народного защитника или компетентного судебного органа ходатайствовать перед судом о даче надлежащих указаний в отношении проверки законности задержания. </w:t>
      </w:r>
    </w:p>
    <w:p w:rsidR="00000000" w:rsidRDefault="00000000">
      <w:pPr>
        <w:tabs>
          <w:tab w:val="clear" w:pos="567"/>
          <w:tab w:val="left" w:pos="561"/>
        </w:tabs>
      </w:pPr>
    </w:p>
    <w:p w:rsidR="00000000" w:rsidRDefault="00000000">
      <w:pPr>
        <w:tabs>
          <w:tab w:val="clear" w:pos="567"/>
          <w:tab w:val="left" w:pos="561"/>
        </w:tabs>
      </w:pPr>
      <w:r>
        <w:t>32.</w:t>
      </w:r>
      <w:r>
        <w:tab/>
        <w:t>Такой порядок сводит воедино право задержанного относительно того, чтобы в кратчайшее время орган судебной власти принял к рассмотрению все обстоятельства задержания и вынес решение о правомерности такого задержания.</w:t>
      </w:r>
    </w:p>
    <w:p w:rsidR="00000000" w:rsidRDefault="00000000">
      <w:pPr>
        <w:tabs>
          <w:tab w:val="clear" w:pos="567"/>
          <w:tab w:val="left" w:pos="561"/>
        </w:tabs>
      </w:pPr>
    </w:p>
    <w:p w:rsidR="00000000" w:rsidRDefault="00000000">
      <w:pPr>
        <w:tabs>
          <w:tab w:val="clear" w:pos="567"/>
          <w:tab w:val="left" w:pos="561"/>
        </w:tabs>
      </w:pPr>
      <w:r>
        <w:tab/>
      </w:r>
      <w:r>
        <w:rPr>
          <w:u w:val="single"/>
        </w:rPr>
        <w:t>Право на помощь адвоката</w:t>
      </w:r>
    </w:p>
    <w:p w:rsidR="00000000" w:rsidRDefault="00000000">
      <w:pPr>
        <w:tabs>
          <w:tab w:val="clear" w:pos="567"/>
          <w:tab w:val="left" w:pos="561"/>
        </w:tabs>
      </w:pPr>
    </w:p>
    <w:p w:rsidR="00000000" w:rsidRDefault="00000000">
      <w:pPr>
        <w:tabs>
          <w:tab w:val="clear" w:pos="567"/>
          <w:tab w:val="left" w:pos="561"/>
        </w:tabs>
      </w:pPr>
      <w:r>
        <w:t>33.</w:t>
      </w:r>
      <w:r>
        <w:tab/>
        <w:t>В правовой системе Испании помощь адвоката лицам, лишенным свободы, предоставляется на должном уровне и имеет двойную направленность, поскольку ей могут пользоваться не только задержанные лица, но и обвиняемые или подследственные по тому или иному уголовному делу.</w:t>
      </w:r>
    </w:p>
    <w:p w:rsidR="00000000" w:rsidRDefault="00000000">
      <w:pPr>
        <w:tabs>
          <w:tab w:val="clear" w:pos="567"/>
          <w:tab w:val="left" w:pos="561"/>
        </w:tabs>
      </w:pPr>
    </w:p>
    <w:p w:rsidR="00000000" w:rsidRDefault="00000000">
      <w:pPr>
        <w:tabs>
          <w:tab w:val="clear" w:pos="567"/>
          <w:tab w:val="left" w:pos="561"/>
        </w:tabs>
      </w:pPr>
      <w:r>
        <w:t>34.</w:t>
      </w:r>
      <w:r>
        <w:tab/>
        <w:t>Так, Конституция страны в упомянутом выше пункте 3 статьи 17 гарантирует присутствие и помощь адвоката в оформлении полицейских и судебных актов в порядке, установленном законом, тогда как в пункте 2 статьи 24 это право признается в контексте эффективной судебной защиты, в частности предусматриваются гарантии в отношении надлежащего судебного разбирательства по делу обвиняемого или подследственного.</w:t>
      </w:r>
    </w:p>
    <w:p w:rsidR="00000000" w:rsidRDefault="00000000"/>
    <w:p w:rsidR="00000000" w:rsidRDefault="00000000">
      <w:r>
        <w:t>35.</w:t>
      </w:r>
      <w:r>
        <w:tab/>
        <w:t xml:space="preserve">Такая двойная направленность конституционного права на помощь адвоката имеет своей целью поставить это право в одну правовую плоскость с международными документами по правам человека, подписанными Испанией, однако в этом вопросе Конституция </w:t>
      </w:r>
      <w:r>
        <w:rPr>
          <w:lang w:val="en-US"/>
        </w:rPr>
        <w:t>c</w:t>
      </w:r>
      <w:proofErr w:type="spellStart"/>
      <w:r>
        <w:t>траны</w:t>
      </w:r>
      <w:proofErr w:type="spellEnd"/>
      <w:r>
        <w:t xml:space="preserve"> идет еще дальше, поскольку ее соответствующие положения в этой области намного обширнее и глубже, по крайней мере более конкретны, чем аналогичные положения упомянутых международных документов.</w:t>
      </w:r>
    </w:p>
    <w:p w:rsidR="00000000" w:rsidRDefault="00000000"/>
    <w:p w:rsidR="00000000" w:rsidRDefault="00000000">
      <w:r>
        <w:t>36.</w:t>
      </w:r>
      <w:r>
        <w:tab/>
        <w:t>В Европейской конвенции о защите прав человека и основных свобод 1950 года закреплено право на надлежащий судебный процесс, определены права обвиняемого, прежде всего его право на помощь адвоката по его выбору, но такое право на помощь адвоката не предусмотрено для лиц, находящихся в предварительном заключении.  Такая же правовая модель встречается, без существенных отличий, в статьях 9 и 14 Международного пакта о гражданских и политических правах.</w:t>
      </w:r>
    </w:p>
    <w:p w:rsidR="00000000" w:rsidRDefault="00000000"/>
    <w:p w:rsidR="00000000" w:rsidRDefault="00000000">
      <w:r>
        <w:t>37.</w:t>
      </w:r>
      <w:r>
        <w:tab/>
        <w:t>В международных документах особо важное значение имеет различие между задержанным и обвиняемым, в том что касается права на помощь адвоката, а также, разумеется, юрисдикции Европейского суда по правам человека.</w:t>
      </w:r>
    </w:p>
    <w:p w:rsidR="00000000" w:rsidRDefault="00000000"/>
    <w:p w:rsidR="00000000" w:rsidRDefault="00000000">
      <w:r>
        <w:t>38.</w:t>
      </w:r>
      <w:r>
        <w:tab/>
        <w:t>Правомочия в области правовой помощи, закрепленные в Конституции Испании, нашли свое отражение в законе об уголовном судопроизводстве, который устанавливает конкретный порядок предоставления помощи адвоката.  Так, в статье 520 этого закона предусматривается свобода выбора адвоката как задержанным, так и обвиняемым, за исключением случаев содержания под стражей без права переписываться или общаться с родственниками (статья 527), определяемого исключительно судом, когда право на помощь адвоката осуществляется посредством назначения адвоката, выполняющего свои обязанности по долгу службы.</w:t>
      </w:r>
    </w:p>
    <w:p w:rsidR="00000000" w:rsidRDefault="00000000"/>
    <w:p w:rsidR="00000000" w:rsidRDefault="00000000">
      <w:r>
        <w:t>39.</w:t>
      </w:r>
      <w:r>
        <w:tab/>
        <w:t>Из всего сказанного выше можно сделать вывод о том, что в Испании все лица с момента их задержания имеют право на помощь адвоката, и только в тех случаях, когда по решению суда задержанный содержится под стражей "инкоммуникадо", он не может воспользоваться правом свободного выбора адвоката, однако в любом случае ему всегда гарантируется право воспользоваться услугами адвоката, который назначается и выполняет свои обязанности по долгу службы.</w:t>
      </w:r>
    </w:p>
    <w:p w:rsidR="00000000" w:rsidRDefault="00000000"/>
    <w:p w:rsidR="00000000" w:rsidRDefault="00000000">
      <w:r>
        <w:t>40.</w:t>
      </w:r>
      <w:r>
        <w:tab/>
        <w:t>В этом пункте следует повторить, что ограничения, предусмотренные статьей 527 закона об уголовном судопроизводстве, применяются исключительно по прямому указанию и под надзором органа судебной власти, поскольку содержание заключенного под стражей "инкоммуникадо" входит в исключительную компетенцию органа судебной власти, причем решение о таком порядке содержания должно быть обосновано.</w:t>
      </w:r>
    </w:p>
    <w:p w:rsidR="00000000" w:rsidRDefault="00000000"/>
    <w:p w:rsidR="00000000" w:rsidRDefault="00000000">
      <w:r>
        <w:t>41.</w:t>
      </w:r>
      <w:r>
        <w:tab/>
        <w:t>Безусловно, весь смысл права заключенного на помощь адвоката заключается именно в том, чтобы получить ее не столько в порядке назначения адвоката, сколько в порядке права на защиту, поскольку задача Конституции состоит в том, чтобы защитить задержанного путем задействования технических услуг адвоката, который оказывает профессиональную помощь и содействие в момент задержания, для чего собственно и назначается адвокат, выполняющий свои обязанности по долгу службы, что гарантирует действенность его помощи.</w:t>
      </w:r>
    </w:p>
    <w:p w:rsidR="00000000" w:rsidRDefault="00000000"/>
    <w:p w:rsidR="00000000" w:rsidRDefault="00000000">
      <w:r>
        <w:t>42.</w:t>
      </w:r>
      <w:r>
        <w:tab/>
        <w:t>Свобода выбора адвоката является всего лишь составным элементом права задержанного на адвокатскую помощь, но не его стержнем, поскольку лишение его свободы и последующее назначение адвоката по должности в обязательном порядке отнюдь не аннулирует это право и не делает его неосуществимым, равно как не лишает задержанного необходимой защиты.</w:t>
      </w:r>
    </w:p>
    <w:p w:rsidR="00000000" w:rsidRDefault="00000000"/>
    <w:p w:rsidR="00000000" w:rsidRDefault="00000000">
      <w:r>
        <w:t>43.</w:t>
      </w:r>
      <w:r>
        <w:tab/>
        <w:t>В целях безоговорочного подтверждения существования такой гарантии и ее надлежащей эволюции в статью 537 Уголовного кодекса 1995 года было включено следующее правонарушение:</w:t>
      </w:r>
    </w:p>
    <w:p w:rsidR="00000000" w:rsidRDefault="00000000"/>
    <w:p w:rsidR="00000000" w:rsidRDefault="00000000">
      <w:pPr>
        <w:ind w:left="567"/>
      </w:pPr>
      <w:r>
        <w:tab/>
        <w:t>"Представители власти или государственные служащие, которые препятствуют осуществлению задержанными или содержащимися под стражей лицами права на получение помощи адвоката, которые содействуют или способствуют отказу такого лица от вышеуказанной помощи или не информируют его незамедлительно и в ясной форме о его правах и причинах ареста, подлежат наказанию в виде тюремного заключения на срок от 4 до 10 месяцев и частичному лишению права занимать государственные должности или состоять на государственной службе на срок от 2 до 4 лет".</w:t>
      </w:r>
    </w:p>
    <w:p w:rsidR="00000000" w:rsidRDefault="00000000">
      <w:pPr>
        <w:ind w:left="567"/>
      </w:pPr>
    </w:p>
    <w:p w:rsidR="00000000" w:rsidRDefault="00000000">
      <w:r>
        <w:t>44.</w:t>
      </w:r>
      <w:r>
        <w:tab/>
        <w:t>Подытоживая вышесказанное, можно сделать вывод о том, что законодательство Испании в области оказания задержанному помощи адвоката не только не противоречит каким-либо образом международным конвенциям, подписанным Испанией, значимость которых с точки зрения основных прав и свобод человека и гражданина отражена в пункте 2 статьи 10 Конституции Испании, но и наполнена более глубоким содержанием.</w:t>
      </w:r>
    </w:p>
    <w:p w:rsidR="00000000" w:rsidRDefault="00000000"/>
    <w:p w:rsidR="00000000" w:rsidRDefault="00000000">
      <w:r>
        <w:tab/>
      </w:r>
      <w:r>
        <w:rPr>
          <w:u w:val="single"/>
        </w:rPr>
        <w:t>Обращение с задержанными</w:t>
      </w:r>
    </w:p>
    <w:p w:rsidR="00000000" w:rsidRDefault="00000000"/>
    <w:p w:rsidR="00000000" w:rsidRDefault="00000000">
      <w:r>
        <w:t>45.</w:t>
      </w:r>
      <w:r>
        <w:tab/>
        <w:t>Помимо прокомментированных выше положений, особого внимания в связи с гарантиями справедливого обращения с любым задержанным за любое совершенное правонарушение заслуживают следующие нормы, которые были разработаны и введены в действие в отчетный период:</w:t>
      </w:r>
    </w:p>
    <w:p w:rsidR="00000000" w:rsidRDefault="00000000"/>
    <w:p w:rsidR="00000000" w:rsidRDefault="00000000">
      <w:r>
        <w:tab/>
        <w:t>а)</w:t>
      </w:r>
      <w:r>
        <w:tab/>
        <w:t>инструкция государственного секретаря безопасности от 12 мая 1997 года, которая подробно регламентирует процедуру составления официальных документов;</w:t>
      </w:r>
    </w:p>
    <w:p w:rsidR="00000000" w:rsidRDefault="00000000"/>
    <w:p w:rsidR="00000000" w:rsidRDefault="00000000">
      <w:r>
        <w:tab/>
        <w:t>b)</w:t>
      </w:r>
      <w:r>
        <w:tab/>
        <w:t>правительственный указ от 16 декабря 1997 года, содержащий протокол, которым должны руководствоваться судмедэксперты при медицинском освидетельствовании задержанных.  Этот протокол дает объективную информацию о задержанных, в частности о состоянии здоровья, о возможных утверждениях о жестоком обращении и содержит также конкретные данные в этой связи.  Заполненный протокол направляется судье, который может потребовать внести в него экспертные оценки и новые доказательства;</w:t>
      </w:r>
    </w:p>
    <w:p w:rsidR="00000000" w:rsidRDefault="00000000"/>
    <w:p w:rsidR="00000000" w:rsidRDefault="00000000">
      <w:r>
        <w:tab/>
        <w:t>с)</w:t>
      </w:r>
      <w:r>
        <w:tab/>
        <w:t>руководящие принципы деятельности судебной полиции, которые были разработаны Национальной комиссией по координации деятельности судебной полиции при участии профессиональных судей, мировых судей, сотрудников государственной прокуратуры и сил и органов государственной безопасности.  В этом документе содержатся основные принципы деятельности должностных лиц, прежде всего в таких случаях, которые связаны с конкретными ограничениями прав и свобод, каким является задержание;</w:t>
      </w:r>
    </w:p>
    <w:p w:rsidR="00000000" w:rsidRDefault="00000000"/>
    <w:p w:rsidR="00000000" w:rsidRDefault="00000000">
      <w:r>
        <w:tab/>
        <w:t>d)</w:t>
      </w:r>
      <w:r>
        <w:tab/>
        <w:t>инструкция государственного секретаря безопасности от 20 декабря 1996 года, которая регламентирует практику полного раздевания задержанных с целью проверки наличия в одежде или на теле какого-либо опасного предмета или изобличающих доказательств.  В этой инструкции содержатся также условия и гарантии, необходимые для проведения такого досмотра.</w:t>
      </w:r>
    </w:p>
    <w:p w:rsidR="00000000" w:rsidRDefault="00000000"/>
    <w:p w:rsidR="00000000" w:rsidRDefault="00000000">
      <w:r>
        <w:t>46.</w:t>
      </w:r>
      <w:r>
        <w:tab/>
        <w:t>Наконец, следует отметить, что все перечисленные выше гарантии дополняет, применительно к пункту 3 статьи 6 Конвенции и в связи с подозрением применения в отношении задержанных пыток, гарантия незамедлительно сообщать о таких фактах дипломатическому представителю государства, гражданами которого являются задержанные.</w:t>
      </w:r>
    </w:p>
    <w:p w:rsidR="00000000" w:rsidRDefault="00000000"/>
    <w:p w:rsidR="00000000" w:rsidRDefault="00000000">
      <w:pPr>
        <w:pStyle w:val="Heading2"/>
      </w:pPr>
      <w:r>
        <w:t>Статья 7</w:t>
      </w:r>
    </w:p>
    <w:p w:rsidR="00000000" w:rsidRDefault="00000000">
      <w:pPr>
        <w:pStyle w:val="Heading2"/>
      </w:pPr>
    </w:p>
    <w:p w:rsidR="00000000" w:rsidRDefault="00000000">
      <w:r>
        <w:t>47.</w:t>
      </w:r>
      <w:r>
        <w:tab/>
        <w:t>В связи с применением статьи 7 и в случае, если Испания не выдает лицо, подозреваемое в совершении правонарушения, связанного с пытками, Испания возбуждает в отношении этого лица уголовное преследование в соответствии с установленными законом нормами и гарантиями, изложенными в комментарии к предыдущей статье.</w:t>
      </w:r>
    </w:p>
    <w:p w:rsidR="00000000" w:rsidRDefault="00000000"/>
    <w:p w:rsidR="00000000" w:rsidRDefault="00000000">
      <w:pPr>
        <w:pStyle w:val="Heading2"/>
      </w:pPr>
      <w:r>
        <w:t>Статья 8</w:t>
      </w:r>
    </w:p>
    <w:p w:rsidR="00000000" w:rsidRDefault="00000000">
      <w:pPr>
        <w:pStyle w:val="Heading2"/>
      </w:pPr>
    </w:p>
    <w:p w:rsidR="00000000" w:rsidRDefault="00000000">
      <w:r>
        <w:t>48.</w:t>
      </w:r>
      <w:r>
        <w:tab/>
        <w:t>Существенных изменений в отношении этой статьи не произошло.  В связи с прямым ее применением Испания считает правонарушения, связанные с пытками, подлежащими включению в качестве преступлений, влекущих выдачу виновных, в любой договор о выдаче, заключенный между государствами-участниками.  В то же время Испания считает таким договором саму Конвенцию в тех случаях, когда такие договоры не заключены, признавая в любом случае пытку в качестве правонарушения, влекущего выдачу виновного.</w:t>
      </w:r>
    </w:p>
    <w:p w:rsidR="00000000" w:rsidRDefault="00000000"/>
    <w:p w:rsidR="00000000" w:rsidRDefault="00000000">
      <w:r>
        <w:t>49.</w:t>
      </w:r>
      <w:r>
        <w:tab/>
        <w:t>В период, охватываемый настоящим докладом, действовал начиная с 1985 года закон о пассивной выдаче (закон № 4/1985 от 21 марта), который регламентирует вопросы в этой области и конкретизирует те аспекты, которые не нашли своего отражения в Конвенции (например в том, что касается приоритетов в случае, если две страны или более просят о выдаче одного и того же лица, обвиняемого в применении пыток).</w:t>
      </w:r>
    </w:p>
    <w:p w:rsidR="00000000" w:rsidRDefault="00000000"/>
    <w:p w:rsidR="00000000" w:rsidRDefault="00000000">
      <w:pPr>
        <w:pStyle w:val="Heading2"/>
      </w:pPr>
      <w:r>
        <w:t>Статья 9</w:t>
      </w:r>
    </w:p>
    <w:p w:rsidR="00000000" w:rsidRDefault="00000000">
      <w:pPr>
        <w:pStyle w:val="Heading2"/>
      </w:pPr>
    </w:p>
    <w:p w:rsidR="00000000" w:rsidRDefault="00000000">
      <w:r>
        <w:t>50.</w:t>
      </w:r>
      <w:r>
        <w:tab/>
        <w:t>Предусмотренная в этой статье международная правовая помощь осуществляется в Испании в рамках закона об уголовном судопроизводстве, в статьях 193 и 194 которого указывается, что механизмом для осуществления такого сотрудничества согласно соответствующим договорам являются дипломатические каналы.  В отсутствие же таковых сотрудничество осуществляется в соответствии с общими указаниями правительства или на основе принципа взаимности.</w:t>
      </w:r>
    </w:p>
    <w:p w:rsidR="00000000" w:rsidRDefault="00000000"/>
    <w:p w:rsidR="00000000" w:rsidRDefault="00000000">
      <w:r>
        <w:t>51.</w:t>
      </w:r>
      <w:r>
        <w:tab/>
        <w:t>Органический закон о деятельности органов судебной власти предусматривает в статье 276, что "рассмотрение предложений о налаживании международного сотрудничества находится в ведении председателя Верховного суда, Высокого суда и канцелярии министерства юстиции, которые препровождают их компетентным органам запрашивающего государства […]".</w:t>
      </w:r>
    </w:p>
    <w:p w:rsidR="00000000" w:rsidRDefault="00000000"/>
    <w:p w:rsidR="00000000" w:rsidRDefault="00000000">
      <w:r>
        <w:t>52.</w:t>
      </w:r>
      <w:r>
        <w:tab/>
        <w:t>Оба упомянутых закона продолжали действовать в отчетный период без каких-либо изменений в этой области.  Однако следует отметить, что правительство Испании, как правило, оказывает максимальную правовую помощь и в полном объеме сотрудничает в расследовании случаев совершения правонарушений, связанных с пытками, в соответствии с описанными выше процедурами, добиваясь при этом максимальной оперативности и эффективности.</w:t>
      </w:r>
    </w:p>
    <w:p w:rsidR="00000000" w:rsidRDefault="00000000"/>
    <w:p w:rsidR="00000000" w:rsidRDefault="00000000">
      <w:pPr>
        <w:pStyle w:val="Heading2"/>
      </w:pPr>
      <w:r>
        <w:t>Статья 10</w:t>
      </w:r>
    </w:p>
    <w:p w:rsidR="00000000" w:rsidRDefault="00000000">
      <w:pPr>
        <w:pStyle w:val="Heading2"/>
      </w:pPr>
    </w:p>
    <w:p w:rsidR="00000000" w:rsidRDefault="00000000">
      <w:r>
        <w:t>53.</w:t>
      </w:r>
      <w:r>
        <w:tab/>
        <w:t>Согласно обязательству, содержащемуся в этой статье, государства-участники обязаны обеспечивать включение в программы подготовки и повышения квалификации персонала вопросы, связанные с запрещением пыток.  Испания выполняет это обязательство путем включения соответствующих материалов в различные планы подготовки и повышения квалификации должностных лиц, которые имеют отношение к выполнению функций задержания, содержания под стражей, допроса задержанных лиц или обращения с ними.</w:t>
      </w:r>
    </w:p>
    <w:p w:rsidR="00000000" w:rsidRDefault="00000000"/>
    <w:p w:rsidR="00000000" w:rsidRDefault="00000000">
      <w:r>
        <w:t>54.</w:t>
      </w:r>
      <w:r>
        <w:tab/>
        <w:t>В этой связи различные уже упомянутые нормы, касающиеся сил и органов безопасности, содержат прямое запрещение пыток, и эти положения изучаются по планам профессиональной подготовки повышения квалификации должностных лиц.</w:t>
      </w:r>
    </w:p>
    <w:p w:rsidR="00000000" w:rsidRDefault="00000000"/>
    <w:p w:rsidR="00000000" w:rsidRDefault="00000000">
      <w:r>
        <w:t>55.</w:t>
      </w:r>
      <w:r>
        <w:tab/>
        <w:t>Непрерывный процесс профессиональной подготовки сотрудников сил и органов безопасности регулируется подпунктами а), b) и с) пункта 2 статьи 6 Органического закона № 2/1986 от 13 марта, о деятельности сил и органов безопасности, который предусматривает, что "профессиональная подготовка сотрудников сил и органов безопасности осуществляется в соответствии с основными принципами выполнения должностных обязанностей и носит профессиональный и постоянный характер".</w:t>
      </w:r>
    </w:p>
    <w:p w:rsidR="00000000" w:rsidRDefault="00000000"/>
    <w:p w:rsidR="00000000" w:rsidRDefault="00000000">
      <w:r>
        <w:t>56.</w:t>
      </w:r>
      <w:r>
        <w:tab/>
        <w:t>Непрерывный процесс профессиональной подготовки сотрудников сил и органов безопасности имеет своей конечной целью подготовку должностных лиц полиции для выполнения ими задач, возложенных на них Конституцией Испании (статьи 104 и 126) и Органическим законом № 2/1986 (статьи 11 и 12), а также их обучение по вопросам и методам, по которым они должны обладать специальными знаниями и навыками.</w:t>
      </w:r>
    </w:p>
    <w:p w:rsidR="00000000" w:rsidRDefault="00000000"/>
    <w:p w:rsidR="00000000" w:rsidRDefault="00000000">
      <w:r>
        <w:t>57.</w:t>
      </w:r>
      <w:r>
        <w:tab/>
        <w:t>В учебные программы центров профессиональной подготовки различных уровней и специальностей среди прочих дисциплин и областей включено изучение основных международных норм профессиональной этики, в том числе:</w:t>
      </w:r>
    </w:p>
    <w:p w:rsidR="00000000" w:rsidRDefault="00000000"/>
    <w:p w:rsidR="00000000" w:rsidRDefault="00000000">
      <w:r>
        <w:tab/>
        <w:t>а)</w:t>
      </w:r>
      <w:r>
        <w:tab/>
        <w:t>декларации о деятельности полиции (резолюция 690 Совета Европы от 8 мая 1979 года);</w:t>
      </w:r>
    </w:p>
    <w:p w:rsidR="00000000" w:rsidRDefault="00000000"/>
    <w:p w:rsidR="00000000" w:rsidRDefault="00000000">
      <w:r>
        <w:tab/>
      </w:r>
      <w:proofErr w:type="spellStart"/>
      <w:r>
        <w:t>b</w:t>
      </w:r>
      <w:proofErr w:type="spellEnd"/>
      <w:r>
        <w:t>)</w:t>
      </w:r>
      <w:r>
        <w:tab/>
        <w:t>кодекс поведения должностных лиц по поддержанию правопорядка Организации Объединенных Наций (резолюция 34/169 Генеральной Ассамблеи от 17 декабря 1979 года);</w:t>
      </w:r>
    </w:p>
    <w:p w:rsidR="00000000" w:rsidRDefault="00000000"/>
    <w:p w:rsidR="00000000" w:rsidRDefault="00000000">
      <w:r>
        <w:tab/>
        <w:t>с)</w:t>
      </w:r>
      <w:r>
        <w:tab/>
        <w:t>основные принципы применения силы и огнестрельного оружия должностными лицами по поддержанию правопорядка Организации Объединенных Наций (восьмой конгресс, Гавана, 27 августа - 7 сентября 1990 года);</w:t>
      </w:r>
    </w:p>
    <w:p w:rsidR="00000000" w:rsidRDefault="00000000"/>
    <w:p w:rsidR="00000000" w:rsidRDefault="00000000">
      <w:r>
        <w:tab/>
      </w:r>
      <w:proofErr w:type="spellStart"/>
      <w:r>
        <w:t>d</w:t>
      </w:r>
      <w:proofErr w:type="spellEnd"/>
      <w:r>
        <w:t xml:space="preserve">) </w:t>
      </w:r>
      <w:r>
        <w:tab/>
        <w:t>свод принципов защиты всех лиц, подвергаемых задержанию или заключению в какой бы то ни было форме (резолюция 43/173 Генеральной Ассамблеи от 9 декабря 1988 года);</w:t>
      </w:r>
    </w:p>
    <w:p w:rsidR="00000000" w:rsidRDefault="00000000"/>
    <w:p w:rsidR="00000000" w:rsidRDefault="00000000">
      <w:r>
        <w:tab/>
      </w:r>
      <w:proofErr w:type="spellStart"/>
      <w:r>
        <w:t>е</w:t>
      </w:r>
      <w:proofErr w:type="spellEnd"/>
      <w:r>
        <w:t>)</w:t>
      </w:r>
      <w:r>
        <w:tab/>
        <w:t>свод минимальных принципов обращения с заключенными (резолюция 73/5 Совета Европы от 19 января);</w:t>
      </w:r>
    </w:p>
    <w:p w:rsidR="00000000" w:rsidRDefault="00000000"/>
    <w:p w:rsidR="00000000" w:rsidRDefault="00000000">
      <w:r>
        <w:t>58.</w:t>
      </w:r>
      <w:r>
        <w:tab/>
        <w:t>В числе других мероприятий следует назвать распространение информации в области прав человека среди различных подразделений национальной полиции, в частности распространение 50 000 брошюр, содержащих описание основных принципов профессиональной этики и прав задержанных, а также 45 000 пропагандистских плакатов, посвященных Европейской конвенции о правах человека.</w:t>
      </w:r>
    </w:p>
    <w:p w:rsidR="00000000" w:rsidRDefault="00000000"/>
    <w:p w:rsidR="00000000" w:rsidRDefault="00000000">
      <w:r>
        <w:t>59.</w:t>
      </w:r>
      <w:r>
        <w:tab/>
        <w:t>Наконец, следует отметить, что в период с 13 по 19 ноября нынешнего года Главным управлением полиции проводилась Неделя полиции и прав человека в рамках программы "Полиция и права человека, 1997-2000 годы" Совета Европы и в связи с 50-летием вступления в силу Европейской конвенции о защите прав человека и основных свобод, в которой подробно изложена роль общества и полиции в области защиты прав человека и предотвращения пыток и бесчеловечного и унижающего достоинство обращения.</w:t>
      </w:r>
    </w:p>
    <w:p w:rsidR="00000000" w:rsidRDefault="00000000"/>
    <w:p w:rsidR="00000000" w:rsidRDefault="00000000">
      <w:r>
        <w:t>60.</w:t>
      </w:r>
      <w:r>
        <w:tab/>
        <w:t>В дополнение к комментариям к рассматриваемой статье, настоящий доклад сопровождается приложениями, содержащими программы и мероприятия по подготовке кадров, осуществляемых центрами профессиональной подготовки, повышения квалификации и специализации отдела профессиональной подготовки и повышения квалификации кадров Главного управления полиции.</w:t>
      </w:r>
    </w:p>
    <w:p w:rsidR="00000000" w:rsidRDefault="00000000"/>
    <w:p w:rsidR="00000000" w:rsidRDefault="00000000">
      <w:pPr>
        <w:pStyle w:val="Heading2"/>
      </w:pPr>
      <w:r>
        <w:t>Статья 11</w:t>
      </w:r>
    </w:p>
    <w:p w:rsidR="00000000" w:rsidRDefault="00000000">
      <w:pPr>
        <w:pStyle w:val="Heading2"/>
      </w:pPr>
    </w:p>
    <w:p w:rsidR="00000000" w:rsidRDefault="00000000">
      <w:r>
        <w:t>61.</w:t>
      </w:r>
      <w:r>
        <w:tab/>
        <w:t>В комментарии к статье 6 (пункты 29-47 выше) приводится информация об изменениях, внесенных в нормы, инструкции и руководства, регламентирующие обращение с лицами, подвергаемыми аресту, задержанию или тюремного заключению.  Эти изменения были сформулированы в рамках поступательного процесса рассмотрения и изучения обязательства, предусмотренного этой статьей</w:t>
      </w:r>
    </w:p>
    <w:p w:rsidR="00000000" w:rsidRDefault="00000000"/>
    <w:p w:rsidR="00000000" w:rsidRDefault="00000000">
      <w:r>
        <w:t>62.</w:t>
      </w:r>
      <w:r>
        <w:tab/>
        <w:t>Среди упомянутых новых норм и инструкций были названы следующие (см. комментарии к статье 6):</w:t>
      </w:r>
    </w:p>
    <w:p w:rsidR="00000000" w:rsidRDefault="00000000"/>
    <w:p w:rsidR="00000000" w:rsidRDefault="00000000">
      <w:r>
        <w:tab/>
        <w:t>а)</w:t>
      </w:r>
      <w:r>
        <w:tab/>
        <w:t>инструкция секретаря государственной безопасности от 12 мая 1997 года, которая регламентирует процедуры составления официальных документов;</w:t>
      </w:r>
    </w:p>
    <w:p w:rsidR="00000000" w:rsidRDefault="00000000"/>
    <w:p w:rsidR="00000000" w:rsidRDefault="00000000">
      <w:r>
        <w:tab/>
      </w:r>
      <w:proofErr w:type="spellStart"/>
      <w:r>
        <w:t>b</w:t>
      </w:r>
      <w:proofErr w:type="spellEnd"/>
      <w:r>
        <w:t xml:space="preserve">) </w:t>
      </w:r>
      <w:r>
        <w:tab/>
        <w:t xml:space="preserve">правительственный указ от 16 декабря 1997 года, содержащий протокол, которым должны руководствоваться </w:t>
      </w:r>
      <w:proofErr w:type="spellStart"/>
      <w:r>
        <w:t>судмедэксперты</w:t>
      </w:r>
      <w:proofErr w:type="spellEnd"/>
      <w:r>
        <w:t xml:space="preserve"> при медицинском освидетельствовании задержанных;</w:t>
      </w:r>
    </w:p>
    <w:p w:rsidR="00000000" w:rsidRDefault="00000000"/>
    <w:p w:rsidR="00000000" w:rsidRDefault="00000000">
      <w:r>
        <w:tab/>
        <w:t>с)</w:t>
      </w:r>
      <w:r>
        <w:tab/>
        <w:t>руководящие принципы выполнения должностных обязанностей сотрудниками судебной полиции;</w:t>
      </w:r>
    </w:p>
    <w:p w:rsidR="00000000" w:rsidRDefault="00000000"/>
    <w:p w:rsidR="00000000" w:rsidRDefault="00000000">
      <w:r>
        <w:tab/>
      </w:r>
      <w:proofErr w:type="spellStart"/>
      <w:r>
        <w:t>d</w:t>
      </w:r>
      <w:proofErr w:type="spellEnd"/>
      <w:r>
        <w:t xml:space="preserve">) </w:t>
      </w:r>
      <w:r>
        <w:tab/>
        <w:t>инструкция государственного секретаря безопасности от 20 декабря 1996 года, которая регламентирует практику личного обыска.</w:t>
      </w:r>
    </w:p>
    <w:p w:rsidR="00000000" w:rsidRDefault="00000000"/>
    <w:p w:rsidR="00000000" w:rsidRDefault="00000000">
      <w:pPr>
        <w:pStyle w:val="Heading2"/>
      </w:pPr>
      <w:r>
        <w:t>Статья 12</w:t>
      </w:r>
    </w:p>
    <w:p w:rsidR="00000000" w:rsidRDefault="00000000">
      <w:pPr>
        <w:pStyle w:val="Heading2"/>
      </w:pPr>
    </w:p>
    <w:p w:rsidR="00000000" w:rsidRDefault="00000000">
      <w:r>
        <w:t>63.</w:t>
      </w:r>
      <w:r>
        <w:tab/>
        <w:t xml:space="preserve">Законодательство Испании, согласно комментариям к предыдущим статьям, квалифицирует правонарушения, связанные с применением пыток, как имеющие публичный характер и подлежащие оперативному и беспристрастному судебному преследованию.  </w:t>
      </w:r>
    </w:p>
    <w:p w:rsidR="00000000" w:rsidRDefault="00000000"/>
    <w:p w:rsidR="00000000" w:rsidRDefault="00000000">
      <w:r>
        <w:t>64.</w:t>
      </w:r>
      <w:r>
        <w:tab/>
        <w:t>В тех случаях, когда тот или иной сотрудник полиции неоднократно и существенно превышает свои полномочия и когда факты случившегося становятся достоянием средств массовой информации, прежде всего в силу неординарности таких действий, такие действия должны наказываться не только органами охраны правопорядка, но и руководителями таких сотрудников, которые обязаны принять все возможные меры для привлечения виновных к дисциплинарной ответственности.</w:t>
      </w:r>
    </w:p>
    <w:p w:rsidR="00000000" w:rsidRDefault="00000000"/>
    <w:p w:rsidR="00000000" w:rsidRDefault="00000000">
      <w:r>
        <w:t>65.</w:t>
      </w:r>
      <w:r>
        <w:tab/>
        <w:t xml:space="preserve">Сотрудничество компетентных органов Испании в области расследования таких дел  неоднократно находило свое отражение в ежегодных докладах народного защитника при Генеральном </w:t>
      </w:r>
      <w:proofErr w:type="spellStart"/>
      <w:r>
        <w:t>кортесе</w:t>
      </w:r>
      <w:proofErr w:type="spellEnd"/>
      <w:r>
        <w:t xml:space="preserve">.  Так, в докладе народного защитника за 1997 год говорится (стр. 217 испанского текста) в отношении деятельности сил и органов безопасности и случаев жестокого обращения, что "в расследованиях дел, возбуждаемых с целью привлечения к ответственности виновных лиц, важное значение имеет сотрудничество администрации".   </w:t>
      </w:r>
    </w:p>
    <w:p w:rsidR="00000000" w:rsidRDefault="00000000"/>
    <w:p w:rsidR="00000000" w:rsidRDefault="00000000">
      <w:r>
        <w:t>66.</w:t>
      </w:r>
      <w:r>
        <w:tab/>
        <w:t>Кроме того, в последнем отчете народного защитника за 1999 год в разделе, посвященном общественной безопасности, в частности деятельности сил и органов безопасности, отмечается налаженное между ними сотрудничество и говорится, что "следует констатировать тот факт, что как национальная полиция, так и гражданская гвардия занимаются расследованием ряда дел, информация о которых в интересах продолжения следствия не разглашается до выяснения всех обстоятельств и возможной передачи этих дел в суд".</w:t>
      </w:r>
    </w:p>
    <w:p w:rsidR="00000000" w:rsidRDefault="00000000"/>
    <w:p w:rsidR="00000000" w:rsidRDefault="00000000">
      <w:pPr>
        <w:rPr>
          <w:u w:val="single"/>
        </w:rPr>
      </w:pPr>
      <w:r>
        <w:rPr>
          <w:u w:val="single"/>
        </w:rPr>
        <w:t>Статья 13</w:t>
      </w:r>
    </w:p>
    <w:p w:rsidR="00000000" w:rsidRDefault="00000000">
      <w:pPr>
        <w:rPr>
          <w:u w:val="single"/>
        </w:rPr>
      </w:pPr>
    </w:p>
    <w:p w:rsidR="00000000" w:rsidRDefault="00000000">
      <w:r>
        <w:t>67.</w:t>
      </w:r>
      <w:r>
        <w:tab/>
        <w:t>Законодательство Испании признает право жертв подавать жалобы, в связи с которыми могут быть предприняты судебно-процессуальные действия.</w:t>
      </w:r>
    </w:p>
    <w:p w:rsidR="00000000" w:rsidRDefault="00000000"/>
    <w:p w:rsidR="00000000" w:rsidRDefault="00000000">
      <w:r>
        <w:t>68.</w:t>
      </w:r>
      <w:r>
        <w:tab/>
        <w:t>Как говорилось в комментариях к предыдущим статьям, такие жалобы расследуются в оперативном порядке и тщательным образом в соответствии с концепцией уважения прав человека, представляющей собой одну из первоочередных задач испанских властей, реализация которой имеет своей целью в максимальной степени предотвратить риск жестокого обращения.</w:t>
      </w:r>
    </w:p>
    <w:p w:rsidR="00000000" w:rsidRDefault="00000000"/>
    <w:p w:rsidR="00000000" w:rsidRDefault="00000000">
      <w:r>
        <w:t>69.</w:t>
      </w:r>
      <w:r>
        <w:tab/>
        <w:t xml:space="preserve">В целом в период, охватываемый в настоящем докладе, никаких изменений в законодательстве не произошло.  </w:t>
      </w:r>
    </w:p>
    <w:p w:rsidR="00000000" w:rsidRDefault="00000000"/>
    <w:p w:rsidR="00000000" w:rsidRDefault="00000000">
      <w:pPr>
        <w:rPr>
          <w:u w:val="single"/>
        </w:rPr>
      </w:pPr>
      <w:r>
        <w:rPr>
          <w:u w:val="single"/>
        </w:rPr>
        <w:t>Статья 14</w:t>
      </w:r>
    </w:p>
    <w:p w:rsidR="00000000" w:rsidRDefault="00000000">
      <w:pPr>
        <w:rPr>
          <w:u w:val="single"/>
        </w:rPr>
      </w:pPr>
    </w:p>
    <w:p w:rsidR="00000000" w:rsidRDefault="00000000">
      <w:r>
        <w:t>70.</w:t>
      </w:r>
      <w:r>
        <w:tab/>
        <w:t>Правительство Испании признает в целом право жертв преступлений, связанных с насильственными действиями, на оказание содействия и помощи, необходимых для предоставления возмещения и справедливой и адекватной компенсации за причиненный физический или моральный ущерб.</w:t>
      </w:r>
    </w:p>
    <w:p w:rsidR="00000000" w:rsidRDefault="00000000"/>
    <w:p w:rsidR="00000000" w:rsidRDefault="00000000">
      <w:r>
        <w:t>71.</w:t>
      </w:r>
      <w:r>
        <w:tab/>
        <w:t xml:space="preserve">Такой позитивный подход государства, который основан на принципе солидарности и отвечает положениям статьи 14 Конвенции, призван смягчать последствия преступлений для их жертв или их иждивенцев и был включен в различные нормы, регламентирующие, с одной стороны, материальную помощь жертвам правонарушений, а с другой - помощь в связи с любыми категориями правонарушений.  </w:t>
      </w:r>
    </w:p>
    <w:p w:rsidR="00000000" w:rsidRDefault="00000000"/>
    <w:p w:rsidR="00000000" w:rsidRDefault="00000000">
      <w:r>
        <w:t>72.</w:t>
      </w:r>
      <w:r>
        <w:tab/>
        <w:t>Ниже приводятся некоторые законы по этому вопросу, которые прямо не касаются правонарушений, связанных с применением пыток:</w:t>
      </w:r>
    </w:p>
    <w:p w:rsidR="00000000" w:rsidRDefault="00000000"/>
    <w:p w:rsidR="00000000" w:rsidRDefault="00000000">
      <w:r>
        <w:tab/>
        <w:t>а)</w:t>
      </w:r>
      <w:r>
        <w:tab/>
        <w:t>закон № 35/1995 от 11 декабря о содействии помощи жертвам правонарушений с применением насилия и правонарушений против сексуальной свободы;</w:t>
      </w:r>
    </w:p>
    <w:p w:rsidR="00000000" w:rsidRDefault="00000000"/>
    <w:p w:rsidR="00000000" w:rsidRDefault="00000000">
      <w:r>
        <w:tab/>
      </w:r>
      <w:proofErr w:type="spellStart"/>
      <w:r>
        <w:t>b</w:t>
      </w:r>
      <w:proofErr w:type="spellEnd"/>
      <w:r>
        <w:t>)</w:t>
      </w:r>
      <w:r>
        <w:tab/>
        <w:t>закон № 32/1999 от 8 октября о солидарности с жертвами терроризма.</w:t>
      </w:r>
    </w:p>
    <w:p w:rsidR="00000000" w:rsidRDefault="00000000"/>
    <w:p w:rsidR="00000000" w:rsidRDefault="00000000">
      <w:pPr>
        <w:rPr>
          <w:u w:val="single"/>
        </w:rPr>
      </w:pPr>
      <w:r>
        <w:rPr>
          <w:u w:val="single"/>
        </w:rPr>
        <w:t>Статья 15</w:t>
      </w:r>
    </w:p>
    <w:p w:rsidR="00000000" w:rsidRDefault="00000000">
      <w:pPr>
        <w:rPr>
          <w:u w:val="single"/>
        </w:rPr>
      </w:pPr>
    </w:p>
    <w:p w:rsidR="00000000" w:rsidRDefault="00000000">
      <w:r>
        <w:t>73.</w:t>
      </w:r>
      <w:r>
        <w:tab/>
        <w:t>Суды и трибуналы Испании соответственно обеспечивают и определяют последствия "совокупных доказательств" в ходе судебных процессов в соответствии с положениями пункта 3 статьи 117 Конституции страны и со статьей 741 закона об уголовном судопроизводстве.</w:t>
      </w:r>
    </w:p>
    <w:p w:rsidR="00000000" w:rsidRDefault="00000000"/>
    <w:p w:rsidR="00000000" w:rsidRDefault="00000000">
      <w:r>
        <w:t>74.</w:t>
      </w:r>
      <w:r>
        <w:tab/>
        <w:t>Применение указанного принципа предполагает, что заявления, сделанные под угрозами и принуждением, не могут инкриминироваться в качестве доказательства вины, если будет фактически установлено, что эти заявления были получены под давлением.</w:t>
      </w:r>
    </w:p>
    <w:p w:rsidR="00000000" w:rsidRDefault="00000000"/>
    <w:p w:rsidR="00000000" w:rsidRDefault="00000000">
      <w:r>
        <w:t>75.</w:t>
      </w:r>
      <w:r>
        <w:tab/>
        <w:t>В этой связи следует привести решение палаты по уголовным делам Верховного суда от 17 апреля 1996 года, которое гласит (даже если судебное решение было вынесено не в пользу потерпевшего), что заявления, сделанные под угрозами и давлением и воздействием на волю обвиняемого в ходе судебного разбирательства, не являются доказательствами и не имеют юридической силы, поскольку содержат признаки преступления в форме пыток;  в случаях таких противоправных действий, которые ущемляют и посягают на достоинство человека, для демократии и в целях обеспечения действенности правосудия и эффективного соблюдения конституции важно возбуждать судебное преследование.</w:t>
      </w:r>
    </w:p>
    <w:p w:rsidR="00000000" w:rsidRDefault="00000000"/>
    <w:p w:rsidR="00000000" w:rsidRDefault="00000000">
      <w:pPr>
        <w:rPr>
          <w:u w:val="single"/>
        </w:rPr>
      </w:pPr>
      <w:r>
        <w:rPr>
          <w:u w:val="single"/>
        </w:rPr>
        <w:t>Статья 16</w:t>
      </w:r>
    </w:p>
    <w:p w:rsidR="00000000" w:rsidRDefault="00000000">
      <w:pPr>
        <w:rPr>
          <w:u w:val="single"/>
        </w:rPr>
      </w:pPr>
    </w:p>
    <w:p w:rsidR="00000000" w:rsidRDefault="00000000">
      <w:r>
        <w:t>76.</w:t>
      </w:r>
      <w:r>
        <w:tab/>
        <w:t>Законодательство Испании в соответствии с положениями рассматриваемой статьи признает также в качестве преступления все действия, которые независимо от формы пыток могут квалифицироваться как бесчеловечные и унижающие достоинство.</w:t>
      </w:r>
    </w:p>
    <w:p w:rsidR="00000000" w:rsidRDefault="00000000"/>
    <w:p w:rsidR="00000000" w:rsidRDefault="00000000">
      <w:r>
        <w:t>77.</w:t>
      </w:r>
      <w:r>
        <w:tab/>
        <w:t>Это положение распространяется в результате изменений, внесенных в Уголовный кодекс 1995 года, как на пытки, влекущие за собой физические или психические страдания, так и на другие виды бесчеловечного и унижающего достоинство обращение независимо от их тяжести или их исхода.</w:t>
      </w:r>
    </w:p>
    <w:p w:rsidR="00000000" w:rsidRDefault="00000000"/>
    <w:p w:rsidR="00000000" w:rsidRDefault="00000000">
      <w:pPr>
        <w:jc w:val="center"/>
        <w:rPr>
          <w:u w:val="single"/>
        </w:rPr>
      </w:pPr>
      <w:r>
        <w:br w:type="page"/>
      </w:r>
      <w:r>
        <w:rPr>
          <w:u w:val="single"/>
        </w:rPr>
        <w:t>Перечень приложений</w:t>
      </w:r>
      <w:r>
        <w:rPr>
          <w:rStyle w:val="FootnoteReference"/>
          <w:u w:val="single"/>
        </w:rPr>
        <w:footnoteReference w:id="1"/>
      </w:r>
    </w:p>
    <w:p w:rsidR="00000000" w:rsidRDefault="00000000">
      <w:pPr>
        <w:jc w:val="center"/>
        <w:rPr>
          <w:u w:val="single"/>
        </w:rPr>
      </w:pPr>
    </w:p>
    <w:p w:rsidR="00000000" w:rsidRDefault="00000000">
      <w:pPr>
        <w:tabs>
          <w:tab w:val="clear" w:pos="567"/>
          <w:tab w:val="right" w:pos="561"/>
        </w:tabs>
        <w:ind w:left="1134" w:hanging="1134"/>
      </w:pPr>
      <w:r>
        <w:tab/>
        <w:t>I.</w:t>
      </w:r>
      <w:r>
        <w:tab/>
        <w:t>Центр профессиональной подготовки Главного управления полиции.  Материалы, связанные с правами человека.</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t>II.</w:t>
      </w:r>
      <w:r>
        <w:tab/>
        <w:t xml:space="preserve">Центр повышения квалификации отдела профессиональной подготовки и повышения квалификации кадров Главного управления полиции.  </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t>III.</w:t>
      </w:r>
      <w:r>
        <w:tab/>
        <w:t xml:space="preserve">Центр повышения квалификации и специализации кадров Главного управления полиции.  </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r>
        <w:tab/>
      </w:r>
      <w:proofErr w:type="spellStart"/>
      <w:r>
        <w:t>I</w:t>
      </w:r>
      <w:proofErr w:type="spellEnd"/>
      <w:r>
        <w:rPr>
          <w:lang w:val="en-US"/>
        </w:rPr>
        <w:t>V</w:t>
      </w:r>
      <w:r>
        <w:t>.</w:t>
      </w:r>
      <w:r>
        <w:tab/>
        <w:t>Главное управление Гражданской гвардии:  материалы о деятельности в области профессиональной подготовки.</w:t>
      </w:r>
    </w:p>
    <w:p w:rsidR="00000000" w:rsidRDefault="00000000">
      <w:pPr>
        <w:tabs>
          <w:tab w:val="clear" w:pos="567"/>
          <w:tab w:val="right" w:pos="561"/>
        </w:tabs>
        <w:ind w:left="1134" w:hanging="1134"/>
      </w:pPr>
    </w:p>
    <w:p w:rsidR="00000000" w:rsidRDefault="00000000">
      <w:pPr>
        <w:tabs>
          <w:tab w:val="clear" w:pos="567"/>
          <w:tab w:val="right" w:pos="561"/>
        </w:tabs>
        <w:ind w:left="1134" w:hanging="1134"/>
      </w:pPr>
    </w:p>
    <w:p w:rsidR="00000000" w:rsidRDefault="00000000">
      <w:pPr>
        <w:pStyle w:val="16"/>
      </w:pPr>
      <w:r>
        <w:t>-----</w:t>
      </w:r>
    </w:p>
    <w:p w:rsidR="00000000" w:rsidRDefault="00000000">
      <w:pPr>
        <w:pStyle w:val="16"/>
      </w:pPr>
    </w:p>
    <w:p w:rsidR="00000000" w:rsidRDefault="00000000"/>
    <w:p w:rsidR="00000000" w:rsidRDefault="00000000"/>
    <w:p w:rsidR="00000000" w:rsidRDefault="00000000"/>
    <w:p w:rsidR="00000000" w:rsidRDefault="00000000"/>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С указанными приложениями можно ознакомиться в архивах секретариата.</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CAT/C/55/Add.5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CAT/C/55/Add.5</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i/>
      <w:iCs/>
    </w:rPr>
  </w:style>
  <w:style w:type="paragraph" w:styleId="BodyTextIndent">
    <w:name w:val="Body Text Indent"/>
    <w:basedOn w:val="Normal"/>
    <w:semiHidden/>
    <w:pPr>
      <w:spacing w:line="72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8</TotalTime>
  <Pages>1</Pages>
  <Words>6106</Words>
  <Characters>34809</Characters>
  <Application>Microsoft Office Word</Application>
  <DocSecurity>4</DocSecurity>
  <Lines>290</Lines>
  <Paragraphs>69</Paragraphs>
  <ScaleCrop>false</ScaleCrop>
  <HeadingPairs>
    <vt:vector size="2" baseType="variant">
      <vt:variant>
        <vt:lpstr>Название</vt:lpstr>
      </vt:variant>
      <vt:variant>
        <vt:i4>1</vt:i4>
      </vt:variant>
    </vt:vector>
  </HeadingPairs>
  <TitlesOfParts>
    <vt:vector size="1" baseType="lpstr">
      <vt:lpstr>41164.doc</vt:lpstr>
    </vt:vector>
  </TitlesOfParts>
  <Company> </Company>
  <LinksUpToDate>false</LinksUpToDate>
  <CharactersWithSpaces>42747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41164.doc</dc:title>
  <dc:subject/>
  <dc:creator>Смирнова</dc:creator>
  <cp:keywords/>
  <dc:description/>
  <cp:lastModifiedBy>TPS</cp:lastModifiedBy>
  <cp:revision>3</cp:revision>
  <cp:lastPrinted>2002-09-25T12:29:00Z</cp:lastPrinted>
  <dcterms:created xsi:type="dcterms:W3CDTF">2002-09-25T12:29:00Z</dcterms:created>
  <dcterms:modified xsi:type="dcterms:W3CDTF">2002-09-25T12:30:00Z</dcterms:modified>
</cp:coreProperties>
</file>