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5E4" w:rsidRDefault="004335E4" w:rsidP="004335E4">
      <w:pPr>
        <w:spacing w:line="60" w:lineRule="exact"/>
        <w:rPr>
          <w:sz w:val="6"/>
        </w:rPr>
        <w:sectPr w:rsidR="004335E4" w:rsidSect="004335E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4335E4" w:rsidRDefault="004335E4" w:rsidP="004335E4">
      <w:pPr>
        <w:spacing w:line="60" w:lineRule="exact"/>
        <w:rPr>
          <w:sz w:val="6"/>
        </w:rPr>
      </w:pPr>
    </w:p>
    <w:p w:rsidR="005A6C86" w:rsidRDefault="005A6C86" w:rsidP="005A6C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消除对妇女歧视委员会</w:t>
      </w:r>
    </w:p>
    <w:p w:rsidR="005A6C86" w:rsidRDefault="005A6C86" w:rsidP="005A6C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会前工作组</w:t>
      </w:r>
    </w:p>
    <w:p w:rsidR="005A6C86" w:rsidRDefault="005A6C86" w:rsidP="005A6C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第四十四届会议</w:t>
      </w:r>
    </w:p>
    <w:p w:rsidR="005A6C86" w:rsidRDefault="005A6C86" w:rsidP="005A6C86">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2009年7月20日至8月7日</w:t>
      </w:r>
    </w:p>
    <w:p w:rsidR="005A6C86" w:rsidRPr="005A6C86" w:rsidRDefault="005A6C86" w:rsidP="005A6C86">
      <w:pPr>
        <w:pStyle w:val="SingleTxt"/>
        <w:spacing w:after="0" w:line="120" w:lineRule="exact"/>
        <w:rPr>
          <w:rFonts w:hint="eastAsia"/>
          <w:sz w:val="10"/>
        </w:rPr>
      </w:pPr>
    </w:p>
    <w:p w:rsidR="005A6C86" w:rsidRPr="005A6C86" w:rsidRDefault="005A6C86" w:rsidP="005A6C86">
      <w:pPr>
        <w:pStyle w:val="SingleTxt"/>
        <w:spacing w:after="0" w:line="120" w:lineRule="exact"/>
        <w:rPr>
          <w:rFonts w:hint="eastAsia"/>
          <w:sz w:val="10"/>
        </w:rPr>
      </w:pPr>
    </w:p>
    <w:p w:rsidR="005A6C86" w:rsidRPr="005A6C86" w:rsidRDefault="005A6C86" w:rsidP="005A6C86">
      <w:pPr>
        <w:pStyle w:val="SingleTxt"/>
        <w:spacing w:after="0" w:line="120" w:lineRule="exact"/>
        <w:rPr>
          <w:rFonts w:hint="eastAsia"/>
          <w:sz w:val="10"/>
        </w:rPr>
      </w:pPr>
    </w:p>
    <w:p w:rsidR="005A6C86" w:rsidRDefault="005A6C86" w:rsidP="005A6C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5A6C86" w:rsidRPr="005A6C86" w:rsidRDefault="005A6C86" w:rsidP="005A6C86">
      <w:pPr>
        <w:pStyle w:val="SingleTxt"/>
        <w:spacing w:after="0" w:line="120" w:lineRule="exact"/>
        <w:rPr>
          <w:rFonts w:hint="eastAsia"/>
          <w:sz w:val="10"/>
        </w:rPr>
      </w:pPr>
    </w:p>
    <w:p w:rsidR="005A6C86" w:rsidRPr="005A6C86" w:rsidRDefault="005A6C86" w:rsidP="005A6C86">
      <w:pPr>
        <w:pStyle w:val="SingleTxt"/>
        <w:spacing w:after="0" w:line="120" w:lineRule="exact"/>
        <w:rPr>
          <w:rFonts w:hint="eastAsia"/>
          <w:sz w:val="10"/>
        </w:rPr>
      </w:pPr>
    </w:p>
    <w:p w:rsidR="005A6C86" w:rsidRDefault="005A6C86" w:rsidP="005A6C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日本</w:t>
      </w:r>
    </w:p>
    <w:p w:rsidR="005A6C86" w:rsidRPr="005A6C86" w:rsidRDefault="005A6C86" w:rsidP="005A6C86">
      <w:pPr>
        <w:pStyle w:val="SingleTxt"/>
        <w:spacing w:after="0" w:line="120" w:lineRule="exact"/>
        <w:rPr>
          <w:rFonts w:hint="eastAsia"/>
          <w:sz w:val="10"/>
        </w:rPr>
      </w:pPr>
    </w:p>
    <w:p w:rsidR="005A6C86" w:rsidRPr="005A6C86" w:rsidRDefault="005A6C86" w:rsidP="005A6C86">
      <w:pPr>
        <w:pStyle w:val="SingleTxt"/>
        <w:spacing w:after="0" w:line="120" w:lineRule="exact"/>
        <w:rPr>
          <w:rFonts w:hint="eastAsia"/>
          <w:sz w:val="10"/>
        </w:rPr>
      </w:pPr>
    </w:p>
    <w:p w:rsidR="005A6C86" w:rsidRDefault="005A6C86" w:rsidP="005A6C86">
      <w:pPr>
        <w:pStyle w:val="SingleTxt"/>
        <w:rPr>
          <w:rFonts w:hint="eastAsia"/>
        </w:rPr>
      </w:pPr>
      <w:r>
        <w:tab/>
      </w:r>
      <w:r>
        <w:rPr>
          <w:rFonts w:hint="eastAsia"/>
        </w:rPr>
        <w:t>会前工作组审议了日本的第六次定期报告(CEDAW/C/JPN/6)。</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概要</w:t>
      </w:r>
    </w:p>
    <w:p w:rsidR="005A6C86" w:rsidRDefault="005A6C86" w:rsidP="005A6C86">
      <w:pPr>
        <w:pStyle w:val="SingleTxt"/>
        <w:rPr>
          <w:rFonts w:hint="eastAsia"/>
        </w:rPr>
      </w:pPr>
      <w:r>
        <w:rPr>
          <w:rFonts w:hint="eastAsia"/>
        </w:rPr>
        <w:t>1.</w:t>
      </w:r>
      <w:r>
        <w:rPr>
          <w:rFonts w:hint="eastAsia"/>
        </w:rPr>
        <w:tab/>
        <w:t>请说明第六次定期报告是否经政府通过并提交议会。</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宪法、立法和体制框架及公约现况</w:t>
      </w:r>
    </w:p>
    <w:p w:rsidR="005A6C86" w:rsidRDefault="005A6C86" w:rsidP="005A6C86">
      <w:pPr>
        <w:pStyle w:val="SingleTxt"/>
        <w:rPr>
          <w:rFonts w:hint="eastAsia"/>
        </w:rPr>
      </w:pPr>
      <w:r>
        <w:rPr>
          <w:rFonts w:hint="eastAsia"/>
        </w:rPr>
        <w:t>2.</w:t>
      </w:r>
      <w:r>
        <w:rPr>
          <w:rFonts w:hint="eastAsia"/>
        </w:rPr>
        <w:tab/>
        <w:t>报告提到监测和性别影响评估及评价专门委员会进行了一项研究，审议了促进两性平等理事会就消除对妇女歧视委员会先前的结论性意见在各省厅和机构的落实情况通过的意见(见第4段)。请就专门委员会于2005年7月提出的建议以及为落实这些建议而采取的措施提供资料。</w:t>
      </w:r>
    </w:p>
    <w:p w:rsidR="005A6C86" w:rsidRDefault="005A6C86" w:rsidP="005A6C86">
      <w:pPr>
        <w:pStyle w:val="SingleTxt"/>
        <w:rPr>
          <w:rFonts w:hint="eastAsia"/>
        </w:rPr>
      </w:pPr>
      <w:r>
        <w:rPr>
          <w:rFonts w:hint="eastAsia"/>
        </w:rPr>
        <w:t>3.</w:t>
      </w:r>
      <w:r>
        <w:rPr>
          <w:rFonts w:hint="eastAsia"/>
        </w:rPr>
        <w:tab/>
        <w:t>委员会在先前的结论性意见(见A/58/38，第四节，第357段)中对国内立法没有任何具体的歧视定义表示关切，建议在国内立法中依照《公约》第一条纳入对妇女歧视的定义，包括直接和间接歧视。请说明针对委员会的建议，政府采取了哪些措施。</w:t>
      </w:r>
    </w:p>
    <w:p w:rsidR="005A6C86" w:rsidRDefault="005A6C86" w:rsidP="005A6C86">
      <w:pPr>
        <w:pStyle w:val="SingleTxt"/>
        <w:rPr>
          <w:rFonts w:hint="eastAsia"/>
        </w:rPr>
      </w:pPr>
      <w:r>
        <w:rPr>
          <w:rFonts w:hint="eastAsia"/>
        </w:rPr>
        <w:t>4.</w:t>
      </w:r>
      <w:r>
        <w:rPr>
          <w:rFonts w:hint="eastAsia"/>
        </w:rPr>
        <w:tab/>
        <w:t>请指出国内法院有无任何案件曾经援引或参照《消除对妇女一切形式歧视公约》；如果有，结果如何？此外，请具体说明采取了哪些措施提高司法部门和整个法律界对《公约》的认识。</w:t>
      </w:r>
    </w:p>
    <w:p w:rsidR="005A6C86" w:rsidRDefault="005A6C86" w:rsidP="005A6C86">
      <w:pPr>
        <w:pStyle w:val="SingleTxt"/>
        <w:rPr>
          <w:rFonts w:hint="eastAsia"/>
        </w:rPr>
      </w:pPr>
      <w:r>
        <w:rPr>
          <w:rFonts w:hint="eastAsia"/>
        </w:rPr>
        <w:t>5.</w:t>
      </w:r>
      <w:r>
        <w:rPr>
          <w:rFonts w:hint="eastAsia"/>
        </w:rPr>
        <w:tab/>
        <w:t>请说明第二个促进两性平等基本计划(见第29段)目前的执行状况和取得的进展。答复应包括为该计划所定12个领域制订的每项政策对切实实现两性平等有何影响的有关资料。</w:t>
      </w:r>
    </w:p>
    <w:p w:rsidR="005A6C86" w:rsidRDefault="005A6C86" w:rsidP="005A6C86">
      <w:pPr>
        <w:pStyle w:val="SingleTxt"/>
        <w:rPr>
          <w:rFonts w:hint="eastAsia"/>
        </w:rPr>
      </w:pPr>
      <w:r>
        <w:rPr>
          <w:rFonts w:hint="eastAsia"/>
        </w:rPr>
        <w:t>6.</w:t>
      </w:r>
      <w:r>
        <w:rPr>
          <w:rFonts w:hint="eastAsia"/>
        </w:rPr>
        <w:tab/>
        <w:t>报告指出，政府正在审查《人权保护法案》，根据法案将设立一个人权委员会(见第44段)。鉴于普遍定期审查结束时日本在人权理事会上的承诺(见A/HRC/</w:t>
      </w:r>
      <w:r w:rsidR="00FF2B2A">
        <w:rPr>
          <w:rFonts w:hint="eastAsia"/>
        </w:rPr>
        <w:t xml:space="preserve"> </w:t>
      </w:r>
      <w:r>
        <w:rPr>
          <w:rFonts w:hint="eastAsia"/>
        </w:rPr>
        <w:t>8/44/Add.1，第1(a)段)，请说明在按照《有关促进和保护人权的国家机构的地位的原则》设立一个全国性人权机构方面取得的进展。</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暴力侵害妇女行为</w:t>
      </w:r>
    </w:p>
    <w:p w:rsidR="005A6C86" w:rsidRDefault="005A6C86" w:rsidP="005A6C86">
      <w:pPr>
        <w:pStyle w:val="SingleTxt"/>
        <w:rPr>
          <w:rFonts w:hint="eastAsia"/>
        </w:rPr>
      </w:pPr>
      <w:r>
        <w:rPr>
          <w:rFonts w:hint="eastAsia"/>
        </w:rPr>
        <w:t>7.</w:t>
      </w:r>
      <w:r>
        <w:rPr>
          <w:rFonts w:hint="eastAsia"/>
        </w:rPr>
        <w:tab/>
        <w:t>按照委员会关于暴力侵害妇女行为的第19号一般性建议，请说明为制定一项打击一切形式暴力侵害妇女行为的全面战略采取了哪些步骤，包括起诉行为人，为受害者提供保护和援助，如保护受害者的收容所和禁止令等，以及面向不同群体(如警察、律师、卫生和社会工作者及司法部门)和一般公众推行能力建设和提高认识的各种方案。</w:t>
      </w:r>
    </w:p>
    <w:p w:rsidR="005A6C86" w:rsidRDefault="005A6C86" w:rsidP="005A6C86">
      <w:pPr>
        <w:pStyle w:val="SingleTxt"/>
        <w:rPr>
          <w:rFonts w:hint="eastAsia"/>
        </w:rPr>
      </w:pPr>
      <w:r>
        <w:rPr>
          <w:rFonts w:hint="eastAsia"/>
        </w:rPr>
        <w:t>8.</w:t>
      </w:r>
      <w:r>
        <w:rPr>
          <w:rFonts w:hint="eastAsia"/>
        </w:rPr>
        <w:tab/>
        <w:t>禁止酷刑委员会在先前的结论性意见中(见CAT/C/JPN/CO/1，第25段)表示关切“没有有效的措施来预防和法办由军人对妇女和女孩犯下的暴力行为，包括驻扎在军事基地的外国军人”。请详细说明针对这一问题所采取的措施。</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贩运和利用妇女卖淫营利</w:t>
      </w:r>
    </w:p>
    <w:p w:rsidR="005A6C86" w:rsidRDefault="005A6C86" w:rsidP="005A6C86">
      <w:pPr>
        <w:pStyle w:val="SingleTxt"/>
        <w:rPr>
          <w:rFonts w:hint="eastAsia"/>
        </w:rPr>
      </w:pPr>
      <w:r>
        <w:rPr>
          <w:rFonts w:hint="eastAsia"/>
        </w:rPr>
        <w:t>9.</w:t>
      </w:r>
      <w:r>
        <w:rPr>
          <w:rFonts w:hint="eastAsia"/>
        </w:rPr>
        <w:tab/>
        <w:t>报告指出(见第172段)：2005年6月制定的《部分修正〈刑法〉的法律》把贩运人口定为犯罪，并加重对这种罪行的刑罚。报告附件21提供了2001年至2005年间对人口贩子起诉次数的统计数据。请就这些起诉案件的定罪和判刑结果以及自制定最新立法以来的统计数据和起诉情况提供进一步的详细资料。</w:t>
      </w:r>
    </w:p>
    <w:p w:rsidR="005A6C86" w:rsidRDefault="005A6C86" w:rsidP="005A6C86">
      <w:pPr>
        <w:pStyle w:val="SingleTxt"/>
        <w:rPr>
          <w:rFonts w:hint="eastAsia"/>
        </w:rPr>
      </w:pPr>
      <w:r>
        <w:rPr>
          <w:rFonts w:hint="eastAsia"/>
        </w:rPr>
        <w:t>10.</w:t>
      </w:r>
      <w:r>
        <w:rPr>
          <w:rFonts w:hint="eastAsia"/>
        </w:rPr>
        <w:tab/>
        <w:t>禁止酷刑委员会在先前的结论性意见中(见CAT/C/JPN/CO/1，第25段)对跨境贩运人口活动表示关切，政府广泛发放的娱乐签证为此提供了便利，委员会还关切为受害者提供的支助措施不足，导致贩运活动的受害者被当作非法移民处理，在没有补救或赔偿的情况下予以遣返。请描述为处理这些问题而采取的措施以及向证人和贩运活动受害者提供的任何保护措施和援助。</w:t>
      </w:r>
    </w:p>
    <w:p w:rsidR="005A6C86" w:rsidRDefault="005A6C86" w:rsidP="005A6C86">
      <w:pPr>
        <w:pStyle w:val="SingleTxt"/>
        <w:rPr>
          <w:rFonts w:hint="eastAsia"/>
        </w:rPr>
      </w:pPr>
      <w:r>
        <w:rPr>
          <w:rFonts w:hint="eastAsia"/>
        </w:rPr>
        <w:t>11.</w:t>
      </w:r>
      <w:r>
        <w:rPr>
          <w:rFonts w:hint="eastAsia"/>
        </w:rPr>
        <w:tab/>
        <w:t>请提供资料，说明采取了哪些措施来解决卖淫活动的根源，防止对妇女和女孩的性剥削，使人们认识到卖淫活动的健康和安全风险，并确保对希望离开卖淫业的妓女提供保护，使她们得到康复并重新参与社会生活。</w:t>
      </w:r>
    </w:p>
    <w:p w:rsidR="005A6C86" w:rsidRDefault="005A6C86" w:rsidP="005A6C86">
      <w:pPr>
        <w:pStyle w:val="SingleTxt"/>
        <w:rPr>
          <w:rFonts w:hint="eastAsia"/>
        </w:rPr>
      </w:pPr>
      <w:r>
        <w:rPr>
          <w:rFonts w:hint="eastAsia"/>
        </w:rPr>
        <w:t>12.</w:t>
      </w:r>
      <w:r>
        <w:rPr>
          <w:rFonts w:hint="eastAsia"/>
        </w:rPr>
        <w:tab/>
        <w:t>儿童权利委员会在先前的结论性意见中(见CRC/C/15/Add.231，第51段)表示关切“援助交际”(补偿约会)的做法以及过低的性行为最低同意年龄，这可能助长这种做法，妨碍起诉对儿童的性虐待。第六次定期报告承认(见第201段)，“以援助交际为名的性行为数量已在急剧增加”。请说明为处理这些问题已采取了哪些措施。</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参与政治和公共生活的情况以及在国际上的代表性</w:t>
      </w:r>
    </w:p>
    <w:p w:rsidR="005A6C86" w:rsidRDefault="005A6C86" w:rsidP="005A6C86">
      <w:pPr>
        <w:pStyle w:val="SingleTxt"/>
        <w:rPr>
          <w:rFonts w:hint="eastAsia"/>
        </w:rPr>
      </w:pPr>
      <w:r>
        <w:rPr>
          <w:rFonts w:hint="eastAsia"/>
        </w:rPr>
        <w:t>13.</w:t>
      </w:r>
      <w:r>
        <w:rPr>
          <w:rFonts w:hint="eastAsia"/>
        </w:rPr>
        <w:tab/>
        <w:t>报告指出，担任管理职位的女性国家公职人员的数量和比例较小，数字也呈现出下降的趋势(见第228段)。请说明缔约国打算采取哪些措施提高管理层的妇女人数，包括根据《公约》第四条第1款以及委员会第23和25号一般性建议采取的暂行特别措施。</w:t>
      </w:r>
    </w:p>
    <w:p w:rsidR="005A6C86" w:rsidRDefault="005A6C86" w:rsidP="005A6C86">
      <w:pPr>
        <w:pStyle w:val="SingleTxt"/>
        <w:rPr>
          <w:rFonts w:hint="eastAsia"/>
        </w:rPr>
      </w:pPr>
      <w:r>
        <w:rPr>
          <w:rFonts w:hint="eastAsia"/>
        </w:rPr>
        <w:t>14.</w:t>
      </w:r>
      <w:r>
        <w:rPr>
          <w:rFonts w:hint="eastAsia"/>
        </w:rPr>
        <w:tab/>
        <w:t>根据报告提供的统计数据，妇女在许多领域的决策人数仍然偏低，特别是在国会(2005年在众议院占9%，2004年在参议院占13.6%)、中央政府(2006年在所有省厅占9.1%)、司法机构(2005年占13.7%)、地方政府和地方议会中。委员会在其先前的结论性意见中(见A/58/38，第四节，第368段)，建议缔约国通过实施暂行特别措施增加妇女参与政治和公共生活的代表人数，并敦促缔约国支持培养未来女性领导人的培训方案，并就妇女参与决策以实现两性平等的重要性开展提高认识运动。缔约国正在采取哪些措施(包括采取暂行特别措施)，以增加妇女在各级各类政府部门的人数？</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定型观念和教育</w:t>
      </w:r>
    </w:p>
    <w:p w:rsidR="005A6C86" w:rsidRDefault="005A6C86" w:rsidP="005A6C86">
      <w:pPr>
        <w:pStyle w:val="SingleTxt"/>
        <w:rPr>
          <w:rFonts w:hint="eastAsia"/>
        </w:rPr>
      </w:pPr>
      <w:r>
        <w:rPr>
          <w:rFonts w:hint="eastAsia"/>
        </w:rPr>
        <w:t>15.</w:t>
      </w:r>
      <w:r>
        <w:rPr>
          <w:rFonts w:hint="eastAsia"/>
        </w:rPr>
        <w:tab/>
        <w:t>报告指出(见第15段)，高等教育机构的妇女比例正在上升，只是男女在大学一级的差距仍然存在(女生为36.6%，男生为51.3%)。请提供资料，说明为减少这一差距所采取的措施。</w:t>
      </w:r>
    </w:p>
    <w:p w:rsidR="005A6C86" w:rsidRDefault="005A6C86" w:rsidP="005A6C86">
      <w:pPr>
        <w:pStyle w:val="SingleTxt"/>
        <w:rPr>
          <w:rFonts w:hint="eastAsia"/>
        </w:rPr>
      </w:pPr>
      <w:r>
        <w:rPr>
          <w:rFonts w:hint="eastAsia"/>
        </w:rPr>
        <w:t>16.</w:t>
      </w:r>
      <w:r>
        <w:rPr>
          <w:rFonts w:hint="eastAsia"/>
        </w:rPr>
        <w:tab/>
        <w:t>报告表明，大学和专科院校女教师的人数和比例正在上升(见第17段)，但妇女只占教师总数的18.7%。请说明为增加妇女在大学和专科院校参与教师职业的人数所采取的措施。</w:t>
      </w:r>
    </w:p>
    <w:p w:rsidR="005A6C86" w:rsidRDefault="005A6C86" w:rsidP="005A6C86">
      <w:pPr>
        <w:pStyle w:val="SingleTxt"/>
        <w:rPr>
          <w:rFonts w:hint="eastAsia"/>
        </w:rPr>
      </w:pPr>
      <w:r>
        <w:rPr>
          <w:rFonts w:hint="eastAsia"/>
        </w:rPr>
        <w:t>17.</w:t>
      </w:r>
      <w:r>
        <w:rPr>
          <w:rFonts w:hint="eastAsia"/>
        </w:rPr>
        <w:tab/>
        <w:t>在委员会审议日本的第四次和第五次定期报告的建设性对话期间，委员会一位成员提出了一位政府官员发表性别歧视言论的问题(见CEDAW/C/SR.617，第59段)。请说明已采取哪些步骤，确保政府官员不发表性别歧视言论，贬低妇女，成为歧视妇女的不平等父权制的典型。</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就业和兼顾工作与家庭生活</w:t>
      </w:r>
    </w:p>
    <w:p w:rsidR="005A6C86" w:rsidRDefault="005A6C86" w:rsidP="005A6C86">
      <w:pPr>
        <w:pStyle w:val="SingleTxt"/>
        <w:rPr>
          <w:rFonts w:hint="eastAsia"/>
        </w:rPr>
      </w:pPr>
      <w:r>
        <w:rPr>
          <w:rFonts w:hint="eastAsia"/>
        </w:rPr>
        <w:t>18.</w:t>
      </w:r>
      <w:r>
        <w:rPr>
          <w:rFonts w:hint="eastAsia"/>
        </w:rPr>
        <w:tab/>
        <w:t>报告没有提到产假和陪产假的权利。请说明男女应享的育儿假权利，以及男子利用陪产假的比例，包括为鼓励男子休这种假而采取的措施。</w:t>
      </w:r>
    </w:p>
    <w:p w:rsidR="005A6C86" w:rsidRDefault="005A6C86" w:rsidP="005A6C86">
      <w:pPr>
        <w:pStyle w:val="SingleTxt"/>
        <w:rPr>
          <w:rFonts w:hint="eastAsia"/>
        </w:rPr>
      </w:pPr>
      <w:r>
        <w:rPr>
          <w:rFonts w:hint="eastAsia"/>
        </w:rPr>
        <w:t>19.</w:t>
      </w:r>
      <w:r>
        <w:rPr>
          <w:rFonts w:hint="eastAsia"/>
        </w:rPr>
        <w:tab/>
        <w:t>报告说明了为调解女职工与雇主之间的争端而设立的争端解决机制，但未提供资料说明调解失败后的相应情况(见报告第303至305段)。请说明在出现违反修订后的《平等就业机会法》的情况下员工可利用的法律途径，以及对被认定违反这项立法所规定的义务的雇主会采取什么制裁。请提供妇女提起案件的数量和此类案件结果的统计资料。</w:t>
      </w:r>
    </w:p>
    <w:p w:rsidR="005A6C86" w:rsidRDefault="005A6C86" w:rsidP="005A6C86">
      <w:pPr>
        <w:pStyle w:val="SingleTxt"/>
        <w:rPr>
          <w:rFonts w:hint="eastAsia"/>
        </w:rPr>
      </w:pPr>
      <w:r>
        <w:rPr>
          <w:rFonts w:hint="eastAsia"/>
        </w:rPr>
        <w:t>20.</w:t>
      </w:r>
      <w:r>
        <w:rPr>
          <w:rFonts w:hint="eastAsia"/>
        </w:rPr>
        <w:tab/>
        <w:t>报告指出(见第292段)，经修订的《平等就业机会法》向采取积极行动的雇主提供援助。请提供进一步的资料，说明雇主采取的积极行动、雇主根据修订后的法律受到的援助以及这种援助在何种程度上帮助了女雇员。</w:t>
      </w:r>
    </w:p>
    <w:p w:rsidR="005A6C86" w:rsidRDefault="005A6C86" w:rsidP="005A6C86">
      <w:pPr>
        <w:pStyle w:val="SingleTxt"/>
        <w:rPr>
          <w:rFonts w:hint="eastAsia"/>
        </w:rPr>
      </w:pPr>
      <w:r>
        <w:rPr>
          <w:rFonts w:hint="eastAsia"/>
        </w:rPr>
        <w:t>21.</w:t>
      </w:r>
      <w:r>
        <w:rPr>
          <w:rFonts w:hint="eastAsia"/>
        </w:rPr>
        <w:tab/>
        <w:t>根据该报告，2005年女职工的平均工资(不包括兼职工人)为男职工的65.9%。除厚生省在2003年编制的《改进消除男女工资差距的工资及就业管理措施的准则》(准则的适用是自愿的)外，请详细说明为解决男女工资差距制定和采取的任何其他措施。</w:t>
      </w:r>
    </w:p>
    <w:p w:rsidR="005A6C86" w:rsidRDefault="005A6C86" w:rsidP="005A6C86">
      <w:pPr>
        <w:pStyle w:val="SingleTxt"/>
        <w:rPr>
          <w:rFonts w:hint="eastAsia"/>
        </w:rPr>
      </w:pPr>
      <w:r>
        <w:rPr>
          <w:rFonts w:hint="eastAsia"/>
        </w:rPr>
        <w:t>22.</w:t>
      </w:r>
      <w:r>
        <w:rPr>
          <w:rFonts w:hint="eastAsia"/>
        </w:rPr>
        <w:tab/>
        <w:t>报告提到，有关《平等就业机会法》的准则得到了修订(见第290段)。请提供关于这些准则的详细资料，特别是这些准则在有关就业管理、招聘、派任(包括分配工作和授权)及晋升的章节中如何触及间接歧视。</w:t>
      </w:r>
    </w:p>
    <w:p w:rsidR="005A6C86" w:rsidRDefault="005A6C86" w:rsidP="005A6C86">
      <w:pPr>
        <w:pStyle w:val="SingleTxt"/>
        <w:rPr>
          <w:rFonts w:hint="eastAsia"/>
        </w:rPr>
      </w:pPr>
      <w:r>
        <w:rPr>
          <w:rFonts w:hint="eastAsia"/>
        </w:rPr>
        <w:t>23.</w:t>
      </w:r>
      <w:r>
        <w:rPr>
          <w:rFonts w:hint="eastAsia"/>
        </w:rPr>
        <w:tab/>
        <w:t>请就雇主根据修订后的《平等就业机会法》有义务采取的防止工作场所性骚扰的措施(见第61段)提供进一步的细节。请说明这部修订后的法律除公布违法公司名称以外是否还有强制执行的惩罚措施。请说明在何种程度上实施了修订后的《平等就业机会法》所预期的新措施。</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少数民族妇女、移徙妇女和难民妇女及其他弱势群体</w:t>
      </w:r>
    </w:p>
    <w:p w:rsidR="005A6C86" w:rsidRDefault="005A6C86" w:rsidP="005A6C86">
      <w:pPr>
        <w:pStyle w:val="SingleTxt"/>
        <w:rPr>
          <w:rFonts w:hint="eastAsia"/>
        </w:rPr>
      </w:pPr>
      <w:r>
        <w:rPr>
          <w:rFonts w:hint="eastAsia"/>
        </w:rPr>
        <w:t>24.</w:t>
      </w:r>
      <w:r>
        <w:rPr>
          <w:rFonts w:hint="eastAsia"/>
        </w:rPr>
        <w:tab/>
        <w:t xml:space="preserve">委员会在其先前的结论性意见中(见A/58/38，第四节，第366段)要求缔约国在下次报告中提供全面信息，包括按性别分列的数据，说明日本少数民族妇女在教育、就业、健康状况和受暴力侵害方面的情况。请提供这些资料。 </w:t>
      </w:r>
    </w:p>
    <w:p w:rsidR="005A6C86" w:rsidRDefault="005A6C86" w:rsidP="005A6C86">
      <w:pPr>
        <w:pStyle w:val="SingleTxt"/>
        <w:rPr>
          <w:rFonts w:hint="eastAsia"/>
        </w:rPr>
      </w:pPr>
      <w:r>
        <w:rPr>
          <w:rFonts w:hint="eastAsia"/>
        </w:rPr>
        <w:t>25.</w:t>
      </w:r>
      <w:r>
        <w:rPr>
          <w:rFonts w:hint="eastAsia"/>
        </w:rPr>
        <w:tab/>
        <w:t>报告没有提供关于移徙妇女和难民妇女情况的任何资料。请提供这些资料，尤其是移徙和难民妇女的经济和社会状况以及有何措施来支持她们并保护她们不受暴力侵害和剥削。</w:t>
      </w:r>
    </w:p>
    <w:p w:rsidR="005A6C86" w:rsidRDefault="005A6C86" w:rsidP="005A6C86">
      <w:pPr>
        <w:pStyle w:val="SingleTxt"/>
        <w:rPr>
          <w:rFonts w:hint="eastAsia"/>
        </w:rPr>
      </w:pPr>
      <w:r>
        <w:rPr>
          <w:rFonts w:hint="eastAsia"/>
        </w:rPr>
        <w:t>26.</w:t>
      </w:r>
      <w:r>
        <w:rPr>
          <w:rFonts w:hint="eastAsia"/>
        </w:rPr>
        <w:tab/>
        <w:t>报告指出妇女的寿命比男性长(见第13段)，并预测人口老龄化的比例将继续迅速升高，2025年达到28.7%，2050年达到35.7%(见第14段)。鉴于日本老年妇女所面临的健康风险和其他脆弱境况，请详述政府除改善护理制度的措施外还采取了哪些专门针对这部分人口的政策和举措(见第110至114段)。</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卫生</w:t>
      </w:r>
    </w:p>
    <w:p w:rsidR="005A6C86" w:rsidRDefault="005A6C86" w:rsidP="005A6C86">
      <w:pPr>
        <w:pStyle w:val="SingleTxt"/>
        <w:rPr>
          <w:rFonts w:hint="eastAsia"/>
        </w:rPr>
      </w:pPr>
      <w:r>
        <w:rPr>
          <w:rFonts w:hint="eastAsia"/>
        </w:rPr>
        <w:t>27.</w:t>
      </w:r>
      <w:r>
        <w:rPr>
          <w:rFonts w:hint="eastAsia"/>
        </w:rPr>
        <w:tab/>
        <w:t xml:space="preserve">报告指出，2004年青少年人口的人工流产率为每1 000名女性中有10.5人(见第355段)。正在采取哪些步骤推行包括生殖健康教育在内的全面性教育计划，使少女获得与年龄相称的生殖健康和计划生育信息以及负担得起的避孕方法？政府是否打算使堕胎合法化？ </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婚姻和家庭生活</w:t>
      </w:r>
    </w:p>
    <w:p w:rsidR="005A6C86" w:rsidRDefault="005A6C86" w:rsidP="005A6C86">
      <w:pPr>
        <w:pStyle w:val="SingleTxt"/>
        <w:rPr>
          <w:rFonts w:hint="eastAsia"/>
        </w:rPr>
      </w:pPr>
      <w:r>
        <w:rPr>
          <w:rFonts w:hint="eastAsia"/>
        </w:rPr>
        <w:t>28.</w:t>
      </w:r>
      <w:r>
        <w:rPr>
          <w:rFonts w:hint="eastAsia"/>
        </w:rPr>
        <w:tab/>
        <w:t>委员会在先前的结论性意见中(见A/58/38，第四节，第371段)表示关切《民法典》含有歧视性条款，包括那些涉及最低结婚年龄、妇女在离婚后再婚必须等待的时间以及已婚夫妇姓氏选择的条款。报告没有说明政府为废止《民法典》中歧视妇女的法律规定而采取的任何具体行动。请提供这方面的资料。</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离婚的经济后果</w:t>
      </w:r>
    </w:p>
    <w:p w:rsidR="005A6C86" w:rsidRDefault="005A6C86" w:rsidP="005A6C86">
      <w:pPr>
        <w:pStyle w:val="SingleTxt"/>
        <w:rPr>
          <w:rFonts w:hint="eastAsia"/>
        </w:rPr>
      </w:pPr>
      <w:r>
        <w:rPr>
          <w:rFonts w:hint="eastAsia"/>
        </w:rPr>
        <w:t>29.</w:t>
      </w:r>
      <w:r>
        <w:rPr>
          <w:rFonts w:hint="eastAsia"/>
        </w:rPr>
        <w:tab/>
        <w:t xml:space="preserve">请提供资料，说明解除关系时分配哪类财产，特别说明法律是否承认无形财产(如退休金、解职金、保险金)。还请说明法律是否规定未来收入能力和人力资本的分配，或在解除关系分配财产时以任何方式考虑到收入能力增强或人力资本增多的情况(例如通过一次性付款反映配偶在这类资产中的估计份额，或容许对配偶进行补偿性付款)。 </w:t>
      </w:r>
    </w:p>
    <w:p w:rsidR="005A6C86" w:rsidRPr="005A6C86" w:rsidRDefault="005A6C86" w:rsidP="005A6C86">
      <w:pPr>
        <w:pStyle w:val="SingleTxt"/>
        <w:rPr>
          <w:rFonts w:ascii="SimHei" w:eastAsia="SimHei" w:hint="eastAsia"/>
          <w:color w:val="FF0000"/>
        </w:rPr>
      </w:pPr>
      <w:r w:rsidRPr="005A6C86">
        <w:rPr>
          <w:rFonts w:ascii="SimHei" w:eastAsia="SimHei" w:hint="eastAsia"/>
          <w:color w:val="FF0000"/>
        </w:rPr>
        <w:t>任择议定书</w:t>
      </w:r>
    </w:p>
    <w:p w:rsidR="00EA31C3" w:rsidRDefault="005A6C86" w:rsidP="005A6C86">
      <w:pPr>
        <w:pStyle w:val="SingleTxt"/>
      </w:pPr>
      <w:r>
        <w:rPr>
          <w:rFonts w:hint="eastAsia"/>
        </w:rPr>
        <w:t>30.</w:t>
      </w:r>
      <w:r>
        <w:rPr>
          <w:rFonts w:hint="eastAsia"/>
        </w:rPr>
        <w:tab/>
        <w:t>考虑到委员会先前的结论性意见(见A/58/38，第四节，第375段)，请说明批准《消除对妇女一切形式歧视公约任择议定书》的进展情况。</w:t>
      </w:r>
    </w:p>
    <w:p w:rsidR="005A6C86" w:rsidRPr="005A6C86" w:rsidRDefault="005A6C86" w:rsidP="005A6C86">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5A6C86" w:rsidRPr="005A6C86" w:rsidSect="004335E4">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1:36:00Z" w:initials="Start">
    <w:p w:rsidR="00A23A89" w:rsidRDefault="00A23A8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NO&gt;&gt;N0862730C&lt;&lt;ODS JOB NO&gt;&gt;</w:t>
      </w:r>
    </w:p>
    <w:p w:rsidR="00A23A89" w:rsidRDefault="00A23A89">
      <w:pPr>
        <w:pStyle w:val="CommentText"/>
      </w:pPr>
      <w:r>
        <w:t>&lt;&lt;ODS DOC SYMBOL1&gt;&gt;CEDAW/C/JPN/Q/6&lt;&lt;ODS DOC SYMBOL1&gt;&gt;</w:t>
      </w:r>
    </w:p>
    <w:p w:rsidR="00A23A89" w:rsidRDefault="00A23A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AA7" w:rsidRDefault="00F96AA7">
      <w:r>
        <w:separator/>
      </w:r>
    </w:p>
  </w:endnote>
  <w:endnote w:type="continuationSeparator" w:id="0">
    <w:p w:rsidR="00F96AA7" w:rsidRDefault="00F96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3A89" w:rsidTr="004335E4">
      <w:tblPrEx>
        <w:tblCellMar>
          <w:top w:w="0" w:type="dxa"/>
          <w:bottom w:w="0" w:type="dxa"/>
        </w:tblCellMar>
      </w:tblPrEx>
      <w:tc>
        <w:tcPr>
          <w:tcW w:w="5033" w:type="dxa"/>
          <w:shd w:val="clear" w:color="auto" w:fill="auto"/>
        </w:tcPr>
        <w:p w:rsidR="00A23A89" w:rsidRPr="004335E4" w:rsidRDefault="00A23A89" w:rsidP="004335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08-62730 (C)</w:t>
          </w:r>
          <w:r>
            <w:rPr>
              <w:b w:val="0"/>
              <w:w w:val="103"/>
              <w:sz w:val="14"/>
            </w:rPr>
            <w:fldChar w:fldCharType="end"/>
          </w:r>
        </w:p>
      </w:tc>
      <w:tc>
        <w:tcPr>
          <w:tcW w:w="5033" w:type="dxa"/>
          <w:shd w:val="clear" w:color="auto" w:fill="auto"/>
        </w:tcPr>
        <w:p w:rsidR="00A23A89" w:rsidRPr="004335E4" w:rsidRDefault="00A23A89" w:rsidP="004335E4">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04809">
            <w:rPr>
              <w:w w:val="103"/>
              <w:sz w:val="17"/>
            </w:rPr>
            <w:t>4</w:t>
          </w:r>
          <w:r>
            <w:rPr>
              <w:w w:val="103"/>
              <w:sz w:val="17"/>
            </w:rPr>
            <w:fldChar w:fldCharType="end"/>
          </w:r>
        </w:p>
      </w:tc>
    </w:tr>
  </w:tbl>
  <w:p w:rsidR="00A23A89" w:rsidRPr="004335E4" w:rsidRDefault="00A23A89" w:rsidP="004335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3A89" w:rsidTr="004335E4">
      <w:tblPrEx>
        <w:tblCellMar>
          <w:top w:w="0" w:type="dxa"/>
          <w:bottom w:w="0" w:type="dxa"/>
        </w:tblCellMar>
      </w:tblPrEx>
      <w:tc>
        <w:tcPr>
          <w:tcW w:w="5033" w:type="dxa"/>
          <w:shd w:val="clear" w:color="auto" w:fill="auto"/>
        </w:tcPr>
        <w:p w:rsidR="00A23A89" w:rsidRPr="004335E4" w:rsidRDefault="00A23A89" w:rsidP="004335E4">
          <w:pPr>
            <w:pStyle w:val="Footer"/>
            <w:jc w:val="right"/>
          </w:pPr>
          <w:r>
            <w:fldChar w:fldCharType="begin"/>
          </w:r>
          <w:r>
            <w:instrText xml:space="preserve"> PAGE  \* MERGEFORMAT </w:instrText>
          </w:r>
          <w:r>
            <w:fldChar w:fldCharType="separate"/>
          </w:r>
          <w:r w:rsidR="00504809">
            <w:t>5</w:t>
          </w:r>
          <w:r>
            <w:fldChar w:fldCharType="end"/>
          </w:r>
        </w:p>
      </w:tc>
      <w:tc>
        <w:tcPr>
          <w:tcW w:w="5033" w:type="dxa"/>
          <w:shd w:val="clear" w:color="auto" w:fill="auto"/>
        </w:tcPr>
        <w:p w:rsidR="00A23A89" w:rsidRPr="004335E4" w:rsidRDefault="00A23A89" w:rsidP="004335E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08-62730 (C)</w:t>
          </w:r>
          <w:r>
            <w:rPr>
              <w:b w:val="0"/>
              <w:w w:val="103"/>
              <w:sz w:val="14"/>
            </w:rPr>
            <w:fldChar w:fldCharType="end"/>
          </w:r>
        </w:p>
      </w:tc>
    </w:tr>
  </w:tbl>
  <w:p w:rsidR="00A23A89" w:rsidRPr="004335E4" w:rsidRDefault="00A23A89" w:rsidP="004335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A89" w:rsidRDefault="00A23A89" w:rsidP="004335E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08-62730 (C)</w:t>
    </w:r>
    <w:r>
      <w:rPr>
        <w:b w:val="0"/>
        <w:sz w:val="21"/>
      </w:rPr>
      <w:fldChar w:fldCharType="end"/>
    </w:r>
    <w:r>
      <w:rPr>
        <w:b w:val="0"/>
        <w:sz w:val="21"/>
      </w:rPr>
      <w:t xml:space="preserve">    1</w:t>
    </w:r>
    <w:r>
      <w:rPr>
        <w:rFonts w:hint="eastAsia"/>
        <w:b w:val="0"/>
        <w:sz w:val="21"/>
      </w:rPr>
      <w:t>8</w:t>
    </w:r>
    <w:r>
      <w:rPr>
        <w:b w:val="0"/>
        <w:sz w:val="21"/>
      </w:rPr>
      <w:t xml:space="preserve">1208    </w:t>
    </w:r>
    <w:r>
      <w:rPr>
        <w:rFonts w:hint="eastAsia"/>
        <w:b w:val="0"/>
        <w:sz w:val="21"/>
      </w:rPr>
      <w:t>22</w:t>
    </w:r>
    <w:r>
      <w:rPr>
        <w:b w:val="0"/>
        <w:sz w:val="21"/>
      </w:rPr>
      <w:t>1208</w:t>
    </w:r>
  </w:p>
  <w:p w:rsidR="00A23A89" w:rsidRPr="004335E4" w:rsidRDefault="00A23A89" w:rsidP="004335E4">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*0862730*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AA7" w:rsidRDefault="00F96AA7">
      <w:r>
        <w:separator/>
      </w:r>
    </w:p>
  </w:footnote>
  <w:footnote w:type="continuationSeparator" w:id="0">
    <w:p w:rsidR="00F96AA7" w:rsidRDefault="00F96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3A89" w:rsidTr="004335E4">
      <w:tblPrEx>
        <w:tblCellMar>
          <w:top w:w="0" w:type="dxa"/>
          <w:bottom w:w="0" w:type="dxa"/>
        </w:tblCellMar>
      </w:tblPrEx>
      <w:trPr>
        <w:trHeight w:hRule="exact" w:val="864"/>
      </w:trPr>
      <w:tc>
        <w:tcPr>
          <w:tcW w:w="4838" w:type="dxa"/>
          <w:shd w:val="clear" w:color="auto" w:fill="auto"/>
          <w:vAlign w:val="bottom"/>
        </w:tcPr>
        <w:p w:rsidR="00A23A89" w:rsidRPr="004335E4" w:rsidRDefault="00A23A89" w:rsidP="004335E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CEDAW/C/JPN/Q/6</w:t>
          </w:r>
          <w:r>
            <w:rPr>
              <w:b/>
              <w:sz w:val="17"/>
            </w:rPr>
            <w:fldChar w:fldCharType="end"/>
          </w:r>
        </w:p>
      </w:tc>
      <w:tc>
        <w:tcPr>
          <w:tcW w:w="5033" w:type="dxa"/>
          <w:shd w:val="clear" w:color="auto" w:fill="auto"/>
          <w:vAlign w:val="bottom"/>
        </w:tcPr>
        <w:p w:rsidR="00A23A89" w:rsidRDefault="00A23A89" w:rsidP="004335E4">
          <w:pPr>
            <w:pStyle w:val="Header"/>
          </w:pPr>
        </w:p>
      </w:tc>
    </w:tr>
  </w:tbl>
  <w:p w:rsidR="00A23A89" w:rsidRPr="004335E4" w:rsidRDefault="00A23A89" w:rsidP="004335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3A89" w:rsidTr="004335E4">
      <w:tblPrEx>
        <w:tblCellMar>
          <w:top w:w="0" w:type="dxa"/>
          <w:bottom w:w="0" w:type="dxa"/>
        </w:tblCellMar>
      </w:tblPrEx>
      <w:trPr>
        <w:trHeight w:hRule="exact" w:val="864"/>
      </w:trPr>
      <w:tc>
        <w:tcPr>
          <w:tcW w:w="4838" w:type="dxa"/>
          <w:shd w:val="clear" w:color="auto" w:fill="auto"/>
          <w:vAlign w:val="bottom"/>
        </w:tcPr>
        <w:p w:rsidR="00A23A89" w:rsidRDefault="00A23A89" w:rsidP="004335E4">
          <w:pPr>
            <w:pStyle w:val="Header"/>
          </w:pPr>
        </w:p>
      </w:tc>
      <w:tc>
        <w:tcPr>
          <w:tcW w:w="5033" w:type="dxa"/>
          <w:shd w:val="clear" w:color="auto" w:fill="auto"/>
          <w:vAlign w:val="bottom"/>
        </w:tcPr>
        <w:p w:rsidR="00A23A89" w:rsidRPr="004335E4" w:rsidRDefault="00A23A89" w:rsidP="004335E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CEDAW/C/JPN/Q/6</w:t>
          </w:r>
          <w:r>
            <w:rPr>
              <w:b/>
              <w:sz w:val="17"/>
            </w:rPr>
            <w:fldChar w:fldCharType="end"/>
          </w:r>
        </w:p>
      </w:tc>
    </w:tr>
  </w:tbl>
  <w:p w:rsidR="00A23A89" w:rsidRPr="004335E4" w:rsidRDefault="00A23A89" w:rsidP="004335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23A89" w:rsidTr="004335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23A89" w:rsidRDefault="00A23A89" w:rsidP="004335E4">
          <w:pPr>
            <w:pStyle w:val="Header"/>
            <w:spacing w:after="120"/>
          </w:pPr>
        </w:p>
      </w:tc>
      <w:tc>
        <w:tcPr>
          <w:tcW w:w="1872" w:type="dxa"/>
          <w:tcBorders>
            <w:bottom w:val="single" w:sz="4" w:space="0" w:color="auto"/>
          </w:tcBorders>
          <w:shd w:val="clear" w:color="auto" w:fill="auto"/>
          <w:vAlign w:val="bottom"/>
        </w:tcPr>
        <w:p w:rsidR="00A23A89" w:rsidRPr="004335E4" w:rsidRDefault="00A23A89" w:rsidP="004335E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23A89" w:rsidRDefault="00A23A89" w:rsidP="004335E4">
          <w:pPr>
            <w:pStyle w:val="Header"/>
            <w:spacing w:after="120"/>
          </w:pPr>
        </w:p>
      </w:tc>
      <w:tc>
        <w:tcPr>
          <w:tcW w:w="6523" w:type="dxa"/>
          <w:gridSpan w:val="3"/>
          <w:tcBorders>
            <w:bottom w:val="single" w:sz="4" w:space="0" w:color="auto"/>
          </w:tcBorders>
          <w:shd w:val="clear" w:color="auto" w:fill="auto"/>
          <w:vAlign w:val="bottom"/>
        </w:tcPr>
        <w:p w:rsidR="00A23A89" w:rsidRPr="004335E4" w:rsidRDefault="00A23A89" w:rsidP="004335E4">
          <w:pPr>
            <w:spacing w:after="80" w:line="240" w:lineRule="auto"/>
            <w:jc w:val="right"/>
            <w:rPr>
              <w:rFonts w:ascii="Times New Roman"/>
              <w:position w:val="-4"/>
            </w:rPr>
          </w:pPr>
          <w:r>
            <w:rPr>
              <w:rFonts w:ascii="Times New Roman"/>
              <w:position w:val="-4"/>
              <w:sz w:val="40"/>
            </w:rPr>
            <w:t>CEDAW</w:t>
          </w:r>
          <w:r>
            <w:rPr>
              <w:rFonts w:ascii="Times New Roman"/>
              <w:position w:val="-4"/>
            </w:rPr>
            <w:t>/C/JPN/Q/6</w:t>
          </w:r>
        </w:p>
      </w:tc>
    </w:tr>
    <w:tr w:rsidR="00A23A89" w:rsidRPr="004335E4" w:rsidTr="004335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23A89" w:rsidRDefault="00A23A89" w:rsidP="004335E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3A89" w:rsidRPr="004335E4" w:rsidRDefault="00A23A89" w:rsidP="004335E4">
          <w:pPr>
            <w:pStyle w:val="Header"/>
            <w:spacing w:before="109"/>
            <w:ind w:left="-72"/>
          </w:pPr>
        </w:p>
      </w:tc>
      <w:tc>
        <w:tcPr>
          <w:tcW w:w="5227" w:type="dxa"/>
          <w:gridSpan w:val="3"/>
          <w:tcBorders>
            <w:top w:val="single" w:sz="4" w:space="0" w:color="auto"/>
            <w:bottom w:val="single" w:sz="12" w:space="0" w:color="auto"/>
          </w:tcBorders>
          <w:shd w:val="clear" w:color="auto" w:fill="auto"/>
        </w:tcPr>
        <w:p w:rsidR="00A23A89" w:rsidRPr="004335E4" w:rsidRDefault="00A23A89" w:rsidP="004335E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23A89" w:rsidRPr="004335E4" w:rsidRDefault="00A23A89" w:rsidP="004335E4">
          <w:pPr>
            <w:pStyle w:val="Header"/>
            <w:spacing w:before="109"/>
          </w:pPr>
        </w:p>
      </w:tc>
      <w:tc>
        <w:tcPr>
          <w:tcW w:w="3180" w:type="dxa"/>
          <w:gridSpan w:val="2"/>
          <w:tcBorders>
            <w:top w:val="single" w:sz="4" w:space="0" w:color="auto"/>
            <w:bottom w:val="single" w:sz="12" w:space="0" w:color="auto"/>
          </w:tcBorders>
          <w:shd w:val="clear" w:color="auto" w:fill="auto"/>
        </w:tcPr>
        <w:p w:rsidR="00A23A89" w:rsidRDefault="00A23A89" w:rsidP="004335E4">
          <w:pPr>
            <w:spacing w:before="240" w:line="240" w:lineRule="exact"/>
            <w:rPr>
              <w:rFonts w:ascii="Times New Roman"/>
            </w:rPr>
          </w:pPr>
          <w:r>
            <w:rPr>
              <w:rFonts w:ascii="Times New Roman"/>
            </w:rPr>
            <w:t>Distr.: General</w:t>
          </w:r>
        </w:p>
        <w:p w:rsidR="00A23A89" w:rsidRDefault="00A23A89" w:rsidP="004335E4">
          <w:pPr>
            <w:spacing w:line="240" w:lineRule="exact"/>
            <w:rPr>
              <w:rFonts w:ascii="Times New Roman"/>
            </w:rPr>
          </w:pPr>
          <w:r>
            <w:rPr>
              <w:rFonts w:ascii="Times New Roman"/>
            </w:rPr>
            <w:t>1 December 2008</w:t>
          </w:r>
        </w:p>
        <w:p w:rsidR="00A23A89" w:rsidRDefault="00A23A89" w:rsidP="004335E4">
          <w:pPr>
            <w:spacing w:line="240" w:lineRule="exact"/>
            <w:rPr>
              <w:rFonts w:ascii="Times New Roman"/>
            </w:rPr>
          </w:pPr>
          <w:r>
            <w:rPr>
              <w:rFonts w:ascii="Times New Roman"/>
            </w:rPr>
            <w:t>Chinese</w:t>
          </w:r>
        </w:p>
        <w:p w:rsidR="00A23A89" w:rsidRPr="004335E4" w:rsidRDefault="00A23A89" w:rsidP="004335E4">
          <w:pPr>
            <w:spacing w:line="240" w:lineRule="exact"/>
            <w:rPr>
              <w:rFonts w:ascii="Times New Roman"/>
            </w:rPr>
          </w:pPr>
          <w:r>
            <w:rPr>
              <w:rFonts w:ascii="Times New Roman"/>
            </w:rPr>
            <w:t>Original: English</w:t>
          </w:r>
        </w:p>
      </w:tc>
    </w:tr>
  </w:tbl>
  <w:p w:rsidR="00A23A89" w:rsidRPr="004335E4" w:rsidRDefault="00A23A89" w:rsidP="004335E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30*"/>
    <w:docVar w:name="CreationDt" w:val="19/12/2008 11:10:43"/>
    <w:docVar w:name="DocCategory" w:val="Doc"/>
    <w:docVar w:name="DocType" w:val="Final"/>
    <w:docVar w:name="FooterJN" w:val="08-62730 (C)"/>
    <w:docVar w:name="jobn" w:val="08-62730 (C)"/>
    <w:docVar w:name="jobnDT" w:val="08-62730 (C)   191208"/>
    <w:docVar w:name="jobnDTDT" w:val="08-62730 (C)   191208   191208"/>
    <w:docVar w:name="JobNo" w:val="0862730C"/>
    <w:docVar w:name="OandT" w:val="DONG"/>
    <w:docVar w:name="sss1" w:val="CEDAW/C/JPN/Q/6"/>
    <w:docVar w:name="sss2" w:val="-"/>
    <w:docVar w:name="Symbol1" w:val="CEDAW/C/JPN/Q/6"/>
    <w:docVar w:name="Symbol2" w:val="-"/>
  </w:docVars>
  <w:rsids>
    <w:rsidRoot w:val="004F3D5E"/>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1D95"/>
    <w:rsid w:val="001C3F7F"/>
    <w:rsid w:val="001C5166"/>
    <w:rsid w:val="001D0354"/>
    <w:rsid w:val="001E20EC"/>
    <w:rsid w:val="001E4442"/>
    <w:rsid w:val="001E5A51"/>
    <w:rsid w:val="001F03A7"/>
    <w:rsid w:val="00207135"/>
    <w:rsid w:val="00224602"/>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0A40"/>
    <w:rsid w:val="00394A02"/>
    <w:rsid w:val="003C7B20"/>
    <w:rsid w:val="003E4565"/>
    <w:rsid w:val="003E748F"/>
    <w:rsid w:val="003E7612"/>
    <w:rsid w:val="00414423"/>
    <w:rsid w:val="004335E4"/>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4F3D5E"/>
    <w:rsid w:val="0050413E"/>
    <w:rsid w:val="00504809"/>
    <w:rsid w:val="00515657"/>
    <w:rsid w:val="00521275"/>
    <w:rsid w:val="0052216F"/>
    <w:rsid w:val="005232CA"/>
    <w:rsid w:val="00523636"/>
    <w:rsid w:val="005335B9"/>
    <w:rsid w:val="00536CCE"/>
    <w:rsid w:val="005541E4"/>
    <w:rsid w:val="00562FE7"/>
    <w:rsid w:val="0058302A"/>
    <w:rsid w:val="005A6C86"/>
    <w:rsid w:val="005B7338"/>
    <w:rsid w:val="005C02AB"/>
    <w:rsid w:val="005C5FC3"/>
    <w:rsid w:val="005D0F04"/>
    <w:rsid w:val="005E5817"/>
    <w:rsid w:val="005F12F0"/>
    <w:rsid w:val="005F1857"/>
    <w:rsid w:val="005F3273"/>
    <w:rsid w:val="005F34A3"/>
    <w:rsid w:val="00610CF2"/>
    <w:rsid w:val="006328DE"/>
    <w:rsid w:val="006353DE"/>
    <w:rsid w:val="006479F1"/>
    <w:rsid w:val="00650BEE"/>
    <w:rsid w:val="00651F3A"/>
    <w:rsid w:val="006520FA"/>
    <w:rsid w:val="0065377D"/>
    <w:rsid w:val="00666F57"/>
    <w:rsid w:val="006740A7"/>
    <w:rsid w:val="00691524"/>
    <w:rsid w:val="006A654B"/>
    <w:rsid w:val="006E08E9"/>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3A89"/>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3310"/>
    <w:rsid w:val="00CE64AC"/>
    <w:rsid w:val="00CF7718"/>
    <w:rsid w:val="00D177F1"/>
    <w:rsid w:val="00D323B5"/>
    <w:rsid w:val="00D42ACC"/>
    <w:rsid w:val="00D51DC5"/>
    <w:rsid w:val="00D65788"/>
    <w:rsid w:val="00D676D7"/>
    <w:rsid w:val="00D71517"/>
    <w:rsid w:val="00D7168D"/>
    <w:rsid w:val="00D874E1"/>
    <w:rsid w:val="00D9586D"/>
    <w:rsid w:val="00DB0932"/>
    <w:rsid w:val="00DC2506"/>
    <w:rsid w:val="00DC49FA"/>
    <w:rsid w:val="00DD3976"/>
    <w:rsid w:val="00DD3D6B"/>
    <w:rsid w:val="00DD4467"/>
    <w:rsid w:val="00DD49CA"/>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96AA7"/>
    <w:rsid w:val="00FC1CE4"/>
    <w:rsid w:val="00FD594E"/>
    <w:rsid w:val="00FD75B9"/>
    <w:rsid w:val="00FE5FE8"/>
    <w:rsid w:val="00FF2B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583</Words>
  <Characters>3329</Characters>
  <Application>Microsoft Office Word</Application>
  <DocSecurity>4</DocSecurity>
  <Lines>27</Lines>
  <Paragraphs>7</Paragraphs>
  <ScaleCrop>false</ScaleCrop>
  <Company>United Nations</Company>
  <LinksUpToDate>false</LinksUpToDate>
  <CharactersWithSpaces>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18</cp:revision>
  <cp:lastPrinted>2008-12-19T13:58:00Z</cp:lastPrinted>
  <dcterms:created xsi:type="dcterms:W3CDTF">2008-12-19T10:09:00Z</dcterms:created>
  <dcterms:modified xsi:type="dcterms:W3CDTF">2008-12-19T13:59:00Z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0862730</vt:lpwstr>
  </property>
  <property fmtid="{D5CDD505-2E9C-101B-9397-08002B2CF9AE}" pid="3" name="Symbol1">
    <vt:lpwstr>CEDAW/C/JPN/Q/6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DONG</vt:lpwstr>
  </property>
</Properties>
</file>