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6B4" w:rsidRDefault="008856B4" w:rsidP="008856B4">
      <w:pPr>
        <w:spacing w:line="60" w:lineRule="exact"/>
        <w:rPr>
          <w:sz w:val="6"/>
        </w:rPr>
        <w:sectPr w:rsidR="008856B4" w:rsidSect="008856B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8856B4" w:rsidRDefault="008856B4" w:rsidP="008856B4">
      <w:pPr>
        <w:spacing w:line="60" w:lineRule="exact"/>
        <w:rPr>
          <w:sz w:val="6"/>
        </w:rPr>
      </w:pPr>
    </w:p>
    <w:p w:rsidR="00C30011" w:rsidRDefault="00C30011" w:rsidP="00C300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C30011" w:rsidRPr="00C30011" w:rsidRDefault="00C30011" w:rsidP="00C30011">
      <w:pPr>
        <w:pStyle w:val="SingleTxt"/>
        <w:spacing w:after="60"/>
        <w:ind w:left="0"/>
        <w:rPr>
          <w:rFonts w:ascii="SimHei" w:eastAsia="SimHei" w:hint="eastAsia"/>
        </w:rPr>
      </w:pPr>
      <w:r w:rsidRPr="00C30011">
        <w:rPr>
          <w:rFonts w:ascii="SimHei" w:eastAsia="SimHei" w:hint="eastAsia"/>
        </w:rPr>
        <w:t>第四十九届会议</w:t>
      </w:r>
    </w:p>
    <w:p w:rsidR="00C30011" w:rsidRDefault="00C30011" w:rsidP="00C30011">
      <w:pPr>
        <w:pStyle w:val="SingleTxt"/>
        <w:ind w:left="0"/>
        <w:rPr>
          <w:rFonts w:hint="eastAsia"/>
        </w:rPr>
      </w:pPr>
      <w:r>
        <w:rPr>
          <w:rFonts w:hint="eastAsia"/>
        </w:rPr>
        <w:t>2011年7月11日至29日</w:t>
      </w:r>
    </w:p>
    <w:p w:rsidR="00C30011" w:rsidRPr="00C30011" w:rsidRDefault="00C30011" w:rsidP="00C300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30011" w:rsidRPr="00C30011" w:rsidRDefault="00C30011" w:rsidP="00C300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30011" w:rsidRPr="00C30011" w:rsidRDefault="00C30011" w:rsidP="00C300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30011" w:rsidRDefault="00C30011" w:rsidP="00C300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C30011" w:rsidRPr="00C30011" w:rsidRDefault="00C30011" w:rsidP="00C30011">
      <w:pPr>
        <w:pStyle w:val="SingleTxt"/>
        <w:spacing w:after="0" w:line="120" w:lineRule="exact"/>
        <w:rPr>
          <w:rFonts w:hint="eastAsia"/>
          <w:sz w:val="10"/>
        </w:rPr>
      </w:pPr>
    </w:p>
    <w:p w:rsidR="00C30011" w:rsidRPr="00C30011" w:rsidRDefault="00C30011" w:rsidP="00C30011">
      <w:pPr>
        <w:pStyle w:val="SingleTxt"/>
        <w:spacing w:after="0" w:line="120" w:lineRule="exact"/>
        <w:rPr>
          <w:rFonts w:hint="eastAsia"/>
          <w:sz w:val="10"/>
        </w:rPr>
      </w:pPr>
    </w:p>
    <w:p w:rsidR="00C30011" w:rsidRPr="00C30011" w:rsidRDefault="00C30011" w:rsidP="00F31E3F">
      <w:pPr>
        <w:pStyle w:val="SingleTxt"/>
        <w:spacing w:after="160"/>
        <w:rPr>
          <w:rFonts w:ascii="SimHei" w:eastAsia="SimHei" w:hint="eastAsia"/>
        </w:rPr>
      </w:pPr>
      <w:r w:rsidRPr="00C30011">
        <w:rPr>
          <w:rFonts w:ascii="SimHei" w:eastAsia="SimHei" w:hint="eastAsia"/>
        </w:rPr>
        <w:t>埃塞俄比亚</w:t>
      </w:r>
    </w:p>
    <w:p w:rsidR="00C30011" w:rsidRDefault="00C30011" w:rsidP="00F31E3F">
      <w:pPr>
        <w:pStyle w:val="SingleTxt"/>
        <w:spacing w:after="160" w:line="336" w:lineRule="exact"/>
        <w:rPr>
          <w:rFonts w:hint="eastAsia"/>
        </w:rPr>
      </w:pPr>
      <w:r>
        <w:rPr>
          <w:rFonts w:hint="eastAsia"/>
        </w:rPr>
        <w:tab/>
        <w:t>会前工作组审查了埃塞俄比亚的第六次和第七次合并定期报告。</w:t>
      </w:r>
      <w:r>
        <w:rPr>
          <w:rStyle w:val="FootnoteReference"/>
        </w:rPr>
        <w:footnoteReference w:id="1"/>
      </w:r>
    </w:p>
    <w:p w:rsidR="00C30011" w:rsidRPr="00C30011" w:rsidRDefault="00C30011" w:rsidP="00F31E3F">
      <w:pPr>
        <w:pStyle w:val="SingleTxt"/>
        <w:spacing w:after="160" w:line="336" w:lineRule="exact"/>
        <w:rPr>
          <w:rFonts w:ascii="SimHei" w:eastAsia="SimHei" w:hint="eastAsia"/>
        </w:rPr>
      </w:pPr>
      <w:r w:rsidRPr="00C30011">
        <w:rPr>
          <w:rFonts w:ascii="SimHei" w:eastAsia="SimHei" w:hint="eastAsia"/>
        </w:rPr>
        <w:t>概述</w:t>
      </w:r>
    </w:p>
    <w:p w:rsidR="00C30011" w:rsidRDefault="00C30011" w:rsidP="00F31E3F">
      <w:pPr>
        <w:pStyle w:val="SingleTxt"/>
        <w:spacing w:after="160" w:line="336" w:lineRule="exact"/>
        <w:rPr>
          <w:rFonts w:hint="eastAsia"/>
        </w:rPr>
      </w:pPr>
      <w:r>
        <w:rPr>
          <w:rFonts w:hint="eastAsia"/>
        </w:rPr>
        <w:t>1.</w:t>
      </w:r>
      <w:r>
        <w:rPr>
          <w:rFonts w:hint="eastAsia"/>
        </w:rPr>
        <w:tab/>
      </w:r>
      <w:r w:rsidRPr="00C30011">
        <w:rPr>
          <w:rFonts w:hint="eastAsia"/>
          <w:spacing w:val="-2"/>
        </w:rPr>
        <w:t>请提供信息，说明第六次和第七次合并定期报告的编写过程，包括关于缔约国联邦和州级公共机构和国家人权机构的贡献，以及与非政府组织协商的情况。</w:t>
      </w:r>
      <w:r w:rsidRPr="00C30011">
        <w:rPr>
          <w:rStyle w:val="FootnoteReference"/>
          <w:spacing w:val="-2"/>
        </w:rPr>
        <w:footnoteReference w:id="2"/>
      </w:r>
      <w:r w:rsidRPr="00C30011">
        <w:rPr>
          <w:rFonts w:hint="eastAsia"/>
          <w:spacing w:val="-2"/>
        </w:rPr>
        <w:t xml:space="preserve"> 并请说明政府通过报告后是否已将报告提交给人民代表院。</w:t>
      </w:r>
    </w:p>
    <w:p w:rsidR="00C30011" w:rsidRPr="00C30011" w:rsidRDefault="00C30011" w:rsidP="00F31E3F">
      <w:pPr>
        <w:pStyle w:val="SingleTxt"/>
        <w:spacing w:after="160" w:line="336" w:lineRule="exact"/>
        <w:rPr>
          <w:rFonts w:ascii="SimHei" w:eastAsia="SimHei" w:hint="eastAsia"/>
        </w:rPr>
      </w:pPr>
      <w:r w:rsidRPr="00C30011">
        <w:rPr>
          <w:rFonts w:ascii="SimHei" w:eastAsia="SimHei" w:hint="eastAsia"/>
        </w:rPr>
        <w:t>《公约》的法律地位以及立法和体制框架</w:t>
      </w:r>
    </w:p>
    <w:p w:rsidR="00C30011" w:rsidRDefault="00C30011" w:rsidP="00F31E3F">
      <w:pPr>
        <w:pStyle w:val="SingleTxt"/>
        <w:spacing w:after="160" w:line="336" w:lineRule="exact"/>
        <w:rPr>
          <w:rFonts w:hint="eastAsia"/>
        </w:rPr>
      </w:pPr>
      <w:r>
        <w:rPr>
          <w:rFonts w:hint="eastAsia"/>
        </w:rPr>
        <w:t>2.</w:t>
      </w:r>
      <w:r>
        <w:rPr>
          <w:rFonts w:hint="eastAsia"/>
        </w:rPr>
        <w:tab/>
        <w:t>请提供信息，说明缔约国为法官、律师、检察官、执法人员和妇女协会代表提供的关于《公约》和委员会一般性建议的法律约束力性质和直接适用问题的培训以及为增进公众对《公约》的认识而采取的措施等情况。</w:t>
      </w:r>
      <w:r>
        <w:rPr>
          <w:rStyle w:val="FootnoteReference"/>
        </w:rPr>
        <w:footnoteReference w:id="3"/>
      </w:r>
    </w:p>
    <w:p w:rsidR="00C30011" w:rsidRDefault="00C30011" w:rsidP="00F31E3F">
      <w:pPr>
        <w:pStyle w:val="SingleTxt"/>
        <w:spacing w:after="160" w:line="336" w:lineRule="exact"/>
        <w:rPr>
          <w:rFonts w:hint="eastAsia"/>
        </w:rPr>
      </w:pPr>
      <w:r>
        <w:rPr>
          <w:rFonts w:hint="eastAsia"/>
        </w:rPr>
        <w:t>3.</w:t>
      </w:r>
      <w:r>
        <w:rPr>
          <w:rFonts w:hint="eastAsia"/>
        </w:rPr>
        <w:tab/>
        <w:t>请提供信息，说明是否建有任何机制以确保诸如2005年《刑法修正案》和《联邦家庭法》</w:t>
      </w:r>
      <w:r>
        <w:rPr>
          <w:rStyle w:val="FootnoteReference"/>
        </w:rPr>
        <w:footnoteReference w:id="4"/>
      </w:r>
      <w:r>
        <w:rPr>
          <w:rFonts w:hint="eastAsia"/>
        </w:rPr>
        <w:t xml:space="preserve"> 等禁止歧视和暴力侵害妇女行为的法律得以执行；例如，对未能执行这些法律的官员处以停职、罚款和其他制裁措施。</w:t>
      </w:r>
    </w:p>
    <w:p w:rsidR="00C30011" w:rsidRDefault="00C30011" w:rsidP="00F31E3F">
      <w:pPr>
        <w:pStyle w:val="SingleTxt"/>
        <w:spacing w:line="328" w:lineRule="exact"/>
        <w:rPr>
          <w:rFonts w:hint="eastAsia"/>
        </w:rPr>
      </w:pPr>
      <w:r>
        <w:rPr>
          <w:rFonts w:hint="eastAsia"/>
        </w:rPr>
        <w:t>4.</w:t>
      </w:r>
      <w:r>
        <w:rPr>
          <w:rFonts w:hint="eastAsia"/>
        </w:rPr>
        <w:tab/>
        <w:t>请说明埃塞俄比亚人权委员会、尤其是儿童和妇女事务专员</w:t>
      </w:r>
      <w:r>
        <w:rPr>
          <w:rStyle w:val="FootnoteReference"/>
        </w:rPr>
        <w:footnoteReference w:id="5"/>
      </w:r>
      <w:r>
        <w:rPr>
          <w:rFonts w:hint="eastAsia"/>
        </w:rPr>
        <w:t xml:space="preserve"> 在促进和保护妇女权利方面取得的成绩。另请提供信息说明妇女事务部的工作人员人数和财政资源情况。</w:t>
      </w:r>
      <w:r w:rsidR="00867FDD">
        <w:rPr>
          <w:rStyle w:val="FootnoteReference"/>
        </w:rPr>
        <w:footnoteReference w:id="6"/>
      </w:r>
    </w:p>
    <w:p w:rsidR="00C30011" w:rsidRDefault="00C30011" w:rsidP="00F31E3F">
      <w:pPr>
        <w:pStyle w:val="SingleTxt"/>
        <w:spacing w:line="328" w:lineRule="exact"/>
        <w:rPr>
          <w:rFonts w:hint="eastAsia"/>
        </w:rPr>
      </w:pPr>
      <w:r>
        <w:rPr>
          <w:rFonts w:hint="eastAsia"/>
        </w:rPr>
        <w:t>5.</w:t>
      </w:r>
      <w:r>
        <w:rPr>
          <w:rFonts w:hint="eastAsia"/>
        </w:rPr>
        <w:tab/>
        <w:t>鉴于妇女和人权非政府组织在促进提高妇女地位方面的关键作用，请提供信息说明慈善团体与社团机构公告</w:t>
      </w:r>
      <w:r w:rsidR="00F31E3F">
        <w:rPr>
          <w:rFonts w:hint="eastAsia"/>
        </w:rPr>
        <w:t>(</w:t>
      </w:r>
      <w:r>
        <w:rPr>
          <w:rFonts w:hint="eastAsia"/>
        </w:rPr>
        <w:t>第621/2009号</w:t>
      </w:r>
      <w:r w:rsidR="00F31E3F">
        <w:rPr>
          <w:rFonts w:hint="eastAsia"/>
        </w:rPr>
        <w:t>)</w:t>
      </w:r>
      <w:r>
        <w:rPr>
          <w:rFonts w:hint="eastAsia"/>
        </w:rPr>
        <w:t>对在人权领域开展工作的地方妇女非政府组织的工作和供资的影响。另请说明缔约国如何根据委员会此前的结论意见，</w:t>
      </w:r>
      <w:r w:rsidR="00867FDD">
        <w:rPr>
          <w:rStyle w:val="FootnoteReference"/>
        </w:rPr>
        <w:footnoteReference w:id="7"/>
      </w:r>
      <w:r>
        <w:rPr>
          <w:rFonts w:hint="eastAsia"/>
        </w:rPr>
        <w:t xml:space="preserve"> 规划确保为妇女非政府组织的设立和运作创造有利环境，如何便利妇女非政府组织积极参与执行《公约》。</w:t>
      </w:r>
    </w:p>
    <w:p w:rsidR="00C30011" w:rsidRDefault="00C30011" w:rsidP="00F31E3F">
      <w:pPr>
        <w:pStyle w:val="SingleTxt"/>
        <w:spacing w:line="328" w:lineRule="exact"/>
        <w:rPr>
          <w:rFonts w:hint="eastAsia"/>
        </w:rPr>
      </w:pPr>
      <w:r>
        <w:rPr>
          <w:rFonts w:hint="eastAsia"/>
        </w:rPr>
        <w:t>6.</w:t>
      </w:r>
      <w:r>
        <w:rPr>
          <w:rFonts w:hint="eastAsia"/>
        </w:rPr>
        <w:tab/>
        <w:t>请解释为何埃塞俄比亚女律师协会90</w:t>
      </w:r>
      <w:r w:rsidR="00F31E3F">
        <w:rPr>
          <w:rFonts w:hint="eastAsia"/>
        </w:rPr>
        <w:t>%</w:t>
      </w:r>
      <w:r>
        <w:rPr>
          <w:rFonts w:hint="eastAsia"/>
        </w:rPr>
        <w:t>的资产在该协会重新注册时被慈善团体与社团机构事务署决定冻结，迫使该协会裁去80</w:t>
      </w:r>
      <w:r w:rsidR="00F31E3F">
        <w:rPr>
          <w:rFonts w:hint="eastAsia"/>
        </w:rPr>
        <w:t>%</w:t>
      </w:r>
      <w:r>
        <w:rPr>
          <w:rFonts w:hint="eastAsia"/>
        </w:rPr>
        <w:t>的工作人员并暂停法律和热线服务。请说明缔约国打算如何填补这些服务暂停后出现的空白。</w:t>
      </w:r>
    </w:p>
    <w:p w:rsidR="00C30011" w:rsidRDefault="00C30011" w:rsidP="00F31E3F">
      <w:pPr>
        <w:pStyle w:val="SingleTxt"/>
        <w:spacing w:line="328" w:lineRule="exact"/>
        <w:rPr>
          <w:rFonts w:hint="eastAsia"/>
        </w:rPr>
      </w:pPr>
      <w:r>
        <w:rPr>
          <w:rFonts w:hint="eastAsia"/>
        </w:rPr>
        <w:t>7.</w:t>
      </w:r>
      <w:r>
        <w:rPr>
          <w:rFonts w:hint="eastAsia"/>
        </w:rPr>
        <w:tab/>
        <w:t>请说明缔约国是否已就境内流离失所者问题设立专门的政府机构并已制定国家政策，具体处理境内流离失所妇女和女孩的保护需要。</w:t>
      </w:r>
    </w:p>
    <w:p w:rsidR="00C30011" w:rsidRPr="00867FDD" w:rsidRDefault="00C30011" w:rsidP="00F31E3F">
      <w:pPr>
        <w:pStyle w:val="SingleTxt"/>
        <w:spacing w:line="328" w:lineRule="exact"/>
        <w:rPr>
          <w:rFonts w:ascii="SimHei" w:eastAsia="SimHei" w:hint="eastAsia"/>
        </w:rPr>
      </w:pPr>
      <w:r w:rsidRPr="00867FDD">
        <w:rPr>
          <w:rFonts w:ascii="SimHei" w:eastAsia="SimHei" w:hint="eastAsia"/>
        </w:rPr>
        <w:t>定型观念与教育</w:t>
      </w:r>
    </w:p>
    <w:p w:rsidR="00C30011" w:rsidRDefault="00E97534" w:rsidP="00F31E3F">
      <w:pPr>
        <w:pStyle w:val="SingleTxt"/>
        <w:spacing w:line="328" w:lineRule="exact"/>
        <w:rPr>
          <w:rFonts w:hint="eastAsia"/>
        </w:rPr>
      </w:pPr>
      <w:r>
        <w:rPr>
          <w:rFonts w:hint="eastAsia"/>
        </w:rPr>
        <w:t>8</w:t>
      </w:r>
      <w:r>
        <w:t>.</w:t>
      </w:r>
      <w:r w:rsidR="00C30011">
        <w:rPr>
          <w:rFonts w:hint="eastAsia"/>
        </w:rPr>
        <w:tab/>
        <w:t>请说明旨在消除针对妇女的社会角色和责任的歧视性传统定型观念和偏见的提高公众认识运动的影响。</w:t>
      </w:r>
      <w:r w:rsidR="00867FDD">
        <w:rPr>
          <w:rStyle w:val="FootnoteReference"/>
        </w:rPr>
        <w:footnoteReference w:id="8"/>
      </w:r>
      <w:r w:rsidR="00C30011">
        <w:rPr>
          <w:rFonts w:hint="eastAsia"/>
        </w:rPr>
        <w:t xml:space="preserve"> 另请提供信息说明宗教领袖对可能限制妇女的政治、经济和文化生活空间的社会行为规范形成的影响。</w:t>
      </w:r>
    </w:p>
    <w:p w:rsidR="00C30011" w:rsidRPr="00867FDD" w:rsidRDefault="00C30011" w:rsidP="00F31E3F">
      <w:pPr>
        <w:pStyle w:val="SingleTxt"/>
        <w:spacing w:line="328" w:lineRule="exact"/>
        <w:rPr>
          <w:rFonts w:ascii="SimHei" w:eastAsia="SimHei" w:hint="eastAsia"/>
        </w:rPr>
      </w:pPr>
      <w:r w:rsidRPr="00867FDD">
        <w:rPr>
          <w:rFonts w:ascii="SimHei" w:eastAsia="SimHei" w:hint="eastAsia"/>
        </w:rPr>
        <w:t>暴力侵害妇女行为</w:t>
      </w:r>
    </w:p>
    <w:p w:rsidR="00C30011" w:rsidRDefault="00C30011" w:rsidP="00F31E3F">
      <w:pPr>
        <w:pStyle w:val="SingleTxt"/>
        <w:spacing w:line="328" w:lineRule="exact"/>
        <w:rPr>
          <w:rFonts w:hint="eastAsia"/>
        </w:rPr>
      </w:pPr>
      <w:r>
        <w:rPr>
          <w:rFonts w:hint="eastAsia"/>
        </w:rPr>
        <w:t>9.</w:t>
      </w:r>
      <w:r>
        <w:rPr>
          <w:rFonts w:hint="eastAsia"/>
        </w:rPr>
        <w:tab/>
        <w:t>请说明缔约国是否已按委员会此前关于缔约国第四和第五次定期报告的结论意见</w:t>
      </w:r>
      <w:r w:rsidR="00867FDD">
        <w:rPr>
          <w:rStyle w:val="FootnoteReference"/>
        </w:rPr>
        <w:footnoteReference w:id="9"/>
      </w:r>
      <w:r>
        <w:rPr>
          <w:rFonts w:hint="eastAsia"/>
        </w:rPr>
        <w:t xml:space="preserve"> 制定了打击暴力侵害妇女行为、包括打击家庭暴力行为的国家战略。为此类暴力行为的受害人提供了哪些援助？</w:t>
      </w:r>
      <w:r w:rsidR="00867FDD">
        <w:rPr>
          <w:rStyle w:val="FootnoteReference"/>
        </w:rPr>
        <w:footnoteReference w:id="10"/>
      </w:r>
      <w:r>
        <w:rPr>
          <w:rFonts w:hint="eastAsia"/>
        </w:rPr>
        <w:t xml:space="preserve"> 第六和第七次合并定期报告第38和39段中所述措施对鼓励受害人举报家庭暴力事件、提高起诉和定罪率及审查家庭暴力案件量刑政策的效力如何？</w:t>
      </w:r>
      <w:r w:rsidR="00867FDD">
        <w:rPr>
          <w:rStyle w:val="FootnoteReference"/>
        </w:rPr>
        <w:footnoteReference w:id="11"/>
      </w:r>
    </w:p>
    <w:p w:rsidR="00C30011" w:rsidRDefault="00C30011" w:rsidP="00F31E3F">
      <w:pPr>
        <w:pStyle w:val="SingleTxt"/>
        <w:spacing w:line="328" w:lineRule="exact"/>
        <w:rPr>
          <w:rFonts w:hint="eastAsia"/>
        </w:rPr>
      </w:pPr>
      <w:r>
        <w:rPr>
          <w:rFonts w:hint="eastAsia"/>
        </w:rPr>
        <w:t>10.</w:t>
      </w:r>
      <w:r>
        <w:rPr>
          <w:rFonts w:hint="eastAsia"/>
        </w:rPr>
        <w:tab/>
        <w:t>请说明缔约国是否考虑修订《刑法修正案》，以期把配偶强奸按刑事罪论处。正在采取哪些措施以鼓励受害人向警察举报强奸特别是配偶强奸案？</w:t>
      </w:r>
    </w:p>
    <w:p w:rsidR="00C30011" w:rsidRDefault="00C30011" w:rsidP="00F31E3F">
      <w:pPr>
        <w:pStyle w:val="SingleTxt"/>
        <w:spacing w:line="304" w:lineRule="exact"/>
        <w:rPr>
          <w:rFonts w:hint="eastAsia"/>
        </w:rPr>
      </w:pPr>
      <w:r>
        <w:rPr>
          <w:rFonts w:hint="eastAsia"/>
        </w:rPr>
        <w:t>11.</w:t>
      </w:r>
      <w:r>
        <w:rPr>
          <w:rFonts w:hint="eastAsia"/>
        </w:rPr>
        <w:tab/>
        <w:t>缔约国正采取哪些措施来防范和惩罚武装部队成员对妇女和女孩的性暴力包括强奸行为？据报此类事件尤其发生在索马里州和奥罗莫族州。请提供信息说明2005年以来对行为人包括高级指挥官的调查、定罪和判刑数目。另请说明按委员会第19号一般性建议向受害人提供的援助。</w:t>
      </w:r>
    </w:p>
    <w:p w:rsidR="00C30011" w:rsidRDefault="00C30011" w:rsidP="00F31E3F">
      <w:pPr>
        <w:pStyle w:val="SingleTxt"/>
        <w:spacing w:line="304" w:lineRule="exact"/>
        <w:rPr>
          <w:rFonts w:hint="eastAsia"/>
        </w:rPr>
      </w:pPr>
      <w:r>
        <w:rPr>
          <w:rFonts w:hint="eastAsia"/>
        </w:rPr>
        <w:t>12.</w:t>
      </w:r>
      <w:r>
        <w:rPr>
          <w:rFonts w:hint="eastAsia"/>
        </w:rPr>
        <w:tab/>
        <w:t>请提供更多信息，说明《刑法修正案》执行情况，该项法律把切割女性生殖器、早婚和绑架女孩等有害传统习俗按刑事罪论处。特别是说明：</w:t>
      </w:r>
    </w:p>
    <w:p w:rsidR="00C30011" w:rsidRDefault="00C30011" w:rsidP="00F31E3F">
      <w:pPr>
        <w:pStyle w:val="SingleTxt"/>
        <w:spacing w:line="304" w:lineRule="exact"/>
        <w:rPr>
          <w:rFonts w:hint="eastAsia"/>
        </w:rPr>
      </w:pPr>
      <w:r>
        <w:rPr>
          <w:rFonts w:hint="eastAsia"/>
        </w:rPr>
        <w:tab/>
        <w:t>(a)</w:t>
      </w:r>
      <w:r>
        <w:rPr>
          <w:rFonts w:hint="eastAsia"/>
        </w:rPr>
        <w:tab/>
        <w:t>相关刑法规定</w:t>
      </w:r>
      <w:r w:rsidR="00867FDD">
        <w:rPr>
          <w:rStyle w:val="FootnoteReference"/>
        </w:rPr>
        <w:footnoteReference w:id="12"/>
      </w:r>
      <w:r>
        <w:rPr>
          <w:rFonts w:hint="eastAsia"/>
        </w:rPr>
        <w:t xml:space="preserve"> 是否得到大力执行；</w:t>
      </w:r>
    </w:p>
    <w:p w:rsidR="00C30011" w:rsidRDefault="00C30011" w:rsidP="00F31E3F">
      <w:pPr>
        <w:pStyle w:val="SingleTxt"/>
        <w:spacing w:line="304" w:lineRule="exact"/>
        <w:rPr>
          <w:rFonts w:hint="eastAsia"/>
        </w:rPr>
      </w:pPr>
      <w:r>
        <w:rPr>
          <w:rFonts w:hint="eastAsia"/>
        </w:rPr>
        <w:tab/>
        <w:t>(b)</w:t>
      </w:r>
      <w:r>
        <w:rPr>
          <w:rFonts w:hint="eastAsia"/>
        </w:rPr>
        <w:tab/>
        <w:t>如果行为人与受害人结婚，绑架女孩行为是否就免于适用刑法；</w:t>
      </w:r>
    </w:p>
    <w:p w:rsidR="00C30011" w:rsidRDefault="00C30011" w:rsidP="00F31E3F">
      <w:pPr>
        <w:pStyle w:val="SingleTxt"/>
        <w:spacing w:line="304" w:lineRule="exact"/>
        <w:rPr>
          <w:rFonts w:hint="eastAsia"/>
        </w:rPr>
      </w:pPr>
      <w:r>
        <w:rPr>
          <w:rFonts w:hint="eastAsia"/>
        </w:rPr>
        <w:tab/>
        <w:t>(c)</w:t>
      </w:r>
      <w:r>
        <w:rPr>
          <w:rFonts w:hint="eastAsia"/>
        </w:rPr>
        <w:tab/>
        <w:t>是否为法官、检察官、警察和社区领导人提供了关于严格适用《刑法修正案》及关于有害传统习俗对妇女和女孩权利的消极影响等方面的培训。</w:t>
      </w:r>
      <w:r w:rsidR="00867FDD">
        <w:rPr>
          <w:rStyle w:val="FootnoteReference"/>
        </w:rPr>
        <w:footnoteReference w:id="13"/>
      </w:r>
    </w:p>
    <w:p w:rsidR="00C30011" w:rsidRDefault="00C30011" w:rsidP="00F31E3F">
      <w:pPr>
        <w:pStyle w:val="SingleTxt"/>
        <w:spacing w:line="304" w:lineRule="exact"/>
        <w:rPr>
          <w:rFonts w:hint="eastAsia"/>
        </w:rPr>
      </w:pPr>
      <w:r>
        <w:rPr>
          <w:rFonts w:hint="eastAsia"/>
        </w:rPr>
        <w:t>另请提供信息，说明自2005年以来对有害传统习俗行为人的判决情况，并澄清是否所有各州都根据《联邦家庭法》修订了州家庭法以禁止有害传统习俗。</w:t>
      </w:r>
      <w:r w:rsidR="00867FDD">
        <w:rPr>
          <w:rStyle w:val="FootnoteReference"/>
        </w:rPr>
        <w:footnoteReference w:id="14"/>
      </w:r>
    </w:p>
    <w:p w:rsidR="00C30011" w:rsidRDefault="00C30011" w:rsidP="00F31E3F">
      <w:pPr>
        <w:pStyle w:val="SingleTxt"/>
        <w:spacing w:line="304" w:lineRule="exact"/>
        <w:rPr>
          <w:rFonts w:hint="eastAsia"/>
        </w:rPr>
      </w:pPr>
      <w:r>
        <w:rPr>
          <w:rFonts w:hint="eastAsia"/>
        </w:rPr>
        <w:t>13.</w:t>
      </w:r>
      <w:r>
        <w:rPr>
          <w:rFonts w:hint="eastAsia"/>
        </w:rPr>
        <w:tab/>
        <w:t>《宪法》第36条明文禁止体罚，但《刑法修正案》第576(3)条和《家庭法修正案》第258条视体罚为一项育儿纪律措施而予允许。请说明缔约国是否考虑禁止在家里和替代照料等一切环境中禁止对男女儿童体罚。另请说明缔约国是否就女孩何以尤易受到体罚以及就体罚对女孩发展和身心健康的具体影响开展了任何研究或调查。</w:t>
      </w:r>
    </w:p>
    <w:p w:rsidR="00C30011" w:rsidRPr="00867FDD" w:rsidRDefault="00C30011" w:rsidP="00F31E3F">
      <w:pPr>
        <w:pStyle w:val="SingleTxt"/>
        <w:spacing w:line="304" w:lineRule="exact"/>
        <w:rPr>
          <w:rFonts w:ascii="SimHei" w:eastAsia="SimHei" w:hint="eastAsia"/>
        </w:rPr>
      </w:pPr>
      <w:r w:rsidRPr="00867FDD">
        <w:rPr>
          <w:rFonts w:ascii="SimHei" w:eastAsia="SimHei" w:hint="eastAsia"/>
        </w:rPr>
        <w:t>贩运妇女和利用妇女卖淫营利</w:t>
      </w:r>
    </w:p>
    <w:p w:rsidR="00C30011" w:rsidRDefault="00C30011" w:rsidP="00F31E3F">
      <w:pPr>
        <w:pStyle w:val="SingleTxt"/>
        <w:spacing w:line="304" w:lineRule="exact"/>
        <w:rPr>
          <w:rFonts w:hint="eastAsia"/>
        </w:rPr>
      </w:pPr>
      <w:r>
        <w:rPr>
          <w:rFonts w:hint="eastAsia"/>
        </w:rPr>
        <w:t>14.</w:t>
      </w:r>
      <w:r>
        <w:rPr>
          <w:rFonts w:hint="eastAsia"/>
        </w:rPr>
        <w:tab/>
        <w:t>鉴于缔约国境内遭贩运妇女和女孩人数不断增多，请说明：</w:t>
      </w:r>
    </w:p>
    <w:p w:rsidR="00C30011" w:rsidRDefault="00C30011" w:rsidP="00F31E3F">
      <w:pPr>
        <w:pStyle w:val="SingleTxt"/>
        <w:spacing w:line="304" w:lineRule="exact"/>
        <w:rPr>
          <w:rFonts w:hint="eastAsia"/>
        </w:rPr>
      </w:pPr>
      <w:r>
        <w:rPr>
          <w:rFonts w:hint="eastAsia"/>
        </w:rPr>
        <w:tab/>
        <w:t>(a)</w:t>
      </w:r>
      <w:r>
        <w:rPr>
          <w:rFonts w:hint="eastAsia"/>
        </w:rPr>
        <w:tab/>
        <w:t>缔约国是否考虑针对贩运问题制定一项国家行动计划；</w:t>
      </w:r>
    </w:p>
    <w:p w:rsidR="00C30011" w:rsidRDefault="00C30011" w:rsidP="00F31E3F">
      <w:pPr>
        <w:pStyle w:val="SingleTxt"/>
        <w:spacing w:line="304" w:lineRule="exact"/>
        <w:rPr>
          <w:rFonts w:hint="eastAsia"/>
        </w:rPr>
      </w:pPr>
      <w:r>
        <w:rPr>
          <w:rFonts w:hint="eastAsia"/>
        </w:rPr>
        <w:tab/>
        <w:t>(b)</w:t>
      </w:r>
      <w:r>
        <w:rPr>
          <w:rFonts w:hint="eastAsia"/>
        </w:rPr>
        <w:tab/>
        <w:t>贩运罪是否属当然起诉性质；</w:t>
      </w:r>
      <w:r w:rsidR="00867FDD">
        <w:rPr>
          <w:rStyle w:val="FootnoteReference"/>
        </w:rPr>
        <w:footnoteReference w:id="15"/>
      </w:r>
    </w:p>
    <w:p w:rsidR="00C30011" w:rsidRDefault="00C30011" w:rsidP="00F31E3F">
      <w:pPr>
        <w:pStyle w:val="SingleTxt"/>
        <w:spacing w:line="304" w:lineRule="exact"/>
        <w:rPr>
          <w:rFonts w:hint="eastAsia"/>
        </w:rPr>
      </w:pPr>
      <w:r>
        <w:rPr>
          <w:rFonts w:hint="eastAsia"/>
        </w:rPr>
        <w:tab/>
        <w:t>(c)</w:t>
      </w:r>
      <w:r>
        <w:rPr>
          <w:rFonts w:hint="eastAsia"/>
        </w:rPr>
        <w:tab/>
        <w:t>是否已采取措施提高起诉和定罪率、增强对受害人援助</w:t>
      </w:r>
      <w:r w:rsidR="00867FDD">
        <w:rPr>
          <w:rStyle w:val="FootnoteReference"/>
        </w:rPr>
        <w:footnoteReference w:id="16"/>
      </w:r>
      <w:r>
        <w:rPr>
          <w:rFonts w:hint="eastAsia"/>
        </w:rPr>
        <w:t xml:space="preserve"> 及提高对境内贩运问题的认识；</w:t>
      </w:r>
      <w:r w:rsidR="00867FDD">
        <w:rPr>
          <w:rStyle w:val="FootnoteReference"/>
        </w:rPr>
        <w:footnoteReference w:id="17"/>
      </w:r>
    </w:p>
    <w:p w:rsidR="00C30011" w:rsidRDefault="00C30011" w:rsidP="00F31E3F">
      <w:pPr>
        <w:pStyle w:val="SingleTxt"/>
        <w:spacing w:line="304" w:lineRule="exact"/>
        <w:rPr>
          <w:rFonts w:hint="eastAsia"/>
        </w:rPr>
      </w:pPr>
      <w:r>
        <w:rPr>
          <w:rFonts w:hint="eastAsia"/>
        </w:rPr>
        <w:tab/>
        <w:t>(d)</w:t>
      </w:r>
      <w:r>
        <w:rPr>
          <w:rFonts w:hint="eastAsia"/>
        </w:rPr>
        <w:tab/>
        <w:t>是否已按委员会第26号一般性建议采取步骤防止非法职介机构的活动，确保妇女在移徙前得到安全移徙方面的信息，并与移民接受国缔结双边协定。</w:t>
      </w:r>
      <w:r w:rsidR="00867FDD">
        <w:rPr>
          <w:rStyle w:val="FootnoteReference"/>
        </w:rPr>
        <w:footnoteReference w:id="18"/>
      </w:r>
    </w:p>
    <w:p w:rsidR="00C30011" w:rsidRDefault="00C30011" w:rsidP="00E97534">
      <w:pPr>
        <w:pStyle w:val="SingleTxt"/>
        <w:rPr>
          <w:rFonts w:hint="eastAsia"/>
        </w:rPr>
      </w:pPr>
      <w:r>
        <w:rPr>
          <w:rFonts w:hint="eastAsia"/>
        </w:rPr>
        <w:t>15.</w:t>
      </w:r>
      <w:r>
        <w:rPr>
          <w:rFonts w:hint="eastAsia"/>
        </w:rPr>
        <w:tab/>
        <w:t>鉴于儿童家庭佣工中女孩居多，缔约国正在采取哪些措施以防止和惩处雇主或雇主家庭成员对这些女孩的性虐待？</w:t>
      </w:r>
    </w:p>
    <w:p w:rsidR="00C30011" w:rsidRPr="00867FDD" w:rsidRDefault="00C30011" w:rsidP="00E97534">
      <w:pPr>
        <w:pStyle w:val="SingleTxt"/>
        <w:rPr>
          <w:rFonts w:ascii="SimHei" w:eastAsia="SimHei" w:hint="eastAsia"/>
        </w:rPr>
      </w:pPr>
      <w:r w:rsidRPr="00867FDD">
        <w:rPr>
          <w:rFonts w:ascii="SimHei" w:eastAsia="SimHei" w:hint="eastAsia"/>
        </w:rPr>
        <w:t>参与政治和公共生活及决策</w:t>
      </w:r>
    </w:p>
    <w:p w:rsidR="00C30011" w:rsidRDefault="00C30011" w:rsidP="00E97534">
      <w:pPr>
        <w:pStyle w:val="SingleTxt"/>
        <w:rPr>
          <w:rFonts w:hint="eastAsia"/>
        </w:rPr>
      </w:pPr>
      <w:r>
        <w:rPr>
          <w:rFonts w:hint="eastAsia"/>
        </w:rPr>
        <w:t>16.</w:t>
      </w:r>
      <w:r>
        <w:rPr>
          <w:rFonts w:hint="eastAsia"/>
        </w:rPr>
        <w:tab/>
        <w:t>请提供最新信息，说明妇女在新组成的人民代表院和在各州议会中的代表比例。</w:t>
      </w:r>
      <w:r w:rsidR="00867FDD">
        <w:rPr>
          <w:rStyle w:val="FootnoteReference"/>
        </w:rPr>
        <w:footnoteReference w:id="19"/>
      </w:r>
      <w:r>
        <w:rPr>
          <w:rFonts w:hint="eastAsia"/>
        </w:rPr>
        <w:t xml:space="preserve"> 另请提供信息说明旨在增加担任公职、包括高级部级和外交职务以及司法职务的妇女人数而采取的措施，包括暂行特别措施。</w:t>
      </w:r>
      <w:r w:rsidR="00867FDD">
        <w:rPr>
          <w:rStyle w:val="FootnoteReference"/>
        </w:rPr>
        <w:footnoteReference w:id="20"/>
      </w:r>
    </w:p>
    <w:p w:rsidR="00C30011" w:rsidRDefault="00C30011" w:rsidP="00E97534">
      <w:pPr>
        <w:pStyle w:val="SingleTxt"/>
        <w:rPr>
          <w:rFonts w:hint="eastAsia"/>
        </w:rPr>
      </w:pPr>
      <w:r>
        <w:rPr>
          <w:rFonts w:hint="eastAsia"/>
        </w:rPr>
        <w:t>17.</w:t>
      </w:r>
      <w:r>
        <w:rPr>
          <w:rFonts w:hint="eastAsia"/>
        </w:rPr>
        <w:tab/>
        <w:t>缔约国正采取哪些措施以确保妇女竞选人、尤其是属于反对派政党的妇女竞选人不受骚扰和恫吓？</w:t>
      </w:r>
    </w:p>
    <w:p w:rsidR="00C30011" w:rsidRPr="00867FDD" w:rsidRDefault="00C30011" w:rsidP="00E97534">
      <w:pPr>
        <w:pStyle w:val="SingleTxt"/>
        <w:rPr>
          <w:rFonts w:ascii="SimHei" w:eastAsia="SimHei" w:hint="eastAsia"/>
        </w:rPr>
      </w:pPr>
      <w:r w:rsidRPr="00867FDD">
        <w:rPr>
          <w:rFonts w:ascii="SimHei" w:eastAsia="SimHei" w:hint="eastAsia"/>
        </w:rPr>
        <w:t>教育</w:t>
      </w:r>
    </w:p>
    <w:p w:rsidR="00C30011" w:rsidRDefault="00C30011" w:rsidP="00E97534">
      <w:pPr>
        <w:pStyle w:val="SingleTxt"/>
        <w:rPr>
          <w:rFonts w:hint="eastAsia"/>
        </w:rPr>
      </w:pPr>
      <w:r>
        <w:rPr>
          <w:rFonts w:hint="eastAsia"/>
        </w:rPr>
        <w:t>18.</w:t>
      </w:r>
      <w:r>
        <w:rPr>
          <w:rFonts w:hint="eastAsia"/>
        </w:rPr>
        <w:tab/>
        <w:t>请提供更多信息，说明女孩旷课和辍学原因，并说明：</w:t>
      </w:r>
    </w:p>
    <w:p w:rsidR="00C30011" w:rsidRDefault="00867FDD" w:rsidP="00E97534">
      <w:pPr>
        <w:pStyle w:val="SingleTxt"/>
        <w:rPr>
          <w:rFonts w:hint="eastAsia"/>
        </w:rPr>
      </w:pPr>
      <w:r>
        <w:rPr>
          <w:rFonts w:hint="eastAsia"/>
        </w:rPr>
        <w:tab/>
      </w:r>
      <w:r w:rsidR="00C30011">
        <w:rPr>
          <w:rFonts w:hint="eastAsia"/>
        </w:rPr>
        <w:t>(a)</w:t>
      </w:r>
      <w:r w:rsidR="00C30011">
        <w:rPr>
          <w:rFonts w:hint="eastAsia"/>
        </w:rPr>
        <w:tab/>
        <w:t>女性教工占50</w:t>
      </w:r>
      <w:r w:rsidR="00F31E3F">
        <w:rPr>
          <w:rFonts w:hint="eastAsia"/>
        </w:rPr>
        <w:t>%</w:t>
      </w:r>
      <w:r w:rsidR="00C30011">
        <w:rPr>
          <w:rFonts w:hint="eastAsia"/>
        </w:rPr>
        <w:t>这一比额是否适用于各级教育；</w:t>
      </w:r>
      <w:r>
        <w:rPr>
          <w:rStyle w:val="FootnoteReference"/>
        </w:rPr>
        <w:footnoteReference w:id="21"/>
      </w:r>
    </w:p>
    <w:p w:rsidR="00C30011" w:rsidRDefault="00867FDD" w:rsidP="00E97534">
      <w:pPr>
        <w:pStyle w:val="SingleTxt"/>
        <w:rPr>
          <w:rFonts w:hint="eastAsia"/>
        </w:rPr>
      </w:pPr>
      <w:r>
        <w:rPr>
          <w:rFonts w:hint="eastAsia"/>
        </w:rPr>
        <w:tab/>
      </w:r>
      <w:r w:rsidR="00C30011">
        <w:rPr>
          <w:rFonts w:hint="eastAsia"/>
        </w:rPr>
        <w:t>(b)</w:t>
      </w:r>
      <w:r w:rsidR="00C30011">
        <w:rPr>
          <w:rFonts w:hint="eastAsia"/>
        </w:rPr>
        <w:tab/>
        <w:t>在中小学采取的旨在提高女孩入学率、降低女孩辍学率和复读率的暂行特别措施例子，尤其是在农村地区；</w:t>
      </w:r>
      <w:r>
        <w:rPr>
          <w:rStyle w:val="FootnoteReference"/>
        </w:rPr>
        <w:footnoteReference w:id="22"/>
      </w:r>
    </w:p>
    <w:p w:rsidR="00C30011" w:rsidRDefault="00867FDD" w:rsidP="00E97534">
      <w:pPr>
        <w:pStyle w:val="SingleTxt"/>
        <w:rPr>
          <w:rFonts w:hint="eastAsia"/>
        </w:rPr>
      </w:pPr>
      <w:r>
        <w:rPr>
          <w:rFonts w:hint="eastAsia"/>
        </w:rPr>
        <w:tab/>
      </w:r>
      <w:r w:rsidR="00C30011">
        <w:rPr>
          <w:rFonts w:hint="eastAsia"/>
        </w:rPr>
        <w:t>(c)</w:t>
      </w:r>
      <w:r w:rsidR="00C30011">
        <w:rPr>
          <w:rFonts w:hint="eastAsia"/>
        </w:rPr>
        <w:tab/>
        <w:t>所采取的提高女性识字率步骤；</w:t>
      </w:r>
      <w:r>
        <w:rPr>
          <w:rStyle w:val="FootnoteReference"/>
        </w:rPr>
        <w:footnoteReference w:id="23"/>
      </w:r>
      <w:r w:rsidR="00C30011">
        <w:rPr>
          <w:rFonts w:hint="eastAsia"/>
        </w:rPr>
        <w:t xml:space="preserve"> </w:t>
      </w:r>
    </w:p>
    <w:p w:rsidR="00C30011" w:rsidRDefault="00867FDD" w:rsidP="00E97534">
      <w:pPr>
        <w:pStyle w:val="SingleTxt"/>
        <w:rPr>
          <w:rFonts w:hint="eastAsia"/>
        </w:rPr>
      </w:pPr>
      <w:r>
        <w:rPr>
          <w:rFonts w:hint="eastAsia"/>
        </w:rPr>
        <w:tab/>
      </w:r>
      <w:r w:rsidR="00C30011">
        <w:rPr>
          <w:rFonts w:hint="eastAsia"/>
        </w:rPr>
        <w:t>(d)</w:t>
      </w:r>
      <w:r w:rsidR="00C30011">
        <w:rPr>
          <w:rFonts w:hint="eastAsia"/>
        </w:rPr>
        <w:tab/>
        <w:t>任何旨在增加妇女接受高等教育机会的暂行特别措施；</w:t>
      </w:r>
      <w:r>
        <w:rPr>
          <w:rStyle w:val="FootnoteReference"/>
        </w:rPr>
        <w:footnoteReference w:id="24"/>
      </w:r>
    </w:p>
    <w:p w:rsidR="00C30011" w:rsidRDefault="00867FDD" w:rsidP="00E97534">
      <w:pPr>
        <w:pStyle w:val="SingleTxt"/>
        <w:rPr>
          <w:rFonts w:hint="eastAsia"/>
        </w:rPr>
      </w:pPr>
      <w:r>
        <w:rPr>
          <w:rFonts w:hint="eastAsia"/>
        </w:rPr>
        <w:tab/>
      </w:r>
      <w:r w:rsidR="00C30011">
        <w:rPr>
          <w:rFonts w:hint="eastAsia"/>
        </w:rPr>
        <w:t>(e)</w:t>
      </w:r>
      <w:r w:rsidR="00C30011">
        <w:rPr>
          <w:rFonts w:hint="eastAsia"/>
        </w:rPr>
        <w:tab/>
        <w:t>鼓励父母送女孩上学的支助办法和奖励措施例子；</w:t>
      </w:r>
    </w:p>
    <w:p w:rsidR="00C30011" w:rsidRDefault="00867FDD" w:rsidP="00E97534">
      <w:pPr>
        <w:pStyle w:val="SingleTxt"/>
        <w:rPr>
          <w:rFonts w:hint="eastAsia"/>
        </w:rPr>
      </w:pPr>
      <w:r>
        <w:rPr>
          <w:rFonts w:hint="eastAsia"/>
        </w:rPr>
        <w:tab/>
      </w:r>
      <w:r w:rsidR="00C30011">
        <w:rPr>
          <w:rFonts w:hint="eastAsia"/>
        </w:rPr>
        <w:t>(f)</w:t>
      </w:r>
      <w:r w:rsidR="00C30011">
        <w:rPr>
          <w:rFonts w:hint="eastAsia"/>
        </w:rPr>
        <w:tab/>
        <w:t>残疾女孩的受教育机会。</w:t>
      </w:r>
    </w:p>
    <w:p w:rsidR="00C30011" w:rsidRPr="00867FDD" w:rsidRDefault="00C30011" w:rsidP="00E97534">
      <w:pPr>
        <w:pStyle w:val="SingleTxt"/>
        <w:rPr>
          <w:rFonts w:ascii="SimHei" w:eastAsia="SimHei" w:hint="eastAsia"/>
        </w:rPr>
      </w:pPr>
      <w:r w:rsidRPr="00867FDD">
        <w:rPr>
          <w:rFonts w:ascii="SimHei" w:eastAsia="SimHei" w:hint="eastAsia"/>
        </w:rPr>
        <w:t>就业</w:t>
      </w:r>
    </w:p>
    <w:p w:rsidR="00C30011" w:rsidRDefault="00C30011" w:rsidP="00E97534">
      <w:pPr>
        <w:pStyle w:val="SingleTxt"/>
        <w:rPr>
          <w:rFonts w:hint="eastAsia"/>
        </w:rPr>
      </w:pPr>
      <w:r>
        <w:rPr>
          <w:rFonts w:hint="eastAsia"/>
        </w:rPr>
        <w:t>19.</w:t>
      </w:r>
      <w:r>
        <w:rPr>
          <w:rFonts w:hint="eastAsia"/>
        </w:rPr>
        <w:tab/>
      </w:r>
      <w:r w:rsidRPr="00F31E3F">
        <w:rPr>
          <w:rFonts w:hint="eastAsia"/>
          <w:spacing w:val="-4"/>
        </w:rPr>
        <w:t>请提供更多信息，说明采取了哪些暂行特别措施以确保男女在劳务市场、</w:t>
      </w:r>
      <w:r w:rsidR="00867FDD" w:rsidRPr="00F31E3F">
        <w:rPr>
          <w:rStyle w:val="FootnoteReference"/>
          <w:spacing w:val="-4"/>
        </w:rPr>
        <w:footnoteReference w:id="25"/>
      </w:r>
      <w:r w:rsidRPr="00F31E3F">
        <w:rPr>
          <w:rFonts w:hint="eastAsia"/>
          <w:spacing w:val="-4"/>
        </w:rPr>
        <w:t xml:space="preserve"> 包括在正规部门和联邦一级公务员系统高级职位方面的平等机会。</w:t>
      </w:r>
      <w:r w:rsidR="003A1BDD" w:rsidRPr="00F31E3F">
        <w:rPr>
          <w:rStyle w:val="FootnoteReference"/>
          <w:spacing w:val="-4"/>
        </w:rPr>
        <w:footnoteReference w:id="26"/>
      </w:r>
      <w:r w:rsidRPr="00F31E3F">
        <w:rPr>
          <w:rFonts w:hint="eastAsia"/>
          <w:spacing w:val="-4"/>
        </w:rPr>
        <w:t xml:space="preserve"> 另请提供详细信息，说明妇女在正规和非正规劳务市场高级职位方面的工资水平和人数所占比例。</w:t>
      </w:r>
      <w:r w:rsidR="003A1BDD" w:rsidRPr="00F31E3F">
        <w:rPr>
          <w:rStyle w:val="FootnoteReference"/>
          <w:spacing w:val="-4"/>
        </w:rPr>
        <w:footnoteReference w:id="27"/>
      </w:r>
    </w:p>
    <w:p w:rsidR="00C30011" w:rsidRDefault="00C30011" w:rsidP="00E97534">
      <w:pPr>
        <w:pStyle w:val="SingleTxt"/>
        <w:spacing w:line="324" w:lineRule="exact"/>
        <w:rPr>
          <w:rFonts w:hint="eastAsia"/>
        </w:rPr>
      </w:pPr>
      <w:r>
        <w:rPr>
          <w:rFonts w:hint="eastAsia"/>
        </w:rPr>
        <w:t>20.</w:t>
      </w:r>
      <w:r>
        <w:rPr>
          <w:rFonts w:hint="eastAsia"/>
        </w:rPr>
        <w:tab/>
        <w:t>请提供信息，说明妇女获得养恤金及更广泛而言获得社会保护的情况，尤其是参与非正规经济部门活动和从事无报酬工作的妇女。</w:t>
      </w:r>
    </w:p>
    <w:p w:rsidR="00C30011" w:rsidRDefault="00C30011" w:rsidP="00E97534">
      <w:pPr>
        <w:pStyle w:val="SingleTxt"/>
        <w:spacing w:line="324" w:lineRule="exact"/>
        <w:rPr>
          <w:rFonts w:hint="eastAsia"/>
        </w:rPr>
      </w:pPr>
      <w:r>
        <w:rPr>
          <w:rFonts w:hint="eastAsia"/>
        </w:rPr>
        <w:t>21.</w:t>
      </w:r>
      <w:r>
        <w:rPr>
          <w:rFonts w:hint="eastAsia"/>
        </w:rPr>
        <w:tab/>
        <w:t>缔约国是否考虑在《联邦劳务公告》和《联邦公务员制度公告》中列入具体针对工作场所性骚扰问题的规定，</w:t>
      </w:r>
      <w:r w:rsidR="00E80310">
        <w:rPr>
          <w:rStyle w:val="FootnoteReference"/>
        </w:rPr>
        <w:footnoteReference w:id="28"/>
      </w:r>
      <w:r>
        <w:rPr>
          <w:rFonts w:hint="eastAsia"/>
        </w:rPr>
        <w:t xml:space="preserve"> 并对基于性别、婚姻状况、家庭责任和妊娠的开除以及工作场所的性暴力加重处罚。</w:t>
      </w:r>
      <w:r w:rsidR="00E80310">
        <w:rPr>
          <w:rStyle w:val="FootnoteReference"/>
        </w:rPr>
        <w:footnoteReference w:id="29"/>
      </w:r>
    </w:p>
    <w:p w:rsidR="00C30011" w:rsidRDefault="00C30011" w:rsidP="00E97534">
      <w:pPr>
        <w:pStyle w:val="SingleTxt"/>
        <w:spacing w:line="324" w:lineRule="exact"/>
        <w:rPr>
          <w:rFonts w:hint="eastAsia"/>
        </w:rPr>
      </w:pPr>
      <w:r>
        <w:rPr>
          <w:rFonts w:hint="eastAsia"/>
        </w:rPr>
        <w:t>22.</w:t>
      </w:r>
      <w:r>
        <w:rPr>
          <w:rFonts w:hint="eastAsia"/>
        </w:rPr>
        <w:tab/>
        <w:t>请提供信息，说明采取了哪些措施以保护女孩和男孩，包括流落街头的男女儿童免于沦为童工而遭受经济和社会剥削，以及采取了哪些措施为遭受此类剥削的儿童提供物质和精神支助及教育。</w:t>
      </w:r>
    </w:p>
    <w:p w:rsidR="00C30011" w:rsidRPr="006C5103" w:rsidRDefault="00C30011" w:rsidP="00E97534">
      <w:pPr>
        <w:pStyle w:val="SingleTxt"/>
        <w:spacing w:line="324" w:lineRule="exact"/>
        <w:rPr>
          <w:rFonts w:ascii="SimHei" w:eastAsia="SimHei" w:hint="eastAsia"/>
        </w:rPr>
      </w:pPr>
      <w:r w:rsidRPr="006C5103">
        <w:rPr>
          <w:rFonts w:ascii="SimHei" w:eastAsia="SimHei" w:hint="eastAsia"/>
        </w:rPr>
        <w:t>保健</w:t>
      </w:r>
    </w:p>
    <w:p w:rsidR="00C30011" w:rsidRDefault="00C30011" w:rsidP="00E97534">
      <w:pPr>
        <w:pStyle w:val="SingleTxt"/>
        <w:spacing w:line="324" w:lineRule="exact"/>
        <w:rPr>
          <w:rFonts w:hint="eastAsia"/>
        </w:rPr>
      </w:pPr>
      <w:r>
        <w:rPr>
          <w:rFonts w:hint="eastAsia"/>
        </w:rPr>
        <w:t>23.</w:t>
      </w:r>
      <w:r>
        <w:rPr>
          <w:rFonts w:hint="eastAsia"/>
        </w:rPr>
        <w:tab/>
        <w:t>采取了哪些措施以扩大计划生育服务和教育的覆盖面，</w:t>
      </w:r>
      <w:r w:rsidR="006C5103">
        <w:rPr>
          <w:rStyle w:val="FootnoteReference"/>
        </w:rPr>
        <w:footnoteReference w:id="30"/>
      </w:r>
      <w:r>
        <w:rPr>
          <w:rFonts w:hint="eastAsia"/>
        </w:rPr>
        <w:t xml:space="preserve"> 包括提供可负担的避孕药具以及对保健推广员、医务人员和地方妇女团体、包括农村地区上述人员的性保健和权利教育和培训？此类措施对减少不安全流产的影响如何？</w:t>
      </w:r>
      <w:r w:rsidR="006C5103">
        <w:rPr>
          <w:rStyle w:val="FootnoteReference"/>
        </w:rPr>
        <w:footnoteReference w:id="31"/>
      </w:r>
      <w:r>
        <w:rPr>
          <w:rFonts w:hint="eastAsia"/>
        </w:rPr>
        <w:t xml:space="preserve"> 请说明早婚和不安全流产在多大程度上导致了缔约国孕产妇死亡率居高。</w:t>
      </w:r>
      <w:r w:rsidR="006C5103">
        <w:rPr>
          <w:rStyle w:val="FootnoteReference"/>
        </w:rPr>
        <w:footnoteReference w:id="32"/>
      </w:r>
    </w:p>
    <w:p w:rsidR="00C30011" w:rsidRDefault="00C30011" w:rsidP="00E97534">
      <w:pPr>
        <w:pStyle w:val="SingleTxt"/>
        <w:spacing w:line="324" w:lineRule="exact"/>
        <w:rPr>
          <w:rFonts w:hint="eastAsia"/>
        </w:rPr>
      </w:pPr>
      <w:r>
        <w:rPr>
          <w:rFonts w:hint="eastAsia"/>
        </w:rPr>
        <w:t>24.</w:t>
      </w:r>
      <w:r>
        <w:rPr>
          <w:rFonts w:hint="eastAsia"/>
        </w:rPr>
        <w:tab/>
        <w:t>请介绍生殖保健战略、卫生部门发展方案和全国两性平等行动计划对降低孕产妇死亡率的影响，</w:t>
      </w:r>
      <w:r w:rsidR="006C5103">
        <w:rPr>
          <w:rStyle w:val="FootnoteReference"/>
        </w:rPr>
        <w:footnoteReference w:id="33"/>
      </w:r>
      <w:r>
        <w:rPr>
          <w:rFonts w:hint="eastAsia"/>
        </w:rPr>
        <w:t xml:space="preserve"> 尤其是在农村地区，并说明采取了哪些措施以确保妊娠和分娩期熟练护理以及产科急诊和新生儿护理等服务的提供。</w:t>
      </w:r>
    </w:p>
    <w:p w:rsidR="00C30011" w:rsidRDefault="00C30011" w:rsidP="00E97534">
      <w:pPr>
        <w:pStyle w:val="SingleTxt"/>
        <w:spacing w:line="324" w:lineRule="exact"/>
        <w:rPr>
          <w:rFonts w:hint="eastAsia"/>
        </w:rPr>
      </w:pPr>
      <w:r>
        <w:rPr>
          <w:rFonts w:hint="eastAsia"/>
        </w:rPr>
        <w:t>25.</w:t>
      </w:r>
      <w:r>
        <w:rPr>
          <w:rFonts w:hint="eastAsia"/>
        </w:rPr>
        <w:tab/>
        <w:t>报告指出，受艾滋病毒/艾滋病影响的妇女和女孩人数非常之多。</w:t>
      </w:r>
      <w:r w:rsidR="006C5103">
        <w:rPr>
          <w:rStyle w:val="FootnoteReference"/>
        </w:rPr>
        <w:footnoteReference w:id="34"/>
      </w:r>
      <w:r>
        <w:rPr>
          <w:rFonts w:hint="eastAsia"/>
        </w:rPr>
        <w:t xml:space="preserve"> 请提供详细信息，说明以年轻妇女和女孩、包括以性工作者为具体对象的艾滋病毒/艾滋病防治方案，说明是否开展了任何宣传活动以消除对女性艾滋病毒/艾滋病患者的污辱和歧视。</w:t>
      </w:r>
    </w:p>
    <w:p w:rsidR="00C30011" w:rsidRPr="006C5103" w:rsidRDefault="00C30011" w:rsidP="00E97534">
      <w:pPr>
        <w:pStyle w:val="SingleTxt"/>
        <w:spacing w:line="324" w:lineRule="exact"/>
        <w:rPr>
          <w:rFonts w:ascii="SimHei" w:eastAsia="SimHei" w:hint="eastAsia"/>
        </w:rPr>
      </w:pPr>
      <w:r w:rsidRPr="006C5103">
        <w:rPr>
          <w:rFonts w:ascii="SimHei" w:eastAsia="SimHei" w:hint="eastAsia"/>
        </w:rPr>
        <w:t>农村妇女</w:t>
      </w:r>
    </w:p>
    <w:p w:rsidR="00C30011" w:rsidRDefault="00C30011" w:rsidP="00E97534">
      <w:pPr>
        <w:pStyle w:val="SingleTxt"/>
        <w:spacing w:line="324" w:lineRule="exact"/>
        <w:rPr>
          <w:rFonts w:hint="eastAsia"/>
        </w:rPr>
      </w:pPr>
      <w:r>
        <w:rPr>
          <w:rFonts w:hint="eastAsia"/>
        </w:rPr>
        <w:t>26.</w:t>
      </w:r>
      <w:r>
        <w:rPr>
          <w:rFonts w:hint="eastAsia"/>
        </w:rPr>
        <w:tab/>
        <w:t>请介绍旨在增加居家就近获取安全饮用水机会的措施的影响，</w:t>
      </w:r>
      <w:r w:rsidR="006C5103">
        <w:rPr>
          <w:rStyle w:val="FootnoteReference"/>
        </w:rPr>
        <w:footnoteReference w:id="35"/>
      </w:r>
      <w:r>
        <w:rPr>
          <w:rFonts w:hint="eastAsia"/>
        </w:rPr>
        <w:t xml:space="preserve"> 以及为农村妇女和女孩提供适足卫生条件的措施的影响，农村妇女和女孩常常不得不长途跋涉地去取水，以致增加了她们遭受性暴力的风险，而且阻碍了女孩上学。</w:t>
      </w:r>
    </w:p>
    <w:p w:rsidR="00C30011" w:rsidRPr="006C5103" w:rsidRDefault="00C30011" w:rsidP="00C30011">
      <w:pPr>
        <w:pStyle w:val="SingleTxt"/>
        <w:rPr>
          <w:rFonts w:ascii="SimHei" w:eastAsia="SimHei" w:hint="eastAsia"/>
        </w:rPr>
      </w:pPr>
      <w:r w:rsidRPr="006C5103">
        <w:rPr>
          <w:rFonts w:ascii="SimHei" w:eastAsia="SimHei" w:hint="eastAsia"/>
        </w:rPr>
        <w:t>法律面前人人平等</w:t>
      </w:r>
    </w:p>
    <w:p w:rsidR="00C30011" w:rsidRDefault="00C30011" w:rsidP="00C30011">
      <w:pPr>
        <w:pStyle w:val="SingleTxt"/>
        <w:rPr>
          <w:rFonts w:hint="eastAsia"/>
        </w:rPr>
      </w:pPr>
      <w:r>
        <w:rPr>
          <w:rFonts w:hint="eastAsia"/>
        </w:rPr>
        <w:t>27.</w:t>
      </w:r>
      <w:r>
        <w:rPr>
          <w:rFonts w:hint="eastAsia"/>
        </w:rPr>
        <w:tab/>
        <w:t>缔约国正采取哪些措施以确保妇女自由同意家庭法事项由分别适用习惯法或伊斯兰教法的传统法庭和伊斯兰宗教法院判决，防止这些法庭和法院对妇女持有偏见，使妇女能够参加长老会，并确保妇女能诉诸普通法院，尤其是在农村地区？</w:t>
      </w:r>
      <w:r w:rsidR="006C5103">
        <w:rPr>
          <w:rStyle w:val="FootnoteReference"/>
        </w:rPr>
        <w:footnoteReference w:id="36"/>
      </w:r>
    </w:p>
    <w:p w:rsidR="00C30011" w:rsidRDefault="00C30011" w:rsidP="00C30011">
      <w:pPr>
        <w:pStyle w:val="SingleTxt"/>
        <w:rPr>
          <w:rFonts w:hint="eastAsia"/>
        </w:rPr>
      </w:pPr>
      <w:r>
        <w:rPr>
          <w:rFonts w:hint="eastAsia"/>
        </w:rPr>
        <w:t>28.</w:t>
      </w:r>
      <w:r>
        <w:rPr>
          <w:rFonts w:hint="eastAsia"/>
        </w:rPr>
        <w:tab/>
        <w:t>请提供信息，说明采取了哪些措施以确保妇女和男子在婚姻期间或解除婚姻时或在配偶死亡时在财产、继承及对土地等资源的控制方面事实上享受平等权利。</w:t>
      </w:r>
      <w:r w:rsidR="006C5103">
        <w:rPr>
          <w:rStyle w:val="FootnoteReference"/>
        </w:rPr>
        <w:footnoteReference w:id="37"/>
      </w:r>
      <w:r>
        <w:rPr>
          <w:rFonts w:hint="eastAsia"/>
        </w:rPr>
        <w:t xml:space="preserve"> 正采取哪些措施以执行《农村土地管理和土地使用公告》，其中规定土地由配偶联合登记，并正采取哪些措施以强化妇女在土地纠纷中的地位。</w:t>
      </w:r>
      <w:r w:rsidR="006C5103">
        <w:rPr>
          <w:rStyle w:val="FootnoteReference"/>
        </w:rPr>
        <w:footnoteReference w:id="38"/>
      </w:r>
    </w:p>
    <w:p w:rsidR="00C30011" w:rsidRPr="006C5103" w:rsidRDefault="00C30011" w:rsidP="00C30011">
      <w:pPr>
        <w:pStyle w:val="SingleTxt"/>
        <w:rPr>
          <w:rFonts w:ascii="SimHei" w:eastAsia="SimHei" w:hint="eastAsia"/>
        </w:rPr>
      </w:pPr>
      <w:r w:rsidRPr="006C5103">
        <w:rPr>
          <w:rFonts w:ascii="SimHei" w:eastAsia="SimHei" w:hint="eastAsia"/>
        </w:rPr>
        <w:t>婚姻和家庭</w:t>
      </w:r>
    </w:p>
    <w:p w:rsidR="00C30011" w:rsidRDefault="00C30011" w:rsidP="00C30011">
      <w:pPr>
        <w:pStyle w:val="SingleTxt"/>
        <w:rPr>
          <w:rFonts w:hint="eastAsia"/>
        </w:rPr>
      </w:pPr>
      <w:r>
        <w:rPr>
          <w:rFonts w:hint="eastAsia"/>
        </w:rPr>
        <w:t>29.</w:t>
      </w:r>
      <w:r>
        <w:rPr>
          <w:rFonts w:hint="eastAsia"/>
        </w:rPr>
        <w:tab/>
        <w:t>缔约国采取了哪些步骤以修订歧视性立法？此类立法承认丈夫为法定家庭之主和5岁以上子女的唯一监护人，</w:t>
      </w:r>
      <w:r w:rsidR="006C5103">
        <w:rPr>
          <w:rStyle w:val="FootnoteReference"/>
        </w:rPr>
        <w:footnoteReference w:id="39"/>
      </w:r>
      <w:r>
        <w:rPr>
          <w:rFonts w:hint="eastAsia"/>
        </w:rPr>
        <w:t xml:space="preserve"> 规定妇女在解除非宗教婚姻时只能得到3个月的经济支助，如为习惯法婚姻，则没有任何经济支助，而且未为寻求子女抚养费的妇女提供补救办法。</w:t>
      </w:r>
    </w:p>
    <w:p w:rsidR="00EA31C3" w:rsidRDefault="00C30011" w:rsidP="00C30011">
      <w:pPr>
        <w:pStyle w:val="SingleTxt"/>
        <w:rPr>
          <w:rFonts w:hint="eastAsia"/>
        </w:rPr>
      </w:pPr>
      <w:r>
        <w:rPr>
          <w:rFonts w:hint="eastAsia"/>
        </w:rPr>
        <w:t>30.</w:t>
      </w:r>
      <w:r>
        <w:rPr>
          <w:rFonts w:hint="eastAsia"/>
        </w:rPr>
        <w:tab/>
        <w:t>请提供信息，说明采取了哪些措施以制止早婚现象并确保各州立法与《联邦家庭法》看齐，后者规定男女法定最低结婚年龄均为18岁。</w:t>
      </w:r>
      <w:r w:rsidR="006C5103">
        <w:rPr>
          <w:rStyle w:val="FootnoteReference"/>
        </w:rPr>
        <w:footnoteReference w:id="40"/>
      </w:r>
      <w:r>
        <w:rPr>
          <w:rFonts w:hint="eastAsia"/>
        </w:rPr>
        <w:t xml:space="preserve"> 请提供按性别分列的举报早婚案例和刑事处罚数据以及关于强迫婚姻和一夫多妻婚姻发生率的数据。</w:t>
      </w:r>
      <w:r w:rsidR="006C5103">
        <w:rPr>
          <w:rStyle w:val="FootnoteReference"/>
        </w:rPr>
        <w:footnoteReference w:id="41"/>
      </w:r>
    </w:p>
    <w:p w:rsidR="00C30011" w:rsidRPr="00C30011" w:rsidRDefault="00C30011" w:rsidP="00C30011">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C30011" w:rsidRPr="00C30011" w:rsidSect="008856B4">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6T14:02:00Z" w:initials="Start">
    <w:p w:rsidR="003544DD" w:rsidRDefault="003544D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NO&gt;&gt;N1062069C&lt;&lt;ODS JOB NO&gt;&gt;</w:t>
      </w:r>
    </w:p>
    <w:p w:rsidR="003544DD" w:rsidRDefault="003544DD">
      <w:pPr>
        <w:pStyle w:val="CommentText"/>
      </w:pPr>
      <w:r>
        <w:t>&lt;&lt;ODS DOC SYMBOL1&gt;&gt;CEDAW/C/ETH/Q/6-7&lt;&lt;ODS DOC SYMBOL1&gt;&gt;</w:t>
      </w:r>
    </w:p>
    <w:p w:rsidR="003544DD" w:rsidRDefault="003544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E0C" w:rsidRDefault="004A7E0C">
      <w:r>
        <w:separator/>
      </w:r>
    </w:p>
  </w:endnote>
  <w:endnote w:type="continuationSeparator" w:id="0">
    <w:p w:rsidR="004A7E0C" w:rsidRDefault="004A7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44DD" w:rsidTr="008856B4">
      <w:tblPrEx>
        <w:tblCellMar>
          <w:top w:w="0" w:type="dxa"/>
          <w:bottom w:w="0" w:type="dxa"/>
        </w:tblCellMar>
      </w:tblPrEx>
      <w:tc>
        <w:tcPr>
          <w:tcW w:w="5033" w:type="dxa"/>
          <w:shd w:val="clear" w:color="auto" w:fill="auto"/>
        </w:tcPr>
        <w:p w:rsidR="003544DD" w:rsidRPr="008856B4" w:rsidRDefault="003544DD" w:rsidP="008856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0A4B">
            <w:rPr>
              <w:b w:val="0"/>
              <w:w w:val="103"/>
              <w:sz w:val="14"/>
            </w:rPr>
            <w:t>10-62069 (C)</w:t>
          </w:r>
          <w:r>
            <w:rPr>
              <w:b w:val="0"/>
              <w:w w:val="103"/>
              <w:sz w:val="14"/>
            </w:rPr>
            <w:fldChar w:fldCharType="end"/>
          </w:r>
        </w:p>
      </w:tc>
      <w:tc>
        <w:tcPr>
          <w:tcW w:w="5033" w:type="dxa"/>
          <w:shd w:val="clear" w:color="auto" w:fill="auto"/>
        </w:tcPr>
        <w:p w:rsidR="003544DD" w:rsidRPr="008856B4" w:rsidRDefault="003544DD" w:rsidP="008856B4">
          <w:pPr>
            <w:pStyle w:val="Footer"/>
            <w:jc w:val="left"/>
            <w:rPr>
              <w:w w:val="103"/>
            </w:rPr>
          </w:pPr>
          <w:r>
            <w:rPr>
              <w:w w:val="103"/>
            </w:rPr>
            <w:fldChar w:fldCharType="begin"/>
          </w:r>
          <w:r>
            <w:rPr>
              <w:w w:val="103"/>
            </w:rPr>
            <w:instrText xml:space="preserve"> PAGE  \* MERGEFORMAT </w:instrText>
          </w:r>
          <w:r>
            <w:rPr>
              <w:w w:val="103"/>
            </w:rPr>
            <w:fldChar w:fldCharType="separate"/>
          </w:r>
          <w:r w:rsidR="00B30A4B">
            <w:rPr>
              <w:w w:val="103"/>
            </w:rPr>
            <w:t>4</w:t>
          </w:r>
          <w:r>
            <w:rPr>
              <w:w w:val="103"/>
            </w:rPr>
            <w:fldChar w:fldCharType="end"/>
          </w:r>
        </w:p>
      </w:tc>
    </w:tr>
  </w:tbl>
  <w:p w:rsidR="003544DD" w:rsidRPr="008856B4" w:rsidRDefault="003544DD" w:rsidP="008856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44DD" w:rsidTr="008856B4">
      <w:tblPrEx>
        <w:tblCellMar>
          <w:top w:w="0" w:type="dxa"/>
          <w:bottom w:w="0" w:type="dxa"/>
        </w:tblCellMar>
      </w:tblPrEx>
      <w:tc>
        <w:tcPr>
          <w:tcW w:w="5033" w:type="dxa"/>
          <w:shd w:val="clear" w:color="auto" w:fill="auto"/>
        </w:tcPr>
        <w:p w:rsidR="003544DD" w:rsidRPr="008856B4" w:rsidRDefault="003544DD" w:rsidP="008856B4">
          <w:pPr>
            <w:pStyle w:val="Footer"/>
            <w:jc w:val="right"/>
          </w:pPr>
          <w:r>
            <w:fldChar w:fldCharType="begin"/>
          </w:r>
          <w:r>
            <w:instrText xml:space="preserve"> PAGE  \* MERGEFORMAT </w:instrText>
          </w:r>
          <w:r>
            <w:fldChar w:fldCharType="separate"/>
          </w:r>
          <w:r w:rsidR="00B30A4B">
            <w:t>5</w:t>
          </w:r>
          <w:r>
            <w:fldChar w:fldCharType="end"/>
          </w:r>
        </w:p>
      </w:tc>
      <w:tc>
        <w:tcPr>
          <w:tcW w:w="5033" w:type="dxa"/>
          <w:shd w:val="clear" w:color="auto" w:fill="auto"/>
        </w:tcPr>
        <w:p w:rsidR="003544DD" w:rsidRPr="008856B4" w:rsidRDefault="003544DD" w:rsidP="008856B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0A4B">
            <w:rPr>
              <w:b w:val="0"/>
              <w:w w:val="103"/>
              <w:sz w:val="14"/>
            </w:rPr>
            <w:t>10-62069 (C)</w:t>
          </w:r>
          <w:r>
            <w:rPr>
              <w:b w:val="0"/>
              <w:w w:val="103"/>
              <w:sz w:val="14"/>
            </w:rPr>
            <w:fldChar w:fldCharType="end"/>
          </w:r>
        </w:p>
      </w:tc>
    </w:tr>
  </w:tbl>
  <w:p w:rsidR="003544DD" w:rsidRPr="008856B4" w:rsidRDefault="003544DD" w:rsidP="008856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544DD">
      <w:tblPrEx>
        <w:tblCellMar>
          <w:top w:w="0" w:type="dxa"/>
          <w:bottom w:w="0" w:type="dxa"/>
        </w:tblCellMar>
      </w:tblPrEx>
      <w:tc>
        <w:tcPr>
          <w:tcW w:w="5033" w:type="dxa"/>
        </w:tcPr>
        <w:p w:rsidR="003544DD" w:rsidRDefault="003544DD" w:rsidP="008856B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B30A4B">
            <w:rPr>
              <w:b w:val="0"/>
              <w:sz w:val="21"/>
            </w:rPr>
            <w:t>10-62069 (C)</w:t>
          </w:r>
          <w:r>
            <w:rPr>
              <w:b w:val="0"/>
              <w:sz w:val="21"/>
            </w:rPr>
            <w:fldChar w:fldCharType="end"/>
          </w:r>
          <w:r>
            <w:rPr>
              <w:b w:val="0"/>
              <w:sz w:val="21"/>
            </w:rPr>
            <w:t xml:space="preserve">    261110    261110</w:t>
          </w:r>
        </w:p>
        <w:p w:rsidR="003544DD" w:rsidRPr="008856B4" w:rsidRDefault="003544DD" w:rsidP="008856B4">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30A4B">
            <w:rPr>
              <w:rFonts w:ascii="Barcode 3 of 9 by request" w:hAnsi="Barcode 3 of 9 by request"/>
              <w:sz w:val="24"/>
            </w:rPr>
            <w:t>*1062069*</w:t>
          </w:r>
          <w:r>
            <w:rPr>
              <w:rFonts w:ascii="Barcode 3 of 9 by request" w:hAnsi="Barcode 3 of 9 by request"/>
              <w:sz w:val="24"/>
            </w:rPr>
            <w:fldChar w:fldCharType="end"/>
          </w:r>
        </w:p>
      </w:tc>
      <w:tc>
        <w:tcPr>
          <w:tcW w:w="5033" w:type="dxa"/>
        </w:tcPr>
        <w:p w:rsidR="003544DD" w:rsidRDefault="003544DD" w:rsidP="008856B4">
          <w:pPr>
            <w:pStyle w:val="Footer"/>
            <w:jc w:val="right"/>
            <w:rPr>
              <w:b w:val="0"/>
              <w:sz w:val="21"/>
            </w:rPr>
          </w:pPr>
          <w:r w:rsidRPr="008856B4">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3544DD" w:rsidRPr="008856B4" w:rsidRDefault="003544DD" w:rsidP="008856B4">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E0C" w:rsidRPr="00C30011" w:rsidRDefault="004A7E0C" w:rsidP="00C30011">
      <w:pPr>
        <w:pStyle w:val="Footer"/>
        <w:spacing w:after="80"/>
        <w:ind w:left="792"/>
        <w:rPr>
          <w:sz w:val="16"/>
        </w:rPr>
      </w:pPr>
      <w:r w:rsidRPr="00C30011">
        <w:rPr>
          <w:sz w:val="16"/>
        </w:rPr>
        <w:t>__________________</w:t>
      </w:r>
    </w:p>
  </w:footnote>
  <w:footnote w:type="continuationSeparator" w:id="0">
    <w:p w:rsidR="004A7E0C" w:rsidRPr="00C30011" w:rsidRDefault="004A7E0C" w:rsidP="00C30011">
      <w:pPr>
        <w:pStyle w:val="Footer"/>
        <w:spacing w:after="80"/>
        <w:ind w:left="792"/>
        <w:rPr>
          <w:sz w:val="16"/>
        </w:rPr>
      </w:pPr>
      <w:r w:rsidRPr="00C30011">
        <w:rPr>
          <w:sz w:val="16"/>
        </w:rPr>
        <w:t>__________________</w:t>
      </w:r>
    </w:p>
  </w:footnote>
  <w:footnote w:id="1">
    <w:p w:rsidR="003544DD" w:rsidRPr="00C30011" w:rsidRDefault="003544DD" w:rsidP="00C3001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30011">
        <w:rPr>
          <w:rFonts w:hint="eastAsia"/>
        </w:rPr>
        <w:t>CEDAW/C/ETH/6-7。</w:t>
      </w:r>
    </w:p>
  </w:footnote>
  <w:footnote w:id="2">
    <w:p w:rsidR="003544DD" w:rsidRPr="00C30011" w:rsidRDefault="003544DD" w:rsidP="00C3001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30011">
        <w:rPr>
          <w:rFonts w:hint="eastAsia"/>
        </w:rPr>
        <w:t>见HRI/CORE/ETH/2008，第256段及其后段落。</w:t>
      </w:r>
    </w:p>
  </w:footnote>
  <w:footnote w:id="3">
    <w:p w:rsidR="003544DD" w:rsidRPr="00C30011" w:rsidRDefault="003544DD" w:rsidP="00C3001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30011">
        <w:rPr>
          <w:rFonts w:hint="eastAsia"/>
        </w:rPr>
        <w:t>见CEDAW/C/ETH/CO/4-5，第242段；另见HRI/CORE/ETH/2008，第232段及其后段落。</w:t>
      </w:r>
    </w:p>
  </w:footnote>
  <w:footnote w:id="4">
    <w:p w:rsidR="003544DD" w:rsidRPr="00C30011" w:rsidRDefault="003544DD" w:rsidP="00C3001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30011">
        <w:rPr>
          <w:rFonts w:hint="eastAsia"/>
        </w:rPr>
        <w:t>见HRI/CORE/ETH/2008，第271</w:t>
      </w:r>
      <w:r>
        <w:rPr>
          <w:rFonts w:hint="eastAsia"/>
        </w:rPr>
        <w:t>-</w:t>
      </w:r>
      <w:r w:rsidRPr="00C30011">
        <w:rPr>
          <w:rFonts w:hint="eastAsia"/>
        </w:rPr>
        <w:t>273段。</w:t>
      </w:r>
    </w:p>
  </w:footnote>
  <w:footnote w:id="5">
    <w:p w:rsidR="003544DD" w:rsidRPr="00C30011" w:rsidRDefault="003544DD" w:rsidP="00C3001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30011">
        <w:rPr>
          <w:rFonts w:hint="eastAsia"/>
        </w:rPr>
        <w:t>见CEDAW/C/ETH/6-7，第21段；另见HRI/CORE/ETH/2008，第217-281段及第265段。</w:t>
      </w:r>
    </w:p>
  </w:footnote>
  <w:footnote w:id="6">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见CEDAW/C/ETH/6-7，第2段和第22-23段。</w:t>
      </w:r>
    </w:p>
  </w:footnote>
  <w:footnote w:id="7">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见CEDAW/C/ETH/CO/4-5，第270段。</w:t>
      </w:r>
    </w:p>
  </w:footnote>
  <w:footnote w:id="8">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见CEDAW/C/ETH/6-7，第10、39和59段；另见HRI/CORE/ETH/2008，第268段。</w:t>
      </w:r>
    </w:p>
  </w:footnote>
  <w:footnote w:id="9">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见CEDAW/C/ETH/CO/4-5，第256段。</w:t>
      </w:r>
    </w:p>
  </w:footnote>
  <w:footnote w:id="10">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见CEDAW/C/ETH/6-7，第37段。</w:t>
      </w:r>
    </w:p>
  </w:footnote>
  <w:footnote w:id="11">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见CEDAW/C/ETH/CO/4-5，第256段。</w:t>
      </w:r>
    </w:p>
  </w:footnote>
  <w:footnote w:id="12">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见CEDAW/C/ETH/6-7，附件16。</w:t>
      </w:r>
    </w:p>
  </w:footnote>
  <w:footnote w:id="13">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同上，第192-193段。</w:t>
      </w:r>
    </w:p>
  </w:footnote>
  <w:footnote w:id="14">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同上，第36段。</w:t>
      </w:r>
    </w:p>
  </w:footnote>
  <w:footnote w:id="15">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同上，第50段。</w:t>
      </w:r>
    </w:p>
  </w:footnote>
  <w:footnote w:id="16">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同上，第43段。</w:t>
      </w:r>
    </w:p>
  </w:footnote>
  <w:footnote w:id="17">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同上，第45段。</w:t>
      </w:r>
    </w:p>
  </w:footnote>
  <w:footnote w:id="18">
    <w:p w:rsidR="003544DD" w:rsidRPr="00867FDD" w:rsidRDefault="003544DD" w:rsidP="00867F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7FDD">
        <w:rPr>
          <w:rFonts w:hint="eastAsia"/>
        </w:rPr>
        <w:t>同上，第266段。</w:t>
      </w:r>
    </w:p>
  </w:footnote>
  <w:footnote w:id="19">
    <w:p w:rsidR="003544DD" w:rsidRPr="00867FDD" w:rsidRDefault="003544DD" w:rsidP="00E9753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70" w:right="1259" w:hanging="578"/>
      </w:pPr>
      <w:r>
        <w:tab/>
      </w:r>
      <w:r>
        <w:rPr>
          <w:rStyle w:val="FootnoteReference"/>
        </w:rPr>
        <w:footnoteRef/>
      </w:r>
      <w:r>
        <w:tab/>
      </w:r>
      <w:r w:rsidRPr="00867FDD">
        <w:rPr>
          <w:rFonts w:hint="eastAsia"/>
        </w:rPr>
        <w:t>同上，第54段。</w:t>
      </w:r>
    </w:p>
  </w:footnote>
  <w:footnote w:id="20">
    <w:p w:rsidR="003544DD" w:rsidRPr="00867FDD" w:rsidRDefault="003544DD" w:rsidP="00E9753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70" w:right="1259" w:hanging="578"/>
      </w:pPr>
      <w:r>
        <w:tab/>
      </w:r>
      <w:r>
        <w:rPr>
          <w:rStyle w:val="FootnoteReference"/>
        </w:rPr>
        <w:footnoteRef/>
      </w:r>
      <w:r>
        <w:tab/>
      </w:r>
      <w:r w:rsidRPr="00867FDD">
        <w:rPr>
          <w:rFonts w:hint="eastAsia"/>
        </w:rPr>
        <w:t>同上，第54段及其后段落和附件；另见HRI/CORE/ETH/2008，表79。</w:t>
      </w:r>
    </w:p>
  </w:footnote>
  <w:footnote w:id="21">
    <w:p w:rsidR="003544DD" w:rsidRPr="00867FDD" w:rsidRDefault="003544DD" w:rsidP="00E9753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70" w:right="1259" w:hanging="578"/>
        <w:rPr>
          <w:rFonts w:hint="eastAsia"/>
        </w:rPr>
      </w:pPr>
      <w:r>
        <w:tab/>
      </w:r>
      <w:r>
        <w:rPr>
          <w:rStyle w:val="FootnoteReference"/>
        </w:rPr>
        <w:footnoteRef/>
      </w:r>
      <w:r>
        <w:tab/>
      </w:r>
      <w:r w:rsidR="00B30A4B">
        <w:rPr>
          <w:rFonts w:hint="eastAsia"/>
        </w:rPr>
        <w:t>见CEDAW/C/ETH/6</w:t>
      </w:r>
      <w:r w:rsidR="00B30A4B" w:rsidRPr="00867FDD">
        <w:rPr>
          <w:rFonts w:hint="eastAsia"/>
        </w:rPr>
        <w:t>-</w:t>
      </w:r>
      <w:r w:rsidR="00B30A4B">
        <w:rPr>
          <w:rFonts w:hint="eastAsia"/>
        </w:rPr>
        <w:t>7，第80段。</w:t>
      </w:r>
    </w:p>
  </w:footnote>
  <w:footnote w:id="22">
    <w:p w:rsidR="003544DD" w:rsidRPr="00867FDD" w:rsidRDefault="003544DD" w:rsidP="00E9753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70" w:right="1259" w:hanging="578"/>
      </w:pPr>
      <w:r>
        <w:tab/>
      </w:r>
      <w:r>
        <w:rPr>
          <w:rStyle w:val="FootnoteReference"/>
        </w:rPr>
        <w:footnoteRef/>
      </w:r>
      <w:r>
        <w:tab/>
      </w:r>
      <w:r w:rsidRPr="00867FDD">
        <w:rPr>
          <w:rFonts w:hint="eastAsia"/>
        </w:rPr>
        <w:t>见CEDAW/C/ETH/CO/4-5，第250段；另见HRI/CORE/ETH/2008，表47-52。</w:t>
      </w:r>
    </w:p>
  </w:footnote>
  <w:footnote w:id="23">
    <w:p w:rsidR="003544DD" w:rsidRPr="00867FDD" w:rsidRDefault="003544DD" w:rsidP="00E9753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70" w:right="1259" w:hanging="578"/>
      </w:pPr>
      <w:r>
        <w:tab/>
      </w:r>
      <w:r>
        <w:rPr>
          <w:rStyle w:val="FootnoteReference"/>
        </w:rPr>
        <w:footnoteRef/>
      </w:r>
      <w:r>
        <w:tab/>
      </w:r>
      <w:r w:rsidRPr="00867FDD">
        <w:rPr>
          <w:rFonts w:hint="eastAsia"/>
        </w:rPr>
        <w:t>见CEDAW/C/ETH/CO/4-5，第250段；另见CEDAW/C/ETH/6-7，第81段；HRI/CORE/ETH/2008，表53。</w:t>
      </w:r>
    </w:p>
  </w:footnote>
  <w:footnote w:id="24">
    <w:p w:rsidR="003544DD" w:rsidRPr="00867FDD" w:rsidRDefault="003544DD" w:rsidP="00E9753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70" w:right="1259" w:hanging="578"/>
      </w:pPr>
      <w:r>
        <w:tab/>
      </w:r>
      <w:r>
        <w:rPr>
          <w:rStyle w:val="FootnoteReference"/>
        </w:rPr>
        <w:footnoteRef/>
      </w:r>
      <w:r>
        <w:tab/>
      </w:r>
      <w:r w:rsidRPr="00867FDD">
        <w:rPr>
          <w:rFonts w:hint="eastAsia"/>
        </w:rPr>
        <w:t>见CEDAW/C/ETH/6-7，第89段和附录16。</w:t>
      </w:r>
    </w:p>
  </w:footnote>
  <w:footnote w:id="25">
    <w:p w:rsidR="003544DD" w:rsidRPr="003A1BDD" w:rsidRDefault="003544DD" w:rsidP="00E9753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70" w:right="1259" w:hanging="578"/>
        <w:rPr>
          <w:rFonts w:hint="eastAsia"/>
        </w:rPr>
      </w:pPr>
      <w:r>
        <w:tab/>
      </w:r>
      <w:r>
        <w:rPr>
          <w:rStyle w:val="FootnoteReference"/>
        </w:rPr>
        <w:footnoteRef/>
      </w:r>
      <w:r>
        <w:tab/>
      </w:r>
      <w:r w:rsidRPr="003A1BDD">
        <w:rPr>
          <w:rFonts w:hint="eastAsia"/>
        </w:rPr>
        <w:t>见CEDAW/C/ETH/CO/4-5，第262段；另见HRI/CORE/ETH/2008，表16。</w:t>
      </w:r>
    </w:p>
  </w:footnote>
  <w:footnote w:id="26">
    <w:p w:rsidR="003544DD" w:rsidRPr="003A1BDD" w:rsidRDefault="003544DD" w:rsidP="00E9753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70" w:right="1259" w:hanging="578"/>
      </w:pPr>
      <w:r>
        <w:tab/>
      </w:r>
      <w:r>
        <w:rPr>
          <w:rStyle w:val="FootnoteReference"/>
        </w:rPr>
        <w:footnoteRef/>
      </w:r>
      <w:r>
        <w:tab/>
      </w:r>
      <w:r w:rsidRPr="003A1BDD">
        <w:rPr>
          <w:rFonts w:hint="eastAsia"/>
        </w:rPr>
        <w:t>见CEDAW/C/ETH/6-7，第102和106段。</w:t>
      </w:r>
    </w:p>
  </w:footnote>
  <w:footnote w:id="27">
    <w:p w:rsidR="003544DD" w:rsidRPr="003A1BDD" w:rsidRDefault="003544DD" w:rsidP="003A1BD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3A1BDD">
        <w:rPr>
          <w:rFonts w:hint="eastAsia"/>
        </w:rPr>
        <w:t>见CEDAW/C/ETH/CO/4-5，第262段。</w:t>
      </w:r>
    </w:p>
  </w:footnote>
  <w:footnote w:id="28">
    <w:p w:rsidR="003544DD" w:rsidRPr="00E80310" w:rsidRDefault="003544DD" w:rsidP="00E8031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80310">
        <w:rPr>
          <w:rFonts w:hint="eastAsia"/>
        </w:rPr>
        <w:t>见CEDAW/C/ETH/6-7，第128段。</w:t>
      </w:r>
    </w:p>
  </w:footnote>
  <w:footnote w:id="29">
    <w:p w:rsidR="003544DD" w:rsidRPr="00E80310" w:rsidRDefault="003544DD" w:rsidP="00E8031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80310">
        <w:rPr>
          <w:rFonts w:hint="eastAsia"/>
        </w:rPr>
        <w:t>同上，第124和128段。</w:t>
      </w:r>
    </w:p>
  </w:footnote>
  <w:footnote w:id="30">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同上，第136段。</w:t>
      </w:r>
    </w:p>
  </w:footnote>
  <w:footnote w:id="31">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同上，第148和154段。</w:t>
      </w:r>
    </w:p>
  </w:footnote>
  <w:footnote w:id="32">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同上，第140-153段和附录13。</w:t>
      </w:r>
    </w:p>
  </w:footnote>
  <w:footnote w:id="33">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见HRI/CORE/ETH/2008，表27-28。</w:t>
      </w:r>
    </w:p>
  </w:footnote>
  <w:footnote w:id="34">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见CEDAW/C/ETH/6-7，第154段；另见HRI/CORE/ETH/2008，第21段和表30-32。</w:t>
      </w:r>
    </w:p>
  </w:footnote>
  <w:footnote w:id="35">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见CEDAW/C/ETH/6-7，第182-183段</w:t>
      </w:r>
      <w:r>
        <w:rPr>
          <w:rFonts w:hint="eastAsia"/>
        </w:rPr>
        <w:t>。</w:t>
      </w:r>
    </w:p>
  </w:footnote>
  <w:footnote w:id="36">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见HRI/CORE/ETH/2008，第47、49、50、67和238段。</w:t>
      </w:r>
    </w:p>
  </w:footnote>
  <w:footnote w:id="37">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见CEDAW/C/ETH/6-7，第184、185、189和191段；另见HRI/CORE/ETH/2008，第28段。</w:t>
      </w:r>
    </w:p>
  </w:footnote>
  <w:footnote w:id="38">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见CEDAW/C/ETH/6-7，第179-181段。</w:t>
      </w:r>
    </w:p>
  </w:footnote>
  <w:footnote w:id="39">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同上，第28段。</w:t>
      </w:r>
    </w:p>
  </w:footnote>
  <w:footnote w:id="40">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见CEDAW/C/ETH/CO/4-5，第254段；另见CEDAW/C/ETH/6-7，第193段。</w:t>
      </w:r>
    </w:p>
  </w:footnote>
  <w:footnote w:id="41">
    <w:p w:rsidR="003544DD" w:rsidRPr="006C5103" w:rsidRDefault="003544DD" w:rsidP="006C510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C5103">
        <w:rPr>
          <w:rFonts w:hint="eastAsia"/>
        </w:rPr>
        <w:t>见CEDAW/C/ETH/6-7，第194段。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544DD" w:rsidTr="008856B4">
      <w:tblPrEx>
        <w:tblCellMar>
          <w:top w:w="0" w:type="dxa"/>
          <w:bottom w:w="0" w:type="dxa"/>
        </w:tblCellMar>
      </w:tblPrEx>
      <w:trPr>
        <w:trHeight w:hRule="exact" w:val="864"/>
      </w:trPr>
      <w:tc>
        <w:tcPr>
          <w:tcW w:w="4838" w:type="dxa"/>
          <w:shd w:val="clear" w:color="auto" w:fill="auto"/>
          <w:vAlign w:val="bottom"/>
        </w:tcPr>
        <w:p w:rsidR="003544DD" w:rsidRPr="008856B4" w:rsidRDefault="003544DD" w:rsidP="008856B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30A4B">
            <w:rPr>
              <w:b/>
              <w:sz w:val="17"/>
            </w:rPr>
            <w:t>CEDAW/C/ETH/Q/6-7</w:t>
          </w:r>
          <w:r>
            <w:rPr>
              <w:b/>
              <w:sz w:val="17"/>
            </w:rPr>
            <w:fldChar w:fldCharType="end"/>
          </w:r>
        </w:p>
      </w:tc>
      <w:tc>
        <w:tcPr>
          <w:tcW w:w="5033" w:type="dxa"/>
          <w:shd w:val="clear" w:color="auto" w:fill="auto"/>
          <w:vAlign w:val="bottom"/>
        </w:tcPr>
        <w:p w:rsidR="003544DD" w:rsidRDefault="003544DD" w:rsidP="008856B4">
          <w:pPr>
            <w:pStyle w:val="Header"/>
          </w:pPr>
        </w:p>
      </w:tc>
    </w:tr>
  </w:tbl>
  <w:p w:rsidR="003544DD" w:rsidRPr="008856B4" w:rsidRDefault="003544DD" w:rsidP="008856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544DD" w:rsidTr="008856B4">
      <w:tblPrEx>
        <w:tblCellMar>
          <w:top w:w="0" w:type="dxa"/>
          <w:bottom w:w="0" w:type="dxa"/>
        </w:tblCellMar>
      </w:tblPrEx>
      <w:trPr>
        <w:trHeight w:hRule="exact" w:val="864"/>
      </w:trPr>
      <w:tc>
        <w:tcPr>
          <w:tcW w:w="4838" w:type="dxa"/>
          <w:shd w:val="clear" w:color="auto" w:fill="auto"/>
          <w:vAlign w:val="bottom"/>
        </w:tcPr>
        <w:p w:rsidR="003544DD" w:rsidRDefault="003544DD" w:rsidP="008856B4">
          <w:pPr>
            <w:pStyle w:val="Header"/>
          </w:pPr>
        </w:p>
      </w:tc>
      <w:tc>
        <w:tcPr>
          <w:tcW w:w="5033" w:type="dxa"/>
          <w:shd w:val="clear" w:color="auto" w:fill="auto"/>
          <w:vAlign w:val="bottom"/>
        </w:tcPr>
        <w:p w:rsidR="003544DD" w:rsidRPr="008856B4" w:rsidRDefault="003544DD" w:rsidP="008856B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30A4B">
            <w:rPr>
              <w:b/>
              <w:sz w:val="17"/>
            </w:rPr>
            <w:t>CEDAW/C/ETH/Q/6-7</w:t>
          </w:r>
          <w:r>
            <w:rPr>
              <w:b/>
              <w:sz w:val="17"/>
            </w:rPr>
            <w:fldChar w:fldCharType="end"/>
          </w:r>
        </w:p>
      </w:tc>
    </w:tr>
  </w:tbl>
  <w:p w:rsidR="003544DD" w:rsidRPr="008856B4" w:rsidRDefault="003544DD" w:rsidP="008856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544DD" w:rsidTr="008856B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44DD" w:rsidRDefault="003544DD" w:rsidP="008856B4">
          <w:pPr>
            <w:pStyle w:val="Header"/>
            <w:spacing w:after="120"/>
          </w:pPr>
        </w:p>
      </w:tc>
      <w:tc>
        <w:tcPr>
          <w:tcW w:w="1872" w:type="dxa"/>
          <w:tcBorders>
            <w:bottom w:val="single" w:sz="4" w:space="0" w:color="auto"/>
          </w:tcBorders>
          <w:shd w:val="clear" w:color="auto" w:fill="auto"/>
          <w:vAlign w:val="bottom"/>
        </w:tcPr>
        <w:p w:rsidR="003544DD" w:rsidRPr="008856B4" w:rsidRDefault="003544DD" w:rsidP="008856B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544DD" w:rsidRDefault="003544DD" w:rsidP="008856B4">
          <w:pPr>
            <w:pStyle w:val="Header"/>
            <w:spacing w:after="120"/>
          </w:pPr>
        </w:p>
      </w:tc>
      <w:tc>
        <w:tcPr>
          <w:tcW w:w="6523" w:type="dxa"/>
          <w:gridSpan w:val="3"/>
          <w:tcBorders>
            <w:bottom w:val="single" w:sz="4" w:space="0" w:color="auto"/>
          </w:tcBorders>
          <w:shd w:val="clear" w:color="auto" w:fill="auto"/>
          <w:vAlign w:val="bottom"/>
        </w:tcPr>
        <w:p w:rsidR="003544DD" w:rsidRPr="008856B4" w:rsidRDefault="003544DD" w:rsidP="008856B4">
          <w:pPr>
            <w:spacing w:after="80" w:line="240" w:lineRule="auto"/>
            <w:jc w:val="right"/>
            <w:rPr>
              <w:rFonts w:ascii="Times New Roman"/>
              <w:position w:val="-4"/>
            </w:rPr>
          </w:pPr>
          <w:r>
            <w:rPr>
              <w:rFonts w:ascii="Times New Roman"/>
              <w:position w:val="-4"/>
              <w:sz w:val="40"/>
            </w:rPr>
            <w:t>CEDAW</w:t>
          </w:r>
          <w:r>
            <w:rPr>
              <w:rFonts w:ascii="Times New Roman"/>
              <w:position w:val="-4"/>
            </w:rPr>
            <w:t>/C/ETH/Q/6-7</w:t>
          </w:r>
        </w:p>
      </w:tc>
    </w:tr>
    <w:tr w:rsidR="003544DD" w:rsidRPr="008856B4" w:rsidTr="008856B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44DD" w:rsidRDefault="003544DD" w:rsidP="008856B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544DD" w:rsidRPr="008856B4" w:rsidRDefault="003544DD" w:rsidP="008856B4">
          <w:pPr>
            <w:pStyle w:val="Header"/>
            <w:spacing w:before="109"/>
            <w:ind w:left="-72"/>
          </w:pPr>
        </w:p>
      </w:tc>
      <w:tc>
        <w:tcPr>
          <w:tcW w:w="5227" w:type="dxa"/>
          <w:gridSpan w:val="3"/>
          <w:tcBorders>
            <w:top w:val="single" w:sz="4" w:space="0" w:color="auto"/>
            <w:bottom w:val="single" w:sz="12" w:space="0" w:color="auto"/>
          </w:tcBorders>
          <w:shd w:val="clear" w:color="auto" w:fill="auto"/>
        </w:tcPr>
        <w:p w:rsidR="003544DD" w:rsidRPr="008856B4" w:rsidRDefault="003544DD" w:rsidP="008856B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544DD" w:rsidRPr="008856B4" w:rsidRDefault="003544DD" w:rsidP="008856B4">
          <w:pPr>
            <w:pStyle w:val="Header"/>
            <w:spacing w:before="109"/>
          </w:pPr>
        </w:p>
      </w:tc>
      <w:tc>
        <w:tcPr>
          <w:tcW w:w="3180" w:type="dxa"/>
          <w:gridSpan w:val="2"/>
          <w:tcBorders>
            <w:top w:val="single" w:sz="4" w:space="0" w:color="auto"/>
            <w:bottom w:val="single" w:sz="12" w:space="0" w:color="auto"/>
          </w:tcBorders>
          <w:shd w:val="clear" w:color="auto" w:fill="auto"/>
        </w:tcPr>
        <w:p w:rsidR="003544DD" w:rsidRDefault="003544DD" w:rsidP="008856B4">
          <w:pPr>
            <w:spacing w:before="240" w:line="240" w:lineRule="exact"/>
            <w:rPr>
              <w:rFonts w:ascii="Times New Roman"/>
            </w:rPr>
          </w:pPr>
          <w:r>
            <w:rPr>
              <w:rFonts w:ascii="Times New Roman"/>
            </w:rPr>
            <w:t>Distr.: General</w:t>
          </w:r>
        </w:p>
        <w:p w:rsidR="003544DD" w:rsidRDefault="003544DD" w:rsidP="008856B4">
          <w:pPr>
            <w:spacing w:line="240" w:lineRule="exact"/>
            <w:rPr>
              <w:rFonts w:ascii="Times New Roman"/>
            </w:rPr>
          </w:pPr>
          <w:r>
            <w:rPr>
              <w:rFonts w:ascii="Times New Roman"/>
            </w:rPr>
            <w:t>4 November 2010</w:t>
          </w:r>
        </w:p>
        <w:p w:rsidR="003544DD" w:rsidRDefault="003544DD" w:rsidP="008856B4">
          <w:pPr>
            <w:spacing w:line="240" w:lineRule="exact"/>
            <w:rPr>
              <w:rFonts w:ascii="Times New Roman"/>
            </w:rPr>
          </w:pPr>
          <w:r>
            <w:rPr>
              <w:rFonts w:ascii="Times New Roman"/>
            </w:rPr>
            <w:t>Chinese</w:t>
          </w:r>
        </w:p>
        <w:p w:rsidR="003544DD" w:rsidRPr="008856B4" w:rsidRDefault="003544DD" w:rsidP="008856B4">
          <w:pPr>
            <w:spacing w:line="240" w:lineRule="exact"/>
            <w:rPr>
              <w:rFonts w:ascii="Times New Roman"/>
            </w:rPr>
          </w:pPr>
          <w:r>
            <w:rPr>
              <w:rFonts w:ascii="Times New Roman"/>
            </w:rPr>
            <w:t>Original: English</w:t>
          </w:r>
        </w:p>
      </w:tc>
    </w:tr>
  </w:tbl>
  <w:p w:rsidR="003544DD" w:rsidRPr="008856B4" w:rsidRDefault="003544DD" w:rsidP="008856B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69*"/>
    <w:docVar w:name="CreationDt" w:val="26/11/2010 13:24:34"/>
    <w:docVar w:name="DocCategory" w:val="Doc"/>
    <w:docVar w:name="DocType" w:val="Final"/>
    <w:docVar w:name="FooterJN" w:val="10-62069 (C)"/>
    <w:docVar w:name="jobn" w:val="10-62069 (C)"/>
    <w:docVar w:name="jobnDT" w:val="10-62069 (C)   261110"/>
    <w:docVar w:name="jobnDTDT" w:val="10-62069 (C)   261110   261110"/>
    <w:docVar w:name="JobNo" w:val="1062069C"/>
    <w:docVar w:name="OandT" w:val="duan"/>
    <w:docVar w:name="sss1" w:val="CEDAW/C/ETH/Q/6-7"/>
    <w:docVar w:name="sss2" w:val="-"/>
    <w:docVar w:name="Symbol1" w:val="CEDAW/C/ETH/Q/6-7"/>
    <w:docVar w:name="Symbol2" w:val="-"/>
  </w:docVars>
  <w:rsids>
    <w:rsidRoot w:val="004F6DF5"/>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C5FCB"/>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B774C"/>
    <w:rsid w:val="002C2254"/>
    <w:rsid w:val="002C3BC9"/>
    <w:rsid w:val="002C54DB"/>
    <w:rsid w:val="002D039F"/>
    <w:rsid w:val="002D0694"/>
    <w:rsid w:val="002D0B62"/>
    <w:rsid w:val="002D4ACE"/>
    <w:rsid w:val="002D5503"/>
    <w:rsid w:val="002E66D5"/>
    <w:rsid w:val="002F41E2"/>
    <w:rsid w:val="00320C99"/>
    <w:rsid w:val="003274A9"/>
    <w:rsid w:val="00331221"/>
    <w:rsid w:val="003544DD"/>
    <w:rsid w:val="003649EE"/>
    <w:rsid w:val="00371BC6"/>
    <w:rsid w:val="00373A15"/>
    <w:rsid w:val="00383ACA"/>
    <w:rsid w:val="00394A02"/>
    <w:rsid w:val="003A1BDD"/>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A7E0C"/>
    <w:rsid w:val="004C0224"/>
    <w:rsid w:val="004C053E"/>
    <w:rsid w:val="004C3255"/>
    <w:rsid w:val="004D07E1"/>
    <w:rsid w:val="004D1C19"/>
    <w:rsid w:val="004F29B8"/>
    <w:rsid w:val="004F6DF5"/>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C5103"/>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D60A1"/>
    <w:rsid w:val="007E1B5E"/>
    <w:rsid w:val="007E6253"/>
    <w:rsid w:val="007F2278"/>
    <w:rsid w:val="00803014"/>
    <w:rsid w:val="00805783"/>
    <w:rsid w:val="00806F57"/>
    <w:rsid w:val="00806F90"/>
    <w:rsid w:val="008246FC"/>
    <w:rsid w:val="00824C19"/>
    <w:rsid w:val="00826250"/>
    <w:rsid w:val="008378D1"/>
    <w:rsid w:val="00846462"/>
    <w:rsid w:val="0086691F"/>
    <w:rsid w:val="00867FDD"/>
    <w:rsid w:val="00883DB0"/>
    <w:rsid w:val="00884C8F"/>
    <w:rsid w:val="008856B4"/>
    <w:rsid w:val="00896D38"/>
    <w:rsid w:val="008C3296"/>
    <w:rsid w:val="008C70A2"/>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0A4B"/>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4F37"/>
    <w:rsid w:val="00C052A2"/>
    <w:rsid w:val="00C06A4A"/>
    <w:rsid w:val="00C1391A"/>
    <w:rsid w:val="00C14CE6"/>
    <w:rsid w:val="00C15218"/>
    <w:rsid w:val="00C2725D"/>
    <w:rsid w:val="00C30011"/>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C68D3"/>
    <w:rsid w:val="00DD3D6B"/>
    <w:rsid w:val="00DD4467"/>
    <w:rsid w:val="00DD61C8"/>
    <w:rsid w:val="00DD772B"/>
    <w:rsid w:val="00E041F4"/>
    <w:rsid w:val="00E050BA"/>
    <w:rsid w:val="00E25442"/>
    <w:rsid w:val="00E25A1F"/>
    <w:rsid w:val="00E37EEB"/>
    <w:rsid w:val="00E710FB"/>
    <w:rsid w:val="00E80310"/>
    <w:rsid w:val="00E806D9"/>
    <w:rsid w:val="00E82CA2"/>
    <w:rsid w:val="00E94E5A"/>
    <w:rsid w:val="00E95594"/>
    <w:rsid w:val="00E97534"/>
    <w:rsid w:val="00EA31C3"/>
    <w:rsid w:val="00EB33AC"/>
    <w:rsid w:val="00EC6F21"/>
    <w:rsid w:val="00EE0913"/>
    <w:rsid w:val="00F01440"/>
    <w:rsid w:val="00F13305"/>
    <w:rsid w:val="00F31E3F"/>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1765</Words>
  <Characters>1925</Characters>
  <Application>Microsoft Office Word</Application>
  <DocSecurity>4</DocSecurity>
  <Lines>120</Lines>
  <Paragraphs>80</Paragraphs>
  <ScaleCrop>false</ScaleCrop>
  <Company>United Nations</Company>
  <LinksUpToDate>false</LinksUpToDate>
  <CharactersWithSpaces>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TEMP</dc:creator>
  <cp:keywords/>
  <dc:description/>
  <cp:lastModifiedBy>CTPU CYH</cp:lastModifiedBy>
  <cp:revision>17</cp:revision>
  <cp:lastPrinted>2010-11-26T12:44:00Z</cp:lastPrinted>
  <dcterms:created xsi:type="dcterms:W3CDTF">2010-11-26T11:23:00Z</dcterms:created>
  <dcterms:modified xsi:type="dcterms:W3CDTF">2010-11-26T12:48:00Z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1062069</vt:lpwstr>
  </property>
  <property fmtid="{D5CDD505-2E9C-101B-9397-08002B2CF9AE}" pid="3" name="Symbol1">
    <vt:lpwstr>CEDAW/C/ETH/Q/6-7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duan</vt:lpwstr>
  </property>
</Properties>
</file>