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E87" w:rsidRPr="00AB327B" w:rsidRDefault="00BB2E87" w:rsidP="00BB2E87">
      <w:pPr>
        <w:spacing w:line="240" w:lineRule="auto"/>
        <w:rPr>
          <w:sz w:val="6"/>
        </w:rPr>
        <w:sectPr w:rsidR="00BB2E87" w:rsidRPr="00AB327B" w:rsidSect="003E243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AB327B">
        <w:rPr>
          <w:rStyle w:val="CommentReference"/>
          <w:szCs w:val="20"/>
        </w:rPr>
        <w:commentReference w:id="0"/>
      </w:r>
      <w:bookmarkStart w:id="1" w:name="_GoBack"/>
      <w:bookmarkEnd w:id="1"/>
    </w:p>
    <w:p w:rsidR="00A11131" w:rsidRPr="00C628DB" w:rsidRDefault="00A11131" w:rsidP="003304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C628DB">
        <w:lastRenderedPageBreak/>
        <w:t>Comité para la Eliminación de la Discriminación contra la Mujer</w:t>
      </w:r>
    </w:p>
    <w:p w:rsidR="00A11131" w:rsidRPr="00C628DB" w:rsidRDefault="00A11131" w:rsidP="00330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28DB">
        <w:t>Grupo de trabajo anterior al período de sesiones</w:t>
      </w:r>
    </w:p>
    <w:p w:rsidR="00A11131" w:rsidRPr="00C628DB" w:rsidRDefault="00A11131" w:rsidP="003304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28DB">
        <w:t>64º período de sesiones</w:t>
      </w:r>
      <w:r w:rsidRPr="00C628DB">
        <w:tab/>
      </w:r>
    </w:p>
    <w:p w:rsidR="00A11131" w:rsidRPr="00C628DB" w:rsidRDefault="00A11131" w:rsidP="0033047E">
      <w:pPr>
        <w:tabs>
          <w:tab w:val="left" w:pos="475"/>
          <w:tab w:val="left" w:pos="965"/>
          <w:tab w:val="left" w:pos="1440"/>
          <w:tab w:val="left" w:pos="1915"/>
          <w:tab w:val="left" w:pos="2405"/>
          <w:tab w:val="left" w:pos="2880"/>
          <w:tab w:val="left" w:pos="3355"/>
        </w:tabs>
      </w:pPr>
      <w:r w:rsidRPr="00C628DB">
        <w:t>23 a 27 de noviembre de 2015</w:t>
      </w:r>
    </w:p>
    <w:p w:rsidR="00A11131" w:rsidRPr="0033047E" w:rsidRDefault="00A11131" w:rsidP="0033047E">
      <w:pPr>
        <w:pStyle w:val="SingleTxt"/>
        <w:spacing w:after="0" w:line="120" w:lineRule="exact"/>
        <w:rPr>
          <w:sz w:val="10"/>
        </w:rPr>
      </w:pPr>
    </w:p>
    <w:p w:rsidR="0033047E" w:rsidRPr="0033047E" w:rsidRDefault="0033047E" w:rsidP="0033047E">
      <w:pPr>
        <w:pStyle w:val="SingleTxt"/>
        <w:spacing w:after="0" w:line="120" w:lineRule="exact"/>
        <w:rPr>
          <w:sz w:val="10"/>
        </w:rPr>
      </w:pPr>
    </w:p>
    <w:p w:rsidR="0033047E" w:rsidRPr="0033047E" w:rsidRDefault="0033047E" w:rsidP="0033047E">
      <w:pPr>
        <w:pStyle w:val="SingleTxt"/>
        <w:spacing w:after="0" w:line="120" w:lineRule="exact"/>
        <w:rPr>
          <w:sz w:val="10"/>
        </w:rPr>
      </w:pPr>
    </w:p>
    <w:p w:rsidR="0033047E" w:rsidRPr="0033047E" w:rsidRDefault="0033047E" w:rsidP="0033047E">
      <w:pPr>
        <w:framePr w:w="9792" w:h="432" w:hSpace="141" w:wrap="around" w:hAnchor="page" w:x="1210" w:yAlign="bottom"/>
        <w:spacing w:line="240" w:lineRule="auto"/>
        <w:rPr>
          <w:sz w:val="10"/>
        </w:rPr>
      </w:pPr>
    </w:p>
    <w:p w:rsidR="0033047E" w:rsidRPr="0033047E" w:rsidRDefault="0033047E" w:rsidP="0033047E">
      <w:pPr>
        <w:framePr w:w="9792" w:h="432" w:hSpace="141" w:wrap="around" w:hAnchor="page" w:x="1210" w:yAlign="bottom"/>
        <w:spacing w:line="240" w:lineRule="auto"/>
        <w:rPr>
          <w:sz w:val="6"/>
        </w:rPr>
      </w:pPr>
      <w:r w:rsidRPr="0033047E">
        <w:rPr>
          <w:noProof/>
          <w:w w:val="100"/>
          <w:sz w:val="6"/>
          <w:lang w:val="en-US"/>
        </w:rPr>
        <mc:AlternateContent>
          <mc:Choice Requires="wps">
            <w:drawing>
              <wp:anchor distT="0" distB="0" distL="114300" distR="114300" simplePos="0" relativeHeight="251659264" behindDoc="0" locked="0" layoutInCell="1" allowOverlap="1" wp14:anchorId="38B752A5" wp14:editId="6BEA44FA">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3047E" w:rsidRPr="0033047E" w:rsidRDefault="00A11131" w:rsidP="0033047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33047E">
        <w:rPr>
          <w:i/>
          <w:sz w:val="17"/>
        </w:rPr>
        <w:t>Nota</w:t>
      </w:r>
      <w:r w:rsidRPr="0033047E">
        <w:rPr>
          <w:sz w:val="17"/>
        </w:rPr>
        <w:t>: El presente documento se publica únicamente en español, francés e inglés.</w:t>
      </w:r>
    </w:p>
    <w:p w:rsidR="00A11131" w:rsidRPr="00C628DB" w:rsidRDefault="00A11131" w:rsidP="003304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C628DB">
        <w:tab/>
      </w:r>
      <w:r w:rsidRPr="00C628DB">
        <w:tab/>
        <w:t>Examen de los informes presentados por los Estados partes en virtud del artículo 18 de la Convención sobre la Eliminación de Todas las Formas de Discriminación contra la Mujer</w:t>
      </w:r>
    </w:p>
    <w:p w:rsidR="00A11131" w:rsidRPr="0033047E" w:rsidRDefault="00A11131" w:rsidP="0033047E">
      <w:pPr>
        <w:pStyle w:val="SingleTxt"/>
        <w:spacing w:after="0" w:line="120" w:lineRule="exact"/>
        <w:rPr>
          <w:sz w:val="10"/>
        </w:rPr>
      </w:pPr>
    </w:p>
    <w:p w:rsidR="0033047E" w:rsidRPr="0033047E" w:rsidRDefault="0033047E" w:rsidP="0033047E">
      <w:pPr>
        <w:pStyle w:val="SingleTxt"/>
        <w:spacing w:after="0" w:line="120" w:lineRule="exact"/>
        <w:rPr>
          <w:sz w:val="10"/>
        </w:rPr>
      </w:pPr>
    </w:p>
    <w:p w:rsidR="00A11131" w:rsidRPr="00C628DB" w:rsidRDefault="00A11131" w:rsidP="005711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pPr>
      <w:r w:rsidRPr="00C628DB">
        <w:tab/>
      </w:r>
      <w:r w:rsidRPr="00C628DB">
        <w:tab/>
        <w:t>Informe del grupo de trabajo anterior al período de sesiones</w:t>
      </w:r>
    </w:p>
    <w:p w:rsidR="00A11131" w:rsidRPr="0033047E" w:rsidRDefault="00A11131" w:rsidP="0033047E">
      <w:pPr>
        <w:pStyle w:val="SingleTxt"/>
        <w:spacing w:after="0" w:line="120" w:lineRule="exact"/>
        <w:rPr>
          <w:sz w:val="10"/>
        </w:rPr>
      </w:pPr>
    </w:p>
    <w:p w:rsidR="0033047E" w:rsidRPr="0033047E" w:rsidRDefault="0033047E" w:rsidP="0033047E">
      <w:pPr>
        <w:pStyle w:val="SingleTxt"/>
        <w:spacing w:after="0" w:line="120" w:lineRule="exact"/>
        <w:rPr>
          <w:sz w:val="10"/>
        </w:rPr>
      </w:pPr>
    </w:p>
    <w:p w:rsidR="00A11131" w:rsidRPr="00C628DB" w:rsidRDefault="00A11131" w:rsidP="0033047E">
      <w:pPr>
        <w:pStyle w:val="SingleTxt"/>
        <w:numPr>
          <w:ilvl w:val="0"/>
          <w:numId w:val="7"/>
        </w:numPr>
        <w:suppressAutoHyphens w:val="0"/>
        <w:ind w:left="1267"/>
      </w:pPr>
      <w:r w:rsidRPr="00C628DB">
        <w:t>Es práctica del Comité para la Eliminación de la Discriminación contra la Mujer constituir</w:t>
      </w:r>
      <w:r>
        <w:t xml:space="preserve"> </w:t>
      </w:r>
      <w:r w:rsidRPr="00C628DB">
        <w:t>un grupo de trabajo que se reúna antes de cada período de sesiones durante cinco días para preparar listas de cuestiones y preguntas sobre los informes iniciales y periódicos que examinará el Comité en uno de sus siguientes períodos de sesiones.</w:t>
      </w:r>
    </w:p>
    <w:p w:rsidR="00A11131" w:rsidRPr="00C628DB" w:rsidRDefault="00A11131" w:rsidP="0033047E">
      <w:pPr>
        <w:pStyle w:val="SingleTxt"/>
        <w:numPr>
          <w:ilvl w:val="0"/>
          <w:numId w:val="7"/>
        </w:numPr>
        <w:tabs>
          <w:tab w:val="clear" w:pos="475"/>
          <w:tab w:val="num" w:pos="1742"/>
        </w:tabs>
        <w:ind w:left="1267"/>
      </w:pPr>
      <w:r w:rsidRPr="00C628DB">
        <w:t>El Comité decidió que el grupo de trabajo anterior al 64º período de sesiones se reuniera del 23 al 27 de noviembre de 2015, inmediatamente después de su 62º</w:t>
      </w:r>
      <w:r w:rsidR="006D082E">
        <w:t xml:space="preserve"> </w:t>
      </w:r>
      <w:r w:rsidRPr="00C628DB">
        <w:t>período de sesiones, para que los Estados partes tuvieran tiempo suficiente para presentar respuestas por escrito a las listas de cuestiones y preguntas y que esas respuestas se tradujeran oportunamente.</w:t>
      </w:r>
    </w:p>
    <w:p w:rsidR="00A11131" w:rsidRPr="00C628DB" w:rsidRDefault="00A11131" w:rsidP="0033047E">
      <w:pPr>
        <w:pStyle w:val="SingleTxt"/>
        <w:numPr>
          <w:ilvl w:val="0"/>
          <w:numId w:val="7"/>
        </w:numPr>
        <w:tabs>
          <w:tab w:val="clear" w:pos="475"/>
          <w:tab w:val="num" w:pos="1742"/>
        </w:tabs>
        <w:ind w:left="1267"/>
      </w:pPr>
      <w:r w:rsidRPr="00C628DB">
        <w:t>Se nombró a las siguientes expertas para formar parte del grupo de trabajo anterior al período de sesiones, quienes asistieron además a este:</w:t>
      </w:r>
    </w:p>
    <w:p w:rsidR="00A11131" w:rsidRPr="00C628DB" w:rsidRDefault="0033047E" w:rsidP="0033047E">
      <w:pPr>
        <w:pStyle w:val="SingleTxt"/>
        <w:spacing w:after="0"/>
      </w:pPr>
      <w:r>
        <w:tab/>
      </w:r>
      <w:r w:rsidR="00A11131" w:rsidRPr="00C628DB">
        <w:t>Barbara Bailey</w:t>
      </w:r>
    </w:p>
    <w:p w:rsidR="00A11131" w:rsidRPr="00C628DB" w:rsidRDefault="0033047E" w:rsidP="0033047E">
      <w:pPr>
        <w:pStyle w:val="SingleTxt"/>
        <w:spacing w:after="0"/>
      </w:pPr>
      <w:r>
        <w:tab/>
      </w:r>
      <w:r w:rsidR="00A11131" w:rsidRPr="00C628DB">
        <w:t>Lia Nadaraia</w:t>
      </w:r>
    </w:p>
    <w:p w:rsidR="00A11131" w:rsidRPr="00C628DB" w:rsidRDefault="0033047E" w:rsidP="0033047E">
      <w:pPr>
        <w:pStyle w:val="SingleTxt"/>
        <w:spacing w:after="0"/>
      </w:pPr>
      <w:r>
        <w:tab/>
      </w:r>
      <w:r w:rsidR="00A11131" w:rsidRPr="00C628DB">
        <w:t>Theodora Nwankwo</w:t>
      </w:r>
    </w:p>
    <w:p w:rsidR="00A11131" w:rsidRPr="00C628DB" w:rsidRDefault="0033047E" w:rsidP="0033047E">
      <w:pPr>
        <w:pStyle w:val="SingleTxt"/>
        <w:spacing w:after="0"/>
      </w:pPr>
      <w:r>
        <w:tab/>
      </w:r>
      <w:r w:rsidR="00A11131" w:rsidRPr="00C628DB">
        <w:t>Patricia Schulz</w:t>
      </w:r>
    </w:p>
    <w:p w:rsidR="00A11131" w:rsidRPr="00C628DB" w:rsidRDefault="0033047E" w:rsidP="00A11131">
      <w:pPr>
        <w:pStyle w:val="SingleTxt"/>
      </w:pPr>
      <w:r>
        <w:tab/>
      </w:r>
      <w:r w:rsidR="00A11131" w:rsidRPr="00C628DB">
        <w:t>Xiaoqiao Zou</w:t>
      </w:r>
    </w:p>
    <w:p w:rsidR="009669E1" w:rsidRDefault="009669E1">
      <w:pPr>
        <w:suppressAutoHyphens w:val="0"/>
        <w:spacing w:line="240" w:lineRule="auto"/>
        <w:rPr>
          <w:kern w:val="14"/>
        </w:rPr>
      </w:pPr>
      <w:r>
        <w:br w:type="page"/>
      </w:r>
    </w:p>
    <w:p w:rsidR="00A11131" w:rsidRPr="00C628DB" w:rsidRDefault="00A11131" w:rsidP="009669E1">
      <w:pPr>
        <w:pStyle w:val="SingleTxt"/>
        <w:numPr>
          <w:ilvl w:val="0"/>
          <w:numId w:val="7"/>
        </w:numPr>
        <w:suppressAutoHyphens w:val="0"/>
        <w:ind w:left="1267"/>
      </w:pPr>
      <w:r w:rsidRPr="00C628DB">
        <w:lastRenderedPageBreak/>
        <w:t>El grupo de trabajo anterior al período de sesiones eligió como Presidenta a la Sra.</w:t>
      </w:r>
      <w:r w:rsidR="0033047E">
        <w:t xml:space="preserve"> </w:t>
      </w:r>
      <w:r w:rsidRPr="00C628DB">
        <w:t>Nwankwo.</w:t>
      </w:r>
    </w:p>
    <w:p w:rsidR="00A11131" w:rsidRPr="00C628DB" w:rsidRDefault="00A11131" w:rsidP="009669E1">
      <w:pPr>
        <w:pStyle w:val="SingleTxt"/>
        <w:numPr>
          <w:ilvl w:val="0"/>
          <w:numId w:val="7"/>
        </w:numPr>
        <w:suppressAutoHyphens w:val="0"/>
        <w:ind w:left="1267"/>
      </w:pPr>
      <w:r w:rsidRPr="00C628DB">
        <w:t>El</w:t>
      </w:r>
      <w:r w:rsidR="00571131">
        <w:t xml:space="preserve"> </w:t>
      </w:r>
      <w:r w:rsidRPr="00C628DB">
        <w:t>grupo</w:t>
      </w:r>
      <w:r w:rsidR="00571131">
        <w:t xml:space="preserve"> </w:t>
      </w:r>
      <w:r w:rsidRPr="00C628DB">
        <w:t>de</w:t>
      </w:r>
      <w:r w:rsidR="00571131">
        <w:t xml:space="preserve"> </w:t>
      </w:r>
      <w:r w:rsidRPr="00C628DB">
        <w:t>trabajo</w:t>
      </w:r>
      <w:r w:rsidR="00571131">
        <w:t xml:space="preserve"> </w:t>
      </w:r>
      <w:r w:rsidRPr="00C628DB">
        <w:t>anterior</w:t>
      </w:r>
      <w:r w:rsidR="00571131">
        <w:t xml:space="preserve"> </w:t>
      </w:r>
      <w:r w:rsidRPr="00C628DB">
        <w:t>al</w:t>
      </w:r>
      <w:r w:rsidR="00571131">
        <w:t xml:space="preserve"> </w:t>
      </w:r>
      <w:r w:rsidRPr="00C628DB">
        <w:t>período</w:t>
      </w:r>
      <w:r w:rsidR="00571131">
        <w:t xml:space="preserve"> </w:t>
      </w:r>
      <w:r w:rsidRPr="00C628DB">
        <w:t>de</w:t>
      </w:r>
      <w:r w:rsidR="00571131">
        <w:t xml:space="preserve"> </w:t>
      </w:r>
      <w:r w:rsidRPr="00C628DB">
        <w:t>sesiones</w:t>
      </w:r>
      <w:r w:rsidR="00571131">
        <w:t xml:space="preserve"> </w:t>
      </w:r>
      <w:r w:rsidRPr="00C628DB">
        <w:t>preparó</w:t>
      </w:r>
      <w:r w:rsidR="00571131">
        <w:t xml:space="preserve"> </w:t>
      </w:r>
      <w:r w:rsidRPr="00C628DB">
        <w:t>listas</w:t>
      </w:r>
      <w:r w:rsidR="00571131">
        <w:t xml:space="preserve"> </w:t>
      </w:r>
      <w:r w:rsidRPr="00C628DB">
        <w:t>de</w:t>
      </w:r>
      <w:r w:rsidR="00571131">
        <w:t xml:space="preserve"> </w:t>
      </w:r>
      <w:r w:rsidRPr="00C628DB">
        <w:t>cuestiones</w:t>
      </w:r>
      <w:r w:rsidR="00571131">
        <w:t xml:space="preserve"> </w:t>
      </w:r>
      <w:r w:rsidRPr="00C628DB">
        <w:t>y</w:t>
      </w:r>
      <w:r w:rsidR="00571131">
        <w:t xml:space="preserve"> </w:t>
      </w:r>
      <w:r w:rsidRPr="00C628DB">
        <w:t>preguntas</w:t>
      </w:r>
      <w:r w:rsidR="00571131">
        <w:t xml:space="preserve"> </w:t>
      </w:r>
      <w:r w:rsidRPr="00C628DB">
        <w:t>relativas</w:t>
      </w:r>
      <w:r w:rsidR="00571131">
        <w:t xml:space="preserve"> </w:t>
      </w:r>
      <w:r w:rsidRPr="00C628DB">
        <w:t>a</w:t>
      </w:r>
      <w:r w:rsidR="00571131">
        <w:t xml:space="preserve"> </w:t>
      </w:r>
      <w:r w:rsidRPr="00C628DB">
        <w:t>los</w:t>
      </w:r>
      <w:r w:rsidR="00571131">
        <w:t xml:space="preserve"> </w:t>
      </w:r>
      <w:r w:rsidRPr="00C628DB">
        <w:t>informes</w:t>
      </w:r>
      <w:r w:rsidR="00571131">
        <w:t xml:space="preserve"> </w:t>
      </w:r>
      <w:r w:rsidRPr="00C628DB">
        <w:t>de</w:t>
      </w:r>
      <w:r w:rsidR="00571131">
        <w:t xml:space="preserve"> </w:t>
      </w:r>
      <w:r w:rsidRPr="00C628DB">
        <w:t>Albania,</w:t>
      </w:r>
      <w:r w:rsidR="00571131">
        <w:t xml:space="preserve"> </w:t>
      </w:r>
      <w:r w:rsidRPr="00C628DB">
        <w:t>Filipinas,</w:t>
      </w:r>
      <w:r w:rsidR="00571131">
        <w:t xml:space="preserve"> </w:t>
      </w:r>
      <w:r w:rsidRPr="00C628DB">
        <w:t>Francia,</w:t>
      </w:r>
      <w:r w:rsidR="00571131">
        <w:t xml:space="preserve"> </w:t>
      </w:r>
      <w:r w:rsidRPr="00C628DB">
        <w:t>Malí,</w:t>
      </w:r>
      <w:r w:rsidR="00571131">
        <w:t xml:space="preserve"> </w:t>
      </w:r>
      <w:r w:rsidRPr="00C628DB">
        <w:t>Myanmar,</w:t>
      </w:r>
      <w:r w:rsidR="00571131">
        <w:t xml:space="preserve"> </w:t>
      </w:r>
      <w:r w:rsidRPr="00C628DB">
        <w:t>Trinidad</w:t>
      </w:r>
      <w:r w:rsidR="00571131">
        <w:t xml:space="preserve"> </w:t>
      </w:r>
      <w:r w:rsidRPr="00C628DB">
        <w:t>y</w:t>
      </w:r>
      <w:r w:rsidR="00571131">
        <w:t xml:space="preserve"> </w:t>
      </w:r>
      <w:r w:rsidRPr="00C628DB">
        <w:t>Tabago,</w:t>
      </w:r>
      <w:r w:rsidR="00571131">
        <w:t xml:space="preserve"> </w:t>
      </w:r>
      <w:r w:rsidRPr="00C628DB">
        <w:t>Turquía</w:t>
      </w:r>
      <w:r w:rsidR="00571131">
        <w:t xml:space="preserve"> </w:t>
      </w:r>
      <w:r w:rsidRPr="00C628DB">
        <w:t>y</w:t>
      </w:r>
      <w:r w:rsidR="00571131">
        <w:t xml:space="preserve"> </w:t>
      </w:r>
      <w:r w:rsidRPr="00C628DB">
        <w:t>el</w:t>
      </w:r>
      <w:r w:rsidR="00571131">
        <w:t xml:space="preserve"> </w:t>
      </w:r>
      <w:r w:rsidRPr="00C628DB">
        <w:t>Uruguay.</w:t>
      </w:r>
      <w:r w:rsidR="00571131">
        <w:t xml:space="preserve"> </w:t>
      </w:r>
      <w:r w:rsidRPr="00C628DB">
        <w:t>A</w:t>
      </w:r>
      <w:r w:rsidR="00571131">
        <w:t xml:space="preserve"> </w:t>
      </w:r>
      <w:r w:rsidRPr="00C628DB">
        <w:t>este</w:t>
      </w:r>
      <w:r w:rsidR="00571131">
        <w:t xml:space="preserve"> </w:t>
      </w:r>
      <w:r w:rsidRPr="00C628DB">
        <w:t>respecto,</w:t>
      </w:r>
      <w:r w:rsidR="00571131">
        <w:t xml:space="preserve"> </w:t>
      </w:r>
      <w:r w:rsidRPr="00C628DB">
        <w:t>el</w:t>
      </w:r>
      <w:r w:rsidR="00571131">
        <w:t xml:space="preserve"> </w:t>
      </w:r>
      <w:r w:rsidRPr="00C628DB">
        <w:t>Comité</w:t>
      </w:r>
      <w:r w:rsidR="00571131">
        <w:t xml:space="preserve"> </w:t>
      </w:r>
      <w:r w:rsidRPr="00C628DB">
        <w:t>orientó</w:t>
      </w:r>
      <w:r w:rsidR="00571131">
        <w:t xml:space="preserve"> </w:t>
      </w:r>
      <w:r w:rsidRPr="00C628DB">
        <w:t>su</w:t>
      </w:r>
      <w:r w:rsidR="00571131">
        <w:t xml:space="preserve"> </w:t>
      </w:r>
      <w:r w:rsidRPr="00C628DB">
        <w:t>labor</w:t>
      </w:r>
      <w:r w:rsidR="00571131">
        <w:t xml:space="preserve"> </w:t>
      </w:r>
      <w:r w:rsidRPr="00C628DB">
        <w:t>en</w:t>
      </w:r>
      <w:r w:rsidR="00571131">
        <w:t xml:space="preserve"> </w:t>
      </w:r>
      <w:r w:rsidRPr="00C628DB">
        <w:t>función</w:t>
      </w:r>
      <w:r w:rsidR="00571131">
        <w:t xml:space="preserve"> </w:t>
      </w:r>
      <w:r w:rsidRPr="00C628DB">
        <w:t>de</w:t>
      </w:r>
      <w:r w:rsidR="00571131">
        <w:t xml:space="preserve"> </w:t>
      </w:r>
      <w:r w:rsidRPr="00C628DB">
        <w:t>la</w:t>
      </w:r>
      <w:r w:rsidR="00571131">
        <w:t xml:space="preserve"> </w:t>
      </w:r>
      <w:r w:rsidRPr="00C628DB">
        <w:t>decisión</w:t>
      </w:r>
      <w:r w:rsidR="00571131">
        <w:t xml:space="preserve"> </w:t>
      </w:r>
      <w:r w:rsidRPr="00C628DB">
        <w:t>49/IX</w:t>
      </w:r>
      <w:r w:rsidR="00571131">
        <w:t xml:space="preserve"> </w:t>
      </w:r>
      <w:r w:rsidRPr="00C628DB">
        <w:t>del</w:t>
      </w:r>
      <w:r w:rsidR="00571131">
        <w:t xml:space="preserve"> </w:t>
      </w:r>
      <w:r w:rsidRPr="00C628DB">
        <w:t>propio</w:t>
      </w:r>
      <w:r w:rsidR="00571131">
        <w:t xml:space="preserve"> </w:t>
      </w:r>
      <w:r w:rsidRPr="00C628DB">
        <w:t>Comité,</w:t>
      </w:r>
      <w:r w:rsidR="00571131">
        <w:t xml:space="preserve"> </w:t>
      </w:r>
      <w:r w:rsidRPr="00C628DB">
        <w:t>en</w:t>
      </w:r>
      <w:r w:rsidR="00571131">
        <w:t xml:space="preserve"> </w:t>
      </w:r>
      <w:r w:rsidRPr="00C628DB">
        <w:t>virtud</w:t>
      </w:r>
      <w:r w:rsidR="00571131">
        <w:t xml:space="preserve"> </w:t>
      </w:r>
      <w:r w:rsidRPr="00C628DB">
        <w:t>de</w:t>
      </w:r>
      <w:r w:rsidR="00571131">
        <w:t xml:space="preserve"> </w:t>
      </w:r>
      <w:r w:rsidRPr="00C628DB">
        <w:t>la</w:t>
      </w:r>
      <w:r w:rsidR="00571131">
        <w:t xml:space="preserve"> </w:t>
      </w:r>
      <w:r w:rsidRPr="00C628DB">
        <w:t>cual</w:t>
      </w:r>
      <w:r w:rsidR="00571131">
        <w:t xml:space="preserve"> </w:t>
      </w:r>
      <w:r w:rsidRPr="00C628DB">
        <w:t>decidió</w:t>
      </w:r>
      <w:r w:rsidR="00571131">
        <w:t xml:space="preserve"> </w:t>
      </w:r>
      <w:r w:rsidRPr="00C628DB">
        <w:t>limitar</w:t>
      </w:r>
      <w:r w:rsidR="00571131">
        <w:t xml:space="preserve"> </w:t>
      </w:r>
      <w:r w:rsidRPr="00C628DB">
        <w:t>dichas</w:t>
      </w:r>
      <w:r w:rsidR="00571131">
        <w:t xml:space="preserve"> </w:t>
      </w:r>
      <w:r w:rsidRPr="00C628DB">
        <w:t>listas</w:t>
      </w:r>
      <w:r w:rsidR="00571131">
        <w:t xml:space="preserve"> </w:t>
      </w:r>
      <w:r w:rsidRPr="00C628DB">
        <w:t>a</w:t>
      </w:r>
      <w:r w:rsidR="00571131">
        <w:t xml:space="preserve"> </w:t>
      </w:r>
      <w:r w:rsidRPr="00C628DB">
        <w:t>20</w:t>
      </w:r>
      <w:r w:rsidR="00571131">
        <w:t xml:space="preserve"> </w:t>
      </w:r>
      <w:r w:rsidRPr="00C628DB">
        <w:t>preguntas.</w:t>
      </w:r>
      <w:r w:rsidR="00571131">
        <w:t xml:space="preserve"> </w:t>
      </w:r>
      <w:r w:rsidRPr="00C628DB">
        <w:t>En</w:t>
      </w:r>
      <w:r w:rsidR="00571131">
        <w:t xml:space="preserve"> </w:t>
      </w:r>
      <w:r w:rsidRPr="00C628DB">
        <w:t>la</w:t>
      </w:r>
      <w:r w:rsidR="00571131">
        <w:t xml:space="preserve"> </w:t>
      </w:r>
      <w:r w:rsidRPr="00C628DB">
        <w:t>práctica</w:t>
      </w:r>
      <w:r w:rsidR="00571131">
        <w:t xml:space="preserve"> </w:t>
      </w:r>
      <w:r w:rsidRPr="00C628DB">
        <w:t>y</w:t>
      </w:r>
      <w:r w:rsidR="00571131">
        <w:t xml:space="preserve"> </w:t>
      </w:r>
      <w:r w:rsidRPr="00C628DB">
        <w:t>de</w:t>
      </w:r>
      <w:r w:rsidR="00571131">
        <w:t xml:space="preserve"> </w:t>
      </w:r>
      <w:r w:rsidRPr="00C628DB">
        <w:t>manera</w:t>
      </w:r>
      <w:r w:rsidR="00571131">
        <w:t xml:space="preserve"> </w:t>
      </w:r>
      <w:r w:rsidRPr="00C628DB">
        <w:t>excepcional,</w:t>
      </w:r>
      <w:r w:rsidR="00571131">
        <w:t xml:space="preserve"> </w:t>
      </w:r>
      <w:r w:rsidRPr="00C628DB">
        <w:t>algunas</w:t>
      </w:r>
      <w:r w:rsidR="00571131">
        <w:t xml:space="preserve"> </w:t>
      </w:r>
      <w:r w:rsidRPr="00C628DB">
        <w:t>l</w:t>
      </w:r>
      <w:r w:rsidR="00571131">
        <w:t xml:space="preserve">istas contienen un máximo de 22 </w:t>
      </w:r>
      <w:r w:rsidRPr="00C628DB">
        <w:t>preguntas.</w:t>
      </w:r>
      <w:r w:rsidR="00571131">
        <w:t xml:space="preserve"> </w:t>
      </w:r>
      <w:r w:rsidRPr="00C628DB">
        <w:t>De</w:t>
      </w:r>
      <w:r w:rsidR="00571131">
        <w:t xml:space="preserve"> </w:t>
      </w:r>
      <w:r w:rsidRPr="00C628DB">
        <w:t>conformidad</w:t>
      </w:r>
      <w:r w:rsidR="00571131">
        <w:t xml:space="preserve"> </w:t>
      </w:r>
      <w:r w:rsidRPr="00C628DB">
        <w:t>con</w:t>
      </w:r>
      <w:r w:rsidR="00571131">
        <w:t xml:space="preserve"> </w:t>
      </w:r>
      <w:r w:rsidRPr="00C628DB">
        <w:t>sus</w:t>
      </w:r>
      <w:r w:rsidR="00571131">
        <w:t xml:space="preserve"> </w:t>
      </w:r>
      <w:r w:rsidRPr="00C628DB">
        <w:t>decisiones</w:t>
      </w:r>
      <w:r w:rsidR="00571131">
        <w:t xml:space="preserve"> </w:t>
      </w:r>
      <w:r w:rsidRPr="00C628DB">
        <w:t>58/II,</w:t>
      </w:r>
      <w:r w:rsidR="00571131">
        <w:t xml:space="preserve"> </w:t>
      </w:r>
      <w:r w:rsidRPr="00C628DB">
        <w:t>59/IV</w:t>
      </w:r>
      <w:r w:rsidR="00571131">
        <w:t xml:space="preserve"> </w:t>
      </w:r>
      <w:r w:rsidRPr="00C628DB">
        <w:t>y</w:t>
      </w:r>
      <w:r w:rsidR="00571131">
        <w:t xml:space="preserve"> </w:t>
      </w:r>
      <w:r w:rsidRPr="00C628DB">
        <w:t>60/IX,</w:t>
      </w:r>
      <w:r w:rsidR="00571131">
        <w:t xml:space="preserve"> </w:t>
      </w:r>
      <w:r w:rsidRPr="00C628DB">
        <w:t>el</w:t>
      </w:r>
      <w:r w:rsidR="00571131">
        <w:t xml:space="preserve"> </w:t>
      </w:r>
      <w:r w:rsidRPr="00C628DB">
        <w:t>Comité,</w:t>
      </w:r>
      <w:r w:rsidR="00571131">
        <w:t xml:space="preserve"> </w:t>
      </w:r>
      <w:r w:rsidRPr="00C628DB">
        <w:t>de</w:t>
      </w:r>
      <w:r w:rsidR="00571131">
        <w:t xml:space="preserve"> </w:t>
      </w:r>
      <w:r w:rsidRPr="00C628DB">
        <w:t>forma</w:t>
      </w:r>
      <w:r w:rsidR="00571131">
        <w:t xml:space="preserve"> </w:t>
      </w:r>
      <w:r w:rsidRPr="00C628DB">
        <w:t>experimental,</w:t>
      </w:r>
      <w:r w:rsidR="00571131">
        <w:t xml:space="preserve"> </w:t>
      </w:r>
      <w:r w:rsidRPr="00C628DB">
        <w:t>preparó</w:t>
      </w:r>
      <w:r w:rsidR="00571131">
        <w:t xml:space="preserve"> </w:t>
      </w:r>
      <w:r w:rsidRPr="00C628DB">
        <w:t>una</w:t>
      </w:r>
      <w:r w:rsidR="00571131">
        <w:t xml:space="preserve"> </w:t>
      </w:r>
      <w:r w:rsidRPr="00C628DB">
        <w:t>lista</w:t>
      </w:r>
      <w:r w:rsidR="00571131">
        <w:t xml:space="preserve"> </w:t>
      </w:r>
      <w:r w:rsidRPr="00C628DB">
        <w:t>de</w:t>
      </w:r>
      <w:r w:rsidR="00571131">
        <w:t xml:space="preserve"> </w:t>
      </w:r>
      <w:r w:rsidRPr="00C628DB">
        <w:t>cuestiones</w:t>
      </w:r>
      <w:r w:rsidR="00571131">
        <w:t xml:space="preserve"> </w:t>
      </w:r>
      <w:r w:rsidRPr="00C628DB">
        <w:t>y</w:t>
      </w:r>
      <w:r w:rsidR="00571131">
        <w:t xml:space="preserve"> </w:t>
      </w:r>
      <w:r w:rsidRPr="00C628DB">
        <w:t>preguntas</w:t>
      </w:r>
      <w:r w:rsidR="00571131">
        <w:t xml:space="preserve"> </w:t>
      </w:r>
      <w:r w:rsidRPr="00C628DB">
        <w:t>previas</w:t>
      </w:r>
      <w:r w:rsidR="00571131">
        <w:t xml:space="preserve"> </w:t>
      </w:r>
      <w:r w:rsidRPr="00C628DB">
        <w:t>a</w:t>
      </w:r>
      <w:r w:rsidR="00571131">
        <w:t xml:space="preserve"> </w:t>
      </w:r>
      <w:r w:rsidRPr="00C628DB">
        <w:t>la</w:t>
      </w:r>
      <w:r w:rsidR="00571131">
        <w:t xml:space="preserve"> </w:t>
      </w:r>
      <w:r w:rsidRPr="00C628DB">
        <w:t>presentación</w:t>
      </w:r>
      <w:r w:rsidR="00571131">
        <w:t xml:space="preserve"> </w:t>
      </w:r>
      <w:r w:rsidRPr="00C628DB">
        <w:t>de</w:t>
      </w:r>
      <w:r w:rsidR="00571131">
        <w:t xml:space="preserve"> </w:t>
      </w:r>
      <w:r w:rsidRPr="00C628DB">
        <w:t>informes</w:t>
      </w:r>
      <w:r w:rsidR="00571131">
        <w:t xml:space="preserve"> </w:t>
      </w:r>
      <w:r w:rsidRPr="00C628DB">
        <w:t>de</w:t>
      </w:r>
      <w:r w:rsidR="00571131">
        <w:t xml:space="preserve"> </w:t>
      </w:r>
      <w:r w:rsidRPr="00C628DB">
        <w:t>conformidad</w:t>
      </w:r>
      <w:r w:rsidR="00571131">
        <w:t xml:space="preserve"> </w:t>
      </w:r>
      <w:r w:rsidRPr="00C628DB">
        <w:t>con</w:t>
      </w:r>
      <w:r w:rsidR="00571131">
        <w:t xml:space="preserve"> </w:t>
      </w:r>
      <w:r w:rsidRPr="00C628DB">
        <w:t>su</w:t>
      </w:r>
      <w:r w:rsidR="00571131">
        <w:t xml:space="preserve"> </w:t>
      </w:r>
      <w:r w:rsidRPr="00C628DB">
        <w:t>procedimiento</w:t>
      </w:r>
      <w:r w:rsidR="00571131">
        <w:t xml:space="preserve"> </w:t>
      </w:r>
      <w:r w:rsidRPr="00C628DB">
        <w:t>simplificado</w:t>
      </w:r>
      <w:r w:rsidR="00571131">
        <w:t xml:space="preserve"> </w:t>
      </w:r>
      <w:r w:rsidRPr="00C628DB">
        <w:t>de</w:t>
      </w:r>
      <w:r w:rsidR="00571131">
        <w:t xml:space="preserve"> </w:t>
      </w:r>
      <w:r w:rsidRPr="00C628DB">
        <w:t>carácter</w:t>
      </w:r>
      <w:r w:rsidR="00571131">
        <w:t xml:space="preserve"> </w:t>
      </w:r>
      <w:r w:rsidRPr="00C628DB">
        <w:t>opcional,</w:t>
      </w:r>
      <w:r w:rsidR="00571131">
        <w:t xml:space="preserve"> </w:t>
      </w:r>
      <w:r w:rsidRPr="00C628DB">
        <w:t>en</w:t>
      </w:r>
      <w:r w:rsidR="00571131">
        <w:t xml:space="preserve"> </w:t>
      </w:r>
      <w:r w:rsidRPr="00C628DB">
        <w:t>concreto,</w:t>
      </w:r>
      <w:r w:rsidR="00571131">
        <w:t xml:space="preserve"> </w:t>
      </w:r>
      <w:r w:rsidRPr="00C628DB">
        <w:t>una</w:t>
      </w:r>
      <w:r w:rsidR="00571131">
        <w:t xml:space="preserve"> </w:t>
      </w:r>
      <w:r w:rsidRPr="00C628DB">
        <w:t>lista</w:t>
      </w:r>
      <w:r w:rsidR="00571131">
        <w:t xml:space="preserve"> </w:t>
      </w:r>
      <w:r w:rsidRPr="00C628DB">
        <w:t>de</w:t>
      </w:r>
      <w:r w:rsidR="00571131">
        <w:t xml:space="preserve"> </w:t>
      </w:r>
      <w:r w:rsidRPr="00C628DB">
        <w:t>cuestiones</w:t>
      </w:r>
      <w:r w:rsidR="00571131">
        <w:t xml:space="preserve"> </w:t>
      </w:r>
      <w:r w:rsidRPr="00C628DB">
        <w:t>y</w:t>
      </w:r>
      <w:r w:rsidR="00571131">
        <w:t xml:space="preserve"> </w:t>
      </w:r>
      <w:r w:rsidRPr="00C628DB">
        <w:t>preguntas</w:t>
      </w:r>
      <w:r w:rsidR="00571131">
        <w:t xml:space="preserve"> </w:t>
      </w:r>
      <w:r w:rsidRPr="00C628DB">
        <w:t>previas</w:t>
      </w:r>
      <w:r w:rsidR="00571131">
        <w:t xml:space="preserve"> </w:t>
      </w:r>
      <w:r w:rsidRPr="00C628DB">
        <w:t>a</w:t>
      </w:r>
      <w:r w:rsidR="00571131">
        <w:t xml:space="preserve"> </w:t>
      </w:r>
      <w:r w:rsidRPr="00C628DB">
        <w:t>la</w:t>
      </w:r>
      <w:r w:rsidR="00571131">
        <w:t xml:space="preserve"> </w:t>
      </w:r>
      <w:r w:rsidRPr="00C628DB">
        <w:t>presenta</w:t>
      </w:r>
      <w:r w:rsidR="00571131">
        <w:t xml:space="preserve">ción de los informes periódicos </w:t>
      </w:r>
      <w:r w:rsidRPr="00C628DB">
        <w:t>sexto</w:t>
      </w:r>
      <w:r w:rsidR="00571131">
        <w:t xml:space="preserve"> </w:t>
      </w:r>
      <w:r w:rsidRPr="00C628DB">
        <w:t>y</w:t>
      </w:r>
      <w:r w:rsidR="00571131">
        <w:t xml:space="preserve"> </w:t>
      </w:r>
      <w:r w:rsidRPr="00C628DB">
        <w:t>séptimo</w:t>
      </w:r>
      <w:r w:rsidR="00571131">
        <w:t xml:space="preserve"> </w:t>
      </w:r>
      <w:r w:rsidRPr="00C628DB">
        <w:t>combinados</w:t>
      </w:r>
      <w:r w:rsidR="00571131">
        <w:t xml:space="preserve"> </w:t>
      </w:r>
      <w:r w:rsidRPr="00C628DB">
        <w:t>de</w:t>
      </w:r>
      <w:r w:rsidR="00571131">
        <w:t xml:space="preserve"> </w:t>
      </w:r>
      <w:r w:rsidRPr="00C628DB">
        <w:t>Irlanda.</w:t>
      </w:r>
      <w:r w:rsidR="00571131">
        <w:t xml:space="preserve"> </w:t>
      </w:r>
      <w:r w:rsidRPr="00C628DB">
        <w:t>A</w:t>
      </w:r>
      <w:r w:rsidR="00571131">
        <w:t xml:space="preserve"> </w:t>
      </w:r>
      <w:r w:rsidRPr="00C628DB">
        <w:t>este</w:t>
      </w:r>
      <w:r w:rsidR="00571131">
        <w:t xml:space="preserve"> </w:t>
      </w:r>
      <w:r w:rsidRPr="00C628DB">
        <w:t>respecto,</w:t>
      </w:r>
      <w:r w:rsidR="00571131">
        <w:t xml:space="preserve"> </w:t>
      </w:r>
      <w:r w:rsidRPr="00C628DB">
        <w:t>el</w:t>
      </w:r>
      <w:r w:rsidR="00571131">
        <w:t xml:space="preserve"> </w:t>
      </w:r>
      <w:r w:rsidRPr="00C628DB">
        <w:t>Comité</w:t>
      </w:r>
      <w:r w:rsidR="00571131">
        <w:t xml:space="preserve"> </w:t>
      </w:r>
      <w:r w:rsidRPr="00C628DB">
        <w:t>orientó</w:t>
      </w:r>
      <w:r w:rsidR="00571131">
        <w:t xml:space="preserve"> </w:t>
      </w:r>
      <w:r w:rsidRPr="00C628DB">
        <w:t>su</w:t>
      </w:r>
      <w:r w:rsidR="00571131">
        <w:t xml:space="preserve"> </w:t>
      </w:r>
      <w:r w:rsidRPr="00C628DB">
        <w:t>labor</w:t>
      </w:r>
      <w:r w:rsidR="00571131">
        <w:t xml:space="preserve"> </w:t>
      </w:r>
      <w:r w:rsidRPr="00C628DB">
        <w:t>en</w:t>
      </w:r>
      <w:r w:rsidR="00571131">
        <w:t xml:space="preserve"> </w:t>
      </w:r>
      <w:r w:rsidRPr="00C628DB">
        <w:t>función</w:t>
      </w:r>
      <w:r w:rsidR="00571131">
        <w:t xml:space="preserve"> </w:t>
      </w:r>
      <w:r w:rsidRPr="00C628DB">
        <w:t>de</w:t>
      </w:r>
      <w:r w:rsidR="00571131">
        <w:t xml:space="preserve"> </w:t>
      </w:r>
      <w:r w:rsidRPr="00C628DB">
        <w:t>la</w:t>
      </w:r>
      <w:r w:rsidR="00571131">
        <w:t xml:space="preserve"> </w:t>
      </w:r>
      <w:r w:rsidRPr="00C628DB">
        <w:t>decisión</w:t>
      </w:r>
      <w:r w:rsidR="00571131">
        <w:t xml:space="preserve"> </w:t>
      </w:r>
      <w:r w:rsidRPr="00C628DB">
        <w:t>59/IV</w:t>
      </w:r>
      <w:r w:rsidR="00571131">
        <w:t xml:space="preserve"> </w:t>
      </w:r>
      <w:r w:rsidRPr="00C628DB">
        <w:t>del</w:t>
      </w:r>
      <w:r w:rsidR="00571131">
        <w:t xml:space="preserve"> </w:t>
      </w:r>
      <w:r w:rsidRPr="00C628DB">
        <w:t>propio</w:t>
      </w:r>
      <w:r w:rsidR="00571131">
        <w:t xml:space="preserve"> </w:t>
      </w:r>
      <w:r w:rsidRPr="00C628DB">
        <w:t>Comité,</w:t>
      </w:r>
      <w:r w:rsidR="00571131">
        <w:t xml:space="preserve"> </w:t>
      </w:r>
      <w:r w:rsidRPr="00C628DB">
        <w:t>en</w:t>
      </w:r>
      <w:r w:rsidR="00571131">
        <w:t xml:space="preserve"> </w:t>
      </w:r>
      <w:r w:rsidRPr="00C628DB">
        <w:t>virtud</w:t>
      </w:r>
      <w:r w:rsidR="00571131">
        <w:t xml:space="preserve"> </w:t>
      </w:r>
      <w:r w:rsidRPr="00C628DB">
        <w:t>de</w:t>
      </w:r>
      <w:r w:rsidR="00571131">
        <w:t xml:space="preserve"> </w:t>
      </w:r>
      <w:r w:rsidRPr="00C628DB">
        <w:t>la</w:t>
      </w:r>
      <w:r w:rsidR="00571131">
        <w:t xml:space="preserve"> </w:t>
      </w:r>
      <w:r w:rsidRPr="00C628DB">
        <w:t>cual</w:t>
      </w:r>
      <w:r w:rsidR="00571131">
        <w:t xml:space="preserve"> </w:t>
      </w:r>
      <w:r w:rsidRPr="00C628DB">
        <w:t>decidió</w:t>
      </w:r>
      <w:r w:rsidR="00571131">
        <w:t xml:space="preserve"> </w:t>
      </w:r>
      <w:r w:rsidRPr="00C628DB">
        <w:t>limitar</w:t>
      </w:r>
      <w:r w:rsidR="00571131">
        <w:t xml:space="preserve"> </w:t>
      </w:r>
      <w:r w:rsidRPr="00C628DB">
        <w:t>dichas</w:t>
      </w:r>
      <w:r w:rsidR="00571131">
        <w:t xml:space="preserve"> </w:t>
      </w:r>
      <w:r w:rsidRPr="00C628DB">
        <w:t>listas</w:t>
      </w:r>
      <w:r w:rsidR="00571131">
        <w:t xml:space="preserve"> </w:t>
      </w:r>
      <w:r w:rsidRPr="00C628DB">
        <w:t>a</w:t>
      </w:r>
      <w:r w:rsidR="00571131">
        <w:t xml:space="preserve"> </w:t>
      </w:r>
      <w:r w:rsidRPr="00C628DB">
        <w:t>25</w:t>
      </w:r>
      <w:r w:rsidR="00571131">
        <w:t xml:space="preserve"> </w:t>
      </w:r>
      <w:r w:rsidRPr="00C628DB">
        <w:t>preguntas.</w:t>
      </w:r>
    </w:p>
    <w:p w:rsidR="00A11131" w:rsidRPr="00C628DB" w:rsidRDefault="00A11131" w:rsidP="0033047E">
      <w:pPr>
        <w:pStyle w:val="SingleTxt"/>
        <w:numPr>
          <w:ilvl w:val="0"/>
          <w:numId w:val="7"/>
        </w:numPr>
        <w:suppressAutoHyphens w:val="0"/>
        <w:ind w:left="1267"/>
      </w:pPr>
      <w:r w:rsidRPr="00C628DB">
        <w:t>Como ayuda a la hora de preparar las listas de cuestiones y preguntas, el grupo de trabajo anterior al período de sesiones tuvo ante sí los informes de los Estados partes mencionados, con la excepción de Irlanda, además de los siguientes documentos: los documentos básicos presentados por la mayoría de dichos Estados; las recomendaciones generales aprobadas por el Comité; información sobre los antecedentes y los proyectos de listas de cuestiones y preguntas elaborados por la secretaría; y demás información pertinente, incluidas las observaciones finales del Comité y de otros órganos creados en virtud de tratados, si procediera. Al preparar las listas, el grupo de trabajo anterior al período de sesiones prestó especial atención al seguimiento de la aplicación por los Estados partes de las observaciones finales formuladas por el Comité en sus informes anteriores.</w:t>
      </w:r>
    </w:p>
    <w:p w:rsidR="00A11131" w:rsidRPr="00C628DB" w:rsidRDefault="00A11131" w:rsidP="0033047E">
      <w:pPr>
        <w:pStyle w:val="SingleTxt"/>
        <w:numPr>
          <w:ilvl w:val="0"/>
          <w:numId w:val="7"/>
        </w:numPr>
        <w:suppressAutoHyphens w:val="0"/>
        <w:ind w:left="1267"/>
      </w:pPr>
      <w:r w:rsidRPr="00C628DB">
        <w:t>El grupo de trabajo anterior al período de sesiones utilizó también la información presentada oralmente y por escrito por entidades y organismos especializados del sistema de las Naciones Unidas, organizaciones no gubernamentales e instituciones nacionales de derechos humanos.</w:t>
      </w:r>
    </w:p>
    <w:p w:rsidR="00A11131" w:rsidRPr="00C628DB" w:rsidRDefault="00A11131" w:rsidP="0033047E">
      <w:pPr>
        <w:pStyle w:val="SingleTxt"/>
        <w:numPr>
          <w:ilvl w:val="0"/>
          <w:numId w:val="7"/>
        </w:numPr>
        <w:suppressAutoHyphens w:val="0"/>
        <w:ind w:left="1267"/>
      </w:pPr>
      <w:r w:rsidRPr="00C628DB">
        <w:t>Las listas de cuestiones y preguntas aprobadas por el grupo de trabajo anterior al período de sesiones fueron transmitidas a los Estados partes correspondientes y figuran en los siguientes documentos:</w:t>
      </w:r>
    </w:p>
    <w:p w:rsidR="00A11131" w:rsidRPr="00C628DB" w:rsidRDefault="00A11131" w:rsidP="00A11131">
      <w:pPr>
        <w:pStyle w:val="SingleTxt"/>
      </w:pPr>
      <w:bookmarkStart w:id="2" w:name="_Hlt438104182"/>
      <w:bookmarkStart w:id="3" w:name="_Hlt438104183"/>
      <w:r w:rsidRPr="00C628DB">
        <w:tab/>
        <w:t>a)</w:t>
      </w:r>
      <w:r w:rsidRPr="00C628DB">
        <w:tab/>
        <w:t>La lista de cuestiones y preguntas relativa al cuarto informe periódico de Albania (</w:t>
      </w:r>
      <w:hyperlink r:id="rId16" w:history="1">
        <w:r w:rsidRPr="00C628DB">
          <w:rPr>
            <w:rStyle w:val="Hyperlink"/>
          </w:rPr>
          <w:t>CEDAW/C/ALB/Q/4</w:t>
        </w:r>
      </w:hyperlink>
      <w:r w:rsidRPr="00C628DB">
        <w:t>);</w:t>
      </w:r>
    </w:p>
    <w:p w:rsidR="00A11131" w:rsidRPr="00C628DB" w:rsidRDefault="00A11131" w:rsidP="00A11131">
      <w:pPr>
        <w:pStyle w:val="SingleTxt"/>
      </w:pPr>
      <w:bookmarkStart w:id="4" w:name="_Hlt438104212"/>
      <w:bookmarkEnd w:id="2"/>
      <w:bookmarkEnd w:id="3"/>
      <w:r w:rsidRPr="00C628DB">
        <w:tab/>
        <w:t>b)</w:t>
      </w:r>
      <w:r w:rsidRPr="00C628DB">
        <w:tab/>
        <w:t xml:space="preserve">La lista de cuestiones y preguntas </w:t>
      </w:r>
      <w:r w:rsidR="00780F68">
        <w:t>relativa a</w:t>
      </w:r>
      <w:r w:rsidR="00833032">
        <w:t xml:space="preserve"> </w:t>
      </w:r>
      <w:r w:rsidRPr="00C628DB">
        <w:t>los informes periódicos séptimo y octavo combinados de Francia (</w:t>
      </w:r>
      <w:hyperlink r:id="rId17" w:history="1">
        <w:r w:rsidRPr="00C628DB">
          <w:rPr>
            <w:rStyle w:val="Hyperlink"/>
          </w:rPr>
          <w:t>CEDAW/C/FRA/Q/7-8</w:t>
        </w:r>
      </w:hyperlink>
      <w:r w:rsidRPr="00C628DB">
        <w:t>);</w:t>
      </w:r>
    </w:p>
    <w:p w:rsidR="00A11131" w:rsidRPr="00C628DB" w:rsidRDefault="00A11131" w:rsidP="00A11131">
      <w:pPr>
        <w:pStyle w:val="SingleTxt"/>
      </w:pPr>
      <w:bookmarkStart w:id="5" w:name="_Hlt438104226"/>
      <w:bookmarkEnd w:id="4"/>
      <w:r w:rsidRPr="00C628DB">
        <w:tab/>
        <w:t>c)</w:t>
      </w:r>
      <w:r w:rsidRPr="00C628DB">
        <w:tab/>
        <w:t xml:space="preserve">La lista de cuestiones y preguntas </w:t>
      </w:r>
      <w:r w:rsidR="00780F68">
        <w:t>relativa a</w:t>
      </w:r>
      <w:r w:rsidR="00833032">
        <w:t xml:space="preserve"> </w:t>
      </w:r>
      <w:r w:rsidRPr="00C628DB">
        <w:t>los informes periódicos sexto y séptimo combinados de Malí (</w:t>
      </w:r>
      <w:hyperlink r:id="rId18" w:history="1">
        <w:r w:rsidRPr="00C628DB">
          <w:rPr>
            <w:rStyle w:val="Hyperlink"/>
          </w:rPr>
          <w:t>CEDAW/C/MLI/Q/6-7</w:t>
        </w:r>
      </w:hyperlink>
      <w:r w:rsidRPr="00C628DB">
        <w:t>);</w:t>
      </w:r>
    </w:p>
    <w:p w:rsidR="00A11131" w:rsidRPr="00C628DB" w:rsidRDefault="00A11131" w:rsidP="00A11131">
      <w:pPr>
        <w:pStyle w:val="SingleTxt"/>
      </w:pPr>
      <w:bookmarkStart w:id="6" w:name="_Hlt438104235"/>
      <w:bookmarkEnd w:id="5"/>
      <w:r w:rsidRPr="00C628DB">
        <w:tab/>
        <w:t>d)</w:t>
      </w:r>
      <w:r w:rsidRPr="00C628DB">
        <w:tab/>
        <w:t xml:space="preserve">La lista de cuestiones y preguntas </w:t>
      </w:r>
      <w:r w:rsidR="00780F68">
        <w:t>relativa a</w:t>
      </w:r>
      <w:r w:rsidR="00833032">
        <w:t xml:space="preserve"> </w:t>
      </w:r>
      <w:r w:rsidRPr="00C628DB">
        <w:t>los informes periódicos cuarto y quinto combinados de Myanmar (</w:t>
      </w:r>
      <w:hyperlink r:id="rId19" w:history="1">
        <w:r w:rsidRPr="00C628DB">
          <w:rPr>
            <w:rStyle w:val="Hyperlink"/>
          </w:rPr>
          <w:t>CEDAW/C/MMR/Q/4-5</w:t>
        </w:r>
      </w:hyperlink>
      <w:r w:rsidRPr="00C628DB">
        <w:t>);</w:t>
      </w:r>
    </w:p>
    <w:p w:rsidR="00A11131" w:rsidRPr="00C628DB" w:rsidRDefault="00A11131" w:rsidP="00A11131">
      <w:pPr>
        <w:pStyle w:val="SingleTxt"/>
      </w:pPr>
      <w:bookmarkStart w:id="7" w:name="_Hlt438104244"/>
      <w:bookmarkEnd w:id="6"/>
      <w:r w:rsidRPr="00C628DB">
        <w:tab/>
        <w:t>e)</w:t>
      </w:r>
      <w:r w:rsidRPr="00C628DB">
        <w:tab/>
        <w:t xml:space="preserve">La lista de cuestiones y preguntas </w:t>
      </w:r>
      <w:r w:rsidR="00780F68">
        <w:t>relativa a</w:t>
      </w:r>
      <w:r w:rsidR="00833032">
        <w:t xml:space="preserve"> </w:t>
      </w:r>
      <w:r w:rsidRPr="00C628DB">
        <w:t>los informes periódicos séptimo y octavo combinados de Filipinas (</w:t>
      </w:r>
      <w:hyperlink r:id="rId20" w:history="1">
        <w:r w:rsidRPr="00C628DB">
          <w:rPr>
            <w:rStyle w:val="Hyperlink"/>
          </w:rPr>
          <w:t>CEDAW/C/PHL/Q/7-8</w:t>
        </w:r>
      </w:hyperlink>
      <w:r w:rsidRPr="00C628DB">
        <w:t>);</w:t>
      </w:r>
    </w:p>
    <w:p w:rsidR="00A11131" w:rsidRPr="00C628DB" w:rsidRDefault="00A11131" w:rsidP="00A11131">
      <w:pPr>
        <w:pStyle w:val="SingleTxt"/>
      </w:pPr>
      <w:bookmarkStart w:id="8" w:name="_Hlt438104257"/>
      <w:bookmarkEnd w:id="7"/>
      <w:r w:rsidRPr="00C628DB">
        <w:tab/>
        <w:t>f)</w:t>
      </w:r>
      <w:r w:rsidRPr="00C628DB">
        <w:tab/>
        <w:t xml:space="preserve">La lista de cuestiones y preguntas </w:t>
      </w:r>
      <w:r w:rsidR="00780F68">
        <w:t>relativa a</w:t>
      </w:r>
      <w:r w:rsidR="00833032">
        <w:t xml:space="preserve"> </w:t>
      </w:r>
      <w:r w:rsidRPr="00C628DB">
        <w:t>los informes periódicos cuarto a séptimo combinados de Trinidad y Tabago (</w:t>
      </w:r>
      <w:hyperlink r:id="rId21" w:history="1">
        <w:r w:rsidRPr="00C628DB">
          <w:rPr>
            <w:rStyle w:val="Hyperlink"/>
          </w:rPr>
          <w:t>CEDAW/C/TTO/Q/4-7</w:t>
        </w:r>
      </w:hyperlink>
      <w:r w:rsidRPr="00C628DB">
        <w:t>);</w:t>
      </w:r>
    </w:p>
    <w:p w:rsidR="00A11131" w:rsidRPr="00C628DB" w:rsidRDefault="00A11131" w:rsidP="00A11131">
      <w:pPr>
        <w:pStyle w:val="SingleTxt"/>
      </w:pPr>
      <w:bookmarkStart w:id="9" w:name="_Hlt438104263"/>
      <w:bookmarkEnd w:id="8"/>
      <w:r w:rsidRPr="00C628DB">
        <w:lastRenderedPageBreak/>
        <w:tab/>
        <w:t>g)</w:t>
      </w:r>
      <w:r w:rsidRPr="00C628DB">
        <w:tab/>
        <w:t>La lista de cuestiones y preguntas relativa al séptimo informe periódico de Turquía (</w:t>
      </w:r>
      <w:hyperlink r:id="rId22" w:history="1">
        <w:r w:rsidRPr="00C628DB">
          <w:rPr>
            <w:rStyle w:val="Hyperlink"/>
          </w:rPr>
          <w:t>CEDAW/C/TUR/Q/7</w:t>
        </w:r>
      </w:hyperlink>
      <w:r w:rsidRPr="00C628DB">
        <w:t>);</w:t>
      </w:r>
    </w:p>
    <w:p w:rsidR="00A11131" w:rsidRPr="00C628DB" w:rsidRDefault="00A11131" w:rsidP="00A11131">
      <w:pPr>
        <w:pStyle w:val="SingleTxt"/>
      </w:pPr>
      <w:bookmarkStart w:id="10" w:name="_Hlt438104273"/>
      <w:bookmarkEnd w:id="9"/>
      <w:r w:rsidRPr="00C628DB">
        <w:tab/>
        <w:t>h)</w:t>
      </w:r>
      <w:r w:rsidRPr="00C628DB">
        <w:tab/>
        <w:t xml:space="preserve">La lista de cuestiones y preguntas </w:t>
      </w:r>
      <w:r w:rsidR="00780F68">
        <w:t>relativa a</w:t>
      </w:r>
      <w:r w:rsidR="00833032">
        <w:t xml:space="preserve"> </w:t>
      </w:r>
      <w:r w:rsidRPr="00C628DB">
        <w:t>los informes periódicos octavo y noveno combinados del Uruguay (</w:t>
      </w:r>
      <w:hyperlink r:id="rId23" w:history="1">
        <w:r w:rsidRPr="00C628DB">
          <w:rPr>
            <w:rStyle w:val="Hyperlink"/>
          </w:rPr>
          <w:t>CEDAW/C/URY/Q/8-9</w:t>
        </w:r>
      </w:hyperlink>
      <w:r w:rsidRPr="00C628DB">
        <w:t>).</w:t>
      </w:r>
    </w:p>
    <w:p w:rsidR="00A11131" w:rsidRPr="00C628DB" w:rsidRDefault="00A11131" w:rsidP="0033047E">
      <w:pPr>
        <w:pStyle w:val="SingleTxt"/>
        <w:numPr>
          <w:ilvl w:val="0"/>
          <w:numId w:val="7"/>
        </w:numPr>
        <w:suppressAutoHyphens w:val="0"/>
        <w:ind w:left="1267"/>
      </w:pPr>
      <w:bookmarkStart w:id="11" w:name="_Hlt438104328"/>
      <w:bookmarkEnd w:id="10"/>
      <w:r w:rsidRPr="00C628DB">
        <w:t xml:space="preserve">La lista de cuestiones y preguntas </w:t>
      </w:r>
      <w:r w:rsidR="00780F68">
        <w:t>relativa a</w:t>
      </w:r>
      <w:r w:rsidR="00833032">
        <w:t xml:space="preserve"> </w:t>
      </w:r>
      <w:r w:rsidR="0033047E">
        <w:t xml:space="preserve">los informes periódicos </w:t>
      </w:r>
      <w:r w:rsidRPr="00C628DB">
        <w:t>sexto y</w:t>
      </w:r>
      <w:r w:rsidR="0033047E">
        <w:t xml:space="preserve"> </w:t>
      </w:r>
      <w:r w:rsidRPr="00C628DB">
        <w:t>séptimo combinados de</w:t>
      </w:r>
      <w:r w:rsidR="006D082E">
        <w:t xml:space="preserve"> Irlanda</w:t>
      </w:r>
      <w:r w:rsidRPr="00C628DB">
        <w:t xml:space="preserve"> (</w:t>
      </w:r>
      <w:hyperlink r:id="rId24" w:history="1">
        <w:r w:rsidRPr="00C628DB">
          <w:rPr>
            <w:rStyle w:val="Hyperlink"/>
          </w:rPr>
          <w:t>CEDAW/C/IRL/QPR/6-7</w:t>
        </w:r>
      </w:hyperlink>
      <w:r w:rsidRPr="00C628DB">
        <w:t>), se presentará al Comit</w:t>
      </w:r>
      <w:r w:rsidR="0033047E">
        <w:t xml:space="preserve">é para que la apruebe en su 63º </w:t>
      </w:r>
      <w:r w:rsidRPr="00C628DB">
        <w:t>período de sesiones (15 de febrero a 4 de marzo de 2016), antes de transmitirla al Estado parte.</w:t>
      </w:r>
    </w:p>
    <w:bookmarkEnd w:id="11"/>
    <w:p w:rsidR="00A11131" w:rsidRPr="00C628DB" w:rsidRDefault="00A11131" w:rsidP="0033047E">
      <w:pPr>
        <w:pStyle w:val="SingleTxt"/>
        <w:numPr>
          <w:ilvl w:val="0"/>
          <w:numId w:val="7"/>
        </w:numPr>
        <w:suppressAutoHyphens w:val="0"/>
        <w:ind w:left="1267"/>
      </w:pPr>
      <w:r w:rsidRPr="00C628DB">
        <w:t>De conformidad con las decisiones del Comité 22/IV, 25/II y 31/III, las listas de cuestiones y preguntas se centraron en los temas abordados en la Convención. Entre ellos, cabe mencionar los siguientes: el marco constitucional y legislativo; las mujeres y la paz y la seguridad, cuando proceda; los mecanismos nacionales para el adelanto de la mujer; los estereotipos y las prácticas nocivas; la violencia contra la mujer, incluida la violencia doméstica; la trata de mujeres y la explotación de la prostitución; la participación de la mujer en el proceso de adopción de decisiones; la nacionalidad; la educación y la capacitación; el empleo; la salud; las prestaciones sociales y económicas; las mujeres rurales; la situación de los grupos de mujeres desfavorecidos, como las mujeres de edad, las mujeres con discapacidad, las mujeres pertenecientes a minorías étnicas, las mujeres refugiadas y las mujeres migrantes; la igualdad ante la ley; y el matrimonio y las relaciones familiares.</w:t>
      </w:r>
    </w:p>
    <w:p w:rsidR="00A11131" w:rsidRPr="00AB327B" w:rsidRDefault="00277069" w:rsidP="00A11131">
      <w:pPr>
        <w:pStyle w:val="SingleTxt"/>
      </w:pPr>
      <w:r>
        <w:rPr>
          <w:noProof/>
          <w:w w:val="100"/>
          <w:lang w:val="en-US"/>
        </w:rPr>
        <mc:AlternateContent>
          <mc:Choice Requires="wps">
            <w:drawing>
              <wp:anchor distT="0" distB="0" distL="114300" distR="114300" simplePos="0" relativeHeight="251660288" behindDoc="0" locked="0" layoutInCell="1" allowOverlap="1" wp14:anchorId="239A8D42" wp14:editId="7B29DBEA">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11131" w:rsidRPr="00AB327B" w:rsidSect="003E243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10:40:00Z" w:initials="Start">
    <w:p w:rsidR="00BB2E87" w:rsidRPr="00AB327B" w:rsidRDefault="00BB2E87">
      <w:pPr>
        <w:pStyle w:val="CommentText"/>
        <w:rPr>
          <w:lang w:val="en-US"/>
        </w:rPr>
      </w:pPr>
      <w:r>
        <w:fldChar w:fldCharType="begin"/>
      </w:r>
      <w:r w:rsidRPr="00AB327B">
        <w:rPr>
          <w:rStyle w:val="CommentReference"/>
          <w:lang w:val="en-US"/>
        </w:rPr>
        <w:instrText xml:space="preserve"> </w:instrText>
      </w:r>
      <w:r w:rsidRPr="00AB327B">
        <w:rPr>
          <w:lang w:val="en-US"/>
        </w:rPr>
        <w:instrText>PAGE \# "'Page: '#'</w:instrText>
      </w:r>
      <w:r w:rsidRPr="00AB327B">
        <w:rPr>
          <w:lang w:val="en-US"/>
        </w:rPr>
        <w:br/>
        <w:instrText>'"</w:instrText>
      </w:r>
      <w:r w:rsidRPr="00AB327B">
        <w:rPr>
          <w:rStyle w:val="CommentReference"/>
          <w:lang w:val="en-US"/>
        </w:rPr>
        <w:instrText xml:space="preserve"> </w:instrText>
      </w:r>
      <w:r>
        <w:fldChar w:fldCharType="end"/>
      </w:r>
      <w:r>
        <w:rPr>
          <w:rStyle w:val="CommentReference"/>
        </w:rPr>
        <w:annotationRef/>
      </w:r>
      <w:r w:rsidRPr="00AB327B">
        <w:rPr>
          <w:lang w:val="en-US"/>
        </w:rPr>
        <w:t>&lt;&lt;ODS JOB NO&gt;&gt;N1539277S&lt;&lt;ODS JOB NO&gt;&gt;</w:t>
      </w:r>
    </w:p>
    <w:p w:rsidR="00BB2E87" w:rsidRPr="006E1990" w:rsidRDefault="00BB2E87">
      <w:pPr>
        <w:pStyle w:val="CommentText"/>
        <w:rPr>
          <w:lang w:val="en-GB"/>
        </w:rPr>
      </w:pPr>
      <w:r w:rsidRPr="006E1990">
        <w:rPr>
          <w:lang w:val="en-GB"/>
        </w:rPr>
        <w:t>&lt;&lt;ODS DOC SYMBOL1&gt;&gt;CEDAW/C/PSWG/64/1&lt;&lt;ODS DOC SYMBOL1&gt;&gt;</w:t>
      </w:r>
    </w:p>
    <w:p w:rsidR="00BB2E87" w:rsidRPr="006E1990" w:rsidRDefault="00BB2E87">
      <w:pPr>
        <w:pStyle w:val="CommentText"/>
        <w:rPr>
          <w:lang w:val="en-GB"/>
        </w:rPr>
      </w:pPr>
      <w:r w:rsidRPr="006E199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5FD" w:rsidRDefault="002F35FD" w:rsidP="008F1E8F">
      <w:pPr>
        <w:spacing w:line="240" w:lineRule="auto"/>
      </w:pPr>
      <w:r>
        <w:separator/>
      </w:r>
    </w:p>
  </w:endnote>
  <w:endnote w:type="continuationSeparator" w:id="0">
    <w:p w:rsidR="002F35FD" w:rsidRDefault="002F35F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B2E87" w:rsidTr="00BB2E87">
      <w:tc>
        <w:tcPr>
          <w:tcW w:w="4990" w:type="dxa"/>
          <w:shd w:val="clear" w:color="auto" w:fill="auto"/>
        </w:tcPr>
        <w:p w:rsidR="00BB2E87" w:rsidRPr="00BB2E87" w:rsidRDefault="00BB2E87" w:rsidP="00BB2E8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B059C">
            <w:rPr>
              <w:b w:val="0"/>
              <w:color w:val="000000"/>
              <w:w w:val="103"/>
              <w:sz w:val="14"/>
            </w:rPr>
            <w:t>15-20936</w:t>
          </w:r>
          <w:r>
            <w:rPr>
              <w:b w:val="0"/>
              <w:color w:val="000000"/>
              <w:w w:val="103"/>
              <w:sz w:val="14"/>
            </w:rPr>
            <w:fldChar w:fldCharType="end"/>
          </w:r>
        </w:p>
      </w:tc>
      <w:tc>
        <w:tcPr>
          <w:tcW w:w="4990" w:type="dxa"/>
          <w:shd w:val="clear" w:color="auto" w:fill="auto"/>
        </w:tcPr>
        <w:p w:rsidR="00BB2E87" w:rsidRPr="00BB2E87" w:rsidRDefault="00BB2E87" w:rsidP="00BB2E8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7007F">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7007F">
            <w:rPr>
              <w:color w:val="000000"/>
              <w:w w:val="103"/>
            </w:rPr>
            <w:t>2</w:t>
          </w:r>
          <w:r>
            <w:rPr>
              <w:color w:val="000000"/>
              <w:w w:val="103"/>
            </w:rPr>
            <w:fldChar w:fldCharType="end"/>
          </w:r>
        </w:p>
      </w:tc>
    </w:tr>
  </w:tbl>
  <w:p w:rsidR="00BB2E87" w:rsidRPr="00BB2E87" w:rsidRDefault="00BB2E87" w:rsidP="00BB2E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B2E87" w:rsidTr="00BB2E87">
      <w:tc>
        <w:tcPr>
          <w:tcW w:w="4990" w:type="dxa"/>
          <w:shd w:val="clear" w:color="auto" w:fill="auto"/>
        </w:tcPr>
        <w:p w:rsidR="00BB2E87" w:rsidRPr="00BB2E87" w:rsidRDefault="00BB2E87" w:rsidP="00BB2E8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B059C">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B059C">
            <w:rPr>
              <w:color w:val="000000"/>
              <w:w w:val="103"/>
            </w:rPr>
            <w:t>3</w:t>
          </w:r>
          <w:r>
            <w:rPr>
              <w:color w:val="000000"/>
              <w:w w:val="103"/>
            </w:rPr>
            <w:fldChar w:fldCharType="end"/>
          </w:r>
        </w:p>
      </w:tc>
      <w:tc>
        <w:tcPr>
          <w:tcW w:w="4990" w:type="dxa"/>
          <w:shd w:val="clear" w:color="auto" w:fill="auto"/>
        </w:tcPr>
        <w:p w:rsidR="00BB2E87" w:rsidRPr="00BB2E87" w:rsidRDefault="00BB2E87" w:rsidP="00BB2E8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B059C">
            <w:rPr>
              <w:b w:val="0"/>
              <w:color w:val="000000"/>
              <w:w w:val="103"/>
              <w:sz w:val="14"/>
            </w:rPr>
            <w:t>15-20936</w:t>
          </w:r>
          <w:r>
            <w:rPr>
              <w:b w:val="0"/>
              <w:color w:val="000000"/>
              <w:w w:val="103"/>
              <w:sz w:val="14"/>
            </w:rPr>
            <w:fldChar w:fldCharType="end"/>
          </w:r>
        </w:p>
      </w:tc>
    </w:tr>
  </w:tbl>
  <w:p w:rsidR="00BB2E87" w:rsidRPr="00BB2E87" w:rsidRDefault="00BB2E87" w:rsidP="00BB2E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E87" w:rsidRPr="00BB2E87" w:rsidRDefault="00BB2E87" w:rsidP="00BB2E87">
    <w:pPr>
      <w:pStyle w:val="Footer"/>
      <w:spacing w:line="120" w:lineRule="exact"/>
      <w:rPr>
        <w:b w:val="0"/>
        <w:sz w:val="10"/>
      </w:rPr>
    </w:pPr>
    <w:r>
      <w:rPr>
        <w:b w:val="0"/>
        <w:sz w:val="10"/>
      </w:rPr>
      <w:drawing>
        <wp:anchor distT="0" distB="0" distL="114300" distR="114300" simplePos="0" relativeHeight="251658240" behindDoc="0" locked="0" layoutInCell="1" allowOverlap="1" wp14:anchorId="465992BC" wp14:editId="755F14E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SWG/64/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4/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BB2E87" w:rsidTr="00BB2E87">
      <w:tc>
        <w:tcPr>
          <w:tcW w:w="3830" w:type="dxa"/>
        </w:tcPr>
        <w:p w:rsidR="00BB2E87" w:rsidRDefault="00BB2E87" w:rsidP="00BB2E87">
          <w:pPr>
            <w:pStyle w:val="ReleaseDate"/>
          </w:pPr>
          <w:r>
            <w:t xml:space="preserve">15-20936 (S)    </w:t>
          </w:r>
          <w:r w:rsidR="00AB327B">
            <w:t>18</w:t>
          </w:r>
          <w:r>
            <w:t>1215    2</w:t>
          </w:r>
          <w:r w:rsidR="00AB327B">
            <w:t>4</w:t>
          </w:r>
          <w:r>
            <w:t>1215</w:t>
          </w:r>
        </w:p>
        <w:p w:rsidR="00BB2E87" w:rsidRPr="00BB2E87" w:rsidRDefault="00BB2E87" w:rsidP="00BB2E8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*1520936*</w:t>
          </w:r>
        </w:p>
      </w:tc>
      <w:tc>
        <w:tcPr>
          <w:tcW w:w="4990" w:type="dxa"/>
        </w:tcPr>
        <w:p w:rsidR="00BB2E87" w:rsidRDefault="00BB2E87" w:rsidP="00BB2E87">
          <w:pPr>
            <w:pStyle w:val="Footer"/>
            <w:jc w:val="right"/>
            <w:rPr>
              <w:b w:val="0"/>
              <w:sz w:val="20"/>
            </w:rPr>
          </w:pPr>
          <w:r>
            <w:rPr>
              <w:b w:val="0"/>
              <w:sz w:val="20"/>
            </w:rPr>
            <w:drawing>
              <wp:inline distT="0" distB="0" distL="0" distR="0" wp14:anchorId="5BB2D81C" wp14:editId="7719885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B2E87" w:rsidRPr="00BB2E87" w:rsidRDefault="00BB2E87" w:rsidP="00BB2E8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5FD" w:rsidRDefault="002F35FD" w:rsidP="008F1E8F">
      <w:pPr>
        <w:spacing w:line="240" w:lineRule="auto"/>
      </w:pPr>
      <w:r>
        <w:separator/>
      </w:r>
    </w:p>
  </w:footnote>
  <w:footnote w:type="continuationSeparator" w:id="0">
    <w:p w:rsidR="002F35FD" w:rsidRDefault="002F35FD"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B2E87" w:rsidTr="00BB2E87">
      <w:trPr>
        <w:trHeight w:hRule="exact" w:val="864"/>
      </w:trPr>
      <w:tc>
        <w:tcPr>
          <w:tcW w:w="4838" w:type="dxa"/>
          <w:shd w:val="clear" w:color="auto" w:fill="auto"/>
          <w:vAlign w:val="bottom"/>
        </w:tcPr>
        <w:p w:rsidR="00BB2E87" w:rsidRPr="00BB2E87" w:rsidRDefault="00BB2E87" w:rsidP="00BB2E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059C">
            <w:rPr>
              <w:b/>
              <w:color w:val="000000"/>
            </w:rPr>
            <w:t>CEDAW/C/PSWG/64/1</w:t>
          </w:r>
          <w:r>
            <w:rPr>
              <w:b/>
              <w:color w:val="000000"/>
            </w:rPr>
            <w:fldChar w:fldCharType="end"/>
          </w:r>
        </w:p>
      </w:tc>
      <w:tc>
        <w:tcPr>
          <w:tcW w:w="4990" w:type="dxa"/>
          <w:shd w:val="clear" w:color="auto" w:fill="auto"/>
          <w:vAlign w:val="bottom"/>
        </w:tcPr>
        <w:p w:rsidR="00BB2E87" w:rsidRDefault="00BB2E87" w:rsidP="00BB2E87">
          <w:pPr>
            <w:pStyle w:val="Header"/>
          </w:pPr>
        </w:p>
      </w:tc>
    </w:tr>
  </w:tbl>
  <w:p w:rsidR="00BB2E87" w:rsidRPr="00BB2E87" w:rsidRDefault="00BB2E87" w:rsidP="00BB2E8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B2E87" w:rsidTr="00BB2E87">
      <w:trPr>
        <w:trHeight w:hRule="exact" w:val="864"/>
      </w:trPr>
      <w:tc>
        <w:tcPr>
          <w:tcW w:w="4838" w:type="dxa"/>
          <w:shd w:val="clear" w:color="auto" w:fill="auto"/>
          <w:vAlign w:val="bottom"/>
        </w:tcPr>
        <w:p w:rsidR="00BB2E87" w:rsidRDefault="00BB2E87" w:rsidP="00BB2E87">
          <w:pPr>
            <w:pStyle w:val="Header"/>
          </w:pPr>
        </w:p>
      </w:tc>
      <w:tc>
        <w:tcPr>
          <w:tcW w:w="4990" w:type="dxa"/>
          <w:shd w:val="clear" w:color="auto" w:fill="auto"/>
          <w:vAlign w:val="bottom"/>
        </w:tcPr>
        <w:p w:rsidR="00BB2E87" w:rsidRPr="00BB2E87" w:rsidRDefault="00BB2E87" w:rsidP="00BB2E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059C">
            <w:rPr>
              <w:b/>
              <w:color w:val="000000"/>
            </w:rPr>
            <w:t>CEDAW/C/PSWG/64/1</w:t>
          </w:r>
          <w:r>
            <w:rPr>
              <w:b/>
              <w:color w:val="000000"/>
            </w:rPr>
            <w:fldChar w:fldCharType="end"/>
          </w:r>
        </w:p>
      </w:tc>
    </w:tr>
  </w:tbl>
  <w:p w:rsidR="00BB2E87" w:rsidRPr="00BB2E87" w:rsidRDefault="00BB2E87" w:rsidP="00BB2E8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B2E87" w:rsidTr="00BB2E87">
      <w:trPr>
        <w:gridAfter w:val="1"/>
        <w:wAfter w:w="12" w:type="dxa"/>
        <w:trHeight w:hRule="exact" w:val="864"/>
      </w:trPr>
      <w:tc>
        <w:tcPr>
          <w:tcW w:w="1267" w:type="dxa"/>
          <w:tcBorders>
            <w:bottom w:val="single" w:sz="4" w:space="0" w:color="auto"/>
          </w:tcBorders>
          <w:shd w:val="clear" w:color="auto" w:fill="auto"/>
          <w:vAlign w:val="bottom"/>
        </w:tcPr>
        <w:p w:rsidR="00BB2E87" w:rsidRDefault="00BB2E87" w:rsidP="00BB2E87">
          <w:pPr>
            <w:pStyle w:val="Header"/>
            <w:spacing w:after="120"/>
          </w:pPr>
        </w:p>
      </w:tc>
      <w:tc>
        <w:tcPr>
          <w:tcW w:w="2059" w:type="dxa"/>
          <w:tcBorders>
            <w:bottom w:val="single" w:sz="4" w:space="0" w:color="auto"/>
          </w:tcBorders>
          <w:shd w:val="clear" w:color="auto" w:fill="auto"/>
          <w:vAlign w:val="bottom"/>
        </w:tcPr>
        <w:p w:rsidR="00BB2E87" w:rsidRPr="00BB2E87" w:rsidRDefault="00BB2E87" w:rsidP="00BB2E8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B2E87" w:rsidRDefault="00BB2E87" w:rsidP="00BB2E87">
          <w:pPr>
            <w:pStyle w:val="Header"/>
            <w:spacing w:after="120"/>
          </w:pPr>
        </w:p>
      </w:tc>
      <w:tc>
        <w:tcPr>
          <w:tcW w:w="6523" w:type="dxa"/>
          <w:gridSpan w:val="3"/>
          <w:tcBorders>
            <w:bottom w:val="single" w:sz="4" w:space="0" w:color="auto"/>
          </w:tcBorders>
          <w:shd w:val="clear" w:color="auto" w:fill="auto"/>
          <w:vAlign w:val="bottom"/>
        </w:tcPr>
        <w:p w:rsidR="00BB2E87" w:rsidRPr="00BB2E87" w:rsidRDefault="00BB2E87" w:rsidP="00BB2E87">
          <w:pPr>
            <w:spacing w:after="80" w:line="240" w:lineRule="auto"/>
            <w:jc w:val="right"/>
            <w:rPr>
              <w:position w:val="-4"/>
            </w:rPr>
          </w:pPr>
          <w:r>
            <w:rPr>
              <w:position w:val="-4"/>
              <w:sz w:val="40"/>
            </w:rPr>
            <w:t>CEDAW</w:t>
          </w:r>
          <w:r>
            <w:rPr>
              <w:position w:val="-4"/>
            </w:rPr>
            <w:t>/C/PSWG/64/1</w:t>
          </w:r>
        </w:p>
      </w:tc>
    </w:tr>
    <w:tr w:rsidR="00BB2E87" w:rsidRPr="00BB2E87" w:rsidTr="00BB2E87">
      <w:trPr>
        <w:trHeight w:hRule="exact" w:val="2880"/>
      </w:trPr>
      <w:tc>
        <w:tcPr>
          <w:tcW w:w="1267" w:type="dxa"/>
          <w:tcBorders>
            <w:top w:val="single" w:sz="4" w:space="0" w:color="auto"/>
            <w:bottom w:val="single" w:sz="12" w:space="0" w:color="auto"/>
          </w:tcBorders>
          <w:shd w:val="clear" w:color="auto" w:fill="auto"/>
        </w:tcPr>
        <w:p w:rsidR="00BB2E87" w:rsidRPr="00BB2E87" w:rsidRDefault="00BB2E87" w:rsidP="00BB2E87">
          <w:pPr>
            <w:pStyle w:val="Header"/>
            <w:spacing w:before="120"/>
            <w:jc w:val="center"/>
          </w:pPr>
          <w:r>
            <w:t xml:space="preserve"> </w:t>
          </w:r>
          <w:r>
            <w:drawing>
              <wp:inline distT="0" distB="0" distL="0" distR="0" wp14:anchorId="45B79A4E" wp14:editId="2FA775A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2E87" w:rsidRPr="00BB2E87" w:rsidRDefault="00BB2E87" w:rsidP="00BB2E8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B2E87" w:rsidRPr="00AB327B" w:rsidRDefault="00BB2E87" w:rsidP="00BB2E8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B2E87" w:rsidRDefault="00BB2E87" w:rsidP="00BB2E87">
          <w:pPr>
            <w:pStyle w:val="Distribution"/>
            <w:spacing w:before="240"/>
          </w:pPr>
          <w:r>
            <w:t>Distr. general</w:t>
          </w:r>
        </w:p>
        <w:p w:rsidR="00BB2E87" w:rsidRDefault="00BB2E87" w:rsidP="00BB2E87">
          <w:pPr>
            <w:pStyle w:val="Publication"/>
          </w:pPr>
          <w:r>
            <w:t>27 de noviembre de 2015</w:t>
          </w:r>
        </w:p>
        <w:p w:rsidR="00BB2E87" w:rsidRDefault="00BB2E87" w:rsidP="00BB2E87">
          <w:r>
            <w:t>Español</w:t>
          </w:r>
        </w:p>
        <w:p w:rsidR="00BB2E87" w:rsidRDefault="00BB2E87" w:rsidP="00BB2E87">
          <w:pPr>
            <w:pStyle w:val="Original"/>
          </w:pPr>
          <w:r>
            <w:t>Original: inglés</w:t>
          </w:r>
        </w:p>
        <w:p w:rsidR="00BB2E87" w:rsidRPr="00BB2E87" w:rsidRDefault="00BB2E87" w:rsidP="00BB2E87"/>
      </w:tc>
    </w:tr>
  </w:tbl>
  <w:p w:rsidR="00BB2E87" w:rsidRPr="00BB2E87" w:rsidRDefault="00BB2E87" w:rsidP="00BB2E8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8071F87"/>
    <w:multiLevelType w:val="singleLevel"/>
    <w:tmpl w:val="0E02B876"/>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ACD558B"/>
    <w:multiLevelType w:val="hybridMultilevel"/>
    <w:tmpl w:val="F4CCB782"/>
    <w:lvl w:ilvl="0" w:tplc="360A8FD2">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36*"/>
    <w:docVar w:name="CreationDt" w:val="23/12/2015 10:40 AM"/>
    <w:docVar w:name="DocCategory" w:val="Doc"/>
    <w:docVar w:name="DocType" w:val="Final"/>
    <w:docVar w:name="DutyStation" w:val="New York"/>
    <w:docVar w:name="FooterJN" w:val="15-20936"/>
    <w:docVar w:name="jobn" w:val="15-20936 (S)"/>
    <w:docVar w:name="jobnDT" w:val="15-20936 (S)   231215"/>
    <w:docVar w:name="jobnDTDT" w:val="15-20936 (S)   231215   231215"/>
    <w:docVar w:name="JobNo" w:val="1520936S"/>
    <w:docVar w:name="JobNo2" w:val="153927710:40 AM"/>
    <w:docVar w:name="LocalDrive" w:val="0"/>
    <w:docVar w:name="OandT" w:val="lmg"/>
    <w:docVar w:name="PaperSize" w:val="Letter"/>
    <w:docVar w:name="sss1" w:val="CEDAW/C/PSWG/64/1"/>
    <w:docVar w:name="sss2" w:val="-"/>
    <w:docVar w:name="Symbol1" w:val="CEDAW/C/PSWG/64/1"/>
    <w:docVar w:name="Symbol2" w:val="-"/>
  </w:docVars>
  <w:rsids>
    <w:rsidRoot w:val="002F35F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77069"/>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35FD"/>
    <w:rsid w:val="002F4C08"/>
    <w:rsid w:val="003034FD"/>
    <w:rsid w:val="00303A2A"/>
    <w:rsid w:val="00323F27"/>
    <w:rsid w:val="00327A13"/>
    <w:rsid w:val="00330167"/>
    <w:rsid w:val="0033047E"/>
    <w:rsid w:val="00332BD8"/>
    <w:rsid w:val="003359DE"/>
    <w:rsid w:val="003363C7"/>
    <w:rsid w:val="00343253"/>
    <w:rsid w:val="003452B8"/>
    <w:rsid w:val="0034771F"/>
    <w:rsid w:val="00347865"/>
    <w:rsid w:val="003541A2"/>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2433"/>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40AB"/>
    <w:rsid w:val="00565717"/>
    <w:rsid w:val="00567942"/>
    <w:rsid w:val="00571131"/>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5DB3"/>
    <w:rsid w:val="006878DB"/>
    <w:rsid w:val="0069047A"/>
    <w:rsid w:val="006956F4"/>
    <w:rsid w:val="00696921"/>
    <w:rsid w:val="006A3096"/>
    <w:rsid w:val="006A3806"/>
    <w:rsid w:val="006B08F8"/>
    <w:rsid w:val="006B7D41"/>
    <w:rsid w:val="006C3274"/>
    <w:rsid w:val="006C3A65"/>
    <w:rsid w:val="006C4163"/>
    <w:rsid w:val="006C6173"/>
    <w:rsid w:val="006D082E"/>
    <w:rsid w:val="006D3321"/>
    <w:rsid w:val="006E0E95"/>
    <w:rsid w:val="006E0EF0"/>
    <w:rsid w:val="006E199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0F68"/>
    <w:rsid w:val="00781040"/>
    <w:rsid w:val="00781DFE"/>
    <w:rsid w:val="00791C10"/>
    <w:rsid w:val="00793FFF"/>
    <w:rsid w:val="007953CB"/>
    <w:rsid w:val="007A384D"/>
    <w:rsid w:val="007A7681"/>
    <w:rsid w:val="007B04E8"/>
    <w:rsid w:val="007B059C"/>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9DE"/>
    <w:rsid w:val="00813C40"/>
    <w:rsid w:val="00813F5B"/>
    <w:rsid w:val="00815287"/>
    <w:rsid w:val="00815EA8"/>
    <w:rsid w:val="00817D11"/>
    <w:rsid w:val="00821E34"/>
    <w:rsid w:val="00823340"/>
    <w:rsid w:val="00823BE3"/>
    <w:rsid w:val="00824B02"/>
    <w:rsid w:val="00824EA5"/>
    <w:rsid w:val="008305DF"/>
    <w:rsid w:val="00832268"/>
    <w:rsid w:val="00833032"/>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67A3"/>
    <w:rsid w:val="00961828"/>
    <w:rsid w:val="009669E1"/>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1131"/>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327B"/>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B2E87"/>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07F"/>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969AE"/>
    <w:rsid w:val="00CA12C8"/>
    <w:rsid w:val="00CA2127"/>
    <w:rsid w:val="00CA5568"/>
    <w:rsid w:val="00CA5A12"/>
    <w:rsid w:val="00CB5C47"/>
    <w:rsid w:val="00CC0033"/>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142D"/>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B2E87"/>
    <w:pPr>
      <w:spacing w:line="240" w:lineRule="auto"/>
    </w:pPr>
    <w:rPr>
      <w:szCs w:val="20"/>
    </w:rPr>
  </w:style>
  <w:style w:type="character" w:customStyle="1" w:styleId="CommentTextChar">
    <w:name w:val="Comment Text Char"/>
    <w:basedOn w:val="DefaultParagraphFont"/>
    <w:link w:val="CommentText"/>
    <w:rsid w:val="00BB2E87"/>
    <w:rPr>
      <w:rFonts w:ascii="Times New Roman" w:hAnsi="Times New Roman"/>
      <w:spacing w:val="4"/>
      <w:w w:val="103"/>
      <w:lang w:val="es-ES"/>
    </w:rPr>
  </w:style>
  <w:style w:type="paragraph" w:styleId="CommentSubject">
    <w:name w:val="annotation subject"/>
    <w:basedOn w:val="CommentText"/>
    <w:next w:val="CommentText"/>
    <w:link w:val="CommentSubjectChar"/>
    <w:rsid w:val="00BB2E87"/>
    <w:rPr>
      <w:b/>
      <w:bCs/>
    </w:rPr>
  </w:style>
  <w:style w:type="character" w:customStyle="1" w:styleId="CommentSubjectChar">
    <w:name w:val="Comment Subject Char"/>
    <w:basedOn w:val="CommentTextChar"/>
    <w:link w:val="CommentSubject"/>
    <w:rsid w:val="00BB2E87"/>
    <w:rPr>
      <w:rFonts w:ascii="Times New Roman" w:hAnsi="Times New Roman"/>
      <w:b/>
      <w:bCs/>
      <w:spacing w:val="4"/>
      <w:w w:val="103"/>
      <w:lang w:val="es-ES"/>
    </w:rPr>
  </w:style>
  <w:style w:type="character" w:styleId="Hyperlink">
    <w:name w:val="Hyperlink"/>
    <w:basedOn w:val="DefaultParagraphFont"/>
    <w:rsid w:val="00A11131"/>
    <w:rPr>
      <w:color w:val="0000FF"/>
      <w:u w:val="none"/>
    </w:rPr>
  </w:style>
  <w:style w:type="paragraph" w:styleId="Revision">
    <w:name w:val="Revision"/>
    <w:hidden/>
    <w:uiPriority w:val="99"/>
    <w:semiHidden/>
    <w:rsid w:val="008139D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B2E87"/>
    <w:pPr>
      <w:spacing w:line="240" w:lineRule="auto"/>
    </w:pPr>
    <w:rPr>
      <w:szCs w:val="20"/>
    </w:rPr>
  </w:style>
  <w:style w:type="character" w:customStyle="1" w:styleId="CommentTextChar">
    <w:name w:val="Comment Text Char"/>
    <w:basedOn w:val="DefaultParagraphFont"/>
    <w:link w:val="CommentText"/>
    <w:rsid w:val="00BB2E87"/>
    <w:rPr>
      <w:rFonts w:ascii="Times New Roman" w:hAnsi="Times New Roman"/>
      <w:spacing w:val="4"/>
      <w:w w:val="103"/>
      <w:lang w:val="es-ES"/>
    </w:rPr>
  </w:style>
  <w:style w:type="paragraph" w:styleId="CommentSubject">
    <w:name w:val="annotation subject"/>
    <w:basedOn w:val="CommentText"/>
    <w:next w:val="CommentText"/>
    <w:link w:val="CommentSubjectChar"/>
    <w:rsid w:val="00BB2E87"/>
    <w:rPr>
      <w:b/>
      <w:bCs/>
    </w:rPr>
  </w:style>
  <w:style w:type="character" w:customStyle="1" w:styleId="CommentSubjectChar">
    <w:name w:val="Comment Subject Char"/>
    <w:basedOn w:val="CommentTextChar"/>
    <w:link w:val="CommentSubject"/>
    <w:rsid w:val="00BB2E87"/>
    <w:rPr>
      <w:rFonts w:ascii="Times New Roman" w:hAnsi="Times New Roman"/>
      <w:b/>
      <w:bCs/>
      <w:spacing w:val="4"/>
      <w:w w:val="103"/>
      <w:lang w:val="es-ES"/>
    </w:rPr>
  </w:style>
  <w:style w:type="character" w:styleId="Hyperlink">
    <w:name w:val="Hyperlink"/>
    <w:basedOn w:val="DefaultParagraphFont"/>
    <w:rsid w:val="00A11131"/>
    <w:rPr>
      <w:color w:val="0000FF"/>
      <w:u w:val="none"/>
    </w:rPr>
  </w:style>
  <w:style w:type="paragraph" w:styleId="Revision">
    <w:name w:val="Revision"/>
    <w:hidden/>
    <w:uiPriority w:val="99"/>
    <w:semiHidden/>
    <w:rsid w:val="008139D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MLI/Q/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DAW/C/TTO/Q/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FRA/Q/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ALB/Q/4" TargetMode="External"/><Relationship Id="rId20" Type="http://schemas.openxmlformats.org/officeDocument/2006/relationships/hyperlink" Target="http://undocs.org/CEDAW/C/PHL/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IRL/QPR/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URY/Q/8" TargetMode="External"/><Relationship Id="rId10" Type="http://schemas.openxmlformats.org/officeDocument/2006/relationships/header" Target="header2.xml"/><Relationship Id="rId19" Type="http://schemas.openxmlformats.org/officeDocument/2006/relationships/hyperlink" Target="http://undocs.org/CEDAW/C/MMR/Q/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TU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AA0CF-AABC-409F-97D8-84F9B309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Joyce Janssen</cp:lastModifiedBy>
  <cp:revision>4</cp:revision>
  <cp:lastPrinted>2015-12-23T16:40:00Z</cp:lastPrinted>
  <dcterms:created xsi:type="dcterms:W3CDTF">2015-12-23T16:40:00Z</dcterms:created>
  <dcterms:modified xsi:type="dcterms:W3CDTF">2015-12-23T17:32:00Z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1520936</vt:lpwstr>
  </property>
  <property fmtid="{D5CDD505-2E9C-101B-9397-08002B2CF9AE}" pid="3" name="ODSRefJobNo">
    <vt:lpwstr>1539277</vt:lpwstr>
  </property>
  <property fmtid="{D5CDD505-2E9C-101B-9397-08002B2CF9AE}" pid="4" name="Symbol1">
    <vt:lpwstr>CEDAW/C/PSWG/64/1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231215</vt:lpwstr>
  </property>
  <property fmtid="{D5CDD505-2E9C-101B-9397-08002B2CF9AE}" pid="10" name="Comment">
    <vt:lpwstr>EN FINAL</vt:lpwstr>
  </property>
  <property fmtid="{D5CDD505-2E9C-101B-9397-08002B2CF9AE}" pid="11" name="DraftPages">
    <vt:lpwstr> </vt:lpwstr>
  </property>
  <property fmtid="{D5CDD505-2E9C-101B-9397-08002B2CF9AE}" pid="12" name="Operator">
    <vt:lpwstr>lmg</vt:lpwstr>
  </property>
  <property fmtid="{D5CDD505-2E9C-101B-9397-08002B2CF9AE}" pid="13" name="Translator">
    <vt:lpwstr>lmg</vt:lpwstr>
  </property>
</Properties>
</file>