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586A" w:rsidRDefault="00FD586A" w:rsidP="00FD586A">
      <w:pPr>
        <w:spacing w:line="60" w:lineRule="exact"/>
        <w:rPr>
          <w:sz w:val="6"/>
        </w:rPr>
        <w:sectPr w:rsidR="00FD586A" w:rsidSect="00FD586A">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cols w:space="425"/>
          <w:titlePg/>
          <w:docGrid w:linePitch="312"/>
        </w:sectPr>
      </w:pPr>
      <w:r>
        <w:rPr>
          <w:rStyle w:val="CommentReference"/>
        </w:rPr>
        <w:commentReference w:id="0"/>
      </w:r>
    </w:p>
    <w:p w:rsidR="00FD586A" w:rsidRDefault="00FD586A" w:rsidP="00FD586A">
      <w:pPr>
        <w:spacing w:line="60" w:lineRule="exact"/>
        <w:rPr>
          <w:sz w:val="6"/>
        </w:rPr>
      </w:pPr>
    </w:p>
    <w:p w:rsidR="00AB2B82" w:rsidRDefault="00AB2B82" w:rsidP="008B489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60"/>
        <w:ind w:left="1267" w:right="1259" w:hanging="1267"/>
        <w:rPr>
          <w:rFonts w:hint="eastAsia"/>
        </w:rPr>
      </w:pPr>
      <w:r>
        <w:rPr>
          <w:rFonts w:hint="eastAsia"/>
        </w:rPr>
        <w:t>消除对妇女歧视委员会</w:t>
      </w:r>
    </w:p>
    <w:p w:rsidR="00AB2B82" w:rsidRDefault="00AB2B82" w:rsidP="008B489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60"/>
        <w:ind w:left="1267" w:right="1259" w:hanging="1267"/>
        <w:rPr>
          <w:rFonts w:hint="eastAsia"/>
        </w:rPr>
      </w:pPr>
      <w:r>
        <w:rPr>
          <w:rFonts w:hint="eastAsia"/>
        </w:rPr>
        <w:t>第四十五届会议</w:t>
      </w:r>
    </w:p>
    <w:p w:rsidR="00AB2B82" w:rsidRDefault="00AB2B82" w:rsidP="008B4890">
      <w:pPr>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60"/>
        <w:ind w:right="1259"/>
        <w:rPr>
          <w:rFonts w:hint="eastAsia"/>
        </w:rPr>
      </w:pPr>
      <w:r>
        <w:rPr>
          <w:rFonts w:hint="eastAsia"/>
        </w:rPr>
        <w:t>2010年1月18日至2月5日</w:t>
      </w:r>
    </w:p>
    <w:p w:rsidR="008B4890" w:rsidRPr="008B4890" w:rsidRDefault="008B4890" w:rsidP="008B4890">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8B4890" w:rsidRPr="008B4890" w:rsidRDefault="008B4890" w:rsidP="008B4890">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8B4890" w:rsidRPr="008B4890" w:rsidRDefault="008B4890" w:rsidP="008B4890">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AB2B82" w:rsidRDefault="008B4890" w:rsidP="008B4890">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r>
      <w:r w:rsidR="00AB2B82">
        <w:rPr>
          <w:rFonts w:hint="eastAsia"/>
        </w:rPr>
        <w:t>消除对妇女歧视委员会的结论意见</w:t>
      </w:r>
    </w:p>
    <w:p w:rsidR="008B4890" w:rsidRPr="008B4890" w:rsidRDefault="008B4890" w:rsidP="008B489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8B4890" w:rsidRPr="008B4890" w:rsidRDefault="008B4890" w:rsidP="008B489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AB2B82" w:rsidRDefault="008B4890" w:rsidP="008B489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r>
      <w:r w:rsidR="00AB2B82">
        <w:rPr>
          <w:rFonts w:hint="eastAsia"/>
        </w:rPr>
        <w:t>巴拿马</w:t>
      </w:r>
    </w:p>
    <w:p w:rsidR="008B4890" w:rsidRPr="008B4890" w:rsidRDefault="008B4890" w:rsidP="008B4890">
      <w:pPr>
        <w:pStyle w:val="SingleTxt"/>
        <w:spacing w:after="0" w:line="120" w:lineRule="exact"/>
        <w:rPr>
          <w:sz w:val="10"/>
        </w:rPr>
      </w:pPr>
    </w:p>
    <w:p w:rsidR="008B4890" w:rsidRPr="008B4890" w:rsidRDefault="008B4890" w:rsidP="008B4890">
      <w:pPr>
        <w:pStyle w:val="SingleTxt"/>
        <w:spacing w:after="0" w:line="120" w:lineRule="exact"/>
        <w:rPr>
          <w:sz w:val="10"/>
        </w:rPr>
      </w:pPr>
    </w:p>
    <w:p w:rsidR="00AB2B82" w:rsidRDefault="00AB2B82" w:rsidP="008B4890">
      <w:pPr>
        <w:pStyle w:val="SingleTxt"/>
        <w:spacing w:line="300" w:lineRule="exact"/>
        <w:rPr>
          <w:rFonts w:hint="eastAsia"/>
        </w:rPr>
      </w:pPr>
      <w:r>
        <w:rPr>
          <w:rFonts w:hint="eastAsia"/>
        </w:rPr>
        <w:t>1.</w:t>
      </w:r>
      <w:r>
        <w:rPr>
          <w:rFonts w:hint="eastAsia"/>
        </w:rPr>
        <w:tab/>
        <w:t>委员会在2010年2月1日第922次和第923次会议上</w:t>
      </w:r>
      <w:r w:rsidR="008B4890">
        <w:rPr>
          <w:rFonts w:hint="eastAsia"/>
        </w:rPr>
        <w:t>(</w:t>
      </w:r>
      <w:r>
        <w:rPr>
          <w:rFonts w:hint="eastAsia"/>
        </w:rPr>
        <w:t>见CEDAW/C/SR.922</w:t>
      </w:r>
      <w:r w:rsidRPr="008B4890">
        <w:rPr>
          <w:rFonts w:hint="eastAsia"/>
          <w:spacing w:val="-2"/>
        </w:rPr>
        <w:t>和923</w:t>
      </w:r>
      <w:r w:rsidR="008B4890" w:rsidRPr="008B4890">
        <w:rPr>
          <w:rFonts w:hint="eastAsia"/>
          <w:spacing w:val="-2"/>
        </w:rPr>
        <w:t>)</w:t>
      </w:r>
      <w:r w:rsidRPr="008B4890">
        <w:rPr>
          <w:rFonts w:hint="eastAsia"/>
          <w:spacing w:val="-2"/>
        </w:rPr>
        <w:t>审议了巴拿马第四至第七次定期合并报告</w:t>
      </w:r>
      <w:r w:rsidR="008B4890" w:rsidRPr="008B4890">
        <w:rPr>
          <w:rFonts w:hint="eastAsia"/>
          <w:spacing w:val="-2"/>
        </w:rPr>
        <w:t>(</w:t>
      </w:r>
      <w:r w:rsidRPr="008B4890">
        <w:rPr>
          <w:rFonts w:hint="eastAsia"/>
          <w:spacing w:val="-2"/>
        </w:rPr>
        <w:t>CEDAW/C/PAN/7</w:t>
      </w:r>
      <w:r w:rsidR="008B4890" w:rsidRPr="008B4890">
        <w:rPr>
          <w:rFonts w:hint="eastAsia"/>
          <w:spacing w:val="-2"/>
        </w:rPr>
        <w:t>)</w:t>
      </w:r>
      <w:r w:rsidRPr="008B4890">
        <w:rPr>
          <w:rFonts w:hint="eastAsia"/>
          <w:spacing w:val="-2"/>
        </w:rPr>
        <w:t>。委员会的议题和问题清单载于CEDAW/C/PAN/Q/7，巴拿马的答复载于CEDAW/C/PAN/Q/7/Add.1。</w:t>
      </w:r>
    </w:p>
    <w:p w:rsidR="00AB2B82" w:rsidRPr="008B4890" w:rsidRDefault="00AB2B82" w:rsidP="008B4890">
      <w:pPr>
        <w:pStyle w:val="SingleTxt"/>
        <w:spacing w:line="300" w:lineRule="exact"/>
        <w:rPr>
          <w:rFonts w:ascii="SimHei" w:eastAsia="SimHei" w:hint="eastAsia"/>
        </w:rPr>
      </w:pPr>
      <w:r w:rsidRPr="008B4890">
        <w:rPr>
          <w:rFonts w:ascii="SimHei" w:eastAsia="SimHei" w:hint="eastAsia"/>
        </w:rPr>
        <w:t xml:space="preserve">导言 </w:t>
      </w:r>
    </w:p>
    <w:p w:rsidR="00AB2B82" w:rsidRDefault="00AB2B82" w:rsidP="008B4890">
      <w:pPr>
        <w:pStyle w:val="SingleTxt"/>
        <w:spacing w:line="300" w:lineRule="exact"/>
        <w:rPr>
          <w:rFonts w:hint="eastAsia"/>
        </w:rPr>
      </w:pPr>
      <w:r>
        <w:rPr>
          <w:rFonts w:hint="eastAsia"/>
        </w:rPr>
        <w:t>2.</w:t>
      </w:r>
      <w:r>
        <w:rPr>
          <w:rFonts w:hint="eastAsia"/>
        </w:rPr>
        <w:tab/>
        <w:t>委员会对缔约国第四、第五、第六和第七次定期合并报告表示赞赏，报告遵循了委员会先前的编写报告准则，但遗憾的是，报告没有提及以前的结论意见，也没有提及委员会的一般性建议。还令委员会感到遗憾的是，没有提供足够的、</w:t>
      </w:r>
      <w:r w:rsidRPr="008B4890">
        <w:rPr>
          <w:rFonts w:hint="eastAsia"/>
          <w:spacing w:val="-2"/>
        </w:rPr>
        <w:t>按性别分列的有关《公约》各领域妇女状况特别是非裔和土著妇女状况的统计数据。委员会赞赏报告坦诚评估《公约》执行工作面临的各种挑战，但遗憾的是，本报告所述期间没有定期报告，使得实现两性平等进展情况的监测工作较为困难</w:t>
      </w:r>
      <w:r>
        <w:rPr>
          <w:rFonts w:hint="eastAsia"/>
        </w:rPr>
        <w:t xml:space="preserve">。 </w:t>
      </w:r>
    </w:p>
    <w:p w:rsidR="00AB2B82" w:rsidRDefault="00AB2B82" w:rsidP="008B4890">
      <w:pPr>
        <w:pStyle w:val="SingleTxt"/>
        <w:spacing w:line="300" w:lineRule="exact"/>
        <w:rPr>
          <w:rFonts w:hint="eastAsia"/>
        </w:rPr>
      </w:pPr>
      <w:r>
        <w:rPr>
          <w:rFonts w:hint="eastAsia"/>
        </w:rPr>
        <w:t>3.</w:t>
      </w:r>
      <w:r>
        <w:rPr>
          <w:rFonts w:hint="eastAsia"/>
        </w:rPr>
        <w:tab/>
        <w:t xml:space="preserve">委员会赞扬缔约国对会前工作组提出的议题和问题清单作出书面答复并对委员会口头提出的问题作出口头说明和答复。 </w:t>
      </w:r>
    </w:p>
    <w:p w:rsidR="00AB2B82" w:rsidRDefault="00AB2B82" w:rsidP="008B4890">
      <w:pPr>
        <w:pStyle w:val="SingleTxt"/>
        <w:spacing w:line="300" w:lineRule="exact"/>
        <w:rPr>
          <w:rFonts w:hint="eastAsia"/>
        </w:rPr>
      </w:pPr>
      <w:r>
        <w:rPr>
          <w:rFonts w:hint="eastAsia"/>
        </w:rPr>
        <w:t>4.</w:t>
      </w:r>
      <w:r>
        <w:rPr>
          <w:rFonts w:hint="eastAsia"/>
        </w:rPr>
        <w:tab/>
        <w:t xml:space="preserve">委员会赞扬缔约国派出由社会发展部副部长率领、国家妇女问题研究所及政务司法部代表参加的代表团，与委员会成员进行了开放和建设性的对话。 </w:t>
      </w:r>
    </w:p>
    <w:p w:rsidR="00AB2B82" w:rsidRPr="008B4890" w:rsidRDefault="00AB2B82" w:rsidP="008B4890">
      <w:pPr>
        <w:pStyle w:val="SingleTxt"/>
        <w:spacing w:line="300" w:lineRule="exact"/>
        <w:rPr>
          <w:rFonts w:ascii="SimHei" w:eastAsia="SimHei" w:hint="eastAsia"/>
        </w:rPr>
      </w:pPr>
      <w:r w:rsidRPr="008B4890">
        <w:rPr>
          <w:rFonts w:ascii="SimHei" w:eastAsia="SimHei" w:hint="eastAsia"/>
        </w:rPr>
        <w:t xml:space="preserve">积极方面 </w:t>
      </w:r>
    </w:p>
    <w:p w:rsidR="00AB2B82" w:rsidRDefault="00AB2B82" w:rsidP="008B4890">
      <w:pPr>
        <w:pStyle w:val="SingleTxt"/>
        <w:spacing w:line="300" w:lineRule="exact"/>
        <w:rPr>
          <w:rFonts w:hint="eastAsia"/>
        </w:rPr>
      </w:pPr>
      <w:r>
        <w:rPr>
          <w:rFonts w:hint="eastAsia"/>
        </w:rPr>
        <w:t>5.</w:t>
      </w:r>
      <w:r>
        <w:rPr>
          <w:rFonts w:hint="eastAsia"/>
        </w:rPr>
        <w:tab/>
        <w:t>委员会欢迎缔约国2001年批准《公约任择议定书》。</w:t>
      </w:r>
    </w:p>
    <w:p w:rsidR="00AB2B82" w:rsidRDefault="00AB2B82" w:rsidP="00AB2B82">
      <w:pPr>
        <w:pStyle w:val="SingleTxt"/>
        <w:rPr>
          <w:rFonts w:hint="eastAsia"/>
        </w:rPr>
      </w:pPr>
      <w:r>
        <w:rPr>
          <w:rFonts w:hint="eastAsia"/>
        </w:rPr>
        <w:t>6.</w:t>
      </w:r>
      <w:r>
        <w:rPr>
          <w:rFonts w:hint="eastAsia"/>
        </w:rPr>
        <w:tab/>
        <w:t>委员会还欢迎1999年1月29日通过确立妇女机会平等的第4号法律，该法律的基本原则除其他外包括：禁止以性和性别为由歧视他人、法律面前人人平等和谴责各类暴力侵害妇女行为。</w:t>
      </w:r>
    </w:p>
    <w:p w:rsidR="00AB2B82" w:rsidRDefault="00AB2B82" w:rsidP="00AB2B82">
      <w:pPr>
        <w:pStyle w:val="SingleTxt"/>
        <w:rPr>
          <w:rFonts w:hint="eastAsia"/>
        </w:rPr>
      </w:pPr>
      <w:r>
        <w:rPr>
          <w:rFonts w:hint="eastAsia"/>
        </w:rPr>
        <w:t>7.</w:t>
      </w:r>
      <w:r>
        <w:rPr>
          <w:rFonts w:hint="eastAsia"/>
        </w:rPr>
        <w:tab/>
        <w:t xml:space="preserve">委员会还欢迎若干旨在促进提高妇女地位和两性平等的立法措施获得通过，其中包括选举法、刑法、就业和教育领域的立法修正案。委员会还欢迎若干旨在促进提高妇女地位的方案、政策和计划，包括《防止和处理家庭暴力和文明共存国家计划》。 </w:t>
      </w:r>
    </w:p>
    <w:p w:rsidR="00AB2B82" w:rsidRDefault="00AB2B82" w:rsidP="00AB2B82">
      <w:pPr>
        <w:pStyle w:val="SingleTxt"/>
        <w:rPr>
          <w:rFonts w:hint="eastAsia"/>
        </w:rPr>
      </w:pPr>
      <w:r>
        <w:rPr>
          <w:rFonts w:hint="eastAsia"/>
        </w:rPr>
        <w:t>8.</w:t>
      </w:r>
      <w:r>
        <w:rPr>
          <w:rFonts w:hint="eastAsia"/>
        </w:rPr>
        <w:tab/>
        <w:t xml:space="preserve">委员会赞扬2009年成立国家妇女研究所，负责协调和监督有关妇女机会平等问题的遵守情况，并鼓励提高国民对两性不平等问题的认识。 </w:t>
      </w:r>
    </w:p>
    <w:p w:rsidR="00AB2B82" w:rsidRDefault="00AB2B82" w:rsidP="00AB2B82">
      <w:pPr>
        <w:pStyle w:val="SingleTxt"/>
        <w:rPr>
          <w:rFonts w:hint="eastAsia"/>
        </w:rPr>
      </w:pPr>
      <w:r>
        <w:rPr>
          <w:rFonts w:hint="eastAsia"/>
        </w:rPr>
        <w:t>9.</w:t>
      </w:r>
      <w:r>
        <w:rPr>
          <w:rFonts w:hint="eastAsia"/>
        </w:rPr>
        <w:tab/>
        <w:t xml:space="preserve">委员会欢迎缔约国2004年批准《联合国打击跨国有组织犯罪公约关于预防、禁止和惩治贩运人口特别是妇女和儿童行为的补充议定书》。 </w:t>
      </w:r>
    </w:p>
    <w:p w:rsidR="00AB2B82" w:rsidRPr="008B4890" w:rsidRDefault="00AB2B82" w:rsidP="00AB2B82">
      <w:pPr>
        <w:pStyle w:val="SingleTxt"/>
        <w:rPr>
          <w:rFonts w:ascii="SimHei" w:eastAsia="SimHei" w:hint="eastAsia"/>
        </w:rPr>
      </w:pPr>
      <w:r w:rsidRPr="008B4890">
        <w:rPr>
          <w:rFonts w:ascii="SimHei" w:eastAsia="SimHei" w:hint="eastAsia"/>
        </w:rPr>
        <w:t xml:space="preserve">主要关切领域和建议 </w:t>
      </w:r>
    </w:p>
    <w:p w:rsidR="00AB2B82" w:rsidRPr="008B4890" w:rsidRDefault="00AB2B82" w:rsidP="00AB2B82">
      <w:pPr>
        <w:pStyle w:val="SingleTxt"/>
        <w:rPr>
          <w:rFonts w:ascii="SimHei" w:eastAsia="SimHei" w:hint="eastAsia"/>
        </w:rPr>
      </w:pPr>
      <w:r w:rsidRPr="008B4890">
        <w:rPr>
          <w:rFonts w:ascii="SimHei" w:eastAsia="SimHei" w:hint="eastAsia"/>
        </w:rPr>
        <w:t>10.</w:t>
      </w:r>
      <w:r w:rsidRPr="008B4890">
        <w:rPr>
          <w:rFonts w:ascii="SimHei" w:eastAsia="SimHei" w:hint="eastAsia"/>
        </w:rPr>
        <w:tab/>
        <w:t xml:space="preserve">委员会回顾，缔约国有义务系统和持续地执行《公约》各项规定，同时认为缔约国应重视本结论意见中提出的关切和建议。因此，委员会吁请缔约国着重在这些领域开展执行活动，并在其下一次定期报告中说明采取的行动和取得的成果。委员会还吁请缔约国向各有关部委和其他各级政府机构以及议会和司法机构送发本结论意见，确保其有效执行。 </w:t>
      </w:r>
    </w:p>
    <w:p w:rsidR="00AB2B82" w:rsidRPr="008B4890" w:rsidRDefault="00AB2B82" w:rsidP="00AB2B82">
      <w:pPr>
        <w:pStyle w:val="SingleTxt"/>
        <w:rPr>
          <w:rFonts w:ascii="SimHei" w:eastAsia="SimHei" w:hint="eastAsia"/>
        </w:rPr>
      </w:pPr>
      <w:r w:rsidRPr="008B4890">
        <w:rPr>
          <w:rFonts w:ascii="SimHei" w:eastAsia="SimHei" w:hint="eastAsia"/>
        </w:rPr>
        <w:t xml:space="preserve">议会 </w:t>
      </w:r>
    </w:p>
    <w:p w:rsidR="00AB2B82" w:rsidRPr="008B4890" w:rsidRDefault="00AB2B82" w:rsidP="00AB2B82">
      <w:pPr>
        <w:pStyle w:val="SingleTxt"/>
        <w:rPr>
          <w:rFonts w:ascii="SimHei" w:eastAsia="SimHei" w:hint="eastAsia"/>
        </w:rPr>
      </w:pPr>
      <w:r w:rsidRPr="008B4890">
        <w:rPr>
          <w:rFonts w:ascii="SimHei" w:eastAsia="SimHei" w:hint="eastAsia"/>
        </w:rPr>
        <w:t>11.</w:t>
      </w:r>
      <w:r w:rsidRPr="008B4890">
        <w:rPr>
          <w:rFonts w:ascii="SimHei" w:eastAsia="SimHei" w:hint="eastAsia"/>
        </w:rPr>
        <w:tab/>
        <w:t xml:space="preserve">委员会重申，政府对充分执行《公约》规定的缔约国义务负有主要责任，尤其是要接受问责，同时强调《公约》对各政府部门具有约束力，并请缔约国鼓励本国议会根据其任务规定和程序酌情采取必要步骤，执行这些结论意见并按照《公约》的规定履行政府的下一次报告程序。 </w:t>
      </w:r>
    </w:p>
    <w:p w:rsidR="00AB2B82" w:rsidRDefault="00AB2B82" w:rsidP="00AB2B82">
      <w:pPr>
        <w:pStyle w:val="SingleTxt"/>
        <w:rPr>
          <w:rFonts w:hint="eastAsia"/>
        </w:rPr>
      </w:pPr>
      <w:r w:rsidRPr="008B4890">
        <w:rPr>
          <w:rFonts w:ascii="SimHei" w:eastAsia="SimHei" w:hint="eastAsia"/>
        </w:rPr>
        <w:t>平等、不歧视和歧视定义的法律框架</w:t>
      </w:r>
      <w:r>
        <w:rPr>
          <w:rFonts w:hint="eastAsia"/>
        </w:rPr>
        <w:t xml:space="preserve"> </w:t>
      </w:r>
    </w:p>
    <w:p w:rsidR="00AB2B82" w:rsidRDefault="00AB2B82" w:rsidP="00AB2B82">
      <w:pPr>
        <w:pStyle w:val="SingleTxt"/>
        <w:rPr>
          <w:rFonts w:hint="eastAsia"/>
        </w:rPr>
      </w:pPr>
      <w:r>
        <w:rPr>
          <w:rFonts w:hint="eastAsia"/>
        </w:rPr>
        <w:t>12.</w:t>
      </w:r>
      <w:r>
        <w:rPr>
          <w:rFonts w:hint="eastAsia"/>
        </w:rPr>
        <w:tab/>
        <w:t xml:space="preserve">法律委员会欢迎1999年第4号法律，欢迎根据《公约》将歧视定义纳入国内法。委员会还欢迎缔约国制订大量法律以促进两性平等和不歧视。然而，令委员会感到遗憾的是，其中许多法律实际上没有得到有效执行。委员会欢迎缔约国内就杀害妇女问题展开讨论，但对这个问题没有在缔约国的刑法和其他法律中得到适当处理，也没有杀害妇女问题的可靠数据感到关切。 </w:t>
      </w:r>
    </w:p>
    <w:p w:rsidR="00AB2B82" w:rsidRDefault="00AB2B82" w:rsidP="00AB2B82">
      <w:pPr>
        <w:pStyle w:val="SingleTxt"/>
        <w:rPr>
          <w:rFonts w:hint="eastAsia"/>
        </w:rPr>
      </w:pPr>
      <w:r>
        <w:rPr>
          <w:rFonts w:hint="eastAsia"/>
        </w:rPr>
        <w:t>13.</w:t>
      </w:r>
      <w:r>
        <w:rPr>
          <w:rFonts w:hint="eastAsia"/>
        </w:rPr>
        <w:tab/>
      </w:r>
      <w:r w:rsidRPr="008B4890">
        <w:rPr>
          <w:rFonts w:ascii="SimHei" w:eastAsia="SimHei" w:hint="eastAsia"/>
        </w:rPr>
        <w:t>委员会建议缔约国采取一切必要措施并拨出充足资源，在法律上和事实上执行各项保证两性平等和不歧视的法律措施。在这方面，委员会吁请缔约国拨出充足的财政和人力资源，以监测和评估这些法律措施的实施。委员会还敦促缔约国在明定时限内采取必要措施，在刑法典和其他相关法律中处理杀害妇女问题，并收集杀害妇女问题的可靠数据。</w:t>
      </w:r>
      <w:r>
        <w:rPr>
          <w:rFonts w:hint="eastAsia"/>
        </w:rPr>
        <w:t xml:space="preserve"> </w:t>
      </w:r>
    </w:p>
    <w:p w:rsidR="00AB2B82" w:rsidRPr="008B4890" w:rsidRDefault="00AB2B82" w:rsidP="00AB2B82">
      <w:pPr>
        <w:pStyle w:val="SingleTxt"/>
        <w:rPr>
          <w:rFonts w:ascii="SimHei" w:eastAsia="SimHei" w:hint="eastAsia"/>
        </w:rPr>
      </w:pPr>
      <w:r w:rsidRPr="008B4890">
        <w:rPr>
          <w:rFonts w:ascii="SimHei" w:eastAsia="SimHei" w:hint="eastAsia"/>
        </w:rPr>
        <w:t xml:space="preserve">《公约》和《任择议定书》的能见度 </w:t>
      </w:r>
    </w:p>
    <w:p w:rsidR="00AB2B82" w:rsidRDefault="00AB2B82" w:rsidP="00AB2B82">
      <w:pPr>
        <w:pStyle w:val="SingleTxt"/>
        <w:rPr>
          <w:rFonts w:hint="eastAsia"/>
        </w:rPr>
      </w:pPr>
      <w:r>
        <w:rPr>
          <w:rFonts w:hint="eastAsia"/>
        </w:rPr>
        <w:t>14.</w:t>
      </w:r>
      <w:r>
        <w:rPr>
          <w:rFonts w:hint="eastAsia"/>
        </w:rPr>
        <w:tab/>
        <w:t xml:space="preserve">委员会注意到缔约国在加强巴拿马两性平等和妇女权利方面取得的进展，尤其是颁布反歧视立法，但令委员会遗憾的是，没有提供足够的资料说明妇女利用现行申诉机制的情况，也没有使政府各部门、司法机构、执法人员和妇女自身充分了解《公约》和《任择议定书》。 </w:t>
      </w:r>
    </w:p>
    <w:p w:rsidR="008B4890" w:rsidRDefault="00AB2B82" w:rsidP="00AB2B82">
      <w:pPr>
        <w:pStyle w:val="SingleTxt"/>
        <w:rPr>
          <w:rFonts w:hint="eastAsia"/>
        </w:rPr>
      </w:pPr>
      <w:r>
        <w:rPr>
          <w:rFonts w:hint="eastAsia"/>
        </w:rPr>
        <w:t>15.</w:t>
      </w:r>
      <w:r>
        <w:rPr>
          <w:rFonts w:hint="eastAsia"/>
        </w:rPr>
        <w:tab/>
      </w:r>
      <w:r w:rsidRPr="008B4890">
        <w:rPr>
          <w:rFonts w:ascii="SimHei" w:eastAsia="SimHei" w:hint="eastAsia"/>
        </w:rPr>
        <w:t>委员会吁请缔约国采取一切必要措施，确保政府各部门和司法机构充分了解和适用《公约》各项规定，以此作为所有法律、法院裁定以及两性平等和提高妇女地位政策的框架。委员会建议缔约国提高妇女尤其是农村和土著妇女自身对《公约》的认识。委员会还建议缔约国使《公约》成为对公职人员开展法律教育的组成部分，以确保《公约》的精神、目标和规定众所周知，并经常应用于司法程序。委员会还建议缔约国采取一切适当措施，使《公约》和《任择议定书》的规定成为各级教育系统的一部分，并以各种土著语言广为宣传，使所有妇女和女孩都可加以利用</w:t>
      </w:r>
      <w:r>
        <w:rPr>
          <w:rFonts w:hint="eastAsia"/>
        </w:rPr>
        <w:t>。</w:t>
      </w:r>
    </w:p>
    <w:p w:rsidR="00AB2B82" w:rsidRPr="008B4890" w:rsidRDefault="00AB2B82" w:rsidP="00AB2B82">
      <w:pPr>
        <w:pStyle w:val="SingleTxt"/>
        <w:rPr>
          <w:rFonts w:ascii="SimHei" w:eastAsia="SimHei" w:hint="eastAsia"/>
        </w:rPr>
      </w:pPr>
      <w:r w:rsidRPr="008B4890">
        <w:rPr>
          <w:rFonts w:ascii="SimHei" w:eastAsia="SimHei" w:hint="eastAsia"/>
        </w:rPr>
        <w:t xml:space="preserve">临时特别措施 </w:t>
      </w:r>
    </w:p>
    <w:p w:rsidR="00AB2B82" w:rsidRDefault="00AB2B82" w:rsidP="00AB2B82">
      <w:pPr>
        <w:pStyle w:val="SingleTxt"/>
        <w:rPr>
          <w:rFonts w:hint="eastAsia"/>
        </w:rPr>
      </w:pPr>
      <w:r>
        <w:rPr>
          <w:rFonts w:hint="eastAsia"/>
        </w:rPr>
        <w:t>16.</w:t>
      </w:r>
      <w:r>
        <w:rPr>
          <w:rFonts w:hint="eastAsia"/>
        </w:rPr>
        <w:tab/>
        <w:t xml:space="preserve">令委员会关切的是，缔约国没有把临时特别措施作为加快实现《公约》各领域事实上男女平等的必要战略加以系统使用，还令委员会关切的是，对临时特别措施以及根据直接适用于缔约国的《公约》第四条第1款采取临时特别措施的理由缺乏明确了解，这有碍于实现妇女与男子事实上的平等。 </w:t>
      </w:r>
    </w:p>
    <w:p w:rsidR="00AB2B82" w:rsidRDefault="00AB2B82" w:rsidP="00AB2B82">
      <w:pPr>
        <w:pStyle w:val="SingleTxt"/>
        <w:rPr>
          <w:rFonts w:hint="eastAsia"/>
        </w:rPr>
      </w:pPr>
      <w:r>
        <w:rPr>
          <w:rFonts w:hint="eastAsia"/>
        </w:rPr>
        <w:t>17.</w:t>
      </w:r>
      <w:r>
        <w:rPr>
          <w:rFonts w:hint="eastAsia"/>
        </w:rPr>
        <w:tab/>
      </w:r>
      <w:r w:rsidRPr="008B4890">
        <w:rPr>
          <w:rFonts w:ascii="SimHei" w:eastAsia="SimHei" w:hint="eastAsia"/>
        </w:rPr>
        <w:t>委员会鼓励缔约国制定具体立法，规定根据《公约》第四条第1款和委员会一般性建议25采取临时特别措施，以便在妇女人数不足和处境不利的领域加速实现事实上的男女平等。委员会建议缔约国提高公众对直接适用《公约》第四条第1款的认识，以及对临时特别措施在加快实现男女平等进程中的重要性的认识</w:t>
      </w:r>
      <w:r>
        <w:rPr>
          <w:rFonts w:hint="eastAsia"/>
        </w:rPr>
        <w:t xml:space="preserve">。 </w:t>
      </w:r>
    </w:p>
    <w:p w:rsidR="00AB2B82" w:rsidRPr="008B4890" w:rsidRDefault="00AB2B82" w:rsidP="00AB2B82">
      <w:pPr>
        <w:pStyle w:val="SingleTxt"/>
        <w:rPr>
          <w:rFonts w:ascii="SimHei" w:eastAsia="SimHei" w:hint="eastAsia"/>
        </w:rPr>
      </w:pPr>
      <w:r w:rsidRPr="008B4890">
        <w:rPr>
          <w:rFonts w:ascii="SimHei" w:eastAsia="SimHei" w:hint="eastAsia"/>
        </w:rPr>
        <w:t xml:space="preserve">提高妇女地位的国家机制 </w:t>
      </w:r>
    </w:p>
    <w:p w:rsidR="00AB2B82" w:rsidRDefault="00AB2B82" w:rsidP="00AB2B82">
      <w:pPr>
        <w:pStyle w:val="SingleTxt"/>
        <w:rPr>
          <w:rFonts w:hint="eastAsia"/>
        </w:rPr>
      </w:pPr>
      <w:r>
        <w:rPr>
          <w:rFonts w:hint="eastAsia"/>
        </w:rPr>
        <w:t>18.</w:t>
      </w:r>
      <w:r>
        <w:rPr>
          <w:rFonts w:hint="eastAsia"/>
        </w:rPr>
        <w:tab/>
        <w:t xml:space="preserve">委员会欢迎成立旨在提高妇女地位的新机构和新体制，例如，国家妇女研究所、国家妇女事务局和全国妇女理事会，负责促进平等和处理多种形式的歧视。不过，委员会对各机构的工作协调程度及其可能出现的工作重叠感到关切。还令委员会关切的是，提高妇女地位的国家机制可能没有足够的人力和财政资源保障其有效运作。 </w:t>
      </w:r>
    </w:p>
    <w:p w:rsidR="00AB2B82" w:rsidRDefault="00AB2B82" w:rsidP="00AB2B82">
      <w:pPr>
        <w:pStyle w:val="SingleTxt"/>
        <w:rPr>
          <w:rFonts w:hint="eastAsia"/>
        </w:rPr>
      </w:pPr>
      <w:r>
        <w:rPr>
          <w:rFonts w:hint="eastAsia"/>
        </w:rPr>
        <w:t>19.</w:t>
      </w:r>
      <w:r>
        <w:rPr>
          <w:rFonts w:hint="eastAsia"/>
        </w:rPr>
        <w:tab/>
      </w:r>
      <w:r w:rsidRPr="008B4890">
        <w:rPr>
          <w:rFonts w:ascii="SimHei" w:eastAsia="SimHei" w:hint="eastAsia"/>
        </w:rPr>
        <w:t>委员会建议缔约国加强现有的两性平等机制，在各级加以适当宣传，赋予其权力并提供人力和财政资源，以提高其效力，并加强其协调和监督国家和地方各级提高妇女地位和促进两性平等的能力。委员会还建议缔约国为负责促进两性平等和提高妇女地位的每个机构规定明确的职能</w:t>
      </w:r>
      <w:r>
        <w:rPr>
          <w:rFonts w:hint="eastAsia"/>
        </w:rPr>
        <w:t xml:space="preserve">。 </w:t>
      </w:r>
    </w:p>
    <w:p w:rsidR="00AB2B82" w:rsidRPr="008B4890" w:rsidRDefault="00AB2B82" w:rsidP="00AB2B82">
      <w:pPr>
        <w:pStyle w:val="SingleTxt"/>
        <w:rPr>
          <w:rFonts w:ascii="SimHei" w:eastAsia="SimHei" w:hint="eastAsia"/>
        </w:rPr>
      </w:pPr>
      <w:r w:rsidRPr="008B4890">
        <w:rPr>
          <w:rFonts w:ascii="SimHei" w:eastAsia="SimHei" w:hint="eastAsia"/>
        </w:rPr>
        <w:t xml:space="preserve">非政府组织 </w:t>
      </w:r>
    </w:p>
    <w:p w:rsidR="00AB2B82" w:rsidRDefault="00AB2B82" w:rsidP="00AB2B82">
      <w:pPr>
        <w:pStyle w:val="SingleTxt"/>
        <w:rPr>
          <w:rFonts w:hint="eastAsia"/>
        </w:rPr>
      </w:pPr>
      <w:r>
        <w:rPr>
          <w:rFonts w:hint="eastAsia"/>
        </w:rPr>
        <w:t>20.</w:t>
      </w:r>
      <w:r>
        <w:rPr>
          <w:rFonts w:hint="eastAsia"/>
        </w:rPr>
        <w:tab/>
        <w:t xml:space="preserve">委员会欢迎缔约国内存在一个活跃的民间社会，但令委员会关切的是，当局在执行《公约》方面与非政府组织、特别是妇女协会的合作十分有限。委员会对缔约国显然不够了解这些组织在执行《公约》和促进两性平等方面的关键作用表示关切。 </w:t>
      </w:r>
    </w:p>
    <w:p w:rsidR="00AB2B82" w:rsidRDefault="00AB2B82" w:rsidP="00AB2B82">
      <w:pPr>
        <w:pStyle w:val="SingleTxt"/>
        <w:rPr>
          <w:rFonts w:hint="eastAsia"/>
        </w:rPr>
      </w:pPr>
      <w:r>
        <w:rPr>
          <w:rFonts w:hint="eastAsia"/>
        </w:rPr>
        <w:t>21.</w:t>
      </w:r>
      <w:r w:rsidR="008B4890">
        <w:rPr>
          <w:rFonts w:hint="eastAsia"/>
        </w:rPr>
        <w:tab/>
      </w:r>
      <w:r w:rsidRPr="008B4890">
        <w:rPr>
          <w:rFonts w:ascii="SimHei" w:eastAsia="SimHei" w:hint="eastAsia"/>
        </w:rPr>
        <w:t>委员会敦促缔约国在执行《公约》方面与非政府组织、特别是妇女协会进行更有效和有系统的合作。委员会还建议缔约国在编写下一次定期报告期间征求非政府组织的意见</w:t>
      </w:r>
      <w:r>
        <w:rPr>
          <w:rFonts w:hint="eastAsia"/>
        </w:rPr>
        <w:t xml:space="preserve">。 </w:t>
      </w:r>
    </w:p>
    <w:p w:rsidR="00AB2B82" w:rsidRPr="008B4890" w:rsidRDefault="00AB2B82" w:rsidP="00AB2B82">
      <w:pPr>
        <w:pStyle w:val="SingleTxt"/>
        <w:rPr>
          <w:rFonts w:ascii="SimHei" w:eastAsia="SimHei" w:hint="eastAsia"/>
        </w:rPr>
      </w:pPr>
      <w:r w:rsidRPr="008B4890">
        <w:rPr>
          <w:rFonts w:ascii="SimHei" w:eastAsia="SimHei" w:hint="eastAsia"/>
        </w:rPr>
        <w:t xml:space="preserve">定型观念 </w:t>
      </w:r>
    </w:p>
    <w:p w:rsidR="00AB2B82" w:rsidRDefault="00AB2B82" w:rsidP="00AB2B82">
      <w:pPr>
        <w:pStyle w:val="SingleTxt"/>
        <w:rPr>
          <w:rFonts w:hint="eastAsia"/>
        </w:rPr>
      </w:pPr>
      <w:r>
        <w:rPr>
          <w:rFonts w:hint="eastAsia"/>
        </w:rPr>
        <w:t>22.</w:t>
      </w:r>
      <w:r w:rsidR="008B4890">
        <w:rPr>
          <w:rFonts w:hint="eastAsia"/>
        </w:rPr>
        <w:tab/>
      </w:r>
      <w:r>
        <w:rPr>
          <w:rFonts w:hint="eastAsia"/>
        </w:rPr>
        <w:t xml:space="preserve">委员会再次表示关切，对男女在家庭和社会中的角色和责任长期存在传统定型观念，大大阻碍了《公约》的执行，构成阻碍妇女享有人权的严重障碍。委员会还严重关注某些妇女群体除了受性别定型观念影响外，还因性取向和性别特征等原因面临多种形式的歧视和暴力，对此巴拿马代表团也予以承认。在这方面，委员会注意到，缔约国的宣传媒体强化了妇女的性玩偶形象，为各种族裔偏见推波助澜。 </w:t>
      </w:r>
    </w:p>
    <w:p w:rsidR="00AB2B82" w:rsidRDefault="00AB2B82" w:rsidP="00AB2B82">
      <w:pPr>
        <w:pStyle w:val="SingleTxt"/>
        <w:rPr>
          <w:rFonts w:hint="eastAsia"/>
        </w:rPr>
      </w:pPr>
      <w:r>
        <w:rPr>
          <w:rFonts w:hint="eastAsia"/>
        </w:rPr>
        <w:t>23.</w:t>
      </w:r>
      <w:r>
        <w:rPr>
          <w:rFonts w:hint="eastAsia"/>
        </w:rPr>
        <w:tab/>
      </w:r>
      <w:r w:rsidRPr="008B4890">
        <w:rPr>
          <w:rFonts w:ascii="SimHei" w:eastAsia="SimHei" w:hint="eastAsia"/>
        </w:rPr>
        <w:t>委员会敦促缔约国加紧努力，设计和加强全面提高认识方案，以促进社会各级更加理解和支持男女平等。这些工作应该旨在按照《公约》第二条</w:t>
      </w:r>
      <w:r w:rsidR="008B4890" w:rsidRPr="008B4890">
        <w:rPr>
          <w:rFonts w:ascii="SimHei" w:eastAsia="SimHei" w:hint="eastAsia"/>
        </w:rPr>
        <w:t>(</w:t>
      </w:r>
      <w:r w:rsidRPr="008B4890">
        <w:rPr>
          <w:rFonts w:ascii="SimHei" w:eastAsia="SimHei" w:hint="eastAsia"/>
        </w:rPr>
        <w:t>f</w:t>
      </w:r>
      <w:r w:rsidR="008B4890" w:rsidRPr="008B4890">
        <w:rPr>
          <w:rFonts w:ascii="SimHei" w:eastAsia="SimHei" w:hint="eastAsia"/>
        </w:rPr>
        <w:t>)</w:t>
      </w:r>
      <w:r w:rsidRPr="008B4890">
        <w:rPr>
          <w:rFonts w:ascii="SimHei" w:eastAsia="SimHei" w:hint="eastAsia"/>
        </w:rPr>
        <w:t>款和第五条</w:t>
      </w:r>
      <w:r w:rsidR="008B4890" w:rsidRPr="008B4890">
        <w:rPr>
          <w:rFonts w:ascii="SimHei" w:eastAsia="SimHei" w:hint="eastAsia"/>
        </w:rPr>
        <w:t>(</w:t>
      </w:r>
      <w:r w:rsidRPr="008B4890">
        <w:rPr>
          <w:rFonts w:ascii="SimHei" w:eastAsia="SimHei" w:hint="eastAsia"/>
        </w:rPr>
        <w:t>a</w:t>
      </w:r>
      <w:r w:rsidR="008B4890" w:rsidRPr="008B4890">
        <w:rPr>
          <w:rFonts w:ascii="SimHei" w:eastAsia="SimHei" w:hint="eastAsia"/>
        </w:rPr>
        <w:t>)</w:t>
      </w:r>
      <w:r w:rsidRPr="008B4890">
        <w:rPr>
          <w:rFonts w:ascii="SimHei" w:eastAsia="SimHei" w:hint="eastAsia"/>
        </w:rPr>
        <w:t>款的规定，改变对男女在家庭、工作场所、政治生活和社会中不同责任和角色的定型观念和文化规范。委员会还敦促缔约国将其对多种形式歧视问题的认识化为旨在消除妇女性别定性观念的总体战略，特别要消除第22款明确规定的歧视妇女行为。这一战略可以包括学校课程中的提高认识课程、教师培训以及媒体和公众宣传，包括专门针对男子和男孩的行动</w:t>
      </w:r>
      <w:r>
        <w:rPr>
          <w:rFonts w:hint="eastAsia"/>
        </w:rPr>
        <w:t xml:space="preserve">。 </w:t>
      </w:r>
    </w:p>
    <w:p w:rsidR="00AB2B82" w:rsidRPr="008B4890" w:rsidRDefault="00AB2B82" w:rsidP="00AB2B82">
      <w:pPr>
        <w:pStyle w:val="SingleTxt"/>
        <w:rPr>
          <w:rFonts w:ascii="SimHei" w:eastAsia="SimHei" w:hint="eastAsia"/>
        </w:rPr>
      </w:pPr>
      <w:r w:rsidRPr="008B4890">
        <w:rPr>
          <w:rFonts w:ascii="SimHei" w:eastAsia="SimHei" w:hint="eastAsia"/>
        </w:rPr>
        <w:t xml:space="preserve">狱中妇女 </w:t>
      </w:r>
    </w:p>
    <w:p w:rsidR="00AB2B82" w:rsidRDefault="00AB2B82" w:rsidP="00AB2B82">
      <w:pPr>
        <w:pStyle w:val="SingleTxt"/>
        <w:rPr>
          <w:rFonts w:hint="eastAsia"/>
        </w:rPr>
      </w:pPr>
      <w:r>
        <w:rPr>
          <w:rFonts w:hint="eastAsia"/>
        </w:rPr>
        <w:t>24.</w:t>
      </w:r>
      <w:r>
        <w:rPr>
          <w:rFonts w:hint="eastAsia"/>
        </w:rPr>
        <w:tab/>
        <w:t xml:space="preserve">委员会对狱中妇女面临的困境、尤其是她们在利用适当卫生设施和服务方面的困境感到关切。委员会关切地注意到，许多被剥夺自由的女囚因监狱人满为患而受到伤害，无法充分切实享有基本权利。委员会对女囚受到歧视以及有关警务人员打骂她们并对其进行性虐待的指控深感关切。 </w:t>
      </w:r>
    </w:p>
    <w:p w:rsidR="00AB2B82" w:rsidRDefault="00AB2B82" w:rsidP="00AB2B82">
      <w:pPr>
        <w:pStyle w:val="SingleTxt"/>
        <w:rPr>
          <w:rFonts w:hint="eastAsia"/>
        </w:rPr>
      </w:pPr>
      <w:r>
        <w:rPr>
          <w:rFonts w:hint="eastAsia"/>
        </w:rPr>
        <w:t>25.</w:t>
      </w:r>
      <w:r>
        <w:rPr>
          <w:rFonts w:hint="eastAsia"/>
        </w:rPr>
        <w:tab/>
      </w:r>
      <w:r w:rsidRPr="008B4890">
        <w:rPr>
          <w:rFonts w:ascii="SimHei" w:eastAsia="SimHei" w:hint="eastAsia"/>
        </w:rPr>
        <w:t>委员会敦促缔约国确保向国内所有被剥夺自由的妇女提供适当的卫生设施与服务。委员会还吁请缔约国采取一切适当措施，保护妇女免受监狱过渡拥挤的消极影响，并加强努力向所有以被剥夺自由的妇女为工作对象的专业人员提供专业培训和开展提高认识运动。委员会还吁请缔约国调查警察虐待案件，惩处此类犯罪行为人</w:t>
      </w:r>
      <w:r>
        <w:rPr>
          <w:rFonts w:hint="eastAsia"/>
        </w:rPr>
        <w:t xml:space="preserve">。 </w:t>
      </w:r>
    </w:p>
    <w:p w:rsidR="00AB2B82" w:rsidRPr="008B4890" w:rsidRDefault="00AB2B82" w:rsidP="00AB2B82">
      <w:pPr>
        <w:pStyle w:val="SingleTxt"/>
        <w:rPr>
          <w:rFonts w:ascii="SimHei" w:eastAsia="SimHei" w:hint="eastAsia"/>
        </w:rPr>
      </w:pPr>
      <w:r w:rsidRPr="008B4890">
        <w:rPr>
          <w:rFonts w:ascii="SimHei" w:eastAsia="SimHei" w:hint="eastAsia"/>
        </w:rPr>
        <w:t xml:space="preserve">暴力侵害妇女 </w:t>
      </w:r>
    </w:p>
    <w:p w:rsidR="00AB2B82" w:rsidRDefault="00AB2B82" w:rsidP="00AB2B82">
      <w:pPr>
        <w:pStyle w:val="SingleTxt"/>
        <w:rPr>
          <w:rFonts w:hint="eastAsia"/>
        </w:rPr>
      </w:pPr>
      <w:r>
        <w:rPr>
          <w:rFonts w:hint="eastAsia"/>
        </w:rPr>
        <w:t>26.</w:t>
      </w:r>
      <w:r>
        <w:rPr>
          <w:rFonts w:hint="eastAsia"/>
        </w:rPr>
        <w:tab/>
        <w:t xml:space="preserve">委员会欢迎2004年制订《防止和惩治家庭暴力文明共存国家计划》，该文书旨在克服法律、机构和社会文化障碍、处理家庭暴力多层面问题。委员会还欢迎最近批准对《刑法典》和《刑事诉讼法》进行修订，规定针对家庭暴力采取新的保护措施，并赞赏现任政府致力于防止和处理家庭暴力问题。然而，令委员会感到关切的是，缔约国内暴力侵害妇女案件仍比比皆是，暴力受害者没有得到适当的服务和保护，缺乏受害者可以利用的举报机制，也没有开展提高认识运动来教育妇女认识自身权利。 </w:t>
      </w:r>
    </w:p>
    <w:p w:rsidR="00AB2B82" w:rsidRDefault="00AB2B82" w:rsidP="00AB2B82">
      <w:pPr>
        <w:pStyle w:val="SingleTxt"/>
        <w:rPr>
          <w:rFonts w:hint="eastAsia"/>
        </w:rPr>
      </w:pPr>
      <w:r>
        <w:rPr>
          <w:rFonts w:hint="eastAsia"/>
        </w:rPr>
        <w:t>27.</w:t>
      </w:r>
      <w:r>
        <w:rPr>
          <w:rFonts w:hint="eastAsia"/>
        </w:rPr>
        <w:tab/>
      </w:r>
      <w:r w:rsidRPr="008B4890">
        <w:rPr>
          <w:rFonts w:ascii="SimHei" w:eastAsia="SimHei" w:hint="eastAsia"/>
        </w:rPr>
        <w:t>委员会敦促缔约国加强努力以有效执行现行立法措施，并惩治各种形式的暴力侵害妇女行为，包括家庭暴力，同时考虑到委员会的一般性建议19。委员会还敦促缔约国通过媒体实施教育和公共宣传方案，以传递这样一个信息，即包括家庭暴力在内的各种形式暴力侵害妇女行为都不可接受</w:t>
      </w:r>
      <w:r>
        <w:rPr>
          <w:rFonts w:hint="eastAsia"/>
        </w:rPr>
        <w:t xml:space="preserve">。 </w:t>
      </w:r>
    </w:p>
    <w:p w:rsidR="00AB2B82" w:rsidRDefault="00AB2B82" w:rsidP="00AB2B82">
      <w:pPr>
        <w:pStyle w:val="SingleTxt"/>
        <w:rPr>
          <w:rFonts w:hint="eastAsia"/>
        </w:rPr>
      </w:pPr>
      <w:r>
        <w:rPr>
          <w:rFonts w:hint="eastAsia"/>
        </w:rPr>
        <w:t>28.</w:t>
      </w:r>
      <w:r>
        <w:rPr>
          <w:rFonts w:hint="eastAsia"/>
        </w:rPr>
        <w:tab/>
        <w:t xml:space="preserve">委员会还关切地注意到，没有保护女孩不受体罚和虐待，体罚和虐待有时被视为纪律措施。 </w:t>
      </w:r>
    </w:p>
    <w:p w:rsidR="00AB2B82" w:rsidRDefault="00AB2B82" w:rsidP="00AB2B82">
      <w:pPr>
        <w:pStyle w:val="SingleTxt"/>
        <w:rPr>
          <w:rFonts w:hint="eastAsia"/>
        </w:rPr>
      </w:pPr>
      <w:r>
        <w:rPr>
          <w:rFonts w:hint="eastAsia"/>
        </w:rPr>
        <w:t>29.</w:t>
      </w:r>
      <w:r>
        <w:rPr>
          <w:rFonts w:hint="eastAsia"/>
        </w:rPr>
        <w:tab/>
      </w:r>
      <w:r w:rsidRPr="008B4890">
        <w:rPr>
          <w:rFonts w:ascii="SimHei" w:eastAsia="SimHei" w:hint="eastAsia"/>
        </w:rPr>
        <w:t>委员会根据儿童权利委员会的建议，敦促缔约国将禁止一切形式体罚儿童特别是女孩的内容列入本国立法。委员会还建议缔约国提高认识，重视纪律措施对女孩心理社会发展的不利影响</w:t>
      </w:r>
      <w:r>
        <w:rPr>
          <w:rFonts w:hint="eastAsia"/>
        </w:rPr>
        <w:t xml:space="preserve">。 </w:t>
      </w:r>
    </w:p>
    <w:p w:rsidR="00AB2B82" w:rsidRPr="00AD43FB" w:rsidRDefault="00AB2B82" w:rsidP="00AB2B82">
      <w:pPr>
        <w:pStyle w:val="SingleTxt"/>
        <w:rPr>
          <w:rFonts w:ascii="SimHei" w:eastAsia="SimHei" w:hint="eastAsia"/>
        </w:rPr>
      </w:pPr>
      <w:r w:rsidRPr="00AD43FB">
        <w:rPr>
          <w:rFonts w:ascii="SimHei" w:eastAsia="SimHei" w:hint="eastAsia"/>
        </w:rPr>
        <w:t xml:space="preserve">贩卖行为与性剥削 </w:t>
      </w:r>
    </w:p>
    <w:p w:rsidR="00AB2B82" w:rsidRDefault="00AB2B82" w:rsidP="00AB2B82">
      <w:pPr>
        <w:pStyle w:val="SingleTxt"/>
        <w:rPr>
          <w:rFonts w:hint="eastAsia"/>
        </w:rPr>
      </w:pPr>
      <w:r>
        <w:rPr>
          <w:rFonts w:hint="eastAsia"/>
        </w:rPr>
        <w:t>30.</w:t>
      </w:r>
      <w:r>
        <w:rPr>
          <w:rFonts w:hint="eastAsia"/>
        </w:rPr>
        <w:tab/>
        <w:t xml:space="preserve">委员会欢迎缔约国努力调查与贩卖人口和利用妇女卖淫营利有关的因素、根源和影响，但关切地注意到缔约国内有大批遭贩运的妇女和女孩，被起诉和受惩处的犯罪行为人极少。委员会对缔约国缺乏有关妇女和女孩遭贩运和被性虐待的数据感到遗憾，并对新法律框架及其执行情况的全面性感到关切。 </w:t>
      </w:r>
    </w:p>
    <w:p w:rsidR="00AB2B82" w:rsidRDefault="00AB2B82" w:rsidP="00AB2B82">
      <w:pPr>
        <w:pStyle w:val="SingleTxt"/>
        <w:rPr>
          <w:rFonts w:hint="eastAsia"/>
        </w:rPr>
      </w:pPr>
      <w:r>
        <w:rPr>
          <w:rFonts w:hint="eastAsia"/>
        </w:rPr>
        <w:t>31.</w:t>
      </w:r>
      <w:r>
        <w:rPr>
          <w:rFonts w:hint="eastAsia"/>
        </w:rPr>
        <w:tab/>
      </w:r>
      <w:r w:rsidRPr="008B4890">
        <w:rPr>
          <w:rFonts w:ascii="SimHei" w:eastAsia="SimHei" w:hint="eastAsia"/>
        </w:rPr>
        <w:t>委员会吁请缔约国加紧努力打击一切形式贩卖妇女和女孩行为。委员会还吁请缔约国收集和分析来自警方和国际渠道的数据，起诉和惩治贩运分子，确保被贩卖的妇女和女孩的人权受到保护，并为其恢复正常生活提供保障。委员会进一步吁请缔约国确保被贩卖的妇女和女孩得到适当支助，使她们能够在没有恐惧的情况下对贩运她们的人员出面作证。委员会鼓励缔约国制订提高认识方案，扩大对贩运问题根源的研究，除其他外，特别向法官、律师、行事司法人员、保健业者和执法官员提供全面培训，讲授与性剥削和贩运行为有关的各种问题，并加强与邻国的双边和多边合作。请缔约国就有关贩运行为特别是起诉贩运人的新立法执行情况提出报告</w:t>
      </w:r>
      <w:r>
        <w:rPr>
          <w:rFonts w:hint="eastAsia"/>
        </w:rPr>
        <w:t xml:space="preserve">。 </w:t>
      </w:r>
    </w:p>
    <w:p w:rsidR="00AB2B82" w:rsidRPr="008B4890" w:rsidRDefault="00AB2B82" w:rsidP="00AB2B82">
      <w:pPr>
        <w:pStyle w:val="SingleTxt"/>
        <w:rPr>
          <w:rFonts w:ascii="SimHei" w:eastAsia="SimHei" w:hint="eastAsia"/>
        </w:rPr>
      </w:pPr>
      <w:r w:rsidRPr="008B4890">
        <w:rPr>
          <w:rFonts w:ascii="SimHei" w:eastAsia="SimHei" w:hint="eastAsia"/>
        </w:rPr>
        <w:t>政治参与和参与公共生活</w:t>
      </w:r>
    </w:p>
    <w:p w:rsidR="00AB2B82" w:rsidRDefault="00AB2B82" w:rsidP="00AB2B82">
      <w:pPr>
        <w:pStyle w:val="SingleTxt"/>
        <w:rPr>
          <w:rFonts w:hint="eastAsia"/>
        </w:rPr>
      </w:pPr>
      <w:r>
        <w:rPr>
          <w:rFonts w:hint="eastAsia"/>
        </w:rPr>
        <w:t>32.</w:t>
      </w:r>
      <w:r>
        <w:rPr>
          <w:rFonts w:hint="eastAsia"/>
        </w:rPr>
        <w:tab/>
      </w:r>
      <w:r w:rsidRPr="008B4890">
        <w:rPr>
          <w:rFonts w:hint="eastAsia"/>
        </w:rPr>
        <w:t>委员会欢迎1997年7月14日第22号法律，该法律修订了选举法，除其他规定外还规定30%的民选职位由妇女担任，但对没有采取必要步骤确保各政党遵守这项配额感到关切。委员会还对各政党显然没有认识到、也没有兴趣吸收更多的妇女感到关切</w:t>
      </w:r>
      <w:r>
        <w:rPr>
          <w:rFonts w:hint="eastAsia"/>
        </w:rPr>
        <w:t xml:space="preserve">。 </w:t>
      </w:r>
    </w:p>
    <w:p w:rsidR="00AB2B82" w:rsidRDefault="00AB2B82" w:rsidP="00AB2B82">
      <w:pPr>
        <w:pStyle w:val="SingleTxt"/>
        <w:rPr>
          <w:rFonts w:hint="eastAsia"/>
        </w:rPr>
      </w:pPr>
      <w:r>
        <w:rPr>
          <w:rFonts w:hint="eastAsia"/>
        </w:rPr>
        <w:t>33.</w:t>
      </w:r>
      <w:r>
        <w:rPr>
          <w:rFonts w:hint="eastAsia"/>
        </w:rPr>
        <w:tab/>
      </w:r>
      <w:r w:rsidRPr="008B4890">
        <w:rPr>
          <w:rFonts w:ascii="SimHei" w:eastAsia="SimHei" w:hint="eastAsia"/>
        </w:rPr>
        <w:t>委员会建议缔约国加强努力，切实执行第22号法律，并鼓励妇女参与政治生活。委员会还建议缔约国执行妇女领导能力方面的培训计划，并开展提高认识运动，宣传妇女参与决策的重要性</w:t>
      </w:r>
      <w:r>
        <w:rPr>
          <w:rFonts w:hint="eastAsia"/>
        </w:rPr>
        <w:t xml:space="preserve">。 </w:t>
      </w:r>
    </w:p>
    <w:p w:rsidR="00AB2B82" w:rsidRPr="008B4890" w:rsidRDefault="00AB2B82" w:rsidP="00AB2B82">
      <w:pPr>
        <w:pStyle w:val="SingleTxt"/>
        <w:rPr>
          <w:rFonts w:ascii="SimHei" w:eastAsia="SimHei" w:hint="eastAsia"/>
        </w:rPr>
      </w:pPr>
      <w:r w:rsidRPr="008B4890">
        <w:rPr>
          <w:rFonts w:ascii="SimHei" w:eastAsia="SimHei" w:hint="eastAsia"/>
        </w:rPr>
        <w:t xml:space="preserve">教育 </w:t>
      </w:r>
    </w:p>
    <w:p w:rsidR="00AB2B82" w:rsidRDefault="00AB2B82" w:rsidP="00AB2B82">
      <w:pPr>
        <w:pStyle w:val="SingleTxt"/>
        <w:rPr>
          <w:rFonts w:hint="eastAsia"/>
        </w:rPr>
      </w:pPr>
      <w:r>
        <w:rPr>
          <w:rFonts w:hint="eastAsia"/>
        </w:rPr>
        <w:t>34.</w:t>
      </w:r>
      <w:r>
        <w:rPr>
          <w:rFonts w:hint="eastAsia"/>
        </w:rPr>
        <w:tab/>
        <w:t>委员会欢迎缔约国努力消除文盲，包括开展“走遍巴拿马”</w:t>
      </w:r>
      <w:r w:rsidR="008B4890">
        <w:rPr>
          <w:rFonts w:hint="eastAsia"/>
        </w:rPr>
        <w:t>(</w:t>
      </w:r>
      <w:r>
        <w:rPr>
          <w:rFonts w:hint="eastAsia"/>
        </w:rPr>
        <w:t>Muévete por Panama</w:t>
      </w:r>
      <w:r w:rsidR="008B4890">
        <w:rPr>
          <w:rFonts w:hint="eastAsia"/>
        </w:rPr>
        <w:t>)</w:t>
      </w:r>
      <w:r>
        <w:rPr>
          <w:rFonts w:hint="eastAsia"/>
        </w:rPr>
        <w:t xml:space="preserve">运动，但关切地注意到讲土著语言的农村妇女文盲率偏高。委员会还关切地注意到，高等教育选择反映出对适合妇女的研究领域仍存在定型观念。 </w:t>
      </w:r>
    </w:p>
    <w:p w:rsidR="00AB2B82" w:rsidRDefault="00AB2B82" w:rsidP="00AB2B82">
      <w:pPr>
        <w:pStyle w:val="SingleTxt"/>
        <w:rPr>
          <w:rFonts w:hint="eastAsia"/>
        </w:rPr>
      </w:pPr>
      <w:r>
        <w:rPr>
          <w:rFonts w:hint="eastAsia"/>
        </w:rPr>
        <w:t>35.</w:t>
      </w:r>
      <w:r>
        <w:rPr>
          <w:rFonts w:hint="eastAsia"/>
        </w:rPr>
        <w:tab/>
      </w:r>
      <w:r w:rsidRPr="008B4890">
        <w:rPr>
          <w:rFonts w:ascii="SimHei" w:eastAsia="SimHei" w:hint="eastAsia"/>
        </w:rPr>
        <w:t>委员会鼓励缔约国加强努力消除文盲，特别是在讲土著语言的农村妇女中消除文盲，同时考虑到该国语言的多元化。委员会还敦促缔约国采取措施，并开展开展研究，以消除教育领域的性别歧视和对性别角色的定型观念，并鼓励缔约国加强努力，促进从事非传统职业的妇女融入社会。</w:t>
      </w:r>
      <w:r>
        <w:rPr>
          <w:rFonts w:hint="eastAsia"/>
        </w:rPr>
        <w:t xml:space="preserve"> </w:t>
      </w:r>
    </w:p>
    <w:p w:rsidR="00AB2B82" w:rsidRDefault="00AB2B82" w:rsidP="00AB2B82">
      <w:pPr>
        <w:pStyle w:val="SingleTxt"/>
        <w:rPr>
          <w:rFonts w:hint="eastAsia"/>
        </w:rPr>
      </w:pPr>
      <w:r>
        <w:rPr>
          <w:rFonts w:hint="eastAsia"/>
        </w:rPr>
        <w:t>36.</w:t>
      </w:r>
      <w:r>
        <w:rPr>
          <w:rFonts w:hint="eastAsia"/>
        </w:rPr>
        <w:tab/>
        <w:t>令委员会感到关切的是，大批女孩因早孕而辍学，对这个问题也没有进行调查或研究。还令委员会遗憾的是，虽然已有法律</w:t>
      </w:r>
      <w:r w:rsidR="008B4890">
        <w:rPr>
          <w:rFonts w:hint="eastAsia"/>
        </w:rPr>
        <w:t>(</w:t>
      </w:r>
      <w:r>
        <w:rPr>
          <w:rFonts w:hint="eastAsia"/>
        </w:rPr>
        <w:t>第29号法律</w:t>
      </w:r>
      <w:r w:rsidR="008B4890">
        <w:rPr>
          <w:rFonts w:hint="eastAsia"/>
        </w:rPr>
        <w:t>)</w:t>
      </w:r>
      <w:r>
        <w:rPr>
          <w:rFonts w:hint="eastAsia"/>
        </w:rPr>
        <w:t xml:space="preserve">规定在妊娠期间和之后继续向女孩提供教育，但没有建立有效的机制确保遵守这项法律。 </w:t>
      </w:r>
    </w:p>
    <w:p w:rsidR="00AB2B82" w:rsidRDefault="00AB2B82" w:rsidP="00AB2B82">
      <w:pPr>
        <w:pStyle w:val="SingleTxt"/>
        <w:rPr>
          <w:rFonts w:hint="eastAsia"/>
        </w:rPr>
      </w:pPr>
      <w:r>
        <w:rPr>
          <w:rFonts w:hint="eastAsia"/>
        </w:rPr>
        <w:t>37.</w:t>
      </w:r>
      <w:r>
        <w:rPr>
          <w:rFonts w:hint="eastAsia"/>
        </w:rPr>
        <w:tab/>
      </w:r>
      <w:r w:rsidRPr="008B4890">
        <w:rPr>
          <w:rFonts w:ascii="SimHei" w:eastAsia="SimHei" w:hint="eastAsia"/>
        </w:rPr>
        <w:t>委员会建议缔约国开展研究或调查，以便分析国内早孕现象的主要原因，并实行各项方案或计划，倡导怀孕女孩继续学习。委员会还建议，短期内实施一项监测第29号法律遵守情况的策略，使怀孕女孩更容易完成学业</w:t>
      </w:r>
      <w:r>
        <w:rPr>
          <w:rFonts w:hint="eastAsia"/>
        </w:rPr>
        <w:t xml:space="preserve">。 </w:t>
      </w:r>
    </w:p>
    <w:p w:rsidR="00AB2B82" w:rsidRPr="008B4890" w:rsidRDefault="00AB2B82" w:rsidP="00AB2B82">
      <w:pPr>
        <w:pStyle w:val="SingleTxt"/>
        <w:rPr>
          <w:rFonts w:ascii="SimHei" w:eastAsia="SimHei" w:hint="eastAsia"/>
        </w:rPr>
      </w:pPr>
      <w:r w:rsidRPr="008B4890">
        <w:rPr>
          <w:rFonts w:ascii="SimHei" w:eastAsia="SimHei" w:hint="eastAsia"/>
        </w:rPr>
        <w:t xml:space="preserve">就业 </w:t>
      </w:r>
    </w:p>
    <w:p w:rsidR="00AB2B82" w:rsidRDefault="00AB2B82" w:rsidP="00AB2B82">
      <w:pPr>
        <w:pStyle w:val="SingleTxt"/>
        <w:rPr>
          <w:rFonts w:hint="eastAsia"/>
        </w:rPr>
      </w:pPr>
      <w:r>
        <w:rPr>
          <w:rFonts w:hint="eastAsia"/>
        </w:rPr>
        <w:t>38.</w:t>
      </w:r>
      <w:r>
        <w:rPr>
          <w:rFonts w:hint="eastAsia"/>
        </w:rPr>
        <w:tab/>
        <w:t xml:space="preserve">委员会关切地注意到，虽然巴拿马的教育水平很高，但许多妇女都因就业不足率和失业率较高而蒙受其害，包括在农村地区。妇女还被隔离在低工资的就业部门。还令委员会关注的是，尽管缔约国努力提高两性平等主流化能力，但私营部门的薪酬差距长期存在，对同值工作同等报酬的原则也没有足够的认识。委员会还关切地注意到没有对怀孕女工和受性骚扰的妇女提供适当的法律保护，并对缔约国内女孩童工人数偏高感到关切。 </w:t>
      </w:r>
    </w:p>
    <w:p w:rsidR="00AB2B82" w:rsidRDefault="00AB2B82" w:rsidP="00AB2B82">
      <w:pPr>
        <w:pStyle w:val="SingleTxt"/>
        <w:rPr>
          <w:rFonts w:hint="eastAsia"/>
        </w:rPr>
      </w:pPr>
      <w:r>
        <w:rPr>
          <w:rFonts w:hint="eastAsia"/>
        </w:rPr>
        <w:t>39.</w:t>
      </w:r>
      <w:r>
        <w:rPr>
          <w:rFonts w:hint="eastAsia"/>
        </w:rPr>
        <w:tab/>
      </w:r>
      <w:r w:rsidRPr="008B4890">
        <w:rPr>
          <w:rFonts w:ascii="SimHei" w:eastAsia="SimHei" w:hint="eastAsia"/>
        </w:rPr>
        <w:t>委员会吁请缔约国采取必要措施，消除就业歧视和职业隔离。委员会敦促缔约国根据《公约》第十一条</w:t>
      </w:r>
      <w:r w:rsidR="008B4890" w:rsidRPr="008B4890">
        <w:rPr>
          <w:rFonts w:ascii="SimHei" w:eastAsia="SimHei" w:hint="eastAsia"/>
        </w:rPr>
        <w:t>(</w:t>
      </w:r>
      <w:r w:rsidRPr="008B4890">
        <w:rPr>
          <w:rFonts w:ascii="SimHei" w:eastAsia="SimHei" w:hint="eastAsia"/>
        </w:rPr>
        <w:t>d</w:t>
      </w:r>
      <w:r w:rsidR="008B4890" w:rsidRPr="008B4890">
        <w:rPr>
          <w:rFonts w:ascii="SimHei" w:eastAsia="SimHei" w:hint="eastAsia"/>
        </w:rPr>
        <w:t>)</w:t>
      </w:r>
      <w:r w:rsidRPr="008B4890">
        <w:rPr>
          <w:rFonts w:ascii="SimHei" w:eastAsia="SimHei" w:hint="eastAsia"/>
        </w:rPr>
        <w:t>款和《国际劳工组织第100号公约》颁布适当的立法和措施，保证“同值工作同等报酬”的原则。委员会请缔约国在下一次定期报告中列入按性别分列的童工、工资、养恤金和社会保障权利数据。委员会还敦促缔约国采取有效措施打击性骚扰，保障孕产妇权利</w:t>
      </w:r>
      <w:r>
        <w:rPr>
          <w:rFonts w:hint="eastAsia"/>
        </w:rPr>
        <w:t xml:space="preserve">。 </w:t>
      </w:r>
    </w:p>
    <w:p w:rsidR="00AB2B82" w:rsidRPr="008B4890" w:rsidRDefault="00AB2B82" w:rsidP="00AB2B82">
      <w:pPr>
        <w:pStyle w:val="SingleTxt"/>
        <w:rPr>
          <w:rFonts w:ascii="SimHei" w:eastAsia="SimHei" w:hint="eastAsia"/>
        </w:rPr>
      </w:pPr>
      <w:r w:rsidRPr="008B4890">
        <w:rPr>
          <w:rFonts w:ascii="SimHei" w:eastAsia="SimHei" w:hint="eastAsia"/>
        </w:rPr>
        <w:t xml:space="preserve">健康 </w:t>
      </w:r>
    </w:p>
    <w:p w:rsidR="00AB2B82" w:rsidRDefault="00AB2B82" w:rsidP="00AB2B82">
      <w:pPr>
        <w:pStyle w:val="SingleTxt"/>
        <w:rPr>
          <w:rFonts w:hint="eastAsia"/>
        </w:rPr>
      </w:pPr>
      <w:r>
        <w:rPr>
          <w:rFonts w:hint="eastAsia"/>
        </w:rPr>
        <w:t>40.</w:t>
      </w:r>
      <w:r>
        <w:rPr>
          <w:rFonts w:hint="eastAsia"/>
        </w:rPr>
        <w:tab/>
        <w:t xml:space="preserve">令委员会对缔约国没有充分承认和保护妇女的性健康和生殖权利、尤其是迟迟未对关于性健康和生殖健康的第442号法律草案举行辩论感到关切。委员会对没有资料说明向少女、尤其是农村地区少女提供保健服务的情况以及早孕人数偏高感到遗憾。此外，委员会还对缔约国没有采取通盘生命周期方法解决妇女健康问题感到关切。 </w:t>
      </w:r>
    </w:p>
    <w:p w:rsidR="00AB2B82" w:rsidRDefault="00AB2B82" w:rsidP="00AB2B82">
      <w:pPr>
        <w:pStyle w:val="SingleTxt"/>
        <w:rPr>
          <w:rFonts w:hint="eastAsia"/>
        </w:rPr>
      </w:pPr>
      <w:r>
        <w:rPr>
          <w:rFonts w:hint="eastAsia"/>
        </w:rPr>
        <w:t>41.</w:t>
      </w:r>
      <w:r w:rsidR="008B4890" w:rsidRPr="008B4890">
        <w:rPr>
          <w:rFonts w:ascii="SimHei" w:eastAsia="SimHei" w:hint="eastAsia"/>
        </w:rPr>
        <w:tab/>
      </w:r>
      <w:r w:rsidRPr="008B4890">
        <w:rPr>
          <w:rFonts w:ascii="SimHei" w:eastAsia="SimHei" w:hint="eastAsia"/>
        </w:rPr>
        <w:t>委员会敦促缔约国采取必要措施，克服围绕第442号法律草案出现的僵局，并尽快颁布这项法律。委员会还敦促缔约国改善计划生育和生殖健康计划及政策，以便根据委员会关于妇女和健康的一般性建议24和《北京宣言和行动纲要》，使妇女和少女、特别是农村地区的妇女和少女切实获得保健服务资料，包括生殖保健和现有避孕药具方面的资料。委员会还建议缔约国加强努力，将适龄性教育纳入学校课程，并为防止少女怀孕开展宣传运动。委员会还建议缔约国采取通盘生命周期方法解决妇女健康问题，包括强调不同文化</w:t>
      </w:r>
      <w:r>
        <w:rPr>
          <w:rFonts w:hint="eastAsia"/>
        </w:rPr>
        <w:t xml:space="preserve">。 </w:t>
      </w:r>
    </w:p>
    <w:p w:rsidR="00AB2B82" w:rsidRDefault="00AB2B82" w:rsidP="00AB2B82">
      <w:pPr>
        <w:pStyle w:val="SingleTxt"/>
        <w:rPr>
          <w:rFonts w:hint="eastAsia"/>
        </w:rPr>
      </w:pPr>
      <w:r>
        <w:rPr>
          <w:rFonts w:hint="eastAsia"/>
        </w:rPr>
        <w:t>42.</w:t>
      </w:r>
      <w:r w:rsidR="008B4890">
        <w:rPr>
          <w:rFonts w:hint="eastAsia"/>
        </w:rPr>
        <w:tab/>
      </w:r>
      <w:r>
        <w:rPr>
          <w:rFonts w:hint="eastAsia"/>
        </w:rPr>
        <w:t xml:space="preserve">委员会关切地注意到，缔约国孕产妇死亡率偏高，主要原因是没有提供适当的医疗服务，尤其是没有向农村和土著妇女和少女提供医疗服务。还令委员会感到关切的是，由于在执行缔约国现行法律法规方面遇到困难，许多妇女无法获得合法人工流产，因此被迫采用非法人工流产办法。还令委员会感到关切的是，没有任何方案采取措施提高受害者对遭受性攻击后寻求医疗处置和报告事件重要性的认识。 </w:t>
      </w:r>
    </w:p>
    <w:p w:rsidR="00AB2B82" w:rsidRDefault="00AB2B82" w:rsidP="00AB2B82">
      <w:pPr>
        <w:pStyle w:val="SingleTxt"/>
        <w:rPr>
          <w:rFonts w:hint="eastAsia"/>
        </w:rPr>
      </w:pPr>
      <w:r>
        <w:rPr>
          <w:rFonts w:hint="eastAsia"/>
        </w:rPr>
        <w:t>43.</w:t>
      </w:r>
      <w:r>
        <w:rPr>
          <w:rFonts w:hint="eastAsia"/>
        </w:rPr>
        <w:tab/>
      </w:r>
      <w:r w:rsidRPr="008B4890">
        <w:rPr>
          <w:rFonts w:ascii="SimHei" w:eastAsia="SimHei" w:hint="eastAsia"/>
          <w:spacing w:val="-2"/>
        </w:rPr>
        <w:t>委员会敦促缔约国向所有妇女、特别是向土著、非洲裔和亚裔妇女等最弱势妇女群体提供更好的保健服务。委员会还敦促缔约国毫不拖延地采取有效措施，解决孕产妇死亡率偏高的问题，保证适当的产前、分娩和产后护理，并确保在国内各地、特别是在农村地区提供保健设施以及由合格工作人员提供医疗援助。委员会敦促缔约国通过各项有关妇女坠胎权的条例，并使妇女能够获得高质量服务，治疗不安全人工流产并发症。委员会邀请卫生部就不安全人工流产及其对妇女健康的影响，尤其是对造成孕产妇死亡的人工流产进行一次全面调查或研究，以此作为采取立法和政策行动的基础。委员会还敦促缔约国推动全国对话，探讨妇女生殖健康权利，包括限制性堕胎法的后果。委员会还建议缔约国制定各项方案，包括采取措施提高受害者对遭受性攻击后寻求医疗处置和报告事件重要性的认识</w:t>
      </w:r>
      <w:r w:rsidRPr="008B4890">
        <w:rPr>
          <w:rFonts w:ascii="SimHei" w:eastAsia="SimHei" w:hint="eastAsia"/>
        </w:rPr>
        <w:t>。</w:t>
      </w:r>
      <w:r>
        <w:rPr>
          <w:rFonts w:hint="eastAsia"/>
        </w:rPr>
        <w:t xml:space="preserve"> </w:t>
      </w:r>
    </w:p>
    <w:p w:rsidR="00AB2B82" w:rsidRDefault="00AB2B82" w:rsidP="00AB2B82">
      <w:pPr>
        <w:pStyle w:val="SingleTxt"/>
        <w:rPr>
          <w:rFonts w:hint="eastAsia"/>
        </w:rPr>
      </w:pPr>
      <w:r>
        <w:rPr>
          <w:rFonts w:hint="eastAsia"/>
        </w:rPr>
        <w:t>44.</w:t>
      </w:r>
      <w:r>
        <w:rPr>
          <w:rFonts w:hint="eastAsia"/>
        </w:rPr>
        <w:tab/>
        <w:t xml:space="preserve">委员会对没有提供资料说明艾滋病毒/艾滋病问题以及缔约国内患病妇女的人数、特别是农村和土著妇女及女孩患病人数明显增多感到遗憾。 </w:t>
      </w:r>
    </w:p>
    <w:p w:rsidR="00AB2B82" w:rsidRDefault="00AB2B82" w:rsidP="00AB2B82">
      <w:pPr>
        <w:pStyle w:val="SingleTxt"/>
        <w:rPr>
          <w:rFonts w:hint="eastAsia"/>
        </w:rPr>
      </w:pPr>
      <w:r>
        <w:rPr>
          <w:rFonts w:hint="eastAsia"/>
        </w:rPr>
        <w:t>45.</w:t>
      </w:r>
      <w:r>
        <w:rPr>
          <w:rFonts w:hint="eastAsia"/>
        </w:rPr>
        <w:tab/>
      </w:r>
      <w:r w:rsidRPr="008B4890">
        <w:rPr>
          <w:rFonts w:ascii="SimHei" w:eastAsia="SimHei" w:hint="eastAsia"/>
        </w:rPr>
        <w:t>委员会吁请缔约国处理因男女权力差异等原因而出现的艾滋病毒/艾滋病蔓延问题，这种差异往往使妇女无法坚持和采取安全和负责任的性行为。委员会鼓励缔约国加强努力，以提高认识并教育妇女和女孩如何保护自己免于艾滋病毒/艾滋病，特别是在农村地区。委员会还敦促缔约国确保妇女和女孩享有平等权利，并能够获得艾滋病毒/艾滋病检测和相关保健和社会服务。委员会请缔约国在下一次定期报告中提供有关艾滋病毒/艾滋病问题的资料和按性别分类的数据</w:t>
      </w:r>
      <w:r>
        <w:rPr>
          <w:rFonts w:hint="eastAsia"/>
        </w:rPr>
        <w:t xml:space="preserve">。 </w:t>
      </w:r>
    </w:p>
    <w:p w:rsidR="00AB2B82" w:rsidRPr="008B4890" w:rsidRDefault="00AB2B82" w:rsidP="00AB2B82">
      <w:pPr>
        <w:pStyle w:val="SingleTxt"/>
        <w:rPr>
          <w:rFonts w:ascii="SimHei" w:eastAsia="SimHei" w:hint="eastAsia"/>
        </w:rPr>
      </w:pPr>
      <w:r w:rsidRPr="008B4890">
        <w:rPr>
          <w:rFonts w:ascii="SimHei" w:eastAsia="SimHei" w:hint="eastAsia"/>
        </w:rPr>
        <w:t xml:space="preserve">弱势妇女群体 </w:t>
      </w:r>
    </w:p>
    <w:p w:rsidR="00AB2B82" w:rsidRDefault="00AB2B82" w:rsidP="00AB2B82">
      <w:pPr>
        <w:pStyle w:val="SingleTxt"/>
        <w:rPr>
          <w:rFonts w:hint="eastAsia"/>
        </w:rPr>
      </w:pPr>
      <w:r>
        <w:rPr>
          <w:rFonts w:hint="eastAsia"/>
        </w:rPr>
        <w:t>46.</w:t>
      </w:r>
      <w:r>
        <w:rPr>
          <w:rFonts w:hint="eastAsia"/>
        </w:rPr>
        <w:tab/>
        <w:t xml:space="preserve">委员会欢迎缔约国各项旨在增强赤贫妇女能力的举措和社会方案，但对巴拿马妇女尤其是农村和土著妇女贫穷人数众多、社会排斥妇女现象比比皆，以及阻碍她们享有基本权利的种种障碍感到关切。 </w:t>
      </w:r>
    </w:p>
    <w:p w:rsidR="00AB2B82" w:rsidRDefault="00AB2B82" w:rsidP="00AB2B82">
      <w:pPr>
        <w:pStyle w:val="SingleTxt"/>
        <w:rPr>
          <w:rFonts w:hint="eastAsia"/>
        </w:rPr>
      </w:pPr>
      <w:r>
        <w:rPr>
          <w:rFonts w:hint="eastAsia"/>
        </w:rPr>
        <w:t>47.</w:t>
      </w:r>
      <w:r>
        <w:rPr>
          <w:rFonts w:hint="eastAsia"/>
        </w:rPr>
        <w:tab/>
      </w:r>
      <w:r w:rsidRPr="008B4890">
        <w:rPr>
          <w:rFonts w:ascii="SimHei" w:eastAsia="SimHei" w:hint="eastAsia"/>
        </w:rPr>
        <w:t>委员会敦促缔约国加强各项旨在鼓励增强妇女经济能力的举措，同时考虑到不同妇女群体的具体情况。委员会还鼓励缔约国建立机制，定期对社会经济政策对妇女的影响进行监测</w:t>
      </w:r>
      <w:r>
        <w:rPr>
          <w:rFonts w:hint="eastAsia"/>
        </w:rPr>
        <w:t xml:space="preserve">。 </w:t>
      </w:r>
    </w:p>
    <w:p w:rsidR="00AB2B82" w:rsidRDefault="00AB2B82" w:rsidP="008B4890">
      <w:pPr>
        <w:pStyle w:val="SingleTxt"/>
        <w:spacing w:after="120"/>
        <w:rPr>
          <w:rFonts w:hint="eastAsia"/>
        </w:rPr>
      </w:pPr>
      <w:r>
        <w:rPr>
          <w:rFonts w:hint="eastAsia"/>
        </w:rPr>
        <w:t>48.</w:t>
      </w:r>
      <w:r>
        <w:rPr>
          <w:rFonts w:hint="eastAsia"/>
        </w:rPr>
        <w:tab/>
        <w:t xml:space="preserve">令委员会感到遗憾的是，没有关于难民妇女、农村妇女、老年妇女、残疾妇女和其他遭受多种形式歧视的妇女等弱势妇女群体情况的详尽资料。 </w:t>
      </w:r>
    </w:p>
    <w:p w:rsidR="00AB2B82" w:rsidRDefault="00AB2B82" w:rsidP="008B4890">
      <w:pPr>
        <w:pStyle w:val="SingleTxt"/>
        <w:spacing w:after="120"/>
        <w:rPr>
          <w:rFonts w:hint="eastAsia"/>
        </w:rPr>
      </w:pPr>
      <w:r>
        <w:rPr>
          <w:rFonts w:hint="eastAsia"/>
        </w:rPr>
        <w:t>49.</w:t>
      </w:r>
      <w:r>
        <w:rPr>
          <w:rFonts w:hint="eastAsia"/>
        </w:rPr>
        <w:tab/>
      </w:r>
      <w:r w:rsidRPr="008B4890">
        <w:rPr>
          <w:rFonts w:ascii="SimHei" w:eastAsia="SimHei" w:hint="eastAsia"/>
        </w:rPr>
        <w:t>邀请缔约国在其下一次定期报告中提供全面资料和统计数据，说明难民妇女、农村妇女、老年妇女、残疾妇女和其他遭受多种形式歧视的妇女等弱势妇女群体的情况</w:t>
      </w:r>
      <w:r>
        <w:rPr>
          <w:rFonts w:hint="eastAsia"/>
        </w:rPr>
        <w:t xml:space="preserve">。 </w:t>
      </w:r>
    </w:p>
    <w:p w:rsidR="00AB2B82" w:rsidRPr="008B4890" w:rsidRDefault="00AB2B82" w:rsidP="008B4890">
      <w:pPr>
        <w:pStyle w:val="SingleTxt"/>
        <w:spacing w:after="120"/>
        <w:rPr>
          <w:rFonts w:ascii="SimHei" w:eastAsia="SimHei" w:hint="eastAsia"/>
        </w:rPr>
      </w:pPr>
      <w:r w:rsidRPr="008B4890">
        <w:rPr>
          <w:rFonts w:ascii="SimHei" w:eastAsia="SimHei" w:hint="eastAsia"/>
        </w:rPr>
        <w:t xml:space="preserve">家庭关系 </w:t>
      </w:r>
    </w:p>
    <w:p w:rsidR="00AB2B82" w:rsidRDefault="00AB2B82" w:rsidP="008B4890">
      <w:pPr>
        <w:pStyle w:val="SingleTxt"/>
        <w:spacing w:after="120"/>
        <w:rPr>
          <w:rFonts w:hint="eastAsia"/>
        </w:rPr>
      </w:pPr>
      <w:r>
        <w:rPr>
          <w:rFonts w:hint="eastAsia"/>
        </w:rPr>
        <w:t>50.</w:t>
      </w:r>
      <w:r>
        <w:rPr>
          <w:rFonts w:hint="eastAsia"/>
        </w:rPr>
        <w:tab/>
        <w:t>委员会非常关注《民法典》在家庭关系方面仍然存在歧视妇女的规定，尤其是在最低结婚年龄方面。委员会感到遗憾的是，缔约国尚未修订极低的最低结婚年龄，依然规定最低结婚年龄为女孩14岁和男孩16岁，违反了《公约》第十六条第2款、委员会一般性建议21和《儿童权利公约》第14条的规定。还令委员会感到关切的是，离婚时平分婚姻财产的规定只涉及有形财产</w:t>
      </w:r>
      <w:r w:rsidR="008B4890">
        <w:rPr>
          <w:rFonts w:hint="eastAsia"/>
        </w:rPr>
        <w:t>(</w:t>
      </w:r>
      <w:r>
        <w:rPr>
          <w:rFonts w:hint="eastAsia"/>
        </w:rPr>
        <w:t>动产和不动产</w:t>
      </w:r>
      <w:r w:rsidR="008B4890">
        <w:rPr>
          <w:rFonts w:hint="eastAsia"/>
        </w:rPr>
        <w:t>)</w:t>
      </w:r>
      <w:r>
        <w:rPr>
          <w:rFonts w:hint="eastAsia"/>
        </w:rPr>
        <w:t xml:space="preserve">，而不包括养老金和储蓄金等无形财产。 </w:t>
      </w:r>
    </w:p>
    <w:p w:rsidR="00AB2B82" w:rsidRDefault="00AB2B82" w:rsidP="008B4890">
      <w:pPr>
        <w:pStyle w:val="SingleTxt"/>
        <w:spacing w:after="120"/>
        <w:rPr>
          <w:rFonts w:hint="eastAsia"/>
        </w:rPr>
      </w:pPr>
      <w:r>
        <w:rPr>
          <w:rFonts w:hint="eastAsia"/>
        </w:rPr>
        <w:t>51.</w:t>
      </w:r>
      <w:r w:rsidR="008B4890">
        <w:rPr>
          <w:rFonts w:hint="eastAsia"/>
        </w:rPr>
        <w:tab/>
      </w:r>
      <w:r w:rsidRPr="008B4890">
        <w:rPr>
          <w:rFonts w:ascii="SimHei" w:eastAsia="SimHei" w:hint="eastAsia"/>
          <w:spacing w:val="2"/>
        </w:rPr>
        <w:t>根据儿童权利委员会第三十六届会议在其关于巴拿马的结论意见</w:t>
      </w:r>
      <w:r w:rsidR="008B4890" w:rsidRPr="008B4890">
        <w:rPr>
          <w:rFonts w:ascii="SimHei" w:eastAsia="SimHei" w:hint="eastAsia"/>
        </w:rPr>
        <w:t>(</w:t>
      </w:r>
      <w:r w:rsidRPr="008B4890">
        <w:rPr>
          <w:rFonts w:ascii="SimHei" w:eastAsia="SimHei" w:hint="eastAsia"/>
        </w:rPr>
        <w:t>CRC/C/</w:t>
      </w:r>
      <w:r w:rsidR="008B4890" w:rsidRPr="008B4890">
        <w:rPr>
          <w:rFonts w:ascii="SimHei" w:eastAsia="SimHei"/>
        </w:rPr>
        <w:br/>
      </w:r>
      <w:r w:rsidRPr="008B4890">
        <w:rPr>
          <w:rFonts w:ascii="SimHei" w:eastAsia="SimHei" w:hint="eastAsia"/>
        </w:rPr>
        <w:t>15/Add.233</w:t>
      </w:r>
      <w:r w:rsidR="008B4890" w:rsidRPr="008B4890">
        <w:rPr>
          <w:rFonts w:ascii="SimHei" w:eastAsia="SimHei" w:hint="eastAsia"/>
        </w:rPr>
        <w:t>)</w:t>
      </w:r>
      <w:r w:rsidRPr="008B4890">
        <w:rPr>
          <w:rFonts w:ascii="SimHei" w:eastAsia="SimHei" w:hint="eastAsia"/>
        </w:rPr>
        <w:t>中提出的建议，委员会吁请缔约国消除家庭和婚姻方面的歧视性法律规定，以便使本国立法规定与《公约》相一致。委员会特别敦促缔约国根据《公约》第十六条第2款、委员会一般性建议21和《儿童权利公约》第14条的规定，将男女最低结婚年龄提高至18岁。委员会还建议缔约国采取必要的立法措施，确认养老金和储蓄金等无形财产属于婚姻财产</w:t>
      </w:r>
      <w:r>
        <w:rPr>
          <w:rFonts w:hint="eastAsia"/>
        </w:rPr>
        <w:t xml:space="preserve">。 </w:t>
      </w:r>
    </w:p>
    <w:p w:rsidR="00AB2B82" w:rsidRPr="008B4890" w:rsidRDefault="00AB2B82" w:rsidP="008B4890">
      <w:pPr>
        <w:pStyle w:val="SingleTxt"/>
        <w:spacing w:after="120"/>
        <w:rPr>
          <w:rFonts w:ascii="SimHei" w:eastAsia="SimHei" w:hint="eastAsia"/>
        </w:rPr>
      </w:pPr>
      <w:r w:rsidRPr="008B4890">
        <w:rPr>
          <w:rFonts w:ascii="SimHei" w:eastAsia="SimHei" w:hint="eastAsia"/>
        </w:rPr>
        <w:t xml:space="preserve">数据收集和分析 </w:t>
      </w:r>
    </w:p>
    <w:p w:rsidR="00AB2B82" w:rsidRDefault="00AB2B82" w:rsidP="00AB2B82">
      <w:pPr>
        <w:pStyle w:val="SingleTxt"/>
        <w:rPr>
          <w:rFonts w:hint="eastAsia"/>
        </w:rPr>
      </w:pPr>
      <w:r>
        <w:rPr>
          <w:rFonts w:hint="eastAsia"/>
        </w:rPr>
        <w:t>52.</w:t>
      </w:r>
      <w:r>
        <w:rPr>
          <w:rFonts w:hint="eastAsia"/>
        </w:rPr>
        <w:tab/>
        <w:t xml:space="preserve">全国委员会欢迎该国努力改善数据收集系统和更新性别指标。然而，委员会对这些数据没有在机构一级得到充分整合以及缔约国在性别统计数字的分析和使用方面仍存在差距感到遗憾。委员会还对《公约》所涵盖的许多领域中没有按性别分列的统计资料感到遗憾。 </w:t>
      </w:r>
    </w:p>
    <w:p w:rsidR="00AB2B82" w:rsidRDefault="00AB2B82" w:rsidP="00AB2B82">
      <w:pPr>
        <w:pStyle w:val="SingleTxt"/>
        <w:rPr>
          <w:rFonts w:hint="eastAsia"/>
        </w:rPr>
      </w:pPr>
      <w:r>
        <w:rPr>
          <w:rFonts w:hint="eastAsia"/>
        </w:rPr>
        <w:t>53.</w:t>
      </w:r>
      <w:r>
        <w:rPr>
          <w:rFonts w:hint="eastAsia"/>
        </w:rPr>
        <w:tab/>
      </w:r>
      <w:r w:rsidRPr="008B4890">
        <w:rPr>
          <w:rFonts w:ascii="SimHei" w:eastAsia="SimHei" w:hint="eastAsia"/>
        </w:rPr>
        <w:t>委员会建议缔约国加紧努力在《公约》所涵盖的所有领域建立一个综合统一的性别信息分类系统。委员会还建议缔约国在其下一次报告中列入按性别和城乡地区分列的统计数据和分析，说明各项措施的影响和取得的成果，以便更全面地说明妇女在某些方面的情况，尤其是暴力问题。委员会邀请缔约国特别注意收集有关农村和土著妇女、移民妇女和家庭工等最弱势妇女群体特别是女孩的数据</w:t>
      </w:r>
      <w:r>
        <w:rPr>
          <w:rFonts w:hint="eastAsia"/>
        </w:rPr>
        <w:t xml:space="preserve">。 </w:t>
      </w:r>
    </w:p>
    <w:p w:rsidR="00AB2B82" w:rsidRPr="008B4890" w:rsidRDefault="00AB2B82" w:rsidP="00AB2B82">
      <w:pPr>
        <w:pStyle w:val="SingleTxt"/>
        <w:rPr>
          <w:rFonts w:ascii="SimHei" w:eastAsia="SimHei" w:hint="eastAsia"/>
        </w:rPr>
      </w:pPr>
      <w:r w:rsidRPr="008B4890">
        <w:rPr>
          <w:rFonts w:ascii="SimHei" w:eastAsia="SimHei" w:hint="eastAsia"/>
        </w:rPr>
        <w:t>《北京宣言和行动纲要》</w:t>
      </w:r>
    </w:p>
    <w:p w:rsidR="00AB2B82" w:rsidRDefault="00AB2B82" w:rsidP="00AB2B82">
      <w:pPr>
        <w:pStyle w:val="SingleTxt"/>
        <w:rPr>
          <w:rFonts w:hint="eastAsia"/>
        </w:rPr>
      </w:pPr>
      <w:r>
        <w:rPr>
          <w:rFonts w:hint="eastAsia"/>
        </w:rPr>
        <w:t>54.</w:t>
      </w:r>
      <w:r>
        <w:rPr>
          <w:rFonts w:hint="eastAsia"/>
        </w:rPr>
        <w:tab/>
      </w:r>
      <w:r w:rsidRPr="008B4890">
        <w:rPr>
          <w:rFonts w:ascii="SimHei" w:eastAsia="SimHei" w:hint="eastAsia"/>
        </w:rPr>
        <w:t>委员会敦促缔约国在履行《公约》义务时，充分利用加强《公约》各项规定的《北京宣言和行动纲要》，并请缔约国在下一次定期报告中列入有关资料</w:t>
      </w:r>
      <w:r>
        <w:rPr>
          <w:rFonts w:hint="eastAsia"/>
        </w:rPr>
        <w:t xml:space="preserve">。 </w:t>
      </w:r>
    </w:p>
    <w:p w:rsidR="00AB2B82" w:rsidRPr="008B4890" w:rsidRDefault="00AB2B82" w:rsidP="00967BA7">
      <w:pPr>
        <w:pStyle w:val="SingleTxt"/>
        <w:spacing w:after="120" w:line="310" w:lineRule="exact"/>
        <w:rPr>
          <w:rFonts w:ascii="SimHei" w:eastAsia="SimHei" w:hint="eastAsia"/>
        </w:rPr>
      </w:pPr>
      <w:r w:rsidRPr="008B4890">
        <w:rPr>
          <w:rFonts w:ascii="SimHei" w:eastAsia="SimHei" w:hint="eastAsia"/>
        </w:rPr>
        <w:t xml:space="preserve">千年发展目标 </w:t>
      </w:r>
    </w:p>
    <w:p w:rsidR="00AB2B82" w:rsidRDefault="00AB2B82" w:rsidP="00967BA7">
      <w:pPr>
        <w:pStyle w:val="SingleTxt"/>
        <w:spacing w:after="120" w:line="310" w:lineRule="exact"/>
        <w:rPr>
          <w:rFonts w:hint="eastAsia"/>
        </w:rPr>
      </w:pPr>
      <w:r>
        <w:rPr>
          <w:rFonts w:hint="eastAsia"/>
        </w:rPr>
        <w:t>55.</w:t>
      </w:r>
      <w:r>
        <w:rPr>
          <w:rFonts w:hint="eastAsia"/>
        </w:rPr>
        <w:tab/>
      </w:r>
      <w:r w:rsidRPr="008B4890">
        <w:rPr>
          <w:rFonts w:ascii="SimHei" w:eastAsia="SimHei" w:hint="eastAsia"/>
        </w:rPr>
        <w:t>委员会强调，充分和有效地执行《公约》对实现千年发展目标不可或缺。委员会呼吁将两性平等观点纳入实现千年发展目标的工作并明确体现《公约》各项规定，请缔约国在下一次定期报告中列入有关资料</w:t>
      </w:r>
      <w:r>
        <w:rPr>
          <w:rFonts w:hint="eastAsia"/>
        </w:rPr>
        <w:t>。</w:t>
      </w:r>
    </w:p>
    <w:p w:rsidR="00AB2B82" w:rsidRPr="008B4890" w:rsidRDefault="00AB2B82" w:rsidP="00967BA7">
      <w:pPr>
        <w:pStyle w:val="SingleTxt"/>
        <w:spacing w:after="120" w:line="310" w:lineRule="exact"/>
        <w:rPr>
          <w:rFonts w:ascii="SimHei" w:eastAsia="SimHei" w:hint="eastAsia"/>
        </w:rPr>
      </w:pPr>
      <w:r w:rsidRPr="008B4890">
        <w:rPr>
          <w:rFonts w:ascii="SimHei" w:eastAsia="SimHei" w:hint="eastAsia"/>
        </w:rPr>
        <w:t>其他条约的批准</w:t>
      </w:r>
    </w:p>
    <w:p w:rsidR="00AB2B82" w:rsidRDefault="00AB2B82" w:rsidP="00967BA7">
      <w:pPr>
        <w:pStyle w:val="SingleTxt"/>
        <w:spacing w:after="120" w:line="310" w:lineRule="exact"/>
        <w:rPr>
          <w:rFonts w:hint="eastAsia"/>
        </w:rPr>
      </w:pPr>
      <w:r>
        <w:rPr>
          <w:rFonts w:hint="eastAsia"/>
        </w:rPr>
        <w:t>56.</w:t>
      </w:r>
      <w:r>
        <w:rPr>
          <w:rFonts w:hint="eastAsia"/>
        </w:rPr>
        <w:tab/>
      </w:r>
      <w:r w:rsidRPr="008B4890">
        <w:rPr>
          <w:rFonts w:ascii="SimHei" w:eastAsia="SimHei" w:hint="eastAsia"/>
        </w:rPr>
        <w:t>委员会注意到，缔约国加入九项主要国际人权文书</w:t>
      </w:r>
      <w:r w:rsidR="00967BA7">
        <w:rPr>
          <w:rStyle w:val="FootnoteReference"/>
          <w:rFonts w:ascii="SimHei" w:eastAsia="SimHei"/>
        </w:rPr>
        <w:footnoteReference w:id="1"/>
      </w:r>
      <w:r w:rsidRPr="008B4890">
        <w:rPr>
          <w:rFonts w:ascii="SimHei" w:eastAsia="SimHei" w:hint="eastAsia"/>
        </w:rPr>
        <w:t xml:space="preserve"> 有助于妇女在其生活一切方面享有人权和基本自由。因此，委员会鼓励缔约国批准它尚未加入的条约，即《保护所有移徙工人及其家庭成员权利国际公约》和《保护所有人免遭强迫失踪国际公约》。</w:t>
      </w:r>
    </w:p>
    <w:p w:rsidR="00AB2B82" w:rsidRPr="00967BA7" w:rsidRDefault="00AB2B82" w:rsidP="00967BA7">
      <w:pPr>
        <w:pStyle w:val="SingleTxt"/>
        <w:spacing w:after="120" w:line="310" w:lineRule="exact"/>
        <w:rPr>
          <w:rFonts w:ascii="SimHei" w:eastAsia="SimHei" w:hint="eastAsia"/>
        </w:rPr>
      </w:pPr>
      <w:r w:rsidRPr="00967BA7">
        <w:rPr>
          <w:rFonts w:ascii="SimHei" w:eastAsia="SimHei" w:hint="eastAsia"/>
        </w:rPr>
        <w:t>结论意见的传播</w:t>
      </w:r>
    </w:p>
    <w:p w:rsidR="00AB2B82" w:rsidRDefault="00AB2B82" w:rsidP="00967BA7">
      <w:pPr>
        <w:pStyle w:val="SingleTxt"/>
        <w:spacing w:after="120" w:line="310" w:lineRule="exact"/>
        <w:rPr>
          <w:rFonts w:hint="eastAsia"/>
        </w:rPr>
      </w:pPr>
      <w:r>
        <w:rPr>
          <w:rFonts w:hint="eastAsia"/>
        </w:rPr>
        <w:t>57.</w:t>
      </w:r>
      <w:r>
        <w:rPr>
          <w:rFonts w:hint="eastAsia"/>
        </w:rPr>
        <w:tab/>
      </w:r>
      <w:r w:rsidRPr="00967BA7">
        <w:rPr>
          <w:rFonts w:ascii="SimHei" w:eastAsia="SimHei" w:hint="eastAsia"/>
        </w:rPr>
        <w:t>委员会请巴拿马在国内广泛传播本结论意见，以便使人民、包括政府官员、政治人物、议员以及妇女组织和人权组织了解为确保妇女法律上和事实上的平等已经采取的步骤，以及在这方面还需采取的步骤。委员会请缔约国继续广泛传播、特别是向妇女组织和人权组织广泛传播《公约》及其《任择议定书》、委员会一般性意见，《北京宣言和行动纲要》以及题为“2000年妇女：二十一世纪两性平等、发展与和平”的大会第二十三届特别会议的成果</w:t>
      </w:r>
      <w:r>
        <w:rPr>
          <w:rFonts w:hint="eastAsia"/>
        </w:rPr>
        <w:t>。</w:t>
      </w:r>
    </w:p>
    <w:p w:rsidR="00AB2B82" w:rsidRPr="00967BA7" w:rsidRDefault="00AB2B82" w:rsidP="00967BA7">
      <w:pPr>
        <w:pStyle w:val="SingleTxt"/>
        <w:spacing w:after="120" w:line="310" w:lineRule="exact"/>
        <w:rPr>
          <w:rFonts w:ascii="SimHei" w:eastAsia="SimHei" w:hint="eastAsia"/>
        </w:rPr>
      </w:pPr>
      <w:r w:rsidRPr="00967BA7">
        <w:rPr>
          <w:rFonts w:ascii="SimHei" w:eastAsia="SimHei" w:hint="eastAsia"/>
        </w:rPr>
        <w:t>结论性意见后续行动</w:t>
      </w:r>
    </w:p>
    <w:p w:rsidR="00AB2B82" w:rsidRDefault="00AB2B82" w:rsidP="00967BA7">
      <w:pPr>
        <w:pStyle w:val="SingleTxt"/>
        <w:spacing w:after="120" w:line="310" w:lineRule="exact"/>
        <w:rPr>
          <w:rFonts w:hint="eastAsia"/>
        </w:rPr>
      </w:pPr>
      <w:r>
        <w:rPr>
          <w:rFonts w:hint="eastAsia"/>
        </w:rPr>
        <w:t>58.</w:t>
      </w:r>
      <w:r>
        <w:rPr>
          <w:rFonts w:hint="eastAsia"/>
        </w:rPr>
        <w:tab/>
      </w:r>
      <w:r w:rsidRPr="00967BA7">
        <w:rPr>
          <w:rFonts w:ascii="SimHei" w:eastAsia="SimHei" w:hint="eastAsia"/>
        </w:rPr>
        <w:t>委员会请缔约国在两年内提出书面资料，说明为执行上文第13和41段所载建议而采取的步骤。委员会还请缔约国必要时酌情考虑为执行上述建议谋求技术合作和援助</w:t>
      </w:r>
      <w:r>
        <w:rPr>
          <w:rFonts w:hint="eastAsia"/>
        </w:rPr>
        <w:t>。</w:t>
      </w:r>
    </w:p>
    <w:p w:rsidR="00AB2B82" w:rsidRPr="00967BA7" w:rsidRDefault="00AB2B82" w:rsidP="00967BA7">
      <w:pPr>
        <w:pStyle w:val="SingleTxt"/>
        <w:spacing w:after="120" w:line="310" w:lineRule="exact"/>
        <w:rPr>
          <w:rFonts w:ascii="SimHei" w:eastAsia="SimHei" w:hint="eastAsia"/>
        </w:rPr>
      </w:pPr>
      <w:r w:rsidRPr="00967BA7">
        <w:rPr>
          <w:rFonts w:ascii="SimHei" w:eastAsia="SimHei" w:hint="eastAsia"/>
        </w:rPr>
        <w:t>下一次报告的日期</w:t>
      </w:r>
    </w:p>
    <w:p w:rsidR="00AB2B82" w:rsidRDefault="00AB2B82" w:rsidP="00967BA7">
      <w:pPr>
        <w:pStyle w:val="SingleTxt"/>
        <w:spacing w:after="120" w:line="310" w:lineRule="exact"/>
        <w:rPr>
          <w:rFonts w:hint="eastAsia"/>
        </w:rPr>
      </w:pPr>
      <w:r>
        <w:rPr>
          <w:rFonts w:hint="eastAsia"/>
        </w:rPr>
        <w:t>59.</w:t>
      </w:r>
      <w:r>
        <w:rPr>
          <w:rFonts w:hint="eastAsia"/>
        </w:rPr>
        <w:tab/>
      </w:r>
      <w:r w:rsidRPr="00967BA7">
        <w:rPr>
          <w:rFonts w:ascii="SimHei" w:eastAsia="SimHei" w:hint="eastAsia"/>
        </w:rPr>
        <w:t>委员会请缔约国根据《公约》第十八条，在下一次定期报告中对本结论性意见表达的关切作出回应。委员会邀请缔约国于2014年2月提出下一次定期报告</w:t>
      </w:r>
      <w:r>
        <w:rPr>
          <w:rFonts w:hint="eastAsia"/>
        </w:rPr>
        <w:t>。</w:t>
      </w:r>
    </w:p>
    <w:p w:rsidR="00EA31C3" w:rsidRDefault="00AB2B82" w:rsidP="00967BA7">
      <w:pPr>
        <w:pStyle w:val="SingleTxt"/>
        <w:spacing w:after="0" w:line="310" w:lineRule="exact"/>
        <w:rPr>
          <w:rFonts w:hint="eastAsia"/>
        </w:rPr>
      </w:pPr>
      <w:r>
        <w:rPr>
          <w:rFonts w:hint="eastAsia"/>
        </w:rPr>
        <w:t>60.</w:t>
      </w:r>
      <w:r>
        <w:rPr>
          <w:rFonts w:hint="eastAsia"/>
        </w:rPr>
        <w:tab/>
      </w:r>
      <w:r w:rsidRPr="003F48CA">
        <w:rPr>
          <w:rFonts w:ascii="SimHei" w:eastAsia="SimHei" w:hint="eastAsia"/>
          <w:spacing w:val="-2"/>
        </w:rPr>
        <w:t>委员会要求缔约国遵循</w:t>
      </w:r>
      <w:r w:rsidR="00577CD1" w:rsidRPr="003F48CA">
        <w:rPr>
          <w:rFonts w:ascii="SimHei" w:eastAsia="SimHei" w:hint="eastAsia"/>
          <w:spacing w:val="-2"/>
        </w:rPr>
        <w:t>2006年6月人权条约机构委员会间会议</w:t>
      </w:r>
      <w:r w:rsidRPr="003F48CA">
        <w:rPr>
          <w:rFonts w:ascii="SimHei" w:eastAsia="SimHei" w:hint="eastAsia"/>
          <w:spacing w:val="-2"/>
        </w:rPr>
        <w:t>《根据国际人权条约提交报告的协调准则，包括编写核心文件、提交具体条约报告的准则》</w:t>
      </w:r>
      <w:r w:rsidR="008B4890" w:rsidRPr="003F48CA">
        <w:rPr>
          <w:rFonts w:ascii="SimHei" w:eastAsia="SimHei" w:hint="eastAsia"/>
          <w:spacing w:val="-2"/>
        </w:rPr>
        <w:t>(</w:t>
      </w:r>
      <w:r w:rsidRPr="003F48CA">
        <w:rPr>
          <w:rFonts w:ascii="SimHei" w:eastAsia="SimHei" w:hint="eastAsia"/>
          <w:spacing w:val="-2"/>
        </w:rPr>
        <w:t>HRI/MC/2006/3</w:t>
      </w:r>
      <w:r w:rsidR="00266C5B" w:rsidRPr="003F48CA">
        <w:rPr>
          <w:rFonts w:ascii="SimHei" w:eastAsia="SimHei" w:hint="eastAsia"/>
          <w:spacing w:val="-2"/>
        </w:rPr>
        <w:t>和C</w:t>
      </w:r>
      <w:r w:rsidR="00266C5B" w:rsidRPr="003F48CA">
        <w:rPr>
          <w:rFonts w:ascii="Times New Roman" w:eastAsia="SimHei"/>
          <w:spacing w:val="-2"/>
        </w:rPr>
        <w:t>orr.1</w:t>
      </w:r>
      <w:r w:rsidR="008B4890" w:rsidRPr="003F48CA">
        <w:rPr>
          <w:rFonts w:ascii="SimHei" w:eastAsia="SimHei" w:hint="eastAsia"/>
          <w:spacing w:val="-2"/>
        </w:rPr>
        <w:t>)</w:t>
      </w:r>
      <w:r w:rsidRPr="003F48CA">
        <w:rPr>
          <w:rFonts w:ascii="SimHei" w:eastAsia="SimHei" w:hint="eastAsia"/>
          <w:spacing w:val="-2"/>
        </w:rPr>
        <w:t>。委员会在2008年1月第四十届会议上通过的关于提交具体条约报告的准则,必须与关于编写共同核心文件的报告协调准则一同适用。这两项准则结合起来构成指导</w:t>
      </w:r>
      <w:r w:rsidR="001E5B45" w:rsidRPr="003F48CA">
        <w:rPr>
          <w:rFonts w:ascii="SimHei" w:eastAsia="SimHei" w:hint="eastAsia"/>
          <w:spacing w:val="-2"/>
        </w:rPr>
        <w:t>《</w:t>
      </w:r>
      <w:r w:rsidRPr="003F48CA">
        <w:rPr>
          <w:rFonts w:ascii="SimHei" w:eastAsia="SimHei" w:hint="eastAsia"/>
          <w:spacing w:val="-2"/>
        </w:rPr>
        <w:t>消除对妇女一切形式歧视公约</w:t>
      </w:r>
      <w:r w:rsidR="001E5B45" w:rsidRPr="003F48CA">
        <w:rPr>
          <w:rFonts w:ascii="SimHei" w:eastAsia="SimHei" w:hint="eastAsia"/>
          <w:spacing w:val="-2"/>
        </w:rPr>
        <w:t>》</w:t>
      </w:r>
      <w:r w:rsidRPr="003F48CA">
        <w:rPr>
          <w:rFonts w:ascii="SimHei" w:eastAsia="SimHei" w:hint="eastAsia"/>
          <w:spacing w:val="-2"/>
        </w:rPr>
        <w:t>报告机制的协调准则。具体条约文件的页数应限制在40页,订正共同核心文件不应超过60至80页</w:t>
      </w:r>
      <w:r w:rsidRPr="003F48CA">
        <w:rPr>
          <w:rFonts w:hint="eastAsia"/>
          <w:spacing w:val="-2"/>
        </w:rPr>
        <w:t>。</w:t>
      </w:r>
    </w:p>
    <w:p w:rsidR="00AB2B82" w:rsidRPr="00AB2B82" w:rsidRDefault="00AB2B82" w:rsidP="003F48CA">
      <w:pPr>
        <w:pStyle w:val="SingleTxt"/>
        <w:spacing w:after="0" w:line="160" w:lineRule="exact"/>
        <w:rPr>
          <w:rFonts w:hint="eastAsia"/>
          <w:sz w:val="20"/>
        </w:rPr>
      </w:pPr>
      <w:r>
        <w:rPr>
          <w:rFonts w:hint="eastAsia"/>
          <w:noProof/>
          <w:sz w:val="20"/>
        </w:rPr>
        <w:pict>
          <v:line id="_x0000_s1026" style="position:absolute;left:0;text-align:left;z-index:1;mso-position-horizontal:center" from="0,30pt" to="1in,30pt" strokeweight=".25pt"/>
        </w:pict>
      </w:r>
    </w:p>
    <w:sectPr w:rsidR="00AB2B82" w:rsidRPr="00AB2B82" w:rsidSect="00FD586A">
      <w:type w:val="continuous"/>
      <w:pgSz w:w="12240" w:h="15840" w:code="1"/>
      <w:pgMar w:top="1742" w:right="1195" w:bottom="1898" w:left="1195" w:header="576" w:footer="1030" w:gutter="0"/>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0-03-05T14:48:00Z" w:initials="Start">
    <w:p w:rsidR="00804686" w:rsidRDefault="00804686">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separate"/>
      </w:r>
      <w:r>
        <w:rPr>
          <w:rFonts w:hint="eastAsia"/>
          <w:noProof/>
        </w:rPr>
        <w:t xml:space="preserve">页: </w:t>
      </w:r>
      <w:r>
        <w:rPr>
          <w:noProof/>
        </w:rPr>
        <w:t>1</w:t>
      </w:r>
      <w:r>
        <w:rPr>
          <w:rFonts w:hint="eastAsia"/>
          <w:noProof/>
        </w:rPr>
        <w:br/>
      </w:r>
      <w:r>
        <w:fldChar w:fldCharType="end"/>
      </w:r>
      <w:r>
        <w:rPr>
          <w:rStyle w:val="CommentReference"/>
        </w:rPr>
        <w:annotationRef/>
      </w:r>
      <w:r>
        <w:t>&lt;&lt;ODS JOB NO&gt;&gt;N1024305C&lt;&lt;ODS JOB NO&gt;&gt;</w:t>
      </w:r>
    </w:p>
    <w:p w:rsidR="00804686" w:rsidRDefault="00804686">
      <w:pPr>
        <w:pStyle w:val="CommentText"/>
      </w:pPr>
      <w:r>
        <w:t>&lt;&lt;ODS DOC SYMBOL1&gt;&gt;CEDAW/C/PAN/CO/7&lt;&lt;ODS DOC SYMBOL1&gt;&gt;</w:t>
      </w:r>
    </w:p>
    <w:p w:rsidR="00804686" w:rsidRDefault="00804686">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77CAE" w:rsidRDefault="00677CAE">
      <w:r>
        <w:separator/>
      </w:r>
    </w:p>
  </w:endnote>
  <w:endnote w:type="continuationSeparator" w:id="0">
    <w:p w:rsidR="00677CAE" w:rsidRDefault="00677C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04686" w:rsidTr="00FD586A">
      <w:tblPrEx>
        <w:tblCellMar>
          <w:top w:w="0" w:type="dxa"/>
          <w:bottom w:w="0" w:type="dxa"/>
        </w:tblCellMar>
      </w:tblPrEx>
      <w:tc>
        <w:tcPr>
          <w:tcW w:w="5033" w:type="dxa"/>
          <w:shd w:val="clear" w:color="auto" w:fill="auto"/>
        </w:tcPr>
        <w:p w:rsidR="00804686" w:rsidRPr="00FD586A" w:rsidRDefault="00804686" w:rsidP="00FD586A">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10-24305 (C)</w:t>
          </w:r>
          <w:r>
            <w:rPr>
              <w:b w:val="0"/>
              <w:w w:val="103"/>
              <w:sz w:val="14"/>
            </w:rPr>
            <w:fldChar w:fldCharType="end"/>
          </w:r>
        </w:p>
      </w:tc>
      <w:tc>
        <w:tcPr>
          <w:tcW w:w="5033" w:type="dxa"/>
          <w:shd w:val="clear" w:color="auto" w:fill="auto"/>
        </w:tcPr>
        <w:p w:rsidR="00804686" w:rsidRPr="00FD586A" w:rsidRDefault="00804686" w:rsidP="00FD586A">
          <w:pPr>
            <w:pStyle w:val="Footer"/>
            <w:jc w:val="left"/>
            <w:rPr>
              <w:w w:val="103"/>
            </w:rPr>
          </w:pPr>
          <w:r>
            <w:rPr>
              <w:w w:val="103"/>
            </w:rPr>
            <w:fldChar w:fldCharType="begin"/>
          </w:r>
          <w:r>
            <w:rPr>
              <w:w w:val="103"/>
            </w:rPr>
            <w:instrText xml:space="preserve"> PAGE  \* MERGEFORMAT </w:instrText>
          </w:r>
          <w:r>
            <w:rPr>
              <w:w w:val="103"/>
            </w:rPr>
            <w:fldChar w:fldCharType="separate"/>
          </w:r>
          <w:r w:rsidR="006B4CBE">
            <w:rPr>
              <w:w w:val="103"/>
            </w:rPr>
            <w:t>8</w:t>
          </w:r>
          <w:r>
            <w:rPr>
              <w:w w:val="103"/>
            </w:rPr>
            <w:fldChar w:fldCharType="end"/>
          </w:r>
        </w:p>
      </w:tc>
    </w:tr>
  </w:tbl>
  <w:p w:rsidR="00804686" w:rsidRPr="00FD586A" w:rsidRDefault="00804686" w:rsidP="00FD586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04686" w:rsidTr="00FD586A">
      <w:tblPrEx>
        <w:tblCellMar>
          <w:top w:w="0" w:type="dxa"/>
          <w:bottom w:w="0" w:type="dxa"/>
        </w:tblCellMar>
      </w:tblPrEx>
      <w:tc>
        <w:tcPr>
          <w:tcW w:w="5033" w:type="dxa"/>
          <w:shd w:val="clear" w:color="auto" w:fill="auto"/>
        </w:tcPr>
        <w:p w:rsidR="00804686" w:rsidRPr="00FD586A" w:rsidRDefault="00804686" w:rsidP="00FD586A">
          <w:pPr>
            <w:pStyle w:val="Footer"/>
            <w:jc w:val="right"/>
          </w:pPr>
          <w:r>
            <w:fldChar w:fldCharType="begin"/>
          </w:r>
          <w:r>
            <w:instrText xml:space="preserve"> PAGE  \* MERGEFORMAT </w:instrText>
          </w:r>
          <w:r>
            <w:fldChar w:fldCharType="separate"/>
          </w:r>
          <w:r w:rsidR="006B4CBE">
            <w:t>9</w:t>
          </w:r>
          <w:r>
            <w:fldChar w:fldCharType="end"/>
          </w:r>
        </w:p>
      </w:tc>
      <w:tc>
        <w:tcPr>
          <w:tcW w:w="5033" w:type="dxa"/>
          <w:shd w:val="clear" w:color="auto" w:fill="auto"/>
        </w:tcPr>
        <w:p w:rsidR="00804686" w:rsidRPr="00FD586A" w:rsidRDefault="00804686" w:rsidP="00FD586A">
          <w:pPr>
            <w:pStyle w:val="Footer"/>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10-24305 (C)</w:t>
          </w:r>
          <w:r>
            <w:rPr>
              <w:b w:val="0"/>
              <w:w w:val="103"/>
              <w:sz w:val="14"/>
            </w:rPr>
            <w:fldChar w:fldCharType="end"/>
          </w:r>
        </w:p>
      </w:tc>
    </w:tr>
  </w:tbl>
  <w:p w:rsidR="00804686" w:rsidRPr="00FD586A" w:rsidRDefault="00804686" w:rsidP="00FD586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804686">
      <w:tblPrEx>
        <w:tblCellMar>
          <w:top w:w="0" w:type="dxa"/>
          <w:bottom w:w="0" w:type="dxa"/>
        </w:tblCellMar>
      </w:tblPrEx>
      <w:tc>
        <w:tcPr>
          <w:tcW w:w="5033" w:type="dxa"/>
        </w:tcPr>
        <w:p w:rsidR="00804686" w:rsidRDefault="00804686" w:rsidP="00FD586A">
          <w:pPr>
            <w:pStyle w:val="Footer"/>
            <w:rPr>
              <w:b w:val="0"/>
              <w:sz w:val="21"/>
            </w:rPr>
          </w:pPr>
          <w:r>
            <w:rPr>
              <w:b w:val="0"/>
              <w:sz w:val="21"/>
            </w:rPr>
            <w:fldChar w:fldCharType="begin"/>
          </w:r>
          <w:r>
            <w:rPr>
              <w:b w:val="0"/>
              <w:sz w:val="21"/>
            </w:rPr>
            <w:instrText xml:space="preserve"> DOCVARIABLE "jobn" \* MERGEFORMAT </w:instrText>
          </w:r>
          <w:r>
            <w:rPr>
              <w:b w:val="0"/>
              <w:sz w:val="21"/>
            </w:rPr>
            <w:fldChar w:fldCharType="separate"/>
          </w:r>
          <w:r>
            <w:rPr>
              <w:b w:val="0"/>
              <w:sz w:val="21"/>
            </w:rPr>
            <w:t>10-24305 (C)</w:t>
          </w:r>
          <w:r>
            <w:rPr>
              <w:b w:val="0"/>
              <w:sz w:val="21"/>
            </w:rPr>
            <w:fldChar w:fldCharType="end"/>
          </w:r>
          <w:r>
            <w:rPr>
              <w:b w:val="0"/>
              <w:sz w:val="21"/>
            </w:rPr>
            <w:t xml:space="preserve">    0</w:t>
          </w:r>
          <w:r>
            <w:rPr>
              <w:rFonts w:hint="eastAsia"/>
              <w:b w:val="0"/>
              <w:sz w:val="21"/>
            </w:rPr>
            <w:t>4</w:t>
          </w:r>
          <w:r>
            <w:rPr>
              <w:b w:val="0"/>
              <w:sz w:val="21"/>
            </w:rPr>
            <w:t>0310    0</w:t>
          </w:r>
          <w:r>
            <w:rPr>
              <w:rFonts w:hint="eastAsia"/>
              <w:b w:val="0"/>
              <w:sz w:val="21"/>
            </w:rPr>
            <w:t>9</w:t>
          </w:r>
          <w:r>
            <w:rPr>
              <w:b w:val="0"/>
              <w:sz w:val="21"/>
            </w:rPr>
            <w:t>0310</w:t>
          </w:r>
        </w:p>
        <w:p w:rsidR="00804686" w:rsidRPr="00FD586A" w:rsidRDefault="00804686" w:rsidP="00FD586A">
          <w:pPr>
            <w:spacing w:before="80" w:line="210" w:lineRule="exact"/>
            <w:rPr>
              <w:rFonts w:ascii="Barcode 3 of 9 by request" w:hAnsi="Barcode 3 of 9 by request"/>
              <w:sz w:val="24"/>
            </w:rPr>
          </w:pPr>
          <w:r>
            <w:rPr>
              <w:rFonts w:ascii="Barcode 3 of 9 by request" w:hAnsi="Barcode 3 of 9 by request" w:hint="eastAsia"/>
              <w:sz w:val="24"/>
            </w:rPr>
            <w:fldChar w:fldCharType="begin"/>
          </w:r>
          <w:r>
            <w:rPr>
              <w:rFonts w:ascii="Barcode 3 of 9 by request" w:hAnsi="Barcode 3 of 9 by request" w:hint="eastAsia"/>
              <w:sz w:val="24"/>
            </w:rPr>
            <w:instrText xml:space="preserve"> </w:instrText>
          </w:r>
          <w:r>
            <w:rPr>
              <w:rFonts w:ascii="Barcode 3 of 9 by request" w:hAnsi="Barcode 3 of 9 by request"/>
              <w:sz w:val="24"/>
            </w:rPr>
            <w:instrText>DOCVARIABLE "Barcode" \* MERGEFORMAT</w:instrText>
          </w:r>
          <w:r>
            <w:rPr>
              <w:rFonts w:ascii="Barcode 3 of 9 by request" w:hAnsi="Barcode 3 of 9 by request" w:hint="eastAsia"/>
              <w:sz w:val="24"/>
            </w:rPr>
            <w:instrText xml:space="preserve"> </w:instrText>
          </w:r>
          <w:r>
            <w:rPr>
              <w:rFonts w:ascii="Barcode 3 of 9 by request" w:hAnsi="Barcode 3 of 9 by request" w:hint="eastAsia"/>
              <w:sz w:val="24"/>
            </w:rPr>
            <w:fldChar w:fldCharType="separate"/>
          </w:r>
          <w:r>
            <w:rPr>
              <w:rFonts w:ascii="Barcode 3 of 9 by request" w:hAnsi="Barcode 3 of 9 by request"/>
              <w:sz w:val="24"/>
            </w:rPr>
            <w:t>*1024305*</w:t>
          </w:r>
          <w:r>
            <w:rPr>
              <w:rFonts w:ascii="Barcode 3 of 9 by request" w:hAnsi="Barcode 3 of 9 by request" w:hint="eastAsia"/>
              <w:sz w:val="24"/>
            </w:rPr>
            <w:fldChar w:fldCharType="end"/>
          </w:r>
        </w:p>
      </w:tc>
      <w:tc>
        <w:tcPr>
          <w:tcW w:w="5033" w:type="dxa"/>
        </w:tcPr>
        <w:p w:rsidR="00804686" w:rsidRDefault="00804686" w:rsidP="00FD586A">
          <w:pPr>
            <w:pStyle w:val="Footer"/>
            <w:jc w:val="right"/>
            <w:rPr>
              <w:b w:val="0"/>
              <w:sz w:val="21"/>
            </w:rPr>
          </w:pPr>
          <w:r w:rsidRPr="00FD586A">
            <w:rPr>
              <w:b w:val="0"/>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tc>
    </w:tr>
  </w:tbl>
  <w:p w:rsidR="00804686" w:rsidRPr="00FD586A" w:rsidRDefault="00804686" w:rsidP="00FD586A">
    <w:pPr>
      <w:pStyle w:val="Footer"/>
      <w:spacing w:line="56" w:lineRule="auto"/>
      <w:jc w:val="left"/>
      <w:rPr>
        <w:b w:val="0"/>
        <w:sz w:val="2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77CAE" w:rsidRPr="00967BA7" w:rsidRDefault="00677CAE" w:rsidP="00967BA7">
      <w:pPr>
        <w:pStyle w:val="Footer"/>
        <w:spacing w:after="80"/>
        <w:ind w:left="792"/>
        <w:rPr>
          <w:sz w:val="16"/>
        </w:rPr>
      </w:pPr>
      <w:r w:rsidRPr="00967BA7">
        <w:rPr>
          <w:sz w:val="16"/>
        </w:rPr>
        <w:t>__________________</w:t>
      </w:r>
    </w:p>
  </w:footnote>
  <w:footnote w:type="continuationSeparator" w:id="0">
    <w:p w:rsidR="00677CAE" w:rsidRPr="00967BA7" w:rsidRDefault="00677CAE" w:rsidP="00967BA7">
      <w:pPr>
        <w:pStyle w:val="Footer"/>
        <w:spacing w:after="80"/>
        <w:ind w:left="792"/>
        <w:rPr>
          <w:sz w:val="16"/>
        </w:rPr>
      </w:pPr>
      <w:r w:rsidRPr="00967BA7">
        <w:rPr>
          <w:sz w:val="16"/>
        </w:rPr>
        <w:t>__________________</w:t>
      </w:r>
    </w:p>
  </w:footnote>
  <w:footnote w:id="1">
    <w:p w:rsidR="00804686" w:rsidRPr="00967BA7" w:rsidRDefault="00804686" w:rsidP="00967BA7">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967BA7">
        <w:rPr>
          <w:rFonts w:hint="eastAsia"/>
        </w:rPr>
        <w:t>《公民及政治权利国际公约》、《公民及政治权利国际公约》、《消除一切形式种族歧视国际公约》、《消除对妇女一切形式歧视公约》、《禁止酷刑和其他残忍、不人道或有辱人格 的待遇或处罚公约》、《儿童权利公约》、《保护所有移徙工人及其家庭成员权利国际公约》、《残疾人权利公约》和《保护所有人免遭强迫失踪国际公约》。</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804686" w:rsidTr="00FD586A">
      <w:tblPrEx>
        <w:tblCellMar>
          <w:top w:w="0" w:type="dxa"/>
          <w:bottom w:w="0" w:type="dxa"/>
        </w:tblCellMar>
      </w:tblPrEx>
      <w:trPr>
        <w:trHeight w:hRule="exact" w:val="864"/>
      </w:trPr>
      <w:tc>
        <w:tcPr>
          <w:tcW w:w="4838" w:type="dxa"/>
          <w:shd w:val="clear" w:color="auto" w:fill="auto"/>
          <w:vAlign w:val="bottom"/>
        </w:tcPr>
        <w:p w:rsidR="00804686" w:rsidRPr="00FD586A" w:rsidRDefault="00804686" w:rsidP="00FD586A">
          <w:pPr>
            <w:pStyle w:val="Header"/>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CEDAW/C/PAN/CO/7</w:t>
          </w:r>
          <w:r>
            <w:rPr>
              <w:b/>
              <w:sz w:val="17"/>
            </w:rPr>
            <w:fldChar w:fldCharType="end"/>
          </w:r>
        </w:p>
      </w:tc>
      <w:tc>
        <w:tcPr>
          <w:tcW w:w="5033" w:type="dxa"/>
          <w:shd w:val="clear" w:color="auto" w:fill="auto"/>
          <w:vAlign w:val="bottom"/>
        </w:tcPr>
        <w:p w:rsidR="00804686" w:rsidRDefault="00804686" w:rsidP="00FD586A">
          <w:pPr>
            <w:pStyle w:val="Header"/>
          </w:pPr>
        </w:p>
      </w:tc>
    </w:tr>
  </w:tbl>
  <w:p w:rsidR="00804686" w:rsidRPr="00FD586A" w:rsidRDefault="00804686" w:rsidP="00FD586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804686" w:rsidTr="00FD586A">
      <w:tblPrEx>
        <w:tblCellMar>
          <w:top w:w="0" w:type="dxa"/>
          <w:bottom w:w="0" w:type="dxa"/>
        </w:tblCellMar>
      </w:tblPrEx>
      <w:trPr>
        <w:trHeight w:hRule="exact" w:val="864"/>
      </w:trPr>
      <w:tc>
        <w:tcPr>
          <w:tcW w:w="4838" w:type="dxa"/>
          <w:shd w:val="clear" w:color="auto" w:fill="auto"/>
          <w:vAlign w:val="bottom"/>
        </w:tcPr>
        <w:p w:rsidR="00804686" w:rsidRDefault="00804686" w:rsidP="00FD586A">
          <w:pPr>
            <w:pStyle w:val="Header"/>
          </w:pPr>
        </w:p>
      </w:tc>
      <w:tc>
        <w:tcPr>
          <w:tcW w:w="5033" w:type="dxa"/>
          <w:shd w:val="clear" w:color="auto" w:fill="auto"/>
          <w:vAlign w:val="bottom"/>
        </w:tcPr>
        <w:p w:rsidR="00804686" w:rsidRPr="00FD586A" w:rsidRDefault="00804686" w:rsidP="00FD586A">
          <w:pPr>
            <w:pStyle w:val="Header"/>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CEDAW/C/PAN/CO/7</w:t>
          </w:r>
          <w:r>
            <w:rPr>
              <w:b/>
              <w:sz w:val="17"/>
            </w:rPr>
            <w:fldChar w:fldCharType="end"/>
          </w:r>
        </w:p>
      </w:tc>
    </w:tr>
  </w:tbl>
  <w:p w:rsidR="00804686" w:rsidRPr="00FD586A" w:rsidRDefault="00804686" w:rsidP="00FD586A">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804686" w:rsidTr="00FD586A">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804686" w:rsidRDefault="00804686" w:rsidP="00FD586A">
          <w:pPr>
            <w:pStyle w:val="Header"/>
            <w:spacing w:after="120"/>
          </w:pPr>
        </w:p>
      </w:tc>
      <w:tc>
        <w:tcPr>
          <w:tcW w:w="1872" w:type="dxa"/>
          <w:tcBorders>
            <w:bottom w:val="single" w:sz="4" w:space="0" w:color="auto"/>
          </w:tcBorders>
          <w:shd w:val="clear" w:color="auto" w:fill="auto"/>
          <w:vAlign w:val="bottom"/>
        </w:tcPr>
        <w:p w:rsidR="00804686" w:rsidRPr="00FD586A" w:rsidRDefault="00804686" w:rsidP="00FD586A">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804686" w:rsidRDefault="00804686" w:rsidP="00FD586A">
          <w:pPr>
            <w:pStyle w:val="Header"/>
            <w:spacing w:after="120"/>
          </w:pPr>
        </w:p>
      </w:tc>
      <w:tc>
        <w:tcPr>
          <w:tcW w:w="6523" w:type="dxa"/>
          <w:gridSpan w:val="3"/>
          <w:tcBorders>
            <w:bottom w:val="single" w:sz="4" w:space="0" w:color="auto"/>
          </w:tcBorders>
          <w:shd w:val="clear" w:color="auto" w:fill="auto"/>
          <w:vAlign w:val="bottom"/>
        </w:tcPr>
        <w:p w:rsidR="00804686" w:rsidRPr="00FD586A" w:rsidRDefault="00804686" w:rsidP="00FD586A">
          <w:pPr>
            <w:spacing w:after="80" w:line="240" w:lineRule="auto"/>
            <w:jc w:val="right"/>
            <w:rPr>
              <w:rFonts w:ascii="Times New Roman"/>
              <w:position w:val="-4"/>
            </w:rPr>
          </w:pPr>
          <w:r>
            <w:rPr>
              <w:rFonts w:ascii="Times New Roman"/>
              <w:position w:val="-4"/>
              <w:sz w:val="40"/>
            </w:rPr>
            <w:t>CEDAW</w:t>
          </w:r>
          <w:r>
            <w:rPr>
              <w:rFonts w:ascii="Times New Roman"/>
              <w:position w:val="-4"/>
            </w:rPr>
            <w:t>/C/PAN/CO/7</w:t>
          </w:r>
        </w:p>
      </w:tc>
    </w:tr>
    <w:tr w:rsidR="00804686" w:rsidRPr="00FD586A" w:rsidTr="00FD586A">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804686" w:rsidRDefault="00804686" w:rsidP="00FD586A">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804686" w:rsidRPr="00FD586A" w:rsidRDefault="00804686" w:rsidP="00FD586A">
          <w:pPr>
            <w:pStyle w:val="Header"/>
            <w:spacing w:before="109"/>
            <w:ind w:left="-72"/>
          </w:pPr>
        </w:p>
      </w:tc>
      <w:tc>
        <w:tcPr>
          <w:tcW w:w="5227" w:type="dxa"/>
          <w:gridSpan w:val="3"/>
          <w:tcBorders>
            <w:top w:val="single" w:sz="4" w:space="0" w:color="auto"/>
            <w:bottom w:val="single" w:sz="12" w:space="0" w:color="auto"/>
          </w:tcBorders>
          <w:shd w:val="clear" w:color="auto" w:fill="auto"/>
        </w:tcPr>
        <w:p w:rsidR="00804686" w:rsidRPr="00FD586A" w:rsidRDefault="00804686" w:rsidP="00FD586A">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804686" w:rsidRPr="00FD586A" w:rsidRDefault="00804686" w:rsidP="00FD586A">
          <w:pPr>
            <w:pStyle w:val="Header"/>
            <w:spacing w:before="109"/>
          </w:pPr>
        </w:p>
      </w:tc>
      <w:tc>
        <w:tcPr>
          <w:tcW w:w="3180" w:type="dxa"/>
          <w:gridSpan w:val="2"/>
          <w:tcBorders>
            <w:top w:val="single" w:sz="4" w:space="0" w:color="auto"/>
            <w:bottom w:val="single" w:sz="12" w:space="0" w:color="auto"/>
          </w:tcBorders>
          <w:shd w:val="clear" w:color="auto" w:fill="auto"/>
        </w:tcPr>
        <w:p w:rsidR="00804686" w:rsidRDefault="00804686" w:rsidP="00FD586A">
          <w:pPr>
            <w:spacing w:before="240" w:line="240" w:lineRule="exact"/>
            <w:rPr>
              <w:rFonts w:ascii="Times New Roman"/>
            </w:rPr>
          </w:pPr>
          <w:r>
            <w:rPr>
              <w:rFonts w:ascii="Times New Roman"/>
            </w:rPr>
            <w:t>Distr.: General</w:t>
          </w:r>
        </w:p>
        <w:p w:rsidR="00804686" w:rsidRDefault="00804686" w:rsidP="00FD586A">
          <w:pPr>
            <w:spacing w:line="240" w:lineRule="exact"/>
            <w:rPr>
              <w:rFonts w:ascii="Times New Roman"/>
            </w:rPr>
          </w:pPr>
          <w:r>
            <w:rPr>
              <w:rFonts w:ascii="Times New Roman"/>
            </w:rPr>
            <w:t>5 February 2010</w:t>
          </w:r>
        </w:p>
        <w:p w:rsidR="00804686" w:rsidRDefault="00804686" w:rsidP="00FD586A">
          <w:pPr>
            <w:spacing w:line="240" w:lineRule="exact"/>
            <w:rPr>
              <w:rFonts w:ascii="Times New Roman"/>
            </w:rPr>
          </w:pPr>
          <w:r>
            <w:rPr>
              <w:rFonts w:ascii="Times New Roman"/>
            </w:rPr>
            <w:t>Chinese</w:t>
          </w:r>
        </w:p>
        <w:p w:rsidR="00804686" w:rsidRPr="00FD586A" w:rsidRDefault="00804686" w:rsidP="00FD586A">
          <w:pPr>
            <w:spacing w:line="240" w:lineRule="exact"/>
            <w:rPr>
              <w:rFonts w:ascii="Times New Roman"/>
            </w:rPr>
          </w:pPr>
          <w:r>
            <w:rPr>
              <w:rFonts w:ascii="Times New Roman"/>
            </w:rPr>
            <w:t>Original: English</w:t>
          </w:r>
        </w:p>
      </w:tc>
    </w:tr>
  </w:tbl>
  <w:p w:rsidR="00804686" w:rsidRPr="00FD586A" w:rsidRDefault="00804686" w:rsidP="00FD586A">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024305*"/>
    <w:docVar w:name="CreationDt" w:val="05/03/2010 13:54:07"/>
    <w:docVar w:name="DocCategory" w:val="Doc"/>
    <w:docVar w:name="DocType" w:val="Final"/>
    <w:docVar w:name="FooterJN" w:val="10-24305 (C)"/>
    <w:docVar w:name="jobn" w:val="10-24305 (C)"/>
    <w:docVar w:name="jobnDT" w:val="10-24305 (C)   050310"/>
    <w:docVar w:name="jobnDTDT" w:val="10-24305 (C)   050310   050310"/>
    <w:docVar w:name="JobNo" w:val="1024305C"/>
    <w:docVar w:name="OandT" w:val="JI SX"/>
    <w:docVar w:name="sss1" w:val="CEDAW/C/PAN/CO/7"/>
    <w:docVar w:name="sss2" w:val="-"/>
    <w:docVar w:name="Symbol1" w:val="CEDAW/C/PAN/CO/7"/>
    <w:docVar w:name="Symbol2" w:val="-"/>
  </w:docVars>
  <w:rsids>
    <w:rsidRoot w:val="006A6AC0"/>
    <w:rsid w:val="0000347C"/>
    <w:rsid w:val="000125BC"/>
    <w:rsid w:val="00021A2B"/>
    <w:rsid w:val="00037B39"/>
    <w:rsid w:val="00044CA4"/>
    <w:rsid w:val="00045EFE"/>
    <w:rsid w:val="0007337D"/>
    <w:rsid w:val="000758DF"/>
    <w:rsid w:val="00076EB8"/>
    <w:rsid w:val="00095C67"/>
    <w:rsid w:val="000A31F9"/>
    <w:rsid w:val="000A5624"/>
    <w:rsid w:val="000C1786"/>
    <w:rsid w:val="000C4DDE"/>
    <w:rsid w:val="000E240F"/>
    <w:rsid w:val="000E49A4"/>
    <w:rsid w:val="000F1058"/>
    <w:rsid w:val="00101C4E"/>
    <w:rsid w:val="001113F8"/>
    <w:rsid w:val="001212F9"/>
    <w:rsid w:val="00121328"/>
    <w:rsid w:val="0012708E"/>
    <w:rsid w:val="001329F7"/>
    <w:rsid w:val="00141322"/>
    <w:rsid w:val="0015066B"/>
    <w:rsid w:val="00150D3A"/>
    <w:rsid w:val="00153D29"/>
    <w:rsid w:val="00161E69"/>
    <w:rsid w:val="00161F54"/>
    <w:rsid w:val="00170FBE"/>
    <w:rsid w:val="0017506F"/>
    <w:rsid w:val="001B2814"/>
    <w:rsid w:val="001B4F95"/>
    <w:rsid w:val="001C3087"/>
    <w:rsid w:val="001C3F7F"/>
    <w:rsid w:val="001C5166"/>
    <w:rsid w:val="001D0354"/>
    <w:rsid w:val="001D6181"/>
    <w:rsid w:val="001E20EC"/>
    <w:rsid w:val="001E4442"/>
    <w:rsid w:val="001E5A51"/>
    <w:rsid w:val="001E5B45"/>
    <w:rsid w:val="001F03A7"/>
    <w:rsid w:val="00207135"/>
    <w:rsid w:val="00231575"/>
    <w:rsid w:val="00247382"/>
    <w:rsid w:val="00252E35"/>
    <w:rsid w:val="00254858"/>
    <w:rsid w:val="00257053"/>
    <w:rsid w:val="00266257"/>
    <w:rsid w:val="00266C5B"/>
    <w:rsid w:val="00271BE6"/>
    <w:rsid w:val="0027454D"/>
    <w:rsid w:val="00280671"/>
    <w:rsid w:val="002814F9"/>
    <w:rsid w:val="00282D17"/>
    <w:rsid w:val="00293240"/>
    <w:rsid w:val="002A4AEF"/>
    <w:rsid w:val="002B305F"/>
    <w:rsid w:val="002B564F"/>
    <w:rsid w:val="002B5F5D"/>
    <w:rsid w:val="002C2254"/>
    <w:rsid w:val="002C3BC9"/>
    <w:rsid w:val="002C54DB"/>
    <w:rsid w:val="002D039F"/>
    <w:rsid w:val="002D0694"/>
    <w:rsid w:val="002D0B62"/>
    <w:rsid w:val="002D4ACE"/>
    <w:rsid w:val="002D5503"/>
    <w:rsid w:val="002E66D5"/>
    <w:rsid w:val="002F41E2"/>
    <w:rsid w:val="00320C99"/>
    <w:rsid w:val="003274A9"/>
    <w:rsid w:val="00331221"/>
    <w:rsid w:val="003649EE"/>
    <w:rsid w:val="00371BC6"/>
    <w:rsid w:val="00373A15"/>
    <w:rsid w:val="00383ACA"/>
    <w:rsid w:val="00394A02"/>
    <w:rsid w:val="003C7B20"/>
    <w:rsid w:val="003D075F"/>
    <w:rsid w:val="003E4565"/>
    <w:rsid w:val="003E748F"/>
    <w:rsid w:val="003E7612"/>
    <w:rsid w:val="003F48CA"/>
    <w:rsid w:val="00414423"/>
    <w:rsid w:val="004411AD"/>
    <w:rsid w:val="004424EF"/>
    <w:rsid w:val="00453BB0"/>
    <w:rsid w:val="00460162"/>
    <w:rsid w:val="004620A8"/>
    <w:rsid w:val="00466BB5"/>
    <w:rsid w:val="004700CF"/>
    <w:rsid w:val="00487444"/>
    <w:rsid w:val="004A06D1"/>
    <w:rsid w:val="004A11FC"/>
    <w:rsid w:val="004C0224"/>
    <w:rsid w:val="004C053E"/>
    <w:rsid w:val="004C3255"/>
    <w:rsid w:val="004D07E1"/>
    <w:rsid w:val="004D1C19"/>
    <w:rsid w:val="004F29B8"/>
    <w:rsid w:val="0050413E"/>
    <w:rsid w:val="00515657"/>
    <w:rsid w:val="00521275"/>
    <w:rsid w:val="0052216F"/>
    <w:rsid w:val="005232CA"/>
    <w:rsid w:val="00523636"/>
    <w:rsid w:val="005335B9"/>
    <w:rsid w:val="00536CCE"/>
    <w:rsid w:val="005541E4"/>
    <w:rsid w:val="00562FE7"/>
    <w:rsid w:val="0057450D"/>
    <w:rsid w:val="00577CD1"/>
    <w:rsid w:val="0058302A"/>
    <w:rsid w:val="005B7338"/>
    <w:rsid w:val="005C02AB"/>
    <w:rsid w:val="005C5FC3"/>
    <w:rsid w:val="005D0F04"/>
    <w:rsid w:val="005F12F0"/>
    <w:rsid w:val="005F3273"/>
    <w:rsid w:val="005F34A3"/>
    <w:rsid w:val="00610CF2"/>
    <w:rsid w:val="006328DE"/>
    <w:rsid w:val="006353DE"/>
    <w:rsid w:val="006479F1"/>
    <w:rsid w:val="00650BEE"/>
    <w:rsid w:val="006520FA"/>
    <w:rsid w:val="0065377D"/>
    <w:rsid w:val="00666F57"/>
    <w:rsid w:val="00670B93"/>
    <w:rsid w:val="00671240"/>
    <w:rsid w:val="006740A7"/>
    <w:rsid w:val="006767D5"/>
    <w:rsid w:val="00677CAE"/>
    <w:rsid w:val="00691524"/>
    <w:rsid w:val="006A654B"/>
    <w:rsid w:val="006A6AC0"/>
    <w:rsid w:val="006B4CBE"/>
    <w:rsid w:val="006C7564"/>
    <w:rsid w:val="006E1E5D"/>
    <w:rsid w:val="006E2924"/>
    <w:rsid w:val="006E7A26"/>
    <w:rsid w:val="006F2B3D"/>
    <w:rsid w:val="006F7C56"/>
    <w:rsid w:val="007052CC"/>
    <w:rsid w:val="007133B9"/>
    <w:rsid w:val="007319E0"/>
    <w:rsid w:val="007345AA"/>
    <w:rsid w:val="00737B00"/>
    <w:rsid w:val="00742D75"/>
    <w:rsid w:val="0075155C"/>
    <w:rsid w:val="00753A05"/>
    <w:rsid w:val="00757193"/>
    <w:rsid w:val="00761190"/>
    <w:rsid w:val="00776537"/>
    <w:rsid w:val="00783A25"/>
    <w:rsid w:val="007877F4"/>
    <w:rsid w:val="007C74B9"/>
    <w:rsid w:val="007E1B5E"/>
    <w:rsid w:val="007E6253"/>
    <w:rsid w:val="007F2278"/>
    <w:rsid w:val="00803014"/>
    <w:rsid w:val="00804686"/>
    <w:rsid w:val="00805783"/>
    <w:rsid w:val="00806F57"/>
    <w:rsid w:val="00806F90"/>
    <w:rsid w:val="008246FC"/>
    <w:rsid w:val="00824C19"/>
    <w:rsid w:val="00826250"/>
    <w:rsid w:val="008378D1"/>
    <w:rsid w:val="00846462"/>
    <w:rsid w:val="0086691F"/>
    <w:rsid w:val="00883DB0"/>
    <w:rsid w:val="00884C8F"/>
    <w:rsid w:val="00896D38"/>
    <w:rsid w:val="008B4890"/>
    <w:rsid w:val="008C3296"/>
    <w:rsid w:val="008E2D03"/>
    <w:rsid w:val="008F2BB5"/>
    <w:rsid w:val="008F425D"/>
    <w:rsid w:val="008F5472"/>
    <w:rsid w:val="008F5D0F"/>
    <w:rsid w:val="009122E0"/>
    <w:rsid w:val="00913351"/>
    <w:rsid w:val="0096193C"/>
    <w:rsid w:val="00967BA7"/>
    <w:rsid w:val="009769E1"/>
    <w:rsid w:val="00977E0D"/>
    <w:rsid w:val="00986132"/>
    <w:rsid w:val="00986C04"/>
    <w:rsid w:val="009A2F76"/>
    <w:rsid w:val="009D2AC2"/>
    <w:rsid w:val="009E1774"/>
    <w:rsid w:val="009E2668"/>
    <w:rsid w:val="009E40A3"/>
    <w:rsid w:val="009E5C8C"/>
    <w:rsid w:val="009F10B1"/>
    <w:rsid w:val="009F47E3"/>
    <w:rsid w:val="009F6938"/>
    <w:rsid w:val="00A0537D"/>
    <w:rsid w:val="00A069AD"/>
    <w:rsid w:val="00A17A85"/>
    <w:rsid w:val="00A20856"/>
    <w:rsid w:val="00A24399"/>
    <w:rsid w:val="00A24CA5"/>
    <w:rsid w:val="00A33D6D"/>
    <w:rsid w:val="00A37345"/>
    <w:rsid w:val="00A5206D"/>
    <w:rsid w:val="00A72E47"/>
    <w:rsid w:val="00A90956"/>
    <w:rsid w:val="00A95404"/>
    <w:rsid w:val="00A968C5"/>
    <w:rsid w:val="00AA3C28"/>
    <w:rsid w:val="00AA759D"/>
    <w:rsid w:val="00AB2786"/>
    <w:rsid w:val="00AB2B82"/>
    <w:rsid w:val="00AD4308"/>
    <w:rsid w:val="00AD43FB"/>
    <w:rsid w:val="00AF2A33"/>
    <w:rsid w:val="00B309DD"/>
    <w:rsid w:val="00B36621"/>
    <w:rsid w:val="00B36D64"/>
    <w:rsid w:val="00B41B48"/>
    <w:rsid w:val="00B56194"/>
    <w:rsid w:val="00B60F41"/>
    <w:rsid w:val="00B61A34"/>
    <w:rsid w:val="00B64E8E"/>
    <w:rsid w:val="00B65E8B"/>
    <w:rsid w:val="00B8025A"/>
    <w:rsid w:val="00B827B1"/>
    <w:rsid w:val="00BB23A4"/>
    <w:rsid w:val="00BC2276"/>
    <w:rsid w:val="00BD2150"/>
    <w:rsid w:val="00BE1CC3"/>
    <w:rsid w:val="00BE365A"/>
    <w:rsid w:val="00BE47C4"/>
    <w:rsid w:val="00C052A2"/>
    <w:rsid w:val="00C06A4A"/>
    <w:rsid w:val="00C1391A"/>
    <w:rsid w:val="00C14CE6"/>
    <w:rsid w:val="00C15218"/>
    <w:rsid w:val="00C2725D"/>
    <w:rsid w:val="00C42033"/>
    <w:rsid w:val="00C464DD"/>
    <w:rsid w:val="00C62EF9"/>
    <w:rsid w:val="00C76854"/>
    <w:rsid w:val="00C92AE0"/>
    <w:rsid w:val="00CA450F"/>
    <w:rsid w:val="00CB2B1E"/>
    <w:rsid w:val="00CC3E8B"/>
    <w:rsid w:val="00CC4E84"/>
    <w:rsid w:val="00CD5641"/>
    <w:rsid w:val="00CE64AC"/>
    <w:rsid w:val="00CF7718"/>
    <w:rsid w:val="00D177F1"/>
    <w:rsid w:val="00D323B5"/>
    <w:rsid w:val="00D42ACC"/>
    <w:rsid w:val="00D51DC5"/>
    <w:rsid w:val="00D676D7"/>
    <w:rsid w:val="00D71517"/>
    <w:rsid w:val="00D7168D"/>
    <w:rsid w:val="00D874E1"/>
    <w:rsid w:val="00D9586D"/>
    <w:rsid w:val="00DA51B2"/>
    <w:rsid w:val="00DB0932"/>
    <w:rsid w:val="00DC2506"/>
    <w:rsid w:val="00DC49FA"/>
    <w:rsid w:val="00DD3D6B"/>
    <w:rsid w:val="00DD4467"/>
    <w:rsid w:val="00DD61C8"/>
    <w:rsid w:val="00DD772B"/>
    <w:rsid w:val="00E041F4"/>
    <w:rsid w:val="00E050BA"/>
    <w:rsid w:val="00E25442"/>
    <w:rsid w:val="00E25A1F"/>
    <w:rsid w:val="00E37EEB"/>
    <w:rsid w:val="00E710FB"/>
    <w:rsid w:val="00E806D9"/>
    <w:rsid w:val="00E82CA2"/>
    <w:rsid w:val="00E94E5A"/>
    <w:rsid w:val="00E95594"/>
    <w:rsid w:val="00EA31C3"/>
    <w:rsid w:val="00EB33AC"/>
    <w:rsid w:val="00EC39C7"/>
    <w:rsid w:val="00EC6F21"/>
    <w:rsid w:val="00EE0913"/>
    <w:rsid w:val="00F01440"/>
    <w:rsid w:val="00F13305"/>
    <w:rsid w:val="00F40463"/>
    <w:rsid w:val="00F50336"/>
    <w:rsid w:val="00F55E5B"/>
    <w:rsid w:val="00F62E3F"/>
    <w:rsid w:val="00F67F90"/>
    <w:rsid w:val="00F77B3E"/>
    <w:rsid w:val="00F833CB"/>
    <w:rsid w:val="00F87754"/>
    <w:rsid w:val="00F90A4B"/>
    <w:rsid w:val="00F90C56"/>
    <w:rsid w:val="00FC1CE4"/>
    <w:rsid w:val="00FD586A"/>
    <w:rsid w:val="00FD594E"/>
    <w:rsid w:val="00FD75B9"/>
    <w:rsid w:val="00FE5FE8"/>
    <w:rsid w:val="00FF043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val="en-US"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SingleTxt"/>
    <w:rsid w:val="00986132"/>
    <w:pPr>
      <w:keepNext/>
      <w:keepLines/>
      <w:suppressAutoHyphens/>
      <w:outlineLvl w:val="0"/>
    </w:pPr>
    <w:rPr>
      <w:rFonts w:ascii="SimHei" w:eastAsia="SimHei"/>
      <w:sz w:val="24"/>
    </w:rPr>
  </w:style>
  <w:style w:type="paragraph" w:customStyle="1" w:styleId="HCh">
    <w:name w:val="_ H _Ch"/>
    <w:basedOn w:val="H1"/>
    <w:next w:val="SingleTxt"/>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SingleTxt"/>
    <w:rsid w:val="00986132"/>
    <w:pPr>
      <w:outlineLvl w:val="1"/>
    </w:pPr>
    <w:rPr>
      <w:rFonts w:ascii="SimHei" w:eastAsia="SimHei"/>
      <w:spacing w:val="2"/>
    </w:rPr>
  </w:style>
  <w:style w:type="paragraph" w:customStyle="1" w:styleId="H4">
    <w:name w:val="_ H_4"/>
    <w:basedOn w:val="Normal"/>
    <w:next w:val="Normal"/>
    <w:rsid w:val="00986132"/>
    <w:pPr>
      <w:keepNext/>
      <w:keepLines/>
      <w:tabs>
        <w:tab w:val="left" w:pos="431"/>
      </w:tabs>
      <w:suppressAutoHyphens/>
      <w:outlineLvl w:val="3"/>
    </w:pPr>
    <w:rPr>
      <w:rFonts w:ascii="KaiTi_GB2312" w:eastAsia="KaiTi_GB2312"/>
      <w:noProo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986132"/>
    <w:pPr>
      <w:keepNext/>
      <w:keepLines/>
      <w:tabs>
        <w:tab w:val="right" w:leader="dot" w:pos="360"/>
      </w:tabs>
      <w:suppressAutoHyphens/>
      <w:spacing w:line="500" w:lineRule="exact"/>
      <w:ind w:left="1264" w:right="1264"/>
      <w:outlineLvl w:val="0"/>
    </w:pPr>
    <w:rPr>
      <w:rFonts w:ascii="SimHei" w:eastAsia="SimHei"/>
      <w:noProof/>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semiHidden/>
    <w:rsid w:val="00803014"/>
    <w:rPr>
      <w:color w:val="auto"/>
      <w:spacing w:val="0"/>
      <w:w w:val="150"/>
      <w:position w:val="0"/>
      <w:vertAlign w:val="superscript"/>
    </w:rPr>
  </w:style>
  <w:style w:type="character" w:styleId="EndnoteReference">
    <w:name w:val="endnote reference"/>
    <w:basedOn w:val="FootnoteReference"/>
    <w:semiHidden/>
    <w:rsid w:val="001E5A51"/>
    <w:rPr>
      <w:color w:val="auto"/>
      <w:spacing w:val="0"/>
      <w:w w:val="150"/>
      <w:position w:val="0"/>
      <w:vertAlign w:val="superscript"/>
    </w:rPr>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val="en-US" w:eastAsia="zh-CN"/>
    </w:rPr>
  </w:style>
  <w:style w:type="paragraph" w:styleId="Footer">
    <w:name w:val="footer"/>
    <w:rsid w:val="001E5A51"/>
    <w:pPr>
      <w:tabs>
        <w:tab w:val="center" w:pos="4320"/>
        <w:tab w:val="right" w:pos="8640"/>
      </w:tabs>
      <w:jc w:val="both"/>
    </w:pPr>
    <w:rPr>
      <w:b/>
      <w:noProof/>
      <w:sz w:val="18"/>
      <w:szCs w:val="18"/>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89</TotalTime>
  <Pages>1</Pages>
  <Words>1295</Words>
  <Characters>7384</Characters>
  <Application>Microsoft Office Word</Application>
  <DocSecurity>4</DocSecurity>
  <Lines>61</Lines>
  <Paragraphs>17</Paragraphs>
  <ScaleCrop>false</ScaleCrop>
  <Company>United Nations</Company>
  <LinksUpToDate>false</LinksUpToDate>
  <CharactersWithSpaces>8662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CTPU User</dc:creator>
  <cp:keywords/>
  <dc:description/>
  <cp:lastModifiedBy>CTPU User</cp:lastModifiedBy>
  <cp:revision>34</cp:revision>
  <cp:lastPrinted>2010-03-08T11:26:00Z</cp:lastPrinted>
  <dcterms:created xsi:type="dcterms:W3CDTF">2010-03-05T12:52:00Z</dcterms:created>
  <dcterms:modified xsi:type="dcterms:W3CDTF">2010-03-08T11:27:00Z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1024305</vt:lpwstr>
  </property>
  <property fmtid="{D5CDD505-2E9C-101B-9397-08002B2CF9AE}" pid="3" name="Symbol1">
    <vt:lpwstr>CEDAW/C/PAN/CO/7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9</vt:lpwstr>
  </property>
  <property fmtid="{D5CDD505-2E9C-101B-9397-08002B2CF9AE}" pid="8" name="Operator">
    <vt:lpwstr>JI SX</vt:lpwstr>
  </property>
</Properties>
</file>