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6CEC91E9" w14:textId="77777777" w:rsidTr="00281242">
        <w:trPr>
          <w:trHeight w:hRule="exact" w:val="851"/>
        </w:trPr>
        <w:tc>
          <w:tcPr>
            <w:tcW w:w="1274" w:type="dxa"/>
            <w:tcBorders>
              <w:bottom w:val="single" w:sz="4" w:space="0" w:color="auto"/>
            </w:tcBorders>
            <w:shd w:val="clear" w:color="auto" w:fill="auto"/>
          </w:tcPr>
          <w:p w14:paraId="7128727D" w14:textId="77777777" w:rsidR="006B3E27" w:rsidRPr="00BE5849" w:rsidRDefault="006B3E27" w:rsidP="000057C7">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37BD29E2"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6EFCA255" w14:textId="274CA9AE" w:rsidR="006B3E27" w:rsidRPr="007A282C" w:rsidRDefault="007A282C" w:rsidP="007A282C">
            <w:pPr>
              <w:bidi w:val="0"/>
              <w:rPr>
                <w:szCs w:val="20"/>
                <w:lang w:eastAsia="zh-TW"/>
              </w:rPr>
            </w:pPr>
            <w:r w:rsidRPr="007A282C">
              <w:rPr>
                <w:sz w:val="40"/>
                <w:szCs w:val="20"/>
                <w:lang w:eastAsia="zh-TW"/>
              </w:rPr>
              <w:t>A</w:t>
            </w:r>
            <w:r>
              <w:rPr>
                <w:szCs w:val="20"/>
                <w:lang w:eastAsia="zh-TW"/>
              </w:rPr>
              <w:t>/HRC/RES/</w:t>
            </w:r>
            <w:r w:rsidRPr="00996A60">
              <w:rPr>
                <w:szCs w:val="20"/>
                <w:lang w:eastAsia="zh-TW"/>
              </w:rPr>
              <w:t>46</w:t>
            </w:r>
            <w:r>
              <w:rPr>
                <w:szCs w:val="20"/>
                <w:lang w:eastAsia="zh-TW"/>
              </w:rPr>
              <w:t>/</w:t>
            </w:r>
            <w:r w:rsidRPr="00996A60">
              <w:rPr>
                <w:szCs w:val="20"/>
                <w:lang w:eastAsia="zh-TW"/>
              </w:rPr>
              <w:t>16</w:t>
            </w:r>
          </w:p>
        </w:tc>
      </w:tr>
      <w:tr w:rsidR="006B3E27" w:rsidRPr="00AC03B4" w14:paraId="4EEA17D4" w14:textId="77777777" w:rsidTr="00281242">
        <w:trPr>
          <w:trHeight w:hRule="exact" w:val="2835"/>
        </w:trPr>
        <w:tc>
          <w:tcPr>
            <w:tcW w:w="1274" w:type="dxa"/>
            <w:tcBorders>
              <w:top w:val="single" w:sz="4" w:space="0" w:color="auto"/>
              <w:bottom w:val="single" w:sz="12" w:space="0" w:color="auto"/>
            </w:tcBorders>
            <w:shd w:val="clear" w:color="auto" w:fill="auto"/>
          </w:tcPr>
          <w:p w14:paraId="4AA67B60"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3D66D50E" wp14:editId="2D08595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FD7E2B8" w14:textId="77777777" w:rsidR="006B3E27" w:rsidRPr="00996A60" w:rsidRDefault="001773DB" w:rsidP="002F3D3A">
            <w:pPr>
              <w:spacing w:before="120" w:after="40" w:line="640" w:lineRule="exact"/>
              <w:ind w:left="57"/>
              <w:rPr>
                <w:b/>
                <w:bCs/>
                <w:sz w:val="50"/>
                <w:szCs w:val="50"/>
              </w:rPr>
            </w:pPr>
            <w:r w:rsidRPr="00996A60">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73D7297" w14:textId="77777777" w:rsidR="00B922E8" w:rsidRPr="009C5629" w:rsidRDefault="00B922E8" w:rsidP="00B922E8">
            <w:pPr>
              <w:bidi w:val="0"/>
              <w:spacing w:before="240" w:line="240" w:lineRule="exact"/>
            </w:pPr>
            <w:r w:rsidRPr="009C5629">
              <w:t xml:space="preserve">Distr.: </w:t>
            </w:r>
            <w:r>
              <w:t>General</w:t>
            </w:r>
          </w:p>
          <w:p w14:paraId="7B61D050" w14:textId="77777777" w:rsidR="00B922E8" w:rsidRPr="009C5629" w:rsidRDefault="00B922E8" w:rsidP="00B922E8">
            <w:pPr>
              <w:bidi w:val="0"/>
              <w:spacing w:line="240" w:lineRule="exact"/>
            </w:pPr>
            <w:r w:rsidRPr="00996A60">
              <w:t>31</w:t>
            </w:r>
            <w:r w:rsidRPr="009C5629">
              <w:t xml:space="preserve"> March </w:t>
            </w:r>
            <w:r w:rsidRPr="00996A60">
              <w:t>2021</w:t>
            </w:r>
          </w:p>
          <w:p w14:paraId="72817583" w14:textId="77777777" w:rsidR="00B922E8" w:rsidRPr="009C5629" w:rsidRDefault="00B922E8" w:rsidP="00B922E8">
            <w:pPr>
              <w:bidi w:val="0"/>
              <w:spacing w:line="240" w:lineRule="exact"/>
            </w:pPr>
            <w:r>
              <w:t>Arabic</w:t>
            </w:r>
          </w:p>
          <w:p w14:paraId="4821ACAC" w14:textId="6B860485" w:rsidR="007A282C" w:rsidRPr="007A282C" w:rsidRDefault="00B922E8" w:rsidP="00B922E8">
            <w:pPr>
              <w:bidi w:val="0"/>
              <w:spacing w:line="240" w:lineRule="exact"/>
              <w:jc w:val="left"/>
              <w:rPr>
                <w:szCs w:val="20"/>
              </w:rPr>
            </w:pPr>
            <w:r w:rsidRPr="009C5629">
              <w:t>Original: English</w:t>
            </w:r>
          </w:p>
        </w:tc>
      </w:tr>
    </w:tbl>
    <w:bookmarkEnd w:id="0"/>
    <w:p w14:paraId="2D052B71" w14:textId="77777777" w:rsidR="00B922E8" w:rsidRPr="00996A60" w:rsidRDefault="00B922E8" w:rsidP="00B922E8">
      <w:pPr>
        <w:pStyle w:val="SingleTxtGA"/>
        <w:spacing w:before="120" w:after="0"/>
        <w:ind w:left="0" w:right="0"/>
        <w:rPr>
          <w:rFonts w:ascii="Times New Roman Bold" w:hAnsi="Times New Roman Bold" w:hint="eastAsia"/>
          <w:b/>
          <w:bCs/>
          <w:sz w:val="26"/>
          <w:szCs w:val="26"/>
          <w:rtl/>
          <w:lang w:eastAsia="zh-TW"/>
        </w:rPr>
      </w:pPr>
      <w:r w:rsidRPr="00996A60">
        <w:rPr>
          <w:rFonts w:ascii="Times New Roman Bold" w:hAnsi="Times New Roman Bold" w:hint="cs"/>
          <w:b/>
          <w:bCs/>
          <w:sz w:val="26"/>
          <w:szCs w:val="26"/>
          <w:rtl/>
          <w:lang w:eastAsia="zh-TW"/>
        </w:rPr>
        <w:t>مجلس حقوق الإنسان</w:t>
      </w:r>
    </w:p>
    <w:p w14:paraId="3A6061F9" w14:textId="77777777" w:rsidR="00B922E8" w:rsidRPr="00996A60" w:rsidRDefault="00B922E8" w:rsidP="00B922E8">
      <w:pPr>
        <w:spacing w:line="360" w:lineRule="exact"/>
        <w:textDirection w:val="tbRlV"/>
        <w:rPr>
          <w:rFonts w:eastAsiaTheme="minorEastAsia"/>
          <w:b/>
          <w:sz w:val="22"/>
          <w:lang w:eastAsia="zh-TW" w:bidi="en-GB"/>
        </w:rPr>
      </w:pPr>
      <w:r w:rsidRPr="00996A60">
        <w:rPr>
          <w:rFonts w:eastAsiaTheme="minorEastAsia"/>
          <w:b/>
          <w:bCs/>
          <w:sz w:val="22"/>
          <w:rtl/>
        </w:rPr>
        <w:t>الدورة السادسة والأربعون</w:t>
      </w:r>
    </w:p>
    <w:p w14:paraId="1E9B51B8" w14:textId="77777777" w:rsidR="00B922E8" w:rsidRPr="0003113A" w:rsidRDefault="00B922E8" w:rsidP="00B922E8">
      <w:pPr>
        <w:spacing w:line="360" w:lineRule="exact"/>
        <w:textDirection w:val="tbRlV"/>
        <w:rPr>
          <w:rFonts w:eastAsiaTheme="minorEastAsia"/>
          <w:sz w:val="22"/>
          <w:lang w:val="ar-SA" w:eastAsia="zh-TW" w:bidi="en-GB"/>
        </w:rPr>
      </w:pPr>
      <w:r w:rsidRPr="00996A60">
        <w:rPr>
          <w:rFonts w:eastAsiaTheme="minorEastAsia"/>
          <w:sz w:val="22"/>
          <w:rtl/>
        </w:rPr>
        <w:t>22</w:t>
      </w:r>
      <w:r w:rsidRPr="0003113A">
        <w:rPr>
          <w:rFonts w:eastAsiaTheme="minorEastAsia"/>
          <w:sz w:val="22"/>
          <w:rtl/>
        </w:rPr>
        <w:t xml:space="preserve"> شباط/فبراير - </w:t>
      </w:r>
      <w:r w:rsidRPr="00996A60">
        <w:rPr>
          <w:rFonts w:eastAsiaTheme="minorEastAsia"/>
          <w:sz w:val="22"/>
          <w:rtl/>
        </w:rPr>
        <w:t>2</w:t>
      </w:r>
      <w:r w:rsidRPr="00996A60">
        <w:rPr>
          <w:rFonts w:eastAsiaTheme="minorEastAsia" w:hint="cs"/>
          <w:sz w:val="22"/>
          <w:rtl/>
        </w:rPr>
        <w:t>4</w:t>
      </w:r>
      <w:r w:rsidRPr="0003113A">
        <w:rPr>
          <w:rFonts w:eastAsiaTheme="minorEastAsia"/>
          <w:sz w:val="22"/>
          <w:rtl/>
        </w:rPr>
        <w:t xml:space="preserve"> آذار/مارس </w:t>
      </w:r>
      <w:r w:rsidRPr="00996A60">
        <w:rPr>
          <w:rFonts w:eastAsiaTheme="minorEastAsia"/>
          <w:sz w:val="22"/>
          <w:rtl/>
        </w:rPr>
        <w:t>2021</w:t>
      </w:r>
    </w:p>
    <w:p w14:paraId="479AC587" w14:textId="77777777" w:rsidR="00B922E8" w:rsidRPr="0003113A" w:rsidRDefault="00B922E8" w:rsidP="00B922E8">
      <w:pPr>
        <w:spacing w:line="360" w:lineRule="exact"/>
        <w:textDirection w:val="tbRlV"/>
        <w:rPr>
          <w:rFonts w:eastAsiaTheme="minorEastAsia"/>
          <w:sz w:val="22"/>
          <w:rtl/>
          <w:lang w:eastAsia="zh-TW"/>
        </w:rPr>
      </w:pPr>
      <w:r w:rsidRPr="0003113A">
        <w:rPr>
          <w:rFonts w:eastAsiaTheme="minorEastAsia"/>
          <w:sz w:val="22"/>
          <w:rtl/>
        </w:rPr>
        <w:t xml:space="preserve">البند </w:t>
      </w:r>
      <w:r w:rsidRPr="00996A60">
        <w:rPr>
          <w:rFonts w:eastAsiaTheme="minorEastAsia"/>
          <w:sz w:val="22"/>
          <w:rtl/>
        </w:rPr>
        <w:t>3</w:t>
      </w:r>
      <w:r w:rsidRPr="0003113A">
        <w:rPr>
          <w:rFonts w:eastAsiaTheme="minorEastAsia"/>
          <w:sz w:val="22"/>
          <w:rtl/>
        </w:rPr>
        <w:t xml:space="preserve"> من جدول الأعمال</w:t>
      </w:r>
    </w:p>
    <w:p w14:paraId="1798A30A" w14:textId="77777777" w:rsidR="00B922E8" w:rsidRPr="00996A60" w:rsidRDefault="00B922E8" w:rsidP="00B922E8">
      <w:pPr>
        <w:spacing w:line="360" w:lineRule="exact"/>
        <w:ind w:right="4872"/>
        <w:textDirection w:val="tbRlV"/>
        <w:rPr>
          <w:rFonts w:eastAsiaTheme="minorEastAsia"/>
          <w:b/>
          <w:sz w:val="22"/>
          <w:lang w:val="ar-SA" w:eastAsia="zh-TW" w:bidi="en-GB"/>
        </w:rPr>
      </w:pPr>
      <w:r w:rsidRPr="00996A60">
        <w:rPr>
          <w:rFonts w:eastAsiaTheme="minorEastAsia"/>
          <w:b/>
          <w:bCs/>
          <w:sz w:val="22"/>
          <w:rtl/>
        </w:rPr>
        <w:t>تعزيز وحماية جميع حقوق الإنسان، المدنية والسياسية والاقتصادية والاجتماعية والثقافية، بما في ذلك الحق في التنمية</w:t>
      </w:r>
    </w:p>
    <w:p w14:paraId="55B365B0" w14:textId="77777777" w:rsidR="00B922E8" w:rsidRPr="00996A60" w:rsidRDefault="00B922E8" w:rsidP="00B922E8">
      <w:pPr>
        <w:pStyle w:val="HChGA"/>
        <w:rPr>
          <w:lang w:val="ar-SA" w:eastAsia="zh-TW" w:bidi="en-GB"/>
        </w:rPr>
      </w:pPr>
      <w:r w:rsidRPr="00996A60">
        <w:rPr>
          <w:rtl/>
        </w:rPr>
        <w:tab/>
      </w:r>
      <w:r w:rsidRPr="00996A60">
        <w:rPr>
          <w:rtl/>
        </w:rPr>
        <w:tab/>
        <w:t>قرار اعتمده مجلس حقوق الإنسان في 23 آذار/مارس 2021</w:t>
      </w:r>
    </w:p>
    <w:p w14:paraId="5E50ED79" w14:textId="23753C73" w:rsidR="00B922E8" w:rsidRPr="00996A60" w:rsidRDefault="00B922E8" w:rsidP="00B922E8">
      <w:pPr>
        <w:pStyle w:val="H1GA"/>
        <w:rPr>
          <w:lang w:val="ar-SA" w:eastAsia="zh-TW" w:bidi="en-GB"/>
        </w:rPr>
      </w:pPr>
      <w:r w:rsidRPr="00996A60">
        <w:rPr>
          <w:rtl/>
        </w:rPr>
        <w:tab/>
        <w:t>46/</w:t>
      </w:r>
      <w:r w:rsidRPr="00996A60">
        <w:rPr>
          <w:rFonts w:hint="cs"/>
          <w:rtl/>
        </w:rPr>
        <w:t>16</w:t>
      </w:r>
      <w:r w:rsidRPr="00996A60">
        <w:rPr>
          <w:rFonts w:hint="cs"/>
          <w:rtl/>
        </w:rPr>
        <w:t>-</w:t>
      </w:r>
      <w:r w:rsidRPr="00996A60">
        <w:rPr>
          <w:rtl/>
        </w:rPr>
        <w:tab/>
        <w:t>ولاية المقرر الخاص المعني بالحق في الخصوصية</w:t>
      </w:r>
    </w:p>
    <w:p w14:paraId="61B3214F" w14:textId="77777777" w:rsidR="00B922E8" w:rsidRPr="00996A60" w:rsidRDefault="00B922E8" w:rsidP="00B922E8">
      <w:pPr>
        <w:pStyle w:val="SingleTxtGA"/>
        <w:rPr>
          <w:i/>
          <w:iCs/>
          <w:lang w:val="ar-SA" w:eastAsia="zh-TW" w:bidi="en-GB"/>
        </w:rPr>
      </w:pPr>
      <w:r w:rsidRPr="00996A60">
        <w:rPr>
          <w:i/>
          <w:iCs/>
          <w:rtl/>
        </w:rPr>
        <w:tab/>
        <w:t>إن مجلس حقوق الإنسان،</w:t>
      </w:r>
    </w:p>
    <w:p w14:paraId="3011B22F" w14:textId="77777777" w:rsidR="00B922E8" w:rsidRPr="0003113A" w:rsidRDefault="00B922E8" w:rsidP="00B922E8">
      <w:pPr>
        <w:pStyle w:val="SingleTxtGA"/>
        <w:rPr>
          <w:lang w:val="ar-SA" w:eastAsia="zh-TW" w:bidi="en-GB"/>
        </w:rPr>
      </w:pPr>
      <w:r w:rsidRPr="00996A60">
        <w:rPr>
          <w:i/>
          <w:iCs/>
          <w:rtl/>
        </w:rPr>
        <w:tab/>
        <w:t xml:space="preserve">إذ يسترشد </w:t>
      </w:r>
      <w:r w:rsidRPr="0003113A">
        <w:rPr>
          <w:rtl/>
        </w:rPr>
        <w:t>بمقاصد ميثاق الأمم المتحدة ومبادئه،</w:t>
      </w:r>
    </w:p>
    <w:p w14:paraId="31ED90CA" w14:textId="77777777" w:rsidR="00B922E8" w:rsidRPr="0003113A" w:rsidRDefault="00B922E8" w:rsidP="00B922E8">
      <w:pPr>
        <w:pStyle w:val="SingleTxtGA"/>
        <w:rPr>
          <w:lang w:val="ar-SA" w:eastAsia="zh-TW" w:bidi="en-GB"/>
        </w:rPr>
      </w:pPr>
      <w:r w:rsidRPr="00996A60">
        <w:rPr>
          <w:i/>
          <w:iCs/>
          <w:spacing w:val="-4"/>
          <w:rtl/>
        </w:rPr>
        <w:tab/>
        <w:t xml:space="preserve">وإذ يؤكد من جديد </w:t>
      </w:r>
      <w:r w:rsidRPr="00B922E8">
        <w:rPr>
          <w:spacing w:val="-4"/>
          <w:rtl/>
        </w:rPr>
        <w:t>حقوق الإنسان والحريات الأساسية المكرّسة في الإعلان العالمي لحقوق الإنسان،</w:t>
      </w:r>
      <w:r w:rsidRPr="0003113A">
        <w:rPr>
          <w:rtl/>
        </w:rPr>
        <w:t xml:space="preserve"> والعهد الدولي الخاص بالحقوق المدنية والسياسية، والعهد الدولي الخاص بالحقوق الاقتصادية والاجتماعية </w:t>
      </w:r>
      <w:r w:rsidRPr="00B922E8">
        <w:rPr>
          <w:spacing w:val="-4"/>
          <w:rtl/>
        </w:rPr>
        <w:t>والثقافية، واتفاقية القضاء على جميع أشكال التمييز ضد المرأة، واتفاقية حقوق الطفل، واتفاقية حقوق الأشخاص</w:t>
      </w:r>
      <w:r w:rsidRPr="0003113A">
        <w:rPr>
          <w:rtl/>
        </w:rPr>
        <w:t xml:space="preserve"> ذوي الإعاقة،</w:t>
      </w:r>
    </w:p>
    <w:p w14:paraId="01D85573" w14:textId="77777777" w:rsidR="00B922E8" w:rsidRPr="0003113A" w:rsidRDefault="00B922E8" w:rsidP="00B922E8">
      <w:pPr>
        <w:pStyle w:val="SingleTxtGA"/>
        <w:rPr>
          <w:spacing w:val="-4"/>
          <w:lang w:val="en-US" w:eastAsia="zh-TW" w:bidi="en-GB"/>
        </w:rPr>
      </w:pPr>
      <w:r w:rsidRPr="00996A60">
        <w:rPr>
          <w:i/>
          <w:iCs/>
          <w:spacing w:val="-4"/>
          <w:rtl/>
        </w:rPr>
        <w:tab/>
        <w:t xml:space="preserve">وإذ يشير </w:t>
      </w:r>
      <w:r w:rsidRPr="0003113A">
        <w:rPr>
          <w:spacing w:val="-4"/>
          <w:rtl/>
        </w:rPr>
        <w:t>إلى جميع القرارات السابقة الصادرة عن الجمعية العامة ومجلس حقوق الإنسان بشأن الحق في الخصوصية في العصر الرقمي والقرارات الأخرى ذات الصلة، بما في ذلك القرارات المتعلقة بتعزيز حقوق الإنسان وحمايتها والتمتع بها على شبكة الإنترنت، وبالتكنولوجيات الرقمية الجديدة والناشئة وحقوق الإنسان،</w:t>
      </w:r>
    </w:p>
    <w:p w14:paraId="6352DBDD" w14:textId="77777777" w:rsidR="00B922E8" w:rsidRPr="0003113A" w:rsidRDefault="00B922E8" w:rsidP="00B922E8">
      <w:pPr>
        <w:pStyle w:val="SingleTxtGA"/>
        <w:rPr>
          <w:lang w:val="ar-SA" w:eastAsia="zh-TW" w:bidi="en-GB"/>
        </w:rPr>
      </w:pPr>
      <w:r w:rsidRPr="00996A60">
        <w:rPr>
          <w:i/>
          <w:iCs/>
          <w:rtl/>
        </w:rPr>
        <w:tab/>
        <w:t xml:space="preserve">وإذ يشير أيضاً </w:t>
      </w:r>
      <w:r w:rsidRPr="0003113A">
        <w:rPr>
          <w:rtl/>
        </w:rPr>
        <w:t xml:space="preserve">إلى أن مؤسسات الأعمال التجارية مسؤولة عن احترام حقوق الإنسان على النحو المبين في المبادئ التوجيهية بشأن الأعمال التجارية وحقوق الإنسان: تنفيذ إطار الأمم المتحدة المعنون "الحماية والاحترام والانتصاف"، وأن الالتزام والمسؤولية الرئيسية فيما يتعلق بتعزيز وحماية حقوق الإنسان والحريات الأساسية يقعان على عاتق الدولة، </w:t>
      </w:r>
    </w:p>
    <w:p w14:paraId="7CC9AB3D" w14:textId="77777777" w:rsidR="00B922E8" w:rsidRPr="0003113A" w:rsidRDefault="00B922E8" w:rsidP="00B922E8">
      <w:pPr>
        <w:pStyle w:val="SingleTxtGA"/>
        <w:rPr>
          <w:lang w:val="en-US" w:eastAsia="zh-TW" w:bidi="en-GB"/>
        </w:rPr>
      </w:pPr>
      <w:r w:rsidRPr="00996A60">
        <w:rPr>
          <w:i/>
          <w:iCs/>
          <w:rtl/>
        </w:rPr>
        <w:tab/>
        <w:t xml:space="preserve">وإذ يرحب </w:t>
      </w:r>
      <w:r w:rsidRPr="0003113A">
        <w:rPr>
          <w:rtl/>
        </w:rPr>
        <w:t xml:space="preserve">بعمل مفوضية الأمم المتحدة السامية لحقوق الإنسان بشأن الحق في الخصوصية في </w:t>
      </w:r>
      <w:r w:rsidRPr="00B922E8">
        <w:rPr>
          <w:spacing w:val="-2"/>
          <w:rtl/>
        </w:rPr>
        <w:t xml:space="preserve">العصر الرقمي، وإذ </w:t>
      </w:r>
      <w:r w:rsidRPr="00B922E8">
        <w:rPr>
          <w:rFonts w:hint="cs"/>
          <w:spacing w:val="-2"/>
          <w:rtl/>
        </w:rPr>
        <w:t>يشير</w:t>
      </w:r>
      <w:r w:rsidRPr="00B922E8">
        <w:rPr>
          <w:spacing w:val="-2"/>
          <w:rtl/>
        </w:rPr>
        <w:t xml:space="preserve"> مع التقدير</w:t>
      </w:r>
      <w:r w:rsidRPr="00B922E8">
        <w:rPr>
          <w:rFonts w:hint="cs"/>
          <w:spacing w:val="-2"/>
          <w:rtl/>
        </w:rPr>
        <w:t xml:space="preserve"> إلى</w:t>
      </w:r>
      <w:r w:rsidRPr="00B922E8">
        <w:rPr>
          <w:spacing w:val="-2"/>
          <w:rtl/>
        </w:rPr>
        <w:t xml:space="preserve"> تقريريها عن </w:t>
      </w:r>
      <w:proofErr w:type="gramStart"/>
      <w:r w:rsidRPr="00B922E8">
        <w:rPr>
          <w:spacing w:val="-2"/>
          <w:rtl/>
        </w:rPr>
        <w:t>ذلك</w:t>
      </w:r>
      <w:r w:rsidRPr="00B922E8">
        <w:rPr>
          <w:rFonts w:hint="cs"/>
          <w:spacing w:val="-2"/>
          <w:vertAlign w:val="superscript"/>
          <w:rtl/>
        </w:rPr>
        <w:t>(</w:t>
      </w:r>
      <w:proofErr w:type="gramEnd"/>
      <w:r w:rsidRPr="00996A60">
        <w:rPr>
          <w:spacing w:val="-2"/>
          <w:vertAlign w:val="superscript"/>
          <w:lang w:val="en-US"/>
        </w:rPr>
        <w:footnoteReference w:id="1"/>
      </w:r>
      <w:r w:rsidRPr="00B922E8">
        <w:rPr>
          <w:rFonts w:hint="cs"/>
          <w:spacing w:val="-2"/>
          <w:vertAlign w:val="superscript"/>
          <w:rtl/>
        </w:rPr>
        <w:t>)</w:t>
      </w:r>
      <w:r w:rsidRPr="00B922E8">
        <w:rPr>
          <w:rFonts w:hint="cs"/>
          <w:spacing w:val="-2"/>
          <w:rtl/>
        </w:rPr>
        <w:t>،</w:t>
      </w:r>
      <w:r w:rsidRPr="00B922E8">
        <w:rPr>
          <w:spacing w:val="-2"/>
          <w:rtl/>
        </w:rPr>
        <w:t xml:space="preserve"> وتقرير المفوضة السامية عن أثر التكنولوجيات الجديدة</w:t>
      </w:r>
      <w:r w:rsidRPr="0003113A">
        <w:rPr>
          <w:rtl/>
        </w:rPr>
        <w:t xml:space="preserve"> في تعزيز حقوق الإنسان وحمايتها في سياق التجمعات، بما فيها الاحتجاجات السلمية</w:t>
      </w:r>
      <w:r w:rsidRPr="0003113A">
        <w:rPr>
          <w:rFonts w:hint="cs"/>
          <w:vertAlign w:val="superscript"/>
          <w:rtl/>
        </w:rPr>
        <w:t>(</w:t>
      </w:r>
      <w:r w:rsidRPr="00996A60">
        <w:rPr>
          <w:vertAlign w:val="superscript"/>
          <w:lang w:val="en-US"/>
        </w:rPr>
        <w:footnoteReference w:id="2"/>
      </w:r>
      <w:r w:rsidRPr="0003113A">
        <w:rPr>
          <w:rFonts w:hint="cs"/>
          <w:vertAlign w:val="superscript"/>
          <w:rtl/>
        </w:rPr>
        <w:t>)</w:t>
      </w:r>
      <w:r>
        <w:rPr>
          <w:rFonts w:hint="cs"/>
          <w:rtl/>
        </w:rPr>
        <w:t>،</w:t>
      </w:r>
    </w:p>
    <w:p w14:paraId="5FBB40F7" w14:textId="77777777" w:rsidR="00B922E8" w:rsidRPr="0003113A" w:rsidRDefault="00B922E8" w:rsidP="00B922E8">
      <w:pPr>
        <w:pStyle w:val="SingleTxtGA"/>
        <w:rPr>
          <w:lang w:val="ar-SA" w:eastAsia="zh-TW" w:bidi="en-GB"/>
        </w:rPr>
      </w:pPr>
      <w:r w:rsidRPr="00996A60">
        <w:rPr>
          <w:i/>
          <w:iCs/>
          <w:spacing w:val="-2"/>
          <w:rtl/>
        </w:rPr>
        <w:tab/>
        <w:t xml:space="preserve">وإذ يسلم </w:t>
      </w:r>
      <w:r w:rsidRPr="00B922E8">
        <w:rPr>
          <w:spacing w:val="-2"/>
          <w:rtl/>
        </w:rPr>
        <w:t>بما للتكنولوجيات الجديدة والناشئة، مثل التكنولوجيات التي استحدثت في ميادين المراقبة والذكاء الاصطناعي وصنع القرارات الآلية والتعلم الآلي من أثر متزايد في تحديد السمات والتتبع والقياسات الحيوية، بما في ذلك التعرف على الوجه، من دون ضمانات مناسبة، على التمتع بالحق في الخصوصية</w:t>
      </w:r>
      <w:r w:rsidRPr="0003113A">
        <w:rPr>
          <w:rtl/>
        </w:rPr>
        <w:t xml:space="preserve"> وغيره من حقوق الإنسان،</w:t>
      </w:r>
    </w:p>
    <w:p w14:paraId="2DB81CAC" w14:textId="25817BE9" w:rsidR="00B922E8" w:rsidRPr="0003113A" w:rsidRDefault="00B922E8" w:rsidP="00B922E8">
      <w:pPr>
        <w:pStyle w:val="SingleTxtGA"/>
        <w:rPr>
          <w:lang w:val="ar-SA" w:eastAsia="zh-TW" w:bidi="en-GB"/>
        </w:rPr>
      </w:pPr>
      <w:r w:rsidRPr="00996A60">
        <w:rPr>
          <w:i/>
          <w:iCs/>
          <w:rtl/>
        </w:rPr>
        <w:tab/>
        <w:t xml:space="preserve">وإذ يشير </w:t>
      </w:r>
      <w:r w:rsidRPr="0003113A">
        <w:rPr>
          <w:rtl/>
        </w:rPr>
        <w:t xml:space="preserve">إلى قراريْه </w:t>
      </w:r>
      <w:r w:rsidRPr="00996A60">
        <w:rPr>
          <w:rtl/>
        </w:rPr>
        <w:t>5</w:t>
      </w:r>
      <w:r w:rsidR="00D15148">
        <w:rPr>
          <w:rFonts w:hint="cs"/>
          <w:rtl/>
        </w:rPr>
        <w:t>/</w:t>
      </w:r>
      <w:r w:rsidR="00D15148" w:rsidRPr="00996A60">
        <w:rPr>
          <w:rtl/>
        </w:rPr>
        <w:t>1</w:t>
      </w:r>
      <w:r w:rsidRPr="0003113A">
        <w:rPr>
          <w:rtl/>
        </w:rPr>
        <w:t xml:space="preserve"> بشأن بناء مؤسسات مجلس حقوق الإنسان و</w:t>
      </w:r>
      <w:r w:rsidRPr="00996A60">
        <w:rPr>
          <w:rtl/>
        </w:rPr>
        <w:t>5</w:t>
      </w:r>
      <w:r w:rsidR="00D15148">
        <w:rPr>
          <w:rFonts w:hint="cs"/>
          <w:rtl/>
        </w:rPr>
        <w:t>/</w:t>
      </w:r>
      <w:r w:rsidR="00D15148" w:rsidRPr="00996A60">
        <w:rPr>
          <w:rtl/>
        </w:rPr>
        <w:t>2</w:t>
      </w:r>
      <w:r w:rsidRPr="0003113A">
        <w:rPr>
          <w:rtl/>
        </w:rPr>
        <w:t xml:space="preserve"> بشأن مدونة قواعد السلوك للمكلفين بولايات في إطار الإجراءات الخاصة لمجلس</w:t>
      </w:r>
      <w:r>
        <w:rPr>
          <w:rFonts w:hint="cs"/>
          <w:rtl/>
        </w:rPr>
        <w:t xml:space="preserve"> حقوق الإنسان</w:t>
      </w:r>
      <w:r w:rsidRPr="0003113A">
        <w:rPr>
          <w:rtl/>
        </w:rPr>
        <w:t xml:space="preserve">، المؤرخين </w:t>
      </w:r>
      <w:r w:rsidRPr="00996A60">
        <w:rPr>
          <w:rtl/>
        </w:rPr>
        <w:t>18</w:t>
      </w:r>
      <w:r w:rsidRPr="0003113A">
        <w:rPr>
          <w:rtl/>
        </w:rPr>
        <w:t xml:space="preserve"> حزيران/</w:t>
      </w:r>
      <w:r>
        <w:rPr>
          <w:rFonts w:hint="cs"/>
          <w:rtl/>
        </w:rPr>
        <w:t xml:space="preserve">    </w:t>
      </w:r>
      <w:proofErr w:type="gramStart"/>
      <w:r w:rsidRPr="0003113A">
        <w:rPr>
          <w:rtl/>
        </w:rPr>
        <w:t>يونيه</w:t>
      </w:r>
      <w:proofErr w:type="gramEnd"/>
      <w:r w:rsidRPr="0003113A">
        <w:rPr>
          <w:rtl/>
        </w:rPr>
        <w:t xml:space="preserve"> </w:t>
      </w:r>
      <w:r w:rsidRPr="00996A60">
        <w:rPr>
          <w:rtl/>
        </w:rPr>
        <w:t>2007</w:t>
      </w:r>
      <w:r w:rsidRPr="0003113A">
        <w:rPr>
          <w:rtl/>
        </w:rPr>
        <w:t>، وإذ</w:t>
      </w:r>
      <w:r>
        <w:rPr>
          <w:rFonts w:hint="cs"/>
          <w:rtl/>
        </w:rPr>
        <w:t> </w:t>
      </w:r>
      <w:r w:rsidRPr="0003113A">
        <w:rPr>
          <w:rtl/>
        </w:rPr>
        <w:t>يشدد على أن يضطلع جميع المكلفين بولايات بواجباتهم وفقاً للقرارين ومرفقيهما،</w:t>
      </w:r>
    </w:p>
    <w:p w14:paraId="0B30BD44" w14:textId="77777777" w:rsidR="00B922E8" w:rsidRPr="0003113A" w:rsidRDefault="00B922E8" w:rsidP="00B922E8">
      <w:pPr>
        <w:pStyle w:val="SingleTxtGA"/>
        <w:rPr>
          <w:lang w:val="en-US" w:eastAsia="zh-TW" w:bidi="en-GB"/>
        </w:rPr>
      </w:pPr>
      <w:r>
        <w:rPr>
          <w:rtl/>
        </w:rPr>
        <w:tab/>
      </w:r>
      <w:r w:rsidRPr="00996A60">
        <w:rPr>
          <w:rtl/>
        </w:rPr>
        <w:t>1</w:t>
      </w:r>
      <w:r w:rsidRPr="0003113A">
        <w:rPr>
          <w:rtl/>
        </w:rPr>
        <w:t>-</w:t>
      </w:r>
      <w:r w:rsidRPr="0003113A">
        <w:rPr>
          <w:rtl/>
        </w:rPr>
        <w:tab/>
      </w:r>
      <w:r w:rsidRPr="00996A60">
        <w:rPr>
          <w:i/>
          <w:iCs/>
          <w:rtl/>
        </w:rPr>
        <w:t>يقرر</w:t>
      </w:r>
      <w:r w:rsidRPr="0003113A">
        <w:rPr>
          <w:rtl/>
        </w:rPr>
        <w:t xml:space="preserve"> تمديد ولاية المقرر الخاص المعني بالحق في الخصوصية لمدة ثلاث سنوات، وتشمل مهامه ما يلي:</w:t>
      </w:r>
    </w:p>
    <w:p w14:paraId="67D997D1" w14:textId="5F0AB03F" w:rsidR="00B922E8" w:rsidRPr="0003113A" w:rsidRDefault="00B922E8" w:rsidP="00B922E8">
      <w:pPr>
        <w:pStyle w:val="SingleTxtGA"/>
        <w:rPr>
          <w:lang w:val="ar-SA" w:eastAsia="zh-TW" w:bidi="en-GB"/>
        </w:rPr>
      </w:pPr>
      <w:r>
        <w:rPr>
          <w:rtl/>
        </w:rPr>
        <w:tab/>
      </w:r>
      <w:r w:rsidRPr="0003113A">
        <w:rPr>
          <w:rtl/>
        </w:rPr>
        <w:t>(أ)</w:t>
      </w:r>
      <w:r w:rsidRPr="0003113A">
        <w:rPr>
          <w:rtl/>
        </w:rPr>
        <w:tab/>
      </w:r>
      <w:r w:rsidRPr="00B922E8">
        <w:rPr>
          <w:rtl/>
        </w:rPr>
        <w:t>جمع المعلومات ذات الصلة، بما في ذلك المعلومات عن الأطر الدولية والوطنية والممارسات</w:t>
      </w:r>
      <w:r w:rsidRPr="0003113A">
        <w:rPr>
          <w:rtl/>
        </w:rPr>
        <w:t xml:space="preserve"> والتجارب الوطنية، ودراسة الاتجاهات والتطورات والتحديات المتعلقة بالحق في الخصوصية، على النحو المبين في المادة </w:t>
      </w:r>
      <w:r w:rsidRPr="00996A60">
        <w:rPr>
          <w:rtl/>
        </w:rPr>
        <w:t>12</w:t>
      </w:r>
      <w:r w:rsidRPr="0003113A">
        <w:rPr>
          <w:rtl/>
        </w:rPr>
        <w:t xml:space="preserve"> من الإعلان العالمي لحقوق الإنسان والمادة </w:t>
      </w:r>
      <w:r w:rsidRPr="00996A60">
        <w:rPr>
          <w:rtl/>
        </w:rPr>
        <w:t>17</w:t>
      </w:r>
      <w:r w:rsidRPr="0003113A">
        <w:rPr>
          <w:rtl/>
        </w:rPr>
        <w:t xml:space="preserve"> من العهد الدولي للحقوق المدنية والسياسية، وتقديم توصيات لضمان تعزيزه وحمايته، بما في ذلك فيما يتعلق بالتحديات الناشئة عن التكنولوجيات الجديدة والناشئة؛ </w:t>
      </w:r>
    </w:p>
    <w:p w14:paraId="21A21D05" w14:textId="77777777" w:rsidR="00B922E8" w:rsidRPr="0003113A" w:rsidRDefault="00B922E8" w:rsidP="00B922E8">
      <w:pPr>
        <w:pStyle w:val="SingleTxtGA"/>
        <w:rPr>
          <w:lang w:val="ar-SA" w:eastAsia="zh-TW" w:bidi="en-GB"/>
        </w:rPr>
      </w:pPr>
      <w:r>
        <w:rPr>
          <w:rtl/>
        </w:rPr>
        <w:tab/>
      </w:r>
      <w:r w:rsidRPr="0003113A">
        <w:rPr>
          <w:rtl/>
        </w:rPr>
        <w:t>(ب)</w:t>
      </w:r>
      <w:r w:rsidRPr="0003113A">
        <w:rPr>
          <w:rtl/>
        </w:rPr>
        <w:tab/>
        <w:t>التماس المعلومات وتلقيها والرد عليها، مع تجنب الازدواجية، من الدول و</w:t>
      </w:r>
      <w:r>
        <w:rPr>
          <w:rFonts w:hint="cs"/>
          <w:rtl/>
        </w:rPr>
        <w:t xml:space="preserve">وكالات </w:t>
      </w:r>
      <w:r w:rsidRPr="0003113A">
        <w:rPr>
          <w:rtl/>
        </w:rPr>
        <w:t xml:space="preserve">الأمم المتحدة وبرامجها وصناديقها، ومن الآليات الإقليمية لحقوق الإنسان، والمؤسسات الوطنية لحقوق </w:t>
      </w:r>
      <w:r w:rsidRPr="00B922E8">
        <w:rPr>
          <w:spacing w:val="-4"/>
          <w:rtl/>
        </w:rPr>
        <w:t>الإنسان، ومنظمات المجتمع المدني، والقطاع الخاص، بما في ذلك مؤسسات الأعمال التجارية، وأية جهات</w:t>
      </w:r>
      <w:r w:rsidRPr="0003113A">
        <w:rPr>
          <w:rtl/>
        </w:rPr>
        <w:t xml:space="preserve"> معنية أو أطراف أخرى ذات صلة؛ </w:t>
      </w:r>
    </w:p>
    <w:p w14:paraId="63401877" w14:textId="77777777" w:rsidR="00B922E8" w:rsidRPr="0003113A" w:rsidRDefault="00B922E8" w:rsidP="00B922E8">
      <w:pPr>
        <w:pStyle w:val="SingleTxtGA"/>
        <w:rPr>
          <w:lang w:val="ar-SA" w:eastAsia="zh-TW" w:bidi="en-GB"/>
        </w:rPr>
      </w:pPr>
      <w:r>
        <w:rPr>
          <w:rtl/>
        </w:rPr>
        <w:tab/>
      </w:r>
      <w:r w:rsidRPr="0003113A">
        <w:rPr>
          <w:rtl/>
        </w:rPr>
        <w:t>(ج)</w:t>
      </w:r>
      <w:r w:rsidRPr="0003113A">
        <w:rPr>
          <w:rtl/>
        </w:rPr>
        <w:tab/>
        <w:t>تحديد العقبات المحتملة التي تحول دون تعزيز وحماية الحق في الخصوصية، وتحديد المبادئ وأفضل الممارسات وتبادلها وتعزيزها على المستويات الوطنية والإقليمية والدولية، وتقديم مقترحات وتوصيات إلى مجلس حقوق الإنسان في هذا الصدد، بما في ذلك ما يتعلق بتحديات معينة تنشأ في العصر الرقمي وخلال تصميم التكنولوجيات الجديدة والناشئة وتطويرها ونشرها؛</w:t>
      </w:r>
    </w:p>
    <w:p w14:paraId="2CF76A4B" w14:textId="77777777" w:rsidR="00B922E8" w:rsidRPr="0003113A" w:rsidRDefault="00B922E8" w:rsidP="00B922E8">
      <w:pPr>
        <w:pStyle w:val="SingleTxtGA"/>
        <w:rPr>
          <w:lang w:val="ar-SA" w:eastAsia="zh-TW" w:bidi="en-GB"/>
        </w:rPr>
      </w:pPr>
      <w:r>
        <w:rPr>
          <w:rtl/>
        </w:rPr>
        <w:tab/>
      </w:r>
      <w:r w:rsidRPr="0003113A">
        <w:rPr>
          <w:rtl/>
        </w:rPr>
        <w:t>(د)</w:t>
      </w:r>
      <w:r w:rsidRPr="0003113A">
        <w:rPr>
          <w:rtl/>
        </w:rPr>
        <w:tab/>
        <w:t xml:space="preserve">المشاركة والإسهام في المؤتمرات والمناسبات الدولية ذات الصلة بهدف تعزيز اتباع نهج منتظم ومتسق إزاء القضايا المتصلة بالولاية؛ </w:t>
      </w:r>
    </w:p>
    <w:p w14:paraId="2AB589A7" w14:textId="77777777" w:rsidR="00B922E8" w:rsidRPr="0003113A" w:rsidRDefault="00B922E8" w:rsidP="00B922E8">
      <w:pPr>
        <w:pStyle w:val="SingleTxtGA"/>
        <w:rPr>
          <w:lang w:val="ar-SA" w:eastAsia="zh-TW" w:bidi="en-GB"/>
        </w:rPr>
      </w:pPr>
      <w:r>
        <w:rPr>
          <w:rtl/>
        </w:rPr>
        <w:tab/>
      </w:r>
      <w:r w:rsidRPr="0003113A">
        <w:rPr>
          <w:rtl/>
        </w:rPr>
        <w:t>(هـ)</w:t>
      </w:r>
      <w:r w:rsidRPr="0003113A">
        <w:rPr>
          <w:rtl/>
        </w:rPr>
        <w:tab/>
      </w:r>
      <w:r w:rsidRPr="00D15148">
        <w:rPr>
          <w:spacing w:val="-2"/>
          <w:rtl/>
        </w:rPr>
        <w:t xml:space="preserve">إذكاء الوعي بأهمية تعزيز وحماية الحق في الخصوصية، بما في ذلك مراعاة التحديات الخاصة </w:t>
      </w:r>
      <w:r w:rsidRPr="00B922E8">
        <w:rPr>
          <w:spacing w:val="-4"/>
          <w:rtl/>
        </w:rPr>
        <w:t>الناشئة في العصر الرقمي، وبأهمية منح الأفراد الذين انتهك حقهم في الخصوصية إمكانية الوصول</w:t>
      </w:r>
      <w:r w:rsidRPr="0003113A">
        <w:rPr>
          <w:rtl/>
        </w:rPr>
        <w:t xml:space="preserve"> إلى سبيل انتصاف فعال، بما يتسق مع الالتزامات الدولية لحقوق الإنسان؛</w:t>
      </w:r>
    </w:p>
    <w:p w14:paraId="116E8D4F" w14:textId="77777777" w:rsidR="00B922E8" w:rsidRPr="0003113A" w:rsidRDefault="00B922E8" w:rsidP="00B922E8">
      <w:pPr>
        <w:pStyle w:val="SingleTxtGA"/>
        <w:rPr>
          <w:lang w:val="ar-SA" w:eastAsia="zh-TW" w:bidi="en-GB"/>
        </w:rPr>
      </w:pPr>
      <w:r>
        <w:rPr>
          <w:rtl/>
        </w:rPr>
        <w:tab/>
      </w:r>
      <w:r w:rsidRPr="0003113A">
        <w:rPr>
          <w:rtl/>
        </w:rPr>
        <w:t>(و)</w:t>
      </w:r>
      <w:r w:rsidRPr="0003113A">
        <w:rPr>
          <w:rtl/>
        </w:rPr>
        <w:tab/>
        <w:t xml:space="preserve">إدماج منظور جنساني ومبدأ عدم التمييز في جميع أعمال الولاية؛ </w:t>
      </w:r>
    </w:p>
    <w:p w14:paraId="592FC7AB" w14:textId="77777777" w:rsidR="00B922E8" w:rsidRPr="0003113A" w:rsidRDefault="00B922E8" w:rsidP="00B922E8">
      <w:pPr>
        <w:pStyle w:val="SingleTxtGA"/>
        <w:rPr>
          <w:lang w:val="en-US" w:eastAsia="zh-TW" w:bidi="en-GB"/>
        </w:rPr>
      </w:pPr>
      <w:r>
        <w:rPr>
          <w:rtl/>
        </w:rPr>
        <w:tab/>
      </w:r>
      <w:r w:rsidRPr="0003113A">
        <w:rPr>
          <w:rtl/>
        </w:rPr>
        <w:t>(ز)</w:t>
      </w:r>
      <w:r w:rsidRPr="0003113A">
        <w:rPr>
          <w:rtl/>
        </w:rPr>
        <w:tab/>
      </w:r>
      <w:r w:rsidRPr="00B922E8">
        <w:rPr>
          <w:spacing w:val="-4"/>
          <w:rtl/>
        </w:rPr>
        <w:t>الإبلاغ عن الانتهاكات المزعومة للحق في الخصوصية، حيثما حدثت، على النحو المبين في</w:t>
      </w:r>
      <w:r w:rsidRPr="0003113A">
        <w:rPr>
          <w:rtl/>
        </w:rPr>
        <w:t xml:space="preserve"> المادة </w:t>
      </w:r>
      <w:r w:rsidRPr="00996A60">
        <w:rPr>
          <w:rtl/>
        </w:rPr>
        <w:t>12</w:t>
      </w:r>
      <w:r w:rsidRPr="0003113A">
        <w:rPr>
          <w:rtl/>
        </w:rPr>
        <w:t xml:space="preserve"> من الإعلان العالمي لحقوق الإنسان والمادة </w:t>
      </w:r>
      <w:r w:rsidRPr="00996A60">
        <w:rPr>
          <w:rtl/>
        </w:rPr>
        <w:t>17</w:t>
      </w:r>
      <w:r w:rsidRPr="0003113A">
        <w:rPr>
          <w:rtl/>
        </w:rPr>
        <w:t xml:space="preserve"> من العهد الدولي للحقوق المدنية والسياسية، بما في ذلك ما يتصل بالتحديات الناشئة عن التكنولوجيات الجديدة والناشئة، وتوجيه انتباه مجلس حقوق الإنسان ومفوضة الأمم المتحدة السامية لحقوق الإنسان إلى الحالات التي تثير قلقاً بالغاً بصفة خاصة؛ </w:t>
      </w:r>
    </w:p>
    <w:p w14:paraId="190BDF43" w14:textId="77777777" w:rsidR="00B922E8" w:rsidRPr="0003113A" w:rsidRDefault="00B922E8" w:rsidP="00B922E8">
      <w:pPr>
        <w:pStyle w:val="SingleTxtGA"/>
        <w:rPr>
          <w:lang w:val="ar-SA" w:eastAsia="zh-TW" w:bidi="en-GB"/>
        </w:rPr>
      </w:pPr>
      <w:r>
        <w:rPr>
          <w:rtl/>
        </w:rPr>
        <w:tab/>
      </w:r>
      <w:r w:rsidRPr="0003113A">
        <w:rPr>
          <w:rtl/>
        </w:rPr>
        <w:t>(ح)</w:t>
      </w:r>
      <w:r w:rsidRPr="0003113A">
        <w:rPr>
          <w:rtl/>
        </w:rPr>
        <w:tab/>
        <w:t>تقديم تقرير سنوي إلى مجلس حقوق الإنسان وإلى الجمعية العامة؛</w:t>
      </w:r>
    </w:p>
    <w:p w14:paraId="7780D5A5" w14:textId="77777777" w:rsidR="00B922E8" w:rsidRPr="0003113A" w:rsidRDefault="00B922E8" w:rsidP="00B922E8">
      <w:pPr>
        <w:pStyle w:val="SingleTxtGA"/>
        <w:rPr>
          <w:lang w:val="ar-SA" w:eastAsia="zh-TW" w:bidi="en-GB"/>
        </w:rPr>
      </w:pPr>
      <w:r>
        <w:rPr>
          <w:rtl/>
        </w:rPr>
        <w:tab/>
      </w:r>
      <w:r w:rsidRPr="0003113A">
        <w:rPr>
          <w:rtl/>
        </w:rPr>
        <w:t>(ط)</w:t>
      </w:r>
      <w:r w:rsidRPr="0003113A">
        <w:rPr>
          <w:rtl/>
        </w:rPr>
        <w:tab/>
      </w:r>
      <w:r w:rsidRPr="00996A60">
        <w:rPr>
          <w:spacing w:val="-2"/>
          <w:rtl/>
        </w:rPr>
        <w:t>التعاون مع المكلفين بولايات في إطار الإجراءات الخاصة ومبعوث الأمين العام المعني</w:t>
      </w:r>
      <w:r w:rsidRPr="00B922E8">
        <w:rPr>
          <w:spacing w:val="-4"/>
          <w:rtl/>
        </w:rPr>
        <w:t xml:space="preserve"> </w:t>
      </w:r>
      <w:r w:rsidRPr="0003113A">
        <w:rPr>
          <w:rtl/>
        </w:rPr>
        <w:t xml:space="preserve">بالتكنولوجيا، وفقاً لولاياتهم؛ </w:t>
      </w:r>
    </w:p>
    <w:p w14:paraId="2490FFA6" w14:textId="77777777" w:rsidR="00B922E8" w:rsidRPr="0003113A" w:rsidRDefault="00B922E8" w:rsidP="00B922E8">
      <w:pPr>
        <w:pStyle w:val="SingleTxtGA"/>
        <w:rPr>
          <w:lang w:val="ar-SA" w:eastAsia="zh-TW" w:bidi="en-GB"/>
        </w:rPr>
      </w:pPr>
      <w:r>
        <w:rPr>
          <w:rtl/>
        </w:rPr>
        <w:tab/>
      </w:r>
      <w:r w:rsidRPr="00996A60">
        <w:rPr>
          <w:rtl/>
        </w:rPr>
        <w:t>2</w:t>
      </w:r>
      <w:r w:rsidRPr="0003113A">
        <w:rPr>
          <w:rtl/>
        </w:rPr>
        <w:t>-</w:t>
      </w:r>
      <w:r w:rsidRPr="0003113A">
        <w:rPr>
          <w:rtl/>
        </w:rPr>
        <w:tab/>
      </w:r>
      <w:r w:rsidRPr="00996A60">
        <w:rPr>
          <w:i/>
          <w:iCs/>
          <w:rtl/>
        </w:rPr>
        <w:t>يهيب</w:t>
      </w:r>
      <w:r w:rsidRPr="0003113A">
        <w:rPr>
          <w:rtl/>
        </w:rPr>
        <w:t xml:space="preserve"> بجميع الدول أن تتعاون تعاوناً تاماً مع المقرر الخاص وأن تساعده في أداء مهامه، بوسائل منها تزويده بجميع المعلومات اللازمة التي يطلبها، وأن تستجيب فوراً لما يوجهه المقرر </w:t>
      </w:r>
      <w:r w:rsidRPr="00B922E8">
        <w:rPr>
          <w:spacing w:val="-4"/>
          <w:rtl/>
        </w:rPr>
        <w:t>الخاص من نداءات عاجلة وغيرها من البلاغات، وأن تنظر بإيجابية في طلبات صاحب الولاية لزيارة بلدانها،</w:t>
      </w:r>
      <w:r w:rsidRPr="0003113A">
        <w:rPr>
          <w:rtl/>
        </w:rPr>
        <w:t xml:space="preserve"> وأن تنظر في تنفيذ التوصيات التي يقدمها صاحب الولاية في تقاريره؛</w:t>
      </w:r>
    </w:p>
    <w:p w14:paraId="69AC3B93" w14:textId="77777777" w:rsidR="00B922E8" w:rsidRPr="0003113A" w:rsidRDefault="00B922E8" w:rsidP="00B922E8">
      <w:pPr>
        <w:pStyle w:val="SingleTxtGA"/>
        <w:rPr>
          <w:lang w:val="ar-SA" w:eastAsia="zh-TW" w:bidi="en-GB"/>
        </w:rPr>
      </w:pPr>
      <w:r>
        <w:rPr>
          <w:rtl/>
        </w:rPr>
        <w:tab/>
      </w:r>
      <w:r w:rsidRPr="00996A60">
        <w:rPr>
          <w:rtl/>
        </w:rPr>
        <w:t>3</w:t>
      </w:r>
      <w:r w:rsidRPr="0003113A">
        <w:rPr>
          <w:rtl/>
        </w:rPr>
        <w:t>-</w:t>
      </w:r>
      <w:r w:rsidRPr="0003113A">
        <w:rPr>
          <w:rtl/>
        </w:rPr>
        <w:tab/>
      </w:r>
      <w:r w:rsidRPr="00996A60">
        <w:rPr>
          <w:i/>
          <w:iCs/>
          <w:rtl/>
        </w:rPr>
        <w:t>يشجع</w:t>
      </w:r>
      <w:r w:rsidRPr="0003113A">
        <w:rPr>
          <w:rtl/>
        </w:rPr>
        <w:t xml:space="preserve"> </w:t>
      </w:r>
      <w:r w:rsidRPr="00D15148">
        <w:rPr>
          <w:rtl/>
        </w:rPr>
        <w:t xml:space="preserve">جميع الجهات صاحبة المصلحة ذات الصلة، بما فيها </w:t>
      </w:r>
      <w:r w:rsidRPr="00D15148">
        <w:rPr>
          <w:rFonts w:hint="cs"/>
          <w:rtl/>
        </w:rPr>
        <w:t xml:space="preserve">وكالات </w:t>
      </w:r>
      <w:r w:rsidRPr="00D15148">
        <w:rPr>
          <w:rtl/>
        </w:rPr>
        <w:t>الأمم المتحدة وبرامجها</w:t>
      </w:r>
      <w:r w:rsidRPr="00B922E8">
        <w:rPr>
          <w:spacing w:val="-4"/>
          <w:rtl/>
        </w:rPr>
        <w:t xml:space="preserve"> وصناديقها، وآليات حقوق الإنسان الإقليمية، والمؤسسات الوطنية لحقوق الإنسان، والمجتمع المدني،</w:t>
      </w:r>
      <w:r w:rsidRPr="0003113A">
        <w:rPr>
          <w:rtl/>
        </w:rPr>
        <w:t xml:space="preserve"> والقطاع الخاص على أن تتعاون تعاوناً تاماً مع المقرر الخاص لتمكينه من إنجاز ولايته؛</w:t>
      </w:r>
    </w:p>
    <w:p w14:paraId="0F76600E" w14:textId="77777777" w:rsidR="00B922E8" w:rsidRPr="0003113A" w:rsidRDefault="00B922E8" w:rsidP="00B922E8">
      <w:pPr>
        <w:pStyle w:val="SingleTxtGA"/>
        <w:rPr>
          <w:lang w:val="ar-SA" w:eastAsia="zh-TW" w:bidi="en-GB"/>
        </w:rPr>
      </w:pPr>
      <w:r>
        <w:rPr>
          <w:rtl/>
        </w:rPr>
        <w:tab/>
      </w:r>
      <w:r w:rsidRPr="00996A60">
        <w:rPr>
          <w:rtl/>
        </w:rPr>
        <w:t>4</w:t>
      </w:r>
      <w:r w:rsidRPr="0003113A">
        <w:rPr>
          <w:rtl/>
        </w:rPr>
        <w:t>-</w:t>
      </w:r>
      <w:r w:rsidRPr="0003113A">
        <w:rPr>
          <w:rtl/>
        </w:rPr>
        <w:tab/>
      </w:r>
      <w:r w:rsidRPr="00996A60">
        <w:rPr>
          <w:i/>
          <w:iCs/>
          <w:rtl/>
        </w:rPr>
        <w:t>يطلب</w:t>
      </w:r>
      <w:r w:rsidRPr="0003113A">
        <w:rPr>
          <w:rtl/>
        </w:rPr>
        <w:t xml:space="preserve"> إلى الأمين العام ومفوضة الأمم المتحدة السامية لحقوق الإنسان تزويد المقرر الخاص بجميع الموارد البشرية والمالية اللازمة لتنفيذ الولاية بشكل فعّال؛</w:t>
      </w:r>
    </w:p>
    <w:p w14:paraId="4B4FB0E8" w14:textId="77777777" w:rsidR="00B922E8" w:rsidRDefault="00B922E8" w:rsidP="00B922E8">
      <w:pPr>
        <w:pStyle w:val="SingleTxtGA"/>
        <w:rPr>
          <w:rtl/>
        </w:rPr>
      </w:pPr>
      <w:r>
        <w:rPr>
          <w:rtl/>
        </w:rPr>
        <w:tab/>
      </w:r>
      <w:r w:rsidRPr="00996A60">
        <w:rPr>
          <w:rtl/>
        </w:rPr>
        <w:t>5</w:t>
      </w:r>
      <w:r w:rsidRPr="0003113A">
        <w:rPr>
          <w:rtl/>
        </w:rPr>
        <w:t>-</w:t>
      </w:r>
      <w:r w:rsidRPr="0003113A">
        <w:rPr>
          <w:rtl/>
        </w:rPr>
        <w:tab/>
      </w:r>
      <w:r w:rsidRPr="00996A60">
        <w:rPr>
          <w:i/>
          <w:iCs/>
          <w:rtl/>
        </w:rPr>
        <w:t>يقرر</w:t>
      </w:r>
      <w:r w:rsidRPr="0003113A">
        <w:rPr>
          <w:rtl/>
        </w:rPr>
        <w:t xml:space="preserve"> مواصلة نظره في هذه المسألة في إطار البند نفسه من جدول الأعمال.</w:t>
      </w:r>
    </w:p>
    <w:p w14:paraId="552D5798" w14:textId="672862B9" w:rsidR="00B922E8" w:rsidRPr="00996A60" w:rsidRDefault="00B922E8" w:rsidP="00B922E8">
      <w:pPr>
        <w:pStyle w:val="SingleTxtGA"/>
        <w:jc w:val="right"/>
        <w:rPr>
          <w:i/>
          <w:iCs/>
          <w:rtl/>
        </w:rPr>
      </w:pPr>
      <w:r w:rsidRPr="00996A60">
        <w:rPr>
          <w:i/>
          <w:iCs/>
          <w:rtl/>
        </w:rPr>
        <w:t>الجلسة 49</w:t>
      </w:r>
      <w:r w:rsidRPr="00996A60">
        <w:rPr>
          <w:i/>
          <w:iCs/>
          <w:rtl/>
        </w:rPr>
        <w:br/>
      </w:r>
      <w:r w:rsidRPr="00996A60">
        <w:rPr>
          <w:i/>
          <w:iCs/>
          <w:rtl/>
        </w:rPr>
        <w:t>23 آذار/مارس 2021</w:t>
      </w:r>
    </w:p>
    <w:p w14:paraId="4786462C" w14:textId="77777777" w:rsidR="00B922E8" w:rsidRPr="00B922E8" w:rsidRDefault="00B922E8" w:rsidP="00B922E8">
      <w:pPr>
        <w:pStyle w:val="SingleTxtGA"/>
        <w:rPr>
          <w:lang w:val="en-US" w:eastAsia="zh-TW" w:bidi="en-GB"/>
        </w:rPr>
      </w:pPr>
      <w:r>
        <w:rPr>
          <w:rFonts w:hint="cs"/>
          <w:rtl/>
        </w:rPr>
        <w:t>[اعتمد من دون تصويت]</w:t>
      </w:r>
    </w:p>
    <w:p w14:paraId="1DDF0C69" w14:textId="13602F12" w:rsidR="00B458DF" w:rsidRPr="00B922E8" w:rsidRDefault="00B922E8" w:rsidP="00B922E8">
      <w:pPr>
        <w:pStyle w:val="SingleTxtGA"/>
        <w:jc w:val="center"/>
        <w:rPr>
          <w:rFonts w:hint="eastAsia"/>
          <w:u w:val="single"/>
          <w:rtl/>
          <w:lang w:eastAsia="zh-TW"/>
        </w:rPr>
      </w:pPr>
      <w:r>
        <w:rPr>
          <w:u w:val="single"/>
          <w:rtl/>
          <w:lang w:eastAsia="zh-TW"/>
        </w:rPr>
        <w:tab/>
      </w:r>
      <w:r>
        <w:rPr>
          <w:u w:val="single"/>
          <w:rtl/>
          <w:lang w:eastAsia="zh-TW"/>
        </w:rPr>
        <w:tab/>
      </w:r>
      <w:r>
        <w:rPr>
          <w:u w:val="single"/>
          <w:rtl/>
          <w:lang w:eastAsia="zh-TW"/>
        </w:rPr>
        <w:tab/>
      </w:r>
    </w:p>
    <w:sectPr w:rsidR="00B458DF" w:rsidRPr="00B922E8" w:rsidSect="007A282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8C84C1" w14:textId="77777777" w:rsidR="00A75829" w:rsidRPr="002901D9" w:rsidRDefault="00A75829" w:rsidP="00AD3834">
      <w:pPr>
        <w:spacing w:after="60" w:line="240" w:lineRule="auto"/>
        <w:ind w:left="57"/>
        <w:rPr>
          <w:i/>
          <w:iCs/>
        </w:rPr>
      </w:pPr>
      <w:r>
        <w:rPr>
          <w:rFonts w:hint="cs"/>
          <w:i/>
          <w:iCs/>
          <w:rtl/>
        </w:rPr>
        <w:t>الحواشي</w:t>
      </w:r>
    </w:p>
  </w:endnote>
  <w:endnote w:type="continuationSeparator" w:id="0">
    <w:p w14:paraId="13B43F34" w14:textId="77777777" w:rsidR="00A75829" w:rsidRDefault="00A7582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77F63" w14:textId="49E51D84" w:rsidR="000057C7" w:rsidRPr="000057C7" w:rsidRDefault="000057C7" w:rsidP="000057C7">
    <w:pPr>
      <w:pStyle w:val="Footer"/>
      <w:tabs>
        <w:tab w:val="right" w:pos="9638"/>
      </w:tabs>
      <w:rPr>
        <w:b/>
        <w:sz w:val="18"/>
        <w:lang w:val="en-US"/>
      </w:rPr>
    </w:pPr>
    <w:r>
      <w:rPr>
        <w:lang w:val="en-US"/>
      </w:rPr>
      <w:t>GE.21-04301</w:t>
    </w:r>
    <w:r>
      <w:rPr>
        <w:lang w:val="en-US"/>
      </w:rPr>
      <w:tab/>
    </w:r>
    <w:r w:rsidRPr="000057C7">
      <w:rPr>
        <w:b/>
        <w:sz w:val="18"/>
        <w:lang w:val="en-US"/>
      </w:rPr>
      <w:fldChar w:fldCharType="begin"/>
    </w:r>
    <w:r w:rsidRPr="000057C7">
      <w:rPr>
        <w:b/>
        <w:sz w:val="18"/>
        <w:lang w:val="en-US"/>
      </w:rPr>
      <w:instrText xml:space="preserve"> PAGE  \* MERGEFORMAT </w:instrText>
    </w:r>
    <w:r w:rsidRPr="000057C7">
      <w:rPr>
        <w:b/>
        <w:sz w:val="18"/>
        <w:lang w:val="en-US"/>
      </w:rPr>
      <w:fldChar w:fldCharType="separate"/>
    </w:r>
    <w:r w:rsidRPr="000057C7">
      <w:rPr>
        <w:b/>
        <w:noProof/>
        <w:sz w:val="18"/>
        <w:lang w:val="en-US"/>
      </w:rPr>
      <w:t>2</w:t>
    </w:r>
    <w:r w:rsidRPr="000057C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1747D1" w14:textId="176EE453" w:rsidR="006959B0" w:rsidRPr="000057C7" w:rsidRDefault="000057C7" w:rsidP="000057C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GE.21-04301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C08D07" w14:textId="22E0952A" w:rsidR="00FD4BC9" w:rsidRPr="000057C7" w:rsidRDefault="000057C7" w:rsidP="000057C7">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52EE114" wp14:editId="4A31D6B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21-04301 (A)</w:t>
    </w:r>
    <w:r>
      <w:rPr>
        <w:noProof/>
        <w:sz w:val="20"/>
        <w:lang w:val="en-US"/>
      </w:rPr>
      <w:drawing>
        <wp:anchor distT="0" distB="0" distL="114300" distR="114300" simplePos="0" relativeHeight="251659264" behindDoc="0" locked="0" layoutInCell="1" allowOverlap="1" wp14:anchorId="1DA83FC7" wp14:editId="4E40E2E8">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577376" w14:textId="77777777" w:rsidR="00A75829" w:rsidRPr="005F68BD" w:rsidRDefault="00A75829" w:rsidP="009A2FBF">
      <w:pPr>
        <w:pStyle w:val="Footer"/>
        <w:bidi/>
        <w:spacing w:after="80" w:line="200" w:lineRule="exact"/>
        <w:ind w:left="680"/>
        <w:rPr>
          <w:lang w:val="es-ES_tradnl"/>
        </w:rPr>
      </w:pPr>
      <w:r>
        <w:rPr>
          <w:rtl/>
        </w:rPr>
        <w:t>__________</w:t>
      </w:r>
    </w:p>
  </w:footnote>
  <w:footnote w:type="continuationSeparator" w:id="0">
    <w:p w14:paraId="6EB595D3" w14:textId="77777777" w:rsidR="00A75829" w:rsidRDefault="00A75829" w:rsidP="00656392">
      <w:pPr>
        <w:spacing w:line="240" w:lineRule="auto"/>
      </w:pPr>
      <w:r>
        <w:continuationSeparator/>
      </w:r>
    </w:p>
  </w:footnote>
  <w:footnote w:id="1">
    <w:p w14:paraId="59E39EE4" w14:textId="77777777" w:rsidR="00B922E8" w:rsidRPr="0003113A" w:rsidRDefault="00B922E8" w:rsidP="00B922E8">
      <w:pPr>
        <w:pStyle w:val="FootnoteText1"/>
        <w:textDirection w:val="tbRlV"/>
        <w:rPr>
          <w:rFonts w:eastAsiaTheme="minorEastAsia"/>
          <w:lang w:val="fr-CH" w:eastAsia="zh-TW" w:bidi="en-GB"/>
        </w:rPr>
      </w:pPr>
      <w:r w:rsidRPr="0003113A">
        <w:rPr>
          <w:rFonts w:eastAsiaTheme="minorEastAsia"/>
          <w:rtl/>
        </w:rPr>
        <w:t>(</w:t>
      </w:r>
      <w:r w:rsidRPr="00996A60">
        <w:rPr>
          <w:rStyle w:val="FootnoteReference"/>
          <w:rFonts w:eastAsiaTheme="minorEastAsia"/>
          <w:vertAlign w:val="baseline"/>
        </w:rPr>
        <w:footnoteRef/>
      </w:r>
      <w:r w:rsidRPr="0003113A">
        <w:rPr>
          <w:rFonts w:eastAsiaTheme="minorEastAsia"/>
          <w:rtl/>
        </w:rPr>
        <w:t>)</w:t>
      </w:r>
      <w:r w:rsidRPr="0003113A">
        <w:rPr>
          <w:rFonts w:eastAsiaTheme="minorEastAsia"/>
        </w:rPr>
        <w:tab/>
        <w:t>A/HRC/</w:t>
      </w:r>
      <w:r w:rsidRPr="00996A60">
        <w:rPr>
          <w:rFonts w:eastAsiaTheme="minorEastAsia"/>
        </w:rPr>
        <w:t>27</w:t>
      </w:r>
      <w:r w:rsidRPr="0003113A">
        <w:rPr>
          <w:rFonts w:eastAsiaTheme="minorEastAsia"/>
        </w:rPr>
        <w:t>/</w:t>
      </w:r>
      <w:r w:rsidRPr="00996A60">
        <w:rPr>
          <w:rFonts w:eastAsiaTheme="minorEastAsia"/>
        </w:rPr>
        <w:t>37</w:t>
      </w:r>
      <w:r w:rsidRPr="0003113A">
        <w:rPr>
          <w:rFonts w:eastAsiaTheme="minorEastAsia"/>
          <w:rtl/>
        </w:rPr>
        <w:t xml:space="preserve"> و</w:t>
      </w:r>
      <w:r w:rsidRPr="0003113A">
        <w:rPr>
          <w:rFonts w:eastAsiaTheme="minorEastAsia"/>
        </w:rPr>
        <w:t>A/HRC/</w:t>
      </w:r>
      <w:r w:rsidRPr="00996A60">
        <w:rPr>
          <w:rFonts w:eastAsiaTheme="minorEastAsia"/>
        </w:rPr>
        <w:t>39</w:t>
      </w:r>
      <w:r w:rsidRPr="0003113A">
        <w:rPr>
          <w:rFonts w:eastAsiaTheme="minorEastAsia"/>
        </w:rPr>
        <w:t>/</w:t>
      </w:r>
      <w:r w:rsidRPr="00996A60">
        <w:rPr>
          <w:rFonts w:eastAsiaTheme="minorEastAsia"/>
        </w:rPr>
        <w:t>29</w:t>
      </w:r>
      <w:r w:rsidRPr="0003113A">
        <w:rPr>
          <w:rFonts w:eastAsiaTheme="minorEastAsia"/>
          <w:rtl/>
        </w:rPr>
        <w:t>.</w:t>
      </w:r>
    </w:p>
  </w:footnote>
  <w:footnote w:id="2">
    <w:p w14:paraId="0C536B45" w14:textId="77777777" w:rsidR="00B922E8" w:rsidRPr="0003113A" w:rsidRDefault="00B922E8" w:rsidP="00B922E8">
      <w:pPr>
        <w:pStyle w:val="FootnoteText1"/>
        <w:textDirection w:val="tbRlV"/>
        <w:rPr>
          <w:rFonts w:eastAsiaTheme="minorEastAsia"/>
          <w:lang w:eastAsia="zh-TW" w:bidi="en-GB"/>
        </w:rPr>
      </w:pPr>
      <w:r w:rsidRPr="0003113A">
        <w:rPr>
          <w:rFonts w:eastAsiaTheme="minorEastAsia"/>
          <w:rtl/>
        </w:rPr>
        <w:t>(</w:t>
      </w:r>
      <w:r w:rsidRPr="00996A60">
        <w:rPr>
          <w:rStyle w:val="FootnoteReference"/>
          <w:rFonts w:eastAsiaTheme="minorEastAsia"/>
          <w:vertAlign w:val="baseline"/>
        </w:rPr>
        <w:footnoteRef/>
      </w:r>
      <w:r w:rsidRPr="0003113A">
        <w:rPr>
          <w:rFonts w:eastAsiaTheme="minorEastAsia"/>
          <w:rtl/>
        </w:rPr>
        <w:t>)</w:t>
      </w:r>
      <w:r w:rsidRPr="0003113A">
        <w:rPr>
          <w:rFonts w:eastAsiaTheme="minorEastAsia"/>
        </w:rPr>
        <w:tab/>
        <w:t>A/HRC/</w:t>
      </w:r>
      <w:r w:rsidRPr="00996A60">
        <w:rPr>
          <w:rFonts w:eastAsiaTheme="minorEastAsia"/>
        </w:rPr>
        <w:t>44</w:t>
      </w:r>
      <w:r w:rsidRPr="0003113A">
        <w:rPr>
          <w:rFonts w:eastAsiaTheme="minorEastAsia"/>
        </w:rPr>
        <w:t>/</w:t>
      </w:r>
      <w:r w:rsidRPr="00996A60">
        <w:rPr>
          <w:rFonts w:eastAsiaTheme="minorEastAsia"/>
        </w:rPr>
        <w:t>24</w:t>
      </w:r>
      <w:r w:rsidRPr="0003113A">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B2FD2" w14:textId="325E6090" w:rsidR="000057C7" w:rsidRPr="000057C7" w:rsidRDefault="000057C7" w:rsidP="000057C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56C39">
      <w:t>A/HRC/RES/46/16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4973E" w14:textId="694FBD74" w:rsidR="000057C7" w:rsidRPr="000057C7" w:rsidRDefault="000057C7" w:rsidP="000057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56C39">
      <w:t>A/HRC/RES/46/16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3CF2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829"/>
    <w:rsid w:val="000057C7"/>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282C"/>
    <w:rsid w:val="007A4D56"/>
    <w:rsid w:val="007A70BB"/>
    <w:rsid w:val="007B7FC1"/>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56C39"/>
    <w:rsid w:val="00964FAA"/>
    <w:rsid w:val="009727D9"/>
    <w:rsid w:val="00996A60"/>
    <w:rsid w:val="009A2FBF"/>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75829"/>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922E8"/>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D24C6"/>
    <w:rsid w:val="00CE19BC"/>
    <w:rsid w:val="00CF1758"/>
    <w:rsid w:val="00CF4188"/>
    <w:rsid w:val="00CF4A46"/>
    <w:rsid w:val="00CF4E79"/>
    <w:rsid w:val="00D00159"/>
    <w:rsid w:val="00D01B36"/>
    <w:rsid w:val="00D04F7E"/>
    <w:rsid w:val="00D065CB"/>
    <w:rsid w:val="00D06DC6"/>
    <w:rsid w:val="00D10EF1"/>
    <w:rsid w:val="00D15148"/>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1"/>
    </o:shapelayout>
  </w:shapeDefaults>
  <w:decimalSymbol w:val="."/>
  <w:listSeparator w:val=";"/>
  <w14:docId w14:val="28980352"/>
  <w15:docId w15:val="{F5DF211F-1FDE-4F3C-8063-6C2DB7A34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unhideWhenUsed/>
    <w:rsid w:val="007902CD"/>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4BCCA-CECA-41F5-A469-0BB4B6570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659</Words>
  <Characters>4618</Characters>
  <Application>Microsoft Office Word</Application>
  <DocSecurity>0</DocSecurity>
  <Lines>659</Lines>
  <Paragraphs>439</Paragraphs>
  <ScaleCrop>false</ScaleCrop>
  <HeadingPairs>
    <vt:vector size="2" baseType="variant">
      <vt:variant>
        <vt:lpstr>Title</vt:lpstr>
      </vt:variant>
      <vt:variant>
        <vt:i4>1</vt:i4>
      </vt:variant>
    </vt:vector>
  </HeadingPairs>
  <TitlesOfParts>
    <vt:vector size="1" baseType="lpstr">
      <vt:lpstr>A/HRC/RES/46/16</vt:lpstr>
    </vt:vector>
  </TitlesOfParts>
  <Company>DCM</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A/HRC/RES/46/16</dc:title>
  <dc:subject>GE.2104301(A)</dc:subject>
  <dc:creator>Gamal MAHMOUD - AAL</dc:creator>
  <cp:keywords>GE.2107758(A)</cp:keywords>
  <dc:description>Distr.: General_x000d_
31 March 2021_x000d_
Original: English</dc:description>
  <cp:lastModifiedBy>Gamal MAHMOUD</cp:lastModifiedBy>
  <cp:revision>2</cp:revision>
  <cp:lastPrinted>2021-04-14T13:09:00Z</cp:lastPrinted>
  <dcterms:created xsi:type="dcterms:W3CDTF">2021-04-14T13:10:00Z</dcterms:created>
  <dcterms:modified xsi:type="dcterms:W3CDTF">2021-04-14T13:10:00Z</dcterms:modified>
  <cp:category>Final</cp:category>
</cp:coreProperties>
</file>