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AA3" w:rsidRDefault="00D12AA3" w:rsidP="00D12AA3">
      <w:pPr>
        <w:spacing w:line="60" w:lineRule="exact"/>
        <w:sectPr w:rsidR="00D12AA3" w:rsidSect="00D12AA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3Size =1Lang = C"/>
            <w10:wrap anchorx="page" anchory="page"/>
          </v:shape>
        </w:pict>
      </w:r>
      <w:commentRangeEnd w:id="0"/>
      <w:r>
        <w:rPr>
          <w:rStyle w:val="CommentReference"/>
        </w:rPr>
        <w:commentReference w:id="0"/>
      </w:r>
    </w:p>
    <w:p w:rsidR="00D12AA3" w:rsidRDefault="00D12AA3" w:rsidP="00D12AA3">
      <w:pPr>
        <w:spacing w:line="60" w:lineRule="exact"/>
      </w:pPr>
    </w:p>
    <w:p w:rsidR="008941DA" w:rsidRDefault="008941DA" w:rsidP="008941D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8941DA" w:rsidRPr="008941DA" w:rsidRDefault="008941DA" w:rsidP="008941DA">
      <w:pPr>
        <w:pStyle w:val="SingleTxt"/>
        <w:spacing w:after="0" w:line="120" w:lineRule="exact"/>
        <w:rPr>
          <w:sz w:val="10"/>
        </w:rPr>
      </w:pPr>
    </w:p>
    <w:p w:rsidR="008941DA" w:rsidRPr="008941DA" w:rsidRDefault="008941DA" w:rsidP="008941DA">
      <w:pPr>
        <w:pStyle w:val="SingleTxt"/>
        <w:spacing w:after="0" w:line="120" w:lineRule="exact"/>
        <w:rPr>
          <w:sz w:val="10"/>
        </w:rPr>
      </w:pPr>
    </w:p>
    <w:p w:rsidR="008941DA" w:rsidRPr="008941DA" w:rsidRDefault="008941DA" w:rsidP="008941DA">
      <w:pPr>
        <w:pStyle w:val="SingleTxt"/>
        <w:spacing w:after="0" w:line="120" w:lineRule="exact"/>
        <w:rPr>
          <w:sz w:val="10"/>
        </w:rPr>
      </w:pPr>
    </w:p>
    <w:p w:rsidR="003A3D10" w:rsidRPr="003A3D10" w:rsidRDefault="003A3D10" w:rsidP="003A3D10">
      <w:pPr>
        <w:framePr w:w="9792" w:h="432" w:hSpace="180" w:wrap="around" w:hAnchor="page" w:x="1210" w:yAlign="bottom"/>
        <w:spacing w:line="100" w:lineRule="exact"/>
        <w:rPr>
          <w:sz w:val="10"/>
        </w:rPr>
      </w:pPr>
    </w:p>
    <w:p w:rsidR="003A3D10" w:rsidRPr="003A3D10" w:rsidRDefault="003A3D10" w:rsidP="003A3D10">
      <w:pPr>
        <w:framePr w:w="9792" w:h="432" w:hSpace="180" w:wrap="around" w:hAnchor="page" w:x="1210" w:yAlign="bottom"/>
        <w:spacing w:line="60" w:lineRule="exact"/>
        <w:rPr>
          <w:sz w:val="6"/>
        </w:rPr>
      </w:pPr>
      <w:r w:rsidRPr="003A3D10">
        <w:rPr>
          <w:noProof/>
          <w:sz w:val="6"/>
        </w:rPr>
        <w:pict>
          <v:line id="_x0000_s1027" style="position:absolute;left:0;text-align:left;z-index:2;mso-position-horizontal-relative:page" from="108pt,-1pt" to="180pt,-1pt" strokeweight=".25pt">
            <w10:wrap anchorx="page"/>
          </v:line>
        </w:pict>
      </w:r>
    </w:p>
    <w:p w:rsidR="003A3D10" w:rsidRPr="003A3D10" w:rsidRDefault="003A3D10" w:rsidP="003A3D10">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3A3D10">
        <w:rPr>
          <w:sz w:val="18"/>
          <w:vertAlign w:val="superscript"/>
        </w:rPr>
        <w:t>*</w:t>
      </w:r>
      <w:r w:rsidRPr="003A3D10">
        <w:rPr>
          <w:sz w:val="18"/>
          <w:vertAlign w:val="superscript"/>
        </w:rPr>
        <w:tab/>
      </w:r>
      <w:r w:rsidRPr="003A3D10">
        <w:rPr>
          <w:rFonts w:hint="eastAsia"/>
          <w:sz w:val="18"/>
        </w:rPr>
        <w:t>委员会第五十七届会议(2014年2月10日至28日)通过。</w:t>
      </w:r>
    </w:p>
    <w:p w:rsidR="008941DA" w:rsidRDefault="008941DA" w:rsidP="008941D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对巴林第三次定期报告的结论意见</w:t>
      </w:r>
      <w:r w:rsidRPr="008941DA">
        <w:rPr>
          <w:rFonts w:hint="eastAsia"/>
          <w:vertAlign w:val="superscript"/>
        </w:rPr>
        <w:t>*</w:t>
      </w:r>
    </w:p>
    <w:p w:rsidR="008941DA" w:rsidRPr="008941DA" w:rsidRDefault="008941DA" w:rsidP="008941DA">
      <w:pPr>
        <w:pStyle w:val="SingleTxt"/>
        <w:spacing w:after="0" w:line="120" w:lineRule="exact"/>
        <w:rPr>
          <w:rFonts w:hint="eastAsia"/>
          <w:sz w:val="10"/>
        </w:rPr>
      </w:pPr>
    </w:p>
    <w:p w:rsidR="008941DA" w:rsidRPr="008941DA" w:rsidRDefault="008941DA" w:rsidP="008941DA">
      <w:pPr>
        <w:pStyle w:val="SingleTxt"/>
        <w:spacing w:after="0" w:line="120" w:lineRule="exact"/>
        <w:rPr>
          <w:rFonts w:hint="eastAsia"/>
          <w:sz w:val="10"/>
        </w:rPr>
      </w:pPr>
    </w:p>
    <w:p w:rsidR="008941DA" w:rsidRDefault="008941DA" w:rsidP="008941DA">
      <w:pPr>
        <w:pStyle w:val="SingleTxt"/>
        <w:rPr>
          <w:rFonts w:hint="eastAsia"/>
        </w:rPr>
      </w:pPr>
      <w:r>
        <w:rPr>
          <w:rFonts w:hint="eastAsia"/>
        </w:rPr>
        <w:t>1.</w:t>
      </w:r>
      <w:r>
        <w:rPr>
          <w:rFonts w:hint="eastAsia"/>
        </w:rPr>
        <w:tab/>
        <w:t>2014年2月11日和12日，委员会第1187和1188次会议审议了巴林第三次定期报告(</w:t>
      </w:r>
      <w:hyperlink r:id="rId14" w:history="1">
        <w:r w:rsidRPr="00B05841">
          <w:rPr>
            <w:rStyle w:val="Hyperlink"/>
            <w:rFonts w:hint="eastAsia"/>
          </w:rPr>
          <w:t>CEDAW/C/BHR/3)</w:t>
        </w:r>
      </w:hyperlink>
      <w:r>
        <w:rPr>
          <w:rFonts w:hint="eastAsia"/>
        </w:rPr>
        <w:t>(见</w:t>
      </w:r>
      <w:hyperlink r:id="rId15" w:history="1">
        <w:r w:rsidRPr="00B05841">
          <w:rPr>
            <w:rStyle w:val="Hyperlink"/>
            <w:rFonts w:hint="eastAsia"/>
          </w:rPr>
          <w:t>CEDAW/C/SR.1187</w:t>
        </w:r>
      </w:hyperlink>
      <w:r>
        <w:rPr>
          <w:rFonts w:hint="eastAsia"/>
        </w:rPr>
        <w:t>和1188)。委员会的议题和问题清单载于</w:t>
      </w:r>
      <w:hyperlink r:id="rId16" w:history="1">
        <w:r w:rsidRPr="00B05841">
          <w:rPr>
            <w:rStyle w:val="Hyperlink"/>
            <w:rFonts w:hint="eastAsia"/>
          </w:rPr>
          <w:t>CEDAW/C/BHR/Q/3</w:t>
        </w:r>
      </w:hyperlink>
      <w:r>
        <w:rPr>
          <w:rFonts w:hint="eastAsia"/>
        </w:rPr>
        <w:t>，巴林政府的答复载于</w:t>
      </w:r>
      <w:hyperlink r:id="rId17" w:history="1">
        <w:r w:rsidRPr="00B05841">
          <w:rPr>
            <w:rStyle w:val="Hyperlink"/>
            <w:rFonts w:hint="eastAsia"/>
          </w:rPr>
          <w:t>CEDAW/C/BHR/Q/3/Add.1</w:t>
        </w:r>
      </w:hyperlink>
      <w:r>
        <w:rPr>
          <w:rFonts w:hint="eastAsia"/>
        </w:rPr>
        <w:t>。</w:t>
      </w:r>
    </w:p>
    <w:p w:rsidR="008941DA" w:rsidRDefault="008941DA" w:rsidP="008941D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A.</w:t>
      </w:r>
      <w:r>
        <w:rPr>
          <w:rFonts w:hint="eastAsia"/>
        </w:rPr>
        <w:tab/>
        <w:t>导言</w:t>
      </w:r>
    </w:p>
    <w:p w:rsidR="008941DA" w:rsidRPr="008941DA" w:rsidRDefault="008941DA" w:rsidP="008941DA">
      <w:pPr>
        <w:pStyle w:val="SingleTxt"/>
        <w:spacing w:after="0" w:line="120" w:lineRule="exact"/>
        <w:rPr>
          <w:rFonts w:hint="eastAsia"/>
          <w:sz w:val="10"/>
        </w:rPr>
      </w:pPr>
    </w:p>
    <w:p w:rsidR="008941DA" w:rsidRDefault="008941DA" w:rsidP="008941DA">
      <w:pPr>
        <w:pStyle w:val="SingleTxt"/>
        <w:rPr>
          <w:rFonts w:hint="eastAsia"/>
        </w:rPr>
      </w:pPr>
      <w:r>
        <w:rPr>
          <w:rFonts w:hint="eastAsia"/>
        </w:rPr>
        <w:t>2.</w:t>
      </w:r>
      <w:r>
        <w:rPr>
          <w:rFonts w:hint="eastAsia"/>
        </w:rPr>
        <w:tab/>
        <w:t xml:space="preserve">委员会欢迎巴林的第三次定期报告，该报告考虑到了委员会先前的建议。委员会对于缔约国对会前工作组提出的议题和问题清单作出的书面答复表示赞赏。委员会还欢迎该国代表团所作的口头陈述，及其对委员会在对话中提出的问题作出的进一步澄清。 </w:t>
      </w:r>
    </w:p>
    <w:p w:rsidR="008941DA" w:rsidRDefault="008941DA" w:rsidP="008941DA">
      <w:pPr>
        <w:pStyle w:val="SingleTxt"/>
        <w:rPr>
          <w:rFonts w:hint="eastAsia"/>
        </w:rPr>
      </w:pPr>
      <w:r>
        <w:rPr>
          <w:rFonts w:hint="eastAsia"/>
        </w:rPr>
        <w:t>3.</w:t>
      </w:r>
      <w:r>
        <w:rPr>
          <w:rFonts w:hint="eastAsia"/>
        </w:rPr>
        <w:tab/>
        <w:t>委员会赞扬缔约国派遣由最高妇女委员会副主席Mariam Al Khalifa率领的高级别代表团出席会议，代表团成员包括相关部委、议会和司法当局中职责与执行《公约》条款有关的专家。委员会赞赏代表团同委员会进行的建设性对话。</w:t>
      </w:r>
    </w:p>
    <w:p w:rsidR="008941DA" w:rsidRDefault="008941DA" w:rsidP="008941D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B.</w:t>
      </w:r>
      <w:r>
        <w:rPr>
          <w:rFonts w:hint="eastAsia"/>
        </w:rPr>
        <w:tab/>
        <w:t>积极方面</w:t>
      </w:r>
    </w:p>
    <w:p w:rsidR="008941DA" w:rsidRPr="008941DA" w:rsidRDefault="008941DA" w:rsidP="008941DA">
      <w:pPr>
        <w:pStyle w:val="SingleTxt"/>
        <w:spacing w:after="0" w:line="120" w:lineRule="exact"/>
        <w:rPr>
          <w:rFonts w:hint="eastAsia"/>
          <w:sz w:val="10"/>
        </w:rPr>
      </w:pPr>
    </w:p>
    <w:p w:rsidR="008941DA" w:rsidRDefault="008941DA" w:rsidP="008941DA">
      <w:pPr>
        <w:pStyle w:val="SingleTxt"/>
        <w:rPr>
          <w:rFonts w:hint="eastAsia"/>
        </w:rPr>
      </w:pPr>
      <w:r>
        <w:rPr>
          <w:rFonts w:hint="eastAsia"/>
        </w:rPr>
        <w:t>4.</w:t>
      </w:r>
      <w:r>
        <w:rPr>
          <w:rFonts w:hint="eastAsia"/>
        </w:rPr>
        <w:tab/>
        <w:t>委员会欢迎缔约国自2008年委员会审议其初次和第二次合并定期报告(</w:t>
      </w:r>
      <w:hyperlink r:id="rId18" w:history="1">
        <w:r w:rsidRPr="00B05841">
          <w:rPr>
            <w:rStyle w:val="Hyperlink"/>
            <w:rFonts w:hint="eastAsia"/>
          </w:rPr>
          <w:t>CEDAW/C/BHR/2</w:t>
        </w:r>
      </w:hyperlink>
      <w:r>
        <w:rPr>
          <w:rFonts w:hint="eastAsia"/>
        </w:rPr>
        <w:t xml:space="preserve">和Add.1)以来，在进行立法改革方面取得的进展，特别是通过了： </w:t>
      </w:r>
    </w:p>
    <w:p w:rsidR="008941DA" w:rsidRDefault="008941DA" w:rsidP="008941DA">
      <w:pPr>
        <w:pStyle w:val="SingleTxt"/>
        <w:rPr>
          <w:rFonts w:hint="eastAsia"/>
        </w:rPr>
      </w:pPr>
      <w:r>
        <w:tab/>
      </w:r>
      <w:r>
        <w:rPr>
          <w:rFonts w:hint="eastAsia"/>
        </w:rPr>
        <w:t>(a)</w:t>
      </w:r>
      <w:r>
        <w:rPr>
          <w:rFonts w:hint="eastAsia"/>
        </w:rPr>
        <w:tab/>
        <w:t>关于私营部门劳工问题的第</w:t>
      </w:r>
      <w:hyperlink r:id="rId19" w:history="1">
        <w:r w:rsidRPr="00B05841">
          <w:rPr>
            <w:rStyle w:val="Hyperlink"/>
            <w:rFonts w:hint="eastAsia"/>
          </w:rPr>
          <w:t>36/201</w:t>
        </w:r>
      </w:hyperlink>
      <w:r>
        <w:rPr>
          <w:rFonts w:hint="eastAsia"/>
        </w:rPr>
        <w:t>2号法；</w:t>
      </w:r>
    </w:p>
    <w:p w:rsidR="008941DA" w:rsidRDefault="008941DA" w:rsidP="008941DA">
      <w:pPr>
        <w:pStyle w:val="SingleTxt"/>
        <w:rPr>
          <w:rFonts w:hint="eastAsia"/>
        </w:rPr>
      </w:pPr>
      <w:r>
        <w:tab/>
      </w:r>
      <w:r>
        <w:rPr>
          <w:rFonts w:hint="eastAsia"/>
        </w:rPr>
        <w:t>(b)</w:t>
      </w:r>
      <w:r>
        <w:rPr>
          <w:rFonts w:hint="eastAsia"/>
        </w:rPr>
        <w:tab/>
        <w:t>设立“国家人权机构”的第</w:t>
      </w:r>
      <w:hyperlink r:id="rId20" w:history="1">
        <w:r w:rsidRPr="00B05841">
          <w:rPr>
            <w:rStyle w:val="Hyperlink"/>
            <w:rFonts w:hint="eastAsia"/>
          </w:rPr>
          <w:t>46/200</w:t>
        </w:r>
      </w:hyperlink>
      <w:r>
        <w:rPr>
          <w:rFonts w:hint="eastAsia"/>
        </w:rPr>
        <w:t>9号国王令，和修正某些有关规定的第</w:t>
      </w:r>
      <w:hyperlink r:id="rId21" w:history="1">
        <w:r w:rsidRPr="00B05841">
          <w:rPr>
            <w:rStyle w:val="Hyperlink"/>
            <w:rFonts w:hint="eastAsia"/>
          </w:rPr>
          <w:t>28/201</w:t>
        </w:r>
      </w:hyperlink>
      <w:r>
        <w:rPr>
          <w:rFonts w:hint="eastAsia"/>
        </w:rPr>
        <w:t xml:space="preserve">2号国王令； </w:t>
      </w:r>
    </w:p>
    <w:p w:rsidR="008941DA" w:rsidRDefault="008941DA" w:rsidP="008941DA">
      <w:pPr>
        <w:pStyle w:val="SingleTxt"/>
        <w:rPr>
          <w:rFonts w:hint="eastAsia"/>
        </w:rPr>
      </w:pPr>
      <w:r>
        <w:tab/>
      </w:r>
      <w:r>
        <w:rPr>
          <w:rFonts w:hint="eastAsia"/>
        </w:rPr>
        <w:t>(c)</w:t>
      </w:r>
      <w:r>
        <w:rPr>
          <w:rFonts w:hint="eastAsia"/>
        </w:rPr>
        <w:tab/>
        <w:t>旨在帮助与外国人结婚的巴林妇女所生子女的第</w:t>
      </w:r>
      <w:hyperlink r:id="rId22" w:history="1">
        <w:r w:rsidRPr="00B05841">
          <w:rPr>
            <w:rStyle w:val="Hyperlink"/>
            <w:rFonts w:hint="eastAsia"/>
          </w:rPr>
          <w:t>35/200</w:t>
        </w:r>
      </w:hyperlink>
      <w:r>
        <w:rPr>
          <w:rFonts w:hint="eastAsia"/>
        </w:rPr>
        <w:t xml:space="preserve">9号法。 </w:t>
      </w:r>
    </w:p>
    <w:p w:rsidR="008941DA" w:rsidRDefault="008941DA" w:rsidP="008941DA">
      <w:pPr>
        <w:pStyle w:val="SingleTxt"/>
        <w:rPr>
          <w:rFonts w:hint="eastAsia"/>
        </w:rPr>
      </w:pPr>
      <w:r>
        <w:rPr>
          <w:rFonts w:hint="eastAsia"/>
        </w:rPr>
        <w:t>5.</w:t>
      </w:r>
      <w:r>
        <w:rPr>
          <w:rFonts w:hint="eastAsia"/>
        </w:rPr>
        <w:tab/>
        <w:t xml:space="preserve">委员会欢迎缔约国作出了努力，改善它的机构和政策框架，以加快消除对妇女的歧视，促进性别平等，包括通过了下列文件： </w:t>
      </w:r>
    </w:p>
    <w:p w:rsidR="008941DA" w:rsidRDefault="003A3D10" w:rsidP="008941DA">
      <w:pPr>
        <w:pStyle w:val="SingleTxt"/>
        <w:rPr>
          <w:rFonts w:hint="eastAsia"/>
        </w:rPr>
      </w:pPr>
      <w:r>
        <w:tab/>
      </w:r>
      <w:r w:rsidR="008941DA">
        <w:rPr>
          <w:rFonts w:hint="eastAsia"/>
        </w:rPr>
        <w:t>(a)</w:t>
      </w:r>
      <w:r w:rsidR="008941DA">
        <w:rPr>
          <w:rFonts w:hint="eastAsia"/>
        </w:rPr>
        <w:tab/>
        <w:t>《提高巴林妇女地位国家计划(2013-2022年)》及其执行战略；</w:t>
      </w:r>
    </w:p>
    <w:p w:rsidR="008941DA" w:rsidRDefault="003A3D10" w:rsidP="008941DA">
      <w:pPr>
        <w:pStyle w:val="SingleTxt"/>
        <w:rPr>
          <w:rFonts w:hint="eastAsia"/>
        </w:rPr>
      </w:pPr>
      <w:r>
        <w:tab/>
      </w:r>
      <w:r w:rsidR="008941DA">
        <w:rPr>
          <w:rFonts w:hint="eastAsia"/>
        </w:rPr>
        <w:t>(b)</w:t>
      </w:r>
      <w:r w:rsidR="008941DA">
        <w:rPr>
          <w:rFonts w:hint="eastAsia"/>
        </w:rPr>
        <w:tab/>
        <w:t>2008-2014年职业和技术培训战略计划，旨在扩大少女在非传统领域接受培训的机会；</w:t>
      </w:r>
    </w:p>
    <w:p w:rsidR="008941DA" w:rsidRDefault="003A3D10" w:rsidP="008941DA">
      <w:pPr>
        <w:pStyle w:val="SingleTxt"/>
        <w:rPr>
          <w:rFonts w:hint="eastAsia"/>
        </w:rPr>
      </w:pPr>
      <w:r>
        <w:tab/>
      </w:r>
      <w:r w:rsidR="008941DA">
        <w:rPr>
          <w:rFonts w:hint="eastAsia"/>
        </w:rPr>
        <w:t>(c)</w:t>
      </w:r>
      <w:r w:rsidR="008941DA">
        <w:rPr>
          <w:rFonts w:hint="eastAsia"/>
        </w:rPr>
        <w:tab/>
        <w:t xml:space="preserve">最高妇女委员会与信息事务管理局关于增强妇女在媒体中的作用的谅解备忘录(2011年)； </w:t>
      </w:r>
    </w:p>
    <w:p w:rsidR="008941DA" w:rsidRDefault="003A3D10" w:rsidP="008941DA">
      <w:pPr>
        <w:pStyle w:val="SingleTxt"/>
        <w:rPr>
          <w:rFonts w:hint="eastAsia"/>
        </w:rPr>
      </w:pPr>
      <w:r>
        <w:tab/>
      </w:r>
      <w:r w:rsidR="008941DA">
        <w:rPr>
          <w:rFonts w:hint="eastAsia"/>
        </w:rPr>
        <w:t>(d)</w:t>
      </w:r>
      <w:r w:rsidR="008941DA">
        <w:rPr>
          <w:rFonts w:hint="eastAsia"/>
        </w:rPr>
        <w:tab/>
        <w:t>《将妇女的需要纳入发展进程的国家模式》(2010年)。</w:t>
      </w:r>
    </w:p>
    <w:p w:rsidR="008941DA" w:rsidRDefault="008941DA" w:rsidP="008941DA">
      <w:pPr>
        <w:pStyle w:val="SingleTxt"/>
        <w:rPr>
          <w:rFonts w:hint="eastAsia"/>
        </w:rPr>
      </w:pPr>
      <w:r>
        <w:rPr>
          <w:rFonts w:hint="eastAsia"/>
        </w:rPr>
        <w:t>6.</w:t>
      </w:r>
      <w:r>
        <w:rPr>
          <w:rFonts w:hint="eastAsia"/>
        </w:rPr>
        <w:tab/>
        <w:t xml:space="preserve">委员会欢迎缔约国于2011年9月22日批准了《残疾人权利公约》。 </w:t>
      </w:r>
    </w:p>
    <w:p w:rsidR="008941DA" w:rsidRDefault="008941DA" w:rsidP="008941DA">
      <w:pPr>
        <w:pStyle w:val="SingleTxt"/>
        <w:rPr>
          <w:rFonts w:hint="eastAsia"/>
        </w:rPr>
      </w:pPr>
      <w:r>
        <w:rPr>
          <w:rFonts w:hint="eastAsia"/>
        </w:rPr>
        <w:t>7.</w:t>
      </w:r>
      <w:r>
        <w:rPr>
          <w:rFonts w:hint="eastAsia"/>
        </w:rPr>
        <w:tab/>
        <w:t xml:space="preserve">委员会欢迎缔约国表示愿意审查其对《公约》作出的一些保留，以期撤销这些保留或是修正其内容，并且已就此事向议会提出一项法案。 </w:t>
      </w:r>
    </w:p>
    <w:p w:rsidR="008941DA" w:rsidRDefault="008941DA" w:rsidP="003A3D1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C.</w:t>
      </w:r>
      <w:r>
        <w:rPr>
          <w:rFonts w:hint="eastAsia"/>
        </w:rPr>
        <w:tab/>
        <w:t>主要关切领域和建议</w:t>
      </w:r>
    </w:p>
    <w:p w:rsidR="003A3D10" w:rsidRPr="003A3D10" w:rsidRDefault="003A3D10" w:rsidP="003A3D10">
      <w:pPr>
        <w:pStyle w:val="SingleTxt"/>
        <w:spacing w:after="0" w:line="120" w:lineRule="exact"/>
        <w:rPr>
          <w:rFonts w:hint="eastAsia"/>
          <w:sz w:val="10"/>
        </w:rPr>
      </w:pPr>
    </w:p>
    <w:p w:rsidR="008941DA" w:rsidRPr="003A3D10" w:rsidRDefault="008941DA" w:rsidP="008941DA">
      <w:pPr>
        <w:pStyle w:val="SingleTxt"/>
        <w:rPr>
          <w:rFonts w:ascii="SimHei" w:eastAsia="SimHei" w:hint="eastAsia"/>
        </w:rPr>
      </w:pPr>
      <w:r w:rsidRPr="003A3D10">
        <w:rPr>
          <w:rFonts w:ascii="SimHei" w:eastAsia="SimHei" w:hint="eastAsia"/>
        </w:rPr>
        <w:t>议会</w:t>
      </w:r>
    </w:p>
    <w:p w:rsidR="008941DA" w:rsidRDefault="008941DA" w:rsidP="008941DA">
      <w:pPr>
        <w:pStyle w:val="SingleTxt"/>
        <w:rPr>
          <w:rFonts w:hint="eastAsia"/>
        </w:rPr>
      </w:pPr>
      <w:r>
        <w:rPr>
          <w:rFonts w:hint="eastAsia"/>
        </w:rPr>
        <w:t>8.</w:t>
      </w:r>
      <w:r>
        <w:rPr>
          <w:rFonts w:hint="eastAsia"/>
        </w:rPr>
        <w:tab/>
      </w:r>
      <w:r w:rsidRPr="003A3D10">
        <w:rPr>
          <w:rFonts w:ascii="SimHei" w:eastAsia="SimHei" w:hint="eastAsia"/>
        </w:rPr>
        <w:t>委员会强调立法权力对确保《公约》的充分执行所起的关键作用(见委员会在2010年第四十五届会议上通过的关于委员会与各国议员的关系的声明)。委员会邀请缔约国议会在其任务范围内，在从现在到按照《公约》提交下一次报告之间的期间，采取必要步骤执行本结论意见。</w:t>
      </w:r>
    </w:p>
    <w:p w:rsidR="008941DA" w:rsidRPr="003A3D10" w:rsidRDefault="008941DA" w:rsidP="008941DA">
      <w:pPr>
        <w:pStyle w:val="SingleTxt"/>
        <w:rPr>
          <w:rFonts w:ascii="SimHei" w:eastAsia="SimHei" w:hint="eastAsia"/>
        </w:rPr>
      </w:pPr>
      <w:r w:rsidRPr="003A3D10">
        <w:rPr>
          <w:rFonts w:ascii="SimHei" w:eastAsia="SimHei" w:hint="eastAsia"/>
        </w:rPr>
        <w:t>保留</w:t>
      </w:r>
    </w:p>
    <w:p w:rsidR="008941DA" w:rsidRDefault="008941DA" w:rsidP="008941DA">
      <w:pPr>
        <w:pStyle w:val="SingleTxt"/>
        <w:rPr>
          <w:rFonts w:hint="eastAsia"/>
        </w:rPr>
      </w:pPr>
      <w:r>
        <w:rPr>
          <w:rFonts w:hint="eastAsia"/>
        </w:rPr>
        <w:t>9.</w:t>
      </w:r>
      <w:r>
        <w:rPr>
          <w:rFonts w:hint="eastAsia"/>
        </w:rPr>
        <w:tab/>
        <w:t>委员会注意到缔约国代表团在其开场陈述中以及在对话中声称，将会考虑撤销或者修正其对《公约》第二条、第九条第2款、第十五条第4款和第十六条的保留的可能性。但是，委员会对于缔约国并没有为审查这些保留定出时限表示关切。委员会重申，撤销这些保留或者缩小其范围，对于《公约》在缔约国的充分执行至关重要，并认为，对第二和十六条的保留不符合《公约》的目标和宗旨(见委员会在1998年第十九届会议上通过的关于保留的声明)。</w:t>
      </w:r>
    </w:p>
    <w:p w:rsidR="008941DA" w:rsidRDefault="008941DA" w:rsidP="008941DA">
      <w:pPr>
        <w:pStyle w:val="SingleTxt"/>
        <w:rPr>
          <w:rFonts w:hint="eastAsia"/>
        </w:rPr>
      </w:pPr>
      <w:r>
        <w:rPr>
          <w:rFonts w:hint="eastAsia"/>
        </w:rPr>
        <w:t>10.</w:t>
      </w:r>
      <w:r>
        <w:rPr>
          <w:rFonts w:hint="eastAsia"/>
        </w:rPr>
        <w:tab/>
      </w:r>
      <w:r w:rsidRPr="00212883">
        <w:rPr>
          <w:rFonts w:ascii="SimHei" w:eastAsia="SimHei" w:hint="eastAsia"/>
        </w:rPr>
        <w:t>委员会促请缔约国在设定的时限内，在民间社会妇女团体的充分参与下，尽快审查其对《公约》的保留，以期撤销这些保留或是缩小其范围，使其符合《公约》。委员会特别促请缔约国撤销其对第二和十六条的保留，因为这些保留不符合《公约》的目标和宗旨。</w:t>
      </w:r>
    </w:p>
    <w:p w:rsidR="008941DA" w:rsidRPr="00212883" w:rsidRDefault="008941DA" w:rsidP="008941DA">
      <w:pPr>
        <w:pStyle w:val="SingleTxt"/>
        <w:rPr>
          <w:rFonts w:ascii="SimHei" w:eastAsia="SimHei" w:hint="eastAsia"/>
        </w:rPr>
      </w:pPr>
      <w:r w:rsidRPr="00212883">
        <w:rPr>
          <w:rFonts w:ascii="SimHei" w:eastAsia="SimHei" w:hint="eastAsia"/>
        </w:rPr>
        <w:t>“对妇女的歧视”的定义</w:t>
      </w:r>
    </w:p>
    <w:p w:rsidR="008941DA" w:rsidRDefault="008941DA" w:rsidP="008941DA">
      <w:pPr>
        <w:pStyle w:val="SingleTxt"/>
        <w:rPr>
          <w:rFonts w:hint="eastAsia"/>
        </w:rPr>
      </w:pPr>
      <w:r>
        <w:rPr>
          <w:rFonts w:hint="eastAsia"/>
        </w:rPr>
        <w:t>11.</w:t>
      </w:r>
      <w:r>
        <w:rPr>
          <w:rFonts w:hint="eastAsia"/>
        </w:rPr>
        <w:tab/>
        <w:t>委员会认知到，《公约》在巴林具有法律地位，而且巴林《宪法》第四和十八条规定，国家保障人人平等，所有公民在法律面前都是平等的，不得有基于性别的歧视。但是，委员会仍要重申，缔约国有必要在其国家法律中明文规定，禁止《公约》第一条所定义的对妇女的歧视。</w:t>
      </w:r>
    </w:p>
    <w:p w:rsidR="008941DA" w:rsidRDefault="008941DA" w:rsidP="008941DA">
      <w:pPr>
        <w:pStyle w:val="SingleTxt"/>
        <w:rPr>
          <w:rFonts w:hint="eastAsia"/>
        </w:rPr>
      </w:pPr>
      <w:r>
        <w:rPr>
          <w:rFonts w:hint="eastAsia"/>
        </w:rPr>
        <w:t>12.</w:t>
      </w:r>
      <w:r>
        <w:rPr>
          <w:rFonts w:hint="eastAsia"/>
        </w:rPr>
        <w:tab/>
      </w:r>
      <w:r w:rsidRPr="00212883">
        <w:rPr>
          <w:rFonts w:ascii="SimHei" w:eastAsia="SimHei" w:hint="eastAsia"/>
        </w:rPr>
        <w:t>委员会促请缔约国遵照其在《公约》第一和二条下的义务，禁止和制裁对妇女的歧视，包括直接和间接的歧视。委员会建议缔约国尤其是以法官、律师和执法人员为对象，加强关于《公约》及其在国内法院的直接适用和关于歧视的形式和范围的教育和培训方案。委员会还鼓励缔约国加强各种提高认识措施和教育措施，增强妇女对她们在《公约》下的权利的知识。</w:t>
      </w:r>
    </w:p>
    <w:p w:rsidR="008941DA" w:rsidRPr="00212883" w:rsidRDefault="008941DA" w:rsidP="008941DA">
      <w:pPr>
        <w:pStyle w:val="SingleTxt"/>
        <w:rPr>
          <w:rFonts w:ascii="SimHei" w:eastAsia="SimHei" w:hint="eastAsia"/>
        </w:rPr>
      </w:pPr>
      <w:r w:rsidRPr="00212883">
        <w:rPr>
          <w:rFonts w:ascii="SimHei" w:eastAsia="SimHei" w:hint="eastAsia"/>
        </w:rPr>
        <w:t>歧视性法律</w:t>
      </w:r>
    </w:p>
    <w:p w:rsidR="008941DA" w:rsidRDefault="008941DA" w:rsidP="008941DA">
      <w:pPr>
        <w:pStyle w:val="SingleTxt"/>
        <w:rPr>
          <w:rFonts w:hint="eastAsia"/>
        </w:rPr>
      </w:pPr>
      <w:r>
        <w:rPr>
          <w:rFonts w:hint="eastAsia"/>
        </w:rPr>
        <w:t>13.</w:t>
      </w:r>
      <w:r>
        <w:rPr>
          <w:rFonts w:hint="eastAsia"/>
        </w:rPr>
        <w:tab/>
        <w:t>委员会欢迎缔约国作出了努力来审查和修订歧视性法律，包括其《刑法》和《国籍法》。委员会注意到缔约国代表团提供的关于向议会两院提出的法律草案的资料，但感到关切的是，法律改革进程拖延日久，许多修正案仍然处在起草过程之中，已经起草的草案也尚未获得通过。</w:t>
      </w:r>
    </w:p>
    <w:p w:rsidR="008941DA" w:rsidRPr="00212883" w:rsidRDefault="008941DA" w:rsidP="008941DA">
      <w:pPr>
        <w:pStyle w:val="SingleTxt"/>
        <w:rPr>
          <w:rFonts w:ascii="SimHei" w:eastAsia="SimHei" w:hint="eastAsia"/>
        </w:rPr>
      </w:pPr>
      <w:r>
        <w:rPr>
          <w:rFonts w:hint="eastAsia"/>
        </w:rPr>
        <w:t>14.</w:t>
      </w:r>
      <w:r>
        <w:rPr>
          <w:rFonts w:hint="eastAsia"/>
        </w:rPr>
        <w:tab/>
      </w:r>
      <w:r w:rsidRPr="00212883">
        <w:rPr>
          <w:rFonts w:ascii="SimHei" w:eastAsia="SimHei" w:hint="eastAsia"/>
        </w:rPr>
        <w:t>委员会促请缔约国将法律改革进程列为高度优先事项，在明确的时限内，从速修订或者废除歧视性法律，包括《刑法》和《国籍法》中以及在家庭事项上的歧视性规定。委员会建议缔约国加大努力，提高议会两院、宗教和社区领导人、民间社会组织和公众对支持加快法律改革的重要性的认识。</w:t>
      </w:r>
    </w:p>
    <w:p w:rsidR="008941DA" w:rsidRPr="00212883" w:rsidRDefault="008941DA" w:rsidP="008941DA">
      <w:pPr>
        <w:pStyle w:val="SingleTxt"/>
        <w:rPr>
          <w:rFonts w:ascii="SimHei" w:eastAsia="SimHei" w:hint="eastAsia"/>
        </w:rPr>
      </w:pPr>
      <w:r w:rsidRPr="00212883">
        <w:rPr>
          <w:rFonts w:ascii="SimHei" w:eastAsia="SimHei" w:hint="eastAsia"/>
        </w:rPr>
        <w:t>提高妇女地位的国家机制</w:t>
      </w:r>
    </w:p>
    <w:p w:rsidR="008941DA" w:rsidRDefault="008941DA" w:rsidP="008941DA">
      <w:pPr>
        <w:pStyle w:val="SingleTxt"/>
        <w:rPr>
          <w:rFonts w:hint="eastAsia"/>
        </w:rPr>
      </w:pPr>
      <w:r>
        <w:rPr>
          <w:rFonts w:hint="eastAsia"/>
        </w:rPr>
        <w:t>15.</w:t>
      </w:r>
      <w:r>
        <w:rPr>
          <w:rFonts w:hint="eastAsia"/>
        </w:rPr>
        <w:tab/>
        <w:t xml:space="preserve">委员会注意到，缔约国改组了最高妇女委员会总秘书处，开展了大量提高认识和培训活动，并在多个部委设立了平等机会股。但是，委员会重申，对最高妇女委员会向非政府组织提供的支持有限表示关切。 </w:t>
      </w:r>
    </w:p>
    <w:p w:rsidR="008941DA" w:rsidRPr="00212883" w:rsidRDefault="008941DA" w:rsidP="008941DA">
      <w:pPr>
        <w:pStyle w:val="SingleTxt"/>
        <w:rPr>
          <w:rFonts w:ascii="SimHei" w:eastAsia="SimHei" w:hint="eastAsia"/>
        </w:rPr>
      </w:pPr>
      <w:r>
        <w:rPr>
          <w:rFonts w:hint="eastAsia"/>
        </w:rPr>
        <w:t>16.</w:t>
      </w:r>
      <w:r>
        <w:rPr>
          <w:rFonts w:hint="eastAsia"/>
        </w:rPr>
        <w:tab/>
      </w:r>
      <w:r w:rsidRPr="00212883">
        <w:rPr>
          <w:rFonts w:ascii="SimHei" w:eastAsia="SimHei" w:hint="eastAsia"/>
        </w:rPr>
        <w:t>委员会回顾其先前的建议(</w:t>
      </w:r>
      <w:hyperlink r:id="rId23" w:history="1">
        <w:r w:rsidRPr="00B05841">
          <w:rPr>
            <w:rStyle w:val="Hyperlink"/>
            <w:rFonts w:ascii="SimHei" w:eastAsia="SimHei" w:hint="eastAsia"/>
          </w:rPr>
          <w:t>CEDAW/C/BHR/CO/2</w:t>
        </w:r>
      </w:hyperlink>
      <w:r w:rsidRPr="00212883">
        <w:rPr>
          <w:rFonts w:ascii="SimHei" w:eastAsia="SimHei" w:hint="eastAsia"/>
        </w:rPr>
        <w:t>，第19段)，建议最高妇女委员会加强与所有利益攸关方的合作，特别是向妇女民间团体和非政府组织提供支持。</w:t>
      </w:r>
    </w:p>
    <w:p w:rsidR="008941DA" w:rsidRPr="00212883" w:rsidRDefault="008941DA" w:rsidP="008941DA">
      <w:pPr>
        <w:pStyle w:val="SingleTxt"/>
        <w:rPr>
          <w:rFonts w:ascii="SimHei" w:eastAsia="SimHei" w:hint="eastAsia"/>
        </w:rPr>
      </w:pPr>
      <w:r w:rsidRPr="00212883">
        <w:rPr>
          <w:rFonts w:ascii="SimHei" w:eastAsia="SimHei" w:hint="eastAsia"/>
        </w:rPr>
        <w:t>暂行特别措施</w:t>
      </w:r>
    </w:p>
    <w:p w:rsidR="008941DA" w:rsidRDefault="008941DA" w:rsidP="008941DA">
      <w:pPr>
        <w:pStyle w:val="SingleTxt"/>
        <w:rPr>
          <w:rFonts w:hint="eastAsia"/>
        </w:rPr>
      </w:pPr>
      <w:r>
        <w:rPr>
          <w:rFonts w:hint="eastAsia"/>
        </w:rPr>
        <w:t>17.</w:t>
      </w:r>
      <w:r>
        <w:rPr>
          <w:rFonts w:hint="eastAsia"/>
        </w:rPr>
        <w:tab/>
        <w:t xml:space="preserve">委员会重申，对缔约国不理解暂行特别措施，认为其有悖于《宪法》且具有歧视性表示关切。委员会关切地注意到，缔约国既没有、也不打算在近期内采取任何暂行特别措施，包括旨在加快实现男女平等的配额制度，作为加快在《公约》各领域实现男女事实上或实质上平等的战略的一部分。 </w:t>
      </w:r>
    </w:p>
    <w:p w:rsidR="008941DA" w:rsidRPr="00212883" w:rsidRDefault="008941DA" w:rsidP="008941DA">
      <w:pPr>
        <w:pStyle w:val="SingleTxt"/>
        <w:rPr>
          <w:rFonts w:ascii="SimHei" w:eastAsia="SimHei" w:hint="eastAsia"/>
        </w:rPr>
      </w:pPr>
      <w:r>
        <w:rPr>
          <w:rFonts w:hint="eastAsia"/>
        </w:rPr>
        <w:t>18.</w:t>
      </w:r>
      <w:r>
        <w:rPr>
          <w:rFonts w:hint="eastAsia"/>
        </w:rPr>
        <w:tab/>
      </w:r>
      <w:r w:rsidRPr="00212883">
        <w:rPr>
          <w:rFonts w:ascii="SimHei" w:eastAsia="SimHei" w:hint="eastAsia"/>
        </w:rPr>
        <w:t>委员会回顾其关于暂行特别措施的第25号一般性建议，指出各缔约国根据《公约》采取并实施的这类措施不构成歧视。委员会重申先前的建议(</w:t>
      </w:r>
      <w:hyperlink r:id="rId24" w:history="1">
        <w:r w:rsidRPr="00B05841">
          <w:rPr>
            <w:rStyle w:val="Hyperlink"/>
            <w:rFonts w:ascii="SimHei" w:eastAsia="SimHei" w:hint="eastAsia"/>
          </w:rPr>
          <w:t>CEDAW/C/BHR/CO/2</w:t>
        </w:r>
      </w:hyperlink>
      <w:r w:rsidRPr="00212883">
        <w:rPr>
          <w:rFonts w:ascii="SimHei" w:eastAsia="SimHei" w:hint="eastAsia"/>
        </w:rPr>
        <w:t>，第21段)，敦促缔约国：</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(a)</w:t>
      </w:r>
      <w:r w:rsidR="008941DA" w:rsidRPr="00212883">
        <w:rPr>
          <w:rFonts w:ascii="SimHei" w:eastAsia="SimHei" w:hint="eastAsia"/>
        </w:rPr>
        <w:tab/>
        <w:t>根据委员会第25号一般性建议所作的解释，就《公约》第四条第1款意义下的暂行特别措施的非歧视性质，向有关官员进行宣传和培训；</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(b)</w:t>
      </w:r>
      <w:r w:rsidR="008941DA" w:rsidRPr="00212883">
        <w:rPr>
          <w:rFonts w:ascii="SimHei" w:eastAsia="SimHei" w:hint="eastAsia"/>
        </w:rPr>
        <w:tab/>
        <w:t xml:space="preserve">采取并实施暂行特别措施，包括有时限的目标和配额，目的是在妇女比例偏低或处境不利的领域，包括在政治生活、决策机构和私营部门中，实现男女事实上或实质上平等； </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(c)</w:t>
      </w:r>
      <w:r w:rsidR="008941DA" w:rsidRPr="00212883">
        <w:rPr>
          <w:rFonts w:ascii="SimHei" w:eastAsia="SimHei" w:hint="eastAsia"/>
        </w:rPr>
        <w:tab/>
        <w:t>在法律中纳入鼓励在公共和私营部门采取暂行特别措施的条款。</w:t>
      </w:r>
    </w:p>
    <w:p w:rsidR="008941DA" w:rsidRPr="00212883" w:rsidRDefault="008941DA" w:rsidP="008941DA">
      <w:pPr>
        <w:pStyle w:val="SingleTxt"/>
        <w:rPr>
          <w:rFonts w:ascii="SimHei" w:eastAsia="SimHei" w:hint="eastAsia"/>
        </w:rPr>
      </w:pPr>
      <w:r w:rsidRPr="00212883">
        <w:rPr>
          <w:rFonts w:ascii="SimHei" w:eastAsia="SimHei" w:hint="eastAsia"/>
        </w:rPr>
        <w:t>定型观念</w:t>
      </w:r>
    </w:p>
    <w:p w:rsidR="008941DA" w:rsidRDefault="008941DA" w:rsidP="008941DA">
      <w:pPr>
        <w:pStyle w:val="SingleTxt"/>
        <w:rPr>
          <w:rFonts w:hint="eastAsia"/>
        </w:rPr>
      </w:pPr>
      <w:r>
        <w:rPr>
          <w:rFonts w:hint="eastAsia"/>
        </w:rPr>
        <w:t>19.</w:t>
      </w:r>
      <w:r>
        <w:rPr>
          <w:rFonts w:hint="eastAsia"/>
        </w:rPr>
        <w:tab/>
        <w:t xml:space="preserve">委员会赞赏缔约国作出了努力，重新审查学校课程和课本中涉及定型观念的内容，以及向男生和女生提供包括非传统领域的职业教育。委员会欢迎缔约国作出了努力，与媒体合作，增进妇女的参与，展现妇女在公共生活中积极和多样的形象。但是，委员会仍然感到关切的是，关于男女在社会上尤其是家庭中的角色和责任的传统定型观念还是根深蒂固难以消除。 </w:t>
      </w:r>
    </w:p>
    <w:p w:rsidR="008941DA" w:rsidRDefault="008941DA" w:rsidP="008941DA">
      <w:pPr>
        <w:pStyle w:val="SingleTxt"/>
        <w:rPr>
          <w:rFonts w:hint="eastAsia"/>
        </w:rPr>
      </w:pPr>
      <w:r>
        <w:rPr>
          <w:rFonts w:hint="eastAsia"/>
        </w:rPr>
        <w:t>20.</w:t>
      </w:r>
      <w:r>
        <w:rPr>
          <w:rFonts w:hint="eastAsia"/>
        </w:rPr>
        <w:tab/>
      </w:r>
      <w:r w:rsidRPr="00212883">
        <w:rPr>
          <w:rFonts w:ascii="SimHei" w:eastAsia="SimHei" w:hint="eastAsia"/>
        </w:rPr>
        <w:t>委员会重申其先前的建议(</w:t>
      </w:r>
      <w:hyperlink r:id="rId25" w:history="1">
        <w:r w:rsidRPr="00B05841">
          <w:rPr>
            <w:rStyle w:val="Hyperlink"/>
            <w:rFonts w:ascii="SimHei" w:eastAsia="SimHei" w:hint="eastAsia"/>
          </w:rPr>
          <w:t>CEDAW/C/BHR/CO/2</w:t>
        </w:r>
      </w:hyperlink>
      <w:r w:rsidRPr="00212883">
        <w:rPr>
          <w:rFonts w:ascii="SimHei" w:eastAsia="SimHei" w:hint="eastAsia"/>
        </w:rPr>
        <w:t xml:space="preserve">，第22段)，鼓励缔约国继续实行措施，改变广泛存在的对男女角色的定型观念，包括开展提高认识和培训方案及活动，促进平等分担家庭责任，以及推动男女在公共和私营领域的平等地位和责任。 </w:t>
      </w:r>
    </w:p>
    <w:p w:rsidR="008941DA" w:rsidRPr="00212883" w:rsidRDefault="008941DA" w:rsidP="008941DA">
      <w:pPr>
        <w:pStyle w:val="SingleTxt"/>
        <w:rPr>
          <w:rFonts w:ascii="SimHei" w:eastAsia="SimHei" w:hint="eastAsia"/>
        </w:rPr>
      </w:pPr>
      <w:r w:rsidRPr="00212883">
        <w:rPr>
          <w:rFonts w:ascii="SimHei" w:eastAsia="SimHei" w:hint="eastAsia"/>
        </w:rPr>
        <w:t>暴力侵害妇女行为</w:t>
      </w:r>
    </w:p>
    <w:p w:rsidR="008941DA" w:rsidRDefault="008941DA" w:rsidP="008941DA">
      <w:pPr>
        <w:pStyle w:val="SingleTxt"/>
        <w:rPr>
          <w:rFonts w:hint="eastAsia"/>
        </w:rPr>
      </w:pPr>
      <w:r>
        <w:rPr>
          <w:rFonts w:hint="eastAsia"/>
        </w:rPr>
        <w:t>21.</w:t>
      </w:r>
      <w:r>
        <w:rPr>
          <w:rFonts w:hint="eastAsia"/>
        </w:rPr>
        <w:tab/>
        <w:t>委员会注意到，缔约国已提出一项打击家庭暴力的法案(起草工作始于2007年)，且缔约国代表团声称议会两院正在审议该法案。但是，委员会深感关切的是，通过消除各种情况下暴力侵害妇女行为的具体法律(其中包括暴力行为的定义以及补救和制裁规定)的进程十分缓慢。委员会重申，对《刑法》中有几项条款免除暴力行为实施者的罪责，纵容暴力侵害妇女行为表示关切。委员会尤为感到遗憾的是，《刑法》排除婚内强奸；《刑法》第353条规定，如果强奸犯与受害者结婚，就免受起诉和处罚；《刑法》第334条减轻了对为维护所谓名誉而实施犯罪者的判刑。委员会还注意到，没有关于暴力侵害妇女事件的统计数据，并且没有任何人向最高妇女委员会或警方提出关于强奸的投诉。</w:t>
      </w:r>
    </w:p>
    <w:p w:rsidR="008941DA" w:rsidRPr="00212883" w:rsidRDefault="008941DA" w:rsidP="008941DA">
      <w:pPr>
        <w:pStyle w:val="SingleTxt"/>
        <w:rPr>
          <w:rFonts w:ascii="SimHei" w:eastAsia="SimHei" w:hint="eastAsia"/>
        </w:rPr>
      </w:pPr>
      <w:r>
        <w:rPr>
          <w:rFonts w:hint="eastAsia"/>
        </w:rPr>
        <w:t>22.</w:t>
      </w:r>
      <w:r>
        <w:rPr>
          <w:rFonts w:hint="eastAsia"/>
        </w:rPr>
        <w:tab/>
      </w:r>
      <w:r w:rsidRPr="00212883">
        <w:rPr>
          <w:rFonts w:ascii="SimHei" w:eastAsia="SimHei" w:hint="eastAsia"/>
        </w:rPr>
        <w:t>委员会按照其关于暴力侵害妇女问题的第19号一般性建议及先前的建议(</w:t>
      </w:r>
      <w:hyperlink r:id="rId26" w:history="1">
        <w:r w:rsidRPr="00B05841">
          <w:rPr>
            <w:rStyle w:val="Hyperlink"/>
            <w:rFonts w:ascii="SimHei" w:eastAsia="SimHei" w:hint="eastAsia"/>
          </w:rPr>
          <w:t>CEDAW/C/BHR/CO/2</w:t>
        </w:r>
      </w:hyperlink>
      <w:r w:rsidRPr="00212883">
        <w:rPr>
          <w:rFonts w:ascii="SimHei" w:eastAsia="SimHei" w:hint="eastAsia"/>
        </w:rPr>
        <w:t xml:space="preserve">，第25段)，敦促缔约国实施全面的国家战略和方案，消除一切形式的暴力侵害妇女行为，并且： </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(a)</w:t>
      </w:r>
      <w:r w:rsidR="008941DA" w:rsidRPr="00212883">
        <w:rPr>
          <w:rFonts w:ascii="SimHei" w:eastAsia="SimHei" w:hint="eastAsia"/>
        </w:rPr>
        <w:tab/>
        <w:t xml:space="preserve">尽快通过打击家庭暴力的法案，将暴力侵害妇女行为定为刑事罪，并规定有效的补救和制裁； </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(b)</w:t>
      </w:r>
      <w:r w:rsidR="008941DA" w:rsidRPr="00212883">
        <w:rPr>
          <w:rFonts w:ascii="SimHei" w:eastAsia="SimHei" w:hint="eastAsia"/>
        </w:rPr>
        <w:tab/>
        <w:t>修订《刑法》，废除其中所载纵容暴力侵害妇女行为的条款，例如第334和353条，并纳入将婚内强奸定为刑事罪的条款；</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(c)</w:t>
      </w:r>
      <w:r w:rsidR="008941DA" w:rsidRPr="00212883">
        <w:rPr>
          <w:rFonts w:ascii="SimHei" w:eastAsia="SimHei" w:hint="eastAsia"/>
        </w:rPr>
        <w:tab/>
        <w:t xml:space="preserve">向法官、检察官和警察提供强制性培训，介绍暴力侵害妇女行为的发生情况以及对待遭暴力侵害妇女的性别敏感的程序； </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(d)</w:t>
      </w:r>
      <w:r w:rsidR="008941DA" w:rsidRPr="00212883">
        <w:rPr>
          <w:rFonts w:ascii="SimHei" w:eastAsia="SimHei" w:hint="eastAsia"/>
        </w:rPr>
        <w:tab/>
        <w:t>系统地收集按性别、年龄以及受害者与施暴者关系分列的关于暴力侵害妇女和女童事件的数据；</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(e)</w:t>
      </w:r>
      <w:r w:rsidR="008941DA" w:rsidRPr="00212883">
        <w:rPr>
          <w:rFonts w:ascii="SimHei" w:eastAsia="SimHei" w:hint="eastAsia"/>
        </w:rPr>
        <w:tab/>
        <w:t xml:space="preserve">确保遭受暴力，包括家庭暴力的妇女和女童能够获得有效的保护，确保施暴者受到起诉和惩处； </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(f)</w:t>
      </w:r>
      <w:r w:rsidR="008941DA" w:rsidRPr="00212883">
        <w:rPr>
          <w:rFonts w:ascii="SimHei" w:eastAsia="SimHei" w:hint="eastAsia"/>
        </w:rPr>
        <w:tab/>
        <w:t xml:space="preserve">采取措施，确保未上报强奸案件不是因为受害者担心遭到报复或名声受损，也不是因为对警方和司法机构缺乏信任； </w:t>
      </w:r>
    </w:p>
    <w:p w:rsidR="008941DA" w:rsidRDefault="00212883" w:rsidP="008941DA">
      <w:pPr>
        <w:pStyle w:val="SingleTxt"/>
        <w:rPr>
          <w:rFonts w:hint="eastAsia"/>
        </w:rPr>
      </w:pPr>
      <w:r>
        <w:rPr>
          <w:rFonts w:ascii="SimHei" w:eastAsia="SimHei"/>
        </w:rPr>
        <w:tab/>
      </w:r>
      <w:r w:rsidR="008941DA" w:rsidRPr="00212883">
        <w:rPr>
          <w:rFonts w:ascii="SimHei" w:eastAsia="SimHei" w:hint="eastAsia"/>
        </w:rPr>
        <w:t>(g)</w:t>
      </w:r>
      <w:r w:rsidR="008941DA" w:rsidRPr="00212883">
        <w:rPr>
          <w:rFonts w:ascii="SimHei" w:eastAsia="SimHei" w:hint="eastAsia"/>
        </w:rPr>
        <w:tab/>
        <w:t>通过面向公众的教育和提高认识方案等方式，介绍一切形式暴力侵害妇女行为的犯罪性质，以消除阻碍妇女报告暴力案件的传统文化心态。</w:t>
      </w:r>
    </w:p>
    <w:p w:rsidR="008941DA" w:rsidRDefault="008941DA" w:rsidP="008941DA">
      <w:pPr>
        <w:pStyle w:val="SingleTxt"/>
        <w:rPr>
          <w:rFonts w:hint="eastAsia"/>
        </w:rPr>
      </w:pPr>
      <w:r>
        <w:rPr>
          <w:rFonts w:hint="eastAsia"/>
        </w:rPr>
        <w:t>23.</w:t>
      </w:r>
      <w:r>
        <w:rPr>
          <w:rFonts w:hint="eastAsia"/>
        </w:rPr>
        <w:tab/>
        <w:t>委员会很高兴得知存在一个以遭暴力侵害妇女为对象的收容所。但是，委员会感到关切的是，对暴力行为受害者的支助服务不足，并且缺乏关于她们重新融入社会和康复情况的数据。</w:t>
      </w:r>
    </w:p>
    <w:p w:rsidR="008941DA" w:rsidRPr="00212883" w:rsidRDefault="008941DA" w:rsidP="008941DA">
      <w:pPr>
        <w:pStyle w:val="SingleTxt"/>
        <w:rPr>
          <w:rFonts w:ascii="SimHei" w:eastAsia="SimHei" w:hint="eastAsia"/>
        </w:rPr>
      </w:pPr>
      <w:r>
        <w:rPr>
          <w:rFonts w:hint="eastAsia"/>
        </w:rPr>
        <w:t>24.</w:t>
      </w:r>
      <w:r>
        <w:rPr>
          <w:rFonts w:hint="eastAsia"/>
        </w:rPr>
        <w:tab/>
      </w:r>
      <w:r w:rsidRPr="00212883">
        <w:rPr>
          <w:rFonts w:ascii="SimHei" w:eastAsia="SimHei" w:hint="eastAsia"/>
        </w:rPr>
        <w:t>委员会建议缔约国：</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(a)</w:t>
      </w:r>
      <w:r w:rsidR="008941DA" w:rsidRPr="00212883">
        <w:rPr>
          <w:rFonts w:ascii="SimHei" w:eastAsia="SimHei" w:hint="eastAsia"/>
        </w:rPr>
        <w:tab/>
        <w:t xml:space="preserve">与非政府组织合作，并通过向它们提供充足资金，增加以遭暴力侵害妇女为对象的收容所及服务的数量和收容能力； </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(b)</w:t>
      </w:r>
      <w:r w:rsidR="008941DA" w:rsidRPr="00212883">
        <w:rPr>
          <w:rFonts w:ascii="SimHei" w:eastAsia="SimHei" w:hint="eastAsia"/>
        </w:rPr>
        <w:tab/>
        <w:t>采取措施，加强数据收集工作，以期确保遭暴力侵害妇女能够重新融入社会并获得康复服务。</w:t>
      </w:r>
    </w:p>
    <w:p w:rsidR="008941DA" w:rsidRPr="00212883" w:rsidRDefault="008941DA" w:rsidP="008941DA">
      <w:pPr>
        <w:pStyle w:val="SingleTxt"/>
        <w:rPr>
          <w:rFonts w:ascii="SimHei" w:eastAsia="SimHei" w:hint="eastAsia"/>
        </w:rPr>
      </w:pPr>
      <w:r w:rsidRPr="00212883">
        <w:rPr>
          <w:rFonts w:ascii="SimHei" w:eastAsia="SimHei" w:hint="eastAsia"/>
        </w:rPr>
        <w:t>贩运人口和利用卖淫赢利</w:t>
      </w:r>
    </w:p>
    <w:p w:rsidR="008941DA" w:rsidRDefault="008941DA" w:rsidP="008941DA">
      <w:pPr>
        <w:pStyle w:val="SingleTxt"/>
        <w:rPr>
          <w:rFonts w:hint="eastAsia"/>
        </w:rPr>
      </w:pPr>
      <w:r>
        <w:rPr>
          <w:rFonts w:hint="eastAsia"/>
        </w:rPr>
        <w:t>25.</w:t>
      </w:r>
      <w:r>
        <w:rPr>
          <w:rFonts w:hint="eastAsia"/>
        </w:rPr>
        <w:tab/>
        <w:t xml:space="preserve">委员会欢迎缔约国通过“打击人口贩运国家委员会”、通过加强劳动监察、通过与原籍国的双边合作，以及通过向受害者提供心理援助和人身保护，所作出的努力。但是，委员会重申，对以强迫劳动和/或性剥削为目的向缔约国贩运女童和妇女现象的普遍程度和严重程度感到关切。委员会尤为关切的是： </w:t>
      </w:r>
    </w:p>
    <w:p w:rsidR="008941DA" w:rsidRDefault="00212883" w:rsidP="008941DA">
      <w:pPr>
        <w:pStyle w:val="SingleTxt"/>
        <w:rPr>
          <w:rFonts w:hint="eastAsia"/>
        </w:rPr>
      </w:pPr>
      <w:r>
        <w:tab/>
      </w:r>
      <w:r w:rsidR="008941DA">
        <w:rPr>
          <w:rFonts w:hint="eastAsia"/>
        </w:rPr>
        <w:t>(a)</w:t>
      </w:r>
      <w:r w:rsidR="008941DA">
        <w:rPr>
          <w:rFonts w:hint="eastAsia"/>
        </w:rPr>
        <w:tab/>
        <w:t xml:space="preserve">缺乏解决人口贩运问题的全面国家战略； </w:t>
      </w:r>
    </w:p>
    <w:p w:rsidR="008941DA" w:rsidRDefault="00212883" w:rsidP="008941DA">
      <w:pPr>
        <w:pStyle w:val="SingleTxt"/>
        <w:rPr>
          <w:rFonts w:hint="eastAsia"/>
        </w:rPr>
      </w:pPr>
      <w:r>
        <w:tab/>
      </w:r>
      <w:r w:rsidR="008941DA">
        <w:rPr>
          <w:rFonts w:hint="eastAsia"/>
        </w:rPr>
        <w:t>(b)</w:t>
      </w:r>
      <w:r w:rsidR="008941DA">
        <w:rPr>
          <w:rFonts w:hint="eastAsia"/>
        </w:rPr>
        <w:tab/>
        <w:t xml:space="preserve">缺乏关于受益于现有方案的女性受害者人数的信息，以及人口贩运案件中起诉和惩治犯罪者的信息； </w:t>
      </w:r>
    </w:p>
    <w:p w:rsidR="008941DA" w:rsidRDefault="00212883" w:rsidP="008941DA">
      <w:pPr>
        <w:pStyle w:val="SingleTxt"/>
        <w:rPr>
          <w:rFonts w:hint="eastAsia"/>
        </w:rPr>
      </w:pPr>
      <w:r>
        <w:tab/>
      </w:r>
      <w:r w:rsidR="008941DA">
        <w:rPr>
          <w:rFonts w:hint="eastAsia"/>
        </w:rPr>
        <w:t>(c)</w:t>
      </w:r>
      <w:r w:rsidR="008941DA">
        <w:rPr>
          <w:rFonts w:hint="eastAsia"/>
        </w:rPr>
        <w:tab/>
        <w:t xml:space="preserve">有报告称，被贩运妇女因惧怕雇主报复、被拘留或驱逐出境而不愿提出投诉； </w:t>
      </w:r>
    </w:p>
    <w:p w:rsidR="008941DA" w:rsidRDefault="00212883" w:rsidP="008941DA">
      <w:pPr>
        <w:pStyle w:val="SingleTxt"/>
        <w:rPr>
          <w:rFonts w:hint="eastAsia"/>
        </w:rPr>
      </w:pPr>
      <w:r>
        <w:tab/>
      </w:r>
      <w:r w:rsidR="008941DA">
        <w:rPr>
          <w:rFonts w:hint="eastAsia"/>
        </w:rPr>
        <w:t>(d)</w:t>
      </w:r>
      <w:r w:rsidR="008941DA">
        <w:rPr>
          <w:rFonts w:hint="eastAsia"/>
        </w:rPr>
        <w:tab/>
        <w:t>缺乏关于卖淫问题的程度和范围的信息；还有，主要是贩运到缔约国的移徙妇女特别容易成为利用卖淫赢利的受害者。</w:t>
      </w:r>
    </w:p>
    <w:p w:rsidR="008941DA" w:rsidRPr="00212883" w:rsidRDefault="008941DA" w:rsidP="008941DA">
      <w:pPr>
        <w:pStyle w:val="SingleTxt"/>
        <w:rPr>
          <w:rFonts w:ascii="SimHei" w:eastAsia="SimHei" w:hint="eastAsia"/>
        </w:rPr>
      </w:pPr>
      <w:r>
        <w:rPr>
          <w:rFonts w:hint="eastAsia"/>
        </w:rPr>
        <w:t>26.</w:t>
      </w:r>
      <w:r>
        <w:rPr>
          <w:rFonts w:hint="eastAsia"/>
        </w:rPr>
        <w:tab/>
      </w:r>
      <w:r w:rsidRPr="00212883">
        <w:rPr>
          <w:rFonts w:ascii="SimHei" w:eastAsia="SimHei" w:hint="eastAsia"/>
        </w:rPr>
        <w:t>委员会重申其对缔约国的下列建议(</w:t>
      </w:r>
      <w:hyperlink r:id="rId27" w:history="1">
        <w:r w:rsidRPr="00B05841">
          <w:rPr>
            <w:rStyle w:val="Hyperlink"/>
            <w:rFonts w:ascii="SimHei" w:eastAsia="SimHei" w:hint="eastAsia"/>
          </w:rPr>
          <w:t>CEDAW/C/BHR/CO/2</w:t>
        </w:r>
      </w:hyperlink>
      <w:r w:rsidRPr="00212883">
        <w:rPr>
          <w:rFonts w:ascii="SimHei" w:eastAsia="SimHei" w:hint="eastAsia"/>
        </w:rPr>
        <w:t>，第27段)：</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(a)</w:t>
      </w:r>
      <w:r w:rsidR="008941DA" w:rsidRPr="00212883">
        <w:rPr>
          <w:rFonts w:ascii="SimHei" w:eastAsia="SimHei" w:hint="eastAsia"/>
        </w:rPr>
        <w:tab/>
        <w:t>采取并实施打击人口贩运的国家战略，包括采取刑事司法措施起诉并惩处贩运者，以及采取措施保护以强迫劳动和/或性剥削为目的的贩运的受害者并帮助她们康复；</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(b)</w:t>
      </w:r>
      <w:r w:rsidR="008941DA" w:rsidRPr="00212883">
        <w:rPr>
          <w:rFonts w:ascii="SimHei" w:eastAsia="SimHei" w:hint="eastAsia"/>
        </w:rPr>
        <w:tab/>
        <w:t xml:space="preserve">提供关于以强迫劳动和/或性剥削为目的的人口贩运案件以及受益于现有方案的受害者的统计数据； </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(c)</w:t>
      </w:r>
      <w:r w:rsidR="008941DA" w:rsidRPr="00212883">
        <w:rPr>
          <w:rFonts w:ascii="SimHei" w:eastAsia="SimHei" w:hint="eastAsia"/>
        </w:rPr>
        <w:tab/>
        <w:t xml:space="preserve">加强为警方、边境管制及其他执法机构以及劳动监察员举办的关于他们在预防和打击贩运妇女和女童方面作用的培训和提高认识方案； </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(d)</w:t>
      </w:r>
      <w:r w:rsidR="008941DA" w:rsidRPr="00212883">
        <w:rPr>
          <w:rFonts w:ascii="SimHei" w:eastAsia="SimHei" w:hint="eastAsia"/>
        </w:rPr>
        <w:tab/>
        <w:t xml:space="preserve">采取措施，包括酌情为发放居留证提供便利，确保受害者能够获得法律援助和必要的帮助、支持和保护； </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(e)</w:t>
      </w:r>
      <w:r w:rsidR="008941DA" w:rsidRPr="00212883">
        <w:rPr>
          <w:rFonts w:ascii="SimHei" w:eastAsia="SimHei" w:hint="eastAsia"/>
        </w:rPr>
        <w:tab/>
        <w:t>以移徙妇女为重点，提高对贩运人口及通过强迫劳动和卖淫利用妇女赢利的风险的认识；</w:t>
      </w:r>
    </w:p>
    <w:p w:rsidR="008941DA" w:rsidRDefault="00212883" w:rsidP="008941DA">
      <w:pPr>
        <w:pStyle w:val="SingleTxt"/>
        <w:rPr>
          <w:rFonts w:hint="eastAsia"/>
        </w:rPr>
      </w:pPr>
      <w:r>
        <w:rPr>
          <w:rFonts w:ascii="SimHei" w:eastAsia="SimHei"/>
        </w:rPr>
        <w:tab/>
      </w:r>
      <w:r w:rsidR="008941DA" w:rsidRPr="00212883">
        <w:rPr>
          <w:rFonts w:ascii="SimHei" w:eastAsia="SimHei" w:hint="eastAsia"/>
        </w:rPr>
        <w:t>(f)</w:t>
      </w:r>
      <w:r w:rsidR="008941DA" w:rsidRPr="00212883">
        <w:rPr>
          <w:rFonts w:ascii="SimHei" w:eastAsia="SimHei" w:hint="eastAsia"/>
        </w:rPr>
        <w:tab/>
        <w:t>提供关于卖淫问题的全面信息，包括缔约国为了压制卖淫需求及起诉和惩处利用卖淫赢利者而采取的措施。</w:t>
      </w:r>
      <w:r w:rsidR="008941DA">
        <w:rPr>
          <w:rFonts w:hint="eastAsia"/>
        </w:rPr>
        <w:t xml:space="preserve"> </w:t>
      </w:r>
    </w:p>
    <w:p w:rsidR="008941DA" w:rsidRPr="00212883" w:rsidRDefault="008941DA" w:rsidP="008941DA">
      <w:pPr>
        <w:pStyle w:val="SingleTxt"/>
        <w:rPr>
          <w:rFonts w:ascii="SimHei" w:eastAsia="SimHei" w:hint="eastAsia"/>
        </w:rPr>
      </w:pPr>
      <w:r w:rsidRPr="00212883">
        <w:rPr>
          <w:rFonts w:ascii="SimHei" w:eastAsia="SimHei" w:hint="eastAsia"/>
        </w:rPr>
        <w:t>参与政治和公共生活</w:t>
      </w:r>
    </w:p>
    <w:p w:rsidR="008941DA" w:rsidRDefault="008941DA" w:rsidP="008941DA">
      <w:pPr>
        <w:pStyle w:val="SingleTxt"/>
        <w:rPr>
          <w:rFonts w:hint="eastAsia"/>
        </w:rPr>
      </w:pPr>
      <w:r>
        <w:rPr>
          <w:rFonts w:hint="eastAsia"/>
        </w:rPr>
        <w:t>27.</w:t>
      </w:r>
      <w:r>
        <w:rPr>
          <w:rFonts w:hint="eastAsia"/>
        </w:rPr>
        <w:tab/>
        <w:t xml:space="preserve">委员会欢迎缔约国采取的鼓励妇女进入领导岗位的举措。不过，委员会感到遗憾的是，妇女即使教育水平和经济赋权程度高，但是在政治和公共生活中，尤其是在议会、地方议会和决策岗位中的比例仍然偏低。 </w:t>
      </w:r>
    </w:p>
    <w:p w:rsidR="008941DA" w:rsidRDefault="008941DA" w:rsidP="008941DA">
      <w:pPr>
        <w:pStyle w:val="SingleTxt"/>
        <w:rPr>
          <w:rFonts w:hint="eastAsia"/>
        </w:rPr>
      </w:pPr>
      <w:r>
        <w:rPr>
          <w:rFonts w:hint="eastAsia"/>
        </w:rPr>
        <w:t>28.</w:t>
      </w:r>
      <w:r>
        <w:rPr>
          <w:rFonts w:hint="eastAsia"/>
        </w:rPr>
        <w:tab/>
      </w:r>
      <w:r w:rsidRPr="00212883">
        <w:rPr>
          <w:rFonts w:ascii="SimHei" w:eastAsia="SimHei" w:hint="eastAsia"/>
        </w:rPr>
        <w:t>委员会重申其建议(</w:t>
      </w:r>
      <w:hyperlink r:id="rId28" w:history="1">
        <w:r w:rsidRPr="00B05841">
          <w:rPr>
            <w:rStyle w:val="Hyperlink"/>
            <w:rFonts w:ascii="SimHei" w:eastAsia="SimHei" w:hint="eastAsia"/>
          </w:rPr>
          <w:t>CEDAW/C/BHR/CO/2</w:t>
        </w:r>
      </w:hyperlink>
      <w:r w:rsidRPr="00212883">
        <w:rPr>
          <w:rFonts w:ascii="SimHei" w:eastAsia="SimHei" w:hint="eastAsia"/>
        </w:rPr>
        <w:t>，第29段)，促请缔约国根据委员会关于妇女参与政治和公共生活的第23号一般性建议采取措施，包括采取配额形式、有基准和具体时间表的暂行特别措施，以便在各级别、各领域，包括在议会和各级地方政府，增加妇女参与政治和公共生活的人数。委员会建议缔约国推动妇女进入领导岗位，并创造有利于各部门妇女晋升的政治和社会环境。</w:t>
      </w:r>
    </w:p>
    <w:p w:rsidR="008941DA" w:rsidRPr="00212883" w:rsidRDefault="008941DA" w:rsidP="008941DA">
      <w:pPr>
        <w:pStyle w:val="SingleTxt"/>
        <w:rPr>
          <w:rFonts w:ascii="SimHei" w:eastAsia="SimHei" w:hint="eastAsia"/>
        </w:rPr>
      </w:pPr>
      <w:r w:rsidRPr="00212883">
        <w:rPr>
          <w:rFonts w:ascii="SimHei" w:eastAsia="SimHei" w:hint="eastAsia"/>
        </w:rPr>
        <w:t>妇女人权维护者</w:t>
      </w:r>
    </w:p>
    <w:p w:rsidR="008941DA" w:rsidRDefault="008941DA" w:rsidP="008941DA">
      <w:pPr>
        <w:pStyle w:val="SingleTxt"/>
        <w:rPr>
          <w:rFonts w:hint="eastAsia"/>
        </w:rPr>
      </w:pPr>
      <w:r>
        <w:rPr>
          <w:rFonts w:hint="eastAsia"/>
        </w:rPr>
        <w:t>29.</w:t>
      </w:r>
      <w:r>
        <w:rPr>
          <w:rFonts w:hint="eastAsia"/>
        </w:rPr>
        <w:tab/>
        <w:t xml:space="preserve">委员会注意到，缔约国声称已落实巴林独立调查委员会提出的26项建议中的19项，并正在采取措施落实全部建议。但是，委员会特别关切的是，有人指称，2011年2、3月的政治事件发生后，参与公民活动的妇女有的遭到执法人员虐待和威胁，一些公共和私营部门专业职位上的妇女被开除、停职和降级，以及遭到各种其他形式的报复，包括拘留和取消国籍，有些妇女仍被拘留。 </w:t>
      </w:r>
    </w:p>
    <w:p w:rsidR="008941DA" w:rsidRPr="00212883" w:rsidRDefault="008941DA" w:rsidP="008941DA">
      <w:pPr>
        <w:pStyle w:val="SingleTxt"/>
        <w:rPr>
          <w:rFonts w:ascii="SimHei" w:eastAsia="SimHei" w:hint="eastAsia"/>
        </w:rPr>
      </w:pPr>
      <w:r>
        <w:rPr>
          <w:rFonts w:hint="eastAsia"/>
        </w:rPr>
        <w:t>30.</w:t>
      </w:r>
      <w:r>
        <w:rPr>
          <w:rFonts w:hint="eastAsia"/>
        </w:rPr>
        <w:tab/>
      </w:r>
      <w:r w:rsidRPr="00212883">
        <w:rPr>
          <w:rFonts w:ascii="SimHei" w:eastAsia="SimHei" w:hint="eastAsia"/>
        </w:rPr>
        <w:t xml:space="preserve">委员会建议缔约国： </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(a)</w:t>
      </w:r>
      <w:r w:rsidR="008941DA" w:rsidRPr="00212883">
        <w:rPr>
          <w:rFonts w:ascii="SimHei" w:eastAsia="SimHei" w:hint="eastAsia"/>
        </w:rPr>
        <w:tab/>
        <w:t xml:space="preserve">尽快充分执行巴林独立调查委员会提出的所有建议； </w:t>
      </w:r>
    </w:p>
    <w:p w:rsidR="008941DA" w:rsidRPr="00212883" w:rsidRDefault="007726BF" w:rsidP="008941DA">
      <w:pPr>
        <w:pStyle w:val="SingleTxt"/>
        <w:rPr>
          <w:rFonts w:ascii="SimHei" w:eastAsia="SimHei" w:hint="eastAsia"/>
        </w:rPr>
      </w:pPr>
      <w:r>
        <w:rPr>
          <w:rFonts w:ascii="SimHei" w:eastAsia="SimHei"/>
        </w:rPr>
        <w:tab/>
      </w:r>
      <w:r w:rsidR="008941DA" w:rsidRPr="00212883">
        <w:rPr>
          <w:rFonts w:ascii="SimHei" w:eastAsia="SimHei" w:hint="eastAsia"/>
        </w:rPr>
        <w:t>(b)</w:t>
      </w:r>
      <w:r w:rsidR="008941DA" w:rsidRPr="00212883">
        <w:rPr>
          <w:rFonts w:ascii="SimHei" w:eastAsia="SimHei" w:hint="eastAsia"/>
        </w:rPr>
        <w:tab/>
        <w:t xml:space="preserve">确保立即停止对和平参与或者似是支持2011年2月以来事件的妇女实行的任何制裁，确保妇女不因其政治派别而受到影响，立即恢复她们原来的职位，并提供赔偿和帮助她们康复； </w:t>
      </w:r>
    </w:p>
    <w:p w:rsidR="008941DA" w:rsidRPr="00212883" w:rsidRDefault="007726BF" w:rsidP="008941DA">
      <w:pPr>
        <w:pStyle w:val="SingleTxt"/>
        <w:rPr>
          <w:rFonts w:ascii="SimHei" w:eastAsia="SimHei" w:hint="eastAsia"/>
        </w:rPr>
      </w:pPr>
      <w:r>
        <w:rPr>
          <w:rFonts w:ascii="SimHei" w:eastAsia="SimHei"/>
        </w:rPr>
        <w:tab/>
      </w:r>
      <w:r w:rsidR="008941DA" w:rsidRPr="00212883">
        <w:rPr>
          <w:rFonts w:ascii="SimHei" w:eastAsia="SimHei" w:hint="eastAsia"/>
        </w:rPr>
        <w:t>(c)</w:t>
      </w:r>
      <w:r w:rsidR="008941DA" w:rsidRPr="00212883">
        <w:rPr>
          <w:rFonts w:ascii="SimHei" w:eastAsia="SimHei" w:hint="eastAsia"/>
        </w:rPr>
        <w:tab/>
        <w:t xml:space="preserve">确保妇女活动分子能够行使言论和结社自由权，并确保2013年7月对《保护社会免遭恐怖主义行为法(2006年)》的修订在这方面不产生负面影响； </w:t>
      </w:r>
    </w:p>
    <w:p w:rsidR="008941DA" w:rsidRPr="00212883" w:rsidRDefault="007726BF" w:rsidP="008941DA">
      <w:pPr>
        <w:pStyle w:val="SingleTxt"/>
        <w:rPr>
          <w:rFonts w:ascii="SimHei" w:eastAsia="SimHei" w:hint="eastAsia"/>
        </w:rPr>
      </w:pPr>
      <w:r>
        <w:rPr>
          <w:rFonts w:ascii="SimHei" w:eastAsia="SimHei"/>
        </w:rPr>
        <w:tab/>
      </w:r>
      <w:r w:rsidR="008941DA" w:rsidRPr="00212883">
        <w:rPr>
          <w:rFonts w:ascii="SimHei" w:eastAsia="SimHei" w:hint="eastAsia"/>
        </w:rPr>
        <w:t>(d)</w:t>
      </w:r>
      <w:r w:rsidR="008941DA" w:rsidRPr="00212883">
        <w:rPr>
          <w:rFonts w:ascii="SimHei" w:eastAsia="SimHei" w:hint="eastAsia"/>
        </w:rPr>
        <w:tab/>
        <w:t>确保妇女在当前持续进行的全国对话中的代表性，并将妇女问题列为对话议题。</w:t>
      </w:r>
    </w:p>
    <w:p w:rsidR="008941DA" w:rsidRPr="00212883" w:rsidRDefault="008941DA" w:rsidP="008941DA">
      <w:pPr>
        <w:pStyle w:val="SingleTxt"/>
        <w:rPr>
          <w:rFonts w:ascii="SimHei" w:eastAsia="SimHei" w:hint="eastAsia"/>
        </w:rPr>
      </w:pPr>
      <w:r w:rsidRPr="00212883">
        <w:rPr>
          <w:rFonts w:ascii="SimHei" w:eastAsia="SimHei" w:hint="eastAsia"/>
        </w:rPr>
        <w:t>民间社会和非政府组织</w:t>
      </w:r>
    </w:p>
    <w:p w:rsidR="008941DA" w:rsidRDefault="008941DA" w:rsidP="008941DA">
      <w:pPr>
        <w:pStyle w:val="SingleTxt"/>
        <w:rPr>
          <w:rFonts w:hint="eastAsia"/>
        </w:rPr>
      </w:pPr>
      <w:r>
        <w:rPr>
          <w:rFonts w:hint="eastAsia"/>
        </w:rPr>
        <w:t>31.</w:t>
      </w:r>
      <w:r>
        <w:rPr>
          <w:rFonts w:hint="eastAsia"/>
        </w:rPr>
        <w:tab/>
        <w:t>委员会注意到，缔约国提供资料指出，正在修订关于民间组织和机构的法律草案，该草案正在由议会两院进行审议。委员会对缔约国声称已采取措施使民间社会团体能够获得更多资金表示欢迎。但是，委员会感到关切的是，在现行《结社法》(第</w:t>
      </w:r>
      <w:hyperlink r:id="rId29" w:history="1">
        <w:r w:rsidRPr="00B05841">
          <w:rPr>
            <w:rStyle w:val="Hyperlink"/>
            <w:rFonts w:hint="eastAsia"/>
          </w:rPr>
          <w:t>21/198</w:t>
        </w:r>
      </w:hyperlink>
      <w:r>
        <w:rPr>
          <w:rFonts w:hint="eastAsia"/>
        </w:rPr>
        <w:t xml:space="preserve">9号法)下： </w:t>
      </w:r>
    </w:p>
    <w:p w:rsidR="008941DA" w:rsidRDefault="00212883" w:rsidP="008941DA">
      <w:pPr>
        <w:pStyle w:val="SingleTxt"/>
        <w:rPr>
          <w:rFonts w:hint="eastAsia"/>
        </w:rPr>
      </w:pPr>
      <w:r>
        <w:tab/>
      </w:r>
      <w:r w:rsidR="008941DA">
        <w:rPr>
          <w:rFonts w:hint="eastAsia"/>
        </w:rPr>
        <w:t>(a)</w:t>
      </w:r>
      <w:r w:rsidR="008941DA">
        <w:rPr>
          <w:rFonts w:hint="eastAsia"/>
        </w:rPr>
        <w:tab/>
        <w:t xml:space="preserve">妇女的结社自由因冗长的登记程序和过度监督，以及申请外国资金要通过内政部进行而受到阻碍； </w:t>
      </w:r>
    </w:p>
    <w:p w:rsidR="008941DA" w:rsidRDefault="00212883" w:rsidP="008941DA">
      <w:pPr>
        <w:pStyle w:val="SingleTxt"/>
        <w:rPr>
          <w:rFonts w:hint="eastAsia"/>
        </w:rPr>
      </w:pPr>
      <w:r>
        <w:tab/>
      </w:r>
      <w:r w:rsidR="008941DA">
        <w:rPr>
          <w:rFonts w:hint="eastAsia"/>
        </w:rPr>
        <w:t>(b)</w:t>
      </w:r>
      <w:r w:rsidR="008941DA">
        <w:rPr>
          <w:rFonts w:hint="eastAsia"/>
        </w:rPr>
        <w:tab/>
        <w:t>妇女协会被禁止参与政治活动。</w:t>
      </w:r>
    </w:p>
    <w:p w:rsidR="008941DA" w:rsidRPr="00212883" w:rsidRDefault="008941DA" w:rsidP="008941DA">
      <w:pPr>
        <w:pStyle w:val="SingleTxt"/>
        <w:rPr>
          <w:rFonts w:ascii="SimHei" w:eastAsia="SimHei" w:hint="eastAsia"/>
        </w:rPr>
      </w:pPr>
      <w:r>
        <w:rPr>
          <w:rFonts w:hint="eastAsia"/>
        </w:rPr>
        <w:t>32.</w:t>
      </w:r>
      <w:r>
        <w:rPr>
          <w:rFonts w:hint="eastAsia"/>
        </w:rPr>
        <w:tab/>
      </w:r>
      <w:r w:rsidRPr="00212883">
        <w:rPr>
          <w:rFonts w:ascii="SimHei" w:eastAsia="SimHei" w:hint="eastAsia"/>
        </w:rPr>
        <w:t>委员会建议缔约国：</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(a)</w:t>
      </w:r>
      <w:r w:rsidR="008941DA" w:rsidRPr="00212883">
        <w:rPr>
          <w:rFonts w:ascii="SimHei" w:eastAsia="SimHei" w:hint="eastAsia"/>
        </w:rPr>
        <w:tab/>
        <w:t xml:space="preserve">采取具体措施，包括通过法律修正案，创造并确保扶持环境，使妇女民间社会团体和从事性别平等及妇女赋权工作的非政府组织能够自由建立并自由地筹集资金和运作。委员会还建议缔约国加强在这方面与民间社会的磋商； </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(b)</w:t>
      </w:r>
      <w:r w:rsidR="008941DA" w:rsidRPr="00212883">
        <w:rPr>
          <w:rFonts w:ascii="SimHei" w:eastAsia="SimHei" w:hint="eastAsia"/>
        </w:rPr>
        <w:tab/>
        <w:t>确保关于民间组织和机构的法律草案使妇女非政府组织和协会能够按照《公约》第七条(c)项的规定，参与该国的公共和政治生活。</w:t>
      </w:r>
    </w:p>
    <w:p w:rsidR="008941DA" w:rsidRPr="00212883" w:rsidRDefault="008941DA" w:rsidP="008941DA">
      <w:pPr>
        <w:pStyle w:val="SingleTxt"/>
        <w:rPr>
          <w:rFonts w:ascii="SimHei" w:eastAsia="SimHei" w:hint="eastAsia"/>
        </w:rPr>
      </w:pPr>
      <w:r w:rsidRPr="00212883">
        <w:rPr>
          <w:rFonts w:ascii="SimHei" w:eastAsia="SimHei" w:hint="eastAsia"/>
        </w:rPr>
        <w:t>国籍</w:t>
      </w:r>
    </w:p>
    <w:p w:rsidR="008941DA" w:rsidRDefault="008941DA" w:rsidP="008941DA">
      <w:pPr>
        <w:pStyle w:val="SingleTxt"/>
        <w:rPr>
          <w:rFonts w:hint="eastAsia"/>
        </w:rPr>
      </w:pPr>
      <w:r>
        <w:rPr>
          <w:rFonts w:hint="eastAsia"/>
        </w:rPr>
        <w:t>33.</w:t>
      </w:r>
      <w:r>
        <w:rPr>
          <w:rFonts w:hint="eastAsia"/>
        </w:rPr>
        <w:tab/>
        <w:t xml:space="preserve">委员会欢迎2011年国王令赋予与外国人结婚的巴林妇女所生的335名子女巴林国籍，并赞赏地注意到，2014年1月内阁决定在满足某些条件的情况下赋予与外国人结婚的巴林妇女所生子女巴林国籍。但是，委员会对妇女仍然没有平等的国籍权表示关切，因为巴林男性可以自动将国籍传给子女，但是女性不行。委员会注意到，通过《国籍法》修正案草案的进程缓慢；委员会尤为关切的是，修正案不会自动赋予与外国人结婚的巴林妇女所生子女巴林国籍，而只是将现有制度编纂成法律，据此，妇女提出申请并经王室决定后，方可将其国籍传给子女。此外，委员会对无国籍人的状况，包括与外国人结婚的巴林妇女所生子女有可能成为无国籍人，表示关切。 </w:t>
      </w:r>
    </w:p>
    <w:p w:rsidR="008941DA" w:rsidRPr="00212883" w:rsidRDefault="008941DA" w:rsidP="008941DA">
      <w:pPr>
        <w:pStyle w:val="SingleTxt"/>
        <w:rPr>
          <w:rFonts w:ascii="SimHei" w:eastAsia="SimHei" w:hint="eastAsia"/>
        </w:rPr>
      </w:pPr>
      <w:r>
        <w:rPr>
          <w:rFonts w:hint="eastAsia"/>
        </w:rPr>
        <w:t>34.</w:t>
      </w:r>
      <w:r>
        <w:rPr>
          <w:rFonts w:hint="eastAsia"/>
        </w:rPr>
        <w:tab/>
      </w:r>
      <w:r w:rsidRPr="00212883">
        <w:rPr>
          <w:rFonts w:ascii="SimHei" w:eastAsia="SimHei" w:hint="eastAsia"/>
        </w:rPr>
        <w:t>委员会回顾其先前的建议(</w:t>
      </w:r>
      <w:hyperlink r:id="rId30" w:history="1">
        <w:r w:rsidRPr="00B05841">
          <w:rPr>
            <w:rStyle w:val="Hyperlink"/>
            <w:rFonts w:ascii="SimHei" w:eastAsia="SimHei" w:hint="eastAsia"/>
          </w:rPr>
          <w:t>CEDAW/C/BHR/CO/2</w:t>
        </w:r>
      </w:hyperlink>
      <w:r w:rsidRPr="00212883">
        <w:rPr>
          <w:rFonts w:ascii="SimHei" w:eastAsia="SimHei" w:hint="eastAsia"/>
        </w:rPr>
        <w:t>，第31段)，并考虑到缔约国在上次普遍定期审议中作出的承诺，敦促缔约国尽快修正《国籍法》，使其完全符合《公约》第九条，并撤消对第九条第2款的保留。此外，委员会建议缔约国考虑加入关于无国籍人状况的国际文书，包括1954年《关于无国籍人地位的公约》和1961年《减少无国籍状态公约》。</w:t>
      </w:r>
    </w:p>
    <w:p w:rsidR="008941DA" w:rsidRPr="00212883" w:rsidRDefault="008941DA" w:rsidP="008941DA">
      <w:pPr>
        <w:pStyle w:val="SingleTxt"/>
        <w:rPr>
          <w:rFonts w:ascii="SimHei" w:eastAsia="SimHei" w:hint="eastAsia"/>
        </w:rPr>
      </w:pPr>
      <w:r w:rsidRPr="00212883">
        <w:rPr>
          <w:rFonts w:ascii="SimHei" w:eastAsia="SimHei" w:hint="eastAsia"/>
        </w:rPr>
        <w:t>教育</w:t>
      </w:r>
    </w:p>
    <w:p w:rsidR="008941DA" w:rsidRDefault="008941DA" w:rsidP="008941DA">
      <w:pPr>
        <w:pStyle w:val="SingleTxt"/>
        <w:rPr>
          <w:rFonts w:hint="eastAsia"/>
        </w:rPr>
      </w:pPr>
      <w:r>
        <w:rPr>
          <w:rFonts w:hint="eastAsia"/>
        </w:rPr>
        <w:t>35.</w:t>
      </w:r>
      <w:r>
        <w:rPr>
          <w:rFonts w:hint="eastAsia"/>
        </w:rPr>
        <w:tab/>
        <w:t>委员会赞扬缔约国在女童和妇女教育方面取得的进展，以及缔约国对她们接受非传统职业培训的重视。但是，委员会注意到，影响女性的教育道路选择，尤其是对理工科选择的传统心态和定型观念仍然持续存在。</w:t>
      </w:r>
    </w:p>
    <w:p w:rsidR="008941DA" w:rsidRPr="00212883" w:rsidRDefault="008941DA" w:rsidP="008941DA">
      <w:pPr>
        <w:pStyle w:val="SingleTxt"/>
        <w:rPr>
          <w:rFonts w:ascii="SimHei" w:eastAsia="SimHei" w:hint="eastAsia"/>
        </w:rPr>
      </w:pPr>
      <w:r>
        <w:rPr>
          <w:rFonts w:hint="eastAsia"/>
        </w:rPr>
        <w:t>36.</w:t>
      </w:r>
      <w:r>
        <w:rPr>
          <w:rFonts w:hint="eastAsia"/>
        </w:rPr>
        <w:tab/>
      </w:r>
      <w:r w:rsidRPr="00212883">
        <w:rPr>
          <w:rFonts w:ascii="SimHei" w:eastAsia="SimHei" w:hint="eastAsia"/>
        </w:rPr>
        <w:t xml:space="preserve">委员会建议缔约国采取协调措施，使女生和男生的教育和职业选择更加多样化，并在下次定期报告中按性别分列，列表提供关于上述选择的数据，显示出男女各有多少人选修这些课程。 </w:t>
      </w:r>
    </w:p>
    <w:p w:rsidR="008941DA" w:rsidRPr="00212883" w:rsidRDefault="008941DA" w:rsidP="008941DA">
      <w:pPr>
        <w:pStyle w:val="SingleTxt"/>
        <w:rPr>
          <w:rFonts w:ascii="SimHei" w:eastAsia="SimHei" w:hint="eastAsia"/>
        </w:rPr>
      </w:pPr>
      <w:r w:rsidRPr="00212883">
        <w:rPr>
          <w:rFonts w:ascii="SimHei" w:eastAsia="SimHei" w:hint="eastAsia"/>
        </w:rPr>
        <w:t>就业</w:t>
      </w:r>
    </w:p>
    <w:p w:rsidR="008941DA" w:rsidRDefault="008941DA" w:rsidP="008941DA">
      <w:pPr>
        <w:pStyle w:val="SingleTxt"/>
        <w:rPr>
          <w:rFonts w:hint="eastAsia"/>
        </w:rPr>
      </w:pPr>
      <w:r>
        <w:rPr>
          <w:rFonts w:hint="eastAsia"/>
        </w:rPr>
        <w:t>37.</w:t>
      </w:r>
      <w:r>
        <w:rPr>
          <w:rFonts w:hint="eastAsia"/>
        </w:rPr>
        <w:tab/>
        <w:t xml:space="preserve">委员会赞赏地注意到，妇女就业人数不断增加。但是，委员会感到关切的是，妇女在失业和与工作有关的歧视方面受到的影响比男性严重得多，而且： </w:t>
      </w:r>
    </w:p>
    <w:p w:rsidR="008941DA" w:rsidRDefault="00212883" w:rsidP="008941DA">
      <w:pPr>
        <w:pStyle w:val="SingleTxt"/>
        <w:rPr>
          <w:rFonts w:hint="eastAsia"/>
        </w:rPr>
      </w:pPr>
      <w:r>
        <w:tab/>
      </w:r>
      <w:r w:rsidR="008941DA">
        <w:rPr>
          <w:rFonts w:hint="eastAsia"/>
        </w:rPr>
        <w:t>(a)</w:t>
      </w:r>
      <w:r w:rsidR="008941DA">
        <w:rPr>
          <w:rFonts w:hint="eastAsia"/>
        </w:rPr>
        <w:tab/>
        <w:t xml:space="preserve">男女收入差距实际上持续存在； </w:t>
      </w:r>
    </w:p>
    <w:p w:rsidR="008941DA" w:rsidRDefault="00212883" w:rsidP="008941DA">
      <w:pPr>
        <w:pStyle w:val="SingleTxt"/>
        <w:rPr>
          <w:rFonts w:hint="eastAsia"/>
        </w:rPr>
      </w:pPr>
      <w:r>
        <w:tab/>
      </w:r>
      <w:r w:rsidR="008941DA">
        <w:rPr>
          <w:rFonts w:hint="eastAsia"/>
        </w:rPr>
        <w:t>(b)</w:t>
      </w:r>
      <w:r w:rsidR="008941DA">
        <w:rPr>
          <w:rFonts w:hint="eastAsia"/>
        </w:rPr>
        <w:tab/>
        <w:t>《刑法》和关于私营部门劳工问题的第</w:t>
      </w:r>
      <w:hyperlink r:id="rId31" w:history="1">
        <w:r w:rsidR="008941DA" w:rsidRPr="00B05841">
          <w:rPr>
            <w:rStyle w:val="Hyperlink"/>
            <w:rFonts w:hint="eastAsia"/>
          </w:rPr>
          <w:t>36/201</w:t>
        </w:r>
      </w:hyperlink>
      <w:r w:rsidR="008941DA">
        <w:rPr>
          <w:rFonts w:hint="eastAsia"/>
        </w:rPr>
        <w:t xml:space="preserve">2号法，都没有“工作场所性骚扰”的具体定义，也没有将其定为刑事罪； </w:t>
      </w:r>
    </w:p>
    <w:p w:rsidR="008941DA" w:rsidRDefault="00212883" w:rsidP="008941DA">
      <w:pPr>
        <w:pStyle w:val="SingleTxt"/>
        <w:rPr>
          <w:rFonts w:hint="eastAsia"/>
        </w:rPr>
      </w:pPr>
      <w:r>
        <w:tab/>
      </w:r>
      <w:r w:rsidR="008941DA">
        <w:rPr>
          <w:rFonts w:hint="eastAsia"/>
        </w:rPr>
        <w:t>(c)</w:t>
      </w:r>
      <w:r w:rsidR="008941DA">
        <w:rPr>
          <w:rFonts w:hint="eastAsia"/>
        </w:rPr>
        <w:tab/>
        <w:t>关于私营部门劳工问题的第</w:t>
      </w:r>
      <w:hyperlink r:id="rId32" w:history="1">
        <w:r w:rsidR="008941DA" w:rsidRPr="00B05841">
          <w:rPr>
            <w:rStyle w:val="Hyperlink"/>
            <w:rFonts w:hint="eastAsia"/>
          </w:rPr>
          <w:t>36/201</w:t>
        </w:r>
      </w:hyperlink>
      <w:r w:rsidR="008941DA">
        <w:rPr>
          <w:rFonts w:hint="eastAsia"/>
        </w:rPr>
        <w:t xml:space="preserve">2号法允许禁止妇女就业，并赋予部长决定禁止妇女从事哪些职业的权力。 </w:t>
      </w:r>
    </w:p>
    <w:p w:rsidR="008941DA" w:rsidRPr="00212883" w:rsidRDefault="008941DA" w:rsidP="008941DA">
      <w:pPr>
        <w:pStyle w:val="SingleTxt"/>
        <w:rPr>
          <w:rFonts w:ascii="SimHei" w:eastAsia="SimHei" w:hint="eastAsia"/>
        </w:rPr>
      </w:pPr>
      <w:r>
        <w:rPr>
          <w:rFonts w:hint="eastAsia"/>
        </w:rPr>
        <w:t>38.</w:t>
      </w:r>
      <w:r>
        <w:rPr>
          <w:rFonts w:hint="eastAsia"/>
        </w:rPr>
        <w:tab/>
      </w:r>
      <w:r w:rsidRPr="00212883">
        <w:rPr>
          <w:rFonts w:ascii="SimHei" w:eastAsia="SimHei" w:hint="eastAsia"/>
        </w:rPr>
        <w:t>委员会建议缔约国：</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(a)</w:t>
      </w:r>
      <w:r w:rsidR="008941DA" w:rsidRPr="00212883">
        <w:rPr>
          <w:rFonts w:ascii="SimHei" w:eastAsia="SimHei" w:hint="eastAsia"/>
        </w:rPr>
        <w:tab/>
        <w:t>采取有效措施，消除男女收入差距；</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(b)</w:t>
      </w:r>
      <w:r w:rsidR="008941DA" w:rsidRPr="00212883">
        <w:rPr>
          <w:rFonts w:ascii="SimHei" w:eastAsia="SimHei" w:hint="eastAsia"/>
        </w:rPr>
        <w:tab/>
        <w:t>考虑批准国际劳工组织《1951年同酬公约》(第100号)；</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(c)</w:t>
      </w:r>
      <w:r w:rsidR="008941DA" w:rsidRPr="00212883">
        <w:rPr>
          <w:rFonts w:ascii="SimHei" w:eastAsia="SimHei" w:hint="eastAsia"/>
        </w:rPr>
        <w:tab/>
        <w:t>通过将工作场所一切形式性骚扰定为刑事罪的法律，并确保这些规定得到执行；</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(d)</w:t>
      </w:r>
      <w:r w:rsidR="008941DA" w:rsidRPr="00212883">
        <w:rPr>
          <w:rFonts w:ascii="SimHei" w:eastAsia="SimHei" w:hint="eastAsia"/>
        </w:rPr>
        <w:tab/>
        <w:t>确保限制妇女工作的部级决定只涉及孕产期保护，而不会使职业隔离或关于妇女角色和能力的定型观念长期不能消除。</w:t>
      </w:r>
    </w:p>
    <w:p w:rsidR="008941DA" w:rsidRPr="00212883" w:rsidRDefault="008941DA" w:rsidP="008941DA">
      <w:pPr>
        <w:pStyle w:val="SingleTxt"/>
        <w:rPr>
          <w:rFonts w:ascii="SimHei" w:eastAsia="SimHei" w:hint="eastAsia"/>
        </w:rPr>
      </w:pPr>
      <w:r w:rsidRPr="00212883">
        <w:rPr>
          <w:rFonts w:ascii="SimHei" w:eastAsia="SimHei" w:hint="eastAsia"/>
        </w:rPr>
        <w:t>移徙女工</w:t>
      </w:r>
    </w:p>
    <w:p w:rsidR="008941DA" w:rsidRDefault="008941DA" w:rsidP="008941DA">
      <w:pPr>
        <w:pStyle w:val="SingleTxt"/>
        <w:rPr>
          <w:rFonts w:hint="eastAsia"/>
        </w:rPr>
      </w:pPr>
      <w:r>
        <w:rPr>
          <w:rFonts w:hint="eastAsia"/>
        </w:rPr>
        <w:t>39.</w:t>
      </w:r>
      <w:r>
        <w:rPr>
          <w:rFonts w:hint="eastAsia"/>
        </w:rPr>
        <w:tab/>
        <w:t>委员会对缔约国代表团承诺通过赋予家政工人权利和法律保护的法律表示欢迎。但是，委员会感到关切的是，虽然移徙女工(大多在缔约国受雇为家政工人)遭到暴力侵害、虐待和剥削的案件众多，但是关于私营部门劳工问题的第</w:t>
      </w:r>
      <w:hyperlink r:id="rId33" w:history="1">
        <w:r w:rsidRPr="00B05841">
          <w:rPr>
            <w:rStyle w:val="Hyperlink"/>
            <w:rFonts w:hint="eastAsia"/>
          </w:rPr>
          <w:t>36/201</w:t>
        </w:r>
      </w:hyperlink>
      <w:r>
        <w:rPr>
          <w:rFonts w:hint="eastAsia"/>
        </w:rPr>
        <w:t>2号法对家政工人的适用范围有限。委员会赞扬缔约国通过了旨在改革担保制度的第79(2009)号决定，但是对雇主在雇佣合同中设定的条件可能使该决定达不到目的表示关切。委员会关切地注意到，缔约国没有提供资料，说明提供了哪些保护移徙家政女工免遭暴力侵害、虐待和剥削的支助服务和方案，以及为她们遭受暴力侵害的投诉提供了哪些法律和行政补救。</w:t>
      </w:r>
    </w:p>
    <w:p w:rsidR="008941DA" w:rsidRPr="00212883" w:rsidRDefault="008941DA" w:rsidP="008941DA">
      <w:pPr>
        <w:pStyle w:val="SingleTxt"/>
        <w:rPr>
          <w:rFonts w:ascii="SimHei" w:eastAsia="SimHei" w:hint="eastAsia"/>
        </w:rPr>
      </w:pPr>
      <w:r>
        <w:rPr>
          <w:rFonts w:hint="eastAsia"/>
        </w:rPr>
        <w:t>40.</w:t>
      </w:r>
      <w:r>
        <w:rPr>
          <w:rFonts w:hint="eastAsia"/>
        </w:rPr>
        <w:tab/>
      </w:r>
      <w:r w:rsidRPr="00212883">
        <w:rPr>
          <w:rFonts w:ascii="SimHei" w:eastAsia="SimHei" w:hint="eastAsia"/>
        </w:rPr>
        <w:t>委员会回顾其关于移徙女工的第26号一般性建议以及先前的建议(</w:t>
      </w:r>
      <w:hyperlink r:id="rId34" w:history="1">
        <w:r w:rsidRPr="00B05841">
          <w:rPr>
            <w:rStyle w:val="Hyperlink"/>
            <w:rFonts w:ascii="SimHei" w:eastAsia="SimHei" w:hint="eastAsia"/>
          </w:rPr>
          <w:t>CEDAW/C/BHR/CO/2</w:t>
        </w:r>
      </w:hyperlink>
      <w:r w:rsidRPr="00212883">
        <w:rPr>
          <w:rFonts w:ascii="SimHei" w:eastAsia="SimHei" w:hint="eastAsia"/>
        </w:rPr>
        <w:t xml:space="preserve">，第35段)，促请缔约国： </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(a)</w:t>
      </w:r>
      <w:r w:rsidR="008941DA" w:rsidRPr="00212883">
        <w:rPr>
          <w:rFonts w:ascii="SimHei" w:eastAsia="SimHei" w:hint="eastAsia"/>
        </w:rPr>
        <w:tab/>
        <w:t>加强对移徙女工的法律保护，特别是修订法律，使其规定适用于移徙家政女工；</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(b)</w:t>
      </w:r>
      <w:r w:rsidR="008941DA" w:rsidRPr="00212883">
        <w:rPr>
          <w:rFonts w:ascii="SimHei" w:eastAsia="SimHei" w:hint="eastAsia"/>
        </w:rPr>
        <w:tab/>
        <w:t xml:space="preserve">确保第79号决定的目标不因雇佣合同中的歧视性或虐待性条款而受到影响； </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(c)</w:t>
      </w:r>
      <w:r w:rsidR="008941DA" w:rsidRPr="00212883">
        <w:rPr>
          <w:rFonts w:ascii="SimHei" w:eastAsia="SimHei" w:hint="eastAsia"/>
        </w:rPr>
        <w:tab/>
        <w:t xml:space="preserve">继续采取步骤，以期切实废除担保制度，并为此向国际劳工组织寻求技术援助； </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(d)</w:t>
      </w:r>
      <w:r w:rsidR="008941DA" w:rsidRPr="00212883">
        <w:rPr>
          <w:rFonts w:ascii="SimHei" w:eastAsia="SimHei" w:hint="eastAsia"/>
        </w:rPr>
        <w:tab/>
        <w:t xml:space="preserve">起诉并作出判决惩处有暴力、虐待和剥削行为的雇主和招工机构； </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(e)</w:t>
      </w:r>
      <w:r w:rsidR="008941DA" w:rsidRPr="00212883">
        <w:rPr>
          <w:rFonts w:ascii="SimHei" w:eastAsia="SimHei" w:hint="eastAsia"/>
        </w:rPr>
        <w:tab/>
        <w:t xml:space="preserve">提高移徙妇女和家政工人对劳工权利的认识； </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(f)</w:t>
      </w:r>
      <w:r w:rsidR="008941DA" w:rsidRPr="00212883">
        <w:rPr>
          <w:rFonts w:ascii="SimHei" w:eastAsia="SimHei" w:hint="eastAsia"/>
        </w:rPr>
        <w:tab/>
        <w:t>确保移徙女工切实获得法律援助并能诉诸投诉机制，并向剥削和虐待行为的受害者提供必要的保护和援助，包括让她们立即入住收容所和获得康复服务。</w:t>
      </w:r>
    </w:p>
    <w:p w:rsidR="008941DA" w:rsidRPr="00212883" w:rsidRDefault="008941DA" w:rsidP="008941DA">
      <w:pPr>
        <w:pStyle w:val="SingleTxt"/>
        <w:rPr>
          <w:rFonts w:ascii="SimHei" w:eastAsia="SimHei" w:hint="eastAsia"/>
        </w:rPr>
      </w:pPr>
      <w:r w:rsidRPr="00212883">
        <w:rPr>
          <w:rFonts w:ascii="SimHei" w:eastAsia="SimHei" w:hint="eastAsia"/>
        </w:rPr>
        <w:t>保健</w:t>
      </w:r>
    </w:p>
    <w:p w:rsidR="008941DA" w:rsidRDefault="008941DA" w:rsidP="008941DA">
      <w:pPr>
        <w:pStyle w:val="SingleTxt"/>
        <w:rPr>
          <w:rFonts w:hint="eastAsia"/>
        </w:rPr>
      </w:pPr>
      <w:r>
        <w:rPr>
          <w:rFonts w:hint="eastAsia"/>
        </w:rPr>
        <w:t>41.</w:t>
      </w:r>
      <w:r>
        <w:rPr>
          <w:rFonts w:hint="eastAsia"/>
        </w:rPr>
        <w:tab/>
        <w:t xml:space="preserve">委员会赞扬缔约国改变了产妇接受剖腹手术前必须得到丈夫同意的做法。但是，委员会感到关切的是： </w:t>
      </w:r>
    </w:p>
    <w:p w:rsidR="008941DA" w:rsidRDefault="00212883" w:rsidP="008941DA">
      <w:pPr>
        <w:pStyle w:val="SingleTxt"/>
        <w:rPr>
          <w:rFonts w:hint="eastAsia"/>
        </w:rPr>
      </w:pPr>
      <w:r>
        <w:tab/>
      </w:r>
      <w:r w:rsidR="008941DA">
        <w:rPr>
          <w:rFonts w:hint="eastAsia"/>
        </w:rPr>
        <w:t>(a)</w:t>
      </w:r>
      <w:r w:rsidR="008941DA">
        <w:rPr>
          <w:rFonts w:hint="eastAsia"/>
        </w:rPr>
        <w:tab/>
        <w:t xml:space="preserve">移徙女工很难获得免费急诊服务； </w:t>
      </w:r>
    </w:p>
    <w:p w:rsidR="008941DA" w:rsidRDefault="00212883" w:rsidP="008941DA">
      <w:pPr>
        <w:pStyle w:val="SingleTxt"/>
        <w:rPr>
          <w:rFonts w:hint="eastAsia"/>
        </w:rPr>
      </w:pPr>
      <w:r>
        <w:tab/>
      </w:r>
      <w:r w:rsidR="008941DA">
        <w:rPr>
          <w:rFonts w:hint="eastAsia"/>
        </w:rPr>
        <w:t>(b)</w:t>
      </w:r>
      <w:r w:rsidR="008941DA">
        <w:rPr>
          <w:rFonts w:hint="eastAsia"/>
        </w:rPr>
        <w:tab/>
        <w:t>妇女即使因强奸或乱伦而怀孕，堕胎也被定为刑事罪。</w:t>
      </w:r>
    </w:p>
    <w:p w:rsidR="008941DA" w:rsidRPr="00212883" w:rsidRDefault="008941DA" w:rsidP="008941DA">
      <w:pPr>
        <w:pStyle w:val="SingleTxt"/>
        <w:rPr>
          <w:rFonts w:ascii="SimHei" w:eastAsia="SimHei" w:hint="eastAsia"/>
        </w:rPr>
      </w:pPr>
      <w:r>
        <w:rPr>
          <w:rFonts w:hint="eastAsia"/>
        </w:rPr>
        <w:t>42.</w:t>
      </w:r>
      <w:r>
        <w:rPr>
          <w:rFonts w:hint="eastAsia"/>
        </w:rPr>
        <w:tab/>
      </w:r>
      <w:r w:rsidRPr="00212883">
        <w:rPr>
          <w:rFonts w:ascii="SimHei" w:eastAsia="SimHei" w:hint="eastAsia"/>
        </w:rPr>
        <w:t>委员会建议缔约国：</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(a)</w:t>
      </w:r>
      <w:r w:rsidR="008941DA" w:rsidRPr="00212883">
        <w:rPr>
          <w:rFonts w:ascii="SimHei" w:eastAsia="SimHei" w:hint="eastAsia"/>
        </w:rPr>
        <w:tab/>
        <w:t xml:space="preserve">采取适当措施，确保移徙女工能够获得免费紧急医疗服务； </w:t>
      </w:r>
    </w:p>
    <w:p w:rsidR="008941DA" w:rsidRPr="00212883" w:rsidRDefault="00212883" w:rsidP="008941DA">
      <w:pPr>
        <w:pStyle w:val="SingleTxt"/>
        <w:rPr>
          <w:rFonts w:ascii="SimHei" w:eastAsia="SimHei" w:hint="eastAsia"/>
        </w:rPr>
      </w:pPr>
      <w:r w:rsidRPr="00212883">
        <w:rPr>
          <w:rFonts w:ascii="SimHei" w:eastAsia="SimHei"/>
        </w:rPr>
        <w:tab/>
      </w:r>
      <w:r w:rsidR="008941DA" w:rsidRPr="00212883">
        <w:rPr>
          <w:rFonts w:ascii="SimHei" w:eastAsia="SimHei" w:hint="eastAsia"/>
        </w:rPr>
        <w:t>(b)</w:t>
      </w:r>
      <w:r w:rsidR="008941DA" w:rsidRPr="00212883">
        <w:rPr>
          <w:rFonts w:ascii="SimHei" w:eastAsia="SimHei" w:hint="eastAsia"/>
        </w:rPr>
        <w:tab/>
        <w:t>考虑根据委员会关于妇女和保健的第24号一般性建议修订法律，允许在强奸或乱伦导致怀孕情况下的堕胎，以保护受害者的最高利益，并废除对在这种情况下实行堕胎的妇女施加的惩罚措施。</w:t>
      </w:r>
    </w:p>
    <w:p w:rsidR="008941DA" w:rsidRPr="00212883" w:rsidRDefault="008941DA" w:rsidP="008941DA">
      <w:pPr>
        <w:pStyle w:val="SingleTxt"/>
        <w:rPr>
          <w:rFonts w:ascii="SimHei" w:eastAsia="SimHei" w:hint="eastAsia"/>
        </w:rPr>
      </w:pPr>
      <w:r w:rsidRPr="00212883">
        <w:rPr>
          <w:rFonts w:ascii="SimHei" w:eastAsia="SimHei" w:hint="eastAsia"/>
        </w:rPr>
        <w:t>婚姻和家庭关系</w:t>
      </w:r>
    </w:p>
    <w:p w:rsidR="008941DA" w:rsidRDefault="008941DA" w:rsidP="008941DA">
      <w:pPr>
        <w:pStyle w:val="SingleTxt"/>
        <w:rPr>
          <w:rFonts w:hint="eastAsia"/>
        </w:rPr>
      </w:pPr>
      <w:r>
        <w:rPr>
          <w:rFonts w:hint="eastAsia"/>
        </w:rPr>
        <w:t>43.</w:t>
      </w:r>
      <w:r>
        <w:rPr>
          <w:rFonts w:hint="eastAsia"/>
        </w:rPr>
        <w:tab/>
        <w:t>委员会注意到，缔约国代表团声称一夫多妻和早婚现象在缔约国并不常见。但是，委员会仍感关切的是，现行法律仍然不承认女性与男性在家庭关系中，特别是在结婚、结婚年龄、离婚、子女监护权、监管权和继承权方面享有平等权利。委员会感兴趣地注意到，缔约国通过了《家庭问题裁决法》(2009年第19号法)第一部分，该部分涉及逊尼派社群内的家庭问题。但是，委员会仍感关切的是，缺乏统一的家庭法典，而且该法不适用于什叶派法庭，因此什叶派妇女得不到成文的个人地位法的保护。</w:t>
      </w:r>
    </w:p>
    <w:p w:rsidR="008941DA" w:rsidRPr="00212883" w:rsidRDefault="008941DA" w:rsidP="008941DA">
      <w:pPr>
        <w:pStyle w:val="SingleTxt"/>
        <w:rPr>
          <w:rFonts w:ascii="SimHei" w:eastAsia="SimHei" w:hint="eastAsia"/>
        </w:rPr>
      </w:pPr>
      <w:r>
        <w:rPr>
          <w:rFonts w:hint="eastAsia"/>
        </w:rPr>
        <w:t>44.</w:t>
      </w:r>
      <w:r>
        <w:rPr>
          <w:rFonts w:hint="eastAsia"/>
        </w:rPr>
        <w:tab/>
      </w:r>
      <w:r w:rsidRPr="00212883">
        <w:rPr>
          <w:rFonts w:ascii="SimHei" w:eastAsia="SimHei" w:hint="eastAsia"/>
        </w:rPr>
        <w:t>委员会鼓励缔约国在《家庭问题裁决法》(2009年第19号法)第一部分所取得进展的基础上，尽快通过该法第二部分，以期通过一项统一的家庭法，确保在家庭问题上的平等，并能有效地诉诸司法。为此，委员会建议缔约国：</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(a)</w:t>
      </w:r>
      <w:r w:rsidR="008941DA" w:rsidRPr="00212883">
        <w:rPr>
          <w:rFonts w:ascii="SimHei" w:eastAsia="SimHei" w:hint="eastAsia"/>
        </w:rPr>
        <w:tab/>
        <w:t>采取步骤确保什叶派社群在家庭问题上能够诉诸司法；</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(b)</w:t>
      </w:r>
      <w:r w:rsidR="008941DA" w:rsidRPr="00212883">
        <w:rPr>
          <w:rFonts w:ascii="SimHei" w:eastAsia="SimHei" w:hint="eastAsia"/>
        </w:rPr>
        <w:tab/>
        <w:t xml:space="preserve">提高人们对通过一项确保妇女在《公约》下权利的统一的家庭法的必要性的认识； </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(c)</w:t>
      </w:r>
      <w:r w:rsidR="008941DA" w:rsidRPr="00212883">
        <w:rPr>
          <w:rFonts w:ascii="SimHei" w:eastAsia="SimHei" w:hint="eastAsia"/>
        </w:rPr>
        <w:tab/>
        <w:t xml:space="preserve">向有类似宗教背景和法律制度并已使其国内法符合其所批准的具有法律约束力的国际文书――特别是涉及男女在结婚、离婚、子女监护权和继承权方面的平等权利的国际文书――的国家借鉴经验。 </w:t>
      </w:r>
    </w:p>
    <w:p w:rsidR="008941DA" w:rsidRPr="00212883" w:rsidRDefault="00212883" w:rsidP="008941DA">
      <w:pPr>
        <w:pStyle w:val="SingleTxt"/>
        <w:rPr>
          <w:rFonts w:ascii="SimHei" w:eastAsia="SimHei" w:hint="eastAsia"/>
        </w:rPr>
      </w:pPr>
      <w:r>
        <w:rPr>
          <w:rFonts w:ascii="SimHei" w:eastAsia="SimHei"/>
        </w:rPr>
        <w:tab/>
      </w:r>
      <w:r w:rsidR="008941DA" w:rsidRPr="00212883">
        <w:rPr>
          <w:rFonts w:ascii="SimHei" w:eastAsia="SimHei" w:hint="eastAsia"/>
        </w:rPr>
        <w:t>(d)</w:t>
      </w:r>
      <w:r w:rsidR="008941DA" w:rsidRPr="00212883">
        <w:rPr>
          <w:rFonts w:ascii="SimHei" w:eastAsia="SimHei" w:hint="eastAsia"/>
        </w:rPr>
        <w:tab/>
        <w:t>委员会还重申其建议(</w:t>
      </w:r>
      <w:hyperlink r:id="rId35" w:history="1">
        <w:r w:rsidR="008941DA" w:rsidRPr="00B05841">
          <w:rPr>
            <w:rStyle w:val="Hyperlink"/>
            <w:rFonts w:ascii="SimHei" w:eastAsia="SimHei" w:hint="eastAsia"/>
          </w:rPr>
          <w:t>CEDAW/C/BHR/CO/2</w:t>
        </w:r>
      </w:hyperlink>
      <w:r w:rsidR="008941DA" w:rsidRPr="00212883">
        <w:rPr>
          <w:rFonts w:ascii="SimHei" w:eastAsia="SimHei" w:hint="eastAsia"/>
        </w:rPr>
        <w:t>，第39段)，即缔约国应将女性最低结婚年龄提高到18岁，与男性相同，并采取具体措施废除一夫多妻制。委员会促请缔约国重新评估其对《公约》第十五条第4款和第十六条的保留，以期撤销这些保留。</w:t>
      </w:r>
    </w:p>
    <w:p w:rsidR="008941DA" w:rsidRPr="00212883" w:rsidRDefault="008941DA" w:rsidP="008941DA">
      <w:pPr>
        <w:pStyle w:val="SingleTxt"/>
        <w:rPr>
          <w:rFonts w:ascii="SimHei" w:eastAsia="SimHei" w:hint="eastAsia"/>
        </w:rPr>
      </w:pPr>
      <w:r w:rsidRPr="00212883">
        <w:rPr>
          <w:rFonts w:ascii="SimHei" w:eastAsia="SimHei" w:hint="eastAsia"/>
        </w:rPr>
        <w:t xml:space="preserve">离婚的经济后果 </w:t>
      </w:r>
    </w:p>
    <w:p w:rsidR="008941DA" w:rsidRDefault="008941DA" w:rsidP="008941DA">
      <w:pPr>
        <w:pStyle w:val="SingleTxt"/>
        <w:rPr>
          <w:rFonts w:hint="eastAsia"/>
        </w:rPr>
      </w:pPr>
      <w:r>
        <w:rPr>
          <w:rFonts w:hint="eastAsia"/>
        </w:rPr>
        <w:t>45.</w:t>
      </w:r>
      <w:r>
        <w:rPr>
          <w:rFonts w:hint="eastAsia"/>
        </w:rPr>
        <w:tab/>
        <w:t>委员会注意到</w:t>
      </w:r>
      <w:r w:rsidRPr="007726BF">
        <w:rPr>
          <w:rFonts w:hint="eastAsia"/>
          <w:spacing w:val="2"/>
        </w:rPr>
        <w:t>缔约国提供的关于当代离婚做法的资料。但是，委员会严重关切妇女在离婚方面仍然面对的歧视和</w:t>
      </w:r>
      <w:r>
        <w:rPr>
          <w:rFonts w:hint="eastAsia"/>
        </w:rPr>
        <w:t xml:space="preserve">法律限制。委员会重申，对于离婚给妇女带来的负面经济后果，包括退还嫁妆、支付赔偿和接受有限赡养费的义务感到关切。 </w:t>
      </w:r>
    </w:p>
    <w:p w:rsidR="008941DA" w:rsidRPr="00E823E7" w:rsidRDefault="008941DA" w:rsidP="008941DA">
      <w:pPr>
        <w:pStyle w:val="SingleTxt"/>
        <w:rPr>
          <w:rFonts w:ascii="SimHei" w:eastAsia="SimHei" w:hint="eastAsia"/>
        </w:rPr>
      </w:pPr>
      <w:r>
        <w:rPr>
          <w:rFonts w:hint="eastAsia"/>
        </w:rPr>
        <w:t>46.</w:t>
      </w:r>
      <w:r>
        <w:rPr>
          <w:rFonts w:hint="eastAsia"/>
        </w:rPr>
        <w:tab/>
      </w:r>
      <w:r w:rsidRPr="00E823E7">
        <w:rPr>
          <w:rFonts w:ascii="SimHei" w:eastAsia="SimHei" w:hint="eastAsia"/>
        </w:rPr>
        <w:t xml:space="preserve">委员会按照其关于结婚、家庭关系及其解除的经济后果的第29号一般性建议，促请缔约国使其《家庭问题裁决法》(2009年第19号法)与《公约》完全统一，以消除妇女在与离婚有关的事情上受到的限制和歧视。委员会鼓励缔约国尽快完成关于离婚给妇女带来的经济后果的研究，并采取立法措施补救现行的财产分配和所有权规则可能造成的不利影响。 </w:t>
      </w:r>
    </w:p>
    <w:p w:rsidR="008941DA" w:rsidRPr="00E823E7" w:rsidRDefault="008941DA" w:rsidP="008941DA">
      <w:pPr>
        <w:pStyle w:val="SingleTxt"/>
        <w:rPr>
          <w:rFonts w:ascii="SimHei" w:eastAsia="SimHei" w:hint="eastAsia"/>
        </w:rPr>
      </w:pPr>
      <w:r w:rsidRPr="00E823E7">
        <w:rPr>
          <w:rFonts w:ascii="SimHei" w:eastAsia="SimHei" w:hint="eastAsia"/>
        </w:rPr>
        <w:t>国家人权机构</w:t>
      </w:r>
    </w:p>
    <w:p w:rsidR="008941DA" w:rsidRDefault="008941DA" w:rsidP="008941DA">
      <w:pPr>
        <w:pStyle w:val="SingleTxt"/>
        <w:rPr>
          <w:rFonts w:hint="eastAsia"/>
        </w:rPr>
      </w:pPr>
      <w:r>
        <w:rPr>
          <w:rFonts w:hint="eastAsia"/>
        </w:rPr>
        <w:t>47.</w:t>
      </w:r>
      <w:r>
        <w:rPr>
          <w:rFonts w:hint="eastAsia"/>
        </w:rPr>
        <w:tab/>
        <w:t xml:space="preserve">委员会对缔约国成立“国家人权机构”表示欢迎。但是，委员会注意到，该机构尚未向促进和保护人权国家机构国际协调委员会提出认证申请。委员会还注意到，缔约国没有提供关于该机构的任务授权和可动用资源的资料。 </w:t>
      </w:r>
    </w:p>
    <w:p w:rsidR="008941DA" w:rsidRPr="00E823E7" w:rsidRDefault="008941DA" w:rsidP="008941DA">
      <w:pPr>
        <w:pStyle w:val="SingleTxt"/>
        <w:rPr>
          <w:rFonts w:ascii="SimHei" w:eastAsia="SimHei" w:hint="eastAsia"/>
        </w:rPr>
      </w:pPr>
      <w:r>
        <w:rPr>
          <w:rFonts w:hint="eastAsia"/>
        </w:rPr>
        <w:t>48.</w:t>
      </w:r>
      <w:r>
        <w:rPr>
          <w:rFonts w:hint="eastAsia"/>
        </w:rPr>
        <w:tab/>
      </w:r>
      <w:r w:rsidRPr="00E823E7">
        <w:rPr>
          <w:rFonts w:ascii="SimHei" w:eastAsia="SimHei" w:hint="eastAsia"/>
        </w:rPr>
        <w:t xml:space="preserve">委员会建议缔约国鼓励“国际人权机构”向促进和保护人权国家机构国际协调委员会提出认证申请；按照促进和保护人权国家机构地位原则(《巴黎原则》)，加强该机构的独立性、有效性和能见度；向该机构提供足够的人力和财政资源，授予它在性别平等和妇女权利方面的具体任务，并且提供一种机制，使妇女能够在《公约》所赋的权利受到侵犯时作出投诉。 </w:t>
      </w:r>
    </w:p>
    <w:p w:rsidR="008941DA" w:rsidRPr="00E823E7" w:rsidRDefault="008941DA" w:rsidP="008941DA">
      <w:pPr>
        <w:pStyle w:val="SingleTxt"/>
        <w:rPr>
          <w:rFonts w:ascii="SimHei" w:eastAsia="SimHei" w:hint="eastAsia"/>
        </w:rPr>
      </w:pPr>
      <w:r w:rsidRPr="00E823E7">
        <w:rPr>
          <w:rFonts w:ascii="SimHei" w:eastAsia="SimHei" w:hint="eastAsia"/>
        </w:rPr>
        <w:t>任择议定书</w:t>
      </w:r>
    </w:p>
    <w:p w:rsidR="008941DA" w:rsidRPr="00E823E7" w:rsidRDefault="008941DA" w:rsidP="008941DA">
      <w:pPr>
        <w:pStyle w:val="SingleTxt"/>
        <w:rPr>
          <w:rFonts w:ascii="SimHei" w:eastAsia="SimHei" w:hint="eastAsia"/>
        </w:rPr>
      </w:pPr>
      <w:r>
        <w:rPr>
          <w:rFonts w:hint="eastAsia"/>
        </w:rPr>
        <w:t>49.</w:t>
      </w:r>
      <w:r>
        <w:rPr>
          <w:rFonts w:hint="eastAsia"/>
        </w:rPr>
        <w:tab/>
      </w:r>
      <w:r w:rsidRPr="00E823E7">
        <w:rPr>
          <w:rFonts w:ascii="SimHei" w:eastAsia="SimHei" w:hint="eastAsia"/>
        </w:rPr>
        <w:t>委员会鼓励缔约国批准《公约》的任择议定书。</w:t>
      </w:r>
    </w:p>
    <w:p w:rsidR="008941DA" w:rsidRPr="00E823E7" w:rsidRDefault="008941DA" w:rsidP="008941DA">
      <w:pPr>
        <w:pStyle w:val="SingleTxt"/>
        <w:rPr>
          <w:rFonts w:ascii="SimHei" w:eastAsia="SimHei" w:hint="eastAsia"/>
        </w:rPr>
      </w:pPr>
      <w:r w:rsidRPr="00E823E7">
        <w:rPr>
          <w:rFonts w:ascii="SimHei" w:eastAsia="SimHei" w:hint="eastAsia"/>
        </w:rPr>
        <w:t>《北京宣言和行动纲要》</w:t>
      </w:r>
    </w:p>
    <w:p w:rsidR="008941DA" w:rsidRPr="00E823E7" w:rsidRDefault="008941DA" w:rsidP="008941DA">
      <w:pPr>
        <w:pStyle w:val="SingleTxt"/>
        <w:rPr>
          <w:rFonts w:ascii="SimHei" w:eastAsia="SimHei" w:hint="eastAsia"/>
        </w:rPr>
      </w:pPr>
      <w:r>
        <w:rPr>
          <w:rFonts w:hint="eastAsia"/>
        </w:rPr>
        <w:t>50.</w:t>
      </w:r>
      <w:r>
        <w:rPr>
          <w:rFonts w:hint="eastAsia"/>
        </w:rPr>
        <w:tab/>
      </w:r>
      <w:r w:rsidRPr="00E823E7">
        <w:rPr>
          <w:rFonts w:ascii="SimHei" w:eastAsia="SimHei" w:hint="eastAsia"/>
        </w:rPr>
        <w:t>委员会促请缔约国利用《北京宣言和行动纲要》来指导其落实《公约》规定的努力。</w:t>
      </w:r>
    </w:p>
    <w:p w:rsidR="008941DA" w:rsidRPr="00E823E7" w:rsidRDefault="008941DA" w:rsidP="008941DA">
      <w:pPr>
        <w:pStyle w:val="SingleTxt"/>
        <w:rPr>
          <w:rFonts w:ascii="SimHei" w:eastAsia="SimHei" w:hint="eastAsia"/>
        </w:rPr>
      </w:pPr>
      <w:r w:rsidRPr="00E823E7">
        <w:rPr>
          <w:rFonts w:ascii="SimHei" w:eastAsia="SimHei" w:hint="eastAsia"/>
        </w:rPr>
        <w:t>《千年发展目标》和2015年后发展框架</w:t>
      </w:r>
    </w:p>
    <w:p w:rsidR="008941DA" w:rsidRPr="00E823E7" w:rsidRDefault="008941DA" w:rsidP="008941DA">
      <w:pPr>
        <w:pStyle w:val="SingleTxt"/>
        <w:rPr>
          <w:rFonts w:ascii="SimHei" w:eastAsia="SimHei" w:hint="eastAsia"/>
        </w:rPr>
      </w:pPr>
      <w:r>
        <w:rPr>
          <w:rFonts w:hint="eastAsia"/>
        </w:rPr>
        <w:t>51.</w:t>
      </w:r>
      <w:r>
        <w:rPr>
          <w:rFonts w:hint="eastAsia"/>
        </w:rPr>
        <w:tab/>
      </w:r>
      <w:r w:rsidRPr="00E823E7">
        <w:rPr>
          <w:rFonts w:ascii="SimHei" w:eastAsia="SimHei" w:hint="eastAsia"/>
        </w:rPr>
        <w:t>委员会促请缔约国按照《公约》的规定，将性别平等视角纳入其所作出的所有旨在实现《千年发展目标》的努力以及与2015年后发展框架有关的努力。</w:t>
      </w:r>
    </w:p>
    <w:p w:rsidR="008941DA" w:rsidRPr="00E823E7" w:rsidRDefault="008941DA" w:rsidP="008941DA">
      <w:pPr>
        <w:pStyle w:val="SingleTxt"/>
        <w:rPr>
          <w:rFonts w:ascii="SimHei" w:eastAsia="SimHei" w:hint="eastAsia"/>
        </w:rPr>
      </w:pPr>
      <w:r w:rsidRPr="00E823E7">
        <w:rPr>
          <w:rFonts w:ascii="SimHei" w:eastAsia="SimHei" w:hint="eastAsia"/>
        </w:rPr>
        <w:t>传播</w:t>
      </w:r>
    </w:p>
    <w:p w:rsidR="008941DA" w:rsidRPr="00E823E7" w:rsidRDefault="008941DA" w:rsidP="008941DA">
      <w:pPr>
        <w:pStyle w:val="SingleTxt"/>
        <w:rPr>
          <w:rFonts w:ascii="SimHei" w:eastAsia="SimHei" w:hint="eastAsia"/>
        </w:rPr>
      </w:pPr>
      <w:r>
        <w:rPr>
          <w:rFonts w:hint="eastAsia"/>
        </w:rPr>
        <w:t>52.</w:t>
      </w:r>
      <w:r>
        <w:rPr>
          <w:rFonts w:hint="eastAsia"/>
        </w:rPr>
        <w:tab/>
      </w:r>
      <w:r w:rsidRPr="00E823E7">
        <w:rPr>
          <w:rFonts w:ascii="SimHei" w:eastAsia="SimHei" w:hint="eastAsia"/>
        </w:rPr>
        <w:t>委员会回顾指出，缔约国有义务系统地、持续不断地执行《公约》的规定。委员会敦促缔约国在从现在到提交下一次报告之间的期间，优先注意本结论意见和各项建议的执行。因此，委员会请缔约国以官方语言，及时将本结论意见传播给所有各级相关国家机构，特别是传播给政府、各部委、议会和司法机构，使其能得到充分执行。委员会鼓励缔约国同雇主协会、工会、人权组织、妇女组织、大学、研究机构、媒体等所有有关利益攸关方进行合作。委员会还建议缔约国以适当的形式，在地方社区一级传播结论意见，使其能得到执行。此外，委员会请缔约国继续向所有利益攸关方传播《公约》、相关的判例以及委员会的一般性建议。</w:t>
      </w:r>
    </w:p>
    <w:p w:rsidR="008941DA" w:rsidRPr="00E823E7" w:rsidRDefault="008941DA" w:rsidP="008941DA">
      <w:pPr>
        <w:pStyle w:val="SingleTxt"/>
        <w:rPr>
          <w:rFonts w:ascii="SimHei" w:eastAsia="SimHei" w:hint="eastAsia"/>
        </w:rPr>
      </w:pPr>
      <w:r w:rsidRPr="00E823E7">
        <w:rPr>
          <w:rFonts w:ascii="SimHei" w:eastAsia="SimHei" w:hint="eastAsia"/>
        </w:rPr>
        <w:t>技术援助和特别程序任务负责人的访问</w:t>
      </w:r>
    </w:p>
    <w:p w:rsidR="008941DA" w:rsidRPr="00E823E7" w:rsidRDefault="008941DA" w:rsidP="008941DA">
      <w:pPr>
        <w:pStyle w:val="SingleTxt"/>
        <w:rPr>
          <w:rFonts w:ascii="SimHei" w:eastAsia="SimHei" w:hint="eastAsia"/>
        </w:rPr>
      </w:pPr>
      <w:r>
        <w:rPr>
          <w:rFonts w:hint="eastAsia"/>
        </w:rPr>
        <w:t>53.</w:t>
      </w:r>
      <w:r>
        <w:rPr>
          <w:rFonts w:hint="eastAsia"/>
        </w:rPr>
        <w:tab/>
      </w:r>
      <w:r w:rsidRPr="00E823E7">
        <w:rPr>
          <w:rFonts w:ascii="SimHei" w:eastAsia="SimHei" w:hint="eastAsia"/>
        </w:rPr>
        <w:t>委员会欢迎缔约国代表团提供的关于该国同联合国人权事务高级专员办事处的技术合作协定的资料，其中反映出，缔约国承诺继续合作并协助拟订和执行全面的人权方案，包括执行《公约》。委员会又赞赏地注意到，除了该办事处为拟订技术合作方案而派出的考察团之外，缔约国将同酷刑和其他残忍、不人道或有辱人格的待遇或处罚问题特别报告员讨论设定一个适当的访问日期。委员会还鼓励缔约国继续同联合国系统的专门机构和方案进行合作。</w:t>
      </w:r>
    </w:p>
    <w:p w:rsidR="008941DA" w:rsidRPr="00E823E7" w:rsidRDefault="007726BF" w:rsidP="008941DA">
      <w:pPr>
        <w:pStyle w:val="SingleTxt"/>
        <w:rPr>
          <w:rFonts w:ascii="SimHei" w:eastAsia="SimHei" w:hint="eastAsia"/>
        </w:rPr>
      </w:pPr>
      <w:r>
        <w:rPr>
          <w:rFonts w:ascii="SimHei" w:eastAsia="SimHei"/>
        </w:rPr>
        <w:br w:type="page"/>
      </w:r>
      <w:r w:rsidR="008941DA" w:rsidRPr="00E823E7">
        <w:rPr>
          <w:rFonts w:ascii="SimHei" w:eastAsia="SimHei" w:hint="eastAsia"/>
        </w:rPr>
        <w:t>批准其他条约</w:t>
      </w:r>
    </w:p>
    <w:p w:rsidR="008941DA" w:rsidRPr="00E823E7" w:rsidRDefault="008941DA" w:rsidP="008941DA">
      <w:pPr>
        <w:pStyle w:val="SingleTxt"/>
        <w:rPr>
          <w:rFonts w:ascii="SimHei" w:eastAsia="SimHei" w:hint="eastAsia"/>
        </w:rPr>
      </w:pPr>
      <w:r>
        <w:rPr>
          <w:rFonts w:hint="eastAsia"/>
        </w:rPr>
        <w:t>54.</w:t>
      </w:r>
      <w:r>
        <w:rPr>
          <w:rFonts w:hint="eastAsia"/>
        </w:rPr>
        <w:tab/>
      </w:r>
      <w:r w:rsidRPr="00E823E7">
        <w:rPr>
          <w:rFonts w:ascii="SimHei" w:eastAsia="SimHei" w:hint="eastAsia"/>
        </w:rPr>
        <w:t>委员会指出，缔约国加入九项主要国际人权文书</w:t>
      </w:r>
      <w:r w:rsidR="00E823E7" w:rsidRPr="00CE5262">
        <w:rPr>
          <w:rFonts w:ascii="SimHei" w:eastAsia="SimHei"/>
          <w:vertAlign w:val="superscript"/>
        </w:rPr>
        <w:footnoteReference w:id="1"/>
      </w:r>
      <w:r w:rsidRPr="00E823E7">
        <w:rPr>
          <w:rFonts w:ascii="SimHei" w:eastAsia="SimHei" w:hint="eastAsia"/>
        </w:rPr>
        <w:t xml:space="preserve"> 将促进妇女在生活的所有方面更好地享受其人权和基本自由。因此，委员会鼓励缔约国考虑批准它尚未加入的条约，即《保护所有移徙工人及其家庭成员权利国际公约》和《保护所有人免遭强迫失踪国际公约》。</w:t>
      </w:r>
    </w:p>
    <w:p w:rsidR="008941DA" w:rsidRPr="00E823E7" w:rsidRDefault="008941DA" w:rsidP="008941DA">
      <w:pPr>
        <w:pStyle w:val="SingleTxt"/>
        <w:rPr>
          <w:rFonts w:ascii="SimHei" w:eastAsia="SimHei" w:hint="eastAsia"/>
        </w:rPr>
      </w:pPr>
      <w:r w:rsidRPr="00E823E7">
        <w:rPr>
          <w:rFonts w:ascii="SimHei" w:eastAsia="SimHei" w:hint="eastAsia"/>
        </w:rPr>
        <w:t>结论意见的后续行动</w:t>
      </w:r>
    </w:p>
    <w:p w:rsidR="008941DA" w:rsidRDefault="008941DA" w:rsidP="008941DA">
      <w:pPr>
        <w:pStyle w:val="SingleTxt"/>
        <w:rPr>
          <w:rFonts w:hint="eastAsia"/>
        </w:rPr>
      </w:pPr>
      <w:r>
        <w:rPr>
          <w:rFonts w:hint="eastAsia"/>
        </w:rPr>
        <w:t>55.</w:t>
      </w:r>
      <w:r>
        <w:rPr>
          <w:rFonts w:hint="eastAsia"/>
        </w:rPr>
        <w:tab/>
      </w:r>
      <w:r w:rsidRPr="00E823E7">
        <w:rPr>
          <w:rFonts w:ascii="SimHei" w:eastAsia="SimHei" w:hint="eastAsia"/>
        </w:rPr>
        <w:t>委员会请缔约国在两年内提供书面资料，说明为执行上文第26和44段所载的建议而采取的步骤。</w:t>
      </w:r>
    </w:p>
    <w:p w:rsidR="008941DA" w:rsidRPr="00E823E7" w:rsidRDefault="008941DA" w:rsidP="008941DA">
      <w:pPr>
        <w:pStyle w:val="SingleTxt"/>
        <w:rPr>
          <w:rFonts w:ascii="SimHei" w:eastAsia="SimHei" w:hint="eastAsia"/>
        </w:rPr>
      </w:pPr>
      <w:r w:rsidRPr="00E823E7">
        <w:rPr>
          <w:rFonts w:ascii="SimHei" w:eastAsia="SimHei" w:hint="eastAsia"/>
        </w:rPr>
        <w:t>编写下一次报告</w:t>
      </w:r>
    </w:p>
    <w:p w:rsidR="008941DA" w:rsidRDefault="008941DA" w:rsidP="008941DA">
      <w:pPr>
        <w:pStyle w:val="SingleTxt"/>
        <w:rPr>
          <w:rFonts w:hint="eastAsia"/>
        </w:rPr>
      </w:pPr>
      <w:r>
        <w:rPr>
          <w:rFonts w:hint="eastAsia"/>
        </w:rPr>
        <w:t>56.</w:t>
      </w:r>
      <w:r>
        <w:rPr>
          <w:rFonts w:hint="eastAsia"/>
        </w:rPr>
        <w:tab/>
      </w:r>
      <w:r w:rsidRPr="00E823E7">
        <w:rPr>
          <w:rFonts w:ascii="SimHei" w:eastAsia="SimHei" w:hint="eastAsia"/>
        </w:rPr>
        <w:t>委员会邀请缔约国在2018年2月底前提交第四次定期报告。</w:t>
      </w:r>
    </w:p>
    <w:p w:rsidR="00EA31C3" w:rsidRPr="00E823E7" w:rsidRDefault="008941DA" w:rsidP="008941DA">
      <w:pPr>
        <w:pStyle w:val="SingleTxt"/>
        <w:rPr>
          <w:rFonts w:ascii="SimHei" w:eastAsia="SimHei"/>
        </w:rPr>
      </w:pPr>
      <w:r>
        <w:rPr>
          <w:rFonts w:hint="eastAsia"/>
        </w:rPr>
        <w:t>57.</w:t>
      </w:r>
      <w:r>
        <w:rPr>
          <w:rFonts w:hint="eastAsia"/>
        </w:rPr>
        <w:tab/>
      </w:r>
      <w:r w:rsidRPr="00E823E7">
        <w:rPr>
          <w:rFonts w:ascii="SimHei" w:eastAsia="SimHei" w:hint="eastAsia"/>
        </w:rPr>
        <w:t>委员会请缔约国遵从根据国际人权条约提交报告的统一准则，包括关于共同核心文件和具体条约文件的准则(</w:t>
      </w:r>
      <w:hyperlink r:id="rId36" w:history="1">
        <w:r w:rsidRPr="00B05841">
          <w:rPr>
            <w:rStyle w:val="Hyperlink"/>
            <w:rFonts w:ascii="SimHei" w:eastAsia="SimHei" w:hint="eastAsia"/>
          </w:rPr>
          <w:t>HRI/MC/2006/3</w:t>
        </w:r>
      </w:hyperlink>
      <w:r w:rsidRPr="00E823E7">
        <w:rPr>
          <w:rFonts w:ascii="SimHei" w:eastAsia="SimHei" w:hint="eastAsia"/>
        </w:rPr>
        <w:t>和Corr.1)。</w:t>
      </w:r>
    </w:p>
    <w:p w:rsidR="00E823E7" w:rsidRPr="00E823E7" w:rsidRDefault="00E823E7" w:rsidP="00E823E7">
      <w:pPr>
        <w:pStyle w:val="SingleTxt"/>
        <w:spacing w:after="0" w:line="240" w:lineRule="auto"/>
        <w:rPr>
          <w:sz w:val="20"/>
        </w:rPr>
      </w:pPr>
      <w:r>
        <w:rPr>
          <w:noProof/>
          <w:sz w:val="20"/>
        </w:rPr>
        <w:pict>
          <v:line id="_x0000_s1028" style="position:absolute;left:0;text-align:left;z-index:3;mso-position-horizontal:center" from="0,30pt" to="1in,30pt" strokeweight=".25pt"/>
        </w:pict>
      </w:r>
    </w:p>
    <w:sectPr w:rsidR="00E823E7" w:rsidRPr="00E823E7" w:rsidSect="00D12AA3">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6T13:00:00Z" w:initials="Start">
    <w:p w:rsidR="004E2C61" w:rsidRDefault="004E2C61">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NO&gt;&gt;N1400592C&lt;&lt;ODS JOB NO&gt;&gt;</w:t>
      </w:r>
    </w:p>
    <w:p w:rsidR="004E2C61" w:rsidRDefault="004E2C61">
      <w:pPr>
        <w:pStyle w:val="CommentText"/>
      </w:pPr>
      <w:r>
        <w:t>&lt;&lt;ODS DOC SYMBOL1&gt;&gt;CEDAW/C/BHR/CO/3&lt;&lt;ODS DOC SYMBOL1&gt;&gt;</w:t>
      </w:r>
    </w:p>
    <w:p w:rsidR="004E2C61" w:rsidRDefault="004E2C6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6543" w:rsidRDefault="00226543">
      <w:r>
        <w:separator/>
      </w:r>
    </w:p>
  </w:endnote>
  <w:endnote w:type="continuationSeparator" w:id="0">
    <w:p w:rsidR="00226543" w:rsidRDefault="002265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E2C61" w:rsidTr="00D12AA3">
      <w:tblPrEx>
        <w:tblCellMar>
          <w:top w:w="0" w:type="dxa"/>
          <w:bottom w:w="0" w:type="dxa"/>
        </w:tblCellMar>
      </w:tblPrEx>
      <w:tc>
        <w:tcPr>
          <w:tcW w:w="5033" w:type="dxa"/>
          <w:shd w:val="clear" w:color="auto" w:fill="auto"/>
        </w:tcPr>
        <w:p w:rsidR="004E2C61" w:rsidRPr="00D12AA3" w:rsidRDefault="004E2C61" w:rsidP="00D12AA3">
          <w:pPr>
            <w:pStyle w:val="Footer"/>
            <w:jc w:val="right"/>
            <w:rPr>
              <w:b w:val="0"/>
              <w:w w:val="103"/>
              <w:sz w:val="14"/>
            </w:rPr>
          </w:pPr>
          <w:fldSimple w:instr=" DOCVARIABLE &quot;FooterJN&quot; \* MERGEFORMAT ">
            <w:r>
              <w:rPr>
                <w:b w:val="0"/>
                <w:w w:val="103"/>
                <w:sz w:val="14"/>
              </w:rPr>
              <w:t>14-00592 (C)</w:t>
            </w:r>
          </w:fldSimple>
        </w:p>
      </w:tc>
      <w:tc>
        <w:tcPr>
          <w:tcW w:w="5033" w:type="dxa"/>
          <w:shd w:val="clear" w:color="auto" w:fill="auto"/>
        </w:tcPr>
        <w:p w:rsidR="004E2C61" w:rsidRPr="00D12AA3" w:rsidRDefault="004E2C61" w:rsidP="00D12AA3">
          <w:pPr>
            <w:pStyle w:val="Footer"/>
            <w:jc w:val="left"/>
            <w:rPr>
              <w:w w:val="103"/>
            </w:rPr>
          </w:pPr>
          <w:r>
            <w:rPr>
              <w:w w:val="103"/>
            </w:rPr>
            <w:fldChar w:fldCharType="begin"/>
          </w:r>
          <w:r>
            <w:rPr>
              <w:w w:val="103"/>
            </w:rPr>
            <w:instrText xml:space="preserve"> PAGE  \* Arabic  \* MERGEFORMAT </w:instrText>
          </w:r>
          <w:r>
            <w:rPr>
              <w:w w:val="103"/>
            </w:rPr>
            <w:fldChar w:fldCharType="separate"/>
          </w:r>
          <w:r w:rsidR="0036344B">
            <w:rPr>
              <w:w w:val="103"/>
            </w:rPr>
            <w:t>8</w:t>
          </w:r>
          <w:r>
            <w:rPr>
              <w:w w:val="103"/>
            </w:rPr>
            <w:fldChar w:fldCharType="end"/>
          </w:r>
          <w:r>
            <w:rPr>
              <w:w w:val="103"/>
            </w:rPr>
            <w:t>/</w:t>
          </w:r>
          <w:fldSimple w:instr=" NUMPAGES  \* Arabic  \* MERGEFORMAT ">
            <w:r>
              <w:rPr>
                <w:w w:val="103"/>
              </w:rPr>
              <w:t>12</w:t>
            </w:r>
          </w:fldSimple>
        </w:p>
      </w:tc>
    </w:tr>
  </w:tbl>
  <w:p w:rsidR="004E2C61" w:rsidRPr="00D12AA3" w:rsidRDefault="004E2C61" w:rsidP="00D12A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E2C61" w:rsidTr="00D12AA3">
      <w:tblPrEx>
        <w:tblCellMar>
          <w:top w:w="0" w:type="dxa"/>
          <w:bottom w:w="0" w:type="dxa"/>
        </w:tblCellMar>
      </w:tblPrEx>
      <w:tc>
        <w:tcPr>
          <w:tcW w:w="5033" w:type="dxa"/>
          <w:shd w:val="clear" w:color="auto" w:fill="auto"/>
        </w:tcPr>
        <w:p w:rsidR="004E2C61" w:rsidRPr="00D12AA3" w:rsidRDefault="004E2C61" w:rsidP="00D12AA3">
          <w:pPr>
            <w:pStyle w:val="Footer"/>
            <w:jc w:val="right"/>
          </w:pPr>
          <w:fldSimple w:instr=" PAGE  \* Arabic  \* MERGEFORMAT ">
            <w:r w:rsidR="0036344B">
              <w:t>7</w:t>
            </w:r>
          </w:fldSimple>
          <w:r>
            <w:t>/</w:t>
          </w:r>
          <w:fldSimple w:instr=" NUMPAGES  \* Arabic  \* MERGEFORMAT ">
            <w:r>
              <w:t>12</w:t>
            </w:r>
          </w:fldSimple>
        </w:p>
      </w:tc>
      <w:tc>
        <w:tcPr>
          <w:tcW w:w="5033" w:type="dxa"/>
          <w:shd w:val="clear" w:color="auto" w:fill="auto"/>
        </w:tcPr>
        <w:p w:rsidR="004E2C61" w:rsidRPr="00D12AA3" w:rsidRDefault="004E2C61" w:rsidP="00D12AA3">
          <w:pPr>
            <w:pStyle w:val="Footer"/>
            <w:jc w:val="left"/>
            <w:rPr>
              <w:b w:val="0"/>
              <w:w w:val="103"/>
              <w:sz w:val="14"/>
            </w:rPr>
          </w:pPr>
          <w:fldSimple w:instr=" DOCVARIABLE &quot;FooterJN&quot; \* MERGEFORMAT ">
            <w:r>
              <w:rPr>
                <w:b w:val="0"/>
                <w:w w:val="103"/>
                <w:sz w:val="14"/>
              </w:rPr>
              <w:t>14-00592 (C)</w:t>
            </w:r>
          </w:fldSimple>
        </w:p>
      </w:tc>
    </w:tr>
  </w:tbl>
  <w:p w:rsidR="004E2C61" w:rsidRPr="00D12AA3" w:rsidRDefault="004E2C61" w:rsidP="00D12AA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E2C61" w:rsidTr="00D12AA3">
      <w:tblPrEx>
        <w:tblCellMar>
          <w:top w:w="0" w:type="dxa"/>
          <w:bottom w:w="0" w:type="dxa"/>
        </w:tblCellMar>
      </w:tblPrEx>
      <w:tc>
        <w:tcPr>
          <w:tcW w:w="5033" w:type="dxa"/>
        </w:tcPr>
        <w:p w:rsidR="004E2C61" w:rsidRDefault="004E2C61" w:rsidP="00D12AA3">
          <w:pPr>
            <w:pStyle w:val="Footer"/>
            <w:rPr>
              <w:b w:val="0"/>
              <w:sz w:val="21"/>
            </w:rPr>
          </w:pPr>
          <w:r w:rsidRPr="00B05841">
            <w:rPr>
              <w:b w:val="0"/>
              <w:sz w:val="21"/>
            </w:rPr>
            <w:t>14-00592 X (C)</w:t>
          </w:r>
          <w:r>
            <w:rPr>
              <w:b w:val="0"/>
              <w:sz w:val="21"/>
            </w:rPr>
            <w:t xml:space="preserve">    2</w:t>
          </w:r>
          <w:r>
            <w:rPr>
              <w:rFonts w:hint="eastAsia"/>
              <w:b w:val="0"/>
              <w:sz w:val="21"/>
            </w:rPr>
            <w:t>5</w:t>
          </w:r>
          <w:r>
            <w:rPr>
              <w:b w:val="0"/>
              <w:sz w:val="21"/>
            </w:rPr>
            <w:t>0314    260314</w:t>
          </w:r>
        </w:p>
        <w:p w:rsidR="004E2C61" w:rsidRPr="00D12AA3" w:rsidRDefault="004E2C61" w:rsidP="00D12AA3">
          <w:pPr>
            <w:spacing w:before="80" w:line="210" w:lineRule="exact"/>
            <w:rPr>
              <w:rFonts w:ascii="Barcode 3 of 9 by request" w:hAnsi="Barcode 3 of 9 by request"/>
              <w:sz w:val="24"/>
            </w:rPr>
          </w:pPr>
          <w:r>
            <w:rPr>
              <w:rFonts w:ascii="Barcode 3 of 9 by request" w:hAnsi="Barcode 3 of 9 by request" w:hint="eastAsia"/>
              <w:sz w:val="24"/>
            </w:rPr>
            <w:t>*1400592*</w:t>
          </w:r>
        </w:p>
      </w:tc>
      <w:tc>
        <w:tcPr>
          <w:tcW w:w="3686" w:type="dxa"/>
        </w:tcPr>
        <w:p w:rsidR="004E2C61" w:rsidRDefault="004E2C61" w:rsidP="00D12AA3">
          <w:pPr>
            <w:pStyle w:val="Footer"/>
            <w:jc w:val="right"/>
            <w:rPr>
              <w:b w:val="0"/>
              <w:sz w:val="21"/>
            </w:rPr>
          </w:pPr>
          <w:r w:rsidRPr="00D12AA3">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4E2C61" w:rsidRPr="00D12AA3" w:rsidRDefault="004E2C61" w:rsidP="00D12AA3">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6543" w:rsidRPr="00E823E7" w:rsidRDefault="00226543" w:rsidP="00E823E7">
      <w:pPr>
        <w:pStyle w:val="Footer"/>
        <w:spacing w:after="80"/>
        <w:ind w:left="792"/>
        <w:rPr>
          <w:sz w:val="16"/>
        </w:rPr>
      </w:pPr>
      <w:r w:rsidRPr="00E823E7">
        <w:rPr>
          <w:sz w:val="16"/>
        </w:rPr>
        <w:t>__________________</w:t>
      </w:r>
    </w:p>
  </w:footnote>
  <w:footnote w:type="continuationSeparator" w:id="0">
    <w:p w:rsidR="00226543" w:rsidRPr="00E823E7" w:rsidRDefault="00226543" w:rsidP="00E823E7">
      <w:pPr>
        <w:pStyle w:val="Footer"/>
        <w:spacing w:after="80"/>
        <w:ind w:left="792"/>
        <w:rPr>
          <w:sz w:val="16"/>
        </w:rPr>
      </w:pPr>
      <w:r w:rsidRPr="00E823E7">
        <w:rPr>
          <w:sz w:val="16"/>
        </w:rPr>
        <w:t>__________________</w:t>
      </w:r>
    </w:p>
  </w:footnote>
  <w:footnote w:id="1">
    <w:p w:rsidR="004E2C61" w:rsidRPr="00E823E7" w:rsidRDefault="004E2C61" w:rsidP="00E823E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823E7">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E2C61" w:rsidTr="00D12AA3">
      <w:tblPrEx>
        <w:tblCellMar>
          <w:top w:w="0" w:type="dxa"/>
          <w:bottom w:w="0" w:type="dxa"/>
        </w:tblCellMar>
      </w:tblPrEx>
      <w:trPr>
        <w:trHeight w:hRule="exact" w:val="864"/>
      </w:trPr>
      <w:tc>
        <w:tcPr>
          <w:tcW w:w="4838" w:type="dxa"/>
          <w:shd w:val="clear" w:color="auto" w:fill="auto"/>
          <w:vAlign w:val="bottom"/>
        </w:tcPr>
        <w:p w:rsidR="004E2C61" w:rsidRPr="00D12AA3" w:rsidRDefault="004E2C61" w:rsidP="00D12AA3">
          <w:pPr>
            <w:pStyle w:val="Header"/>
            <w:spacing w:after="80"/>
            <w:jc w:val="left"/>
            <w:rPr>
              <w:b/>
              <w:sz w:val="17"/>
            </w:rPr>
          </w:pPr>
          <w:fldSimple w:instr=" DOCVARIABLE &quot;sss1&quot; \* MERGEFORMAT ">
            <w:r>
              <w:rPr>
                <w:b/>
                <w:sz w:val="17"/>
              </w:rPr>
              <w:t>CEDAW/C/BHR/CO/3</w:t>
            </w:r>
          </w:fldSimple>
        </w:p>
      </w:tc>
      <w:tc>
        <w:tcPr>
          <w:tcW w:w="5033" w:type="dxa"/>
          <w:shd w:val="clear" w:color="auto" w:fill="auto"/>
          <w:vAlign w:val="bottom"/>
        </w:tcPr>
        <w:p w:rsidR="004E2C61" w:rsidRDefault="004E2C61" w:rsidP="00D12AA3">
          <w:pPr>
            <w:pStyle w:val="Header"/>
          </w:pPr>
        </w:p>
      </w:tc>
    </w:tr>
  </w:tbl>
  <w:p w:rsidR="004E2C61" w:rsidRPr="00D12AA3" w:rsidRDefault="004E2C61" w:rsidP="00D12AA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E2C61" w:rsidTr="00D12AA3">
      <w:tblPrEx>
        <w:tblCellMar>
          <w:top w:w="0" w:type="dxa"/>
          <w:bottom w:w="0" w:type="dxa"/>
        </w:tblCellMar>
      </w:tblPrEx>
      <w:trPr>
        <w:trHeight w:hRule="exact" w:val="864"/>
      </w:trPr>
      <w:tc>
        <w:tcPr>
          <w:tcW w:w="4838" w:type="dxa"/>
          <w:shd w:val="clear" w:color="auto" w:fill="auto"/>
          <w:vAlign w:val="bottom"/>
        </w:tcPr>
        <w:p w:rsidR="004E2C61" w:rsidRDefault="004E2C61" w:rsidP="00D12AA3">
          <w:pPr>
            <w:pStyle w:val="Header"/>
          </w:pPr>
        </w:p>
      </w:tc>
      <w:tc>
        <w:tcPr>
          <w:tcW w:w="5033" w:type="dxa"/>
          <w:shd w:val="clear" w:color="auto" w:fill="auto"/>
          <w:vAlign w:val="bottom"/>
        </w:tcPr>
        <w:p w:rsidR="004E2C61" w:rsidRPr="00D12AA3" w:rsidRDefault="004E2C61" w:rsidP="00D12AA3">
          <w:pPr>
            <w:pStyle w:val="Header"/>
            <w:spacing w:after="80"/>
            <w:jc w:val="right"/>
            <w:rPr>
              <w:b/>
              <w:sz w:val="17"/>
            </w:rPr>
          </w:pPr>
          <w:fldSimple w:instr=" DOCVARIABLE &quot;sss1&quot; \* MERGEFORMAT ">
            <w:r>
              <w:rPr>
                <w:b/>
                <w:sz w:val="17"/>
              </w:rPr>
              <w:t>CEDAW/C/BHR/CO/3</w:t>
            </w:r>
          </w:fldSimple>
        </w:p>
      </w:tc>
    </w:tr>
  </w:tbl>
  <w:p w:rsidR="004E2C61" w:rsidRPr="00D12AA3" w:rsidRDefault="004E2C61" w:rsidP="00D12AA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4E2C61" w:rsidTr="00D12AA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E2C61" w:rsidRDefault="004E2C61" w:rsidP="00D12AA3">
          <w:pPr>
            <w:pStyle w:val="Header"/>
            <w:spacing w:after="120"/>
          </w:pPr>
        </w:p>
      </w:tc>
      <w:tc>
        <w:tcPr>
          <w:tcW w:w="1872" w:type="dxa"/>
          <w:tcBorders>
            <w:bottom w:val="single" w:sz="4" w:space="0" w:color="auto"/>
          </w:tcBorders>
          <w:shd w:val="clear" w:color="auto" w:fill="auto"/>
          <w:vAlign w:val="bottom"/>
        </w:tcPr>
        <w:p w:rsidR="004E2C61" w:rsidRPr="00D12AA3" w:rsidRDefault="004E2C61" w:rsidP="00D12AA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E2C61" w:rsidRDefault="004E2C61" w:rsidP="00D12AA3">
          <w:pPr>
            <w:pStyle w:val="Header"/>
            <w:spacing w:after="120"/>
          </w:pPr>
        </w:p>
      </w:tc>
      <w:tc>
        <w:tcPr>
          <w:tcW w:w="6523" w:type="dxa"/>
          <w:gridSpan w:val="3"/>
          <w:tcBorders>
            <w:bottom w:val="single" w:sz="4" w:space="0" w:color="auto"/>
          </w:tcBorders>
          <w:shd w:val="clear" w:color="auto" w:fill="auto"/>
          <w:vAlign w:val="bottom"/>
        </w:tcPr>
        <w:p w:rsidR="004E2C61" w:rsidRPr="00D12AA3" w:rsidRDefault="004E2C61" w:rsidP="00D12AA3">
          <w:pPr>
            <w:spacing w:after="80" w:line="240" w:lineRule="auto"/>
            <w:jc w:val="right"/>
            <w:rPr>
              <w:rFonts w:ascii="Times New Roman"/>
              <w:position w:val="-4"/>
            </w:rPr>
          </w:pPr>
          <w:r>
            <w:rPr>
              <w:rFonts w:ascii="Times New Roman"/>
              <w:position w:val="-4"/>
              <w:sz w:val="40"/>
            </w:rPr>
            <w:t>CEDAW</w:t>
          </w:r>
          <w:r>
            <w:rPr>
              <w:rFonts w:ascii="Times New Roman"/>
              <w:position w:val="-4"/>
            </w:rPr>
            <w:t>/C/BHR/CO/3</w:t>
          </w:r>
        </w:p>
      </w:tc>
    </w:tr>
    <w:tr w:rsidR="004E2C61" w:rsidRPr="00D12AA3" w:rsidTr="00D12AA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E2C61" w:rsidRDefault="004E2C61" w:rsidP="00D12AA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E2C61" w:rsidRPr="00D12AA3" w:rsidRDefault="004E2C61" w:rsidP="00D12AA3">
          <w:pPr>
            <w:pStyle w:val="Header"/>
            <w:spacing w:before="109"/>
            <w:ind w:left="-72"/>
          </w:pPr>
        </w:p>
      </w:tc>
      <w:tc>
        <w:tcPr>
          <w:tcW w:w="5227" w:type="dxa"/>
          <w:gridSpan w:val="3"/>
          <w:tcBorders>
            <w:top w:val="single" w:sz="4" w:space="0" w:color="auto"/>
            <w:bottom w:val="single" w:sz="12" w:space="0" w:color="auto"/>
          </w:tcBorders>
          <w:shd w:val="clear" w:color="auto" w:fill="auto"/>
        </w:tcPr>
        <w:p w:rsidR="004E2C61" w:rsidRPr="00D12AA3" w:rsidRDefault="004E2C61" w:rsidP="00D12AA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E2C61" w:rsidRPr="00D12AA3" w:rsidRDefault="004E2C61" w:rsidP="00D12AA3">
          <w:pPr>
            <w:pStyle w:val="Header"/>
            <w:spacing w:before="109"/>
          </w:pPr>
        </w:p>
      </w:tc>
      <w:tc>
        <w:tcPr>
          <w:tcW w:w="3180" w:type="dxa"/>
          <w:gridSpan w:val="2"/>
          <w:tcBorders>
            <w:top w:val="single" w:sz="4" w:space="0" w:color="auto"/>
            <w:bottom w:val="single" w:sz="12" w:space="0" w:color="auto"/>
          </w:tcBorders>
          <w:shd w:val="clear" w:color="auto" w:fill="auto"/>
        </w:tcPr>
        <w:p w:rsidR="004E2C61" w:rsidRDefault="004E2C61" w:rsidP="00D12AA3">
          <w:pPr>
            <w:spacing w:before="240" w:line="240" w:lineRule="exact"/>
            <w:rPr>
              <w:rFonts w:ascii="Times New Roman"/>
            </w:rPr>
          </w:pPr>
          <w:r>
            <w:rPr>
              <w:rFonts w:ascii="Times New Roman"/>
            </w:rPr>
            <w:t>Distr.: General</w:t>
          </w:r>
        </w:p>
        <w:p w:rsidR="004E2C61" w:rsidRDefault="004E2C61" w:rsidP="00D12AA3">
          <w:pPr>
            <w:spacing w:line="240" w:lineRule="exact"/>
            <w:rPr>
              <w:rFonts w:ascii="Times New Roman"/>
            </w:rPr>
          </w:pPr>
          <w:r>
            <w:rPr>
              <w:rFonts w:ascii="Times New Roman"/>
            </w:rPr>
            <w:t>10 March 2014</w:t>
          </w:r>
        </w:p>
        <w:p w:rsidR="004E2C61" w:rsidRDefault="004E2C61" w:rsidP="00D12AA3">
          <w:pPr>
            <w:spacing w:line="240" w:lineRule="exact"/>
            <w:rPr>
              <w:rFonts w:ascii="Times New Roman"/>
            </w:rPr>
          </w:pPr>
          <w:r>
            <w:rPr>
              <w:rFonts w:ascii="Times New Roman"/>
            </w:rPr>
            <w:t>Chinese</w:t>
          </w:r>
        </w:p>
        <w:p w:rsidR="004E2C61" w:rsidRPr="00D12AA3" w:rsidRDefault="004E2C61" w:rsidP="00D12AA3">
          <w:pPr>
            <w:spacing w:line="240" w:lineRule="exact"/>
            <w:rPr>
              <w:rFonts w:ascii="Times New Roman"/>
            </w:rPr>
          </w:pPr>
          <w:r>
            <w:rPr>
              <w:rFonts w:ascii="Times New Roman"/>
            </w:rPr>
            <w:t>Original: English</w:t>
          </w:r>
        </w:p>
      </w:tc>
    </w:tr>
  </w:tbl>
  <w:p w:rsidR="004E2C61" w:rsidRPr="00D12AA3" w:rsidRDefault="004E2C61" w:rsidP="00D12AA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0592*"/>
    <w:docVar w:name="CreationDt" w:val="26/03/2014 12:10:00"/>
    <w:docVar w:name="DocCategory" w:val="Doc"/>
    <w:docVar w:name="DocType" w:val="Final"/>
    <w:docVar w:name="FooterJN" w:val="14-00592 (C)"/>
    <w:docVar w:name="jobn" w:val="14-00592 (C)"/>
    <w:docVar w:name="jobnDT" w:val="14-00592 (C)   260314"/>
    <w:docVar w:name="jobnDTDT" w:val="14-00592 (C)   260314   260314"/>
    <w:docVar w:name="JobNo" w:val="1400592C"/>
    <w:docVar w:name="OandT" w:val="Hao sl"/>
    <w:docVar w:name="sss1" w:val="CEDAW/C/BHR/CO/3"/>
    <w:docVar w:name="sss2" w:val="-"/>
    <w:docVar w:name="Symbol1" w:val="CEDAW/C/BHR/CO/3"/>
    <w:docVar w:name="Symbol2" w:val="-"/>
  </w:docVars>
  <w:rsids>
    <w:rsidRoot w:val="00190E4D"/>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85C54"/>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90E4D"/>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2883"/>
    <w:rsid w:val="002145EA"/>
    <w:rsid w:val="00226543"/>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83617"/>
    <w:rsid w:val="002A4AEF"/>
    <w:rsid w:val="002A5E53"/>
    <w:rsid w:val="002B305F"/>
    <w:rsid w:val="002B564F"/>
    <w:rsid w:val="002B5F5D"/>
    <w:rsid w:val="002B62ED"/>
    <w:rsid w:val="002C2254"/>
    <w:rsid w:val="002C3BC9"/>
    <w:rsid w:val="002C5227"/>
    <w:rsid w:val="002C54DB"/>
    <w:rsid w:val="002D039F"/>
    <w:rsid w:val="002D0694"/>
    <w:rsid w:val="002D0B62"/>
    <w:rsid w:val="002D4ACE"/>
    <w:rsid w:val="002D5503"/>
    <w:rsid w:val="002E66D5"/>
    <w:rsid w:val="002F41E2"/>
    <w:rsid w:val="003011CA"/>
    <w:rsid w:val="003063F6"/>
    <w:rsid w:val="00320C99"/>
    <w:rsid w:val="003274A9"/>
    <w:rsid w:val="00331221"/>
    <w:rsid w:val="00346223"/>
    <w:rsid w:val="0036344B"/>
    <w:rsid w:val="00363610"/>
    <w:rsid w:val="003649EE"/>
    <w:rsid w:val="00371BC6"/>
    <w:rsid w:val="00373A15"/>
    <w:rsid w:val="00376C04"/>
    <w:rsid w:val="00383ACA"/>
    <w:rsid w:val="00384CB1"/>
    <w:rsid w:val="00394A02"/>
    <w:rsid w:val="003966E8"/>
    <w:rsid w:val="003A3D10"/>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2C61"/>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62350"/>
    <w:rsid w:val="007726BF"/>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41DA"/>
    <w:rsid w:val="00896D38"/>
    <w:rsid w:val="008A0216"/>
    <w:rsid w:val="008C076B"/>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05841"/>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5262"/>
    <w:rsid w:val="00CE64AC"/>
    <w:rsid w:val="00CE7DFC"/>
    <w:rsid w:val="00CF02D3"/>
    <w:rsid w:val="00CF49BA"/>
    <w:rsid w:val="00CF7718"/>
    <w:rsid w:val="00D12AA3"/>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3E7"/>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CEDAW/C/BHR/2" TargetMode="External"/><Relationship Id="rId26" Type="http://schemas.openxmlformats.org/officeDocument/2006/relationships/hyperlink" Target="http://undocs.org/ch/CEDAW/C/BHR/CO/2" TargetMode="External"/><Relationship Id="rId3" Type="http://schemas.openxmlformats.org/officeDocument/2006/relationships/webSettings" Target="webSettings.xml"/><Relationship Id="rId21" Type="http://schemas.openxmlformats.org/officeDocument/2006/relationships/hyperlink" Target="http://undocs.org/ch/A/RES/28/201" TargetMode="External"/><Relationship Id="rId34" Type="http://schemas.openxmlformats.org/officeDocument/2006/relationships/hyperlink" Target="http://undocs.org/ch/CEDAW/C/BHR/CO/2"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BHR/Q/3/Add.1" TargetMode="External"/><Relationship Id="rId25" Type="http://schemas.openxmlformats.org/officeDocument/2006/relationships/hyperlink" Target="http://undocs.org/ch/CEDAW/C/BHR/CO/2" TargetMode="External"/><Relationship Id="rId33" Type="http://schemas.openxmlformats.org/officeDocument/2006/relationships/hyperlink" Target="http://undocs.org/ch/A/RES/36/201"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undocs.org/ch/CEDAW/C/BHR/Q/3" TargetMode="External"/><Relationship Id="rId20" Type="http://schemas.openxmlformats.org/officeDocument/2006/relationships/hyperlink" Target="http://undocs.org/ch/A/RES/46/200" TargetMode="External"/><Relationship Id="rId29" Type="http://schemas.openxmlformats.org/officeDocument/2006/relationships/hyperlink" Target="http://undocs.org/ch/A/RES/21/198"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h/CEDAW/C/BHR/CO/2" TargetMode="External"/><Relationship Id="rId32" Type="http://schemas.openxmlformats.org/officeDocument/2006/relationships/hyperlink" Target="http://undocs.org/ch/A/RES/36/201"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undocs.org/ch/CEDAW/C/SR.1187" TargetMode="External"/><Relationship Id="rId23" Type="http://schemas.openxmlformats.org/officeDocument/2006/relationships/hyperlink" Target="http://undocs.org/ch/CEDAW/C/BHR/CO/2" TargetMode="External"/><Relationship Id="rId28" Type="http://schemas.openxmlformats.org/officeDocument/2006/relationships/hyperlink" Target="http://undocs.org/ch/CEDAW/C/BHR/CO/2" TargetMode="External"/><Relationship Id="rId36" Type="http://schemas.openxmlformats.org/officeDocument/2006/relationships/hyperlink" Target="http://undocs.org/ch/HRI/MC/2006/3" TargetMode="External"/><Relationship Id="rId10" Type="http://schemas.openxmlformats.org/officeDocument/2006/relationships/header" Target="header3.xml"/><Relationship Id="rId19" Type="http://schemas.openxmlformats.org/officeDocument/2006/relationships/hyperlink" Target="http://undocs.org/ch/A/RES/36/201" TargetMode="External"/><Relationship Id="rId31" Type="http://schemas.openxmlformats.org/officeDocument/2006/relationships/hyperlink" Target="http://undocs.org/ch/A/RES/36/20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BHR/3)" TargetMode="External"/><Relationship Id="rId22" Type="http://schemas.openxmlformats.org/officeDocument/2006/relationships/hyperlink" Target="http://undocs.org/ch/A/RES/35/200" TargetMode="External"/><Relationship Id="rId27" Type="http://schemas.openxmlformats.org/officeDocument/2006/relationships/hyperlink" Target="http://undocs.org/ch/CEDAW/C/BHR/CO/2" TargetMode="External"/><Relationship Id="rId30" Type="http://schemas.openxmlformats.org/officeDocument/2006/relationships/hyperlink" Target="http://undocs.org/ch/CEDAW/C/BHR/CO/2" TargetMode="External"/><Relationship Id="rId35" Type="http://schemas.openxmlformats.org/officeDocument/2006/relationships/hyperlink" Target="http://undocs.org/ch/CEDAW/C/BHR/CO/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TotalTime>
  <Pages>1</Pages>
  <Words>5454</Words>
  <Characters>5673</Characters>
  <Application>Microsoft Office Outlook</Application>
  <DocSecurity>4</DocSecurity>
  <Lines>298</Lines>
  <Paragraphs>213</Paragraphs>
  <ScaleCrop>false</ScaleCrop>
  <Company>United Nations</Company>
  <LinksUpToDate>false</LinksUpToDate>
  <CharactersWithSpaces>10914</CharactersWithSpaces>
  <SharedDoc>false</SharedDoc>
  <HLinks>
    <vt:vector size="138" baseType="variant">
      <vt:variant>
        <vt:i4>3407916</vt:i4>
      </vt:variant>
      <vt:variant>
        <vt:i4>66</vt:i4>
      </vt:variant>
      <vt:variant>
        <vt:i4>0</vt:i4>
      </vt:variant>
      <vt:variant>
        <vt:i4>5</vt:i4>
      </vt:variant>
      <vt:variant>
        <vt:lpwstr>http://undocs.org/ch/HRI/MC/2006/3</vt:lpwstr>
      </vt:variant>
      <vt:variant>
        <vt:lpwstr/>
      </vt:variant>
      <vt:variant>
        <vt:i4>851987</vt:i4>
      </vt:variant>
      <vt:variant>
        <vt:i4>63</vt:i4>
      </vt:variant>
      <vt:variant>
        <vt:i4>0</vt:i4>
      </vt:variant>
      <vt:variant>
        <vt:i4>5</vt:i4>
      </vt:variant>
      <vt:variant>
        <vt:lpwstr>http://undocs.org/ch/CEDAW/C/BHR/CO/2</vt:lpwstr>
      </vt:variant>
      <vt:variant>
        <vt:lpwstr/>
      </vt:variant>
      <vt:variant>
        <vt:i4>851987</vt:i4>
      </vt:variant>
      <vt:variant>
        <vt:i4>60</vt:i4>
      </vt:variant>
      <vt:variant>
        <vt:i4>0</vt:i4>
      </vt:variant>
      <vt:variant>
        <vt:i4>5</vt:i4>
      </vt:variant>
      <vt:variant>
        <vt:lpwstr>http://undocs.org/ch/CEDAW/C/BHR/CO/2</vt:lpwstr>
      </vt:variant>
      <vt:variant>
        <vt:lpwstr/>
      </vt:variant>
      <vt:variant>
        <vt:i4>917598</vt:i4>
      </vt:variant>
      <vt:variant>
        <vt:i4>57</vt:i4>
      </vt:variant>
      <vt:variant>
        <vt:i4>0</vt:i4>
      </vt:variant>
      <vt:variant>
        <vt:i4>5</vt:i4>
      </vt:variant>
      <vt:variant>
        <vt:lpwstr>http://undocs.org/ch/A/RES/36/201</vt:lpwstr>
      </vt:variant>
      <vt:variant>
        <vt:lpwstr/>
      </vt:variant>
      <vt:variant>
        <vt:i4>917598</vt:i4>
      </vt:variant>
      <vt:variant>
        <vt:i4>54</vt:i4>
      </vt:variant>
      <vt:variant>
        <vt:i4>0</vt:i4>
      </vt:variant>
      <vt:variant>
        <vt:i4>5</vt:i4>
      </vt:variant>
      <vt:variant>
        <vt:lpwstr>http://undocs.org/ch/A/RES/36/201</vt:lpwstr>
      </vt:variant>
      <vt:variant>
        <vt:lpwstr/>
      </vt:variant>
      <vt:variant>
        <vt:i4>917598</vt:i4>
      </vt:variant>
      <vt:variant>
        <vt:i4>51</vt:i4>
      </vt:variant>
      <vt:variant>
        <vt:i4>0</vt:i4>
      </vt:variant>
      <vt:variant>
        <vt:i4>5</vt:i4>
      </vt:variant>
      <vt:variant>
        <vt:lpwstr>http://undocs.org/ch/A/RES/36/201</vt:lpwstr>
      </vt:variant>
      <vt:variant>
        <vt:lpwstr/>
      </vt:variant>
      <vt:variant>
        <vt:i4>851987</vt:i4>
      </vt:variant>
      <vt:variant>
        <vt:i4>48</vt:i4>
      </vt:variant>
      <vt:variant>
        <vt:i4>0</vt:i4>
      </vt:variant>
      <vt:variant>
        <vt:i4>5</vt:i4>
      </vt:variant>
      <vt:variant>
        <vt:lpwstr>http://undocs.org/ch/CEDAW/C/BHR/CO/2</vt:lpwstr>
      </vt:variant>
      <vt:variant>
        <vt:lpwstr/>
      </vt:variant>
      <vt:variant>
        <vt:i4>393306</vt:i4>
      </vt:variant>
      <vt:variant>
        <vt:i4>45</vt:i4>
      </vt:variant>
      <vt:variant>
        <vt:i4>0</vt:i4>
      </vt:variant>
      <vt:variant>
        <vt:i4>5</vt:i4>
      </vt:variant>
      <vt:variant>
        <vt:lpwstr>http://undocs.org/ch/A/RES/21/198</vt:lpwstr>
      </vt:variant>
      <vt:variant>
        <vt:lpwstr/>
      </vt:variant>
      <vt:variant>
        <vt:i4>851987</vt:i4>
      </vt:variant>
      <vt:variant>
        <vt:i4>42</vt:i4>
      </vt:variant>
      <vt:variant>
        <vt:i4>0</vt:i4>
      </vt:variant>
      <vt:variant>
        <vt:i4>5</vt:i4>
      </vt:variant>
      <vt:variant>
        <vt:lpwstr>http://undocs.org/ch/CEDAW/C/BHR/CO/2</vt:lpwstr>
      </vt:variant>
      <vt:variant>
        <vt:lpwstr/>
      </vt:variant>
      <vt:variant>
        <vt:i4>851987</vt:i4>
      </vt:variant>
      <vt:variant>
        <vt:i4>39</vt:i4>
      </vt:variant>
      <vt:variant>
        <vt:i4>0</vt:i4>
      </vt:variant>
      <vt:variant>
        <vt:i4>5</vt:i4>
      </vt:variant>
      <vt:variant>
        <vt:lpwstr>http://undocs.org/ch/CEDAW/C/BHR/CO/2</vt:lpwstr>
      </vt:variant>
      <vt:variant>
        <vt:lpwstr/>
      </vt:variant>
      <vt:variant>
        <vt:i4>851987</vt:i4>
      </vt:variant>
      <vt:variant>
        <vt:i4>36</vt:i4>
      </vt:variant>
      <vt:variant>
        <vt:i4>0</vt:i4>
      </vt:variant>
      <vt:variant>
        <vt:i4>5</vt:i4>
      </vt:variant>
      <vt:variant>
        <vt:lpwstr>http://undocs.org/ch/CEDAW/C/BHR/CO/2</vt:lpwstr>
      </vt:variant>
      <vt:variant>
        <vt:lpwstr/>
      </vt:variant>
      <vt:variant>
        <vt:i4>851987</vt:i4>
      </vt:variant>
      <vt:variant>
        <vt:i4>33</vt:i4>
      </vt:variant>
      <vt:variant>
        <vt:i4>0</vt:i4>
      </vt:variant>
      <vt:variant>
        <vt:i4>5</vt:i4>
      </vt:variant>
      <vt:variant>
        <vt:lpwstr>http://undocs.org/ch/CEDAW/C/BHR/CO/2</vt:lpwstr>
      </vt:variant>
      <vt:variant>
        <vt:lpwstr/>
      </vt:variant>
      <vt:variant>
        <vt:i4>851987</vt:i4>
      </vt:variant>
      <vt:variant>
        <vt:i4>30</vt:i4>
      </vt:variant>
      <vt:variant>
        <vt:i4>0</vt:i4>
      </vt:variant>
      <vt:variant>
        <vt:i4>5</vt:i4>
      </vt:variant>
      <vt:variant>
        <vt:lpwstr>http://undocs.org/ch/CEDAW/C/BHR/CO/2</vt:lpwstr>
      </vt:variant>
      <vt:variant>
        <vt:lpwstr/>
      </vt:variant>
      <vt:variant>
        <vt:i4>851987</vt:i4>
      </vt:variant>
      <vt:variant>
        <vt:i4>27</vt:i4>
      </vt:variant>
      <vt:variant>
        <vt:i4>0</vt:i4>
      </vt:variant>
      <vt:variant>
        <vt:i4>5</vt:i4>
      </vt:variant>
      <vt:variant>
        <vt:lpwstr>http://undocs.org/ch/CEDAW/C/BHR/CO/2</vt:lpwstr>
      </vt:variant>
      <vt:variant>
        <vt:lpwstr/>
      </vt:variant>
      <vt:variant>
        <vt:i4>917597</vt:i4>
      </vt:variant>
      <vt:variant>
        <vt:i4>24</vt:i4>
      </vt:variant>
      <vt:variant>
        <vt:i4>0</vt:i4>
      </vt:variant>
      <vt:variant>
        <vt:i4>5</vt:i4>
      </vt:variant>
      <vt:variant>
        <vt:lpwstr>http://undocs.org/ch/A/RES/35/200</vt:lpwstr>
      </vt:variant>
      <vt:variant>
        <vt:lpwstr/>
      </vt:variant>
      <vt:variant>
        <vt:i4>983120</vt:i4>
      </vt:variant>
      <vt:variant>
        <vt:i4>21</vt:i4>
      </vt:variant>
      <vt:variant>
        <vt:i4>0</vt:i4>
      </vt:variant>
      <vt:variant>
        <vt:i4>5</vt:i4>
      </vt:variant>
      <vt:variant>
        <vt:lpwstr>http://undocs.org/ch/A/RES/28/201</vt:lpwstr>
      </vt:variant>
      <vt:variant>
        <vt:lpwstr/>
      </vt:variant>
      <vt:variant>
        <vt:i4>589918</vt:i4>
      </vt:variant>
      <vt:variant>
        <vt:i4>18</vt:i4>
      </vt:variant>
      <vt:variant>
        <vt:i4>0</vt:i4>
      </vt:variant>
      <vt:variant>
        <vt:i4>5</vt:i4>
      </vt:variant>
      <vt:variant>
        <vt:lpwstr>http://undocs.org/ch/A/RES/46/200</vt:lpwstr>
      </vt:variant>
      <vt:variant>
        <vt:lpwstr/>
      </vt:variant>
      <vt:variant>
        <vt:i4>917598</vt:i4>
      </vt:variant>
      <vt:variant>
        <vt:i4>15</vt:i4>
      </vt:variant>
      <vt:variant>
        <vt:i4>0</vt:i4>
      </vt:variant>
      <vt:variant>
        <vt:i4>5</vt:i4>
      </vt:variant>
      <vt:variant>
        <vt:lpwstr>http://undocs.org/ch/A/RES/36/201</vt:lpwstr>
      </vt:variant>
      <vt:variant>
        <vt:lpwstr/>
      </vt:variant>
      <vt:variant>
        <vt:i4>7536764</vt:i4>
      </vt:variant>
      <vt:variant>
        <vt:i4>12</vt:i4>
      </vt:variant>
      <vt:variant>
        <vt:i4>0</vt:i4>
      </vt:variant>
      <vt:variant>
        <vt:i4>5</vt:i4>
      </vt:variant>
      <vt:variant>
        <vt:lpwstr>http://undocs.org/ch/CEDAW/C/BHR/2</vt:lpwstr>
      </vt:variant>
      <vt:variant>
        <vt:lpwstr/>
      </vt:variant>
      <vt:variant>
        <vt:i4>3604534</vt:i4>
      </vt:variant>
      <vt:variant>
        <vt:i4>9</vt:i4>
      </vt:variant>
      <vt:variant>
        <vt:i4>0</vt:i4>
      </vt:variant>
      <vt:variant>
        <vt:i4>5</vt:i4>
      </vt:variant>
      <vt:variant>
        <vt:lpwstr>http://undocs.org/ch/CEDAW/C/BHR/Q/3/Add.1</vt:lpwstr>
      </vt:variant>
      <vt:variant>
        <vt:lpwstr/>
      </vt:variant>
      <vt:variant>
        <vt:i4>196691</vt:i4>
      </vt:variant>
      <vt:variant>
        <vt:i4>6</vt:i4>
      </vt:variant>
      <vt:variant>
        <vt:i4>0</vt:i4>
      </vt:variant>
      <vt:variant>
        <vt:i4>5</vt:i4>
      </vt:variant>
      <vt:variant>
        <vt:lpwstr>http://undocs.org/ch/CEDAW/C/BHR/Q/3</vt:lpwstr>
      </vt:variant>
      <vt:variant>
        <vt:lpwstr/>
      </vt:variant>
      <vt:variant>
        <vt:i4>655424</vt:i4>
      </vt:variant>
      <vt:variant>
        <vt:i4>3</vt:i4>
      </vt:variant>
      <vt:variant>
        <vt:i4>0</vt:i4>
      </vt:variant>
      <vt:variant>
        <vt:i4>5</vt:i4>
      </vt:variant>
      <vt:variant>
        <vt:lpwstr>http://undocs.org/ch/CEDAW/C/SR.1187</vt:lpwstr>
      </vt:variant>
      <vt:variant>
        <vt:lpwstr/>
      </vt:variant>
      <vt:variant>
        <vt:i4>7471228</vt:i4>
      </vt:variant>
      <vt:variant>
        <vt:i4>0</vt:i4>
      </vt:variant>
      <vt:variant>
        <vt:i4>0</vt:i4>
      </vt:variant>
      <vt:variant>
        <vt:i4>5</vt:i4>
      </vt:variant>
      <vt:variant>
        <vt:lpwstr>http://undocs.org/ch/CEDAW/C/BHR/3)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Shengli.Hao</dc:creator>
  <cp:keywords/>
  <dc:description/>
  <cp:lastModifiedBy>Shengli.Hao</cp:lastModifiedBy>
  <cp:revision>16</cp:revision>
  <cp:lastPrinted>2014-03-26T11:00:00Z</cp:lastPrinted>
  <dcterms:created xsi:type="dcterms:W3CDTF">2014-03-26T10:09:00Z</dcterms:created>
  <dcterms:modified xsi:type="dcterms:W3CDTF">2014-03-26T12:44:00Z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1400592</vt:lpwstr>
  </property>
  <property fmtid="{D5CDD505-2E9C-101B-9397-08002B2CF9AE}" pid="3" name="Symbol1">
    <vt:lpwstr>CEDAW/C/BHR/CO/3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Hao sl</vt:lpwstr>
  </property>
</Properties>
</file>