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Tr="00DB0902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A17DFD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A17DFD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DB0902" w:rsidP="00DB0902">
            <w:pPr>
              <w:jc w:val="right"/>
            </w:pPr>
            <w:r w:rsidRPr="00DB0902">
              <w:rPr>
                <w:sz w:val="40"/>
              </w:rPr>
              <w:t>CERD</w:t>
            </w:r>
            <w:r>
              <w:t>/C/USA/Q/7-9</w:t>
            </w:r>
          </w:p>
        </w:tc>
      </w:tr>
      <w:tr w:rsidR="002D5AAC" w:rsidTr="00DB0902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A17DFD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8728CD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>la Eliminación de todas 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DB0902" w:rsidRDefault="00DB0902" w:rsidP="00B778C8">
            <w:pPr>
              <w:spacing w:before="240"/>
            </w:pPr>
            <w:r>
              <w:t>Distr. general</w:t>
            </w:r>
          </w:p>
          <w:p w:rsidR="00DB0902" w:rsidRDefault="00DB0902" w:rsidP="00DB0902">
            <w:pPr>
              <w:spacing w:line="240" w:lineRule="exact"/>
            </w:pPr>
            <w:r>
              <w:t>7 de julio de 2014</w:t>
            </w:r>
          </w:p>
          <w:p w:rsidR="00DB0902" w:rsidRDefault="00DB0902" w:rsidP="00DB0902">
            <w:pPr>
              <w:spacing w:line="240" w:lineRule="exact"/>
            </w:pPr>
            <w:r>
              <w:t>Español</w:t>
            </w:r>
          </w:p>
          <w:p w:rsidR="002D5AAC" w:rsidRDefault="00DB0902" w:rsidP="00DB0902">
            <w:pPr>
              <w:spacing w:line="240" w:lineRule="exact"/>
            </w:pPr>
            <w:r>
              <w:t>Original: inglés</w:t>
            </w:r>
          </w:p>
        </w:tc>
      </w:tr>
    </w:tbl>
    <w:p w:rsidR="00DB0902" w:rsidRPr="000802DB" w:rsidRDefault="00DB0902" w:rsidP="00DB0902">
      <w:pPr>
        <w:spacing w:before="120"/>
        <w:rPr>
          <w:b/>
          <w:sz w:val="24"/>
          <w:szCs w:val="24"/>
        </w:rPr>
      </w:pPr>
      <w:r w:rsidRPr="000802DB">
        <w:rPr>
          <w:b/>
          <w:sz w:val="24"/>
          <w:szCs w:val="24"/>
        </w:rPr>
        <w:t>Comité para la Eliminación de la Discriminación Racial</w:t>
      </w:r>
    </w:p>
    <w:p w:rsidR="00DB0902" w:rsidRPr="000802DB" w:rsidRDefault="00DB0902" w:rsidP="00DB0902">
      <w:pPr>
        <w:rPr>
          <w:b/>
        </w:rPr>
      </w:pPr>
      <w:r>
        <w:rPr>
          <w:b/>
        </w:rPr>
        <w:t>85º</w:t>
      </w:r>
      <w:r w:rsidRPr="000802DB">
        <w:t xml:space="preserve"> </w:t>
      </w:r>
      <w:r w:rsidRPr="000802DB">
        <w:rPr>
          <w:b/>
        </w:rPr>
        <w:t>período de sesiones</w:t>
      </w:r>
    </w:p>
    <w:p w:rsidR="00DB0902" w:rsidRPr="000802DB" w:rsidRDefault="00DB0902" w:rsidP="00DB0902">
      <w:r w:rsidRPr="000802DB">
        <w:t>11</w:t>
      </w:r>
      <w:r>
        <w:t xml:space="preserve"> a </w:t>
      </w:r>
      <w:r w:rsidRPr="000802DB">
        <w:t xml:space="preserve">29 </w:t>
      </w:r>
      <w:r>
        <w:t>de agosto de</w:t>
      </w:r>
      <w:r w:rsidRPr="000802DB">
        <w:t xml:space="preserve"> 2014</w:t>
      </w:r>
    </w:p>
    <w:p w:rsidR="00DB0902" w:rsidRPr="00F00D47" w:rsidRDefault="00DB0902" w:rsidP="00DB0902">
      <w:r>
        <w:t>Tema</w:t>
      </w:r>
      <w:r w:rsidRPr="000802DB">
        <w:t xml:space="preserve"> 4 </w:t>
      </w:r>
      <w:r w:rsidRPr="00F00D47">
        <w:t>del programa provisional</w:t>
      </w:r>
    </w:p>
    <w:p w:rsidR="00DB0902" w:rsidRPr="00F00D47" w:rsidRDefault="00DB0902" w:rsidP="00DB0902">
      <w:pPr>
        <w:rPr>
          <w:b/>
        </w:rPr>
      </w:pPr>
      <w:r w:rsidRPr="00F00D47">
        <w:rPr>
          <w:b/>
        </w:rPr>
        <w:t>Examen de los informes, las observaciones y la</w:t>
      </w:r>
    </w:p>
    <w:p w:rsidR="00DB0902" w:rsidRPr="00F00D47" w:rsidRDefault="00DB0902" w:rsidP="00DB0902">
      <w:pPr>
        <w:rPr>
          <w:b/>
        </w:rPr>
      </w:pPr>
      <w:r w:rsidRPr="00F00D47">
        <w:rPr>
          <w:b/>
        </w:rPr>
        <w:t>información presentados por los Estados partes</w:t>
      </w:r>
    </w:p>
    <w:p w:rsidR="00DB0902" w:rsidRPr="00F00D47" w:rsidRDefault="00DB0902" w:rsidP="00DB0902">
      <w:pPr>
        <w:rPr>
          <w:b/>
        </w:rPr>
      </w:pPr>
      <w:r w:rsidRPr="00F00D47">
        <w:rPr>
          <w:b/>
        </w:rPr>
        <w:t>en virtud del artículo 9 de la Convención</w:t>
      </w:r>
    </w:p>
    <w:p w:rsidR="00DB0902" w:rsidRPr="000802DB" w:rsidRDefault="00DB0902" w:rsidP="00DB0902">
      <w:pPr>
        <w:pStyle w:val="HChG"/>
      </w:pPr>
      <w:r w:rsidRPr="000802DB">
        <w:tab/>
      </w:r>
      <w:r w:rsidRPr="000802DB">
        <w:tab/>
      </w:r>
      <w:r w:rsidRPr="00F00D47">
        <w:t>Lista de temas relativa a</w:t>
      </w:r>
      <w:r>
        <w:t xml:space="preserve"> </w:t>
      </w:r>
      <w:r w:rsidRPr="00F00D47">
        <w:t>l</w:t>
      </w:r>
      <w:r>
        <w:t>os</w:t>
      </w:r>
      <w:r w:rsidRPr="000802DB">
        <w:t xml:space="preserve"> </w:t>
      </w:r>
      <w:r>
        <w:t>informes periódicos séptimo a </w:t>
      </w:r>
      <w:r w:rsidRPr="00F00D47">
        <w:t xml:space="preserve">noveno </w:t>
      </w:r>
      <w:r w:rsidRPr="000802DB">
        <w:t>combin</w:t>
      </w:r>
      <w:r>
        <w:t xml:space="preserve">ados de los Estados Unidos de América </w:t>
      </w:r>
      <w:r w:rsidRPr="000802DB">
        <w:t>(CERD/C/USA/7-9)</w:t>
      </w:r>
    </w:p>
    <w:p w:rsidR="00DB0902" w:rsidRPr="00F00D47" w:rsidRDefault="00DB0902" w:rsidP="00DB0902">
      <w:pPr>
        <w:pStyle w:val="H1G"/>
      </w:pPr>
      <w:r w:rsidRPr="000802DB">
        <w:tab/>
      </w:r>
      <w:r w:rsidRPr="000802DB">
        <w:tab/>
      </w:r>
      <w:r w:rsidRPr="00F00D47">
        <w:t>Nota del Relator para el país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654"/>
      </w:tblGrid>
      <w:tr w:rsidR="00DB0902" w:rsidRPr="000802DB" w:rsidTr="001A22E5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DB0902" w:rsidRPr="000802DB" w:rsidRDefault="00DB0902" w:rsidP="001A22E5">
            <w:pPr>
              <w:spacing w:line="240" w:lineRule="auto"/>
            </w:pPr>
          </w:p>
        </w:tc>
      </w:tr>
      <w:tr w:rsidR="00DB0902" w:rsidRPr="000802DB" w:rsidTr="001A22E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DB0902" w:rsidRPr="000802DB" w:rsidRDefault="00DB0902" w:rsidP="001A22E5">
            <w:pPr>
              <w:spacing w:after="120"/>
              <w:jc w:val="both"/>
            </w:pPr>
            <w:r w:rsidRPr="000802DB">
              <w:tab/>
            </w:r>
            <w:r w:rsidRPr="00F00D47">
              <w:t>El Comité para la Eliminación de la Discriminación Racial decidió en su 76º período de sesiones (A/65/18, párr. 85)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</w:t>
            </w:r>
            <w:r w:rsidR="004D0A2A">
              <w:t>;</w:t>
            </w:r>
            <w:r w:rsidRPr="00F00D47">
              <w:t xml:space="preserve"> durante el diálogo con el Estado parte podrán abordarse otros asuntos. No se requieren respuestas por escrito.</w:t>
            </w:r>
            <w:r>
              <w:t xml:space="preserve"> </w:t>
            </w:r>
          </w:p>
        </w:tc>
      </w:tr>
      <w:tr w:rsidR="00DB0902" w:rsidRPr="000802DB" w:rsidTr="001A22E5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DB0902" w:rsidRPr="000802DB" w:rsidRDefault="00DB0902" w:rsidP="001A22E5">
            <w:pPr>
              <w:spacing w:line="240" w:lineRule="auto"/>
            </w:pPr>
          </w:p>
        </w:tc>
      </w:tr>
    </w:tbl>
    <w:p w:rsidR="00DB0902" w:rsidRPr="000802DB" w:rsidRDefault="00DB0902" w:rsidP="00DB0902">
      <w:pPr>
        <w:pStyle w:val="H23G"/>
      </w:pPr>
      <w:r w:rsidRPr="000802DB">
        <w:tab/>
        <w:t>1.</w:t>
      </w:r>
      <w:r w:rsidRPr="000802DB">
        <w:tab/>
      </w:r>
      <w:r w:rsidRPr="00665E68">
        <w:t>La Convención en la legislación nacional, marco institucional y normativo para su aplicación (art</w:t>
      </w:r>
      <w:r>
        <w:t>s.</w:t>
      </w:r>
      <w:r w:rsidRPr="000802DB">
        <w:t xml:space="preserve"> 1, 2 </w:t>
      </w:r>
      <w:r>
        <w:t>y</w:t>
      </w:r>
      <w:r w:rsidRPr="000802DB">
        <w:t> 4)</w:t>
      </w:r>
    </w:p>
    <w:p w:rsidR="00DB0902" w:rsidRPr="000802DB" w:rsidRDefault="00DB0902" w:rsidP="00DB0902">
      <w:pPr>
        <w:pStyle w:val="SingleTxtG"/>
        <w:ind w:firstLine="567"/>
      </w:pPr>
      <w:r w:rsidRPr="000802DB">
        <w:t>a)</w:t>
      </w:r>
      <w:r w:rsidRPr="000802DB">
        <w:tab/>
        <w:t>Progres</w:t>
      </w:r>
      <w:r>
        <w:t>o</w:t>
      </w:r>
      <w:r w:rsidRPr="000802DB">
        <w:t xml:space="preserve">s </w:t>
      </w:r>
      <w:r>
        <w:t xml:space="preserve">realizados para que </w:t>
      </w:r>
      <w:r w:rsidRPr="00665E68">
        <w:t>la definición de discriminación racial que figura en las legislaciones federal y estatal se ajuste a lo dispuesto en el párrafo 1 del artículo 1 de la Convención,</w:t>
      </w:r>
      <w:r>
        <w:t xml:space="preserve"> en particular: </w:t>
      </w:r>
      <w:r w:rsidRPr="000802DB">
        <w:t xml:space="preserve">i) </w:t>
      </w:r>
      <w:r>
        <w:t xml:space="preserve">la prohibición de la discriminación racial indirecta en todos los ámbitos de la vida </w:t>
      </w:r>
      <w:r w:rsidRPr="000802DB">
        <w:t>(CERD/C/USA/CO/6, p</w:t>
      </w:r>
      <w:r>
        <w:t>árrs</w:t>
      </w:r>
      <w:r w:rsidRPr="000802DB">
        <w:t xml:space="preserve">. 10 </w:t>
      </w:r>
      <w:r>
        <w:t>y</w:t>
      </w:r>
      <w:r w:rsidRPr="000802DB">
        <w:t xml:space="preserve"> 35); </w:t>
      </w:r>
      <w:r>
        <w:t xml:space="preserve">y </w:t>
      </w:r>
      <w:r w:rsidRPr="000802DB">
        <w:t xml:space="preserve">ii) </w:t>
      </w:r>
      <w:r>
        <w:t xml:space="preserve">la prohibición de los actos de discriminación racial en todas sus formas </w:t>
      </w:r>
      <w:r w:rsidRPr="00665E68">
        <w:t xml:space="preserve">cometidos por personas, grupos u organizaciones </w:t>
      </w:r>
      <w:r w:rsidRPr="000802DB">
        <w:t>(</w:t>
      </w:r>
      <w:r w:rsidRPr="00665E68">
        <w:rPr>
          <w:i/>
        </w:rPr>
        <w:t>ibid</w:t>
      </w:r>
      <w:r w:rsidRPr="000802DB">
        <w:t>., p</w:t>
      </w:r>
      <w:r>
        <w:t>árr</w:t>
      </w:r>
      <w:r w:rsidRPr="000802DB">
        <w:t xml:space="preserve">. 11). </w:t>
      </w:r>
    </w:p>
    <w:p w:rsidR="00DB0902" w:rsidRPr="000802DB" w:rsidRDefault="00DB0902" w:rsidP="00DB0902">
      <w:pPr>
        <w:pStyle w:val="SingleTxtG"/>
        <w:ind w:firstLine="567"/>
      </w:pPr>
      <w:r w:rsidRPr="000802DB">
        <w:t>b)</w:t>
      </w:r>
      <w:r w:rsidRPr="000802DB">
        <w:tab/>
      </w:r>
      <w:r>
        <w:t>Información adicional sobre</w:t>
      </w:r>
      <w:r w:rsidRPr="000802DB">
        <w:t xml:space="preserve"> </w:t>
      </w:r>
      <w:r>
        <w:t>casos que se halle</w:t>
      </w:r>
      <w:r w:rsidRPr="004A3985">
        <w:t>n ante tribunales</w:t>
      </w:r>
      <w:r w:rsidRPr="000802DB">
        <w:t xml:space="preserve"> </w:t>
      </w:r>
      <w:r>
        <w:t xml:space="preserve">de violación de la doctrina de las </w:t>
      </w:r>
      <w:r w:rsidRPr="004A3985">
        <w:t>consecuencias diferenciadas</w:t>
      </w:r>
      <w:r w:rsidRPr="000802DB">
        <w:t xml:space="preserve">, </w:t>
      </w:r>
      <w:r>
        <w:t>entre otros, aunque no exclusivamente, en los ámbitos del empleo, la vivienda y los procedimientos de votación</w:t>
      </w:r>
      <w:r w:rsidRPr="000802DB">
        <w:t xml:space="preserve"> (CERD/C/USA/7-9, </w:t>
      </w:r>
      <w:r>
        <w:t>párr</w:t>
      </w:r>
      <w:r w:rsidRPr="000802DB">
        <w:t>. 8).</w:t>
      </w:r>
    </w:p>
    <w:p w:rsidR="00DB0902" w:rsidRPr="000802DB" w:rsidRDefault="00DB0902" w:rsidP="00DB0902">
      <w:pPr>
        <w:pStyle w:val="SingleTxtG"/>
        <w:ind w:firstLine="567"/>
      </w:pPr>
      <w:r w:rsidRPr="000802DB">
        <w:t>c)</w:t>
      </w:r>
      <w:r w:rsidRPr="000802DB">
        <w:tab/>
      </w:r>
      <w:r>
        <w:t xml:space="preserve">Progresos realizados en relación con el establecimiento de una </w:t>
      </w:r>
      <w:r w:rsidRPr="00EC415A">
        <w:t xml:space="preserve">institución nacional </w:t>
      </w:r>
      <w:r>
        <w:t>de derechos humanos</w:t>
      </w:r>
      <w:r w:rsidRPr="00EC415A">
        <w:t xml:space="preserve"> que se ajuste a los Principios relativos al estatuto de las instituciones nacionales de promoción y protección de los derechos humanos </w:t>
      </w:r>
      <w:r>
        <w:t>(</w:t>
      </w:r>
      <w:r w:rsidRPr="00EC415A">
        <w:t>Principios de París</w:t>
      </w:r>
      <w:r>
        <w:t>)</w:t>
      </w:r>
      <w:r w:rsidRPr="00EC415A">
        <w:t xml:space="preserve"> </w:t>
      </w:r>
      <w:r w:rsidRPr="000802DB">
        <w:t>(CERD/C/USA/CO/6, p</w:t>
      </w:r>
      <w:r>
        <w:t>árr</w:t>
      </w:r>
      <w:r w:rsidRPr="000802DB">
        <w:t>. 12; CERD/C/USA/7-9,</w:t>
      </w:r>
      <w:r w:rsidR="00BD21EF">
        <w:t xml:space="preserve"> </w:t>
      </w:r>
      <w:r>
        <w:t>párr</w:t>
      </w:r>
      <w:r w:rsidRPr="000802DB">
        <w:t>. 31).</w:t>
      </w:r>
    </w:p>
    <w:p w:rsidR="00DB0902" w:rsidRPr="000802DB" w:rsidRDefault="00DB0902" w:rsidP="00DB0902">
      <w:pPr>
        <w:pStyle w:val="SingleTxtG"/>
        <w:ind w:firstLine="567"/>
      </w:pPr>
      <w:r w:rsidRPr="000802DB">
        <w:t>d)</w:t>
      </w:r>
      <w:r w:rsidRPr="000802DB">
        <w:tab/>
      </w:r>
      <w:r>
        <w:t xml:space="preserve">Información actualizada sobre la adopción de medidas especiales para abordar las diferencias raciales </w:t>
      </w:r>
      <w:r w:rsidRPr="00AB7097">
        <w:t>que afectan al disfrute de los derechos humanos</w:t>
      </w:r>
      <w:r>
        <w:t xml:space="preserve">, incluidas las consecuencias de la decisión del </w:t>
      </w:r>
      <w:r w:rsidRPr="00EC415A">
        <w:t>Tribunal Supremo</w:t>
      </w:r>
      <w:r>
        <w:t xml:space="preserve"> en el caso </w:t>
      </w:r>
      <w:r>
        <w:rPr>
          <w:i/>
        </w:rPr>
        <w:t>Schuette c</w:t>
      </w:r>
      <w:r w:rsidRPr="000802DB">
        <w:rPr>
          <w:i/>
        </w:rPr>
        <w:t>. Coalition to Defend Affirmative Action</w:t>
      </w:r>
      <w:r w:rsidRPr="000802DB">
        <w:t xml:space="preserve"> (CERD/C/USA/CO/6, </w:t>
      </w:r>
      <w:r>
        <w:t>párr</w:t>
      </w:r>
      <w:r w:rsidRPr="000802DB">
        <w:t xml:space="preserve">. 15; CERD/C/USA/7-9, </w:t>
      </w:r>
      <w:r>
        <w:t>párr</w:t>
      </w:r>
      <w:r w:rsidRPr="000802DB">
        <w:t>. 16).</w:t>
      </w:r>
    </w:p>
    <w:p w:rsidR="00DB0902" w:rsidRPr="000802DB" w:rsidRDefault="00DB0902" w:rsidP="00DB0902">
      <w:pPr>
        <w:pStyle w:val="SingleTxtG"/>
        <w:ind w:firstLine="567"/>
      </w:pPr>
      <w:r w:rsidRPr="000802DB">
        <w:t>e)</w:t>
      </w:r>
      <w:r w:rsidRPr="000802DB">
        <w:tab/>
      </w:r>
      <w:r>
        <w:t>Reserva al artículo</w:t>
      </w:r>
      <w:r w:rsidRPr="000802DB">
        <w:t xml:space="preserve"> 4 </w:t>
      </w:r>
      <w:r>
        <w:t xml:space="preserve">de la Convención a la luz de la </w:t>
      </w:r>
      <w:r w:rsidR="004D0A2A">
        <w:t xml:space="preserve">Recomendación </w:t>
      </w:r>
      <w:r>
        <w:t>general Nº</w:t>
      </w:r>
      <w:r w:rsidRPr="000802DB">
        <w:t xml:space="preserve"> 35 (2013) </w:t>
      </w:r>
      <w:r>
        <w:t>del Comité sobre l</w:t>
      </w:r>
      <w:r w:rsidRPr="00DF51B9">
        <w:t>a lucha contra el discurso de odio racista</w:t>
      </w:r>
      <w:r w:rsidRPr="000802DB">
        <w:t xml:space="preserve">, </w:t>
      </w:r>
      <w:r>
        <w:t xml:space="preserve">y eficacia de las iniciativas del Estado parte para luchar contra el discurso de odio racista </w:t>
      </w:r>
      <w:r w:rsidRPr="000802DB">
        <w:t>(CERD/C/USA/CO/6, p</w:t>
      </w:r>
      <w:r>
        <w:t>árr</w:t>
      </w:r>
      <w:r w:rsidRPr="000802DB">
        <w:t xml:space="preserve">. 18). </w:t>
      </w:r>
    </w:p>
    <w:p w:rsidR="00DB0902" w:rsidRPr="000802DB" w:rsidRDefault="00DB0902" w:rsidP="00DB0902">
      <w:pPr>
        <w:pStyle w:val="SingleTxtG"/>
        <w:ind w:firstLine="567"/>
      </w:pPr>
      <w:r w:rsidRPr="000802DB">
        <w:t>f)</w:t>
      </w:r>
      <w:r w:rsidRPr="000802DB">
        <w:tab/>
      </w:r>
      <w:r>
        <w:t xml:space="preserve">Información adicional sobre las medidas prácticas adoptadas para asegurar la coordinación y el cumplimiento efectivos de las obligaciones del Estado parte en virtud de la Convención dentro de su territorio en </w:t>
      </w:r>
      <w:r w:rsidRPr="00DF51B9">
        <w:t>los niveles, federal, estatal y local,</w:t>
      </w:r>
      <w:r>
        <w:t xml:space="preserve"> así como fuera de su territorio aunque dentro de su jurisdicción </w:t>
      </w:r>
      <w:r w:rsidRPr="000802DB">
        <w:t>(CERD/C/USA/CO/6, p</w:t>
      </w:r>
      <w:r>
        <w:t>árr</w:t>
      </w:r>
      <w:r w:rsidRPr="000802DB">
        <w:t>. 13; CERD/C/USA/7-9, p</w:t>
      </w:r>
      <w:r>
        <w:t>árr</w:t>
      </w:r>
      <w:r w:rsidRPr="000802DB">
        <w:t>. 32).</w:t>
      </w:r>
    </w:p>
    <w:p w:rsidR="00DB0902" w:rsidRPr="000802DB" w:rsidRDefault="00DB0902" w:rsidP="00DB0902">
      <w:pPr>
        <w:pStyle w:val="H23G"/>
      </w:pPr>
      <w:r w:rsidRPr="000802DB">
        <w:tab/>
        <w:t>2.</w:t>
      </w:r>
      <w:r w:rsidRPr="000802DB">
        <w:tab/>
        <w:t xml:space="preserve">Discriminación </w:t>
      </w:r>
      <w:r>
        <w:t xml:space="preserve">contra las minorías nacionales o étnicas </w:t>
      </w:r>
      <w:r w:rsidRPr="000802DB">
        <w:t>(arts. 2</w:t>
      </w:r>
      <w:r>
        <w:t xml:space="preserve"> a </w:t>
      </w:r>
      <w:r w:rsidRPr="000802DB">
        <w:t xml:space="preserve">7) </w:t>
      </w:r>
    </w:p>
    <w:p w:rsidR="00DB0902" w:rsidRPr="000802DB" w:rsidRDefault="00DB0902" w:rsidP="00DB0902">
      <w:pPr>
        <w:pStyle w:val="SingleTxtG"/>
        <w:ind w:firstLine="567"/>
      </w:pPr>
      <w:r w:rsidRPr="000802DB">
        <w:t>a)</w:t>
      </w:r>
      <w:r w:rsidRPr="000802DB">
        <w:tab/>
      </w:r>
      <w:r>
        <w:t>D</w:t>
      </w:r>
      <w:r w:rsidRPr="008613C5">
        <w:t xml:space="preserve">esigualdades raciales durante las diversas fases del procedimiento en el sistema de justicia penal, en particular el porcentaje desproporcionado de personas pertenecientes a minorías </w:t>
      </w:r>
      <w:r>
        <w:t>étnicas o raciales</w:t>
      </w:r>
      <w:r w:rsidRPr="008613C5">
        <w:t>, en particular afroamericanos,</w:t>
      </w:r>
      <w:r>
        <w:t xml:space="preserve"> entre los detenidos, procesados, sentenciado</w:t>
      </w:r>
      <w:r w:rsidRPr="00180319">
        <w:t>s</w:t>
      </w:r>
      <w:r>
        <w:t xml:space="preserve">, encarcelados y condenados a la pena de muerte </w:t>
      </w:r>
      <w:r w:rsidRPr="000802DB">
        <w:t>(CERD/C/USA/CO/6, p</w:t>
      </w:r>
      <w:r>
        <w:t>árr</w:t>
      </w:r>
      <w:r w:rsidRPr="000802DB">
        <w:t>. 20; CERD/C/USA/7-9, p</w:t>
      </w:r>
      <w:r>
        <w:t>árr</w:t>
      </w:r>
      <w:r w:rsidRPr="000802DB">
        <w:t>. 65).</w:t>
      </w:r>
    </w:p>
    <w:p w:rsidR="00DB0902" w:rsidRPr="000802DB" w:rsidRDefault="00DB0902" w:rsidP="00DB0902">
      <w:pPr>
        <w:pStyle w:val="SingleTxtG"/>
        <w:ind w:firstLine="567"/>
      </w:pPr>
      <w:r w:rsidRPr="000802DB">
        <w:t>b)</w:t>
      </w:r>
      <w:r w:rsidRPr="000802DB">
        <w:tab/>
      </w:r>
      <w:r>
        <w:t>Diferencias r</w:t>
      </w:r>
      <w:r w:rsidRPr="000802DB">
        <w:t>acial</w:t>
      </w:r>
      <w:r>
        <w:t>es y étnicas en el ámbito de la educación, la pobreza, la vivienda, la salud y el índice de violencia y delincuencia</w:t>
      </w:r>
      <w:r w:rsidRPr="000802DB">
        <w:t xml:space="preserve"> (CERD/C/USA/CO/6, p</w:t>
      </w:r>
      <w:r>
        <w:t>árr</w:t>
      </w:r>
      <w:r w:rsidRPr="000802DB">
        <w:t xml:space="preserve">s. 16, 17 </w:t>
      </w:r>
      <w:r>
        <w:t>y</w:t>
      </w:r>
      <w:r w:rsidRPr="000802DB">
        <w:t xml:space="preserve"> 32</w:t>
      </w:r>
      <w:r>
        <w:t xml:space="preserve"> a </w:t>
      </w:r>
      <w:r w:rsidRPr="000802DB">
        <w:t xml:space="preserve">34); </w:t>
      </w:r>
      <w:r>
        <w:t xml:space="preserve">las </w:t>
      </w:r>
      <w:r w:rsidRPr="008613C5">
        <w:t xml:space="preserve">consecuencias distintas para </w:t>
      </w:r>
      <w:r>
        <w:t>las minorías</w:t>
      </w:r>
      <w:r w:rsidRPr="000802DB">
        <w:t xml:space="preserve"> </w:t>
      </w:r>
      <w:r>
        <w:t xml:space="preserve">de la </w:t>
      </w:r>
      <w:r w:rsidRPr="008613C5">
        <w:t>violencia con armas de fuego</w:t>
      </w:r>
      <w:r w:rsidRPr="000802DB">
        <w:t xml:space="preserve"> </w:t>
      </w:r>
      <w:r>
        <w:t xml:space="preserve">y </w:t>
      </w:r>
      <w:r w:rsidRPr="008613C5">
        <w:t>los efectos discriminatorios de las leyes que estipulan la defensa propia sin limitaciones (</w:t>
      </w:r>
      <w:r>
        <w:t>"</w:t>
      </w:r>
      <w:r w:rsidRPr="008613C5">
        <w:t>Stand Your Ground Laws</w:t>
      </w:r>
      <w:r>
        <w:t>"</w:t>
      </w:r>
      <w:r w:rsidRPr="008613C5">
        <w:t>)</w:t>
      </w:r>
      <w:r w:rsidRPr="000802DB">
        <w:t>.</w:t>
      </w:r>
    </w:p>
    <w:p w:rsidR="00DB0902" w:rsidRPr="000802DB" w:rsidRDefault="00DB0902" w:rsidP="00DB0902">
      <w:pPr>
        <w:pStyle w:val="SingleTxtG"/>
        <w:ind w:firstLine="567"/>
      </w:pPr>
      <w:r w:rsidRPr="000802DB">
        <w:t>c)</w:t>
      </w:r>
      <w:r w:rsidRPr="000802DB">
        <w:tab/>
      </w:r>
      <w:r w:rsidRPr="008613C5">
        <w:t xml:space="preserve">Criminalización de las personas sin hogar </w:t>
      </w:r>
      <w:r>
        <w:t>y sus consecuencias desproporcionadas en personas que pertenecen a minorías nacionales o étnicas</w:t>
      </w:r>
      <w:r w:rsidRPr="000802DB">
        <w:t>.</w:t>
      </w:r>
    </w:p>
    <w:p w:rsidR="00DB0902" w:rsidRPr="000802DB" w:rsidRDefault="00DB0902" w:rsidP="00DB0902">
      <w:pPr>
        <w:pStyle w:val="SingleTxtG"/>
        <w:ind w:firstLine="567"/>
      </w:pPr>
      <w:r w:rsidRPr="000802DB">
        <w:t>d)</w:t>
      </w:r>
      <w:r w:rsidRPr="000802DB">
        <w:tab/>
        <w:t>Progres</w:t>
      </w:r>
      <w:r>
        <w:t>o</w:t>
      </w:r>
      <w:r w:rsidRPr="000802DB">
        <w:t xml:space="preserve">s </w:t>
      </w:r>
      <w:r>
        <w:t xml:space="preserve">realizados, en la ley y en la práctica, para poner fin a la práctica de la </w:t>
      </w:r>
      <w:r w:rsidRPr="008613C5">
        <w:t>caracterización racial</w:t>
      </w:r>
      <w:r w:rsidRPr="000802DB">
        <w:t xml:space="preserve"> </w:t>
      </w:r>
      <w:r>
        <w:t xml:space="preserve">y la vigilancia por las </w:t>
      </w:r>
      <w:r w:rsidRPr="008613C5">
        <w:t xml:space="preserve">fuerzas del orden </w:t>
      </w:r>
      <w:r w:rsidRPr="000802DB">
        <w:t>(CERD/C/USA/CO/6, p</w:t>
      </w:r>
      <w:r>
        <w:t>árr</w:t>
      </w:r>
      <w:r w:rsidRPr="000802DB">
        <w:t>.</w:t>
      </w:r>
      <w:r w:rsidR="004D679E">
        <w:t> </w:t>
      </w:r>
      <w:r w:rsidRPr="000802DB">
        <w:t>14; CERD/C/USA/7-9, p</w:t>
      </w:r>
      <w:r>
        <w:t>árr</w:t>
      </w:r>
      <w:r w:rsidRPr="000802DB">
        <w:t xml:space="preserve">. 82). </w:t>
      </w:r>
    </w:p>
    <w:p w:rsidR="00DB0902" w:rsidRPr="000802DB" w:rsidRDefault="00DB0902" w:rsidP="00DB0902">
      <w:pPr>
        <w:pStyle w:val="SingleTxtG"/>
        <w:ind w:firstLine="567"/>
      </w:pPr>
      <w:r w:rsidRPr="000802DB">
        <w:t>e)</w:t>
      </w:r>
      <w:r w:rsidRPr="000802DB">
        <w:tab/>
        <w:t>Obst</w:t>
      </w:r>
      <w:r>
        <w:t xml:space="preserve">áculos a la votación impuestos a personas pertenecientes a minorías nacionales o étnicas, en particular leyes para la </w:t>
      </w:r>
      <w:r w:rsidRPr="008613C5">
        <w:t>identificación de los votantes</w:t>
      </w:r>
      <w:r w:rsidRPr="000802DB">
        <w:t xml:space="preserve">, </w:t>
      </w:r>
      <w:r>
        <w:t xml:space="preserve">manipulación a nivel de distrito y </w:t>
      </w:r>
      <w:r w:rsidRPr="008613C5">
        <w:t>priva</w:t>
      </w:r>
      <w:r>
        <w:t>ción</w:t>
      </w:r>
      <w:r w:rsidRPr="008613C5">
        <w:t xml:space="preserve"> del derecho de voto a los </w:t>
      </w:r>
      <w:r>
        <w:t>condenados</w:t>
      </w:r>
      <w:r w:rsidRPr="008613C5">
        <w:t xml:space="preserve"> por delitos graves</w:t>
      </w:r>
      <w:r w:rsidRPr="000802DB">
        <w:t>.</w:t>
      </w:r>
    </w:p>
    <w:p w:rsidR="00DB0902" w:rsidRPr="000802DB" w:rsidRDefault="00DB0902" w:rsidP="00DB0902">
      <w:pPr>
        <w:pStyle w:val="SingleTxtG"/>
        <w:ind w:firstLine="567"/>
      </w:pPr>
      <w:r w:rsidRPr="000802DB">
        <w:t>f)</w:t>
      </w:r>
      <w:r w:rsidRPr="000802DB">
        <w:tab/>
      </w:r>
      <w:r>
        <w:t xml:space="preserve">Disparidades raciales después de </w:t>
      </w:r>
      <w:r w:rsidRPr="00F640FF">
        <w:t>desastre</w:t>
      </w:r>
      <w:r>
        <w:t>s</w:t>
      </w:r>
      <w:r w:rsidRPr="00F640FF">
        <w:t xml:space="preserve"> natural</w:t>
      </w:r>
      <w:r>
        <w:t>es</w:t>
      </w:r>
      <w:r w:rsidRPr="00F640FF">
        <w:t xml:space="preserve"> </w:t>
      </w:r>
      <w:r w:rsidRPr="000802DB">
        <w:t xml:space="preserve">(CERD/C/USA/CO/6, </w:t>
      </w:r>
      <w:r>
        <w:t>párr</w:t>
      </w:r>
      <w:r w:rsidRPr="000802DB">
        <w:t>. 31; CERD/C/USA/7-9, p</w:t>
      </w:r>
      <w:r>
        <w:t>árr</w:t>
      </w:r>
      <w:r w:rsidRPr="000802DB">
        <w:t>s. 129</w:t>
      </w:r>
      <w:r>
        <w:t xml:space="preserve"> a </w:t>
      </w:r>
      <w:r w:rsidRPr="000802DB">
        <w:t xml:space="preserve">132).  </w:t>
      </w:r>
    </w:p>
    <w:p w:rsidR="00DB0902" w:rsidRPr="000802DB" w:rsidRDefault="00DB0902" w:rsidP="00DB0902">
      <w:pPr>
        <w:pStyle w:val="SingleTxtG"/>
        <w:ind w:firstLine="567"/>
      </w:pPr>
      <w:r w:rsidRPr="000802DB">
        <w:t>g)</w:t>
      </w:r>
      <w:r w:rsidRPr="000802DB">
        <w:tab/>
      </w:r>
      <w:r>
        <w:t>U</w:t>
      </w:r>
      <w:r w:rsidRPr="00F640FF">
        <w:t xml:space="preserve">so excesivo de la fuerza </w:t>
      </w:r>
      <w:r>
        <w:t>por funcionarios del orden público, incluid</w:t>
      </w:r>
      <w:r w:rsidRPr="00F640FF">
        <w:t>o el uso de fuerza mortífera</w:t>
      </w:r>
      <w:r>
        <w:t xml:space="preserve"> y de</w:t>
      </w:r>
      <w:r w:rsidRPr="00F640FF">
        <w:t xml:space="preserve"> dispositivos de descarga eléctrica</w:t>
      </w:r>
      <w:r>
        <w:t xml:space="preserve"> </w:t>
      </w:r>
      <w:r w:rsidRPr="00F640FF">
        <w:t>por agentes de la Patrulla de Aduanas y Fronteras en la frontera de los Estados Unidos y México</w:t>
      </w:r>
      <w:r>
        <w:t>,</w:t>
      </w:r>
      <w:r w:rsidRPr="00F640FF">
        <w:t xml:space="preserve"> </w:t>
      </w:r>
      <w:r>
        <w:t>y consecuencias desiguales en</w:t>
      </w:r>
      <w:r w:rsidRPr="00F640FF">
        <w:t xml:space="preserve"> personas pertenecientes a minorías nacionales, étnicas y raciales </w:t>
      </w:r>
      <w:r w:rsidRPr="000802DB">
        <w:t>(CERD/C/USA/CO/6, p</w:t>
      </w:r>
      <w:r>
        <w:t>árr</w:t>
      </w:r>
      <w:r w:rsidRPr="000802DB">
        <w:t>. 25).</w:t>
      </w:r>
    </w:p>
    <w:p w:rsidR="00DB0902" w:rsidRPr="000802DB" w:rsidRDefault="00DB0902" w:rsidP="001A22E5">
      <w:pPr>
        <w:pStyle w:val="H23G"/>
      </w:pPr>
      <w:r w:rsidRPr="000802DB">
        <w:tab/>
        <w:t>3.</w:t>
      </w:r>
      <w:r w:rsidRPr="000802DB">
        <w:tab/>
        <w:t xml:space="preserve">Discriminación </w:t>
      </w:r>
      <w:r>
        <w:t>contra pueblos indígenas</w:t>
      </w:r>
      <w:r w:rsidRPr="000802DB">
        <w:t xml:space="preserve"> (arts. </w:t>
      </w:r>
      <w:r>
        <w:t xml:space="preserve">2 a </w:t>
      </w:r>
      <w:r w:rsidRPr="000802DB">
        <w:t xml:space="preserve">7) </w:t>
      </w:r>
    </w:p>
    <w:p w:rsidR="00DB0902" w:rsidRPr="000802DB" w:rsidRDefault="00DB0902" w:rsidP="001A22E5">
      <w:pPr>
        <w:pStyle w:val="SingleTxtG"/>
        <w:keepNext/>
        <w:keepLines/>
        <w:ind w:firstLine="567"/>
      </w:pPr>
      <w:r w:rsidRPr="000802DB">
        <w:t>a)</w:t>
      </w:r>
      <w:r w:rsidRPr="000802DB">
        <w:tab/>
        <w:t>Obst</w:t>
      </w:r>
      <w:r>
        <w:t>áculos al reconocimiento de tribus</w:t>
      </w:r>
      <w:r w:rsidRPr="000802DB">
        <w:t>.</w:t>
      </w:r>
    </w:p>
    <w:p w:rsidR="00DB0902" w:rsidRPr="000802DB" w:rsidRDefault="00DB0902" w:rsidP="00DB0902">
      <w:pPr>
        <w:pStyle w:val="SingleTxtG"/>
        <w:ind w:firstLine="567"/>
      </w:pPr>
      <w:r w:rsidRPr="000802DB">
        <w:t>b)</w:t>
      </w:r>
      <w:r w:rsidRPr="000802DB">
        <w:tab/>
      </w:r>
      <w:r>
        <w:t xml:space="preserve">Información adicional sobre actividades económicas en tierras tribales o en las proximidades de estas y progresos realizados, en la ley y la práctica, para garantizar la participación significativa de los pueblos indígenas en la formulación de políticas y las decisiones que los afectan </w:t>
      </w:r>
      <w:r w:rsidRPr="000802DB">
        <w:t>(CERD/C/USA/CO/6, p</w:t>
      </w:r>
      <w:r>
        <w:t>árr</w:t>
      </w:r>
      <w:r w:rsidRPr="000802DB">
        <w:t>. 19; CERD/C/USA/7-9, p</w:t>
      </w:r>
      <w:r>
        <w:t>árr</w:t>
      </w:r>
      <w:r w:rsidRPr="000802DB">
        <w:t xml:space="preserve">. 180; CERD/C/USA/DEC/1); </w:t>
      </w:r>
      <w:r>
        <w:t>más información sobre los mecanismos de justicia utilizados para proporcionar una reparación apropiada por las actividades económicas perjudiciales de empresas e información sobre la reparación otorgada a las comunidades afectadas por las actividades de empresas y formas de garantizar una participación significativa de las comunidades indígenas en la determinación de vías de reparación adecuadas</w:t>
      </w:r>
      <w:r w:rsidRPr="000802DB">
        <w:t xml:space="preserve"> (CERD/C/USA/CO/6, </w:t>
      </w:r>
      <w:r>
        <w:t>párr</w:t>
      </w:r>
      <w:r w:rsidRPr="000802DB">
        <w:t xml:space="preserve">. 30; </w:t>
      </w:r>
      <w:r>
        <w:t>CERD/C/USA/7-9, párr</w:t>
      </w:r>
      <w:r w:rsidRPr="000802DB">
        <w:t>. 177).</w:t>
      </w:r>
    </w:p>
    <w:p w:rsidR="00DB0902" w:rsidRPr="000802DB" w:rsidRDefault="00DB0902" w:rsidP="00DB0902">
      <w:pPr>
        <w:pStyle w:val="SingleTxtG"/>
        <w:ind w:firstLine="567"/>
      </w:pPr>
      <w:r w:rsidRPr="000802DB">
        <w:t>c)</w:t>
      </w:r>
      <w:r w:rsidRPr="000802DB">
        <w:tab/>
      </w:r>
      <w:r>
        <w:t>Falta de jurisdicción y recursos para investigar y enjuiciar delitos cometidos en reservas indígenas</w:t>
      </w:r>
      <w:r w:rsidRPr="000802DB">
        <w:t>.</w:t>
      </w:r>
    </w:p>
    <w:p w:rsidR="00DB0902" w:rsidRPr="000802DB" w:rsidRDefault="00DB0902" w:rsidP="00DB0902">
      <w:pPr>
        <w:pStyle w:val="SingleTxtG"/>
        <w:ind w:firstLine="567"/>
      </w:pPr>
      <w:r w:rsidRPr="000802DB">
        <w:t>d)</w:t>
      </w:r>
      <w:r w:rsidRPr="000802DB">
        <w:tab/>
      </w:r>
      <w:r>
        <w:t xml:space="preserve">Progresos realizados para mejorar la situación de los pueblos indígenas, en particular la </w:t>
      </w:r>
      <w:r w:rsidRPr="00C15E31">
        <w:t>pobreza, el desempleo, la falta de servicios de atención de la salud, los delitos violentos</w:t>
      </w:r>
      <w:r w:rsidRPr="000802DB">
        <w:t>, inclu</w:t>
      </w:r>
      <w:r>
        <w:t xml:space="preserve">ida la violencia contra la mujer, el bajo nivel de desempeño académico y la falta de acceso al agua potable y a </w:t>
      </w:r>
      <w:r w:rsidRPr="00C15E31">
        <w:t xml:space="preserve">servicios básicos de saneamiento </w:t>
      </w:r>
      <w:r w:rsidRPr="000802DB">
        <w:t>(HRI/CORE/USA/2011, p</w:t>
      </w:r>
      <w:r>
        <w:t>árr</w:t>
      </w:r>
      <w:r w:rsidRPr="000802DB">
        <w:t>. 205).</w:t>
      </w:r>
    </w:p>
    <w:p w:rsidR="00DB0902" w:rsidRPr="000802DB" w:rsidRDefault="00DB0902" w:rsidP="00DB0902">
      <w:pPr>
        <w:pStyle w:val="H23G"/>
      </w:pPr>
      <w:r w:rsidRPr="000802DB">
        <w:tab/>
        <w:t>4.</w:t>
      </w:r>
      <w:r w:rsidRPr="000802DB">
        <w:tab/>
      </w:r>
      <w:r w:rsidRPr="00600936">
        <w:t>Situación de los no ciudadanos, en partic</w:t>
      </w:r>
      <w:r>
        <w:t xml:space="preserve">ular los migrantes, los refugiados y los </w:t>
      </w:r>
      <w:r w:rsidRPr="00600936">
        <w:t>solicitantes de asilo</w:t>
      </w:r>
      <w:r w:rsidRPr="000802DB">
        <w:t xml:space="preserve"> (arts. 5 and 7)</w:t>
      </w:r>
    </w:p>
    <w:p w:rsidR="00DB0902" w:rsidRPr="000802DB" w:rsidRDefault="00DB0902" w:rsidP="00DB0902">
      <w:pPr>
        <w:pStyle w:val="SingleTxtG"/>
        <w:ind w:firstLine="567"/>
      </w:pPr>
      <w:r w:rsidRPr="000802DB">
        <w:t>a)</w:t>
      </w:r>
      <w:r w:rsidRPr="000802DB">
        <w:tab/>
      </w:r>
      <w:r>
        <w:t>Detención prolongada e instalaciones y servicios inadecuados para los solicitantes de asilo</w:t>
      </w:r>
      <w:r w:rsidRPr="000802DB">
        <w:t xml:space="preserve">. </w:t>
      </w:r>
    </w:p>
    <w:p w:rsidR="00DB0902" w:rsidRPr="000802DB" w:rsidRDefault="00DB0902" w:rsidP="00DB0902">
      <w:pPr>
        <w:pStyle w:val="SingleTxtG"/>
        <w:ind w:firstLine="567"/>
      </w:pPr>
      <w:r w:rsidRPr="000802DB">
        <w:t>b)</w:t>
      </w:r>
      <w:r w:rsidRPr="000802DB">
        <w:tab/>
      </w:r>
      <w:r>
        <w:t xml:space="preserve">Régimen de detención obligatoria de inmigrantes durante largos períodos y obstáculos para acceder a asistencia letrada del Estado, intérpretes, servicios de salud, educación y oportunidades de empleo durante la detención; </w:t>
      </w:r>
      <w:r w:rsidRPr="00600936">
        <w:t>expulsión de inmigrantes indocumentados</w:t>
      </w:r>
      <w:r w:rsidRPr="000802DB">
        <w:t xml:space="preserve">. </w:t>
      </w:r>
    </w:p>
    <w:p w:rsidR="00DB0902" w:rsidRPr="000802DB" w:rsidRDefault="00DB0902" w:rsidP="00DB0902">
      <w:pPr>
        <w:pStyle w:val="SingleTxtG"/>
        <w:ind w:firstLine="567"/>
      </w:pPr>
      <w:r w:rsidRPr="000802DB">
        <w:t>c)</w:t>
      </w:r>
      <w:r w:rsidRPr="000802DB">
        <w:tab/>
      </w:r>
      <w:r>
        <w:t>Niveles de pobreza elevados y acceso insuficiente a la atención de la salud y la educación de los trabajadores migratorios</w:t>
      </w:r>
      <w:r w:rsidRPr="000802DB">
        <w:t xml:space="preserve">. </w:t>
      </w:r>
    </w:p>
    <w:p w:rsidR="00DB0902" w:rsidRPr="000802DB" w:rsidRDefault="00DB0902" w:rsidP="00DB0902">
      <w:pPr>
        <w:pStyle w:val="H23G"/>
      </w:pPr>
      <w:r w:rsidRPr="000802DB">
        <w:tab/>
        <w:t>5.</w:t>
      </w:r>
      <w:r w:rsidRPr="000802DB">
        <w:tab/>
      </w:r>
      <w:r w:rsidRPr="00600936">
        <w:t>Acceso a la justicia</w:t>
      </w:r>
      <w:r w:rsidR="00BD21EF">
        <w:t xml:space="preserve"> </w:t>
      </w:r>
      <w:r w:rsidRPr="000802DB">
        <w:t>(art. 6)</w:t>
      </w:r>
    </w:p>
    <w:p w:rsidR="00DB0902" w:rsidRPr="000802DB" w:rsidRDefault="00DB0902" w:rsidP="00DB0902">
      <w:pPr>
        <w:pStyle w:val="SingleTxtG"/>
        <w:ind w:firstLine="567"/>
      </w:pPr>
      <w:r w:rsidRPr="000802DB">
        <w:t>a)</w:t>
      </w:r>
      <w:r w:rsidRPr="000802DB">
        <w:tab/>
      </w:r>
      <w:r>
        <w:t xml:space="preserve">Incumplimiento del derecho a la asistencia letrada de las personas indigentes pertenecientes a minorías raciales, étnicas y nacionales en procedimientos civiles, y deficiencias o falta de defensa penal para personas indigentes pertenecientes a minorías raciales, étnicas y nacionales en procedimientos penales </w:t>
      </w:r>
      <w:r w:rsidRPr="000802DB">
        <w:t>(CERD/C/USA/CO/6, p</w:t>
      </w:r>
      <w:r>
        <w:t>árr</w:t>
      </w:r>
      <w:r w:rsidRPr="000802DB">
        <w:t>. 22; CERD/C/USA/7-9, p</w:t>
      </w:r>
      <w:r>
        <w:t>árr</w:t>
      </w:r>
      <w:r w:rsidRPr="000802DB">
        <w:t xml:space="preserve">. 62). </w:t>
      </w:r>
    </w:p>
    <w:p w:rsidR="00DB0902" w:rsidRPr="000802DB" w:rsidRDefault="00DB0902" w:rsidP="00DB0902">
      <w:pPr>
        <w:pStyle w:val="SingleTxtG"/>
        <w:ind w:firstLine="567"/>
      </w:pPr>
      <w:r w:rsidRPr="000802DB">
        <w:t>b)</w:t>
      </w:r>
      <w:r w:rsidRPr="000802DB">
        <w:tab/>
        <w:t>Acces</w:t>
      </w:r>
      <w:r>
        <w:t>o a la justicia y procedimiento</w:t>
      </w:r>
      <w:r w:rsidRPr="000802DB">
        <w:t>s</w:t>
      </w:r>
      <w:r>
        <w:t xml:space="preserve"> de recurso para las víctimas de discriminación indirecta</w:t>
      </w:r>
      <w:r w:rsidRPr="000802DB">
        <w:t xml:space="preserve"> (CERD/C/USA/CO/6, p</w:t>
      </w:r>
      <w:r>
        <w:t>árr</w:t>
      </w:r>
      <w:r w:rsidRPr="000802DB">
        <w:t xml:space="preserve">. 35). </w:t>
      </w:r>
    </w:p>
    <w:p w:rsidR="00DB0902" w:rsidRPr="000802DB" w:rsidRDefault="00DB0902" w:rsidP="00DB0902">
      <w:pPr>
        <w:pStyle w:val="SingleTxtG"/>
        <w:ind w:firstLine="567"/>
      </w:pPr>
      <w:r w:rsidRPr="000802DB">
        <w:t>c)</w:t>
      </w:r>
      <w:r w:rsidRPr="000802DB">
        <w:tab/>
      </w:r>
      <w:r>
        <w:t xml:space="preserve">Acceso a la justicia de los detenidos extranjeros </w:t>
      </w:r>
      <w:r w:rsidRPr="0090756B">
        <w:t>recluidos en condición de "combatientes enemigos"</w:t>
      </w:r>
      <w:r>
        <w:t xml:space="preserve"> en la bahía de Guantánamo (CERD/C/USA/CO/6, párr</w:t>
      </w:r>
      <w:r w:rsidRPr="000802DB">
        <w:t>. 24; CERD/C/USA/7-9, p</w:t>
      </w:r>
      <w:r>
        <w:t>árr</w:t>
      </w:r>
      <w:r w:rsidRPr="000802DB">
        <w:t xml:space="preserve">. 77). </w:t>
      </w:r>
    </w:p>
    <w:p w:rsidR="00DB0902" w:rsidRPr="000802DB" w:rsidRDefault="00DB0902" w:rsidP="00DB0902">
      <w:pPr>
        <w:pStyle w:val="H23G"/>
      </w:pPr>
      <w:r w:rsidRPr="000802DB">
        <w:tab/>
        <w:t>6.</w:t>
      </w:r>
      <w:r w:rsidRPr="000802DB">
        <w:tab/>
      </w:r>
      <w:r>
        <w:t>Capacitación, formación</w:t>
      </w:r>
      <w:r w:rsidRPr="000802DB">
        <w:t xml:space="preserve"> </w:t>
      </w:r>
      <w:r>
        <w:t xml:space="preserve">y otras medidas para combatir los prejuicios y la intolerancia </w:t>
      </w:r>
      <w:r w:rsidRPr="000802DB">
        <w:t>(art. 7)</w:t>
      </w:r>
    </w:p>
    <w:p w:rsidR="00DB0902" w:rsidRPr="000802DB" w:rsidRDefault="00DB0902" w:rsidP="00DB0902">
      <w:pPr>
        <w:pStyle w:val="SingleTxtG"/>
        <w:ind w:firstLine="567"/>
      </w:pPr>
      <w:r w:rsidRPr="000802DB">
        <w:t>a)</w:t>
      </w:r>
      <w:r w:rsidRPr="000802DB">
        <w:tab/>
        <w:t>Adop</w:t>
      </w:r>
      <w:r>
        <w:t>ción de una estrategia o un plan de acción nacionales para aplicar plenamente las disposiciones de la Convención y eliminar la discriminación estructural</w:t>
      </w:r>
      <w:r w:rsidRPr="000802DB">
        <w:t>.</w:t>
      </w:r>
    </w:p>
    <w:p w:rsidR="00DB0902" w:rsidRPr="000802DB" w:rsidRDefault="00DB0902" w:rsidP="00DB0902">
      <w:pPr>
        <w:pStyle w:val="SingleTxtG"/>
        <w:ind w:firstLine="567"/>
      </w:pPr>
      <w:r w:rsidRPr="000802DB">
        <w:t>b)</w:t>
      </w:r>
      <w:r w:rsidRPr="000802DB">
        <w:tab/>
      </w:r>
      <w:r>
        <w:t>P</w:t>
      </w:r>
      <w:r w:rsidRPr="00665B74">
        <w:t xml:space="preserve">rogramas </w:t>
      </w:r>
      <w:r>
        <w:t>o</w:t>
      </w:r>
      <w:r w:rsidRPr="00665B74">
        <w:t xml:space="preserve"> cursos de capacitación para difundir el conocimiento de la Convención y sus disposiciones entre los funcionarios de la administración pública, los funcionarios judiciales, los agentes del orden federales y estatales, los maestros, los trabajadores sociales y otros funcionarios públicos</w:t>
      </w:r>
      <w:r>
        <w:t xml:space="preserve"> </w:t>
      </w:r>
      <w:r w:rsidRPr="000802DB">
        <w:t>(CERD/C/USA/CO/6, p</w:t>
      </w:r>
      <w:r>
        <w:t>árr</w:t>
      </w:r>
      <w:r w:rsidRPr="000802DB">
        <w:t>. 36).</w:t>
      </w:r>
    </w:p>
    <w:p w:rsidR="00DB0902" w:rsidRPr="000802DB" w:rsidRDefault="00DB0902" w:rsidP="004D679E">
      <w:pPr>
        <w:pStyle w:val="SingleTxtG"/>
        <w:spacing w:after="240"/>
        <w:ind w:firstLine="567"/>
      </w:pPr>
      <w:r w:rsidRPr="000802DB">
        <w:t>c)</w:t>
      </w:r>
      <w:r w:rsidRPr="000802DB">
        <w:tab/>
        <w:t>Inclusión</w:t>
      </w:r>
      <w:r w:rsidRPr="00665B74">
        <w:t xml:space="preserve"> </w:t>
      </w:r>
      <w:r>
        <w:t>d</w:t>
      </w:r>
      <w:r w:rsidRPr="00665B74">
        <w:t>e la historia y la cultura de los diferentes grupos</w:t>
      </w:r>
      <w:r w:rsidRPr="00962DA8">
        <w:t xml:space="preserve"> </w:t>
      </w:r>
      <w:r w:rsidRPr="00665B74">
        <w:t xml:space="preserve">raciales, étnicos y nacionales que viven en </w:t>
      </w:r>
      <w:r>
        <w:t>el</w:t>
      </w:r>
      <w:r w:rsidRPr="00665B74">
        <w:t xml:space="preserve"> territorio</w:t>
      </w:r>
      <w:r>
        <w:t xml:space="preserve"> del Estado parte, incluidos los grupos indígenas, en</w:t>
      </w:r>
      <w:r w:rsidRPr="000802DB">
        <w:t xml:space="preserve"> </w:t>
      </w:r>
      <w:r w:rsidRPr="00665B74">
        <w:t xml:space="preserve">los programas de </w:t>
      </w:r>
      <w:r>
        <w:t>estudios</w:t>
      </w:r>
      <w:r w:rsidRPr="00665B74">
        <w:t xml:space="preserve"> y los libros de texto de enseñanza primaria y secundaria</w:t>
      </w:r>
      <w:r w:rsidRPr="000802DB">
        <w:t xml:space="preserve"> (CERD/C/USA/CO/6, p</w:t>
      </w:r>
      <w:r>
        <w:t>árr</w:t>
      </w:r>
      <w:r w:rsidRPr="000802DB">
        <w:t>. 38)</w:t>
      </w:r>
      <w:r>
        <w:t>.</w:t>
      </w:r>
    </w:p>
    <w:p w:rsidR="00DB0902" w:rsidRPr="004D679E" w:rsidRDefault="004D679E" w:rsidP="004D679E">
      <w:pPr>
        <w:pStyle w:val="SingleTxtG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1075E9" w:rsidRDefault="00381C24" w:rsidP="00D43FF0"/>
    <w:sectPr w:rsidR="00381C24" w:rsidRPr="001075E9" w:rsidSect="00DB090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3C18" w:rsidRPr="00D43FF0" w:rsidRDefault="00FC3C18" w:rsidP="00D43FF0">
      <w:pPr>
        <w:pStyle w:val="Footer"/>
      </w:pPr>
    </w:p>
  </w:endnote>
  <w:endnote w:type="continuationSeparator" w:id="0">
    <w:p w:rsidR="00FC3C18" w:rsidRPr="00D43FF0" w:rsidRDefault="00FC3C18" w:rsidP="00D43FF0">
      <w:pPr>
        <w:pStyle w:val="Footer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0902" w:rsidRPr="00DB0902" w:rsidRDefault="00DB0902" w:rsidP="00DB0902">
    <w:pPr>
      <w:pStyle w:val="Footer"/>
      <w:tabs>
        <w:tab w:val="right" w:pos="9638"/>
      </w:tabs>
    </w:pPr>
    <w:r w:rsidRPr="00DB0902">
      <w:rPr>
        <w:b/>
        <w:sz w:val="18"/>
      </w:rPr>
      <w:fldChar w:fldCharType="begin"/>
    </w:r>
    <w:r w:rsidRPr="00DB0902">
      <w:rPr>
        <w:b/>
        <w:sz w:val="18"/>
      </w:rPr>
      <w:instrText xml:space="preserve"> PAGE  \* MERGEFORMAT </w:instrText>
    </w:r>
    <w:r w:rsidRPr="00DB0902">
      <w:rPr>
        <w:b/>
        <w:sz w:val="18"/>
      </w:rPr>
      <w:fldChar w:fldCharType="separate"/>
    </w:r>
    <w:r w:rsidR="00245182">
      <w:rPr>
        <w:b/>
        <w:noProof/>
        <w:sz w:val="18"/>
      </w:rPr>
      <w:t>2</w:t>
    </w:r>
    <w:r w:rsidRPr="00DB0902">
      <w:rPr>
        <w:b/>
        <w:sz w:val="18"/>
      </w:rPr>
      <w:fldChar w:fldCharType="end"/>
    </w:r>
    <w:r>
      <w:rPr>
        <w:b/>
        <w:sz w:val="18"/>
      </w:rPr>
      <w:tab/>
    </w:r>
    <w:r>
      <w:t>GE.14-07600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0902" w:rsidRPr="00DB0902" w:rsidRDefault="00DB0902" w:rsidP="00DB0902">
    <w:pPr>
      <w:pStyle w:val="Footer"/>
      <w:tabs>
        <w:tab w:val="right" w:pos="9638"/>
      </w:tabs>
      <w:rPr>
        <w:b/>
        <w:sz w:val="18"/>
      </w:rPr>
    </w:pPr>
    <w:r>
      <w:t>GE.14-07600</w:t>
    </w:r>
    <w:r>
      <w:tab/>
    </w:r>
    <w:r w:rsidRPr="00DB0902">
      <w:rPr>
        <w:b/>
        <w:sz w:val="18"/>
      </w:rPr>
      <w:fldChar w:fldCharType="begin"/>
    </w:r>
    <w:r w:rsidRPr="00DB0902">
      <w:rPr>
        <w:b/>
        <w:sz w:val="18"/>
      </w:rPr>
      <w:instrText xml:space="preserve"> PAGE  \* MERGEFORMAT </w:instrText>
    </w:r>
    <w:r w:rsidRPr="00DB0902">
      <w:rPr>
        <w:b/>
        <w:sz w:val="18"/>
      </w:rPr>
      <w:fldChar w:fldCharType="separate"/>
    </w:r>
    <w:r w:rsidR="00245182">
      <w:rPr>
        <w:b/>
        <w:noProof/>
        <w:sz w:val="18"/>
      </w:rPr>
      <w:t>3</w:t>
    </w:r>
    <w:r w:rsidRPr="00DB0902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0902" w:rsidRDefault="00DB0902" w:rsidP="00DB0902">
    <w:pPr>
      <w:pStyle w:val="Footer"/>
      <w:spacing w:before="240"/>
      <w:rPr>
        <w:sz w:val="20"/>
      </w:rPr>
    </w:pPr>
    <w:r>
      <w:rPr>
        <w:sz w:val="20"/>
      </w:rPr>
      <w:t>GE.</w:t>
    </w:r>
    <w:r w:rsidR="004676C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5.5pt;height:18pt;z-index:1;mso-position-horizontal-relative:margin;mso-position-vertical-relative:margin" wrapcoords="18189 0 0 9900 -189 12600 -189 17100 758 19800 19516 19800 20274 19800 21032 14400 21600 14400 21600 8100 20653 0 18189 0">
          <v:imagedata r:id="rId1" o:title="recycle_Spanish"/>
          <w10:wrap anchorx="margin" anchory="margin"/>
          <w10:anchorlock/>
        </v:shape>
      </w:pict>
    </w:r>
    <w:r>
      <w:rPr>
        <w:sz w:val="20"/>
      </w:rPr>
      <w:t>14-07600  (S)    1406</w:t>
    </w:r>
    <w:r w:rsidR="004D679E">
      <w:rPr>
        <w:sz w:val="20"/>
      </w:rPr>
      <w:t xml:space="preserve">14    </w:t>
    </w:r>
    <w:r w:rsidR="001A22E5">
      <w:rPr>
        <w:sz w:val="20"/>
      </w:rPr>
      <w:t>140614</w:t>
    </w:r>
  </w:p>
  <w:p w:rsidR="004676CF" w:rsidRPr="00DB0902" w:rsidRDefault="00DB0902" w:rsidP="00DB0902">
    <w:pPr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7-9&amp;Size=2&amp;Lang=S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3C18" w:rsidRPr="001075E9" w:rsidRDefault="00FC3C1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C3C18" w:rsidRDefault="00FC3C18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0902" w:rsidRPr="00DB0902" w:rsidRDefault="00DB0902">
    <w:pPr>
      <w:pStyle w:val="Header"/>
    </w:pPr>
    <w:r>
      <w:t>CERD/C/USA/Q/7-9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0902" w:rsidRPr="00DB0902" w:rsidRDefault="00DB0902" w:rsidP="00DB0902">
    <w:pPr>
      <w:pStyle w:val="Header"/>
      <w:jc w:val="right"/>
    </w:pPr>
    <w:r>
      <w:t>CERD/C/USA/Q/7-9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76CF"/>
    <w:rsid w:val="00006BB9"/>
    <w:rsid w:val="000107A1"/>
    <w:rsid w:val="0002339D"/>
    <w:rsid w:val="00036733"/>
    <w:rsid w:val="000B57E7"/>
    <w:rsid w:val="000F09DF"/>
    <w:rsid w:val="000F61B2"/>
    <w:rsid w:val="00103A93"/>
    <w:rsid w:val="001075E9"/>
    <w:rsid w:val="00133DFF"/>
    <w:rsid w:val="00145F2F"/>
    <w:rsid w:val="00160FF7"/>
    <w:rsid w:val="00180183"/>
    <w:rsid w:val="00196389"/>
    <w:rsid w:val="001A22E5"/>
    <w:rsid w:val="001C7A89"/>
    <w:rsid w:val="00201F1A"/>
    <w:rsid w:val="002433EC"/>
    <w:rsid w:val="00245182"/>
    <w:rsid w:val="0025226E"/>
    <w:rsid w:val="002A2EFC"/>
    <w:rsid w:val="002C0E18"/>
    <w:rsid w:val="002C33BB"/>
    <w:rsid w:val="002D5AAC"/>
    <w:rsid w:val="00301299"/>
    <w:rsid w:val="00322004"/>
    <w:rsid w:val="003402C2"/>
    <w:rsid w:val="00381C24"/>
    <w:rsid w:val="003958D0"/>
    <w:rsid w:val="004031F0"/>
    <w:rsid w:val="00454E07"/>
    <w:rsid w:val="004676CF"/>
    <w:rsid w:val="00471CB3"/>
    <w:rsid w:val="004D0A2A"/>
    <w:rsid w:val="004D679E"/>
    <w:rsid w:val="0050108D"/>
    <w:rsid w:val="0051740C"/>
    <w:rsid w:val="00572E19"/>
    <w:rsid w:val="005F0B42"/>
    <w:rsid w:val="00634841"/>
    <w:rsid w:val="00655A21"/>
    <w:rsid w:val="006725B3"/>
    <w:rsid w:val="006808A9"/>
    <w:rsid w:val="006D631C"/>
    <w:rsid w:val="006F35EE"/>
    <w:rsid w:val="007021FF"/>
    <w:rsid w:val="007076CB"/>
    <w:rsid w:val="007967DF"/>
    <w:rsid w:val="00834B71"/>
    <w:rsid w:val="0086445C"/>
    <w:rsid w:val="00865FAC"/>
    <w:rsid w:val="008728CD"/>
    <w:rsid w:val="008A08D7"/>
    <w:rsid w:val="008A13F9"/>
    <w:rsid w:val="008C0F65"/>
    <w:rsid w:val="00906890"/>
    <w:rsid w:val="00951972"/>
    <w:rsid w:val="00954E65"/>
    <w:rsid w:val="00A17DFD"/>
    <w:rsid w:val="00A4674B"/>
    <w:rsid w:val="00A917B3"/>
    <w:rsid w:val="00AB4B51"/>
    <w:rsid w:val="00B066FC"/>
    <w:rsid w:val="00B10CC7"/>
    <w:rsid w:val="00B62458"/>
    <w:rsid w:val="00B778C8"/>
    <w:rsid w:val="00BA3587"/>
    <w:rsid w:val="00BB36EA"/>
    <w:rsid w:val="00BD21EF"/>
    <w:rsid w:val="00BD33EE"/>
    <w:rsid w:val="00C60F0C"/>
    <w:rsid w:val="00C63C2A"/>
    <w:rsid w:val="00C805C9"/>
    <w:rsid w:val="00CA1679"/>
    <w:rsid w:val="00D05347"/>
    <w:rsid w:val="00D43FF0"/>
    <w:rsid w:val="00D90138"/>
    <w:rsid w:val="00DA26B8"/>
    <w:rsid w:val="00DB0902"/>
    <w:rsid w:val="00DD4E25"/>
    <w:rsid w:val="00E73F76"/>
    <w:rsid w:val="00EA31D8"/>
    <w:rsid w:val="00EA5579"/>
    <w:rsid w:val="00EF1360"/>
    <w:rsid w:val="00EF3220"/>
    <w:rsid w:val="00EF7198"/>
    <w:rsid w:val="00F039DE"/>
    <w:rsid w:val="00F41883"/>
    <w:rsid w:val="00F94155"/>
    <w:rsid w:val="00FC3C18"/>
    <w:rsid w:val="00FD2EF7"/>
    <w:rsid w:val="00FD4AD6"/>
    <w:rsid w:val="00FF1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A31D8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EA31D8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EA31D8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EA31D8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A31D8"/>
  </w:style>
  <w:style w:type="character" w:styleId="FootnoteReference">
    <w:name w:val="footnote reference"/>
    <w:aliases w:val="4_G"/>
    <w:basedOn w:val="DefaultParagraphFont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EA31D8"/>
    <w:pPr>
      <w:numPr>
        <w:numId w:val="3"/>
      </w:numPr>
    </w:pPr>
  </w:style>
  <w:style w:type="numbering" w:styleId="1ai">
    <w:name w:val="Outline List 1"/>
    <w:basedOn w:val="NoList"/>
    <w:semiHidden/>
    <w:rsid w:val="00EA31D8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EA31D8"/>
  </w:style>
  <w:style w:type="numbering" w:styleId="ArticleSection">
    <w:name w:val="Outline List 3"/>
    <w:basedOn w:val="NoList"/>
    <w:semiHidden/>
    <w:rsid w:val="00EA31D8"/>
    <w:pPr>
      <w:numPr>
        <w:numId w:val="5"/>
      </w:numPr>
    </w:pPr>
  </w:style>
  <w:style w:type="paragraph" w:styleId="Closing">
    <w:name w:val="Closing"/>
    <w:basedOn w:val="Normal"/>
    <w:semiHidden/>
    <w:rsid w:val="00EA31D8"/>
    <w:pPr>
      <w:ind w:left="4252"/>
    </w:pPr>
  </w:style>
  <w:style w:type="character" w:styleId="HTMLCite">
    <w:name w:val="HTML Cite"/>
    <w:basedOn w:val="DefaultParagraphFont"/>
    <w:semiHidden/>
    <w:rsid w:val="00EA31D8"/>
    <w:rPr>
      <w:i/>
      <w:iCs/>
    </w:rPr>
  </w:style>
  <w:style w:type="character" w:styleId="HTMLCode">
    <w:name w:val="HTML Code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EA31D8"/>
    <w:pPr>
      <w:spacing w:after="120"/>
      <w:ind w:left="283"/>
    </w:pPr>
  </w:style>
  <w:style w:type="paragraph" w:styleId="ListContinue2">
    <w:name w:val="List Continue 2"/>
    <w:basedOn w:val="Normal"/>
    <w:semiHidden/>
    <w:rsid w:val="00EA31D8"/>
    <w:pPr>
      <w:spacing w:after="120"/>
      <w:ind w:left="566"/>
    </w:pPr>
  </w:style>
  <w:style w:type="paragraph" w:styleId="ListContinue3">
    <w:name w:val="List Continue 3"/>
    <w:basedOn w:val="Normal"/>
    <w:semiHidden/>
    <w:rsid w:val="00EA31D8"/>
    <w:pPr>
      <w:spacing w:after="120"/>
      <w:ind w:left="849"/>
    </w:pPr>
  </w:style>
  <w:style w:type="paragraph" w:styleId="ListContinue4">
    <w:name w:val="List Continue 4"/>
    <w:basedOn w:val="Normal"/>
    <w:semiHidden/>
    <w:rsid w:val="00EA31D8"/>
    <w:pPr>
      <w:spacing w:after="120"/>
      <w:ind w:left="1132"/>
    </w:pPr>
  </w:style>
  <w:style w:type="paragraph" w:styleId="ListContinue5">
    <w:name w:val="List Continue 5"/>
    <w:basedOn w:val="Normal"/>
    <w:semiHidden/>
    <w:rsid w:val="00EA31D8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EA31D8"/>
    <w:rPr>
      <w:i/>
      <w:iCs/>
    </w:rPr>
  </w:style>
  <w:style w:type="paragraph" w:styleId="HTMLAddress">
    <w:name w:val="HTML Address"/>
    <w:basedOn w:val="Normal"/>
    <w:semiHidden/>
    <w:rsid w:val="00EA31D8"/>
    <w:rPr>
      <w:i/>
      <w:iCs/>
    </w:rPr>
  </w:style>
  <w:style w:type="paragraph" w:styleId="EnvelopeAddress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EA31D8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EA31D8"/>
  </w:style>
  <w:style w:type="character" w:styleId="Emphasis">
    <w:name w:val="Emphasis"/>
    <w:basedOn w:val="DefaultParagraphFont"/>
    <w:qFormat/>
    <w:rsid w:val="00EA31D8"/>
    <w:rPr>
      <w:i/>
      <w:iCs/>
    </w:rPr>
  </w:style>
  <w:style w:type="paragraph" w:styleId="Date">
    <w:name w:val="Date"/>
    <w:basedOn w:val="Normal"/>
    <w:next w:val="Normal"/>
    <w:semiHidden/>
    <w:rsid w:val="00EA31D8"/>
  </w:style>
  <w:style w:type="paragraph" w:styleId="Signature">
    <w:name w:val="Signature"/>
    <w:basedOn w:val="Normal"/>
    <w:semiHidden/>
    <w:rsid w:val="00EA31D8"/>
    <w:pPr>
      <w:ind w:left="4252"/>
    </w:pPr>
  </w:style>
  <w:style w:type="paragraph" w:styleId="E-mailSignature">
    <w:name w:val="E-mail Signature"/>
    <w:basedOn w:val="Normal"/>
    <w:semiHidden/>
    <w:rsid w:val="00EA31D8"/>
  </w:style>
  <w:style w:type="character" w:styleId="Hyperlink">
    <w:name w:val="Hyperlink"/>
    <w:basedOn w:val="DefaultParagraphFont"/>
    <w:semiHidden/>
    <w:rsid w:val="00EA31D8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EA31D8"/>
    <w:rPr>
      <w:color w:val="800080"/>
      <w:u w:val="single"/>
    </w:rPr>
  </w:style>
  <w:style w:type="paragraph" w:styleId="HTMLPreformatted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">
    <w:name w:val="List"/>
    <w:basedOn w:val="Normal"/>
    <w:semiHidden/>
    <w:rsid w:val="00EA31D8"/>
    <w:pPr>
      <w:ind w:left="283" w:hanging="283"/>
    </w:pPr>
  </w:style>
  <w:style w:type="paragraph" w:styleId="List2">
    <w:name w:val="List 2"/>
    <w:basedOn w:val="Normal"/>
    <w:semiHidden/>
    <w:rsid w:val="00EA31D8"/>
    <w:pPr>
      <w:ind w:left="566" w:hanging="283"/>
    </w:pPr>
  </w:style>
  <w:style w:type="paragraph" w:styleId="List3">
    <w:name w:val="List 3"/>
    <w:basedOn w:val="Normal"/>
    <w:semiHidden/>
    <w:rsid w:val="00EA31D8"/>
    <w:pPr>
      <w:ind w:left="849" w:hanging="283"/>
    </w:pPr>
  </w:style>
  <w:style w:type="paragraph" w:styleId="List4">
    <w:name w:val="List 4"/>
    <w:basedOn w:val="Normal"/>
    <w:semiHidden/>
    <w:rsid w:val="00EA31D8"/>
    <w:pPr>
      <w:ind w:left="1132" w:hanging="283"/>
    </w:pPr>
  </w:style>
  <w:style w:type="paragraph" w:styleId="List5">
    <w:name w:val="List 5"/>
    <w:basedOn w:val="Normal"/>
    <w:semiHidden/>
    <w:rsid w:val="00EA31D8"/>
    <w:pPr>
      <w:ind w:left="1415" w:hanging="283"/>
    </w:pPr>
  </w:style>
  <w:style w:type="paragraph" w:styleId="ListNumber">
    <w:name w:val="List Number"/>
    <w:basedOn w:val="Normal"/>
    <w:semiHidden/>
    <w:rsid w:val="00EA31D8"/>
    <w:pPr>
      <w:numPr>
        <w:numId w:val="6"/>
      </w:numPr>
    </w:pPr>
  </w:style>
  <w:style w:type="paragraph" w:styleId="ListNumber2">
    <w:name w:val="List Number 2"/>
    <w:basedOn w:val="Normal"/>
    <w:semiHidden/>
    <w:rsid w:val="00EA31D8"/>
    <w:pPr>
      <w:numPr>
        <w:numId w:val="7"/>
      </w:numPr>
    </w:pPr>
  </w:style>
  <w:style w:type="paragraph" w:styleId="ListNumber3">
    <w:name w:val="List Number 3"/>
    <w:basedOn w:val="Normal"/>
    <w:semiHidden/>
    <w:rsid w:val="00EA31D8"/>
    <w:pPr>
      <w:numPr>
        <w:numId w:val="8"/>
      </w:numPr>
    </w:pPr>
  </w:style>
  <w:style w:type="paragraph" w:styleId="ListNumber4">
    <w:name w:val="List Number 4"/>
    <w:basedOn w:val="Normal"/>
    <w:semiHidden/>
    <w:rsid w:val="00EA31D8"/>
    <w:pPr>
      <w:numPr>
        <w:numId w:val="9"/>
      </w:numPr>
    </w:pPr>
  </w:style>
  <w:style w:type="paragraph" w:styleId="ListNumber5">
    <w:name w:val="List Number 5"/>
    <w:basedOn w:val="Normal"/>
    <w:semiHidden/>
    <w:rsid w:val="00EA31D8"/>
    <w:pPr>
      <w:numPr>
        <w:numId w:val="10"/>
      </w:numPr>
    </w:pPr>
  </w:style>
  <w:style w:type="paragraph" w:styleId="ListBullet">
    <w:name w:val="List Bullet"/>
    <w:basedOn w:val="Normal"/>
    <w:semiHidden/>
    <w:rsid w:val="00EA31D8"/>
    <w:pPr>
      <w:numPr>
        <w:numId w:val="11"/>
      </w:numPr>
    </w:pPr>
  </w:style>
  <w:style w:type="paragraph" w:styleId="ListBullet2">
    <w:name w:val="List Bullet 2"/>
    <w:basedOn w:val="Normal"/>
    <w:semiHidden/>
    <w:rsid w:val="00EA31D8"/>
    <w:pPr>
      <w:numPr>
        <w:numId w:val="12"/>
      </w:numPr>
    </w:pPr>
  </w:style>
  <w:style w:type="paragraph" w:styleId="ListBullet3">
    <w:name w:val="List Bullet 3"/>
    <w:basedOn w:val="Normal"/>
    <w:semiHidden/>
    <w:rsid w:val="00EA31D8"/>
    <w:pPr>
      <w:numPr>
        <w:numId w:val="13"/>
      </w:numPr>
    </w:pPr>
  </w:style>
  <w:style w:type="paragraph" w:styleId="ListBullet4">
    <w:name w:val="List Bullet 4"/>
    <w:basedOn w:val="Normal"/>
    <w:semiHidden/>
    <w:rsid w:val="00EA31D8"/>
    <w:pPr>
      <w:numPr>
        <w:numId w:val="14"/>
      </w:numPr>
    </w:pPr>
  </w:style>
  <w:style w:type="paragraph" w:styleId="ListBullet5">
    <w:name w:val="List Bullet 5"/>
    <w:basedOn w:val="Normal"/>
    <w:semiHidden/>
    <w:rsid w:val="00EA31D8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LineNumber">
    <w:name w:val="line number"/>
    <w:basedOn w:val="DefaultParagraphFont"/>
    <w:semiHidden/>
    <w:rsid w:val="00EA31D8"/>
  </w:style>
  <w:style w:type="character" w:styleId="PageNumber">
    <w:name w:val="page number"/>
    <w:aliases w:val="7_G"/>
    <w:basedOn w:val="DefaultParagraphFont"/>
    <w:rsid w:val="00EA31D8"/>
    <w:rPr>
      <w:b/>
      <w:sz w:val="18"/>
    </w:rPr>
  </w:style>
  <w:style w:type="character" w:styleId="EndnoteReference">
    <w:name w:val="endnote reference"/>
    <w:aliases w:val="1_G"/>
    <w:basedOn w:val="FootnoteReference"/>
    <w:rsid w:val="00EA31D8"/>
  </w:style>
  <w:style w:type="paragraph" w:styleId="EnvelopeReturn">
    <w:name w:val="envelope return"/>
    <w:basedOn w:val="Normal"/>
    <w:semiHidden/>
    <w:rsid w:val="00EA31D8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EA31D8"/>
  </w:style>
  <w:style w:type="paragraph" w:styleId="BodyTextIndent2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EA31D8"/>
    <w:pPr>
      <w:spacing w:after="120"/>
      <w:ind w:left="283"/>
    </w:pPr>
  </w:style>
  <w:style w:type="paragraph" w:styleId="NormalIndent">
    <w:name w:val="Normal Indent"/>
    <w:basedOn w:val="Normal"/>
    <w:semiHidden/>
    <w:rsid w:val="00EA31D8"/>
    <w:pPr>
      <w:ind w:left="567"/>
    </w:pPr>
  </w:style>
  <w:style w:type="paragraph" w:styleId="Subtitle">
    <w:name w:val="Subtitle"/>
    <w:basedOn w:val="Normal"/>
    <w:qFormat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EA31D8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EA31D8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EA31D8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EA31D8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EA31D8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EA31D8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EA31D8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EA31D8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EA31D8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EA31D8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EA31D8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EA31D8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EA31D8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EA31D8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EA31D8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EA31D8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EA31D8"/>
    <w:pPr>
      <w:spacing w:after="120"/>
      <w:ind w:left="1440" w:right="1440"/>
    </w:pPr>
  </w:style>
  <w:style w:type="character" w:styleId="Strong">
    <w:name w:val="Strong"/>
    <w:basedOn w:val="DefaultParagraphFont"/>
    <w:qFormat/>
    <w:rsid w:val="00EA31D8"/>
    <w:rPr>
      <w:b/>
      <w:bCs/>
    </w:rPr>
  </w:style>
  <w:style w:type="paragraph" w:styleId="BodyText">
    <w:name w:val="Body Text"/>
    <w:basedOn w:val="Normal"/>
    <w:semiHidden/>
    <w:rsid w:val="00EA31D8"/>
    <w:pPr>
      <w:spacing w:after="120"/>
    </w:pPr>
  </w:style>
  <w:style w:type="paragraph" w:styleId="BodyText2">
    <w:name w:val="Body Text 2"/>
    <w:basedOn w:val="Normal"/>
    <w:semiHidden/>
    <w:rsid w:val="00EA31D8"/>
    <w:pPr>
      <w:spacing w:after="120" w:line="480" w:lineRule="auto"/>
    </w:pPr>
  </w:style>
  <w:style w:type="paragraph" w:styleId="BodyText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EA31D8"/>
    <w:pPr>
      <w:ind w:firstLine="210"/>
    </w:pPr>
  </w:style>
  <w:style w:type="paragraph" w:styleId="BodyTextFirstIndent2">
    <w:name w:val="Body Text First Indent 2"/>
    <w:basedOn w:val="BodyTextIndent"/>
    <w:semiHidden/>
    <w:rsid w:val="00EA31D8"/>
    <w:pPr>
      <w:ind w:firstLine="210"/>
    </w:pPr>
  </w:style>
  <w:style w:type="paragraph" w:styleId="EndnoteText">
    <w:name w:val="endnote text"/>
    <w:aliases w:val="2_G"/>
    <w:basedOn w:val="FootnoteText"/>
    <w:rsid w:val="00EA31D8"/>
  </w:style>
  <w:style w:type="paragraph" w:styleId="PlainText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itle">
    <w:name w:val="Title"/>
    <w:basedOn w:val="Normal"/>
    <w:qFormat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EA31D8"/>
    <w:rPr>
      <w:i/>
      <w:iCs/>
    </w:rPr>
  </w:style>
  <w:style w:type="paragraph" w:customStyle="1" w:styleId="Bullet1G">
    <w:name w:val="_Bullet 1_G"/>
    <w:basedOn w:val="Normal"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EA31D8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1</TotalTime>
  <Pages>4</Pages>
  <Words>1369</Words>
  <Characters>7532</Characters>
  <Application>Microsoft Office Outlook</Application>
  <DocSecurity>4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CERD/C/USA/Q/7-9 - 14-07600</vt:lpstr>
    </vt:vector>
  </TitlesOfParts>
  <Company/>
  <LinksUpToDate>false</LinksUpToDate>
  <CharactersWithSpaces>8884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CERD/C/USA/Q/7-9 - 14-07600</dc:title>
  <dc:subject>FINAL DIRECTO</dc:subject>
  <dc:creator>mabel</dc:creator>
  <cp:keywords/>
  <dc:description/>
  <cp:lastModifiedBy>María de la Plaza</cp:lastModifiedBy>
  <cp:revision>2</cp:revision>
  <cp:lastPrinted>2014-07-14T09:04:00Z</cp:lastPrinted>
  <dcterms:created xsi:type="dcterms:W3CDTF">2014-07-14T11:07:00Z</dcterms:created>
  <dcterms:modified xsi:type="dcterms:W3CDTF">2014-07-14T11:07:00Z</dcterms:modified>
</cp:coreProperties>
</file>