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233502"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CCPR/C/MDG/2005/3</w:t>
      </w:r>
      <w:r>
        <w:br/>
      </w:r>
      <w:r>
        <w:tab/>
        <w:t>13 juin 2005</w:t>
      </w:r>
    </w:p>
    <w:p w:rsidR="00000000" w:rsidRDefault="00000000">
      <w:pPr>
        <w:tabs>
          <w:tab w:val="left" w:pos="6237"/>
        </w:tabs>
      </w:pPr>
    </w:p>
    <w:p w:rsidR="00000000" w:rsidRDefault="00000000">
      <w:pPr>
        <w:tabs>
          <w:tab w:val="left" w:pos="6237"/>
        </w:tabs>
      </w:pPr>
      <w:r>
        <w:tab/>
      </w:r>
      <w:r>
        <w:tab/>
        <w:t>Original: FRANÇAIS</w:t>
      </w:r>
    </w:p>
    <w:p w:rsidR="00000000" w:rsidRDefault="00000000">
      <w:pPr>
        <w:tabs>
          <w:tab w:val="left" w:pos="6237"/>
        </w:tabs>
      </w:pPr>
    </w:p>
    <w:p w:rsidR="00000000" w:rsidRDefault="00000000">
      <w:pPr>
        <w:tabs>
          <w:tab w:val="left" w:pos="5954"/>
        </w:tabs>
        <w:spacing w:before="60"/>
      </w:pPr>
      <w:r>
        <w:t>COMITÉ DES DROITS DE L</w:t>
      </w:r>
      <w:r>
        <w:rPr>
          <w:color w:val="000000"/>
        </w:rPr>
        <w:t>’</w:t>
      </w:r>
      <w:r>
        <w:t>HOMME</w:t>
      </w:r>
    </w:p>
    <w:p w:rsidR="00000000" w:rsidRDefault="00000000">
      <w:pPr>
        <w:tabs>
          <w:tab w:val="left" w:pos="5954"/>
        </w:tabs>
        <w:spacing w:before="60"/>
      </w:pPr>
    </w:p>
    <w:p w:rsidR="00000000" w:rsidRDefault="00000000">
      <w:pPr>
        <w:tabs>
          <w:tab w:val="left" w:pos="5954"/>
        </w:tabs>
        <w:spacing w:before="60"/>
      </w:pPr>
    </w:p>
    <w:p w:rsidR="00000000" w:rsidRDefault="00000000">
      <w:pPr>
        <w:tabs>
          <w:tab w:val="left" w:pos="5954"/>
        </w:tabs>
        <w:spacing w:before="60"/>
      </w:pPr>
    </w:p>
    <w:p w:rsidR="00000000" w:rsidRDefault="00000000">
      <w:pPr>
        <w:tabs>
          <w:tab w:val="left" w:pos="5954"/>
        </w:tabs>
      </w:pPr>
    </w:p>
    <w:p w:rsidR="00000000" w:rsidRDefault="00000000">
      <w:pPr>
        <w:spacing w:after="240"/>
        <w:jc w:val="center"/>
        <w:rPr>
          <w:b/>
          <w:bCs/>
        </w:rPr>
      </w:pPr>
      <w:r>
        <w:rPr>
          <w:b/>
          <w:bCs/>
        </w:rPr>
        <w:t>EXAMEN DES RAPPORTS PRÉSENTÉS PAR LES ÉTATS PARTIES</w:t>
      </w:r>
      <w:r>
        <w:rPr>
          <w:b/>
          <w:bCs/>
        </w:rPr>
        <w:br/>
        <w:t>EN APPLICATION DE L’ARTICLE 40 DU PACTE</w:t>
      </w:r>
    </w:p>
    <w:p w:rsidR="00000000" w:rsidRDefault="00000000">
      <w:pPr>
        <w:spacing w:after="240"/>
        <w:jc w:val="center"/>
      </w:pPr>
      <w:r>
        <w:t>Troisième rapport périodique</w:t>
      </w:r>
    </w:p>
    <w:p w:rsidR="00000000" w:rsidRDefault="00000000">
      <w:pPr>
        <w:spacing w:after="240"/>
        <w:jc w:val="center"/>
      </w:pPr>
      <w:r>
        <w:t>MADAGASCAR</w:t>
      </w:r>
      <w:r>
        <w:rPr>
          <w:rStyle w:val="FootnoteReference"/>
        </w:rPr>
        <w:footnoteReference w:customMarkFollows="1" w:id="1"/>
        <w:t>*</w:t>
      </w:r>
      <w:r>
        <w:rPr>
          <w:vertAlign w:val="superscript"/>
        </w:rPr>
        <w:t>,</w:t>
      </w:r>
      <w:r>
        <w:t xml:space="preserve"> </w:t>
      </w:r>
      <w:r>
        <w:rPr>
          <w:rStyle w:val="FootnoteReference"/>
        </w:rPr>
        <w:footnoteReference w:customMarkFollows="1" w:id="2"/>
        <w:t>**</w:t>
      </w:r>
    </w:p>
    <w:p w:rsidR="00000000" w:rsidRDefault="00000000">
      <w:pPr>
        <w:spacing w:after="240"/>
        <w:jc w:val="right"/>
      </w:pPr>
      <w:r>
        <w:t>[24 mai 2005]</w:t>
      </w:r>
    </w:p>
    <w:p w:rsidR="00000000" w:rsidRDefault="00000000">
      <w:pPr>
        <w:spacing w:after="240"/>
        <w:rPr>
          <w:b/>
          <w:bCs/>
        </w:rPr>
      </w:pPr>
      <w:r>
        <w:br w:type="page"/>
      </w:r>
      <w:r>
        <w:rPr>
          <w:b/>
          <w:bCs/>
        </w:rPr>
        <w:t>APPLICATION DU PACTE</w:t>
      </w:r>
    </w:p>
    <w:p w:rsidR="00000000" w:rsidRDefault="00000000">
      <w:pPr>
        <w:tabs>
          <w:tab w:val="left" w:pos="2126"/>
          <w:tab w:val="right" w:leader="dot" w:pos="8505"/>
          <w:tab w:val="right" w:pos="9214"/>
        </w:tabs>
      </w:pPr>
      <w:r>
        <w:t>ARTICLE 1 −</w:t>
      </w:r>
      <w:r>
        <w:tab/>
        <w:t>Droit des peuples à disposer d’eux</w:t>
      </w:r>
      <w:r>
        <w:noBreakHyphen/>
        <w:t>mêmes</w:t>
      </w:r>
      <w:r>
        <w:tab/>
      </w:r>
      <w:r>
        <w:tab/>
        <w:t>7</w:t>
      </w:r>
    </w:p>
    <w:p w:rsidR="00000000" w:rsidRDefault="00000000">
      <w:pPr>
        <w:tabs>
          <w:tab w:val="left" w:pos="2126"/>
          <w:tab w:val="right" w:leader="dot" w:pos="8505"/>
          <w:tab w:val="right" w:pos="9214"/>
        </w:tabs>
      </w:pPr>
      <w:r>
        <w:t>ARTICLE 2 −</w:t>
      </w:r>
      <w:r>
        <w:tab/>
        <w:t>Principe de non</w:t>
      </w:r>
      <w:r>
        <w:noBreakHyphen/>
        <w:t>discrimination</w:t>
      </w:r>
      <w:r>
        <w:tab/>
      </w:r>
      <w:r>
        <w:tab/>
        <w:t>8</w:t>
      </w:r>
    </w:p>
    <w:p w:rsidR="00000000" w:rsidRDefault="00000000">
      <w:pPr>
        <w:tabs>
          <w:tab w:val="left" w:pos="2126"/>
          <w:tab w:val="right" w:leader="dot" w:pos="8505"/>
          <w:tab w:val="right" w:pos="9214"/>
        </w:tabs>
      </w:pPr>
      <w:r>
        <w:t>ARTICLE 3 −</w:t>
      </w:r>
      <w:r>
        <w:tab/>
        <w:t>Égalité des hommes et des femmes en droits civils et politiques</w:t>
      </w:r>
      <w:r>
        <w:tab/>
      </w:r>
      <w:r>
        <w:tab/>
        <w:t>10</w:t>
      </w:r>
    </w:p>
    <w:p w:rsidR="00000000" w:rsidRDefault="00000000">
      <w:pPr>
        <w:tabs>
          <w:tab w:val="left" w:pos="2126"/>
          <w:tab w:val="right" w:leader="dot" w:pos="8505"/>
          <w:tab w:val="right" w:pos="9214"/>
        </w:tabs>
      </w:pPr>
      <w:r>
        <w:t xml:space="preserve">ARTICLE 4 − </w:t>
      </w:r>
      <w:r>
        <w:tab/>
        <w:t>Situations d’exception</w:t>
      </w:r>
      <w:r>
        <w:tab/>
      </w:r>
      <w:r>
        <w:tab/>
        <w:t>12</w:t>
      </w:r>
    </w:p>
    <w:p w:rsidR="00000000" w:rsidRDefault="00000000">
      <w:pPr>
        <w:tabs>
          <w:tab w:val="left" w:pos="2126"/>
          <w:tab w:val="right" w:leader="dot" w:pos="8505"/>
          <w:tab w:val="right" w:pos="9214"/>
        </w:tabs>
      </w:pPr>
      <w:r>
        <w:t>ARTICLE 5 −</w:t>
      </w:r>
      <w:r>
        <w:tab/>
        <w:t>Interprétation stricte des clauses du Pacte</w:t>
      </w:r>
      <w:r>
        <w:tab/>
      </w:r>
      <w:r>
        <w:tab/>
        <w:t>15</w:t>
      </w:r>
    </w:p>
    <w:p w:rsidR="00000000" w:rsidRDefault="00000000">
      <w:pPr>
        <w:tabs>
          <w:tab w:val="left" w:pos="2126"/>
          <w:tab w:val="right" w:leader="dot" w:pos="8505"/>
          <w:tab w:val="right" w:pos="9214"/>
        </w:tabs>
      </w:pPr>
      <w:r>
        <w:t>ARTICLE 6 −</w:t>
      </w:r>
      <w:r>
        <w:tab/>
        <w:t>Le droit à la vie</w:t>
      </w:r>
      <w:r>
        <w:tab/>
      </w:r>
      <w:r>
        <w:tab/>
        <w:t>16</w:t>
      </w:r>
    </w:p>
    <w:p w:rsidR="00000000" w:rsidRDefault="00000000">
      <w:pPr>
        <w:tabs>
          <w:tab w:val="left" w:pos="2126"/>
          <w:tab w:val="right" w:leader="dot" w:pos="8505"/>
          <w:tab w:val="right" w:pos="9214"/>
        </w:tabs>
      </w:pPr>
      <w:r>
        <w:t>ARTICLE 7 −</w:t>
      </w:r>
      <w:r>
        <w:tab/>
        <w:t>Interdiction de la torture</w:t>
      </w:r>
      <w:r>
        <w:tab/>
      </w:r>
      <w:r>
        <w:tab/>
        <w:t>26</w:t>
      </w:r>
    </w:p>
    <w:p w:rsidR="00000000" w:rsidRDefault="00000000">
      <w:pPr>
        <w:tabs>
          <w:tab w:val="left" w:pos="2126"/>
          <w:tab w:val="right" w:leader="dot" w:pos="8505"/>
          <w:tab w:val="right" w:pos="9214"/>
        </w:tabs>
      </w:pPr>
      <w:r>
        <w:t>ARTICLE 8 −</w:t>
      </w:r>
      <w:r>
        <w:tab/>
        <w:t>Interdiction de l’esclavage</w:t>
      </w:r>
      <w:r>
        <w:tab/>
      </w:r>
      <w:r>
        <w:tab/>
        <w:t>26</w:t>
      </w:r>
    </w:p>
    <w:p w:rsidR="00000000" w:rsidRDefault="00000000">
      <w:pPr>
        <w:tabs>
          <w:tab w:val="left" w:pos="2126"/>
          <w:tab w:val="right" w:leader="dot" w:pos="8505"/>
          <w:tab w:val="right" w:pos="9214"/>
        </w:tabs>
      </w:pPr>
      <w:r>
        <w:t>ARTICLE 9 −</w:t>
      </w:r>
      <w:r>
        <w:tab/>
        <w:t>Droit à la liberté et à la sécurité de la personne</w:t>
      </w:r>
      <w:r>
        <w:tab/>
      </w:r>
      <w:r>
        <w:tab/>
        <w:t>29</w:t>
      </w:r>
    </w:p>
    <w:p w:rsidR="00000000" w:rsidRDefault="00000000">
      <w:pPr>
        <w:tabs>
          <w:tab w:val="left" w:pos="2126"/>
          <w:tab w:val="right" w:leader="dot" w:pos="8505"/>
          <w:tab w:val="right" w:pos="9214"/>
        </w:tabs>
      </w:pPr>
      <w:r>
        <w:t>ARTICLE 10 −</w:t>
      </w:r>
      <w:r>
        <w:tab/>
        <w:t>Humanisation de la détention</w:t>
      </w:r>
      <w:r>
        <w:tab/>
      </w:r>
      <w:r>
        <w:tab/>
        <w:t>31</w:t>
      </w:r>
    </w:p>
    <w:p w:rsidR="00000000" w:rsidRDefault="00000000">
      <w:pPr>
        <w:tabs>
          <w:tab w:val="left" w:pos="2126"/>
          <w:tab w:val="right" w:leader="dot" w:pos="8505"/>
          <w:tab w:val="right" w:pos="9214"/>
        </w:tabs>
      </w:pPr>
      <w:r>
        <w:t>ARTICLE 11 −</w:t>
      </w:r>
      <w:r>
        <w:tab/>
        <w:t>Interdiction d’incarcération pour dettes civiles</w:t>
      </w:r>
      <w:r>
        <w:tab/>
      </w:r>
      <w:r>
        <w:tab/>
        <w:t>42</w:t>
      </w:r>
    </w:p>
    <w:p w:rsidR="00000000" w:rsidRDefault="00000000">
      <w:pPr>
        <w:tabs>
          <w:tab w:val="left" w:pos="2126"/>
          <w:tab w:val="right" w:leader="dot" w:pos="8505"/>
          <w:tab w:val="right" w:pos="9214"/>
        </w:tabs>
      </w:pPr>
      <w:r>
        <w:t>ARTICLE 12 −</w:t>
      </w:r>
      <w:r>
        <w:tab/>
        <w:t>Droit de libre circulation et d’établissement</w:t>
      </w:r>
      <w:r>
        <w:tab/>
      </w:r>
      <w:r>
        <w:tab/>
        <w:t>43</w:t>
      </w:r>
    </w:p>
    <w:p w:rsidR="00000000" w:rsidRDefault="00000000">
      <w:pPr>
        <w:tabs>
          <w:tab w:val="left" w:pos="2126"/>
          <w:tab w:val="right" w:leader="dot" w:pos="8505"/>
          <w:tab w:val="right" w:pos="9214"/>
        </w:tabs>
      </w:pPr>
      <w:r>
        <w:t>ARTICLE 13 −</w:t>
      </w:r>
      <w:r>
        <w:tab/>
        <w:t>L’expulsion d’un étranger</w:t>
      </w:r>
      <w:r>
        <w:tab/>
      </w:r>
      <w:r>
        <w:tab/>
        <w:t>44</w:t>
      </w:r>
    </w:p>
    <w:p w:rsidR="00000000" w:rsidRDefault="00000000">
      <w:pPr>
        <w:tabs>
          <w:tab w:val="left" w:pos="2126"/>
          <w:tab w:val="right" w:leader="dot" w:pos="8505"/>
          <w:tab w:val="right" w:pos="9214"/>
        </w:tabs>
      </w:pPr>
      <w:r>
        <w:t>ARTICLE 14 −</w:t>
      </w:r>
      <w:r>
        <w:tab/>
        <w:t>Le droit à un procès équitable</w:t>
      </w:r>
      <w:r>
        <w:tab/>
      </w:r>
      <w:r>
        <w:tab/>
        <w:t>45</w:t>
      </w:r>
    </w:p>
    <w:p w:rsidR="00000000" w:rsidRDefault="00000000">
      <w:pPr>
        <w:tabs>
          <w:tab w:val="left" w:pos="2126"/>
          <w:tab w:val="right" w:leader="dot" w:pos="8505"/>
          <w:tab w:val="right" w:pos="9214"/>
        </w:tabs>
      </w:pPr>
      <w:r>
        <w:t>ARTICLE 15 −</w:t>
      </w:r>
      <w:r>
        <w:tab/>
        <w:t>Le principe «</w:t>
      </w:r>
      <w:r>
        <w:rPr>
          <w:i/>
          <w:iCs/>
        </w:rPr>
        <w:t>nullum crimen, nulla poena sine lege</w:t>
      </w:r>
      <w:r>
        <w:t>»</w:t>
      </w:r>
      <w:r>
        <w:tab/>
      </w:r>
      <w:r>
        <w:tab/>
        <w:t>49</w:t>
      </w:r>
    </w:p>
    <w:p w:rsidR="00000000" w:rsidRDefault="00000000">
      <w:pPr>
        <w:tabs>
          <w:tab w:val="left" w:pos="2126"/>
          <w:tab w:val="right" w:leader="dot" w:pos="8505"/>
          <w:tab w:val="right" w:pos="9214"/>
        </w:tabs>
      </w:pPr>
      <w:r>
        <w:t>ARTICLE 16 −</w:t>
      </w:r>
      <w:r>
        <w:tab/>
        <w:t>Droit à la reconnaissance de la personnalité juridique</w:t>
      </w:r>
      <w:r>
        <w:tab/>
      </w:r>
      <w:r>
        <w:tab/>
        <w:t>49</w:t>
      </w:r>
    </w:p>
    <w:p w:rsidR="00000000" w:rsidRDefault="00000000">
      <w:pPr>
        <w:tabs>
          <w:tab w:val="left" w:pos="2126"/>
          <w:tab w:val="right" w:leader="dot" w:pos="8505"/>
          <w:tab w:val="right" w:pos="9214"/>
        </w:tabs>
      </w:pPr>
      <w:r>
        <w:t>ARTICLE 17 −</w:t>
      </w:r>
      <w:r>
        <w:tab/>
        <w:t>Droit à la protection de la vie privée</w:t>
      </w:r>
      <w:r>
        <w:tab/>
      </w:r>
      <w:r>
        <w:tab/>
        <w:t>50</w:t>
      </w:r>
    </w:p>
    <w:p w:rsidR="00000000" w:rsidRDefault="00000000">
      <w:pPr>
        <w:tabs>
          <w:tab w:val="left" w:pos="2126"/>
          <w:tab w:val="right" w:leader="dot" w:pos="8505"/>
          <w:tab w:val="right" w:pos="9214"/>
        </w:tabs>
      </w:pPr>
      <w:r>
        <w:t>ARTICLE 18 −</w:t>
      </w:r>
      <w:r>
        <w:tab/>
        <w:t>Liberté de pensée, de conscience et de religion</w:t>
      </w:r>
      <w:r>
        <w:tab/>
      </w:r>
      <w:r>
        <w:tab/>
        <w:t>51</w:t>
      </w:r>
    </w:p>
    <w:p w:rsidR="00000000" w:rsidRDefault="00000000">
      <w:pPr>
        <w:tabs>
          <w:tab w:val="left" w:pos="2126"/>
          <w:tab w:val="right" w:leader="dot" w:pos="8505"/>
          <w:tab w:val="right" w:pos="9214"/>
        </w:tabs>
      </w:pPr>
      <w:r>
        <w:t>ARTICLE 19 −</w:t>
      </w:r>
      <w:r>
        <w:tab/>
        <w:t>Liberté d’opinion et d’expression</w:t>
      </w:r>
      <w:r>
        <w:tab/>
      </w:r>
      <w:r>
        <w:tab/>
        <w:t>52</w:t>
      </w:r>
    </w:p>
    <w:p w:rsidR="00000000" w:rsidRDefault="00000000">
      <w:pPr>
        <w:tabs>
          <w:tab w:val="left" w:pos="2126"/>
          <w:tab w:val="right" w:leader="dot" w:pos="8505"/>
          <w:tab w:val="right" w:pos="9214"/>
        </w:tabs>
      </w:pPr>
      <w:r>
        <w:t>ARTICLE 20 −</w:t>
      </w:r>
      <w:r>
        <w:tab/>
        <w:t>Interdiction de propagande en faveur de la guerre, interdiction</w:t>
      </w:r>
      <w:r>
        <w:br/>
      </w:r>
      <w:r>
        <w:tab/>
        <w:t>de tout appel à la haine nationale, raciale ou religieuse</w:t>
      </w:r>
      <w:r>
        <w:tab/>
      </w:r>
      <w:r>
        <w:tab/>
        <w:t>55</w:t>
      </w:r>
    </w:p>
    <w:p w:rsidR="00000000" w:rsidRDefault="00000000">
      <w:pPr>
        <w:tabs>
          <w:tab w:val="left" w:pos="2126"/>
          <w:tab w:val="right" w:leader="dot" w:pos="8505"/>
          <w:tab w:val="right" w:pos="9214"/>
        </w:tabs>
      </w:pPr>
      <w:r>
        <w:t>ARTICLE 21 −</w:t>
      </w:r>
      <w:r>
        <w:tab/>
        <w:t>Liberté de réunion</w:t>
      </w:r>
      <w:r>
        <w:tab/>
      </w:r>
      <w:r>
        <w:tab/>
        <w:t>56</w:t>
      </w:r>
    </w:p>
    <w:p w:rsidR="00000000" w:rsidRDefault="00000000">
      <w:pPr>
        <w:tabs>
          <w:tab w:val="left" w:pos="2126"/>
          <w:tab w:val="right" w:leader="dot" w:pos="8505"/>
          <w:tab w:val="right" w:pos="9214"/>
        </w:tabs>
      </w:pPr>
      <w:r>
        <w:t>ARTICLE 22 −</w:t>
      </w:r>
      <w:r>
        <w:tab/>
        <w:t>Liberté d’association et liberté syndicale</w:t>
      </w:r>
      <w:r>
        <w:tab/>
      </w:r>
      <w:r>
        <w:tab/>
        <w:t>56</w:t>
      </w:r>
    </w:p>
    <w:p w:rsidR="00000000" w:rsidRDefault="00000000">
      <w:pPr>
        <w:tabs>
          <w:tab w:val="left" w:pos="2126"/>
          <w:tab w:val="right" w:leader="dot" w:pos="8505"/>
          <w:tab w:val="right" w:pos="9214"/>
        </w:tabs>
      </w:pPr>
      <w:r>
        <w:t>ARTICLE 23 −</w:t>
      </w:r>
      <w:r>
        <w:tab/>
        <w:t>Protection de la famille et des enfants</w:t>
      </w:r>
      <w:r>
        <w:tab/>
      </w:r>
      <w:r>
        <w:tab/>
        <w:t>59</w:t>
      </w:r>
    </w:p>
    <w:p w:rsidR="00000000" w:rsidRDefault="00000000">
      <w:pPr>
        <w:tabs>
          <w:tab w:val="left" w:pos="2126"/>
          <w:tab w:val="right" w:leader="dot" w:pos="8505"/>
          <w:tab w:val="right" w:pos="9214"/>
        </w:tabs>
      </w:pPr>
      <w:r>
        <w:t>ARTICLE 24 −</w:t>
      </w:r>
      <w:r>
        <w:tab/>
        <w:t>Droits de l’enfant, administration de la justice pour mineur</w:t>
      </w:r>
      <w:r>
        <w:tab/>
      </w:r>
      <w:r>
        <w:tab/>
        <w:t>61</w:t>
      </w:r>
    </w:p>
    <w:p w:rsidR="00000000" w:rsidRDefault="00000000">
      <w:pPr>
        <w:tabs>
          <w:tab w:val="left" w:pos="2126"/>
          <w:tab w:val="right" w:leader="dot" w:pos="8505"/>
          <w:tab w:val="right" w:pos="9214"/>
        </w:tabs>
      </w:pPr>
      <w:r>
        <w:t>ARTICLE 25 −</w:t>
      </w:r>
      <w:r>
        <w:tab/>
        <w:t>Droits politiques</w:t>
      </w:r>
      <w:r>
        <w:tab/>
      </w:r>
      <w:r>
        <w:tab/>
        <w:t>65</w:t>
      </w:r>
    </w:p>
    <w:p w:rsidR="00000000" w:rsidRDefault="00000000">
      <w:pPr>
        <w:tabs>
          <w:tab w:val="left" w:pos="2126"/>
          <w:tab w:val="right" w:leader="dot" w:pos="8505"/>
          <w:tab w:val="right" w:pos="9214"/>
        </w:tabs>
      </w:pPr>
      <w:r>
        <w:t>ARTICLE 26 −</w:t>
      </w:r>
      <w:r>
        <w:tab/>
        <w:t>Principe de non</w:t>
      </w:r>
      <w:r>
        <w:noBreakHyphen/>
        <w:t>discrimination devant la loi</w:t>
      </w:r>
      <w:r>
        <w:tab/>
      </w:r>
      <w:r>
        <w:tab/>
        <w:t>70</w:t>
      </w:r>
    </w:p>
    <w:p w:rsidR="00000000" w:rsidRDefault="00000000">
      <w:pPr>
        <w:tabs>
          <w:tab w:val="left" w:pos="2126"/>
          <w:tab w:val="right" w:leader="dot" w:pos="8505"/>
          <w:tab w:val="right" w:pos="9214"/>
        </w:tabs>
        <w:spacing w:after="240"/>
      </w:pPr>
      <w:r>
        <w:t>ARTICLE 27 −</w:t>
      </w:r>
      <w:r>
        <w:tab/>
        <w:t>Droits des minorités ethniques, religieuses ou linguistiques</w:t>
      </w:r>
      <w:r>
        <w:tab/>
      </w:r>
      <w:r>
        <w:tab/>
        <w:t>71</w:t>
      </w:r>
    </w:p>
    <w:p w:rsidR="00000000" w:rsidRDefault="00000000">
      <w:pPr>
        <w:tabs>
          <w:tab w:val="left" w:pos="2126"/>
          <w:tab w:val="right" w:leader="dot" w:pos="8505"/>
          <w:tab w:val="right" w:pos="9214"/>
        </w:tabs>
        <w:spacing w:after="240"/>
        <w:rPr>
          <w:b/>
          <w:bCs/>
        </w:rPr>
      </w:pPr>
      <w:r>
        <w:rPr>
          <w:b/>
          <w:bCs/>
        </w:rPr>
        <w:t>ANNEXES</w:t>
      </w:r>
    </w:p>
    <w:p w:rsidR="00000000" w:rsidRDefault="00000000">
      <w:pPr>
        <w:tabs>
          <w:tab w:val="left" w:pos="2126"/>
          <w:tab w:val="right" w:leader="dot" w:pos="9120"/>
          <w:tab w:val="right" w:pos="9214"/>
        </w:tabs>
      </w:pPr>
      <w:r>
        <w:t>ANNEXE I:</w:t>
      </w:r>
      <w:r>
        <w:tab/>
        <w:t>Carte de Madagascar</w:t>
      </w:r>
      <w:r>
        <w:tab/>
      </w:r>
      <w:r>
        <w:tab/>
      </w:r>
    </w:p>
    <w:p w:rsidR="00000000" w:rsidRDefault="00000000">
      <w:pPr>
        <w:tabs>
          <w:tab w:val="left" w:pos="2126"/>
          <w:tab w:val="right" w:leader="dot" w:pos="9120"/>
          <w:tab w:val="right" w:pos="9214"/>
        </w:tabs>
      </w:pPr>
      <w:r>
        <w:t>ANNEXE II:</w:t>
      </w:r>
      <w:r>
        <w:tab/>
        <w:t>Extrait de la Constitution de 1992</w:t>
      </w:r>
      <w:r>
        <w:tab/>
      </w:r>
      <w:r>
        <w:tab/>
      </w:r>
    </w:p>
    <w:p w:rsidR="00000000" w:rsidRDefault="00000000">
      <w:pPr>
        <w:tabs>
          <w:tab w:val="left" w:pos="2126"/>
          <w:tab w:val="right" w:leader="dot" w:pos="9120"/>
          <w:tab w:val="right" w:pos="9214"/>
        </w:tabs>
      </w:pPr>
      <w:r>
        <w:t>ANNEXE III:</w:t>
      </w:r>
      <w:r>
        <w:tab/>
        <w:t>Extraits de la loi n</w:t>
      </w:r>
      <w:r>
        <w:rPr>
          <w:vertAlign w:val="superscript"/>
        </w:rPr>
        <w:t>o</w:t>
      </w:r>
      <w:r>
        <w:t> 97</w:t>
      </w:r>
      <w:r>
        <w:noBreakHyphen/>
        <w:t>036 du 30 octobre 1996</w:t>
      </w:r>
      <w:r>
        <w:tab/>
      </w:r>
      <w:r>
        <w:tab/>
      </w:r>
    </w:p>
    <w:p w:rsidR="00000000" w:rsidRDefault="00000000">
      <w:pPr>
        <w:tabs>
          <w:tab w:val="left" w:pos="2126"/>
          <w:tab w:val="right" w:leader="dot" w:pos="9120"/>
          <w:tab w:val="right" w:pos="9214"/>
        </w:tabs>
      </w:pPr>
      <w:r>
        <w:t>ANNEXE IV:</w:t>
      </w:r>
      <w:r>
        <w:tab/>
        <w:t>Textes réglementaires régissant le CNE</w:t>
      </w:r>
      <w:r>
        <w:tab/>
      </w:r>
      <w:r>
        <w:tab/>
      </w:r>
    </w:p>
    <w:p w:rsidR="00000000" w:rsidRDefault="00000000">
      <w:pPr>
        <w:tabs>
          <w:tab w:val="left" w:pos="2126"/>
          <w:tab w:val="right" w:leader="dot" w:pos="9120"/>
          <w:tab w:val="right" w:pos="9214"/>
        </w:tabs>
      </w:pPr>
      <w:r>
        <w:t>ANNEXE V:</w:t>
      </w:r>
      <w:r>
        <w:tab/>
        <w:t>Textes réglementaires régissant le «DINA»</w:t>
      </w:r>
      <w:r>
        <w:tab/>
      </w:r>
      <w:r>
        <w:tab/>
      </w:r>
    </w:p>
    <w:p w:rsidR="00000000" w:rsidRDefault="00000000">
      <w:pPr>
        <w:tabs>
          <w:tab w:val="left" w:pos="2126"/>
          <w:tab w:val="right" w:leader="dot" w:pos="9120"/>
          <w:tab w:val="right" w:pos="9214"/>
        </w:tabs>
      </w:pPr>
      <w:r>
        <w:t>ANNEXE VI:</w:t>
      </w:r>
      <w:r>
        <w:tab/>
        <w:t>Loi n</w:t>
      </w:r>
      <w:r>
        <w:rPr>
          <w:vertAlign w:val="superscript"/>
        </w:rPr>
        <w:t>o</w:t>
      </w:r>
      <w:r>
        <w:t> 2001</w:t>
      </w:r>
      <w:r>
        <w:noBreakHyphen/>
        <w:t>004 du 25 octobre 2001</w:t>
      </w:r>
      <w:r>
        <w:tab/>
      </w:r>
      <w:r>
        <w:tab/>
      </w:r>
    </w:p>
    <w:p w:rsidR="00000000" w:rsidRDefault="00000000">
      <w:pPr>
        <w:tabs>
          <w:tab w:val="left" w:pos="1701"/>
          <w:tab w:val="left" w:leader="dot" w:pos="7938"/>
          <w:tab w:val="right" w:pos="9072"/>
        </w:tabs>
        <w:spacing w:after="240"/>
      </w:pPr>
    </w:p>
    <w:p w:rsidR="00000000" w:rsidRDefault="00000000">
      <w:pPr>
        <w:tabs>
          <w:tab w:val="left" w:pos="1701"/>
          <w:tab w:val="left" w:leader="dot" w:pos="7938"/>
          <w:tab w:val="right" w:pos="9072"/>
        </w:tabs>
        <w:spacing w:after="240"/>
      </w:pPr>
    </w:p>
    <w:p w:rsidR="00000000" w:rsidRDefault="00000000">
      <w:pPr>
        <w:spacing w:after="240"/>
        <w:rPr>
          <w:b/>
          <w:bCs/>
        </w:rPr>
      </w:pPr>
      <w:r>
        <w:br w:type="page"/>
      </w:r>
      <w:r>
        <w:rPr>
          <w:b/>
          <w:bCs/>
        </w:rPr>
        <w:t>ACRONYMES</w:t>
      </w:r>
    </w:p>
    <w:tbl>
      <w:tblPr>
        <w:tblW w:w="9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1"/>
        <w:gridCol w:w="7236"/>
      </w:tblGrid>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ADEMA</w:t>
            </w:r>
          </w:p>
        </w:tc>
        <w:tc>
          <w:tcPr>
            <w:tcW w:w="7236" w:type="dxa"/>
            <w:tcBorders>
              <w:top w:val="nil"/>
              <w:left w:val="nil"/>
              <w:bottom w:val="nil"/>
              <w:right w:val="nil"/>
            </w:tcBorders>
          </w:tcPr>
          <w:p w:rsidR="00000000" w:rsidRDefault="00000000">
            <w:r>
              <w:t>Aéroports de Madagascar</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AFI</w:t>
            </w:r>
          </w:p>
        </w:tc>
        <w:tc>
          <w:tcPr>
            <w:tcW w:w="7236" w:type="dxa"/>
            <w:tcBorders>
              <w:top w:val="nil"/>
              <w:left w:val="nil"/>
              <w:bottom w:val="nil"/>
              <w:right w:val="nil"/>
            </w:tcBorders>
          </w:tcPr>
          <w:p w:rsidR="00000000" w:rsidRDefault="00000000">
            <w:r>
              <w:t>Alphabétisation formelle internationale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AGCU</w:t>
            </w:r>
          </w:p>
        </w:tc>
        <w:tc>
          <w:tcPr>
            <w:tcW w:w="7236" w:type="dxa"/>
            <w:tcBorders>
              <w:top w:val="nil"/>
              <w:left w:val="nil"/>
              <w:bottom w:val="nil"/>
              <w:right w:val="nil"/>
            </w:tcBorders>
          </w:tcPr>
          <w:p w:rsidR="00000000" w:rsidRDefault="00000000">
            <w:r>
              <w:t>Autres grands centres urbains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lang w:val="en-GB"/>
              </w:rPr>
            </w:pPr>
            <w:r>
              <w:rPr>
                <w:b/>
                <w:bCs/>
                <w:lang w:val="en-GB"/>
              </w:rPr>
              <w:t>AGOA</w:t>
            </w:r>
          </w:p>
        </w:tc>
        <w:tc>
          <w:tcPr>
            <w:tcW w:w="7236" w:type="dxa"/>
            <w:tcBorders>
              <w:top w:val="nil"/>
              <w:left w:val="nil"/>
              <w:bottom w:val="nil"/>
              <w:right w:val="nil"/>
            </w:tcBorders>
          </w:tcPr>
          <w:p w:rsidR="00000000" w:rsidRDefault="00000000">
            <w:pPr>
              <w:rPr>
                <w:lang w:val="en-GB"/>
              </w:rPr>
            </w:pPr>
            <w:r>
              <w:rPr>
                <w:lang w:val="en-GB"/>
              </w:rPr>
              <w:t>African Growth and Opportunity Act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ANP</w:t>
            </w:r>
          </w:p>
        </w:tc>
        <w:tc>
          <w:tcPr>
            <w:tcW w:w="7236" w:type="dxa"/>
            <w:tcBorders>
              <w:top w:val="nil"/>
              <w:left w:val="nil"/>
              <w:bottom w:val="nil"/>
              <w:right w:val="nil"/>
            </w:tcBorders>
          </w:tcPr>
          <w:p w:rsidR="00000000" w:rsidRDefault="00000000">
            <w:r>
              <w:t>Assemblée nationale populaire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ASPE</w:t>
            </w:r>
          </w:p>
        </w:tc>
        <w:tc>
          <w:tcPr>
            <w:tcW w:w="7236" w:type="dxa"/>
            <w:tcBorders>
              <w:top w:val="nil"/>
              <w:left w:val="nil"/>
              <w:bottom w:val="nil"/>
              <w:right w:val="nil"/>
            </w:tcBorders>
          </w:tcPr>
          <w:p w:rsidR="00000000" w:rsidRDefault="00000000">
            <w:r>
              <w:t>Association pour la sauvegarde et la protection des enfants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BEPC</w:t>
            </w:r>
          </w:p>
        </w:tc>
        <w:tc>
          <w:tcPr>
            <w:tcW w:w="7236" w:type="dxa"/>
            <w:tcBorders>
              <w:top w:val="nil"/>
              <w:left w:val="nil"/>
              <w:bottom w:val="nil"/>
              <w:right w:val="nil"/>
            </w:tcBorders>
          </w:tcPr>
          <w:p w:rsidR="00000000" w:rsidRDefault="00000000">
            <w:r>
              <w:t>Brevet d’études du premier cycle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BIT</w:t>
            </w:r>
          </w:p>
        </w:tc>
        <w:tc>
          <w:tcPr>
            <w:tcW w:w="7236" w:type="dxa"/>
            <w:tcBorders>
              <w:top w:val="nil"/>
              <w:left w:val="nil"/>
              <w:bottom w:val="nil"/>
              <w:right w:val="nil"/>
            </w:tcBorders>
          </w:tcPr>
          <w:p w:rsidR="00000000" w:rsidRDefault="00000000">
            <w:r>
              <w:t>Bureau international du Travail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CEG</w:t>
            </w:r>
          </w:p>
        </w:tc>
        <w:tc>
          <w:tcPr>
            <w:tcW w:w="7236" w:type="dxa"/>
            <w:tcBorders>
              <w:top w:val="nil"/>
              <w:left w:val="nil"/>
              <w:bottom w:val="nil"/>
              <w:right w:val="nil"/>
            </w:tcBorders>
          </w:tcPr>
          <w:p w:rsidR="00000000" w:rsidRDefault="00000000">
            <w:r>
              <w:t>Collège d’enseignement général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CEPE</w:t>
            </w:r>
          </w:p>
        </w:tc>
        <w:tc>
          <w:tcPr>
            <w:tcW w:w="7236" w:type="dxa"/>
            <w:tcBorders>
              <w:top w:val="nil"/>
              <w:left w:val="nil"/>
              <w:bottom w:val="nil"/>
              <w:right w:val="nil"/>
            </w:tcBorders>
          </w:tcPr>
          <w:p w:rsidR="00000000" w:rsidRDefault="00000000">
            <w:r>
              <w:t>Certificat d’études primaires élémentaires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CFP</w:t>
            </w:r>
          </w:p>
        </w:tc>
        <w:tc>
          <w:tcPr>
            <w:tcW w:w="7236" w:type="dxa"/>
            <w:tcBorders>
              <w:top w:val="nil"/>
              <w:left w:val="nil"/>
              <w:bottom w:val="nil"/>
              <w:right w:val="nil"/>
            </w:tcBorders>
          </w:tcPr>
          <w:p w:rsidR="00000000" w:rsidRDefault="00000000">
            <w:r>
              <w:t>Collège de formation technique et professionnelle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CHD</w:t>
            </w:r>
          </w:p>
        </w:tc>
        <w:tc>
          <w:tcPr>
            <w:tcW w:w="7236" w:type="dxa"/>
            <w:tcBorders>
              <w:top w:val="nil"/>
              <w:left w:val="nil"/>
              <w:bottom w:val="nil"/>
              <w:right w:val="nil"/>
            </w:tcBorders>
          </w:tcPr>
          <w:p w:rsidR="00000000" w:rsidRDefault="00000000">
            <w:r>
              <w:t>Centre hospitalier de district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CHR</w:t>
            </w:r>
          </w:p>
        </w:tc>
        <w:tc>
          <w:tcPr>
            <w:tcW w:w="7236" w:type="dxa"/>
            <w:tcBorders>
              <w:top w:val="nil"/>
              <w:left w:val="nil"/>
              <w:bottom w:val="nil"/>
              <w:right w:val="nil"/>
            </w:tcBorders>
          </w:tcPr>
          <w:p w:rsidR="00000000" w:rsidRDefault="00000000">
            <w:r>
              <w:t>Centre hospitalier régional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CHU</w:t>
            </w:r>
          </w:p>
        </w:tc>
        <w:tc>
          <w:tcPr>
            <w:tcW w:w="7236" w:type="dxa"/>
            <w:tcBorders>
              <w:top w:val="nil"/>
              <w:left w:val="nil"/>
              <w:bottom w:val="nil"/>
              <w:right w:val="nil"/>
            </w:tcBorders>
          </w:tcPr>
          <w:p w:rsidR="00000000" w:rsidRDefault="00000000">
            <w:r>
              <w:t>Centre hospitalier universitaire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CICR</w:t>
            </w:r>
          </w:p>
        </w:tc>
        <w:tc>
          <w:tcPr>
            <w:tcW w:w="7236" w:type="dxa"/>
            <w:tcBorders>
              <w:top w:val="nil"/>
              <w:left w:val="nil"/>
              <w:bottom w:val="nil"/>
              <w:right w:val="nil"/>
            </w:tcBorders>
          </w:tcPr>
          <w:p w:rsidR="00000000" w:rsidRDefault="00000000">
            <w:r>
              <w:t>Comité international de la Croix</w:t>
            </w:r>
            <w:r>
              <w:noBreakHyphen/>
              <w:t>Rouge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CMPFDH</w:t>
            </w:r>
          </w:p>
        </w:tc>
        <w:tc>
          <w:tcPr>
            <w:tcW w:w="7236" w:type="dxa"/>
            <w:tcBorders>
              <w:top w:val="nil"/>
              <w:left w:val="nil"/>
              <w:bottom w:val="nil"/>
              <w:right w:val="nil"/>
            </w:tcBorders>
          </w:tcPr>
          <w:p w:rsidR="00000000" w:rsidRDefault="00000000">
            <w:r>
              <w:t>Confédération malagasy des plates-formes des droits humains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CNaPS</w:t>
            </w:r>
          </w:p>
        </w:tc>
        <w:tc>
          <w:tcPr>
            <w:tcW w:w="7236" w:type="dxa"/>
            <w:tcBorders>
              <w:top w:val="nil"/>
              <w:left w:val="nil"/>
              <w:bottom w:val="nil"/>
              <w:right w:val="nil"/>
            </w:tcBorders>
          </w:tcPr>
          <w:p w:rsidR="00000000" w:rsidRDefault="00000000">
            <w:r>
              <w:t>Caisse nationale de prévoyance sociale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CNDH</w:t>
            </w:r>
          </w:p>
        </w:tc>
        <w:tc>
          <w:tcPr>
            <w:tcW w:w="7236" w:type="dxa"/>
            <w:tcBorders>
              <w:top w:val="nil"/>
              <w:left w:val="nil"/>
              <w:bottom w:val="nil"/>
              <w:right w:val="nil"/>
            </w:tcBorders>
          </w:tcPr>
          <w:p w:rsidR="00000000" w:rsidRDefault="00000000">
            <w:r>
              <w:t xml:space="preserve">Commission </w:t>
            </w:r>
            <w:r>
              <w:rPr>
                <w:color w:val="333333"/>
              </w:rPr>
              <w:t xml:space="preserve">nationale </w:t>
            </w:r>
            <w:r>
              <w:t>des droits de l’homme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CNE</w:t>
            </w:r>
          </w:p>
        </w:tc>
        <w:tc>
          <w:tcPr>
            <w:tcW w:w="7236" w:type="dxa"/>
            <w:tcBorders>
              <w:top w:val="nil"/>
              <w:left w:val="nil"/>
              <w:bottom w:val="nil"/>
              <w:right w:val="nil"/>
            </w:tcBorders>
          </w:tcPr>
          <w:p w:rsidR="00000000" w:rsidRDefault="00000000">
            <w:r>
              <w:t>Conseil national électoral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CNE</w:t>
            </w:r>
          </w:p>
        </w:tc>
        <w:tc>
          <w:tcPr>
            <w:tcW w:w="7236" w:type="dxa"/>
            <w:tcBorders>
              <w:top w:val="nil"/>
              <w:left w:val="nil"/>
              <w:bottom w:val="nil"/>
              <w:right w:val="nil"/>
            </w:tcBorders>
          </w:tcPr>
          <w:p w:rsidR="00000000" w:rsidRDefault="00000000">
            <w:r>
              <w:t>Conseil national de l’emploi</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CNTEMAD</w:t>
            </w:r>
          </w:p>
        </w:tc>
        <w:tc>
          <w:tcPr>
            <w:tcW w:w="7236" w:type="dxa"/>
            <w:tcBorders>
              <w:top w:val="nil"/>
              <w:left w:val="nil"/>
              <w:bottom w:val="nil"/>
              <w:right w:val="nil"/>
            </w:tcBorders>
          </w:tcPr>
          <w:p w:rsidR="00000000" w:rsidRDefault="00000000">
            <w:r>
              <w:t>Centre national de téléenseignement de Madagascar</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COEOI</w:t>
            </w:r>
          </w:p>
        </w:tc>
        <w:tc>
          <w:tcPr>
            <w:tcW w:w="7236" w:type="dxa"/>
            <w:tcBorders>
              <w:top w:val="nil"/>
              <w:left w:val="nil"/>
              <w:bottom w:val="nil"/>
              <w:right w:val="nil"/>
            </w:tcBorders>
          </w:tcPr>
          <w:p w:rsidR="00000000" w:rsidRDefault="00000000">
            <w:r>
              <w:t>Confédération d’organisations des employeurs de l’océan Indien</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COLIER</w:t>
            </w:r>
          </w:p>
        </w:tc>
        <w:tc>
          <w:tcPr>
            <w:tcW w:w="7236" w:type="dxa"/>
            <w:tcBorders>
              <w:top w:val="nil"/>
              <w:left w:val="nil"/>
              <w:bottom w:val="nil"/>
              <w:right w:val="nil"/>
            </w:tcBorders>
          </w:tcPr>
          <w:p w:rsidR="00000000" w:rsidRDefault="00000000">
            <w:r>
              <w:t>Comité de liaison des intérêts économiques de la Réunion</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CPAC</w:t>
            </w:r>
          </w:p>
        </w:tc>
        <w:tc>
          <w:tcPr>
            <w:tcW w:w="7236" w:type="dxa"/>
            <w:tcBorders>
              <w:top w:val="nil"/>
              <w:left w:val="nil"/>
              <w:bottom w:val="nil"/>
              <w:right w:val="nil"/>
            </w:tcBorders>
          </w:tcPr>
          <w:p w:rsidR="00000000" w:rsidRDefault="00000000">
            <w:r>
              <w:t>Centre provincial des arts et de la culture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CRES</w:t>
            </w:r>
          </w:p>
        </w:tc>
        <w:tc>
          <w:tcPr>
            <w:tcW w:w="7236" w:type="dxa"/>
            <w:tcBorders>
              <w:top w:val="nil"/>
              <w:left w:val="nil"/>
              <w:bottom w:val="nil"/>
              <w:right w:val="nil"/>
            </w:tcBorders>
          </w:tcPr>
          <w:p w:rsidR="00000000" w:rsidRDefault="00000000">
            <w:r>
              <w:t>Comité pour le redressement économique et social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CSB</w:t>
            </w:r>
          </w:p>
        </w:tc>
        <w:tc>
          <w:tcPr>
            <w:tcW w:w="7236" w:type="dxa"/>
            <w:tcBorders>
              <w:top w:val="nil"/>
              <w:left w:val="nil"/>
              <w:bottom w:val="nil"/>
              <w:right w:val="nil"/>
            </w:tcBorders>
          </w:tcPr>
          <w:p w:rsidR="00000000" w:rsidRDefault="00000000">
            <w:r>
              <w:t>Centre de santé de base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CSFOP</w:t>
            </w:r>
          </w:p>
        </w:tc>
        <w:tc>
          <w:tcPr>
            <w:tcW w:w="7236" w:type="dxa"/>
            <w:tcBorders>
              <w:top w:val="nil"/>
              <w:left w:val="nil"/>
              <w:bottom w:val="nil"/>
              <w:right w:val="nil"/>
            </w:tcBorders>
          </w:tcPr>
          <w:p w:rsidR="00000000" w:rsidRDefault="00000000">
            <w:r>
              <w:t>Conseil supérieur de la fonction publique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CSR</w:t>
            </w:r>
          </w:p>
        </w:tc>
        <w:tc>
          <w:tcPr>
            <w:tcW w:w="7236" w:type="dxa"/>
            <w:tcBorders>
              <w:top w:val="nil"/>
              <w:left w:val="nil"/>
              <w:bottom w:val="nil"/>
              <w:right w:val="nil"/>
            </w:tcBorders>
          </w:tcPr>
          <w:p w:rsidR="00000000" w:rsidRDefault="00000000">
            <w:r>
              <w:t>Conseil supérieur de la révolution</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CST</w:t>
            </w:r>
          </w:p>
        </w:tc>
        <w:tc>
          <w:tcPr>
            <w:tcW w:w="7236" w:type="dxa"/>
            <w:tcBorders>
              <w:top w:val="nil"/>
              <w:left w:val="nil"/>
              <w:bottom w:val="nil"/>
              <w:right w:val="nil"/>
            </w:tcBorders>
          </w:tcPr>
          <w:p w:rsidR="00000000" w:rsidRDefault="00000000">
            <w:r>
              <w:t>Conseil supérieur du travail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CTM</w:t>
            </w:r>
          </w:p>
        </w:tc>
        <w:tc>
          <w:tcPr>
            <w:tcW w:w="7236" w:type="dxa"/>
            <w:tcBorders>
              <w:top w:val="nil"/>
              <w:left w:val="nil"/>
              <w:bottom w:val="nil"/>
              <w:right w:val="nil"/>
            </w:tcBorders>
          </w:tcPr>
          <w:p w:rsidR="00000000" w:rsidRDefault="00000000">
            <w:r>
              <w:t>Conférence des travailleurs malagasy</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CUS </w:t>
            </w:r>
          </w:p>
        </w:tc>
        <w:tc>
          <w:tcPr>
            <w:tcW w:w="7236" w:type="dxa"/>
            <w:tcBorders>
              <w:top w:val="nil"/>
              <w:left w:val="nil"/>
              <w:bottom w:val="nil"/>
              <w:right w:val="nil"/>
            </w:tcBorders>
          </w:tcPr>
          <w:p w:rsidR="00000000" w:rsidRDefault="00000000">
            <w:pPr>
              <w:rPr>
                <w:b/>
                <w:bCs/>
                <w:u w:val="single"/>
              </w:rPr>
            </w:pPr>
            <w:r>
              <w:t>Centres urbains secondaires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DCPE</w:t>
            </w:r>
          </w:p>
        </w:tc>
        <w:tc>
          <w:tcPr>
            <w:tcW w:w="7236" w:type="dxa"/>
            <w:tcBorders>
              <w:top w:val="nil"/>
              <w:left w:val="nil"/>
              <w:bottom w:val="nil"/>
              <w:right w:val="nil"/>
            </w:tcBorders>
          </w:tcPr>
          <w:p w:rsidR="00000000" w:rsidRDefault="00000000">
            <w:r>
              <w:t>Document cadre de politique économique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DDSS</w:t>
            </w:r>
          </w:p>
        </w:tc>
        <w:tc>
          <w:tcPr>
            <w:tcW w:w="7236" w:type="dxa"/>
            <w:tcBorders>
              <w:top w:val="nil"/>
              <w:left w:val="nil"/>
              <w:bottom w:val="nil"/>
              <w:right w:val="nil"/>
            </w:tcBorders>
          </w:tcPr>
          <w:p w:rsidR="00000000" w:rsidRDefault="00000000">
            <w:r>
              <w:t>Direction de la démographie et des statistiques sociales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DEP</w:t>
            </w:r>
          </w:p>
        </w:tc>
        <w:tc>
          <w:tcPr>
            <w:tcW w:w="7236" w:type="dxa"/>
            <w:tcBorders>
              <w:top w:val="nil"/>
              <w:left w:val="nil"/>
              <w:bottom w:val="nil"/>
              <w:right w:val="nil"/>
            </w:tcBorders>
          </w:tcPr>
          <w:p w:rsidR="00000000" w:rsidRDefault="00000000">
            <w:r>
              <w:t>Direction de l’enseignement primaire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DIRDS</w:t>
            </w:r>
          </w:p>
        </w:tc>
        <w:tc>
          <w:tcPr>
            <w:tcW w:w="7236" w:type="dxa"/>
            <w:tcBorders>
              <w:top w:val="nil"/>
              <w:left w:val="nil"/>
              <w:bottom w:val="nil"/>
              <w:right w:val="nil"/>
            </w:tcBorders>
          </w:tcPr>
          <w:p w:rsidR="00000000" w:rsidRDefault="00000000">
            <w:r>
              <w:t>Direction interrégionale des districts sanitaires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DMD</w:t>
            </w:r>
          </w:p>
        </w:tc>
        <w:tc>
          <w:tcPr>
            <w:tcW w:w="7236" w:type="dxa"/>
            <w:tcBorders>
              <w:top w:val="nil"/>
              <w:left w:val="nil"/>
              <w:bottom w:val="nil"/>
              <w:right w:val="nil"/>
            </w:tcBorders>
          </w:tcPr>
          <w:p w:rsidR="00000000" w:rsidRDefault="00000000">
            <w:r>
              <w:t>Dans les médias demain</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DPS</w:t>
            </w:r>
          </w:p>
        </w:tc>
        <w:tc>
          <w:tcPr>
            <w:tcW w:w="7236" w:type="dxa"/>
            <w:tcBorders>
              <w:top w:val="nil"/>
              <w:left w:val="nil"/>
              <w:bottom w:val="nil"/>
              <w:right w:val="nil"/>
            </w:tcBorders>
          </w:tcPr>
          <w:p w:rsidR="00000000" w:rsidRDefault="00000000">
            <w:r>
              <w:t>Direction provinciale de santé</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DSE</w:t>
            </w:r>
          </w:p>
        </w:tc>
        <w:tc>
          <w:tcPr>
            <w:tcW w:w="7236" w:type="dxa"/>
            <w:tcBorders>
              <w:top w:val="nil"/>
              <w:left w:val="nil"/>
              <w:bottom w:val="nil"/>
              <w:right w:val="nil"/>
            </w:tcBorders>
          </w:tcPr>
          <w:p w:rsidR="00000000" w:rsidRDefault="00000000">
            <w:r>
              <w:t>Direction des synthèses économiques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 xml:space="preserve">DSM </w:t>
            </w:r>
          </w:p>
        </w:tc>
        <w:tc>
          <w:tcPr>
            <w:tcW w:w="7236" w:type="dxa"/>
            <w:tcBorders>
              <w:top w:val="nil"/>
              <w:left w:val="nil"/>
              <w:bottom w:val="nil"/>
              <w:right w:val="nil"/>
            </w:tcBorders>
          </w:tcPr>
          <w:p w:rsidR="00000000" w:rsidRDefault="00000000">
            <w:r>
              <w:t>Direction des statistiques des ménages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DSRP</w:t>
            </w:r>
          </w:p>
        </w:tc>
        <w:tc>
          <w:tcPr>
            <w:tcW w:w="7236" w:type="dxa"/>
            <w:tcBorders>
              <w:top w:val="nil"/>
              <w:left w:val="nil"/>
              <w:bottom w:val="nil"/>
              <w:right w:val="nil"/>
            </w:tcBorders>
          </w:tcPr>
          <w:p w:rsidR="00000000" w:rsidRDefault="00000000">
            <w:r>
              <w:t xml:space="preserve">Document stratégique pour la réduction de la pauvreté </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DTS</w:t>
            </w:r>
          </w:p>
        </w:tc>
        <w:tc>
          <w:tcPr>
            <w:tcW w:w="7236" w:type="dxa"/>
            <w:tcBorders>
              <w:top w:val="nil"/>
              <w:left w:val="nil"/>
              <w:bottom w:val="nil"/>
              <w:right w:val="nil"/>
            </w:tcBorders>
          </w:tcPr>
          <w:p w:rsidR="00000000" w:rsidRDefault="00000000">
            <w:r>
              <w:t>Droits de tirages spéciaux</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ECC</w:t>
            </w:r>
          </w:p>
        </w:tc>
        <w:tc>
          <w:tcPr>
            <w:tcW w:w="7236" w:type="dxa"/>
            <w:tcBorders>
              <w:top w:val="nil"/>
              <w:left w:val="nil"/>
              <w:bottom w:val="nil"/>
              <w:right w:val="nil"/>
            </w:tcBorders>
          </w:tcPr>
          <w:p w:rsidR="00000000" w:rsidRDefault="00000000">
            <w:r>
              <w:t>Éducation à la citoyenneté et au civisme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EDS</w:t>
            </w:r>
          </w:p>
        </w:tc>
        <w:tc>
          <w:tcPr>
            <w:tcW w:w="7236" w:type="dxa"/>
            <w:tcBorders>
              <w:top w:val="nil"/>
              <w:left w:val="nil"/>
              <w:bottom w:val="nil"/>
              <w:right w:val="nil"/>
            </w:tcBorders>
          </w:tcPr>
          <w:p w:rsidR="00000000" w:rsidRDefault="00000000">
            <w:r>
              <w:t>Enquête démographique et de santé</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EDSMD II et III</w:t>
            </w:r>
          </w:p>
        </w:tc>
        <w:tc>
          <w:tcPr>
            <w:tcW w:w="7236" w:type="dxa"/>
            <w:tcBorders>
              <w:top w:val="nil"/>
              <w:left w:val="nil"/>
              <w:bottom w:val="nil"/>
              <w:right w:val="nil"/>
            </w:tcBorders>
          </w:tcPr>
          <w:p w:rsidR="00000000" w:rsidRDefault="00000000">
            <w:r>
              <w:t>Enquête démographique et de santé II et III</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EEMS</w:t>
            </w:r>
          </w:p>
        </w:tc>
        <w:tc>
          <w:tcPr>
            <w:tcW w:w="7236" w:type="dxa"/>
            <w:tcBorders>
              <w:top w:val="nil"/>
              <w:left w:val="nil"/>
              <w:bottom w:val="nil"/>
              <w:right w:val="nil"/>
            </w:tcBorders>
          </w:tcPr>
          <w:p w:rsidR="00000000" w:rsidRDefault="00000000">
            <w:r>
              <w:t>École d’enseignement médico</w:t>
            </w:r>
            <w:r>
              <w:noBreakHyphen/>
              <w:t>sociale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EKA</w:t>
            </w:r>
          </w:p>
        </w:tc>
        <w:tc>
          <w:tcPr>
            <w:tcW w:w="7236" w:type="dxa"/>
            <w:tcBorders>
              <w:top w:val="nil"/>
              <w:left w:val="nil"/>
              <w:bottom w:val="nil"/>
              <w:right w:val="nil"/>
            </w:tcBorders>
          </w:tcPr>
          <w:p w:rsidR="00000000" w:rsidRDefault="00000000">
            <w:r>
              <w:t>Ezaka Kopia ho an’ny Ankizy (Opération délivrance d’acte de naissance pour les enfants)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ENA</w:t>
            </w:r>
          </w:p>
        </w:tc>
        <w:tc>
          <w:tcPr>
            <w:tcW w:w="7236" w:type="dxa"/>
            <w:tcBorders>
              <w:top w:val="nil"/>
              <w:left w:val="nil"/>
              <w:bottom w:val="nil"/>
              <w:right w:val="nil"/>
            </w:tcBorders>
          </w:tcPr>
          <w:p w:rsidR="00000000" w:rsidRDefault="00000000">
            <w:r>
              <w:t>Entreprise non agricole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ENAM</w:t>
            </w:r>
          </w:p>
        </w:tc>
        <w:tc>
          <w:tcPr>
            <w:tcW w:w="7236" w:type="dxa"/>
            <w:tcBorders>
              <w:top w:val="nil"/>
              <w:left w:val="nil"/>
              <w:bottom w:val="nil"/>
              <w:right w:val="nil"/>
            </w:tcBorders>
          </w:tcPr>
          <w:p w:rsidR="00000000" w:rsidRDefault="00000000">
            <w:r>
              <w:t>École nationale d’administration de Madagascar</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ENDS</w:t>
            </w:r>
          </w:p>
        </w:tc>
        <w:tc>
          <w:tcPr>
            <w:tcW w:w="7236" w:type="dxa"/>
            <w:tcBorders>
              <w:top w:val="nil"/>
              <w:left w:val="nil"/>
              <w:bottom w:val="nil"/>
              <w:right w:val="nil"/>
            </w:tcBorders>
          </w:tcPr>
          <w:p w:rsidR="00000000" w:rsidRDefault="00000000">
            <w:r>
              <w:t>Enquête nationale démographique et sanitaire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ENSUP</w:t>
            </w:r>
          </w:p>
        </w:tc>
        <w:tc>
          <w:tcPr>
            <w:tcW w:w="7236" w:type="dxa"/>
            <w:tcBorders>
              <w:top w:val="nil"/>
              <w:left w:val="nil"/>
              <w:bottom w:val="nil"/>
              <w:right w:val="nil"/>
            </w:tcBorders>
          </w:tcPr>
          <w:p w:rsidR="00000000" w:rsidRDefault="00000000">
            <w:r>
              <w:t>Enseignement supérieur</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EPM </w:t>
            </w:r>
          </w:p>
        </w:tc>
        <w:tc>
          <w:tcPr>
            <w:tcW w:w="7236" w:type="dxa"/>
            <w:tcBorders>
              <w:top w:val="nil"/>
              <w:left w:val="nil"/>
              <w:bottom w:val="nil"/>
              <w:right w:val="nil"/>
            </w:tcBorders>
          </w:tcPr>
          <w:p w:rsidR="00000000" w:rsidRDefault="00000000">
            <w:pPr>
              <w:rPr>
                <w:b/>
                <w:bCs/>
                <w:u w:val="single"/>
              </w:rPr>
            </w:pPr>
            <w:r>
              <w:t>Enquête permanente auprès des ménages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EPP</w:t>
            </w:r>
          </w:p>
        </w:tc>
        <w:tc>
          <w:tcPr>
            <w:tcW w:w="7236" w:type="dxa"/>
            <w:tcBorders>
              <w:top w:val="nil"/>
              <w:left w:val="nil"/>
              <w:bottom w:val="nil"/>
              <w:right w:val="nil"/>
            </w:tcBorders>
          </w:tcPr>
          <w:p w:rsidR="00000000" w:rsidRDefault="00000000">
            <w:r>
              <w:t>École primaire publique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EPT</w:t>
            </w:r>
          </w:p>
        </w:tc>
        <w:tc>
          <w:tcPr>
            <w:tcW w:w="7236" w:type="dxa"/>
            <w:tcBorders>
              <w:top w:val="nil"/>
              <w:left w:val="nil"/>
              <w:bottom w:val="nil"/>
              <w:right w:val="nil"/>
            </w:tcBorders>
          </w:tcPr>
          <w:p w:rsidR="00000000" w:rsidRDefault="00000000">
            <w:r>
              <w:t>Éducation pour tous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ESEB</w:t>
            </w:r>
          </w:p>
        </w:tc>
        <w:tc>
          <w:tcPr>
            <w:tcW w:w="7236" w:type="dxa"/>
            <w:tcBorders>
              <w:top w:val="nil"/>
              <w:left w:val="nil"/>
              <w:bottom w:val="nil"/>
              <w:right w:val="nil"/>
            </w:tcBorders>
          </w:tcPr>
          <w:p w:rsidR="00000000" w:rsidRDefault="00000000">
            <w:r>
              <w:t>Enseignement secondaire et éducation de base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FAF</w:t>
            </w:r>
          </w:p>
        </w:tc>
        <w:tc>
          <w:tcPr>
            <w:tcW w:w="7236" w:type="dxa"/>
            <w:tcBorders>
              <w:top w:val="nil"/>
              <w:left w:val="nil"/>
              <w:bottom w:val="nil"/>
              <w:right w:val="nil"/>
            </w:tcBorders>
          </w:tcPr>
          <w:p w:rsidR="00000000" w:rsidRDefault="00000000">
            <w:r>
              <w:t>Fiaraha-miombon’Antoka ho amin’ny Fampandrosoana (Partenariat pour le développement)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lang w:val="en-GB"/>
              </w:rPr>
            </w:pPr>
            <w:r>
              <w:rPr>
                <w:b/>
                <w:bCs/>
                <w:lang w:val="en-GB"/>
              </w:rPr>
              <w:t>FARITANY</w:t>
            </w:r>
          </w:p>
        </w:tc>
        <w:tc>
          <w:tcPr>
            <w:tcW w:w="7236" w:type="dxa"/>
            <w:tcBorders>
              <w:top w:val="nil"/>
              <w:left w:val="nil"/>
              <w:bottom w:val="nil"/>
              <w:right w:val="nil"/>
            </w:tcBorders>
          </w:tcPr>
          <w:p w:rsidR="00000000" w:rsidRDefault="00000000">
            <w:pPr>
              <w:rPr>
                <w:lang w:val="en-GB"/>
              </w:rPr>
            </w:pPr>
            <w:r>
              <w:rPr>
                <w:lang w:val="en-GB"/>
              </w:rPr>
              <w:t>Province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lang w:val="en-GB"/>
              </w:rPr>
            </w:pPr>
            <w:r>
              <w:rPr>
                <w:b/>
                <w:bCs/>
                <w:lang w:val="en-GB"/>
              </w:rPr>
              <w:t>FASR</w:t>
            </w:r>
          </w:p>
        </w:tc>
        <w:tc>
          <w:tcPr>
            <w:tcW w:w="7236" w:type="dxa"/>
            <w:tcBorders>
              <w:top w:val="nil"/>
              <w:left w:val="nil"/>
              <w:bottom w:val="nil"/>
              <w:right w:val="nil"/>
            </w:tcBorders>
          </w:tcPr>
          <w:p w:rsidR="00000000" w:rsidRDefault="00000000">
            <w:r>
              <w:t>Fonds d’ajustement structurel renforcé</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FCE</w:t>
            </w:r>
          </w:p>
        </w:tc>
        <w:tc>
          <w:tcPr>
            <w:tcW w:w="7236" w:type="dxa"/>
            <w:tcBorders>
              <w:top w:val="nil"/>
              <w:left w:val="nil"/>
              <w:bottom w:val="nil"/>
              <w:right w:val="nil"/>
            </w:tcBorders>
          </w:tcPr>
          <w:p w:rsidR="00000000" w:rsidRDefault="00000000">
            <w:r>
              <w:t>Fianarantsoa Côte-Est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FER</w:t>
            </w:r>
          </w:p>
        </w:tc>
        <w:tc>
          <w:tcPr>
            <w:tcW w:w="7236" w:type="dxa"/>
            <w:tcBorders>
              <w:top w:val="nil"/>
              <w:left w:val="nil"/>
              <w:bottom w:val="nil"/>
              <w:right w:val="nil"/>
            </w:tcBorders>
          </w:tcPr>
          <w:p w:rsidR="00000000" w:rsidRDefault="00000000">
            <w:r>
              <w:t>Fonds d’entretien routier</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FFKM </w:t>
            </w:r>
          </w:p>
        </w:tc>
        <w:tc>
          <w:tcPr>
            <w:tcW w:w="7236" w:type="dxa"/>
            <w:tcBorders>
              <w:top w:val="nil"/>
              <w:left w:val="nil"/>
              <w:bottom w:val="nil"/>
              <w:right w:val="nil"/>
            </w:tcBorders>
          </w:tcPr>
          <w:p w:rsidR="00000000" w:rsidRDefault="00000000">
            <w:r>
              <w:t>Conseil œcuménique des églises chrétiennes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FIHAVANANA</w:t>
            </w:r>
          </w:p>
        </w:tc>
        <w:tc>
          <w:tcPr>
            <w:tcW w:w="7236" w:type="dxa"/>
            <w:tcBorders>
              <w:top w:val="nil"/>
              <w:left w:val="nil"/>
              <w:bottom w:val="nil"/>
              <w:right w:val="nil"/>
            </w:tcBorders>
          </w:tcPr>
          <w:p w:rsidR="00000000" w:rsidRDefault="00000000">
            <w:r>
              <w:t>Valeur morale traditionnelle reconnue dans tout le pays incluant à la fois, la tolérance, la convivialité, le respect mutuel et la solidarité</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FIRAISANA</w:t>
            </w:r>
          </w:p>
        </w:tc>
        <w:tc>
          <w:tcPr>
            <w:tcW w:w="7236" w:type="dxa"/>
            <w:tcBorders>
              <w:top w:val="nil"/>
              <w:left w:val="nil"/>
              <w:bottom w:val="nil"/>
              <w:right w:val="nil"/>
            </w:tcBorders>
          </w:tcPr>
          <w:p w:rsidR="00000000" w:rsidRDefault="00000000">
            <w:r>
              <w:t>Commune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FIVMPAMA</w:t>
            </w:r>
          </w:p>
        </w:tc>
        <w:tc>
          <w:tcPr>
            <w:tcW w:w="7236" w:type="dxa"/>
            <w:tcBorders>
              <w:top w:val="nil"/>
              <w:left w:val="nil"/>
              <w:bottom w:val="nil"/>
              <w:right w:val="nil"/>
            </w:tcBorders>
          </w:tcPr>
          <w:p w:rsidR="00000000" w:rsidRDefault="00000000">
            <w:r>
              <w:t>Fivondronan’ny Mpandraharaha Malagasy</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FIVONDRONANA</w:t>
            </w:r>
          </w:p>
        </w:tc>
        <w:tc>
          <w:tcPr>
            <w:tcW w:w="7236" w:type="dxa"/>
            <w:tcBorders>
              <w:top w:val="nil"/>
              <w:left w:val="nil"/>
              <w:bottom w:val="nil"/>
              <w:right w:val="nil"/>
            </w:tcBorders>
          </w:tcPr>
          <w:p w:rsidR="00000000" w:rsidRDefault="00000000">
            <w:r>
              <w:t>Préfecture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FMG</w:t>
            </w:r>
          </w:p>
        </w:tc>
        <w:tc>
          <w:tcPr>
            <w:tcW w:w="7236" w:type="dxa"/>
            <w:tcBorders>
              <w:top w:val="nil"/>
              <w:left w:val="nil"/>
              <w:bottom w:val="nil"/>
              <w:right w:val="nil"/>
            </w:tcBorders>
          </w:tcPr>
          <w:p w:rsidR="00000000" w:rsidRDefault="00000000">
            <w:r>
              <w:t>Franc malagasy garanti</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FNAE</w:t>
            </w:r>
          </w:p>
        </w:tc>
        <w:tc>
          <w:tcPr>
            <w:tcW w:w="7236" w:type="dxa"/>
            <w:tcBorders>
              <w:top w:val="nil"/>
              <w:left w:val="nil"/>
              <w:bottom w:val="nil"/>
              <w:right w:val="nil"/>
            </w:tcBorders>
          </w:tcPr>
          <w:p w:rsidR="00000000" w:rsidRDefault="00000000">
            <w:r>
              <w:t>Fédération nationale des agents de l’</w:t>
            </w:r>
            <w:r>
              <w:rPr>
                <w:color w:val="000000"/>
              </w:rPr>
              <w:t>État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FNDR</w:t>
            </w:r>
          </w:p>
        </w:tc>
        <w:tc>
          <w:tcPr>
            <w:tcW w:w="7236" w:type="dxa"/>
            <w:tcBorders>
              <w:top w:val="nil"/>
              <w:left w:val="nil"/>
              <w:bottom w:val="nil"/>
              <w:right w:val="nil"/>
            </w:tcBorders>
          </w:tcPr>
          <w:p w:rsidR="00000000" w:rsidRDefault="00000000">
            <w:r>
              <w:t>Front national pour la défense de la révolution</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FOKONTANY</w:t>
            </w:r>
          </w:p>
        </w:tc>
        <w:tc>
          <w:tcPr>
            <w:tcW w:w="7236" w:type="dxa"/>
            <w:tcBorders>
              <w:top w:val="nil"/>
              <w:left w:val="nil"/>
              <w:bottom w:val="nil"/>
              <w:right w:val="nil"/>
            </w:tcBorders>
          </w:tcPr>
          <w:p w:rsidR="00000000" w:rsidRDefault="00000000">
            <w:r>
              <w:t>Quartier (la plus petite subdivision administrative à M/car)</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FRAM</w:t>
            </w:r>
          </w:p>
        </w:tc>
        <w:tc>
          <w:tcPr>
            <w:tcW w:w="7236" w:type="dxa"/>
            <w:tcBorders>
              <w:top w:val="nil"/>
              <w:left w:val="nil"/>
              <w:bottom w:val="nil"/>
              <w:right w:val="nil"/>
            </w:tcBorders>
          </w:tcPr>
          <w:p w:rsidR="00000000" w:rsidRDefault="00000000">
            <w:r>
              <w:t>Association des parents d’élèves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FTP</w:t>
            </w:r>
          </w:p>
        </w:tc>
        <w:tc>
          <w:tcPr>
            <w:tcW w:w="7236" w:type="dxa"/>
            <w:tcBorders>
              <w:top w:val="nil"/>
              <w:left w:val="nil"/>
              <w:bottom w:val="nil"/>
              <w:right w:val="nil"/>
            </w:tcBorders>
          </w:tcPr>
          <w:p w:rsidR="00000000" w:rsidRDefault="00000000">
            <w:r>
              <w:t>Formation technique et professionnelle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GEM</w:t>
            </w:r>
          </w:p>
        </w:tc>
        <w:tc>
          <w:tcPr>
            <w:tcW w:w="7236" w:type="dxa"/>
            <w:tcBorders>
              <w:top w:val="nil"/>
              <w:left w:val="nil"/>
              <w:bottom w:val="nil"/>
              <w:right w:val="nil"/>
            </w:tcBorders>
          </w:tcPr>
          <w:p w:rsidR="00000000" w:rsidRDefault="00000000">
            <w:r>
              <w:t>Groupement des entreprises de Madagascar</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lang w:val="de-DE"/>
              </w:rPr>
            </w:pPr>
            <w:r>
              <w:rPr>
                <w:b/>
                <w:bCs/>
                <w:lang w:val="de-DE"/>
              </w:rPr>
              <w:t>GTZ</w:t>
            </w:r>
          </w:p>
        </w:tc>
        <w:tc>
          <w:tcPr>
            <w:tcW w:w="7236" w:type="dxa"/>
            <w:tcBorders>
              <w:top w:val="nil"/>
              <w:left w:val="nil"/>
              <w:bottom w:val="nil"/>
              <w:right w:val="nil"/>
            </w:tcBorders>
          </w:tcPr>
          <w:p w:rsidR="00000000" w:rsidRDefault="00000000">
            <w:pPr>
              <w:rPr>
                <w:lang w:val="de-DE"/>
              </w:rPr>
            </w:pPr>
            <w:r>
              <w:rPr>
                <w:lang w:val="de-DE"/>
              </w:rPr>
              <w:t>Gesellschaft für Technische Zusammenarbeit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lang w:val="de-DE"/>
              </w:rPr>
            </w:pPr>
          </w:p>
        </w:tc>
        <w:tc>
          <w:tcPr>
            <w:tcW w:w="7236" w:type="dxa"/>
            <w:tcBorders>
              <w:top w:val="nil"/>
              <w:left w:val="nil"/>
              <w:bottom w:val="nil"/>
              <w:right w:val="nil"/>
            </w:tcBorders>
          </w:tcPr>
          <w:p w:rsidR="00000000" w:rsidRDefault="00000000">
            <w:pPr>
              <w:rPr>
                <w:lang w:val="de-DE"/>
              </w:rPr>
            </w:pPr>
          </w:p>
        </w:tc>
      </w:tr>
      <w:tr w:rsidR="00000000">
        <w:tblPrEx>
          <w:tblCellMar>
            <w:top w:w="0" w:type="dxa"/>
            <w:bottom w:w="0" w:type="dxa"/>
          </w:tblCellMar>
        </w:tblPrEx>
        <w:tc>
          <w:tcPr>
            <w:tcW w:w="2241" w:type="dxa"/>
            <w:tcBorders>
              <w:top w:val="nil"/>
              <w:left w:val="nil"/>
              <w:bottom w:val="nil"/>
              <w:right w:val="nil"/>
            </w:tcBorders>
          </w:tcPr>
          <w:p w:rsidR="00000000" w:rsidRDefault="00000000">
            <w:r>
              <w:rPr>
                <w:b/>
                <w:bCs/>
              </w:rPr>
              <w:t>HAE</w:t>
            </w:r>
          </w:p>
        </w:tc>
        <w:tc>
          <w:tcPr>
            <w:tcW w:w="7236" w:type="dxa"/>
            <w:tcBorders>
              <w:top w:val="nil"/>
              <w:left w:val="nil"/>
              <w:bottom w:val="nil"/>
              <w:right w:val="nil"/>
            </w:tcBorders>
          </w:tcPr>
          <w:p w:rsidR="00000000" w:rsidRDefault="00000000">
            <w:r>
              <w:t>Haute autorité de l’</w:t>
            </w:r>
            <w:r>
              <w:rPr>
                <w:color w:val="000000"/>
              </w:rPr>
              <w:t>État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HCC</w:t>
            </w:r>
          </w:p>
        </w:tc>
        <w:tc>
          <w:tcPr>
            <w:tcW w:w="7236" w:type="dxa"/>
            <w:tcBorders>
              <w:top w:val="nil"/>
              <w:left w:val="nil"/>
              <w:bottom w:val="nil"/>
              <w:right w:val="nil"/>
            </w:tcBorders>
          </w:tcPr>
          <w:p w:rsidR="00000000" w:rsidRDefault="00000000">
            <w:r>
              <w:t>Haute Cour constitutionnelle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HCR</w:t>
            </w:r>
          </w:p>
        </w:tc>
        <w:tc>
          <w:tcPr>
            <w:tcW w:w="7236" w:type="dxa"/>
            <w:tcBorders>
              <w:top w:val="nil"/>
              <w:left w:val="nil"/>
              <w:bottom w:val="nil"/>
              <w:right w:val="nil"/>
            </w:tcBorders>
          </w:tcPr>
          <w:p w:rsidR="00000000" w:rsidRDefault="00000000">
            <w:r>
              <w:t>Haut</w:t>
            </w:r>
            <w:r>
              <w:noBreakHyphen/>
              <w:t>Commissariat pour les réfugiés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HIAKA</w:t>
            </w:r>
          </w:p>
        </w:tc>
        <w:tc>
          <w:tcPr>
            <w:tcW w:w="7236" w:type="dxa"/>
            <w:tcBorders>
              <w:top w:val="nil"/>
              <w:left w:val="nil"/>
              <w:bottom w:val="nil"/>
              <w:right w:val="nil"/>
            </w:tcBorders>
          </w:tcPr>
          <w:p w:rsidR="00000000" w:rsidRDefault="00000000">
            <w:r>
              <w:rPr>
                <w:lang w:val="es-ES_tradnl"/>
              </w:rPr>
              <w:t xml:space="preserve">Hetsika iadiana amin’ny kitrotro sy ny aretina mpahazo </w:t>
            </w:r>
            <w:r>
              <w:t>ny ankizy (Opération vaccination contre la rougeole et les maladies infantiles)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HTA</w:t>
            </w:r>
          </w:p>
        </w:tc>
        <w:tc>
          <w:tcPr>
            <w:tcW w:w="7236" w:type="dxa"/>
            <w:tcBorders>
              <w:top w:val="nil"/>
              <w:left w:val="nil"/>
              <w:bottom w:val="nil"/>
              <w:right w:val="nil"/>
            </w:tcBorders>
          </w:tcPr>
          <w:p w:rsidR="00000000" w:rsidRDefault="00000000">
            <w:pPr>
              <w:rPr>
                <w:b/>
                <w:bCs/>
                <w:u w:val="single"/>
              </w:rPr>
            </w:pPr>
            <w:r>
              <w:t>Hypertension artérielle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IDH</w:t>
            </w:r>
          </w:p>
        </w:tc>
        <w:tc>
          <w:tcPr>
            <w:tcW w:w="7236" w:type="dxa"/>
            <w:tcBorders>
              <w:top w:val="nil"/>
              <w:left w:val="nil"/>
              <w:bottom w:val="nil"/>
              <w:right w:val="nil"/>
            </w:tcBorders>
          </w:tcPr>
          <w:p w:rsidR="00000000" w:rsidRDefault="00000000">
            <w:r>
              <w:t>Indicateur de développement humain</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IEC</w:t>
            </w:r>
          </w:p>
        </w:tc>
        <w:tc>
          <w:tcPr>
            <w:tcW w:w="7236" w:type="dxa"/>
            <w:tcBorders>
              <w:top w:val="nil"/>
              <w:left w:val="nil"/>
              <w:bottom w:val="nil"/>
              <w:right w:val="nil"/>
            </w:tcBorders>
          </w:tcPr>
          <w:p w:rsidR="00000000" w:rsidRDefault="00000000">
            <w:r>
              <w:t>Information éducation – communication</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INSTAT</w:t>
            </w:r>
          </w:p>
        </w:tc>
        <w:tc>
          <w:tcPr>
            <w:tcW w:w="7236" w:type="dxa"/>
            <w:tcBorders>
              <w:top w:val="nil"/>
              <w:left w:val="nil"/>
              <w:bottom w:val="nil"/>
              <w:right w:val="nil"/>
            </w:tcBorders>
          </w:tcPr>
          <w:p w:rsidR="00000000" w:rsidRDefault="00000000">
            <w:pPr>
              <w:rPr>
                <w:b/>
                <w:bCs/>
                <w:u w:val="single"/>
              </w:rPr>
            </w:pPr>
            <w:r>
              <w:t>Institut national de la statistique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IPPTE</w:t>
            </w:r>
          </w:p>
        </w:tc>
        <w:tc>
          <w:tcPr>
            <w:tcW w:w="7236" w:type="dxa"/>
            <w:tcBorders>
              <w:top w:val="nil"/>
              <w:left w:val="nil"/>
              <w:bottom w:val="nil"/>
              <w:right w:val="nil"/>
            </w:tcBorders>
          </w:tcPr>
          <w:p w:rsidR="00000000" w:rsidRDefault="00000000">
            <w:r>
              <w:t>Initiative en faveur des pays pauvres très endettés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IRA</w:t>
            </w:r>
          </w:p>
        </w:tc>
        <w:tc>
          <w:tcPr>
            <w:tcW w:w="7236" w:type="dxa"/>
            <w:tcBorders>
              <w:top w:val="nil"/>
              <w:left w:val="nil"/>
              <w:bottom w:val="nil"/>
              <w:right w:val="nil"/>
            </w:tcBorders>
          </w:tcPr>
          <w:p w:rsidR="00000000" w:rsidRDefault="00000000">
            <w:pPr>
              <w:rPr>
                <w:b/>
                <w:bCs/>
                <w:u w:val="single"/>
              </w:rPr>
            </w:pPr>
            <w:r>
              <w:t>Infection respiratoire aiguë</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ISBL</w:t>
            </w:r>
          </w:p>
        </w:tc>
        <w:tc>
          <w:tcPr>
            <w:tcW w:w="7236" w:type="dxa"/>
            <w:tcBorders>
              <w:top w:val="nil"/>
              <w:left w:val="nil"/>
              <w:bottom w:val="nil"/>
              <w:right w:val="nil"/>
            </w:tcBorders>
          </w:tcPr>
          <w:p w:rsidR="00000000" w:rsidRDefault="00000000">
            <w:r>
              <w:t>Institution sans but lucratif</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ISF</w:t>
            </w:r>
          </w:p>
        </w:tc>
        <w:tc>
          <w:tcPr>
            <w:tcW w:w="7236" w:type="dxa"/>
            <w:tcBorders>
              <w:top w:val="nil"/>
              <w:left w:val="nil"/>
              <w:bottom w:val="nil"/>
              <w:right w:val="nil"/>
            </w:tcBorders>
          </w:tcPr>
          <w:p w:rsidR="00000000" w:rsidRDefault="00000000">
            <w:r>
              <w:t>Indice synthétique de fécondité</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u w:val="single"/>
              </w:rPr>
            </w:pPr>
            <w:r>
              <w:rPr>
                <w:b/>
                <w:bCs/>
              </w:rPr>
              <w:t>IST</w:t>
            </w:r>
          </w:p>
        </w:tc>
        <w:tc>
          <w:tcPr>
            <w:tcW w:w="7236" w:type="dxa"/>
            <w:tcBorders>
              <w:top w:val="nil"/>
              <w:left w:val="nil"/>
              <w:bottom w:val="nil"/>
              <w:right w:val="nil"/>
            </w:tcBorders>
          </w:tcPr>
          <w:p w:rsidR="00000000" w:rsidRDefault="00000000">
            <w:pPr>
              <w:rPr>
                <w:b/>
                <w:bCs/>
                <w:u w:val="single"/>
              </w:rPr>
            </w:pPr>
            <w:r>
              <w:t>Infection sexuellement transmissible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IST</w:t>
            </w:r>
          </w:p>
        </w:tc>
        <w:tc>
          <w:tcPr>
            <w:tcW w:w="7236" w:type="dxa"/>
            <w:tcBorders>
              <w:top w:val="nil"/>
              <w:left w:val="nil"/>
              <w:bottom w:val="nil"/>
              <w:right w:val="nil"/>
            </w:tcBorders>
          </w:tcPr>
          <w:p w:rsidR="00000000" w:rsidRDefault="00000000">
            <w:r>
              <w:t>Institut supérieur de technologies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LNR</w:t>
            </w:r>
          </w:p>
        </w:tc>
        <w:tc>
          <w:tcPr>
            <w:tcW w:w="7236" w:type="dxa"/>
            <w:tcBorders>
              <w:top w:val="nil"/>
              <w:left w:val="nil"/>
              <w:bottom w:val="nil"/>
              <w:right w:val="nil"/>
            </w:tcBorders>
          </w:tcPr>
          <w:p w:rsidR="00000000" w:rsidRDefault="00000000">
            <w:r>
              <w:t>Laboratoire national de référence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LTP</w:t>
            </w:r>
          </w:p>
        </w:tc>
        <w:tc>
          <w:tcPr>
            <w:tcW w:w="7236" w:type="dxa"/>
            <w:tcBorders>
              <w:top w:val="nil"/>
              <w:left w:val="nil"/>
              <w:bottom w:val="nil"/>
              <w:right w:val="nil"/>
            </w:tcBorders>
          </w:tcPr>
          <w:p w:rsidR="00000000" w:rsidRDefault="00000000">
            <w:r>
              <w:t>Lycée technique et professionnel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MENRS</w:t>
            </w:r>
          </w:p>
        </w:tc>
        <w:tc>
          <w:tcPr>
            <w:tcW w:w="7236" w:type="dxa"/>
            <w:tcBorders>
              <w:top w:val="nil"/>
              <w:left w:val="nil"/>
              <w:bottom w:val="nil"/>
              <w:right w:val="nil"/>
            </w:tcBorders>
          </w:tcPr>
          <w:p w:rsidR="00000000" w:rsidRDefault="00000000">
            <w:r>
              <w:t>Ministère de l’éducation nationale et de la recherche scientifique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lang w:val="en-GB"/>
              </w:rPr>
            </w:pPr>
            <w:r>
              <w:rPr>
                <w:b/>
                <w:bCs/>
                <w:lang w:val="en-GB"/>
              </w:rPr>
              <w:t>MICS</w:t>
            </w:r>
          </w:p>
        </w:tc>
        <w:tc>
          <w:tcPr>
            <w:tcW w:w="7236" w:type="dxa"/>
            <w:tcBorders>
              <w:top w:val="nil"/>
              <w:left w:val="nil"/>
              <w:bottom w:val="nil"/>
              <w:right w:val="nil"/>
            </w:tcBorders>
          </w:tcPr>
          <w:p w:rsidR="00000000" w:rsidRDefault="00000000">
            <w:pPr>
              <w:rPr>
                <w:lang w:val="en-GB"/>
              </w:rPr>
            </w:pPr>
            <w:r>
              <w:rPr>
                <w:lang w:val="en-GB"/>
              </w:rPr>
              <w:t>Multiple Indicator Cluster Survey</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MINESEB</w:t>
            </w:r>
          </w:p>
        </w:tc>
        <w:tc>
          <w:tcPr>
            <w:tcW w:w="7236" w:type="dxa"/>
            <w:tcBorders>
              <w:top w:val="nil"/>
              <w:left w:val="nil"/>
              <w:bottom w:val="nil"/>
              <w:right w:val="nil"/>
            </w:tcBorders>
          </w:tcPr>
          <w:p w:rsidR="00000000" w:rsidRDefault="00000000">
            <w:r>
              <w:t>Ministère de l’enseignement secondaire et de l’éducation de base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MINSAN</w:t>
            </w:r>
          </w:p>
        </w:tc>
        <w:tc>
          <w:tcPr>
            <w:tcW w:w="7236" w:type="dxa"/>
            <w:tcBorders>
              <w:top w:val="nil"/>
              <w:left w:val="nil"/>
              <w:bottom w:val="nil"/>
              <w:right w:val="nil"/>
            </w:tcBorders>
          </w:tcPr>
          <w:p w:rsidR="00000000" w:rsidRDefault="00000000">
            <w:r>
              <w:t>Ministère de la santé</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MST</w:t>
            </w:r>
          </w:p>
        </w:tc>
        <w:tc>
          <w:tcPr>
            <w:tcW w:w="7236" w:type="dxa"/>
            <w:tcBorders>
              <w:top w:val="nil"/>
              <w:left w:val="nil"/>
              <w:bottom w:val="nil"/>
              <w:right w:val="nil"/>
            </w:tcBorders>
          </w:tcPr>
          <w:p w:rsidR="00000000" w:rsidRDefault="00000000">
            <w:r>
              <w:t>Maladies sexuellement transmissibles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MTI</w:t>
            </w:r>
          </w:p>
        </w:tc>
        <w:tc>
          <w:tcPr>
            <w:tcW w:w="7236" w:type="dxa"/>
            <w:tcBorders>
              <w:top w:val="nil"/>
              <w:left w:val="nil"/>
              <w:bottom w:val="nil"/>
              <w:right w:val="nil"/>
            </w:tcBorders>
          </w:tcPr>
          <w:p w:rsidR="00000000" w:rsidRDefault="00000000">
            <w:pPr>
              <w:rPr>
                <w:b/>
                <w:bCs/>
                <w:u w:val="single"/>
              </w:rPr>
            </w:pPr>
            <w:r>
              <w:t>Moyen de transport intermédiaire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MTM</w:t>
            </w:r>
          </w:p>
        </w:tc>
        <w:tc>
          <w:tcPr>
            <w:tcW w:w="7236" w:type="dxa"/>
            <w:tcBorders>
              <w:top w:val="nil"/>
              <w:left w:val="nil"/>
              <w:bottom w:val="nil"/>
              <w:right w:val="nil"/>
            </w:tcBorders>
          </w:tcPr>
          <w:p w:rsidR="00000000" w:rsidRDefault="00000000">
            <w:r>
              <w:t>Ministère des transports et de la météorologie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NC</w:t>
            </w:r>
          </w:p>
        </w:tc>
        <w:tc>
          <w:tcPr>
            <w:tcW w:w="7236" w:type="dxa"/>
            <w:tcBorders>
              <w:top w:val="nil"/>
              <w:left w:val="nil"/>
              <w:bottom w:val="nil"/>
              <w:right w:val="nil"/>
            </w:tcBorders>
          </w:tcPr>
          <w:p w:rsidR="00000000" w:rsidRDefault="00000000">
            <w:r>
              <w:t>Non classées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ND</w:t>
            </w:r>
          </w:p>
        </w:tc>
        <w:tc>
          <w:tcPr>
            <w:tcW w:w="7236" w:type="dxa"/>
            <w:tcBorders>
              <w:top w:val="nil"/>
              <w:left w:val="nil"/>
              <w:bottom w:val="nil"/>
              <w:right w:val="nil"/>
            </w:tcBorders>
          </w:tcPr>
          <w:p w:rsidR="00000000" w:rsidRDefault="00000000">
            <w:pPr>
              <w:rPr>
                <w:b/>
                <w:bCs/>
                <w:u w:val="single"/>
              </w:rPr>
            </w:pPr>
            <w:r>
              <w:t>Non déterminé</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NTIC</w:t>
            </w:r>
          </w:p>
        </w:tc>
        <w:tc>
          <w:tcPr>
            <w:tcW w:w="7236" w:type="dxa"/>
            <w:tcBorders>
              <w:top w:val="nil"/>
              <w:left w:val="nil"/>
              <w:bottom w:val="nil"/>
              <w:right w:val="nil"/>
            </w:tcBorders>
          </w:tcPr>
          <w:p w:rsidR="00000000" w:rsidRDefault="00000000">
            <w:r>
              <w:t>Nouvelle technologie de l’information et de la communication</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OCDE</w:t>
            </w:r>
          </w:p>
        </w:tc>
        <w:tc>
          <w:tcPr>
            <w:tcW w:w="7236" w:type="dxa"/>
            <w:tcBorders>
              <w:top w:val="nil"/>
              <w:left w:val="nil"/>
              <w:bottom w:val="nil"/>
              <w:right w:val="nil"/>
            </w:tcBorders>
          </w:tcPr>
          <w:p w:rsidR="00000000" w:rsidRDefault="00000000">
            <w:r>
              <w:t>Organisation pour la coopération et le développement économique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OEMC</w:t>
            </w:r>
          </w:p>
        </w:tc>
        <w:tc>
          <w:tcPr>
            <w:tcW w:w="7236" w:type="dxa"/>
            <w:tcBorders>
              <w:top w:val="nil"/>
              <w:left w:val="nil"/>
              <w:bottom w:val="nil"/>
              <w:right w:val="nil"/>
            </w:tcBorders>
          </w:tcPr>
          <w:p w:rsidR="00000000" w:rsidRDefault="00000000">
            <w:r>
              <w:t>Office de l’éducation de masse et du civisme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OIT</w:t>
            </w:r>
          </w:p>
        </w:tc>
        <w:tc>
          <w:tcPr>
            <w:tcW w:w="7236" w:type="dxa"/>
            <w:tcBorders>
              <w:top w:val="nil"/>
              <w:left w:val="nil"/>
              <w:bottom w:val="nil"/>
              <w:right w:val="nil"/>
            </w:tcBorders>
          </w:tcPr>
          <w:p w:rsidR="00000000" w:rsidRDefault="00000000">
            <w:pPr>
              <w:rPr>
                <w:b/>
                <w:bCs/>
                <w:u w:val="single"/>
              </w:rPr>
            </w:pPr>
            <w:r>
              <w:t>Organisation internationale du Travail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OMERT</w:t>
            </w:r>
          </w:p>
        </w:tc>
        <w:tc>
          <w:tcPr>
            <w:tcW w:w="7236" w:type="dxa"/>
            <w:tcBorders>
              <w:top w:val="nil"/>
              <w:left w:val="nil"/>
              <w:bottom w:val="nil"/>
              <w:right w:val="nil"/>
            </w:tcBorders>
          </w:tcPr>
          <w:p w:rsidR="00000000" w:rsidRDefault="00000000">
            <w:r>
              <w:t>Office malagasy d’études et de régulation de la télécommunication</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OMS</w:t>
            </w:r>
          </w:p>
        </w:tc>
        <w:tc>
          <w:tcPr>
            <w:tcW w:w="7236" w:type="dxa"/>
            <w:tcBorders>
              <w:top w:val="nil"/>
              <w:left w:val="nil"/>
              <w:bottom w:val="nil"/>
              <w:right w:val="nil"/>
            </w:tcBorders>
          </w:tcPr>
          <w:p w:rsidR="00000000" w:rsidRDefault="00000000">
            <w:pPr>
              <w:rPr>
                <w:b/>
                <w:bCs/>
                <w:u w:val="single"/>
              </w:rPr>
            </w:pPr>
            <w:r>
              <w:t>Organisation mondiale de la santé</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ONC</w:t>
            </w:r>
          </w:p>
        </w:tc>
        <w:tc>
          <w:tcPr>
            <w:tcW w:w="7236" w:type="dxa"/>
            <w:tcBorders>
              <w:top w:val="nil"/>
              <w:left w:val="nil"/>
              <w:bottom w:val="nil"/>
              <w:right w:val="nil"/>
            </w:tcBorders>
          </w:tcPr>
          <w:p w:rsidR="00000000" w:rsidRDefault="00000000">
            <w:r>
              <w:t>Office national de la culture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ONEP</w:t>
            </w:r>
          </w:p>
        </w:tc>
        <w:tc>
          <w:tcPr>
            <w:tcW w:w="7236" w:type="dxa"/>
            <w:tcBorders>
              <w:top w:val="nil"/>
              <w:left w:val="nil"/>
              <w:bottom w:val="nil"/>
              <w:right w:val="nil"/>
            </w:tcBorders>
          </w:tcPr>
          <w:p w:rsidR="00000000" w:rsidRDefault="00000000">
            <w:r>
              <w:t>Office national de l’enseignement privé</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ONG</w:t>
            </w:r>
          </w:p>
        </w:tc>
        <w:tc>
          <w:tcPr>
            <w:tcW w:w="7236" w:type="dxa"/>
            <w:tcBorders>
              <w:top w:val="nil"/>
              <w:left w:val="nil"/>
              <w:bottom w:val="nil"/>
              <w:right w:val="nil"/>
            </w:tcBorders>
          </w:tcPr>
          <w:p w:rsidR="00000000" w:rsidRDefault="00000000">
            <w:r>
              <w:t>Organisation non gouvernementale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OPACO</w:t>
            </w:r>
          </w:p>
        </w:tc>
        <w:tc>
          <w:tcPr>
            <w:tcW w:w="7236" w:type="dxa"/>
            <w:tcBorders>
              <w:top w:val="nil"/>
              <w:left w:val="nil"/>
              <w:bottom w:val="nil"/>
              <w:right w:val="nil"/>
            </w:tcBorders>
          </w:tcPr>
          <w:p w:rsidR="00000000" w:rsidRDefault="00000000">
            <w:r>
              <w:t>Organisation patronale des Comores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OUA</w:t>
            </w:r>
          </w:p>
        </w:tc>
        <w:tc>
          <w:tcPr>
            <w:tcW w:w="7236" w:type="dxa"/>
            <w:tcBorders>
              <w:top w:val="nil"/>
              <w:left w:val="nil"/>
              <w:bottom w:val="nil"/>
              <w:right w:val="nil"/>
            </w:tcBorders>
          </w:tcPr>
          <w:p w:rsidR="00000000" w:rsidRDefault="00000000">
            <w:r>
              <w:t>Organisation de l’Unité africaine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PAES</w:t>
            </w:r>
          </w:p>
        </w:tc>
        <w:tc>
          <w:tcPr>
            <w:tcW w:w="7236" w:type="dxa"/>
            <w:tcBorders>
              <w:top w:val="nil"/>
              <w:left w:val="nil"/>
              <w:bottom w:val="nil"/>
              <w:right w:val="nil"/>
            </w:tcBorders>
          </w:tcPr>
          <w:p w:rsidR="00000000" w:rsidRDefault="00000000">
            <w:r>
              <w:t>Fédération des employeurs des Seychelles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PAM </w:t>
            </w:r>
          </w:p>
        </w:tc>
        <w:tc>
          <w:tcPr>
            <w:tcW w:w="7236" w:type="dxa"/>
            <w:tcBorders>
              <w:top w:val="nil"/>
              <w:left w:val="nil"/>
              <w:bottom w:val="nil"/>
              <w:right w:val="nil"/>
            </w:tcBorders>
          </w:tcPr>
          <w:p w:rsidR="00000000" w:rsidRDefault="00000000">
            <w:pPr>
              <w:rPr>
                <w:b/>
                <w:bCs/>
                <w:u w:val="single"/>
              </w:rPr>
            </w:pPr>
            <w:r>
              <w:t>Programme alimentaire mondial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PANAGED</w:t>
            </w:r>
          </w:p>
        </w:tc>
        <w:tc>
          <w:tcPr>
            <w:tcW w:w="7236" w:type="dxa"/>
            <w:tcBorders>
              <w:top w:val="nil"/>
              <w:left w:val="nil"/>
              <w:bottom w:val="nil"/>
              <w:right w:val="nil"/>
            </w:tcBorders>
          </w:tcPr>
          <w:p w:rsidR="00000000" w:rsidRDefault="00000000">
            <w:r>
              <w:t>Programme national genre et développement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PAS</w:t>
            </w:r>
          </w:p>
        </w:tc>
        <w:tc>
          <w:tcPr>
            <w:tcW w:w="7236" w:type="dxa"/>
            <w:tcBorders>
              <w:top w:val="nil"/>
              <w:left w:val="nil"/>
              <w:bottom w:val="nil"/>
              <w:right w:val="nil"/>
            </w:tcBorders>
          </w:tcPr>
          <w:p w:rsidR="00000000" w:rsidRDefault="00000000">
            <w:r>
              <w:t>Programme d’ajustement structurel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PDP</w:t>
            </w:r>
          </w:p>
        </w:tc>
        <w:tc>
          <w:tcPr>
            <w:tcW w:w="7236" w:type="dxa"/>
            <w:tcBorders>
              <w:top w:val="nil"/>
              <w:left w:val="nil"/>
              <w:bottom w:val="nil"/>
              <w:right w:val="nil"/>
            </w:tcBorders>
          </w:tcPr>
          <w:p w:rsidR="00000000" w:rsidRDefault="00000000">
            <w:r>
              <w:t>Personnes déplacées dans leur propre pays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PFU</w:t>
            </w:r>
          </w:p>
        </w:tc>
        <w:tc>
          <w:tcPr>
            <w:tcW w:w="7236" w:type="dxa"/>
            <w:tcBorders>
              <w:top w:val="nil"/>
              <w:left w:val="nil"/>
              <w:bottom w:val="nil"/>
              <w:right w:val="nil"/>
            </w:tcBorders>
          </w:tcPr>
          <w:p w:rsidR="00000000" w:rsidRDefault="00000000">
            <w:r>
              <w:t>Participation financière des usagers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PGDI</w:t>
            </w:r>
          </w:p>
        </w:tc>
        <w:tc>
          <w:tcPr>
            <w:tcW w:w="7236" w:type="dxa"/>
            <w:tcBorders>
              <w:top w:val="nil"/>
              <w:left w:val="nil"/>
              <w:bottom w:val="nil"/>
              <w:right w:val="nil"/>
            </w:tcBorders>
          </w:tcPr>
          <w:p w:rsidR="00000000" w:rsidRDefault="00000000">
            <w:r>
              <w:t>Programme de bonne gouvernance et de développement</w:t>
            </w:r>
            <w:r>
              <w:rPr>
                <w:lang w:val="es-ES_tradnl"/>
              </w:rPr>
              <w:t xml:space="preserve"> </w:t>
            </w:r>
            <w:r>
              <w:t>institutionnel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PIB</w:t>
            </w:r>
          </w:p>
        </w:tc>
        <w:tc>
          <w:tcPr>
            <w:tcW w:w="7236" w:type="dxa"/>
            <w:tcBorders>
              <w:top w:val="nil"/>
              <w:left w:val="nil"/>
              <w:bottom w:val="nil"/>
              <w:right w:val="nil"/>
            </w:tcBorders>
          </w:tcPr>
          <w:p w:rsidR="00000000" w:rsidRDefault="00000000">
            <w:r>
              <w:t>Produit intérieur brut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PNLS</w:t>
            </w:r>
          </w:p>
        </w:tc>
        <w:tc>
          <w:tcPr>
            <w:tcW w:w="7236" w:type="dxa"/>
            <w:tcBorders>
              <w:top w:val="nil"/>
              <w:left w:val="nil"/>
              <w:bottom w:val="nil"/>
              <w:right w:val="nil"/>
            </w:tcBorders>
          </w:tcPr>
          <w:p w:rsidR="00000000" w:rsidRDefault="00000000">
            <w:r>
              <w:t>Programme national de lutte contre le sida</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PNUD</w:t>
            </w:r>
          </w:p>
        </w:tc>
        <w:tc>
          <w:tcPr>
            <w:tcW w:w="7236" w:type="dxa"/>
            <w:tcBorders>
              <w:top w:val="nil"/>
              <w:left w:val="nil"/>
              <w:bottom w:val="nil"/>
              <w:right w:val="nil"/>
            </w:tcBorders>
          </w:tcPr>
          <w:p w:rsidR="00000000" w:rsidRDefault="00000000">
            <w:r>
              <w:t>Programme des Nations Unies pour le développement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PPA</w:t>
            </w:r>
          </w:p>
        </w:tc>
        <w:tc>
          <w:tcPr>
            <w:tcW w:w="7236" w:type="dxa"/>
            <w:tcBorders>
              <w:top w:val="nil"/>
              <w:left w:val="nil"/>
              <w:bottom w:val="nil"/>
              <w:right w:val="nil"/>
            </w:tcBorders>
          </w:tcPr>
          <w:p w:rsidR="00000000" w:rsidRDefault="00000000">
            <w:r>
              <w:t>Parité des pouvoirs d’achat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PPDES</w:t>
            </w:r>
          </w:p>
        </w:tc>
        <w:tc>
          <w:tcPr>
            <w:tcW w:w="7236" w:type="dxa"/>
            <w:tcBorders>
              <w:top w:val="nil"/>
              <w:left w:val="nil"/>
              <w:bottom w:val="nil"/>
              <w:right w:val="nil"/>
            </w:tcBorders>
          </w:tcPr>
          <w:p w:rsidR="00000000" w:rsidRDefault="00000000">
            <w:r>
              <w:t>Partenariat pour le développement des établissements scolaires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PPN</w:t>
            </w:r>
          </w:p>
        </w:tc>
        <w:tc>
          <w:tcPr>
            <w:tcW w:w="7236" w:type="dxa"/>
            <w:tcBorders>
              <w:top w:val="nil"/>
              <w:left w:val="nil"/>
              <w:bottom w:val="nil"/>
              <w:right w:val="nil"/>
            </w:tcBorders>
          </w:tcPr>
          <w:p w:rsidR="00000000" w:rsidRDefault="00000000">
            <w:r>
              <w:t xml:space="preserve">Produit de première nécessité </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color w:val="000000"/>
              </w:rPr>
            </w:pPr>
            <w:r>
              <w:rPr>
                <w:b/>
                <w:bCs/>
                <w:color w:val="000000"/>
              </w:rPr>
              <w:t>PRODIAF</w:t>
            </w:r>
          </w:p>
        </w:tc>
        <w:tc>
          <w:tcPr>
            <w:tcW w:w="7236" w:type="dxa"/>
            <w:tcBorders>
              <w:top w:val="nil"/>
              <w:left w:val="nil"/>
              <w:bottom w:val="nil"/>
              <w:right w:val="nil"/>
            </w:tcBorders>
          </w:tcPr>
          <w:p w:rsidR="00000000" w:rsidRDefault="00000000">
            <w:r>
              <w:t>Promotion du dialogue social en Afrique francophone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PVVIH</w:t>
            </w:r>
          </w:p>
        </w:tc>
        <w:tc>
          <w:tcPr>
            <w:tcW w:w="7236" w:type="dxa"/>
            <w:tcBorders>
              <w:top w:val="nil"/>
              <w:left w:val="nil"/>
              <w:bottom w:val="nil"/>
              <w:right w:val="nil"/>
            </w:tcBorders>
          </w:tcPr>
          <w:p w:rsidR="00000000" w:rsidRDefault="00000000">
            <w:pPr>
              <w:rPr>
                <w:b/>
                <w:bCs/>
                <w:u w:val="single"/>
              </w:rPr>
            </w:pPr>
            <w:r>
              <w:t>Personne vivant avec le VIH</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RGPH</w:t>
            </w:r>
          </w:p>
        </w:tc>
        <w:tc>
          <w:tcPr>
            <w:tcW w:w="7236" w:type="dxa"/>
            <w:tcBorders>
              <w:top w:val="nil"/>
              <w:left w:val="nil"/>
              <w:bottom w:val="nil"/>
              <w:right w:val="nil"/>
            </w:tcBorders>
          </w:tcPr>
          <w:p w:rsidR="00000000" w:rsidRDefault="00000000">
            <w:r>
              <w:t>Recensement général de la population et de l’habitat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RNCFM</w:t>
            </w:r>
          </w:p>
        </w:tc>
        <w:tc>
          <w:tcPr>
            <w:tcW w:w="7236" w:type="dxa"/>
            <w:tcBorders>
              <w:top w:val="nil"/>
              <w:left w:val="nil"/>
              <w:bottom w:val="nil"/>
              <w:right w:val="nil"/>
            </w:tcBorders>
          </w:tcPr>
          <w:p w:rsidR="00000000" w:rsidRDefault="00000000">
            <w:r>
              <w:t>Réseau national des Chemins de fer malagasy</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RNDH</w:t>
            </w:r>
          </w:p>
        </w:tc>
        <w:tc>
          <w:tcPr>
            <w:tcW w:w="7236" w:type="dxa"/>
            <w:tcBorders>
              <w:top w:val="nil"/>
              <w:left w:val="nil"/>
              <w:bottom w:val="nil"/>
              <w:right w:val="nil"/>
            </w:tcBorders>
          </w:tcPr>
          <w:p w:rsidR="00000000" w:rsidRDefault="00000000">
            <w:r>
              <w:t>Rapport national sur le développement humain</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RNP</w:t>
            </w:r>
          </w:p>
        </w:tc>
        <w:tc>
          <w:tcPr>
            <w:tcW w:w="7236" w:type="dxa"/>
            <w:tcBorders>
              <w:top w:val="nil"/>
              <w:left w:val="nil"/>
              <w:bottom w:val="nil"/>
              <w:right w:val="nil"/>
            </w:tcBorders>
          </w:tcPr>
          <w:p w:rsidR="00000000" w:rsidRDefault="00000000">
            <w:r>
              <w:t>Route nationale primaire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RNS</w:t>
            </w:r>
          </w:p>
        </w:tc>
        <w:tc>
          <w:tcPr>
            <w:tcW w:w="7236" w:type="dxa"/>
            <w:tcBorders>
              <w:top w:val="nil"/>
              <w:left w:val="nil"/>
              <w:bottom w:val="nil"/>
              <w:right w:val="nil"/>
            </w:tcBorders>
          </w:tcPr>
          <w:p w:rsidR="00000000" w:rsidRDefault="00000000">
            <w:r>
              <w:t>Route nationale secondaire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RNT</w:t>
            </w:r>
          </w:p>
        </w:tc>
        <w:tc>
          <w:tcPr>
            <w:tcW w:w="7236" w:type="dxa"/>
            <w:tcBorders>
              <w:top w:val="nil"/>
              <w:left w:val="nil"/>
              <w:bottom w:val="nil"/>
              <w:right w:val="nil"/>
            </w:tcBorders>
          </w:tcPr>
          <w:p w:rsidR="00000000" w:rsidRDefault="00000000">
            <w:r>
              <w:t>Route nationale temporaire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RIP</w:t>
            </w:r>
          </w:p>
        </w:tc>
        <w:tc>
          <w:tcPr>
            <w:tcW w:w="7236" w:type="dxa"/>
            <w:tcBorders>
              <w:top w:val="nil"/>
              <w:left w:val="nil"/>
              <w:bottom w:val="nil"/>
              <w:right w:val="nil"/>
            </w:tcBorders>
          </w:tcPr>
          <w:p w:rsidR="00000000" w:rsidRDefault="00000000">
            <w:r>
              <w:t>Route d’intérêt provincial</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SECES</w:t>
            </w:r>
          </w:p>
        </w:tc>
        <w:tc>
          <w:tcPr>
            <w:tcW w:w="7236" w:type="dxa"/>
            <w:tcBorders>
              <w:top w:val="nil"/>
              <w:left w:val="nil"/>
              <w:bottom w:val="nil"/>
              <w:right w:val="nil"/>
            </w:tcBorders>
          </w:tcPr>
          <w:p w:rsidR="00000000" w:rsidRDefault="00000000">
            <w:r>
              <w:t>Syndicat des enseignants chercheurs des universités de Madagascar</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SMIG</w:t>
            </w:r>
          </w:p>
        </w:tc>
        <w:tc>
          <w:tcPr>
            <w:tcW w:w="7236" w:type="dxa"/>
            <w:tcBorders>
              <w:top w:val="nil"/>
              <w:left w:val="nil"/>
              <w:bottom w:val="nil"/>
              <w:right w:val="nil"/>
            </w:tcBorders>
          </w:tcPr>
          <w:p w:rsidR="00000000" w:rsidRDefault="00000000">
            <w:r>
              <w:t>Salaire minimum interprofessionnel garanti</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SNHFA</w:t>
            </w:r>
          </w:p>
        </w:tc>
        <w:tc>
          <w:tcPr>
            <w:tcW w:w="7236" w:type="dxa"/>
            <w:tcBorders>
              <w:top w:val="nil"/>
              <w:left w:val="nil"/>
              <w:bottom w:val="nil"/>
              <w:right w:val="nil"/>
            </w:tcBorders>
          </w:tcPr>
          <w:p w:rsidR="00000000" w:rsidRDefault="00000000">
            <w:r>
              <w:t>Service national hors forces armées</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SSD</w:t>
            </w:r>
          </w:p>
        </w:tc>
        <w:tc>
          <w:tcPr>
            <w:tcW w:w="7236" w:type="dxa"/>
            <w:tcBorders>
              <w:top w:val="nil"/>
              <w:left w:val="nil"/>
              <w:bottom w:val="nil"/>
              <w:right w:val="nil"/>
            </w:tcBorders>
          </w:tcPr>
          <w:p w:rsidR="00000000" w:rsidRDefault="00000000">
            <w:r>
              <w:t>Service de santé de district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p>
        </w:tc>
        <w:tc>
          <w:tcPr>
            <w:tcW w:w="7236" w:type="dxa"/>
            <w:tcBorders>
              <w:top w:val="nil"/>
              <w:left w:val="nil"/>
              <w:bottom w:val="nil"/>
              <w:right w:val="nil"/>
            </w:tcBorders>
          </w:tcPr>
          <w:p w:rsidR="00000000" w:rsidRDefault="00000000"/>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UE</w:t>
            </w:r>
          </w:p>
        </w:tc>
        <w:tc>
          <w:tcPr>
            <w:tcW w:w="7236" w:type="dxa"/>
            <w:tcBorders>
              <w:top w:val="nil"/>
              <w:left w:val="nil"/>
              <w:bottom w:val="nil"/>
              <w:right w:val="nil"/>
            </w:tcBorders>
          </w:tcPr>
          <w:p w:rsidR="00000000" w:rsidRDefault="00000000">
            <w:r>
              <w:t>Union européenne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UNICEF</w:t>
            </w:r>
          </w:p>
        </w:tc>
        <w:tc>
          <w:tcPr>
            <w:tcW w:w="7236" w:type="dxa"/>
            <w:tcBorders>
              <w:top w:val="nil"/>
              <w:left w:val="nil"/>
              <w:bottom w:val="nil"/>
              <w:right w:val="nil"/>
            </w:tcBorders>
          </w:tcPr>
          <w:p w:rsidR="00000000" w:rsidRDefault="00000000">
            <w:r>
              <w:t>Fonds des Nations Unies pour l’enfance</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lang w:val="en-GB"/>
              </w:rPr>
            </w:pPr>
            <w:r>
              <w:rPr>
                <w:b/>
                <w:bCs/>
                <w:lang w:val="en-GB"/>
              </w:rPr>
              <w:t>USAID</w:t>
            </w:r>
          </w:p>
        </w:tc>
        <w:tc>
          <w:tcPr>
            <w:tcW w:w="7236" w:type="dxa"/>
            <w:tcBorders>
              <w:top w:val="nil"/>
              <w:left w:val="nil"/>
              <w:bottom w:val="nil"/>
              <w:right w:val="nil"/>
            </w:tcBorders>
          </w:tcPr>
          <w:p w:rsidR="00000000" w:rsidRDefault="00000000">
            <w:pPr>
              <w:rPr>
                <w:lang w:val="en-GB"/>
              </w:rPr>
            </w:pPr>
            <w:r>
              <w:rPr>
                <w:lang w:val="en-GB"/>
              </w:rPr>
              <w:t>United States Agency for International Development</w:t>
            </w: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lang w:val="en-GB"/>
              </w:rPr>
            </w:pPr>
          </w:p>
        </w:tc>
        <w:tc>
          <w:tcPr>
            <w:tcW w:w="7236" w:type="dxa"/>
            <w:tcBorders>
              <w:top w:val="nil"/>
              <w:left w:val="nil"/>
              <w:bottom w:val="nil"/>
              <w:right w:val="nil"/>
            </w:tcBorders>
          </w:tcPr>
          <w:p w:rsidR="00000000" w:rsidRDefault="00000000">
            <w:pPr>
              <w:rPr>
                <w:lang w:val="en-GB"/>
              </w:rPr>
            </w:pPr>
          </w:p>
        </w:tc>
      </w:tr>
      <w:tr w:rsidR="00000000">
        <w:tblPrEx>
          <w:tblCellMar>
            <w:top w:w="0" w:type="dxa"/>
            <w:bottom w:w="0" w:type="dxa"/>
          </w:tblCellMar>
        </w:tblPrEx>
        <w:tc>
          <w:tcPr>
            <w:tcW w:w="2241" w:type="dxa"/>
            <w:tcBorders>
              <w:top w:val="nil"/>
              <w:left w:val="nil"/>
              <w:bottom w:val="nil"/>
              <w:right w:val="nil"/>
            </w:tcBorders>
          </w:tcPr>
          <w:p w:rsidR="00000000" w:rsidRDefault="00000000">
            <w:pPr>
              <w:rPr>
                <w:b/>
                <w:bCs/>
              </w:rPr>
            </w:pPr>
            <w:r>
              <w:rPr>
                <w:b/>
                <w:bCs/>
              </w:rPr>
              <w:t>VIH-SIDA</w:t>
            </w:r>
          </w:p>
        </w:tc>
        <w:tc>
          <w:tcPr>
            <w:tcW w:w="7236" w:type="dxa"/>
            <w:tcBorders>
              <w:top w:val="nil"/>
              <w:left w:val="nil"/>
              <w:bottom w:val="nil"/>
              <w:right w:val="nil"/>
            </w:tcBorders>
          </w:tcPr>
          <w:p w:rsidR="00000000" w:rsidRDefault="00000000">
            <w:r>
              <w:t>Virus de l’immunodéficience humaine − syndrome de l’immunodéficience acquise</w:t>
            </w:r>
          </w:p>
        </w:tc>
      </w:tr>
    </w:tbl>
    <w:p w:rsidR="00000000" w:rsidRDefault="00000000"/>
    <w:p w:rsidR="00000000" w:rsidRDefault="00000000">
      <w:pPr>
        <w:spacing w:after="240"/>
        <w:jc w:val="center"/>
        <w:rPr>
          <w:b/>
          <w:bCs/>
        </w:rPr>
      </w:pPr>
      <w:r>
        <w:rPr>
          <w:b/>
          <w:bCs/>
        </w:rPr>
        <w:br w:type="page"/>
        <w:t>ARTICLE 1</w:t>
      </w:r>
    </w:p>
    <w:p w:rsidR="00000000" w:rsidRDefault="00000000">
      <w:pPr>
        <w:spacing w:after="240"/>
        <w:jc w:val="center"/>
        <w:rPr>
          <w:b/>
          <w:bCs/>
        </w:rPr>
      </w:pPr>
      <w:r>
        <w:rPr>
          <w:b/>
          <w:bCs/>
        </w:rPr>
        <w:t>Droit des peuples à disposer d’eux-mêmes</w:t>
      </w:r>
    </w:p>
    <w:p w:rsidR="00000000" w:rsidRDefault="00000000">
      <w:pPr>
        <w:spacing w:after="240"/>
      </w:pPr>
      <w:r>
        <w:t>1.</w:t>
      </w:r>
      <w:r>
        <w:tab/>
        <w:t>Depuis l’adoption de la nouvelle Constitution de 1992, les points ci-après sont à souligner</w:t>
      </w:r>
      <w:r>
        <w:rPr>
          <w:color w:val="000000"/>
        </w:rPr>
        <w:t>:</w:t>
      </w:r>
    </w:p>
    <w:p w:rsidR="00000000" w:rsidRDefault="00000000">
      <w:pPr>
        <w:spacing w:after="240"/>
        <w:ind w:firstLine="567"/>
        <w:rPr>
          <w:b/>
          <w:bCs/>
        </w:rPr>
      </w:pPr>
      <w:r>
        <w:rPr>
          <w:b/>
          <w:bCs/>
        </w:rPr>
        <w:t>Sur le plan politique</w:t>
      </w:r>
    </w:p>
    <w:p w:rsidR="00000000" w:rsidRDefault="00000000">
      <w:pPr>
        <w:spacing w:after="240"/>
      </w:pPr>
      <w:r>
        <w:t>2.</w:t>
      </w:r>
      <w:r>
        <w:tab/>
        <w:t>La Constitution de 1992, votée par référendum, dispose en son Titre II</w:t>
      </w:r>
      <w:r>
        <w:rPr>
          <w:b/>
          <w:bCs/>
        </w:rPr>
        <w:t xml:space="preserve"> </w:t>
      </w:r>
      <w:r>
        <w:t>«des droits et devoirs économiques, sociaux et culturels»:</w:t>
      </w:r>
    </w:p>
    <w:p w:rsidR="00000000" w:rsidRDefault="00000000">
      <w:pPr>
        <w:spacing w:after="240"/>
        <w:ind w:firstLine="567"/>
      </w:pPr>
      <w:r>
        <w:t>a)</w:t>
      </w:r>
      <w:r>
        <w:tab/>
        <w:t>Le droit à l’exercice des droits politiques;</w:t>
      </w:r>
    </w:p>
    <w:p w:rsidR="00000000" w:rsidRDefault="00000000">
      <w:pPr>
        <w:spacing w:after="240"/>
        <w:ind w:firstLine="567"/>
      </w:pPr>
      <w:r>
        <w:t>b)</w:t>
      </w:r>
      <w:r>
        <w:tab/>
        <w:t>Le droit à la protection de la santé dès la conception;</w:t>
      </w:r>
    </w:p>
    <w:p w:rsidR="00000000" w:rsidRDefault="00000000">
      <w:pPr>
        <w:spacing w:after="240"/>
        <w:ind w:firstLine="567"/>
      </w:pPr>
      <w:r>
        <w:t>c)</w:t>
      </w:r>
      <w:r>
        <w:tab/>
        <w:t>Le droit à la protection de la famille;</w:t>
      </w:r>
    </w:p>
    <w:p w:rsidR="00000000" w:rsidRDefault="00000000">
      <w:pPr>
        <w:spacing w:after="240"/>
        <w:ind w:firstLine="567"/>
      </w:pPr>
      <w:r>
        <w:t>d)</w:t>
      </w:r>
      <w:r>
        <w:tab/>
        <w:t>L’accès gratuit à l’enseignement public;</w:t>
      </w:r>
    </w:p>
    <w:p w:rsidR="00000000" w:rsidRDefault="00000000">
      <w:pPr>
        <w:spacing w:after="240"/>
        <w:ind w:firstLine="567"/>
      </w:pPr>
      <w:r>
        <w:t>e)</w:t>
      </w:r>
      <w:r>
        <w:tab/>
        <w:t>Le caractère obligatoire de l’enseignement primaire;</w:t>
      </w:r>
    </w:p>
    <w:p w:rsidR="00000000" w:rsidRDefault="00000000">
      <w:pPr>
        <w:spacing w:after="240"/>
        <w:ind w:firstLine="567"/>
      </w:pPr>
      <w:r>
        <w:t>f)</w:t>
      </w:r>
      <w:r>
        <w:tab/>
        <w:t>Le droit à l’accès égal pour tous à la fonction publique;</w:t>
      </w:r>
    </w:p>
    <w:p w:rsidR="00000000" w:rsidRDefault="00000000">
      <w:pPr>
        <w:spacing w:after="240"/>
        <w:ind w:firstLine="567"/>
      </w:pPr>
      <w:r>
        <w:t>g)</w:t>
      </w:r>
      <w:r>
        <w:tab/>
        <w:t>Le droit à une juste rémunération;</w:t>
      </w:r>
    </w:p>
    <w:p w:rsidR="00000000" w:rsidRDefault="00000000">
      <w:pPr>
        <w:spacing w:after="240"/>
        <w:ind w:firstLine="567"/>
      </w:pPr>
      <w:r>
        <w:t>h)</w:t>
      </w:r>
      <w:r>
        <w:tab/>
        <w:t>La liberté de la presse;</w:t>
      </w:r>
    </w:p>
    <w:p w:rsidR="00000000" w:rsidRDefault="00000000">
      <w:pPr>
        <w:spacing w:after="240"/>
        <w:ind w:firstLine="567"/>
      </w:pPr>
      <w:r>
        <w:t>i)</w:t>
      </w:r>
      <w:r>
        <w:tab/>
        <w:t>La liberté syndicale;</w:t>
      </w:r>
    </w:p>
    <w:p w:rsidR="00000000" w:rsidRDefault="00000000">
      <w:pPr>
        <w:spacing w:after="240"/>
        <w:ind w:firstLine="567"/>
      </w:pPr>
      <w:r>
        <w:t>j)</w:t>
      </w:r>
      <w:r>
        <w:tab/>
        <w:t>La reconnaissance du droit de grève;</w:t>
      </w:r>
    </w:p>
    <w:p w:rsidR="00000000" w:rsidRDefault="00000000">
      <w:pPr>
        <w:spacing w:after="240"/>
        <w:ind w:firstLine="567"/>
      </w:pPr>
      <w:r>
        <w:t>k)</w:t>
      </w:r>
      <w:r>
        <w:tab/>
        <w:t>La reconnaissance de la propriété individuelle, la sécurisation des capitaux et des investissements;</w:t>
      </w:r>
    </w:p>
    <w:p w:rsidR="00000000" w:rsidRDefault="00000000">
      <w:pPr>
        <w:spacing w:after="240"/>
        <w:ind w:firstLine="567"/>
      </w:pPr>
      <w:r>
        <w:t>l)</w:t>
      </w:r>
      <w:r>
        <w:tab/>
        <w:t>La neutralité politique de l’administration, des forces armées, de la justice, de l’enseignement et de l’éducation.</w:t>
      </w:r>
    </w:p>
    <w:p w:rsidR="00000000" w:rsidRDefault="00000000">
      <w:pPr>
        <w:spacing w:after="240"/>
      </w:pPr>
      <w:r>
        <w:t>Cette énumération traduit l’adoption des principes démocratiques, la reconnaissance du multipartisme, la levée de la censure, liberté d’opinion, la libéralisation de l’économie, et l’ouverture du pays aux autres nations.</w:t>
      </w:r>
    </w:p>
    <w:p w:rsidR="00000000" w:rsidRDefault="00000000">
      <w:pPr>
        <w:spacing w:after="240"/>
      </w:pPr>
      <w:r>
        <w:t>3.</w:t>
      </w:r>
      <w:r>
        <w:tab/>
        <w:t>La Constitution du 18 décembre 1992 a attribué une large latitude à la création d’organisations politiques. Son article 14 stipule que: «</w:t>
      </w:r>
      <w:r>
        <w:rPr>
          <w:i/>
          <w:iCs/>
        </w:rPr>
        <w:t>les citoyens s’organisent librement sans autorisation préalable en associations ou partis politiques; sont toutefois interdits les associations ou partis politiques qui mettent en cause l’unité de la nation et ceux qui prônent le totalitarisme ou le ségrégationnisme à caractère ethnique, tribal ou confessionnel</w:t>
      </w:r>
      <w:r>
        <w:t>»</w:t>
      </w:r>
      <w:r>
        <w:rPr>
          <w:i/>
          <w:iCs/>
        </w:rPr>
        <w:t>.</w:t>
      </w:r>
    </w:p>
    <w:p w:rsidR="00000000" w:rsidRDefault="00000000">
      <w:pPr>
        <w:keepNext/>
        <w:spacing w:after="240"/>
        <w:ind w:firstLine="567"/>
        <w:rPr>
          <w:b/>
          <w:bCs/>
        </w:rPr>
      </w:pPr>
      <w:r>
        <w:rPr>
          <w:b/>
          <w:bCs/>
        </w:rPr>
        <w:t>Sur le plan économique</w:t>
      </w:r>
    </w:p>
    <w:p w:rsidR="00000000" w:rsidRDefault="00000000">
      <w:pPr>
        <w:spacing w:after="240"/>
      </w:pPr>
      <w:r>
        <w:t>4.</w:t>
      </w:r>
      <w:r>
        <w:tab/>
        <w:t>Au début des années 1980, le pays s’achemine progressivement de l’économie dirigée vers une économie libérale. Le concours des Institutions de Bretton Woods depuis 1982</w:t>
      </w:r>
      <w:r>
        <w:rPr>
          <w:b/>
          <w:bCs/>
        </w:rPr>
        <w:t xml:space="preserve"> </w:t>
      </w:r>
      <w:r>
        <w:t>a permis de réduire les problèmes macroéconomiques.</w:t>
      </w:r>
    </w:p>
    <w:p w:rsidR="00000000" w:rsidRDefault="00000000">
      <w:pPr>
        <w:spacing w:after="240"/>
      </w:pPr>
      <w:r>
        <w:t>5.</w:t>
      </w:r>
      <w:r>
        <w:tab/>
        <w:t>À part ces observations, les commentaires faits dans le dernier rapport restent valables.</w:t>
      </w:r>
    </w:p>
    <w:p w:rsidR="00000000" w:rsidRDefault="00000000">
      <w:pPr>
        <w:spacing w:after="240"/>
        <w:rPr>
          <w:color w:val="000000"/>
        </w:rPr>
      </w:pPr>
      <w:r>
        <w:rPr>
          <w:color w:val="000000"/>
        </w:rPr>
        <w:t>6.</w:t>
      </w:r>
      <w:r>
        <w:rPr>
          <w:color w:val="000000"/>
        </w:rPr>
        <w:tab/>
        <w:t>Les événements populaires de 1991 ont débouché à l’adoption de la «</w:t>
      </w:r>
      <w:r>
        <w:rPr>
          <w:i/>
          <w:iCs/>
          <w:color w:val="000000"/>
        </w:rPr>
        <w:t>Convention de Panorama</w:t>
      </w:r>
      <w:r>
        <w:rPr>
          <w:color w:val="000000"/>
        </w:rPr>
        <w:t>» du 31 octobre 1991 laquelle a institué un régime de transition jusqu’à la fin de l’année 1993.</w:t>
      </w:r>
    </w:p>
    <w:p w:rsidR="00000000" w:rsidRDefault="00000000">
      <w:pPr>
        <w:spacing w:after="240"/>
        <w:rPr>
          <w:color w:val="000000"/>
        </w:rPr>
      </w:pPr>
      <w:r>
        <w:rPr>
          <w:color w:val="000000"/>
        </w:rPr>
        <w:t>7.</w:t>
      </w:r>
      <w:r>
        <w:rPr>
          <w:color w:val="000000"/>
        </w:rPr>
        <w:tab/>
        <w:t>D’autres mesures ont été prises afin d’assurer la liberté des citoyens pour l’exercice des principes édictés par le Pacte.</w:t>
      </w:r>
    </w:p>
    <w:p w:rsidR="00000000" w:rsidRDefault="00000000">
      <w:pPr>
        <w:spacing w:after="240"/>
        <w:rPr>
          <w:color w:val="000000"/>
        </w:rPr>
      </w:pPr>
      <w:r>
        <w:rPr>
          <w:color w:val="000000"/>
        </w:rPr>
        <w:t>8.</w:t>
      </w:r>
      <w:r>
        <w:rPr>
          <w:color w:val="000000"/>
        </w:rPr>
        <w:tab/>
        <w:t>L’ordonnance n</w:t>
      </w:r>
      <w:r>
        <w:rPr>
          <w:color w:val="000000"/>
          <w:vertAlign w:val="superscript"/>
        </w:rPr>
        <w:t>o</w:t>
      </w:r>
      <w:r>
        <w:rPr>
          <w:color w:val="000000"/>
        </w:rPr>
        <w:t> 90</w:t>
      </w:r>
      <w:r>
        <w:rPr>
          <w:color w:val="000000"/>
        </w:rPr>
        <w:noBreakHyphen/>
        <w:t>001 du 9 mars 1990 portant régime général des partis et organisations politiques a été renforcée par l’article 8 de la Constitution de 1992 qui dispose que «</w:t>
      </w:r>
      <w:r>
        <w:rPr>
          <w:i/>
          <w:iCs/>
          <w:color w:val="000000"/>
        </w:rPr>
        <w:t>les citoyens jouissent pleinement de leurs droits civiques et peuvent se constituer librement, selon les règles démocratiques, en parti ou organisation politique</w:t>
      </w:r>
      <w:r>
        <w:rPr>
          <w:color w:val="000000"/>
        </w:rPr>
        <w:t>».</w:t>
      </w:r>
    </w:p>
    <w:p w:rsidR="00000000" w:rsidRDefault="00000000">
      <w:pPr>
        <w:spacing w:after="240"/>
        <w:rPr>
          <w:color w:val="000000"/>
        </w:rPr>
      </w:pPr>
      <w:r>
        <w:rPr>
          <w:color w:val="000000"/>
        </w:rPr>
        <w:t>9.</w:t>
      </w:r>
      <w:r>
        <w:rPr>
          <w:color w:val="000000"/>
        </w:rPr>
        <w:tab/>
        <w:t>Si la Constitution de 1975 avait mis en place les collectivités territoriales décentralisées sous tutelle de l’Administration centrale, celle de 1992 a institué l’autonomie des provinces.</w:t>
      </w:r>
    </w:p>
    <w:p w:rsidR="00000000" w:rsidRDefault="00000000">
      <w:pPr>
        <w:spacing w:after="240"/>
        <w:rPr>
          <w:i/>
          <w:iCs/>
          <w:color w:val="000000"/>
        </w:rPr>
      </w:pPr>
      <w:r>
        <w:rPr>
          <w:color w:val="000000"/>
        </w:rPr>
        <w:t>10.</w:t>
      </w:r>
      <w:r>
        <w:rPr>
          <w:color w:val="000000"/>
        </w:rPr>
        <w:tab/>
        <w:t>L’article 126, paragraphe 1, du Titre IV stipule à cet effet que «</w:t>
      </w:r>
      <w:r>
        <w:rPr>
          <w:i/>
          <w:iCs/>
          <w:color w:val="000000"/>
        </w:rPr>
        <w:t>les provinces autonomes sont des collectivités publiques dotées de la personnalité juridique ainsi que de l’autonomie administrative et financière</w:t>
      </w:r>
      <w:r>
        <w:rPr>
          <w:color w:val="000000"/>
        </w:rPr>
        <w:t>»</w:t>
      </w:r>
      <w:r>
        <w:rPr>
          <w:i/>
          <w:iCs/>
          <w:color w:val="000000"/>
        </w:rPr>
        <w:t>.</w:t>
      </w:r>
    </w:p>
    <w:p w:rsidR="00000000" w:rsidRDefault="00000000">
      <w:pPr>
        <w:spacing w:after="240"/>
        <w:rPr>
          <w:i/>
          <w:iCs/>
          <w:color w:val="000000"/>
        </w:rPr>
      </w:pPr>
      <w:r>
        <w:rPr>
          <w:color w:val="000000"/>
        </w:rPr>
        <w:t>11.</w:t>
      </w:r>
      <w:r>
        <w:rPr>
          <w:color w:val="000000"/>
        </w:rPr>
        <w:tab/>
        <w:t>Madagascar a ratifié la Charte africaine des droits de l’homme et des peuples, qui en son article 20 énonce que «</w:t>
      </w:r>
      <w:r>
        <w:rPr>
          <w:i/>
          <w:iCs/>
          <w:color w:val="000000"/>
        </w:rPr>
        <w:t>Tout peuple a droit à l’existence. Tout peuple a un droit imprescriptible et inaliénable à l’autodétermination. Il détermine librement son statut politique et assure son développement économique et social selon la voie qu’il a librement choisie.</w:t>
      </w:r>
      <w:r>
        <w:rPr>
          <w:color w:val="000000"/>
        </w:rPr>
        <w:t>»</w:t>
      </w:r>
      <w:r>
        <w:rPr>
          <w:i/>
          <w:iCs/>
          <w:color w:val="000000"/>
        </w:rPr>
        <w:t>.</w:t>
      </w:r>
    </w:p>
    <w:p w:rsidR="00000000" w:rsidRDefault="00000000">
      <w:pPr>
        <w:spacing w:after="240"/>
        <w:rPr>
          <w:color w:val="000000"/>
        </w:rPr>
      </w:pPr>
      <w:r>
        <w:rPr>
          <w:color w:val="000000"/>
        </w:rPr>
        <w:t>12.</w:t>
      </w:r>
      <w:r>
        <w:rPr>
          <w:color w:val="000000"/>
        </w:rPr>
        <w:tab/>
        <w:t>Selon la Constitution, la Charte africaine des droits de l’homme et des peuples fait partie intégrante du droit positif malgache.</w:t>
      </w:r>
    </w:p>
    <w:p w:rsidR="00000000" w:rsidRDefault="00000000">
      <w:pPr>
        <w:spacing w:after="240"/>
        <w:rPr>
          <w:color w:val="000000"/>
        </w:rPr>
      </w:pPr>
      <w:r>
        <w:rPr>
          <w:color w:val="000000"/>
        </w:rPr>
        <w:t>13.</w:t>
      </w:r>
      <w:r>
        <w:rPr>
          <w:color w:val="000000"/>
        </w:rPr>
        <w:tab/>
        <w:t>Outre les informations ci-dessus fournies, celles développées dans le dernier rapport restent valables.</w:t>
      </w:r>
    </w:p>
    <w:p w:rsidR="00000000" w:rsidRDefault="00000000">
      <w:pPr>
        <w:keepNext/>
        <w:spacing w:after="240"/>
        <w:jc w:val="center"/>
        <w:rPr>
          <w:b/>
          <w:bCs/>
        </w:rPr>
      </w:pPr>
      <w:bookmarkStart w:id="0" w:name="_Toc97531275"/>
      <w:bookmarkStart w:id="1" w:name="_Toc98224894"/>
      <w:r>
        <w:rPr>
          <w:b/>
          <w:bCs/>
        </w:rPr>
        <w:t>ARTICLE 2</w:t>
      </w:r>
      <w:bookmarkEnd w:id="1"/>
    </w:p>
    <w:p w:rsidR="00000000" w:rsidRDefault="00000000">
      <w:pPr>
        <w:keepNext/>
        <w:spacing w:after="240"/>
        <w:jc w:val="center"/>
        <w:rPr>
          <w:b/>
          <w:bCs/>
        </w:rPr>
      </w:pPr>
      <w:r>
        <w:rPr>
          <w:b/>
          <w:bCs/>
        </w:rPr>
        <w:t>Principe de non</w:t>
      </w:r>
      <w:r>
        <w:rPr>
          <w:b/>
          <w:bCs/>
        </w:rPr>
        <w:noBreakHyphen/>
        <w:t>discrimination</w:t>
      </w:r>
      <w:bookmarkEnd w:id="0"/>
    </w:p>
    <w:p w:rsidR="00000000" w:rsidRDefault="00000000">
      <w:pPr>
        <w:spacing w:after="240"/>
      </w:pPr>
      <w:r>
        <w:t>14.</w:t>
      </w:r>
      <w:r>
        <w:tab/>
        <w:t>Depuis le dernier rapport, Madagascar a abandonné le système socialiste et a choisi un nouveau cadre institutionnel consacré par la Constitution du 18 septembre 1992 modifié par les lois constitutionnelles n</w:t>
      </w:r>
      <w:r>
        <w:rPr>
          <w:vertAlign w:val="superscript"/>
        </w:rPr>
        <w:t>o </w:t>
      </w:r>
      <w:r>
        <w:t>95</w:t>
      </w:r>
      <w:r>
        <w:noBreakHyphen/>
        <w:t>001 du 13 octobre 1995 et n</w:t>
      </w:r>
      <w:r>
        <w:rPr>
          <w:vertAlign w:val="superscript"/>
        </w:rPr>
        <w:t>o</w:t>
      </w:r>
      <w:r>
        <w:t> 98</w:t>
      </w:r>
      <w:r>
        <w:noBreakHyphen/>
        <w:t>001 du 8 avril 1998.</w:t>
      </w:r>
    </w:p>
    <w:p w:rsidR="00000000" w:rsidRDefault="00000000">
      <w:pPr>
        <w:spacing w:after="240"/>
      </w:pPr>
      <w:r>
        <w:t>15.</w:t>
      </w:r>
      <w:r>
        <w:tab/>
        <w:t>Madagascar, en tant qu’État partie, garantit à tous les individus se trouvant sur son territoire et relevant de sa compétence les droits reconnus dans le Pacte, sans discrimination aucune, notamment de race, de couleur, de sexe, de langue, de religion, d’opinion politique ou de toute</w:t>
      </w:r>
      <w:r>
        <w:rPr>
          <w:color w:val="000000"/>
        </w:rPr>
        <w:t xml:space="preserve"> </w:t>
      </w:r>
      <w:r>
        <w:t>autre opinion d’origine nationale ou sociale, de fortune, de naissance.</w:t>
      </w:r>
    </w:p>
    <w:p w:rsidR="00000000" w:rsidRDefault="00000000">
      <w:pPr>
        <w:spacing w:after="240"/>
      </w:pPr>
      <w:r>
        <w:t>16.</w:t>
      </w:r>
      <w:r>
        <w:tab/>
        <w:t>La nouvelle Constitution malagasy considère comme faisant partie intégrante de son droit positif:</w:t>
      </w:r>
    </w:p>
    <w:p w:rsidR="00000000" w:rsidRDefault="00000000">
      <w:pPr>
        <w:spacing w:after="240"/>
        <w:ind w:firstLine="567"/>
      </w:pPr>
      <w:r>
        <w:t>a)</w:t>
      </w:r>
      <w:r>
        <w:tab/>
        <w:t>La Charte internationale des droits de l’homme;</w:t>
      </w:r>
    </w:p>
    <w:p w:rsidR="00000000" w:rsidRDefault="00000000">
      <w:pPr>
        <w:spacing w:after="240"/>
        <w:ind w:firstLine="567"/>
      </w:pPr>
      <w:r>
        <w:t>b)</w:t>
      </w:r>
      <w:r>
        <w:tab/>
        <w:t>La Charte africaine des droits de l’homme et des peuples;</w:t>
      </w:r>
    </w:p>
    <w:p w:rsidR="00000000" w:rsidRDefault="00000000">
      <w:pPr>
        <w:spacing w:after="240"/>
        <w:ind w:firstLine="567"/>
      </w:pPr>
      <w:r>
        <w:t>c)</w:t>
      </w:r>
      <w:r>
        <w:tab/>
        <w:t xml:space="preserve">Les Conventions relatives aux droits de la femme et de l’enfant. </w:t>
      </w:r>
    </w:p>
    <w:p w:rsidR="00000000" w:rsidRDefault="00000000">
      <w:pPr>
        <w:spacing w:after="240"/>
      </w:pPr>
      <w:r>
        <w:t>17.</w:t>
      </w:r>
      <w:r>
        <w:tab/>
        <w:t>Les grands principes universels de protection des droits de l’homme y sont repris.</w:t>
      </w:r>
    </w:p>
    <w:p w:rsidR="00000000" w:rsidRDefault="00000000">
      <w:pPr>
        <w:spacing w:after="240"/>
      </w:pPr>
      <w:r>
        <w:t>18.</w:t>
      </w:r>
      <w:r>
        <w:tab/>
        <w:t>L’égalité devant la loi, la garantie d’une justice équitable et le respect du principe des droits de la défense sont consacrés par l’article 8 de la Constitution qui stipule que: «</w:t>
      </w:r>
      <w:r>
        <w:rPr>
          <w:i/>
          <w:iCs/>
        </w:rPr>
        <w:t>Les nationaux sont égaux en droit et jouissent des mêmes libertés fondamentales protégées par la loi, sans discrimination fondée sur le sexe, le degré d’instruction, la fortune, l’origine, la race, la croyance religieuse ou l’opinion.</w:t>
      </w:r>
      <w:r>
        <w:rPr>
          <w:iCs/>
        </w:rPr>
        <w:t>»</w:t>
      </w:r>
      <w:r>
        <w:rPr>
          <w:i/>
          <w:iCs/>
        </w:rPr>
        <w:t>.</w:t>
      </w:r>
    </w:p>
    <w:p w:rsidR="00000000" w:rsidRDefault="00000000">
      <w:pPr>
        <w:spacing w:after="240"/>
      </w:pPr>
      <w:r>
        <w:t>19.</w:t>
      </w:r>
      <w:r>
        <w:tab/>
        <w:t>Ce libellé est en fait la reproduction</w:t>
      </w:r>
      <w:r>
        <w:rPr>
          <w:color w:val="000000"/>
        </w:rPr>
        <w:t xml:space="preserve"> </w:t>
      </w:r>
      <w:r>
        <w:t>des dispositions prévues à l’article 2 1) du Pacte.</w:t>
      </w:r>
    </w:p>
    <w:p w:rsidR="00000000" w:rsidRDefault="00000000">
      <w:pPr>
        <w:spacing w:after="240"/>
      </w:pPr>
      <w:r>
        <w:t>20.</w:t>
      </w:r>
      <w:r>
        <w:tab/>
        <w:t>Toute personne se trouvant sur le territoire national bénéficie des mêmes protections légales, à l’exception des restrictions admises par le Pacte.</w:t>
      </w:r>
    </w:p>
    <w:p w:rsidR="00000000" w:rsidRDefault="00000000">
      <w:pPr>
        <w:keepNext/>
        <w:spacing w:after="240"/>
        <w:ind w:firstLine="567"/>
        <w:rPr>
          <w:b/>
          <w:bCs/>
        </w:rPr>
      </w:pPr>
      <w:bookmarkStart w:id="2" w:name="_Toc97531276"/>
      <w:r>
        <w:rPr>
          <w:b/>
          <w:bCs/>
        </w:rPr>
        <w:t>Droit à un recours effectif</w:t>
      </w:r>
      <w:bookmarkEnd w:id="2"/>
    </w:p>
    <w:p w:rsidR="00000000" w:rsidRDefault="00000000">
      <w:pPr>
        <w:spacing w:after="240"/>
      </w:pPr>
      <w:r>
        <w:t>21.</w:t>
      </w:r>
      <w:r>
        <w:tab/>
        <w:t>Le droit d’exercer un recours en justice pour obtenir réparation d’un préjudice légitime est reconnu à tout individu se trouvant sur le territoire de la République malagasy.</w:t>
      </w:r>
    </w:p>
    <w:p w:rsidR="00000000" w:rsidRDefault="00000000">
      <w:pPr>
        <w:spacing w:after="240"/>
      </w:pPr>
      <w:r>
        <w:t>22.</w:t>
      </w:r>
      <w:r>
        <w:tab/>
        <w:t>Dans ce sens, l’article 13, alinéa 6, de la Constitution stipule que: «</w:t>
      </w:r>
      <w:r>
        <w:rPr>
          <w:i/>
          <w:iCs/>
        </w:rPr>
        <w:t>La loi assure à tous le droit de se faire rendre justice et l’insuffisance des ressources ne saurait y faire obstacle.</w:t>
      </w:r>
      <w:r>
        <w:t>»</w:t>
      </w:r>
      <w:r>
        <w:rPr>
          <w:i/>
          <w:iCs/>
        </w:rPr>
        <w:t xml:space="preserve">. </w:t>
      </w:r>
    </w:p>
    <w:p w:rsidR="00000000" w:rsidRDefault="00000000">
      <w:pPr>
        <w:spacing w:after="240"/>
        <w:rPr>
          <w:i/>
          <w:iCs/>
        </w:rPr>
      </w:pPr>
      <w:r>
        <w:rPr>
          <w:i/>
          <w:iCs/>
        </w:rPr>
        <w:t>23.</w:t>
      </w:r>
      <w:r>
        <w:rPr>
          <w:i/>
          <w:iCs/>
        </w:rPr>
        <w:tab/>
      </w:r>
      <w:r>
        <w:t>«</w:t>
      </w:r>
      <w:r>
        <w:rPr>
          <w:i/>
          <w:iCs/>
        </w:rPr>
        <w:t>L’assistance judiciaire peut être accordée en tout état de cause à toute personne ainsi qu’à tous établissements publics ou d’utilité publique, et aux associations privées ayant pour objet une œuvre d’assistance et jouissant de la personnalité civile, lorsque, à raison de l’insuffisance de leurs ressources, les personnes, établissements et associations se trouvent dans l’impossibilité d’exercer leurs droits en justice, soit en demandant soit en défendant.</w:t>
      </w:r>
      <w:r>
        <w:t>»</w:t>
      </w:r>
    </w:p>
    <w:p w:rsidR="00000000" w:rsidRDefault="00000000">
      <w:pPr>
        <w:spacing w:after="240"/>
      </w:pPr>
      <w:r>
        <w:t>24.</w:t>
      </w:r>
      <w:r>
        <w:tab/>
        <w:t>En matière pénale, la loi</w:t>
      </w:r>
      <w:r>
        <w:rPr>
          <w:color w:val="000000"/>
        </w:rPr>
        <w:t xml:space="preserve"> </w:t>
      </w:r>
      <w:r>
        <w:t>n</w:t>
      </w:r>
      <w:r>
        <w:rPr>
          <w:vertAlign w:val="superscript"/>
        </w:rPr>
        <w:t>o</w:t>
      </w:r>
      <w:r>
        <w:t> 97</w:t>
      </w:r>
      <w:r>
        <w:noBreakHyphen/>
        <w:t>036 du 30 octobre 1997 modifiant et complétant les dispositions du Code de procédure pénale relative à la défense des parties, prévoit une assistance de la personne suspectée assurée par un défenseur de son choix dès le début de l’enquête préliminaire.</w:t>
      </w:r>
    </w:p>
    <w:p w:rsidR="00000000" w:rsidRDefault="00000000">
      <w:pPr>
        <w:spacing w:after="240"/>
      </w:pPr>
      <w:r>
        <w:t>25.</w:t>
      </w:r>
      <w:r>
        <w:tab/>
        <w:t>Dans le but d’aider les citoyens à mieux</w:t>
      </w:r>
      <w:r>
        <w:rPr>
          <w:color w:val="000000"/>
        </w:rPr>
        <w:t xml:space="preserve"> </w:t>
      </w:r>
      <w:r>
        <w:t>connaître leur droit, le Gouvernement par l’intermédiaire du Ministère de la justice a mis en place un service spécialisé</w:t>
      </w:r>
      <w:r>
        <w:rPr>
          <w:color w:val="000000"/>
        </w:rPr>
        <w:t xml:space="preserve"> </w:t>
      </w:r>
      <w:r>
        <w:t>dans la vulgarisation juridique et l’éducation de la population.</w:t>
      </w:r>
    </w:p>
    <w:p w:rsidR="00000000" w:rsidRDefault="00000000">
      <w:pPr>
        <w:keepNext/>
        <w:spacing w:after="240"/>
      </w:pPr>
      <w:r>
        <w:t>26.</w:t>
      </w:r>
      <w:r>
        <w:tab/>
        <w:t>Les principales activités de ce service sont axées sur:</w:t>
      </w:r>
    </w:p>
    <w:p w:rsidR="00000000" w:rsidRDefault="00000000">
      <w:pPr>
        <w:spacing w:after="240"/>
        <w:ind w:firstLine="567"/>
      </w:pPr>
      <w:r>
        <w:t>a)</w:t>
      </w:r>
      <w:r>
        <w:tab/>
        <w:t>Il assure périodiquement l’animation de séances d’émissions</w:t>
      </w:r>
      <w:r>
        <w:rPr>
          <w:color w:val="000000"/>
        </w:rPr>
        <w:t xml:space="preserve"> </w:t>
      </w:r>
      <w:r>
        <w:t>radiodiffusées ou</w:t>
      </w:r>
      <w:r>
        <w:rPr>
          <w:color w:val="000000"/>
        </w:rPr>
        <w:t xml:space="preserve"> </w:t>
      </w:r>
      <w:r>
        <w:t>télévisées sur les chaînes nationales et privées locales:</w:t>
      </w:r>
    </w:p>
    <w:p w:rsidR="00000000" w:rsidRDefault="00000000">
      <w:pPr>
        <w:spacing w:after="240"/>
        <w:ind w:firstLine="567"/>
      </w:pPr>
      <w:r>
        <w:t>i)</w:t>
      </w:r>
      <w:r>
        <w:tab/>
        <w:t>Des émissions hebdomadaires</w:t>
      </w:r>
      <w:r>
        <w:rPr>
          <w:color w:val="000000"/>
        </w:rPr>
        <w:t xml:space="preserve"> </w:t>
      </w:r>
      <w:r>
        <w:t>sur la Radio nationale malagasy;</w:t>
      </w:r>
    </w:p>
    <w:p w:rsidR="00000000" w:rsidRDefault="00000000">
      <w:pPr>
        <w:spacing w:after="240"/>
        <w:ind w:firstLine="567"/>
      </w:pPr>
      <w:r>
        <w:t>ii)</w:t>
      </w:r>
      <w:r>
        <w:tab/>
        <w:t>Des émissions bimensuelles</w:t>
      </w:r>
      <w:r>
        <w:rPr>
          <w:color w:val="000000"/>
        </w:rPr>
        <w:t xml:space="preserve"> </w:t>
      </w:r>
      <w:r>
        <w:t>sur la Télévision malagasy;</w:t>
      </w:r>
    </w:p>
    <w:p w:rsidR="00000000" w:rsidRDefault="00000000">
      <w:pPr>
        <w:spacing w:after="240"/>
        <w:ind w:firstLine="567"/>
      </w:pPr>
      <w:r>
        <w:t>iii)</w:t>
      </w:r>
      <w:r>
        <w:tab/>
        <w:t>Des spots de sensibilisation sur des thèmes spécifiques;</w:t>
      </w:r>
    </w:p>
    <w:p w:rsidR="00000000" w:rsidRDefault="00000000">
      <w:pPr>
        <w:spacing w:after="240"/>
        <w:ind w:firstLine="567"/>
      </w:pPr>
      <w:r>
        <w:t>b)</w:t>
      </w:r>
      <w:r>
        <w:tab/>
        <w:t xml:space="preserve">Des séances publiques de vulgarisation juridique dans les localités éloignées des juridictions suivies des questions/réponses, de diffusion de brochures et dépliants. </w:t>
      </w:r>
    </w:p>
    <w:p w:rsidR="00000000" w:rsidRDefault="00000000">
      <w:pPr>
        <w:spacing w:after="240"/>
      </w:pPr>
      <w:r>
        <w:t>27.</w:t>
      </w:r>
      <w:r>
        <w:tab/>
        <w:t>Dans le cadre de la mise en place d’une justice de proximité, c’est-à-dire une justice rapprochée des justiciables, le Ministère de la justice et les juridictions participent activement à des activités d’information et d’éducation dans leur ressort respectif.</w:t>
      </w:r>
    </w:p>
    <w:p w:rsidR="00000000" w:rsidRDefault="00000000">
      <w:pPr>
        <w:spacing w:after="240"/>
      </w:pPr>
      <w:r>
        <w:t>28.</w:t>
      </w:r>
      <w:r>
        <w:tab/>
        <w:t>La connaissance juridique diffusée</w:t>
      </w:r>
      <w:r>
        <w:rPr>
          <w:color w:val="000000"/>
        </w:rPr>
        <w:t xml:space="preserve"> </w:t>
      </w:r>
      <w:r>
        <w:t>permet aux citoyens de faire valoir leur droit sans recourir aux services des intermédiaires exploitant et monnayant leur ignorance</w:t>
      </w:r>
      <w:r>
        <w:rPr>
          <w:color w:val="000000"/>
        </w:rPr>
        <w:t xml:space="preserve"> </w:t>
      </w:r>
      <w:r>
        <w:t xml:space="preserve">dans le domaine. </w:t>
      </w:r>
    </w:p>
    <w:p w:rsidR="00000000" w:rsidRDefault="00000000">
      <w:pPr>
        <w:spacing w:after="240"/>
      </w:pPr>
      <w:r>
        <w:t>29.</w:t>
      </w:r>
      <w:r>
        <w:tab/>
        <w:t xml:space="preserve">Par ailleurs, le Ministère de la justice, en collaboration avec l’École nationale de la magistrature et des greffes, produit annuellement des films éducatifs sur la promotion et la protection des droits de l’homme. </w:t>
      </w:r>
    </w:p>
    <w:p w:rsidR="00000000" w:rsidRDefault="00000000">
      <w:pPr>
        <w:spacing w:after="240"/>
      </w:pPr>
      <w:r>
        <w:t>30.</w:t>
      </w:r>
      <w:r>
        <w:tab/>
        <w:t xml:space="preserve">Citons à titre d’illustration des projections: </w:t>
      </w:r>
    </w:p>
    <w:p w:rsidR="00000000" w:rsidRDefault="00000000">
      <w:pPr>
        <w:spacing w:after="240"/>
        <w:ind w:firstLine="567"/>
      </w:pPr>
      <w:r>
        <w:t>a)</w:t>
      </w:r>
      <w:r>
        <w:tab/>
        <w:t>Sur la lutte contre la propagation du VIH/sida en milieu rural;</w:t>
      </w:r>
    </w:p>
    <w:p w:rsidR="00000000" w:rsidRDefault="00000000">
      <w:pPr>
        <w:spacing w:after="240"/>
        <w:ind w:firstLine="567"/>
      </w:pPr>
      <w:r>
        <w:t>b)</w:t>
      </w:r>
      <w:r>
        <w:tab/>
        <w:t>Sur la violence conjugale;</w:t>
      </w:r>
    </w:p>
    <w:p w:rsidR="00000000" w:rsidRDefault="00000000">
      <w:pPr>
        <w:spacing w:after="240"/>
        <w:ind w:firstLine="567"/>
      </w:pPr>
      <w:r>
        <w:t>c)</w:t>
      </w:r>
      <w:r>
        <w:tab/>
        <w:t>Sur la lutte contre l’exploitation sexuelle des mineurs à des fins commerciales;</w:t>
      </w:r>
    </w:p>
    <w:p w:rsidR="00000000" w:rsidRDefault="00000000">
      <w:pPr>
        <w:spacing w:after="240"/>
        <w:ind w:firstLine="567"/>
      </w:pPr>
      <w:r>
        <w:t>d)</w:t>
      </w:r>
      <w:r>
        <w:tab/>
        <w:t>Sur les problèmes de règlement des litiges fonciers à Madagascar.</w:t>
      </w:r>
    </w:p>
    <w:p w:rsidR="00000000" w:rsidRDefault="00000000">
      <w:pPr>
        <w:spacing w:after="240"/>
      </w:pPr>
      <w:r>
        <w:t>31.</w:t>
      </w:r>
      <w:r>
        <w:tab/>
        <w:t>À cela s’ajoutent l’édition et la diffusion d’ouvrages juridiques à l’intention des magistrats, des professionnels du droit et du public.</w:t>
      </w:r>
    </w:p>
    <w:p w:rsidR="00000000" w:rsidRDefault="00000000">
      <w:pPr>
        <w:spacing w:after="240"/>
      </w:pPr>
      <w:r>
        <w:t>32.</w:t>
      </w:r>
      <w:r>
        <w:tab/>
        <w:t>Toutes ces initiatives contribuent à la réduction du taux de la corruption et à la revalorisation de la fonction de juger.</w:t>
      </w:r>
    </w:p>
    <w:p w:rsidR="00000000" w:rsidRDefault="00000000">
      <w:pPr>
        <w:keepNext/>
        <w:spacing w:after="240"/>
        <w:jc w:val="center"/>
        <w:rPr>
          <w:b/>
          <w:bCs/>
        </w:rPr>
      </w:pPr>
      <w:bookmarkStart w:id="3" w:name="_Toc97531277"/>
      <w:bookmarkStart w:id="4" w:name="_Toc98224895"/>
      <w:r>
        <w:rPr>
          <w:b/>
          <w:bCs/>
        </w:rPr>
        <w:t>ARTICLE 3</w:t>
      </w:r>
      <w:bookmarkEnd w:id="4"/>
    </w:p>
    <w:p w:rsidR="00000000" w:rsidRDefault="00000000">
      <w:pPr>
        <w:keepNext/>
        <w:spacing w:after="240"/>
        <w:jc w:val="center"/>
        <w:rPr>
          <w:b/>
          <w:bCs/>
        </w:rPr>
      </w:pPr>
      <w:r>
        <w:rPr>
          <w:b/>
          <w:bCs/>
        </w:rPr>
        <w:t>Égalité des hommes et des femmes en droits civils et politiques</w:t>
      </w:r>
      <w:bookmarkEnd w:id="3"/>
    </w:p>
    <w:p w:rsidR="00000000" w:rsidRDefault="00000000">
      <w:pPr>
        <w:spacing w:after="240"/>
      </w:pPr>
      <w:r>
        <w:t>33.</w:t>
      </w:r>
      <w:r>
        <w:tab/>
        <w:t>L’article 18 de la Constitution stipule que:</w:t>
      </w:r>
    </w:p>
    <w:p w:rsidR="00000000" w:rsidRDefault="00000000">
      <w:pPr>
        <w:spacing w:after="240"/>
        <w:ind w:left="567"/>
      </w:pPr>
      <w:r>
        <w:t>«</w:t>
      </w:r>
      <w:r>
        <w:rPr>
          <w:i/>
          <w:iCs/>
        </w:rPr>
        <w:t>Les nationaux sont égaux en droit et jouissent des mêmes libertés fondamentales protégées par les lois sans discrimination fondée sur le sexe, le degré d’instruction, la fortune, l’origine, la race, la croyance religieuse et l’opinion.</w:t>
      </w:r>
      <w:r>
        <w:t>»</w:t>
      </w:r>
      <w:r>
        <w:rPr>
          <w:i/>
          <w:iCs/>
        </w:rPr>
        <w:t>.</w:t>
      </w:r>
    </w:p>
    <w:p w:rsidR="00000000" w:rsidRDefault="00000000">
      <w:pPr>
        <w:spacing w:after="240"/>
      </w:pPr>
      <w:r>
        <w:t>34.</w:t>
      </w:r>
      <w:r>
        <w:tab/>
        <w:t>Par ailleurs l’article 3 de l’ordonnance n</w:t>
      </w:r>
      <w:r>
        <w:rPr>
          <w:vertAlign w:val="superscript"/>
        </w:rPr>
        <w:t>o</w:t>
      </w:r>
      <w:r>
        <w:t>  90-001 du 9 mars 1990 portant régime général des partis ou organisations politiques stipule que:</w:t>
      </w:r>
    </w:p>
    <w:p w:rsidR="00000000" w:rsidRDefault="00000000">
      <w:pPr>
        <w:spacing w:after="240"/>
        <w:ind w:left="567"/>
        <w:rPr>
          <w:i/>
          <w:iCs/>
        </w:rPr>
      </w:pPr>
      <w:r>
        <w:t>«</w:t>
      </w:r>
      <w:r>
        <w:rPr>
          <w:i/>
          <w:iCs/>
        </w:rPr>
        <w:t>Tous les citoyens malgaches des deux sexes, âgés au moins de 18 ans jouissent de leurs droits civiques et peuvent adhérer librement à un parti ou à une organisation politique selon les dispositions présentes.</w:t>
      </w:r>
      <w:r>
        <w:t>».</w:t>
      </w:r>
    </w:p>
    <w:p w:rsidR="00000000" w:rsidRDefault="00000000">
      <w:pPr>
        <w:spacing w:after="240"/>
      </w:pPr>
      <w:r>
        <w:t>35.</w:t>
      </w:r>
      <w:r>
        <w:tab/>
        <w:t>Prenant en compte les observations émises par le Comité au cours de l’examen du dernier rapport concernant l’administration du ménage, la loi n</w:t>
      </w:r>
      <w:r>
        <w:rPr>
          <w:vertAlign w:val="superscript"/>
        </w:rPr>
        <w:t>o</w:t>
      </w:r>
      <w:r>
        <w:t xml:space="preserve"> 90-014 du 20 juillet 1990 relative aux régimes matrimoniaux en son article 16 stipule que le partage des biens constituant le patrimoine des époux s’effectue selon le régime de droit commun ou </w:t>
      </w:r>
      <w:r>
        <w:rPr>
          <w:iCs/>
        </w:rPr>
        <w:t>«</w:t>
      </w:r>
      <w:r>
        <w:rPr>
          <w:i/>
          <w:iCs/>
        </w:rPr>
        <w:t>zara-mira</w:t>
      </w:r>
      <w:r>
        <w:rPr>
          <w:iCs/>
        </w:rPr>
        <w:t>»</w:t>
      </w:r>
      <w:r>
        <w:t xml:space="preserve">, ce qui en droit malgache signifie partage par moitié. </w:t>
      </w:r>
    </w:p>
    <w:p w:rsidR="00000000" w:rsidRDefault="00000000">
      <w:pPr>
        <w:spacing w:after="240"/>
      </w:pPr>
      <w:r>
        <w:t>36.</w:t>
      </w:r>
      <w:r>
        <w:tab/>
        <w:t>Cette loi apporte une innovation mettant fin au partage inégalitaire d’un tiers, deux tiers au détriment de la femme en cas de dissolution de la communauté conjugale.</w:t>
      </w:r>
    </w:p>
    <w:p w:rsidR="00000000" w:rsidRDefault="00000000">
      <w:pPr>
        <w:spacing w:after="240"/>
      </w:pPr>
      <w:r>
        <w:t>37.</w:t>
      </w:r>
      <w:r>
        <w:tab/>
        <w:t>D’après une étude effectuée en partenariat avec le PNUD concernant la gestion des affaires publiques en 2003, les us et coutumes gardent une influence très importante sur le comportement social.</w:t>
      </w:r>
    </w:p>
    <w:p w:rsidR="00000000" w:rsidRDefault="00000000">
      <w:pPr>
        <w:spacing w:after="240"/>
      </w:pPr>
      <w:r>
        <w:t>38.</w:t>
      </w:r>
      <w:r>
        <w:tab/>
        <w:t xml:space="preserve"> Malgré les évolutions législatives réalisées, certaines pratiques coutumières sont défavorables à l’élimination de toutes les formes de discrimination à l’égard des femmes.</w:t>
      </w:r>
    </w:p>
    <w:p w:rsidR="00000000" w:rsidRDefault="00000000">
      <w:pPr>
        <w:spacing w:after="240"/>
      </w:pPr>
      <w:r>
        <w:t>39.</w:t>
      </w:r>
      <w:r>
        <w:tab/>
        <w:t>Les femmes sont marginalisées du fait de plusieurs situations dont:</w:t>
      </w:r>
    </w:p>
    <w:p w:rsidR="00000000" w:rsidRDefault="00000000">
      <w:pPr>
        <w:spacing w:after="240"/>
        <w:ind w:firstLine="567"/>
      </w:pPr>
      <w:r>
        <w:t>a)</w:t>
      </w:r>
      <w:r>
        <w:tab/>
        <w:t>L’analphabétisme et le manque d’instruction;</w:t>
      </w:r>
    </w:p>
    <w:p w:rsidR="00000000" w:rsidRDefault="00000000">
      <w:pPr>
        <w:spacing w:after="240"/>
        <w:ind w:firstLine="567"/>
      </w:pPr>
      <w:r>
        <w:t>b)</w:t>
      </w:r>
      <w:r>
        <w:tab/>
        <w:t>Leur statut par rapport aux mœurs dans certaines communautés;</w:t>
      </w:r>
    </w:p>
    <w:p w:rsidR="00000000" w:rsidRDefault="00000000">
      <w:pPr>
        <w:spacing w:after="240"/>
        <w:ind w:firstLine="567"/>
      </w:pPr>
      <w:r>
        <w:t>c)</w:t>
      </w:r>
      <w:r>
        <w:tab/>
        <w:t>Leur situation matrimoniale et particulièrement la déconsidération des femmes célibataires ou sans enfant dans certaines sociétés;</w:t>
      </w:r>
    </w:p>
    <w:p w:rsidR="00000000" w:rsidRDefault="00000000">
      <w:pPr>
        <w:spacing w:after="240"/>
        <w:ind w:firstLine="567"/>
      </w:pPr>
      <w:r>
        <w:t>d)</w:t>
      </w:r>
      <w:r>
        <w:tab/>
        <w:t>La position des familles vis-à-vis des traditions en matière d’héritage;</w:t>
      </w:r>
    </w:p>
    <w:p w:rsidR="00000000" w:rsidRDefault="00000000">
      <w:pPr>
        <w:spacing w:after="240"/>
        <w:ind w:firstLine="567"/>
      </w:pPr>
      <w:r>
        <w:t>e)</w:t>
      </w:r>
      <w:r>
        <w:tab/>
        <w:t>La pauvreté des femmes en milieu rural.</w:t>
      </w:r>
    </w:p>
    <w:p w:rsidR="00000000" w:rsidRDefault="00000000">
      <w:pPr>
        <w:spacing w:after="240"/>
      </w:pPr>
      <w:r>
        <w:t>40.</w:t>
      </w:r>
      <w:r>
        <w:tab/>
        <w:t>Ces facteurs expliquent les causes de la faible participation des femmes dans la vie politique et dans le débat public en général.</w:t>
      </w:r>
    </w:p>
    <w:p w:rsidR="00000000" w:rsidRDefault="00000000">
      <w:pPr>
        <w:keepNext/>
        <w:spacing w:after="240"/>
        <w:ind w:firstLine="567"/>
        <w:rPr>
          <w:b/>
          <w:bCs/>
        </w:rPr>
      </w:pPr>
      <w:r>
        <w:rPr>
          <w:b/>
          <w:bCs/>
        </w:rPr>
        <w:t>Les progrès réalisés</w:t>
      </w:r>
    </w:p>
    <w:p w:rsidR="00000000" w:rsidRDefault="00000000">
      <w:pPr>
        <w:spacing w:after="240"/>
      </w:pPr>
      <w:r>
        <w:t>41.</w:t>
      </w:r>
      <w:r>
        <w:tab/>
        <w:t>Le Gouvernement malagasy a établi un Plan d’action national genre et développement (PANAGED) pour la période 2004-2008 dont l’objectif est de contribuer à lever, sinon réduire les obstacles et contraintes à la promotion d’un développement équitable et durable entre les genres et soutenir une participation effective et réelle des femmes dans la vie civile et politique.</w:t>
      </w:r>
    </w:p>
    <w:p w:rsidR="00000000" w:rsidRDefault="00000000">
      <w:pPr>
        <w:spacing w:after="240"/>
      </w:pPr>
      <w:r>
        <w:t>42.</w:t>
      </w:r>
      <w:r>
        <w:tab/>
        <w:t>Ci</w:t>
      </w:r>
      <w:r>
        <w:noBreakHyphen/>
        <w:t>après quelques situations mettant en relief des cas de disparité:</w:t>
      </w:r>
    </w:p>
    <w:p w:rsidR="00000000" w:rsidRDefault="00000000">
      <w:pPr>
        <w:spacing w:after="240"/>
        <w:ind w:firstLine="567"/>
      </w:pPr>
      <w:r>
        <w:t>a)</w:t>
      </w:r>
      <w:r>
        <w:tab/>
        <w:t>En 1999, le taux de femmes parlementaires (députés et sénateurs), était de 10 %;</w:t>
      </w:r>
    </w:p>
    <w:p w:rsidR="00000000" w:rsidRDefault="00000000">
      <w:pPr>
        <w:spacing w:after="240"/>
        <w:ind w:firstLine="567"/>
      </w:pPr>
      <w:r>
        <w:t>b)</w:t>
      </w:r>
      <w:r>
        <w:tab/>
        <w:t>Et dans l’actuelle législature, il est de 5 % seulement;</w:t>
      </w:r>
    </w:p>
    <w:p w:rsidR="00000000" w:rsidRDefault="00000000">
      <w:pPr>
        <w:spacing w:after="240"/>
        <w:ind w:firstLine="567"/>
      </w:pPr>
      <w:r>
        <w:t>c)</w:t>
      </w:r>
      <w:r>
        <w:tab/>
        <w:t>Il est généralement reconnu que près de 25 % des postes de direction et de cadre supérieur et un tiers des postes de direction et de fonction technique sont occupés par des femmes.</w:t>
      </w:r>
    </w:p>
    <w:p w:rsidR="00000000" w:rsidRDefault="00000000">
      <w:pPr>
        <w:spacing w:after="240"/>
      </w:pPr>
      <w:r>
        <w:t>43.</w:t>
      </w:r>
      <w:r>
        <w:tab/>
        <w:t>La proportion des femmes actives est en légère augmentation:</w:t>
      </w:r>
    </w:p>
    <w:p w:rsidR="00000000" w:rsidRDefault="00000000">
      <w:pPr>
        <w:spacing w:after="240"/>
        <w:ind w:firstLine="567"/>
      </w:pPr>
      <w:r>
        <w:t>a)</w:t>
      </w:r>
      <w:r>
        <w:tab/>
        <w:t>46,6 % en 1997;</w:t>
      </w:r>
    </w:p>
    <w:p w:rsidR="00000000" w:rsidRDefault="00000000">
      <w:pPr>
        <w:spacing w:after="240"/>
        <w:ind w:firstLine="567"/>
      </w:pPr>
      <w:r>
        <w:t>b)</w:t>
      </w:r>
      <w:r>
        <w:tab/>
        <w:t>46,7 % en 1998-1999;</w:t>
      </w:r>
    </w:p>
    <w:p w:rsidR="00000000" w:rsidRDefault="00000000">
      <w:pPr>
        <w:spacing w:after="240"/>
        <w:ind w:firstLine="567"/>
      </w:pPr>
      <w:r>
        <w:t>c)</w:t>
      </w:r>
      <w:r>
        <w:tab/>
        <w:t>48,8 % en 2001.</w:t>
      </w:r>
    </w:p>
    <w:p w:rsidR="00000000" w:rsidRDefault="00000000">
      <w:pPr>
        <w:spacing w:after="240"/>
        <w:ind w:firstLine="567"/>
      </w:pPr>
      <w:r>
        <w:rPr>
          <w:i/>
          <w:iCs/>
        </w:rPr>
        <w:t>Source</w:t>
      </w:r>
      <w:r>
        <w:t>: Rapport national sur le développement humain en 2003.</w:t>
      </w:r>
    </w:p>
    <w:p w:rsidR="00000000" w:rsidRDefault="00000000">
      <w:pPr>
        <w:keepNext/>
        <w:spacing w:after="240"/>
        <w:jc w:val="center"/>
        <w:rPr>
          <w:b/>
          <w:bCs/>
        </w:rPr>
      </w:pPr>
      <w:bookmarkStart w:id="5" w:name="_Toc98224896"/>
      <w:r>
        <w:rPr>
          <w:b/>
          <w:bCs/>
        </w:rPr>
        <w:t>ARTICLE 4</w:t>
      </w:r>
      <w:bookmarkEnd w:id="5"/>
    </w:p>
    <w:p w:rsidR="00000000" w:rsidRDefault="00000000">
      <w:pPr>
        <w:keepNext/>
        <w:spacing w:after="240"/>
        <w:jc w:val="center"/>
        <w:rPr>
          <w:b/>
          <w:bCs/>
        </w:rPr>
      </w:pPr>
      <w:r>
        <w:rPr>
          <w:b/>
          <w:bCs/>
        </w:rPr>
        <w:t>Situations d’exception</w:t>
      </w:r>
    </w:p>
    <w:p w:rsidR="00000000" w:rsidRDefault="00000000">
      <w:pPr>
        <w:spacing w:after="240"/>
      </w:pPr>
      <w:r>
        <w:t>44.</w:t>
      </w:r>
      <w:r>
        <w:tab/>
        <w:t>L’article 4 du Pacte consacre les possibilités pour l’</w:t>
      </w:r>
      <w:r>
        <w:rPr>
          <w:color w:val="000000"/>
        </w:rPr>
        <w:t>État</w:t>
      </w:r>
      <w:r>
        <w:t xml:space="preserve"> de prendre des mesures dérogatoires en cas de situation exceptionnelle.</w:t>
      </w:r>
    </w:p>
    <w:p w:rsidR="00000000" w:rsidRDefault="00000000">
      <w:pPr>
        <w:spacing w:after="240"/>
      </w:pPr>
      <w:r>
        <w:t>45.</w:t>
      </w:r>
      <w:r>
        <w:tab/>
        <w:t>Dans la législation malagasy, on distingue trois cas de situation d’exceptions:</w:t>
      </w:r>
    </w:p>
    <w:p w:rsidR="00000000" w:rsidRDefault="00000000">
      <w:pPr>
        <w:spacing w:after="240"/>
        <w:ind w:firstLine="567"/>
      </w:pPr>
      <w:r>
        <w:t>a)</w:t>
      </w:r>
      <w:r>
        <w:tab/>
        <w:t>La situation d’urgence;</w:t>
      </w:r>
    </w:p>
    <w:p w:rsidR="00000000" w:rsidRDefault="00000000">
      <w:pPr>
        <w:spacing w:after="240"/>
        <w:ind w:firstLine="567"/>
      </w:pPr>
      <w:r>
        <w:t>b)</w:t>
      </w:r>
      <w:r>
        <w:tab/>
        <w:t>L’état de nécessité nationale;</w:t>
      </w:r>
    </w:p>
    <w:p w:rsidR="00000000" w:rsidRDefault="00000000">
      <w:pPr>
        <w:spacing w:after="240"/>
        <w:ind w:firstLine="567"/>
      </w:pPr>
      <w:r>
        <w:t>c)</w:t>
      </w:r>
      <w:r>
        <w:tab/>
        <w:t>La loi martiale.</w:t>
      </w:r>
    </w:p>
    <w:p w:rsidR="00000000" w:rsidRDefault="00000000">
      <w:pPr>
        <w:spacing w:after="240"/>
      </w:pPr>
      <w:r>
        <w:t>46</w:t>
      </w:r>
      <w:r>
        <w:rPr>
          <w:color w:val="0000FF"/>
        </w:rPr>
        <w:t>.</w:t>
      </w:r>
      <w:r>
        <w:rPr>
          <w:color w:val="0000FF"/>
        </w:rPr>
        <w:tab/>
      </w:r>
      <w:r>
        <w:t>La Constitution du 18 septembre 1992,en son article 59, dispose que:</w:t>
      </w:r>
    </w:p>
    <w:p w:rsidR="00000000" w:rsidRDefault="00000000">
      <w:pPr>
        <w:spacing w:after="240"/>
        <w:ind w:left="567"/>
      </w:pPr>
      <w:r>
        <w:t>«</w:t>
      </w:r>
      <w:r>
        <w:rPr>
          <w:i/>
          <w:iCs/>
        </w:rPr>
        <w:t>Lorsque les institutions de la République, l’indépendance de la Nation, son unité ou l’intégrité de son territoire sont menacées et que le fonctionnement régulier des pouvoirs publics se trouve compromis, le Président de la République peut proclamer sur tout ou partie du territoire national, la situation d’exception, à savoir la situation d’urgence, l’état de nécessité ou la loi martiale. La décision est prise par le Président de la République en Conseil des ministres, après avis des Présidents de l’Assemblée nationale, du Sénat et de la Haute Cour constitutionnelle.</w:t>
      </w:r>
      <w:r>
        <w:t>».</w:t>
      </w:r>
    </w:p>
    <w:p w:rsidR="00000000" w:rsidRDefault="00000000">
      <w:pPr>
        <w:spacing w:after="240"/>
      </w:pPr>
      <w:r>
        <w:t>47.</w:t>
      </w:r>
      <w:r>
        <w:tab/>
        <w:t>La loi n</w:t>
      </w:r>
      <w:r>
        <w:rPr>
          <w:vertAlign w:val="superscript"/>
        </w:rPr>
        <w:t>o</w:t>
      </w:r>
      <w:r>
        <w:t> 91</w:t>
      </w:r>
      <w:r>
        <w:noBreakHyphen/>
        <w:t>011 du 18 juillet 1991 relative aux situations d’exception, fixe les modalités à suivre selon les cas.</w:t>
      </w:r>
    </w:p>
    <w:p w:rsidR="00000000" w:rsidRDefault="00000000">
      <w:pPr>
        <w:keepNext/>
        <w:spacing w:after="240"/>
        <w:ind w:firstLine="567"/>
        <w:rPr>
          <w:b/>
          <w:bCs/>
        </w:rPr>
      </w:pPr>
      <w:r>
        <w:rPr>
          <w:b/>
          <w:bCs/>
        </w:rPr>
        <w:t>La situation d’urgence</w:t>
      </w:r>
    </w:p>
    <w:p w:rsidR="00000000" w:rsidRDefault="00000000">
      <w:pPr>
        <w:spacing w:after="240"/>
      </w:pPr>
      <w:r>
        <w:t>48.</w:t>
      </w:r>
      <w:r>
        <w:tab/>
        <w:t>Article 13. La situation d’urgence peut être proclamée soit en cas de péril imminent résultant d’atteintes graves à l’ordre public ou à la sécurité de l’État, soit en cas d’événements qui, par leur nature et leur gravité, présentent le caractère de calamité publique.</w:t>
      </w:r>
    </w:p>
    <w:p w:rsidR="00000000" w:rsidRDefault="00000000">
      <w:pPr>
        <w:spacing w:after="240"/>
      </w:pPr>
      <w:r>
        <w:t>49.</w:t>
      </w:r>
      <w:r>
        <w:tab/>
        <w:t>La situation d’urgence peut s’appliquer sur tout ou, partie du territoire. Le décret proclamant la situation d’urgence fixe la ou les circonscriptions territoriales concernées par les mesures édictées à l’intérieur desquelles elle est appliquée.</w:t>
      </w:r>
    </w:p>
    <w:p w:rsidR="00000000" w:rsidRDefault="00000000">
      <w:pPr>
        <w:spacing w:after="240"/>
      </w:pPr>
      <w:r>
        <w:t>50.</w:t>
      </w:r>
      <w:r>
        <w:tab/>
        <w:t>La durée de la situation d’urgence est de quinze jours.</w:t>
      </w:r>
    </w:p>
    <w:p w:rsidR="00000000" w:rsidRDefault="00000000">
      <w:pPr>
        <w:spacing w:after="240"/>
      </w:pPr>
      <w:r>
        <w:t>51.</w:t>
      </w:r>
      <w:r>
        <w:tab/>
        <w:t>Elle peut être prolongée dans les conditions prévues par l’article 3 de la loi suscitée.</w:t>
      </w:r>
    </w:p>
    <w:p w:rsidR="00000000" w:rsidRDefault="00000000">
      <w:pPr>
        <w:spacing w:after="240"/>
      </w:pPr>
      <w:r>
        <w:t>52.</w:t>
      </w:r>
      <w:r>
        <w:tab/>
        <w:t>La proclamation de la situation d’urgence confère au Président de la République le pouvoir:</w:t>
      </w:r>
    </w:p>
    <w:p w:rsidR="00000000" w:rsidRDefault="00000000">
      <w:pPr>
        <w:spacing w:after="240"/>
        <w:ind w:firstLine="567"/>
      </w:pPr>
      <w:r>
        <w:t>a)</w:t>
      </w:r>
      <w:r>
        <w:tab/>
        <w:t>De légiférer par voie réglementaire;</w:t>
      </w:r>
    </w:p>
    <w:p w:rsidR="00000000" w:rsidRDefault="00000000">
      <w:pPr>
        <w:spacing w:after="240"/>
        <w:ind w:firstLine="567"/>
      </w:pPr>
      <w:r>
        <w:t>b)</w:t>
      </w:r>
      <w:r>
        <w:tab/>
        <w:t>D’instaurer le couvre-feu, en limitant ou en interdisant la circulation des personnes, des véhicules à des heures fixes;</w:t>
      </w:r>
    </w:p>
    <w:p w:rsidR="00000000" w:rsidRDefault="00000000">
      <w:pPr>
        <w:spacing w:after="240"/>
        <w:ind w:firstLine="567"/>
      </w:pPr>
      <w:r>
        <w:t>c)</w:t>
      </w:r>
      <w:r>
        <w:tab/>
        <w:t>D’interdire le séjour, dans tout ou partie de la circonscription à toute personne cherchant à entraver, de quelque manière que ce soit, l’action des pouvoirs publics;</w:t>
      </w:r>
    </w:p>
    <w:p w:rsidR="00000000" w:rsidRDefault="00000000">
      <w:pPr>
        <w:spacing w:after="240"/>
        <w:ind w:firstLine="567"/>
      </w:pPr>
      <w:r>
        <w:t>d)</w:t>
      </w:r>
      <w:r>
        <w:tab/>
        <w:t>D’instituer des zones de protection ou de sécurité où le séjour des personnes est réglementé;</w:t>
      </w:r>
    </w:p>
    <w:p w:rsidR="00000000" w:rsidRDefault="00000000">
      <w:pPr>
        <w:spacing w:after="240"/>
        <w:ind w:firstLine="567"/>
      </w:pPr>
      <w:r>
        <w:t>e)</w:t>
      </w:r>
      <w:r>
        <w:tab/>
        <w:t>D’ordonner la fermeture des salles de spectacles, dancings, casinos, débits de boissons et de tous autres lieux ouverts au public;</w:t>
      </w:r>
    </w:p>
    <w:p w:rsidR="00000000" w:rsidRDefault="00000000">
      <w:pPr>
        <w:spacing w:after="240"/>
        <w:ind w:firstLine="567"/>
      </w:pPr>
      <w:r>
        <w:t>f)</w:t>
      </w:r>
      <w:r>
        <w:tab/>
        <w:t>D’ordonner la remise des armes de première, deuxième et troisième catégorie, ainsi que des munitions, appartenant aux particuliers ou détenues par eux et prescrire leur dépôt entre les mains des autorités et dans les lieux désignés à cet effet, sauf celles appartenant aux membres des institutions, par application du décret n</w:t>
      </w:r>
      <w:r>
        <w:rPr>
          <w:vertAlign w:val="superscript"/>
        </w:rPr>
        <w:t>o</w:t>
      </w:r>
      <w:r>
        <w:t> 70-041 du 13 janvier 1970;</w:t>
      </w:r>
    </w:p>
    <w:p w:rsidR="00000000" w:rsidRDefault="00000000">
      <w:pPr>
        <w:spacing w:after="240"/>
        <w:ind w:firstLine="567"/>
      </w:pPr>
      <w:r>
        <w:t>g)</w:t>
      </w:r>
      <w:r>
        <w:tab/>
        <w:t>D’ordonner des perquisitions à domicile de jour et de nuit au domicile des personnes dont les activités s’avèrent dangereuses pour l’ordre public ou la sécurité de l’</w:t>
      </w:r>
      <w:r>
        <w:rPr>
          <w:color w:val="000000"/>
        </w:rPr>
        <w:t>État</w:t>
      </w:r>
      <w:r>
        <w:t>;</w:t>
      </w:r>
    </w:p>
    <w:p w:rsidR="00000000" w:rsidRDefault="00000000">
      <w:pPr>
        <w:spacing w:after="240"/>
        <w:ind w:firstLine="567"/>
      </w:pPr>
      <w:r>
        <w:t>h)</w:t>
      </w:r>
      <w:r>
        <w:tab/>
        <w:t>De prendre toutes les mesures pour assurer le contrôle de la presse, des publications et des émissions de toute nature et interdire celles qui sont de nature à perturber l’ordre public ou à mettre en danger l’unité nationale;</w:t>
      </w:r>
    </w:p>
    <w:p w:rsidR="00000000" w:rsidRDefault="00000000">
      <w:pPr>
        <w:spacing w:after="240"/>
        <w:ind w:firstLine="567"/>
      </w:pPr>
      <w:r>
        <w:t>i)</w:t>
      </w:r>
      <w:r>
        <w:tab/>
        <w:t>De prononcer l’assignation à résidence dans une circonscription territoriale ou une localité déterminée contre toute personne dont l’activité s’avère dangereuse pour l’ordre et la sécurité publique;</w:t>
      </w:r>
    </w:p>
    <w:p w:rsidR="00000000" w:rsidRDefault="00000000">
      <w:pPr>
        <w:spacing w:after="240"/>
        <w:ind w:firstLine="567"/>
      </w:pPr>
      <w:r>
        <w:t>j)</w:t>
      </w:r>
      <w:r>
        <w:tab/>
        <w:t>D’interdire à titre général ou particulier les réunions de nature à provoquer ou à entretenir le désordre.</w:t>
      </w:r>
    </w:p>
    <w:p w:rsidR="00000000" w:rsidRDefault="00000000">
      <w:pPr>
        <w:spacing w:after="240"/>
      </w:pPr>
      <w:r>
        <w:t>53.</w:t>
      </w:r>
      <w:r>
        <w:tab/>
        <w:t>Les armes et munitions déposées en vertu de l’alinéa précédent donnent lieu à récépissé. Toutes dispositions sont prises pour qu’elles soient rendues à leurs propriétaires en l’état où elles étaient lors de leur dépôt dès la levée de la situation d’urgence.</w:t>
      </w:r>
    </w:p>
    <w:p w:rsidR="00000000" w:rsidRDefault="00000000">
      <w:pPr>
        <w:keepNext/>
        <w:spacing w:after="240"/>
        <w:ind w:firstLine="567"/>
        <w:rPr>
          <w:b/>
          <w:bCs/>
        </w:rPr>
      </w:pPr>
      <w:r>
        <w:rPr>
          <w:b/>
          <w:bCs/>
        </w:rPr>
        <w:t>État de nécessite nationale</w:t>
      </w:r>
    </w:p>
    <w:p w:rsidR="00000000" w:rsidRDefault="00000000">
      <w:pPr>
        <w:spacing w:after="240"/>
      </w:pPr>
      <w:r>
        <w:t>54.</w:t>
      </w:r>
      <w:r>
        <w:tab/>
        <w:t>L’état de nécessité nationale peut être proclamé en cas de crise politique, économique ou sociale qui, par son ampleur et sa gravité constitue une menace pour l’avenir de la nation ou est susceptible d’entraver ou d’empêcher le fonctionnement normal des institutions de la République.</w:t>
      </w:r>
    </w:p>
    <w:p w:rsidR="00000000" w:rsidRDefault="00000000">
      <w:pPr>
        <w:spacing w:after="240"/>
      </w:pPr>
      <w:r>
        <w:t>55.</w:t>
      </w:r>
      <w:r>
        <w:tab/>
        <w:t>L’état de nécessité nationale est proclamé sur toute l’étendue du territoire.</w:t>
      </w:r>
    </w:p>
    <w:p w:rsidR="00000000" w:rsidRDefault="00000000">
      <w:pPr>
        <w:spacing w:after="240"/>
      </w:pPr>
      <w:r>
        <w:t>56.</w:t>
      </w:r>
      <w:r>
        <w:tab/>
        <w:t>La durée de l’état de nécessité nationale est de trois mois.</w:t>
      </w:r>
    </w:p>
    <w:p w:rsidR="00000000" w:rsidRDefault="00000000">
      <w:pPr>
        <w:spacing w:after="240"/>
      </w:pPr>
      <w:r>
        <w:t>57.</w:t>
      </w:r>
      <w:r>
        <w:tab/>
        <w:t xml:space="preserve">La proclamation de l’état de nécessité nationale confère au Président de la République, outre ceux déjà énumérés plus hauts le droit: </w:t>
      </w:r>
    </w:p>
    <w:p w:rsidR="00000000" w:rsidRDefault="00000000">
      <w:pPr>
        <w:spacing w:after="240"/>
        <w:ind w:firstLine="567"/>
      </w:pPr>
      <w:r>
        <w:t>a)</w:t>
      </w:r>
      <w:r>
        <w:tab/>
        <w:t>D’ordonner des perquisitions de jour et de nuit au domicile de toute personne dont les activités s’avèrent dangereuses pour l’ordre et la sécurité publique;</w:t>
      </w:r>
    </w:p>
    <w:p w:rsidR="00000000" w:rsidRDefault="00000000">
      <w:pPr>
        <w:spacing w:after="240"/>
        <w:ind w:firstLine="567"/>
      </w:pPr>
      <w:r>
        <w:t>b)</w:t>
      </w:r>
      <w:r>
        <w:tab/>
        <w:t>D’assigner à résidence, pour une durée ne pouvant pas dépasser celle de l’état de nécessité nationale, dans une circonscription ou une localité déterminée, toute personne dont les activités sont de nature à entraver l’action des pouvoirs publics;</w:t>
      </w:r>
    </w:p>
    <w:p w:rsidR="00000000" w:rsidRDefault="00000000">
      <w:pPr>
        <w:spacing w:after="240"/>
        <w:ind w:firstLine="567"/>
      </w:pPr>
      <w:r>
        <w:t>c)</w:t>
      </w:r>
      <w:r>
        <w:tab/>
        <w:t>Dans ce cas, l’État doit prendre toutes dispositions pour assurer la subsistance des personnes assignées à résidence;</w:t>
      </w:r>
    </w:p>
    <w:p w:rsidR="00000000" w:rsidRDefault="00000000">
      <w:pPr>
        <w:spacing w:after="240"/>
        <w:ind w:firstLine="567"/>
      </w:pPr>
      <w:r>
        <w:t>d)</w:t>
      </w:r>
      <w:r>
        <w:tab/>
        <w:t>De prendre toutes mesures pour assurer le contrôle de la presse et des publications de toute nature ainsi que des émissions radiophoniques et télévisées;</w:t>
      </w:r>
    </w:p>
    <w:p w:rsidR="00000000" w:rsidRDefault="00000000">
      <w:pPr>
        <w:spacing w:after="240"/>
        <w:ind w:firstLine="567"/>
      </w:pPr>
      <w:r>
        <w:t>e)</w:t>
      </w:r>
      <w:r>
        <w:tab/>
        <w:t>De contrôler les échanges téléphoniques ou postaux;</w:t>
      </w:r>
    </w:p>
    <w:p w:rsidR="00000000" w:rsidRDefault="00000000">
      <w:pPr>
        <w:spacing w:after="240"/>
        <w:ind w:firstLine="567"/>
      </w:pPr>
      <w:r>
        <w:t>f)</w:t>
      </w:r>
      <w:r>
        <w:tab/>
        <w:t>D’instituer des zones où le séjour des personnes est réglementé;</w:t>
      </w:r>
    </w:p>
    <w:p w:rsidR="00000000" w:rsidRDefault="00000000">
      <w:pPr>
        <w:spacing w:after="240"/>
        <w:ind w:firstLine="567"/>
      </w:pPr>
      <w:r>
        <w:t>g)</w:t>
      </w:r>
      <w:r>
        <w:tab/>
        <w:t>D’interdire tout rassemblement;</w:t>
      </w:r>
    </w:p>
    <w:p w:rsidR="00000000" w:rsidRDefault="00000000">
      <w:pPr>
        <w:spacing w:after="240"/>
        <w:ind w:firstLine="567"/>
      </w:pPr>
      <w:r>
        <w:t>h)</w:t>
      </w:r>
      <w:r>
        <w:tab/>
        <w:t>D’interdire la vente de boissons alcooliques;</w:t>
      </w:r>
    </w:p>
    <w:p w:rsidR="00000000" w:rsidRDefault="00000000">
      <w:pPr>
        <w:spacing w:after="240"/>
        <w:ind w:firstLine="567"/>
      </w:pPr>
      <w:r>
        <w:t>i)</w:t>
      </w:r>
      <w:r>
        <w:tab/>
        <w:t>De suspendre les élections partielles.</w:t>
      </w:r>
    </w:p>
    <w:p w:rsidR="00000000" w:rsidRDefault="00000000">
      <w:pPr>
        <w:keepNext/>
        <w:spacing w:after="240"/>
        <w:ind w:firstLine="567"/>
        <w:rPr>
          <w:b/>
          <w:bCs/>
        </w:rPr>
      </w:pPr>
      <w:r>
        <w:rPr>
          <w:b/>
          <w:bCs/>
        </w:rPr>
        <w:t>La loi martiale</w:t>
      </w:r>
    </w:p>
    <w:p w:rsidR="00000000" w:rsidRDefault="00000000">
      <w:pPr>
        <w:spacing w:after="240"/>
      </w:pPr>
      <w:r>
        <w:t>58.</w:t>
      </w:r>
      <w:r>
        <w:tab/>
        <w:t>Le décret proclamant la loi martiale fixe les circonscriptions à l’intérieur desquelles elle est instituée.</w:t>
      </w:r>
    </w:p>
    <w:p w:rsidR="00000000" w:rsidRDefault="00000000">
      <w:pPr>
        <w:spacing w:after="240"/>
      </w:pPr>
      <w:r>
        <w:t>59.</w:t>
      </w:r>
      <w:r>
        <w:tab/>
        <w:t>La loi martiale peut être proclamée en cas de péril imminent susceptible d’entraver ou d’empêcher le fonctionnement normal des institutions de la République et résultant d’une attaque d’origine étrangère, de troubles sanglants ou d’une insurrection armée.</w:t>
      </w:r>
    </w:p>
    <w:p w:rsidR="00000000" w:rsidRDefault="00000000">
      <w:pPr>
        <w:spacing w:after="240"/>
      </w:pPr>
      <w:r>
        <w:t>60.</w:t>
      </w:r>
      <w:r>
        <w:tab/>
        <w:t>Le décret de proclamation est porté à la connaissance de la nation par un message du Président de la République, dont la diffusion est assurée par tous moyens.</w:t>
      </w:r>
    </w:p>
    <w:p w:rsidR="00000000" w:rsidRDefault="00000000">
      <w:pPr>
        <w:spacing w:after="240"/>
        <w:rPr>
          <w:color w:val="333333"/>
        </w:rPr>
      </w:pPr>
      <w:r>
        <w:rPr>
          <w:color w:val="333333"/>
        </w:rPr>
        <w:t>61.</w:t>
      </w:r>
      <w:r>
        <w:rPr>
          <w:color w:val="333333"/>
        </w:rPr>
        <w:tab/>
        <w:t>La durée de la loi martiale est de trois mois. Elle peut être prolongée dans les conditions prévues par la loi.</w:t>
      </w:r>
    </w:p>
    <w:p w:rsidR="00000000" w:rsidRDefault="00000000">
      <w:pPr>
        <w:spacing w:after="240"/>
      </w:pPr>
      <w:r>
        <w:t>62.</w:t>
      </w:r>
      <w:r>
        <w:tab/>
        <w:t>La proclamation de la loi martiale a pour effet de transférer aux autorités militaires les compétences en matière de défense, de police et de maintien de l’ordre.</w:t>
      </w:r>
    </w:p>
    <w:p w:rsidR="00000000" w:rsidRDefault="00000000">
      <w:pPr>
        <w:spacing w:after="240"/>
      </w:pPr>
      <w:r>
        <w:t>63.</w:t>
      </w:r>
      <w:r>
        <w:tab/>
        <w:t>En dehors des domaines définis, les autorités administratives et civiles continuent d’exercer les pouvoirs dont elles sont détentrices, à moins qu’elles n’en aient été expressément dessaisies en tout ou en partie, par l’autorité militaire compétente.</w:t>
      </w:r>
    </w:p>
    <w:p w:rsidR="00000000" w:rsidRDefault="00000000">
      <w:pPr>
        <w:spacing w:after="240"/>
      </w:pPr>
      <w:r>
        <w:t>64.</w:t>
      </w:r>
      <w:r>
        <w:tab/>
        <w:t>Le dessaisissement résulte d’une décision écrite, notifiée tant à l’agent ou au service public dessaisi, qu’à son supérieur hiérarchique direct.</w:t>
      </w:r>
    </w:p>
    <w:p w:rsidR="00000000" w:rsidRDefault="00000000">
      <w:pPr>
        <w:spacing w:after="240"/>
      </w:pPr>
      <w:r>
        <w:t>65.</w:t>
      </w:r>
      <w:r>
        <w:tab/>
        <w:t xml:space="preserve">Le transfert de compétence s’opère au profit des autorités militaires au niveau provincial, préfectoral et communal en vertu d’une désignation du Président de la République. </w:t>
      </w:r>
    </w:p>
    <w:p w:rsidR="00000000" w:rsidRDefault="00000000">
      <w:pPr>
        <w:spacing w:after="240"/>
      </w:pPr>
      <w:r>
        <w:t>66.</w:t>
      </w:r>
      <w:r>
        <w:tab/>
        <w:t>Tout attroupement, manifestation, défilé ou procession sur les voies publiques est interdit dès la proclamation de la loi martiale et sera dispersé d’office par l’autorité militaire à l’aide de tous moyens propres à y parvenir sans effusion de sang.</w:t>
      </w:r>
    </w:p>
    <w:p w:rsidR="00000000" w:rsidRDefault="00000000">
      <w:pPr>
        <w:spacing w:after="240"/>
      </w:pPr>
      <w:r>
        <w:t>67.</w:t>
      </w:r>
      <w:r>
        <w:tab/>
        <w:t>À l’occasion de son intervention, la troupe doit s’employer à éviter, l’usage des armes, en l’occurrence celui des armes blanches, celui des armes à feu et celui des engins explosifs. L’usage de ces armes n’est autorisé qu’en cas de légitime défense caractérisée.</w:t>
      </w:r>
    </w:p>
    <w:p w:rsidR="00000000" w:rsidRDefault="00000000">
      <w:pPr>
        <w:spacing w:after="240"/>
      </w:pPr>
      <w:r>
        <w:t>68.</w:t>
      </w:r>
      <w:r>
        <w:tab/>
        <w:t xml:space="preserve">Ces mesures de restriction nécessaires en période d’exception sont compatibles avec les mesures dérogatoires acceptées par le Pacte et dans tous les cas elles sont exercées sans discrimination fondée sur la race, le sexe, la religion ou l’origine sociale. </w:t>
      </w:r>
    </w:p>
    <w:p w:rsidR="00000000" w:rsidRDefault="00000000">
      <w:pPr>
        <w:keepNext/>
        <w:spacing w:after="240"/>
        <w:jc w:val="center"/>
        <w:rPr>
          <w:b/>
          <w:bCs/>
        </w:rPr>
      </w:pPr>
      <w:bookmarkStart w:id="6" w:name="_Toc98224897"/>
      <w:r>
        <w:rPr>
          <w:b/>
          <w:bCs/>
        </w:rPr>
        <w:t>ARTICLE 5</w:t>
      </w:r>
      <w:bookmarkEnd w:id="6"/>
    </w:p>
    <w:p w:rsidR="00000000" w:rsidRDefault="00000000">
      <w:pPr>
        <w:keepNext/>
        <w:spacing w:after="240"/>
        <w:jc w:val="center"/>
        <w:rPr>
          <w:b/>
          <w:bCs/>
        </w:rPr>
      </w:pPr>
      <w:r>
        <w:rPr>
          <w:b/>
          <w:bCs/>
        </w:rPr>
        <w:t>Interprétation stricte des clauses du Pacte</w:t>
      </w:r>
    </w:p>
    <w:p w:rsidR="00000000" w:rsidRDefault="00000000">
      <w:pPr>
        <w:spacing w:after="240"/>
      </w:pPr>
      <w:r>
        <w:t>69.</w:t>
      </w:r>
      <w:r>
        <w:tab/>
        <w:t>L’article 5 couvre une grande partie des dispositions du Pacte.</w:t>
      </w:r>
    </w:p>
    <w:p w:rsidR="00000000" w:rsidRDefault="00000000">
      <w:pPr>
        <w:spacing w:after="240"/>
      </w:pPr>
      <w:r>
        <w:t>70.</w:t>
      </w:r>
      <w:r>
        <w:tab/>
        <w:t>L’élaboration de la nouvelle Constitution a été une opportunité pour renforcer le respect et la protection des libertés et droits fondamentaux.</w:t>
      </w:r>
    </w:p>
    <w:p w:rsidR="00000000" w:rsidRDefault="00000000">
      <w:pPr>
        <w:spacing w:after="240"/>
      </w:pPr>
      <w:r>
        <w:t>71.</w:t>
      </w:r>
      <w:r>
        <w:tab/>
        <w:t>Des réformes législatives ont été adoptées sur:</w:t>
      </w:r>
    </w:p>
    <w:p w:rsidR="00000000" w:rsidRDefault="00000000">
      <w:pPr>
        <w:spacing w:after="240"/>
        <w:ind w:firstLine="567"/>
      </w:pPr>
      <w:r>
        <w:t>a)</w:t>
      </w:r>
      <w:r>
        <w:tab/>
        <w:t>Les régimes matrimoniaux édictant un partage égalitaire des biens de la communauté en cas de dissolution du mariage;</w:t>
      </w:r>
    </w:p>
    <w:p w:rsidR="00000000" w:rsidRDefault="00000000">
      <w:pPr>
        <w:spacing w:after="240"/>
        <w:ind w:firstLine="567"/>
      </w:pPr>
      <w:r>
        <w:t>b)</w:t>
      </w:r>
      <w:r>
        <w:tab/>
        <w:t>L’abrogation des dispositions de la loi pénale punissant sévèrement la femme convaincue d’adultère;</w:t>
      </w:r>
    </w:p>
    <w:p w:rsidR="00000000" w:rsidRDefault="00000000">
      <w:pPr>
        <w:spacing w:after="240"/>
        <w:ind w:firstLine="567"/>
      </w:pPr>
      <w:r>
        <w:t>c)</w:t>
      </w:r>
      <w:r>
        <w:tab/>
        <w:t>Le renforcement de la répression contre les auteurs d’infractions liées à la pédophilie (loi n</w:t>
      </w:r>
      <w:r>
        <w:rPr>
          <w:vertAlign w:val="superscript"/>
        </w:rPr>
        <w:t>o</w:t>
      </w:r>
      <w:r>
        <w:t> 98</w:t>
      </w:r>
      <w:r>
        <w:noBreakHyphen/>
        <w:t xml:space="preserve">024 </w:t>
      </w:r>
      <w:r>
        <w:rPr>
          <w:color w:val="333333"/>
        </w:rPr>
        <w:t>du 25 janvier 1999);</w:t>
      </w:r>
    </w:p>
    <w:p w:rsidR="00000000" w:rsidRDefault="00000000">
      <w:pPr>
        <w:spacing w:after="240"/>
        <w:ind w:firstLine="567"/>
      </w:pPr>
      <w:r>
        <w:t>d)</w:t>
      </w:r>
      <w:r>
        <w:tab/>
        <w:t>Les dispositions relatives aux violences sur les femmes et aux infractions sur les mœurs (loi n</w:t>
      </w:r>
      <w:r>
        <w:rPr>
          <w:vertAlign w:val="superscript"/>
        </w:rPr>
        <w:t>o</w:t>
      </w:r>
      <w:r>
        <w:t> 2000</w:t>
      </w:r>
      <w:r>
        <w:noBreakHyphen/>
        <w:t xml:space="preserve">021 </w:t>
      </w:r>
      <w:r>
        <w:rPr>
          <w:color w:val="333333"/>
        </w:rPr>
        <w:t>du 28 novembre 2000);</w:t>
      </w:r>
    </w:p>
    <w:p w:rsidR="00000000" w:rsidRDefault="00000000">
      <w:pPr>
        <w:spacing w:after="240"/>
        <w:ind w:firstLine="567"/>
      </w:pPr>
      <w:r>
        <w:t>e)</w:t>
      </w:r>
      <w:r>
        <w:tab/>
        <w:t>La promulgation de la loi n</w:t>
      </w:r>
      <w:r>
        <w:rPr>
          <w:vertAlign w:val="superscript"/>
        </w:rPr>
        <w:t>o</w:t>
      </w:r>
      <w:r>
        <w:t> 97</w:t>
      </w:r>
      <w:r>
        <w:noBreakHyphen/>
        <w:t>044 du 02 février 1998 relative aux droits des personnes handicapées. Le décret d’application n</w:t>
      </w:r>
      <w:r>
        <w:rPr>
          <w:vertAlign w:val="superscript"/>
        </w:rPr>
        <w:t>o</w:t>
      </w:r>
      <w:r>
        <w:t> 2001</w:t>
      </w:r>
      <w:r>
        <w:noBreakHyphen/>
        <w:t>162 du 21 février 2001 précise les droits tels que le droit à la santé, le droit à l’éducation, le droit au travail et d’autres droits sociaux;</w:t>
      </w:r>
    </w:p>
    <w:p w:rsidR="00000000" w:rsidRDefault="00000000">
      <w:pPr>
        <w:spacing w:after="240"/>
        <w:ind w:firstLine="567"/>
      </w:pPr>
      <w:r>
        <w:t>f)</w:t>
      </w:r>
      <w:r>
        <w:tab/>
        <w:t>La promulgation de la loi n</w:t>
      </w:r>
      <w:r>
        <w:rPr>
          <w:vertAlign w:val="superscript"/>
        </w:rPr>
        <w:t>o</w:t>
      </w:r>
      <w:r>
        <w:t> 97</w:t>
      </w:r>
      <w:r>
        <w:noBreakHyphen/>
        <w:t>036 du 30 octobre 1997 relative aux droits de la défense;</w:t>
      </w:r>
    </w:p>
    <w:p w:rsidR="00000000" w:rsidRDefault="00000000">
      <w:pPr>
        <w:spacing w:after="240"/>
        <w:ind w:firstLine="567"/>
      </w:pPr>
      <w:r>
        <w:t>g)</w:t>
      </w:r>
      <w:r>
        <w:tab/>
        <w:t>La ratification des deux protocoles additionnels à la Convention relative aux droits de l’enfant en janvier 2004, dont l’instrument de ratification a été déposé aux Nations Unies en septembre 2004 par le Président de la République;</w:t>
      </w:r>
    </w:p>
    <w:p w:rsidR="00000000" w:rsidRDefault="00000000">
      <w:pPr>
        <w:spacing w:after="240"/>
        <w:ind w:firstLine="567"/>
      </w:pPr>
      <w:r>
        <w:t>h)</w:t>
      </w:r>
      <w:r>
        <w:tab/>
        <w:t>La ratification de «</w:t>
      </w:r>
      <w:r>
        <w:rPr>
          <w:i/>
          <w:iCs/>
        </w:rPr>
        <w:t>la Charte africaine du droit et bien-être de l’enfant</w:t>
      </w:r>
      <w:r>
        <w:t>» lors de la session parlementaire en novembre 2004.</w:t>
      </w:r>
    </w:p>
    <w:p w:rsidR="00000000" w:rsidRDefault="00000000">
      <w:pPr>
        <w:spacing w:after="240"/>
      </w:pPr>
      <w:r>
        <w:t>72.</w:t>
      </w:r>
      <w:r>
        <w:tab/>
        <w:t>Conformément aux recommandations du Comité lors de l’examen du dernier rapport, la révision de l’ordonnance n</w:t>
      </w:r>
      <w:r>
        <w:rPr>
          <w:vertAlign w:val="superscript"/>
        </w:rPr>
        <w:t>o</w:t>
      </w:r>
      <w:r>
        <w:t> 79</w:t>
      </w:r>
      <w:r>
        <w:noBreakHyphen/>
        <w:t xml:space="preserve">025 </w:t>
      </w:r>
      <w:r>
        <w:rPr>
          <w:color w:val="333333"/>
        </w:rPr>
        <w:t>du 15 octobre 1979 modifiée et complétée par l’ordonnance </w:t>
      </w:r>
      <w:r>
        <w:t>n</w:t>
      </w:r>
      <w:r>
        <w:rPr>
          <w:vertAlign w:val="superscript"/>
        </w:rPr>
        <w:t>o</w:t>
      </w:r>
      <w:r>
        <w:t> </w:t>
      </w:r>
      <w:r>
        <w:rPr>
          <w:color w:val="333333"/>
        </w:rPr>
        <w:t>91</w:t>
      </w:r>
      <w:r>
        <w:rPr>
          <w:color w:val="333333"/>
        </w:rPr>
        <w:noBreakHyphen/>
        <w:t xml:space="preserve">008 du 7 août 1991 et la loi </w:t>
      </w:r>
      <w:r>
        <w:t>n</w:t>
      </w:r>
      <w:r>
        <w:rPr>
          <w:vertAlign w:val="superscript"/>
        </w:rPr>
        <w:t>o</w:t>
      </w:r>
      <w:r>
        <w:t> </w:t>
      </w:r>
      <w:r>
        <w:rPr>
          <w:color w:val="333333"/>
        </w:rPr>
        <w:t>97</w:t>
      </w:r>
      <w:r>
        <w:rPr>
          <w:color w:val="333333"/>
        </w:rPr>
        <w:noBreakHyphen/>
        <w:t>037 du 30 octobre 1997</w:t>
      </w:r>
      <w:r>
        <w:t xml:space="preserve"> relative au statut de la magistrature, est en cours d’adoption au niveau du Parlement.</w:t>
      </w:r>
    </w:p>
    <w:p w:rsidR="00000000" w:rsidRDefault="00000000">
      <w:pPr>
        <w:spacing w:after="240"/>
      </w:pPr>
      <w:r>
        <w:t>73.</w:t>
      </w:r>
      <w:r>
        <w:tab/>
        <w:t>Les efforts de réformes législatives entreprises témoignent de la volonté de Madagascar de se conformer aux exigences du Pacte.</w:t>
      </w:r>
    </w:p>
    <w:p w:rsidR="00000000" w:rsidRDefault="00000000">
      <w:pPr>
        <w:keepNext/>
        <w:spacing w:after="240"/>
        <w:jc w:val="center"/>
        <w:rPr>
          <w:b/>
          <w:bCs/>
        </w:rPr>
      </w:pPr>
      <w:bookmarkStart w:id="7" w:name="_Toc98224898"/>
      <w:r>
        <w:rPr>
          <w:b/>
          <w:bCs/>
        </w:rPr>
        <w:t>ARTICLE 6</w:t>
      </w:r>
      <w:bookmarkEnd w:id="7"/>
    </w:p>
    <w:p w:rsidR="00000000" w:rsidRDefault="00000000">
      <w:pPr>
        <w:keepNext/>
        <w:spacing w:after="240"/>
        <w:jc w:val="center"/>
        <w:rPr>
          <w:b/>
          <w:bCs/>
        </w:rPr>
      </w:pPr>
      <w:r>
        <w:rPr>
          <w:b/>
          <w:bCs/>
        </w:rPr>
        <w:t>Le droit à la vie</w:t>
      </w:r>
    </w:p>
    <w:p w:rsidR="00000000" w:rsidRDefault="00000000">
      <w:pPr>
        <w:spacing w:after="240"/>
      </w:pPr>
      <w:r>
        <w:t>74.</w:t>
      </w:r>
      <w:r>
        <w:tab/>
        <w:t>L’article 19 de la Constitution stipule que: «</w:t>
      </w:r>
      <w:r>
        <w:rPr>
          <w:i/>
          <w:iCs/>
        </w:rPr>
        <w:t>l’État reconnaît à tout individu le droit à la protection de sa santé dès sa conception</w:t>
      </w:r>
      <w:r>
        <w:t>», et l’article 21 stipule à son tour que «</w:t>
      </w:r>
      <w:r>
        <w:rPr>
          <w:i/>
          <w:iCs/>
        </w:rPr>
        <w:t>l’État assure la protection de la famille pour son libre épanouissement ainsi que celle de la mère et de l’enfant par une législation et par des institutions sociales appropriées</w:t>
      </w:r>
      <w:r>
        <w:t>»</w:t>
      </w:r>
      <w:r>
        <w:rPr>
          <w:i/>
          <w:iCs/>
        </w:rPr>
        <w:t>.</w:t>
      </w:r>
    </w:p>
    <w:p w:rsidR="00000000" w:rsidRDefault="00000000">
      <w:pPr>
        <w:spacing w:after="240"/>
        <w:rPr>
          <w:i/>
          <w:iCs/>
        </w:rPr>
      </w:pPr>
      <w:r>
        <w:t>75.</w:t>
      </w:r>
      <w:r>
        <w:tab/>
        <w:t>L’article 17 énonce que: «</w:t>
      </w:r>
      <w:r>
        <w:rPr>
          <w:i/>
          <w:iCs/>
        </w:rPr>
        <w:t>l’État organise l’exercice des droits qui garantissent pour l’individu l’intégrité et la dignité de sa personne, son plein épanouissement physique, intellectuel et moral</w:t>
      </w:r>
      <w:r>
        <w:t>»</w:t>
      </w:r>
      <w:r>
        <w:rPr>
          <w:i/>
          <w:iCs/>
        </w:rPr>
        <w:t>.</w:t>
      </w:r>
    </w:p>
    <w:p w:rsidR="00000000" w:rsidRDefault="00000000">
      <w:pPr>
        <w:spacing w:after="240"/>
        <w:ind w:firstLine="567"/>
        <w:rPr>
          <w:b/>
          <w:bCs/>
        </w:rPr>
      </w:pPr>
      <w:r>
        <w:rPr>
          <w:b/>
          <w:bCs/>
        </w:rPr>
        <w:t>Atteintes à l’intégrité physique</w:t>
      </w:r>
    </w:p>
    <w:p w:rsidR="00000000" w:rsidRDefault="00000000">
      <w:pPr>
        <w:spacing w:after="240"/>
      </w:pPr>
      <w:r>
        <w:t>76.</w:t>
      </w:r>
      <w:r>
        <w:tab/>
        <w:t xml:space="preserve">Les atteintes à l’intégrité physique sont prévues et punies par le Code pénal malagasy. </w:t>
      </w:r>
    </w:p>
    <w:p w:rsidR="00000000" w:rsidRDefault="00000000">
      <w:pPr>
        <w:spacing w:after="240"/>
      </w:pPr>
      <w:r>
        <w:t>77.</w:t>
      </w:r>
      <w:r>
        <w:tab/>
        <w:t>Le droit à la vie de l’enfant simplement conçu est protégé par l’incrimination et la répression de l’avortement prévues par l’article 317 du Code pénal.</w:t>
      </w:r>
    </w:p>
    <w:p w:rsidR="00000000" w:rsidRDefault="00000000">
      <w:pPr>
        <w:spacing w:after="240"/>
      </w:pPr>
      <w:r>
        <w:t>78.</w:t>
      </w:r>
      <w:r>
        <w:tab/>
        <w:t>Devant la recrudescence des cas de kidnapping de ces dernières années, des efforts ont été déployés par l’État pour préserver l’intégrité physique des citoyens. Ainsi, la police a pu démanteler quelques réseaux impliqués dans des affaires de kidnapping dont sont victimes, dans la plupart des cas des ressortissants indo-pakistanais.</w:t>
      </w:r>
    </w:p>
    <w:p w:rsidR="00000000" w:rsidRDefault="00000000">
      <w:pPr>
        <w:keepNext/>
        <w:spacing w:after="240"/>
        <w:ind w:firstLine="567"/>
        <w:rPr>
          <w:b/>
          <w:bCs/>
        </w:rPr>
      </w:pPr>
      <w:r>
        <w:rPr>
          <w:b/>
          <w:bCs/>
        </w:rPr>
        <w:t>Situation de la femme et de l’enfant à travers l’évolution démographique</w:t>
      </w:r>
    </w:p>
    <w:p w:rsidR="00000000" w:rsidRDefault="00000000">
      <w:pPr>
        <w:spacing w:after="240"/>
      </w:pPr>
      <w:r>
        <w:t>79.</w:t>
      </w:r>
      <w:r>
        <w:tab/>
        <w:t>Dans le cadre du respect du droit à la vie, une étude sur la situation de la femme et de l’enfant mérite d’être soulignée.</w:t>
      </w:r>
    </w:p>
    <w:p w:rsidR="00000000" w:rsidRDefault="00000000">
      <w:pPr>
        <w:spacing w:after="240"/>
      </w:pPr>
      <w:r>
        <w:t>80.</w:t>
      </w:r>
      <w:r>
        <w:tab/>
        <w:t>Selon l’INSTAT/DDSS, Madagascar compte environ 16 908 000 habitants en 2004 avec un accroissement naturel de 2,8 %. La moitié de la population est âgée de moins de 19 ans. On compte actuellement 8 447 000 hommes et 8 461 000 femmes.</w:t>
      </w:r>
    </w:p>
    <w:p w:rsidR="00000000" w:rsidRDefault="00000000">
      <w:pPr>
        <w:spacing w:after="240"/>
        <w:ind w:firstLine="567"/>
      </w:pPr>
      <w:r>
        <w:t>a)</w:t>
      </w:r>
      <w:r>
        <w:tab/>
        <w:t>Évolution de l’indice synthétique de fécondité (ISF):</w:t>
      </w:r>
    </w:p>
    <w:p w:rsidR="00000000" w:rsidRDefault="00000000">
      <w:pPr>
        <w:numPr>
          <w:ilvl w:val="0"/>
          <w:numId w:val="137"/>
        </w:numPr>
      </w:pPr>
      <w:r>
        <w:t>1975: 6,4 enfants par femme;</w:t>
      </w:r>
    </w:p>
    <w:p w:rsidR="00000000" w:rsidRDefault="00000000">
      <w:pPr>
        <w:numPr>
          <w:ilvl w:val="0"/>
          <w:numId w:val="137"/>
        </w:numPr>
      </w:pPr>
      <w:r>
        <w:t>1984: 5,5;</w:t>
      </w:r>
    </w:p>
    <w:p w:rsidR="00000000" w:rsidRDefault="00000000">
      <w:pPr>
        <w:numPr>
          <w:ilvl w:val="0"/>
          <w:numId w:val="137"/>
        </w:numPr>
      </w:pPr>
      <w:r>
        <w:t>1993: 5,9;</w:t>
      </w:r>
    </w:p>
    <w:p w:rsidR="00000000" w:rsidRDefault="00000000">
      <w:pPr>
        <w:numPr>
          <w:ilvl w:val="0"/>
          <w:numId w:val="137"/>
        </w:numPr>
      </w:pPr>
      <w:r>
        <w:t xml:space="preserve">EDSMD-II: 6; et </w:t>
      </w:r>
    </w:p>
    <w:p w:rsidR="00000000" w:rsidRDefault="00000000">
      <w:pPr>
        <w:numPr>
          <w:ilvl w:val="0"/>
          <w:numId w:val="137"/>
        </w:numPr>
        <w:spacing w:after="240"/>
      </w:pPr>
      <w:r>
        <w:t>EDSMD-III 2003-2004: 5,2;</w:t>
      </w:r>
    </w:p>
    <w:p w:rsidR="00000000" w:rsidRDefault="00000000">
      <w:pPr>
        <w:spacing w:after="240"/>
        <w:ind w:firstLine="567"/>
      </w:pPr>
      <w:r>
        <w:t>b)</w:t>
      </w:r>
      <w:r>
        <w:tab/>
        <w:t>L’espérance de vie à la naissance (EVN) connaît un léger progrès:</w:t>
      </w:r>
    </w:p>
    <w:p w:rsidR="00000000" w:rsidRDefault="00000000">
      <w:pPr>
        <w:numPr>
          <w:ilvl w:val="0"/>
          <w:numId w:val="137"/>
        </w:numPr>
      </w:pPr>
      <w:r>
        <w:t>1975: 45 ans;</w:t>
      </w:r>
    </w:p>
    <w:p w:rsidR="00000000" w:rsidRDefault="00000000">
      <w:pPr>
        <w:numPr>
          <w:ilvl w:val="0"/>
          <w:numId w:val="137"/>
        </w:numPr>
      </w:pPr>
      <w:r>
        <w:t>1984: 51 ans;</w:t>
      </w:r>
    </w:p>
    <w:p w:rsidR="00000000" w:rsidRDefault="00000000">
      <w:pPr>
        <w:numPr>
          <w:ilvl w:val="0"/>
          <w:numId w:val="137"/>
        </w:numPr>
        <w:spacing w:after="240"/>
      </w:pPr>
      <w:r>
        <w:t>1993: 53 ans.</w:t>
      </w:r>
    </w:p>
    <w:p w:rsidR="00000000" w:rsidRDefault="00000000">
      <w:pPr>
        <w:keepNext/>
        <w:spacing w:after="240"/>
      </w:pPr>
      <w:bookmarkStart w:id="8" w:name="_Toc98224982"/>
      <w:r>
        <w:rPr>
          <w:b/>
          <w:bCs/>
        </w:rPr>
        <w:t xml:space="preserve">Graphique </w:t>
      </w:r>
      <w:r>
        <w:rPr>
          <w:b/>
          <w:bCs/>
        </w:rPr>
        <w:fldChar w:fldCharType="begin"/>
      </w:r>
      <w:r>
        <w:rPr>
          <w:b/>
          <w:bCs/>
        </w:rPr>
        <w:instrText xml:space="preserve"> SEQ Graphique \* ARABIC </w:instrText>
      </w:r>
      <w:r>
        <w:rPr>
          <w:b/>
          <w:bCs/>
        </w:rPr>
        <w:fldChar w:fldCharType="separate"/>
      </w:r>
      <w:r>
        <w:rPr>
          <w:b/>
          <w:bCs/>
          <w:noProof/>
        </w:rPr>
        <w:t>1</w:t>
      </w:r>
      <w:r>
        <w:rPr>
          <w:b/>
          <w:bCs/>
        </w:rPr>
        <w:fldChar w:fldCharType="end"/>
      </w:r>
      <w:r>
        <w:rPr>
          <w:b/>
          <w:bCs/>
        </w:rPr>
        <w:t>.  Évolution de l’indice synthétique de fécondité (ISF) et de l’espérance de vie à la naissance (EVN)</w:t>
      </w:r>
      <w:bookmarkEnd w:id="8"/>
    </w:p>
    <w:bookmarkStart w:id="9" w:name="_MON_1171799069"/>
    <w:bookmarkStart w:id="10" w:name="_MON_1180255129"/>
    <w:bookmarkStart w:id="11" w:name="_MON_1180255192"/>
    <w:bookmarkEnd w:id="9"/>
    <w:bookmarkEnd w:id="10"/>
    <w:bookmarkEnd w:id="11"/>
    <w:p w:rsidR="00000000" w:rsidRDefault="00000000">
      <w:pPr>
        <w:spacing w:after="240"/>
        <w:ind w:left="567" w:firstLine="567"/>
        <w:rPr>
          <w:color w:val="0000FF"/>
        </w:rPr>
      </w:pPr>
      <w:r>
        <w:object w:dxaOrig="7147" w:dyaOrig="3927">
          <v:shape id="_x0000_i1025" type="#_x0000_t75" style="width:357pt;height:196.5pt" o:ole="">
            <v:imagedata r:id="rId9" o:title=""/>
          </v:shape>
          <o:OLEObject Type="Embed" ProgID="Excel.Chart.8" ShapeID="_x0000_i1025" DrawAspect="Content" ObjectID="_1395233499" r:id="rId10">
            <o:FieldCodes>\s</o:FieldCodes>
          </o:OLEObject>
        </w:object>
      </w:r>
    </w:p>
    <w:p w:rsidR="00000000" w:rsidRDefault="00000000">
      <w:pPr>
        <w:spacing w:after="240"/>
        <w:ind w:firstLine="567"/>
        <w:rPr>
          <w:i/>
          <w:iCs/>
        </w:rPr>
      </w:pPr>
      <w:r>
        <w:rPr>
          <w:i/>
          <w:iCs/>
        </w:rPr>
        <w:t>Source</w:t>
      </w:r>
      <w:r>
        <w:t>: INSTAT/DDSS.</w:t>
      </w:r>
    </w:p>
    <w:p w:rsidR="00000000" w:rsidRDefault="00000000">
      <w:pPr>
        <w:spacing w:after="240"/>
      </w:pPr>
      <w:r>
        <w:t>81.</w:t>
      </w:r>
      <w:r>
        <w:tab/>
        <w:t>Un document intitulé: «</w:t>
      </w:r>
      <w:r>
        <w:rPr>
          <w:i/>
          <w:iCs/>
        </w:rPr>
        <w:t>La situation des femmes et des enfants à Madagascar en 1999</w:t>
      </w:r>
      <w:r>
        <w:rPr>
          <w:i/>
          <w:iCs/>
        </w:rPr>
        <w:noBreakHyphen/>
        <w:t>2000</w:t>
      </w:r>
      <w:r>
        <w:t>» édité avec la collaboration de l’UNICEF permet de mieux appréhender la situation pour les actions appropriées à mener.</w:t>
      </w:r>
    </w:p>
    <w:p w:rsidR="00000000" w:rsidRDefault="00000000">
      <w:pPr>
        <w:keepNext/>
        <w:spacing w:after="240"/>
      </w:pPr>
      <w:r>
        <w:t>82.</w:t>
      </w:r>
      <w:r>
        <w:tab/>
        <w:t>Quatre indicateurs expriment l’insécurité à laquelle sont exposés les femmes et les enfants:</w:t>
      </w:r>
    </w:p>
    <w:p w:rsidR="00000000" w:rsidRDefault="00000000">
      <w:pPr>
        <w:spacing w:after="240"/>
        <w:ind w:firstLine="567"/>
      </w:pPr>
      <w:r>
        <w:t>a)</w:t>
      </w:r>
      <w:r>
        <w:tab/>
        <w:t>La mortalité maternelle et infantile, souvent due à l’ignorance et la pauvreté est la conséquence d’un régime alimentaire inadéquat pendant la grossesse et durant l’allaitement;</w:t>
      </w:r>
    </w:p>
    <w:p w:rsidR="00000000" w:rsidRDefault="00000000">
      <w:pPr>
        <w:spacing w:after="240"/>
        <w:ind w:firstLine="567"/>
      </w:pPr>
      <w:r>
        <w:t>b)</w:t>
      </w:r>
      <w:r>
        <w:tab/>
        <w:t>L’abus de consommation de plantes médicinales pendant la grossesse;</w:t>
      </w:r>
    </w:p>
    <w:p w:rsidR="00000000" w:rsidRDefault="00000000">
      <w:pPr>
        <w:spacing w:after="240"/>
        <w:ind w:firstLine="567"/>
      </w:pPr>
      <w:r>
        <w:t>c)</w:t>
      </w:r>
      <w:r>
        <w:tab/>
        <w:t>L’insuffisance d’hygiène pendant et après l’accouchement;</w:t>
      </w:r>
    </w:p>
    <w:p w:rsidR="00000000" w:rsidRDefault="00000000">
      <w:pPr>
        <w:spacing w:after="240"/>
        <w:ind w:firstLine="567"/>
      </w:pPr>
      <w:r>
        <w:t>d)</w:t>
      </w:r>
      <w:r>
        <w:tab/>
        <w:t>L’accouchement hors formation sanitaire.</w:t>
      </w:r>
    </w:p>
    <w:p w:rsidR="00000000" w:rsidRDefault="00000000">
      <w:pPr>
        <w:spacing w:after="240"/>
        <w:jc w:val="center"/>
        <w:rPr>
          <w:b/>
          <w:bCs/>
        </w:rPr>
      </w:pPr>
      <w:bookmarkStart w:id="12" w:name="_Toc98224961"/>
      <w:r>
        <w:rPr>
          <w:b/>
          <w:bCs/>
        </w:rPr>
        <w:t>Tableau 32: Évolution de l’assistance lors de l’accouchement</w:t>
      </w:r>
      <w:r>
        <w:rPr>
          <w:b/>
          <w:bCs/>
        </w:rPr>
        <w:br/>
        <w:t>à Madagascar de 1992 à 2000</w:t>
      </w:r>
      <w:bookmarkEnd w:id="12"/>
    </w:p>
    <w:tbl>
      <w:tblPr>
        <w:tblW w:w="0" w:type="auto"/>
        <w:jc w:val="center"/>
        <w:tblInd w:w="-1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73"/>
        <w:gridCol w:w="1293"/>
        <w:gridCol w:w="1293"/>
        <w:gridCol w:w="1290"/>
      </w:tblGrid>
      <w:tr w:rsidR="00000000">
        <w:tblPrEx>
          <w:tblCellMar>
            <w:top w:w="0" w:type="dxa"/>
            <w:bottom w:w="0" w:type="dxa"/>
          </w:tblCellMar>
        </w:tblPrEx>
        <w:trPr>
          <w:jc w:val="center"/>
        </w:trPr>
        <w:tc>
          <w:tcPr>
            <w:tcW w:w="4373" w:type="dxa"/>
          </w:tcPr>
          <w:p w:rsidR="00000000" w:rsidRDefault="00000000">
            <w:pPr>
              <w:spacing w:before="60" w:after="60"/>
              <w:jc w:val="center"/>
              <w:rPr>
                <w:b/>
                <w:bCs/>
              </w:rPr>
            </w:pPr>
          </w:p>
        </w:tc>
        <w:tc>
          <w:tcPr>
            <w:tcW w:w="1293" w:type="dxa"/>
          </w:tcPr>
          <w:p w:rsidR="00000000" w:rsidRDefault="00000000">
            <w:pPr>
              <w:spacing w:before="60" w:after="60"/>
              <w:jc w:val="center"/>
            </w:pPr>
            <w:r>
              <w:t>1992</w:t>
            </w:r>
          </w:p>
        </w:tc>
        <w:tc>
          <w:tcPr>
            <w:tcW w:w="1293" w:type="dxa"/>
          </w:tcPr>
          <w:p w:rsidR="00000000" w:rsidRDefault="00000000">
            <w:pPr>
              <w:spacing w:before="60" w:after="60"/>
              <w:jc w:val="center"/>
            </w:pPr>
            <w:r>
              <w:t>1997</w:t>
            </w:r>
          </w:p>
        </w:tc>
        <w:tc>
          <w:tcPr>
            <w:tcW w:w="1290" w:type="dxa"/>
          </w:tcPr>
          <w:p w:rsidR="00000000" w:rsidRDefault="00000000">
            <w:pPr>
              <w:spacing w:before="60" w:after="60"/>
              <w:jc w:val="center"/>
            </w:pPr>
            <w:r>
              <w:t>2000</w:t>
            </w:r>
          </w:p>
        </w:tc>
      </w:tr>
      <w:tr w:rsidR="00000000">
        <w:tblPrEx>
          <w:tblCellMar>
            <w:top w:w="0" w:type="dxa"/>
            <w:bottom w:w="0" w:type="dxa"/>
          </w:tblCellMar>
        </w:tblPrEx>
        <w:trPr>
          <w:jc w:val="center"/>
        </w:trPr>
        <w:tc>
          <w:tcPr>
            <w:tcW w:w="4373" w:type="dxa"/>
          </w:tcPr>
          <w:p w:rsidR="00000000" w:rsidRDefault="00000000">
            <w:pPr>
              <w:spacing w:before="60" w:after="60"/>
            </w:pPr>
            <w:r>
              <w:t>Personnel qualifié</w:t>
            </w:r>
          </w:p>
        </w:tc>
        <w:tc>
          <w:tcPr>
            <w:tcW w:w="1293" w:type="dxa"/>
          </w:tcPr>
          <w:p w:rsidR="00000000" w:rsidRDefault="00000000">
            <w:pPr>
              <w:spacing w:before="60" w:after="60"/>
              <w:jc w:val="right"/>
            </w:pPr>
            <w:r>
              <w:t>57,0 %</w:t>
            </w:r>
          </w:p>
        </w:tc>
        <w:tc>
          <w:tcPr>
            <w:tcW w:w="1293" w:type="dxa"/>
          </w:tcPr>
          <w:p w:rsidR="00000000" w:rsidRDefault="00000000">
            <w:pPr>
              <w:spacing w:before="60" w:after="60"/>
              <w:jc w:val="right"/>
            </w:pPr>
            <w:r>
              <w:t>47,8 %</w:t>
            </w:r>
          </w:p>
        </w:tc>
        <w:tc>
          <w:tcPr>
            <w:tcW w:w="1290" w:type="dxa"/>
          </w:tcPr>
          <w:p w:rsidR="00000000" w:rsidRDefault="00000000">
            <w:pPr>
              <w:spacing w:before="60" w:after="60"/>
              <w:jc w:val="right"/>
            </w:pPr>
            <w:r>
              <w:t>46,2 %</w:t>
            </w:r>
          </w:p>
        </w:tc>
      </w:tr>
      <w:tr w:rsidR="00000000">
        <w:tblPrEx>
          <w:tblCellMar>
            <w:top w:w="0" w:type="dxa"/>
            <w:bottom w:w="0" w:type="dxa"/>
          </w:tblCellMar>
        </w:tblPrEx>
        <w:trPr>
          <w:jc w:val="center"/>
        </w:trPr>
        <w:tc>
          <w:tcPr>
            <w:tcW w:w="4373" w:type="dxa"/>
          </w:tcPr>
          <w:p w:rsidR="00000000" w:rsidRDefault="00000000">
            <w:pPr>
              <w:spacing w:before="60" w:after="60"/>
            </w:pPr>
            <w:r>
              <w:t>Accoucheuse traditionnelle</w:t>
            </w:r>
          </w:p>
        </w:tc>
        <w:tc>
          <w:tcPr>
            <w:tcW w:w="1293" w:type="dxa"/>
          </w:tcPr>
          <w:p w:rsidR="00000000" w:rsidRDefault="00000000">
            <w:pPr>
              <w:spacing w:before="60" w:after="60"/>
              <w:jc w:val="right"/>
            </w:pPr>
            <w:r>
              <w:t>31,0 %</w:t>
            </w:r>
          </w:p>
        </w:tc>
        <w:tc>
          <w:tcPr>
            <w:tcW w:w="1293" w:type="dxa"/>
          </w:tcPr>
          <w:p w:rsidR="00000000" w:rsidRDefault="00000000">
            <w:pPr>
              <w:spacing w:before="60" w:after="60"/>
              <w:jc w:val="right"/>
            </w:pPr>
            <w:r>
              <w:t>39,2 %</w:t>
            </w:r>
          </w:p>
        </w:tc>
        <w:tc>
          <w:tcPr>
            <w:tcW w:w="1290" w:type="dxa"/>
          </w:tcPr>
          <w:p w:rsidR="00000000" w:rsidRDefault="00000000">
            <w:pPr>
              <w:spacing w:before="60" w:after="60"/>
              <w:jc w:val="right"/>
            </w:pPr>
            <w:r>
              <w:t>46,4%</w:t>
            </w:r>
          </w:p>
        </w:tc>
      </w:tr>
      <w:tr w:rsidR="00000000">
        <w:tblPrEx>
          <w:tblCellMar>
            <w:top w:w="0" w:type="dxa"/>
            <w:bottom w:w="0" w:type="dxa"/>
          </w:tblCellMar>
        </w:tblPrEx>
        <w:trPr>
          <w:jc w:val="center"/>
        </w:trPr>
        <w:tc>
          <w:tcPr>
            <w:tcW w:w="4373" w:type="dxa"/>
          </w:tcPr>
          <w:p w:rsidR="00000000" w:rsidRDefault="00000000">
            <w:pPr>
              <w:spacing w:before="60" w:after="60"/>
            </w:pPr>
            <w:r>
              <w:t>Autres</w:t>
            </w:r>
          </w:p>
        </w:tc>
        <w:tc>
          <w:tcPr>
            <w:tcW w:w="1293" w:type="dxa"/>
          </w:tcPr>
          <w:p w:rsidR="00000000" w:rsidRDefault="00000000">
            <w:pPr>
              <w:spacing w:before="60" w:after="60"/>
              <w:jc w:val="right"/>
            </w:pPr>
            <w:r>
              <w:t>10,7 %</w:t>
            </w:r>
          </w:p>
        </w:tc>
        <w:tc>
          <w:tcPr>
            <w:tcW w:w="1293" w:type="dxa"/>
          </w:tcPr>
          <w:p w:rsidR="00000000" w:rsidRDefault="00000000">
            <w:pPr>
              <w:spacing w:before="60" w:after="60"/>
              <w:jc w:val="right"/>
            </w:pPr>
            <w:r>
              <w:t>11,6 %</w:t>
            </w:r>
          </w:p>
        </w:tc>
        <w:tc>
          <w:tcPr>
            <w:tcW w:w="1290" w:type="dxa"/>
          </w:tcPr>
          <w:p w:rsidR="00000000" w:rsidRDefault="00000000">
            <w:pPr>
              <w:spacing w:before="60" w:after="60"/>
              <w:jc w:val="right"/>
            </w:pPr>
            <w:r>
              <w:t>23,1 %</w:t>
            </w:r>
          </w:p>
        </w:tc>
      </w:tr>
      <w:tr w:rsidR="00000000">
        <w:tblPrEx>
          <w:tblCellMar>
            <w:top w:w="0" w:type="dxa"/>
            <w:bottom w:w="0" w:type="dxa"/>
          </w:tblCellMar>
        </w:tblPrEx>
        <w:trPr>
          <w:jc w:val="center"/>
        </w:trPr>
        <w:tc>
          <w:tcPr>
            <w:tcW w:w="4373" w:type="dxa"/>
          </w:tcPr>
          <w:p w:rsidR="00000000" w:rsidRDefault="00000000">
            <w:pPr>
              <w:spacing w:before="60" w:after="60"/>
            </w:pPr>
            <w:r>
              <w:t>Personne</w:t>
            </w:r>
          </w:p>
        </w:tc>
        <w:tc>
          <w:tcPr>
            <w:tcW w:w="1293" w:type="dxa"/>
          </w:tcPr>
          <w:p w:rsidR="00000000" w:rsidRDefault="00000000">
            <w:pPr>
              <w:spacing w:before="60" w:after="60"/>
              <w:jc w:val="right"/>
            </w:pPr>
            <w:r>
              <w:t>0,8 %</w:t>
            </w:r>
          </w:p>
        </w:tc>
        <w:tc>
          <w:tcPr>
            <w:tcW w:w="1293" w:type="dxa"/>
          </w:tcPr>
          <w:p w:rsidR="00000000" w:rsidRDefault="00000000">
            <w:pPr>
              <w:spacing w:before="60" w:after="60"/>
              <w:jc w:val="right"/>
            </w:pPr>
            <w:r>
              <w:t>1,3 %</w:t>
            </w:r>
          </w:p>
        </w:tc>
        <w:tc>
          <w:tcPr>
            <w:tcW w:w="1290" w:type="dxa"/>
          </w:tcPr>
          <w:p w:rsidR="00000000" w:rsidRDefault="00000000">
            <w:pPr>
              <w:spacing w:before="60" w:after="60"/>
              <w:jc w:val="right"/>
            </w:pPr>
            <w:r>
              <w:t>1,0 %</w:t>
            </w:r>
          </w:p>
        </w:tc>
      </w:tr>
    </w:tbl>
    <w:p w:rsidR="00000000" w:rsidRDefault="00000000"/>
    <w:p w:rsidR="00000000" w:rsidRDefault="00000000">
      <w:pPr>
        <w:spacing w:after="240"/>
        <w:ind w:firstLine="567"/>
        <w:rPr>
          <w:i/>
          <w:iCs/>
        </w:rPr>
      </w:pPr>
      <w:r>
        <w:rPr>
          <w:i/>
          <w:iCs/>
        </w:rPr>
        <w:t>Source</w:t>
      </w:r>
      <w:r>
        <w:t>: INSTAT/DDSS/MICS 2000.</w:t>
      </w:r>
    </w:p>
    <w:p w:rsidR="00000000" w:rsidRDefault="00000000">
      <w:pPr>
        <w:keepNext/>
        <w:spacing w:after="240"/>
        <w:jc w:val="center"/>
        <w:rPr>
          <w:b/>
          <w:bCs/>
        </w:rPr>
      </w:pPr>
      <w:bookmarkStart w:id="13" w:name="_Toc98224962"/>
      <w:r>
        <w:rPr>
          <w:b/>
          <w:bCs/>
        </w:rPr>
        <w:t>Tableau 33: Taux de mortalité infanto-juvénile en 2000</w:t>
      </w:r>
      <w:bookmarkEnd w:id="13"/>
    </w:p>
    <w:tbl>
      <w:tblPr>
        <w:tblW w:w="9432" w:type="dxa"/>
        <w:jc w:val="center"/>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19"/>
        <w:gridCol w:w="1937"/>
        <w:gridCol w:w="1938"/>
        <w:gridCol w:w="1938"/>
      </w:tblGrid>
      <w:tr w:rsidR="00000000">
        <w:tblPrEx>
          <w:tblCellMar>
            <w:top w:w="0" w:type="dxa"/>
            <w:bottom w:w="0" w:type="dxa"/>
          </w:tblCellMar>
        </w:tblPrEx>
        <w:trPr>
          <w:tblHeader/>
          <w:jc w:val="center"/>
        </w:trPr>
        <w:tc>
          <w:tcPr>
            <w:tcW w:w="3619" w:type="dxa"/>
            <w:tcBorders>
              <w:bottom w:val="single" w:sz="4" w:space="0" w:color="auto"/>
            </w:tcBorders>
            <w:vAlign w:val="center"/>
          </w:tcPr>
          <w:p w:rsidR="00000000" w:rsidRDefault="00000000">
            <w:pPr>
              <w:spacing w:before="60" w:after="60"/>
              <w:jc w:val="center"/>
              <w:rPr>
                <w:bCs/>
              </w:rPr>
            </w:pPr>
            <w:r>
              <w:rPr>
                <w:bCs/>
              </w:rPr>
              <w:t>Caractéristique</w:t>
            </w:r>
          </w:p>
        </w:tc>
        <w:tc>
          <w:tcPr>
            <w:tcW w:w="1937" w:type="dxa"/>
            <w:tcBorders>
              <w:bottom w:val="single" w:sz="4" w:space="0" w:color="auto"/>
            </w:tcBorders>
            <w:vAlign w:val="center"/>
          </w:tcPr>
          <w:p w:rsidR="00000000" w:rsidRDefault="00000000">
            <w:pPr>
              <w:spacing w:before="60" w:after="60"/>
              <w:jc w:val="center"/>
              <w:rPr>
                <w:bCs/>
              </w:rPr>
            </w:pPr>
            <w:r>
              <w:rPr>
                <w:bCs/>
              </w:rPr>
              <w:t>Mortalité infantile</w:t>
            </w:r>
          </w:p>
        </w:tc>
        <w:tc>
          <w:tcPr>
            <w:tcW w:w="1938" w:type="dxa"/>
            <w:tcBorders>
              <w:bottom w:val="single" w:sz="4" w:space="0" w:color="auto"/>
            </w:tcBorders>
            <w:vAlign w:val="center"/>
          </w:tcPr>
          <w:p w:rsidR="00000000" w:rsidRDefault="00000000">
            <w:pPr>
              <w:spacing w:before="60" w:after="60"/>
              <w:jc w:val="center"/>
              <w:rPr>
                <w:bCs/>
              </w:rPr>
            </w:pPr>
            <w:r>
              <w:rPr>
                <w:bCs/>
              </w:rPr>
              <w:t>Mortalité juvénile</w:t>
            </w:r>
          </w:p>
        </w:tc>
        <w:tc>
          <w:tcPr>
            <w:tcW w:w="1938" w:type="dxa"/>
            <w:tcBorders>
              <w:bottom w:val="single" w:sz="4" w:space="0" w:color="auto"/>
            </w:tcBorders>
            <w:vAlign w:val="center"/>
          </w:tcPr>
          <w:p w:rsidR="00000000" w:rsidRDefault="00000000">
            <w:pPr>
              <w:spacing w:before="60" w:after="60"/>
              <w:jc w:val="center"/>
              <w:rPr>
                <w:bCs/>
              </w:rPr>
            </w:pPr>
            <w:r>
              <w:rPr>
                <w:bCs/>
              </w:rPr>
              <w:t>Mortalité infanto</w:t>
            </w:r>
            <w:r>
              <w:rPr>
                <w:bCs/>
              </w:rPr>
              <w:noBreakHyphen/>
              <w:t>juvénile</w:t>
            </w:r>
          </w:p>
        </w:tc>
      </w:tr>
      <w:tr w:rsidR="00000000">
        <w:tblPrEx>
          <w:tblCellMar>
            <w:top w:w="0" w:type="dxa"/>
            <w:bottom w:w="0" w:type="dxa"/>
          </w:tblCellMar>
        </w:tblPrEx>
        <w:trPr>
          <w:jc w:val="center"/>
        </w:trPr>
        <w:tc>
          <w:tcPr>
            <w:tcW w:w="3619" w:type="dxa"/>
            <w:tcBorders>
              <w:right w:val="nil"/>
            </w:tcBorders>
          </w:tcPr>
          <w:p w:rsidR="00000000" w:rsidRDefault="00000000">
            <w:pPr>
              <w:spacing w:before="60" w:after="60"/>
              <w:rPr>
                <w:i/>
                <w:iCs/>
              </w:rPr>
            </w:pPr>
            <w:r>
              <w:rPr>
                <w:i/>
                <w:iCs/>
              </w:rPr>
              <w:t>Milieu de résidence</w:t>
            </w:r>
          </w:p>
        </w:tc>
        <w:tc>
          <w:tcPr>
            <w:tcW w:w="1937" w:type="dxa"/>
            <w:tcBorders>
              <w:left w:val="nil"/>
              <w:right w:val="nil"/>
            </w:tcBorders>
          </w:tcPr>
          <w:p w:rsidR="00000000" w:rsidRDefault="00000000">
            <w:pPr>
              <w:spacing w:before="60" w:after="60"/>
              <w:ind w:right="681"/>
              <w:jc w:val="right"/>
            </w:pPr>
          </w:p>
        </w:tc>
        <w:tc>
          <w:tcPr>
            <w:tcW w:w="1938" w:type="dxa"/>
            <w:tcBorders>
              <w:left w:val="nil"/>
              <w:right w:val="nil"/>
            </w:tcBorders>
          </w:tcPr>
          <w:p w:rsidR="00000000" w:rsidRDefault="00000000">
            <w:pPr>
              <w:spacing w:before="60" w:after="60"/>
              <w:ind w:right="681"/>
              <w:jc w:val="right"/>
            </w:pPr>
          </w:p>
        </w:tc>
        <w:tc>
          <w:tcPr>
            <w:tcW w:w="1938" w:type="dxa"/>
            <w:tcBorders>
              <w:left w:val="nil"/>
            </w:tcBorders>
          </w:tcPr>
          <w:p w:rsidR="00000000" w:rsidRDefault="00000000">
            <w:pPr>
              <w:spacing w:before="60" w:after="60"/>
              <w:ind w:right="681"/>
              <w:jc w:val="right"/>
            </w:pPr>
          </w:p>
        </w:tc>
      </w:tr>
      <w:tr w:rsidR="00000000">
        <w:tblPrEx>
          <w:tblCellMar>
            <w:top w:w="0" w:type="dxa"/>
            <w:bottom w:w="0" w:type="dxa"/>
          </w:tblCellMar>
        </w:tblPrEx>
        <w:trPr>
          <w:jc w:val="center"/>
        </w:trPr>
        <w:tc>
          <w:tcPr>
            <w:tcW w:w="3619" w:type="dxa"/>
          </w:tcPr>
          <w:p w:rsidR="00000000" w:rsidRDefault="00000000">
            <w:pPr>
              <w:spacing w:before="60" w:after="60"/>
            </w:pPr>
            <w:r>
              <w:t>Urbain</w:t>
            </w:r>
          </w:p>
        </w:tc>
        <w:tc>
          <w:tcPr>
            <w:tcW w:w="1937" w:type="dxa"/>
          </w:tcPr>
          <w:p w:rsidR="00000000" w:rsidRDefault="00000000">
            <w:pPr>
              <w:spacing w:before="60" w:after="60"/>
              <w:ind w:right="681"/>
              <w:jc w:val="right"/>
            </w:pPr>
            <w:r>
              <w:t>74</w:t>
            </w:r>
          </w:p>
        </w:tc>
        <w:tc>
          <w:tcPr>
            <w:tcW w:w="1938" w:type="dxa"/>
          </w:tcPr>
          <w:p w:rsidR="00000000" w:rsidRDefault="00000000">
            <w:pPr>
              <w:spacing w:before="60" w:after="60"/>
              <w:ind w:right="681"/>
              <w:jc w:val="right"/>
            </w:pPr>
            <w:r>
              <w:t>46</w:t>
            </w:r>
          </w:p>
        </w:tc>
        <w:tc>
          <w:tcPr>
            <w:tcW w:w="1938" w:type="dxa"/>
          </w:tcPr>
          <w:p w:rsidR="00000000" w:rsidRDefault="00000000">
            <w:pPr>
              <w:spacing w:before="60" w:after="60"/>
              <w:ind w:right="681"/>
              <w:jc w:val="right"/>
            </w:pPr>
            <w:r>
              <w:t>116</w:t>
            </w:r>
          </w:p>
        </w:tc>
      </w:tr>
      <w:tr w:rsidR="00000000">
        <w:tblPrEx>
          <w:tblCellMar>
            <w:top w:w="0" w:type="dxa"/>
            <w:bottom w:w="0" w:type="dxa"/>
          </w:tblCellMar>
        </w:tblPrEx>
        <w:trPr>
          <w:jc w:val="center"/>
        </w:trPr>
        <w:tc>
          <w:tcPr>
            <w:tcW w:w="3619" w:type="dxa"/>
            <w:tcBorders>
              <w:bottom w:val="single" w:sz="4" w:space="0" w:color="auto"/>
            </w:tcBorders>
          </w:tcPr>
          <w:p w:rsidR="00000000" w:rsidRDefault="00000000">
            <w:pPr>
              <w:spacing w:before="60" w:after="60"/>
            </w:pPr>
            <w:r>
              <w:t>Rural</w:t>
            </w:r>
          </w:p>
        </w:tc>
        <w:tc>
          <w:tcPr>
            <w:tcW w:w="1937" w:type="dxa"/>
            <w:tcBorders>
              <w:bottom w:val="single" w:sz="4" w:space="0" w:color="auto"/>
            </w:tcBorders>
          </w:tcPr>
          <w:p w:rsidR="00000000" w:rsidRDefault="00000000">
            <w:pPr>
              <w:spacing w:before="60" w:after="60"/>
              <w:ind w:right="681"/>
              <w:jc w:val="right"/>
            </w:pPr>
            <w:r>
              <w:t>91</w:t>
            </w:r>
          </w:p>
        </w:tc>
        <w:tc>
          <w:tcPr>
            <w:tcW w:w="1938" w:type="dxa"/>
            <w:tcBorders>
              <w:bottom w:val="single" w:sz="4" w:space="0" w:color="auto"/>
            </w:tcBorders>
          </w:tcPr>
          <w:p w:rsidR="00000000" w:rsidRDefault="00000000">
            <w:pPr>
              <w:spacing w:before="60" w:after="60"/>
              <w:ind w:right="681"/>
              <w:jc w:val="right"/>
            </w:pPr>
            <w:r>
              <w:t>62</w:t>
            </w:r>
          </w:p>
        </w:tc>
        <w:tc>
          <w:tcPr>
            <w:tcW w:w="1938" w:type="dxa"/>
            <w:tcBorders>
              <w:bottom w:val="single" w:sz="4" w:space="0" w:color="auto"/>
            </w:tcBorders>
          </w:tcPr>
          <w:p w:rsidR="00000000" w:rsidRDefault="00000000">
            <w:pPr>
              <w:spacing w:before="60" w:after="60"/>
              <w:ind w:right="681"/>
              <w:jc w:val="right"/>
            </w:pPr>
            <w:r>
              <w:t>147</w:t>
            </w:r>
          </w:p>
        </w:tc>
      </w:tr>
      <w:tr w:rsidR="00000000">
        <w:tblPrEx>
          <w:tblCellMar>
            <w:top w:w="0" w:type="dxa"/>
            <w:bottom w:w="0" w:type="dxa"/>
          </w:tblCellMar>
        </w:tblPrEx>
        <w:trPr>
          <w:jc w:val="center"/>
        </w:trPr>
        <w:tc>
          <w:tcPr>
            <w:tcW w:w="3619" w:type="dxa"/>
            <w:tcBorders>
              <w:right w:val="nil"/>
            </w:tcBorders>
          </w:tcPr>
          <w:p w:rsidR="00000000" w:rsidRDefault="00000000">
            <w:pPr>
              <w:spacing w:before="60" w:after="60"/>
              <w:rPr>
                <w:i/>
                <w:iCs/>
              </w:rPr>
            </w:pPr>
            <w:r>
              <w:rPr>
                <w:i/>
                <w:iCs/>
              </w:rPr>
              <w:t>Sexe</w:t>
            </w:r>
          </w:p>
        </w:tc>
        <w:tc>
          <w:tcPr>
            <w:tcW w:w="1937" w:type="dxa"/>
            <w:tcBorders>
              <w:left w:val="nil"/>
              <w:right w:val="nil"/>
            </w:tcBorders>
          </w:tcPr>
          <w:p w:rsidR="00000000" w:rsidRDefault="00000000">
            <w:pPr>
              <w:spacing w:before="60" w:after="60"/>
              <w:ind w:right="681"/>
              <w:jc w:val="right"/>
            </w:pPr>
          </w:p>
        </w:tc>
        <w:tc>
          <w:tcPr>
            <w:tcW w:w="1938" w:type="dxa"/>
            <w:tcBorders>
              <w:left w:val="nil"/>
              <w:right w:val="nil"/>
            </w:tcBorders>
          </w:tcPr>
          <w:p w:rsidR="00000000" w:rsidRDefault="00000000">
            <w:pPr>
              <w:spacing w:before="60" w:after="60"/>
              <w:ind w:right="681"/>
              <w:jc w:val="right"/>
            </w:pPr>
          </w:p>
        </w:tc>
        <w:tc>
          <w:tcPr>
            <w:tcW w:w="1938" w:type="dxa"/>
            <w:tcBorders>
              <w:left w:val="nil"/>
            </w:tcBorders>
          </w:tcPr>
          <w:p w:rsidR="00000000" w:rsidRDefault="00000000">
            <w:pPr>
              <w:spacing w:before="60" w:after="60"/>
              <w:ind w:right="681"/>
              <w:jc w:val="right"/>
            </w:pPr>
          </w:p>
        </w:tc>
      </w:tr>
      <w:tr w:rsidR="00000000">
        <w:tblPrEx>
          <w:tblCellMar>
            <w:top w:w="0" w:type="dxa"/>
            <w:bottom w:w="0" w:type="dxa"/>
          </w:tblCellMar>
        </w:tblPrEx>
        <w:trPr>
          <w:jc w:val="center"/>
        </w:trPr>
        <w:tc>
          <w:tcPr>
            <w:tcW w:w="3619" w:type="dxa"/>
          </w:tcPr>
          <w:p w:rsidR="00000000" w:rsidRDefault="00000000">
            <w:pPr>
              <w:spacing w:before="60" w:after="60"/>
            </w:pPr>
            <w:r>
              <w:t>Masculin</w:t>
            </w:r>
          </w:p>
        </w:tc>
        <w:tc>
          <w:tcPr>
            <w:tcW w:w="1937" w:type="dxa"/>
          </w:tcPr>
          <w:p w:rsidR="00000000" w:rsidRDefault="00000000">
            <w:pPr>
              <w:spacing w:before="60" w:after="60"/>
              <w:ind w:right="681"/>
              <w:jc w:val="right"/>
            </w:pPr>
            <w:r>
              <w:t>94</w:t>
            </w:r>
          </w:p>
        </w:tc>
        <w:tc>
          <w:tcPr>
            <w:tcW w:w="1938" w:type="dxa"/>
          </w:tcPr>
          <w:p w:rsidR="00000000" w:rsidRDefault="00000000">
            <w:pPr>
              <w:spacing w:before="60" w:after="60"/>
              <w:ind w:right="681"/>
              <w:jc w:val="right"/>
            </w:pPr>
            <w:r>
              <w:t>60</w:t>
            </w:r>
          </w:p>
        </w:tc>
        <w:tc>
          <w:tcPr>
            <w:tcW w:w="1938" w:type="dxa"/>
          </w:tcPr>
          <w:p w:rsidR="00000000" w:rsidRDefault="00000000">
            <w:pPr>
              <w:spacing w:before="60" w:after="60"/>
              <w:ind w:right="681"/>
              <w:jc w:val="right"/>
            </w:pPr>
            <w:r>
              <w:t>135</w:t>
            </w:r>
          </w:p>
        </w:tc>
      </w:tr>
      <w:tr w:rsidR="00000000">
        <w:tblPrEx>
          <w:tblCellMar>
            <w:top w:w="0" w:type="dxa"/>
            <w:bottom w:w="0" w:type="dxa"/>
          </w:tblCellMar>
        </w:tblPrEx>
        <w:trPr>
          <w:jc w:val="center"/>
        </w:trPr>
        <w:tc>
          <w:tcPr>
            <w:tcW w:w="3619" w:type="dxa"/>
            <w:tcBorders>
              <w:bottom w:val="single" w:sz="4" w:space="0" w:color="auto"/>
            </w:tcBorders>
          </w:tcPr>
          <w:p w:rsidR="00000000" w:rsidRDefault="00000000">
            <w:pPr>
              <w:spacing w:before="60" w:after="60"/>
            </w:pPr>
            <w:r>
              <w:t>Féminin</w:t>
            </w:r>
          </w:p>
        </w:tc>
        <w:tc>
          <w:tcPr>
            <w:tcW w:w="1937" w:type="dxa"/>
            <w:tcBorders>
              <w:bottom w:val="single" w:sz="4" w:space="0" w:color="auto"/>
            </w:tcBorders>
          </w:tcPr>
          <w:p w:rsidR="00000000" w:rsidRDefault="00000000">
            <w:pPr>
              <w:spacing w:before="60" w:after="60"/>
              <w:ind w:right="681"/>
              <w:jc w:val="right"/>
            </w:pPr>
            <w:r>
              <w:t>82</w:t>
            </w:r>
          </w:p>
        </w:tc>
        <w:tc>
          <w:tcPr>
            <w:tcW w:w="1938" w:type="dxa"/>
            <w:tcBorders>
              <w:bottom w:val="single" w:sz="4" w:space="0" w:color="auto"/>
            </w:tcBorders>
          </w:tcPr>
          <w:p w:rsidR="00000000" w:rsidRDefault="00000000">
            <w:pPr>
              <w:spacing w:before="60" w:after="60"/>
              <w:ind w:right="681"/>
              <w:jc w:val="right"/>
            </w:pPr>
            <w:r>
              <w:t>58</w:t>
            </w:r>
          </w:p>
        </w:tc>
        <w:tc>
          <w:tcPr>
            <w:tcW w:w="1938" w:type="dxa"/>
            <w:tcBorders>
              <w:bottom w:val="single" w:sz="4" w:space="0" w:color="auto"/>
            </w:tcBorders>
          </w:tcPr>
          <w:p w:rsidR="00000000" w:rsidRDefault="00000000">
            <w:pPr>
              <w:spacing w:before="60" w:after="60"/>
              <w:ind w:right="681"/>
              <w:jc w:val="right"/>
            </w:pPr>
            <w:r>
              <w:t>142</w:t>
            </w:r>
          </w:p>
        </w:tc>
      </w:tr>
      <w:tr w:rsidR="00000000">
        <w:tblPrEx>
          <w:tblCellMar>
            <w:top w:w="0" w:type="dxa"/>
            <w:bottom w:w="0" w:type="dxa"/>
          </w:tblCellMar>
        </w:tblPrEx>
        <w:trPr>
          <w:jc w:val="center"/>
        </w:trPr>
        <w:tc>
          <w:tcPr>
            <w:tcW w:w="3619" w:type="dxa"/>
            <w:tcBorders>
              <w:right w:val="nil"/>
            </w:tcBorders>
          </w:tcPr>
          <w:p w:rsidR="00000000" w:rsidRDefault="00000000">
            <w:pPr>
              <w:spacing w:before="60" w:after="60"/>
              <w:rPr>
                <w:i/>
                <w:iCs/>
              </w:rPr>
            </w:pPr>
            <w:r>
              <w:rPr>
                <w:i/>
                <w:iCs/>
              </w:rPr>
              <w:t>Province</w:t>
            </w:r>
          </w:p>
        </w:tc>
        <w:tc>
          <w:tcPr>
            <w:tcW w:w="1937" w:type="dxa"/>
            <w:tcBorders>
              <w:left w:val="nil"/>
              <w:right w:val="nil"/>
            </w:tcBorders>
          </w:tcPr>
          <w:p w:rsidR="00000000" w:rsidRDefault="00000000">
            <w:pPr>
              <w:spacing w:before="60" w:after="60"/>
              <w:ind w:right="681"/>
              <w:jc w:val="right"/>
            </w:pPr>
          </w:p>
        </w:tc>
        <w:tc>
          <w:tcPr>
            <w:tcW w:w="1938" w:type="dxa"/>
            <w:tcBorders>
              <w:left w:val="nil"/>
              <w:right w:val="nil"/>
            </w:tcBorders>
          </w:tcPr>
          <w:p w:rsidR="00000000" w:rsidRDefault="00000000">
            <w:pPr>
              <w:spacing w:before="60" w:after="60"/>
              <w:ind w:right="681"/>
              <w:jc w:val="right"/>
            </w:pPr>
          </w:p>
        </w:tc>
        <w:tc>
          <w:tcPr>
            <w:tcW w:w="1938" w:type="dxa"/>
            <w:tcBorders>
              <w:left w:val="nil"/>
            </w:tcBorders>
          </w:tcPr>
          <w:p w:rsidR="00000000" w:rsidRDefault="00000000">
            <w:pPr>
              <w:spacing w:before="60" w:after="60"/>
              <w:ind w:right="681"/>
              <w:jc w:val="right"/>
            </w:pPr>
          </w:p>
        </w:tc>
      </w:tr>
      <w:tr w:rsidR="00000000">
        <w:tblPrEx>
          <w:tblCellMar>
            <w:top w:w="0" w:type="dxa"/>
            <w:bottom w:w="0" w:type="dxa"/>
          </w:tblCellMar>
        </w:tblPrEx>
        <w:trPr>
          <w:jc w:val="center"/>
        </w:trPr>
        <w:tc>
          <w:tcPr>
            <w:tcW w:w="3619" w:type="dxa"/>
          </w:tcPr>
          <w:p w:rsidR="00000000" w:rsidRDefault="00000000">
            <w:pPr>
              <w:spacing w:before="60" w:after="60"/>
            </w:pPr>
            <w:r>
              <w:t>Antananarivo</w:t>
            </w:r>
          </w:p>
        </w:tc>
        <w:tc>
          <w:tcPr>
            <w:tcW w:w="1937" w:type="dxa"/>
          </w:tcPr>
          <w:p w:rsidR="00000000" w:rsidRDefault="00000000">
            <w:pPr>
              <w:spacing w:before="60" w:after="60"/>
              <w:ind w:right="681"/>
              <w:jc w:val="right"/>
            </w:pPr>
            <w:r>
              <w:t>63</w:t>
            </w:r>
          </w:p>
        </w:tc>
        <w:tc>
          <w:tcPr>
            <w:tcW w:w="1938" w:type="dxa"/>
          </w:tcPr>
          <w:p w:rsidR="00000000" w:rsidRDefault="00000000">
            <w:pPr>
              <w:spacing w:before="60" w:after="60"/>
              <w:ind w:right="681"/>
              <w:jc w:val="right"/>
            </w:pPr>
            <w:r>
              <w:t>37</w:t>
            </w:r>
          </w:p>
        </w:tc>
        <w:tc>
          <w:tcPr>
            <w:tcW w:w="1938" w:type="dxa"/>
          </w:tcPr>
          <w:p w:rsidR="00000000" w:rsidRDefault="00000000">
            <w:pPr>
              <w:spacing w:before="60" w:after="60"/>
              <w:ind w:right="681"/>
              <w:jc w:val="right"/>
            </w:pPr>
            <w:r>
              <w:t>98</w:t>
            </w:r>
          </w:p>
        </w:tc>
      </w:tr>
      <w:tr w:rsidR="00000000">
        <w:tblPrEx>
          <w:tblCellMar>
            <w:top w:w="0" w:type="dxa"/>
            <w:bottom w:w="0" w:type="dxa"/>
          </w:tblCellMar>
        </w:tblPrEx>
        <w:trPr>
          <w:jc w:val="center"/>
        </w:trPr>
        <w:tc>
          <w:tcPr>
            <w:tcW w:w="3619" w:type="dxa"/>
          </w:tcPr>
          <w:p w:rsidR="00000000" w:rsidRDefault="00000000">
            <w:pPr>
              <w:spacing w:before="60" w:after="60"/>
            </w:pPr>
            <w:r>
              <w:t>Fianarantsoa</w:t>
            </w:r>
          </w:p>
        </w:tc>
        <w:tc>
          <w:tcPr>
            <w:tcW w:w="1937" w:type="dxa"/>
          </w:tcPr>
          <w:p w:rsidR="00000000" w:rsidRDefault="00000000">
            <w:pPr>
              <w:spacing w:before="60" w:after="60"/>
              <w:ind w:right="681"/>
              <w:jc w:val="right"/>
            </w:pPr>
            <w:r>
              <w:t>118</w:t>
            </w:r>
          </w:p>
        </w:tc>
        <w:tc>
          <w:tcPr>
            <w:tcW w:w="1938" w:type="dxa"/>
          </w:tcPr>
          <w:p w:rsidR="00000000" w:rsidRDefault="00000000">
            <w:pPr>
              <w:spacing w:before="60" w:after="60"/>
              <w:ind w:right="681"/>
              <w:jc w:val="right"/>
            </w:pPr>
            <w:r>
              <w:t>91</w:t>
            </w:r>
          </w:p>
        </w:tc>
        <w:tc>
          <w:tcPr>
            <w:tcW w:w="1938" w:type="dxa"/>
          </w:tcPr>
          <w:p w:rsidR="00000000" w:rsidRDefault="00000000">
            <w:pPr>
              <w:spacing w:before="60" w:after="60"/>
              <w:ind w:right="681"/>
              <w:jc w:val="right"/>
            </w:pPr>
            <w:r>
              <w:t>198</w:t>
            </w:r>
          </w:p>
        </w:tc>
      </w:tr>
      <w:tr w:rsidR="00000000">
        <w:tblPrEx>
          <w:tblCellMar>
            <w:top w:w="0" w:type="dxa"/>
            <w:bottom w:w="0" w:type="dxa"/>
          </w:tblCellMar>
        </w:tblPrEx>
        <w:trPr>
          <w:jc w:val="center"/>
        </w:trPr>
        <w:tc>
          <w:tcPr>
            <w:tcW w:w="3619" w:type="dxa"/>
          </w:tcPr>
          <w:p w:rsidR="00000000" w:rsidRDefault="00000000">
            <w:pPr>
              <w:spacing w:before="60" w:after="60"/>
            </w:pPr>
            <w:r>
              <w:t>Toamasina</w:t>
            </w:r>
          </w:p>
        </w:tc>
        <w:tc>
          <w:tcPr>
            <w:tcW w:w="1937" w:type="dxa"/>
          </w:tcPr>
          <w:p w:rsidR="00000000" w:rsidRDefault="00000000">
            <w:pPr>
              <w:spacing w:before="60" w:after="60"/>
              <w:ind w:right="681"/>
              <w:jc w:val="right"/>
            </w:pPr>
            <w:r>
              <w:t>102</w:t>
            </w:r>
          </w:p>
        </w:tc>
        <w:tc>
          <w:tcPr>
            <w:tcW w:w="1938" w:type="dxa"/>
          </w:tcPr>
          <w:p w:rsidR="00000000" w:rsidRDefault="00000000">
            <w:pPr>
              <w:spacing w:before="60" w:after="60"/>
              <w:ind w:right="681"/>
              <w:jc w:val="right"/>
            </w:pPr>
            <w:r>
              <w:t>73</w:t>
            </w:r>
          </w:p>
        </w:tc>
        <w:tc>
          <w:tcPr>
            <w:tcW w:w="1938" w:type="dxa"/>
          </w:tcPr>
          <w:p w:rsidR="00000000" w:rsidRDefault="00000000">
            <w:pPr>
              <w:spacing w:before="60" w:after="60"/>
              <w:ind w:right="681"/>
              <w:jc w:val="right"/>
            </w:pPr>
            <w:r>
              <w:t>168</w:t>
            </w:r>
          </w:p>
        </w:tc>
      </w:tr>
      <w:tr w:rsidR="00000000">
        <w:tblPrEx>
          <w:tblCellMar>
            <w:top w:w="0" w:type="dxa"/>
            <w:bottom w:w="0" w:type="dxa"/>
          </w:tblCellMar>
        </w:tblPrEx>
        <w:trPr>
          <w:jc w:val="center"/>
        </w:trPr>
        <w:tc>
          <w:tcPr>
            <w:tcW w:w="3619" w:type="dxa"/>
          </w:tcPr>
          <w:p w:rsidR="00000000" w:rsidRDefault="00000000">
            <w:pPr>
              <w:spacing w:before="60" w:after="60"/>
            </w:pPr>
            <w:r>
              <w:t>Mahajanga</w:t>
            </w:r>
          </w:p>
        </w:tc>
        <w:tc>
          <w:tcPr>
            <w:tcW w:w="1937" w:type="dxa"/>
          </w:tcPr>
          <w:p w:rsidR="00000000" w:rsidRDefault="00000000">
            <w:pPr>
              <w:spacing w:before="60" w:after="60"/>
              <w:ind w:right="681"/>
              <w:jc w:val="right"/>
            </w:pPr>
            <w:r>
              <w:t>84</w:t>
            </w:r>
          </w:p>
        </w:tc>
        <w:tc>
          <w:tcPr>
            <w:tcW w:w="1938" w:type="dxa"/>
          </w:tcPr>
          <w:p w:rsidR="00000000" w:rsidRDefault="00000000">
            <w:pPr>
              <w:spacing w:before="60" w:after="60"/>
              <w:ind w:right="681"/>
              <w:jc w:val="right"/>
            </w:pPr>
            <w:r>
              <w:t>55</w:t>
            </w:r>
          </w:p>
        </w:tc>
        <w:tc>
          <w:tcPr>
            <w:tcW w:w="1938" w:type="dxa"/>
          </w:tcPr>
          <w:p w:rsidR="00000000" w:rsidRDefault="00000000">
            <w:pPr>
              <w:spacing w:before="60" w:after="60"/>
              <w:ind w:right="681"/>
              <w:jc w:val="right"/>
            </w:pPr>
            <w:r>
              <w:t>133</w:t>
            </w:r>
          </w:p>
        </w:tc>
      </w:tr>
      <w:tr w:rsidR="00000000">
        <w:tblPrEx>
          <w:tblCellMar>
            <w:top w:w="0" w:type="dxa"/>
            <w:bottom w:w="0" w:type="dxa"/>
          </w:tblCellMar>
        </w:tblPrEx>
        <w:trPr>
          <w:jc w:val="center"/>
        </w:trPr>
        <w:tc>
          <w:tcPr>
            <w:tcW w:w="3619" w:type="dxa"/>
          </w:tcPr>
          <w:p w:rsidR="00000000" w:rsidRDefault="00000000">
            <w:pPr>
              <w:spacing w:before="60" w:after="60"/>
            </w:pPr>
            <w:r>
              <w:t>Toliary</w:t>
            </w:r>
          </w:p>
        </w:tc>
        <w:tc>
          <w:tcPr>
            <w:tcW w:w="1937" w:type="dxa"/>
          </w:tcPr>
          <w:p w:rsidR="00000000" w:rsidRDefault="00000000">
            <w:pPr>
              <w:spacing w:before="60" w:after="60"/>
              <w:ind w:right="681"/>
              <w:jc w:val="right"/>
            </w:pPr>
            <w:r>
              <w:t>92</w:t>
            </w:r>
          </w:p>
        </w:tc>
        <w:tc>
          <w:tcPr>
            <w:tcW w:w="1938" w:type="dxa"/>
          </w:tcPr>
          <w:p w:rsidR="00000000" w:rsidRDefault="00000000">
            <w:pPr>
              <w:spacing w:before="60" w:after="60"/>
              <w:ind w:right="681"/>
              <w:jc w:val="right"/>
            </w:pPr>
            <w:r>
              <w:t>63</w:t>
            </w:r>
          </w:p>
        </w:tc>
        <w:tc>
          <w:tcPr>
            <w:tcW w:w="1938" w:type="dxa"/>
          </w:tcPr>
          <w:p w:rsidR="00000000" w:rsidRDefault="00000000">
            <w:pPr>
              <w:spacing w:before="60" w:after="60"/>
              <w:ind w:right="681"/>
              <w:jc w:val="right"/>
            </w:pPr>
            <w:r>
              <w:t>149</w:t>
            </w:r>
          </w:p>
        </w:tc>
      </w:tr>
      <w:tr w:rsidR="00000000">
        <w:tblPrEx>
          <w:tblCellMar>
            <w:top w:w="0" w:type="dxa"/>
            <w:bottom w:w="0" w:type="dxa"/>
          </w:tblCellMar>
        </w:tblPrEx>
        <w:trPr>
          <w:jc w:val="center"/>
        </w:trPr>
        <w:tc>
          <w:tcPr>
            <w:tcW w:w="3619" w:type="dxa"/>
            <w:tcBorders>
              <w:bottom w:val="single" w:sz="4" w:space="0" w:color="auto"/>
            </w:tcBorders>
          </w:tcPr>
          <w:p w:rsidR="00000000" w:rsidRDefault="00000000">
            <w:pPr>
              <w:spacing w:before="60" w:after="60"/>
            </w:pPr>
            <w:r>
              <w:t>Antsiranana</w:t>
            </w:r>
          </w:p>
        </w:tc>
        <w:tc>
          <w:tcPr>
            <w:tcW w:w="1937" w:type="dxa"/>
            <w:tcBorders>
              <w:bottom w:val="single" w:sz="4" w:space="0" w:color="auto"/>
            </w:tcBorders>
          </w:tcPr>
          <w:p w:rsidR="00000000" w:rsidRDefault="00000000">
            <w:pPr>
              <w:spacing w:before="60" w:after="60"/>
              <w:ind w:right="681"/>
              <w:jc w:val="right"/>
            </w:pPr>
            <w:r>
              <w:t>71</w:t>
            </w:r>
          </w:p>
        </w:tc>
        <w:tc>
          <w:tcPr>
            <w:tcW w:w="1938" w:type="dxa"/>
            <w:tcBorders>
              <w:bottom w:val="single" w:sz="4" w:space="0" w:color="auto"/>
            </w:tcBorders>
          </w:tcPr>
          <w:p w:rsidR="00000000" w:rsidRDefault="00000000">
            <w:pPr>
              <w:spacing w:before="60" w:after="60"/>
              <w:ind w:right="681"/>
              <w:jc w:val="right"/>
            </w:pPr>
            <w:r>
              <w:t>43</w:t>
            </w:r>
          </w:p>
        </w:tc>
        <w:tc>
          <w:tcPr>
            <w:tcW w:w="1938" w:type="dxa"/>
            <w:tcBorders>
              <w:bottom w:val="single" w:sz="4" w:space="0" w:color="auto"/>
            </w:tcBorders>
          </w:tcPr>
          <w:p w:rsidR="00000000" w:rsidRDefault="00000000">
            <w:pPr>
              <w:spacing w:before="60" w:after="60"/>
              <w:ind w:right="681"/>
              <w:jc w:val="right"/>
            </w:pPr>
            <w:r>
              <w:t>111</w:t>
            </w:r>
          </w:p>
        </w:tc>
      </w:tr>
      <w:tr w:rsidR="00000000">
        <w:tblPrEx>
          <w:tblCellMar>
            <w:top w:w="0" w:type="dxa"/>
            <w:bottom w:w="0" w:type="dxa"/>
          </w:tblCellMar>
        </w:tblPrEx>
        <w:trPr>
          <w:jc w:val="center"/>
        </w:trPr>
        <w:tc>
          <w:tcPr>
            <w:tcW w:w="3619" w:type="dxa"/>
            <w:tcBorders>
              <w:right w:val="nil"/>
            </w:tcBorders>
          </w:tcPr>
          <w:p w:rsidR="00000000" w:rsidRDefault="00000000">
            <w:pPr>
              <w:spacing w:before="60" w:after="60"/>
              <w:rPr>
                <w:i/>
                <w:iCs/>
              </w:rPr>
            </w:pPr>
            <w:r>
              <w:rPr>
                <w:i/>
                <w:iCs/>
              </w:rPr>
              <w:t>Niveau d’instruction de la mère</w:t>
            </w:r>
          </w:p>
        </w:tc>
        <w:tc>
          <w:tcPr>
            <w:tcW w:w="1937" w:type="dxa"/>
            <w:tcBorders>
              <w:left w:val="nil"/>
              <w:right w:val="nil"/>
            </w:tcBorders>
          </w:tcPr>
          <w:p w:rsidR="00000000" w:rsidRDefault="00000000">
            <w:pPr>
              <w:spacing w:before="60" w:after="60"/>
              <w:ind w:right="681"/>
              <w:jc w:val="right"/>
            </w:pPr>
          </w:p>
        </w:tc>
        <w:tc>
          <w:tcPr>
            <w:tcW w:w="1938" w:type="dxa"/>
            <w:tcBorders>
              <w:left w:val="nil"/>
              <w:right w:val="nil"/>
            </w:tcBorders>
          </w:tcPr>
          <w:p w:rsidR="00000000" w:rsidRDefault="00000000">
            <w:pPr>
              <w:spacing w:before="60" w:after="60"/>
              <w:ind w:right="681"/>
              <w:jc w:val="right"/>
            </w:pPr>
          </w:p>
        </w:tc>
        <w:tc>
          <w:tcPr>
            <w:tcW w:w="1938" w:type="dxa"/>
            <w:tcBorders>
              <w:left w:val="nil"/>
            </w:tcBorders>
          </w:tcPr>
          <w:p w:rsidR="00000000" w:rsidRDefault="00000000">
            <w:pPr>
              <w:spacing w:before="60" w:after="60"/>
              <w:ind w:right="681"/>
              <w:jc w:val="right"/>
            </w:pPr>
          </w:p>
        </w:tc>
      </w:tr>
      <w:tr w:rsidR="00000000">
        <w:tblPrEx>
          <w:tblCellMar>
            <w:top w:w="0" w:type="dxa"/>
            <w:bottom w:w="0" w:type="dxa"/>
          </w:tblCellMar>
        </w:tblPrEx>
        <w:trPr>
          <w:jc w:val="center"/>
        </w:trPr>
        <w:tc>
          <w:tcPr>
            <w:tcW w:w="3619" w:type="dxa"/>
          </w:tcPr>
          <w:p w:rsidR="00000000" w:rsidRDefault="00000000">
            <w:pPr>
              <w:spacing w:before="60" w:after="60"/>
            </w:pPr>
            <w:r>
              <w:t>Sans instruction</w:t>
            </w:r>
          </w:p>
        </w:tc>
        <w:tc>
          <w:tcPr>
            <w:tcW w:w="1937" w:type="dxa"/>
          </w:tcPr>
          <w:p w:rsidR="00000000" w:rsidRDefault="00000000">
            <w:pPr>
              <w:spacing w:before="60" w:after="60"/>
              <w:ind w:right="681"/>
              <w:jc w:val="right"/>
            </w:pPr>
            <w:r>
              <w:t>111</w:t>
            </w:r>
          </w:p>
        </w:tc>
        <w:tc>
          <w:tcPr>
            <w:tcW w:w="1938" w:type="dxa"/>
          </w:tcPr>
          <w:p w:rsidR="00000000" w:rsidRDefault="00000000">
            <w:pPr>
              <w:spacing w:before="60" w:after="60"/>
              <w:ind w:right="681"/>
              <w:jc w:val="right"/>
            </w:pPr>
            <w:r>
              <w:t>83</w:t>
            </w:r>
          </w:p>
        </w:tc>
        <w:tc>
          <w:tcPr>
            <w:tcW w:w="1938" w:type="dxa"/>
          </w:tcPr>
          <w:p w:rsidR="00000000" w:rsidRDefault="00000000">
            <w:pPr>
              <w:spacing w:before="60" w:after="60"/>
              <w:ind w:right="681"/>
              <w:jc w:val="right"/>
            </w:pPr>
            <w:r>
              <w:t>185</w:t>
            </w:r>
          </w:p>
        </w:tc>
      </w:tr>
      <w:tr w:rsidR="00000000">
        <w:tblPrEx>
          <w:tblCellMar>
            <w:top w:w="0" w:type="dxa"/>
            <w:bottom w:w="0" w:type="dxa"/>
          </w:tblCellMar>
        </w:tblPrEx>
        <w:trPr>
          <w:jc w:val="center"/>
        </w:trPr>
        <w:tc>
          <w:tcPr>
            <w:tcW w:w="3619" w:type="dxa"/>
          </w:tcPr>
          <w:p w:rsidR="00000000" w:rsidRDefault="00000000">
            <w:pPr>
              <w:spacing w:before="60" w:after="60"/>
            </w:pPr>
            <w:r>
              <w:t>Primaire</w:t>
            </w:r>
          </w:p>
        </w:tc>
        <w:tc>
          <w:tcPr>
            <w:tcW w:w="1937" w:type="dxa"/>
          </w:tcPr>
          <w:p w:rsidR="00000000" w:rsidRDefault="00000000">
            <w:pPr>
              <w:spacing w:before="60" w:after="60"/>
              <w:ind w:right="681"/>
              <w:jc w:val="right"/>
            </w:pPr>
            <w:r>
              <w:t>83</w:t>
            </w:r>
          </w:p>
        </w:tc>
        <w:tc>
          <w:tcPr>
            <w:tcW w:w="1938" w:type="dxa"/>
          </w:tcPr>
          <w:p w:rsidR="00000000" w:rsidRDefault="00000000">
            <w:pPr>
              <w:spacing w:before="60" w:after="60"/>
              <w:ind w:right="681"/>
              <w:jc w:val="right"/>
            </w:pPr>
            <w:r>
              <w:t>54</w:t>
            </w:r>
          </w:p>
        </w:tc>
        <w:tc>
          <w:tcPr>
            <w:tcW w:w="1938" w:type="dxa"/>
          </w:tcPr>
          <w:p w:rsidR="00000000" w:rsidRDefault="00000000">
            <w:pPr>
              <w:spacing w:before="60" w:after="60"/>
              <w:ind w:right="681"/>
              <w:jc w:val="right"/>
            </w:pPr>
            <w:r>
              <w:t>132</w:t>
            </w:r>
          </w:p>
        </w:tc>
      </w:tr>
      <w:tr w:rsidR="00000000">
        <w:tblPrEx>
          <w:tblCellMar>
            <w:top w:w="0" w:type="dxa"/>
            <w:bottom w:w="0" w:type="dxa"/>
          </w:tblCellMar>
        </w:tblPrEx>
        <w:trPr>
          <w:jc w:val="center"/>
        </w:trPr>
        <w:tc>
          <w:tcPr>
            <w:tcW w:w="3619" w:type="dxa"/>
            <w:tcBorders>
              <w:bottom w:val="single" w:sz="4" w:space="0" w:color="auto"/>
            </w:tcBorders>
          </w:tcPr>
          <w:p w:rsidR="00000000" w:rsidRDefault="00000000">
            <w:pPr>
              <w:spacing w:before="60" w:after="60"/>
            </w:pPr>
            <w:r>
              <w:t>Secondaire ou plus</w:t>
            </w:r>
          </w:p>
        </w:tc>
        <w:tc>
          <w:tcPr>
            <w:tcW w:w="1937" w:type="dxa"/>
            <w:tcBorders>
              <w:bottom w:val="single" w:sz="4" w:space="0" w:color="auto"/>
            </w:tcBorders>
          </w:tcPr>
          <w:p w:rsidR="00000000" w:rsidRDefault="00000000">
            <w:pPr>
              <w:spacing w:before="60" w:after="60"/>
              <w:ind w:right="681"/>
              <w:jc w:val="right"/>
            </w:pPr>
            <w:r>
              <w:t>66</w:t>
            </w:r>
          </w:p>
        </w:tc>
        <w:tc>
          <w:tcPr>
            <w:tcW w:w="1938" w:type="dxa"/>
            <w:tcBorders>
              <w:bottom w:val="single" w:sz="4" w:space="0" w:color="auto"/>
            </w:tcBorders>
          </w:tcPr>
          <w:p w:rsidR="00000000" w:rsidRDefault="00000000">
            <w:pPr>
              <w:spacing w:before="60" w:after="60"/>
              <w:ind w:right="681"/>
              <w:jc w:val="right"/>
            </w:pPr>
            <w:r>
              <w:t>39</w:t>
            </w:r>
          </w:p>
        </w:tc>
        <w:tc>
          <w:tcPr>
            <w:tcW w:w="1938" w:type="dxa"/>
            <w:tcBorders>
              <w:bottom w:val="single" w:sz="4" w:space="0" w:color="auto"/>
            </w:tcBorders>
          </w:tcPr>
          <w:p w:rsidR="00000000" w:rsidRDefault="00000000">
            <w:pPr>
              <w:spacing w:before="60" w:after="60"/>
              <w:ind w:right="681"/>
              <w:jc w:val="right"/>
            </w:pPr>
            <w:r>
              <w:t>102</w:t>
            </w:r>
          </w:p>
        </w:tc>
      </w:tr>
      <w:tr w:rsidR="00000000">
        <w:tblPrEx>
          <w:tblCellMar>
            <w:top w:w="0" w:type="dxa"/>
            <w:bottom w:w="0" w:type="dxa"/>
          </w:tblCellMar>
        </w:tblPrEx>
        <w:trPr>
          <w:jc w:val="center"/>
        </w:trPr>
        <w:tc>
          <w:tcPr>
            <w:tcW w:w="3619" w:type="dxa"/>
            <w:tcBorders>
              <w:right w:val="nil"/>
            </w:tcBorders>
          </w:tcPr>
          <w:p w:rsidR="00000000" w:rsidRDefault="00000000">
            <w:pPr>
              <w:spacing w:before="60" w:after="60"/>
              <w:rPr>
                <w:i/>
                <w:iCs/>
              </w:rPr>
            </w:pPr>
            <w:r>
              <w:rPr>
                <w:i/>
                <w:iCs/>
              </w:rPr>
              <w:t>Catégorie socioéconomique</w:t>
            </w:r>
          </w:p>
        </w:tc>
        <w:tc>
          <w:tcPr>
            <w:tcW w:w="1937" w:type="dxa"/>
            <w:tcBorders>
              <w:left w:val="nil"/>
              <w:right w:val="nil"/>
            </w:tcBorders>
          </w:tcPr>
          <w:p w:rsidR="00000000" w:rsidRDefault="00000000">
            <w:pPr>
              <w:spacing w:before="60" w:after="60"/>
              <w:ind w:right="681"/>
              <w:jc w:val="right"/>
            </w:pPr>
          </w:p>
        </w:tc>
        <w:tc>
          <w:tcPr>
            <w:tcW w:w="1938" w:type="dxa"/>
            <w:tcBorders>
              <w:left w:val="nil"/>
              <w:right w:val="nil"/>
            </w:tcBorders>
          </w:tcPr>
          <w:p w:rsidR="00000000" w:rsidRDefault="00000000">
            <w:pPr>
              <w:spacing w:before="60" w:after="60"/>
              <w:ind w:right="681"/>
              <w:jc w:val="right"/>
            </w:pPr>
          </w:p>
        </w:tc>
        <w:tc>
          <w:tcPr>
            <w:tcW w:w="1938" w:type="dxa"/>
            <w:tcBorders>
              <w:left w:val="nil"/>
            </w:tcBorders>
          </w:tcPr>
          <w:p w:rsidR="00000000" w:rsidRDefault="00000000">
            <w:pPr>
              <w:spacing w:before="60" w:after="60"/>
              <w:ind w:right="681"/>
              <w:jc w:val="right"/>
            </w:pPr>
          </w:p>
        </w:tc>
      </w:tr>
      <w:tr w:rsidR="00000000">
        <w:tblPrEx>
          <w:tblCellMar>
            <w:top w:w="0" w:type="dxa"/>
            <w:bottom w:w="0" w:type="dxa"/>
          </w:tblCellMar>
        </w:tblPrEx>
        <w:trPr>
          <w:jc w:val="center"/>
        </w:trPr>
        <w:tc>
          <w:tcPr>
            <w:tcW w:w="3619" w:type="dxa"/>
          </w:tcPr>
          <w:p w:rsidR="00000000" w:rsidRDefault="00000000">
            <w:pPr>
              <w:spacing w:before="60" w:after="60"/>
            </w:pPr>
            <w:r>
              <w:t>Pauvre</w:t>
            </w:r>
          </w:p>
        </w:tc>
        <w:tc>
          <w:tcPr>
            <w:tcW w:w="1937" w:type="dxa"/>
          </w:tcPr>
          <w:p w:rsidR="00000000" w:rsidRDefault="00000000">
            <w:pPr>
              <w:spacing w:before="60" w:after="60"/>
              <w:ind w:right="681"/>
              <w:jc w:val="right"/>
            </w:pPr>
            <w:r>
              <w:t>95</w:t>
            </w:r>
          </w:p>
        </w:tc>
        <w:tc>
          <w:tcPr>
            <w:tcW w:w="1938" w:type="dxa"/>
          </w:tcPr>
          <w:p w:rsidR="00000000" w:rsidRDefault="00000000">
            <w:pPr>
              <w:spacing w:before="60" w:after="60"/>
              <w:ind w:right="681"/>
              <w:jc w:val="right"/>
            </w:pPr>
            <w:r>
              <w:t>66</w:t>
            </w:r>
          </w:p>
        </w:tc>
        <w:tc>
          <w:tcPr>
            <w:tcW w:w="1938" w:type="dxa"/>
          </w:tcPr>
          <w:p w:rsidR="00000000" w:rsidRDefault="00000000">
            <w:pPr>
              <w:spacing w:before="60" w:after="60"/>
              <w:ind w:right="681"/>
              <w:jc w:val="right"/>
            </w:pPr>
            <w:r>
              <w:t>155</w:t>
            </w:r>
          </w:p>
        </w:tc>
      </w:tr>
      <w:tr w:rsidR="00000000">
        <w:tblPrEx>
          <w:tblCellMar>
            <w:top w:w="0" w:type="dxa"/>
            <w:bottom w:w="0" w:type="dxa"/>
          </w:tblCellMar>
        </w:tblPrEx>
        <w:trPr>
          <w:jc w:val="center"/>
        </w:trPr>
        <w:tc>
          <w:tcPr>
            <w:tcW w:w="3619" w:type="dxa"/>
          </w:tcPr>
          <w:p w:rsidR="00000000" w:rsidRDefault="00000000">
            <w:pPr>
              <w:spacing w:before="60" w:after="60"/>
            </w:pPr>
            <w:r>
              <w:t>Moyen</w:t>
            </w:r>
          </w:p>
        </w:tc>
        <w:tc>
          <w:tcPr>
            <w:tcW w:w="1937" w:type="dxa"/>
          </w:tcPr>
          <w:p w:rsidR="00000000" w:rsidRDefault="00000000">
            <w:pPr>
              <w:spacing w:before="60" w:after="60"/>
              <w:ind w:right="681"/>
              <w:jc w:val="right"/>
            </w:pPr>
            <w:r>
              <w:t>86</w:t>
            </w:r>
          </w:p>
        </w:tc>
        <w:tc>
          <w:tcPr>
            <w:tcW w:w="1938" w:type="dxa"/>
          </w:tcPr>
          <w:p w:rsidR="00000000" w:rsidRDefault="00000000">
            <w:pPr>
              <w:spacing w:before="60" w:after="60"/>
              <w:ind w:right="681"/>
              <w:jc w:val="right"/>
            </w:pPr>
            <w:r>
              <w:t>57</w:t>
            </w:r>
          </w:p>
        </w:tc>
        <w:tc>
          <w:tcPr>
            <w:tcW w:w="1938" w:type="dxa"/>
          </w:tcPr>
          <w:p w:rsidR="00000000" w:rsidRDefault="00000000">
            <w:pPr>
              <w:spacing w:before="60" w:after="60"/>
              <w:ind w:right="681"/>
              <w:jc w:val="right"/>
            </w:pPr>
            <w:r>
              <w:t>137</w:t>
            </w:r>
          </w:p>
        </w:tc>
      </w:tr>
      <w:tr w:rsidR="00000000">
        <w:tblPrEx>
          <w:tblCellMar>
            <w:top w:w="0" w:type="dxa"/>
            <w:bottom w:w="0" w:type="dxa"/>
          </w:tblCellMar>
        </w:tblPrEx>
        <w:trPr>
          <w:jc w:val="center"/>
        </w:trPr>
        <w:tc>
          <w:tcPr>
            <w:tcW w:w="3619" w:type="dxa"/>
          </w:tcPr>
          <w:p w:rsidR="00000000" w:rsidRDefault="00000000">
            <w:pPr>
              <w:spacing w:before="60" w:after="60"/>
            </w:pPr>
            <w:r>
              <w:t>Aisé</w:t>
            </w:r>
          </w:p>
        </w:tc>
        <w:tc>
          <w:tcPr>
            <w:tcW w:w="1937" w:type="dxa"/>
          </w:tcPr>
          <w:p w:rsidR="00000000" w:rsidRDefault="00000000">
            <w:pPr>
              <w:spacing w:before="60" w:after="60"/>
              <w:ind w:right="681"/>
              <w:jc w:val="right"/>
            </w:pPr>
            <w:r>
              <w:t>57</w:t>
            </w:r>
          </w:p>
        </w:tc>
        <w:tc>
          <w:tcPr>
            <w:tcW w:w="1938" w:type="dxa"/>
          </w:tcPr>
          <w:p w:rsidR="00000000" w:rsidRDefault="00000000">
            <w:pPr>
              <w:spacing w:before="60" w:after="60"/>
              <w:ind w:right="681"/>
              <w:jc w:val="right"/>
            </w:pPr>
            <w:r>
              <w:t>31</w:t>
            </w:r>
          </w:p>
        </w:tc>
        <w:tc>
          <w:tcPr>
            <w:tcW w:w="1938" w:type="dxa"/>
          </w:tcPr>
          <w:p w:rsidR="00000000" w:rsidRDefault="00000000">
            <w:pPr>
              <w:spacing w:before="60" w:after="60"/>
              <w:ind w:right="681"/>
              <w:jc w:val="right"/>
            </w:pPr>
            <w:r>
              <w:t>87</w:t>
            </w:r>
          </w:p>
        </w:tc>
      </w:tr>
      <w:tr w:rsidR="00000000">
        <w:tblPrEx>
          <w:tblCellMar>
            <w:top w:w="0" w:type="dxa"/>
            <w:bottom w:w="0" w:type="dxa"/>
          </w:tblCellMar>
        </w:tblPrEx>
        <w:trPr>
          <w:jc w:val="center"/>
        </w:trPr>
        <w:tc>
          <w:tcPr>
            <w:tcW w:w="3619" w:type="dxa"/>
          </w:tcPr>
          <w:p w:rsidR="00000000" w:rsidRDefault="00000000">
            <w:pPr>
              <w:spacing w:before="60" w:after="60"/>
            </w:pPr>
            <w:r>
              <w:t>Ensemble</w:t>
            </w:r>
          </w:p>
        </w:tc>
        <w:tc>
          <w:tcPr>
            <w:tcW w:w="1937" w:type="dxa"/>
          </w:tcPr>
          <w:p w:rsidR="00000000" w:rsidRDefault="00000000">
            <w:pPr>
              <w:spacing w:before="60" w:after="60"/>
              <w:ind w:right="681"/>
              <w:jc w:val="right"/>
            </w:pPr>
            <w:r>
              <w:t>88</w:t>
            </w:r>
          </w:p>
        </w:tc>
        <w:tc>
          <w:tcPr>
            <w:tcW w:w="1938" w:type="dxa"/>
          </w:tcPr>
          <w:p w:rsidR="00000000" w:rsidRDefault="00000000">
            <w:pPr>
              <w:spacing w:before="60" w:after="60"/>
              <w:ind w:right="681"/>
              <w:jc w:val="right"/>
            </w:pPr>
            <w:r>
              <w:t>59</w:t>
            </w:r>
          </w:p>
        </w:tc>
        <w:tc>
          <w:tcPr>
            <w:tcW w:w="1938" w:type="dxa"/>
          </w:tcPr>
          <w:p w:rsidR="00000000" w:rsidRDefault="00000000">
            <w:pPr>
              <w:spacing w:before="60" w:after="60"/>
              <w:ind w:right="681"/>
              <w:jc w:val="right"/>
            </w:pPr>
            <w:r>
              <w:t>142</w:t>
            </w:r>
          </w:p>
        </w:tc>
      </w:tr>
    </w:tbl>
    <w:p w:rsidR="00000000" w:rsidRDefault="00000000"/>
    <w:p w:rsidR="00000000" w:rsidRDefault="00000000">
      <w:pPr>
        <w:spacing w:after="240"/>
        <w:ind w:firstLine="567"/>
        <w:rPr>
          <w:i/>
          <w:iCs/>
        </w:rPr>
      </w:pPr>
      <w:r>
        <w:rPr>
          <w:i/>
          <w:iCs/>
        </w:rPr>
        <w:t>Source</w:t>
      </w:r>
      <w:r>
        <w:t>: INSTAT/DDSS/MICS 2000.</w:t>
      </w:r>
    </w:p>
    <w:p w:rsidR="00000000" w:rsidRDefault="00000000">
      <w:pPr>
        <w:spacing w:after="240"/>
      </w:pPr>
      <w:r>
        <w:t>83.</w:t>
      </w:r>
      <w:r>
        <w:tab/>
        <w:t>Il existe d’autres facteurs liés à l’ignorance ou à la méconnaissance de l’utilisation des méthodes contraceptives modernes (avortement, enfants non désirés, MST).</w:t>
      </w:r>
    </w:p>
    <w:p w:rsidR="00000000" w:rsidRDefault="00000000">
      <w:pPr>
        <w:keepNext/>
        <w:spacing w:after="240"/>
        <w:jc w:val="center"/>
        <w:rPr>
          <w:b/>
          <w:bCs/>
        </w:rPr>
      </w:pPr>
      <w:bookmarkStart w:id="14" w:name="_Toc28008703"/>
      <w:bookmarkStart w:id="15" w:name="_Toc29348381"/>
      <w:bookmarkStart w:id="16" w:name="_Toc98224963"/>
      <w:r>
        <w:rPr>
          <w:b/>
          <w:bCs/>
        </w:rPr>
        <w:t>Tableau 34: Taux d’utilisation, d’utilité et de connaissance de la PF par Faritany</w:t>
      </w:r>
      <w:bookmarkEnd w:id="14"/>
      <w:bookmarkEnd w:id="15"/>
      <w:bookmarkEnd w:id="16"/>
    </w:p>
    <w:tbl>
      <w:tblPr>
        <w:tblW w:w="0" w:type="auto"/>
        <w:jc w:val="center"/>
        <w:tblInd w:w="-18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500"/>
        <w:gridCol w:w="1983"/>
        <w:gridCol w:w="1983"/>
        <w:gridCol w:w="1984"/>
      </w:tblGrid>
      <w:tr w:rsidR="00000000">
        <w:tblPrEx>
          <w:tblCellMar>
            <w:top w:w="0" w:type="dxa"/>
            <w:bottom w:w="0" w:type="dxa"/>
          </w:tblCellMar>
        </w:tblPrEx>
        <w:trPr>
          <w:trHeight w:val="227"/>
          <w:jc w:val="center"/>
        </w:trPr>
        <w:tc>
          <w:tcPr>
            <w:tcW w:w="3500" w:type="dxa"/>
            <w:tcBorders>
              <w:top w:val="single" w:sz="6" w:space="0" w:color="000000"/>
              <w:left w:val="single" w:sz="6" w:space="0" w:color="000000"/>
              <w:bottom w:val="single" w:sz="6" w:space="0" w:color="000000"/>
              <w:right w:val="single" w:sz="6" w:space="0" w:color="000000"/>
            </w:tcBorders>
            <w:vAlign w:val="center"/>
          </w:tcPr>
          <w:p w:rsidR="00000000" w:rsidRDefault="00000000">
            <w:pPr>
              <w:keepNext/>
              <w:spacing w:before="60" w:after="60"/>
              <w:jc w:val="center"/>
              <w:rPr>
                <w:bCs/>
              </w:rPr>
            </w:pPr>
            <w:r>
              <w:rPr>
                <w:bCs/>
              </w:rPr>
              <w:t>Faritany</w:t>
            </w:r>
          </w:p>
        </w:tc>
        <w:tc>
          <w:tcPr>
            <w:tcW w:w="1983"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bCs/>
              </w:rPr>
            </w:pPr>
            <w:r>
              <w:rPr>
                <w:bCs/>
              </w:rPr>
              <w:t>Taux d’utilisation</w:t>
            </w:r>
          </w:p>
        </w:tc>
        <w:tc>
          <w:tcPr>
            <w:tcW w:w="1983"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bCs/>
              </w:rPr>
            </w:pPr>
            <w:r>
              <w:rPr>
                <w:bCs/>
              </w:rPr>
              <w:t>Taux d’utilité</w:t>
            </w:r>
          </w:p>
        </w:tc>
        <w:tc>
          <w:tcPr>
            <w:tcW w:w="1984"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bCs/>
              </w:rPr>
            </w:pPr>
            <w:r>
              <w:rPr>
                <w:bCs/>
              </w:rPr>
              <w:t>Taux de connaissance</w:t>
            </w:r>
          </w:p>
        </w:tc>
      </w:tr>
      <w:tr w:rsidR="00000000">
        <w:tblPrEx>
          <w:tblCellMar>
            <w:top w:w="0" w:type="dxa"/>
            <w:bottom w:w="0" w:type="dxa"/>
          </w:tblCellMar>
        </w:tblPrEx>
        <w:trPr>
          <w:trHeight w:val="227"/>
          <w:jc w:val="center"/>
        </w:trPr>
        <w:tc>
          <w:tcPr>
            <w:tcW w:w="350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pPr>
            <w:r>
              <w:t>Antananarivo</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23,6</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58,8</w:t>
            </w:r>
          </w:p>
        </w:tc>
        <w:tc>
          <w:tcPr>
            <w:tcW w:w="198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75,8</w:t>
            </w:r>
          </w:p>
        </w:tc>
      </w:tr>
      <w:tr w:rsidR="00000000">
        <w:tblPrEx>
          <w:tblCellMar>
            <w:top w:w="0" w:type="dxa"/>
            <w:bottom w:w="0" w:type="dxa"/>
          </w:tblCellMar>
        </w:tblPrEx>
        <w:trPr>
          <w:trHeight w:val="227"/>
          <w:jc w:val="center"/>
        </w:trPr>
        <w:tc>
          <w:tcPr>
            <w:tcW w:w="350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pPr>
            <w:r>
              <w:t>Fianarantsoa</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11,4</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46,2</w:t>
            </w:r>
          </w:p>
        </w:tc>
        <w:tc>
          <w:tcPr>
            <w:tcW w:w="198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44,3</w:t>
            </w:r>
          </w:p>
        </w:tc>
      </w:tr>
      <w:tr w:rsidR="00000000">
        <w:tblPrEx>
          <w:tblCellMar>
            <w:top w:w="0" w:type="dxa"/>
            <w:bottom w:w="0" w:type="dxa"/>
          </w:tblCellMar>
        </w:tblPrEx>
        <w:trPr>
          <w:trHeight w:val="227"/>
          <w:jc w:val="center"/>
        </w:trPr>
        <w:tc>
          <w:tcPr>
            <w:tcW w:w="350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pPr>
            <w:r>
              <w:t>Toamasina</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19,7</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45,9</w:t>
            </w:r>
          </w:p>
        </w:tc>
        <w:tc>
          <w:tcPr>
            <w:tcW w:w="198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60</w:t>
            </w:r>
          </w:p>
        </w:tc>
      </w:tr>
      <w:tr w:rsidR="00000000">
        <w:tblPrEx>
          <w:tblCellMar>
            <w:top w:w="0" w:type="dxa"/>
            <w:bottom w:w="0" w:type="dxa"/>
          </w:tblCellMar>
        </w:tblPrEx>
        <w:trPr>
          <w:trHeight w:val="227"/>
          <w:jc w:val="center"/>
        </w:trPr>
        <w:tc>
          <w:tcPr>
            <w:tcW w:w="350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pPr>
            <w:r>
              <w:t>Mahajanga</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12,9</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38,9</w:t>
            </w:r>
          </w:p>
        </w:tc>
        <w:tc>
          <w:tcPr>
            <w:tcW w:w="198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44,6</w:t>
            </w:r>
          </w:p>
        </w:tc>
      </w:tr>
      <w:tr w:rsidR="00000000">
        <w:tblPrEx>
          <w:tblCellMar>
            <w:top w:w="0" w:type="dxa"/>
            <w:bottom w:w="0" w:type="dxa"/>
          </w:tblCellMar>
        </w:tblPrEx>
        <w:trPr>
          <w:trHeight w:val="227"/>
          <w:jc w:val="center"/>
        </w:trPr>
        <w:tc>
          <w:tcPr>
            <w:tcW w:w="350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pPr>
            <w:r>
              <w:t>Toliara</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11,3</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25,2</w:t>
            </w:r>
          </w:p>
        </w:tc>
        <w:tc>
          <w:tcPr>
            <w:tcW w:w="198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36</w:t>
            </w:r>
          </w:p>
        </w:tc>
      </w:tr>
      <w:tr w:rsidR="00000000">
        <w:tblPrEx>
          <w:tblCellMar>
            <w:top w:w="0" w:type="dxa"/>
            <w:bottom w:w="0" w:type="dxa"/>
          </w:tblCellMar>
        </w:tblPrEx>
        <w:trPr>
          <w:trHeight w:val="227"/>
          <w:jc w:val="center"/>
        </w:trPr>
        <w:tc>
          <w:tcPr>
            <w:tcW w:w="350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pPr>
            <w:r>
              <w:t>Antsiranana</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15,6</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48,4</w:t>
            </w:r>
          </w:p>
        </w:tc>
        <w:tc>
          <w:tcPr>
            <w:tcW w:w="198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60,7</w:t>
            </w:r>
          </w:p>
        </w:tc>
      </w:tr>
      <w:tr w:rsidR="00000000">
        <w:tblPrEx>
          <w:tblCellMar>
            <w:top w:w="0" w:type="dxa"/>
            <w:bottom w:w="0" w:type="dxa"/>
          </w:tblCellMar>
        </w:tblPrEx>
        <w:trPr>
          <w:trHeight w:val="227"/>
          <w:jc w:val="center"/>
        </w:trPr>
        <w:tc>
          <w:tcPr>
            <w:tcW w:w="350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pPr>
            <w:r>
              <w:t>Madagascar</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16,9</w:t>
            </w:r>
          </w:p>
        </w:tc>
        <w:tc>
          <w:tcPr>
            <w:tcW w:w="1983"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46,4</w:t>
            </w:r>
          </w:p>
        </w:tc>
        <w:tc>
          <w:tcPr>
            <w:tcW w:w="198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ind w:right="647"/>
              <w:jc w:val="right"/>
            </w:pPr>
            <w:r>
              <w:t>56,4</w:t>
            </w:r>
          </w:p>
        </w:tc>
      </w:tr>
    </w:tbl>
    <w:p w:rsidR="00000000" w:rsidRDefault="00000000"/>
    <w:p w:rsidR="00000000" w:rsidRDefault="00000000">
      <w:pPr>
        <w:spacing w:after="240"/>
        <w:ind w:firstLine="567"/>
        <w:rPr>
          <w:i/>
          <w:iCs/>
        </w:rPr>
      </w:pPr>
      <w:r>
        <w:rPr>
          <w:i/>
          <w:iCs/>
        </w:rPr>
        <w:t>Source</w:t>
      </w:r>
      <w:r>
        <w:t>: INSTAT/DSM/EPM 2001.</w:t>
      </w:r>
    </w:p>
    <w:p w:rsidR="00000000" w:rsidRDefault="00000000">
      <w:pPr>
        <w:keepNext/>
        <w:spacing w:after="240"/>
        <w:rPr>
          <w:b/>
          <w:bCs/>
        </w:rPr>
      </w:pPr>
      <w:bookmarkStart w:id="17" w:name="_Toc98224983"/>
      <w:r>
        <w:rPr>
          <w:b/>
          <w:bCs/>
        </w:rPr>
        <w:t xml:space="preserve">Graphique </w:t>
      </w:r>
      <w:r>
        <w:rPr>
          <w:b/>
          <w:bCs/>
        </w:rPr>
        <w:fldChar w:fldCharType="begin"/>
      </w:r>
      <w:r>
        <w:rPr>
          <w:b/>
          <w:bCs/>
        </w:rPr>
        <w:instrText xml:space="preserve"> SEQ Graphique \* ARABIC </w:instrText>
      </w:r>
      <w:r>
        <w:rPr>
          <w:b/>
          <w:bCs/>
        </w:rPr>
        <w:fldChar w:fldCharType="separate"/>
      </w:r>
      <w:r>
        <w:rPr>
          <w:b/>
          <w:bCs/>
          <w:noProof/>
        </w:rPr>
        <w:t>2</w:t>
      </w:r>
      <w:r>
        <w:rPr>
          <w:b/>
          <w:bCs/>
        </w:rPr>
        <w:fldChar w:fldCharType="end"/>
      </w:r>
      <w:r>
        <w:rPr>
          <w:b/>
          <w:bCs/>
        </w:rPr>
        <w:t>: Impact de soin prénatal sur la mortalité des enfants de moins d’un an</w:t>
      </w:r>
      <w:bookmarkEnd w:id="17"/>
    </w:p>
    <w:p w:rsidR="00000000" w:rsidRDefault="00000000">
      <w:pPr>
        <w:spacing w:after="240"/>
      </w:pPr>
      <w:r>
        <w:tab/>
      </w:r>
      <w:r>
        <w:tab/>
      </w:r>
      <w:r>
        <w:tab/>
      </w:r>
      <w:r>
        <w:object w:dxaOrig="5386" w:dyaOrig="3374">
          <v:shape id="_x0000_i1026" type="#_x0000_t75" style="width:269.25pt;height:168.75pt" o:ole="">
            <v:imagedata r:id="rId11" o:title=""/>
          </v:shape>
          <o:OLEObject Type="Embed" ProgID="Excel.Chart.8" ShapeID="_x0000_i1026" DrawAspect="Content" ObjectID="_1395233500" r:id="rId12">
            <o:FieldCodes>\s</o:FieldCodes>
          </o:OLEObject>
        </w:object>
      </w:r>
    </w:p>
    <w:p w:rsidR="00000000" w:rsidRDefault="00000000">
      <w:pPr>
        <w:spacing w:after="240"/>
        <w:ind w:firstLine="567"/>
        <w:rPr>
          <w:b/>
          <w:bCs/>
        </w:rPr>
      </w:pPr>
      <w:r>
        <w:rPr>
          <w:b/>
          <w:bCs/>
        </w:rPr>
        <w:t>Les autres obstacles à l’application du pacte</w:t>
      </w:r>
    </w:p>
    <w:p w:rsidR="00000000" w:rsidRDefault="00000000">
      <w:pPr>
        <w:spacing w:after="240"/>
      </w:pPr>
      <w:r>
        <w:t>84.</w:t>
      </w:r>
      <w:r>
        <w:tab/>
        <w:t>Les us et coutumes de certaines communautés en milieu rural constituent des obstacles à la pleine application des mesures édictées par le pacte.</w:t>
      </w:r>
    </w:p>
    <w:p w:rsidR="00000000" w:rsidRDefault="00000000">
      <w:pPr>
        <w:spacing w:after="240"/>
      </w:pPr>
      <w:r>
        <w:t>85.</w:t>
      </w:r>
      <w:r>
        <w:tab/>
        <w:t>Le milieu rural malgache est très conservateur et garde des traditions et croyances diverses incompatibles avec les normes du pacte. Les valeurs traditionnelles se perpétuent à travers les structures villageoises et communautaires. Elles restent fortement ancrées dans les zones enclavées.</w:t>
      </w:r>
    </w:p>
    <w:p w:rsidR="00000000" w:rsidRDefault="00000000">
      <w:pPr>
        <w:spacing w:after="240"/>
      </w:pPr>
      <w:r>
        <w:t>86.</w:t>
      </w:r>
      <w:r>
        <w:tab/>
        <w:t>Dans certaines localités du sud</w:t>
      </w:r>
      <w:r>
        <w:noBreakHyphen/>
        <w:t>est de l’île, la naissance des jumeaux est considérée comme un événement maléfique, d’où le rejet systématique d’enfants jumeaux.</w:t>
      </w:r>
    </w:p>
    <w:p w:rsidR="00000000" w:rsidRDefault="00000000">
      <w:pPr>
        <w:spacing w:after="240"/>
      </w:pPr>
      <w:r>
        <w:t>87.</w:t>
      </w:r>
      <w:r>
        <w:tab/>
        <w:t>Dans le cadre de la politique du développement et de la protection de l’enfant le Ministère de la santé et du planning familial joue un rôle important. Le nombre des districts sanitaires est passé de 37 à 111.</w:t>
      </w:r>
    </w:p>
    <w:p w:rsidR="00000000" w:rsidRDefault="00000000">
      <w:pPr>
        <w:spacing w:after="240"/>
      </w:pPr>
      <w:r>
        <w:t>88.</w:t>
      </w:r>
      <w:r>
        <w:tab/>
        <w:t>Le Ministère assure les activités permettant d’améliorer sensiblement la sécurité de la femme et des enfants, à travers la mise en œuvre de la politique sur la santé de la reproduction dont les composantes sont:</w:t>
      </w:r>
    </w:p>
    <w:p w:rsidR="00000000" w:rsidRDefault="00000000">
      <w:pPr>
        <w:spacing w:after="240"/>
        <w:ind w:firstLine="567"/>
      </w:pPr>
      <w:r>
        <w:t>a)</w:t>
      </w:r>
      <w:r>
        <w:tab/>
        <w:t>La prise en charge intégrée des maladies de l’enfance;</w:t>
      </w:r>
    </w:p>
    <w:p w:rsidR="00000000" w:rsidRDefault="00000000">
      <w:pPr>
        <w:spacing w:after="240"/>
        <w:ind w:firstLine="567"/>
      </w:pPr>
      <w:r>
        <w:t>b)</w:t>
      </w:r>
      <w:r>
        <w:tab/>
        <w:t>La lutte contre les maladies transmissibles;</w:t>
      </w:r>
    </w:p>
    <w:p w:rsidR="00000000" w:rsidRDefault="00000000">
      <w:pPr>
        <w:spacing w:after="240"/>
        <w:ind w:firstLine="567"/>
      </w:pPr>
      <w:r>
        <w:t>c)</w:t>
      </w:r>
      <w:r>
        <w:tab/>
        <w:t>L’élimination de certaines maladies comme la lèpre, la poliomyélite, la peste et le choléra.</w:t>
      </w:r>
    </w:p>
    <w:p w:rsidR="00000000" w:rsidRDefault="00000000">
      <w:pPr>
        <w:spacing w:after="240"/>
      </w:pPr>
      <w:r>
        <w:t>89.</w:t>
      </w:r>
      <w:r>
        <w:tab/>
        <w:t>Pour réduire au maximum le taux de mortalité maternelle et infantile, des efforts ont été entrepris en augmentant le nombre de médecins et d’agents paramédicaux.</w:t>
      </w:r>
    </w:p>
    <w:p w:rsidR="00000000" w:rsidRDefault="00000000">
      <w:pPr>
        <w:spacing w:after="240"/>
      </w:pPr>
      <w:r>
        <w:t>90.</w:t>
      </w:r>
      <w:r>
        <w:tab/>
        <w:t>Le Ministère de la santé a embauché 702 médecins en 1999 contre 240 en 1988 et 300 agents paramédicaux en 1999.</w:t>
      </w:r>
    </w:p>
    <w:p w:rsidR="00000000" w:rsidRDefault="00000000">
      <w:pPr>
        <w:spacing w:after="240"/>
      </w:pPr>
      <w:r>
        <w:t>91.</w:t>
      </w:r>
      <w:r>
        <w:tab/>
        <w:t>Un institut de formation spécialisée en santé publique et communautaire fut créé avec l’appui de l’OMS, l’UNICEF, l’Union européenne, la Coopération française, l’USAID et de la GTZ.</w:t>
      </w:r>
    </w:p>
    <w:p w:rsidR="00000000" w:rsidRDefault="00000000">
      <w:pPr>
        <w:spacing w:after="240"/>
      </w:pPr>
      <w:r>
        <w:t>92.</w:t>
      </w:r>
      <w:r>
        <w:tab/>
        <w:t>Le budget du Ministère de la santé fut augmenté de 10 milliards de FMG par an depuis 1996.</w:t>
      </w:r>
    </w:p>
    <w:p w:rsidR="00000000" w:rsidRDefault="00000000">
      <w:pPr>
        <w:keepNext/>
        <w:spacing w:after="240"/>
        <w:ind w:firstLine="567"/>
        <w:rPr>
          <w:b/>
          <w:bCs/>
        </w:rPr>
      </w:pPr>
      <w:r>
        <w:rPr>
          <w:b/>
          <w:bCs/>
        </w:rPr>
        <w:t>Le VIH/sida</w:t>
      </w:r>
    </w:p>
    <w:p w:rsidR="00000000" w:rsidRDefault="00000000">
      <w:pPr>
        <w:spacing w:after="240"/>
        <w:rPr>
          <w:snapToGrid w:val="0"/>
        </w:rPr>
      </w:pPr>
      <w:r>
        <w:t>93.</w:t>
      </w:r>
      <w:r>
        <w:tab/>
        <w:t>La pandémie du sida est une préoccupation nationale. Depuis la découverte du premier cas de séropositivité en 1984 par l’Institut pasteur, l’évolution de la maladie a connu une croissance exponentielle (0,02 % en 1985; 0,05 % en 1990; 0,07 % en 1995; 0,16 % en 2000 et actuellement le taux de prévalence est de 1,1 %).</w:t>
      </w:r>
    </w:p>
    <w:p w:rsidR="00000000" w:rsidRDefault="00000000">
      <w:pPr>
        <w:spacing w:after="240"/>
      </w:pPr>
      <w:r>
        <w:t>94.</w:t>
      </w:r>
      <w:r>
        <w:tab/>
        <w:t>Un grand projet national de vulgarisation de la protection contre ce fléau a été lancé. Il est réalisé avec le concours de nombreuses ONG sur tout le territoire sous l’égide du Président de la République en étroite collaboration avec le Comité national de lutte contre le sida (CNLS) et le Projet multisectoriel pour la prévention du sida (PMPS).</w:t>
      </w:r>
    </w:p>
    <w:p w:rsidR="00000000" w:rsidRDefault="00000000">
      <w:pPr>
        <w:spacing w:after="240"/>
      </w:pPr>
      <w:r>
        <w:t>95.</w:t>
      </w:r>
      <w:r>
        <w:tab/>
        <w:t>Le Programme stratégique national (PSN) de lutte contre les IST et le sida a pour objectif la réduction de la transmission du VIH. Les stratégies de la lutte contre les IST et le sida sont basées sur:</w:t>
      </w:r>
    </w:p>
    <w:p w:rsidR="00000000" w:rsidRDefault="00000000">
      <w:pPr>
        <w:spacing w:after="240"/>
        <w:ind w:firstLine="567"/>
      </w:pPr>
      <w:r>
        <w:t>a)</w:t>
      </w:r>
      <w:r>
        <w:tab/>
        <w:t>La prévention primaire de la transmission sexuelle de l’infection à VIH qui se fait dans un contexte multisectoriel et démédicalisé, où différents ministères et organisations non gouvernementales y contribuent;</w:t>
      </w:r>
    </w:p>
    <w:p w:rsidR="00000000" w:rsidRDefault="00000000">
      <w:pPr>
        <w:spacing w:after="240"/>
        <w:ind w:firstLine="567"/>
      </w:pPr>
      <w:r>
        <w:t>b)</w:t>
      </w:r>
      <w:r>
        <w:tab/>
        <w:t>La prévention secondaire pour le contrôle des IST qui est assurée par la mise en place de la prise en charge selon l’approche syndromique et permet d’offrir aux patients IST des soins accessibles, acceptables et efficaces, car à Madagascar les IST classiques constituent la sixième cause de morbidité en consultation externe dans les centres de santé de base;</w:t>
      </w:r>
    </w:p>
    <w:p w:rsidR="00000000" w:rsidRDefault="00000000">
      <w:pPr>
        <w:spacing w:after="240"/>
        <w:ind w:firstLine="567"/>
      </w:pPr>
      <w:r>
        <w:t>c)</w:t>
      </w:r>
      <w:r>
        <w:tab/>
        <w:t>La prévention de la transmission sanguine réalisée par la mise en place de la sécurité transfusionnelle;</w:t>
      </w:r>
    </w:p>
    <w:p w:rsidR="00000000" w:rsidRDefault="00000000">
      <w:pPr>
        <w:spacing w:after="240"/>
        <w:ind w:firstLine="567"/>
      </w:pPr>
      <w:r>
        <w:t>d)</w:t>
      </w:r>
      <w:r>
        <w:tab/>
        <w:t>La prévention de la transmission périnatale basée sur l’intégration de la lutte dans les centres de consultations prénatales et de planning familial;</w:t>
      </w:r>
    </w:p>
    <w:p w:rsidR="00000000" w:rsidRDefault="00000000">
      <w:pPr>
        <w:spacing w:after="240"/>
        <w:ind w:firstLine="567"/>
      </w:pPr>
      <w:r>
        <w:t>e)</w:t>
      </w:r>
      <w:r>
        <w:tab/>
        <w:t xml:space="preserve">La sérosurveillance réalisée dans les huit sites sentinelles permet de suivre l’évolution de la prévalence de l’infection à VIH du nombre de cas de sida. </w:t>
      </w:r>
    </w:p>
    <w:p w:rsidR="00000000" w:rsidRDefault="00000000">
      <w:pPr>
        <w:spacing w:after="240"/>
      </w:pPr>
      <w:r>
        <w:t>96.</w:t>
      </w:r>
      <w:r>
        <w:tab/>
        <w:t>Les sites sentinelles sont constitués par les six chefs lieux de provinces, la ville de Morondava et l’île de Sainte</w:t>
      </w:r>
      <w:r>
        <w:noBreakHyphen/>
        <w:t>Marie sont considérées comme des zones de forte prévalence.</w:t>
      </w:r>
    </w:p>
    <w:p w:rsidR="00000000" w:rsidRDefault="00000000">
      <w:pPr>
        <w:keepNext/>
        <w:spacing w:after="240"/>
      </w:pPr>
      <w:r>
        <w:t>97.</w:t>
      </w:r>
      <w:r>
        <w:tab/>
        <w:t>Pour renforcer la réduction du taux de mortalité materno-infantile, d’autres techniques ont été adoptées, telles:</w:t>
      </w:r>
    </w:p>
    <w:p w:rsidR="00000000" w:rsidRDefault="00000000">
      <w:pPr>
        <w:keepNext/>
        <w:spacing w:after="240"/>
        <w:ind w:firstLine="567"/>
      </w:pPr>
      <w:r>
        <w:t>a)</w:t>
      </w:r>
      <w:r>
        <w:tab/>
        <w:t>La pratique des méthodes de maternité sans risque;</w:t>
      </w:r>
    </w:p>
    <w:p w:rsidR="00000000" w:rsidRDefault="00000000">
      <w:pPr>
        <w:spacing w:after="240"/>
        <w:ind w:firstLine="567"/>
      </w:pPr>
      <w:r>
        <w:t>b)</w:t>
      </w:r>
      <w:r>
        <w:tab/>
        <w:t>L’extension de la couverture vaccinale</w:t>
      </w:r>
      <w:r>
        <w:rPr>
          <w:color w:val="333333"/>
        </w:rPr>
        <w:t>, grâce au programme élargi de vaccination.</w:t>
      </w:r>
    </w:p>
    <w:p w:rsidR="00000000" w:rsidRDefault="00000000">
      <w:pPr>
        <w:spacing w:after="240"/>
        <w:jc w:val="center"/>
        <w:rPr>
          <w:b/>
          <w:bCs/>
        </w:rPr>
      </w:pPr>
      <w:bookmarkStart w:id="18" w:name="_Toc98224964"/>
      <w:r>
        <w:rPr>
          <w:b/>
          <w:bCs/>
        </w:rPr>
        <w:t>Tableau 35: Espérance de vie de 1995 à 2003</w:t>
      </w:r>
      <w:bookmarkEnd w:id="18"/>
    </w:p>
    <w:tbl>
      <w:tblPr>
        <w:tblW w:w="0" w:type="auto"/>
        <w:jc w:val="center"/>
        <w:tblInd w:w="-1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63"/>
        <w:gridCol w:w="803"/>
        <w:gridCol w:w="803"/>
        <w:gridCol w:w="804"/>
        <w:gridCol w:w="803"/>
        <w:gridCol w:w="804"/>
      </w:tblGrid>
      <w:tr w:rsidR="00000000">
        <w:tblPrEx>
          <w:tblCellMar>
            <w:top w:w="0" w:type="dxa"/>
            <w:bottom w:w="0" w:type="dxa"/>
          </w:tblCellMar>
        </w:tblPrEx>
        <w:trPr>
          <w:jc w:val="center"/>
        </w:trPr>
        <w:tc>
          <w:tcPr>
            <w:tcW w:w="5463" w:type="dxa"/>
          </w:tcPr>
          <w:p w:rsidR="00000000" w:rsidRDefault="00000000">
            <w:pPr>
              <w:spacing w:before="60" w:after="60"/>
              <w:rPr>
                <w:b/>
                <w:bCs/>
              </w:rPr>
            </w:pPr>
          </w:p>
        </w:tc>
        <w:tc>
          <w:tcPr>
            <w:tcW w:w="803" w:type="dxa"/>
          </w:tcPr>
          <w:p w:rsidR="00000000" w:rsidRDefault="00000000">
            <w:pPr>
              <w:spacing w:before="60" w:after="60"/>
            </w:pPr>
            <w:r>
              <w:t>1995</w:t>
            </w:r>
          </w:p>
        </w:tc>
        <w:tc>
          <w:tcPr>
            <w:tcW w:w="803" w:type="dxa"/>
          </w:tcPr>
          <w:p w:rsidR="00000000" w:rsidRDefault="00000000">
            <w:pPr>
              <w:spacing w:before="60" w:after="60"/>
            </w:pPr>
            <w:r>
              <w:t>1997</w:t>
            </w:r>
          </w:p>
        </w:tc>
        <w:tc>
          <w:tcPr>
            <w:tcW w:w="804" w:type="dxa"/>
          </w:tcPr>
          <w:p w:rsidR="00000000" w:rsidRDefault="00000000">
            <w:pPr>
              <w:spacing w:before="60" w:after="60"/>
            </w:pPr>
            <w:r>
              <w:t>1998</w:t>
            </w:r>
          </w:p>
        </w:tc>
        <w:tc>
          <w:tcPr>
            <w:tcW w:w="803" w:type="dxa"/>
          </w:tcPr>
          <w:p w:rsidR="00000000" w:rsidRDefault="00000000">
            <w:pPr>
              <w:spacing w:before="60" w:after="60"/>
            </w:pPr>
            <w:r>
              <w:t>2000</w:t>
            </w:r>
          </w:p>
        </w:tc>
        <w:tc>
          <w:tcPr>
            <w:tcW w:w="804" w:type="dxa"/>
          </w:tcPr>
          <w:p w:rsidR="00000000" w:rsidRDefault="00000000">
            <w:pPr>
              <w:spacing w:before="60" w:after="60"/>
            </w:pPr>
            <w:r>
              <w:t>2003</w:t>
            </w:r>
          </w:p>
        </w:tc>
      </w:tr>
      <w:tr w:rsidR="00000000">
        <w:tblPrEx>
          <w:tblCellMar>
            <w:top w:w="0" w:type="dxa"/>
            <w:bottom w:w="0" w:type="dxa"/>
          </w:tblCellMar>
        </w:tblPrEx>
        <w:trPr>
          <w:jc w:val="center"/>
        </w:trPr>
        <w:tc>
          <w:tcPr>
            <w:tcW w:w="5463" w:type="dxa"/>
          </w:tcPr>
          <w:p w:rsidR="00000000" w:rsidRDefault="00000000">
            <w:pPr>
              <w:spacing w:before="60" w:after="60"/>
            </w:pPr>
            <w:r>
              <w:t>Espérance de vie (ans)</w:t>
            </w:r>
          </w:p>
        </w:tc>
        <w:tc>
          <w:tcPr>
            <w:tcW w:w="803" w:type="dxa"/>
          </w:tcPr>
          <w:p w:rsidR="00000000" w:rsidRDefault="00000000">
            <w:pPr>
              <w:spacing w:before="60" w:after="60"/>
              <w:jc w:val="right"/>
            </w:pPr>
          </w:p>
        </w:tc>
        <w:tc>
          <w:tcPr>
            <w:tcW w:w="803" w:type="dxa"/>
          </w:tcPr>
          <w:p w:rsidR="00000000" w:rsidRDefault="00000000">
            <w:pPr>
              <w:spacing w:before="60" w:after="60"/>
              <w:jc w:val="right"/>
            </w:pPr>
            <w:r>
              <w:t>52,2</w:t>
            </w:r>
          </w:p>
        </w:tc>
        <w:tc>
          <w:tcPr>
            <w:tcW w:w="804" w:type="dxa"/>
          </w:tcPr>
          <w:p w:rsidR="00000000" w:rsidRDefault="00000000">
            <w:pPr>
              <w:spacing w:before="60" w:after="60"/>
              <w:jc w:val="right"/>
            </w:pPr>
            <w:r>
              <w:t>54,9</w:t>
            </w:r>
          </w:p>
        </w:tc>
        <w:tc>
          <w:tcPr>
            <w:tcW w:w="803" w:type="dxa"/>
          </w:tcPr>
          <w:p w:rsidR="00000000" w:rsidRDefault="00000000">
            <w:pPr>
              <w:spacing w:before="60" w:after="60"/>
              <w:jc w:val="right"/>
            </w:pPr>
            <w:r>
              <w:t>56,7</w:t>
            </w:r>
          </w:p>
        </w:tc>
        <w:tc>
          <w:tcPr>
            <w:tcW w:w="804" w:type="dxa"/>
          </w:tcPr>
          <w:p w:rsidR="00000000" w:rsidRDefault="00000000">
            <w:pPr>
              <w:spacing w:before="60" w:after="60"/>
              <w:jc w:val="right"/>
            </w:pPr>
          </w:p>
        </w:tc>
      </w:tr>
      <w:tr w:rsidR="00000000">
        <w:tblPrEx>
          <w:tblCellMar>
            <w:top w:w="0" w:type="dxa"/>
            <w:bottom w:w="0" w:type="dxa"/>
          </w:tblCellMar>
        </w:tblPrEx>
        <w:trPr>
          <w:jc w:val="center"/>
        </w:trPr>
        <w:tc>
          <w:tcPr>
            <w:tcW w:w="5463" w:type="dxa"/>
          </w:tcPr>
          <w:p w:rsidR="00000000" w:rsidRDefault="00000000">
            <w:pPr>
              <w:spacing w:before="60" w:after="60"/>
            </w:pPr>
            <w:r>
              <w:t>Taux brut de mortalité par mille</w:t>
            </w:r>
          </w:p>
        </w:tc>
        <w:tc>
          <w:tcPr>
            <w:tcW w:w="803" w:type="dxa"/>
          </w:tcPr>
          <w:p w:rsidR="00000000" w:rsidRDefault="00000000">
            <w:pPr>
              <w:spacing w:before="60" w:after="60"/>
              <w:jc w:val="right"/>
            </w:pPr>
          </w:p>
        </w:tc>
        <w:tc>
          <w:tcPr>
            <w:tcW w:w="803" w:type="dxa"/>
          </w:tcPr>
          <w:p w:rsidR="00000000" w:rsidRDefault="00000000">
            <w:pPr>
              <w:spacing w:before="60" w:after="60"/>
              <w:jc w:val="right"/>
            </w:pPr>
            <w:r>
              <w:t>14,4</w:t>
            </w:r>
          </w:p>
        </w:tc>
        <w:tc>
          <w:tcPr>
            <w:tcW w:w="804" w:type="dxa"/>
          </w:tcPr>
          <w:p w:rsidR="00000000" w:rsidRDefault="00000000">
            <w:pPr>
              <w:spacing w:before="60" w:after="60"/>
              <w:jc w:val="right"/>
            </w:pPr>
          </w:p>
        </w:tc>
        <w:tc>
          <w:tcPr>
            <w:tcW w:w="803" w:type="dxa"/>
          </w:tcPr>
          <w:p w:rsidR="00000000" w:rsidRDefault="00000000">
            <w:pPr>
              <w:spacing w:before="60" w:after="60"/>
              <w:jc w:val="right"/>
            </w:pPr>
          </w:p>
        </w:tc>
        <w:tc>
          <w:tcPr>
            <w:tcW w:w="804" w:type="dxa"/>
          </w:tcPr>
          <w:p w:rsidR="00000000" w:rsidRDefault="00000000">
            <w:pPr>
              <w:spacing w:before="60" w:after="60"/>
              <w:jc w:val="right"/>
            </w:pPr>
          </w:p>
        </w:tc>
      </w:tr>
      <w:tr w:rsidR="00000000">
        <w:tblPrEx>
          <w:tblCellMar>
            <w:top w:w="0" w:type="dxa"/>
            <w:bottom w:w="0" w:type="dxa"/>
          </w:tblCellMar>
        </w:tblPrEx>
        <w:trPr>
          <w:jc w:val="center"/>
        </w:trPr>
        <w:tc>
          <w:tcPr>
            <w:tcW w:w="5463" w:type="dxa"/>
          </w:tcPr>
          <w:p w:rsidR="00000000" w:rsidRDefault="00000000">
            <w:pPr>
              <w:spacing w:before="60" w:after="60"/>
            </w:pPr>
            <w:r>
              <w:t>Taux de mortalité infantile</w:t>
            </w:r>
          </w:p>
        </w:tc>
        <w:tc>
          <w:tcPr>
            <w:tcW w:w="803" w:type="dxa"/>
          </w:tcPr>
          <w:p w:rsidR="00000000" w:rsidRDefault="00000000">
            <w:pPr>
              <w:spacing w:before="60" w:after="60"/>
              <w:jc w:val="right"/>
            </w:pPr>
            <w:r>
              <w:t>93,0</w:t>
            </w:r>
          </w:p>
        </w:tc>
        <w:tc>
          <w:tcPr>
            <w:tcW w:w="803" w:type="dxa"/>
          </w:tcPr>
          <w:p w:rsidR="00000000" w:rsidRDefault="00000000">
            <w:pPr>
              <w:spacing w:before="60" w:after="60"/>
              <w:jc w:val="right"/>
            </w:pPr>
            <w:r>
              <w:t>93,0</w:t>
            </w:r>
          </w:p>
        </w:tc>
        <w:tc>
          <w:tcPr>
            <w:tcW w:w="804" w:type="dxa"/>
          </w:tcPr>
          <w:p w:rsidR="00000000" w:rsidRDefault="00000000">
            <w:pPr>
              <w:spacing w:before="60" w:after="60"/>
              <w:jc w:val="right"/>
            </w:pPr>
            <w:r>
              <w:t>96,4</w:t>
            </w:r>
          </w:p>
        </w:tc>
        <w:tc>
          <w:tcPr>
            <w:tcW w:w="803" w:type="dxa"/>
          </w:tcPr>
          <w:p w:rsidR="00000000" w:rsidRDefault="00000000">
            <w:pPr>
              <w:spacing w:before="60" w:after="60"/>
              <w:jc w:val="right"/>
            </w:pPr>
            <w:r>
              <w:t>88,0</w:t>
            </w:r>
          </w:p>
        </w:tc>
        <w:tc>
          <w:tcPr>
            <w:tcW w:w="804" w:type="dxa"/>
          </w:tcPr>
          <w:p w:rsidR="00000000" w:rsidRDefault="00000000">
            <w:pPr>
              <w:spacing w:before="60" w:after="60"/>
              <w:jc w:val="right"/>
            </w:pPr>
            <w:r>
              <w:t>58,0</w:t>
            </w:r>
          </w:p>
        </w:tc>
      </w:tr>
      <w:tr w:rsidR="00000000">
        <w:tblPrEx>
          <w:tblCellMar>
            <w:top w:w="0" w:type="dxa"/>
            <w:bottom w:w="0" w:type="dxa"/>
          </w:tblCellMar>
        </w:tblPrEx>
        <w:trPr>
          <w:jc w:val="center"/>
        </w:trPr>
        <w:tc>
          <w:tcPr>
            <w:tcW w:w="5463" w:type="dxa"/>
          </w:tcPr>
          <w:p w:rsidR="00000000" w:rsidRDefault="00000000">
            <w:pPr>
              <w:spacing w:before="60" w:after="60"/>
            </w:pPr>
            <w:r>
              <w:t>Taux de mortalité juvénile</w:t>
            </w:r>
          </w:p>
        </w:tc>
        <w:tc>
          <w:tcPr>
            <w:tcW w:w="803" w:type="dxa"/>
          </w:tcPr>
          <w:p w:rsidR="00000000" w:rsidRDefault="00000000">
            <w:pPr>
              <w:spacing w:before="60" w:after="60"/>
              <w:jc w:val="right"/>
            </w:pPr>
            <w:r>
              <w:t>76,7</w:t>
            </w:r>
          </w:p>
        </w:tc>
        <w:tc>
          <w:tcPr>
            <w:tcW w:w="803" w:type="dxa"/>
          </w:tcPr>
          <w:p w:rsidR="00000000" w:rsidRDefault="00000000">
            <w:pPr>
              <w:spacing w:before="60" w:after="60"/>
              <w:jc w:val="right"/>
            </w:pPr>
            <w:r>
              <w:t>76,0</w:t>
            </w:r>
          </w:p>
        </w:tc>
        <w:tc>
          <w:tcPr>
            <w:tcW w:w="804" w:type="dxa"/>
          </w:tcPr>
          <w:p w:rsidR="00000000" w:rsidRDefault="00000000">
            <w:pPr>
              <w:spacing w:before="60" w:after="60"/>
              <w:jc w:val="right"/>
            </w:pPr>
            <w:r>
              <w:t>69,1</w:t>
            </w:r>
          </w:p>
        </w:tc>
        <w:tc>
          <w:tcPr>
            <w:tcW w:w="803" w:type="dxa"/>
          </w:tcPr>
          <w:p w:rsidR="00000000" w:rsidRDefault="00000000">
            <w:pPr>
              <w:spacing w:before="60" w:after="60"/>
              <w:jc w:val="right"/>
            </w:pPr>
            <w:r>
              <w:t>59,0</w:t>
            </w:r>
          </w:p>
        </w:tc>
        <w:tc>
          <w:tcPr>
            <w:tcW w:w="804" w:type="dxa"/>
          </w:tcPr>
          <w:p w:rsidR="00000000" w:rsidRDefault="00000000">
            <w:pPr>
              <w:spacing w:before="60" w:after="60"/>
              <w:jc w:val="right"/>
            </w:pPr>
            <w:r>
              <w:t>38,0</w:t>
            </w:r>
          </w:p>
        </w:tc>
      </w:tr>
      <w:tr w:rsidR="00000000">
        <w:tblPrEx>
          <w:tblCellMar>
            <w:top w:w="0" w:type="dxa"/>
            <w:bottom w:w="0" w:type="dxa"/>
          </w:tblCellMar>
        </w:tblPrEx>
        <w:trPr>
          <w:jc w:val="center"/>
        </w:trPr>
        <w:tc>
          <w:tcPr>
            <w:tcW w:w="5463" w:type="dxa"/>
          </w:tcPr>
          <w:p w:rsidR="00000000" w:rsidRDefault="00000000">
            <w:pPr>
              <w:spacing w:before="60" w:after="60"/>
            </w:pPr>
            <w:r>
              <w:t>Taux de mortalité infanto</w:t>
            </w:r>
            <w:r>
              <w:noBreakHyphen/>
              <w:t>juvénile</w:t>
            </w:r>
          </w:p>
        </w:tc>
        <w:tc>
          <w:tcPr>
            <w:tcW w:w="803" w:type="dxa"/>
          </w:tcPr>
          <w:p w:rsidR="00000000" w:rsidRDefault="00000000">
            <w:pPr>
              <w:spacing w:before="60" w:after="60"/>
              <w:jc w:val="right"/>
            </w:pPr>
            <w:r>
              <w:t>162,6</w:t>
            </w:r>
          </w:p>
        </w:tc>
        <w:tc>
          <w:tcPr>
            <w:tcW w:w="803" w:type="dxa"/>
          </w:tcPr>
          <w:p w:rsidR="00000000" w:rsidRDefault="00000000">
            <w:pPr>
              <w:spacing w:before="60" w:after="60"/>
              <w:jc w:val="right"/>
            </w:pPr>
            <w:r>
              <w:t>162,0</w:t>
            </w:r>
          </w:p>
        </w:tc>
        <w:tc>
          <w:tcPr>
            <w:tcW w:w="804" w:type="dxa"/>
          </w:tcPr>
          <w:p w:rsidR="00000000" w:rsidRDefault="00000000">
            <w:pPr>
              <w:spacing w:before="60" w:after="60"/>
              <w:jc w:val="right"/>
            </w:pPr>
            <w:r>
              <w:t>158,9</w:t>
            </w:r>
          </w:p>
        </w:tc>
        <w:tc>
          <w:tcPr>
            <w:tcW w:w="803" w:type="dxa"/>
          </w:tcPr>
          <w:p w:rsidR="00000000" w:rsidRDefault="00000000">
            <w:pPr>
              <w:spacing w:before="60" w:after="60"/>
              <w:jc w:val="right"/>
            </w:pPr>
            <w:r>
              <w:t>142,0</w:t>
            </w:r>
          </w:p>
        </w:tc>
        <w:tc>
          <w:tcPr>
            <w:tcW w:w="804" w:type="dxa"/>
          </w:tcPr>
          <w:p w:rsidR="00000000" w:rsidRDefault="00000000">
            <w:pPr>
              <w:spacing w:before="60" w:after="60"/>
              <w:jc w:val="right"/>
            </w:pPr>
            <w:r>
              <w:t>94,0</w:t>
            </w:r>
          </w:p>
        </w:tc>
      </w:tr>
      <w:tr w:rsidR="00000000">
        <w:tblPrEx>
          <w:tblCellMar>
            <w:top w:w="0" w:type="dxa"/>
            <w:bottom w:w="0" w:type="dxa"/>
          </w:tblCellMar>
        </w:tblPrEx>
        <w:trPr>
          <w:jc w:val="center"/>
        </w:trPr>
        <w:tc>
          <w:tcPr>
            <w:tcW w:w="5463" w:type="dxa"/>
          </w:tcPr>
          <w:p w:rsidR="00000000" w:rsidRDefault="00000000">
            <w:pPr>
              <w:spacing w:before="60" w:after="60"/>
            </w:pPr>
            <w:r>
              <w:t>Mortalité maternelle pour 100 000 naissances vivantes</w:t>
            </w:r>
          </w:p>
        </w:tc>
        <w:tc>
          <w:tcPr>
            <w:tcW w:w="803" w:type="dxa"/>
          </w:tcPr>
          <w:p w:rsidR="00000000" w:rsidRDefault="00000000">
            <w:pPr>
              <w:spacing w:before="60" w:after="60"/>
              <w:jc w:val="right"/>
            </w:pPr>
            <w:r>
              <w:t>596,0</w:t>
            </w:r>
          </w:p>
        </w:tc>
        <w:tc>
          <w:tcPr>
            <w:tcW w:w="803" w:type="dxa"/>
          </w:tcPr>
          <w:p w:rsidR="00000000" w:rsidRDefault="00000000">
            <w:pPr>
              <w:spacing w:before="60" w:after="60"/>
              <w:jc w:val="right"/>
            </w:pPr>
          </w:p>
        </w:tc>
        <w:tc>
          <w:tcPr>
            <w:tcW w:w="804" w:type="dxa"/>
          </w:tcPr>
          <w:p w:rsidR="00000000" w:rsidRDefault="00000000">
            <w:pPr>
              <w:spacing w:before="60" w:after="60"/>
              <w:jc w:val="right"/>
            </w:pPr>
            <w:r>
              <w:t>488,0</w:t>
            </w:r>
          </w:p>
        </w:tc>
        <w:tc>
          <w:tcPr>
            <w:tcW w:w="803" w:type="dxa"/>
          </w:tcPr>
          <w:p w:rsidR="00000000" w:rsidRDefault="00000000">
            <w:pPr>
              <w:spacing w:before="60" w:after="60"/>
              <w:jc w:val="right"/>
            </w:pPr>
          </w:p>
        </w:tc>
        <w:tc>
          <w:tcPr>
            <w:tcW w:w="804" w:type="dxa"/>
          </w:tcPr>
          <w:p w:rsidR="00000000" w:rsidRDefault="00000000">
            <w:pPr>
              <w:spacing w:before="60" w:after="60"/>
              <w:jc w:val="right"/>
            </w:pPr>
          </w:p>
        </w:tc>
      </w:tr>
    </w:tbl>
    <w:p w:rsidR="00000000" w:rsidRDefault="00000000"/>
    <w:p w:rsidR="00000000" w:rsidRDefault="00000000">
      <w:pPr>
        <w:spacing w:after="240"/>
        <w:ind w:firstLine="567"/>
        <w:rPr>
          <w:i/>
          <w:iCs/>
        </w:rPr>
      </w:pPr>
      <w:r>
        <w:rPr>
          <w:i/>
          <w:iCs/>
        </w:rPr>
        <w:t>Source</w:t>
      </w:r>
      <w:r>
        <w:t>: INSTAT EDS/RGPH93/MICS2000.</w:t>
      </w:r>
    </w:p>
    <w:p w:rsidR="00000000" w:rsidRDefault="00000000">
      <w:pPr>
        <w:keepNext/>
        <w:keepLines/>
        <w:widowControl w:val="0"/>
        <w:spacing w:after="240"/>
        <w:jc w:val="center"/>
        <w:rPr>
          <w:b/>
          <w:bCs/>
        </w:rPr>
      </w:pPr>
      <w:bookmarkStart w:id="19" w:name="_Toc98224965"/>
      <w:r>
        <w:rPr>
          <w:b/>
          <w:bCs/>
        </w:rPr>
        <w:t>Tableau 36: Évolution de la couverture vaccinale des enfants de 12 à 23 mois</w:t>
      </w:r>
      <w:r>
        <w:rPr>
          <w:b/>
          <w:bCs/>
        </w:rPr>
        <w:br/>
        <w:t>par province, 1992</w:t>
      </w:r>
      <w:r>
        <w:rPr>
          <w:b/>
          <w:bCs/>
        </w:rPr>
        <w:noBreakHyphen/>
        <w:t>1997</w:t>
      </w:r>
      <w:bookmarkEnd w:id="19"/>
    </w:p>
    <w:p w:rsidR="00000000" w:rsidRDefault="00000000">
      <w:pPr>
        <w:keepNext/>
        <w:keepLines/>
        <w:widowControl w:val="0"/>
        <w:spacing w:after="240"/>
        <w:jc w:val="right"/>
      </w:pPr>
      <w:r>
        <w:t>Unité: %</w:t>
      </w:r>
    </w:p>
    <w:tbl>
      <w:tblPr>
        <w:tblW w:w="0" w:type="auto"/>
        <w:jc w:val="center"/>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61"/>
        <w:gridCol w:w="644"/>
        <w:gridCol w:w="644"/>
        <w:gridCol w:w="645"/>
        <w:gridCol w:w="644"/>
        <w:gridCol w:w="645"/>
        <w:gridCol w:w="644"/>
        <w:gridCol w:w="644"/>
        <w:gridCol w:w="645"/>
        <w:gridCol w:w="644"/>
        <w:gridCol w:w="645"/>
        <w:gridCol w:w="644"/>
        <w:gridCol w:w="645"/>
      </w:tblGrid>
      <w:tr w:rsidR="00000000">
        <w:tblPrEx>
          <w:tblCellMar>
            <w:top w:w="0" w:type="dxa"/>
            <w:bottom w:w="0" w:type="dxa"/>
          </w:tblCellMar>
        </w:tblPrEx>
        <w:trPr>
          <w:cantSplit/>
          <w:jc w:val="center"/>
        </w:trPr>
        <w:tc>
          <w:tcPr>
            <w:tcW w:w="1761" w:type="dxa"/>
            <w:vMerge w:val="restart"/>
            <w:vAlign w:val="center"/>
          </w:tcPr>
          <w:p w:rsidR="00000000" w:rsidRDefault="00000000">
            <w:pPr>
              <w:keepNext/>
              <w:keepLines/>
              <w:widowControl w:val="0"/>
              <w:spacing w:before="60" w:after="60"/>
              <w:jc w:val="center"/>
              <w:rPr>
                <w:bCs/>
              </w:rPr>
            </w:pPr>
          </w:p>
        </w:tc>
        <w:tc>
          <w:tcPr>
            <w:tcW w:w="1288" w:type="dxa"/>
            <w:gridSpan w:val="2"/>
            <w:vAlign w:val="center"/>
          </w:tcPr>
          <w:p w:rsidR="00000000" w:rsidRDefault="00000000">
            <w:pPr>
              <w:keepNext/>
              <w:keepLines/>
              <w:widowControl w:val="0"/>
              <w:spacing w:before="60" w:after="60"/>
              <w:jc w:val="center"/>
              <w:rPr>
                <w:bCs/>
              </w:rPr>
            </w:pPr>
            <w:r>
              <w:rPr>
                <w:bCs/>
              </w:rPr>
              <w:t>Aucune</w:t>
            </w:r>
          </w:p>
        </w:tc>
        <w:tc>
          <w:tcPr>
            <w:tcW w:w="1289" w:type="dxa"/>
            <w:gridSpan w:val="2"/>
            <w:vAlign w:val="center"/>
          </w:tcPr>
          <w:p w:rsidR="00000000" w:rsidRDefault="00000000">
            <w:pPr>
              <w:keepNext/>
              <w:keepLines/>
              <w:widowControl w:val="0"/>
              <w:spacing w:before="60" w:after="60"/>
              <w:jc w:val="center"/>
              <w:rPr>
                <w:bCs/>
              </w:rPr>
            </w:pPr>
            <w:r>
              <w:rPr>
                <w:bCs/>
              </w:rPr>
              <w:t>Toutes</w:t>
            </w:r>
          </w:p>
        </w:tc>
        <w:tc>
          <w:tcPr>
            <w:tcW w:w="1289" w:type="dxa"/>
            <w:gridSpan w:val="2"/>
            <w:vAlign w:val="center"/>
          </w:tcPr>
          <w:p w:rsidR="00000000" w:rsidRDefault="00000000">
            <w:pPr>
              <w:keepNext/>
              <w:keepLines/>
              <w:widowControl w:val="0"/>
              <w:spacing w:before="60" w:after="60"/>
              <w:jc w:val="center"/>
              <w:rPr>
                <w:bCs/>
                <w:lang w:val="en-GB"/>
              </w:rPr>
            </w:pPr>
            <w:r>
              <w:rPr>
                <w:bCs/>
                <w:lang w:val="en-GB"/>
              </w:rPr>
              <w:t>Rougeole</w:t>
            </w:r>
          </w:p>
        </w:tc>
        <w:tc>
          <w:tcPr>
            <w:tcW w:w="1289" w:type="dxa"/>
            <w:gridSpan w:val="2"/>
            <w:vAlign w:val="center"/>
          </w:tcPr>
          <w:p w:rsidR="00000000" w:rsidRDefault="00000000">
            <w:pPr>
              <w:keepNext/>
              <w:keepLines/>
              <w:widowControl w:val="0"/>
              <w:spacing w:before="60" w:after="60"/>
              <w:jc w:val="center"/>
              <w:rPr>
                <w:bCs/>
                <w:lang w:val="en-GB"/>
              </w:rPr>
            </w:pPr>
            <w:r>
              <w:rPr>
                <w:bCs/>
                <w:lang w:val="en-GB"/>
              </w:rPr>
              <w:t>Dtcoq</w:t>
            </w:r>
          </w:p>
        </w:tc>
        <w:tc>
          <w:tcPr>
            <w:tcW w:w="1289" w:type="dxa"/>
            <w:gridSpan w:val="2"/>
            <w:vAlign w:val="center"/>
          </w:tcPr>
          <w:p w:rsidR="00000000" w:rsidRDefault="00000000">
            <w:pPr>
              <w:keepNext/>
              <w:keepLines/>
              <w:widowControl w:val="0"/>
              <w:spacing w:before="60" w:after="60"/>
              <w:jc w:val="center"/>
              <w:rPr>
                <w:bCs/>
                <w:lang w:val="en-GB"/>
              </w:rPr>
            </w:pPr>
            <w:r>
              <w:rPr>
                <w:bCs/>
                <w:lang w:val="en-GB"/>
              </w:rPr>
              <w:t>Polio</w:t>
            </w:r>
          </w:p>
        </w:tc>
        <w:tc>
          <w:tcPr>
            <w:tcW w:w="1289" w:type="dxa"/>
            <w:gridSpan w:val="2"/>
            <w:vAlign w:val="center"/>
          </w:tcPr>
          <w:p w:rsidR="00000000" w:rsidRDefault="00000000">
            <w:pPr>
              <w:keepNext/>
              <w:keepLines/>
              <w:widowControl w:val="0"/>
              <w:spacing w:before="60" w:after="60"/>
              <w:jc w:val="center"/>
              <w:rPr>
                <w:bCs/>
                <w:lang w:val="en-GB"/>
              </w:rPr>
            </w:pPr>
            <w:r>
              <w:rPr>
                <w:bCs/>
                <w:lang w:val="en-GB"/>
              </w:rPr>
              <w:t>BCG</w:t>
            </w:r>
          </w:p>
        </w:tc>
      </w:tr>
      <w:tr w:rsidR="00000000">
        <w:tblPrEx>
          <w:tblCellMar>
            <w:top w:w="0" w:type="dxa"/>
            <w:bottom w:w="0" w:type="dxa"/>
          </w:tblCellMar>
        </w:tblPrEx>
        <w:trPr>
          <w:cantSplit/>
          <w:jc w:val="center"/>
        </w:trPr>
        <w:tc>
          <w:tcPr>
            <w:tcW w:w="1761" w:type="dxa"/>
            <w:vMerge/>
            <w:vAlign w:val="center"/>
          </w:tcPr>
          <w:p w:rsidR="00000000" w:rsidRDefault="00000000">
            <w:pPr>
              <w:keepNext/>
              <w:keepLines/>
              <w:widowControl w:val="0"/>
              <w:spacing w:before="60" w:after="60"/>
              <w:jc w:val="center"/>
              <w:rPr>
                <w:bCs/>
                <w:lang w:val="en-GB"/>
              </w:rPr>
            </w:pPr>
          </w:p>
        </w:tc>
        <w:tc>
          <w:tcPr>
            <w:tcW w:w="644" w:type="dxa"/>
            <w:vAlign w:val="center"/>
          </w:tcPr>
          <w:p w:rsidR="00000000" w:rsidRDefault="00000000">
            <w:pPr>
              <w:keepNext/>
              <w:keepLines/>
              <w:widowControl w:val="0"/>
              <w:spacing w:before="60" w:after="60"/>
              <w:jc w:val="center"/>
              <w:rPr>
                <w:bCs/>
                <w:lang w:val="en-GB"/>
              </w:rPr>
            </w:pPr>
            <w:r>
              <w:rPr>
                <w:bCs/>
                <w:lang w:val="en-GB"/>
              </w:rPr>
              <w:t>1992</w:t>
            </w:r>
          </w:p>
        </w:tc>
        <w:tc>
          <w:tcPr>
            <w:tcW w:w="644" w:type="dxa"/>
            <w:vAlign w:val="center"/>
          </w:tcPr>
          <w:p w:rsidR="00000000" w:rsidRDefault="00000000">
            <w:pPr>
              <w:keepNext/>
              <w:keepLines/>
              <w:widowControl w:val="0"/>
              <w:spacing w:before="60" w:after="60"/>
              <w:jc w:val="center"/>
              <w:rPr>
                <w:bCs/>
                <w:lang w:val="en-GB"/>
              </w:rPr>
            </w:pPr>
            <w:r>
              <w:rPr>
                <w:bCs/>
                <w:lang w:val="en-GB"/>
              </w:rPr>
              <w:t>1997</w:t>
            </w:r>
          </w:p>
        </w:tc>
        <w:tc>
          <w:tcPr>
            <w:tcW w:w="645" w:type="dxa"/>
            <w:vAlign w:val="center"/>
          </w:tcPr>
          <w:p w:rsidR="00000000" w:rsidRDefault="00000000">
            <w:pPr>
              <w:keepNext/>
              <w:keepLines/>
              <w:widowControl w:val="0"/>
              <w:spacing w:before="60" w:after="60"/>
              <w:jc w:val="center"/>
              <w:rPr>
                <w:bCs/>
                <w:lang w:val="en-GB"/>
              </w:rPr>
            </w:pPr>
            <w:r>
              <w:rPr>
                <w:bCs/>
                <w:lang w:val="en-GB"/>
              </w:rPr>
              <w:t>1992</w:t>
            </w:r>
          </w:p>
        </w:tc>
        <w:tc>
          <w:tcPr>
            <w:tcW w:w="644" w:type="dxa"/>
            <w:vAlign w:val="center"/>
          </w:tcPr>
          <w:p w:rsidR="00000000" w:rsidRDefault="00000000">
            <w:pPr>
              <w:keepNext/>
              <w:keepLines/>
              <w:widowControl w:val="0"/>
              <w:spacing w:before="60" w:after="60"/>
              <w:jc w:val="center"/>
              <w:rPr>
                <w:bCs/>
                <w:lang w:val="en-GB"/>
              </w:rPr>
            </w:pPr>
            <w:r>
              <w:rPr>
                <w:bCs/>
                <w:lang w:val="en-GB"/>
              </w:rPr>
              <w:t>1997</w:t>
            </w:r>
          </w:p>
        </w:tc>
        <w:tc>
          <w:tcPr>
            <w:tcW w:w="645" w:type="dxa"/>
            <w:vAlign w:val="center"/>
          </w:tcPr>
          <w:p w:rsidR="00000000" w:rsidRDefault="00000000">
            <w:pPr>
              <w:keepNext/>
              <w:keepLines/>
              <w:widowControl w:val="0"/>
              <w:spacing w:before="60" w:after="60"/>
              <w:jc w:val="center"/>
              <w:rPr>
                <w:bCs/>
                <w:lang w:val="en-GB"/>
              </w:rPr>
            </w:pPr>
            <w:r>
              <w:rPr>
                <w:bCs/>
                <w:lang w:val="en-GB"/>
              </w:rPr>
              <w:t>1992</w:t>
            </w:r>
          </w:p>
        </w:tc>
        <w:tc>
          <w:tcPr>
            <w:tcW w:w="644" w:type="dxa"/>
            <w:vAlign w:val="center"/>
          </w:tcPr>
          <w:p w:rsidR="00000000" w:rsidRDefault="00000000">
            <w:pPr>
              <w:keepNext/>
              <w:keepLines/>
              <w:widowControl w:val="0"/>
              <w:spacing w:before="60" w:after="60"/>
              <w:jc w:val="center"/>
              <w:rPr>
                <w:bCs/>
                <w:lang w:val="en-GB"/>
              </w:rPr>
            </w:pPr>
            <w:r>
              <w:rPr>
                <w:bCs/>
                <w:lang w:val="en-GB"/>
              </w:rPr>
              <w:t>1997</w:t>
            </w:r>
          </w:p>
        </w:tc>
        <w:tc>
          <w:tcPr>
            <w:tcW w:w="644" w:type="dxa"/>
            <w:vAlign w:val="center"/>
          </w:tcPr>
          <w:p w:rsidR="00000000" w:rsidRDefault="00000000">
            <w:pPr>
              <w:keepNext/>
              <w:keepLines/>
              <w:widowControl w:val="0"/>
              <w:spacing w:before="60" w:after="60"/>
              <w:jc w:val="center"/>
              <w:rPr>
                <w:bCs/>
                <w:lang w:val="en-GB"/>
              </w:rPr>
            </w:pPr>
            <w:r>
              <w:rPr>
                <w:bCs/>
                <w:lang w:val="en-GB"/>
              </w:rPr>
              <w:t>1992</w:t>
            </w:r>
          </w:p>
        </w:tc>
        <w:tc>
          <w:tcPr>
            <w:tcW w:w="645" w:type="dxa"/>
            <w:vAlign w:val="center"/>
          </w:tcPr>
          <w:p w:rsidR="00000000" w:rsidRDefault="00000000">
            <w:pPr>
              <w:keepNext/>
              <w:keepLines/>
              <w:widowControl w:val="0"/>
              <w:spacing w:before="60" w:after="60"/>
              <w:jc w:val="center"/>
              <w:rPr>
                <w:bCs/>
                <w:lang w:val="en-GB"/>
              </w:rPr>
            </w:pPr>
            <w:r>
              <w:rPr>
                <w:bCs/>
                <w:lang w:val="en-GB"/>
              </w:rPr>
              <w:t>1997</w:t>
            </w:r>
          </w:p>
        </w:tc>
        <w:tc>
          <w:tcPr>
            <w:tcW w:w="644" w:type="dxa"/>
            <w:vAlign w:val="center"/>
          </w:tcPr>
          <w:p w:rsidR="00000000" w:rsidRDefault="00000000">
            <w:pPr>
              <w:keepNext/>
              <w:keepLines/>
              <w:widowControl w:val="0"/>
              <w:spacing w:before="60" w:after="60"/>
              <w:jc w:val="center"/>
              <w:rPr>
                <w:bCs/>
                <w:lang w:val="en-GB"/>
              </w:rPr>
            </w:pPr>
            <w:r>
              <w:rPr>
                <w:bCs/>
                <w:lang w:val="en-GB"/>
              </w:rPr>
              <w:t>1992</w:t>
            </w:r>
          </w:p>
        </w:tc>
        <w:tc>
          <w:tcPr>
            <w:tcW w:w="645" w:type="dxa"/>
            <w:vAlign w:val="center"/>
          </w:tcPr>
          <w:p w:rsidR="00000000" w:rsidRDefault="00000000">
            <w:pPr>
              <w:keepNext/>
              <w:keepLines/>
              <w:widowControl w:val="0"/>
              <w:spacing w:before="60" w:after="60"/>
              <w:jc w:val="center"/>
              <w:rPr>
                <w:bCs/>
                <w:lang w:val="en-GB"/>
              </w:rPr>
            </w:pPr>
            <w:r>
              <w:rPr>
                <w:bCs/>
                <w:lang w:val="en-GB"/>
              </w:rPr>
              <w:t>1997</w:t>
            </w:r>
          </w:p>
        </w:tc>
        <w:tc>
          <w:tcPr>
            <w:tcW w:w="644" w:type="dxa"/>
            <w:vAlign w:val="center"/>
          </w:tcPr>
          <w:p w:rsidR="00000000" w:rsidRDefault="00000000">
            <w:pPr>
              <w:keepNext/>
              <w:keepLines/>
              <w:widowControl w:val="0"/>
              <w:spacing w:before="60" w:after="60"/>
              <w:jc w:val="center"/>
              <w:rPr>
                <w:bCs/>
                <w:lang w:val="en-GB"/>
              </w:rPr>
            </w:pPr>
            <w:r>
              <w:rPr>
                <w:bCs/>
                <w:lang w:val="en-GB"/>
              </w:rPr>
              <w:t>1992</w:t>
            </w:r>
          </w:p>
        </w:tc>
        <w:tc>
          <w:tcPr>
            <w:tcW w:w="645" w:type="dxa"/>
            <w:vAlign w:val="center"/>
          </w:tcPr>
          <w:p w:rsidR="00000000" w:rsidRDefault="00000000">
            <w:pPr>
              <w:keepNext/>
              <w:keepLines/>
              <w:widowControl w:val="0"/>
              <w:spacing w:before="60" w:after="60"/>
              <w:jc w:val="center"/>
              <w:rPr>
                <w:bCs/>
                <w:lang w:val="en-GB"/>
              </w:rPr>
            </w:pPr>
            <w:r>
              <w:rPr>
                <w:bCs/>
                <w:lang w:val="en-GB"/>
              </w:rPr>
              <w:t>1997</w:t>
            </w:r>
          </w:p>
        </w:tc>
      </w:tr>
      <w:tr w:rsidR="00000000">
        <w:tblPrEx>
          <w:tblCellMar>
            <w:top w:w="0" w:type="dxa"/>
            <w:bottom w:w="0" w:type="dxa"/>
          </w:tblCellMar>
        </w:tblPrEx>
        <w:trPr>
          <w:jc w:val="center"/>
        </w:trPr>
        <w:tc>
          <w:tcPr>
            <w:tcW w:w="1761" w:type="dxa"/>
          </w:tcPr>
          <w:p w:rsidR="00000000" w:rsidRDefault="00000000">
            <w:pPr>
              <w:keepNext/>
              <w:keepLines/>
              <w:widowControl w:val="0"/>
              <w:spacing w:before="60" w:after="60"/>
              <w:rPr>
                <w:lang w:val="en-GB"/>
              </w:rPr>
            </w:pPr>
            <w:r>
              <w:rPr>
                <w:lang w:val="en-GB"/>
              </w:rPr>
              <w:t>Antananarivo</w:t>
            </w:r>
          </w:p>
        </w:tc>
        <w:tc>
          <w:tcPr>
            <w:tcW w:w="644" w:type="dxa"/>
          </w:tcPr>
          <w:p w:rsidR="00000000" w:rsidRDefault="00000000">
            <w:pPr>
              <w:keepNext/>
              <w:keepLines/>
              <w:widowControl w:val="0"/>
              <w:spacing w:before="60" w:after="60"/>
              <w:rPr>
                <w:lang w:val="en-GB"/>
              </w:rPr>
            </w:pPr>
            <w:r>
              <w:rPr>
                <w:lang w:val="en-GB"/>
              </w:rPr>
              <w:t>14,1</w:t>
            </w:r>
          </w:p>
        </w:tc>
        <w:tc>
          <w:tcPr>
            <w:tcW w:w="644" w:type="dxa"/>
          </w:tcPr>
          <w:p w:rsidR="00000000" w:rsidRDefault="00000000">
            <w:pPr>
              <w:keepNext/>
              <w:keepLines/>
              <w:widowControl w:val="0"/>
              <w:spacing w:before="60" w:after="60"/>
              <w:rPr>
                <w:lang w:val="en-GB"/>
              </w:rPr>
            </w:pPr>
            <w:r>
              <w:rPr>
                <w:lang w:val="en-GB"/>
              </w:rPr>
              <w:t>6,4</w:t>
            </w:r>
          </w:p>
        </w:tc>
        <w:tc>
          <w:tcPr>
            <w:tcW w:w="645" w:type="dxa"/>
          </w:tcPr>
          <w:p w:rsidR="00000000" w:rsidRDefault="00000000">
            <w:pPr>
              <w:keepNext/>
              <w:keepLines/>
              <w:widowControl w:val="0"/>
              <w:spacing w:before="60" w:after="60"/>
              <w:rPr>
                <w:lang w:val="en-GB"/>
              </w:rPr>
            </w:pPr>
            <w:r>
              <w:rPr>
                <w:lang w:val="en-GB"/>
              </w:rPr>
              <w:t>62,1</w:t>
            </w:r>
          </w:p>
        </w:tc>
        <w:tc>
          <w:tcPr>
            <w:tcW w:w="644" w:type="dxa"/>
          </w:tcPr>
          <w:p w:rsidR="00000000" w:rsidRDefault="00000000">
            <w:pPr>
              <w:keepNext/>
              <w:keepLines/>
              <w:widowControl w:val="0"/>
              <w:spacing w:before="60" w:after="60"/>
              <w:rPr>
                <w:lang w:val="en-GB"/>
              </w:rPr>
            </w:pPr>
            <w:r>
              <w:rPr>
                <w:lang w:val="en-GB"/>
              </w:rPr>
              <w:t>63,2</w:t>
            </w:r>
          </w:p>
        </w:tc>
        <w:tc>
          <w:tcPr>
            <w:tcW w:w="645" w:type="dxa"/>
          </w:tcPr>
          <w:p w:rsidR="00000000" w:rsidRDefault="00000000">
            <w:pPr>
              <w:keepNext/>
              <w:keepLines/>
              <w:widowControl w:val="0"/>
              <w:spacing w:before="60" w:after="60"/>
              <w:rPr>
                <w:lang w:val="en-GB"/>
              </w:rPr>
            </w:pPr>
            <w:r>
              <w:rPr>
                <w:lang w:val="en-GB"/>
              </w:rPr>
              <w:t>67,0</w:t>
            </w:r>
          </w:p>
        </w:tc>
        <w:tc>
          <w:tcPr>
            <w:tcW w:w="644" w:type="dxa"/>
          </w:tcPr>
          <w:p w:rsidR="00000000" w:rsidRDefault="00000000">
            <w:pPr>
              <w:keepNext/>
              <w:keepLines/>
              <w:widowControl w:val="0"/>
              <w:spacing w:before="60" w:after="60"/>
              <w:rPr>
                <w:lang w:val="en-GB"/>
              </w:rPr>
            </w:pPr>
            <w:r>
              <w:rPr>
                <w:lang w:val="en-GB"/>
              </w:rPr>
              <w:t>70,8</w:t>
            </w:r>
          </w:p>
        </w:tc>
        <w:tc>
          <w:tcPr>
            <w:tcW w:w="644" w:type="dxa"/>
          </w:tcPr>
          <w:p w:rsidR="00000000" w:rsidRDefault="00000000">
            <w:pPr>
              <w:keepNext/>
              <w:keepLines/>
              <w:widowControl w:val="0"/>
              <w:spacing w:before="60" w:after="60"/>
              <w:rPr>
                <w:lang w:val="en-GB"/>
              </w:rPr>
            </w:pPr>
            <w:r>
              <w:rPr>
                <w:lang w:val="en-GB"/>
              </w:rPr>
              <w:t>73,8</w:t>
            </w:r>
          </w:p>
        </w:tc>
        <w:tc>
          <w:tcPr>
            <w:tcW w:w="645" w:type="dxa"/>
          </w:tcPr>
          <w:p w:rsidR="00000000" w:rsidRDefault="00000000">
            <w:pPr>
              <w:keepNext/>
              <w:keepLines/>
              <w:widowControl w:val="0"/>
              <w:spacing w:before="60" w:after="60"/>
              <w:rPr>
                <w:lang w:val="en-GB"/>
              </w:rPr>
            </w:pPr>
            <w:r>
              <w:rPr>
                <w:lang w:val="en-GB"/>
              </w:rPr>
              <w:t>75,7</w:t>
            </w:r>
          </w:p>
        </w:tc>
        <w:tc>
          <w:tcPr>
            <w:tcW w:w="644" w:type="dxa"/>
          </w:tcPr>
          <w:p w:rsidR="00000000" w:rsidRDefault="00000000">
            <w:pPr>
              <w:keepNext/>
              <w:keepLines/>
              <w:widowControl w:val="0"/>
              <w:spacing w:before="60" w:after="60"/>
              <w:rPr>
                <w:lang w:val="en-GB"/>
              </w:rPr>
            </w:pPr>
            <w:r>
              <w:rPr>
                <w:lang w:val="en-GB"/>
              </w:rPr>
              <w:t>73,8</w:t>
            </w:r>
          </w:p>
        </w:tc>
        <w:tc>
          <w:tcPr>
            <w:tcW w:w="645" w:type="dxa"/>
          </w:tcPr>
          <w:p w:rsidR="00000000" w:rsidRDefault="00000000">
            <w:pPr>
              <w:keepNext/>
              <w:keepLines/>
              <w:widowControl w:val="0"/>
              <w:spacing w:before="60" w:after="60"/>
              <w:rPr>
                <w:lang w:val="en-GB"/>
              </w:rPr>
            </w:pPr>
            <w:r>
              <w:rPr>
                <w:lang w:val="en-GB"/>
              </w:rPr>
              <w:t>74,9</w:t>
            </w:r>
          </w:p>
        </w:tc>
        <w:tc>
          <w:tcPr>
            <w:tcW w:w="644" w:type="dxa"/>
          </w:tcPr>
          <w:p w:rsidR="00000000" w:rsidRDefault="00000000">
            <w:pPr>
              <w:keepNext/>
              <w:keepLines/>
              <w:widowControl w:val="0"/>
              <w:spacing w:before="60" w:after="60"/>
              <w:rPr>
                <w:lang w:val="en-GB"/>
              </w:rPr>
            </w:pPr>
            <w:r>
              <w:rPr>
                <w:lang w:val="en-GB"/>
              </w:rPr>
              <w:t>83,8</w:t>
            </w:r>
          </w:p>
        </w:tc>
        <w:tc>
          <w:tcPr>
            <w:tcW w:w="645" w:type="dxa"/>
          </w:tcPr>
          <w:p w:rsidR="00000000" w:rsidRDefault="00000000">
            <w:pPr>
              <w:keepNext/>
              <w:keepLines/>
              <w:widowControl w:val="0"/>
              <w:spacing w:before="60" w:after="60"/>
              <w:rPr>
                <w:lang w:val="en-GB"/>
              </w:rPr>
            </w:pPr>
            <w:r>
              <w:rPr>
                <w:lang w:val="en-GB"/>
              </w:rPr>
              <w:t>87,7</w:t>
            </w:r>
          </w:p>
        </w:tc>
      </w:tr>
      <w:tr w:rsidR="00000000">
        <w:tblPrEx>
          <w:tblCellMar>
            <w:top w:w="0" w:type="dxa"/>
            <w:bottom w:w="0" w:type="dxa"/>
          </w:tblCellMar>
        </w:tblPrEx>
        <w:trPr>
          <w:jc w:val="center"/>
        </w:trPr>
        <w:tc>
          <w:tcPr>
            <w:tcW w:w="1761" w:type="dxa"/>
          </w:tcPr>
          <w:p w:rsidR="00000000" w:rsidRDefault="00000000">
            <w:pPr>
              <w:keepNext/>
              <w:keepLines/>
              <w:widowControl w:val="0"/>
              <w:spacing w:before="60" w:after="60"/>
              <w:rPr>
                <w:lang w:val="en-GB"/>
              </w:rPr>
            </w:pPr>
            <w:r>
              <w:rPr>
                <w:lang w:val="en-GB"/>
              </w:rPr>
              <w:t>Fianarantsoa</w:t>
            </w:r>
          </w:p>
        </w:tc>
        <w:tc>
          <w:tcPr>
            <w:tcW w:w="644" w:type="dxa"/>
          </w:tcPr>
          <w:p w:rsidR="00000000" w:rsidRDefault="00000000">
            <w:pPr>
              <w:keepNext/>
              <w:keepLines/>
              <w:widowControl w:val="0"/>
              <w:spacing w:before="60" w:after="60"/>
              <w:rPr>
                <w:lang w:val="en-GB"/>
              </w:rPr>
            </w:pPr>
            <w:r>
              <w:rPr>
                <w:lang w:val="en-GB"/>
              </w:rPr>
              <w:t>20,7</w:t>
            </w:r>
          </w:p>
        </w:tc>
        <w:tc>
          <w:tcPr>
            <w:tcW w:w="644" w:type="dxa"/>
          </w:tcPr>
          <w:p w:rsidR="00000000" w:rsidRDefault="00000000">
            <w:pPr>
              <w:keepNext/>
              <w:keepLines/>
              <w:widowControl w:val="0"/>
              <w:spacing w:before="60" w:after="60"/>
              <w:rPr>
                <w:lang w:val="en-GB"/>
              </w:rPr>
            </w:pPr>
            <w:r>
              <w:rPr>
                <w:lang w:val="en-GB"/>
              </w:rPr>
              <w:t>23,8</w:t>
            </w:r>
          </w:p>
        </w:tc>
        <w:tc>
          <w:tcPr>
            <w:tcW w:w="645" w:type="dxa"/>
          </w:tcPr>
          <w:p w:rsidR="00000000" w:rsidRDefault="00000000">
            <w:pPr>
              <w:keepNext/>
              <w:keepLines/>
              <w:widowControl w:val="0"/>
              <w:spacing w:before="60" w:after="60"/>
              <w:rPr>
                <w:lang w:val="en-GB"/>
              </w:rPr>
            </w:pPr>
            <w:r>
              <w:rPr>
                <w:lang w:val="en-GB"/>
              </w:rPr>
              <w:t>36,1</w:t>
            </w:r>
          </w:p>
        </w:tc>
        <w:tc>
          <w:tcPr>
            <w:tcW w:w="644" w:type="dxa"/>
          </w:tcPr>
          <w:p w:rsidR="00000000" w:rsidRDefault="00000000">
            <w:pPr>
              <w:keepNext/>
              <w:keepLines/>
              <w:widowControl w:val="0"/>
              <w:spacing w:before="60" w:after="60"/>
              <w:rPr>
                <w:lang w:val="en-GB"/>
              </w:rPr>
            </w:pPr>
            <w:r>
              <w:rPr>
                <w:lang w:val="en-GB"/>
              </w:rPr>
              <w:t>19,4</w:t>
            </w:r>
          </w:p>
        </w:tc>
        <w:tc>
          <w:tcPr>
            <w:tcW w:w="645" w:type="dxa"/>
          </w:tcPr>
          <w:p w:rsidR="00000000" w:rsidRDefault="00000000">
            <w:pPr>
              <w:keepNext/>
              <w:keepLines/>
              <w:widowControl w:val="0"/>
              <w:spacing w:before="60" w:after="60"/>
              <w:rPr>
                <w:lang w:val="en-GB"/>
              </w:rPr>
            </w:pPr>
            <w:r>
              <w:rPr>
                <w:lang w:val="en-GB"/>
              </w:rPr>
              <w:t>50,3</w:t>
            </w:r>
          </w:p>
        </w:tc>
        <w:tc>
          <w:tcPr>
            <w:tcW w:w="644" w:type="dxa"/>
          </w:tcPr>
          <w:p w:rsidR="00000000" w:rsidRDefault="00000000">
            <w:pPr>
              <w:keepNext/>
              <w:keepLines/>
              <w:widowControl w:val="0"/>
              <w:spacing w:before="60" w:after="60"/>
              <w:rPr>
                <w:lang w:val="en-GB"/>
              </w:rPr>
            </w:pPr>
            <w:r>
              <w:rPr>
                <w:lang w:val="en-GB"/>
              </w:rPr>
              <w:t>31,8</w:t>
            </w:r>
          </w:p>
        </w:tc>
        <w:tc>
          <w:tcPr>
            <w:tcW w:w="644" w:type="dxa"/>
          </w:tcPr>
          <w:p w:rsidR="00000000" w:rsidRDefault="00000000">
            <w:pPr>
              <w:keepNext/>
              <w:keepLines/>
              <w:widowControl w:val="0"/>
              <w:spacing w:before="60" w:after="60"/>
              <w:rPr>
                <w:lang w:val="en-GB"/>
              </w:rPr>
            </w:pPr>
            <w:r>
              <w:rPr>
                <w:lang w:val="en-GB"/>
              </w:rPr>
              <w:t>47,6</w:t>
            </w:r>
          </w:p>
        </w:tc>
        <w:tc>
          <w:tcPr>
            <w:tcW w:w="645" w:type="dxa"/>
          </w:tcPr>
          <w:p w:rsidR="00000000" w:rsidRDefault="00000000">
            <w:pPr>
              <w:keepNext/>
              <w:keepLines/>
              <w:widowControl w:val="0"/>
              <w:spacing w:before="60" w:after="60"/>
              <w:rPr>
                <w:lang w:val="en-GB"/>
              </w:rPr>
            </w:pPr>
            <w:r>
              <w:rPr>
                <w:lang w:val="en-GB"/>
              </w:rPr>
              <w:t>35,2</w:t>
            </w:r>
          </w:p>
        </w:tc>
        <w:tc>
          <w:tcPr>
            <w:tcW w:w="644" w:type="dxa"/>
          </w:tcPr>
          <w:p w:rsidR="00000000" w:rsidRDefault="00000000">
            <w:pPr>
              <w:keepNext/>
              <w:keepLines/>
              <w:widowControl w:val="0"/>
              <w:spacing w:before="60" w:after="60"/>
              <w:rPr>
                <w:lang w:val="en-GB"/>
              </w:rPr>
            </w:pPr>
            <w:r>
              <w:rPr>
                <w:lang w:val="en-GB"/>
              </w:rPr>
              <w:t>47,4</w:t>
            </w:r>
          </w:p>
        </w:tc>
        <w:tc>
          <w:tcPr>
            <w:tcW w:w="645" w:type="dxa"/>
          </w:tcPr>
          <w:p w:rsidR="00000000" w:rsidRDefault="00000000">
            <w:pPr>
              <w:keepNext/>
              <w:keepLines/>
              <w:widowControl w:val="0"/>
              <w:spacing w:before="60" w:after="60"/>
              <w:rPr>
                <w:lang w:val="en-GB"/>
              </w:rPr>
            </w:pPr>
            <w:r>
              <w:rPr>
                <w:lang w:val="en-GB"/>
              </w:rPr>
              <w:t>32,5</w:t>
            </w:r>
          </w:p>
        </w:tc>
        <w:tc>
          <w:tcPr>
            <w:tcW w:w="644" w:type="dxa"/>
          </w:tcPr>
          <w:p w:rsidR="00000000" w:rsidRDefault="00000000">
            <w:pPr>
              <w:keepNext/>
              <w:keepLines/>
              <w:widowControl w:val="0"/>
              <w:spacing w:before="60" w:after="60"/>
              <w:rPr>
                <w:lang w:val="en-GB"/>
              </w:rPr>
            </w:pPr>
            <w:r>
              <w:rPr>
                <w:lang w:val="en-GB"/>
              </w:rPr>
              <w:t>68,5</w:t>
            </w:r>
          </w:p>
        </w:tc>
        <w:tc>
          <w:tcPr>
            <w:tcW w:w="645" w:type="dxa"/>
          </w:tcPr>
          <w:p w:rsidR="00000000" w:rsidRDefault="00000000">
            <w:pPr>
              <w:keepNext/>
              <w:keepLines/>
              <w:widowControl w:val="0"/>
              <w:spacing w:before="60" w:after="60"/>
              <w:rPr>
                <w:lang w:val="en-GB"/>
              </w:rPr>
            </w:pPr>
            <w:r>
              <w:rPr>
                <w:lang w:val="en-GB"/>
              </w:rPr>
              <w:t>52,4</w:t>
            </w:r>
          </w:p>
        </w:tc>
      </w:tr>
      <w:tr w:rsidR="00000000">
        <w:tblPrEx>
          <w:tblCellMar>
            <w:top w:w="0" w:type="dxa"/>
            <w:bottom w:w="0" w:type="dxa"/>
          </w:tblCellMar>
        </w:tblPrEx>
        <w:trPr>
          <w:jc w:val="center"/>
        </w:trPr>
        <w:tc>
          <w:tcPr>
            <w:tcW w:w="1761" w:type="dxa"/>
          </w:tcPr>
          <w:p w:rsidR="00000000" w:rsidRDefault="00000000">
            <w:pPr>
              <w:spacing w:before="60" w:after="60"/>
              <w:rPr>
                <w:lang w:val="en-GB"/>
              </w:rPr>
            </w:pPr>
            <w:r>
              <w:rPr>
                <w:lang w:val="en-GB"/>
              </w:rPr>
              <w:t>Toamasina</w:t>
            </w:r>
          </w:p>
        </w:tc>
        <w:tc>
          <w:tcPr>
            <w:tcW w:w="644" w:type="dxa"/>
          </w:tcPr>
          <w:p w:rsidR="00000000" w:rsidRDefault="00000000">
            <w:pPr>
              <w:spacing w:before="60" w:after="60"/>
              <w:rPr>
                <w:lang w:val="en-GB"/>
              </w:rPr>
            </w:pPr>
            <w:r>
              <w:rPr>
                <w:lang w:val="en-GB"/>
              </w:rPr>
              <w:t>16,2</w:t>
            </w:r>
          </w:p>
        </w:tc>
        <w:tc>
          <w:tcPr>
            <w:tcW w:w="644" w:type="dxa"/>
          </w:tcPr>
          <w:p w:rsidR="00000000" w:rsidRDefault="00000000">
            <w:pPr>
              <w:spacing w:before="60" w:after="60"/>
              <w:rPr>
                <w:lang w:val="en-GB"/>
              </w:rPr>
            </w:pPr>
            <w:r>
              <w:rPr>
                <w:lang w:val="en-GB"/>
              </w:rPr>
              <w:t>17,2</w:t>
            </w:r>
          </w:p>
        </w:tc>
        <w:tc>
          <w:tcPr>
            <w:tcW w:w="645" w:type="dxa"/>
          </w:tcPr>
          <w:p w:rsidR="00000000" w:rsidRDefault="00000000">
            <w:pPr>
              <w:spacing w:before="60" w:after="60"/>
              <w:rPr>
                <w:lang w:val="en-GB"/>
              </w:rPr>
            </w:pPr>
            <w:r>
              <w:rPr>
                <w:lang w:val="en-GB"/>
              </w:rPr>
              <w:t>46,0</w:t>
            </w:r>
          </w:p>
        </w:tc>
        <w:tc>
          <w:tcPr>
            <w:tcW w:w="644" w:type="dxa"/>
          </w:tcPr>
          <w:p w:rsidR="00000000" w:rsidRDefault="00000000">
            <w:pPr>
              <w:spacing w:before="60" w:after="60"/>
              <w:rPr>
                <w:lang w:val="en-GB"/>
              </w:rPr>
            </w:pPr>
            <w:r>
              <w:rPr>
                <w:lang w:val="en-GB"/>
              </w:rPr>
              <w:t>42,0</w:t>
            </w:r>
          </w:p>
        </w:tc>
        <w:tc>
          <w:tcPr>
            <w:tcW w:w="645" w:type="dxa"/>
          </w:tcPr>
          <w:p w:rsidR="00000000" w:rsidRDefault="00000000">
            <w:pPr>
              <w:spacing w:before="60" w:after="60"/>
              <w:rPr>
                <w:lang w:val="en-GB"/>
              </w:rPr>
            </w:pPr>
            <w:r>
              <w:rPr>
                <w:lang w:val="en-GB"/>
              </w:rPr>
              <w:t>55,5</w:t>
            </w:r>
          </w:p>
        </w:tc>
        <w:tc>
          <w:tcPr>
            <w:tcW w:w="644" w:type="dxa"/>
          </w:tcPr>
          <w:p w:rsidR="00000000" w:rsidRDefault="00000000">
            <w:pPr>
              <w:spacing w:before="60" w:after="60"/>
              <w:rPr>
                <w:lang w:val="en-GB"/>
              </w:rPr>
            </w:pPr>
            <w:r>
              <w:rPr>
                <w:lang w:val="en-GB"/>
              </w:rPr>
              <w:t>52,2</w:t>
            </w:r>
          </w:p>
        </w:tc>
        <w:tc>
          <w:tcPr>
            <w:tcW w:w="644" w:type="dxa"/>
          </w:tcPr>
          <w:p w:rsidR="00000000" w:rsidRDefault="00000000">
            <w:pPr>
              <w:spacing w:before="60" w:after="60"/>
              <w:rPr>
                <w:lang w:val="en-GB"/>
              </w:rPr>
            </w:pPr>
            <w:r>
              <w:rPr>
                <w:lang w:val="en-GB"/>
              </w:rPr>
              <w:t>56,0</w:t>
            </w:r>
          </w:p>
        </w:tc>
        <w:tc>
          <w:tcPr>
            <w:tcW w:w="645" w:type="dxa"/>
          </w:tcPr>
          <w:p w:rsidR="00000000" w:rsidRDefault="00000000">
            <w:pPr>
              <w:spacing w:before="60" w:after="60"/>
              <w:rPr>
                <w:lang w:val="en-GB"/>
              </w:rPr>
            </w:pPr>
            <w:r>
              <w:rPr>
                <w:lang w:val="en-GB"/>
              </w:rPr>
              <w:t>55,8</w:t>
            </w:r>
          </w:p>
        </w:tc>
        <w:tc>
          <w:tcPr>
            <w:tcW w:w="644" w:type="dxa"/>
          </w:tcPr>
          <w:p w:rsidR="00000000" w:rsidRDefault="00000000">
            <w:pPr>
              <w:spacing w:before="60" w:after="60"/>
              <w:rPr>
                <w:lang w:val="en-GB"/>
              </w:rPr>
            </w:pPr>
            <w:r>
              <w:rPr>
                <w:lang w:val="en-GB"/>
              </w:rPr>
              <w:t>56,0</w:t>
            </w:r>
          </w:p>
        </w:tc>
        <w:tc>
          <w:tcPr>
            <w:tcW w:w="645" w:type="dxa"/>
          </w:tcPr>
          <w:p w:rsidR="00000000" w:rsidRDefault="00000000">
            <w:pPr>
              <w:spacing w:before="60" w:after="60"/>
              <w:rPr>
                <w:lang w:val="en-GB"/>
              </w:rPr>
            </w:pPr>
            <w:r>
              <w:rPr>
                <w:lang w:val="en-GB"/>
              </w:rPr>
              <w:t>55,8</w:t>
            </w:r>
          </w:p>
        </w:tc>
        <w:tc>
          <w:tcPr>
            <w:tcW w:w="644" w:type="dxa"/>
          </w:tcPr>
          <w:p w:rsidR="00000000" w:rsidRDefault="00000000">
            <w:pPr>
              <w:spacing w:before="60" w:after="60"/>
              <w:rPr>
                <w:lang w:val="en-GB"/>
              </w:rPr>
            </w:pPr>
            <w:r>
              <w:rPr>
                <w:lang w:val="en-GB"/>
              </w:rPr>
              <w:t>78,9</w:t>
            </w:r>
          </w:p>
        </w:tc>
        <w:tc>
          <w:tcPr>
            <w:tcW w:w="645" w:type="dxa"/>
          </w:tcPr>
          <w:p w:rsidR="00000000" w:rsidRDefault="00000000">
            <w:pPr>
              <w:spacing w:before="60" w:after="60"/>
              <w:rPr>
                <w:lang w:val="en-GB"/>
              </w:rPr>
            </w:pPr>
            <w:r>
              <w:rPr>
                <w:lang w:val="en-GB"/>
              </w:rPr>
              <w:t>71,3</w:t>
            </w:r>
          </w:p>
        </w:tc>
      </w:tr>
      <w:tr w:rsidR="00000000">
        <w:tblPrEx>
          <w:tblCellMar>
            <w:top w:w="0" w:type="dxa"/>
            <w:bottom w:w="0" w:type="dxa"/>
          </w:tblCellMar>
        </w:tblPrEx>
        <w:trPr>
          <w:jc w:val="center"/>
        </w:trPr>
        <w:tc>
          <w:tcPr>
            <w:tcW w:w="1761" w:type="dxa"/>
          </w:tcPr>
          <w:p w:rsidR="00000000" w:rsidRDefault="00000000">
            <w:pPr>
              <w:spacing w:before="60" w:after="60"/>
              <w:rPr>
                <w:lang w:val="en-GB"/>
              </w:rPr>
            </w:pPr>
            <w:r>
              <w:rPr>
                <w:lang w:val="en-GB"/>
              </w:rPr>
              <w:t>Mahajanga</w:t>
            </w:r>
          </w:p>
        </w:tc>
        <w:tc>
          <w:tcPr>
            <w:tcW w:w="644" w:type="dxa"/>
          </w:tcPr>
          <w:p w:rsidR="00000000" w:rsidRDefault="00000000">
            <w:pPr>
              <w:spacing w:before="60" w:after="60"/>
              <w:rPr>
                <w:lang w:val="en-GB"/>
              </w:rPr>
            </w:pPr>
            <w:r>
              <w:rPr>
                <w:lang w:val="en-GB"/>
              </w:rPr>
              <w:t>31,9</w:t>
            </w:r>
          </w:p>
        </w:tc>
        <w:tc>
          <w:tcPr>
            <w:tcW w:w="644" w:type="dxa"/>
          </w:tcPr>
          <w:p w:rsidR="00000000" w:rsidRDefault="00000000">
            <w:pPr>
              <w:spacing w:before="60" w:after="60"/>
              <w:rPr>
                <w:lang w:val="en-GB"/>
              </w:rPr>
            </w:pPr>
            <w:r>
              <w:rPr>
                <w:lang w:val="en-GB"/>
              </w:rPr>
              <w:t>40,5</w:t>
            </w:r>
          </w:p>
        </w:tc>
        <w:tc>
          <w:tcPr>
            <w:tcW w:w="645" w:type="dxa"/>
          </w:tcPr>
          <w:p w:rsidR="00000000" w:rsidRDefault="00000000">
            <w:pPr>
              <w:spacing w:before="60" w:after="60"/>
              <w:rPr>
                <w:lang w:val="en-GB"/>
              </w:rPr>
            </w:pPr>
            <w:r>
              <w:rPr>
                <w:lang w:val="en-GB"/>
              </w:rPr>
              <w:t>22,6</w:t>
            </w:r>
          </w:p>
        </w:tc>
        <w:tc>
          <w:tcPr>
            <w:tcW w:w="644" w:type="dxa"/>
          </w:tcPr>
          <w:p w:rsidR="00000000" w:rsidRDefault="00000000">
            <w:pPr>
              <w:spacing w:before="60" w:after="60"/>
              <w:rPr>
                <w:lang w:val="en-GB"/>
              </w:rPr>
            </w:pPr>
            <w:r>
              <w:rPr>
                <w:lang w:val="en-GB"/>
              </w:rPr>
              <w:t>19,0</w:t>
            </w:r>
          </w:p>
        </w:tc>
        <w:tc>
          <w:tcPr>
            <w:tcW w:w="645" w:type="dxa"/>
          </w:tcPr>
          <w:p w:rsidR="00000000" w:rsidRDefault="00000000">
            <w:pPr>
              <w:spacing w:before="60" w:after="60"/>
              <w:rPr>
                <w:lang w:val="en-GB"/>
              </w:rPr>
            </w:pPr>
            <w:r>
              <w:rPr>
                <w:lang w:val="en-GB"/>
              </w:rPr>
              <w:t>38,1</w:t>
            </w:r>
          </w:p>
        </w:tc>
        <w:tc>
          <w:tcPr>
            <w:tcW w:w="644" w:type="dxa"/>
          </w:tcPr>
          <w:p w:rsidR="00000000" w:rsidRDefault="00000000">
            <w:pPr>
              <w:spacing w:before="60" w:after="60"/>
              <w:rPr>
                <w:lang w:val="en-GB"/>
              </w:rPr>
            </w:pPr>
            <w:r>
              <w:rPr>
                <w:lang w:val="en-GB"/>
              </w:rPr>
              <w:t>33,2</w:t>
            </w:r>
          </w:p>
        </w:tc>
        <w:tc>
          <w:tcPr>
            <w:tcW w:w="644" w:type="dxa"/>
          </w:tcPr>
          <w:p w:rsidR="00000000" w:rsidRDefault="00000000">
            <w:pPr>
              <w:spacing w:before="60" w:after="60"/>
              <w:rPr>
                <w:lang w:val="en-GB"/>
              </w:rPr>
            </w:pPr>
            <w:r>
              <w:rPr>
                <w:lang w:val="en-GB"/>
              </w:rPr>
              <w:t>31,9</w:t>
            </w:r>
          </w:p>
        </w:tc>
        <w:tc>
          <w:tcPr>
            <w:tcW w:w="645" w:type="dxa"/>
          </w:tcPr>
          <w:p w:rsidR="00000000" w:rsidRDefault="00000000">
            <w:pPr>
              <w:spacing w:before="60" w:after="60"/>
              <w:rPr>
                <w:lang w:val="en-GB"/>
              </w:rPr>
            </w:pPr>
            <w:r>
              <w:rPr>
                <w:lang w:val="en-GB"/>
              </w:rPr>
              <w:t>24,1</w:t>
            </w:r>
          </w:p>
        </w:tc>
        <w:tc>
          <w:tcPr>
            <w:tcW w:w="644" w:type="dxa"/>
          </w:tcPr>
          <w:p w:rsidR="00000000" w:rsidRDefault="00000000">
            <w:pPr>
              <w:spacing w:before="60" w:after="60"/>
              <w:rPr>
                <w:lang w:val="en-GB"/>
              </w:rPr>
            </w:pPr>
            <w:r>
              <w:rPr>
                <w:lang w:val="en-GB"/>
              </w:rPr>
              <w:t>31,9</w:t>
            </w:r>
          </w:p>
        </w:tc>
        <w:tc>
          <w:tcPr>
            <w:tcW w:w="645" w:type="dxa"/>
          </w:tcPr>
          <w:p w:rsidR="00000000" w:rsidRDefault="00000000">
            <w:pPr>
              <w:spacing w:before="60" w:after="60"/>
              <w:rPr>
                <w:lang w:val="en-GB"/>
              </w:rPr>
            </w:pPr>
            <w:r>
              <w:rPr>
                <w:lang w:val="en-GB"/>
              </w:rPr>
              <w:t>24,4</w:t>
            </w:r>
          </w:p>
        </w:tc>
        <w:tc>
          <w:tcPr>
            <w:tcW w:w="644" w:type="dxa"/>
          </w:tcPr>
          <w:p w:rsidR="00000000" w:rsidRDefault="00000000">
            <w:pPr>
              <w:spacing w:before="60" w:after="60"/>
              <w:rPr>
                <w:lang w:val="en-GB"/>
              </w:rPr>
            </w:pPr>
            <w:r>
              <w:rPr>
                <w:lang w:val="en-GB"/>
              </w:rPr>
              <w:t>61,8</w:t>
            </w:r>
          </w:p>
        </w:tc>
        <w:tc>
          <w:tcPr>
            <w:tcW w:w="645" w:type="dxa"/>
          </w:tcPr>
          <w:p w:rsidR="00000000" w:rsidRDefault="00000000">
            <w:pPr>
              <w:spacing w:before="60" w:after="60"/>
              <w:rPr>
                <w:lang w:val="en-GB"/>
              </w:rPr>
            </w:pPr>
            <w:r>
              <w:rPr>
                <w:lang w:val="en-GB"/>
              </w:rPr>
              <w:t>49,8</w:t>
            </w:r>
          </w:p>
        </w:tc>
      </w:tr>
      <w:tr w:rsidR="00000000">
        <w:tblPrEx>
          <w:tblCellMar>
            <w:top w:w="0" w:type="dxa"/>
            <w:bottom w:w="0" w:type="dxa"/>
          </w:tblCellMar>
        </w:tblPrEx>
        <w:trPr>
          <w:jc w:val="center"/>
        </w:trPr>
        <w:tc>
          <w:tcPr>
            <w:tcW w:w="1761" w:type="dxa"/>
          </w:tcPr>
          <w:p w:rsidR="00000000" w:rsidRDefault="00000000">
            <w:pPr>
              <w:spacing w:before="60" w:after="60"/>
              <w:rPr>
                <w:lang w:val="en-GB"/>
              </w:rPr>
            </w:pPr>
            <w:r>
              <w:rPr>
                <w:lang w:val="en-GB"/>
              </w:rPr>
              <w:t>Toliary</w:t>
            </w:r>
          </w:p>
        </w:tc>
        <w:tc>
          <w:tcPr>
            <w:tcW w:w="644" w:type="dxa"/>
          </w:tcPr>
          <w:p w:rsidR="00000000" w:rsidRDefault="00000000">
            <w:pPr>
              <w:spacing w:before="60" w:after="60"/>
              <w:rPr>
                <w:lang w:val="en-GB"/>
              </w:rPr>
            </w:pPr>
            <w:r>
              <w:rPr>
                <w:lang w:val="en-GB"/>
              </w:rPr>
              <w:t>15,8</w:t>
            </w:r>
          </w:p>
        </w:tc>
        <w:tc>
          <w:tcPr>
            <w:tcW w:w="644" w:type="dxa"/>
          </w:tcPr>
          <w:p w:rsidR="00000000" w:rsidRDefault="00000000">
            <w:pPr>
              <w:spacing w:before="60" w:after="60"/>
              <w:rPr>
                <w:lang w:val="en-GB"/>
              </w:rPr>
            </w:pPr>
            <w:r>
              <w:rPr>
                <w:lang w:val="en-GB"/>
              </w:rPr>
              <w:t>32,0</w:t>
            </w:r>
          </w:p>
        </w:tc>
        <w:tc>
          <w:tcPr>
            <w:tcW w:w="645" w:type="dxa"/>
          </w:tcPr>
          <w:p w:rsidR="00000000" w:rsidRDefault="00000000">
            <w:pPr>
              <w:spacing w:before="60" w:after="60"/>
              <w:rPr>
                <w:lang w:val="en-GB"/>
              </w:rPr>
            </w:pPr>
            <w:r>
              <w:rPr>
                <w:lang w:val="en-GB"/>
              </w:rPr>
              <w:t>39,6</w:t>
            </w:r>
          </w:p>
        </w:tc>
        <w:tc>
          <w:tcPr>
            <w:tcW w:w="644" w:type="dxa"/>
          </w:tcPr>
          <w:p w:rsidR="00000000" w:rsidRDefault="00000000">
            <w:pPr>
              <w:spacing w:before="60" w:after="60"/>
              <w:rPr>
                <w:lang w:val="en-GB"/>
              </w:rPr>
            </w:pPr>
            <w:r>
              <w:rPr>
                <w:lang w:val="en-GB"/>
              </w:rPr>
              <w:t>15,0</w:t>
            </w:r>
          </w:p>
        </w:tc>
        <w:tc>
          <w:tcPr>
            <w:tcW w:w="645" w:type="dxa"/>
          </w:tcPr>
          <w:p w:rsidR="00000000" w:rsidRDefault="00000000">
            <w:pPr>
              <w:spacing w:before="60" w:after="60"/>
              <w:rPr>
                <w:lang w:val="en-GB"/>
              </w:rPr>
            </w:pPr>
            <w:r>
              <w:rPr>
                <w:lang w:val="en-GB"/>
              </w:rPr>
              <w:t>51,1</w:t>
            </w:r>
          </w:p>
        </w:tc>
        <w:tc>
          <w:tcPr>
            <w:tcW w:w="644" w:type="dxa"/>
          </w:tcPr>
          <w:p w:rsidR="00000000" w:rsidRDefault="00000000">
            <w:pPr>
              <w:spacing w:before="60" w:after="60"/>
              <w:rPr>
                <w:lang w:val="en-GB"/>
              </w:rPr>
            </w:pPr>
            <w:r>
              <w:rPr>
                <w:lang w:val="en-GB"/>
              </w:rPr>
              <w:t>23,4</w:t>
            </w:r>
          </w:p>
        </w:tc>
        <w:tc>
          <w:tcPr>
            <w:tcW w:w="644" w:type="dxa"/>
          </w:tcPr>
          <w:p w:rsidR="00000000" w:rsidRDefault="00000000">
            <w:pPr>
              <w:spacing w:before="60" w:after="60"/>
              <w:rPr>
                <w:lang w:val="en-GB"/>
              </w:rPr>
            </w:pPr>
            <w:r>
              <w:rPr>
                <w:lang w:val="en-GB"/>
              </w:rPr>
              <w:t>47,1</w:t>
            </w:r>
          </w:p>
        </w:tc>
        <w:tc>
          <w:tcPr>
            <w:tcW w:w="645" w:type="dxa"/>
          </w:tcPr>
          <w:p w:rsidR="00000000" w:rsidRDefault="00000000">
            <w:pPr>
              <w:spacing w:before="60" w:after="60"/>
              <w:rPr>
                <w:lang w:val="en-GB"/>
              </w:rPr>
            </w:pPr>
            <w:r>
              <w:rPr>
                <w:lang w:val="en-GB"/>
              </w:rPr>
              <w:t>23,3</w:t>
            </w:r>
          </w:p>
        </w:tc>
        <w:tc>
          <w:tcPr>
            <w:tcW w:w="644" w:type="dxa"/>
          </w:tcPr>
          <w:p w:rsidR="00000000" w:rsidRDefault="00000000">
            <w:pPr>
              <w:spacing w:before="60" w:after="60"/>
              <w:rPr>
                <w:lang w:val="en-GB"/>
              </w:rPr>
            </w:pPr>
            <w:r>
              <w:rPr>
                <w:lang w:val="en-GB"/>
              </w:rPr>
              <w:t>47,1</w:t>
            </w:r>
          </w:p>
        </w:tc>
        <w:tc>
          <w:tcPr>
            <w:tcW w:w="645" w:type="dxa"/>
          </w:tcPr>
          <w:p w:rsidR="00000000" w:rsidRDefault="00000000">
            <w:pPr>
              <w:spacing w:before="60" w:after="60"/>
              <w:rPr>
                <w:lang w:val="en-GB"/>
              </w:rPr>
            </w:pPr>
            <w:r>
              <w:rPr>
                <w:lang w:val="en-GB"/>
              </w:rPr>
              <w:t>24,9</w:t>
            </w:r>
          </w:p>
        </w:tc>
        <w:tc>
          <w:tcPr>
            <w:tcW w:w="644" w:type="dxa"/>
          </w:tcPr>
          <w:p w:rsidR="00000000" w:rsidRDefault="00000000">
            <w:pPr>
              <w:spacing w:before="60" w:after="60"/>
              <w:rPr>
                <w:lang w:val="en-GB"/>
              </w:rPr>
            </w:pPr>
            <w:r>
              <w:rPr>
                <w:lang w:val="en-GB"/>
              </w:rPr>
              <w:t>81,5</w:t>
            </w:r>
          </w:p>
        </w:tc>
        <w:tc>
          <w:tcPr>
            <w:tcW w:w="645" w:type="dxa"/>
          </w:tcPr>
          <w:p w:rsidR="00000000" w:rsidRDefault="00000000">
            <w:pPr>
              <w:spacing w:before="60" w:after="60"/>
              <w:rPr>
                <w:lang w:val="en-GB"/>
              </w:rPr>
            </w:pPr>
            <w:r>
              <w:rPr>
                <w:lang w:val="en-GB"/>
              </w:rPr>
              <w:t>45,3</w:t>
            </w:r>
          </w:p>
        </w:tc>
      </w:tr>
      <w:tr w:rsidR="00000000">
        <w:tblPrEx>
          <w:tblCellMar>
            <w:top w:w="0" w:type="dxa"/>
            <w:bottom w:w="0" w:type="dxa"/>
          </w:tblCellMar>
        </w:tblPrEx>
        <w:trPr>
          <w:jc w:val="center"/>
        </w:trPr>
        <w:tc>
          <w:tcPr>
            <w:tcW w:w="1761" w:type="dxa"/>
          </w:tcPr>
          <w:p w:rsidR="00000000" w:rsidRDefault="00000000">
            <w:pPr>
              <w:spacing w:before="60" w:after="60"/>
              <w:rPr>
                <w:lang w:val="en-GB"/>
              </w:rPr>
            </w:pPr>
            <w:r>
              <w:rPr>
                <w:lang w:val="en-GB"/>
              </w:rPr>
              <w:t>Antsiranana</w:t>
            </w:r>
          </w:p>
        </w:tc>
        <w:tc>
          <w:tcPr>
            <w:tcW w:w="644" w:type="dxa"/>
          </w:tcPr>
          <w:p w:rsidR="00000000" w:rsidRDefault="00000000">
            <w:pPr>
              <w:spacing w:before="60" w:after="60"/>
            </w:pPr>
            <w:r>
              <w:t>31,9</w:t>
            </w:r>
          </w:p>
        </w:tc>
        <w:tc>
          <w:tcPr>
            <w:tcW w:w="644" w:type="dxa"/>
          </w:tcPr>
          <w:p w:rsidR="00000000" w:rsidRDefault="00000000">
            <w:pPr>
              <w:spacing w:before="60" w:after="60"/>
            </w:pPr>
            <w:r>
              <w:t>13,8</w:t>
            </w:r>
          </w:p>
        </w:tc>
        <w:tc>
          <w:tcPr>
            <w:tcW w:w="645" w:type="dxa"/>
          </w:tcPr>
          <w:p w:rsidR="00000000" w:rsidRDefault="00000000">
            <w:pPr>
              <w:spacing w:before="60" w:after="60"/>
            </w:pPr>
            <w:r>
              <w:t>22,6</w:t>
            </w:r>
          </w:p>
        </w:tc>
        <w:tc>
          <w:tcPr>
            <w:tcW w:w="644" w:type="dxa"/>
          </w:tcPr>
          <w:p w:rsidR="00000000" w:rsidRDefault="00000000">
            <w:pPr>
              <w:spacing w:before="60" w:after="60"/>
            </w:pPr>
            <w:r>
              <w:t>15,6</w:t>
            </w:r>
          </w:p>
        </w:tc>
        <w:tc>
          <w:tcPr>
            <w:tcW w:w="645" w:type="dxa"/>
          </w:tcPr>
          <w:p w:rsidR="00000000" w:rsidRDefault="00000000">
            <w:pPr>
              <w:spacing w:before="60" w:after="60"/>
            </w:pPr>
            <w:r>
              <w:t>38,1</w:t>
            </w:r>
          </w:p>
        </w:tc>
        <w:tc>
          <w:tcPr>
            <w:tcW w:w="644" w:type="dxa"/>
          </w:tcPr>
          <w:p w:rsidR="00000000" w:rsidRDefault="00000000">
            <w:pPr>
              <w:spacing w:before="60" w:after="60"/>
            </w:pPr>
            <w:r>
              <w:t>21,9</w:t>
            </w:r>
          </w:p>
        </w:tc>
        <w:tc>
          <w:tcPr>
            <w:tcW w:w="644" w:type="dxa"/>
          </w:tcPr>
          <w:p w:rsidR="00000000" w:rsidRDefault="00000000">
            <w:pPr>
              <w:spacing w:before="60" w:after="60"/>
            </w:pPr>
            <w:r>
              <w:t>31,9</w:t>
            </w:r>
          </w:p>
        </w:tc>
        <w:tc>
          <w:tcPr>
            <w:tcW w:w="645" w:type="dxa"/>
          </w:tcPr>
          <w:p w:rsidR="00000000" w:rsidRDefault="00000000">
            <w:pPr>
              <w:spacing w:before="60" w:after="60"/>
            </w:pPr>
            <w:r>
              <w:t>32,6</w:t>
            </w:r>
          </w:p>
        </w:tc>
        <w:tc>
          <w:tcPr>
            <w:tcW w:w="644" w:type="dxa"/>
          </w:tcPr>
          <w:p w:rsidR="00000000" w:rsidRDefault="00000000">
            <w:pPr>
              <w:spacing w:before="60" w:after="60"/>
            </w:pPr>
            <w:r>
              <w:t>31,9</w:t>
            </w:r>
          </w:p>
        </w:tc>
        <w:tc>
          <w:tcPr>
            <w:tcW w:w="645" w:type="dxa"/>
          </w:tcPr>
          <w:p w:rsidR="00000000" w:rsidRDefault="00000000">
            <w:pPr>
              <w:spacing w:before="60" w:after="60"/>
            </w:pPr>
            <w:r>
              <w:t>30,9</w:t>
            </w:r>
          </w:p>
        </w:tc>
        <w:tc>
          <w:tcPr>
            <w:tcW w:w="644" w:type="dxa"/>
          </w:tcPr>
          <w:p w:rsidR="00000000" w:rsidRDefault="00000000">
            <w:pPr>
              <w:spacing w:before="60" w:after="60"/>
            </w:pPr>
            <w:r>
              <w:t>61,8</w:t>
            </w:r>
          </w:p>
        </w:tc>
        <w:tc>
          <w:tcPr>
            <w:tcW w:w="645" w:type="dxa"/>
          </w:tcPr>
          <w:p w:rsidR="00000000" w:rsidRDefault="00000000">
            <w:pPr>
              <w:spacing w:before="60" w:after="60"/>
            </w:pPr>
            <w:r>
              <w:t>60,3</w:t>
            </w:r>
          </w:p>
        </w:tc>
      </w:tr>
      <w:tr w:rsidR="00000000">
        <w:tblPrEx>
          <w:tblCellMar>
            <w:top w:w="0" w:type="dxa"/>
            <w:bottom w:w="0" w:type="dxa"/>
          </w:tblCellMar>
        </w:tblPrEx>
        <w:trPr>
          <w:jc w:val="center"/>
        </w:trPr>
        <w:tc>
          <w:tcPr>
            <w:tcW w:w="1761" w:type="dxa"/>
          </w:tcPr>
          <w:p w:rsidR="00000000" w:rsidRDefault="00000000">
            <w:pPr>
              <w:spacing w:before="60" w:after="60"/>
            </w:pPr>
            <w:r>
              <w:t>Ensemble</w:t>
            </w:r>
          </w:p>
        </w:tc>
        <w:tc>
          <w:tcPr>
            <w:tcW w:w="644" w:type="dxa"/>
          </w:tcPr>
          <w:p w:rsidR="00000000" w:rsidRDefault="00000000">
            <w:pPr>
              <w:spacing w:before="60" w:after="60"/>
            </w:pPr>
            <w:r>
              <w:t>19,6</w:t>
            </w:r>
          </w:p>
        </w:tc>
        <w:tc>
          <w:tcPr>
            <w:tcW w:w="644" w:type="dxa"/>
          </w:tcPr>
          <w:p w:rsidR="00000000" w:rsidRDefault="00000000">
            <w:pPr>
              <w:spacing w:before="60" w:after="60"/>
            </w:pPr>
            <w:r>
              <w:t>19,5</w:t>
            </w:r>
          </w:p>
        </w:tc>
        <w:tc>
          <w:tcPr>
            <w:tcW w:w="645" w:type="dxa"/>
          </w:tcPr>
          <w:p w:rsidR="00000000" w:rsidRDefault="00000000">
            <w:pPr>
              <w:spacing w:before="60" w:after="60"/>
            </w:pPr>
            <w:r>
              <w:t>43,4</w:t>
            </w:r>
          </w:p>
        </w:tc>
        <w:tc>
          <w:tcPr>
            <w:tcW w:w="644" w:type="dxa"/>
          </w:tcPr>
          <w:p w:rsidR="00000000" w:rsidRDefault="00000000">
            <w:pPr>
              <w:spacing w:before="60" w:after="60"/>
            </w:pPr>
            <w:r>
              <w:t>36,2</w:t>
            </w:r>
          </w:p>
        </w:tc>
        <w:tc>
          <w:tcPr>
            <w:tcW w:w="645" w:type="dxa"/>
          </w:tcPr>
          <w:p w:rsidR="00000000" w:rsidRDefault="00000000">
            <w:pPr>
              <w:spacing w:before="60" w:after="60"/>
            </w:pPr>
            <w:r>
              <w:t>54,0</w:t>
            </w:r>
          </w:p>
        </w:tc>
        <w:tc>
          <w:tcPr>
            <w:tcW w:w="644" w:type="dxa"/>
          </w:tcPr>
          <w:p w:rsidR="00000000" w:rsidRDefault="00000000">
            <w:pPr>
              <w:spacing w:before="60" w:after="60"/>
            </w:pPr>
            <w:r>
              <w:t>46,0</w:t>
            </w:r>
          </w:p>
        </w:tc>
        <w:tc>
          <w:tcPr>
            <w:tcW w:w="644" w:type="dxa"/>
          </w:tcPr>
          <w:p w:rsidR="00000000" w:rsidRDefault="00000000">
            <w:pPr>
              <w:spacing w:before="60" w:after="60"/>
            </w:pPr>
            <w:r>
              <w:t>53,8</w:t>
            </w:r>
          </w:p>
        </w:tc>
        <w:tc>
          <w:tcPr>
            <w:tcW w:w="645" w:type="dxa"/>
          </w:tcPr>
          <w:p w:rsidR="00000000" w:rsidRDefault="00000000">
            <w:pPr>
              <w:spacing w:before="60" w:after="60"/>
            </w:pPr>
            <w:r>
              <w:t>48,4</w:t>
            </w:r>
          </w:p>
        </w:tc>
        <w:tc>
          <w:tcPr>
            <w:tcW w:w="644" w:type="dxa"/>
          </w:tcPr>
          <w:p w:rsidR="00000000" w:rsidRDefault="00000000">
            <w:pPr>
              <w:spacing w:before="60" w:after="60"/>
            </w:pPr>
            <w:r>
              <w:t>53,8</w:t>
            </w:r>
          </w:p>
        </w:tc>
        <w:tc>
          <w:tcPr>
            <w:tcW w:w="645" w:type="dxa"/>
          </w:tcPr>
          <w:p w:rsidR="00000000" w:rsidRDefault="00000000">
            <w:pPr>
              <w:spacing w:before="60" w:after="60"/>
            </w:pPr>
            <w:r>
              <w:t>47,7</w:t>
            </w:r>
          </w:p>
        </w:tc>
        <w:tc>
          <w:tcPr>
            <w:tcW w:w="644" w:type="dxa"/>
          </w:tcPr>
          <w:p w:rsidR="00000000" w:rsidRDefault="00000000">
            <w:pPr>
              <w:spacing w:before="60" w:after="60"/>
            </w:pPr>
            <w:r>
              <w:t>75,0</w:t>
            </w:r>
          </w:p>
        </w:tc>
        <w:tc>
          <w:tcPr>
            <w:tcW w:w="645" w:type="dxa"/>
          </w:tcPr>
          <w:p w:rsidR="00000000" w:rsidRDefault="00000000">
            <w:pPr>
              <w:spacing w:before="60" w:after="60"/>
            </w:pPr>
            <w:r>
              <w:t>66,0</w:t>
            </w:r>
          </w:p>
        </w:tc>
      </w:tr>
    </w:tbl>
    <w:p w:rsidR="00000000" w:rsidRDefault="00000000"/>
    <w:p w:rsidR="00000000" w:rsidRDefault="00000000">
      <w:pPr>
        <w:spacing w:after="240"/>
        <w:ind w:firstLine="567"/>
        <w:rPr>
          <w:i/>
          <w:iCs/>
        </w:rPr>
      </w:pPr>
      <w:r>
        <w:rPr>
          <w:i/>
          <w:iCs/>
        </w:rPr>
        <w:t>Source</w:t>
      </w:r>
      <w:r>
        <w:t>: EDS 92</w:t>
      </w:r>
      <w:r>
        <w:noBreakHyphen/>
        <w:t>97.</w:t>
      </w:r>
    </w:p>
    <w:p w:rsidR="00000000" w:rsidRDefault="00000000">
      <w:pPr>
        <w:spacing w:after="240"/>
        <w:jc w:val="center"/>
        <w:rPr>
          <w:b/>
          <w:bCs/>
        </w:rPr>
      </w:pPr>
      <w:bookmarkStart w:id="20" w:name="_Toc98224966"/>
      <w:r>
        <w:rPr>
          <w:b/>
          <w:bCs/>
        </w:rPr>
        <w:br w:type="page"/>
        <w:t>Tableau 37: Proportion d’enfants 12-23 mois vaccinés par antigène par faritany,</w:t>
      </w:r>
      <w:r>
        <w:rPr>
          <w:b/>
          <w:bCs/>
        </w:rPr>
        <w:br/>
        <w:t>milieu et quintile</w:t>
      </w:r>
      <w:bookmarkEnd w:id="20"/>
    </w:p>
    <w:tbl>
      <w:tblPr>
        <w:tblW w:w="9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4" w:type="dxa"/>
          <w:right w:w="34" w:type="dxa"/>
        </w:tblCellMar>
        <w:tblLook w:val="0000" w:firstRow="0" w:lastRow="0" w:firstColumn="0" w:lastColumn="0" w:noHBand="0" w:noVBand="0"/>
      </w:tblPr>
      <w:tblGrid>
        <w:gridCol w:w="1515"/>
        <w:gridCol w:w="720"/>
        <w:gridCol w:w="1080"/>
        <w:gridCol w:w="960"/>
        <w:gridCol w:w="720"/>
        <w:gridCol w:w="1440"/>
        <w:gridCol w:w="1076"/>
        <w:gridCol w:w="1080"/>
        <w:gridCol w:w="891"/>
      </w:tblGrid>
      <w:tr w:rsidR="00000000">
        <w:tblPrEx>
          <w:tblCellMar>
            <w:top w:w="0" w:type="dxa"/>
            <w:bottom w:w="0" w:type="dxa"/>
          </w:tblCellMar>
        </w:tblPrEx>
        <w:trPr>
          <w:trHeight w:val="255"/>
          <w:tblHeader/>
          <w:jc w:val="center"/>
        </w:trPr>
        <w:tc>
          <w:tcPr>
            <w:tcW w:w="1515"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22"/>
              </w:rPr>
            </w:pP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22"/>
                <w:lang w:val="fr-FR"/>
              </w:rPr>
            </w:pPr>
            <w:r>
              <w:rPr>
                <w:bCs/>
                <w:sz w:val="22"/>
                <w:lang w:val="fr-FR"/>
              </w:rPr>
              <w:t>BCG</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22"/>
                <w:lang w:val="fr-FR"/>
              </w:rPr>
            </w:pPr>
            <w:r>
              <w:rPr>
                <w:bCs/>
                <w:sz w:val="22"/>
                <w:lang w:val="fr-FR"/>
              </w:rPr>
              <w:t>Polio complète</w:t>
            </w:r>
          </w:p>
        </w:tc>
        <w:tc>
          <w:tcPr>
            <w:tcW w:w="96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22"/>
              </w:rPr>
            </w:pPr>
            <w:r>
              <w:rPr>
                <w:bCs/>
                <w:sz w:val="22"/>
              </w:rPr>
              <w:t>DTC</w:t>
            </w:r>
            <w:r>
              <w:rPr>
                <w:bCs/>
                <w:sz w:val="22"/>
              </w:rPr>
              <w:br/>
              <w:t>complet</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22"/>
              </w:rPr>
            </w:pPr>
            <w:r>
              <w:rPr>
                <w:bCs/>
                <w:sz w:val="22"/>
              </w:rPr>
              <w:t>ATR</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22"/>
              </w:rPr>
            </w:pPr>
            <w:r>
              <w:rPr>
                <w:bCs/>
                <w:sz w:val="22"/>
              </w:rPr>
              <w:t>Tous (complètement vaccinés)</w:t>
            </w:r>
          </w:p>
        </w:tc>
        <w:tc>
          <w:tcPr>
            <w:tcW w:w="107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22"/>
              </w:rPr>
            </w:pPr>
            <w:r>
              <w:rPr>
                <w:bCs/>
                <w:sz w:val="22"/>
              </w:rPr>
              <w:t>Polio incomplet</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22"/>
              </w:rPr>
            </w:pPr>
            <w:r>
              <w:rPr>
                <w:bCs/>
                <w:sz w:val="22"/>
              </w:rPr>
              <w:t>DTC</w:t>
            </w:r>
            <w:r>
              <w:rPr>
                <w:bCs/>
                <w:sz w:val="22"/>
              </w:rPr>
              <w:br/>
              <w:t>incomplet</w:t>
            </w:r>
          </w:p>
        </w:tc>
        <w:tc>
          <w:tcPr>
            <w:tcW w:w="891"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rPr>
                <w:bCs/>
                <w:sz w:val="22"/>
              </w:rPr>
            </w:pPr>
            <w:r>
              <w:rPr>
                <w:bCs/>
                <w:sz w:val="22"/>
              </w:rPr>
              <w:t>Aucune</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Antananarivo</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83,7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69,1</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66</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86,6</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54,7</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20,8</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1,8</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Fianarantsoa</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69,8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54,4</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52,5</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78,1</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44,4</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31,5</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11,6</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Toamasina</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63,2</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44,7</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35,2</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54,5</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23,6</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44</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35,1</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23</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Mahajanga</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32,5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20,1</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18,3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44,7</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16,7</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34</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15,3</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51,2</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Toliara</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53,5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23,1</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22,4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61,8</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12,8</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34,6</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29,1</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Antsiranana</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70,4</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53</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52,9</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78,4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32,8</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36,4</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6,3</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Capitale</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87,7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70,6</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70,4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80,6</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52,3</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35,4</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87,7</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AGCU</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84,3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72,5</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66,8</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81,1</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53,8</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34</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23</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84,3</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CUS</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73,3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54,3</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57,7</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77,1</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40,3</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42</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35,4</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73,3</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Rural</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63,8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46,1</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41,8</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69,3</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33,6</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36</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26,7</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63,8</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Plus pauvre</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33,3</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33,2</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60,5</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26,9</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29,5</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27,6</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Quintile_2</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57,6</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44</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38,1</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67,5</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26,8</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27</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18,6</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Quintile_3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72,4</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49,2</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48,6</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68,3</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36,7</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30,2</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16</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Quintile_4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70,7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57,1</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50,4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75</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36,8</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25,4</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11,2</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Plus riche</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79,8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68,4</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65,4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89,1</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58,1</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29</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27,4</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r>
      <w:tr w:rsidR="00000000">
        <w:tblPrEx>
          <w:tblCellMar>
            <w:top w:w="0" w:type="dxa"/>
            <w:bottom w:w="0" w:type="dxa"/>
          </w:tblCellMar>
        </w:tblPrEx>
        <w:trPr>
          <w:trHeight w:val="255"/>
          <w:jc w:val="center"/>
        </w:trPr>
        <w:tc>
          <w:tcPr>
            <w:tcW w:w="3315"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Sexe du chef de ménage</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Masculin</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66,8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52,3</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49,3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71,4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38,6</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35</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26,9</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16,2</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Féminin</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68,7</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32,7</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28,1</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71,5</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22,1</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34,7</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17,9</w:t>
            </w:r>
          </w:p>
        </w:tc>
      </w:tr>
      <w:tr w:rsidR="00000000">
        <w:tblPrEx>
          <w:tblCellMar>
            <w:top w:w="0" w:type="dxa"/>
            <w:bottom w:w="0" w:type="dxa"/>
          </w:tblCellMar>
        </w:tblPrEx>
        <w:trPr>
          <w:trHeight w:val="255"/>
          <w:jc w:val="center"/>
        </w:trPr>
        <w:tc>
          <w:tcPr>
            <w:tcW w:w="1515" w:type="dxa"/>
            <w:tcBorders>
              <w:top w:val="single" w:sz="6" w:space="0" w:color="auto"/>
              <w:left w:val="single" w:sz="6" w:space="0" w:color="auto"/>
              <w:bottom w:val="single" w:sz="6" w:space="0" w:color="auto"/>
              <w:right w:val="single" w:sz="6" w:space="0" w:color="auto"/>
            </w:tcBorders>
          </w:tcPr>
          <w:p w:rsidR="00000000" w:rsidRDefault="00000000">
            <w:pPr>
              <w:spacing w:before="60" w:after="60"/>
              <w:rPr>
                <w:sz w:val="22"/>
              </w:rPr>
            </w:pPr>
            <w:r>
              <w:rPr>
                <w:sz w:val="22"/>
              </w:rPr>
              <w:t>Ensemble</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67,1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49,5</w:t>
            </w:r>
          </w:p>
        </w:tc>
        <w:tc>
          <w:tcPr>
            <w:tcW w:w="9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46,3</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71,4</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36,3</w:t>
            </w:r>
          </w:p>
        </w:tc>
        <w:tc>
          <w:tcPr>
            <w:tcW w:w="107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36</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28</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rPr>
                <w:sz w:val="22"/>
              </w:rPr>
            </w:pPr>
            <w:r>
              <w:rPr>
                <w:sz w:val="22"/>
              </w:rPr>
              <w:t>16,4</w:t>
            </w:r>
          </w:p>
        </w:tc>
      </w:tr>
    </w:tbl>
    <w:p w:rsidR="00000000" w:rsidRDefault="00000000"/>
    <w:p w:rsidR="00000000" w:rsidRDefault="00000000">
      <w:pPr>
        <w:spacing w:after="240"/>
        <w:ind w:firstLine="567"/>
      </w:pPr>
      <w:r>
        <w:rPr>
          <w:i/>
          <w:iCs/>
        </w:rPr>
        <w:t>Source</w:t>
      </w:r>
      <w:r>
        <w:t>: INSTAT/DSM/EPM 2001.</w:t>
      </w:r>
    </w:p>
    <w:p w:rsidR="00000000" w:rsidRDefault="00000000">
      <w:pPr>
        <w:spacing w:after="240"/>
        <w:jc w:val="center"/>
        <w:rPr>
          <w:b/>
          <w:bCs/>
        </w:rPr>
      </w:pPr>
      <w:bookmarkStart w:id="21" w:name="_Toc28008701"/>
      <w:bookmarkStart w:id="22" w:name="_Toc29348379"/>
      <w:bookmarkStart w:id="23" w:name="_Toc98224967"/>
      <w:r>
        <w:rPr>
          <w:b/>
          <w:bCs/>
        </w:rPr>
        <w:br w:type="page"/>
        <w:t>Tableau 38: Indicateurs d’impact sur l’état de santé des enfants</w:t>
      </w:r>
      <w:bookmarkEnd w:id="21"/>
      <w:bookmarkEnd w:id="22"/>
      <w:bookmarkEnd w:id="23"/>
    </w:p>
    <w:tbl>
      <w:tblPr>
        <w:tblW w:w="9407" w:type="dxa"/>
        <w:jc w:val="center"/>
        <w:tblInd w:w="-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5786"/>
        <w:gridCol w:w="1207"/>
        <w:gridCol w:w="1207"/>
        <w:gridCol w:w="1207"/>
      </w:tblGrid>
      <w:tr w:rsidR="00000000">
        <w:tblPrEx>
          <w:tblCellMar>
            <w:top w:w="0" w:type="dxa"/>
            <w:bottom w:w="0" w:type="dxa"/>
          </w:tblCellMar>
        </w:tblPrEx>
        <w:trPr>
          <w:trHeight w:val="367"/>
          <w:jc w:val="center"/>
        </w:trPr>
        <w:tc>
          <w:tcPr>
            <w:tcW w:w="578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pPr>
            <w:r>
              <w:t>Indicateurs</w:t>
            </w:r>
          </w:p>
        </w:tc>
        <w:tc>
          <w:tcPr>
            <w:tcW w:w="120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pPr>
            <w:r>
              <w:t>1997</w:t>
            </w:r>
          </w:p>
        </w:tc>
        <w:tc>
          <w:tcPr>
            <w:tcW w:w="120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pPr>
            <w:r>
              <w:t>1999</w:t>
            </w:r>
          </w:p>
        </w:tc>
        <w:tc>
          <w:tcPr>
            <w:tcW w:w="120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60" w:after="60"/>
              <w:jc w:val="center"/>
            </w:pPr>
            <w:r>
              <w:t>2000</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 xml:space="preserve">Taux de mortalité infantile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91 %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n. d.</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85 %</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Taux de mortalité infanto</w:t>
            </w:r>
            <w:r>
              <w:noBreakHyphen/>
              <w:t xml:space="preserve">juvénile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148 %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n. d.</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136 %</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Proportion de nouveau-nés &lt; 2500 g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14,30 %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n. d.</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10,60 %</w:t>
            </w:r>
          </w:p>
        </w:tc>
      </w:tr>
      <w:tr w:rsidR="00000000">
        <w:tblPrEx>
          <w:tblCellMar>
            <w:top w:w="0" w:type="dxa"/>
            <w:bottom w:w="0" w:type="dxa"/>
          </w:tblCellMar>
        </w:tblPrEx>
        <w:trPr>
          <w:trHeight w:val="33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Taux d’insuffisance pondérale modérée 0 à 59 mois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45,50 %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33,10 %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22 %</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Taux d’insuffisance pondérale sévère 0 à 59 mois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18,50 %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11,10 %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11,10 %</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 xml:space="preserve">Taux de malnutrition aiguë, sévère (0-59 mois)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16,40 %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13,70 %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9,10 %</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 xml:space="preserve">Taux de malnutrition aiguë, modérée (0-59 mois)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5 %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4,60 %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4,60 %</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Taux de malnutrition chronique, modérée (0-59 mois)</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49,30 %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48,60 %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22,60 %</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Taux de malnutrition chronique sévère (0-59 mois)</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28,70 %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26 %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26 %</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Taux de couverture des enfants complètement vaccinés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36,20 %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32,40 %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44,40 %</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Taux de couverture vaccinale en antirougeoleux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46 %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38,20 %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55,10 %</w:t>
            </w:r>
          </w:p>
        </w:tc>
      </w:tr>
      <w:tr w:rsidR="00000000">
        <w:tblPrEx>
          <w:tblCellMar>
            <w:top w:w="0" w:type="dxa"/>
            <w:bottom w:w="0" w:type="dxa"/>
          </w:tblCellMar>
        </w:tblPrEx>
        <w:trPr>
          <w:trHeight w:val="448"/>
          <w:jc w:val="center"/>
        </w:trPr>
        <w:tc>
          <w:tcPr>
            <w:tcW w:w="57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pPr>
            <w:r>
              <w:t xml:space="preserve">Taux d’utilisation de la TRO </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n. d.</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n. d.</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right"/>
            </w:pPr>
            <w:r>
              <w:t>34,80 %</w:t>
            </w:r>
          </w:p>
        </w:tc>
      </w:tr>
    </w:tbl>
    <w:p w:rsidR="00000000" w:rsidRDefault="00000000">
      <w:pPr>
        <w:rPr>
          <w:i/>
          <w:iCs/>
        </w:rPr>
      </w:pPr>
    </w:p>
    <w:p w:rsidR="00000000" w:rsidRDefault="00000000">
      <w:pPr>
        <w:spacing w:after="240"/>
        <w:ind w:firstLine="567"/>
      </w:pPr>
      <w:r>
        <w:rPr>
          <w:i/>
          <w:iCs/>
        </w:rPr>
        <w:t>Source</w:t>
      </w:r>
      <w:r>
        <w:t>: TBS – Santé 2002 (EDS 97, EPM 99, MICS 2000).</w:t>
      </w:r>
    </w:p>
    <w:p w:rsidR="00000000" w:rsidRDefault="00000000">
      <w:pPr>
        <w:spacing w:after="240"/>
      </w:pPr>
      <w:r>
        <w:t>98.</w:t>
      </w:r>
      <w:r>
        <w:tab/>
        <w:t xml:space="preserve">Les campagnes nationales de vaccination entreprises annuellement ont contribué à l’amélioration de la situation. La dernière en date baptisée </w:t>
      </w:r>
      <w:r>
        <w:rPr>
          <w:iCs/>
        </w:rPr>
        <w:t>«</w:t>
      </w:r>
      <w:r>
        <w:rPr>
          <w:i/>
          <w:iCs/>
        </w:rPr>
        <w:t>HIAKA</w:t>
      </w:r>
      <w:r>
        <w:rPr>
          <w:rStyle w:val="FootnoteReference"/>
          <w:i/>
          <w:iCs/>
        </w:rPr>
        <w:footnoteReference w:id="3"/>
      </w:r>
      <w:r>
        <w:rPr>
          <w:i/>
          <w:iCs/>
        </w:rPr>
        <w:t xml:space="preserve"> 2004</w:t>
      </w:r>
      <w:r>
        <w:rPr>
          <w:iCs/>
        </w:rPr>
        <w:t>»</w:t>
      </w:r>
      <w:r>
        <w:rPr>
          <w:i/>
          <w:iCs/>
        </w:rPr>
        <w:t>,</w:t>
      </w:r>
      <w:r>
        <w:t xml:space="preserve"> vaccination antirougeoleuse, a atteint son objectif à 99 %.</w:t>
      </w:r>
    </w:p>
    <w:p w:rsidR="00000000" w:rsidRDefault="00000000">
      <w:pPr>
        <w:spacing w:after="240"/>
      </w:pPr>
      <w:r>
        <w:t>99.</w:t>
      </w:r>
      <w:r>
        <w:tab/>
        <w:t xml:space="preserve">Ces mesures ont concouru à l’effectivité des principes énoncés par le Pacte. </w:t>
      </w:r>
    </w:p>
    <w:p w:rsidR="00000000" w:rsidRDefault="00000000">
      <w:pPr>
        <w:keepNext/>
        <w:spacing w:after="240"/>
        <w:ind w:firstLine="567"/>
        <w:rPr>
          <w:b/>
          <w:bCs/>
        </w:rPr>
      </w:pPr>
      <w:r>
        <w:rPr>
          <w:b/>
          <w:bCs/>
        </w:rPr>
        <w:t>La peine de mort</w:t>
      </w:r>
    </w:p>
    <w:p w:rsidR="00000000" w:rsidRDefault="00000000">
      <w:pPr>
        <w:spacing w:after="240"/>
        <w:rPr>
          <w:i/>
          <w:iCs/>
        </w:rPr>
      </w:pPr>
      <w:r>
        <w:t>100.</w:t>
      </w:r>
      <w:r>
        <w:tab/>
        <w:t>Au paragraphe 1 de l’article 6 du Pacte, il est énoncé que«</w:t>
      </w:r>
      <w:r>
        <w:rPr>
          <w:i/>
          <w:iCs/>
        </w:rPr>
        <w:t>Nul ne peut être arbitrairement privé de la vie.</w:t>
      </w:r>
      <w:r>
        <w:t>»</w:t>
      </w:r>
      <w:r>
        <w:rPr>
          <w:i/>
          <w:iCs/>
        </w:rPr>
        <w:t>.</w:t>
      </w:r>
    </w:p>
    <w:p w:rsidR="00000000" w:rsidRDefault="00000000">
      <w:pPr>
        <w:spacing w:after="240"/>
      </w:pPr>
      <w:r>
        <w:t>101.</w:t>
      </w:r>
      <w:r>
        <w:tab/>
        <w:t>La peine de mort instituée en 1958 n’est pas encore abolie. Elle est commuée automatiquement en peine de travaux forcés à perpétuité. Madagascar figure parmi les États abolitionnistes de fait, car les 53 condamnations à mort prononcées par les tribunaux compétents n’ont jamais reçu application.</w:t>
      </w:r>
    </w:p>
    <w:p w:rsidR="00000000" w:rsidRDefault="00000000">
      <w:pPr>
        <w:spacing w:after="240"/>
      </w:pPr>
      <w:r>
        <w:t>102.</w:t>
      </w:r>
      <w:r>
        <w:tab/>
        <w:t>Conformément aux exigences du Pacte, à Madagascar, la peine capitale est exclusivement réservée aux actes criminels les plus graves comme: l’assassinat, l’empoisonnement.</w:t>
      </w:r>
    </w:p>
    <w:p w:rsidR="00000000" w:rsidRDefault="00000000">
      <w:pPr>
        <w:spacing w:after="240"/>
      </w:pPr>
      <w:r>
        <w:t>103.</w:t>
      </w:r>
      <w:r>
        <w:tab/>
        <w:t>Les articles 295 à 297 du Code pénal répriment l’assassinat et les articles 301, 302 et 317 l’empoisonnement.</w:t>
      </w:r>
    </w:p>
    <w:p w:rsidR="00000000" w:rsidRDefault="00000000">
      <w:pPr>
        <w:spacing w:after="240"/>
      </w:pPr>
      <w:r>
        <w:t>104.</w:t>
      </w:r>
      <w:r>
        <w:tab/>
        <w:t>La condamnation ne peut être mise à exécution que lorsque la grâce a été refusée.</w:t>
      </w:r>
    </w:p>
    <w:p w:rsidR="00000000" w:rsidRDefault="00000000">
      <w:pPr>
        <w:spacing w:after="240"/>
      </w:pPr>
      <w:r>
        <w:t>105.</w:t>
      </w:r>
      <w:r>
        <w:tab/>
        <w:t>Même en l’absence d’un recours en grâce émanant du condamné, la peine de mort n’est pas exécutée faute d’une décision expresse de refus de grâce.</w:t>
      </w:r>
    </w:p>
    <w:p w:rsidR="00000000" w:rsidRDefault="00000000">
      <w:pPr>
        <w:spacing w:after="240"/>
      </w:pPr>
      <w:r>
        <w:t>106.</w:t>
      </w:r>
      <w:r>
        <w:tab/>
        <w:t>La peine de mort ne s’applique pas aux mineurs et aux femmes enceintes.</w:t>
      </w:r>
    </w:p>
    <w:p w:rsidR="00000000" w:rsidRDefault="00000000">
      <w:pPr>
        <w:spacing w:after="240"/>
      </w:pPr>
      <w:r>
        <w:t>107.</w:t>
      </w:r>
      <w:r>
        <w:tab/>
        <w:t>Actuellement, l’élaboration d’un avant-projet de loi portant abolition de la peine de mort est en cours.</w:t>
      </w:r>
    </w:p>
    <w:p w:rsidR="00000000" w:rsidRDefault="00000000">
      <w:pPr>
        <w:keepNext/>
        <w:spacing w:after="240"/>
        <w:ind w:firstLine="567"/>
        <w:rPr>
          <w:b/>
          <w:bCs/>
        </w:rPr>
      </w:pPr>
      <w:r>
        <w:rPr>
          <w:b/>
          <w:bCs/>
        </w:rPr>
        <w:t>Exécutions extrajudiciaires</w:t>
      </w:r>
    </w:p>
    <w:p w:rsidR="00000000" w:rsidRDefault="00000000">
      <w:pPr>
        <w:spacing w:after="240"/>
      </w:pPr>
      <w:r>
        <w:t>108.</w:t>
      </w:r>
      <w:r>
        <w:tab/>
        <w:t>Depuis le dernier rapport, on a enregistré un recul significatif des cas d’exécution sommaire et extrajudiciaire suite à l’application des décisions de «</w:t>
      </w:r>
      <w:r>
        <w:rPr>
          <w:i/>
          <w:iCs/>
        </w:rPr>
        <w:t>Dina</w:t>
      </w:r>
      <w:r>
        <w:t>»</w:t>
      </w:r>
      <w:r>
        <w:rPr>
          <w:i/>
          <w:iCs/>
        </w:rPr>
        <w:t xml:space="preserve"> </w:t>
      </w:r>
      <w:r>
        <w:t>prononcées par une</w:t>
      </w:r>
      <w:r>
        <w:rPr>
          <w:i/>
          <w:iCs/>
        </w:rPr>
        <w:t xml:space="preserve"> </w:t>
      </w:r>
      <w:r>
        <w:t>«</w:t>
      </w:r>
      <w:r>
        <w:rPr>
          <w:i/>
          <w:iCs/>
        </w:rPr>
        <w:t>juridiction coutumière</w:t>
      </w:r>
      <w:r>
        <w:t>»</w:t>
      </w:r>
      <w:r>
        <w:rPr>
          <w:i/>
          <w:iCs/>
        </w:rPr>
        <w:t>.</w:t>
      </w:r>
    </w:p>
    <w:p w:rsidR="00000000" w:rsidRDefault="00000000">
      <w:pPr>
        <w:spacing w:after="240"/>
      </w:pPr>
      <w:r>
        <w:t>109.</w:t>
      </w:r>
      <w:r>
        <w:tab/>
        <w:t>Les «</w:t>
      </w:r>
      <w:r>
        <w:rPr>
          <w:i/>
          <w:iCs/>
        </w:rPr>
        <w:t>Dina</w:t>
      </w:r>
      <w:r>
        <w:t>» sont des conventions collectives traditionnelles, émanant de la volonté de la population d’une ou plusieurs communautés villageoises dont l’objet est d’établir des règles régissant la vie en société.</w:t>
      </w:r>
    </w:p>
    <w:p w:rsidR="00000000" w:rsidRDefault="00000000">
      <w:pPr>
        <w:spacing w:after="240"/>
      </w:pPr>
      <w:r>
        <w:t>110.</w:t>
      </w:r>
      <w:r>
        <w:tab/>
        <w:t xml:space="preserve">Pour combattre la pratique d’exécution sommaire, une nouvelle législation est intervenue pour encadrer juridiquement l’application des </w:t>
      </w:r>
      <w:r>
        <w:rPr>
          <w:iCs/>
        </w:rPr>
        <w:t>«</w:t>
      </w:r>
      <w:r>
        <w:rPr>
          <w:i/>
          <w:iCs/>
        </w:rPr>
        <w:t>Dina</w:t>
      </w:r>
      <w:r>
        <w:rPr>
          <w:iCs/>
        </w:rPr>
        <w:t>»</w:t>
      </w:r>
      <w:r>
        <w:t>.</w:t>
      </w:r>
    </w:p>
    <w:p w:rsidR="00000000" w:rsidRDefault="00000000">
      <w:pPr>
        <w:spacing w:after="240"/>
      </w:pPr>
      <w:r>
        <w:t>111.</w:t>
      </w:r>
      <w:r>
        <w:tab/>
        <w:t>La décision n</w:t>
      </w:r>
      <w:r>
        <w:rPr>
          <w:vertAlign w:val="superscript"/>
        </w:rPr>
        <w:t>o</w:t>
      </w:r>
      <w:r>
        <w:t> 15-HCC/D3 du 3 septembre 1998 de la Haute Cour constitutionnelle a déclaré non conforme à la Constitution la loi n</w:t>
      </w:r>
      <w:r>
        <w:rPr>
          <w:vertAlign w:val="superscript"/>
        </w:rPr>
        <w:t>o</w:t>
      </w:r>
      <w:r>
        <w:t> 94</w:t>
      </w:r>
      <w:r>
        <w:noBreakHyphen/>
        <w:t>030 relative à l’organisation des juridictions coutumières basées sur le «</w:t>
      </w:r>
      <w:r>
        <w:rPr>
          <w:i/>
          <w:iCs/>
        </w:rPr>
        <w:t>Dina</w:t>
      </w:r>
      <w:r>
        <w:rPr>
          <w:iCs/>
        </w:rPr>
        <w:t>»</w:t>
      </w:r>
      <w:r>
        <w:rPr>
          <w:i/>
          <w:iCs/>
        </w:rPr>
        <w:t xml:space="preserve"> </w:t>
      </w:r>
      <w:r>
        <w:t>non prévues par la Constitution.</w:t>
      </w:r>
    </w:p>
    <w:p w:rsidR="00000000" w:rsidRDefault="00000000">
      <w:pPr>
        <w:spacing w:after="240"/>
      </w:pPr>
      <w:r>
        <w:t>112.</w:t>
      </w:r>
      <w:r>
        <w:tab/>
        <w:t>Suite à cette décision, la loi n</w:t>
      </w:r>
      <w:r>
        <w:rPr>
          <w:vertAlign w:val="superscript"/>
        </w:rPr>
        <w:t>o</w:t>
      </w:r>
      <w:r>
        <w:t> 2001</w:t>
      </w:r>
      <w:r>
        <w:noBreakHyphen/>
        <w:t xml:space="preserve">004 du 25 octobre 2001 a été adoptée en vue d’intégrer les </w:t>
      </w:r>
      <w:r>
        <w:rPr>
          <w:i/>
          <w:iCs/>
        </w:rPr>
        <w:t>«Dina</w:t>
      </w:r>
      <w:r>
        <w:rPr>
          <w:iCs/>
        </w:rPr>
        <w:t>»</w:t>
      </w:r>
      <w:r>
        <w:t xml:space="preserve"> dans l’ordonnancement juridique malagasy.</w:t>
      </w:r>
    </w:p>
    <w:p w:rsidR="00000000" w:rsidRDefault="00000000">
      <w:pPr>
        <w:keepNext/>
        <w:spacing w:after="240"/>
      </w:pPr>
      <w:r>
        <w:t>113.</w:t>
      </w:r>
      <w:r>
        <w:tab/>
        <w:t>Cette loi dispose:</w:t>
      </w:r>
    </w:p>
    <w:p w:rsidR="00000000" w:rsidRDefault="00000000">
      <w:pPr>
        <w:spacing w:after="240"/>
        <w:ind w:firstLine="567"/>
        <w:rPr>
          <w:i/>
          <w:iCs/>
        </w:rPr>
      </w:pPr>
      <w:r>
        <w:t>c)</w:t>
      </w:r>
      <w:r>
        <w:tab/>
        <w:t>En son chapitre 1, article premier, alinéa 2, «</w:t>
      </w:r>
      <w:r>
        <w:rPr>
          <w:i/>
          <w:iCs/>
        </w:rPr>
        <w:t>Tout Dina doit être conforme aux lois et règlements en vigueur</w:t>
      </w:r>
      <w:r>
        <w:rPr>
          <w:iCs/>
        </w:rPr>
        <w:t>»</w:t>
      </w:r>
      <w:r>
        <w:rPr>
          <w:i/>
          <w:iCs/>
        </w:rPr>
        <w:t>;</w:t>
      </w:r>
    </w:p>
    <w:p w:rsidR="00000000" w:rsidRDefault="00000000">
      <w:pPr>
        <w:spacing w:after="240"/>
        <w:ind w:firstLine="567"/>
      </w:pPr>
      <w:r>
        <w:t>d)</w:t>
      </w:r>
      <w:r>
        <w:tab/>
        <w:t>Et en son chapitre 2, section 2, article 7, «</w:t>
      </w:r>
      <w:r>
        <w:rPr>
          <w:i/>
          <w:iCs/>
        </w:rPr>
        <w:t>Le Dina ne devient exécutoire qu’après son homologation par le Tribunal de l’ordre judiciaire compétent ou la cour d’appel (...)</w:t>
      </w:r>
      <w:r>
        <w:rPr>
          <w:iCs/>
        </w:rPr>
        <w:t>»</w:t>
      </w:r>
      <w:r>
        <w:rPr>
          <w:i/>
          <w:iCs/>
        </w:rPr>
        <w:t>.</w:t>
      </w:r>
    </w:p>
    <w:p w:rsidR="00000000" w:rsidRDefault="00000000">
      <w:pPr>
        <w:spacing w:after="240"/>
      </w:pPr>
      <w:r>
        <w:t>114.</w:t>
      </w:r>
      <w:r>
        <w:tab/>
        <w:t xml:space="preserve">Ces efforts de réformes législatives tendent à prévenir l’abus d’application des </w:t>
      </w:r>
      <w:r>
        <w:rPr>
          <w:i/>
          <w:iCs/>
        </w:rPr>
        <w:t>«Dina</w:t>
      </w:r>
      <w:r>
        <w:rPr>
          <w:iCs/>
        </w:rPr>
        <w:t>»</w:t>
      </w:r>
      <w:r>
        <w:t xml:space="preserve"> en violation des lois et règlements en vigueur. </w:t>
      </w:r>
    </w:p>
    <w:p w:rsidR="00000000" w:rsidRDefault="00000000">
      <w:pPr>
        <w:keepNext/>
        <w:spacing w:after="240"/>
        <w:jc w:val="center"/>
        <w:rPr>
          <w:b/>
          <w:bCs/>
        </w:rPr>
      </w:pPr>
      <w:bookmarkStart w:id="24" w:name="_Toc98224899"/>
      <w:r>
        <w:rPr>
          <w:b/>
          <w:bCs/>
        </w:rPr>
        <w:t>ARTICLE 7</w:t>
      </w:r>
      <w:bookmarkEnd w:id="24"/>
    </w:p>
    <w:p w:rsidR="00000000" w:rsidRDefault="00000000">
      <w:pPr>
        <w:keepNext/>
        <w:spacing w:after="240"/>
        <w:jc w:val="center"/>
        <w:rPr>
          <w:b/>
          <w:bCs/>
        </w:rPr>
      </w:pPr>
      <w:r>
        <w:rPr>
          <w:b/>
          <w:bCs/>
        </w:rPr>
        <w:t>Interdiction de la torture</w:t>
      </w:r>
    </w:p>
    <w:p w:rsidR="00000000" w:rsidRDefault="00000000">
      <w:pPr>
        <w:spacing w:after="240"/>
      </w:pPr>
      <w:r>
        <w:t>115.</w:t>
      </w:r>
      <w:r>
        <w:tab/>
        <w:t>La ratification de la Convention contre la torture et les traitements inhumains et dégradants est en cours de préparation au Ministère de la justice.</w:t>
      </w:r>
    </w:p>
    <w:p w:rsidR="00000000" w:rsidRDefault="00000000">
      <w:pPr>
        <w:spacing w:after="240"/>
      </w:pPr>
      <w:r>
        <w:t>116.</w:t>
      </w:r>
      <w:r>
        <w:tab/>
        <w:t>Pour une meilleure application de l’article 7, Madagascar entend incessamment ratifier la Convention sur la torture. Le processus de ratification est enclenché par la présentation des documents y afférents au Conseil du gouvernement.</w:t>
      </w:r>
    </w:p>
    <w:p w:rsidR="00000000" w:rsidRDefault="00000000">
      <w:pPr>
        <w:spacing w:after="240"/>
      </w:pPr>
      <w:r>
        <w:t>117.</w:t>
      </w:r>
      <w:r>
        <w:tab/>
        <w:t>Après ratification de la Convention sur la torture, des efforts de réformes législatives seront entrepris pour se conformer aux exigences de ladite Convention.</w:t>
      </w:r>
    </w:p>
    <w:p w:rsidR="00000000" w:rsidRDefault="00000000">
      <w:pPr>
        <w:spacing w:after="240"/>
      </w:pPr>
      <w:r>
        <w:t>118.</w:t>
      </w:r>
      <w:r>
        <w:tab/>
        <w:t xml:space="preserve">Jusqu’à ce jour, on n’a pas enregistré des cas de plaintes de la part des victimes se prétendant lésés d’un traitement cruel, inhumain ou dégradant. </w:t>
      </w:r>
    </w:p>
    <w:p w:rsidR="00000000" w:rsidRDefault="00000000">
      <w:pPr>
        <w:spacing w:after="240"/>
      </w:pPr>
      <w:r>
        <w:t>119.</w:t>
      </w:r>
      <w:r>
        <w:tab/>
        <w:t>L’interdiction de soumettre une personne sans son libre consentement à une expérience médicale et scientifique est observée à Madagascar.</w:t>
      </w:r>
    </w:p>
    <w:p w:rsidR="00000000" w:rsidRDefault="00000000">
      <w:pPr>
        <w:keepNext/>
        <w:spacing w:after="240"/>
        <w:jc w:val="center"/>
        <w:rPr>
          <w:b/>
          <w:bCs/>
        </w:rPr>
      </w:pPr>
      <w:bookmarkStart w:id="25" w:name="_Toc98224900"/>
      <w:r>
        <w:rPr>
          <w:b/>
          <w:bCs/>
        </w:rPr>
        <w:t>ARTICLE 8</w:t>
      </w:r>
      <w:bookmarkEnd w:id="25"/>
    </w:p>
    <w:p w:rsidR="00000000" w:rsidRDefault="00000000">
      <w:pPr>
        <w:keepNext/>
        <w:spacing w:after="240"/>
        <w:jc w:val="center"/>
        <w:rPr>
          <w:b/>
          <w:bCs/>
        </w:rPr>
      </w:pPr>
      <w:r>
        <w:rPr>
          <w:b/>
          <w:bCs/>
        </w:rPr>
        <w:t>Interdiction de l’esclavage</w:t>
      </w:r>
    </w:p>
    <w:p w:rsidR="00000000" w:rsidRDefault="00000000">
      <w:pPr>
        <w:spacing w:after="240"/>
      </w:pPr>
      <w:r>
        <w:t>120.</w:t>
      </w:r>
      <w:r>
        <w:tab/>
        <w:t>L’esclavage n’existe plus à Madagascar officiellement depuis son abolition par le roi Radama I au XIX</w:t>
      </w:r>
      <w:r>
        <w:rPr>
          <w:vertAlign w:val="superscript"/>
        </w:rPr>
        <w:t>e</w:t>
      </w:r>
      <w:r>
        <w:t xml:space="preserve"> siècle. Toutefois, une certaine forme d’esclavage persiste à travers la non</w:t>
      </w:r>
      <w:r>
        <w:noBreakHyphen/>
        <w:t>rémunération au juste prix de certains travailleurs</w:t>
      </w:r>
      <w:r>
        <w:rPr>
          <w:i/>
          <w:iCs/>
        </w:rPr>
        <w:t xml:space="preserve"> </w:t>
      </w:r>
      <w:r>
        <w:t>rapporte une étude effectuée par le cabinet Miara-mita en avril 2004.</w:t>
      </w:r>
    </w:p>
    <w:p w:rsidR="00000000" w:rsidRDefault="00000000">
      <w:pPr>
        <w:spacing w:after="240"/>
      </w:pPr>
      <w:r>
        <w:t>121.</w:t>
      </w:r>
      <w:r>
        <w:tab/>
        <w:t>À Madagascar, le travail forcé ou obligatoire est formellement interdit par application de l’article 3</w:t>
      </w:r>
      <w:r>
        <w:rPr>
          <w:i/>
          <w:iCs/>
        </w:rPr>
        <w:t xml:space="preserve"> </w:t>
      </w:r>
      <w:r>
        <w:t>de</w:t>
      </w:r>
      <w:r>
        <w:rPr>
          <w:i/>
          <w:iCs/>
        </w:rPr>
        <w:t xml:space="preserve"> </w:t>
      </w:r>
      <w:r>
        <w:t>l’ordonnance n</w:t>
      </w:r>
      <w:r>
        <w:rPr>
          <w:vertAlign w:val="superscript"/>
        </w:rPr>
        <w:t>o</w:t>
      </w:r>
      <w:r>
        <w:t> 94-029 d’avril 1995 portant Code du travail, concernant le travail forcé ou obligatoire.</w:t>
      </w:r>
    </w:p>
    <w:p w:rsidR="00000000" w:rsidRDefault="00000000">
      <w:pPr>
        <w:spacing w:after="240"/>
      </w:pPr>
      <w:r>
        <w:t>122.</w:t>
      </w:r>
      <w:r>
        <w:tab/>
        <w:t>Les principales nouvelles formes d’esclavage moderne se manifestent à travers le travail effectué en dehors des normes de travail, le travail peu ou non rémunéré.</w:t>
      </w:r>
    </w:p>
    <w:p w:rsidR="00000000" w:rsidRDefault="00000000">
      <w:pPr>
        <w:spacing w:after="240"/>
      </w:pPr>
      <w:r>
        <w:t>123.</w:t>
      </w:r>
      <w:r>
        <w:tab/>
        <w:t>Cette catégorie de travailleurs est constituée généralement par les travailleurs domestiques et les détenus.</w:t>
      </w:r>
    </w:p>
    <w:p w:rsidR="00000000" w:rsidRDefault="00000000">
      <w:pPr>
        <w:keepNext/>
        <w:spacing w:after="240"/>
        <w:ind w:firstLine="567"/>
        <w:rPr>
          <w:b/>
          <w:bCs/>
        </w:rPr>
      </w:pPr>
      <w:r>
        <w:rPr>
          <w:b/>
          <w:bCs/>
        </w:rPr>
        <w:t>Travail domestique</w:t>
      </w:r>
    </w:p>
    <w:p w:rsidR="00000000" w:rsidRDefault="00000000">
      <w:pPr>
        <w:spacing w:after="240"/>
      </w:pPr>
      <w:r>
        <w:t>124.</w:t>
      </w:r>
      <w:r>
        <w:tab/>
        <w:t>Les travailleurs domestiques exercent ce métier en raison surtout de leur manque d’instruction, la moitié des travailleurs domestiques n’a pas dépassé le niveau de l’enseignement primaire. Dans ce type de travail où évoluent essentiellement des femmes et des enfants, la sous</w:t>
      </w:r>
      <w:r>
        <w:noBreakHyphen/>
        <w:t>rémunération, voire la non</w:t>
      </w:r>
      <w:r>
        <w:noBreakHyphen/>
        <w:t>rémunération est assez fréquente, outre les</w:t>
      </w:r>
      <w:bookmarkStart w:id="26" w:name="_Toc98224969"/>
      <w:r>
        <w:t xml:space="preserve"> humiliations sur la dignité. </w:t>
      </w:r>
    </w:p>
    <w:p w:rsidR="00000000" w:rsidRDefault="00000000">
      <w:pPr>
        <w:keepNext/>
        <w:spacing w:after="240"/>
        <w:jc w:val="center"/>
        <w:rPr>
          <w:b/>
          <w:bCs/>
        </w:rPr>
      </w:pPr>
      <w:r>
        <w:rPr>
          <w:b/>
          <w:bCs/>
        </w:rPr>
        <w:t>Tableau 39: Risques courants pour les travailleurs domestiques</w:t>
      </w:r>
      <w:bookmarkEnd w:id="26"/>
    </w:p>
    <w:tbl>
      <w:tblPr>
        <w:tblW w:w="0" w:type="auto"/>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49"/>
        <w:gridCol w:w="2460"/>
      </w:tblGrid>
      <w:tr w:rsidR="00000000">
        <w:tblPrEx>
          <w:tblCellMar>
            <w:top w:w="0" w:type="dxa"/>
            <w:bottom w:w="0" w:type="dxa"/>
          </w:tblCellMar>
        </w:tblPrEx>
        <w:tc>
          <w:tcPr>
            <w:tcW w:w="7909" w:type="dxa"/>
            <w:gridSpan w:val="2"/>
            <w:vAlign w:val="center"/>
          </w:tcPr>
          <w:p w:rsidR="00000000" w:rsidRDefault="00000000">
            <w:pPr>
              <w:keepNext/>
              <w:spacing w:before="60" w:after="60"/>
              <w:jc w:val="center"/>
            </w:pPr>
            <w:r>
              <w:t>Pourcentage de victimes</w:t>
            </w:r>
          </w:p>
        </w:tc>
      </w:tr>
      <w:tr w:rsidR="00000000">
        <w:tblPrEx>
          <w:tblCellMar>
            <w:top w:w="0" w:type="dxa"/>
            <w:bottom w:w="0" w:type="dxa"/>
          </w:tblCellMar>
        </w:tblPrEx>
        <w:tc>
          <w:tcPr>
            <w:tcW w:w="5449" w:type="dxa"/>
          </w:tcPr>
          <w:p w:rsidR="00000000" w:rsidRDefault="00000000">
            <w:pPr>
              <w:spacing w:before="60" w:after="60"/>
            </w:pPr>
            <w:r>
              <w:t>Non-versement des salaires</w:t>
            </w:r>
          </w:p>
        </w:tc>
        <w:tc>
          <w:tcPr>
            <w:tcW w:w="2460" w:type="dxa"/>
          </w:tcPr>
          <w:p w:rsidR="00000000" w:rsidRDefault="00000000">
            <w:pPr>
              <w:spacing w:before="60" w:after="60"/>
              <w:ind w:right="470"/>
              <w:jc w:val="right"/>
            </w:pPr>
            <w:r>
              <w:t>25 %</w:t>
            </w:r>
          </w:p>
        </w:tc>
      </w:tr>
      <w:tr w:rsidR="00000000">
        <w:tblPrEx>
          <w:tblCellMar>
            <w:top w:w="0" w:type="dxa"/>
            <w:bottom w:w="0" w:type="dxa"/>
          </w:tblCellMar>
        </w:tblPrEx>
        <w:tc>
          <w:tcPr>
            <w:tcW w:w="5449" w:type="dxa"/>
          </w:tcPr>
          <w:p w:rsidR="00000000" w:rsidRDefault="00000000">
            <w:pPr>
              <w:spacing w:before="60" w:after="60"/>
            </w:pPr>
            <w:r>
              <w:t xml:space="preserve">Remboursement des outils ou objets endommagés </w:t>
            </w:r>
          </w:p>
        </w:tc>
        <w:tc>
          <w:tcPr>
            <w:tcW w:w="2460" w:type="dxa"/>
          </w:tcPr>
          <w:p w:rsidR="00000000" w:rsidRDefault="00000000">
            <w:pPr>
              <w:spacing w:before="60" w:after="60"/>
              <w:ind w:right="470"/>
              <w:jc w:val="right"/>
            </w:pPr>
            <w:r>
              <w:t>80 %</w:t>
            </w:r>
          </w:p>
        </w:tc>
      </w:tr>
      <w:tr w:rsidR="00000000">
        <w:tblPrEx>
          <w:tblCellMar>
            <w:top w:w="0" w:type="dxa"/>
            <w:bottom w:w="0" w:type="dxa"/>
          </w:tblCellMar>
        </w:tblPrEx>
        <w:tc>
          <w:tcPr>
            <w:tcW w:w="5449" w:type="dxa"/>
          </w:tcPr>
          <w:p w:rsidR="00000000" w:rsidRDefault="00000000">
            <w:pPr>
              <w:spacing w:before="60" w:after="60"/>
            </w:pPr>
            <w:r>
              <w:t>Violence sexuelle</w:t>
            </w:r>
          </w:p>
        </w:tc>
        <w:tc>
          <w:tcPr>
            <w:tcW w:w="2460" w:type="dxa"/>
          </w:tcPr>
          <w:p w:rsidR="00000000" w:rsidRDefault="00000000">
            <w:pPr>
              <w:spacing w:before="60" w:after="60"/>
              <w:ind w:right="470"/>
              <w:jc w:val="right"/>
            </w:pPr>
            <w:r>
              <w:t>14%</w:t>
            </w:r>
          </w:p>
        </w:tc>
      </w:tr>
      <w:tr w:rsidR="00000000">
        <w:tblPrEx>
          <w:tblCellMar>
            <w:top w:w="0" w:type="dxa"/>
            <w:bottom w:w="0" w:type="dxa"/>
          </w:tblCellMar>
        </w:tblPrEx>
        <w:tc>
          <w:tcPr>
            <w:tcW w:w="5449" w:type="dxa"/>
          </w:tcPr>
          <w:p w:rsidR="00000000" w:rsidRDefault="00000000">
            <w:pPr>
              <w:spacing w:before="60" w:after="60"/>
            </w:pPr>
            <w:r>
              <w:t>Confiscation des pièces d’identité</w:t>
            </w:r>
          </w:p>
        </w:tc>
        <w:tc>
          <w:tcPr>
            <w:tcW w:w="2460" w:type="dxa"/>
          </w:tcPr>
          <w:p w:rsidR="00000000" w:rsidRDefault="00000000">
            <w:pPr>
              <w:spacing w:before="60" w:after="60"/>
              <w:ind w:right="470"/>
              <w:jc w:val="right"/>
            </w:pPr>
            <w:r>
              <w:t>36 %</w:t>
            </w:r>
          </w:p>
        </w:tc>
      </w:tr>
      <w:tr w:rsidR="00000000">
        <w:tblPrEx>
          <w:tblCellMar>
            <w:top w:w="0" w:type="dxa"/>
            <w:bottom w:w="0" w:type="dxa"/>
          </w:tblCellMar>
        </w:tblPrEx>
        <w:tc>
          <w:tcPr>
            <w:tcW w:w="5449" w:type="dxa"/>
          </w:tcPr>
          <w:p w:rsidR="00000000" w:rsidRDefault="00000000">
            <w:pPr>
              <w:spacing w:before="60" w:after="60"/>
            </w:pPr>
            <w:r>
              <w:t>Renvoi immédiat</w:t>
            </w:r>
          </w:p>
        </w:tc>
        <w:tc>
          <w:tcPr>
            <w:tcW w:w="2460" w:type="dxa"/>
          </w:tcPr>
          <w:p w:rsidR="00000000" w:rsidRDefault="00000000">
            <w:pPr>
              <w:spacing w:before="60" w:after="60"/>
              <w:ind w:right="470"/>
              <w:jc w:val="right"/>
            </w:pPr>
            <w:r>
              <w:t>14 %</w:t>
            </w:r>
          </w:p>
        </w:tc>
      </w:tr>
    </w:tbl>
    <w:p w:rsidR="00000000" w:rsidRDefault="00000000">
      <w:pPr>
        <w:rPr>
          <w:i/>
          <w:iCs/>
        </w:rPr>
      </w:pPr>
    </w:p>
    <w:p w:rsidR="00000000" w:rsidRDefault="00000000">
      <w:pPr>
        <w:spacing w:after="240"/>
        <w:ind w:firstLine="567"/>
      </w:pPr>
      <w:r>
        <w:rPr>
          <w:i/>
          <w:iCs/>
        </w:rPr>
        <w:t>Source</w:t>
      </w:r>
      <w:r>
        <w:t>: Étude Miara-mita avril 2004.</w:t>
      </w:r>
    </w:p>
    <w:p w:rsidR="00000000" w:rsidRDefault="00000000">
      <w:pPr>
        <w:spacing w:after="240"/>
      </w:pPr>
      <w:r>
        <w:t>125.</w:t>
      </w:r>
      <w:r>
        <w:tab/>
        <w:t xml:space="preserve">Le remboursement par retenu sur salaire des objets ou ustensiles endommagés ou égarés constitue un moyen largement utilisé pour ne pas payer les salaires des domestiques. </w:t>
      </w:r>
    </w:p>
    <w:p w:rsidR="00000000" w:rsidRDefault="00000000">
      <w:pPr>
        <w:spacing w:after="240"/>
      </w:pPr>
      <w:r>
        <w:t>126.</w:t>
      </w:r>
      <w:r>
        <w:tab/>
        <w:t>En plus de leurs tâches habituelles, certains employés sont obligés de participer aux activités génératrices de revenus de leur employeur sans compensation salariale pour ce surcroît de travail.</w:t>
      </w:r>
    </w:p>
    <w:p w:rsidR="00000000" w:rsidRDefault="00000000">
      <w:pPr>
        <w:spacing w:after="240"/>
      </w:pPr>
      <w:r>
        <w:t>127.</w:t>
      </w:r>
      <w:r>
        <w:tab/>
        <w:t>Un domestique travaille généralement de 13 à 16 heures par jour pour une rémunération forfaitaire mensuelle de 50 000 FMG pour les filles de 15 à 18 ans, et de 75 000 FMG pour les adultes, bien que le SMIG soit fixé à 239 000 FMG par mois.</w:t>
      </w:r>
    </w:p>
    <w:p w:rsidR="00000000" w:rsidRDefault="00000000">
      <w:pPr>
        <w:spacing w:after="240"/>
      </w:pPr>
      <w:r>
        <w:t>128.</w:t>
      </w:r>
      <w:r>
        <w:tab/>
        <w:t>Dans la majeure partie des cas, les salaires des enfants domestiques sont remis directement aux parents.</w:t>
      </w:r>
    </w:p>
    <w:p w:rsidR="00000000" w:rsidRDefault="00000000">
      <w:pPr>
        <w:keepNext/>
        <w:spacing w:after="240"/>
        <w:jc w:val="center"/>
        <w:rPr>
          <w:b/>
          <w:bCs/>
          <w:i/>
          <w:iCs/>
        </w:rPr>
      </w:pPr>
      <w:bookmarkStart w:id="27" w:name="_Toc98224970"/>
      <w:r>
        <w:rPr>
          <w:b/>
          <w:bCs/>
        </w:rPr>
        <w:t>Tableau 40: Situation du travail domestique dans quelques arrondissements</w:t>
      </w:r>
      <w:r>
        <w:rPr>
          <w:b/>
          <w:bCs/>
        </w:rPr>
        <w:br/>
        <w:t>de la ville d’Antananarivo</w:t>
      </w:r>
      <w:bookmarkEnd w:id="27"/>
    </w:p>
    <w:tbl>
      <w:tblPr>
        <w:tblW w:w="0" w:type="auto"/>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6"/>
        <w:gridCol w:w="7261"/>
      </w:tblGrid>
      <w:tr w:rsidR="00000000">
        <w:tblPrEx>
          <w:tblCellMar>
            <w:top w:w="0" w:type="dxa"/>
            <w:bottom w:w="0" w:type="dxa"/>
          </w:tblCellMar>
        </w:tblPrEx>
        <w:tc>
          <w:tcPr>
            <w:tcW w:w="2216" w:type="dxa"/>
            <w:vAlign w:val="center"/>
          </w:tcPr>
          <w:p w:rsidR="00000000" w:rsidRDefault="00000000">
            <w:pPr>
              <w:spacing w:before="60" w:after="60"/>
              <w:jc w:val="center"/>
            </w:pPr>
            <w:r>
              <w:t>Quartier</w:t>
            </w:r>
          </w:p>
        </w:tc>
        <w:tc>
          <w:tcPr>
            <w:tcW w:w="7261" w:type="dxa"/>
            <w:vAlign w:val="center"/>
          </w:tcPr>
          <w:p w:rsidR="00000000" w:rsidRDefault="00000000">
            <w:pPr>
              <w:spacing w:before="60" w:after="60"/>
              <w:jc w:val="center"/>
            </w:pPr>
            <w:r>
              <w:t>Dénombrement</w:t>
            </w:r>
          </w:p>
        </w:tc>
      </w:tr>
      <w:tr w:rsidR="00000000">
        <w:tblPrEx>
          <w:tblCellMar>
            <w:top w:w="0" w:type="dxa"/>
            <w:bottom w:w="0" w:type="dxa"/>
          </w:tblCellMar>
        </w:tblPrEx>
        <w:tc>
          <w:tcPr>
            <w:tcW w:w="2216" w:type="dxa"/>
          </w:tcPr>
          <w:p w:rsidR="00000000" w:rsidRDefault="00000000">
            <w:pPr>
              <w:spacing w:before="60" w:after="60"/>
            </w:pPr>
            <w:r>
              <w:t>Anjezika</w:t>
            </w:r>
          </w:p>
        </w:tc>
        <w:tc>
          <w:tcPr>
            <w:tcW w:w="7261" w:type="dxa"/>
          </w:tcPr>
          <w:p w:rsidR="00000000" w:rsidRDefault="00000000">
            <w:pPr>
              <w:spacing w:before="60" w:after="60"/>
            </w:pPr>
            <w:r>
              <w:t>15 % sur les 900 toits existants emploient des enfants comme domestiques.</w:t>
            </w:r>
          </w:p>
        </w:tc>
      </w:tr>
      <w:tr w:rsidR="00000000">
        <w:tblPrEx>
          <w:tblCellMar>
            <w:top w:w="0" w:type="dxa"/>
            <w:bottom w:w="0" w:type="dxa"/>
          </w:tblCellMar>
        </w:tblPrEx>
        <w:tc>
          <w:tcPr>
            <w:tcW w:w="2216" w:type="dxa"/>
          </w:tcPr>
          <w:p w:rsidR="00000000" w:rsidRDefault="00000000">
            <w:pPr>
              <w:spacing w:before="60" w:after="60"/>
            </w:pPr>
            <w:r>
              <w:t>Manarintsoa Isotry</w:t>
            </w:r>
          </w:p>
        </w:tc>
        <w:tc>
          <w:tcPr>
            <w:tcW w:w="7261" w:type="dxa"/>
          </w:tcPr>
          <w:p w:rsidR="00000000" w:rsidRDefault="00000000">
            <w:pPr>
              <w:spacing w:before="60" w:after="60"/>
            </w:pPr>
            <w:r>
              <w:t>Les domestiques sont localisés au sein des 9 % des 400 toits existants dont 2/3 de l’effectif est constitué par des filles.</w:t>
            </w:r>
          </w:p>
        </w:tc>
      </w:tr>
      <w:tr w:rsidR="00000000">
        <w:tblPrEx>
          <w:tblCellMar>
            <w:top w:w="0" w:type="dxa"/>
            <w:bottom w:w="0" w:type="dxa"/>
          </w:tblCellMar>
        </w:tblPrEx>
        <w:tc>
          <w:tcPr>
            <w:tcW w:w="2216" w:type="dxa"/>
          </w:tcPr>
          <w:p w:rsidR="00000000" w:rsidRDefault="00000000">
            <w:pPr>
              <w:spacing w:before="60" w:after="60"/>
            </w:pPr>
            <w:r>
              <w:t>Mandialaza</w:t>
            </w:r>
          </w:p>
          <w:p w:rsidR="00000000" w:rsidRDefault="00000000">
            <w:pPr>
              <w:spacing w:before="60" w:after="60"/>
            </w:pPr>
            <w:r>
              <w:t>Ankadifotsy</w:t>
            </w:r>
          </w:p>
        </w:tc>
        <w:tc>
          <w:tcPr>
            <w:tcW w:w="7261" w:type="dxa"/>
          </w:tcPr>
          <w:p w:rsidR="00000000" w:rsidRDefault="00000000">
            <w:pPr>
              <w:spacing w:before="60" w:after="60"/>
            </w:pPr>
            <w:r>
              <w:t>40 % des domestiques du quartier ont moins de 18 ans. Ils sont issus pour 65 % de familles de lavandières ou proviennent de localités se trouvant en dehors de la ville.</w:t>
            </w:r>
          </w:p>
        </w:tc>
      </w:tr>
      <w:tr w:rsidR="00000000">
        <w:tblPrEx>
          <w:tblCellMar>
            <w:top w:w="0" w:type="dxa"/>
            <w:bottom w:w="0" w:type="dxa"/>
          </w:tblCellMar>
        </w:tblPrEx>
        <w:tc>
          <w:tcPr>
            <w:tcW w:w="2216" w:type="dxa"/>
          </w:tcPr>
          <w:p w:rsidR="00000000" w:rsidRDefault="00000000">
            <w:pPr>
              <w:spacing w:before="60" w:after="60"/>
            </w:pPr>
            <w:r>
              <w:t>Ampahibe</w:t>
            </w:r>
          </w:p>
        </w:tc>
        <w:tc>
          <w:tcPr>
            <w:tcW w:w="7261" w:type="dxa"/>
          </w:tcPr>
          <w:p w:rsidR="00000000" w:rsidRDefault="00000000">
            <w:pPr>
              <w:spacing w:before="60" w:after="60"/>
            </w:pPr>
            <w:r>
              <w:t>64 ménages sur 1 772 emploient des enfants comme domestiques.</w:t>
            </w:r>
          </w:p>
        </w:tc>
      </w:tr>
    </w:tbl>
    <w:p w:rsidR="00000000" w:rsidRDefault="00000000"/>
    <w:p w:rsidR="00000000" w:rsidRDefault="00000000">
      <w:pPr>
        <w:spacing w:after="240"/>
        <w:ind w:firstLine="567"/>
        <w:rPr>
          <w:b/>
          <w:bCs/>
        </w:rPr>
      </w:pPr>
      <w:r>
        <w:rPr>
          <w:i/>
          <w:iCs/>
        </w:rPr>
        <w:t>Source</w:t>
      </w:r>
      <w:r>
        <w:t>: Enquête Miara-Mita avril 2004.</w:t>
      </w:r>
    </w:p>
    <w:p w:rsidR="00000000" w:rsidRDefault="00000000">
      <w:pPr>
        <w:keepNext/>
        <w:spacing w:after="240"/>
        <w:ind w:firstLine="567"/>
        <w:rPr>
          <w:b/>
          <w:bCs/>
        </w:rPr>
      </w:pPr>
      <w:r>
        <w:rPr>
          <w:b/>
          <w:bCs/>
        </w:rPr>
        <w:t>Le travail des détenus</w:t>
      </w:r>
    </w:p>
    <w:p w:rsidR="00000000" w:rsidRDefault="00000000">
      <w:pPr>
        <w:keepNext/>
        <w:spacing w:after="240"/>
        <w:rPr>
          <w:b/>
          <w:bCs/>
        </w:rPr>
      </w:pPr>
      <w:r>
        <w:rPr>
          <w:b/>
          <w:bCs/>
        </w:rPr>
        <w:t>Obligation au travail</w:t>
      </w:r>
    </w:p>
    <w:p w:rsidR="00000000" w:rsidRDefault="00000000">
      <w:pPr>
        <w:spacing w:after="240"/>
        <w:rPr>
          <w:i/>
          <w:iCs/>
        </w:rPr>
      </w:pPr>
      <w:r>
        <w:t>129.</w:t>
      </w:r>
      <w:r>
        <w:tab/>
        <w:t>L’article 68 du décret n</w:t>
      </w:r>
      <w:r>
        <w:rPr>
          <w:vertAlign w:val="superscript"/>
        </w:rPr>
        <w:t>o</w:t>
      </w:r>
      <w:r>
        <w:t> 59</w:t>
      </w:r>
      <w:r>
        <w:noBreakHyphen/>
        <w:t>121 du 17 octobre 1959, portant organisation générale des services pénitentiaires à Madagascar, indique «</w:t>
      </w:r>
      <w:r>
        <w:rPr>
          <w:i/>
          <w:iCs/>
        </w:rPr>
        <w:t>tous les détenus, prévenus ou condamnés, sont astreints au travail, à l’exception toutefois des prévenus ou condamnés pour crime ou délit «politique</w:t>
      </w:r>
      <w:r>
        <w:rPr>
          <w:iCs/>
        </w:rPr>
        <w:t>»</w:t>
      </w:r>
      <w:r>
        <w:rPr>
          <w:i/>
          <w:iCs/>
        </w:rPr>
        <w:t xml:space="preserve"> qui sont seulement tenus de participer aux corvées de nettoyage et d’entretien des locaux</w:t>
      </w:r>
      <w:r>
        <w:rPr>
          <w:iCs/>
        </w:rPr>
        <w:t>».</w:t>
      </w:r>
    </w:p>
    <w:p w:rsidR="00000000" w:rsidRDefault="00000000">
      <w:pPr>
        <w:spacing w:after="240"/>
        <w:ind w:firstLine="567"/>
        <w:rPr>
          <w:i/>
          <w:iCs/>
        </w:rPr>
      </w:pPr>
      <w:r>
        <w:rPr>
          <w:i/>
          <w:iCs/>
        </w:rPr>
        <w:t>«En ce qui concerne les prévenus, le juge d’instruction peut toujours et à tout moment de l’information, sans préjudice du droit de prononcer la mise au secret, ordonner qu’un prévenu ne soit sous aucun prétexte employé à des travaux à l’extérieur de l’établissement pénitentiaire, et ce pendant la durée qu’il estimera utile.</w:t>
      </w:r>
      <w:r>
        <w:rPr>
          <w:iCs/>
        </w:rPr>
        <w:t>»</w:t>
      </w:r>
    </w:p>
    <w:p w:rsidR="00000000" w:rsidRDefault="00000000">
      <w:pPr>
        <w:spacing w:after="240"/>
        <w:rPr>
          <w:color w:val="333333"/>
        </w:rPr>
      </w:pPr>
      <w:r>
        <w:rPr>
          <w:color w:val="333333"/>
        </w:rPr>
        <w:t>130.</w:t>
      </w:r>
      <w:r>
        <w:rPr>
          <w:color w:val="333333"/>
        </w:rPr>
        <w:tab/>
        <w:t>Certains détenus condamnés effectuent un travail à l’extérieur à titre gratuit.</w:t>
      </w:r>
    </w:p>
    <w:p w:rsidR="00000000" w:rsidRDefault="00000000">
      <w:pPr>
        <w:spacing w:after="240"/>
        <w:rPr>
          <w:color w:val="333333"/>
        </w:rPr>
      </w:pPr>
      <w:r>
        <w:rPr>
          <w:color w:val="333333"/>
        </w:rPr>
        <w:t>131.</w:t>
      </w:r>
      <w:r>
        <w:rPr>
          <w:color w:val="333333"/>
        </w:rPr>
        <w:tab/>
        <w:t>Nous citons l’exemple des détenus d’Antananarivo:</w:t>
      </w:r>
    </w:p>
    <w:p w:rsidR="00000000" w:rsidRDefault="00000000">
      <w:pPr>
        <w:numPr>
          <w:ilvl w:val="0"/>
          <w:numId w:val="138"/>
        </w:numPr>
        <w:tabs>
          <w:tab w:val="left" w:pos="4536"/>
        </w:tabs>
        <w:spacing w:after="240"/>
        <w:rPr>
          <w:color w:val="333333"/>
        </w:rPr>
      </w:pPr>
      <w:r>
        <w:rPr>
          <w:color w:val="333333"/>
        </w:rPr>
        <w:t>Tâche domestique/gardiennage</w:t>
      </w:r>
      <w:r>
        <w:rPr>
          <w:color w:val="333333"/>
        </w:rPr>
        <w:tab/>
        <w:t>55 %</w:t>
      </w:r>
    </w:p>
    <w:p w:rsidR="00000000" w:rsidRDefault="00000000">
      <w:pPr>
        <w:numPr>
          <w:ilvl w:val="0"/>
          <w:numId w:val="138"/>
        </w:numPr>
        <w:tabs>
          <w:tab w:val="left" w:pos="4536"/>
        </w:tabs>
        <w:spacing w:after="240"/>
        <w:rPr>
          <w:color w:val="333333"/>
        </w:rPr>
      </w:pPr>
      <w:r>
        <w:rPr>
          <w:color w:val="333333"/>
        </w:rPr>
        <w:t>Tâche administrative/bureau</w:t>
      </w:r>
      <w:r>
        <w:rPr>
          <w:color w:val="333333"/>
        </w:rPr>
        <w:tab/>
        <w:t>25 %</w:t>
      </w:r>
    </w:p>
    <w:p w:rsidR="00000000" w:rsidRDefault="00000000">
      <w:pPr>
        <w:numPr>
          <w:ilvl w:val="0"/>
          <w:numId w:val="138"/>
        </w:numPr>
        <w:tabs>
          <w:tab w:val="left" w:pos="4536"/>
        </w:tabs>
        <w:spacing w:after="240"/>
        <w:rPr>
          <w:color w:val="333333"/>
        </w:rPr>
      </w:pPr>
      <w:r>
        <w:rPr>
          <w:color w:val="333333"/>
        </w:rPr>
        <w:t>Tâche agricole/jardinage</w:t>
      </w:r>
      <w:r>
        <w:rPr>
          <w:color w:val="333333"/>
        </w:rPr>
        <w:tab/>
        <w:t>10 %</w:t>
      </w:r>
    </w:p>
    <w:p w:rsidR="00000000" w:rsidRDefault="00000000">
      <w:pPr>
        <w:numPr>
          <w:ilvl w:val="0"/>
          <w:numId w:val="138"/>
        </w:numPr>
        <w:tabs>
          <w:tab w:val="left" w:pos="4536"/>
        </w:tabs>
        <w:spacing w:after="240"/>
        <w:rPr>
          <w:color w:val="333333"/>
        </w:rPr>
      </w:pPr>
      <w:r>
        <w:rPr>
          <w:color w:val="333333"/>
        </w:rPr>
        <w:t xml:space="preserve">Autres </w:t>
      </w:r>
      <w:r>
        <w:rPr>
          <w:color w:val="333333"/>
        </w:rPr>
        <w:tab/>
        <w:t>10 %.</w:t>
      </w:r>
    </w:p>
    <w:p w:rsidR="00000000" w:rsidRDefault="00000000">
      <w:pPr>
        <w:keepNext/>
        <w:spacing w:after="240"/>
        <w:rPr>
          <w:b/>
          <w:bCs/>
        </w:rPr>
      </w:pPr>
      <w:r>
        <w:rPr>
          <w:b/>
          <w:bCs/>
        </w:rPr>
        <w:t>Utilisation de la main</w:t>
      </w:r>
      <w:r>
        <w:rPr>
          <w:b/>
          <w:bCs/>
        </w:rPr>
        <w:noBreakHyphen/>
        <w:t>d’œuvre pénale</w:t>
      </w:r>
    </w:p>
    <w:p w:rsidR="00000000" w:rsidRDefault="00000000">
      <w:pPr>
        <w:spacing w:after="240"/>
      </w:pPr>
      <w:r>
        <w:t>132.</w:t>
      </w:r>
      <w:r>
        <w:tab/>
        <w:t>L’article 70 du décret sus</w:t>
      </w:r>
      <w:r>
        <w:noBreakHyphen/>
        <w:t>indiqué réglemente le travail des détenus en ces termes: «</w:t>
      </w:r>
      <w:r>
        <w:rPr>
          <w:i/>
          <w:iCs/>
        </w:rPr>
        <w:t>Le travail des détenus se fait soit en régie, soit en cession</w:t>
      </w:r>
      <w:r>
        <w:rPr>
          <w:iCs/>
        </w:rPr>
        <w:t>».</w:t>
      </w:r>
      <w:r>
        <w:rPr>
          <w:i/>
          <w:iCs/>
        </w:rPr>
        <w:t xml:space="preserve"> </w:t>
      </w:r>
      <w:r>
        <w:t>Mais il ne mentionne nulle part la forme de rémunération.</w:t>
      </w:r>
    </w:p>
    <w:p w:rsidR="00000000" w:rsidRDefault="00000000">
      <w:pPr>
        <w:spacing w:after="240"/>
        <w:ind w:firstLine="567"/>
      </w:pPr>
      <w:r>
        <w:t>a)</w:t>
      </w:r>
      <w:r>
        <w:tab/>
        <w:t>Travail en régie:</w:t>
      </w:r>
    </w:p>
    <w:p w:rsidR="00000000" w:rsidRDefault="00000000">
      <w:pPr>
        <w:spacing w:after="240"/>
        <w:ind w:left="567"/>
        <w:rPr>
          <w:i/>
          <w:iCs/>
        </w:rPr>
      </w:pPr>
      <w:r>
        <w:rPr>
          <w:iCs/>
        </w:rPr>
        <w:t>«</w:t>
      </w:r>
      <w:r>
        <w:rPr>
          <w:i/>
          <w:iCs/>
        </w:rPr>
        <w:t>En vue de l’emploi rationnel de la main d’œuvre pénale, il sera créé des ateliers, ou au moins, aménagé des locaux où seront exécutés les travaux les plus utiles et les plus productifs dans la région.</w:t>
      </w:r>
      <w:r>
        <w:rPr>
          <w:iCs/>
        </w:rPr>
        <w:t>»</w:t>
      </w:r>
    </w:p>
    <w:p w:rsidR="00000000" w:rsidRDefault="00000000">
      <w:pPr>
        <w:spacing w:after="240"/>
        <w:ind w:left="567"/>
        <w:rPr>
          <w:i/>
          <w:iCs/>
        </w:rPr>
      </w:pPr>
      <w:r>
        <w:rPr>
          <w:iCs/>
        </w:rPr>
        <w:t>«</w:t>
      </w:r>
      <w:r>
        <w:rPr>
          <w:i/>
          <w:iCs/>
        </w:rPr>
        <w:t>Une section d’études sera créée au service central de l’Administration pénitentiaire en vue d’une organisation rationnelle et rentable du travail en régie.</w:t>
      </w:r>
      <w:r>
        <w:rPr>
          <w:iCs/>
        </w:rPr>
        <w:t>»;</w:t>
      </w:r>
    </w:p>
    <w:p w:rsidR="00000000" w:rsidRDefault="00000000">
      <w:pPr>
        <w:spacing w:after="240"/>
        <w:ind w:firstLine="567"/>
      </w:pPr>
      <w:r>
        <w:t>b)</w:t>
      </w:r>
      <w:r>
        <w:tab/>
        <w:t>Travail en cession:</w:t>
      </w:r>
    </w:p>
    <w:p w:rsidR="00000000" w:rsidRDefault="00000000">
      <w:pPr>
        <w:spacing w:after="240"/>
        <w:ind w:left="567"/>
        <w:rPr>
          <w:i/>
          <w:iCs/>
        </w:rPr>
      </w:pPr>
      <w:r>
        <w:rPr>
          <w:iCs/>
        </w:rPr>
        <w:t>«</w:t>
      </w:r>
      <w:r>
        <w:rPr>
          <w:i/>
          <w:iCs/>
        </w:rPr>
        <w:t>La main</w:t>
      </w:r>
      <w:r>
        <w:rPr>
          <w:i/>
          <w:iCs/>
        </w:rPr>
        <w:noBreakHyphen/>
        <w:t>d’œuvre pénale peut être concédée soit à des services ou établissements publics, soit à des entreprises ou personnes privées lorsqu’elle est destinée à des travaux d’utilité nationale, tels que reforestation, plantation d’arbres d’exploitation industrielle ou agricole, ou à des travaux d’intérêt économique compris dans un plan approuvé par les services économiques du territoire ou de la province.</w:t>
      </w:r>
      <w:r>
        <w:rPr>
          <w:iCs/>
        </w:rPr>
        <w:t>»</w:t>
      </w:r>
    </w:p>
    <w:p w:rsidR="00000000" w:rsidRDefault="00000000">
      <w:pPr>
        <w:spacing w:after="240"/>
        <w:ind w:left="567"/>
        <w:rPr>
          <w:i/>
          <w:iCs/>
        </w:rPr>
      </w:pPr>
      <w:r>
        <w:rPr>
          <w:iCs/>
        </w:rPr>
        <w:t>«</w:t>
      </w:r>
      <w:r>
        <w:rPr>
          <w:i/>
          <w:iCs/>
        </w:rPr>
        <w:t>Toute demande de cession doit contenir tous les renseignements utiles, notamment le nom et la qualité du demandeur, le nombre de détenus nécessaires, la nature et la durée probable des travaux, le lieu du travail. La cession est autorisée par le Ministre de la justice. Le pouvoir de décision peut être délégué.</w:t>
      </w:r>
      <w:r>
        <w:rPr>
          <w:iCs/>
        </w:rPr>
        <w:t>»</w:t>
      </w:r>
    </w:p>
    <w:p w:rsidR="00000000" w:rsidRDefault="00000000">
      <w:pPr>
        <w:spacing w:after="240"/>
        <w:ind w:left="567"/>
        <w:rPr>
          <w:i/>
          <w:iCs/>
        </w:rPr>
      </w:pPr>
      <w:r>
        <w:rPr>
          <w:iCs/>
        </w:rPr>
        <w:t>«</w:t>
      </w:r>
      <w:r>
        <w:rPr>
          <w:i/>
          <w:iCs/>
        </w:rPr>
        <w:t>Si les travaux sont de longue durée et doivent avoir lieu loin de l’établissement pénitentiaire, leur exécution donnera lieu à l’ouverture d’un camp pénal.</w:t>
      </w:r>
      <w:r>
        <w:rPr>
          <w:iCs/>
        </w:rPr>
        <w:t>»</w:t>
      </w:r>
    </w:p>
    <w:p w:rsidR="00000000" w:rsidRDefault="00000000">
      <w:pPr>
        <w:spacing w:after="240"/>
        <w:ind w:left="567"/>
        <w:rPr>
          <w:i/>
          <w:iCs/>
        </w:rPr>
      </w:pPr>
      <w:r>
        <w:rPr>
          <w:iCs/>
        </w:rPr>
        <w:t>«</w:t>
      </w:r>
      <w:r>
        <w:rPr>
          <w:i/>
          <w:iCs/>
        </w:rPr>
        <w:t>Un arrêté fixera l’effectif obligatoire de gardiens qui devront être affectés chez le cessionnaire.</w:t>
      </w:r>
      <w:r>
        <w:rPr>
          <w:iCs/>
        </w:rPr>
        <w:t>».</w:t>
      </w:r>
    </w:p>
    <w:p w:rsidR="00000000" w:rsidRDefault="00000000">
      <w:pPr>
        <w:keepNext/>
        <w:spacing w:after="240"/>
        <w:jc w:val="center"/>
        <w:rPr>
          <w:b/>
          <w:bCs/>
        </w:rPr>
      </w:pPr>
      <w:bookmarkStart w:id="28" w:name="_Toc98224901"/>
      <w:r>
        <w:rPr>
          <w:b/>
          <w:bCs/>
        </w:rPr>
        <w:t>ARTICLE 9</w:t>
      </w:r>
      <w:bookmarkEnd w:id="28"/>
    </w:p>
    <w:p w:rsidR="00000000" w:rsidRDefault="00000000">
      <w:pPr>
        <w:keepNext/>
        <w:spacing w:after="240"/>
        <w:jc w:val="center"/>
        <w:rPr>
          <w:b/>
          <w:bCs/>
        </w:rPr>
      </w:pPr>
      <w:r>
        <w:rPr>
          <w:b/>
          <w:bCs/>
        </w:rPr>
        <w:t>Droit à la liberté et à la sécurité de la personne</w:t>
      </w:r>
    </w:p>
    <w:p w:rsidR="00000000" w:rsidRDefault="00000000">
      <w:pPr>
        <w:spacing w:after="240"/>
      </w:pPr>
      <w:r>
        <w:t>133.</w:t>
      </w:r>
      <w:r>
        <w:tab/>
        <w:t>La Constitution malagasy reconnaît à tout individu le droit à la liberté et à la sécurité de sa personne.</w:t>
      </w:r>
    </w:p>
    <w:p w:rsidR="00000000" w:rsidRDefault="00000000">
      <w:pPr>
        <w:spacing w:after="240"/>
        <w:rPr>
          <w:i/>
          <w:iCs/>
        </w:rPr>
      </w:pPr>
      <w:r>
        <w:t>134.</w:t>
      </w:r>
      <w:r>
        <w:tab/>
        <w:t xml:space="preserve">En son paragraphe 1, l’article 9 du Pacte stipule que: </w:t>
      </w:r>
      <w:r>
        <w:rPr>
          <w:iCs/>
        </w:rPr>
        <w:t>«</w:t>
      </w:r>
      <w:r>
        <w:rPr>
          <w:i/>
          <w:iCs/>
        </w:rPr>
        <w:t>tout individu a droit à la liberté et à la sécurité de sa personne. Nul ne peut faire l’objet d’une arrestation ou d’une détention arbitraire. Nul ne peut être privé de sa liberté, si ce n’est pour des motifs et conformément à la procédure prévue par la loi</w:t>
      </w:r>
      <w:r>
        <w:rPr>
          <w:iCs/>
        </w:rPr>
        <w:t>»</w:t>
      </w:r>
      <w:r>
        <w:rPr>
          <w:i/>
          <w:iCs/>
        </w:rPr>
        <w:t>.</w:t>
      </w:r>
    </w:p>
    <w:p w:rsidR="00000000" w:rsidRDefault="00000000">
      <w:pPr>
        <w:spacing w:after="240"/>
      </w:pPr>
      <w:r>
        <w:t>135.</w:t>
      </w:r>
      <w:r>
        <w:tab/>
        <w:t>La prévention et la répression de l’arrestation illégale et de la détention arbitraire sont prévues par les articles 119, 120 et 122 du Code pénal malagasy.</w:t>
      </w:r>
    </w:p>
    <w:p w:rsidR="00000000" w:rsidRDefault="00000000">
      <w:pPr>
        <w:spacing w:after="240"/>
      </w:pPr>
      <w:r>
        <w:t>136.</w:t>
      </w:r>
      <w:r>
        <w:tab/>
        <w:t xml:space="preserve">Article 119 du Code de procédure pénale: </w:t>
      </w:r>
      <w:r>
        <w:rPr>
          <w:iCs/>
        </w:rPr>
        <w:t>«</w:t>
      </w:r>
      <w:r>
        <w:rPr>
          <w:i/>
          <w:iCs/>
        </w:rPr>
        <w:t>Les fonctionnaires publics chargés de la police administrative ou judiciaire, qui auront refusé ou négligé de déférer à une réclamation légale tendant à constater les détentions illégales et arbitraires, soit dans les maisons destinées à la garde des détenus, soit partout ailleurs, et qui ne justifieront pas les avoir dénoncées à l’autorité supérieure, seront punis de la dégradation civique, et tenus des dommages-intérêts, lesquels seront réglés comme il est dit dans l’article 117.</w:t>
      </w:r>
      <w:r>
        <w:t>»</w:t>
      </w:r>
      <w:r>
        <w:rPr>
          <w:i/>
          <w:iCs/>
        </w:rPr>
        <w:t>.</w:t>
      </w:r>
    </w:p>
    <w:p w:rsidR="00000000" w:rsidRDefault="00000000">
      <w:pPr>
        <w:spacing w:after="240"/>
        <w:rPr>
          <w:i/>
          <w:iCs/>
        </w:rPr>
      </w:pPr>
      <w:r>
        <w:t>137.</w:t>
      </w:r>
      <w:r>
        <w:tab/>
        <w:t>Article 120: (ordonnance n</w:t>
      </w:r>
      <w:r>
        <w:rPr>
          <w:vertAlign w:val="superscript"/>
        </w:rPr>
        <w:t>o</w:t>
      </w:r>
      <w:r>
        <w:t xml:space="preserve"> 60-161 du 3 octobre 1960) </w:t>
      </w:r>
      <w:r>
        <w:rPr>
          <w:iCs/>
        </w:rPr>
        <w:t>«</w:t>
      </w:r>
      <w:r>
        <w:rPr>
          <w:i/>
          <w:iCs/>
        </w:rPr>
        <w:t>Les gardiens des maisons de force, centrales, d’arrêt ou de sûreté qui auront reçu un prisonnier sans mandat ou jugement, ou, quand il s’agira d’une expulsion ou d’une extradition, sans ordre provisoire du Gouvernement, ceux qui l’auront retenu, ou auront refusé de le représenter à l’officier de police ou au porteur de ses ordres, sans justifier de la défense du procureur de la République ou du juge, ceux qui auront refusé d’exhiber leurs registres à l’officier de police, seront comme coupables de détention arbitraire, punis de six mois à deux ans d’emprisonnement et d’une amende de 25 000 à 75 000 francs.</w:t>
      </w:r>
      <w:r>
        <w:t>»</w:t>
      </w:r>
      <w:r>
        <w:rPr>
          <w:i/>
          <w:iCs/>
        </w:rPr>
        <w:t>.</w:t>
      </w:r>
    </w:p>
    <w:p w:rsidR="00000000" w:rsidRDefault="00000000">
      <w:pPr>
        <w:spacing w:after="240"/>
      </w:pPr>
      <w:r>
        <w:t>138.</w:t>
      </w:r>
      <w:r>
        <w:tab/>
        <w:t xml:space="preserve">Article 122: </w:t>
      </w:r>
      <w:r>
        <w:rPr>
          <w:iCs/>
        </w:rPr>
        <w:t>«</w:t>
      </w:r>
      <w:r>
        <w:rPr>
          <w:i/>
          <w:iCs/>
        </w:rPr>
        <w:t>Seront aussi punis de la dégradation civique les procureurs généraux ou de la République, les substituts, les juges ou les officiers publics qui auront retenu ou fait retenir un individu hors des lieux déterminés par le Gouvernement ou par l’administration publique, ou qui auront traduit un citoyen devant une cour criminelle sans qu’il y ait été préalablement mis légalement en accusation.</w:t>
      </w:r>
      <w:r>
        <w:t>».</w:t>
      </w:r>
    </w:p>
    <w:p w:rsidR="00000000" w:rsidRDefault="00000000">
      <w:pPr>
        <w:spacing w:after="240"/>
        <w:rPr>
          <w:i/>
          <w:iCs/>
        </w:rPr>
      </w:pPr>
      <w:r>
        <w:t>139.</w:t>
      </w:r>
      <w:r>
        <w:tab/>
        <w:t xml:space="preserve">Par ailleurs, l’article 136 du Code de procédure pénale malgache énonce: </w:t>
      </w:r>
      <w:r>
        <w:rPr>
          <w:iCs/>
        </w:rPr>
        <w:t>«</w:t>
      </w:r>
      <w:r>
        <w:rPr>
          <w:i/>
          <w:iCs/>
        </w:rPr>
        <w:t>Un officier de police judiciaire ne peut retenir une personne à sa disposition pour les nécessités de l’enquête préliminaire pendant plus de quarante</w:t>
      </w:r>
      <w:r>
        <w:rPr>
          <w:i/>
          <w:iCs/>
        </w:rPr>
        <w:noBreakHyphen/>
        <w:t>huit heures.</w:t>
      </w:r>
      <w:r>
        <w:rPr>
          <w:iCs/>
        </w:rPr>
        <w:t>»</w:t>
      </w:r>
      <w:r>
        <w:rPr>
          <w:i/>
          <w:iCs/>
        </w:rPr>
        <w:t>.</w:t>
      </w:r>
    </w:p>
    <w:p w:rsidR="00000000" w:rsidRDefault="00000000">
      <w:pPr>
        <w:spacing w:after="240"/>
      </w:pPr>
      <w:r>
        <w:t>140.</w:t>
      </w:r>
      <w:r>
        <w:tab/>
        <w:t>Passé ce délai, la personne retenue doit obligatoirement être relâchée ou conduite devant le magistrat du ministère public. Si ce délai expire les samedi, dimanche et jours fériés, le magistrat de permanence ou l’officier du ministère public doit être avisé de l’heure à laquelle la personne sera déférée.</w:t>
      </w:r>
    </w:p>
    <w:p w:rsidR="00000000" w:rsidRDefault="00000000">
      <w:pPr>
        <w:spacing w:after="240"/>
      </w:pPr>
      <w:r>
        <w:t>141.</w:t>
      </w:r>
      <w:r>
        <w:tab/>
        <w:t>Si le magistrat du ministère public est absent de sa résidence, ce délai est porté à trois jours. Si la résidence de l’officier de police judiciaire est située hors de la ville siège d’un tribunal ou d’une section de tribunal, il peut demander au magistrat ou à l’officier du ministère public de sa circonscription l’autorisation de prolonger la garde à vue de la personne retenue pour une durée n’excédant pas quarante</w:t>
      </w:r>
      <w:r>
        <w:noBreakHyphen/>
        <w:t>huit heures. Cette autorisation doit être confirmée par écrit et jointe au procès-verbal.</w:t>
      </w:r>
    </w:p>
    <w:p w:rsidR="00000000" w:rsidRDefault="00000000">
      <w:pPr>
        <w:spacing w:after="240"/>
      </w:pPr>
      <w:r>
        <w:t>142.</w:t>
      </w:r>
      <w:r>
        <w:tab/>
        <w:t>Passé ce délai, la personne retenue doit obligatoirement être relâchée ou conduite devant le magistrat ou l’officier du ministère public compétent.</w:t>
      </w:r>
    </w:p>
    <w:p w:rsidR="00000000" w:rsidRDefault="00000000">
      <w:pPr>
        <w:spacing w:after="240"/>
      </w:pPr>
      <w:r>
        <w:t>143.</w:t>
      </w:r>
      <w:r>
        <w:tab/>
        <w:t>Le parquet doit apprécier la suite à donner à l’affaire.</w:t>
      </w:r>
    </w:p>
    <w:p w:rsidR="00000000" w:rsidRDefault="00000000">
      <w:pPr>
        <w:spacing w:after="240"/>
      </w:pPr>
      <w:r>
        <w:t>144.</w:t>
      </w:r>
      <w:r>
        <w:tab/>
        <w:t>Pour respecter l’exigence de juger le délinquant dans un délai raisonnable, le Ministère de la justice par l’organe de la Commission de reforme du système pénal (CRSP) compte présenter incessamment un projet de reforme tendant d’une part à la réduction de délai de détention avant jugement et d’autre part à la mise en œuvre d’une procédure rapide et simplifiée en l’occurrence celle de la comparution immédiate.</w:t>
      </w:r>
    </w:p>
    <w:p w:rsidR="00000000" w:rsidRDefault="00000000">
      <w:pPr>
        <w:spacing w:after="240"/>
      </w:pPr>
      <w:r>
        <w:t>145.</w:t>
      </w:r>
      <w:r>
        <w:tab/>
        <w:t>La procédure envisagée vise à permettre la traduction immédiate de la personne poursuivie devant le tribunal en raison de certaines infractions de petite ou de moyenne importance.</w:t>
      </w:r>
    </w:p>
    <w:p w:rsidR="00000000" w:rsidRDefault="00000000">
      <w:pPr>
        <w:spacing w:after="240"/>
      </w:pPr>
      <w:r>
        <w:t>146.</w:t>
      </w:r>
      <w:r>
        <w:tab/>
        <w:t xml:space="preserve">Le droit à un recours devant une juridiction compétente pour statuer sur la légalité de la détention découle de la reconnaissance du principe de la légalité des crimes et délits consacrés par l’article 13, alinéa 4, de la Constitution malagasy et l’article 4 du Code pénal. </w:t>
      </w:r>
    </w:p>
    <w:p w:rsidR="00000000" w:rsidRDefault="00000000">
      <w:pPr>
        <w:spacing w:after="240"/>
      </w:pPr>
      <w:r>
        <w:t>147.</w:t>
      </w:r>
      <w:r>
        <w:tab/>
        <w:t>Une personne mise en détention provisoire a le droit d’adresser une demande de mise en liberté devant la chambre de détention préventive.</w:t>
      </w:r>
    </w:p>
    <w:p w:rsidR="00000000" w:rsidRDefault="00000000">
      <w:pPr>
        <w:spacing w:after="240"/>
      </w:pPr>
      <w:r>
        <w:t>148.</w:t>
      </w:r>
      <w:r>
        <w:tab/>
        <w:t>L’article 343 du Code de procédure pénale a institué la chambre de détention préventive compétente pour statuer sur les demandes de mise en liberté.</w:t>
      </w:r>
    </w:p>
    <w:p w:rsidR="00000000" w:rsidRDefault="00000000">
      <w:pPr>
        <w:spacing w:after="240"/>
      </w:pPr>
      <w:r>
        <w:t>149.</w:t>
      </w:r>
      <w:r>
        <w:tab/>
        <w:t>L’innovation apportée par ce texte résulte du fait qu’il n’appartient plus à l’autorité ayant décidé le placement sous détention de statuer sur les cas de demandes de mise en liberté provisoires désormais confiées à la chambre de détention préventive composée de trois magistrats.</w:t>
      </w:r>
    </w:p>
    <w:p w:rsidR="00000000" w:rsidRDefault="00000000">
      <w:pPr>
        <w:spacing w:after="240"/>
      </w:pPr>
      <w:r>
        <w:t>150.</w:t>
      </w:r>
      <w:r>
        <w:tab/>
        <w:t xml:space="preserve">Il est également prévu la possibilité de mise en liberté sous cautionnement dont la nature et le montant sont fixés par la chambre de détention (art. 346 du Code de procédure pénale malagasy). </w:t>
      </w:r>
    </w:p>
    <w:p w:rsidR="00000000" w:rsidRDefault="00000000">
      <w:pPr>
        <w:keepNext/>
        <w:spacing w:after="240"/>
        <w:rPr>
          <w:b/>
          <w:bCs/>
        </w:rPr>
      </w:pPr>
      <w:r>
        <w:rPr>
          <w:b/>
          <w:bCs/>
        </w:rPr>
        <w:t>Article 9, paragraphe 2, du Pacte</w:t>
      </w:r>
    </w:p>
    <w:p w:rsidR="00000000" w:rsidRDefault="00000000">
      <w:pPr>
        <w:spacing w:after="240"/>
      </w:pPr>
      <w:r>
        <w:t>151.</w:t>
      </w:r>
      <w:r>
        <w:tab/>
        <w:t>Conformément à l’esprit du Pacte, toute personne arrêtée est informée des motifs de son arrestation et reçoit notification de toute accusation retenue contre elle dans le plus bref délai.</w:t>
      </w:r>
    </w:p>
    <w:p w:rsidR="00000000" w:rsidRDefault="00000000">
      <w:pPr>
        <w:spacing w:after="240"/>
      </w:pPr>
      <w:r>
        <w:t>152.</w:t>
      </w:r>
      <w:r>
        <w:tab/>
        <w:t>La loi n</w:t>
      </w:r>
      <w:r>
        <w:rPr>
          <w:vertAlign w:val="superscript"/>
        </w:rPr>
        <w:t>o</w:t>
      </w:r>
      <w:r>
        <w:t> 97</w:t>
      </w:r>
      <w:r>
        <w:noBreakHyphen/>
        <w:t xml:space="preserve">036 du 30 octobre 1997 impose l’obligation à l’enquêteur de notifier à la personne suspectée les motifs de son arrestation et des faits qu’on lui reproche. Des efforts ont été entrepris pour accélérer le traitement des dossiers comportant des détentions en vue de juger les délinquants dans un délai raisonnable tant à Antananarivo que dans les autres juridictions. </w:t>
      </w:r>
    </w:p>
    <w:p w:rsidR="00000000" w:rsidRDefault="00000000">
      <w:pPr>
        <w:spacing w:after="240"/>
      </w:pPr>
      <w:r>
        <w:t>153.</w:t>
      </w:r>
      <w:r>
        <w:tab/>
        <w:t>Ces mesures législatives sont en accord avec les situations v</w:t>
      </w:r>
      <w:bookmarkStart w:id="29" w:name="_Toc98224902"/>
      <w:r>
        <w:t>isées par l’article 9 du Pacte.</w:t>
      </w:r>
    </w:p>
    <w:p w:rsidR="00000000" w:rsidRDefault="00000000">
      <w:pPr>
        <w:keepNext/>
        <w:spacing w:after="240"/>
        <w:jc w:val="center"/>
        <w:rPr>
          <w:b/>
          <w:bCs/>
        </w:rPr>
      </w:pPr>
      <w:r>
        <w:rPr>
          <w:b/>
          <w:bCs/>
        </w:rPr>
        <w:t>ARTICLE 10</w:t>
      </w:r>
      <w:bookmarkEnd w:id="29"/>
    </w:p>
    <w:p w:rsidR="00000000" w:rsidRDefault="00000000">
      <w:pPr>
        <w:keepNext/>
        <w:spacing w:after="240"/>
        <w:jc w:val="center"/>
        <w:rPr>
          <w:b/>
          <w:bCs/>
        </w:rPr>
      </w:pPr>
      <w:r>
        <w:rPr>
          <w:b/>
          <w:bCs/>
        </w:rPr>
        <w:t>Humanisation de la détention</w:t>
      </w:r>
    </w:p>
    <w:p w:rsidR="00000000" w:rsidRDefault="00000000">
      <w:pPr>
        <w:keepNext/>
        <w:spacing w:after="240"/>
        <w:jc w:val="center"/>
        <w:rPr>
          <w:b/>
          <w:bCs/>
        </w:rPr>
      </w:pPr>
      <w:r>
        <w:rPr>
          <w:b/>
          <w:bCs/>
        </w:rPr>
        <w:t>Traitement humain et respect de la dignité humaine dans les prisons</w:t>
      </w:r>
    </w:p>
    <w:p w:rsidR="00000000" w:rsidRDefault="00000000">
      <w:pPr>
        <w:spacing w:after="240"/>
      </w:pPr>
      <w:r>
        <w:t>154.</w:t>
      </w:r>
      <w:r>
        <w:tab/>
        <w:t>Dans ses articles 28 a) et 28 b), la loi n</w:t>
      </w:r>
      <w:r>
        <w:rPr>
          <w:vertAlign w:val="superscript"/>
        </w:rPr>
        <w:t>o</w:t>
      </w:r>
      <w:r>
        <w:t> 59</w:t>
      </w:r>
      <w:r>
        <w:noBreakHyphen/>
        <w:t>28 du 24 février 1959 sur l’Administration pénitentiaire par son décret d’application n</w:t>
      </w:r>
      <w:r>
        <w:rPr>
          <w:vertAlign w:val="superscript"/>
        </w:rPr>
        <w:t>o</w:t>
      </w:r>
      <w:r>
        <w:t> 59</w:t>
      </w:r>
      <w:r>
        <w:noBreakHyphen/>
        <w:t>121 du 27 octobre 1959 portant organisation générale des services pénitentiaires de Madagascar, prévoit le traitement humain et le respect de la dignité humaine inhérent à la personne humaine:</w:t>
      </w:r>
    </w:p>
    <w:p w:rsidR="00000000" w:rsidRDefault="00000000">
      <w:pPr>
        <w:spacing w:after="240"/>
        <w:ind w:firstLine="567"/>
        <w:rPr>
          <w:i/>
          <w:iCs/>
        </w:rPr>
      </w:pPr>
      <w:r>
        <w:rPr>
          <w:iCs/>
        </w:rPr>
        <w:t>«</w:t>
      </w:r>
      <w:r>
        <w:rPr>
          <w:i/>
          <w:iCs/>
        </w:rPr>
        <w:t>Il est interdit au personnel de tout établissement pénitentiaire</w:t>
      </w:r>
      <w:r>
        <w:t>:</w:t>
      </w:r>
    </w:p>
    <w:p w:rsidR="00000000" w:rsidRDefault="00000000">
      <w:pPr>
        <w:spacing w:after="240"/>
        <w:ind w:left="567"/>
        <w:rPr>
          <w:i/>
          <w:iCs/>
        </w:rPr>
      </w:pPr>
      <w:r>
        <w:rPr>
          <w:i/>
          <w:iCs/>
        </w:rPr>
        <w:t>d’exercer des voies de fait sur les détenus, d’user à leur égard des dénominations injurieuses et de langage grossier, d’avoir avec eux des entretiens familiers;</w:t>
      </w:r>
    </w:p>
    <w:p w:rsidR="00000000" w:rsidRDefault="00000000">
      <w:pPr>
        <w:spacing w:after="240"/>
        <w:ind w:left="567"/>
        <w:rPr>
          <w:i/>
          <w:iCs/>
        </w:rPr>
      </w:pPr>
      <w:r>
        <w:rPr>
          <w:i/>
          <w:iCs/>
        </w:rPr>
        <w:t>d’utiliser les détenus pour son service particulier et de se faire assister par eux dans son travail sauf autorisation exceptionnelle donnée par décision du directeur de l’Administration pénitentiaire.</w:t>
      </w:r>
      <w:r>
        <w:rPr>
          <w:iCs/>
        </w:rPr>
        <w:t>».</w:t>
      </w:r>
    </w:p>
    <w:p w:rsidR="00000000" w:rsidRDefault="00000000">
      <w:pPr>
        <w:spacing w:after="240"/>
      </w:pPr>
      <w:r>
        <w:t>155.</w:t>
      </w:r>
      <w:r>
        <w:tab/>
        <w:t>Ces dispositions sont conformes aux termes de l’article 5 de la Charte des Nations Unies sur les droits de l’homme ainsi libellé:</w:t>
      </w:r>
    </w:p>
    <w:p w:rsidR="00000000" w:rsidRDefault="00000000">
      <w:pPr>
        <w:spacing w:after="240"/>
        <w:ind w:left="567"/>
        <w:rPr>
          <w:i/>
          <w:iCs/>
        </w:rPr>
      </w:pPr>
      <w:r>
        <w:rPr>
          <w:iCs/>
        </w:rPr>
        <w:t>«</w:t>
      </w:r>
      <w:r>
        <w:rPr>
          <w:i/>
          <w:iCs/>
        </w:rPr>
        <w:t>Nul ne sera soumis à la torture, ni à des peines ou traitements cruels, inhumains ou dégradants.</w:t>
      </w:r>
      <w:r>
        <w:rPr>
          <w:iCs/>
        </w:rPr>
        <w:t>»</w:t>
      </w:r>
      <w:r>
        <w:rPr>
          <w:i/>
          <w:iCs/>
        </w:rPr>
        <w:t>.</w:t>
      </w:r>
    </w:p>
    <w:p w:rsidR="00000000" w:rsidRDefault="00000000">
      <w:pPr>
        <w:spacing w:after="240"/>
      </w:pPr>
      <w:r>
        <w:t>156.</w:t>
      </w:r>
      <w:r>
        <w:tab/>
        <w:t xml:space="preserve">La plupart des établissements pénitentiaires malagasy datent de l’époque coloniale. Du fait de leur vétusté, le Gouvernement malagasy a entrepris des efforts pour les réhabiliter, en partenariat avec des chancelleries étrangères et des organismes internationaux. </w:t>
      </w:r>
    </w:p>
    <w:p w:rsidR="00000000" w:rsidRDefault="00000000">
      <w:pPr>
        <w:keepNext/>
        <w:spacing w:after="240"/>
        <w:rPr>
          <w:b/>
          <w:bCs/>
        </w:rPr>
      </w:pPr>
      <w:r>
        <w:rPr>
          <w:b/>
          <w:bCs/>
        </w:rPr>
        <w:t>Affectation des détenus dans des locaux distincts</w:t>
      </w:r>
    </w:p>
    <w:p w:rsidR="00000000" w:rsidRDefault="00000000">
      <w:pPr>
        <w:keepNext/>
        <w:spacing w:after="240"/>
        <w:rPr>
          <w:color w:val="000000"/>
        </w:rPr>
      </w:pPr>
      <w:r>
        <w:rPr>
          <w:color w:val="000000"/>
        </w:rPr>
        <w:t>157.</w:t>
      </w:r>
      <w:r>
        <w:rPr>
          <w:color w:val="000000"/>
        </w:rPr>
        <w:tab/>
        <w:t xml:space="preserve">L’article 38 dans ses alinéas 1 et 2 stipule: </w:t>
      </w:r>
    </w:p>
    <w:p w:rsidR="00000000" w:rsidRDefault="00000000">
      <w:pPr>
        <w:spacing w:after="240"/>
        <w:ind w:left="567"/>
        <w:rPr>
          <w:i/>
          <w:iCs/>
        </w:rPr>
      </w:pPr>
      <w:r>
        <w:rPr>
          <w:iCs/>
        </w:rPr>
        <w:t>«</w:t>
      </w:r>
      <w:r>
        <w:rPr>
          <w:i/>
          <w:iCs/>
        </w:rPr>
        <w:t>Les inculpés, les prévenus et accusés seront séparés des condamnés. À défaut de quartiers spéciaux, dans les maisons d’arrêt et de sûreté, des locaux différents seront aménagés.</w:t>
      </w:r>
      <w:r>
        <w:rPr>
          <w:iCs/>
        </w:rPr>
        <w:t>»</w:t>
      </w:r>
      <w:r>
        <w:rPr>
          <w:i/>
          <w:iCs/>
        </w:rPr>
        <w:t>.</w:t>
      </w:r>
    </w:p>
    <w:p w:rsidR="00000000" w:rsidRDefault="00000000">
      <w:pPr>
        <w:keepNext/>
        <w:spacing w:after="240"/>
        <w:rPr>
          <w:i/>
          <w:iCs/>
        </w:rPr>
      </w:pPr>
      <w:r>
        <w:rPr>
          <w:i/>
          <w:iCs/>
        </w:rPr>
        <w:t>158.</w:t>
      </w:r>
      <w:r>
        <w:rPr>
          <w:i/>
          <w:iCs/>
        </w:rPr>
        <w:tab/>
      </w:r>
      <w:r>
        <w:rPr>
          <w:iCs/>
        </w:rPr>
        <w:t>«</w:t>
      </w:r>
      <w:r>
        <w:rPr>
          <w:i/>
          <w:iCs/>
        </w:rPr>
        <w:t>Dans tout établissement pénitentiaire, des quartiers spéciaux seront affectés:</w:t>
      </w:r>
    </w:p>
    <w:p w:rsidR="00000000" w:rsidRDefault="00000000">
      <w:pPr>
        <w:spacing w:after="240"/>
        <w:ind w:firstLine="567"/>
        <w:rPr>
          <w:i/>
          <w:iCs/>
        </w:rPr>
      </w:pPr>
      <w:r>
        <w:rPr>
          <w:i/>
          <w:iCs/>
        </w:rPr>
        <w:t>a)</w:t>
      </w:r>
      <w:r>
        <w:rPr>
          <w:i/>
          <w:iCs/>
        </w:rPr>
        <w:tab/>
        <w:t>Aux mineurs de dix huit ans;</w:t>
      </w:r>
    </w:p>
    <w:p w:rsidR="00000000" w:rsidRDefault="00000000">
      <w:pPr>
        <w:spacing w:after="240"/>
        <w:ind w:firstLine="567"/>
        <w:rPr>
          <w:i/>
          <w:iCs/>
        </w:rPr>
      </w:pPr>
      <w:r>
        <w:rPr>
          <w:i/>
          <w:iCs/>
        </w:rPr>
        <w:t>b)</w:t>
      </w:r>
      <w:r>
        <w:rPr>
          <w:i/>
          <w:iCs/>
        </w:rPr>
        <w:tab/>
        <w:t>Aux femmes;</w:t>
      </w:r>
    </w:p>
    <w:p w:rsidR="00000000" w:rsidRDefault="00000000">
      <w:pPr>
        <w:spacing w:after="240"/>
        <w:ind w:firstLine="567"/>
        <w:rPr>
          <w:i/>
          <w:iCs/>
        </w:rPr>
      </w:pPr>
      <w:r>
        <w:rPr>
          <w:i/>
          <w:iCs/>
        </w:rPr>
        <w:t>c)</w:t>
      </w:r>
      <w:r>
        <w:rPr>
          <w:i/>
          <w:iCs/>
        </w:rPr>
        <w:tab/>
        <w:t>Aux condamnés politiques;</w:t>
      </w:r>
    </w:p>
    <w:p w:rsidR="00000000" w:rsidRDefault="00000000">
      <w:pPr>
        <w:spacing w:after="240"/>
        <w:ind w:firstLine="567"/>
        <w:rPr>
          <w:i/>
          <w:iCs/>
        </w:rPr>
      </w:pPr>
      <w:r>
        <w:rPr>
          <w:i/>
          <w:iCs/>
        </w:rPr>
        <w:t>d)</w:t>
      </w:r>
      <w:r>
        <w:rPr>
          <w:i/>
          <w:iCs/>
        </w:rPr>
        <w:tab/>
        <w:t>Aux contraints par corps;</w:t>
      </w:r>
    </w:p>
    <w:p w:rsidR="00000000" w:rsidRDefault="00000000">
      <w:pPr>
        <w:spacing w:after="240"/>
        <w:ind w:firstLine="567"/>
      </w:pPr>
      <w:r>
        <w:rPr>
          <w:i/>
          <w:iCs/>
        </w:rPr>
        <w:t>e)</w:t>
      </w:r>
      <w:r>
        <w:rPr>
          <w:i/>
          <w:iCs/>
        </w:rPr>
        <w:tab/>
        <w:t>Aux relégués.</w:t>
      </w:r>
      <w:r>
        <w:rPr>
          <w:iCs/>
        </w:rPr>
        <w:t>».</w:t>
      </w:r>
    </w:p>
    <w:p w:rsidR="00000000" w:rsidRDefault="00000000">
      <w:pPr>
        <w:spacing w:after="240"/>
      </w:pPr>
      <w:r>
        <w:t>159.</w:t>
      </w:r>
      <w:r>
        <w:tab/>
        <w:t>L’article 10 du pacte n’a pu être pleinement appliqué en raison de déficit en moyens matériels, financiers et humains. Cette situation s’explique aussi par l’accroissement de la population carcérale.</w:t>
      </w:r>
    </w:p>
    <w:p w:rsidR="00000000" w:rsidRDefault="00000000">
      <w:pPr>
        <w:keepNext/>
        <w:spacing w:after="240"/>
        <w:rPr>
          <w:color w:val="000000"/>
        </w:rPr>
      </w:pPr>
      <w:r>
        <w:rPr>
          <w:b/>
          <w:bCs/>
          <w:color w:val="000000"/>
        </w:rPr>
        <w:t>Les différents quartiers dans les établissements pénitentiaires</w:t>
      </w:r>
    </w:p>
    <w:p w:rsidR="00000000" w:rsidRDefault="00000000">
      <w:pPr>
        <w:spacing w:after="240"/>
        <w:rPr>
          <w:color w:val="000000"/>
        </w:rPr>
      </w:pPr>
      <w:r>
        <w:rPr>
          <w:color w:val="000000"/>
        </w:rPr>
        <w:t>160.</w:t>
      </w:r>
      <w:r>
        <w:rPr>
          <w:color w:val="000000"/>
        </w:rPr>
        <w:tab/>
        <w:t>Le décret n</w:t>
      </w:r>
      <w:r>
        <w:rPr>
          <w:color w:val="000000"/>
          <w:vertAlign w:val="superscript"/>
        </w:rPr>
        <w:t>o</w:t>
      </w:r>
      <w:r>
        <w:rPr>
          <w:color w:val="000000"/>
        </w:rPr>
        <w:t> 59-121 du 27 octobre 1959 portant organisation générale des services pénitentiaires de Madagascar, composé de 76 articles, prévoit l’existence de différents quartiers.</w:t>
      </w:r>
    </w:p>
    <w:p w:rsidR="00000000" w:rsidRDefault="00000000">
      <w:pPr>
        <w:spacing w:after="240"/>
        <w:rPr>
          <w:color w:val="000000"/>
        </w:rPr>
      </w:pPr>
      <w:r>
        <w:rPr>
          <w:color w:val="000000"/>
        </w:rPr>
        <w:t>161.</w:t>
      </w:r>
      <w:r>
        <w:rPr>
          <w:color w:val="000000"/>
        </w:rPr>
        <w:tab/>
        <w:t>Un quartier est réservé aux détenus de sexe masculin sans distinction de leur situation pénale. À l’origine, des quartiers étaient réservés aux prévenus et aux condamnés. Mais compte tenu de l’insuffisance des locaux due à la surpopulation carcérale, les prévenus et les condamnés sont regroupés dans un même quartier.</w:t>
      </w:r>
    </w:p>
    <w:p w:rsidR="00000000" w:rsidRDefault="00000000">
      <w:pPr>
        <w:spacing w:after="240"/>
        <w:rPr>
          <w:color w:val="000000"/>
        </w:rPr>
      </w:pPr>
      <w:r>
        <w:rPr>
          <w:color w:val="000000"/>
        </w:rPr>
        <w:t>162.</w:t>
      </w:r>
      <w:r>
        <w:rPr>
          <w:color w:val="000000"/>
        </w:rPr>
        <w:tab/>
        <w:t>Le quartier réservé auparavant aux condamnés politiques est actuellement occupé par des détenus de droit commun.</w:t>
      </w:r>
    </w:p>
    <w:p w:rsidR="00000000" w:rsidRDefault="00000000">
      <w:pPr>
        <w:spacing w:after="240"/>
        <w:rPr>
          <w:color w:val="000000"/>
        </w:rPr>
      </w:pPr>
      <w:r>
        <w:rPr>
          <w:color w:val="000000"/>
        </w:rPr>
        <w:t>163.</w:t>
      </w:r>
      <w:r>
        <w:rPr>
          <w:color w:val="000000"/>
        </w:rPr>
        <w:tab/>
        <w:t>Un quartier est également réservé aux femmes détenues, accompagnées ou non de leur nouveau né.</w:t>
      </w:r>
    </w:p>
    <w:p w:rsidR="00000000" w:rsidRDefault="00000000">
      <w:pPr>
        <w:spacing w:after="240"/>
        <w:rPr>
          <w:color w:val="000000"/>
        </w:rPr>
      </w:pPr>
      <w:r>
        <w:rPr>
          <w:color w:val="000000"/>
        </w:rPr>
        <w:t>164.</w:t>
      </w:r>
      <w:r>
        <w:rPr>
          <w:color w:val="000000"/>
        </w:rPr>
        <w:tab/>
        <w:t>Un quartier spécial est aménagé pour les mineurs.</w:t>
      </w:r>
    </w:p>
    <w:p w:rsidR="00000000" w:rsidRDefault="00000000">
      <w:pPr>
        <w:spacing w:after="240"/>
        <w:jc w:val="center"/>
        <w:rPr>
          <w:b/>
          <w:bCs/>
        </w:rPr>
      </w:pPr>
      <w:bookmarkStart w:id="30" w:name="_Toc98224971"/>
      <w:r>
        <w:rPr>
          <w:b/>
          <w:bCs/>
        </w:rPr>
        <w:t>Tableau 41: Effectif des détenus à la Maison centrale d’Antanimora,</w:t>
      </w:r>
      <w:r>
        <w:rPr>
          <w:b/>
          <w:bCs/>
        </w:rPr>
        <w:br/>
        <w:t>Antananarivo, de décembre 2002 à décembre 2003</w:t>
      </w:r>
      <w:bookmarkEnd w:id="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9"/>
        <w:gridCol w:w="3211"/>
        <w:gridCol w:w="3211"/>
      </w:tblGrid>
      <w:tr w:rsidR="00000000">
        <w:tblPrEx>
          <w:tblCellMar>
            <w:top w:w="0" w:type="dxa"/>
            <w:bottom w:w="0" w:type="dxa"/>
          </w:tblCellMar>
        </w:tblPrEx>
        <w:tc>
          <w:tcPr>
            <w:tcW w:w="3019" w:type="dxa"/>
            <w:vAlign w:val="center"/>
          </w:tcPr>
          <w:p w:rsidR="00000000" w:rsidRDefault="00000000">
            <w:pPr>
              <w:spacing w:before="60" w:after="60"/>
              <w:jc w:val="center"/>
              <w:rPr>
                <w:color w:val="000000"/>
              </w:rPr>
            </w:pPr>
            <w:r>
              <w:rPr>
                <w:color w:val="000000"/>
              </w:rPr>
              <w:t>Détenus</w:t>
            </w:r>
          </w:p>
        </w:tc>
        <w:tc>
          <w:tcPr>
            <w:tcW w:w="3211" w:type="dxa"/>
            <w:vAlign w:val="center"/>
          </w:tcPr>
          <w:p w:rsidR="00000000" w:rsidRDefault="00000000">
            <w:pPr>
              <w:spacing w:before="60" w:after="60"/>
              <w:jc w:val="center"/>
              <w:rPr>
                <w:color w:val="000000"/>
              </w:rPr>
            </w:pPr>
            <w:r>
              <w:rPr>
                <w:color w:val="000000"/>
              </w:rPr>
              <w:t>Décembre 2002</w:t>
            </w:r>
          </w:p>
        </w:tc>
        <w:tc>
          <w:tcPr>
            <w:tcW w:w="3211" w:type="dxa"/>
            <w:vAlign w:val="center"/>
          </w:tcPr>
          <w:p w:rsidR="00000000" w:rsidRDefault="00000000">
            <w:pPr>
              <w:spacing w:before="60" w:after="60"/>
              <w:jc w:val="center"/>
              <w:rPr>
                <w:color w:val="000000"/>
              </w:rPr>
            </w:pPr>
            <w:r>
              <w:rPr>
                <w:color w:val="000000"/>
              </w:rPr>
              <w:t>Décembre 2003</w:t>
            </w:r>
          </w:p>
        </w:tc>
      </w:tr>
      <w:tr w:rsidR="00000000">
        <w:tblPrEx>
          <w:tblCellMar>
            <w:top w:w="0" w:type="dxa"/>
            <w:bottom w:w="0" w:type="dxa"/>
          </w:tblCellMar>
        </w:tblPrEx>
        <w:tc>
          <w:tcPr>
            <w:tcW w:w="3019" w:type="dxa"/>
          </w:tcPr>
          <w:p w:rsidR="00000000" w:rsidRDefault="00000000">
            <w:pPr>
              <w:spacing w:before="60" w:after="60"/>
              <w:rPr>
                <w:color w:val="000000"/>
              </w:rPr>
            </w:pPr>
            <w:r>
              <w:rPr>
                <w:color w:val="000000"/>
              </w:rPr>
              <w:t>Prévenus</w:t>
            </w:r>
          </w:p>
        </w:tc>
        <w:tc>
          <w:tcPr>
            <w:tcW w:w="3211" w:type="dxa"/>
          </w:tcPr>
          <w:p w:rsidR="00000000" w:rsidRDefault="00000000">
            <w:pPr>
              <w:spacing w:before="60" w:after="60"/>
              <w:ind w:right="1170"/>
              <w:jc w:val="right"/>
              <w:rPr>
                <w:color w:val="000000"/>
              </w:rPr>
            </w:pPr>
            <w:r>
              <w:rPr>
                <w:color w:val="000000"/>
              </w:rPr>
              <w:t>2 422</w:t>
            </w:r>
          </w:p>
        </w:tc>
        <w:tc>
          <w:tcPr>
            <w:tcW w:w="3211" w:type="dxa"/>
          </w:tcPr>
          <w:p w:rsidR="00000000" w:rsidRDefault="00000000">
            <w:pPr>
              <w:spacing w:before="60" w:after="60"/>
              <w:ind w:right="1170"/>
              <w:jc w:val="right"/>
              <w:rPr>
                <w:color w:val="000000"/>
              </w:rPr>
            </w:pPr>
            <w:r>
              <w:rPr>
                <w:color w:val="000000"/>
              </w:rPr>
              <w:t>2 111</w:t>
            </w:r>
          </w:p>
        </w:tc>
      </w:tr>
      <w:tr w:rsidR="00000000">
        <w:tblPrEx>
          <w:tblCellMar>
            <w:top w:w="0" w:type="dxa"/>
            <w:bottom w:w="0" w:type="dxa"/>
          </w:tblCellMar>
        </w:tblPrEx>
        <w:tc>
          <w:tcPr>
            <w:tcW w:w="3019" w:type="dxa"/>
          </w:tcPr>
          <w:p w:rsidR="00000000" w:rsidRDefault="00000000">
            <w:pPr>
              <w:spacing w:before="60" w:after="60"/>
              <w:rPr>
                <w:color w:val="000000"/>
              </w:rPr>
            </w:pPr>
            <w:r>
              <w:rPr>
                <w:color w:val="000000"/>
              </w:rPr>
              <w:t>Condamnés</w:t>
            </w:r>
          </w:p>
        </w:tc>
        <w:tc>
          <w:tcPr>
            <w:tcW w:w="3211" w:type="dxa"/>
          </w:tcPr>
          <w:p w:rsidR="00000000" w:rsidRDefault="00000000">
            <w:pPr>
              <w:spacing w:before="60" w:after="60"/>
              <w:ind w:right="1170"/>
              <w:jc w:val="right"/>
              <w:rPr>
                <w:color w:val="000000"/>
              </w:rPr>
            </w:pPr>
            <w:r>
              <w:rPr>
                <w:color w:val="000000"/>
              </w:rPr>
              <w:t>1 105</w:t>
            </w:r>
          </w:p>
        </w:tc>
        <w:tc>
          <w:tcPr>
            <w:tcW w:w="3211" w:type="dxa"/>
          </w:tcPr>
          <w:p w:rsidR="00000000" w:rsidRDefault="00000000">
            <w:pPr>
              <w:spacing w:before="60" w:after="60"/>
              <w:ind w:right="1170"/>
              <w:jc w:val="right"/>
              <w:rPr>
                <w:color w:val="000000"/>
              </w:rPr>
            </w:pPr>
            <w:r>
              <w:rPr>
                <w:color w:val="000000"/>
              </w:rPr>
              <w:t>1 202</w:t>
            </w:r>
          </w:p>
        </w:tc>
      </w:tr>
      <w:tr w:rsidR="00000000">
        <w:tblPrEx>
          <w:tblCellMar>
            <w:top w:w="0" w:type="dxa"/>
            <w:bottom w:w="0" w:type="dxa"/>
          </w:tblCellMar>
        </w:tblPrEx>
        <w:tc>
          <w:tcPr>
            <w:tcW w:w="3019" w:type="dxa"/>
          </w:tcPr>
          <w:p w:rsidR="00000000" w:rsidRDefault="00000000">
            <w:pPr>
              <w:spacing w:before="60" w:after="60"/>
              <w:rPr>
                <w:color w:val="000000"/>
              </w:rPr>
            </w:pPr>
            <w:r>
              <w:rPr>
                <w:color w:val="000000"/>
              </w:rPr>
              <w:t>Total</w:t>
            </w:r>
          </w:p>
        </w:tc>
        <w:tc>
          <w:tcPr>
            <w:tcW w:w="3211" w:type="dxa"/>
          </w:tcPr>
          <w:p w:rsidR="00000000" w:rsidRDefault="00000000">
            <w:pPr>
              <w:spacing w:before="60" w:after="60"/>
              <w:ind w:right="1170"/>
              <w:jc w:val="right"/>
              <w:rPr>
                <w:color w:val="000000"/>
              </w:rPr>
            </w:pPr>
            <w:r>
              <w:rPr>
                <w:color w:val="000000"/>
              </w:rPr>
              <w:t>3 507</w:t>
            </w:r>
          </w:p>
        </w:tc>
        <w:tc>
          <w:tcPr>
            <w:tcW w:w="3211" w:type="dxa"/>
          </w:tcPr>
          <w:p w:rsidR="00000000" w:rsidRDefault="00000000">
            <w:pPr>
              <w:spacing w:before="60" w:after="60"/>
              <w:ind w:right="1170"/>
              <w:jc w:val="right"/>
              <w:rPr>
                <w:color w:val="000000"/>
              </w:rPr>
            </w:pPr>
            <w:r>
              <w:rPr>
                <w:color w:val="000000"/>
              </w:rPr>
              <w:t>3 303</w:t>
            </w:r>
          </w:p>
        </w:tc>
      </w:tr>
    </w:tbl>
    <w:p w:rsidR="00000000" w:rsidRDefault="00000000">
      <w:pPr>
        <w:spacing w:after="240"/>
        <w:rPr>
          <w:color w:val="000000"/>
        </w:rPr>
      </w:pPr>
    </w:p>
    <w:p w:rsidR="00000000" w:rsidRDefault="00000000">
      <w:pPr>
        <w:keepNext/>
        <w:spacing w:after="240"/>
        <w:jc w:val="center"/>
        <w:rPr>
          <w:b/>
          <w:bCs/>
        </w:rPr>
      </w:pPr>
      <w:bookmarkStart w:id="31" w:name="_Toc98224972"/>
      <w:r>
        <w:rPr>
          <w:b/>
          <w:bCs/>
        </w:rPr>
        <w:t>Tableau 42: Effectif des détenues à la Maison centrale d’Antanimora,</w:t>
      </w:r>
      <w:r>
        <w:rPr>
          <w:b/>
          <w:bCs/>
        </w:rPr>
        <w:br/>
        <w:t>Antananarivo, de décembre 2002 à décembre 2003</w:t>
      </w:r>
      <w:bookmarkEnd w:id="3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9"/>
        <w:gridCol w:w="3211"/>
        <w:gridCol w:w="3211"/>
      </w:tblGrid>
      <w:tr w:rsidR="00000000">
        <w:tblPrEx>
          <w:tblCellMar>
            <w:top w:w="0" w:type="dxa"/>
            <w:bottom w:w="0" w:type="dxa"/>
          </w:tblCellMar>
        </w:tblPrEx>
        <w:tc>
          <w:tcPr>
            <w:tcW w:w="3019" w:type="dxa"/>
            <w:vAlign w:val="center"/>
          </w:tcPr>
          <w:p w:rsidR="00000000" w:rsidRDefault="00000000">
            <w:pPr>
              <w:keepNext/>
              <w:spacing w:before="60" w:after="60"/>
              <w:jc w:val="center"/>
              <w:rPr>
                <w:color w:val="000000"/>
              </w:rPr>
            </w:pPr>
            <w:r>
              <w:rPr>
                <w:color w:val="000000"/>
              </w:rPr>
              <w:t>Détenues</w:t>
            </w:r>
          </w:p>
        </w:tc>
        <w:tc>
          <w:tcPr>
            <w:tcW w:w="3211" w:type="dxa"/>
            <w:vAlign w:val="center"/>
          </w:tcPr>
          <w:p w:rsidR="00000000" w:rsidRDefault="00000000">
            <w:pPr>
              <w:spacing w:before="60" w:after="60"/>
              <w:jc w:val="center"/>
              <w:rPr>
                <w:color w:val="000000"/>
              </w:rPr>
            </w:pPr>
            <w:r>
              <w:rPr>
                <w:color w:val="000000"/>
              </w:rPr>
              <w:t>Décembre 2002</w:t>
            </w:r>
          </w:p>
        </w:tc>
        <w:tc>
          <w:tcPr>
            <w:tcW w:w="3211" w:type="dxa"/>
            <w:vAlign w:val="center"/>
          </w:tcPr>
          <w:p w:rsidR="00000000" w:rsidRDefault="00000000">
            <w:pPr>
              <w:spacing w:before="60" w:after="60"/>
              <w:jc w:val="center"/>
              <w:rPr>
                <w:color w:val="000000"/>
              </w:rPr>
            </w:pPr>
            <w:r>
              <w:rPr>
                <w:color w:val="000000"/>
              </w:rPr>
              <w:t>Décembre 2003</w:t>
            </w:r>
          </w:p>
        </w:tc>
      </w:tr>
      <w:tr w:rsidR="00000000">
        <w:tblPrEx>
          <w:tblCellMar>
            <w:top w:w="0" w:type="dxa"/>
            <w:bottom w:w="0" w:type="dxa"/>
          </w:tblCellMar>
        </w:tblPrEx>
        <w:tc>
          <w:tcPr>
            <w:tcW w:w="3019" w:type="dxa"/>
          </w:tcPr>
          <w:p w:rsidR="00000000" w:rsidRDefault="00000000">
            <w:pPr>
              <w:spacing w:before="60" w:after="60"/>
              <w:rPr>
                <w:color w:val="000000"/>
              </w:rPr>
            </w:pPr>
            <w:r>
              <w:rPr>
                <w:color w:val="000000"/>
              </w:rPr>
              <w:t>Prévenues</w:t>
            </w:r>
          </w:p>
        </w:tc>
        <w:tc>
          <w:tcPr>
            <w:tcW w:w="3211" w:type="dxa"/>
          </w:tcPr>
          <w:p w:rsidR="00000000" w:rsidRDefault="00000000">
            <w:pPr>
              <w:spacing w:before="60" w:after="60"/>
              <w:ind w:right="1170"/>
              <w:jc w:val="right"/>
              <w:rPr>
                <w:color w:val="000000"/>
              </w:rPr>
            </w:pPr>
            <w:r>
              <w:rPr>
                <w:color w:val="000000"/>
              </w:rPr>
              <w:t>116</w:t>
            </w:r>
          </w:p>
        </w:tc>
        <w:tc>
          <w:tcPr>
            <w:tcW w:w="3211" w:type="dxa"/>
          </w:tcPr>
          <w:p w:rsidR="00000000" w:rsidRDefault="00000000">
            <w:pPr>
              <w:spacing w:before="60" w:after="60"/>
              <w:ind w:right="1170"/>
              <w:jc w:val="right"/>
              <w:rPr>
                <w:color w:val="000000"/>
              </w:rPr>
            </w:pPr>
            <w:r>
              <w:rPr>
                <w:color w:val="000000"/>
              </w:rPr>
              <w:t>115</w:t>
            </w:r>
          </w:p>
        </w:tc>
      </w:tr>
      <w:tr w:rsidR="00000000">
        <w:tblPrEx>
          <w:tblCellMar>
            <w:top w:w="0" w:type="dxa"/>
            <w:bottom w:w="0" w:type="dxa"/>
          </w:tblCellMar>
        </w:tblPrEx>
        <w:tc>
          <w:tcPr>
            <w:tcW w:w="3019" w:type="dxa"/>
          </w:tcPr>
          <w:p w:rsidR="00000000" w:rsidRDefault="00000000">
            <w:pPr>
              <w:spacing w:before="60" w:after="60"/>
              <w:rPr>
                <w:color w:val="000000"/>
              </w:rPr>
            </w:pPr>
            <w:r>
              <w:rPr>
                <w:color w:val="000000"/>
              </w:rPr>
              <w:t>Condamnées</w:t>
            </w:r>
          </w:p>
        </w:tc>
        <w:tc>
          <w:tcPr>
            <w:tcW w:w="3211" w:type="dxa"/>
          </w:tcPr>
          <w:p w:rsidR="00000000" w:rsidRDefault="00000000">
            <w:pPr>
              <w:spacing w:before="60" w:after="60"/>
              <w:ind w:right="1170"/>
              <w:jc w:val="right"/>
              <w:rPr>
                <w:color w:val="000000"/>
              </w:rPr>
            </w:pPr>
            <w:r>
              <w:rPr>
                <w:color w:val="000000"/>
              </w:rPr>
              <w:t>46</w:t>
            </w:r>
          </w:p>
        </w:tc>
        <w:tc>
          <w:tcPr>
            <w:tcW w:w="3211" w:type="dxa"/>
          </w:tcPr>
          <w:p w:rsidR="00000000" w:rsidRDefault="00000000">
            <w:pPr>
              <w:spacing w:before="60" w:after="60"/>
              <w:ind w:right="1170"/>
              <w:jc w:val="right"/>
              <w:rPr>
                <w:color w:val="000000"/>
              </w:rPr>
            </w:pPr>
            <w:r>
              <w:rPr>
                <w:color w:val="000000"/>
              </w:rPr>
              <w:t>71</w:t>
            </w:r>
          </w:p>
        </w:tc>
      </w:tr>
      <w:tr w:rsidR="00000000">
        <w:tblPrEx>
          <w:tblCellMar>
            <w:top w:w="0" w:type="dxa"/>
            <w:bottom w:w="0" w:type="dxa"/>
          </w:tblCellMar>
        </w:tblPrEx>
        <w:tc>
          <w:tcPr>
            <w:tcW w:w="3019" w:type="dxa"/>
          </w:tcPr>
          <w:p w:rsidR="00000000" w:rsidRDefault="00000000">
            <w:pPr>
              <w:spacing w:before="60" w:after="60"/>
              <w:rPr>
                <w:color w:val="000000"/>
              </w:rPr>
            </w:pPr>
            <w:r>
              <w:rPr>
                <w:color w:val="000000"/>
              </w:rPr>
              <w:t>Total</w:t>
            </w:r>
          </w:p>
        </w:tc>
        <w:tc>
          <w:tcPr>
            <w:tcW w:w="3211" w:type="dxa"/>
          </w:tcPr>
          <w:p w:rsidR="00000000" w:rsidRDefault="00000000">
            <w:pPr>
              <w:spacing w:before="60" w:after="60"/>
              <w:ind w:right="1170"/>
              <w:jc w:val="right"/>
              <w:rPr>
                <w:color w:val="000000"/>
              </w:rPr>
            </w:pPr>
            <w:r>
              <w:rPr>
                <w:color w:val="000000"/>
              </w:rPr>
              <w:t>162</w:t>
            </w:r>
          </w:p>
        </w:tc>
        <w:tc>
          <w:tcPr>
            <w:tcW w:w="3211" w:type="dxa"/>
          </w:tcPr>
          <w:p w:rsidR="00000000" w:rsidRDefault="00000000">
            <w:pPr>
              <w:spacing w:before="60" w:after="60"/>
              <w:ind w:right="1170"/>
              <w:jc w:val="right"/>
              <w:rPr>
                <w:color w:val="000000"/>
              </w:rPr>
            </w:pPr>
            <w:r>
              <w:rPr>
                <w:color w:val="000000"/>
              </w:rPr>
              <w:t>186</w:t>
            </w:r>
          </w:p>
        </w:tc>
      </w:tr>
    </w:tbl>
    <w:p w:rsidR="00000000" w:rsidRDefault="00000000">
      <w:pPr>
        <w:spacing w:after="240"/>
        <w:rPr>
          <w:color w:val="000000"/>
          <w:u w:val="single"/>
        </w:rPr>
      </w:pPr>
    </w:p>
    <w:p w:rsidR="00000000" w:rsidRDefault="00000000">
      <w:pPr>
        <w:spacing w:after="240"/>
        <w:jc w:val="center"/>
        <w:rPr>
          <w:b/>
          <w:bCs/>
          <w:color w:val="000000"/>
        </w:rPr>
      </w:pPr>
      <w:bookmarkStart w:id="32" w:name="_Toc98224973"/>
      <w:r>
        <w:rPr>
          <w:b/>
          <w:bCs/>
          <w:color w:val="000000"/>
        </w:rPr>
        <w:t>Tableau 43: Effectif des mineurs détenus à la Maison centrale d’Antanimora, Antananarivo, de décembre 2002 à décembre 2003</w:t>
      </w:r>
      <w:bookmarkEnd w:id="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9"/>
        <w:gridCol w:w="3211"/>
        <w:gridCol w:w="3211"/>
      </w:tblGrid>
      <w:tr w:rsidR="00000000">
        <w:tblPrEx>
          <w:tblCellMar>
            <w:top w:w="0" w:type="dxa"/>
            <w:bottom w:w="0" w:type="dxa"/>
          </w:tblCellMar>
        </w:tblPrEx>
        <w:tc>
          <w:tcPr>
            <w:tcW w:w="3019" w:type="dxa"/>
            <w:vAlign w:val="center"/>
          </w:tcPr>
          <w:p w:rsidR="00000000" w:rsidRDefault="00000000">
            <w:pPr>
              <w:spacing w:before="60" w:after="60"/>
              <w:jc w:val="center"/>
              <w:rPr>
                <w:color w:val="000000"/>
              </w:rPr>
            </w:pPr>
            <w:r>
              <w:rPr>
                <w:color w:val="000000"/>
              </w:rPr>
              <w:t>Détenus</w:t>
            </w:r>
          </w:p>
        </w:tc>
        <w:tc>
          <w:tcPr>
            <w:tcW w:w="3211" w:type="dxa"/>
            <w:vAlign w:val="center"/>
          </w:tcPr>
          <w:p w:rsidR="00000000" w:rsidRDefault="00000000">
            <w:pPr>
              <w:spacing w:before="60" w:after="60"/>
              <w:jc w:val="center"/>
              <w:rPr>
                <w:color w:val="000000"/>
              </w:rPr>
            </w:pPr>
            <w:r>
              <w:rPr>
                <w:color w:val="000000"/>
              </w:rPr>
              <w:t>Décembre 2002</w:t>
            </w:r>
          </w:p>
        </w:tc>
        <w:tc>
          <w:tcPr>
            <w:tcW w:w="3211" w:type="dxa"/>
            <w:vAlign w:val="center"/>
          </w:tcPr>
          <w:p w:rsidR="00000000" w:rsidRDefault="00000000">
            <w:pPr>
              <w:spacing w:before="60" w:after="60"/>
              <w:jc w:val="center"/>
              <w:rPr>
                <w:color w:val="000000"/>
              </w:rPr>
            </w:pPr>
            <w:r>
              <w:rPr>
                <w:color w:val="000000"/>
              </w:rPr>
              <w:t>Décembre 2003</w:t>
            </w:r>
          </w:p>
        </w:tc>
      </w:tr>
      <w:tr w:rsidR="00000000">
        <w:tblPrEx>
          <w:tblCellMar>
            <w:top w:w="0" w:type="dxa"/>
            <w:bottom w:w="0" w:type="dxa"/>
          </w:tblCellMar>
        </w:tblPrEx>
        <w:tc>
          <w:tcPr>
            <w:tcW w:w="3019" w:type="dxa"/>
          </w:tcPr>
          <w:p w:rsidR="00000000" w:rsidRDefault="00000000">
            <w:pPr>
              <w:spacing w:before="60" w:after="60"/>
              <w:rPr>
                <w:i/>
                <w:iCs/>
                <w:color w:val="000000"/>
              </w:rPr>
            </w:pPr>
            <w:r>
              <w:rPr>
                <w:i/>
                <w:iCs/>
                <w:color w:val="000000"/>
              </w:rPr>
              <w:t>Garçons</w:t>
            </w:r>
          </w:p>
        </w:tc>
        <w:tc>
          <w:tcPr>
            <w:tcW w:w="3211" w:type="dxa"/>
          </w:tcPr>
          <w:p w:rsidR="00000000" w:rsidRDefault="00000000">
            <w:pPr>
              <w:spacing w:before="60" w:after="60"/>
              <w:ind w:right="1410"/>
              <w:jc w:val="right"/>
              <w:rPr>
                <w:color w:val="000000"/>
              </w:rPr>
            </w:pPr>
          </w:p>
        </w:tc>
        <w:tc>
          <w:tcPr>
            <w:tcW w:w="3211" w:type="dxa"/>
          </w:tcPr>
          <w:p w:rsidR="00000000" w:rsidRDefault="00000000">
            <w:pPr>
              <w:spacing w:before="60" w:after="60"/>
              <w:ind w:right="1410"/>
              <w:jc w:val="right"/>
              <w:rPr>
                <w:color w:val="000000"/>
              </w:rPr>
            </w:pPr>
          </w:p>
        </w:tc>
      </w:tr>
      <w:tr w:rsidR="00000000">
        <w:tblPrEx>
          <w:tblCellMar>
            <w:top w:w="0" w:type="dxa"/>
            <w:bottom w:w="0" w:type="dxa"/>
          </w:tblCellMar>
        </w:tblPrEx>
        <w:tc>
          <w:tcPr>
            <w:tcW w:w="3019" w:type="dxa"/>
          </w:tcPr>
          <w:p w:rsidR="00000000" w:rsidRDefault="00000000">
            <w:pPr>
              <w:spacing w:before="60" w:after="60"/>
              <w:rPr>
                <w:color w:val="000000"/>
              </w:rPr>
            </w:pPr>
            <w:r>
              <w:rPr>
                <w:color w:val="000000"/>
              </w:rPr>
              <w:t>Prévenus</w:t>
            </w:r>
          </w:p>
        </w:tc>
        <w:tc>
          <w:tcPr>
            <w:tcW w:w="3211" w:type="dxa"/>
          </w:tcPr>
          <w:p w:rsidR="00000000" w:rsidRDefault="00000000">
            <w:pPr>
              <w:spacing w:before="60" w:after="60"/>
              <w:ind w:right="1410"/>
              <w:jc w:val="right"/>
              <w:rPr>
                <w:color w:val="000000"/>
              </w:rPr>
            </w:pPr>
            <w:r>
              <w:rPr>
                <w:color w:val="000000"/>
              </w:rPr>
              <w:t>43</w:t>
            </w:r>
          </w:p>
        </w:tc>
        <w:tc>
          <w:tcPr>
            <w:tcW w:w="3211" w:type="dxa"/>
          </w:tcPr>
          <w:p w:rsidR="00000000" w:rsidRDefault="00000000">
            <w:pPr>
              <w:spacing w:before="60" w:after="60"/>
              <w:ind w:right="1410"/>
              <w:jc w:val="right"/>
              <w:rPr>
                <w:color w:val="000000"/>
              </w:rPr>
            </w:pPr>
            <w:r>
              <w:rPr>
                <w:color w:val="000000"/>
              </w:rPr>
              <w:t>40</w:t>
            </w:r>
          </w:p>
        </w:tc>
      </w:tr>
      <w:tr w:rsidR="00000000">
        <w:tblPrEx>
          <w:tblCellMar>
            <w:top w:w="0" w:type="dxa"/>
            <w:bottom w:w="0" w:type="dxa"/>
          </w:tblCellMar>
        </w:tblPrEx>
        <w:tc>
          <w:tcPr>
            <w:tcW w:w="3019" w:type="dxa"/>
          </w:tcPr>
          <w:p w:rsidR="00000000" w:rsidRDefault="00000000">
            <w:pPr>
              <w:spacing w:before="60" w:after="60"/>
              <w:rPr>
                <w:color w:val="000000"/>
              </w:rPr>
            </w:pPr>
            <w:r>
              <w:rPr>
                <w:color w:val="000000"/>
              </w:rPr>
              <w:t>Condamnés</w:t>
            </w:r>
          </w:p>
        </w:tc>
        <w:tc>
          <w:tcPr>
            <w:tcW w:w="3211" w:type="dxa"/>
          </w:tcPr>
          <w:p w:rsidR="00000000" w:rsidRDefault="00000000">
            <w:pPr>
              <w:spacing w:before="60" w:after="60"/>
              <w:ind w:right="1410"/>
              <w:jc w:val="right"/>
              <w:rPr>
                <w:color w:val="000000"/>
              </w:rPr>
            </w:pPr>
            <w:r>
              <w:rPr>
                <w:color w:val="000000"/>
              </w:rPr>
              <w:t>07</w:t>
            </w:r>
          </w:p>
        </w:tc>
        <w:tc>
          <w:tcPr>
            <w:tcW w:w="3211" w:type="dxa"/>
          </w:tcPr>
          <w:p w:rsidR="00000000" w:rsidRDefault="00000000">
            <w:pPr>
              <w:spacing w:before="60" w:after="60"/>
              <w:ind w:right="1410"/>
              <w:jc w:val="right"/>
              <w:rPr>
                <w:color w:val="000000"/>
              </w:rPr>
            </w:pPr>
            <w:r>
              <w:rPr>
                <w:color w:val="000000"/>
              </w:rPr>
              <w:t>05</w:t>
            </w:r>
          </w:p>
        </w:tc>
      </w:tr>
      <w:tr w:rsidR="00000000">
        <w:tblPrEx>
          <w:tblCellMar>
            <w:top w:w="0" w:type="dxa"/>
            <w:bottom w:w="0" w:type="dxa"/>
          </w:tblCellMar>
        </w:tblPrEx>
        <w:tc>
          <w:tcPr>
            <w:tcW w:w="3019" w:type="dxa"/>
          </w:tcPr>
          <w:p w:rsidR="00000000" w:rsidRDefault="00000000">
            <w:pPr>
              <w:spacing w:before="60" w:after="60"/>
              <w:rPr>
                <w:i/>
                <w:iCs/>
                <w:color w:val="000000"/>
              </w:rPr>
            </w:pPr>
            <w:r>
              <w:rPr>
                <w:i/>
                <w:iCs/>
                <w:color w:val="000000"/>
              </w:rPr>
              <w:t>Total</w:t>
            </w:r>
          </w:p>
        </w:tc>
        <w:tc>
          <w:tcPr>
            <w:tcW w:w="3211" w:type="dxa"/>
          </w:tcPr>
          <w:p w:rsidR="00000000" w:rsidRDefault="00000000">
            <w:pPr>
              <w:spacing w:before="60" w:after="60"/>
              <w:ind w:right="1410"/>
              <w:jc w:val="right"/>
              <w:rPr>
                <w:i/>
                <w:iCs/>
                <w:color w:val="000000"/>
              </w:rPr>
            </w:pPr>
            <w:r>
              <w:rPr>
                <w:i/>
                <w:iCs/>
                <w:color w:val="000000"/>
              </w:rPr>
              <w:t>50</w:t>
            </w:r>
          </w:p>
        </w:tc>
        <w:tc>
          <w:tcPr>
            <w:tcW w:w="3211" w:type="dxa"/>
          </w:tcPr>
          <w:p w:rsidR="00000000" w:rsidRDefault="00000000">
            <w:pPr>
              <w:spacing w:before="60" w:after="60"/>
              <w:ind w:right="1410"/>
              <w:jc w:val="right"/>
              <w:rPr>
                <w:i/>
                <w:iCs/>
                <w:color w:val="000000"/>
              </w:rPr>
            </w:pPr>
            <w:r>
              <w:rPr>
                <w:i/>
                <w:iCs/>
                <w:color w:val="000000"/>
              </w:rPr>
              <w:t>45</w:t>
            </w:r>
          </w:p>
        </w:tc>
      </w:tr>
      <w:tr w:rsidR="00000000">
        <w:tblPrEx>
          <w:tblCellMar>
            <w:top w:w="0" w:type="dxa"/>
            <w:bottom w:w="0" w:type="dxa"/>
          </w:tblCellMar>
        </w:tblPrEx>
        <w:tc>
          <w:tcPr>
            <w:tcW w:w="3019" w:type="dxa"/>
          </w:tcPr>
          <w:p w:rsidR="00000000" w:rsidRDefault="00000000">
            <w:pPr>
              <w:spacing w:before="60" w:after="60"/>
              <w:rPr>
                <w:i/>
                <w:iCs/>
                <w:color w:val="000000"/>
              </w:rPr>
            </w:pPr>
            <w:r>
              <w:rPr>
                <w:i/>
                <w:iCs/>
                <w:color w:val="000000"/>
              </w:rPr>
              <w:t>Filles</w:t>
            </w:r>
          </w:p>
        </w:tc>
        <w:tc>
          <w:tcPr>
            <w:tcW w:w="3211" w:type="dxa"/>
          </w:tcPr>
          <w:p w:rsidR="00000000" w:rsidRDefault="00000000">
            <w:pPr>
              <w:spacing w:before="60" w:after="60"/>
              <w:ind w:right="1410"/>
              <w:jc w:val="right"/>
              <w:rPr>
                <w:color w:val="000000"/>
              </w:rPr>
            </w:pPr>
          </w:p>
        </w:tc>
        <w:tc>
          <w:tcPr>
            <w:tcW w:w="3211" w:type="dxa"/>
          </w:tcPr>
          <w:p w:rsidR="00000000" w:rsidRDefault="00000000">
            <w:pPr>
              <w:spacing w:before="60" w:after="60"/>
              <w:ind w:right="1410"/>
              <w:jc w:val="right"/>
              <w:rPr>
                <w:color w:val="000000"/>
              </w:rPr>
            </w:pPr>
          </w:p>
        </w:tc>
      </w:tr>
      <w:tr w:rsidR="00000000">
        <w:tblPrEx>
          <w:tblCellMar>
            <w:top w:w="0" w:type="dxa"/>
            <w:bottom w:w="0" w:type="dxa"/>
          </w:tblCellMar>
        </w:tblPrEx>
        <w:tc>
          <w:tcPr>
            <w:tcW w:w="3019" w:type="dxa"/>
          </w:tcPr>
          <w:p w:rsidR="00000000" w:rsidRDefault="00000000">
            <w:pPr>
              <w:spacing w:before="60" w:after="60"/>
              <w:rPr>
                <w:color w:val="000000"/>
              </w:rPr>
            </w:pPr>
            <w:r>
              <w:rPr>
                <w:color w:val="000000"/>
              </w:rPr>
              <w:t>Prévenues</w:t>
            </w:r>
          </w:p>
        </w:tc>
        <w:tc>
          <w:tcPr>
            <w:tcW w:w="3211" w:type="dxa"/>
          </w:tcPr>
          <w:p w:rsidR="00000000" w:rsidRDefault="00000000">
            <w:pPr>
              <w:spacing w:before="60" w:after="60"/>
              <w:ind w:right="1410"/>
              <w:jc w:val="right"/>
              <w:rPr>
                <w:color w:val="000000"/>
              </w:rPr>
            </w:pPr>
            <w:r>
              <w:rPr>
                <w:color w:val="000000"/>
              </w:rPr>
              <w:t>02</w:t>
            </w:r>
          </w:p>
        </w:tc>
        <w:tc>
          <w:tcPr>
            <w:tcW w:w="3211" w:type="dxa"/>
          </w:tcPr>
          <w:p w:rsidR="00000000" w:rsidRDefault="00000000">
            <w:pPr>
              <w:spacing w:before="60" w:after="60"/>
              <w:ind w:right="1410"/>
              <w:jc w:val="right"/>
              <w:rPr>
                <w:color w:val="000000"/>
              </w:rPr>
            </w:pPr>
            <w:r>
              <w:rPr>
                <w:color w:val="000000"/>
              </w:rPr>
              <w:t>09</w:t>
            </w:r>
          </w:p>
        </w:tc>
      </w:tr>
      <w:tr w:rsidR="00000000">
        <w:tblPrEx>
          <w:tblCellMar>
            <w:top w:w="0" w:type="dxa"/>
            <w:bottom w:w="0" w:type="dxa"/>
          </w:tblCellMar>
        </w:tblPrEx>
        <w:tc>
          <w:tcPr>
            <w:tcW w:w="3019" w:type="dxa"/>
          </w:tcPr>
          <w:p w:rsidR="00000000" w:rsidRDefault="00000000">
            <w:pPr>
              <w:spacing w:before="60" w:after="60"/>
              <w:rPr>
                <w:color w:val="000000"/>
              </w:rPr>
            </w:pPr>
            <w:r>
              <w:rPr>
                <w:color w:val="000000"/>
              </w:rPr>
              <w:t>Condamnées</w:t>
            </w:r>
          </w:p>
        </w:tc>
        <w:tc>
          <w:tcPr>
            <w:tcW w:w="3211" w:type="dxa"/>
          </w:tcPr>
          <w:p w:rsidR="00000000" w:rsidRDefault="00000000">
            <w:pPr>
              <w:spacing w:before="60" w:after="60"/>
              <w:ind w:right="1410"/>
              <w:jc w:val="right"/>
              <w:rPr>
                <w:color w:val="000000"/>
              </w:rPr>
            </w:pPr>
            <w:r>
              <w:rPr>
                <w:color w:val="000000"/>
              </w:rPr>
              <w:t>00</w:t>
            </w:r>
          </w:p>
        </w:tc>
        <w:tc>
          <w:tcPr>
            <w:tcW w:w="3211" w:type="dxa"/>
          </w:tcPr>
          <w:p w:rsidR="00000000" w:rsidRDefault="00000000">
            <w:pPr>
              <w:spacing w:before="60" w:after="60"/>
              <w:ind w:right="1410"/>
              <w:jc w:val="right"/>
              <w:rPr>
                <w:color w:val="000000"/>
              </w:rPr>
            </w:pPr>
            <w:r>
              <w:rPr>
                <w:color w:val="000000"/>
              </w:rPr>
              <w:t>01</w:t>
            </w:r>
          </w:p>
        </w:tc>
      </w:tr>
      <w:tr w:rsidR="00000000">
        <w:tblPrEx>
          <w:tblCellMar>
            <w:top w:w="0" w:type="dxa"/>
            <w:bottom w:w="0" w:type="dxa"/>
          </w:tblCellMar>
        </w:tblPrEx>
        <w:tc>
          <w:tcPr>
            <w:tcW w:w="3019" w:type="dxa"/>
          </w:tcPr>
          <w:p w:rsidR="00000000" w:rsidRDefault="00000000">
            <w:pPr>
              <w:spacing w:before="60" w:after="60"/>
              <w:rPr>
                <w:i/>
                <w:iCs/>
                <w:color w:val="000000"/>
              </w:rPr>
            </w:pPr>
            <w:r>
              <w:rPr>
                <w:i/>
                <w:iCs/>
                <w:color w:val="000000"/>
              </w:rPr>
              <w:t>Total</w:t>
            </w:r>
          </w:p>
        </w:tc>
        <w:tc>
          <w:tcPr>
            <w:tcW w:w="3211" w:type="dxa"/>
          </w:tcPr>
          <w:p w:rsidR="00000000" w:rsidRDefault="00000000">
            <w:pPr>
              <w:spacing w:before="60" w:after="60"/>
              <w:ind w:right="1410"/>
              <w:jc w:val="right"/>
              <w:rPr>
                <w:i/>
                <w:iCs/>
                <w:color w:val="000000"/>
              </w:rPr>
            </w:pPr>
            <w:r>
              <w:rPr>
                <w:i/>
                <w:iCs/>
                <w:color w:val="000000"/>
              </w:rPr>
              <w:t>02</w:t>
            </w:r>
          </w:p>
        </w:tc>
        <w:tc>
          <w:tcPr>
            <w:tcW w:w="3211" w:type="dxa"/>
          </w:tcPr>
          <w:p w:rsidR="00000000" w:rsidRDefault="00000000">
            <w:pPr>
              <w:spacing w:before="60" w:after="60"/>
              <w:ind w:right="1410"/>
              <w:jc w:val="right"/>
              <w:rPr>
                <w:i/>
                <w:iCs/>
                <w:color w:val="000000"/>
              </w:rPr>
            </w:pPr>
            <w:r>
              <w:rPr>
                <w:i/>
                <w:iCs/>
                <w:color w:val="000000"/>
              </w:rPr>
              <w:t>10</w:t>
            </w:r>
          </w:p>
        </w:tc>
      </w:tr>
    </w:tbl>
    <w:p w:rsidR="00000000" w:rsidRDefault="00000000">
      <w:pPr>
        <w:spacing w:after="240"/>
        <w:rPr>
          <w:color w:val="000000"/>
        </w:rPr>
      </w:pPr>
    </w:p>
    <w:p w:rsidR="00000000" w:rsidRDefault="00000000">
      <w:pPr>
        <w:spacing w:after="240"/>
        <w:rPr>
          <w:color w:val="000000"/>
        </w:rPr>
      </w:pPr>
      <w:r>
        <w:rPr>
          <w:color w:val="000000"/>
        </w:rPr>
        <w:t>165.</w:t>
      </w:r>
      <w:r>
        <w:rPr>
          <w:color w:val="000000"/>
        </w:rPr>
        <w:tab/>
        <w:t xml:space="preserve">Il est à noter que les mineurs détenus à la Maison centrale sont âgés de 14 à 18 ans par application de la loi </w:t>
      </w:r>
      <w:r>
        <w:t>n</w:t>
      </w:r>
      <w:r>
        <w:rPr>
          <w:vertAlign w:val="superscript"/>
        </w:rPr>
        <w:t>o</w:t>
      </w:r>
      <w:r>
        <w:t> </w:t>
      </w:r>
      <w:r>
        <w:rPr>
          <w:color w:val="000000"/>
        </w:rPr>
        <w:t>62</w:t>
      </w:r>
      <w:r>
        <w:rPr>
          <w:color w:val="000000"/>
        </w:rPr>
        <w:noBreakHyphen/>
        <w:t>038 du 19 septembre 1962 relative à la protection de l’enfance. Actuellement, ce texte est en cours de réforme pour une harmonisation avec les exigences de la Convention relative aux droits de l’enfant.</w:t>
      </w:r>
    </w:p>
    <w:p w:rsidR="00000000" w:rsidRDefault="00000000">
      <w:pPr>
        <w:spacing w:after="240"/>
        <w:rPr>
          <w:color w:val="000000"/>
        </w:rPr>
      </w:pPr>
      <w:r>
        <w:rPr>
          <w:color w:val="000000"/>
        </w:rPr>
        <w:t>166.</w:t>
      </w:r>
      <w:r>
        <w:rPr>
          <w:color w:val="000000"/>
        </w:rPr>
        <w:tab/>
        <w:t>Outre l’institution d’établissements pénitentiaires, la législation prévoit la mise en place de centres de rééducation.</w:t>
      </w:r>
    </w:p>
    <w:p w:rsidR="00000000" w:rsidRDefault="00000000">
      <w:pPr>
        <w:spacing w:after="240"/>
        <w:rPr>
          <w:color w:val="000000"/>
        </w:rPr>
      </w:pPr>
      <w:r>
        <w:rPr>
          <w:color w:val="000000"/>
        </w:rPr>
        <w:t>167.</w:t>
      </w:r>
      <w:r>
        <w:rPr>
          <w:color w:val="000000"/>
        </w:rPr>
        <w:tab/>
        <w:t>Les mineurs délinquants de moins de 14 ans sont placés dans les centres de rééducation.</w:t>
      </w:r>
    </w:p>
    <w:p w:rsidR="00000000" w:rsidRDefault="00000000">
      <w:pPr>
        <w:spacing w:after="240"/>
        <w:rPr>
          <w:color w:val="000000"/>
        </w:rPr>
      </w:pPr>
      <w:r>
        <w:rPr>
          <w:color w:val="000000"/>
        </w:rPr>
        <w:t>168.</w:t>
      </w:r>
      <w:r>
        <w:rPr>
          <w:color w:val="000000"/>
        </w:rPr>
        <w:tab/>
        <w:t>Le Centre d’Anjanamasina créé par décret n</w:t>
      </w:r>
      <w:r>
        <w:rPr>
          <w:color w:val="000000"/>
          <w:vertAlign w:val="superscript"/>
        </w:rPr>
        <w:t>o</w:t>
      </w:r>
      <w:r>
        <w:rPr>
          <w:color w:val="000000"/>
        </w:rPr>
        <w:t xml:space="preserve"> 60-376 du 29 septembre 1960 est réservé aux délinquants mineurs de sexe masculin. </w:t>
      </w:r>
    </w:p>
    <w:p w:rsidR="00000000" w:rsidRDefault="00000000">
      <w:pPr>
        <w:spacing w:after="240"/>
        <w:rPr>
          <w:color w:val="000000"/>
        </w:rPr>
      </w:pPr>
      <w:r>
        <w:rPr>
          <w:color w:val="000000"/>
        </w:rPr>
        <w:t>169.</w:t>
      </w:r>
      <w:r>
        <w:rPr>
          <w:color w:val="000000"/>
        </w:rPr>
        <w:tab/>
        <w:t>Les délinquants mineurs de sexe féminin sont placés provisoirement dans des centres privés par ordonnance du juge des enfants, soit à Faravohitra, soit à Ambohidratrimo.</w:t>
      </w:r>
    </w:p>
    <w:p w:rsidR="00000000" w:rsidRDefault="00000000">
      <w:pPr>
        <w:spacing w:after="240"/>
        <w:rPr>
          <w:i/>
          <w:iCs/>
          <w:color w:val="000000"/>
        </w:rPr>
      </w:pPr>
      <w:r>
        <w:rPr>
          <w:color w:val="000000"/>
        </w:rPr>
        <w:t>170.</w:t>
      </w:r>
      <w:r>
        <w:rPr>
          <w:color w:val="000000"/>
        </w:rPr>
        <w:tab/>
        <w:t>Aux termes de l’article premier du décret n</w:t>
      </w:r>
      <w:r>
        <w:rPr>
          <w:color w:val="000000"/>
          <w:vertAlign w:val="superscript"/>
        </w:rPr>
        <w:t>o</w:t>
      </w:r>
      <w:r>
        <w:rPr>
          <w:color w:val="000000"/>
        </w:rPr>
        <w:t> 63</w:t>
      </w:r>
      <w:r>
        <w:rPr>
          <w:color w:val="000000"/>
        </w:rPr>
        <w:noBreakHyphen/>
        <w:t>176 du 29 septembre 1960 portant organisation du Centre de rééducation d’Anjanamasina</w:t>
      </w:r>
      <w:r>
        <w:rPr>
          <w:i/>
          <w:iCs/>
          <w:color w:val="000000"/>
        </w:rPr>
        <w:t xml:space="preserve">: </w:t>
      </w:r>
      <w:r>
        <w:rPr>
          <w:iCs/>
          <w:color w:val="000000"/>
        </w:rPr>
        <w:t>«</w:t>
      </w:r>
      <w:r>
        <w:rPr>
          <w:i/>
          <w:iCs/>
          <w:color w:val="000000"/>
        </w:rPr>
        <w:t>Le Centre d’Anjanamasina est un établissement destiné à recevoir les enfants délinquants, abandonnés ou inadaptés à l’égard desquels une décision de placement a été prise par le magistrat compétent.</w:t>
      </w:r>
      <w:r>
        <w:rPr>
          <w:iCs/>
          <w:color w:val="000000"/>
        </w:rPr>
        <w:t>»</w:t>
      </w:r>
      <w:r>
        <w:rPr>
          <w:i/>
          <w:iCs/>
          <w:color w:val="000000"/>
        </w:rPr>
        <w:t>.</w:t>
      </w:r>
    </w:p>
    <w:p w:rsidR="00000000" w:rsidRDefault="00000000">
      <w:pPr>
        <w:spacing w:after="240"/>
        <w:rPr>
          <w:i/>
          <w:iCs/>
          <w:color w:val="000000"/>
        </w:rPr>
      </w:pPr>
      <w:r>
        <w:rPr>
          <w:color w:val="000000"/>
        </w:rPr>
        <w:t>171.</w:t>
      </w:r>
      <w:r>
        <w:rPr>
          <w:color w:val="000000"/>
        </w:rPr>
        <w:tab/>
        <w:t>En outre, l’article 2 du même décret stipule que</w:t>
      </w:r>
      <w:r>
        <w:rPr>
          <w:i/>
          <w:iCs/>
          <w:color w:val="000000"/>
        </w:rPr>
        <w:t xml:space="preserve">: </w:t>
      </w:r>
      <w:r>
        <w:rPr>
          <w:iCs/>
          <w:color w:val="000000"/>
        </w:rPr>
        <w:t>«</w:t>
      </w:r>
      <w:r>
        <w:rPr>
          <w:i/>
          <w:iCs/>
          <w:color w:val="000000"/>
        </w:rPr>
        <w:t>À titre exceptionnel et révocable, les mineurs âgés de plus de 18 ans ou les mineurs condamnés à une peine privative de liberté peuvent être admis au centre de rééducation…</w:t>
      </w:r>
      <w:r>
        <w:rPr>
          <w:iCs/>
          <w:color w:val="000000"/>
        </w:rPr>
        <w:t>».</w:t>
      </w:r>
    </w:p>
    <w:p w:rsidR="00000000" w:rsidRDefault="00000000">
      <w:pPr>
        <w:spacing w:after="240"/>
        <w:rPr>
          <w:color w:val="000000"/>
        </w:rPr>
      </w:pPr>
      <w:r>
        <w:rPr>
          <w:color w:val="000000"/>
        </w:rPr>
        <w:t>172.</w:t>
      </w:r>
      <w:r>
        <w:rPr>
          <w:color w:val="000000"/>
        </w:rPr>
        <w:tab/>
        <w:t>Le Centre Fanantenana d’Antsirabe a été créé conformément au texte susvisé.</w:t>
      </w:r>
    </w:p>
    <w:p w:rsidR="00000000" w:rsidRDefault="00000000">
      <w:pPr>
        <w:spacing w:after="240"/>
        <w:jc w:val="center"/>
        <w:rPr>
          <w:b/>
          <w:bCs/>
        </w:rPr>
      </w:pPr>
      <w:bookmarkStart w:id="33" w:name="_Toc98224974"/>
      <w:r>
        <w:rPr>
          <w:b/>
          <w:bCs/>
        </w:rPr>
        <w:t>Tableau 44: Situation des établissements pénitentiaires</w:t>
      </w:r>
      <w:r>
        <w:rPr>
          <w:b/>
          <w:bCs/>
        </w:rPr>
        <w:br/>
        <w:t xml:space="preserve">de Madagascar au </w:t>
      </w:r>
      <w:bookmarkEnd w:id="33"/>
      <w:r>
        <w:rPr>
          <w:b/>
          <w:bCs/>
        </w:rPr>
        <w:t>31 décembre 2002</w:t>
      </w:r>
    </w:p>
    <w:tbl>
      <w:tblPr>
        <w:tblW w:w="9458" w:type="dxa"/>
        <w:jc w:val="center"/>
        <w:tblInd w:w="-1952" w:type="dxa"/>
        <w:tblCellMar>
          <w:left w:w="0" w:type="dxa"/>
          <w:right w:w="0" w:type="dxa"/>
        </w:tblCellMar>
        <w:tblLook w:val="0000" w:firstRow="0" w:lastRow="0" w:firstColumn="0" w:lastColumn="0" w:noHBand="0" w:noVBand="0"/>
      </w:tblPr>
      <w:tblGrid>
        <w:gridCol w:w="3172"/>
        <w:gridCol w:w="2120"/>
        <w:gridCol w:w="1220"/>
        <w:gridCol w:w="1220"/>
        <w:gridCol w:w="1726"/>
      </w:tblGrid>
      <w:tr w:rsidR="00000000">
        <w:trPr>
          <w:trHeight w:val="227"/>
          <w:tblHeader/>
          <w:jc w:val="center"/>
        </w:trPr>
        <w:tc>
          <w:tcPr>
            <w:tcW w:w="3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Cs/>
                <w:lang w:val="fr-FR"/>
              </w:rPr>
            </w:pPr>
            <w:r>
              <w:rPr>
                <w:bCs/>
              </w:rPr>
              <w:t>Directions régionales</w:t>
            </w:r>
          </w:p>
        </w:tc>
        <w:tc>
          <w:tcPr>
            <w:tcW w:w="21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Cs/>
                <w:lang w:val="fr-FR"/>
              </w:rPr>
            </w:pPr>
            <w:r>
              <w:rPr>
                <w:bCs/>
              </w:rPr>
              <w:t>Établissement</w:t>
            </w:r>
          </w:p>
        </w:tc>
        <w:tc>
          <w:tcPr>
            <w:tcW w:w="12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Cs/>
                <w:lang w:val="fr-FR"/>
              </w:rPr>
            </w:pPr>
            <w:r>
              <w:rPr>
                <w:bCs/>
              </w:rPr>
              <w:t>Effectifs au 31/12/2002</w:t>
            </w:r>
          </w:p>
        </w:tc>
        <w:tc>
          <w:tcPr>
            <w:tcW w:w="12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Cs/>
                <w:lang w:val="fr-FR"/>
              </w:rPr>
            </w:pPr>
            <w:r>
              <w:rPr>
                <w:bCs/>
              </w:rPr>
              <w:t>Capacité d’accueil</w:t>
            </w:r>
          </w:p>
        </w:tc>
        <w:tc>
          <w:tcPr>
            <w:tcW w:w="172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bCs/>
                <w:lang w:val="fr-FR"/>
              </w:rPr>
            </w:pPr>
            <w:r>
              <w:rPr>
                <w:bCs/>
              </w:rPr>
              <w:t>Ratio effectif/capacité d’accueil</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Antananarivo</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Antananarivo</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2 461</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800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3,1</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Tsiafahy</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565</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200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2,8</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Miarinarivo</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341</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200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1,7</w:t>
            </w:r>
          </w:p>
        </w:tc>
      </w:tr>
      <w:tr w:rsidR="00000000">
        <w:trPr>
          <w:trHeight w:val="109"/>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Arivonimamo</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115</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100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1,2</w:t>
            </w:r>
          </w:p>
        </w:tc>
      </w:tr>
      <w:tr w:rsidR="00000000">
        <w:trPr>
          <w:trHeight w:val="134"/>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Antsirabe</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Antsirabe</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638</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250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2,6</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Ambatolampy</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266</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200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1,3</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Antsiranana</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Antsiranana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617</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500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1,2</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Ambanja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322</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100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3,2</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Antalaha</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Sambava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145</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100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1,5</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Andapa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78</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1,6</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Vohemar</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114</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60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1,9</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Fianarantsoa</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Fianarantsoa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776</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500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1,6</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Ihosy</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304</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250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1,2</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Ambositra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371</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250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1,5</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keepNext/>
              <w:rPr>
                <w:rFonts w:eastAsia="Arial Unicode MS"/>
                <w:lang w:val="en-GB"/>
              </w:rPr>
            </w:pPr>
            <w:r>
              <w:rPr>
                <w:lang w:val="en-GB"/>
              </w:rPr>
              <w:t>Farafangana</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Farafangana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517</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300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1,7</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Manakara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350</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300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1,2</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Mananjary</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436</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300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1,5</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Mahajanga</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Mahajanga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573</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500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1,1</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Maevatanana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512</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200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2,6</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Port Berge</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612</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250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2,4</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Mandritsara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327</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250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1,3</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Antsohihy</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387</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100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3,9</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Maintirano</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Maintirano</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471</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300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1,6</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Besalampy</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142</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100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1,4</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Toamasina</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Toamasina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996</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300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3,3</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Vatomandry</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317</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6,3</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Maroantsetra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313</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6,3</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Mananara-Nord</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134</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30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4,5</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Ambatondrazaka</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Ambatondrazaka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941</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100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9,4</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Moramanga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285</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en-GB"/>
              </w:rPr>
            </w:pPr>
            <w:r>
              <w:rPr>
                <w:lang w:val="en-GB"/>
              </w:rPr>
              <w:t>30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en-GB"/>
              </w:rPr>
            </w:pPr>
            <w:r>
              <w:rPr>
                <w:lang w:val="en-GB"/>
              </w:rPr>
              <w:t>9,5</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keepNext/>
              <w:rPr>
                <w:rFonts w:eastAsia="Arial Unicode MS"/>
                <w:lang w:val="en-GB"/>
              </w:rPr>
            </w:pPr>
            <w:r>
              <w:rPr>
                <w:lang w:val="en-GB"/>
              </w:rPr>
              <w:t>Toliary</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en-GB"/>
              </w:rPr>
            </w:pPr>
            <w:r>
              <w:rPr>
                <w:lang w:val="en-GB"/>
              </w:rPr>
              <w:t>Toliary</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463</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400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1,2</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Morombe</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252</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150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1,7</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Morondava</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Morondava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de-DE"/>
              </w:rPr>
            </w:pPr>
            <w:r>
              <w:rPr>
                <w:lang w:val="de-DE"/>
              </w:rPr>
              <w:t>364</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de-DE"/>
              </w:rPr>
            </w:pPr>
            <w:r>
              <w:rPr>
                <w:lang w:val="de-DE"/>
              </w:rPr>
              <w:t>250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de-DE"/>
              </w:rPr>
            </w:pPr>
            <w:r>
              <w:rPr>
                <w:lang w:val="de-DE"/>
              </w:rPr>
              <w:t>1,5</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de-DE"/>
              </w:rPr>
            </w:pPr>
            <w:r>
              <w:rPr>
                <w:lang w:val="de-DE"/>
              </w:rPr>
              <w:t>Tolagnaro</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de-DE"/>
              </w:rPr>
            </w:pPr>
            <w:r>
              <w:rPr>
                <w:lang w:val="de-DE"/>
              </w:rPr>
              <w:t>Tolagnaro</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de-DE"/>
              </w:rPr>
            </w:pPr>
            <w:r>
              <w:rPr>
                <w:lang w:val="de-DE"/>
              </w:rPr>
              <w:t>441</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lang w:val="de-DE"/>
              </w:rPr>
            </w:pPr>
            <w:r>
              <w:rPr>
                <w:lang w:val="de-DE"/>
              </w:rPr>
              <w:t>250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lang w:val="de-DE"/>
              </w:rPr>
            </w:pPr>
            <w:r>
              <w:rPr>
                <w:lang w:val="de-DE"/>
              </w:rPr>
              <w:t>1,8</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de-DE"/>
              </w:rPr>
            </w:pPr>
            <w:r>
              <w:rPr>
                <w:lang w:val="de-DE"/>
              </w:rPr>
              <w:t> </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lang w:val="de-DE"/>
              </w:rPr>
            </w:pPr>
            <w:r>
              <w:rPr>
                <w:lang w:val="de-DE"/>
              </w:rPr>
              <w:t>Betroka</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362</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150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2,4</w:t>
            </w:r>
          </w:p>
        </w:tc>
      </w:tr>
      <w:tr w:rsidR="00000000">
        <w:trPr>
          <w:trHeight w:val="227"/>
          <w:jc w:val="center"/>
        </w:trPr>
        <w:tc>
          <w:tcPr>
            <w:tcW w:w="3172"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Total</w:t>
            </w:r>
          </w:p>
        </w:tc>
        <w:tc>
          <w:tcPr>
            <w:tcW w:w="21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rPr>
                <w:rFonts w:eastAsia="Arial Unicode MS"/>
              </w:rPr>
            </w:pPr>
            <w:r>
              <w:t> </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16 530</w:t>
            </w:r>
          </w:p>
        </w:tc>
        <w:tc>
          <w:tcPr>
            <w:tcW w:w="1220"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325"/>
              <w:jc w:val="right"/>
              <w:rPr>
                <w:rFonts w:eastAsia="Arial Unicode MS"/>
              </w:rPr>
            </w:pPr>
            <w:r>
              <w:t>7 920</w:t>
            </w:r>
          </w:p>
        </w:tc>
        <w:tc>
          <w:tcPr>
            <w:tcW w:w="1726" w:type="dxa"/>
            <w:tcBorders>
              <w:top w:val="nil"/>
              <w:left w:val="nil"/>
              <w:bottom w:val="single" w:sz="4" w:space="0" w:color="auto"/>
              <w:right w:val="single" w:sz="4" w:space="0" w:color="auto"/>
            </w:tcBorders>
            <w:tcMar>
              <w:top w:w="15" w:type="dxa"/>
              <w:left w:w="15" w:type="dxa"/>
              <w:bottom w:w="0" w:type="dxa"/>
              <w:right w:w="15" w:type="dxa"/>
            </w:tcMar>
          </w:tcPr>
          <w:p w:rsidR="00000000" w:rsidRDefault="00000000">
            <w:pPr>
              <w:ind w:right="631"/>
              <w:jc w:val="right"/>
              <w:rPr>
                <w:rFonts w:eastAsia="Arial Unicode MS"/>
              </w:rPr>
            </w:pPr>
            <w:r>
              <w:t>2,1</w:t>
            </w:r>
          </w:p>
        </w:tc>
      </w:tr>
    </w:tbl>
    <w:p w:rsidR="00000000" w:rsidRDefault="00000000"/>
    <w:p w:rsidR="00000000" w:rsidRDefault="00000000">
      <w:pPr>
        <w:spacing w:after="240"/>
        <w:ind w:firstLine="567"/>
      </w:pPr>
      <w:r>
        <w:rPr>
          <w:i/>
          <w:iCs/>
        </w:rPr>
        <w:t>Source</w:t>
      </w:r>
      <w:r>
        <w:t>: SCDS (Ministère de la justice).</w:t>
      </w:r>
    </w:p>
    <w:p w:rsidR="00000000" w:rsidRDefault="00000000">
      <w:pPr>
        <w:keepNext/>
        <w:spacing w:after="240"/>
        <w:ind w:firstLine="567"/>
        <w:rPr>
          <w:b/>
          <w:bCs/>
        </w:rPr>
      </w:pPr>
      <w:r>
        <w:rPr>
          <w:b/>
          <w:bCs/>
        </w:rPr>
        <w:t>Traitement des condamnés</w:t>
      </w:r>
    </w:p>
    <w:p w:rsidR="00000000" w:rsidRDefault="00000000">
      <w:pPr>
        <w:spacing w:after="240"/>
      </w:pPr>
      <w:r>
        <w:t>173.</w:t>
      </w:r>
      <w:r>
        <w:tab/>
        <w:t>Les articles 51, 52, 55, 67, 68, 70 et 71 dudit décret prévoient le traitement des condamnés dont le but essentiel est leur amendement et leur reclassement social.</w:t>
      </w:r>
    </w:p>
    <w:p w:rsidR="00000000" w:rsidRDefault="00000000">
      <w:pPr>
        <w:keepNext/>
        <w:spacing w:after="240"/>
        <w:rPr>
          <w:b/>
          <w:bCs/>
        </w:rPr>
      </w:pPr>
      <w:r>
        <w:rPr>
          <w:b/>
          <w:bCs/>
        </w:rPr>
        <w:t>Le régime de détention</w:t>
      </w:r>
    </w:p>
    <w:p w:rsidR="00000000" w:rsidRDefault="00000000">
      <w:pPr>
        <w:spacing w:after="240"/>
        <w:rPr>
          <w:b/>
          <w:bCs/>
          <w:u w:val="single"/>
        </w:rPr>
      </w:pPr>
      <w:r>
        <w:t>174.</w:t>
      </w:r>
      <w:r>
        <w:tab/>
        <w:t>L’Administration pénitentiaire doit veiller sur l’état physique et sanitaire des détenus dont elle a la charge. Le décret n</w:t>
      </w:r>
      <w:r>
        <w:rPr>
          <w:vertAlign w:val="superscript"/>
        </w:rPr>
        <w:t>o</w:t>
      </w:r>
      <w:r>
        <w:t> 59</w:t>
      </w:r>
      <w:r>
        <w:noBreakHyphen/>
        <w:t>121 du 27 octobre 1959 portant organisation générale de l’Administration pénitentiaire prévoit le régime de détention des détenus.</w:t>
      </w:r>
    </w:p>
    <w:p w:rsidR="00000000" w:rsidRDefault="00000000">
      <w:pPr>
        <w:spacing w:after="240"/>
        <w:rPr>
          <w:b/>
          <w:bCs/>
          <w:u w:val="single"/>
        </w:rPr>
      </w:pPr>
      <w:r>
        <w:t>175.</w:t>
      </w:r>
      <w:r>
        <w:tab/>
        <w:t>Ainsi, il est interdit au personnel de tout établissement pénitentiaire:</w:t>
      </w:r>
    </w:p>
    <w:p w:rsidR="00000000" w:rsidRDefault="00000000">
      <w:pPr>
        <w:spacing w:after="240"/>
        <w:ind w:firstLine="567"/>
      </w:pPr>
      <w:r>
        <w:t>a)</w:t>
      </w:r>
      <w:r>
        <w:tab/>
        <w:t>D’exercer des voies de fait sur les détenus, d’user à leur égard des dénominations injurieuses et de langage grossier;</w:t>
      </w:r>
    </w:p>
    <w:p w:rsidR="00000000" w:rsidRDefault="00000000">
      <w:pPr>
        <w:spacing w:after="240"/>
        <w:ind w:firstLine="567"/>
      </w:pPr>
      <w:r>
        <w:t>b)</w:t>
      </w:r>
      <w:r>
        <w:tab/>
        <w:t>D’avoir avec eux des entretiens familiers;</w:t>
      </w:r>
    </w:p>
    <w:p w:rsidR="00000000" w:rsidRDefault="00000000">
      <w:pPr>
        <w:spacing w:after="240"/>
        <w:ind w:firstLine="567"/>
      </w:pPr>
      <w:r>
        <w:t>c)</w:t>
      </w:r>
      <w:r>
        <w:tab/>
        <w:t>D’utiliser les détenus pour son service particulier et de se faire assister par eux dans son travail sauf autorisation exceptionnelle donnée par décision du Directeur de l’Administration pénitentiaire;</w:t>
      </w:r>
    </w:p>
    <w:p w:rsidR="00000000" w:rsidRDefault="00000000">
      <w:pPr>
        <w:spacing w:after="240"/>
        <w:ind w:firstLine="567"/>
      </w:pPr>
      <w:r>
        <w:t>d)</w:t>
      </w:r>
      <w:r>
        <w:tab/>
        <w:t>De recevoir des détenus de toutes catégories, ou de personnes agissant pour eux, aucun don, prêt ou avantage quelconque;</w:t>
      </w:r>
    </w:p>
    <w:p w:rsidR="00000000" w:rsidRDefault="00000000">
      <w:pPr>
        <w:spacing w:after="240"/>
        <w:ind w:firstLine="567"/>
      </w:pPr>
      <w:r>
        <w:t>e)</w:t>
      </w:r>
      <w:r>
        <w:tab/>
        <w:t>De se charger pour eux d’aucune commission et d’acheter, ou vendre pour eux, quoi que ce soit.</w:t>
      </w:r>
    </w:p>
    <w:p w:rsidR="00000000" w:rsidRDefault="00000000">
      <w:pPr>
        <w:keepNext/>
        <w:spacing w:after="240"/>
        <w:ind w:firstLine="567"/>
        <w:rPr>
          <w:b/>
          <w:bCs/>
        </w:rPr>
      </w:pPr>
      <w:r>
        <w:rPr>
          <w:b/>
          <w:bCs/>
        </w:rPr>
        <w:t>Surveillance de la santé des détenus</w:t>
      </w:r>
    </w:p>
    <w:p w:rsidR="00000000" w:rsidRDefault="00000000">
      <w:pPr>
        <w:spacing w:after="240"/>
        <w:rPr>
          <w:i/>
          <w:iCs/>
        </w:rPr>
      </w:pPr>
      <w:r>
        <w:t>176.</w:t>
      </w:r>
      <w:r>
        <w:tab/>
        <w:t>L’article 29 du même décret réglemente la visite sanitaire en milieu carcéral: «</w:t>
      </w:r>
      <w:r>
        <w:rPr>
          <w:i/>
          <w:iCs/>
        </w:rPr>
        <w:t>Un médecin désigné par le Ministre de la santé ou son délégué est chargé du service de santé de l’établissement.</w:t>
      </w:r>
      <w:r>
        <w:rPr>
          <w:iCs/>
        </w:rPr>
        <w:t>».</w:t>
      </w:r>
    </w:p>
    <w:p w:rsidR="00000000" w:rsidRDefault="00000000">
      <w:pPr>
        <w:keepNext/>
        <w:spacing w:after="240"/>
        <w:ind w:firstLine="567"/>
        <w:rPr>
          <w:b/>
          <w:bCs/>
          <w:u w:val="single"/>
        </w:rPr>
      </w:pPr>
      <w:r>
        <w:rPr>
          <w:b/>
          <w:bCs/>
        </w:rPr>
        <w:t>Visites médicales</w:t>
      </w:r>
    </w:p>
    <w:p w:rsidR="00000000" w:rsidRDefault="00000000">
      <w:pPr>
        <w:spacing w:after="240"/>
      </w:pPr>
      <w:r>
        <w:t>177.</w:t>
      </w:r>
      <w:r>
        <w:tab/>
        <w:t xml:space="preserve">Une visite médicale est obligatoire pour tout nouveau détenu et détenus au moins une fois par semaine. </w:t>
      </w:r>
    </w:p>
    <w:p w:rsidR="00000000" w:rsidRDefault="00000000">
      <w:pPr>
        <w:spacing w:after="240"/>
        <w:rPr>
          <w:b/>
          <w:bCs/>
          <w:u w:val="single"/>
        </w:rPr>
      </w:pPr>
      <w:r>
        <w:t>178.</w:t>
      </w:r>
      <w:r>
        <w:tab/>
        <w:t>Une désinfection des cellules, dortoirs communs, ateliers a lieu régulièrement.</w:t>
      </w:r>
    </w:p>
    <w:p w:rsidR="00000000" w:rsidRDefault="00000000">
      <w:pPr>
        <w:spacing w:after="240"/>
      </w:pPr>
      <w:r>
        <w:t>179.</w:t>
      </w:r>
      <w:r>
        <w:tab/>
        <w:t>La nourriture des malades et le régime spécial prescrit par le médecin sont fournis de l’Administration.</w:t>
      </w:r>
    </w:p>
    <w:p w:rsidR="00000000" w:rsidRDefault="00000000">
      <w:pPr>
        <w:spacing w:after="240"/>
      </w:pPr>
      <w:r>
        <w:t>180.</w:t>
      </w:r>
      <w:r>
        <w:tab/>
        <w:t>Faute de moyens, la fourniture d’un régime spécial sanitaire et alimentaire n’est pas toujours respectée.</w:t>
      </w:r>
    </w:p>
    <w:p w:rsidR="00000000" w:rsidRDefault="00000000">
      <w:pPr>
        <w:spacing w:after="240"/>
      </w:pPr>
      <w:r>
        <w:t>181.</w:t>
      </w:r>
      <w:r>
        <w:tab/>
        <w:t>En ce qui concerne l’hygiène en milieu carcéral, le paragraphe 3 de l’article 29 prévoit que le médecin propose les mesures d’assainissement qui lui paraissent nécessaires.</w:t>
      </w:r>
    </w:p>
    <w:p w:rsidR="00000000" w:rsidRDefault="00000000">
      <w:pPr>
        <w:spacing w:after="240"/>
      </w:pPr>
      <w:r>
        <w:t>182.</w:t>
      </w:r>
      <w:r>
        <w:tab/>
        <w:t>Concernant le constat par écrit de la santé des nouveaux détenus, un procès-verbal est inscrit sur le registre ad hoc. De même, avant tout transfert, le médecin doit consulter le détenu concerné (par. 4 de l’article 2).</w:t>
      </w:r>
    </w:p>
    <w:p w:rsidR="00000000" w:rsidRDefault="00000000">
      <w:pPr>
        <w:spacing w:after="240"/>
      </w:pPr>
      <w:r>
        <w:t>183.</w:t>
      </w:r>
      <w:r>
        <w:tab/>
        <w:t>En cas de décès d’un détenu, mention en est faite en marge de l’acte d’écrou, par le greffier de l’établissement. Un avis est adressé au maire ou à l’officier de l’état civil. La liste des effets, papiers, argents du détenu est dressée. Enfin, l’indication du dernier domicile du défunt est jointe à la déclaration du décès.</w:t>
      </w:r>
    </w:p>
    <w:p w:rsidR="00000000" w:rsidRDefault="00000000">
      <w:pPr>
        <w:keepNext/>
        <w:spacing w:after="240"/>
        <w:ind w:firstLine="567"/>
        <w:rPr>
          <w:b/>
          <w:bCs/>
        </w:rPr>
      </w:pPr>
      <w:r>
        <w:rPr>
          <w:b/>
          <w:bCs/>
        </w:rPr>
        <w:t>Taux de mortalité infantile en milieu carcéral</w:t>
      </w:r>
    </w:p>
    <w:p w:rsidR="00000000" w:rsidRDefault="00000000">
      <w:pPr>
        <w:spacing w:after="240"/>
      </w:pPr>
      <w:r>
        <w:t>184.</w:t>
      </w:r>
      <w:r>
        <w:tab/>
        <w:t>On n’enregistre pas un taux de mortalité élevé dans les établissements pénitentiaires.</w:t>
      </w:r>
    </w:p>
    <w:p w:rsidR="00000000" w:rsidRDefault="00000000">
      <w:pPr>
        <w:keepNext/>
        <w:spacing w:after="240"/>
        <w:ind w:firstLine="567"/>
      </w:pPr>
      <w:r>
        <w:rPr>
          <w:b/>
          <w:bCs/>
        </w:rPr>
        <w:t>Taux de maladie pour l’année 2004</w:t>
      </w:r>
    </w:p>
    <w:p w:rsidR="00000000" w:rsidRDefault="00000000">
      <w:pPr>
        <w:spacing w:after="240"/>
      </w:pPr>
      <w:r>
        <w:t>185.</w:t>
      </w:r>
      <w:r>
        <w:tab/>
        <w:t>On enregistre près de 45 consultations journalières et 6 évacuations sanitaires (mois de juin 2004).</w:t>
      </w:r>
    </w:p>
    <w:p w:rsidR="00000000" w:rsidRDefault="00000000">
      <w:pPr>
        <w:spacing w:after="240"/>
      </w:pPr>
      <w:r>
        <w:t>186.</w:t>
      </w:r>
      <w:r>
        <w:tab/>
        <w:t>Les admissions à l’hôpital ou les évacuations sanitaires sont dues aux maladies souvent antérieures à l’incarcération: entre autres, maladie cardiovasculaire, crise d’asthme, hypertension.</w:t>
      </w:r>
    </w:p>
    <w:p w:rsidR="00000000" w:rsidRDefault="00000000">
      <w:pPr>
        <w:keepNext/>
        <w:spacing w:after="240"/>
        <w:ind w:firstLine="567"/>
        <w:rPr>
          <w:b/>
          <w:bCs/>
        </w:rPr>
      </w:pPr>
      <w:r>
        <w:rPr>
          <w:b/>
          <w:bCs/>
        </w:rPr>
        <w:t>Cas des détenus impliqués dans les affaires commises lors de la crise de 2002</w:t>
      </w:r>
    </w:p>
    <w:p w:rsidR="00000000" w:rsidRDefault="00000000">
      <w:pPr>
        <w:spacing w:after="240"/>
      </w:pPr>
      <w:r>
        <w:t>187.</w:t>
      </w:r>
      <w:r>
        <w:tab/>
        <w:t>Six d’entre eux ont fait l’objet d’une évacuation sanitaire (statistique mois de juin 2004).</w:t>
      </w:r>
    </w:p>
    <w:p w:rsidR="00000000" w:rsidRDefault="00000000">
      <w:pPr>
        <w:keepNext/>
        <w:spacing w:after="240"/>
        <w:ind w:firstLine="567"/>
        <w:rPr>
          <w:b/>
          <w:bCs/>
        </w:rPr>
      </w:pPr>
      <w:r>
        <w:rPr>
          <w:b/>
          <w:bCs/>
        </w:rPr>
        <w:t>Lutte contre le VIH/sida et les MST en milieu carcéral</w:t>
      </w:r>
    </w:p>
    <w:p w:rsidR="00000000" w:rsidRDefault="00000000">
      <w:pPr>
        <w:spacing w:after="240"/>
      </w:pPr>
      <w:r>
        <w:t>188.</w:t>
      </w:r>
      <w:r>
        <w:tab/>
        <w:t>Des actions d’information d’éducation et de communication sont menées pour prévenir la propagation et la transmission du VIH et des maladies sexuellement transmissibles (MST).</w:t>
      </w:r>
    </w:p>
    <w:p w:rsidR="00000000" w:rsidRDefault="00000000">
      <w:pPr>
        <w:spacing w:after="240"/>
      </w:pPr>
      <w:r>
        <w:t>189.</w:t>
      </w:r>
      <w:r>
        <w:tab/>
        <w:t>Cette activité est financée par les partenaires techniques et financiers.</w:t>
      </w:r>
    </w:p>
    <w:p w:rsidR="00000000" w:rsidRDefault="00000000">
      <w:pPr>
        <w:spacing w:after="240"/>
      </w:pPr>
      <w:r>
        <w:t>190.</w:t>
      </w:r>
      <w:r>
        <w:tab/>
        <w:t xml:space="preserve">Dans le cadre d’une formation des formateurs inscrite dans le Programme national de la lutte contre le sida (PNLS), un médecin du Ministère de la justice forme les agents cadres de l’Administration pénitentiaire. Par ailleurs, il est également organisée une formation d’éducateurs pairs visant à confier la formation des autres détenus par un détenu formé. </w:t>
      </w:r>
    </w:p>
    <w:p w:rsidR="00000000" w:rsidRDefault="00000000">
      <w:pPr>
        <w:keepNext/>
        <w:spacing w:after="240"/>
        <w:ind w:firstLine="567"/>
        <w:rPr>
          <w:b/>
          <w:bCs/>
        </w:rPr>
      </w:pPr>
      <w:r>
        <w:rPr>
          <w:b/>
          <w:bCs/>
        </w:rPr>
        <w:t>Droit de visite</w:t>
      </w:r>
    </w:p>
    <w:p w:rsidR="00000000" w:rsidRDefault="00000000">
      <w:pPr>
        <w:spacing w:after="240"/>
      </w:pPr>
      <w:r>
        <w:t>191.</w:t>
      </w:r>
      <w:r>
        <w:tab/>
        <w:t>L’article 51 du décret concerne le droit de visite des détenus:</w:t>
      </w:r>
    </w:p>
    <w:p w:rsidR="00000000" w:rsidRDefault="00000000">
      <w:pPr>
        <w:spacing w:after="240"/>
        <w:ind w:left="567"/>
        <w:rPr>
          <w:i/>
          <w:iCs/>
        </w:rPr>
      </w:pPr>
      <w:r>
        <w:rPr>
          <w:iCs/>
        </w:rPr>
        <w:t>«</w:t>
      </w:r>
      <w:r>
        <w:rPr>
          <w:i/>
          <w:iCs/>
        </w:rPr>
        <w:t>Les inculpés, prévenus et accusés ne peuvent recevoir que les visites autorisées par les magistrats</w:t>
      </w:r>
      <w:r>
        <w:t xml:space="preserve"> </w:t>
      </w:r>
      <w:r>
        <w:rPr>
          <w:i/>
          <w:iCs/>
        </w:rPr>
        <w:t>compétents, au terme de l’article 17.</w:t>
      </w:r>
    </w:p>
    <w:p w:rsidR="00000000" w:rsidRDefault="00000000">
      <w:pPr>
        <w:spacing w:after="240"/>
        <w:ind w:left="567"/>
        <w:rPr>
          <w:i/>
          <w:iCs/>
        </w:rPr>
      </w:pPr>
      <w:r>
        <w:rPr>
          <w:i/>
          <w:iCs/>
        </w:rPr>
        <w:t>Les avocats peuvent visiter leurs clients détenus, tous les jours aux heures ouvrables, sauf le cas d’urgence exceptionnelle.</w:t>
      </w:r>
      <w:r>
        <w:rPr>
          <w:iCs/>
        </w:rPr>
        <w:t>».</w:t>
      </w:r>
    </w:p>
    <w:p w:rsidR="00000000" w:rsidRDefault="00000000">
      <w:pPr>
        <w:spacing w:after="240"/>
      </w:pPr>
      <w:r>
        <w:t>192.</w:t>
      </w:r>
      <w:r>
        <w:tab/>
        <w:t>L’article 52 du décret concerne les personnes autorisées à rendre visite aux détenus:</w:t>
      </w:r>
    </w:p>
    <w:p w:rsidR="00000000" w:rsidRDefault="00000000">
      <w:pPr>
        <w:spacing w:after="240"/>
        <w:ind w:left="567"/>
        <w:rPr>
          <w:i/>
          <w:iCs/>
        </w:rPr>
      </w:pPr>
      <w:r>
        <w:rPr>
          <w:iCs/>
        </w:rPr>
        <w:t>«</w:t>
      </w:r>
      <w:r>
        <w:rPr>
          <w:i/>
          <w:iCs/>
        </w:rPr>
        <w:t>Tout détenu condamné a la faculté de recevoir régulièrement la visite des membres de sa famille, dans la limite de deux personnes par jour de visite, ainsi que de son tuteur et subrogé tuteur.</w:t>
      </w:r>
      <w:r>
        <w:rPr>
          <w:iCs/>
        </w:rPr>
        <w:t>»</w:t>
      </w:r>
      <w:r>
        <w:rPr>
          <w:i/>
          <w:iCs/>
        </w:rPr>
        <w:t>.</w:t>
      </w:r>
    </w:p>
    <w:p w:rsidR="00000000" w:rsidRDefault="00000000">
      <w:pPr>
        <w:spacing w:after="240"/>
      </w:pPr>
      <w:r>
        <w:t>193.</w:t>
      </w:r>
      <w:r>
        <w:tab/>
        <w:t>Le maintien des contacts avec la famille est absolument essentiel pour éviter la désadaptation des détenus et pour faciliter leur réinsertion sociale. En ce sens, l’article 51 du décret n</w:t>
      </w:r>
      <w:r>
        <w:rPr>
          <w:vertAlign w:val="superscript"/>
        </w:rPr>
        <w:t>o</w:t>
      </w:r>
      <w:r>
        <w:t> 59</w:t>
      </w:r>
      <w:r>
        <w:noBreakHyphen/>
        <w:t>121 du 27 octobre 1959 prévoit le régime des visites dans les prisons malagasy:</w:t>
      </w:r>
    </w:p>
    <w:p w:rsidR="00000000" w:rsidRDefault="00000000">
      <w:pPr>
        <w:spacing w:after="240"/>
        <w:ind w:firstLine="567"/>
      </w:pPr>
      <w:r>
        <w:t>a)</w:t>
      </w:r>
      <w:r>
        <w:tab/>
        <w:t>Pour les prévenus, les jours de visite sont deux fois par semaine, de préférence le jeudi et le dimanche de 14 heures à 16 heures. Elles se déroulent au parloir pour les visiteurs en présence d’un surveillant et dans le local spécial pour les avocats qui communiquent avec leurs clients et en dehors de la présence d’un surveillant;</w:t>
      </w:r>
    </w:p>
    <w:p w:rsidR="00000000" w:rsidRDefault="00000000">
      <w:pPr>
        <w:spacing w:after="240"/>
        <w:ind w:firstLine="567"/>
      </w:pPr>
      <w:r>
        <w:t>b)</w:t>
      </w:r>
      <w:r>
        <w:tab/>
        <w:t>Pour les condamnés, seuls les membres de leur famille à la limite de 2 personnes par jour de visite sont autorisés à rendre visite aux détenus, à raison d’une fois par semaine et de préférence le dimanche;</w:t>
      </w:r>
    </w:p>
    <w:p w:rsidR="00000000" w:rsidRDefault="00000000">
      <w:pPr>
        <w:spacing w:after="240"/>
        <w:ind w:firstLine="567"/>
      </w:pPr>
      <w:r>
        <w:t>c)</w:t>
      </w:r>
      <w:r>
        <w:tab/>
        <w:t>Il y a aussi les personnes autorisées à titre exceptionnel. Les avocats sont autorisés à communiquer avec leur client condamné à titre définitif.</w:t>
      </w:r>
    </w:p>
    <w:p w:rsidR="00000000" w:rsidRDefault="00000000">
      <w:pPr>
        <w:spacing w:after="240"/>
      </w:pPr>
      <w:r>
        <w:t>194.</w:t>
      </w:r>
      <w:r>
        <w:tab/>
        <w:t>Dans la pratique, il n’y a pas de distinction entre visite des prévenus et celle des condamnés qui ont droit à deux visites par semaine.</w:t>
      </w:r>
    </w:p>
    <w:p w:rsidR="00000000" w:rsidRDefault="00000000">
      <w:pPr>
        <w:keepNext/>
        <w:spacing w:after="240"/>
        <w:ind w:firstLine="567"/>
        <w:rPr>
          <w:b/>
          <w:bCs/>
        </w:rPr>
      </w:pPr>
      <w:r>
        <w:rPr>
          <w:b/>
          <w:bCs/>
        </w:rPr>
        <w:t>Correspondance des détenus</w:t>
      </w:r>
    </w:p>
    <w:p w:rsidR="00000000" w:rsidRDefault="00000000">
      <w:pPr>
        <w:spacing w:after="240"/>
      </w:pPr>
      <w:r>
        <w:t>195.</w:t>
      </w:r>
      <w:r>
        <w:tab/>
        <w:t>L’article 55 du décret prévoit le régime de correspondance des détenus:</w:t>
      </w:r>
    </w:p>
    <w:p w:rsidR="00000000" w:rsidRDefault="00000000">
      <w:pPr>
        <w:spacing w:after="240"/>
        <w:ind w:left="567"/>
      </w:pPr>
      <w:r>
        <w:rPr>
          <w:iCs/>
        </w:rPr>
        <w:t>«</w:t>
      </w:r>
      <w:r>
        <w:rPr>
          <w:i/>
          <w:iCs/>
        </w:rPr>
        <w:t>Tout condamné est autorisé à correspondre avec son conjoint et les membres de sa famille. Exceptionnellement, il peut être autorisé par l’inspecteur provincial à correspondre avec d’autres personnes.</w:t>
      </w:r>
      <w:r>
        <w:rPr>
          <w:iCs/>
        </w:rPr>
        <w:t>».</w:t>
      </w:r>
    </w:p>
    <w:p w:rsidR="00000000" w:rsidRDefault="00000000">
      <w:pPr>
        <w:spacing w:after="240"/>
        <w:rPr>
          <w:b/>
          <w:bCs/>
          <w:u w:val="single"/>
        </w:rPr>
      </w:pPr>
      <w:r>
        <w:t>196.</w:t>
      </w:r>
      <w:r>
        <w:tab/>
        <w:t>Le téléphone portable n’est pas autorisé dans les établissements pénitentiaires.</w:t>
      </w:r>
    </w:p>
    <w:p w:rsidR="00000000" w:rsidRDefault="00000000">
      <w:pPr>
        <w:keepNext/>
        <w:spacing w:after="240"/>
        <w:ind w:firstLine="567"/>
        <w:rPr>
          <w:color w:val="000000"/>
        </w:rPr>
      </w:pPr>
      <w:r>
        <w:rPr>
          <w:b/>
          <w:bCs/>
          <w:color w:val="000000"/>
        </w:rPr>
        <w:t>Les établissements pénitentiaires à Madagascar</w:t>
      </w:r>
    </w:p>
    <w:p w:rsidR="00000000" w:rsidRDefault="00000000">
      <w:pPr>
        <w:spacing w:after="240"/>
        <w:rPr>
          <w:color w:val="000000"/>
        </w:rPr>
      </w:pPr>
      <w:r>
        <w:rPr>
          <w:color w:val="000000"/>
        </w:rPr>
        <w:t>197.</w:t>
      </w:r>
      <w:r>
        <w:rPr>
          <w:color w:val="000000"/>
        </w:rPr>
        <w:tab/>
        <w:t xml:space="preserve">Les articles 1 et 2 de la loi </w:t>
      </w:r>
      <w:r>
        <w:t>n</w:t>
      </w:r>
      <w:r>
        <w:rPr>
          <w:vertAlign w:val="superscript"/>
        </w:rPr>
        <w:t>o</w:t>
      </w:r>
      <w:r>
        <w:t> </w:t>
      </w:r>
      <w:r>
        <w:rPr>
          <w:color w:val="000000"/>
        </w:rPr>
        <w:t>59</w:t>
      </w:r>
      <w:r>
        <w:rPr>
          <w:color w:val="000000"/>
        </w:rPr>
        <w:noBreakHyphen/>
        <w:t>028 du 24 février 1959 se rapportant à l’Administration pénitentiaire, énumèrent les établissements relevant de l’Administration pénitentiaire.</w:t>
      </w:r>
    </w:p>
    <w:p w:rsidR="00000000" w:rsidRDefault="00000000">
      <w:pPr>
        <w:spacing w:after="240"/>
        <w:rPr>
          <w:color w:val="000000"/>
        </w:rPr>
      </w:pPr>
      <w:r>
        <w:rPr>
          <w:color w:val="000000"/>
        </w:rPr>
        <w:t>198.</w:t>
      </w:r>
      <w:r>
        <w:rPr>
          <w:color w:val="000000"/>
        </w:rPr>
        <w:tab/>
      </w:r>
      <w:r>
        <w:rPr>
          <w:b/>
          <w:bCs/>
          <w:color w:val="000000"/>
        </w:rPr>
        <w:t>Les Maisons de force</w:t>
      </w:r>
      <w:r>
        <w:rPr>
          <w:color w:val="000000"/>
        </w:rPr>
        <w:t xml:space="preserve"> (Tsiafahy, Nosilava) reçoivent les condamnés aux peines criminelles privatives de liberté, les condamnés à des peines d’emprisonnement d’une durée égale ou supérieure à 5 ans, ou dont les peines cumulées égalent ou excèdent à ces temps, les condamnés à la relégation, les condamnés à une peine moindre mais reconnus dangereux pour la sécurité publique.</w:t>
      </w:r>
    </w:p>
    <w:p w:rsidR="00000000" w:rsidRDefault="00000000">
      <w:pPr>
        <w:keepNext/>
        <w:spacing w:after="240"/>
        <w:ind w:left="567"/>
        <w:rPr>
          <w:color w:val="000000"/>
        </w:rPr>
      </w:pPr>
      <w:r>
        <w:rPr>
          <w:color w:val="000000"/>
        </w:rPr>
        <w:t>Effectif:</w:t>
      </w:r>
    </w:p>
    <w:p w:rsidR="00000000" w:rsidRDefault="00000000">
      <w:pPr>
        <w:spacing w:after="240"/>
        <w:ind w:left="567"/>
        <w:rPr>
          <w:color w:val="000000"/>
        </w:rPr>
      </w:pPr>
      <w:r>
        <w:rPr>
          <w:color w:val="000000"/>
        </w:rPr>
        <w:t>Année 2000:</w:t>
      </w:r>
    </w:p>
    <w:p w:rsidR="00000000" w:rsidRDefault="00000000">
      <w:pPr>
        <w:spacing w:after="240"/>
        <w:ind w:left="567"/>
        <w:rPr>
          <w:color w:val="000000"/>
        </w:rPr>
      </w:pPr>
      <w:r>
        <w:rPr>
          <w:color w:val="000000"/>
        </w:rPr>
        <w:t>Tsiafahy:</w:t>
      </w:r>
      <w:r>
        <w:rPr>
          <w:color w:val="000000"/>
        </w:rPr>
        <w:tab/>
        <w:t>539 de détenus (toute section confondue)</w:t>
      </w:r>
    </w:p>
    <w:p w:rsidR="00000000" w:rsidRDefault="00000000">
      <w:pPr>
        <w:spacing w:after="240"/>
        <w:ind w:left="567"/>
        <w:rPr>
          <w:color w:val="000000"/>
        </w:rPr>
      </w:pPr>
      <w:r>
        <w:rPr>
          <w:color w:val="000000"/>
        </w:rPr>
        <w:t xml:space="preserve">Nosilava: </w:t>
      </w:r>
      <w:r>
        <w:rPr>
          <w:color w:val="000000"/>
        </w:rPr>
        <w:tab/>
        <w:t>130 (toute section confondue).</w:t>
      </w:r>
    </w:p>
    <w:p w:rsidR="00000000" w:rsidRDefault="00000000">
      <w:pPr>
        <w:keepNext/>
        <w:spacing w:after="240"/>
        <w:rPr>
          <w:color w:val="000000"/>
        </w:rPr>
      </w:pPr>
      <w:r>
        <w:rPr>
          <w:color w:val="000000"/>
        </w:rPr>
        <w:t>199.</w:t>
      </w:r>
      <w:r>
        <w:rPr>
          <w:color w:val="000000"/>
        </w:rPr>
        <w:tab/>
      </w:r>
      <w:r>
        <w:rPr>
          <w:b/>
          <w:bCs/>
          <w:color w:val="000000"/>
        </w:rPr>
        <w:t xml:space="preserve">Les Maisons centrales </w:t>
      </w:r>
      <w:r>
        <w:rPr>
          <w:color w:val="000000"/>
        </w:rPr>
        <w:t>reçoivent:</w:t>
      </w:r>
    </w:p>
    <w:p w:rsidR="00000000" w:rsidRDefault="00000000">
      <w:pPr>
        <w:spacing w:after="240"/>
        <w:ind w:firstLine="567"/>
        <w:rPr>
          <w:color w:val="000000"/>
        </w:rPr>
      </w:pPr>
      <w:r>
        <w:rPr>
          <w:color w:val="000000"/>
        </w:rPr>
        <w:t>a)</w:t>
      </w:r>
      <w:r>
        <w:rPr>
          <w:color w:val="000000"/>
        </w:rPr>
        <w:tab/>
        <w:t>Les prévenus, inculpés et accusés;</w:t>
      </w:r>
    </w:p>
    <w:p w:rsidR="00000000" w:rsidRDefault="00000000">
      <w:pPr>
        <w:spacing w:after="240"/>
        <w:ind w:firstLine="567"/>
        <w:rPr>
          <w:color w:val="000000"/>
        </w:rPr>
      </w:pPr>
      <w:r>
        <w:rPr>
          <w:color w:val="000000"/>
        </w:rPr>
        <w:t>b)</w:t>
      </w:r>
      <w:r>
        <w:rPr>
          <w:color w:val="000000"/>
        </w:rPr>
        <w:tab/>
        <w:t>Les condamnés à une peine d’emprisonnement d’une durée inférieure à 5 ans pour crime ou délit et les condamnés à l’emprisonnement de simple police;</w:t>
      </w:r>
    </w:p>
    <w:p w:rsidR="00000000" w:rsidRDefault="00000000">
      <w:pPr>
        <w:spacing w:after="240"/>
        <w:ind w:firstLine="567"/>
        <w:rPr>
          <w:color w:val="000000"/>
        </w:rPr>
      </w:pPr>
      <w:r>
        <w:rPr>
          <w:color w:val="000000"/>
        </w:rPr>
        <w:t>c)</w:t>
      </w:r>
      <w:r>
        <w:rPr>
          <w:color w:val="000000"/>
        </w:rPr>
        <w:tab/>
        <w:t>Les personnes contraintes par corps n’existent plus.</w:t>
      </w:r>
    </w:p>
    <w:p w:rsidR="00000000" w:rsidRDefault="00000000">
      <w:pPr>
        <w:keepNext/>
        <w:spacing w:after="240"/>
        <w:rPr>
          <w:color w:val="000000"/>
        </w:rPr>
      </w:pPr>
      <w:r>
        <w:rPr>
          <w:color w:val="000000"/>
        </w:rPr>
        <w:t>200.</w:t>
      </w:r>
      <w:r>
        <w:rPr>
          <w:b/>
          <w:bCs/>
          <w:color w:val="000000"/>
        </w:rPr>
        <w:tab/>
        <w:t>Les Maisons d’arrêt</w:t>
      </w:r>
      <w:r>
        <w:rPr>
          <w:color w:val="000000"/>
        </w:rPr>
        <w:t xml:space="preserve"> reçoivent:</w:t>
      </w:r>
    </w:p>
    <w:p w:rsidR="00000000" w:rsidRDefault="00000000">
      <w:pPr>
        <w:spacing w:after="240"/>
        <w:ind w:firstLine="567"/>
        <w:rPr>
          <w:color w:val="000000"/>
        </w:rPr>
      </w:pPr>
      <w:r>
        <w:rPr>
          <w:color w:val="000000"/>
        </w:rPr>
        <w:t>a)</w:t>
      </w:r>
      <w:r>
        <w:rPr>
          <w:color w:val="000000"/>
        </w:rPr>
        <w:tab/>
        <w:t>Les prévenus, les inculpés et accusés;</w:t>
      </w:r>
    </w:p>
    <w:p w:rsidR="00000000" w:rsidRDefault="00000000">
      <w:pPr>
        <w:spacing w:after="240"/>
        <w:ind w:firstLine="567"/>
        <w:rPr>
          <w:color w:val="000000"/>
        </w:rPr>
      </w:pPr>
      <w:r>
        <w:rPr>
          <w:color w:val="000000"/>
        </w:rPr>
        <w:t>b)</w:t>
      </w:r>
      <w:r>
        <w:rPr>
          <w:color w:val="000000"/>
        </w:rPr>
        <w:tab/>
        <w:t>Les condamnés à l’emprisonnement d’une durée égale ou inférieure à 2 ans pour crime ou délit et les condamnés à l’emprisonnement de simple police.</w:t>
      </w:r>
    </w:p>
    <w:p w:rsidR="00000000" w:rsidRDefault="00000000">
      <w:pPr>
        <w:keepNext/>
        <w:spacing w:after="240"/>
        <w:rPr>
          <w:b/>
          <w:bCs/>
          <w:color w:val="000000"/>
          <w:u w:val="single"/>
        </w:rPr>
      </w:pPr>
      <w:r>
        <w:rPr>
          <w:color w:val="000000"/>
        </w:rPr>
        <w:t>201.</w:t>
      </w:r>
      <w:r>
        <w:rPr>
          <w:color w:val="000000"/>
        </w:rPr>
        <w:tab/>
      </w:r>
      <w:r>
        <w:rPr>
          <w:b/>
          <w:bCs/>
          <w:color w:val="000000"/>
        </w:rPr>
        <w:t>Les Maisons de sûreté</w:t>
      </w:r>
      <w:r>
        <w:rPr>
          <w:color w:val="000000"/>
        </w:rPr>
        <w:t xml:space="preserve"> reçoivent:</w:t>
      </w:r>
    </w:p>
    <w:p w:rsidR="00000000" w:rsidRDefault="00000000">
      <w:pPr>
        <w:spacing w:after="240"/>
        <w:ind w:firstLine="567"/>
        <w:rPr>
          <w:color w:val="000000"/>
        </w:rPr>
      </w:pPr>
      <w:r>
        <w:rPr>
          <w:color w:val="000000"/>
        </w:rPr>
        <w:t>a)</w:t>
      </w:r>
      <w:r>
        <w:rPr>
          <w:color w:val="000000"/>
        </w:rPr>
        <w:tab/>
        <w:t>Les inculpés et prévenus;</w:t>
      </w:r>
    </w:p>
    <w:p w:rsidR="00000000" w:rsidRDefault="00000000">
      <w:pPr>
        <w:spacing w:after="240"/>
        <w:ind w:firstLine="567"/>
        <w:rPr>
          <w:color w:val="000000"/>
        </w:rPr>
      </w:pPr>
      <w:r>
        <w:rPr>
          <w:color w:val="000000"/>
        </w:rPr>
        <w:t>b)</w:t>
      </w:r>
      <w:r>
        <w:rPr>
          <w:color w:val="000000"/>
        </w:rPr>
        <w:tab/>
        <w:t>Les condamnés qui, au jour où leur condamnation est devenue définitive, n’ont plus à subir qu’une détention d’une durée tout au plus égale à 6 mois;</w:t>
      </w:r>
    </w:p>
    <w:p w:rsidR="00000000" w:rsidRDefault="00000000">
      <w:pPr>
        <w:spacing w:after="240"/>
        <w:ind w:firstLine="567"/>
        <w:rPr>
          <w:color w:val="000000"/>
        </w:rPr>
      </w:pPr>
      <w:r>
        <w:rPr>
          <w:color w:val="000000"/>
        </w:rPr>
        <w:t>c)</w:t>
      </w:r>
      <w:r>
        <w:rPr>
          <w:color w:val="000000"/>
        </w:rPr>
        <w:tab/>
        <w:t>Les condamnés concédés pour l’exécution de travaux d’intérêt général;</w:t>
      </w:r>
    </w:p>
    <w:p w:rsidR="00000000" w:rsidRDefault="00000000">
      <w:pPr>
        <w:spacing w:after="240"/>
        <w:ind w:firstLine="567"/>
        <w:rPr>
          <w:color w:val="000000"/>
        </w:rPr>
      </w:pPr>
      <w:r>
        <w:rPr>
          <w:color w:val="000000"/>
        </w:rPr>
        <w:t>d)</w:t>
      </w:r>
      <w:r>
        <w:rPr>
          <w:color w:val="000000"/>
        </w:rPr>
        <w:tab/>
        <w:t>Les passagers en transit.</w:t>
      </w:r>
    </w:p>
    <w:p w:rsidR="00000000" w:rsidRDefault="00000000">
      <w:pPr>
        <w:spacing w:after="240"/>
        <w:rPr>
          <w:b/>
          <w:bCs/>
          <w:color w:val="000000"/>
          <w:u w:val="single"/>
        </w:rPr>
      </w:pPr>
      <w:r>
        <w:rPr>
          <w:color w:val="000000"/>
        </w:rPr>
        <w:t>202.</w:t>
      </w:r>
      <w:r>
        <w:rPr>
          <w:color w:val="000000"/>
        </w:rPr>
        <w:tab/>
        <w:t>L’insuffisance des moyens matériels, financiers et humains n’a pas pu permettre de réaliser les exigences de l’article 10, en ce qui concerne la séparation des détenus préventifs et condamnés.</w:t>
      </w:r>
    </w:p>
    <w:p w:rsidR="00000000" w:rsidRDefault="00000000">
      <w:pPr>
        <w:spacing w:after="240"/>
        <w:rPr>
          <w:color w:val="000000"/>
        </w:rPr>
      </w:pPr>
      <w:r>
        <w:rPr>
          <w:color w:val="000000"/>
        </w:rPr>
        <w:t>203.</w:t>
      </w:r>
      <w:r>
        <w:rPr>
          <w:color w:val="000000"/>
        </w:rPr>
        <w:tab/>
        <w:t>Des efforts ont été accomplis pour séparer les détenus mineurs des adultes à la Maison centrale d’Antananarivo. Cet objectif de séparation se poursuit sur toute l’étendue du territoire.</w:t>
      </w:r>
    </w:p>
    <w:p w:rsidR="00000000" w:rsidRDefault="00000000">
      <w:pPr>
        <w:keepNext/>
        <w:spacing w:after="240"/>
        <w:rPr>
          <w:b/>
          <w:bCs/>
        </w:rPr>
      </w:pPr>
      <w:r>
        <w:rPr>
          <w:b/>
          <w:bCs/>
        </w:rPr>
        <w:t>Évolution de la population pénale</w:t>
      </w:r>
    </w:p>
    <w:p w:rsidR="00000000" w:rsidRDefault="00000000">
      <w:pPr>
        <w:spacing w:after="240"/>
        <w:jc w:val="center"/>
        <w:rPr>
          <w:b/>
          <w:bCs/>
        </w:rPr>
      </w:pPr>
      <w:bookmarkStart w:id="34" w:name="_Toc98224975"/>
      <w:r>
        <w:rPr>
          <w:b/>
          <w:bCs/>
        </w:rPr>
        <w:t>Tableau 45: Évolution de la population pénale de 1961 en mars 2004 avec répartition par catégorie de détenus (prévenus – condamnés; hommes – femmes; mineurs – adultes)</w:t>
      </w:r>
      <w:bookmarkEnd w:id="34"/>
    </w:p>
    <w:tbl>
      <w:tblPr>
        <w:tblW w:w="0" w:type="auto"/>
        <w:jc w:val="center"/>
        <w:tblInd w:w="-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134"/>
        <w:gridCol w:w="962"/>
        <w:gridCol w:w="960"/>
        <w:gridCol w:w="720"/>
        <w:gridCol w:w="960"/>
        <w:gridCol w:w="1032"/>
        <w:gridCol w:w="1035"/>
        <w:gridCol w:w="742"/>
        <w:gridCol w:w="1000"/>
        <w:gridCol w:w="900"/>
      </w:tblGrid>
      <w:tr w:rsidR="00000000">
        <w:tblPrEx>
          <w:tblCellMar>
            <w:top w:w="0" w:type="dxa"/>
            <w:bottom w:w="0" w:type="dxa"/>
          </w:tblCellMar>
        </w:tblPrEx>
        <w:trPr>
          <w:cantSplit/>
          <w:trHeight w:val="468"/>
          <w:tblHeader/>
          <w:jc w:val="center"/>
        </w:trPr>
        <w:tc>
          <w:tcPr>
            <w:tcW w:w="1134" w:type="dxa"/>
            <w:vMerge w:val="restart"/>
            <w:vAlign w:val="center"/>
          </w:tcPr>
          <w:p w:rsidR="00000000" w:rsidRDefault="00000000">
            <w:pPr>
              <w:jc w:val="center"/>
            </w:pPr>
            <w:bookmarkStart w:id="35" w:name="_Toc97531279"/>
            <w:r>
              <w:t>Années</w:t>
            </w:r>
            <w:bookmarkEnd w:id="35"/>
          </w:p>
        </w:tc>
        <w:tc>
          <w:tcPr>
            <w:tcW w:w="3602" w:type="dxa"/>
            <w:gridSpan w:val="4"/>
            <w:vAlign w:val="center"/>
          </w:tcPr>
          <w:p w:rsidR="00000000" w:rsidRDefault="00000000">
            <w:pPr>
              <w:jc w:val="center"/>
            </w:pPr>
            <w:bookmarkStart w:id="36" w:name="_Toc97531280"/>
            <w:r>
              <w:t>Condamnés</w:t>
            </w:r>
            <w:bookmarkEnd w:id="36"/>
          </w:p>
        </w:tc>
        <w:tc>
          <w:tcPr>
            <w:tcW w:w="3809" w:type="dxa"/>
            <w:gridSpan w:val="4"/>
            <w:vAlign w:val="center"/>
          </w:tcPr>
          <w:p w:rsidR="00000000" w:rsidRDefault="00000000">
            <w:pPr>
              <w:jc w:val="center"/>
            </w:pPr>
            <w:bookmarkStart w:id="37" w:name="_Toc97531281"/>
            <w:r>
              <w:t>Prévenus</w:t>
            </w:r>
            <w:bookmarkEnd w:id="37"/>
          </w:p>
        </w:tc>
        <w:tc>
          <w:tcPr>
            <w:tcW w:w="900" w:type="dxa"/>
            <w:vMerge w:val="restart"/>
            <w:vAlign w:val="center"/>
          </w:tcPr>
          <w:p w:rsidR="00000000" w:rsidRDefault="00000000">
            <w:pPr>
              <w:jc w:val="center"/>
            </w:pPr>
            <w:bookmarkStart w:id="38" w:name="_Toc97531282"/>
            <w:r>
              <w:t>Total</w:t>
            </w:r>
            <w:bookmarkEnd w:id="38"/>
          </w:p>
        </w:tc>
      </w:tr>
      <w:tr w:rsidR="00000000">
        <w:tblPrEx>
          <w:tblCellMar>
            <w:top w:w="0" w:type="dxa"/>
            <w:bottom w:w="0" w:type="dxa"/>
          </w:tblCellMar>
        </w:tblPrEx>
        <w:trPr>
          <w:cantSplit/>
          <w:trHeight w:val="158"/>
          <w:tblHeader/>
          <w:jc w:val="center"/>
        </w:trPr>
        <w:tc>
          <w:tcPr>
            <w:tcW w:w="1134" w:type="dxa"/>
            <w:vMerge/>
            <w:vAlign w:val="center"/>
          </w:tcPr>
          <w:p w:rsidR="00000000" w:rsidRDefault="00000000">
            <w:pPr>
              <w:jc w:val="center"/>
              <w:rPr>
                <w:snapToGrid w:val="0"/>
              </w:rPr>
            </w:pPr>
          </w:p>
        </w:tc>
        <w:tc>
          <w:tcPr>
            <w:tcW w:w="962" w:type="dxa"/>
            <w:vAlign w:val="center"/>
          </w:tcPr>
          <w:p w:rsidR="00000000" w:rsidRDefault="00000000">
            <w:pPr>
              <w:jc w:val="center"/>
              <w:rPr>
                <w:snapToGrid w:val="0"/>
              </w:rPr>
            </w:pPr>
            <w:bookmarkStart w:id="39" w:name="_Toc97531283"/>
            <w:r>
              <w:rPr>
                <w:snapToGrid w:val="0"/>
              </w:rPr>
              <w:t>Hommes</w:t>
            </w:r>
            <w:bookmarkEnd w:id="39"/>
          </w:p>
        </w:tc>
        <w:tc>
          <w:tcPr>
            <w:tcW w:w="960" w:type="dxa"/>
            <w:vAlign w:val="center"/>
          </w:tcPr>
          <w:p w:rsidR="00000000" w:rsidRDefault="00000000">
            <w:pPr>
              <w:jc w:val="center"/>
              <w:rPr>
                <w:snapToGrid w:val="0"/>
              </w:rPr>
            </w:pPr>
            <w:bookmarkStart w:id="40" w:name="_Toc97531284"/>
            <w:r>
              <w:rPr>
                <w:snapToGrid w:val="0"/>
              </w:rPr>
              <w:t>Femmes</w:t>
            </w:r>
            <w:bookmarkEnd w:id="40"/>
          </w:p>
        </w:tc>
        <w:tc>
          <w:tcPr>
            <w:tcW w:w="720" w:type="dxa"/>
            <w:vAlign w:val="center"/>
          </w:tcPr>
          <w:p w:rsidR="00000000" w:rsidRDefault="00000000">
            <w:pPr>
              <w:jc w:val="center"/>
              <w:rPr>
                <w:snapToGrid w:val="0"/>
              </w:rPr>
            </w:pPr>
            <w:bookmarkStart w:id="41" w:name="_Toc97531285"/>
            <w:r>
              <w:rPr>
                <w:snapToGrid w:val="0"/>
              </w:rPr>
              <w:t>Filles</w:t>
            </w:r>
            <w:bookmarkEnd w:id="41"/>
          </w:p>
        </w:tc>
        <w:tc>
          <w:tcPr>
            <w:tcW w:w="960" w:type="dxa"/>
            <w:vAlign w:val="center"/>
          </w:tcPr>
          <w:p w:rsidR="00000000" w:rsidRDefault="00000000">
            <w:pPr>
              <w:jc w:val="center"/>
              <w:rPr>
                <w:snapToGrid w:val="0"/>
              </w:rPr>
            </w:pPr>
            <w:bookmarkStart w:id="42" w:name="_Toc97531286"/>
            <w:r>
              <w:rPr>
                <w:snapToGrid w:val="0"/>
              </w:rPr>
              <w:t>Garçons</w:t>
            </w:r>
            <w:bookmarkEnd w:id="42"/>
          </w:p>
        </w:tc>
        <w:tc>
          <w:tcPr>
            <w:tcW w:w="1032" w:type="dxa"/>
            <w:vAlign w:val="center"/>
          </w:tcPr>
          <w:p w:rsidR="00000000" w:rsidRDefault="00000000">
            <w:pPr>
              <w:jc w:val="center"/>
            </w:pPr>
            <w:bookmarkStart w:id="43" w:name="_Toc97531287"/>
            <w:r>
              <w:t>Hommes</w:t>
            </w:r>
            <w:bookmarkEnd w:id="43"/>
          </w:p>
        </w:tc>
        <w:tc>
          <w:tcPr>
            <w:tcW w:w="1035" w:type="dxa"/>
            <w:vAlign w:val="center"/>
          </w:tcPr>
          <w:p w:rsidR="00000000" w:rsidRDefault="00000000">
            <w:pPr>
              <w:jc w:val="center"/>
              <w:rPr>
                <w:snapToGrid w:val="0"/>
              </w:rPr>
            </w:pPr>
            <w:bookmarkStart w:id="44" w:name="_Toc97531288"/>
            <w:r>
              <w:rPr>
                <w:snapToGrid w:val="0"/>
              </w:rPr>
              <w:t>Femmes</w:t>
            </w:r>
            <w:bookmarkEnd w:id="44"/>
          </w:p>
        </w:tc>
        <w:tc>
          <w:tcPr>
            <w:tcW w:w="742" w:type="dxa"/>
            <w:vAlign w:val="center"/>
          </w:tcPr>
          <w:p w:rsidR="00000000" w:rsidRDefault="00000000">
            <w:pPr>
              <w:jc w:val="center"/>
              <w:rPr>
                <w:snapToGrid w:val="0"/>
              </w:rPr>
            </w:pPr>
            <w:bookmarkStart w:id="45" w:name="_Toc97531289"/>
            <w:r>
              <w:rPr>
                <w:snapToGrid w:val="0"/>
              </w:rPr>
              <w:t>Filles</w:t>
            </w:r>
            <w:bookmarkEnd w:id="45"/>
          </w:p>
        </w:tc>
        <w:tc>
          <w:tcPr>
            <w:tcW w:w="1000" w:type="dxa"/>
            <w:vAlign w:val="center"/>
          </w:tcPr>
          <w:p w:rsidR="00000000" w:rsidRDefault="00000000">
            <w:pPr>
              <w:jc w:val="center"/>
            </w:pPr>
            <w:bookmarkStart w:id="46" w:name="_Toc97531290"/>
            <w:r>
              <w:t>Garçons</w:t>
            </w:r>
            <w:bookmarkEnd w:id="46"/>
          </w:p>
        </w:tc>
        <w:tc>
          <w:tcPr>
            <w:tcW w:w="900" w:type="dxa"/>
            <w:vMerge/>
            <w:vAlign w:val="center"/>
          </w:tcPr>
          <w:p w:rsidR="00000000" w:rsidRDefault="00000000">
            <w:pPr>
              <w:jc w:val="center"/>
              <w:rPr>
                <w:snapToGrid w:val="0"/>
              </w:rPr>
            </w:pPr>
          </w:p>
        </w:tc>
      </w:tr>
      <w:tr w:rsidR="00000000">
        <w:tblPrEx>
          <w:tblCellMar>
            <w:top w:w="0" w:type="dxa"/>
            <w:bottom w:w="0" w:type="dxa"/>
          </w:tblCellMar>
        </w:tblPrEx>
        <w:trPr>
          <w:trHeight w:val="128"/>
          <w:jc w:val="center"/>
        </w:trPr>
        <w:tc>
          <w:tcPr>
            <w:tcW w:w="1134" w:type="dxa"/>
          </w:tcPr>
          <w:p w:rsidR="00000000" w:rsidRDefault="00000000">
            <w:pPr>
              <w:rPr>
                <w:snapToGrid w:val="0"/>
              </w:rPr>
            </w:pPr>
            <w:bookmarkStart w:id="47" w:name="_Toc97531291"/>
            <w:r>
              <w:rPr>
                <w:snapToGrid w:val="0"/>
              </w:rPr>
              <w:t>1961</w:t>
            </w:r>
            <w:bookmarkEnd w:id="47"/>
          </w:p>
        </w:tc>
        <w:tc>
          <w:tcPr>
            <w:tcW w:w="962" w:type="dxa"/>
          </w:tcPr>
          <w:p w:rsidR="00000000" w:rsidRDefault="00000000">
            <w:pPr>
              <w:jc w:val="right"/>
              <w:rPr>
                <w:snapToGrid w:val="0"/>
              </w:rPr>
            </w:pPr>
            <w:bookmarkStart w:id="48" w:name="_Toc97531292"/>
            <w:r>
              <w:rPr>
                <w:snapToGrid w:val="0"/>
              </w:rPr>
              <w:t>-</w:t>
            </w:r>
            <w:bookmarkEnd w:id="48"/>
          </w:p>
        </w:tc>
        <w:tc>
          <w:tcPr>
            <w:tcW w:w="960" w:type="dxa"/>
          </w:tcPr>
          <w:p w:rsidR="00000000" w:rsidRDefault="00000000">
            <w:pPr>
              <w:jc w:val="right"/>
              <w:rPr>
                <w:snapToGrid w:val="0"/>
              </w:rPr>
            </w:pPr>
            <w:bookmarkStart w:id="49" w:name="_Toc97531293"/>
            <w:r>
              <w:rPr>
                <w:snapToGrid w:val="0"/>
              </w:rPr>
              <w:t>-</w:t>
            </w:r>
            <w:bookmarkEnd w:id="49"/>
          </w:p>
        </w:tc>
        <w:tc>
          <w:tcPr>
            <w:tcW w:w="720" w:type="dxa"/>
          </w:tcPr>
          <w:p w:rsidR="00000000" w:rsidRDefault="00000000">
            <w:pPr>
              <w:jc w:val="right"/>
              <w:rPr>
                <w:snapToGrid w:val="0"/>
              </w:rPr>
            </w:pPr>
            <w:bookmarkStart w:id="50" w:name="_Toc97531294"/>
            <w:r>
              <w:rPr>
                <w:snapToGrid w:val="0"/>
              </w:rPr>
              <w:t>-</w:t>
            </w:r>
            <w:bookmarkEnd w:id="50"/>
          </w:p>
        </w:tc>
        <w:tc>
          <w:tcPr>
            <w:tcW w:w="960" w:type="dxa"/>
          </w:tcPr>
          <w:p w:rsidR="00000000" w:rsidRDefault="00000000">
            <w:pPr>
              <w:jc w:val="right"/>
              <w:rPr>
                <w:snapToGrid w:val="0"/>
              </w:rPr>
            </w:pPr>
            <w:bookmarkStart w:id="51" w:name="_Toc97531295"/>
            <w:r>
              <w:rPr>
                <w:snapToGrid w:val="0"/>
              </w:rPr>
              <w:t>-</w:t>
            </w:r>
            <w:bookmarkEnd w:id="51"/>
          </w:p>
        </w:tc>
        <w:tc>
          <w:tcPr>
            <w:tcW w:w="1032" w:type="dxa"/>
          </w:tcPr>
          <w:p w:rsidR="00000000" w:rsidRDefault="00000000">
            <w:pPr>
              <w:jc w:val="right"/>
              <w:rPr>
                <w:snapToGrid w:val="0"/>
              </w:rPr>
            </w:pPr>
            <w:bookmarkStart w:id="52" w:name="_Toc97531296"/>
            <w:r>
              <w:rPr>
                <w:snapToGrid w:val="0"/>
              </w:rPr>
              <w:t>-</w:t>
            </w:r>
            <w:bookmarkEnd w:id="52"/>
          </w:p>
        </w:tc>
        <w:tc>
          <w:tcPr>
            <w:tcW w:w="1035" w:type="dxa"/>
          </w:tcPr>
          <w:p w:rsidR="00000000" w:rsidRDefault="00000000">
            <w:pPr>
              <w:jc w:val="right"/>
              <w:rPr>
                <w:snapToGrid w:val="0"/>
              </w:rPr>
            </w:pPr>
            <w:bookmarkStart w:id="53" w:name="_Toc97531297"/>
            <w:r>
              <w:rPr>
                <w:snapToGrid w:val="0"/>
              </w:rPr>
              <w:t>-</w:t>
            </w:r>
            <w:bookmarkEnd w:id="53"/>
          </w:p>
        </w:tc>
        <w:tc>
          <w:tcPr>
            <w:tcW w:w="742" w:type="dxa"/>
          </w:tcPr>
          <w:p w:rsidR="00000000" w:rsidRDefault="00000000">
            <w:pPr>
              <w:jc w:val="right"/>
              <w:rPr>
                <w:snapToGrid w:val="0"/>
              </w:rPr>
            </w:pPr>
            <w:bookmarkStart w:id="54" w:name="_Toc97531298"/>
            <w:r>
              <w:rPr>
                <w:snapToGrid w:val="0"/>
              </w:rPr>
              <w:t>-</w:t>
            </w:r>
            <w:bookmarkEnd w:id="54"/>
          </w:p>
        </w:tc>
        <w:tc>
          <w:tcPr>
            <w:tcW w:w="1000" w:type="dxa"/>
          </w:tcPr>
          <w:p w:rsidR="00000000" w:rsidRDefault="00000000">
            <w:pPr>
              <w:jc w:val="right"/>
              <w:rPr>
                <w:snapToGrid w:val="0"/>
              </w:rPr>
            </w:pPr>
            <w:bookmarkStart w:id="55" w:name="_Toc97531299"/>
            <w:r>
              <w:rPr>
                <w:snapToGrid w:val="0"/>
              </w:rPr>
              <w:t>-</w:t>
            </w:r>
            <w:bookmarkEnd w:id="55"/>
          </w:p>
        </w:tc>
        <w:tc>
          <w:tcPr>
            <w:tcW w:w="900" w:type="dxa"/>
          </w:tcPr>
          <w:p w:rsidR="00000000" w:rsidRDefault="00000000">
            <w:pPr>
              <w:jc w:val="right"/>
              <w:rPr>
                <w:snapToGrid w:val="0"/>
              </w:rPr>
            </w:pPr>
            <w:bookmarkStart w:id="56" w:name="_Toc97531300"/>
            <w:r>
              <w:rPr>
                <w:snapToGrid w:val="0"/>
              </w:rPr>
              <w:t>9064</w:t>
            </w:r>
            <w:bookmarkEnd w:id="56"/>
          </w:p>
        </w:tc>
      </w:tr>
      <w:tr w:rsidR="00000000">
        <w:tblPrEx>
          <w:tblCellMar>
            <w:top w:w="0" w:type="dxa"/>
            <w:bottom w:w="0" w:type="dxa"/>
          </w:tblCellMar>
        </w:tblPrEx>
        <w:trPr>
          <w:trHeight w:val="113"/>
          <w:jc w:val="center"/>
        </w:trPr>
        <w:tc>
          <w:tcPr>
            <w:tcW w:w="1134" w:type="dxa"/>
          </w:tcPr>
          <w:p w:rsidR="00000000" w:rsidRDefault="00000000">
            <w:pPr>
              <w:rPr>
                <w:snapToGrid w:val="0"/>
              </w:rPr>
            </w:pPr>
            <w:bookmarkStart w:id="57" w:name="_Toc97531301"/>
            <w:r>
              <w:rPr>
                <w:snapToGrid w:val="0"/>
              </w:rPr>
              <w:t>1971</w:t>
            </w:r>
            <w:bookmarkEnd w:id="57"/>
          </w:p>
        </w:tc>
        <w:tc>
          <w:tcPr>
            <w:tcW w:w="962" w:type="dxa"/>
          </w:tcPr>
          <w:p w:rsidR="00000000" w:rsidRDefault="00000000">
            <w:pPr>
              <w:jc w:val="right"/>
              <w:rPr>
                <w:snapToGrid w:val="0"/>
              </w:rPr>
            </w:pPr>
            <w:bookmarkStart w:id="58" w:name="_Toc97531302"/>
            <w:r>
              <w:rPr>
                <w:snapToGrid w:val="0"/>
              </w:rPr>
              <w:t>6042</w:t>
            </w:r>
            <w:bookmarkEnd w:id="58"/>
          </w:p>
        </w:tc>
        <w:tc>
          <w:tcPr>
            <w:tcW w:w="960" w:type="dxa"/>
          </w:tcPr>
          <w:p w:rsidR="00000000" w:rsidRDefault="00000000">
            <w:pPr>
              <w:jc w:val="right"/>
              <w:rPr>
                <w:snapToGrid w:val="0"/>
              </w:rPr>
            </w:pPr>
            <w:bookmarkStart w:id="59" w:name="_Toc97531303"/>
            <w:r>
              <w:rPr>
                <w:snapToGrid w:val="0"/>
              </w:rPr>
              <w:t>83</w:t>
            </w:r>
            <w:bookmarkEnd w:id="59"/>
          </w:p>
        </w:tc>
        <w:tc>
          <w:tcPr>
            <w:tcW w:w="720" w:type="dxa"/>
          </w:tcPr>
          <w:p w:rsidR="00000000" w:rsidRDefault="00000000">
            <w:pPr>
              <w:jc w:val="right"/>
              <w:rPr>
                <w:snapToGrid w:val="0"/>
              </w:rPr>
            </w:pPr>
            <w:bookmarkStart w:id="60" w:name="_Toc97531304"/>
            <w:r>
              <w:rPr>
                <w:snapToGrid w:val="0"/>
              </w:rPr>
              <w:t>-</w:t>
            </w:r>
            <w:bookmarkEnd w:id="60"/>
          </w:p>
        </w:tc>
        <w:tc>
          <w:tcPr>
            <w:tcW w:w="960" w:type="dxa"/>
          </w:tcPr>
          <w:p w:rsidR="00000000" w:rsidRDefault="00000000">
            <w:pPr>
              <w:jc w:val="right"/>
              <w:rPr>
                <w:snapToGrid w:val="0"/>
              </w:rPr>
            </w:pPr>
            <w:bookmarkStart w:id="61" w:name="_Toc97531305"/>
            <w:r>
              <w:rPr>
                <w:snapToGrid w:val="0"/>
              </w:rPr>
              <w:t>49</w:t>
            </w:r>
            <w:bookmarkEnd w:id="61"/>
          </w:p>
        </w:tc>
        <w:tc>
          <w:tcPr>
            <w:tcW w:w="1032" w:type="dxa"/>
          </w:tcPr>
          <w:p w:rsidR="00000000" w:rsidRDefault="00000000">
            <w:pPr>
              <w:jc w:val="right"/>
              <w:rPr>
                <w:snapToGrid w:val="0"/>
              </w:rPr>
            </w:pPr>
            <w:bookmarkStart w:id="62" w:name="_Toc97531306"/>
            <w:r>
              <w:rPr>
                <w:snapToGrid w:val="0"/>
              </w:rPr>
              <w:t>5778</w:t>
            </w:r>
            <w:bookmarkEnd w:id="62"/>
          </w:p>
        </w:tc>
        <w:tc>
          <w:tcPr>
            <w:tcW w:w="1035" w:type="dxa"/>
          </w:tcPr>
          <w:p w:rsidR="00000000" w:rsidRDefault="00000000">
            <w:pPr>
              <w:jc w:val="right"/>
              <w:rPr>
                <w:snapToGrid w:val="0"/>
              </w:rPr>
            </w:pPr>
            <w:bookmarkStart w:id="63" w:name="_Toc97531307"/>
            <w:r>
              <w:rPr>
                <w:snapToGrid w:val="0"/>
              </w:rPr>
              <w:t>145</w:t>
            </w:r>
            <w:bookmarkEnd w:id="63"/>
          </w:p>
        </w:tc>
        <w:tc>
          <w:tcPr>
            <w:tcW w:w="742" w:type="dxa"/>
          </w:tcPr>
          <w:p w:rsidR="00000000" w:rsidRDefault="00000000">
            <w:pPr>
              <w:jc w:val="right"/>
              <w:rPr>
                <w:snapToGrid w:val="0"/>
              </w:rPr>
            </w:pPr>
            <w:bookmarkStart w:id="64" w:name="_Toc97531308"/>
            <w:r>
              <w:rPr>
                <w:snapToGrid w:val="0"/>
              </w:rPr>
              <w:t>-</w:t>
            </w:r>
            <w:bookmarkEnd w:id="64"/>
          </w:p>
        </w:tc>
        <w:tc>
          <w:tcPr>
            <w:tcW w:w="1000" w:type="dxa"/>
          </w:tcPr>
          <w:p w:rsidR="00000000" w:rsidRDefault="00000000">
            <w:pPr>
              <w:jc w:val="right"/>
              <w:rPr>
                <w:snapToGrid w:val="0"/>
              </w:rPr>
            </w:pPr>
            <w:bookmarkStart w:id="65" w:name="_Toc97531309"/>
            <w:r>
              <w:rPr>
                <w:snapToGrid w:val="0"/>
              </w:rPr>
              <w:t>323</w:t>
            </w:r>
            <w:bookmarkEnd w:id="65"/>
          </w:p>
        </w:tc>
        <w:tc>
          <w:tcPr>
            <w:tcW w:w="900" w:type="dxa"/>
          </w:tcPr>
          <w:p w:rsidR="00000000" w:rsidRDefault="00000000">
            <w:pPr>
              <w:jc w:val="right"/>
              <w:rPr>
                <w:snapToGrid w:val="0"/>
              </w:rPr>
            </w:pPr>
            <w:bookmarkStart w:id="66" w:name="_Toc97531310"/>
            <w:r>
              <w:rPr>
                <w:snapToGrid w:val="0"/>
              </w:rPr>
              <w:t>12420</w:t>
            </w:r>
            <w:bookmarkEnd w:id="66"/>
          </w:p>
        </w:tc>
      </w:tr>
      <w:tr w:rsidR="00000000">
        <w:tblPrEx>
          <w:tblCellMar>
            <w:top w:w="0" w:type="dxa"/>
            <w:bottom w:w="0" w:type="dxa"/>
          </w:tblCellMar>
        </w:tblPrEx>
        <w:trPr>
          <w:trHeight w:val="110"/>
          <w:jc w:val="center"/>
        </w:trPr>
        <w:tc>
          <w:tcPr>
            <w:tcW w:w="1134" w:type="dxa"/>
          </w:tcPr>
          <w:p w:rsidR="00000000" w:rsidRDefault="00000000">
            <w:pPr>
              <w:rPr>
                <w:snapToGrid w:val="0"/>
              </w:rPr>
            </w:pPr>
            <w:bookmarkStart w:id="67" w:name="_Toc97531311"/>
            <w:r>
              <w:rPr>
                <w:snapToGrid w:val="0"/>
              </w:rPr>
              <w:t>1972</w:t>
            </w:r>
            <w:bookmarkEnd w:id="67"/>
          </w:p>
        </w:tc>
        <w:tc>
          <w:tcPr>
            <w:tcW w:w="962" w:type="dxa"/>
          </w:tcPr>
          <w:p w:rsidR="00000000" w:rsidRDefault="00000000">
            <w:pPr>
              <w:jc w:val="right"/>
              <w:rPr>
                <w:snapToGrid w:val="0"/>
              </w:rPr>
            </w:pPr>
            <w:bookmarkStart w:id="68" w:name="_Toc97531312"/>
            <w:r>
              <w:rPr>
                <w:snapToGrid w:val="0"/>
              </w:rPr>
              <w:t>5914</w:t>
            </w:r>
            <w:bookmarkEnd w:id="68"/>
          </w:p>
        </w:tc>
        <w:tc>
          <w:tcPr>
            <w:tcW w:w="960" w:type="dxa"/>
          </w:tcPr>
          <w:p w:rsidR="00000000" w:rsidRDefault="00000000">
            <w:pPr>
              <w:jc w:val="right"/>
              <w:rPr>
                <w:snapToGrid w:val="0"/>
              </w:rPr>
            </w:pPr>
            <w:bookmarkStart w:id="69" w:name="_Toc97531313"/>
            <w:r>
              <w:rPr>
                <w:snapToGrid w:val="0"/>
              </w:rPr>
              <w:t>72</w:t>
            </w:r>
            <w:bookmarkEnd w:id="69"/>
          </w:p>
        </w:tc>
        <w:tc>
          <w:tcPr>
            <w:tcW w:w="720" w:type="dxa"/>
          </w:tcPr>
          <w:p w:rsidR="00000000" w:rsidRDefault="00000000">
            <w:pPr>
              <w:jc w:val="right"/>
              <w:rPr>
                <w:snapToGrid w:val="0"/>
              </w:rPr>
            </w:pPr>
            <w:bookmarkStart w:id="70" w:name="_Toc97531314"/>
            <w:r>
              <w:rPr>
                <w:snapToGrid w:val="0"/>
              </w:rPr>
              <w:t>-</w:t>
            </w:r>
            <w:bookmarkEnd w:id="70"/>
          </w:p>
        </w:tc>
        <w:tc>
          <w:tcPr>
            <w:tcW w:w="960" w:type="dxa"/>
          </w:tcPr>
          <w:p w:rsidR="00000000" w:rsidRDefault="00000000">
            <w:pPr>
              <w:jc w:val="right"/>
              <w:rPr>
                <w:snapToGrid w:val="0"/>
              </w:rPr>
            </w:pPr>
            <w:bookmarkStart w:id="71" w:name="_Toc97531315"/>
            <w:r>
              <w:rPr>
                <w:snapToGrid w:val="0"/>
              </w:rPr>
              <w:t>22</w:t>
            </w:r>
            <w:bookmarkEnd w:id="71"/>
          </w:p>
        </w:tc>
        <w:tc>
          <w:tcPr>
            <w:tcW w:w="1032" w:type="dxa"/>
          </w:tcPr>
          <w:p w:rsidR="00000000" w:rsidRDefault="00000000">
            <w:pPr>
              <w:jc w:val="right"/>
              <w:rPr>
                <w:snapToGrid w:val="0"/>
              </w:rPr>
            </w:pPr>
            <w:bookmarkStart w:id="72" w:name="_Toc97531316"/>
            <w:r>
              <w:rPr>
                <w:snapToGrid w:val="0"/>
              </w:rPr>
              <w:t>6063</w:t>
            </w:r>
            <w:bookmarkEnd w:id="72"/>
          </w:p>
        </w:tc>
        <w:tc>
          <w:tcPr>
            <w:tcW w:w="1035" w:type="dxa"/>
          </w:tcPr>
          <w:p w:rsidR="00000000" w:rsidRDefault="00000000">
            <w:pPr>
              <w:jc w:val="right"/>
              <w:rPr>
                <w:snapToGrid w:val="0"/>
              </w:rPr>
            </w:pPr>
            <w:bookmarkStart w:id="73" w:name="_Toc97531317"/>
            <w:r>
              <w:rPr>
                <w:snapToGrid w:val="0"/>
              </w:rPr>
              <w:t>153</w:t>
            </w:r>
            <w:bookmarkEnd w:id="73"/>
          </w:p>
        </w:tc>
        <w:tc>
          <w:tcPr>
            <w:tcW w:w="742" w:type="dxa"/>
          </w:tcPr>
          <w:p w:rsidR="00000000" w:rsidRDefault="00000000">
            <w:pPr>
              <w:jc w:val="right"/>
              <w:rPr>
                <w:snapToGrid w:val="0"/>
              </w:rPr>
            </w:pPr>
            <w:bookmarkStart w:id="74" w:name="_Toc97531318"/>
            <w:r>
              <w:rPr>
                <w:snapToGrid w:val="0"/>
              </w:rPr>
              <w:t>-</w:t>
            </w:r>
            <w:bookmarkEnd w:id="74"/>
          </w:p>
        </w:tc>
        <w:tc>
          <w:tcPr>
            <w:tcW w:w="1000" w:type="dxa"/>
          </w:tcPr>
          <w:p w:rsidR="00000000" w:rsidRDefault="00000000">
            <w:pPr>
              <w:jc w:val="right"/>
              <w:rPr>
                <w:snapToGrid w:val="0"/>
              </w:rPr>
            </w:pPr>
            <w:bookmarkStart w:id="75" w:name="_Toc97531319"/>
            <w:r>
              <w:rPr>
                <w:snapToGrid w:val="0"/>
              </w:rPr>
              <w:t>244</w:t>
            </w:r>
            <w:bookmarkEnd w:id="75"/>
          </w:p>
        </w:tc>
        <w:tc>
          <w:tcPr>
            <w:tcW w:w="900" w:type="dxa"/>
          </w:tcPr>
          <w:p w:rsidR="00000000" w:rsidRDefault="00000000">
            <w:pPr>
              <w:jc w:val="right"/>
              <w:rPr>
                <w:snapToGrid w:val="0"/>
              </w:rPr>
            </w:pPr>
            <w:bookmarkStart w:id="76" w:name="_Toc97531320"/>
            <w:r>
              <w:rPr>
                <w:snapToGrid w:val="0"/>
              </w:rPr>
              <w:t>12468</w:t>
            </w:r>
            <w:bookmarkEnd w:id="76"/>
          </w:p>
        </w:tc>
      </w:tr>
      <w:tr w:rsidR="00000000">
        <w:tblPrEx>
          <w:tblCellMar>
            <w:top w:w="0" w:type="dxa"/>
            <w:bottom w:w="0" w:type="dxa"/>
          </w:tblCellMar>
        </w:tblPrEx>
        <w:trPr>
          <w:trHeight w:val="149"/>
          <w:jc w:val="center"/>
        </w:trPr>
        <w:tc>
          <w:tcPr>
            <w:tcW w:w="1134" w:type="dxa"/>
          </w:tcPr>
          <w:p w:rsidR="00000000" w:rsidRDefault="00000000">
            <w:pPr>
              <w:rPr>
                <w:snapToGrid w:val="0"/>
              </w:rPr>
            </w:pPr>
            <w:bookmarkStart w:id="77" w:name="_Toc97531321"/>
            <w:r>
              <w:rPr>
                <w:snapToGrid w:val="0"/>
              </w:rPr>
              <w:t>1973</w:t>
            </w:r>
            <w:bookmarkEnd w:id="77"/>
          </w:p>
        </w:tc>
        <w:tc>
          <w:tcPr>
            <w:tcW w:w="962" w:type="dxa"/>
          </w:tcPr>
          <w:p w:rsidR="00000000" w:rsidRDefault="00000000">
            <w:pPr>
              <w:jc w:val="right"/>
              <w:rPr>
                <w:snapToGrid w:val="0"/>
              </w:rPr>
            </w:pPr>
            <w:bookmarkStart w:id="78" w:name="_Toc97531322"/>
            <w:r>
              <w:rPr>
                <w:snapToGrid w:val="0"/>
              </w:rPr>
              <w:t>5480</w:t>
            </w:r>
            <w:bookmarkEnd w:id="78"/>
          </w:p>
        </w:tc>
        <w:tc>
          <w:tcPr>
            <w:tcW w:w="960" w:type="dxa"/>
          </w:tcPr>
          <w:p w:rsidR="00000000" w:rsidRDefault="00000000">
            <w:pPr>
              <w:jc w:val="right"/>
              <w:rPr>
                <w:snapToGrid w:val="0"/>
              </w:rPr>
            </w:pPr>
            <w:bookmarkStart w:id="79" w:name="_Toc97531323"/>
            <w:r>
              <w:rPr>
                <w:snapToGrid w:val="0"/>
              </w:rPr>
              <w:t>95</w:t>
            </w:r>
            <w:bookmarkEnd w:id="79"/>
          </w:p>
        </w:tc>
        <w:tc>
          <w:tcPr>
            <w:tcW w:w="720" w:type="dxa"/>
          </w:tcPr>
          <w:p w:rsidR="00000000" w:rsidRDefault="00000000">
            <w:pPr>
              <w:jc w:val="right"/>
              <w:rPr>
                <w:snapToGrid w:val="0"/>
              </w:rPr>
            </w:pPr>
            <w:bookmarkStart w:id="80" w:name="_Toc97531324"/>
            <w:r>
              <w:rPr>
                <w:snapToGrid w:val="0"/>
              </w:rPr>
              <w:t>1</w:t>
            </w:r>
            <w:bookmarkEnd w:id="80"/>
          </w:p>
        </w:tc>
        <w:tc>
          <w:tcPr>
            <w:tcW w:w="960" w:type="dxa"/>
          </w:tcPr>
          <w:p w:rsidR="00000000" w:rsidRDefault="00000000">
            <w:pPr>
              <w:jc w:val="right"/>
              <w:rPr>
                <w:snapToGrid w:val="0"/>
              </w:rPr>
            </w:pPr>
            <w:bookmarkStart w:id="81" w:name="_Toc97531325"/>
            <w:r>
              <w:rPr>
                <w:snapToGrid w:val="0"/>
              </w:rPr>
              <w:t>23</w:t>
            </w:r>
            <w:bookmarkEnd w:id="81"/>
          </w:p>
        </w:tc>
        <w:tc>
          <w:tcPr>
            <w:tcW w:w="1032" w:type="dxa"/>
          </w:tcPr>
          <w:p w:rsidR="00000000" w:rsidRDefault="00000000">
            <w:pPr>
              <w:jc w:val="right"/>
              <w:rPr>
                <w:snapToGrid w:val="0"/>
              </w:rPr>
            </w:pPr>
            <w:bookmarkStart w:id="82" w:name="_Toc97531326"/>
            <w:r>
              <w:rPr>
                <w:snapToGrid w:val="0"/>
              </w:rPr>
              <w:t>6220</w:t>
            </w:r>
            <w:bookmarkEnd w:id="82"/>
          </w:p>
        </w:tc>
        <w:tc>
          <w:tcPr>
            <w:tcW w:w="1035" w:type="dxa"/>
          </w:tcPr>
          <w:p w:rsidR="00000000" w:rsidRDefault="00000000">
            <w:pPr>
              <w:jc w:val="right"/>
              <w:rPr>
                <w:snapToGrid w:val="0"/>
              </w:rPr>
            </w:pPr>
            <w:bookmarkStart w:id="83" w:name="_Toc97531327"/>
            <w:r>
              <w:rPr>
                <w:snapToGrid w:val="0"/>
              </w:rPr>
              <w:t>127</w:t>
            </w:r>
            <w:bookmarkEnd w:id="83"/>
          </w:p>
        </w:tc>
        <w:tc>
          <w:tcPr>
            <w:tcW w:w="742" w:type="dxa"/>
          </w:tcPr>
          <w:p w:rsidR="00000000" w:rsidRDefault="00000000">
            <w:pPr>
              <w:jc w:val="right"/>
              <w:rPr>
                <w:snapToGrid w:val="0"/>
              </w:rPr>
            </w:pPr>
            <w:bookmarkStart w:id="84" w:name="_Toc97531328"/>
            <w:r>
              <w:rPr>
                <w:snapToGrid w:val="0"/>
              </w:rPr>
              <w:t>20</w:t>
            </w:r>
            <w:bookmarkEnd w:id="84"/>
          </w:p>
        </w:tc>
        <w:tc>
          <w:tcPr>
            <w:tcW w:w="1000" w:type="dxa"/>
          </w:tcPr>
          <w:p w:rsidR="00000000" w:rsidRDefault="00000000">
            <w:pPr>
              <w:jc w:val="right"/>
              <w:rPr>
                <w:snapToGrid w:val="0"/>
              </w:rPr>
            </w:pPr>
            <w:bookmarkStart w:id="85" w:name="_Toc97531329"/>
            <w:r>
              <w:rPr>
                <w:snapToGrid w:val="0"/>
              </w:rPr>
              <w:t>284</w:t>
            </w:r>
            <w:bookmarkEnd w:id="85"/>
          </w:p>
        </w:tc>
        <w:tc>
          <w:tcPr>
            <w:tcW w:w="900" w:type="dxa"/>
          </w:tcPr>
          <w:p w:rsidR="00000000" w:rsidRDefault="00000000">
            <w:pPr>
              <w:jc w:val="right"/>
              <w:rPr>
                <w:snapToGrid w:val="0"/>
              </w:rPr>
            </w:pPr>
            <w:bookmarkStart w:id="86" w:name="_Toc97531330"/>
            <w:r>
              <w:rPr>
                <w:snapToGrid w:val="0"/>
              </w:rPr>
              <w:t>12258</w:t>
            </w:r>
            <w:bookmarkEnd w:id="86"/>
          </w:p>
        </w:tc>
      </w:tr>
      <w:tr w:rsidR="00000000">
        <w:tblPrEx>
          <w:tblCellMar>
            <w:top w:w="0" w:type="dxa"/>
            <w:bottom w:w="0" w:type="dxa"/>
          </w:tblCellMar>
        </w:tblPrEx>
        <w:trPr>
          <w:trHeight w:val="144"/>
          <w:jc w:val="center"/>
        </w:trPr>
        <w:tc>
          <w:tcPr>
            <w:tcW w:w="1134" w:type="dxa"/>
          </w:tcPr>
          <w:p w:rsidR="00000000" w:rsidRDefault="00000000">
            <w:pPr>
              <w:rPr>
                <w:snapToGrid w:val="0"/>
              </w:rPr>
            </w:pPr>
            <w:bookmarkStart w:id="87" w:name="_Toc97531331"/>
            <w:r>
              <w:rPr>
                <w:snapToGrid w:val="0"/>
              </w:rPr>
              <w:t>1974</w:t>
            </w:r>
            <w:bookmarkEnd w:id="87"/>
          </w:p>
        </w:tc>
        <w:tc>
          <w:tcPr>
            <w:tcW w:w="962" w:type="dxa"/>
          </w:tcPr>
          <w:p w:rsidR="00000000" w:rsidRDefault="00000000">
            <w:pPr>
              <w:jc w:val="right"/>
              <w:rPr>
                <w:snapToGrid w:val="0"/>
              </w:rPr>
            </w:pPr>
            <w:bookmarkStart w:id="88" w:name="_Toc97531332"/>
            <w:r>
              <w:rPr>
                <w:snapToGrid w:val="0"/>
              </w:rPr>
              <w:t>5509</w:t>
            </w:r>
            <w:bookmarkEnd w:id="88"/>
          </w:p>
        </w:tc>
        <w:tc>
          <w:tcPr>
            <w:tcW w:w="960" w:type="dxa"/>
          </w:tcPr>
          <w:p w:rsidR="00000000" w:rsidRDefault="00000000">
            <w:pPr>
              <w:jc w:val="right"/>
              <w:rPr>
                <w:snapToGrid w:val="0"/>
              </w:rPr>
            </w:pPr>
            <w:bookmarkStart w:id="89" w:name="_Toc97531333"/>
            <w:r>
              <w:rPr>
                <w:snapToGrid w:val="0"/>
              </w:rPr>
              <w:t>63</w:t>
            </w:r>
            <w:bookmarkEnd w:id="89"/>
          </w:p>
        </w:tc>
        <w:tc>
          <w:tcPr>
            <w:tcW w:w="720" w:type="dxa"/>
          </w:tcPr>
          <w:p w:rsidR="00000000" w:rsidRDefault="00000000">
            <w:pPr>
              <w:jc w:val="right"/>
              <w:rPr>
                <w:snapToGrid w:val="0"/>
              </w:rPr>
            </w:pPr>
            <w:bookmarkStart w:id="90" w:name="_Toc97531334"/>
            <w:r>
              <w:rPr>
                <w:snapToGrid w:val="0"/>
              </w:rPr>
              <w:t>2</w:t>
            </w:r>
            <w:bookmarkEnd w:id="90"/>
          </w:p>
        </w:tc>
        <w:tc>
          <w:tcPr>
            <w:tcW w:w="960" w:type="dxa"/>
          </w:tcPr>
          <w:p w:rsidR="00000000" w:rsidRDefault="00000000">
            <w:pPr>
              <w:jc w:val="right"/>
              <w:rPr>
                <w:snapToGrid w:val="0"/>
              </w:rPr>
            </w:pPr>
            <w:bookmarkStart w:id="91" w:name="_Toc97531335"/>
            <w:r>
              <w:rPr>
                <w:snapToGrid w:val="0"/>
              </w:rPr>
              <w:t>29</w:t>
            </w:r>
            <w:bookmarkEnd w:id="91"/>
          </w:p>
        </w:tc>
        <w:tc>
          <w:tcPr>
            <w:tcW w:w="1032" w:type="dxa"/>
          </w:tcPr>
          <w:p w:rsidR="00000000" w:rsidRDefault="00000000">
            <w:pPr>
              <w:jc w:val="right"/>
              <w:rPr>
                <w:snapToGrid w:val="0"/>
              </w:rPr>
            </w:pPr>
            <w:bookmarkStart w:id="92" w:name="_Toc97531336"/>
            <w:r>
              <w:rPr>
                <w:snapToGrid w:val="0"/>
              </w:rPr>
              <w:t>7190</w:t>
            </w:r>
            <w:bookmarkEnd w:id="92"/>
          </w:p>
        </w:tc>
        <w:tc>
          <w:tcPr>
            <w:tcW w:w="1035" w:type="dxa"/>
          </w:tcPr>
          <w:p w:rsidR="00000000" w:rsidRDefault="00000000">
            <w:pPr>
              <w:jc w:val="right"/>
              <w:rPr>
                <w:snapToGrid w:val="0"/>
              </w:rPr>
            </w:pPr>
            <w:bookmarkStart w:id="93" w:name="_Toc97531337"/>
            <w:r>
              <w:rPr>
                <w:snapToGrid w:val="0"/>
              </w:rPr>
              <w:t>165</w:t>
            </w:r>
            <w:bookmarkEnd w:id="93"/>
          </w:p>
        </w:tc>
        <w:tc>
          <w:tcPr>
            <w:tcW w:w="742" w:type="dxa"/>
          </w:tcPr>
          <w:p w:rsidR="00000000" w:rsidRDefault="00000000">
            <w:pPr>
              <w:jc w:val="right"/>
              <w:rPr>
                <w:snapToGrid w:val="0"/>
              </w:rPr>
            </w:pPr>
            <w:bookmarkStart w:id="94" w:name="_Toc97531338"/>
            <w:r>
              <w:rPr>
                <w:snapToGrid w:val="0"/>
              </w:rPr>
              <w:t>30</w:t>
            </w:r>
            <w:bookmarkEnd w:id="94"/>
          </w:p>
        </w:tc>
        <w:tc>
          <w:tcPr>
            <w:tcW w:w="1000" w:type="dxa"/>
          </w:tcPr>
          <w:p w:rsidR="00000000" w:rsidRDefault="00000000">
            <w:pPr>
              <w:jc w:val="right"/>
              <w:rPr>
                <w:snapToGrid w:val="0"/>
              </w:rPr>
            </w:pPr>
            <w:bookmarkStart w:id="95" w:name="_Toc97531339"/>
            <w:r>
              <w:rPr>
                <w:snapToGrid w:val="0"/>
              </w:rPr>
              <w:t>362</w:t>
            </w:r>
            <w:bookmarkEnd w:id="95"/>
          </w:p>
        </w:tc>
        <w:tc>
          <w:tcPr>
            <w:tcW w:w="900" w:type="dxa"/>
          </w:tcPr>
          <w:p w:rsidR="00000000" w:rsidRDefault="00000000">
            <w:pPr>
              <w:jc w:val="right"/>
              <w:rPr>
                <w:snapToGrid w:val="0"/>
              </w:rPr>
            </w:pPr>
            <w:bookmarkStart w:id="96" w:name="_Toc97531340"/>
            <w:r>
              <w:rPr>
                <w:snapToGrid w:val="0"/>
              </w:rPr>
              <w:t>13350</w:t>
            </w:r>
            <w:bookmarkEnd w:id="96"/>
          </w:p>
        </w:tc>
      </w:tr>
      <w:tr w:rsidR="00000000">
        <w:tblPrEx>
          <w:tblCellMar>
            <w:top w:w="0" w:type="dxa"/>
            <w:bottom w:w="0" w:type="dxa"/>
          </w:tblCellMar>
        </w:tblPrEx>
        <w:trPr>
          <w:trHeight w:val="296"/>
          <w:jc w:val="center"/>
        </w:trPr>
        <w:tc>
          <w:tcPr>
            <w:tcW w:w="1134" w:type="dxa"/>
          </w:tcPr>
          <w:p w:rsidR="00000000" w:rsidRDefault="00000000">
            <w:pPr>
              <w:rPr>
                <w:snapToGrid w:val="0"/>
              </w:rPr>
            </w:pPr>
            <w:bookmarkStart w:id="97" w:name="_Toc97531341"/>
            <w:r>
              <w:rPr>
                <w:snapToGrid w:val="0"/>
              </w:rPr>
              <w:t>1975</w:t>
            </w:r>
            <w:bookmarkEnd w:id="97"/>
          </w:p>
        </w:tc>
        <w:tc>
          <w:tcPr>
            <w:tcW w:w="962" w:type="dxa"/>
          </w:tcPr>
          <w:p w:rsidR="00000000" w:rsidRDefault="00000000">
            <w:pPr>
              <w:jc w:val="right"/>
              <w:rPr>
                <w:snapToGrid w:val="0"/>
              </w:rPr>
            </w:pPr>
            <w:bookmarkStart w:id="98" w:name="_Toc97531342"/>
            <w:r>
              <w:rPr>
                <w:snapToGrid w:val="0"/>
              </w:rPr>
              <w:t>5822</w:t>
            </w:r>
            <w:bookmarkEnd w:id="98"/>
          </w:p>
        </w:tc>
        <w:tc>
          <w:tcPr>
            <w:tcW w:w="960" w:type="dxa"/>
          </w:tcPr>
          <w:p w:rsidR="00000000" w:rsidRDefault="00000000">
            <w:pPr>
              <w:jc w:val="right"/>
              <w:rPr>
                <w:snapToGrid w:val="0"/>
              </w:rPr>
            </w:pPr>
            <w:bookmarkStart w:id="99" w:name="_Toc97531343"/>
            <w:r>
              <w:rPr>
                <w:snapToGrid w:val="0"/>
              </w:rPr>
              <w:t>68</w:t>
            </w:r>
            <w:bookmarkEnd w:id="99"/>
          </w:p>
        </w:tc>
        <w:tc>
          <w:tcPr>
            <w:tcW w:w="720" w:type="dxa"/>
          </w:tcPr>
          <w:p w:rsidR="00000000" w:rsidRDefault="00000000">
            <w:pPr>
              <w:jc w:val="right"/>
              <w:rPr>
                <w:snapToGrid w:val="0"/>
              </w:rPr>
            </w:pPr>
            <w:bookmarkStart w:id="100" w:name="_Toc97531344"/>
            <w:r>
              <w:rPr>
                <w:snapToGrid w:val="0"/>
              </w:rPr>
              <w:t>3</w:t>
            </w:r>
            <w:bookmarkEnd w:id="100"/>
          </w:p>
        </w:tc>
        <w:tc>
          <w:tcPr>
            <w:tcW w:w="960" w:type="dxa"/>
          </w:tcPr>
          <w:p w:rsidR="00000000" w:rsidRDefault="00000000">
            <w:pPr>
              <w:jc w:val="right"/>
              <w:rPr>
                <w:snapToGrid w:val="0"/>
              </w:rPr>
            </w:pPr>
            <w:bookmarkStart w:id="101" w:name="_Toc97531345"/>
            <w:r>
              <w:rPr>
                <w:snapToGrid w:val="0"/>
              </w:rPr>
              <w:t>35</w:t>
            </w:r>
            <w:bookmarkEnd w:id="101"/>
          </w:p>
        </w:tc>
        <w:tc>
          <w:tcPr>
            <w:tcW w:w="1032" w:type="dxa"/>
          </w:tcPr>
          <w:p w:rsidR="00000000" w:rsidRDefault="00000000">
            <w:pPr>
              <w:jc w:val="right"/>
              <w:rPr>
                <w:snapToGrid w:val="0"/>
              </w:rPr>
            </w:pPr>
            <w:bookmarkStart w:id="102" w:name="_Toc97531346"/>
            <w:r>
              <w:rPr>
                <w:snapToGrid w:val="0"/>
              </w:rPr>
              <w:t>7297</w:t>
            </w:r>
            <w:bookmarkEnd w:id="102"/>
          </w:p>
        </w:tc>
        <w:tc>
          <w:tcPr>
            <w:tcW w:w="1035" w:type="dxa"/>
          </w:tcPr>
          <w:p w:rsidR="00000000" w:rsidRDefault="00000000">
            <w:pPr>
              <w:jc w:val="right"/>
              <w:rPr>
                <w:snapToGrid w:val="0"/>
              </w:rPr>
            </w:pPr>
            <w:bookmarkStart w:id="103" w:name="_Toc97531347"/>
            <w:r>
              <w:rPr>
                <w:snapToGrid w:val="0"/>
              </w:rPr>
              <w:t>163</w:t>
            </w:r>
            <w:bookmarkEnd w:id="103"/>
          </w:p>
        </w:tc>
        <w:tc>
          <w:tcPr>
            <w:tcW w:w="742" w:type="dxa"/>
          </w:tcPr>
          <w:p w:rsidR="00000000" w:rsidRDefault="00000000">
            <w:pPr>
              <w:jc w:val="right"/>
              <w:rPr>
                <w:snapToGrid w:val="0"/>
              </w:rPr>
            </w:pPr>
            <w:bookmarkStart w:id="104" w:name="_Toc97531348"/>
            <w:r>
              <w:rPr>
                <w:snapToGrid w:val="0"/>
              </w:rPr>
              <w:t>14</w:t>
            </w:r>
            <w:bookmarkEnd w:id="104"/>
          </w:p>
        </w:tc>
        <w:tc>
          <w:tcPr>
            <w:tcW w:w="1000" w:type="dxa"/>
          </w:tcPr>
          <w:p w:rsidR="00000000" w:rsidRDefault="00000000">
            <w:pPr>
              <w:jc w:val="right"/>
              <w:rPr>
                <w:snapToGrid w:val="0"/>
              </w:rPr>
            </w:pPr>
            <w:bookmarkStart w:id="105" w:name="_Toc97531349"/>
            <w:r>
              <w:rPr>
                <w:snapToGrid w:val="0"/>
              </w:rPr>
              <w:t>341</w:t>
            </w:r>
            <w:bookmarkEnd w:id="105"/>
          </w:p>
        </w:tc>
        <w:tc>
          <w:tcPr>
            <w:tcW w:w="900" w:type="dxa"/>
          </w:tcPr>
          <w:p w:rsidR="00000000" w:rsidRDefault="00000000">
            <w:pPr>
              <w:jc w:val="right"/>
              <w:rPr>
                <w:snapToGrid w:val="0"/>
              </w:rPr>
            </w:pPr>
            <w:bookmarkStart w:id="106" w:name="_Toc97531350"/>
            <w:r>
              <w:rPr>
                <w:snapToGrid w:val="0"/>
              </w:rPr>
              <w:t>13743</w:t>
            </w:r>
            <w:bookmarkEnd w:id="106"/>
          </w:p>
        </w:tc>
      </w:tr>
      <w:tr w:rsidR="00000000">
        <w:tblPrEx>
          <w:tblCellMar>
            <w:top w:w="0" w:type="dxa"/>
            <w:bottom w:w="0" w:type="dxa"/>
          </w:tblCellMar>
        </w:tblPrEx>
        <w:trPr>
          <w:trHeight w:val="168"/>
          <w:jc w:val="center"/>
        </w:trPr>
        <w:tc>
          <w:tcPr>
            <w:tcW w:w="1134" w:type="dxa"/>
          </w:tcPr>
          <w:p w:rsidR="00000000" w:rsidRDefault="00000000">
            <w:pPr>
              <w:rPr>
                <w:snapToGrid w:val="0"/>
              </w:rPr>
            </w:pPr>
            <w:bookmarkStart w:id="107" w:name="_Toc97531351"/>
            <w:r>
              <w:rPr>
                <w:snapToGrid w:val="0"/>
              </w:rPr>
              <w:t>1976</w:t>
            </w:r>
            <w:bookmarkEnd w:id="107"/>
          </w:p>
        </w:tc>
        <w:tc>
          <w:tcPr>
            <w:tcW w:w="962" w:type="dxa"/>
          </w:tcPr>
          <w:p w:rsidR="00000000" w:rsidRDefault="00000000">
            <w:pPr>
              <w:jc w:val="right"/>
              <w:rPr>
                <w:snapToGrid w:val="0"/>
              </w:rPr>
            </w:pPr>
            <w:bookmarkStart w:id="108" w:name="_Toc97531352"/>
            <w:r>
              <w:rPr>
                <w:snapToGrid w:val="0"/>
              </w:rPr>
              <w:t>6538</w:t>
            </w:r>
            <w:bookmarkEnd w:id="108"/>
          </w:p>
        </w:tc>
        <w:tc>
          <w:tcPr>
            <w:tcW w:w="960" w:type="dxa"/>
          </w:tcPr>
          <w:p w:rsidR="00000000" w:rsidRDefault="00000000">
            <w:pPr>
              <w:jc w:val="right"/>
              <w:rPr>
                <w:snapToGrid w:val="0"/>
              </w:rPr>
            </w:pPr>
            <w:bookmarkStart w:id="109" w:name="_Toc97531353"/>
            <w:r>
              <w:rPr>
                <w:snapToGrid w:val="0"/>
              </w:rPr>
              <w:t>73</w:t>
            </w:r>
            <w:bookmarkEnd w:id="109"/>
          </w:p>
        </w:tc>
        <w:tc>
          <w:tcPr>
            <w:tcW w:w="720" w:type="dxa"/>
          </w:tcPr>
          <w:p w:rsidR="00000000" w:rsidRDefault="00000000">
            <w:pPr>
              <w:jc w:val="right"/>
              <w:rPr>
                <w:snapToGrid w:val="0"/>
              </w:rPr>
            </w:pPr>
            <w:bookmarkStart w:id="110" w:name="_Toc97531354"/>
            <w:r>
              <w:rPr>
                <w:snapToGrid w:val="0"/>
              </w:rPr>
              <w:t>-</w:t>
            </w:r>
            <w:bookmarkEnd w:id="110"/>
          </w:p>
        </w:tc>
        <w:tc>
          <w:tcPr>
            <w:tcW w:w="960" w:type="dxa"/>
          </w:tcPr>
          <w:p w:rsidR="00000000" w:rsidRDefault="00000000">
            <w:pPr>
              <w:jc w:val="right"/>
              <w:rPr>
                <w:snapToGrid w:val="0"/>
              </w:rPr>
            </w:pPr>
            <w:bookmarkStart w:id="111" w:name="_Toc97531355"/>
            <w:r>
              <w:rPr>
                <w:snapToGrid w:val="0"/>
              </w:rPr>
              <w:t>27</w:t>
            </w:r>
            <w:bookmarkEnd w:id="111"/>
          </w:p>
        </w:tc>
        <w:tc>
          <w:tcPr>
            <w:tcW w:w="1032" w:type="dxa"/>
          </w:tcPr>
          <w:p w:rsidR="00000000" w:rsidRDefault="00000000">
            <w:pPr>
              <w:jc w:val="right"/>
              <w:rPr>
                <w:snapToGrid w:val="0"/>
              </w:rPr>
            </w:pPr>
            <w:bookmarkStart w:id="112" w:name="_Toc97531356"/>
            <w:r>
              <w:rPr>
                <w:snapToGrid w:val="0"/>
              </w:rPr>
              <w:t>10066</w:t>
            </w:r>
            <w:bookmarkEnd w:id="112"/>
          </w:p>
        </w:tc>
        <w:tc>
          <w:tcPr>
            <w:tcW w:w="1035" w:type="dxa"/>
          </w:tcPr>
          <w:p w:rsidR="00000000" w:rsidRDefault="00000000">
            <w:pPr>
              <w:jc w:val="right"/>
              <w:rPr>
                <w:snapToGrid w:val="0"/>
              </w:rPr>
            </w:pPr>
            <w:bookmarkStart w:id="113" w:name="_Toc97531357"/>
            <w:r>
              <w:rPr>
                <w:snapToGrid w:val="0"/>
              </w:rPr>
              <w:t>295</w:t>
            </w:r>
            <w:bookmarkEnd w:id="113"/>
          </w:p>
        </w:tc>
        <w:tc>
          <w:tcPr>
            <w:tcW w:w="742" w:type="dxa"/>
          </w:tcPr>
          <w:p w:rsidR="00000000" w:rsidRDefault="00000000">
            <w:pPr>
              <w:jc w:val="right"/>
              <w:rPr>
                <w:snapToGrid w:val="0"/>
              </w:rPr>
            </w:pPr>
            <w:bookmarkStart w:id="114" w:name="_Toc97531358"/>
            <w:r>
              <w:rPr>
                <w:snapToGrid w:val="0"/>
              </w:rPr>
              <w:t>21</w:t>
            </w:r>
            <w:bookmarkEnd w:id="114"/>
          </w:p>
        </w:tc>
        <w:tc>
          <w:tcPr>
            <w:tcW w:w="1000" w:type="dxa"/>
          </w:tcPr>
          <w:p w:rsidR="00000000" w:rsidRDefault="00000000">
            <w:pPr>
              <w:jc w:val="right"/>
              <w:rPr>
                <w:snapToGrid w:val="0"/>
              </w:rPr>
            </w:pPr>
            <w:bookmarkStart w:id="115" w:name="_Toc97531359"/>
            <w:r>
              <w:rPr>
                <w:snapToGrid w:val="0"/>
              </w:rPr>
              <w:t>463</w:t>
            </w:r>
            <w:bookmarkEnd w:id="115"/>
          </w:p>
        </w:tc>
        <w:tc>
          <w:tcPr>
            <w:tcW w:w="900" w:type="dxa"/>
          </w:tcPr>
          <w:p w:rsidR="00000000" w:rsidRDefault="00000000">
            <w:pPr>
              <w:jc w:val="right"/>
              <w:rPr>
                <w:snapToGrid w:val="0"/>
              </w:rPr>
            </w:pPr>
            <w:bookmarkStart w:id="116" w:name="_Toc97531360"/>
            <w:r>
              <w:rPr>
                <w:snapToGrid w:val="0"/>
              </w:rPr>
              <w:t>17483</w:t>
            </w:r>
            <w:bookmarkEnd w:id="116"/>
          </w:p>
        </w:tc>
      </w:tr>
      <w:tr w:rsidR="00000000">
        <w:tblPrEx>
          <w:tblCellMar>
            <w:top w:w="0" w:type="dxa"/>
            <w:bottom w:w="0" w:type="dxa"/>
          </w:tblCellMar>
        </w:tblPrEx>
        <w:trPr>
          <w:trHeight w:val="152"/>
          <w:jc w:val="center"/>
        </w:trPr>
        <w:tc>
          <w:tcPr>
            <w:tcW w:w="1134" w:type="dxa"/>
          </w:tcPr>
          <w:p w:rsidR="00000000" w:rsidRDefault="00000000">
            <w:pPr>
              <w:rPr>
                <w:snapToGrid w:val="0"/>
              </w:rPr>
            </w:pPr>
            <w:bookmarkStart w:id="117" w:name="_Toc97531361"/>
            <w:r>
              <w:rPr>
                <w:snapToGrid w:val="0"/>
              </w:rPr>
              <w:t>1977</w:t>
            </w:r>
            <w:bookmarkEnd w:id="117"/>
          </w:p>
        </w:tc>
        <w:tc>
          <w:tcPr>
            <w:tcW w:w="962" w:type="dxa"/>
          </w:tcPr>
          <w:p w:rsidR="00000000" w:rsidRDefault="00000000">
            <w:pPr>
              <w:jc w:val="right"/>
              <w:rPr>
                <w:snapToGrid w:val="0"/>
              </w:rPr>
            </w:pPr>
            <w:bookmarkStart w:id="118" w:name="_Toc97531362"/>
            <w:r>
              <w:rPr>
                <w:snapToGrid w:val="0"/>
              </w:rPr>
              <w:t>7330</w:t>
            </w:r>
            <w:bookmarkEnd w:id="118"/>
          </w:p>
        </w:tc>
        <w:tc>
          <w:tcPr>
            <w:tcW w:w="960" w:type="dxa"/>
          </w:tcPr>
          <w:p w:rsidR="00000000" w:rsidRDefault="00000000">
            <w:pPr>
              <w:jc w:val="right"/>
              <w:rPr>
                <w:snapToGrid w:val="0"/>
              </w:rPr>
            </w:pPr>
            <w:bookmarkStart w:id="119" w:name="_Toc97531363"/>
            <w:r>
              <w:rPr>
                <w:snapToGrid w:val="0"/>
              </w:rPr>
              <w:t>84</w:t>
            </w:r>
            <w:bookmarkEnd w:id="119"/>
          </w:p>
        </w:tc>
        <w:tc>
          <w:tcPr>
            <w:tcW w:w="720" w:type="dxa"/>
          </w:tcPr>
          <w:p w:rsidR="00000000" w:rsidRDefault="00000000">
            <w:pPr>
              <w:jc w:val="right"/>
              <w:rPr>
                <w:snapToGrid w:val="0"/>
              </w:rPr>
            </w:pPr>
            <w:bookmarkStart w:id="120" w:name="_Toc97531364"/>
            <w:r>
              <w:rPr>
                <w:snapToGrid w:val="0"/>
              </w:rPr>
              <w:t>1</w:t>
            </w:r>
            <w:bookmarkEnd w:id="120"/>
          </w:p>
        </w:tc>
        <w:tc>
          <w:tcPr>
            <w:tcW w:w="960" w:type="dxa"/>
          </w:tcPr>
          <w:p w:rsidR="00000000" w:rsidRDefault="00000000">
            <w:pPr>
              <w:jc w:val="right"/>
              <w:rPr>
                <w:snapToGrid w:val="0"/>
              </w:rPr>
            </w:pPr>
            <w:bookmarkStart w:id="121" w:name="_Toc97531365"/>
            <w:r>
              <w:rPr>
                <w:snapToGrid w:val="0"/>
              </w:rPr>
              <w:t>28</w:t>
            </w:r>
            <w:bookmarkEnd w:id="121"/>
          </w:p>
        </w:tc>
        <w:tc>
          <w:tcPr>
            <w:tcW w:w="1032" w:type="dxa"/>
          </w:tcPr>
          <w:p w:rsidR="00000000" w:rsidRDefault="00000000">
            <w:pPr>
              <w:jc w:val="right"/>
              <w:rPr>
                <w:snapToGrid w:val="0"/>
              </w:rPr>
            </w:pPr>
            <w:bookmarkStart w:id="122" w:name="_Toc97531366"/>
            <w:r>
              <w:rPr>
                <w:snapToGrid w:val="0"/>
              </w:rPr>
              <w:t>11115</w:t>
            </w:r>
            <w:bookmarkEnd w:id="122"/>
          </w:p>
        </w:tc>
        <w:tc>
          <w:tcPr>
            <w:tcW w:w="1035" w:type="dxa"/>
          </w:tcPr>
          <w:p w:rsidR="00000000" w:rsidRDefault="00000000">
            <w:pPr>
              <w:jc w:val="right"/>
              <w:rPr>
                <w:snapToGrid w:val="0"/>
              </w:rPr>
            </w:pPr>
            <w:bookmarkStart w:id="123" w:name="_Toc97531367"/>
            <w:r>
              <w:rPr>
                <w:snapToGrid w:val="0"/>
              </w:rPr>
              <w:t>309</w:t>
            </w:r>
            <w:bookmarkEnd w:id="123"/>
          </w:p>
        </w:tc>
        <w:tc>
          <w:tcPr>
            <w:tcW w:w="742" w:type="dxa"/>
          </w:tcPr>
          <w:p w:rsidR="00000000" w:rsidRDefault="00000000">
            <w:pPr>
              <w:jc w:val="right"/>
              <w:rPr>
                <w:snapToGrid w:val="0"/>
              </w:rPr>
            </w:pPr>
            <w:bookmarkStart w:id="124" w:name="_Toc97531368"/>
            <w:r>
              <w:rPr>
                <w:snapToGrid w:val="0"/>
              </w:rPr>
              <w:t>17</w:t>
            </w:r>
            <w:bookmarkEnd w:id="124"/>
          </w:p>
        </w:tc>
        <w:tc>
          <w:tcPr>
            <w:tcW w:w="1000" w:type="dxa"/>
          </w:tcPr>
          <w:p w:rsidR="00000000" w:rsidRDefault="00000000">
            <w:pPr>
              <w:jc w:val="right"/>
              <w:rPr>
                <w:snapToGrid w:val="0"/>
              </w:rPr>
            </w:pPr>
            <w:bookmarkStart w:id="125" w:name="_Toc97531369"/>
            <w:r>
              <w:rPr>
                <w:snapToGrid w:val="0"/>
              </w:rPr>
              <w:t>399</w:t>
            </w:r>
            <w:bookmarkEnd w:id="125"/>
          </w:p>
        </w:tc>
        <w:tc>
          <w:tcPr>
            <w:tcW w:w="900" w:type="dxa"/>
          </w:tcPr>
          <w:p w:rsidR="00000000" w:rsidRDefault="00000000">
            <w:pPr>
              <w:jc w:val="right"/>
              <w:rPr>
                <w:snapToGrid w:val="0"/>
              </w:rPr>
            </w:pPr>
            <w:bookmarkStart w:id="126" w:name="_Toc97531370"/>
            <w:r>
              <w:rPr>
                <w:snapToGrid w:val="0"/>
              </w:rPr>
              <w:t>19291</w:t>
            </w:r>
            <w:bookmarkEnd w:id="126"/>
          </w:p>
        </w:tc>
      </w:tr>
      <w:tr w:rsidR="00000000">
        <w:tblPrEx>
          <w:tblCellMar>
            <w:top w:w="0" w:type="dxa"/>
            <w:bottom w:w="0" w:type="dxa"/>
          </w:tblCellMar>
        </w:tblPrEx>
        <w:trPr>
          <w:trHeight w:val="137"/>
          <w:jc w:val="center"/>
        </w:trPr>
        <w:tc>
          <w:tcPr>
            <w:tcW w:w="1134" w:type="dxa"/>
          </w:tcPr>
          <w:p w:rsidR="00000000" w:rsidRDefault="00000000">
            <w:pPr>
              <w:rPr>
                <w:snapToGrid w:val="0"/>
              </w:rPr>
            </w:pPr>
            <w:bookmarkStart w:id="127" w:name="_Toc97531371"/>
            <w:r>
              <w:rPr>
                <w:snapToGrid w:val="0"/>
              </w:rPr>
              <w:t>1978</w:t>
            </w:r>
            <w:bookmarkEnd w:id="127"/>
          </w:p>
        </w:tc>
        <w:tc>
          <w:tcPr>
            <w:tcW w:w="962" w:type="dxa"/>
          </w:tcPr>
          <w:p w:rsidR="00000000" w:rsidRDefault="00000000">
            <w:pPr>
              <w:jc w:val="right"/>
              <w:rPr>
                <w:snapToGrid w:val="0"/>
              </w:rPr>
            </w:pPr>
            <w:bookmarkStart w:id="128" w:name="_Toc97531372"/>
            <w:r>
              <w:rPr>
                <w:snapToGrid w:val="0"/>
              </w:rPr>
              <w:t>8255</w:t>
            </w:r>
            <w:bookmarkEnd w:id="128"/>
          </w:p>
        </w:tc>
        <w:tc>
          <w:tcPr>
            <w:tcW w:w="960" w:type="dxa"/>
          </w:tcPr>
          <w:p w:rsidR="00000000" w:rsidRDefault="00000000">
            <w:pPr>
              <w:jc w:val="right"/>
              <w:rPr>
                <w:snapToGrid w:val="0"/>
              </w:rPr>
            </w:pPr>
            <w:bookmarkStart w:id="129" w:name="_Toc97531373"/>
            <w:r>
              <w:rPr>
                <w:snapToGrid w:val="0"/>
              </w:rPr>
              <w:t>59</w:t>
            </w:r>
            <w:bookmarkEnd w:id="129"/>
          </w:p>
        </w:tc>
        <w:tc>
          <w:tcPr>
            <w:tcW w:w="720" w:type="dxa"/>
          </w:tcPr>
          <w:p w:rsidR="00000000" w:rsidRDefault="00000000">
            <w:pPr>
              <w:jc w:val="right"/>
              <w:rPr>
                <w:snapToGrid w:val="0"/>
              </w:rPr>
            </w:pPr>
            <w:bookmarkStart w:id="130" w:name="_Toc97531374"/>
            <w:r>
              <w:rPr>
                <w:snapToGrid w:val="0"/>
              </w:rPr>
              <w:t>2</w:t>
            </w:r>
            <w:bookmarkEnd w:id="130"/>
          </w:p>
        </w:tc>
        <w:tc>
          <w:tcPr>
            <w:tcW w:w="960" w:type="dxa"/>
          </w:tcPr>
          <w:p w:rsidR="00000000" w:rsidRDefault="00000000">
            <w:pPr>
              <w:jc w:val="right"/>
              <w:rPr>
                <w:snapToGrid w:val="0"/>
              </w:rPr>
            </w:pPr>
            <w:bookmarkStart w:id="131" w:name="_Toc97531375"/>
            <w:r>
              <w:rPr>
                <w:snapToGrid w:val="0"/>
              </w:rPr>
              <w:t>21</w:t>
            </w:r>
            <w:bookmarkEnd w:id="131"/>
          </w:p>
        </w:tc>
        <w:tc>
          <w:tcPr>
            <w:tcW w:w="1032" w:type="dxa"/>
          </w:tcPr>
          <w:p w:rsidR="00000000" w:rsidRDefault="00000000">
            <w:pPr>
              <w:jc w:val="right"/>
              <w:rPr>
                <w:snapToGrid w:val="0"/>
              </w:rPr>
            </w:pPr>
            <w:bookmarkStart w:id="132" w:name="_Toc97531376"/>
            <w:r>
              <w:rPr>
                <w:snapToGrid w:val="0"/>
              </w:rPr>
              <w:t>11483</w:t>
            </w:r>
            <w:bookmarkEnd w:id="132"/>
          </w:p>
        </w:tc>
        <w:tc>
          <w:tcPr>
            <w:tcW w:w="1035" w:type="dxa"/>
          </w:tcPr>
          <w:p w:rsidR="00000000" w:rsidRDefault="00000000">
            <w:pPr>
              <w:jc w:val="right"/>
              <w:rPr>
                <w:snapToGrid w:val="0"/>
              </w:rPr>
            </w:pPr>
            <w:bookmarkStart w:id="133" w:name="_Toc97531377"/>
            <w:r>
              <w:rPr>
                <w:snapToGrid w:val="0"/>
              </w:rPr>
              <w:t>326</w:t>
            </w:r>
            <w:bookmarkEnd w:id="133"/>
          </w:p>
        </w:tc>
        <w:tc>
          <w:tcPr>
            <w:tcW w:w="742" w:type="dxa"/>
          </w:tcPr>
          <w:p w:rsidR="00000000" w:rsidRDefault="00000000">
            <w:pPr>
              <w:jc w:val="right"/>
              <w:rPr>
                <w:snapToGrid w:val="0"/>
              </w:rPr>
            </w:pPr>
            <w:bookmarkStart w:id="134" w:name="_Toc97531378"/>
            <w:r>
              <w:rPr>
                <w:snapToGrid w:val="0"/>
              </w:rPr>
              <w:t>17</w:t>
            </w:r>
            <w:bookmarkEnd w:id="134"/>
          </w:p>
        </w:tc>
        <w:tc>
          <w:tcPr>
            <w:tcW w:w="1000" w:type="dxa"/>
          </w:tcPr>
          <w:p w:rsidR="00000000" w:rsidRDefault="00000000">
            <w:pPr>
              <w:jc w:val="right"/>
              <w:rPr>
                <w:snapToGrid w:val="0"/>
              </w:rPr>
            </w:pPr>
            <w:bookmarkStart w:id="135" w:name="_Toc97531379"/>
            <w:r>
              <w:rPr>
                <w:snapToGrid w:val="0"/>
              </w:rPr>
              <w:t>415</w:t>
            </w:r>
            <w:bookmarkEnd w:id="135"/>
          </w:p>
        </w:tc>
        <w:tc>
          <w:tcPr>
            <w:tcW w:w="900" w:type="dxa"/>
          </w:tcPr>
          <w:p w:rsidR="00000000" w:rsidRDefault="00000000">
            <w:pPr>
              <w:jc w:val="right"/>
              <w:rPr>
                <w:snapToGrid w:val="0"/>
              </w:rPr>
            </w:pPr>
            <w:bookmarkStart w:id="136" w:name="_Toc97531380"/>
            <w:r>
              <w:rPr>
                <w:snapToGrid w:val="0"/>
              </w:rPr>
              <w:t>20578</w:t>
            </w:r>
            <w:bookmarkEnd w:id="136"/>
          </w:p>
        </w:tc>
      </w:tr>
      <w:tr w:rsidR="00000000">
        <w:tblPrEx>
          <w:tblCellMar>
            <w:top w:w="0" w:type="dxa"/>
            <w:bottom w:w="0" w:type="dxa"/>
          </w:tblCellMar>
        </w:tblPrEx>
        <w:trPr>
          <w:trHeight w:val="258"/>
          <w:jc w:val="center"/>
        </w:trPr>
        <w:tc>
          <w:tcPr>
            <w:tcW w:w="1134" w:type="dxa"/>
          </w:tcPr>
          <w:p w:rsidR="00000000" w:rsidRDefault="00000000">
            <w:pPr>
              <w:rPr>
                <w:snapToGrid w:val="0"/>
              </w:rPr>
            </w:pPr>
            <w:bookmarkStart w:id="137" w:name="_Toc97531381"/>
            <w:r>
              <w:rPr>
                <w:snapToGrid w:val="0"/>
              </w:rPr>
              <w:t>1979</w:t>
            </w:r>
            <w:bookmarkEnd w:id="137"/>
          </w:p>
        </w:tc>
        <w:tc>
          <w:tcPr>
            <w:tcW w:w="962" w:type="dxa"/>
          </w:tcPr>
          <w:p w:rsidR="00000000" w:rsidRDefault="00000000">
            <w:pPr>
              <w:jc w:val="right"/>
              <w:rPr>
                <w:snapToGrid w:val="0"/>
              </w:rPr>
            </w:pPr>
            <w:bookmarkStart w:id="138" w:name="_Toc97531382"/>
            <w:r>
              <w:rPr>
                <w:snapToGrid w:val="0"/>
              </w:rPr>
              <w:t>8848</w:t>
            </w:r>
            <w:bookmarkEnd w:id="138"/>
          </w:p>
        </w:tc>
        <w:tc>
          <w:tcPr>
            <w:tcW w:w="960" w:type="dxa"/>
          </w:tcPr>
          <w:p w:rsidR="00000000" w:rsidRDefault="00000000">
            <w:pPr>
              <w:jc w:val="right"/>
              <w:rPr>
                <w:snapToGrid w:val="0"/>
              </w:rPr>
            </w:pPr>
            <w:bookmarkStart w:id="139" w:name="_Toc97531383"/>
            <w:r>
              <w:rPr>
                <w:snapToGrid w:val="0"/>
              </w:rPr>
              <w:t>176</w:t>
            </w:r>
            <w:bookmarkEnd w:id="139"/>
          </w:p>
        </w:tc>
        <w:tc>
          <w:tcPr>
            <w:tcW w:w="720" w:type="dxa"/>
          </w:tcPr>
          <w:p w:rsidR="00000000" w:rsidRDefault="00000000">
            <w:pPr>
              <w:jc w:val="right"/>
              <w:rPr>
                <w:snapToGrid w:val="0"/>
              </w:rPr>
            </w:pPr>
            <w:bookmarkStart w:id="140" w:name="_Toc97531384"/>
            <w:r>
              <w:rPr>
                <w:snapToGrid w:val="0"/>
              </w:rPr>
              <w:t>3</w:t>
            </w:r>
            <w:bookmarkEnd w:id="140"/>
          </w:p>
        </w:tc>
        <w:tc>
          <w:tcPr>
            <w:tcW w:w="960" w:type="dxa"/>
          </w:tcPr>
          <w:p w:rsidR="00000000" w:rsidRDefault="00000000">
            <w:pPr>
              <w:jc w:val="right"/>
              <w:rPr>
                <w:snapToGrid w:val="0"/>
              </w:rPr>
            </w:pPr>
            <w:bookmarkStart w:id="141" w:name="_Toc97531385"/>
            <w:r>
              <w:rPr>
                <w:snapToGrid w:val="0"/>
              </w:rPr>
              <w:t>40</w:t>
            </w:r>
            <w:bookmarkEnd w:id="141"/>
          </w:p>
        </w:tc>
        <w:tc>
          <w:tcPr>
            <w:tcW w:w="1032" w:type="dxa"/>
          </w:tcPr>
          <w:p w:rsidR="00000000" w:rsidRDefault="00000000">
            <w:pPr>
              <w:jc w:val="right"/>
              <w:rPr>
                <w:snapToGrid w:val="0"/>
              </w:rPr>
            </w:pPr>
            <w:bookmarkStart w:id="142" w:name="_Toc97531386"/>
            <w:r>
              <w:rPr>
                <w:snapToGrid w:val="0"/>
              </w:rPr>
              <w:t>12306</w:t>
            </w:r>
            <w:bookmarkEnd w:id="142"/>
          </w:p>
        </w:tc>
        <w:tc>
          <w:tcPr>
            <w:tcW w:w="1035" w:type="dxa"/>
          </w:tcPr>
          <w:p w:rsidR="00000000" w:rsidRDefault="00000000">
            <w:pPr>
              <w:jc w:val="right"/>
              <w:rPr>
                <w:snapToGrid w:val="0"/>
              </w:rPr>
            </w:pPr>
            <w:bookmarkStart w:id="143" w:name="_Toc97531387"/>
            <w:r>
              <w:rPr>
                <w:snapToGrid w:val="0"/>
              </w:rPr>
              <w:t>342</w:t>
            </w:r>
            <w:bookmarkEnd w:id="143"/>
          </w:p>
        </w:tc>
        <w:tc>
          <w:tcPr>
            <w:tcW w:w="742" w:type="dxa"/>
          </w:tcPr>
          <w:p w:rsidR="00000000" w:rsidRDefault="00000000">
            <w:pPr>
              <w:jc w:val="right"/>
              <w:rPr>
                <w:snapToGrid w:val="0"/>
              </w:rPr>
            </w:pPr>
            <w:bookmarkStart w:id="144" w:name="_Toc97531388"/>
            <w:r>
              <w:rPr>
                <w:snapToGrid w:val="0"/>
              </w:rPr>
              <w:t>21</w:t>
            </w:r>
            <w:bookmarkEnd w:id="144"/>
          </w:p>
        </w:tc>
        <w:tc>
          <w:tcPr>
            <w:tcW w:w="1000" w:type="dxa"/>
          </w:tcPr>
          <w:p w:rsidR="00000000" w:rsidRDefault="00000000">
            <w:pPr>
              <w:jc w:val="right"/>
              <w:rPr>
                <w:snapToGrid w:val="0"/>
              </w:rPr>
            </w:pPr>
            <w:bookmarkStart w:id="145" w:name="_Toc97531389"/>
            <w:r>
              <w:rPr>
                <w:snapToGrid w:val="0"/>
              </w:rPr>
              <w:t>352</w:t>
            </w:r>
            <w:bookmarkEnd w:id="145"/>
          </w:p>
        </w:tc>
        <w:tc>
          <w:tcPr>
            <w:tcW w:w="900" w:type="dxa"/>
          </w:tcPr>
          <w:p w:rsidR="00000000" w:rsidRDefault="00000000">
            <w:pPr>
              <w:jc w:val="right"/>
              <w:rPr>
                <w:snapToGrid w:val="0"/>
              </w:rPr>
            </w:pPr>
            <w:bookmarkStart w:id="146" w:name="_Toc97531390"/>
            <w:r>
              <w:rPr>
                <w:snapToGrid w:val="0"/>
              </w:rPr>
              <w:t>22088</w:t>
            </w:r>
            <w:bookmarkEnd w:id="146"/>
          </w:p>
        </w:tc>
      </w:tr>
      <w:tr w:rsidR="00000000">
        <w:tblPrEx>
          <w:tblCellMar>
            <w:top w:w="0" w:type="dxa"/>
            <w:bottom w:w="0" w:type="dxa"/>
          </w:tblCellMar>
        </w:tblPrEx>
        <w:trPr>
          <w:trHeight w:val="269"/>
          <w:jc w:val="center"/>
        </w:trPr>
        <w:tc>
          <w:tcPr>
            <w:tcW w:w="1134" w:type="dxa"/>
          </w:tcPr>
          <w:p w:rsidR="00000000" w:rsidRDefault="00000000">
            <w:pPr>
              <w:rPr>
                <w:snapToGrid w:val="0"/>
              </w:rPr>
            </w:pPr>
            <w:bookmarkStart w:id="147" w:name="_Toc97531391"/>
            <w:r>
              <w:rPr>
                <w:snapToGrid w:val="0"/>
              </w:rPr>
              <w:t>1980</w:t>
            </w:r>
            <w:bookmarkEnd w:id="147"/>
          </w:p>
        </w:tc>
        <w:tc>
          <w:tcPr>
            <w:tcW w:w="962" w:type="dxa"/>
          </w:tcPr>
          <w:p w:rsidR="00000000" w:rsidRDefault="00000000">
            <w:pPr>
              <w:jc w:val="right"/>
              <w:rPr>
                <w:snapToGrid w:val="0"/>
              </w:rPr>
            </w:pPr>
            <w:bookmarkStart w:id="148" w:name="_Toc97531392"/>
            <w:r>
              <w:rPr>
                <w:snapToGrid w:val="0"/>
              </w:rPr>
              <w:t>9524</w:t>
            </w:r>
            <w:bookmarkEnd w:id="148"/>
          </w:p>
        </w:tc>
        <w:tc>
          <w:tcPr>
            <w:tcW w:w="960" w:type="dxa"/>
          </w:tcPr>
          <w:p w:rsidR="00000000" w:rsidRDefault="00000000">
            <w:pPr>
              <w:jc w:val="right"/>
              <w:rPr>
                <w:snapToGrid w:val="0"/>
              </w:rPr>
            </w:pPr>
            <w:bookmarkStart w:id="149" w:name="_Toc97531393"/>
            <w:r>
              <w:rPr>
                <w:snapToGrid w:val="0"/>
              </w:rPr>
              <w:t>162</w:t>
            </w:r>
            <w:bookmarkEnd w:id="149"/>
          </w:p>
        </w:tc>
        <w:tc>
          <w:tcPr>
            <w:tcW w:w="720" w:type="dxa"/>
          </w:tcPr>
          <w:p w:rsidR="00000000" w:rsidRDefault="00000000">
            <w:pPr>
              <w:jc w:val="right"/>
              <w:rPr>
                <w:snapToGrid w:val="0"/>
              </w:rPr>
            </w:pPr>
            <w:bookmarkStart w:id="150" w:name="_Toc97531394"/>
            <w:r>
              <w:rPr>
                <w:snapToGrid w:val="0"/>
              </w:rPr>
              <w:t>24</w:t>
            </w:r>
            <w:bookmarkEnd w:id="150"/>
          </w:p>
        </w:tc>
        <w:tc>
          <w:tcPr>
            <w:tcW w:w="960" w:type="dxa"/>
          </w:tcPr>
          <w:p w:rsidR="00000000" w:rsidRDefault="00000000">
            <w:pPr>
              <w:jc w:val="right"/>
              <w:rPr>
                <w:snapToGrid w:val="0"/>
              </w:rPr>
            </w:pPr>
            <w:bookmarkStart w:id="151" w:name="_Toc97531395"/>
            <w:r>
              <w:rPr>
                <w:snapToGrid w:val="0"/>
              </w:rPr>
              <w:t>2</w:t>
            </w:r>
            <w:bookmarkEnd w:id="151"/>
          </w:p>
        </w:tc>
        <w:tc>
          <w:tcPr>
            <w:tcW w:w="1032" w:type="dxa"/>
          </w:tcPr>
          <w:p w:rsidR="00000000" w:rsidRDefault="00000000">
            <w:pPr>
              <w:jc w:val="right"/>
              <w:rPr>
                <w:snapToGrid w:val="0"/>
              </w:rPr>
            </w:pPr>
            <w:bookmarkStart w:id="152" w:name="_Toc97531396"/>
            <w:r>
              <w:rPr>
                <w:snapToGrid w:val="0"/>
              </w:rPr>
              <w:t>12596</w:t>
            </w:r>
            <w:bookmarkEnd w:id="152"/>
          </w:p>
        </w:tc>
        <w:tc>
          <w:tcPr>
            <w:tcW w:w="1035" w:type="dxa"/>
          </w:tcPr>
          <w:p w:rsidR="00000000" w:rsidRDefault="00000000">
            <w:pPr>
              <w:jc w:val="right"/>
              <w:rPr>
                <w:snapToGrid w:val="0"/>
              </w:rPr>
            </w:pPr>
            <w:bookmarkStart w:id="153" w:name="_Toc97531397"/>
            <w:r>
              <w:rPr>
                <w:snapToGrid w:val="0"/>
              </w:rPr>
              <w:t>308</w:t>
            </w:r>
            <w:bookmarkEnd w:id="153"/>
          </w:p>
        </w:tc>
        <w:tc>
          <w:tcPr>
            <w:tcW w:w="742" w:type="dxa"/>
          </w:tcPr>
          <w:p w:rsidR="00000000" w:rsidRDefault="00000000">
            <w:pPr>
              <w:jc w:val="right"/>
              <w:rPr>
                <w:snapToGrid w:val="0"/>
              </w:rPr>
            </w:pPr>
            <w:bookmarkStart w:id="154" w:name="_Toc97531398"/>
            <w:r>
              <w:rPr>
                <w:snapToGrid w:val="0"/>
              </w:rPr>
              <w:t>10</w:t>
            </w:r>
            <w:bookmarkEnd w:id="154"/>
          </w:p>
        </w:tc>
        <w:tc>
          <w:tcPr>
            <w:tcW w:w="1000" w:type="dxa"/>
          </w:tcPr>
          <w:p w:rsidR="00000000" w:rsidRDefault="00000000">
            <w:pPr>
              <w:jc w:val="right"/>
              <w:rPr>
                <w:snapToGrid w:val="0"/>
              </w:rPr>
            </w:pPr>
            <w:bookmarkStart w:id="155" w:name="_Toc97531399"/>
            <w:r>
              <w:rPr>
                <w:snapToGrid w:val="0"/>
              </w:rPr>
              <w:t>342</w:t>
            </w:r>
            <w:bookmarkEnd w:id="155"/>
          </w:p>
        </w:tc>
        <w:tc>
          <w:tcPr>
            <w:tcW w:w="900" w:type="dxa"/>
          </w:tcPr>
          <w:p w:rsidR="00000000" w:rsidRDefault="00000000">
            <w:pPr>
              <w:jc w:val="right"/>
              <w:rPr>
                <w:snapToGrid w:val="0"/>
              </w:rPr>
            </w:pPr>
            <w:bookmarkStart w:id="156" w:name="_Toc97531400"/>
            <w:r>
              <w:rPr>
                <w:snapToGrid w:val="0"/>
              </w:rPr>
              <w:t>22968</w:t>
            </w:r>
            <w:bookmarkEnd w:id="156"/>
          </w:p>
        </w:tc>
      </w:tr>
      <w:tr w:rsidR="00000000">
        <w:tblPrEx>
          <w:tblCellMar>
            <w:top w:w="0" w:type="dxa"/>
            <w:bottom w:w="0" w:type="dxa"/>
          </w:tblCellMar>
        </w:tblPrEx>
        <w:trPr>
          <w:trHeight w:val="264"/>
          <w:jc w:val="center"/>
        </w:trPr>
        <w:tc>
          <w:tcPr>
            <w:tcW w:w="1134" w:type="dxa"/>
          </w:tcPr>
          <w:p w:rsidR="00000000" w:rsidRDefault="00000000">
            <w:pPr>
              <w:rPr>
                <w:snapToGrid w:val="0"/>
              </w:rPr>
            </w:pPr>
            <w:bookmarkStart w:id="157" w:name="_Toc97531401"/>
            <w:r>
              <w:rPr>
                <w:snapToGrid w:val="0"/>
              </w:rPr>
              <w:t>1981</w:t>
            </w:r>
            <w:bookmarkEnd w:id="157"/>
          </w:p>
        </w:tc>
        <w:tc>
          <w:tcPr>
            <w:tcW w:w="962" w:type="dxa"/>
          </w:tcPr>
          <w:p w:rsidR="00000000" w:rsidRDefault="00000000">
            <w:pPr>
              <w:jc w:val="right"/>
              <w:rPr>
                <w:snapToGrid w:val="0"/>
              </w:rPr>
            </w:pPr>
            <w:bookmarkStart w:id="158" w:name="_Toc97531402"/>
            <w:r>
              <w:rPr>
                <w:snapToGrid w:val="0"/>
              </w:rPr>
              <w:t>9506</w:t>
            </w:r>
            <w:bookmarkEnd w:id="158"/>
          </w:p>
        </w:tc>
        <w:tc>
          <w:tcPr>
            <w:tcW w:w="960" w:type="dxa"/>
          </w:tcPr>
          <w:p w:rsidR="00000000" w:rsidRDefault="00000000">
            <w:pPr>
              <w:jc w:val="right"/>
              <w:rPr>
                <w:snapToGrid w:val="0"/>
              </w:rPr>
            </w:pPr>
            <w:bookmarkStart w:id="159" w:name="_Toc97531403"/>
            <w:r>
              <w:rPr>
                <w:snapToGrid w:val="0"/>
              </w:rPr>
              <w:t>159</w:t>
            </w:r>
            <w:bookmarkEnd w:id="159"/>
          </w:p>
        </w:tc>
        <w:tc>
          <w:tcPr>
            <w:tcW w:w="720" w:type="dxa"/>
          </w:tcPr>
          <w:p w:rsidR="00000000" w:rsidRDefault="00000000">
            <w:pPr>
              <w:jc w:val="right"/>
              <w:rPr>
                <w:snapToGrid w:val="0"/>
              </w:rPr>
            </w:pPr>
            <w:bookmarkStart w:id="160" w:name="_Toc97531404"/>
            <w:r>
              <w:rPr>
                <w:snapToGrid w:val="0"/>
              </w:rPr>
              <w:t>1</w:t>
            </w:r>
            <w:bookmarkEnd w:id="160"/>
          </w:p>
        </w:tc>
        <w:tc>
          <w:tcPr>
            <w:tcW w:w="960" w:type="dxa"/>
          </w:tcPr>
          <w:p w:rsidR="00000000" w:rsidRDefault="00000000">
            <w:pPr>
              <w:jc w:val="right"/>
              <w:rPr>
                <w:snapToGrid w:val="0"/>
              </w:rPr>
            </w:pPr>
            <w:bookmarkStart w:id="161" w:name="_Toc97531405"/>
            <w:r>
              <w:rPr>
                <w:snapToGrid w:val="0"/>
              </w:rPr>
              <w:t>22</w:t>
            </w:r>
            <w:bookmarkEnd w:id="161"/>
          </w:p>
        </w:tc>
        <w:tc>
          <w:tcPr>
            <w:tcW w:w="1032" w:type="dxa"/>
          </w:tcPr>
          <w:p w:rsidR="00000000" w:rsidRDefault="00000000">
            <w:pPr>
              <w:jc w:val="right"/>
              <w:rPr>
                <w:snapToGrid w:val="0"/>
              </w:rPr>
            </w:pPr>
            <w:bookmarkStart w:id="162" w:name="_Toc97531406"/>
            <w:r>
              <w:rPr>
                <w:snapToGrid w:val="0"/>
              </w:rPr>
              <w:t>12003</w:t>
            </w:r>
            <w:bookmarkEnd w:id="162"/>
          </w:p>
        </w:tc>
        <w:tc>
          <w:tcPr>
            <w:tcW w:w="1035" w:type="dxa"/>
          </w:tcPr>
          <w:p w:rsidR="00000000" w:rsidRDefault="00000000">
            <w:pPr>
              <w:jc w:val="right"/>
              <w:rPr>
                <w:snapToGrid w:val="0"/>
              </w:rPr>
            </w:pPr>
            <w:bookmarkStart w:id="163" w:name="_Toc97531407"/>
            <w:r>
              <w:rPr>
                <w:snapToGrid w:val="0"/>
              </w:rPr>
              <w:t>325</w:t>
            </w:r>
            <w:bookmarkEnd w:id="163"/>
          </w:p>
        </w:tc>
        <w:tc>
          <w:tcPr>
            <w:tcW w:w="742" w:type="dxa"/>
          </w:tcPr>
          <w:p w:rsidR="00000000" w:rsidRDefault="00000000">
            <w:pPr>
              <w:jc w:val="right"/>
              <w:rPr>
                <w:snapToGrid w:val="0"/>
              </w:rPr>
            </w:pPr>
            <w:bookmarkStart w:id="164" w:name="_Toc97531408"/>
            <w:r>
              <w:rPr>
                <w:snapToGrid w:val="0"/>
              </w:rPr>
              <w:t>17</w:t>
            </w:r>
            <w:bookmarkEnd w:id="164"/>
          </w:p>
        </w:tc>
        <w:tc>
          <w:tcPr>
            <w:tcW w:w="1000" w:type="dxa"/>
          </w:tcPr>
          <w:p w:rsidR="00000000" w:rsidRDefault="00000000">
            <w:pPr>
              <w:jc w:val="right"/>
              <w:rPr>
                <w:snapToGrid w:val="0"/>
              </w:rPr>
            </w:pPr>
            <w:bookmarkStart w:id="165" w:name="_Toc97531409"/>
            <w:r>
              <w:rPr>
                <w:snapToGrid w:val="0"/>
              </w:rPr>
              <w:t>238</w:t>
            </w:r>
            <w:bookmarkEnd w:id="165"/>
          </w:p>
        </w:tc>
        <w:tc>
          <w:tcPr>
            <w:tcW w:w="900" w:type="dxa"/>
          </w:tcPr>
          <w:p w:rsidR="00000000" w:rsidRDefault="00000000">
            <w:pPr>
              <w:jc w:val="right"/>
              <w:rPr>
                <w:snapToGrid w:val="0"/>
              </w:rPr>
            </w:pPr>
            <w:bookmarkStart w:id="166" w:name="_Toc97531410"/>
            <w:r>
              <w:rPr>
                <w:snapToGrid w:val="0"/>
              </w:rPr>
              <w:t>22271</w:t>
            </w:r>
            <w:bookmarkEnd w:id="166"/>
          </w:p>
        </w:tc>
      </w:tr>
      <w:tr w:rsidR="00000000">
        <w:tblPrEx>
          <w:tblCellMar>
            <w:top w:w="0" w:type="dxa"/>
            <w:bottom w:w="0" w:type="dxa"/>
          </w:tblCellMar>
        </w:tblPrEx>
        <w:trPr>
          <w:trHeight w:val="246"/>
          <w:jc w:val="center"/>
        </w:trPr>
        <w:tc>
          <w:tcPr>
            <w:tcW w:w="1134" w:type="dxa"/>
          </w:tcPr>
          <w:p w:rsidR="00000000" w:rsidRDefault="00000000">
            <w:pPr>
              <w:rPr>
                <w:snapToGrid w:val="0"/>
              </w:rPr>
            </w:pPr>
            <w:bookmarkStart w:id="167" w:name="_Toc97531411"/>
            <w:r>
              <w:rPr>
                <w:snapToGrid w:val="0"/>
              </w:rPr>
              <w:t>1982</w:t>
            </w:r>
            <w:bookmarkEnd w:id="167"/>
          </w:p>
        </w:tc>
        <w:tc>
          <w:tcPr>
            <w:tcW w:w="962" w:type="dxa"/>
          </w:tcPr>
          <w:p w:rsidR="00000000" w:rsidRDefault="00000000">
            <w:pPr>
              <w:jc w:val="right"/>
              <w:rPr>
                <w:snapToGrid w:val="0"/>
              </w:rPr>
            </w:pPr>
            <w:bookmarkStart w:id="168" w:name="_Toc97531412"/>
            <w:r>
              <w:rPr>
                <w:snapToGrid w:val="0"/>
              </w:rPr>
              <w:t>9192</w:t>
            </w:r>
            <w:bookmarkEnd w:id="168"/>
          </w:p>
        </w:tc>
        <w:tc>
          <w:tcPr>
            <w:tcW w:w="960" w:type="dxa"/>
          </w:tcPr>
          <w:p w:rsidR="00000000" w:rsidRDefault="00000000">
            <w:pPr>
              <w:jc w:val="right"/>
              <w:rPr>
                <w:snapToGrid w:val="0"/>
              </w:rPr>
            </w:pPr>
            <w:bookmarkStart w:id="169" w:name="_Toc97531413"/>
            <w:r>
              <w:rPr>
                <w:snapToGrid w:val="0"/>
              </w:rPr>
              <w:t>168</w:t>
            </w:r>
            <w:bookmarkEnd w:id="169"/>
          </w:p>
        </w:tc>
        <w:tc>
          <w:tcPr>
            <w:tcW w:w="720" w:type="dxa"/>
          </w:tcPr>
          <w:p w:rsidR="00000000" w:rsidRDefault="00000000">
            <w:pPr>
              <w:jc w:val="right"/>
              <w:rPr>
                <w:snapToGrid w:val="0"/>
              </w:rPr>
            </w:pPr>
            <w:bookmarkStart w:id="170" w:name="_Toc97531414"/>
            <w:r>
              <w:rPr>
                <w:snapToGrid w:val="0"/>
              </w:rPr>
              <w:t>1</w:t>
            </w:r>
            <w:bookmarkEnd w:id="170"/>
          </w:p>
        </w:tc>
        <w:tc>
          <w:tcPr>
            <w:tcW w:w="960" w:type="dxa"/>
          </w:tcPr>
          <w:p w:rsidR="00000000" w:rsidRDefault="00000000">
            <w:pPr>
              <w:jc w:val="right"/>
              <w:rPr>
                <w:snapToGrid w:val="0"/>
              </w:rPr>
            </w:pPr>
            <w:bookmarkStart w:id="171" w:name="_Toc97531415"/>
            <w:r>
              <w:rPr>
                <w:snapToGrid w:val="0"/>
              </w:rPr>
              <w:t>23</w:t>
            </w:r>
            <w:bookmarkEnd w:id="171"/>
          </w:p>
        </w:tc>
        <w:tc>
          <w:tcPr>
            <w:tcW w:w="1032" w:type="dxa"/>
          </w:tcPr>
          <w:p w:rsidR="00000000" w:rsidRDefault="00000000">
            <w:pPr>
              <w:jc w:val="right"/>
              <w:rPr>
                <w:snapToGrid w:val="0"/>
              </w:rPr>
            </w:pPr>
            <w:bookmarkStart w:id="172" w:name="_Toc97531416"/>
            <w:r>
              <w:rPr>
                <w:snapToGrid w:val="0"/>
              </w:rPr>
              <w:t>12480</w:t>
            </w:r>
            <w:bookmarkEnd w:id="172"/>
          </w:p>
        </w:tc>
        <w:tc>
          <w:tcPr>
            <w:tcW w:w="1035" w:type="dxa"/>
          </w:tcPr>
          <w:p w:rsidR="00000000" w:rsidRDefault="00000000">
            <w:pPr>
              <w:jc w:val="right"/>
              <w:rPr>
                <w:snapToGrid w:val="0"/>
              </w:rPr>
            </w:pPr>
            <w:bookmarkStart w:id="173" w:name="_Toc97531417"/>
            <w:r>
              <w:rPr>
                <w:snapToGrid w:val="0"/>
              </w:rPr>
              <w:t>267</w:t>
            </w:r>
            <w:bookmarkEnd w:id="173"/>
          </w:p>
        </w:tc>
        <w:tc>
          <w:tcPr>
            <w:tcW w:w="742" w:type="dxa"/>
          </w:tcPr>
          <w:p w:rsidR="00000000" w:rsidRDefault="00000000">
            <w:pPr>
              <w:jc w:val="right"/>
              <w:rPr>
                <w:snapToGrid w:val="0"/>
              </w:rPr>
            </w:pPr>
            <w:bookmarkStart w:id="174" w:name="_Toc97531418"/>
            <w:r>
              <w:rPr>
                <w:snapToGrid w:val="0"/>
              </w:rPr>
              <w:t>31</w:t>
            </w:r>
            <w:bookmarkEnd w:id="174"/>
          </w:p>
        </w:tc>
        <w:tc>
          <w:tcPr>
            <w:tcW w:w="1000" w:type="dxa"/>
          </w:tcPr>
          <w:p w:rsidR="00000000" w:rsidRDefault="00000000">
            <w:pPr>
              <w:jc w:val="right"/>
              <w:rPr>
                <w:snapToGrid w:val="0"/>
              </w:rPr>
            </w:pPr>
            <w:bookmarkStart w:id="175" w:name="_Toc97531419"/>
            <w:r>
              <w:rPr>
                <w:snapToGrid w:val="0"/>
              </w:rPr>
              <w:t>215</w:t>
            </w:r>
            <w:bookmarkEnd w:id="175"/>
          </w:p>
        </w:tc>
        <w:tc>
          <w:tcPr>
            <w:tcW w:w="900" w:type="dxa"/>
          </w:tcPr>
          <w:p w:rsidR="00000000" w:rsidRDefault="00000000">
            <w:pPr>
              <w:jc w:val="right"/>
              <w:rPr>
                <w:snapToGrid w:val="0"/>
              </w:rPr>
            </w:pPr>
            <w:bookmarkStart w:id="176" w:name="_Toc97531420"/>
            <w:r>
              <w:rPr>
                <w:snapToGrid w:val="0"/>
              </w:rPr>
              <w:t>22377</w:t>
            </w:r>
            <w:bookmarkEnd w:id="176"/>
          </w:p>
        </w:tc>
      </w:tr>
      <w:tr w:rsidR="00000000">
        <w:tblPrEx>
          <w:tblCellMar>
            <w:top w:w="0" w:type="dxa"/>
            <w:bottom w:w="0" w:type="dxa"/>
          </w:tblCellMar>
        </w:tblPrEx>
        <w:trPr>
          <w:trHeight w:val="243"/>
          <w:jc w:val="center"/>
        </w:trPr>
        <w:tc>
          <w:tcPr>
            <w:tcW w:w="1134" w:type="dxa"/>
          </w:tcPr>
          <w:p w:rsidR="00000000" w:rsidRDefault="00000000">
            <w:pPr>
              <w:rPr>
                <w:snapToGrid w:val="0"/>
              </w:rPr>
            </w:pPr>
            <w:bookmarkStart w:id="177" w:name="_Toc97531421"/>
            <w:r>
              <w:rPr>
                <w:snapToGrid w:val="0"/>
              </w:rPr>
              <w:t>1983</w:t>
            </w:r>
            <w:bookmarkEnd w:id="177"/>
          </w:p>
        </w:tc>
        <w:tc>
          <w:tcPr>
            <w:tcW w:w="962" w:type="dxa"/>
          </w:tcPr>
          <w:p w:rsidR="00000000" w:rsidRDefault="00000000">
            <w:pPr>
              <w:jc w:val="right"/>
              <w:rPr>
                <w:snapToGrid w:val="0"/>
              </w:rPr>
            </w:pPr>
            <w:bookmarkStart w:id="178" w:name="_Toc97531422"/>
            <w:r>
              <w:rPr>
                <w:snapToGrid w:val="0"/>
              </w:rPr>
              <w:t>9263</w:t>
            </w:r>
            <w:bookmarkEnd w:id="178"/>
          </w:p>
        </w:tc>
        <w:tc>
          <w:tcPr>
            <w:tcW w:w="960" w:type="dxa"/>
          </w:tcPr>
          <w:p w:rsidR="00000000" w:rsidRDefault="00000000">
            <w:pPr>
              <w:jc w:val="right"/>
              <w:rPr>
                <w:snapToGrid w:val="0"/>
              </w:rPr>
            </w:pPr>
            <w:bookmarkStart w:id="179" w:name="_Toc97531423"/>
            <w:r>
              <w:rPr>
                <w:snapToGrid w:val="0"/>
              </w:rPr>
              <w:t>164</w:t>
            </w:r>
            <w:bookmarkEnd w:id="179"/>
          </w:p>
        </w:tc>
        <w:tc>
          <w:tcPr>
            <w:tcW w:w="720" w:type="dxa"/>
          </w:tcPr>
          <w:p w:rsidR="00000000" w:rsidRDefault="00000000">
            <w:pPr>
              <w:jc w:val="right"/>
              <w:rPr>
                <w:snapToGrid w:val="0"/>
              </w:rPr>
            </w:pPr>
            <w:bookmarkStart w:id="180" w:name="_Toc97531424"/>
            <w:r>
              <w:rPr>
                <w:snapToGrid w:val="0"/>
              </w:rPr>
              <w:t>-</w:t>
            </w:r>
            <w:bookmarkEnd w:id="180"/>
          </w:p>
        </w:tc>
        <w:tc>
          <w:tcPr>
            <w:tcW w:w="960" w:type="dxa"/>
          </w:tcPr>
          <w:p w:rsidR="00000000" w:rsidRDefault="00000000">
            <w:pPr>
              <w:jc w:val="right"/>
              <w:rPr>
                <w:snapToGrid w:val="0"/>
              </w:rPr>
            </w:pPr>
            <w:bookmarkStart w:id="181" w:name="_Toc97531425"/>
            <w:r>
              <w:rPr>
                <w:snapToGrid w:val="0"/>
              </w:rPr>
              <w:t>17</w:t>
            </w:r>
            <w:bookmarkEnd w:id="181"/>
          </w:p>
        </w:tc>
        <w:tc>
          <w:tcPr>
            <w:tcW w:w="1032" w:type="dxa"/>
          </w:tcPr>
          <w:p w:rsidR="00000000" w:rsidRDefault="00000000">
            <w:pPr>
              <w:jc w:val="right"/>
              <w:rPr>
                <w:snapToGrid w:val="0"/>
              </w:rPr>
            </w:pPr>
            <w:bookmarkStart w:id="182" w:name="_Toc97531426"/>
            <w:r>
              <w:rPr>
                <w:snapToGrid w:val="0"/>
              </w:rPr>
              <w:t>12905</w:t>
            </w:r>
            <w:bookmarkEnd w:id="182"/>
          </w:p>
        </w:tc>
        <w:tc>
          <w:tcPr>
            <w:tcW w:w="1035" w:type="dxa"/>
          </w:tcPr>
          <w:p w:rsidR="00000000" w:rsidRDefault="00000000">
            <w:pPr>
              <w:jc w:val="right"/>
              <w:rPr>
                <w:snapToGrid w:val="0"/>
              </w:rPr>
            </w:pPr>
            <w:bookmarkStart w:id="183" w:name="_Toc97531427"/>
            <w:r>
              <w:rPr>
                <w:snapToGrid w:val="0"/>
              </w:rPr>
              <w:t>248</w:t>
            </w:r>
            <w:bookmarkEnd w:id="183"/>
          </w:p>
        </w:tc>
        <w:tc>
          <w:tcPr>
            <w:tcW w:w="742" w:type="dxa"/>
          </w:tcPr>
          <w:p w:rsidR="00000000" w:rsidRDefault="00000000">
            <w:pPr>
              <w:jc w:val="right"/>
              <w:rPr>
                <w:snapToGrid w:val="0"/>
              </w:rPr>
            </w:pPr>
            <w:bookmarkStart w:id="184" w:name="_Toc97531428"/>
            <w:r>
              <w:rPr>
                <w:snapToGrid w:val="0"/>
              </w:rPr>
              <w:t>16</w:t>
            </w:r>
            <w:bookmarkEnd w:id="184"/>
          </w:p>
        </w:tc>
        <w:tc>
          <w:tcPr>
            <w:tcW w:w="1000" w:type="dxa"/>
          </w:tcPr>
          <w:p w:rsidR="00000000" w:rsidRDefault="00000000">
            <w:pPr>
              <w:jc w:val="right"/>
              <w:rPr>
                <w:snapToGrid w:val="0"/>
              </w:rPr>
            </w:pPr>
            <w:bookmarkStart w:id="185" w:name="_Toc97531429"/>
            <w:r>
              <w:rPr>
                <w:snapToGrid w:val="0"/>
              </w:rPr>
              <w:t>208</w:t>
            </w:r>
            <w:bookmarkEnd w:id="185"/>
          </w:p>
        </w:tc>
        <w:tc>
          <w:tcPr>
            <w:tcW w:w="900" w:type="dxa"/>
          </w:tcPr>
          <w:p w:rsidR="00000000" w:rsidRDefault="00000000">
            <w:pPr>
              <w:jc w:val="right"/>
              <w:rPr>
                <w:snapToGrid w:val="0"/>
              </w:rPr>
            </w:pPr>
            <w:bookmarkStart w:id="186" w:name="_Toc97531430"/>
            <w:r>
              <w:rPr>
                <w:snapToGrid w:val="0"/>
              </w:rPr>
              <w:t>22821</w:t>
            </w:r>
            <w:bookmarkEnd w:id="186"/>
          </w:p>
        </w:tc>
      </w:tr>
      <w:tr w:rsidR="00000000">
        <w:tblPrEx>
          <w:tblCellMar>
            <w:top w:w="0" w:type="dxa"/>
            <w:bottom w:w="0" w:type="dxa"/>
          </w:tblCellMar>
        </w:tblPrEx>
        <w:trPr>
          <w:trHeight w:val="252"/>
          <w:jc w:val="center"/>
        </w:trPr>
        <w:tc>
          <w:tcPr>
            <w:tcW w:w="1134" w:type="dxa"/>
          </w:tcPr>
          <w:p w:rsidR="00000000" w:rsidRDefault="00000000">
            <w:pPr>
              <w:rPr>
                <w:snapToGrid w:val="0"/>
              </w:rPr>
            </w:pPr>
            <w:bookmarkStart w:id="187" w:name="_Toc97531431"/>
            <w:r>
              <w:rPr>
                <w:snapToGrid w:val="0"/>
              </w:rPr>
              <w:t>1984</w:t>
            </w:r>
            <w:bookmarkEnd w:id="187"/>
          </w:p>
        </w:tc>
        <w:tc>
          <w:tcPr>
            <w:tcW w:w="962" w:type="dxa"/>
          </w:tcPr>
          <w:p w:rsidR="00000000" w:rsidRDefault="00000000">
            <w:pPr>
              <w:jc w:val="right"/>
              <w:rPr>
                <w:snapToGrid w:val="0"/>
              </w:rPr>
            </w:pPr>
            <w:bookmarkStart w:id="188" w:name="_Toc97531432"/>
            <w:r>
              <w:rPr>
                <w:snapToGrid w:val="0"/>
              </w:rPr>
              <w:t>8499</w:t>
            </w:r>
            <w:bookmarkEnd w:id="188"/>
          </w:p>
        </w:tc>
        <w:tc>
          <w:tcPr>
            <w:tcW w:w="960" w:type="dxa"/>
          </w:tcPr>
          <w:p w:rsidR="00000000" w:rsidRDefault="00000000">
            <w:pPr>
              <w:jc w:val="right"/>
              <w:rPr>
                <w:snapToGrid w:val="0"/>
              </w:rPr>
            </w:pPr>
            <w:bookmarkStart w:id="189" w:name="_Toc97531433"/>
            <w:r>
              <w:rPr>
                <w:snapToGrid w:val="0"/>
              </w:rPr>
              <w:t>178</w:t>
            </w:r>
            <w:bookmarkEnd w:id="189"/>
          </w:p>
        </w:tc>
        <w:tc>
          <w:tcPr>
            <w:tcW w:w="720" w:type="dxa"/>
          </w:tcPr>
          <w:p w:rsidR="00000000" w:rsidRDefault="00000000">
            <w:pPr>
              <w:jc w:val="right"/>
              <w:rPr>
                <w:snapToGrid w:val="0"/>
              </w:rPr>
            </w:pPr>
            <w:bookmarkStart w:id="190" w:name="_Toc97531434"/>
            <w:r>
              <w:rPr>
                <w:snapToGrid w:val="0"/>
              </w:rPr>
              <w:t>1</w:t>
            </w:r>
            <w:bookmarkEnd w:id="190"/>
          </w:p>
        </w:tc>
        <w:tc>
          <w:tcPr>
            <w:tcW w:w="960" w:type="dxa"/>
          </w:tcPr>
          <w:p w:rsidR="00000000" w:rsidRDefault="00000000">
            <w:pPr>
              <w:jc w:val="right"/>
              <w:rPr>
                <w:snapToGrid w:val="0"/>
              </w:rPr>
            </w:pPr>
            <w:bookmarkStart w:id="191" w:name="_Toc97531435"/>
            <w:r>
              <w:rPr>
                <w:snapToGrid w:val="0"/>
              </w:rPr>
              <w:t>19</w:t>
            </w:r>
            <w:bookmarkEnd w:id="191"/>
          </w:p>
        </w:tc>
        <w:tc>
          <w:tcPr>
            <w:tcW w:w="1032" w:type="dxa"/>
          </w:tcPr>
          <w:p w:rsidR="00000000" w:rsidRDefault="00000000">
            <w:pPr>
              <w:jc w:val="right"/>
              <w:rPr>
                <w:snapToGrid w:val="0"/>
              </w:rPr>
            </w:pPr>
            <w:bookmarkStart w:id="192" w:name="_Toc97531436"/>
            <w:r>
              <w:rPr>
                <w:snapToGrid w:val="0"/>
              </w:rPr>
              <w:t>12278</w:t>
            </w:r>
            <w:bookmarkEnd w:id="192"/>
          </w:p>
        </w:tc>
        <w:tc>
          <w:tcPr>
            <w:tcW w:w="1035" w:type="dxa"/>
          </w:tcPr>
          <w:p w:rsidR="00000000" w:rsidRDefault="00000000">
            <w:pPr>
              <w:jc w:val="right"/>
              <w:rPr>
                <w:snapToGrid w:val="0"/>
              </w:rPr>
            </w:pPr>
            <w:bookmarkStart w:id="193" w:name="_Toc97531437"/>
            <w:r>
              <w:rPr>
                <w:snapToGrid w:val="0"/>
              </w:rPr>
              <w:t>269</w:t>
            </w:r>
            <w:bookmarkEnd w:id="193"/>
          </w:p>
        </w:tc>
        <w:tc>
          <w:tcPr>
            <w:tcW w:w="742" w:type="dxa"/>
          </w:tcPr>
          <w:p w:rsidR="00000000" w:rsidRDefault="00000000">
            <w:pPr>
              <w:jc w:val="right"/>
              <w:rPr>
                <w:snapToGrid w:val="0"/>
              </w:rPr>
            </w:pPr>
            <w:bookmarkStart w:id="194" w:name="_Toc97531438"/>
            <w:r>
              <w:rPr>
                <w:snapToGrid w:val="0"/>
              </w:rPr>
              <w:t>32</w:t>
            </w:r>
            <w:bookmarkEnd w:id="194"/>
          </w:p>
        </w:tc>
        <w:tc>
          <w:tcPr>
            <w:tcW w:w="1000" w:type="dxa"/>
          </w:tcPr>
          <w:p w:rsidR="00000000" w:rsidRDefault="00000000">
            <w:pPr>
              <w:jc w:val="right"/>
              <w:rPr>
                <w:snapToGrid w:val="0"/>
              </w:rPr>
            </w:pPr>
            <w:bookmarkStart w:id="195" w:name="_Toc97531439"/>
            <w:r>
              <w:rPr>
                <w:snapToGrid w:val="0"/>
              </w:rPr>
              <w:t>225</w:t>
            </w:r>
            <w:bookmarkEnd w:id="195"/>
          </w:p>
        </w:tc>
        <w:tc>
          <w:tcPr>
            <w:tcW w:w="900" w:type="dxa"/>
          </w:tcPr>
          <w:p w:rsidR="00000000" w:rsidRDefault="00000000">
            <w:pPr>
              <w:jc w:val="right"/>
              <w:rPr>
                <w:snapToGrid w:val="0"/>
              </w:rPr>
            </w:pPr>
            <w:bookmarkStart w:id="196" w:name="_Toc97531440"/>
            <w:r>
              <w:rPr>
                <w:snapToGrid w:val="0"/>
              </w:rPr>
              <w:t>21501</w:t>
            </w:r>
            <w:bookmarkEnd w:id="196"/>
          </w:p>
        </w:tc>
      </w:tr>
      <w:tr w:rsidR="00000000">
        <w:tblPrEx>
          <w:tblCellMar>
            <w:top w:w="0" w:type="dxa"/>
            <w:bottom w:w="0" w:type="dxa"/>
          </w:tblCellMar>
        </w:tblPrEx>
        <w:trPr>
          <w:trHeight w:val="65"/>
          <w:jc w:val="center"/>
        </w:trPr>
        <w:tc>
          <w:tcPr>
            <w:tcW w:w="1134" w:type="dxa"/>
          </w:tcPr>
          <w:p w:rsidR="00000000" w:rsidRDefault="00000000">
            <w:pPr>
              <w:rPr>
                <w:snapToGrid w:val="0"/>
              </w:rPr>
            </w:pPr>
            <w:bookmarkStart w:id="197" w:name="_Toc97531441"/>
            <w:r>
              <w:rPr>
                <w:snapToGrid w:val="0"/>
              </w:rPr>
              <w:t>1985</w:t>
            </w:r>
            <w:bookmarkEnd w:id="197"/>
          </w:p>
        </w:tc>
        <w:tc>
          <w:tcPr>
            <w:tcW w:w="962" w:type="dxa"/>
          </w:tcPr>
          <w:p w:rsidR="00000000" w:rsidRDefault="00000000">
            <w:pPr>
              <w:jc w:val="right"/>
              <w:rPr>
                <w:snapToGrid w:val="0"/>
              </w:rPr>
            </w:pPr>
            <w:bookmarkStart w:id="198" w:name="_Toc97531442"/>
            <w:r>
              <w:rPr>
                <w:snapToGrid w:val="0"/>
              </w:rPr>
              <w:t>8896</w:t>
            </w:r>
            <w:bookmarkEnd w:id="198"/>
          </w:p>
        </w:tc>
        <w:tc>
          <w:tcPr>
            <w:tcW w:w="960" w:type="dxa"/>
          </w:tcPr>
          <w:p w:rsidR="00000000" w:rsidRDefault="00000000">
            <w:pPr>
              <w:jc w:val="right"/>
              <w:rPr>
                <w:snapToGrid w:val="0"/>
              </w:rPr>
            </w:pPr>
            <w:bookmarkStart w:id="199" w:name="_Toc97531443"/>
            <w:r>
              <w:rPr>
                <w:snapToGrid w:val="0"/>
              </w:rPr>
              <w:t>187</w:t>
            </w:r>
            <w:bookmarkEnd w:id="199"/>
          </w:p>
        </w:tc>
        <w:tc>
          <w:tcPr>
            <w:tcW w:w="720" w:type="dxa"/>
          </w:tcPr>
          <w:p w:rsidR="00000000" w:rsidRDefault="00000000">
            <w:pPr>
              <w:jc w:val="right"/>
              <w:rPr>
                <w:snapToGrid w:val="0"/>
              </w:rPr>
            </w:pPr>
            <w:bookmarkStart w:id="200" w:name="_Toc97531444"/>
            <w:r>
              <w:rPr>
                <w:snapToGrid w:val="0"/>
              </w:rPr>
              <w:t>8</w:t>
            </w:r>
            <w:bookmarkEnd w:id="200"/>
          </w:p>
        </w:tc>
        <w:tc>
          <w:tcPr>
            <w:tcW w:w="960" w:type="dxa"/>
          </w:tcPr>
          <w:p w:rsidR="00000000" w:rsidRDefault="00000000">
            <w:pPr>
              <w:jc w:val="right"/>
              <w:rPr>
                <w:snapToGrid w:val="0"/>
              </w:rPr>
            </w:pPr>
            <w:bookmarkStart w:id="201" w:name="_Toc97531445"/>
            <w:r>
              <w:rPr>
                <w:snapToGrid w:val="0"/>
              </w:rPr>
              <w:t>65</w:t>
            </w:r>
            <w:bookmarkEnd w:id="201"/>
          </w:p>
        </w:tc>
        <w:tc>
          <w:tcPr>
            <w:tcW w:w="1032" w:type="dxa"/>
          </w:tcPr>
          <w:p w:rsidR="00000000" w:rsidRDefault="00000000">
            <w:pPr>
              <w:jc w:val="right"/>
              <w:rPr>
                <w:snapToGrid w:val="0"/>
              </w:rPr>
            </w:pPr>
            <w:bookmarkStart w:id="202" w:name="_Toc97531446"/>
            <w:r>
              <w:rPr>
                <w:snapToGrid w:val="0"/>
              </w:rPr>
              <w:t>12015</w:t>
            </w:r>
            <w:bookmarkEnd w:id="202"/>
          </w:p>
        </w:tc>
        <w:tc>
          <w:tcPr>
            <w:tcW w:w="1035" w:type="dxa"/>
          </w:tcPr>
          <w:p w:rsidR="00000000" w:rsidRDefault="00000000">
            <w:pPr>
              <w:jc w:val="right"/>
              <w:rPr>
                <w:snapToGrid w:val="0"/>
              </w:rPr>
            </w:pPr>
            <w:bookmarkStart w:id="203" w:name="_Toc97531447"/>
            <w:r>
              <w:rPr>
                <w:snapToGrid w:val="0"/>
              </w:rPr>
              <w:t>375</w:t>
            </w:r>
            <w:bookmarkEnd w:id="203"/>
          </w:p>
        </w:tc>
        <w:tc>
          <w:tcPr>
            <w:tcW w:w="742" w:type="dxa"/>
          </w:tcPr>
          <w:p w:rsidR="00000000" w:rsidRDefault="00000000">
            <w:pPr>
              <w:jc w:val="right"/>
              <w:rPr>
                <w:snapToGrid w:val="0"/>
              </w:rPr>
            </w:pPr>
            <w:bookmarkStart w:id="204" w:name="_Toc97531448"/>
            <w:r>
              <w:rPr>
                <w:snapToGrid w:val="0"/>
              </w:rPr>
              <w:t>60</w:t>
            </w:r>
            <w:bookmarkEnd w:id="204"/>
          </w:p>
        </w:tc>
        <w:tc>
          <w:tcPr>
            <w:tcW w:w="1000" w:type="dxa"/>
          </w:tcPr>
          <w:p w:rsidR="00000000" w:rsidRDefault="00000000">
            <w:pPr>
              <w:jc w:val="right"/>
              <w:rPr>
                <w:snapToGrid w:val="0"/>
              </w:rPr>
            </w:pPr>
            <w:bookmarkStart w:id="205" w:name="_Toc97531449"/>
            <w:r>
              <w:rPr>
                <w:snapToGrid w:val="0"/>
              </w:rPr>
              <w:t>370</w:t>
            </w:r>
            <w:bookmarkEnd w:id="205"/>
          </w:p>
        </w:tc>
        <w:tc>
          <w:tcPr>
            <w:tcW w:w="900" w:type="dxa"/>
          </w:tcPr>
          <w:p w:rsidR="00000000" w:rsidRDefault="00000000">
            <w:pPr>
              <w:jc w:val="right"/>
              <w:rPr>
                <w:snapToGrid w:val="0"/>
              </w:rPr>
            </w:pPr>
            <w:bookmarkStart w:id="206" w:name="_Toc97531450"/>
            <w:r>
              <w:rPr>
                <w:snapToGrid w:val="0"/>
              </w:rPr>
              <w:t>21976</w:t>
            </w:r>
            <w:bookmarkEnd w:id="206"/>
          </w:p>
        </w:tc>
      </w:tr>
      <w:tr w:rsidR="00000000">
        <w:tblPrEx>
          <w:tblCellMar>
            <w:top w:w="0" w:type="dxa"/>
            <w:bottom w:w="0" w:type="dxa"/>
          </w:tblCellMar>
        </w:tblPrEx>
        <w:trPr>
          <w:trHeight w:val="231"/>
          <w:jc w:val="center"/>
        </w:trPr>
        <w:tc>
          <w:tcPr>
            <w:tcW w:w="1134" w:type="dxa"/>
          </w:tcPr>
          <w:p w:rsidR="00000000" w:rsidRDefault="00000000">
            <w:pPr>
              <w:rPr>
                <w:snapToGrid w:val="0"/>
              </w:rPr>
            </w:pPr>
            <w:bookmarkStart w:id="207" w:name="_Toc97531451"/>
            <w:r>
              <w:rPr>
                <w:snapToGrid w:val="0"/>
              </w:rPr>
              <w:t>1986</w:t>
            </w:r>
            <w:bookmarkEnd w:id="207"/>
          </w:p>
        </w:tc>
        <w:tc>
          <w:tcPr>
            <w:tcW w:w="962" w:type="dxa"/>
          </w:tcPr>
          <w:p w:rsidR="00000000" w:rsidRDefault="00000000">
            <w:pPr>
              <w:jc w:val="right"/>
              <w:rPr>
                <w:snapToGrid w:val="0"/>
              </w:rPr>
            </w:pPr>
            <w:bookmarkStart w:id="208" w:name="_Toc97531452"/>
            <w:r>
              <w:rPr>
                <w:snapToGrid w:val="0"/>
              </w:rPr>
              <w:t>8724</w:t>
            </w:r>
            <w:bookmarkEnd w:id="208"/>
          </w:p>
        </w:tc>
        <w:tc>
          <w:tcPr>
            <w:tcW w:w="960" w:type="dxa"/>
          </w:tcPr>
          <w:p w:rsidR="00000000" w:rsidRDefault="00000000">
            <w:pPr>
              <w:jc w:val="right"/>
              <w:rPr>
                <w:snapToGrid w:val="0"/>
              </w:rPr>
            </w:pPr>
            <w:bookmarkStart w:id="209" w:name="_Toc97531453"/>
            <w:r>
              <w:rPr>
                <w:snapToGrid w:val="0"/>
              </w:rPr>
              <w:t>243</w:t>
            </w:r>
            <w:bookmarkEnd w:id="209"/>
          </w:p>
        </w:tc>
        <w:tc>
          <w:tcPr>
            <w:tcW w:w="720" w:type="dxa"/>
          </w:tcPr>
          <w:p w:rsidR="00000000" w:rsidRDefault="00000000">
            <w:pPr>
              <w:jc w:val="right"/>
              <w:rPr>
                <w:snapToGrid w:val="0"/>
              </w:rPr>
            </w:pPr>
            <w:bookmarkStart w:id="210" w:name="_Toc97531454"/>
            <w:r>
              <w:rPr>
                <w:snapToGrid w:val="0"/>
              </w:rPr>
              <w:t>19</w:t>
            </w:r>
            <w:bookmarkEnd w:id="210"/>
          </w:p>
        </w:tc>
        <w:tc>
          <w:tcPr>
            <w:tcW w:w="960" w:type="dxa"/>
          </w:tcPr>
          <w:p w:rsidR="00000000" w:rsidRDefault="00000000">
            <w:pPr>
              <w:jc w:val="right"/>
              <w:rPr>
                <w:snapToGrid w:val="0"/>
              </w:rPr>
            </w:pPr>
            <w:bookmarkStart w:id="211" w:name="_Toc97531455"/>
            <w:r>
              <w:rPr>
                <w:snapToGrid w:val="0"/>
              </w:rPr>
              <w:t>80</w:t>
            </w:r>
            <w:bookmarkEnd w:id="211"/>
          </w:p>
        </w:tc>
        <w:tc>
          <w:tcPr>
            <w:tcW w:w="1032" w:type="dxa"/>
          </w:tcPr>
          <w:p w:rsidR="00000000" w:rsidRDefault="00000000">
            <w:pPr>
              <w:jc w:val="right"/>
              <w:rPr>
                <w:snapToGrid w:val="0"/>
              </w:rPr>
            </w:pPr>
            <w:bookmarkStart w:id="212" w:name="_Toc97531456"/>
            <w:r>
              <w:rPr>
                <w:snapToGrid w:val="0"/>
              </w:rPr>
              <w:t>12319</w:t>
            </w:r>
            <w:bookmarkEnd w:id="212"/>
          </w:p>
        </w:tc>
        <w:tc>
          <w:tcPr>
            <w:tcW w:w="1035" w:type="dxa"/>
          </w:tcPr>
          <w:p w:rsidR="00000000" w:rsidRDefault="00000000">
            <w:pPr>
              <w:jc w:val="right"/>
              <w:rPr>
                <w:snapToGrid w:val="0"/>
              </w:rPr>
            </w:pPr>
            <w:bookmarkStart w:id="213" w:name="_Toc97531457"/>
            <w:r>
              <w:rPr>
                <w:snapToGrid w:val="0"/>
              </w:rPr>
              <w:t>446</w:t>
            </w:r>
            <w:bookmarkEnd w:id="213"/>
          </w:p>
        </w:tc>
        <w:tc>
          <w:tcPr>
            <w:tcW w:w="742" w:type="dxa"/>
          </w:tcPr>
          <w:p w:rsidR="00000000" w:rsidRDefault="00000000">
            <w:pPr>
              <w:jc w:val="right"/>
              <w:rPr>
                <w:snapToGrid w:val="0"/>
              </w:rPr>
            </w:pPr>
            <w:bookmarkStart w:id="214" w:name="_Toc97531458"/>
            <w:r>
              <w:rPr>
                <w:snapToGrid w:val="0"/>
              </w:rPr>
              <w:t>90</w:t>
            </w:r>
            <w:bookmarkEnd w:id="214"/>
          </w:p>
        </w:tc>
        <w:tc>
          <w:tcPr>
            <w:tcW w:w="1000" w:type="dxa"/>
          </w:tcPr>
          <w:p w:rsidR="00000000" w:rsidRDefault="00000000">
            <w:pPr>
              <w:jc w:val="right"/>
              <w:rPr>
                <w:snapToGrid w:val="0"/>
              </w:rPr>
            </w:pPr>
            <w:bookmarkStart w:id="215" w:name="_Toc97531459"/>
            <w:r>
              <w:rPr>
                <w:snapToGrid w:val="0"/>
              </w:rPr>
              <w:t>329</w:t>
            </w:r>
            <w:bookmarkEnd w:id="215"/>
          </w:p>
        </w:tc>
        <w:tc>
          <w:tcPr>
            <w:tcW w:w="900" w:type="dxa"/>
          </w:tcPr>
          <w:p w:rsidR="00000000" w:rsidRDefault="00000000">
            <w:pPr>
              <w:jc w:val="right"/>
              <w:rPr>
                <w:snapToGrid w:val="0"/>
              </w:rPr>
            </w:pPr>
            <w:bookmarkStart w:id="216" w:name="_Toc97531460"/>
            <w:r>
              <w:rPr>
                <w:snapToGrid w:val="0"/>
              </w:rPr>
              <w:t>22250</w:t>
            </w:r>
            <w:bookmarkEnd w:id="216"/>
          </w:p>
        </w:tc>
      </w:tr>
      <w:tr w:rsidR="00000000">
        <w:tblPrEx>
          <w:tblCellMar>
            <w:top w:w="0" w:type="dxa"/>
            <w:bottom w:w="0" w:type="dxa"/>
          </w:tblCellMar>
        </w:tblPrEx>
        <w:trPr>
          <w:trHeight w:val="226"/>
          <w:jc w:val="center"/>
        </w:trPr>
        <w:tc>
          <w:tcPr>
            <w:tcW w:w="1134" w:type="dxa"/>
          </w:tcPr>
          <w:p w:rsidR="00000000" w:rsidRDefault="00000000">
            <w:pPr>
              <w:rPr>
                <w:snapToGrid w:val="0"/>
              </w:rPr>
            </w:pPr>
            <w:bookmarkStart w:id="217" w:name="_Toc97531461"/>
            <w:r>
              <w:rPr>
                <w:snapToGrid w:val="0"/>
              </w:rPr>
              <w:t>1987</w:t>
            </w:r>
            <w:bookmarkEnd w:id="217"/>
          </w:p>
        </w:tc>
        <w:tc>
          <w:tcPr>
            <w:tcW w:w="962" w:type="dxa"/>
          </w:tcPr>
          <w:p w:rsidR="00000000" w:rsidRDefault="00000000">
            <w:pPr>
              <w:jc w:val="right"/>
              <w:rPr>
                <w:snapToGrid w:val="0"/>
              </w:rPr>
            </w:pPr>
            <w:bookmarkStart w:id="218" w:name="_Toc97531462"/>
            <w:r>
              <w:rPr>
                <w:snapToGrid w:val="0"/>
              </w:rPr>
              <w:t>7866</w:t>
            </w:r>
            <w:bookmarkEnd w:id="218"/>
          </w:p>
        </w:tc>
        <w:tc>
          <w:tcPr>
            <w:tcW w:w="960" w:type="dxa"/>
          </w:tcPr>
          <w:p w:rsidR="00000000" w:rsidRDefault="00000000">
            <w:pPr>
              <w:jc w:val="right"/>
              <w:rPr>
                <w:snapToGrid w:val="0"/>
              </w:rPr>
            </w:pPr>
            <w:bookmarkStart w:id="219" w:name="_Toc97531463"/>
            <w:r>
              <w:rPr>
                <w:snapToGrid w:val="0"/>
              </w:rPr>
              <w:t>235</w:t>
            </w:r>
            <w:bookmarkEnd w:id="219"/>
          </w:p>
        </w:tc>
        <w:tc>
          <w:tcPr>
            <w:tcW w:w="720" w:type="dxa"/>
          </w:tcPr>
          <w:p w:rsidR="00000000" w:rsidRDefault="00000000">
            <w:pPr>
              <w:jc w:val="right"/>
              <w:rPr>
                <w:snapToGrid w:val="0"/>
              </w:rPr>
            </w:pPr>
            <w:bookmarkStart w:id="220" w:name="_Toc97531464"/>
            <w:r>
              <w:rPr>
                <w:snapToGrid w:val="0"/>
              </w:rPr>
              <w:t>29</w:t>
            </w:r>
            <w:bookmarkEnd w:id="220"/>
          </w:p>
        </w:tc>
        <w:tc>
          <w:tcPr>
            <w:tcW w:w="960" w:type="dxa"/>
          </w:tcPr>
          <w:p w:rsidR="00000000" w:rsidRDefault="00000000">
            <w:pPr>
              <w:jc w:val="right"/>
              <w:rPr>
                <w:snapToGrid w:val="0"/>
              </w:rPr>
            </w:pPr>
            <w:bookmarkStart w:id="221" w:name="_Toc97531465"/>
            <w:r>
              <w:rPr>
                <w:snapToGrid w:val="0"/>
              </w:rPr>
              <w:t>79</w:t>
            </w:r>
            <w:bookmarkEnd w:id="221"/>
          </w:p>
        </w:tc>
        <w:tc>
          <w:tcPr>
            <w:tcW w:w="1032" w:type="dxa"/>
          </w:tcPr>
          <w:p w:rsidR="00000000" w:rsidRDefault="00000000">
            <w:pPr>
              <w:jc w:val="right"/>
              <w:rPr>
                <w:snapToGrid w:val="0"/>
              </w:rPr>
            </w:pPr>
            <w:bookmarkStart w:id="222" w:name="_Toc97531466"/>
            <w:r>
              <w:rPr>
                <w:snapToGrid w:val="0"/>
              </w:rPr>
              <w:t>13370</w:t>
            </w:r>
            <w:bookmarkEnd w:id="222"/>
          </w:p>
        </w:tc>
        <w:tc>
          <w:tcPr>
            <w:tcW w:w="1035" w:type="dxa"/>
          </w:tcPr>
          <w:p w:rsidR="00000000" w:rsidRDefault="00000000">
            <w:pPr>
              <w:jc w:val="right"/>
              <w:rPr>
                <w:snapToGrid w:val="0"/>
              </w:rPr>
            </w:pPr>
            <w:bookmarkStart w:id="223" w:name="_Toc97531467"/>
            <w:r>
              <w:rPr>
                <w:snapToGrid w:val="0"/>
              </w:rPr>
              <w:t>506</w:t>
            </w:r>
            <w:bookmarkEnd w:id="223"/>
          </w:p>
        </w:tc>
        <w:tc>
          <w:tcPr>
            <w:tcW w:w="742" w:type="dxa"/>
          </w:tcPr>
          <w:p w:rsidR="00000000" w:rsidRDefault="00000000">
            <w:pPr>
              <w:jc w:val="right"/>
              <w:rPr>
                <w:snapToGrid w:val="0"/>
              </w:rPr>
            </w:pPr>
            <w:bookmarkStart w:id="224" w:name="_Toc97531468"/>
            <w:r>
              <w:rPr>
                <w:snapToGrid w:val="0"/>
              </w:rPr>
              <w:t>44</w:t>
            </w:r>
            <w:bookmarkEnd w:id="224"/>
          </w:p>
        </w:tc>
        <w:tc>
          <w:tcPr>
            <w:tcW w:w="1000" w:type="dxa"/>
          </w:tcPr>
          <w:p w:rsidR="00000000" w:rsidRDefault="00000000">
            <w:pPr>
              <w:jc w:val="right"/>
              <w:rPr>
                <w:snapToGrid w:val="0"/>
              </w:rPr>
            </w:pPr>
            <w:bookmarkStart w:id="225" w:name="_Toc97531469"/>
            <w:r>
              <w:rPr>
                <w:snapToGrid w:val="0"/>
              </w:rPr>
              <w:t>303</w:t>
            </w:r>
            <w:bookmarkEnd w:id="225"/>
          </w:p>
        </w:tc>
        <w:tc>
          <w:tcPr>
            <w:tcW w:w="900" w:type="dxa"/>
          </w:tcPr>
          <w:p w:rsidR="00000000" w:rsidRDefault="00000000">
            <w:pPr>
              <w:jc w:val="right"/>
              <w:rPr>
                <w:snapToGrid w:val="0"/>
              </w:rPr>
            </w:pPr>
            <w:bookmarkStart w:id="226" w:name="_Toc97531470"/>
            <w:r>
              <w:rPr>
                <w:snapToGrid w:val="0"/>
              </w:rPr>
              <w:t>21432</w:t>
            </w:r>
            <w:bookmarkEnd w:id="226"/>
          </w:p>
        </w:tc>
      </w:tr>
      <w:tr w:rsidR="00000000">
        <w:tblPrEx>
          <w:tblCellMar>
            <w:top w:w="0" w:type="dxa"/>
            <w:bottom w:w="0" w:type="dxa"/>
          </w:tblCellMar>
        </w:tblPrEx>
        <w:trPr>
          <w:trHeight w:val="208"/>
          <w:jc w:val="center"/>
        </w:trPr>
        <w:tc>
          <w:tcPr>
            <w:tcW w:w="1134" w:type="dxa"/>
          </w:tcPr>
          <w:p w:rsidR="00000000" w:rsidRDefault="00000000">
            <w:pPr>
              <w:rPr>
                <w:snapToGrid w:val="0"/>
              </w:rPr>
            </w:pPr>
            <w:bookmarkStart w:id="227" w:name="_Toc97531471"/>
            <w:r>
              <w:rPr>
                <w:snapToGrid w:val="0"/>
              </w:rPr>
              <w:t>1988</w:t>
            </w:r>
            <w:bookmarkEnd w:id="227"/>
          </w:p>
        </w:tc>
        <w:tc>
          <w:tcPr>
            <w:tcW w:w="962" w:type="dxa"/>
          </w:tcPr>
          <w:p w:rsidR="00000000" w:rsidRDefault="00000000">
            <w:pPr>
              <w:jc w:val="right"/>
              <w:rPr>
                <w:snapToGrid w:val="0"/>
              </w:rPr>
            </w:pPr>
            <w:bookmarkStart w:id="228" w:name="_Toc97531472"/>
            <w:r>
              <w:rPr>
                <w:snapToGrid w:val="0"/>
              </w:rPr>
              <w:t>8659</w:t>
            </w:r>
            <w:bookmarkEnd w:id="228"/>
          </w:p>
        </w:tc>
        <w:tc>
          <w:tcPr>
            <w:tcW w:w="960" w:type="dxa"/>
          </w:tcPr>
          <w:p w:rsidR="00000000" w:rsidRDefault="00000000">
            <w:pPr>
              <w:jc w:val="right"/>
              <w:rPr>
                <w:snapToGrid w:val="0"/>
              </w:rPr>
            </w:pPr>
            <w:bookmarkStart w:id="229" w:name="_Toc97531473"/>
            <w:r>
              <w:rPr>
                <w:snapToGrid w:val="0"/>
              </w:rPr>
              <w:t>250</w:t>
            </w:r>
            <w:bookmarkEnd w:id="229"/>
          </w:p>
        </w:tc>
        <w:tc>
          <w:tcPr>
            <w:tcW w:w="720" w:type="dxa"/>
          </w:tcPr>
          <w:p w:rsidR="00000000" w:rsidRDefault="00000000">
            <w:pPr>
              <w:jc w:val="right"/>
              <w:rPr>
                <w:snapToGrid w:val="0"/>
              </w:rPr>
            </w:pPr>
            <w:bookmarkStart w:id="230" w:name="_Toc97531474"/>
            <w:r>
              <w:rPr>
                <w:snapToGrid w:val="0"/>
              </w:rPr>
              <w:t>18</w:t>
            </w:r>
            <w:bookmarkEnd w:id="230"/>
          </w:p>
        </w:tc>
        <w:tc>
          <w:tcPr>
            <w:tcW w:w="960" w:type="dxa"/>
          </w:tcPr>
          <w:p w:rsidR="00000000" w:rsidRDefault="00000000">
            <w:pPr>
              <w:jc w:val="right"/>
              <w:rPr>
                <w:snapToGrid w:val="0"/>
              </w:rPr>
            </w:pPr>
            <w:bookmarkStart w:id="231" w:name="_Toc97531475"/>
            <w:r>
              <w:rPr>
                <w:snapToGrid w:val="0"/>
              </w:rPr>
              <w:t>124</w:t>
            </w:r>
            <w:bookmarkEnd w:id="231"/>
          </w:p>
        </w:tc>
        <w:tc>
          <w:tcPr>
            <w:tcW w:w="1032" w:type="dxa"/>
          </w:tcPr>
          <w:p w:rsidR="00000000" w:rsidRDefault="00000000">
            <w:pPr>
              <w:jc w:val="right"/>
              <w:rPr>
                <w:snapToGrid w:val="0"/>
              </w:rPr>
            </w:pPr>
            <w:bookmarkStart w:id="232" w:name="_Toc97531476"/>
            <w:r>
              <w:rPr>
                <w:snapToGrid w:val="0"/>
              </w:rPr>
              <w:t>12779</w:t>
            </w:r>
            <w:bookmarkEnd w:id="232"/>
          </w:p>
        </w:tc>
        <w:tc>
          <w:tcPr>
            <w:tcW w:w="1035" w:type="dxa"/>
          </w:tcPr>
          <w:p w:rsidR="00000000" w:rsidRDefault="00000000">
            <w:pPr>
              <w:jc w:val="right"/>
              <w:rPr>
                <w:snapToGrid w:val="0"/>
              </w:rPr>
            </w:pPr>
            <w:bookmarkStart w:id="233" w:name="_Toc97531477"/>
            <w:r>
              <w:rPr>
                <w:snapToGrid w:val="0"/>
              </w:rPr>
              <w:t>423</w:t>
            </w:r>
            <w:bookmarkEnd w:id="233"/>
          </w:p>
        </w:tc>
        <w:tc>
          <w:tcPr>
            <w:tcW w:w="742" w:type="dxa"/>
          </w:tcPr>
          <w:p w:rsidR="00000000" w:rsidRDefault="00000000">
            <w:pPr>
              <w:jc w:val="right"/>
              <w:rPr>
                <w:snapToGrid w:val="0"/>
              </w:rPr>
            </w:pPr>
            <w:bookmarkStart w:id="234" w:name="_Toc97531478"/>
            <w:r>
              <w:rPr>
                <w:snapToGrid w:val="0"/>
              </w:rPr>
              <w:t>83</w:t>
            </w:r>
            <w:bookmarkEnd w:id="234"/>
          </w:p>
        </w:tc>
        <w:tc>
          <w:tcPr>
            <w:tcW w:w="1000" w:type="dxa"/>
          </w:tcPr>
          <w:p w:rsidR="00000000" w:rsidRDefault="00000000">
            <w:pPr>
              <w:jc w:val="right"/>
              <w:rPr>
                <w:snapToGrid w:val="0"/>
              </w:rPr>
            </w:pPr>
            <w:bookmarkStart w:id="235" w:name="_Toc97531479"/>
            <w:r>
              <w:rPr>
                <w:snapToGrid w:val="0"/>
              </w:rPr>
              <w:t>369</w:t>
            </w:r>
            <w:bookmarkEnd w:id="235"/>
          </w:p>
        </w:tc>
        <w:tc>
          <w:tcPr>
            <w:tcW w:w="900" w:type="dxa"/>
          </w:tcPr>
          <w:p w:rsidR="00000000" w:rsidRDefault="00000000">
            <w:pPr>
              <w:jc w:val="right"/>
              <w:rPr>
                <w:snapToGrid w:val="0"/>
              </w:rPr>
            </w:pPr>
            <w:bookmarkStart w:id="236" w:name="_Toc97531480"/>
            <w:r>
              <w:rPr>
                <w:snapToGrid w:val="0"/>
              </w:rPr>
              <w:t>22705</w:t>
            </w:r>
            <w:bookmarkEnd w:id="236"/>
          </w:p>
        </w:tc>
      </w:tr>
      <w:tr w:rsidR="00000000">
        <w:tblPrEx>
          <w:tblCellMar>
            <w:top w:w="0" w:type="dxa"/>
            <w:bottom w:w="0" w:type="dxa"/>
          </w:tblCellMar>
        </w:tblPrEx>
        <w:trPr>
          <w:trHeight w:val="219"/>
          <w:jc w:val="center"/>
        </w:trPr>
        <w:tc>
          <w:tcPr>
            <w:tcW w:w="1134" w:type="dxa"/>
          </w:tcPr>
          <w:p w:rsidR="00000000" w:rsidRDefault="00000000">
            <w:pPr>
              <w:rPr>
                <w:snapToGrid w:val="0"/>
              </w:rPr>
            </w:pPr>
            <w:bookmarkStart w:id="237" w:name="_Toc97531481"/>
            <w:r>
              <w:rPr>
                <w:snapToGrid w:val="0"/>
              </w:rPr>
              <w:t>1989</w:t>
            </w:r>
            <w:bookmarkEnd w:id="237"/>
          </w:p>
        </w:tc>
        <w:tc>
          <w:tcPr>
            <w:tcW w:w="962" w:type="dxa"/>
          </w:tcPr>
          <w:p w:rsidR="00000000" w:rsidRDefault="00000000">
            <w:pPr>
              <w:jc w:val="right"/>
              <w:rPr>
                <w:snapToGrid w:val="0"/>
              </w:rPr>
            </w:pPr>
            <w:bookmarkStart w:id="238" w:name="_Toc97531482"/>
            <w:r>
              <w:rPr>
                <w:snapToGrid w:val="0"/>
              </w:rPr>
              <w:t>7549</w:t>
            </w:r>
            <w:bookmarkEnd w:id="238"/>
          </w:p>
        </w:tc>
        <w:tc>
          <w:tcPr>
            <w:tcW w:w="960" w:type="dxa"/>
          </w:tcPr>
          <w:p w:rsidR="00000000" w:rsidRDefault="00000000">
            <w:pPr>
              <w:jc w:val="right"/>
              <w:rPr>
                <w:snapToGrid w:val="0"/>
              </w:rPr>
            </w:pPr>
            <w:bookmarkStart w:id="239" w:name="_Toc97531483"/>
            <w:r>
              <w:rPr>
                <w:snapToGrid w:val="0"/>
              </w:rPr>
              <w:t>236</w:t>
            </w:r>
            <w:bookmarkEnd w:id="239"/>
          </w:p>
        </w:tc>
        <w:tc>
          <w:tcPr>
            <w:tcW w:w="720" w:type="dxa"/>
          </w:tcPr>
          <w:p w:rsidR="00000000" w:rsidRDefault="00000000">
            <w:pPr>
              <w:jc w:val="right"/>
              <w:rPr>
                <w:snapToGrid w:val="0"/>
              </w:rPr>
            </w:pPr>
            <w:bookmarkStart w:id="240" w:name="_Toc97531484"/>
            <w:r>
              <w:rPr>
                <w:snapToGrid w:val="0"/>
              </w:rPr>
              <w:t>11</w:t>
            </w:r>
            <w:bookmarkEnd w:id="240"/>
          </w:p>
        </w:tc>
        <w:tc>
          <w:tcPr>
            <w:tcW w:w="960" w:type="dxa"/>
          </w:tcPr>
          <w:p w:rsidR="00000000" w:rsidRDefault="00000000">
            <w:pPr>
              <w:jc w:val="right"/>
              <w:rPr>
                <w:snapToGrid w:val="0"/>
              </w:rPr>
            </w:pPr>
            <w:bookmarkStart w:id="241" w:name="_Toc97531485"/>
            <w:r>
              <w:rPr>
                <w:snapToGrid w:val="0"/>
              </w:rPr>
              <w:t>69</w:t>
            </w:r>
            <w:bookmarkEnd w:id="241"/>
          </w:p>
        </w:tc>
        <w:tc>
          <w:tcPr>
            <w:tcW w:w="1032" w:type="dxa"/>
          </w:tcPr>
          <w:p w:rsidR="00000000" w:rsidRDefault="00000000">
            <w:pPr>
              <w:jc w:val="right"/>
              <w:rPr>
                <w:snapToGrid w:val="0"/>
              </w:rPr>
            </w:pPr>
            <w:bookmarkStart w:id="242" w:name="_Toc97531486"/>
            <w:r>
              <w:rPr>
                <w:snapToGrid w:val="0"/>
              </w:rPr>
              <w:t>12246</w:t>
            </w:r>
            <w:bookmarkEnd w:id="242"/>
          </w:p>
        </w:tc>
        <w:tc>
          <w:tcPr>
            <w:tcW w:w="1035" w:type="dxa"/>
          </w:tcPr>
          <w:p w:rsidR="00000000" w:rsidRDefault="00000000">
            <w:pPr>
              <w:jc w:val="right"/>
              <w:rPr>
                <w:snapToGrid w:val="0"/>
              </w:rPr>
            </w:pPr>
            <w:bookmarkStart w:id="243" w:name="_Toc97531487"/>
            <w:r>
              <w:rPr>
                <w:snapToGrid w:val="0"/>
              </w:rPr>
              <w:t>502</w:t>
            </w:r>
            <w:bookmarkEnd w:id="243"/>
          </w:p>
        </w:tc>
        <w:tc>
          <w:tcPr>
            <w:tcW w:w="742" w:type="dxa"/>
          </w:tcPr>
          <w:p w:rsidR="00000000" w:rsidRDefault="00000000">
            <w:pPr>
              <w:jc w:val="right"/>
              <w:rPr>
                <w:snapToGrid w:val="0"/>
              </w:rPr>
            </w:pPr>
            <w:bookmarkStart w:id="244" w:name="_Toc97531488"/>
            <w:r>
              <w:rPr>
                <w:snapToGrid w:val="0"/>
              </w:rPr>
              <w:t>61</w:t>
            </w:r>
            <w:bookmarkEnd w:id="244"/>
          </w:p>
        </w:tc>
        <w:tc>
          <w:tcPr>
            <w:tcW w:w="1000" w:type="dxa"/>
          </w:tcPr>
          <w:p w:rsidR="00000000" w:rsidRDefault="00000000">
            <w:pPr>
              <w:jc w:val="right"/>
              <w:rPr>
                <w:snapToGrid w:val="0"/>
              </w:rPr>
            </w:pPr>
            <w:bookmarkStart w:id="245" w:name="_Toc97531489"/>
            <w:r>
              <w:rPr>
                <w:snapToGrid w:val="0"/>
              </w:rPr>
              <w:t>419</w:t>
            </w:r>
            <w:bookmarkEnd w:id="245"/>
          </w:p>
        </w:tc>
        <w:tc>
          <w:tcPr>
            <w:tcW w:w="900" w:type="dxa"/>
          </w:tcPr>
          <w:p w:rsidR="00000000" w:rsidRDefault="00000000">
            <w:pPr>
              <w:jc w:val="right"/>
              <w:rPr>
                <w:snapToGrid w:val="0"/>
              </w:rPr>
            </w:pPr>
            <w:bookmarkStart w:id="246" w:name="_Toc97531490"/>
            <w:r>
              <w:rPr>
                <w:snapToGrid w:val="0"/>
              </w:rPr>
              <w:t>21093</w:t>
            </w:r>
            <w:bookmarkEnd w:id="246"/>
          </w:p>
        </w:tc>
      </w:tr>
      <w:tr w:rsidR="00000000">
        <w:tblPrEx>
          <w:tblCellMar>
            <w:top w:w="0" w:type="dxa"/>
            <w:bottom w:w="0" w:type="dxa"/>
          </w:tblCellMar>
        </w:tblPrEx>
        <w:trPr>
          <w:trHeight w:val="214"/>
          <w:jc w:val="center"/>
        </w:trPr>
        <w:tc>
          <w:tcPr>
            <w:tcW w:w="1134" w:type="dxa"/>
          </w:tcPr>
          <w:p w:rsidR="00000000" w:rsidRDefault="00000000">
            <w:pPr>
              <w:rPr>
                <w:snapToGrid w:val="0"/>
              </w:rPr>
            </w:pPr>
            <w:bookmarkStart w:id="247" w:name="_Toc97531491"/>
            <w:r>
              <w:rPr>
                <w:snapToGrid w:val="0"/>
              </w:rPr>
              <w:t>1990</w:t>
            </w:r>
            <w:bookmarkEnd w:id="247"/>
          </w:p>
        </w:tc>
        <w:tc>
          <w:tcPr>
            <w:tcW w:w="962" w:type="dxa"/>
          </w:tcPr>
          <w:p w:rsidR="00000000" w:rsidRDefault="00000000">
            <w:pPr>
              <w:jc w:val="right"/>
              <w:rPr>
                <w:snapToGrid w:val="0"/>
              </w:rPr>
            </w:pPr>
            <w:bookmarkStart w:id="248" w:name="_Toc97531492"/>
            <w:r>
              <w:rPr>
                <w:snapToGrid w:val="0"/>
              </w:rPr>
              <w:t>7429</w:t>
            </w:r>
            <w:bookmarkEnd w:id="248"/>
          </w:p>
        </w:tc>
        <w:tc>
          <w:tcPr>
            <w:tcW w:w="960" w:type="dxa"/>
          </w:tcPr>
          <w:p w:rsidR="00000000" w:rsidRDefault="00000000">
            <w:pPr>
              <w:jc w:val="right"/>
              <w:rPr>
                <w:snapToGrid w:val="0"/>
              </w:rPr>
            </w:pPr>
            <w:bookmarkStart w:id="249" w:name="_Toc97531493"/>
            <w:r>
              <w:rPr>
                <w:snapToGrid w:val="0"/>
              </w:rPr>
              <w:t>201</w:t>
            </w:r>
            <w:bookmarkEnd w:id="249"/>
          </w:p>
        </w:tc>
        <w:tc>
          <w:tcPr>
            <w:tcW w:w="720" w:type="dxa"/>
          </w:tcPr>
          <w:p w:rsidR="00000000" w:rsidRDefault="00000000">
            <w:pPr>
              <w:jc w:val="right"/>
              <w:rPr>
                <w:snapToGrid w:val="0"/>
              </w:rPr>
            </w:pPr>
            <w:bookmarkStart w:id="250" w:name="_Toc97531494"/>
            <w:r>
              <w:rPr>
                <w:snapToGrid w:val="0"/>
              </w:rPr>
              <w:t>9</w:t>
            </w:r>
            <w:bookmarkEnd w:id="250"/>
          </w:p>
        </w:tc>
        <w:tc>
          <w:tcPr>
            <w:tcW w:w="960" w:type="dxa"/>
          </w:tcPr>
          <w:p w:rsidR="00000000" w:rsidRDefault="00000000">
            <w:pPr>
              <w:jc w:val="right"/>
              <w:rPr>
                <w:snapToGrid w:val="0"/>
              </w:rPr>
            </w:pPr>
            <w:bookmarkStart w:id="251" w:name="_Toc97531495"/>
            <w:r>
              <w:rPr>
                <w:snapToGrid w:val="0"/>
              </w:rPr>
              <w:t>64</w:t>
            </w:r>
            <w:bookmarkEnd w:id="251"/>
          </w:p>
        </w:tc>
        <w:tc>
          <w:tcPr>
            <w:tcW w:w="1032" w:type="dxa"/>
          </w:tcPr>
          <w:p w:rsidR="00000000" w:rsidRDefault="00000000">
            <w:pPr>
              <w:jc w:val="right"/>
              <w:rPr>
                <w:snapToGrid w:val="0"/>
              </w:rPr>
            </w:pPr>
            <w:bookmarkStart w:id="252" w:name="_Toc97531496"/>
            <w:r>
              <w:rPr>
                <w:snapToGrid w:val="0"/>
              </w:rPr>
              <w:t>12043</w:t>
            </w:r>
            <w:bookmarkEnd w:id="252"/>
          </w:p>
        </w:tc>
        <w:tc>
          <w:tcPr>
            <w:tcW w:w="1035" w:type="dxa"/>
          </w:tcPr>
          <w:p w:rsidR="00000000" w:rsidRDefault="00000000">
            <w:pPr>
              <w:jc w:val="right"/>
              <w:rPr>
                <w:snapToGrid w:val="0"/>
              </w:rPr>
            </w:pPr>
            <w:bookmarkStart w:id="253" w:name="_Toc97531497"/>
            <w:r>
              <w:rPr>
                <w:snapToGrid w:val="0"/>
              </w:rPr>
              <w:t>456</w:t>
            </w:r>
            <w:bookmarkEnd w:id="253"/>
          </w:p>
        </w:tc>
        <w:tc>
          <w:tcPr>
            <w:tcW w:w="742" w:type="dxa"/>
          </w:tcPr>
          <w:p w:rsidR="00000000" w:rsidRDefault="00000000">
            <w:pPr>
              <w:jc w:val="right"/>
              <w:rPr>
                <w:snapToGrid w:val="0"/>
              </w:rPr>
            </w:pPr>
            <w:bookmarkStart w:id="254" w:name="_Toc97531498"/>
            <w:r>
              <w:rPr>
                <w:snapToGrid w:val="0"/>
              </w:rPr>
              <w:t>55</w:t>
            </w:r>
            <w:bookmarkEnd w:id="254"/>
          </w:p>
        </w:tc>
        <w:tc>
          <w:tcPr>
            <w:tcW w:w="1000" w:type="dxa"/>
          </w:tcPr>
          <w:p w:rsidR="00000000" w:rsidRDefault="00000000">
            <w:pPr>
              <w:jc w:val="right"/>
              <w:rPr>
                <w:snapToGrid w:val="0"/>
              </w:rPr>
            </w:pPr>
            <w:bookmarkStart w:id="255" w:name="_Toc97531499"/>
            <w:r>
              <w:rPr>
                <w:snapToGrid w:val="0"/>
              </w:rPr>
              <w:t>486</w:t>
            </w:r>
            <w:bookmarkEnd w:id="255"/>
          </w:p>
        </w:tc>
        <w:tc>
          <w:tcPr>
            <w:tcW w:w="900" w:type="dxa"/>
          </w:tcPr>
          <w:p w:rsidR="00000000" w:rsidRDefault="00000000">
            <w:pPr>
              <w:jc w:val="right"/>
              <w:rPr>
                <w:snapToGrid w:val="0"/>
              </w:rPr>
            </w:pPr>
            <w:bookmarkStart w:id="256" w:name="_Toc97531500"/>
            <w:r>
              <w:rPr>
                <w:snapToGrid w:val="0"/>
              </w:rPr>
              <w:t>20743</w:t>
            </w:r>
            <w:bookmarkEnd w:id="256"/>
          </w:p>
        </w:tc>
      </w:tr>
      <w:tr w:rsidR="00000000">
        <w:tblPrEx>
          <w:tblCellMar>
            <w:top w:w="0" w:type="dxa"/>
            <w:bottom w:w="0" w:type="dxa"/>
          </w:tblCellMar>
        </w:tblPrEx>
        <w:trPr>
          <w:trHeight w:val="196"/>
          <w:jc w:val="center"/>
        </w:trPr>
        <w:tc>
          <w:tcPr>
            <w:tcW w:w="1134" w:type="dxa"/>
          </w:tcPr>
          <w:p w:rsidR="00000000" w:rsidRDefault="00000000">
            <w:pPr>
              <w:rPr>
                <w:snapToGrid w:val="0"/>
              </w:rPr>
            </w:pPr>
            <w:bookmarkStart w:id="257" w:name="_Toc97531501"/>
            <w:r>
              <w:rPr>
                <w:snapToGrid w:val="0"/>
              </w:rPr>
              <w:t>1991</w:t>
            </w:r>
            <w:bookmarkEnd w:id="257"/>
          </w:p>
        </w:tc>
        <w:tc>
          <w:tcPr>
            <w:tcW w:w="962" w:type="dxa"/>
          </w:tcPr>
          <w:p w:rsidR="00000000" w:rsidRDefault="00000000">
            <w:pPr>
              <w:jc w:val="right"/>
              <w:rPr>
                <w:snapToGrid w:val="0"/>
              </w:rPr>
            </w:pPr>
            <w:bookmarkStart w:id="258" w:name="_Toc97531502"/>
            <w:r>
              <w:rPr>
                <w:snapToGrid w:val="0"/>
              </w:rPr>
              <w:t>6269</w:t>
            </w:r>
            <w:bookmarkEnd w:id="258"/>
          </w:p>
        </w:tc>
        <w:tc>
          <w:tcPr>
            <w:tcW w:w="960" w:type="dxa"/>
          </w:tcPr>
          <w:p w:rsidR="00000000" w:rsidRDefault="00000000">
            <w:pPr>
              <w:jc w:val="right"/>
              <w:rPr>
                <w:snapToGrid w:val="0"/>
              </w:rPr>
            </w:pPr>
            <w:bookmarkStart w:id="259" w:name="_Toc97531503"/>
            <w:r>
              <w:rPr>
                <w:snapToGrid w:val="0"/>
              </w:rPr>
              <w:t>174</w:t>
            </w:r>
            <w:bookmarkEnd w:id="259"/>
          </w:p>
        </w:tc>
        <w:tc>
          <w:tcPr>
            <w:tcW w:w="720" w:type="dxa"/>
          </w:tcPr>
          <w:p w:rsidR="00000000" w:rsidRDefault="00000000">
            <w:pPr>
              <w:jc w:val="right"/>
              <w:rPr>
                <w:snapToGrid w:val="0"/>
              </w:rPr>
            </w:pPr>
            <w:bookmarkStart w:id="260" w:name="_Toc97531504"/>
            <w:r>
              <w:rPr>
                <w:snapToGrid w:val="0"/>
              </w:rPr>
              <w:t>2</w:t>
            </w:r>
            <w:bookmarkEnd w:id="260"/>
          </w:p>
        </w:tc>
        <w:tc>
          <w:tcPr>
            <w:tcW w:w="960" w:type="dxa"/>
          </w:tcPr>
          <w:p w:rsidR="00000000" w:rsidRDefault="00000000">
            <w:pPr>
              <w:jc w:val="right"/>
              <w:rPr>
                <w:snapToGrid w:val="0"/>
              </w:rPr>
            </w:pPr>
            <w:bookmarkStart w:id="261" w:name="_Toc97531505"/>
            <w:r>
              <w:rPr>
                <w:snapToGrid w:val="0"/>
              </w:rPr>
              <w:t>89</w:t>
            </w:r>
            <w:bookmarkEnd w:id="261"/>
          </w:p>
        </w:tc>
        <w:tc>
          <w:tcPr>
            <w:tcW w:w="1032" w:type="dxa"/>
          </w:tcPr>
          <w:p w:rsidR="00000000" w:rsidRDefault="00000000">
            <w:pPr>
              <w:jc w:val="right"/>
              <w:rPr>
                <w:snapToGrid w:val="0"/>
              </w:rPr>
            </w:pPr>
            <w:bookmarkStart w:id="262" w:name="_Toc97531506"/>
            <w:r>
              <w:rPr>
                <w:snapToGrid w:val="0"/>
              </w:rPr>
              <w:t>11596</w:t>
            </w:r>
            <w:bookmarkEnd w:id="262"/>
          </w:p>
        </w:tc>
        <w:tc>
          <w:tcPr>
            <w:tcW w:w="1035" w:type="dxa"/>
          </w:tcPr>
          <w:p w:rsidR="00000000" w:rsidRDefault="00000000">
            <w:pPr>
              <w:jc w:val="right"/>
              <w:rPr>
                <w:snapToGrid w:val="0"/>
              </w:rPr>
            </w:pPr>
            <w:bookmarkStart w:id="263" w:name="_Toc97531507"/>
            <w:r>
              <w:rPr>
                <w:snapToGrid w:val="0"/>
              </w:rPr>
              <w:t>438</w:t>
            </w:r>
            <w:bookmarkEnd w:id="263"/>
          </w:p>
        </w:tc>
        <w:tc>
          <w:tcPr>
            <w:tcW w:w="742" w:type="dxa"/>
          </w:tcPr>
          <w:p w:rsidR="00000000" w:rsidRDefault="00000000">
            <w:pPr>
              <w:jc w:val="right"/>
              <w:rPr>
                <w:snapToGrid w:val="0"/>
              </w:rPr>
            </w:pPr>
            <w:bookmarkStart w:id="264" w:name="_Toc97531508"/>
            <w:r>
              <w:rPr>
                <w:snapToGrid w:val="0"/>
              </w:rPr>
              <w:t>65</w:t>
            </w:r>
            <w:bookmarkEnd w:id="264"/>
          </w:p>
        </w:tc>
        <w:tc>
          <w:tcPr>
            <w:tcW w:w="1000" w:type="dxa"/>
          </w:tcPr>
          <w:p w:rsidR="00000000" w:rsidRDefault="00000000">
            <w:pPr>
              <w:jc w:val="right"/>
              <w:rPr>
                <w:snapToGrid w:val="0"/>
              </w:rPr>
            </w:pPr>
            <w:bookmarkStart w:id="265" w:name="_Toc97531509"/>
            <w:r>
              <w:rPr>
                <w:snapToGrid w:val="0"/>
              </w:rPr>
              <w:t>416</w:t>
            </w:r>
            <w:bookmarkEnd w:id="265"/>
          </w:p>
        </w:tc>
        <w:tc>
          <w:tcPr>
            <w:tcW w:w="900" w:type="dxa"/>
          </w:tcPr>
          <w:p w:rsidR="00000000" w:rsidRDefault="00000000">
            <w:pPr>
              <w:jc w:val="right"/>
              <w:rPr>
                <w:snapToGrid w:val="0"/>
              </w:rPr>
            </w:pPr>
            <w:bookmarkStart w:id="266" w:name="_Toc97531510"/>
            <w:r>
              <w:rPr>
                <w:snapToGrid w:val="0"/>
              </w:rPr>
              <w:t>19043</w:t>
            </w:r>
            <w:bookmarkEnd w:id="266"/>
          </w:p>
        </w:tc>
      </w:tr>
      <w:tr w:rsidR="00000000">
        <w:tblPrEx>
          <w:tblCellMar>
            <w:top w:w="0" w:type="dxa"/>
            <w:bottom w:w="0" w:type="dxa"/>
          </w:tblCellMar>
        </w:tblPrEx>
        <w:trPr>
          <w:trHeight w:val="193"/>
          <w:jc w:val="center"/>
        </w:trPr>
        <w:tc>
          <w:tcPr>
            <w:tcW w:w="1134" w:type="dxa"/>
          </w:tcPr>
          <w:p w:rsidR="00000000" w:rsidRDefault="00000000">
            <w:pPr>
              <w:rPr>
                <w:snapToGrid w:val="0"/>
              </w:rPr>
            </w:pPr>
            <w:bookmarkStart w:id="267" w:name="_Toc97531511"/>
            <w:r>
              <w:rPr>
                <w:snapToGrid w:val="0"/>
              </w:rPr>
              <w:t>1992</w:t>
            </w:r>
            <w:bookmarkEnd w:id="267"/>
          </w:p>
        </w:tc>
        <w:tc>
          <w:tcPr>
            <w:tcW w:w="962" w:type="dxa"/>
          </w:tcPr>
          <w:p w:rsidR="00000000" w:rsidRDefault="00000000">
            <w:pPr>
              <w:jc w:val="right"/>
              <w:rPr>
                <w:snapToGrid w:val="0"/>
              </w:rPr>
            </w:pPr>
            <w:bookmarkStart w:id="268" w:name="_Toc97531512"/>
            <w:r>
              <w:rPr>
                <w:snapToGrid w:val="0"/>
              </w:rPr>
              <w:t>5980</w:t>
            </w:r>
            <w:bookmarkEnd w:id="268"/>
          </w:p>
        </w:tc>
        <w:tc>
          <w:tcPr>
            <w:tcW w:w="960" w:type="dxa"/>
          </w:tcPr>
          <w:p w:rsidR="00000000" w:rsidRDefault="00000000">
            <w:pPr>
              <w:jc w:val="right"/>
              <w:rPr>
                <w:snapToGrid w:val="0"/>
              </w:rPr>
            </w:pPr>
            <w:bookmarkStart w:id="269" w:name="_Toc97531513"/>
            <w:r>
              <w:rPr>
                <w:snapToGrid w:val="0"/>
              </w:rPr>
              <w:t>248</w:t>
            </w:r>
            <w:bookmarkEnd w:id="269"/>
          </w:p>
        </w:tc>
        <w:tc>
          <w:tcPr>
            <w:tcW w:w="720" w:type="dxa"/>
          </w:tcPr>
          <w:p w:rsidR="00000000" w:rsidRDefault="00000000">
            <w:pPr>
              <w:jc w:val="right"/>
              <w:rPr>
                <w:snapToGrid w:val="0"/>
              </w:rPr>
            </w:pPr>
            <w:bookmarkStart w:id="270" w:name="_Toc97531514"/>
            <w:r>
              <w:rPr>
                <w:snapToGrid w:val="0"/>
              </w:rPr>
              <w:t>7</w:t>
            </w:r>
            <w:bookmarkEnd w:id="270"/>
          </w:p>
        </w:tc>
        <w:tc>
          <w:tcPr>
            <w:tcW w:w="960" w:type="dxa"/>
          </w:tcPr>
          <w:p w:rsidR="00000000" w:rsidRDefault="00000000">
            <w:pPr>
              <w:jc w:val="right"/>
              <w:rPr>
                <w:snapToGrid w:val="0"/>
              </w:rPr>
            </w:pPr>
            <w:bookmarkStart w:id="271" w:name="_Toc97531515"/>
            <w:r>
              <w:rPr>
                <w:snapToGrid w:val="0"/>
              </w:rPr>
              <w:t>66</w:t>
            </w:r>
            <w:bookmarkEnd w:id="271"/>
          </w:p>
        </w:tc>
        <w:tc>
          <w:tcPr>
            <w:tcW w:w="1032" w:type="dxa"/>
          </w:tcPr>
          <w:p w:rsidR="00000000" w:rsidRDefault="00000000">
            <w:pPr>
              <w:jc w:val="right"/>
              <w:rPr>
                <w:snapToGrid w:val="0"/>
              </w:rPr>
            </w:pPr>
            <w:bookmarkStart w:id="272" w:name="_Toc97531516"/>
            <w:r>
              <w:rPr>
                <w:snapToGrid w:val="0"/>
              </w:rPr>
              <w:t>11220</w:t>
            </w:r>
            <w:bookmarkEnd w:id="272"/>
          </w:p>
        </w:tc>
        <w:tc>
          <w:tcPr>
            <w:tcW w:w="1035" w:type="dxa"/>
          </w:tcPr>
          <w:p w:rsidR="00000000" w:rsidRDefault="00000000">
            <w:pPr>
              <w:jc w:val="right"/>
              <w:rPr>
                <w:snapToGrid w:val="0"/>
              </w:rPr>
            </w:pPr>
            <w:bookmarkStart w:id="273" w:name="_Toc97531517"/>
            <w:r>
              <w:rPr>
                <w:snapToGrid w:val="0"/>
              </w:rPr>
              <w:t>450</w:t>
            </w:r>
            <w:bookmarkEnd w:id="273"/>
          </w:p>
        </w:tc>
        <w:tc>
          <w:tcPr>
            <w:tcW w:w="742" w:type="dxa"/>
          </w:tcPr>
          <w:p w:rsidR="00000000" w:rsidRDefault="00000000">
            <w:pPr>
              <w:jc w:val="right"/>
              <w:rPr>
                <w:snapToGrid w:val="0"/>
              </w:rPr>
            </w:pPr>
            <w:bookmarkStart w:id="274" w:name="_Toc97531518"/>
            <w:r>
              <w:rPr>
                <w:snapToGrid w:val="0"/>
              </w:rPr>
              <w:t>57</w:t>
            </w:r>
            <w:bookmarkEnd w:id="274"/>
          </w:p>
        </w:tc>
        <w:tc>
          <w:tcPr>
            <w:tcW w:w="1000" w:type="dxa"/>
          </w:tcPr>
          <w:p w:rsidR="00000000" w:rsidRDefault="00000000">
            <w:pPr>
              <w:jc w:val="right"/>
              <w:rPr>
                <w:snapToGrid w:val="0"/>
              </w:rPr>
            </w:pPr>
            <w:bookmarkStart w:id="275" w:name="_Toc97531519"/>
            <w:r>
              <w:rPr>
                <w:snapToGrid w:val="0"/>
              </w:rPr>
              <w:t>342</w:t>
            </w:r>
            <w:bookmarkEnd w:id="275"/>
          </w:p>
        </w:tc>
        <w:tc>
          <w:tcPr>
            <w:tcW w:w="900" w:type="dxa"/>
          </w:tcPr>
          <w:p w:rsidR="00000000" w:rsidRDefault="00000000">
            <w:pPr>
              <w:jc w:val="right"/>
              <w:rPr>
                <w:snapToGrid w:val="0"/>
              </w:rPr>
            </w:pPr>
            <w:bookmarkStart w:id="276" w:name="_Toc97531520"/>
            <w:r>
              <w:rPr>
                <w:snapToGrid w:val="0"/>
              </w:rPr>
              <w:t>18370</w:t>
            </w:r>
            <w:bookmarkEnd w:id="276"/>
          </w:p>
        </w:tc>
      </w:tr>
      <w:tr w:rsidR="00000000">
        <w:tblPrEx>
          <w:tblCellMar>
            <w:top w:w="0" w:type="dxa"/>
            <w:bottom w:w="0" w:type="dxa"/>
          </w:tblCellMar>
        </w:tblPrEx>
        <w:trPr>
          <w:trHeight w:val="188"/>
          <w:jc w:val="center"/>
        </w:trPr>
        <w:tc>
          <w:tcPr>
            <w:tcW w:w="1134" w:type="dxa"/>
          </w:tcPr>
          <w:p w:rsidR="00000000" w:rsidRDefault="00000000">
            <w:pPr>
              <w:rPr>
                <w:snapToGrid w:val="0"/>
              </w:rPr>
            </w:pPr>
            <w:bookmarkStart w:id="277" w:name="_Toc97531521"/>
            <w:r>
              <w:rPr>
                <w:snapToGrid w:val="0"/>
              </w:rPr>
              <w:t>1993</w:t>
            </w:r>
            <w:bookmarkEnd w:id="277"/>
          </w:p>
        </w:tc>
        <w:tc>
          <w:tcPr>
            <w:tcW w:w="962" w:type="dxa"/>
          </w:tcPr>
          <w:p w:rsidR="00000000" w:rsidRDefault="00000000">
            <w:pPr>
              <w:jc w:val="right"/>
              <w:rPr>
                <w:snapToGrid w:val="0"/>
              </w:rPr>
            </w:pPr>
            <w:bookmarkStart w:id="278" w:name="_Toc97531522"/>
            <w:r>
              <w:rPr>
                <w:snapToGrid w:val="0"/>
              </w:rPr>
              <w:t>6226</w:t>
            </w:r>
            <w:bookmarkEnd w:id="278"/>
          </w:p>
        </w:tc>
        <w:tc>
          <w:tcPr>
            <w:tcW w:w="960" w:type="dxa"/>
          </w:tcPr>
          <w:p w:rsidR="00000000" w:rsidRDefault="00000000">
            <w:pPr>
              <w:jc w:val="right"/>
              <w:rPr>
                <w:snapToGrid w:val="0"/>
              </w:rPr>
            </w:pPr>
            <w:bookmarkStart w:id="279" w:name="_Toc97531523"/>
            <w:r>
              <w:rPr>
                <w:snapToGrid w:val="0"/>
              </w:rPr>
              <w:t>153</w:t>
            </w:r>
            <w:bookmarkEnd w:id="279"/>
          </w:p>
        </w:tc>
        <w:tc>
          <w:tcPr>
            <w:tcW w:w="720" w:type="dxa"/>
          </w:tcPr>
          <w:p w:rsidR="00000000" w:rsidRDefault="00000000">
            <w:pPr>
              <w:jc w:val="right"/>
              <w:rPr>
                <w:snapToGrid w:val="0"/>
              </w:rPr>
            </w:pPr>
            <w:bookmarkStart w:id="280" w:name="_Toc97531524"/>
            <w:r>
              <w:rPr>
                <w:snapToGrid w:val="0"/>
              </w:rPr>
              <w:t>17</w:t>
            </w:r>
            <w:bookmarkEnd w:id="280"/>
          </w:p>
        </w:tc>
        <w:tc>
          <w:tcPr>
            <w:tcW w:w="960" w:type="dxa"/>
          </w:tcPr>
          <w:p w:rsidR="00000000" w:rsidRDefault="00000000">
            <w:pPr>
              <w:jc w:val="right"/>
              <w:rPr>
                <w:snapToGrid w:val="0"/>
              </w:rPr>
            </w:pPr>
            <w:bookmarkStart w:id="281" w:name="_Toc97531525"/>
            <w:r>
              <w:rPr>
                <w:snapToGrid w:val="0"/>
              </w:rPr>
              <w:t>47</w:t>
            </w:r>
            <w:bookmarkEnd w:id="281"/>
          </w:p>
        </w:tc>
        <w:tc>
          <w:tcPr>
            <w:tcW w:w="1032" w:type="dxa"/>
          </w:tcPr>
          <w:p w:rsidR="00000000" w:rsidRDefault="00000000">
            <w:pPr>
              <w:jc w:val="right"/>
              <w:rPr>
                <w:snapToGrid w:val="0"/>
              </w:rPr>
            </w:pPr>
            <w:bookmarkStart w:id="282" w:name="_Toc97531526"/>
            <w:r>
              <w:rPr>
                <w:snapToGrid w:val="0"/>
              </w:rPr>
              <w:t>13446</w:t>
            </w:r>
            <w:bookmarkEnd w:id="282"/>
          </w:p>
        </w:tc>
        <w:tc>
          <w:tcPr>
            <w:tcW w:w="1035" w:type="dxa"/>
          </w:tcPr>
          <w:p w:rsidR="00000000" w:rsidRDefault="00000000">
            <w:pPr>
              <w:jc w:val="right"/>
              <w:rPr>
                <w:snapToGrid w:val="0"/>
              </w:rPr>
            </w:pPr>
            <w:bookmarkStart w:id="283" w:name="_Toc97531527"/>
            <w:r>
              <w:rPr>
                <w:snapToGrid w:val="0"/>
              </w:rPr>
              <w:t>559</w:t>
            </w:r>
            <w:bookmarkEnd w:id="283"/>
          </w:p>
        </w:tc>
        <w:tc>
          <w:tcPr>
            <w:tcW w:w="742" w:type="dxa"/>
          </w:tcPr>
          <w:p w:rsidR="00000000" w:rsidRDefault="00000000">
            <w:pPr>
              <w:jc w:val="right"/>
              <w:rPr>
                <w:snapToGrid w:val="0"/>
              </w:rPr>
            </w:pPr>
            <w:bookmarkStart w:id="284" w:name="_Toc97531528"/>
            <w:r>
              <w:rPr>
                <w:snapToGrid w:val="0"/>
              </w:rPr>
              <w:t>45</w:t>
            </w:r>
            <w:bookmarkEnd w:id="284"/>
          </w:p>
        </w:tc>
        <w:tc>
          <w:tcPr>
            <w:tcW w:w="1000" w:type="dxa"/>
          </w:tcPr>
          <w:p w:rsidR="00000000" w:rsidRDefault="00000000">
            <w:pPr>
              <w:jc w:val="right"/>
              <w:rPr>
                <w:snapToGrid w:val="0"/>
              </w:rPr>
            </w:pPr>
            <w:bookmarkStart w:id="285" w:name="_Toc97531529"/>
            <w:r>
              <w:rPr>
                <w:snapToGrid w:val="0"/>
              </w:rPr>
              <w:t>400</w:t>
            </w:r>
            <w:bookmarkEnd w:id="285"/>
          </w:p>
        </w:tc>
        <w:tc>
          <w:tcPr>
            <w:tcW w:w="900" w:type="dxa"/>
          </w:tcPr>
          <w:p w:rsidR="00000000" w:rsidRDefault="00000000">
            <w:pPr>
              <w:jc w:val="right"/>
              <w:rPr>
                <w:snapToGrid w:val="0"/>
              </w:rPr>
            </w:pPr>
            <w:bookmarkStart w:id="286" w:name="_Toc97531530"/>
            <w:r>
              <w:rPr>
                <w:snapToGrid w:val="0"/>
              </w:rPr>
              <w:t>21658</w:t>
            </w:r>
            <w:bookmarkEnd w:id="286"/>
          </w:p>
        </w:tc>
      </w:tr>
      <w:tr w:rsidR="00000000">
        <w:tblPrEx>
          <w:tblCellMar>
            <w:top w:w="0" w:type="dxa"/>
            <w:bottom w:w="0" w:type="dxa"/>
          </w:tblCellMar>
        </w:tblPrEx>
        <w:trPr>
          <w:trHeight w:val="185"/>
          <w:jc w:val="center"/>
        </w:trPr>
        <w:tc>
          <w:tcPr>
            <w:tcW w:w="1134" w:type="dxa"/>
          </w:tcPr>
          <w:p w:rsidR="00000000" w:rsidRDefault="00000000">
            <w:pPr>
              <w:rPr>
                <w:snapToGrid w:val="0"/>
              </w:rPr>
            </w:pPr>
            <w:bookmarkStart w:id="287" w:name="_Toc97531531"/>
            <w:r>
              <w:rPr>
                <w:snapToGrid w:val="0"/>
              </w:rPr>
              <w:t>1994</w:t>
            </w:r>
            <w:bookmarkEnd w:id="287"/>
          </w:p>
        </w:tc>
        <w:tc>
          <w:tcPr>
            <w:tcW w:w="962" w:type="dxa"/>
          </w:tcPr>
          <w:p w:rsidR="00000000" w:rsidRDefault="00000000">
            <w:pPr>
              <w:jc w:val="right"/>
              <w:rPr>
                <w:snapToGrid w:val="0"/>
              </w:rPr>
            </w:pPr>
            <w:bookmarkStart w:id="288" w:name="_Toc97531532"/>
            <w:r>
              <w:rPr>
                <w:snapToGrid w:val="0"/>
              </w:rPr>
              <w:t>7012</w:t>
            </w:r>
            <w:bookmarkEnd w:id="288"/>
          </w:p>
        </w:tc>
        <w:tc>
          <w:tcPr>
            <w:tcW w:w="960" w:type="dxa"/>
          </w:tcPr>
          <w:p w:rsidR="00000000" w:rsidRDefault="00000000">
            <w:pPr>
              <w:jc w:val="right"/>
              <w:rPr>
                <w:snapToGrid w:val="0"/>
              </w:rPr>
            </w:pPr>
            <w:bookmarkStart w:id="289" w:name="_Toc97531533"/>
            <w:r>
              <w:rPr>
                <w:snapToGrid w:val="0"/>
              </w:rPr>
              <w:t>202</w:t>
            </w:r>
            <w:bookmarkEnd w:id="289"/>
          </w:p>
        </w:tc>
        <w:tc>
          <w:tcPr>
            <w:tcW w:w="720" w:type="dxa"/>
          </w:tcPr>
          <w:p w:rsidR="00000000" w:rsidRDefault="00000000">
            <w:pPr>
              <w:jc w:val="right"/>
              <w:rPr>
                <w:snapToGrid w:val="0"/>
              </w:rPr>
            </w:pPr>
            <w:bookmarkStart w:id="290" w:name="_Toc97531534"/>
            <w:r>
              <w:rPr>
                <w:snapToGrid w:val="0"/>
              </w:rPr>
              <w:t>6</w:t>
            </w:r>
            <w:bookmarkEnd w:id="290"/>
          </w:p>
        </w:tc>
        <w:tc>
          <w:tcPr>
            <w:tcW w:w="960" w:type="dxa"/>
          </w:tcPr>
          <w:p w:rsidR="00000000" w:rsidRDefault="00000000">
            <w:pPr>
              <w:jc w:val="right"/>
              <w:rPr>
                <w:snapToGrid w:val="0"/>
              </w:rPr>
            </w:pPr>
            <w:bookmarkStart w:id="291" w:name="_Toc97531535"/>
            <w:r>
              <w:rPr>
                <w:snapToGrid w:val="0"/>
              </w:rPr>
              <w:t>44</w:t>
            </w:r>
            <w:bookmarkEnd w:id="291"/>
          </w:p>
        </w:tc>
        <w:tc>
          <w:tcPr>
            <w:tcW w:w="1032" w:type="dxa"/>
          </w:tcPr>
          <w:p w:rsidR="00000000" w:rsidRDefault="00000000">
            <w:pPr>
              <w:jc w:val="right"/>
              <w:rPr>
                <w:snapToGrid w:val="0"/>
              </w:rPr>
            </w:pPr>
            <w:bookmarkStart w:id="292" w:name="_Toc97531536"/>
            <w:r>
              <w:rPr>
                <w:snapToGrid w:val="0"/>
              </w:rPr>
              <w:t>13372</w:t>
            </w:r>
            <w:bookmarkEnd w:id="292"/>
          </w:p>
        </w:tc>
        <w:tc>
          <w:tcPr>
            <w:tcW w:w="1035" w:type="dxa"/>
          </w:tcPr>
          <w:p w:rsidR="00000000" w:rsidRDefault="00000000">
            <w:pPr>
              <w:jc w:val="right"/>
              <w:rPr>
                <w:snapToGrid w:val="0"/>
              </w:rPr>
            </w:pPr>
            <w:bookmarkStart w:id="293" w:name="_Toc97531537"/>
            <w:r>
              <w:rPr>
                <w:snapToGrid w:val="0"/>
              </w:rPr>
              <w:t>562</w:t>
            </w:r>
            <w:bookmarkEnd w:id="293"/>
          </w:p>
        </w:tc>
        <w:tc>
          <w:tcPr>
            <w:tcW w:w="742" w:type="dxa"/>
          </w:tcPr>
          <w:p w:rsidR="00000000" w:rsidRDefault="00000000">
            <w:pPr>
              <w:jc w:val="right"/>
              <w:rPr>
                <w:snapToGrid w:val="0"/>
              </w:rPr>
            </w:pPr>
            <w:bookmarkStart w:id="294" w:name="_Toc97531538"/>
            <w:r>
              <w:rPr>
                <w:snapToGrid w:val="0"/>
              </w:rPr>
              <w:t>79</w:t>
            </w:r>
            <w:bookmarkEnd w:id="294"/>
          </w:p>
        </w:tc>
        <w:tc>
          <w:tcPr>
            <w:tcW w:w="1000" w:type="dxa"/>
          </w:tcPr>
          <w:p w:rsidR="00000000" w:rsidRDefault="00000000">
            <w:pPr>
              <w:jc w:val="right"/>
              <w:rPr>
                <w:snapToGrid w:val="0"/>
              </w:rPr>
            </w:pPr>
            <w:bookmarkStart w:id="295" w:name="_Toc97531539"/>
            <w:r>
              <w:rPr>
                <w:snapToGrid w:val="0"/>
              </w:rPr>
              <w:t>381</w:t>
            </w:r>
            <w:bookmarkEnd w:id="295"/>
          </w:p>
        </w:tc>
        <w:tc>
          <w:tcPr>
            <w:tcW w:w="900" w:type="dxa"/>
          </w:tcPr>
          <w:p w:rsidR="00000000" w:rsidRDefault="00000000">
            <w:pPr>
              <w:jc w:val="right"/>
              <w:rPr>
                <w:snapToGrid w:val="0"/>
              </w:rPr>
            </w:pPr>
            <w:bookmarkStart w:id="296" w:name="_Toc97531540"/>
            <w:r>
              <w:rPr>
                <w:snapToGrid w:val="0"/>
              </w:rPr>
              <w:t>21658</w:t>
            </w:r>
            <w:bookmarkEnd w:id="296"/>
          </w:p>
        </w:tc>
      </w:tr>
      <w:tr w:rsidR="00000000">
        <w:tblPrEx>
          <w:tblCellMar>
            <w:top w:w="0" w:type="dxa"/>
            <w:bottom w:w="0" w:type="dxa"/>
          </w:tblCellMar>
        </w:tblPrEx>
        <w:trPr>
          <w:trHeight w:val="181"/>
          <w:jc w:val="center"/>
        </w:trPr>
        <w:tc>
          <w:tcPr>
            <w:tcW w:w="1134" w:type="dxa"/>
          </w:tcPr>
          <w:p w:rsidR="00000000" w:rsidRDefault="00000000">
            <w:pPr>
              <w:rPr>
                <w:snapToGrid w:val="0"/>
              </w:rPr>
            </w:pPr>
            <w:bookmarkStart w:id="297" w:name="_Toc97531541"/>
            <w:r>
              <w:rPr>
                <w:snapToGrid w:val="0"/>
              </w:rPr>
              <w:t>1995</w:t>
            </w:r>
            <w:bookmarkEnd w:id="297"/>
          </w:p>
        </w:tc>
        <w:tc>
          <w:tcPr>
            <w:tcW w:w="962" w:type="dxa"/>
          </w:tcPr>
          <w:p w:rsidR="00000000" w:rsidRDefault="00000000">
            <w:pPr>
              <w:jc w:val="right"/>
              <w:rPr>
                <w:snapToGrid w:val="0"/>
              </w:rPr>
            </w:pPr>
            <w:bookmarkStart w:id="298" w:name="_Toc97531542"/>
            <w:r>
              <w:rPr>
                <w:snapToGrid w:val="0"/>
              </w:rPr>
              <w:t>6616</w:t>
            </w:r>
            <w:bookmarkEnd w:id="298"/>
          </w:p>
        </w:tc>
        <w:tc>
          <w:tcPr>
            <w:tcW w:w="960" w:type="dxa"/>
          </w:tcPr>
          <w:p w:rsidR="00000000" w:rsidRDefault="00000000">
            <w:pPr>
              <w:jc w:val="right"/>
              <w:rPr>
                <w:snapToGrid w:val="0"/>
              </w:rPr>
            </w:pPr>
            <w:bookmarkStart w:id="299" w:name="_Toc97531543"/>
            <w:r>
              <w:rPr>
                <w:snapToGrid w:val="0"/>
              </w:rPr>
              <w:t>184</w:t>
            </w:r>
            <w:bookmarkEnd w:id="299"/>
          </w:p>
        </w:tc>
        <w:tc>
          <w:tcPr>
            <w:tcW w:w="720" w:type="dxa"/>
          </w:tcPr>
          <w:p w:rsidR="00000000" w:rsidRDefault="00000000">
            <w:pPr>
              <w:jc w:val="right"/>
              <w:rPr>
                <w:snapToGrid w:val="0"/>
              </w:rPr>
            </w:pPr>
            <w:bookmarkStart w:id="300" w:name="_Toc97531544"/>
            <w:r>
              <w:rPr>
                <w:snapToGrid w:val="0"/>
              </w:rPr>
              <w:t>1</w:t>
            </w:r>
            <w:bookmarkEnd w:id="300"/>
          </w:p>
        </w:tc>
        <w:tc>
          <w:tcPr>
            <w:tcW w:w="960" w:type="dxa"/>
          </w:tcPr>
          <w:p w:rsidR="00000000" w:rsidRDefault="00000000">
            <w:pPr>
              <w:jc w:val="right"/>
              <w:rPr>
                <w:snapToGrid w:val="0"/>
              </w:rPr>
            </w:pPr>
            <w:bookmarkStart w:id="301" w:name="_Toc97531545"/>
            <w:r>
              <w:rPr>
                <w:snapToGrid w:val="0"/>
              </w:rPr>
              <w:t>34</w:t>
            </w:r>
            <w:bookmarkEnd w:id="301"/>
          </w:p>
        </w:tc>
        <w:tc>
          <w:tcPr>
            <w:tcW w:w="1032" w:type="dxa"/>
          </w:tcPr>
          <w:p w:rsidR="00000000" w:rsidRDefault="00000000">
            <w:pPr>
              <w:jc w:val="right"/>
              <w:rPr>
                <w:snapToGrid w:val="0"/>
              </w:rPr>
            </w:pPr>
            <w:bookmarkStart w:id="302" w:name="_Toc97531546"/>
            <w:r>
              <w:rPr>
                <w:snapToGrid w:val="0"/>
              </w:rPr>
              <w:t>14133</w:t>
            </w:r>
            <w:bookmarkEnd w:id="302"/>
          </w:p>
        </w:tc>
        <w:tc>
          <w:tcPr>
            <w:tcW w:w="1035" w:type="dxa"/>
          </w:tcPr>
          <w:p w:rsidR="00000000" w:rsidRDefault="00000000">
            <w:pPr>
              <w:jc w:val="right"/>
              <w:rPr>
                <w:snapToGrid w:val="0"/>
              </w:rPr>
            </w:pPr>
            <w:bookmarkStart w:id="303" w:name="_Toc97531547"/>
            <w:r>
              <w:rPr>
                <w:snapToGrid w:val="0"/>
              </w:rPr>
              <w:t>613</w:t>
            </w:r>
            <w:bookmarkEnd w:id="303"/>
          </w:p>
        </w:tc>
        <w:tc>
          <w:tcPr>
            <w:tcW w:w="742" w:type="dxa"/>
          </w:tcPr>
          <w:p w:rsidR="00000000" w:rsidRDefault="00000000">
            <w:pPr>
              <w:jc w:val="right"/>
              <w:rPr>
                <w:snapToGrid w:val="0"/>
              </w:rPr>
            </w:pPr>
            <w:bookmarkStart w:id="304" w:name="_Toc97531548"/>
            <w:r>
              <w:rPr>
                <w:snapToGrid w:val="0"/>
              </w:rPr>
              <w:t>69</w:t>
            </w:r>
            <w:bookmarkEnd w:id="304"/>
          </w:p>
        </w:tc>
        <w:tc>
          <w:tcPr>
            <w:tcW w:w="1000" w:type="dxa"/>
          </w:tcPr>
          <w:p w:rsidR="00000000" w:rsidRDefault="00000000">
            <w:pPr>
              <w:jc w:val="right"/>
              <w:rPr>
                <w:snapToGrid w:val="0"/>
              </w:rPr>
            </w:pPr>
            <w:bookmarkStart w:id="305" w:name="_Toc97531549"/>
            <w:r>
              <w:rPr>
                <w:snapToGrid w:val="0"/>
              </w:rPr>
              <w:t>556</w:t>
            </w:r>
            <w:bookmarkEnd w:id="305"/>
          </w:p>
        </w:tc>
        <w:tc>
          <w:tcPr>
            <w:tcW w:w="900" w:type="dxa"/>
          </w:tcPr>
          <w:p w:rsidR="00000000" w:rsidRDefault="00000000">
            <w:pPr>
              <w:jc w:val="right"/>
              <w:rPr>
                <w:snapToGrid w:val="0"/>
              </w:rPr>
            </w:pPr>
            <w:bookmarkStart w:id="306" w:name="_Toc97531550"/>
            <w:r>
              <w:rPr>
                <w:snapToGrid w:val="0"/>
              </w:rPr>
              <w:t>22206</w:t>
            </w:r>
            <w:bookmarkEnd w:id="306"/>
          </w:p>
        </w:tc>
      </w:tr>
      <w:tr w:rsidR="00000000">
        <w:tblPrEx>
          <w:tblCellMar>
            <w:top w:w="0" w:type="dxa"/>
            <w:bottom w:w="0" w:type="dxa"/>
          </w:tblCellMar>
        </w:tblPrEx>
        <w:trPr>
          <w:trHeight w:val="176"/>
          <w:jc w:val="center"/>
        </w:trPr>
        <w:tc>
          <w:tcPr>
            <w:tcW w:w="1134" w:type="dxa"/>
          </w:tcPr>
          <w:p w:rsidR="00000000" w:rsidRDefault="00000000">
            <w:pPr>
              <w:rPr>
                <w:snapToGrid w:val="0"/>
              </w:rPr>
            </w:pPr>
            <w:bookmarkStart w:id="307" w:name="_Toc97531551"/>
            <w:r>
              <w:rPr>
                <w:snapToGrid w:val="0"/>
              </w:rPr>
              <w:t>1996</w:t>
            </w:r>
            <w:bookmarkEnd w:id="307"/>
          </w:p>
        </w:tc>
        <w:tc>
          <w:tcPr>
            <w:tcW w:w="962" w:type="dxa"/>
          </w:tcPr>
          <w:p w:rsidR="00000000" w:rsidRDefault="00000000">
            <w:pPr>
              <w:jc w:val="right"/>
              <w:rPr>
                <w:snapToGrid w:val="0"/>
              </w:rPr>
            </w:pPr>
            <w:bookmarkStart w:id="308" w:name="_Toc97531552"/>
            <w:r>
              <w:rPr>
                <w:snapToGrid w:val="0"/>
              </w:rPr>
              <w:t>7455</w:t>
            </w:r>
            <w:bookmarkEnd w:id="308"/>
          </w:p>
        </w:tc>
        <w:tc>
          <w:tcPr>
            <w:tcW w:w="960" w:type="dxa"/>
          </w:tcPr>
          <w:p w:rsidR="00000000" w:rsidRDefault="00000000">
            <w:pPr>
              <w:jc w:val="right"/>
              <w:rPr>
                <w:snapToGrid w:val="0"/>
              </w:rPr>
            </w:pPr>
            <w:bookmarkStart w:id="309" w:name="_Toc97531553"/>
            <w:r>
              <w:rPr>
                <w:snapToGrid w:val="0"/>
              </w:rPr>
              <w:t>261</w:t>
            </w:r>
            <w:bookmarkEnd w:id="309"/>
          </w:p>
        </w:tc>
        <w:tc>
          <w:tcPr>
            <w:tcW w:w="720" w:type="dxa"/>
          </w:tcPr>
          <w:p w:rsidR="00000000" w:rsidRDefault="00000000">
            <w:pPr>
              <w:jc w:val="right"/>
              <w:rPr>
                <w:snapToGrid w:val="0"/>
              </w:rPr>
            </w:pPr>
            <w:bookmarkStart w:id="310" w:name="_Toc97531554"/>
            <w:r>
              <w:rPr>
                <w:snapToGrid w:val="0"/>
              </w:rPr>
              <w:t>4</w:t>
            </w:r>
            <w:bookmarkEnd w:id="310"/>
          </w:p>
        </w:tc>
        <w:tc>
          <w:tcPr>
            <w:tcW w:w="960" w:type="dxa"/>
          </w:tcPr>
          <w:p w:rsidR="00000000" w:rsidRDefault="00000000">
            <w:pPr>
              <w:jc w:val="right"/>
              <w:rPr>
                <w:snapToGrid w:val="0"/>
              </w:rPr>
            </w:pPr>
            <w:bookmarkStart w:id="311" w:name="_Toc97531555"/>
            <w:r>
              <w:rPr>
                <w:snapToGrid w:val="0"/>
              </w:rPr>
              <w:t>33</w:t>
            </w:r>
            <w:bookmarkEnd w:id="311"/>
          </w:p>
        </w:tc>
        <w:tc>
          <w:tcPr>
            <w:tcW w:w="1032" w:type="dxa"/>
          </w:tcPr>
          <w:p w:rsidR="00000000" w:rsidRDefault="00000000">
            <w:pPr>
              <w:jc w:val="right"/>
              <w:rPr>
                <w:snapToGrid w:val="0"/>
              </w:rPr>
            </w:pPr>
            <w:bookmarkStart w:id="312" w:name="_Toc97531556"/>
            <w:r>
              <w:rPr>
                <w:snapToGrid w:val="0"/>
              </w:rPr>
              <w:t>12410</w:t>
            </w:r>
            <w:bookmarkEnd w:id="312"/>
          </w:p>
        </w:tc>
        <w:tc>
          <w:tcPr>
            <w:tcW w:w="1035" w:type="dxa"/>
          </w:tcPr>
          <w:p w:rsidR="00000000" w:rsidRDefault="00000000">
            <w:pPr>
              <w:jc w:val="right"/>
              <w:rPr>
                <w:snapToGrid w:val="0"/>
              </w:rPr>
            </w:pPr>
            <w:bookmarkStart w:id="313" w:name="_Toc97531557"/>
            <w:r>
              <w:rPr>
                <w:snapToGrid w:val="0"/>
              </w:rPr>
              <w:t>532</w:t>
            </w:r>
            <w:bookmarkEnd w:id="313"/>
          </w:p>
        </w:tc>
        <w:tc>
          <w:tcPr>
            <w:tcW w:w="742" w:type="dxa"/>
          </w:tcPr>
          <w:p w:rsidR="00000000" w:rsidRDefault="00000000">
            <w:pPr>
              <w:jc w:val="right"/>
              <w:rPr>
                <w:snapToGrid w:val="0"/>
              </w:rPr>
            </w:pPr>
            <w:bookmarkStart w:id="314" w:name="_Toc97531558"/>
            <w:r>
              <w:rPr>
                <w:snapToGrid w:val="0"/>
              </w:rPr>
              <w:t>35</w:t>
            </w:r>
            <w:bookmarkEnd w:id="314"/>
          </w:p>
        </w:tc>
        <w:tc>
          <w:tcPr>
            <w:tcW w:w="1000" w:type="dxa"/>
          </w:tcPr>
          <w:p w:rsidR="00000000" w:rsidRDefault="00000000">
            <w:pPr>
              <w:jc w:val="right"/>
              <w:rPr>
                <w:snapToGrid w:val="0"/>
              </w:rPr>
            </w:pPr>
            <w:bookmarkStart w:id="315" w:name="_Toc97531559"/>
            <w:r>
              <w:rPr>
                <w:snapToGrid w:val="0"/>
              </w:rPr>
              <w:t>483</w:t>
            </w:r>
            <w:bookmarkEnd w:id="315"/>
          </w:p>
        </w:tc>
        <w:tc>
          <w:tcPr>
            <w:tcW w:w="900" w:type="dxa"/>
          </w:tcPr>
          <w:p w:rsidR="00000000" w:rsidRDefault="00000000">
            <w:pPr>
              <w:jc w:val="right"/>
              <w:rPr>
                <w:snapToGrid w:val="0"/>
              </w:rPr>
            </w:pPr>
            <w:bookmarkStart w:id="316" w:name="_Toc97531560"/>
            <w:r>
              <w:rPr>
                <w:snapToGrid w:val="0"/>
              </w:rPr>
              <w:t>21213</w:t>
            </w:r>
            <w:bookmarkEnd w:id="316"/>
          </w:p>
        </w:tc>
      </w:tr>
      <w:tr w:rsidR="00000000">
        <w:tblPrEx>
          <w:tblCellMar>
            <w:top w:w="0" w:type="dxa"/>
            <w:bottom w:w="0" w:type="dxa"/>
          </w:tblCellMar>
        </w:tblPrEx>
        <w:trPr>
          <w:trHeight w:val="159"/>
          <w:jc w:val="center"/>
        </w:trPr>
        <w:tc>
          <w:tcPr>
            <w:tcW w:w="1134" w:type="dxa"/>
          </w:tcPr>
          <w:p w:rsidR="00000000" w:rsidRDefault="00000000">
            <w:pPr>
              <w:rPr>
                <w:snapToGrid w:val="0"/>
              </w:rPr>
            </w:pPr>
            <w:bookmarkStart w:id="317" w:name="_Toc97531561"/>
            <w:r>
              <w:rPr>
                <w:snapToGrid w:val="0"/>
              </w:rPr>
              <w:t>1997</w:t>
            </w:r>
            <w:bookmarkEnd w:id="317"/>
          </w:p>
        </w:tc>
        <w:tc>
          <w:tcPr>
            <w:tcW w:w="962" w:type="dxa"/>
          </w:tcPr>
          <w:p w:rsidR="00000000" w:rsidRDefault="00000000">
            <w:pPr>
              <w:jc w:val="right"/>
              <w:rPr>
                <w:snapToGrid w:val="0"/>
              </w:rPr>
            </w:pPr>
            <w:bookmarkStart w:id="318" w:name="_Toc97531562"/>
            <w:r>
              <w:rPr>
                <w:snapToGrid w:val="0"/>
              </w:rPr>
              <w:t>6667</w:t>
            </w:r>
            <w:bookmarkEnd w:id="318"/>
          </w:p>
        </w:tc>
        <w:tc>
          <w:tcPr>
            <w:tcW w:w="960" w:type="dxa"/>
          </w:tcPr>
          <w:p w:rsidR="00000000" w:rsidRDefault="00000000">
            <w:pPr>
              <w:jc w:val="right"/>
              <w:rPr>
                <w:snapToGrid w:val="0"/>
              </w:rPr>
            </w:pPr>
            <w:bookmarkStart w:id="319" w:name="_Toc97531563"/>
            <w:r>
              <w:rPr>
                <w:snapToGrid w:val="0"/>
              </w:rPr>
              <w:t>252</w:t>
            </w:r>
            <w:bookmarkEnd w:id="319"/>
          </w:p>
        </w:tc>
        <w:tc>
          <w:tcPr>
            <w:tcW w:w="720" w:type="dxa"/>
          </w:tcPr>
          <w:p w:rsidR="00000000" w:rsidRDefault="00000000">
            <w:pPr>
              <w:jc w:val="right"/>
              <w:rPr>
                <w:snapToGrid w:val="0"/>
              </w:rPr>
            </w:pPr>
            <w:bookmarkStart w:id="320" w:name="_Toc97531564"/>
            <w:r>
              <w:rPr>
                <w:snapToGrid w:val="0"/>
              </w:rPr>
              <w:t>2</w:t>
            </w:r>
            <w:bookmarkEnd w:id="320"/>
          </w:p>
        </w:tc>
        <w:tc>
          <w:tcPr>
            <w:tcW w:w="960" w:type="dxa"/>
          </w:tcPr>
          <w:p w:rsidR="00000000" w:rsidRDefault="00000000">
            <w:pPr>
              <w:jc w:val="right"/>
              <w:rPr>
                <w:snapToGrid w:val="0"/>
              </w:rPr>
            </w:pPr>
            <w:bookmarkStart w:id="321" w:name="_Toc97531565"/>
            <w:r>
              <w:rPr>
                <w:snapToGrid w:val="0"/>
              </w:rPr>
              <w:t>40</w:t>
            </w:r>
            <w:bookmarkEnd w:id="321"/>
          </w:p>
        </w:tc>
        <w:tc>
          <w:tcPr>
            <w:tcW w:w="1032" w:type="dxa"/>
          </w:tcPr>
          <w:p w:rsidR="00000000" w:rsidRDefault="00000000">
            <w:pPr>
              <w:jc w:val="right"/>
              <w:rPr>
                <w:snapToGrid w:val="0"/>
              </w:rPr>
            </w:pPr>
            <w:bookmarkStart w:id="322" w:name="_Toc97531566"/>
            <w:r>
              <w:rPr>
                <w:snapToGrid w:val="0"/>
              </w:rPr>
              <w:t>11954</w:t>
            </w:r>
            <w:bookmarkEnd w:id="322"/>
          </w:p>
        </w:tc>
        <w:tc>
          <w:tcPr>
            <w:tcW w:w="1035" w:type="dxa"/>
          </w:tcPr>
          <w:p w:rsidR="00000000" w:rsidRDefault="00000000">
            <w:pPr>
              <w:jc w:val="right"/>
              <w:rPr>
                <w:snapToGrid w:val="0"/>
              </w:rPr>
            </w:pPr>
            <w:bookmarkStart w:id="323" w:name="_Toc97531567"/>
            <w:r>
              <w:rPr>
                <w:snapToGrid w:val="0"/>
              </w:rPr>
              <w:t>414</w:t>
            </w:r>
            <w:bookmarkEnd w:id="323"/>
          </w:p>
        </w:tc>
        <w:tc>
          <w:tcPr>
            <w:tcW w:w="742" w:type="dxa"/>
          </w:tcPr>
          <w:p w:rsidR="00000000" w:rsidRDefault="00000000">
            <w:pPr>
              <w:jc w:val="right"/>
              <w:rPr>
                <w:snapToGrid w:val="0"/>
              </w:rPr>
            </w:pPr>
            <w:bookmarkStart w:id="324" w:name="_Toc97531568"/>
            <w:r>
              <w:rPr>
                <w:snapToGrid w:val="0"/>
              </w:rPr>
              <w:t>38</w:t>
            </w:r>
            <w:bookmarkEnd w:id="324"/>
          </w:p>
        </w:tc>
        <w:tc>
          <w:tcPr>
            <w:tcW w:w="1000" w:type="dxa"/>
          </w:tcPr>
          <w:p w:rsidR="00000000" w:rsidRDefault="00000000">
            <w:pPr>
              <w:jc w:val="right"/>
              <w:rPr>
                <w:snapToGrid w:val="0"/>
              </w:rPr>
            </w:pPr>
            <w:bookmarkStart w:id="325" w:name="_Toc97531569"/>
            <w:r>
              <w:rPr>
                <w:snapToGrid w:val="0"/>
              </w:rPr>
              <w:t>376</w:t>
            </w:r>
            <w:bookmarkEnd w:id="325"/>
          </w:p>
        </w:tc>
        <w:tc>
          <w:tcPr>
            <w:tcW w:w="900" w:type="dxa"/>
          </w:tcPr>
          <w:p w:rsidR="00000000" w:rsidRDefault="00000000">
            <w:pPr>
              <w:jc w:val="right"/>
              <w:rPr>
                <w:snapToGrid w:val="0"/>
              </w:rPr>
            </w:pPr>
            <w:bookmarkStart w:id="326" w:name="_Toc97531570"/>
            <w:r>
              <w:rPr>
                <w:snapToGrid w:val="0"/>
              </w:rPr>
              <w:t>19743</w:t>
            </w:r>
            <w:bookmarkEnd w:id="326"/>
          </w:p>
        </w:tc>
      </w:tr>
      <w:tr w:rsidR="00000000">
        <w:tblPrEx>
          <w:tblCellMar>
            <w:top w:w="0" w:type="dxa"/>
            <w:bottom w:w="0" w:type="dxa"/>
          </w:tblCellMar>
        </w:tblPrEx>
        <w:trPr>
          <w:trHeight w:val="168"/>
          <w:jc w:val="center"/>
        </w:trPr>
        <w:tc>
          <w:tcPr>
            <w:tcW w:w="1134" w:type="dxa"/>
          </w:tcPr>
          <w:p w:rsidR="00000000" w:rsidRDefault="00000000">
            <w:pPr>
              <w:rPr>
                <w:snapToGrid w:val="0"/>
              </w:rPr>
            </w:pPr>
            <w:bookmarkStart w:id="327" w:name="_Toc97531571"/>
            <w:r>
              <w:rPr>
                <w:snapToGrid w:val="0"/>
              </w:rPr>
              <w:t>1998</w:t>
            </w:r>
            <w:bookmarkEnd w:id="327"/>
          </w:p>
        </w:tc>
        <w:tc>
          <w:tcPr>
            <w:tcW w:w="962" w:type="dxa"/>
          </w:tcPr>
          <w:p w:rsidR="00000000" w:rsidRDefault="00000000">
            <w:pPr>
              <w:jc w:val="right"/>
              <w:rPr>
                <w:snapToGrid w:val="0"/>
              </w:rPr>
            </w:pPr>
            <w:bookmarkStart w:id="328" w:name="_Toc97531572"/>
            <w:r>
              <w:rPr>
                <w:snapToGrid w:val="0"/>
              </w:rPr>
              <w:t>6368</w:t>
            </w:r>
            <w:bookmarkEnd w:id="328"/>
          </w:p>
        </w:tc>
        <w:tc>
          <w:tcPr>
            <w:tcW w:w="960" w:type="dxa"/>
          </w:tcPr>
          <w:p w:rsidR="00000000" w:rsidRDefault="00000000">
            <w:pPr>
              <w:jc w:val="right"/>
              <w:rPr>
                <w:snapToGrid w:val="0"/>
              </w:rPr>
            </w:pPr>
            <w:bookmarkStart w:id="329" w:name="_Toc97531573"/>
            <w:r>
              <w:rPr>
                <w:snapToGrid w:val="0"/>
              </w:rPr>
              <w:t>206</w:t>
            </w:r>
            <w:bookmarkEnd w:id="329"/>
          </w:p>
        </w:tc>
        <w:tc>
          <w:tcPr>
            <w:tcW w:w="720" w:type="dxa"/>
          </w:tcPr>
          <w:p w:rsidR="00000000" w:rsidRDefault="00000000">
            <w:pPr>
              <w:jc w:val="right"/>
              <w:rPr>
                <w:snapToGrid w:val="0"/>
              </w:rPr>
            </w:pPr>
            <w:bookmarkStart w:id="330" w:name="_Toc97531574"/>
            <w:r>
              <w:rPr>
                <w:snapToGrid w:val="0"/>
              </w:rPr>
              <w:t>2</w:t>
            </w:r>
            <w:bookmarkEnd w:id="330"/>
          </w:p>
        </w:tc>
        <w:tc>
          <w:tcPr>
            <w:tcW w:w="960" w:type="dxa"/>
          </w:tcPr>
          <w:p w:rsidR="00000000" w:rsidRDefault="00000000">
            <w:pPr>
              <w:jc w:val="right"/>
              <w:rPr>
                <w:snapToGrid w:val="0"/>
              </w:rPr>
            </w:pPr>
            <w:bookmarkStart w:id="331" w:name="_Toc97531575"/>
            <w:r>
              <w:rPr>
                <w:snapToGrid w:val="0"/>
              </w:rPr>
              <w:t>72</w:t>
            </w:r>
            <w:bookmarkEnd w:id="331"/>
          </w:p>
        </w:tc>
        <w:tc>
          <w:tcPr>
            <w:tcW w:w="1032" w:type="dxa"/>
          </w:tcPr>
          <w:p w:rsidR="00000000" w:rsidRDefault="00000000">
            <w:pPr>
              <w:jc w:val="right"/>
              <w:rPr>
                <w:snapToGrid w:val="0"/>
              </w:rPr>
            </w:pPr>
            <w:bookmarkStart w:id="332" w:name="_Toc97531576"/>
            <w:r>
              <w:rPr>
                <w:snapToGrid w:val="0"/>
              </w:rPr>
              <w:t>11698</w:t>
            </w:r>
            <w:bookmarkEnd w:id="332"/>
          </w:p>
        </w:tc>
        <w:tc>
          <w:tcPr>
            <w:tcW w:w="1035" w:type="dxa"/>
          </w:tcPr>
          <w:p w:rsidR="00000000" w:rsidRDefault="00000000">
            <w:pPr>
              <w:jc w:val="right"/>
              <w:rPr>
                <w:snapToGrid w:val="0"/>
              </w:rPr>
            </w:pPr>
            <w:bookmarkStart w:id="333" w:name="_Toc97531577"/>
            <w:r>
              <w:rPr>
                <w:snapToGrid w:val="0"/>
              </w:rPr>
              <w:t>414</w:t>
            </w:r>
            <w:bookmarkEnd w:id="333"/>
          </w:p>
        </w:tc>
        <w:tc>
          <w:tcPr>
            <w:tcW w:w="742" w:type="dxa"/>
          </w:tcPr>
          <w:p w:rsidR="00000000" w:rsidRDefault="00000000">
            <w:pPr>
              <w:jc w:val="right"/>
              <w:rPr>
                <w:snapToGrid w:val="0"/>
              </w:rPr>
            </w:pPr>
            <w:bookmarkStart w:id="334" w:name="_Toc97531578"/>
            <w:r>
              <w:rPr>
                <w:snapToGrid w:val="0"/>
              </w:rPr>
              <w:t>19</w:t>
            </w:r>
            <w:bookmarkEnd w:id="334"/>
          </w:p>
        </w:tc>
        <w:tc>
          <w:tcPr>
            <w:tcW w:w="1000" w:type="dxa"/>
          </w:tcPr>
          <w:p w:rsidR="00000000" w:rsidRDefault="00000000">
            <w:pPr>
              <w:jc w:val="right"/>
              <w:rPr>
                <w:snapToGrid w:val="0"/>
              </w:rPr>
            </w:pPr>
            <w:bookmarkStart w:id="335" w:name="_Toc97531579"/>
            <w:r>
              <w:rPr>
                <w:snapToGrid w:val="0"/>
              </w:rPr>
              <w:t>354</w:t>
            </w:r>
            <w:bookmarkEnd w:id="335"/>
          </w:p>
        </w:tc>
        <w:tc>
          <w:tcPr>
            <w:tcW w:w="900" w:type="dxa"/>
          </w:tcPr>
          <w:p w:rsidR="00000000" w:rsidRDefault="00000000">
            <w:pPr>
              <w:jc w:val="right"/>
              <w:rPr>
                <w:snapToGrid w:val="0"/>
              </w:rPr>
            </w:pPr>
            <w:bookmarkStart w:id="336" w:name="_Toc97531580"/>
            <w:r>
              <w:rPr>
                <w:snapToGrid w:val="0"/>
              </w:rPr>
              <w:t>19 143</w:t>
            </w:r>
            <w:bookmarkEnd w:id="336"/>
          </w:p>
        </w:tc>
      </w:tr>
      <w:tr w:rsidR="00000000">
        <w:tblPrEx>
          <w:tblCellMar>
            <w:top w:w="0" w:type="dxa"/>
            <w:bottom w:w="0" w:type="dxa"/>
          </w:tblCellMar>
        </w:tblPrEx>
        <w:trPr>
          <w:trHeight w:val="164"/>
          <w:jc w:val="center"/>
        </w:trPr>
        <w:tc>
          <w:tcPr>
            <w:tcW w:w="1134" w:type="dxa"/>
          </w:tcPr>
          <w:p w:rsidR="00000000" w:rsidRDefault="00000000">
            <w:pPr>
              <w:rPr>
                <w:snapToGrid w:val="0"/>
              </w:rPr>
            </w:pPr>
            <w:bookmarkStart w:id="337" w:name="_Toc97531581"/>
            <w:r>
              <w:rPr>
                <w:snapToGrid w:val="0"/>
              </w:rPr>
              <w:t>1999</w:t>
            </w:r>
            <w:bookmarkEnd w:id="337"/>
          </w:p>
        </w:tc>
        <w:tc>
          <w:tcPr>
            <w:tcW w:w="962" w:type="dxa"/>
          </w:tcPr>
          <w:p w:rsidR="00000000" w:rsidRDefault="00000000">
            <w:pPr>
              <w:jc w:val="right"/>
              <w:rPr>
                <w:snapToGrid w:val="0"/>
              </w:rPr>
            </w:pPr>
          </w:p>
        </w:tc>
        <w:tc>
          <w:tcPr>
            <w:tcW w:w="960" w:type="dxa"/>
          </w:tcPr>
          <w:p w:rsidR="00000000" w:rsidRDefault="00000000">
            <w:pPr>
              <w:jc w:val="right"/>
              <w:rPr>
                <w:snapToGrid w:val="0"/>
              </w:rPr>
            </w:pPr>
          </w:p>
        </w:tc>
        <w:tc>
          <w:tcPr>
            <w:tcW w:w="720" w:type="dxa"/>
          </w:tcPr>
          <w:p w:rsidR="00000000" w:rsidRDefault="00000000">
            <w:pPr>
              <w:jc w:val="right"/>
              <w:rPr>
                <w:snapToGrid w:val="0"/>
              </w:rPr>
            </w:pPr>
          </w:p>
        </w:tc>
        <w:tc>
          <w:tcPr>
            <w:tcW w:w="960" w:type="dxa"/>
          </w:tcPr>
          <w:p w:rsidR="00000000" w:rsidRDefault="00000000">
            <w:pPr>
              <w:jc w:val="right"/>
              <w:rPr>
                <w:snapToGrid w:val="0"/>
              </w:rPr>
            </w:pPr>
          </w:p>
        </w:tc>
        <w:tc>
          <w:tcPr>
            <w:tcW w:w="1032" w:type="dxa"/>
          </w:tcPr>
          <w:p w:rsidR="00000000" w:rsidRDefault="00000000">
            <w:pPr>
              <w:jc w:val="right"/>
              <w:rPr>
                <w:snapToGrid w:val="0"/>
              </w:rPr>
            </w:pPr>
          </w:p>
        </w:tc>
        <w:tc>
          <w:tcPr>
            <w:tcW w:w="1035" w:type="dxa"/>
          </w:tcPr>
          <w:p w:rsidR="00000000" w:rsidRDefault="00000000">
            <w:pPr>
              <w:jc w:val="right"/>
              <w:rPr>
                <w:snapToGrid w:val="0"/>
              </w:rPr>
            </w:pPr>
          </w:p>
        </w:tc>
        <w:tc>
          <w:tcPr>
            <w:tcW w:w="742" w:type="dxa"/>
          </w:tcPr>
          <w:p w:rsidR="00000000" w:rsidRDefault="00000000">
            <w:pPr>
              <w:jc w:val="right"/>
              <w:rPr>
                <w:snapToGrid w:val="0"/>
              </w:rPr>
            </w:pPr>
          </w:p>
        </w:tc>
        <w:tc>
          <w:tcPr>
            <w:tcW w:w="1000" w:type="dxa"/>
          </w:tcPr>
          <w:p w:rsidR="00000000" w:rsidRDefault="00000000">
            <w:pPr>
              <w:jc w:val="right"/>
              <w:rPr>
                <w:snapToGrid w:val="0"/>
              </w:rPr>
            </w:pPr>
          </w:p>
        </w:tc>
        <w:tc>
          <w:tcPr>
            <w:tcW w:w="900" w:type="dxa"/>
          </w:tcPr>
          <w:p w:rsidR="00000000" w:rsidRDefault="00000000">
            <w:pPr>
              <w:jc w:val="right"/>
              <w:rPr>
                <w:snapToGrid w:val="0"/>
              </w:rPr>
            </w:pPr>
            <w:bookmarkStart w:id="338" w:name="_Toc97531582"/>
            <w:r>
              <w:rPr>
                <w:snapToGrid w:val="0"/>
              </w:rPr>
              <w:t>19 215</w:t>
            </w:r>
            <w:bookmarkEnd w:id="338"/>
          </w:p>
        </w:tc>
      </w:tr>
      <w:tr w:rsidR="00000000">
        <w:tblPrEx>
          <w:tblCellMar>
            <w:top w:w="0" w:type="dxa"/>
            <w:bottom w:w="0" w:type="dxa"/>
          </w:tblCellMar>
        </w:tblPrEx>
        <w:trPr>
          <w:trHeight w:val="134"/>
          <w:jc w:val="center"/>
        </w:trPr>
        <w:tc>
          <w:tcPr>
            <w:tcW w:w="1134" w:type="dxa"/>
          </w:tcPr>
          <w:p w:rsidR="00000000" w:rsidRDefault="00000000">
            <w:pPr>
              <w:rPr>
                <w:snapToGrid w:val="0"/>
              </w:rPr>
            </w:pPr>
            <w:bookmarkStart w:id="339" w:name="_Toc97531583"/>
            <w:r>
              <w:rPr>
                <w:snapToGrid w:val="0"/>
              </w:rPr>
              <w:t>2000</w:t>
            </w:r>
            <w:bookmarkEnd w:id="339"/>
          </w:p>
        </w:tc>
        <w:tc>
          <w:tcPr>
            <w:tcW w:w="962" w:type="dxa"/>
          </w:tcPr>
          <w:p w:rsidR="00000000" w:rsidRDefault="00000000">
            <w:pPr>
              <w:jc w:val="right"/>
              <w:rPr>
                <w:snapToGrid w:val="0"/>
              </w:rPr>
            </w:pPr>
          </w:p>
        </w:tc>
        <w:tc>
          <w:tcPr>
            <w:tcW w:w="960" w:type="dxa"/>
          </w:tcPr>
          <w:p w:rsidR="00000000" w:rsidRDefault="00000000">
            <w:pPr>
              <w:jc w:val="right"/>
              <w:rPr>
                <w:snapToGrid w:val="0"/>
              </w:rPr>
            </w:pPr>
          </w:p>
        </w:tc>
        <w:tc>
          <w:tcPr>
            <w:tcW w:w="720" w:type="dxa"/>
          </w:tcPr>
          <w:p w:rsidR="00000000" w:rsidRDefault="00000000">
            <w:pPr>
              <w:jc w:val="right"/>
              <w:rPr>
                <w:snapToGrid w:val="0"/>
              </w:rPr>
            </w:pPr>
          </w:p>
        </w:tc>
        <w:tc>
          <w:tcPr>
            <w:tcW w:w="960" w:type="dxa"/>
          </w:tcPr>
          <w:p w:rsidR="00000000" w:rsidRDefault="00000000">
            <w:pPr>
              <w:jc w:val="right"/>
              <w:rPr>
                <w:snapToGrid w:val="0"/>
              </w:rPr>
            </w:pPr>
          </w:p>
        </w:tc>
        <w:tc>
          <w:tcPr>
            <w:tcW w:w="1032" w:type="dxa"/>
          </w:tcPr>
          <w:p w:rsidR="00000000" w:rsidRDefault="00000000">
            <w:pPr>
              <w:jc w:val="right"/>
              <w:rPr>
                <w:snapToGrid w:val="0"/>
              </w:rPr>
            </w:pPr>
          </w:p>
        </w:tc>
        <w:tc>
          <w:tcPr>
            <w:tcW w:w="1035" w:type="dxa"/>
          </w:tcPr>
          <w:p w:rsidR="00000000" w:rsidRDefault="00000000">
            <w:pPr>
              <w:jc w:val="right"/>
              <w:rPr>
                <w:snapToGrid w:val="0"/>
              </w:rPr>
            </w:pPr>
          </w:p>
        </w:tc>
        <w:tc>
          <w:tcPr>
            <w:tcW w:w="742" w:type="dxa"/>
          </w:tcPr>
          <w:p w:rsidR="00000000" w:rsidRDefault="00000000">
            <w:pPr>
              <w:jc w:val="right"/>
              <w:rPr>
                <w:snapToGrid w:val="0"/>
              </w:rPr>
            </w:pPr>
          </w:p>
        </w:tc>
        <w:tc>
          <w:tcPr>
            <w:tcW w:w="1000" w:type="dxa"/>
          </w:tcPr>
          <w:p w:rsidR="00000000" w:rsidRDefault="00000000">
            <w:pPr>
              <w:jc w:val="right"/>
              <w:rPr>
                <w:snapToGrid w:val="0"/>
              </w:rPr>
            </w:pPr>
          </w:p>
        </w:tc>
        <w:tc>
          <w:tcPr>
            <w:tcW w:w="900" w:type="dxa"/>
          </w:tcPr>
          <w:p w:rsidR="00000000" w:rsidRDefault="00000000">
            <w:pPr>
              <w:jc w:val="right"/>
              <w:rPr>
                <w:snapToGrid w:val="0"/>
              </w:rPr>
            </w:pPr>
            <w:bookmarkStart w:id="340" w:name="_Toc97531584"/>
            <w:r>
              <w:rPr>
                <w:snapToGrid w:val="0"/>
              </w:rPr>
              <w:t>18 735</w:t>
            </w:r>
            <w:bookmarkEnd w:id="340"/>
          </w:p>
        </w:tc>
      </w:tr>
      <w:tr w:rsidR="00000000">
        <w:tblPrEx>
          <w:tblCellMar>
            <w:top w:w="0" w:type="dxa"/>
            <w:bottom w:w="0" w:type="dxa"/>
          </w:tblCellMar>
        </w:tblPrEx>
        <w:trPr>
          <w:trHeight w:val="119"/>
          <w:jc w:val="center"/>
        </w:trPr>
        <w:tc>
          <w:tcPr>
            <w:tcW w:w="1134" w:type="dxa"/>
          </w:tcPr>
          <w:p w:rsidR="00000000" w:rsidRDefault="00000000">
            <w:pPr>
              <w:rPr>
                <w:snapToGrid w:val="0"/>
              </w:rPr>
            </w:pPr>
            <w:bookmarkStart w:id="341" w:name="_Toc97531585"/>
            <w:r>
              <w:rPr>
                <w:snapToGrid w:val="0"/>
              </w:rPr>
              <w:t>2001</w:t>
            </w:r>
            <w:bookmarkEnd w:id="341"/>
          </w:p>
        </w:tc>
        <w:tc>
          <w:tcPr>
            <w:tcW w:w="962" w:type="dxa"/>
          </w:tcPr>
          <w:p w:rsidR="00000000" w:rsidRDefault="00000000">
            <w:pPr>
              <w:jc w:val="right"/>
              <w:rPr>
                <w:snapToGrid w:val="0"/>
              </w:rPr>
            </w:pPr>
          </w:p>
        </w:tc>
        <w:tc>
          <w:tcPr>
            <w:tcW w:w="960" w:type="dxa"/>
          </w:tcPr>
          <w:p w:rsidR="00000000" w:rsidRDefault="00000000">
            <w:pPr>
              <w:jc w:val="right"/>
              <w:rPr>
                <w:snapToGrid w:val="0"/>
              </w:rPr>
            </w:pPr>
          </w:p>
        </w:tc>
        <w:tc>
          <w:tcPr>
            <w:tcW w:w="720" w:type="dxa"/>
          </w:tcPr>
          <w:p w:rsidR="00000000" w:rsidRDefault="00000000">
            <w:pPr>
              <w:jc w:val="right"/>
              <w:rPr>
                <w:snapToGrid w:val="0"/>
              </w:rPr>
            </w:pPr>
          </w:p>
        </w:tc>
        <w:tc>
          <w:tcPr>
            <w:tcW w:w="960" w:type="dxa"/>
          </w:tcPr>
          <w:p w:rsidR="00000000" w:rsidRDefault="00000000">
            <w:pPr>
              <w:jc w:val="right"/>
              <w:rPr>
                <w:snapToGrid w:val="0"/>
              </w:rPr>
            </w:pPr>
          </w:p>
        </w:tc>
        <w:tc>
          <w:tcPr>
            <w:tcW w:w="1032" w:type="dxa"/>
          </w:tcPr>
          <w:p w:rsidR="00000000" w:rsidRDefault="00000000">
            <w:pPr>
              <w:jc w:val="right"/>
              <w:rPr>
                <w:snapToGrid w:val="0"/>
              </w:rPr>
            </w:pPr>
          </w:p>
        </w:tc>
        <w:tc>
          <w:tcPr>
            <w:tcW w:w="1035" w:type="dxa"/>
          </w:tcPr>
          <w:p w:rsidR="00000000" w:rsidRDefault="00000000">
            <w:pPr>
              <w:jc w:val="right"/>
              <w:rPr>
                <w:snapToGrid w:val="0"/>
              </w:rPr>
            </w:pPr>
          </w:p>
        </w:tc>
        <w:tc>
          <w:tcPr>
            <w:tcW w:w="742" w:type="dxa"/>
          </w:tcPr>
          <w:p w:rsidR="00000000" w:rsidRDefault="00000000">
            <w:pPr>
              <w:jc w:val="right"/>
              <w:rPr>
                <w:snapToGrid w:val="0"/>
              </w:rPr>
            </w:pPr>
          </w:p>
        </w:tc>
        <w:tc>
          <w:tcPr>
            <w:tcW w:w="1000" w:type="dxa"/>
          </w:tcPr>
          <w:p w:rsidR="00000000" w:rsidRDefault="00000000">
            <w:pPr>
              <w:jc w:val="right"/>
              <w:rPr>
                <w:snapToGrid w:val="0"/>
              </w:rPr>
            </w:pPr>
          </w:p>
        </w:tc>
        <w:tc>
          <w:tcPr>
            <w:tcW w:w="900" w:type="dxa"/>
          </w:tcPr>
          <w:p w:rsidR="00000000" w:rsidRDefault="00000000">
            <w:pPr>
              <w:jc w:val="right"/>
              <w:rPr>
                <w:snapToGrid w:val="0"/>
              </w:rPr>
            </w:pPr>
            <w:bookmarkStart w:id="342" w:name="_Toc97531586"/>
            <w:r>
              <w:rPr>
                <w:snapToGrid w:val="0"/>
              </w:rPr>
              <w:t>19 602</w:t>
            </w:r>
            <w:bookmarkEnd w:id="342"/>
          </w:p>
        </w:tc>
      </w:tr>
      <w:tr w:rsidR="00000000">
        <w:tblPrEx>
          <w:tblCellMar>
            <w:top w:w="0" w:type="dxa"/>
            <w:bottom w:w="0" w:type="dxa"/>
          </w:tblCellMar>
        </w:tblPrEx>
        <w:trPr>
          <w:trHeight w:val="138"/>
          <w:jc w:val="center"/>
        </w:trPr>
        <w:tc>
          <w:tcPr>
            <w:tcW w:w="1134" w:type="dxa"/>
          </w:tcPr>
          <w:p w:rsidR="00000000" w:rsidRDefault="00000000">
            <w:pPr>
              <w:rPr>
                <w:snapToGrid w:val="0"/>
              </w:rPr>
            </w:pPr>
            <w:bookmarkStart w:id="343" w:name="_Toc97531587"/>
            <w:r>
              <w:rPr>
                <w:snapToGrid w:val="0"/>
              </w:rPr>
              <w:t>2002</w:t>
            </w:r>
            <w:bookmarkEnd w:id="343"/>
          </w:p>
        </w:tc>
        <w:tc>
          <w:tcPr>
            <w:tcW w:w="962" w:type="dxa"/>
          </w:tcPr>
          <w:p w:rsidR="00000000" w:rsidRDefault="00000000">
            <w:pPr>
              <w:jc w:val="right"/>
              <w:rPr>
                <w:snapToGrid w:val="0"/>
              </w:rPr>
            </w:pPr>
            <w:bookmarkStart w:id="344" w:name="_Toc97531588"/>
            <w:r>
              <w:rPr>
                <w:snapToGrid w:val="0"/>
              </w:rPr>
              <w:t>5375</w:t>
            </w:r>
            <w:bookmarkEnd w:id="344"/>
          </w:p>
        </w:tc>
        <w:tc>
          <w:tcPr>
            <w:tcW w:w="960" w:type="dxa"/>
          </w:tcPr>
          <w:p w:rsidR="00000000" w:rsidRDefault="00000000">
            <w:pPr>
              <w:jc w:val="right"/>
              <w:rPr>
                <w:snapToGrid w:val="0"/>
              </w:rPr>
            </w:pPr>
            <w:bookmarkStart w:id="345" w:name="_Toc97531589"/>
            <w:r>
              <w:rPr>
                <w:snapToGrid w:val="0"/>
              </w:rPr>
              <w:t>163</w:t>
            </w:r>
            <w:bookmarkEnd w:id="345"/>
          </w:p>
        </w:tc>
        <w:tc>
          <w:tcPr>
            <w:tcW w:w="720" w:type="dxa"/>
          </w:tcPr>
          <w:p w:rsidR="00000000" w:rsidRDefault="00000000">
            <w:pPr>
              <w:jc w:val="right"/>
              <w:rPr>
                <w:snapToGrid w:val="0"/>
              </w:rPr>
            </w:pPr>
            <w:bookmarkStart w:id="346" w:name="_Toc97531590"/>
            <w:r>
              <w:rPr>
                <w:snapToGrid w:val="0"/>
              </w:rPr>
              <w:t>4</w:t>
            </w:r>
            <w:bookmarkEnd w:id="346"/>
          </w:p>
        </w:tc>
        <w:tc>
          <w:tcPr>
            <w:tcW w:w="960" w:type="dxa"/>
          </w:tcPr>
          <w:p w:rsidR="00000000" w:rsidRDefault="00000000">
            <w:pPr>
              <w:jc w:val="right"/>
              <w:rPr>
                <w:snapToGrid w:val="0"/>
              </w:rPr>
            </w:pPr>
            <w:bookmarkStart w:id="347" w:name="_Toc97531591"/>
            <w:r>
              <w:rPr>
                <w:snapToGrid w:val="0"/>
              </w:rPr>
              <w:t>34</w:t>
            </w:r>
            <w:bookmarkEnd w:id="347"/>
          </w:p>
        </w:tc>
        <w:tc>
          <w:tcPr>
            <w:tcW w:w="1032" w:type="dxa"/>
          </w:tcPr>
          <w:p w:rsidR="00000000" w:rsidRDefault="00000000">
            <w:pPr>
              <w:jc w:val="right"/>
              <w:rPr>
                <w:snapToGrid w:val="0"/>
              </w:rPr>
            </w:pPr>
            <w:bookmarkStart w:id="348" w:name="_Toc97531592"/>
            <w:r>
              <w:rPr>
                <w:snapToGrid w:val="0"/>
              </w:rPr>
              <w:t>12 554</w:t>
            </w:r>
            <w:bookmarkEnd w:id="348"/>
          </w:p>
        </w:tc>
        <w:tc>
          <w:tcPr>
            <w:tcW w:w="1035" w:type="dxa"/>
          </w:tcPr>
          <w:p w:rsidR="00000000" w:rsidRDefault="00000000">
            <w:pPr>
              <w:jc w:val="right"/>
              <w:rPr>
                <w:snapToGrid w:val="0"/>
              </w:rPr>
            </w:pPr>
            <w:bookmarkStart w:id="349" w:name="_Toc97531593"/>
            <w:r>
              <w:rPr>
                <w:snapToGrid w:val="0"/>
              </w:rPr>
              <w:t>603</w:t>
            </w:r>
            <w:bookmarkEnd w:id="349"/>
          </w:p>
        </w:tc>
        <w:tc>
          <w:tcPr>
            <w:tcW w:w="742" w:type="dxa"/>
          </w:tcPr>
          <w:p w:rsidR="00000000" w:rsidRDefault="00000000">
            <w:pPr>
              <w:jc w:val="right"/>
              <w:rPr>
                <w:snapToGrid w:val="0"/>
              </w:rPr>
            </w:pPr>
            <w:bookmarkStart w:id="350" w:name="_Toc97531594"/>
            <w:r>
              <w:rPr>
                <w:snapToGrid w:val="0"/>
              </w:rPr>
              <w:t>5</w:t>
            </w:r>
            <w:bookmarkEnd w:id="350"/>
          </w:p>
        </w:tc>
        <w:tc>
          <w:tcPr>
            <w:tcW w:w="1000" w:type="dxa"/>
          </w:tcPr>
          <w:p w:rsidR="00000000" w:rsidRDefault="00000000">
            <w:pPr>
              <w:jc w:val="right"/>
              <w:rPr>
                <w:snapToGrid w:val="0"/>
              </w:rPr>
            </w:pPr>
            <w:bookmarkStart w:id="351" w:name="_Toc97531595"/>
            <w:r>
              <w:rPr>
                <w:snapToGrid w:val="0"/>
              </w:rPr>
              <w:t>274</w:t>
            </w:r>
            <w:bookmarkEnd w:id="351"/>
          </w:p>
        </w:tc>
        <w:tc>
          <w:tcPr>
            <w:tcW w:w="900" w:type="dxa"/>
          </w:tcPr>
          <w:p w:rsidR="00000000" w:rsidRDefault="00000000">
            <w:pPr>
              <w:jc w:val="right"/>
              <w:rPr>
                <w:snapToGrid w:val="0"/>
              </w:rPr>
            </w:pPr>
            <w:bookmarkStart w:id="352" w:name="_Toc97531596"/>
            <w:r>
              <w:rPr>
                <w:snapToGrid w:val="0"/>
              </w:rPr>
              <w:t>18 440</w:t>
            </w:r>
            <w:bookmarkEnd w:id="352"/>
          </w:p>
        </w:tc>
      </w:tr>
      <w:tr w:rsidR="00000000">
        <w:tblPrEx>
          <w:tblCellMar>
            <w:top w:w="0" w:type="dxa"/>
            <w:bottom w:w="0" w:type="dxa"/>
          </w:tblCellMar>
        </w:tblPrEx>
        <w:trPr>
          <w:trHeight w:val="266"/>
          <w:jc w:val="center"/>
        </w:trPr>
        <w:tc>
          <w:tcPr>
            <w:tcW w:w="1134" w:type="dxa"/>
          </w:tcPr>
          <w:p w:rsidR="00000000" w:rsidRDefault="00000000">
            <w:pPr>
              <w:rPr>
                <w:snapToGrid w:val="0"/>
              </w:rPr>
            </w:pPr>
            <w:bookmarkStart w:id="353" w:name="_Toc97531597"/>
            <w:r>
              <w:rPr>
                <w:snapToGrid w:val="0"/>
              </w:rPr>
              <w:t>2003</w:t>
            </w:r>
            <w:bookmarkEnd w:id="353"/>
          </w:p>
        </w:tc>
        <w:tc>
          <w:tcPr>
            <w:tcW w:w="962" w:type="dxa"/>
          </w:tcPr>
          <w:p w:rsidR="00000000" w:rsidRDefault="00000000">
            <w:pPr>
              <w:jc w:val="right"/>
              <w:rPr>
                <w:snapToGrid w:val="0"/>
              </w:rPr>
            </w:pPr>
            <w:bookmarkStart w:id="354" w:name="_Toc97531598"/>
            <w:r>
              <w:rPr>
                <w:snapToGrid w:val="0"/>
              </w:rPr>
              <w:t>6 198</w:t>
            </w:r>
            <w:bookmarkEnd w:id="354"/>
          </w:p>
        </w:tc>
        <w:tc>
          <w:tcPr>
            <w:tcW w:w="960" w:type="dxa"/>
          </w:tcPr>
          <w:p w:rsidR="00000000" w:rsidRDefault="00000000">
            <w:pPr>
              <w:jc w:val="right"/>
              <w:rPr>
                <w:snapToGrid w:val="0"/>
              </w:rPr>
            </w:pPr>
            <w:bookmarkStart w:id="355" w:name="_Toc97531599"/>
            <w:r>
              <w:rPr>
                <w:snapToGrid w:val="0"/>
              </w:rPr>
              <w:t>204</w:t>
            </w:r>
            <w:bookmarkEnd w:id="355"/>
          </w:p>
        </w:tc>
        <w:tc>
          <w:tcPr>
            <w:tcW w:w="720" w:type="dxa"/>
          </w:tcPr>
          <w:p w:rsidR="00000000" w:rsidRDefault="00000000">
            <w:pPr>
              <w:jc w:val="right"/>
              <w:rPr>
                <w:snapToGrid w:val="0"/>
              </w:rPr>
            </w:pPr>
            <w:bookmarkStart w:id="356" w:name="_Toc97531600"/>
            <w:r>
              <w:rPr>
                <w:snapToGrid w:val="0"/>
              </w:rPr>
              <w:t>1</w:t>
            </w:r>
            <w:bookmarkEnd w:id="356"/>
          </w:p>
        </w:tc>
        <w:tc>
          <w:tcPr>
            <w:tcW w:w="960" w:type="dxa"/>
          </w:tcPr>
          <w:p w:rsidR="00000000" w:rsidRDefault="00000000">
            <w:pPr>
              <w:jc w:val="right"/>
              <w:rPr>
                <w:snapToGrid w:val="0"/>
              </w:rPr>
            </w:pPr>
            <w:bookmarkStart w:id="357" w:name="_Toc97531601"/>
            <w:r>
              <w:rPr>
                <w:snapToGrid w:val="0"/>
              </w:rPr>
              <w:t>26</w:t>
            </w:r>
            <w:bookmarkEnd w:id="357"/>
          </w:p>
        </w:tc>
        <w:tc>
          <w:tcPr>
            <w:tcW w:w="1032" w:type="dxa"/>
          </w:tcPr>
          <w:p w:rsidR="00000000" w:rsidRDefault="00000000">
            <w:pPr>
              <w:jc w:val="right"/>
              <w:rPr>
                <w:snapToGrid w:val="0"/>
              </w:rPr>
            </w:pPr>
            <w:bookmarkStart w:id="358" w:name="_Toc97531602"/>
            <w:r>
              <w:rPr>
                <w:snapToGrid w:val="0"/>
              </w:rPr>
              <w:t>11770</w:t>
            </w:r>
            <w:bookmarkEnd w:id="358"/>
          </w:p>
        </w:tc>
        <w:tc>
          <w:tcPr>
            <w:tcW w:w="1035" w:type="dxa"/>
          </w:tcPr>
          <w:p w:rsidR="00000000" w:rsidRDefault="00000000">
            <w:pPr>
              <w:jc w:val="right"/>
              <w:rPr>
                <w:snapToGrid w:val="0"/>
              </w:rPr>
            </w:pPr>
            <w:bookmarkStart w:id="359" w:name="_Toc97531603"/>
            <w:r>
              <w:rPr>
                <w:snapToGrid w:val="0"/>
              </w:rPr>
              <w:t>414</w:t>
            </w:r>
            <w:bookmarkEnd w:id="359"/>
          </w:p>
        </w:tc>
        <w:tc>
          <w:tcPr>
            <w:tcW w:w="742" w:type="dxa"/>
          </w:tcPr>
          <w:p w:rsidR="00000000" w:rsidRDefault="00000000">
            <w:pPr>
              <w:jc w:val="right"/>
              <w:rPr>
                <w:snapToGrid w:val="0"/>
              </w:rPr>
            </w:pPr>
            <w:bookmarkStart w:id="360" w:name="_Toc97531604"/>
            <w:r>
              <w:rPr>
                <w:snapToGrid w:val="0"/>
              </w:rPr>
              <w:t>22</w:t>
            </w:r>
            <w:bookmarkEnd w:id="360"/>
          </w:p>
        </w:tc>
        <w:tc>
          <w:tcPr>
            <w:tcW w:w="1000" w:type="dxa"/>
          </w:tcPr>
          <w:p w:rsidR="00000000" w:rsidRDefault="00000000">
            <w:pPr>
              <w:jc w:val="right"/>
              <w:rPr>
                <w:snapToGrid w:val="0"/>
              </w:rPr>
            </w:pPr>
            <w:bookmarkStart w:id="361" w:name="_Toc97531605"/>
            <w:r>
              <w:rPr>
                <w:snapToGrid w:val="0"/>
              </w:rPr>
              <w:t>266</w:t>
            </w:r>
            <w:bookmarkEnd w:id="361"/>
          </w:p>
        </w:tc>
        <w:tc>
          <w:tcPr>
            <w:tcW w:w="900" w:type="dxa"/>
          </w:tcPr>
          <w:p w:rsidR="00000000" w:rsidRDefault="00000000">
            <w:pPr>
              <w:jc w:val="right"/>
              <w:rPr>
                <w:snapToGrid w:val="0"/>
              </w:rPr>
            </w:pPr>
            <w:bookmarkStart w:id="362" w:name="_Toc97531606"/>
            <w:r>
              <w:rPr>
                <w:snapToGrid w:val="0"/>
              </w:rPr>
              <w:t>18 901</w:t>
            </w:r>
            <w:bookmarkEnd w:id="362"/>
          </w:p>
        </w:tc>
      </w:tr>
      <w:tr w:rsidR="00000000">
        <w:tblPrEx>
          <w:tblCellMar>
            <w:top w:w="0" w:type="dxa"/>
            <w:bottom w:w="0" w:type="dxa"/>
          </w:tblCellMar>
        </w:tblPrEx>
        <w:trPr>
          <w:trHeight w:val="350"/>
          <w:jc w:val="center"/>
        </w:trPr>
        <w:tc>
          <w:tcPr>
            <w:tcW w:w="1134" w:type="dxa"/>
          </w:tcPr>
          <w:p w:rsidR="00000000" w:rsidRDefault="00000000">
            <w:pPr>
              <w:rPr>
                <w:snapToGrid w:val="0"/>
              </w:rPr>
            </w:pPr>
            <w:bookmarkStart w:id="363" w:name="_Toc97531607"/>
            <w:r>
              <w:rPr>
                <w:snapToGrid w:val="0"/>
              </w:rPr>
              <w:t>mars 2004</w:t>
            </w:r>
            <w:bookmarkEnd w:id="363"/>
          </w:p>
        </w:tc>
        <w:tc>
          <w:tcPr>
            <w:tcW w:w="962" w:type="dxa"/>
          </w:tcPr>
          <w:p w:rsidR="00000000" w:rsidRDefault="00000000">
            <w:pPr>
              <w:jc w:val="right"/>
              <w:rPr>
                <w:snapToGrid w:val="0"/>
              </w:rPr>
            </w:pPr>
            <w:bookmarkStart w:id="364" w:name="_Toc97531608"/>
            <w:r>
              <w:rPr>
                <w:snapToGrid w:val="0"/>
              </w:rPr>
              <w:t>6 179</w:t>
            </w:r>
            <w:bookmarkEnd w:id="364"/>
          </w:p>
        </w:tc>
        <w:tc>
          <w:tcPr>
            <w:tcW w:w="960" w:type="dxa"/>
          </w:tcPr>
          <w:p w:rsidR="00000000" w:rsidRDefault="00000000">
            <w:pPr>
              <w:jc w:val="right"/>
              <w:rPr>
                <w:snapToGrid w:val="0"/>
              </w:rPr>
            </w:pPr>
            <w:bookmarkStart w:id="365" w:name="_Toc97531609"/>
            <w:r>
              <w:rPr>
                <w:snapToGrid w:val="0"/>
              </w:rPr>
              <w:t>196</w:t>
            </w:r>
            <w:bookmarkEnd w:id="365"/>
          </w:p>
        </w:tc>
        <w:tc>
          <w:tcPr>
            <w:tcW w:w="720" w:type="dxa"/>
          </w:tcPr>
          <w:p w:rsidR="00000000" w:rsidRDefault="00000000">
            <w:pPr>
              <w:jc w:val="right"/>
              <w:rPr>
                <w:snapToGrid w:val="0"/>
              </w:rPr>
            </w:pPr>
            <w:bookmarkStart w:id="366" w:name="_Toc97531610"/>
            <w:r>
              <w:rPr>
                <w:snapToGrid w:val="0"/>
              </w:rPr>
              <w:t>Néant</w:t>
            </w:r>
            <w:bookmarkEnd w:id="366"/>
          </w:p>
        </w:tc>
        <w:tc>
          <w:tcPr>
            <w:tcW w:w="960" w:type="dxa"/>
          </w:tcPr>
          <w:p w:rsidR="00000000" w:rsidRDefault="00000000">
            <w:pPr>
              <w:jc w:val="right"/>
              <w:rPr>
                <w:snapToGrid w:val="0"/>
              </w:rPr>
            </w:pPr>
            <w:bookmarkStart w:id="367" w:name="_Toc97531611"/>
            <w:r>
              <w:rPr>
                <w:snapToGrid w:val="0"/>
              </w:rPr>
              <w:t>23</w:t>
            </w:r>
            <w:bookmarkEnd w:id="367"/>
          </w:p>
        </w:tc>
        <w:tc>
          <w:tcPr>
            <w:tcW w:w="1032" w:type="dxa"/>
          </w:tcPr>
          <w:p w:rsidR="00000000" w:rsidRDefault="00000000">
            <w:pPr>
              <w:jc w:val="right"/>
              <w:rPr>
                <w:snapToGrid w:val="0"/>
              </w:rPr>
            </w:pPr>
            <w:bookmarkStart w:id="368" w:name="_Toc97531612"/>
            <w:r>
              <w:rPr>
                <w:snapToGrid w:val="0"/>
              </w:rPr>
              <w:t>12 160</w:t>
            </w:r>
            <w:bookmarkEnd w:id="368"/>
          </w:p>
        </w:tc>
        <w:tc>
          <w:tcPr>
            <w:tcW w:w="1035" w:type="dxa"/>
          </w:tcPr>
          <w:p w:rsidR="00000000" w:rsidRDefault="00000000">
            <w:pPr>
              <w:jc w:val="right"/>
              <w:rPr>
                <w:snapToGrid w:val="0"/>
              </w:rPr>
            </w:pPr>
            <w:bookmarkStart w:id="369" w:name="_Toc97531613"/>
            <w:r>
              <w:rPr>
                <w:snapToGrid w:val="0"/>
              </w:rPr>
              <w:t>463</w:t>
            </w:r>
            <w:bookmarkEnd w:id="369"/>
          </w:p>
        </w:tc>
        <w:tc>
          <w:tcPr>
            <w:tcW w:w="742" w:type="dxa"/>
          </w:tcPr>
          <w:p w:rsidR="00000000" w:rsidRDefault="00000000">
            <w:pPr>
              <w:jc w:val="right"/>
              <w:rPr>
                <w:snapToGrid w:val="0"/>
              </w:rPr>
            </w:pPr>
            <w:bookmarkStart w:id="370" w:name="_Toc97531614"/>
            <w:r>
              <w:rPr>
                <w:snapToGrid w:val="0"/>
              </w:rPr>
              <w:t>22</w:t>
            </w:r>
            <w:bookmarkEnd w:id="370"/>
          </w:p>
        </w:tc>
        <w:tc>
          <w:tcPr>
            <w:tcW w:w="1000" w:type="dxa"/>
          </w:tcPr>
          <w:p w:rsidR="00000000" w:rsidRDefault="00000000">
            <w:pPr>
              <w:jc w:val="right"/>
              <w:rPr>
                <w:snapToGrid w:val="0"/>
              </w:rPr>
            </w:pPr>
            <w:bookmarkStart w:id="371" w:name="_Toc97531615"/>
            <w:r>
              <w:rPr>
                <w:snapToGrid w:val="0"/>
              </w:rPr>
              <w:t>343</w:t>
            </w:r>
            <w:bookmarkEnd w:id="371"/>
          </w:p>
        </w:tc>
        <w:tc>
          <w:tcPr>
            <w:tcW w:w="900" w:type="dxa"/>
          </w:tcPr>
          <w:p w:rsidR="00000000" w:rsidRDefault="00000000">
            <w:pPr>
              <w:jc w:val="right"/>
              <w:rPr>
                <w:snapToGrid w:val="0"/>
              </w:rPr>
            </w:pPr>
            <w:bookmarkStart w:id="372" w:name="_Toc97531616"/>
            <w:r>
              <w:rPr>
                <w:snapToGrid w:val="0"/>
              </w:rPr>
              <w:t>19 339</w:t>
            </w:r>
            <w:bookmarkEnd w:id="372"/>
          </w:p>
        </w:tc>
      </w:tr>
    </w:tbl>
    <w:p w:rsidR="00000000" w:rsidRDefault="00000000">
      <w:pPr>
        <w:keepNext/>
        <w:spacing w:after="240"/>
        <w:rPr>
          <w:b/>
          <w:bCs/>
        </w:rPr>
      </w:pPr>
      <w:r>
        <w:rPr>
          <w:b/>
          <w:bCs/>
        </w:rPr>
        <w:t>Mesures de réhabilitation, d’humanisation et de réinsertion sociale</w:t>
      </w:r>
    </w:p>
    <w:p w:rsidR="00000000" w:rsidRDefault="00000000">
      <w:pPr>
        <w:spacing w:after="240"/>
      </w:pPr>
      <w:r>
        <w:t>204.</w:t>
      </w:r>
      <w:r>
        <w:tab/>
        <w:t>En novembre 1997, pour l’humanisation de la détention, le Ministère de la justice, en collaboration avec des organisations, tant nationales qu’internationales a entrepris:</w:t>
      </w:r>
    </w:p>
    <w:p w:rsidR="00000000" w:rsidRDefault="00000000">
      <w:pPr>
        <w:spacing w:after="240"/>
        <w:ind w:firstLine="567"/>
      </w:pPr>
      <w:r>
        <w:t>a)</w:t>
      </w:r>
      <w:r>
        <w:tab/>
        <w:t>L’amélioration des conditions de détention par l’extension et la construction de nouveaux bâtiments;</w:t>
      </w:r>
    </w:p>
    <w:p w:rsidR="00000000" w:rsidRDefault="00000000">
      <w:pPr>
        <w:spacing w:after="240"/>
        <w:ind w:firstLine="567"/>
      </w:pPr>
      <w:r>
        <w:t>b)</w:t>
      </w:r>
      <w:r>
        <w:tab/>
        <w:t>L’accélération du procès des détenus souffrant de longue détention.</w:t>
      </w:r>
    </w:p>
    <w:p w:rsidR="00000000" w:rsidRDefault="00000000">
      <w:pPr>
        <w:spacing w:after="240"/>
      </w:pPr>
      <w:r>
        <w:t>205.</w:t>
      </w:r>
      <w:r>
        <w:tab/>
        <w:t>De 1997 à 2000, il a été recensé à Madagascar 3 791 dossiers des détenus souffrant de longues détentions de plus de 5 ans. En 2001, 2 497 de ces dossiers ont été jugés.</w:t>
      </w:r>
    </w:p>
    <w:p w:rsidR="00000000" w:rsidRDefault="00000000">
      <w:pPr>
        <w:spacing w:after="240"/>
      </w:pPr>
      <w:r>
        <w:t>206.</w:t>
      </w:r>
      <w:r>
        <w:tab/>
        <w:t>Depuis 2001, neuf (9) sessions de la Cour criminelle ordinaire ont été tenues par an au lieu de deux (2) sessions habituelles pour traiter les dossiers des détenus de la Maison centrale d’Antananarivo et de la Maison de force de Tsiafahy. Soixante</w:t>
      </w:r>
      <w:r>
        <w:noBreakHyphen/>
        <w:t>seize dossiers ont été enrôlés par session.</w:t>
      </w:r>
    </w:p>
    <w:p w:rsidR="00000000" w:rsidRDefault="00000000">
      <w:pPr>
        <w:spacing w:after="240"/>
      </w:pPr>
      <w:r>
        <w:t>207.</w:t>
      </w:r>
      <w:r>
        <w:tab/>
        <w:t>Autres mesures, en partenariat avec les ambassades des États</w:t>
      </w:r>
      <w:r>
        <w:noBreakHyphen/>
        <w:t>Unis d’Amérique et de Grande</w:t>
      </w:r>
      <w:r>
        <w:noBreakHyphen/>
        <w:t>Bretagne, il a été créé:</w:t>
      </w:r>
    </w:p>
    <w:p w:rsidR="00000000" w:rsidRDefault="00000000">
      <w:pPr>
        <w:spacing w:after="240"/>
        <w:ind w:firstLine="567"/>
      </w:pPr>
      <w:r>
        <w:t>a)</w:t>
      </w:r>
      <w:r>
        <w:tab/>
        <w:t>Un service de la santé et de l’humanisation au sein de l’Administration pénitentiaire en 2002;</w:t>
      </w:r>
    </w:p>
    <w:p w:rsidR="00000000" w:rsidRDefault="00000000">
      <w:pPr>
        <w:spacing w:after="240"/>
        <w:ind w:firstLine="567"/>
      </w:pPr>
      <w:r>
        <w:t>b)</w:t>
      </w:r>
      <w:r>
        <w:tab/>
        <w:t>Un service de l’éducation surveillée au sein de l’Administration pénitentiaire en 2004.</w:t>
      </w:r>
    </w:p>
    <w:p w:rsidR="00000000" w:rsidRDefault="00000000">
      <w:pPr>
        <w:spacing w:after="240"/>
      </w:pPr>
      <w:r>
        <w:t>208.</w:t>
      </w:r>
      <w:r>
        <w:tab/>
        <w:t>Ce service s’occupe en même temps des cas des mineurs incarcérés ou placés provisoirement dans un centre de rééducation par décision du juge des enfants.</w:t>
      </w:r>
    </w:p>
    <w:p w:rsidR="00000000" w:rsidRDefault="00000000">
      <w:pPr>
        <w:spacing w:after="240"/>
      </w:pPr>
      <w:r>
        <w:rPr>
          <w:color w:val="000000"/>
        </w:rPr>
        <w:t>209.</w:t>
      </w:r>
      <w:r>
        <w:rPr>
          <w:color w:val="000000"/>
        </w:rPr>
        <w:tab/>
        <w:t>Dans le cadre de l’amélioration de la qualité du service public pénitentiaire, il a été créé une école nationale de l’Administration pénitentiaire à Tamatave.</w:t>
      </w:r>
    </w:p>
    <w:p w:rsidR="00000000" w:rsidRDefault="00000000">
      <w:pPr>
        <w:keepNext/>
        <w:spacing w:after="240"/>
        <w:ind w:firstLine="567"/>
        <w:rPr>
          <w:b/>
          <w:bCs/>
        </w:rPr>
      </w:pPr>
      <w:r>
        <w:rPr>
          <w:b/>
          <w:bCs/>
        </w:rPr>
        <w:t>Amnistie</w:t>
      </w:r>
    </w:p>
    <w:p w:rsidR="00000000" w:rsidRDefault="00000000">
      <w:pPr>
        <w:spacing w:after="240"/>
      </w:pPr>
      <w:r>
        <w:t>210.</w:t>
      </w:r>
      <w:r>
        <w:tab/>
        <w:t>Face aux problèmes engendrés par la surpopulation carcérale, des mesures législatives et réglementaires ont été adoptées.</w:t>
      </w:r>
    </w:p>
    <w:p w:rsidR="00000000" w:rsidRDefault="00000000">
      <w:pPr>
        <w:spacing w:after="240"/>
      </w:pPr>
      <w:r>
        <w:t>211.</w:t>
      </w:r>
      <w:r>
        <w:tab/>
        <w:t>En l’an 2000, 4 705 détenus condamnés ont été amnistiés par application de la loi n</w:t>
      </w:r>
      <w:r>
        <w:rPr>
          <w:vertAlign w:val="superscript"/>
        </w:rPr>
        <w:t>o</w:t>
      </w:r>
      <w:r>
        <w:t> 99</w:t>
      </w:r>
      <w:r>
        <w:noBreakHyphen/>
        <w:t>033 du 5 janvier 2000 portant amnistie;</w:t>
      </w:r>
    </w:p>
    <w:p w:rsidR="00000000" w:rsidRDefault="00000000">
      <w:pPr>
        <w:spacing w:after="240"/>
        <w:rPr>
          <w:color w:val="000080"/>
        </w:rPr>
      </w:pPr>
      <w:r>
        <w:t>212.</w:t>
      </w:r>
      <w:r>
        <w:tab/>
        <w:t>1 561 autres ont obtenu une remise de peine suite à l’exécution du décret n</w:t>
      </w:r>
      <w:r>
        <w:rPr>
          <w:vertAlign w:val="superscript"/>
        </w:rPr>
        <w:t>o</w:t>
      </w:r>
      <w:r>
        <w:t> 2000/010 du 6 janvier 2000</w:t>
      </w:r>
      <w:r>
        <w:rPr>
          <w:color w:val="000080"/>
        </w:rPr>
        <w:t>.</w:t>
      </w:r>
    </w:p>
    <w:p w:rsidR="00000000" w:rsidRDefault="00000000">
      <w:pPr>
        <w:keepNext/>
        <w:spacing w:after="240"/>
      </w:pPr>
      <w:r>
        <w:t>213.</w:t>
      </w:r>
      <w:r>
        <w:tab/>
        <w:t>Répartition des détenus condamnés amnistiés:</w:t>
      </w:r>
    </w:p>
    <w:p w:rsidR="00000000" w:rsidRDefault="00000000">
      <w:pPr>
        <w:spacing w:after="240"/>
        <w:ind w:firstLine="567"/>
      </w:pPr>
      <w:r>
        <w:t>a)</w:t>
      </w:r>
      <w:r>
        <w:tab/>
        <w:t>1 469 détenus condamnés à une peine d’emprisonnement inférieure ou égale à un an;</w:t>
      </w:r>
    </w:p>
    <w:p w:rsidR="00000000" w:rsidRDefault="00000000">
      <w:pPr>
        <w:spacing w:after="240"/>
        <w:ind w:firstLine="567"/>
      </w:pPr>
      <w:r>
        <w:t>b)</w:t>
      </w:r>
      <w:r>
        <w:tab/>
        <w:t>26 mineurs de 18 ans au moment des faits, condamnés à une peine inférieure ou égale à 2 ans;</w:t>
      </w:r>
    </w:p>
    <w:p w:rsidR="00000000" w:rsidRDefault="00000000">
      <w:pPr>
        <w:spacing w:after="240"/>
        <w:ind w:firstLine="567"/>
      </w:pPr>
      <w:r>
        <w:t>c)</w:t>
      </w:r>
      <w:r>
        <w:tab/>
        <w:t>5 femmes enceintes condamnées à une peine inférieure ou égale à 2 ans;</w:t>
      </w:r>
    </w:p>
    <w:p w:rsidR="00000000" w:rsidRDefault="00000000">
      <w:pPr>
        <w:spacing w:after="240"/>
        <w:ind w:firstLine="567"/>
      </w:pPr>
      <w:r>
        <w:t>d)</w:t>
      </w:r>
      <w:r>
        <w:tab/>
        <w:t>61 condamnés des deux sexes, âgés de 60 ans et plus au 1</w:t>
      </w:r>
      <w:r>
        <w:rPr>
          <w:vertAlign w:val="superscript"/>
        </w:rPr>
        <w:t>er</w:t>
      </w:r>
      <w:r>
        <w:t> janvier 2000, et ayant accompli 20 ans ou plus de détention.</w:t>
      </w:r>
    </w:p>
    <w:p w:rsidR="00000000" w:rsidRDefault="00000000">
      <w:pPr>
        <w:keepNext/>
        <w:spacing w:after="240"/>
      </w:pPr>
      <w:r>
        <w:t>214.</w:t>
      </w:r>
      <w:r>
        <w:tab/>
        <w:t>Répartition des détenus condamnés bénéficiaires de la remise de peine:</w:t>
      </w:r>
    </w:p>
    <w:p w:rsidR="00000000" w:rsidRDefault="00000000">
      <w:pPr>
        <w:spacing w:after="240"/>
        <w:ind w:firstLine="567"/>
      </w:pPr>
      <w:r>
        <w:t>a)</w:t>
      </w:r>
      <w:r>
        <w:tab/>
        <w:t>3 267 remises de peine de 12 mois pour des condamnés à des peines supérieures à un an et inférieures ou égales à 5 ans;</w:t>
      </w:r>
    </w:p>
    <w:p w:rsidR="00000000" w:rsidRDefault="00000000">
      <w:pPr>
        <w:spacing w:after="240"/>
        <w:ind w:firstLine="567"/>
      </w:pPr>
      <w:r>
        <w:t>b)</w:t>
      </w:r>
      <w:r>
        <w:tab/>
        <w:t>1 343 remises de peines de 20 mois condamnés à des peines d’emprisonnement de 5 ans au plus;</w:t>
      </w:r>
    </w:p>
    <w:p w:rsidR="00000000" w:rsidRDefault="00000000">
      <w:pPr>
        <w:spacing w:after="240"/>
        <w:ind w:firstLine="567"/>
      </w:pPr>
      <w:r>
        <w:t>c)</w:t>
      </w:r>
      <w:r>
        <w:tab/>
        <w:t>79 remises totales de peines aux condamnés âgés entre 50 et 60 ans à la publication du décret;</w:t>
      </w:r>
    </w:p>
    <w:p w:rsidR="00000000" w:rsidRDefault="00000000">
      <w:pPr>
        <w:spacing w:after="240"/>
        <w:ind w:firstLine="567"/>
      </w:pPr>
      <w:r>
        <w:t>d)</w:t>
      </w:r>
      <w:r>
        <w:tab/>
        <w:t>16 remises totales de peines aux condamnés à la relégation.</w:t>
      </w:r>
    </w:p>
    <w:p w:rsidR="00000000" w:rsidRDefault="00000000">
      <w:pPr>
        <w:keepNext/>
        <w:spacing w:after="240"/>
        <w:rPr>
          <w:b/>
          <w:bCs/>
        </w:rPr>
      </w:pPr>
      <w:r>
        <w:rPr>
          <w:b/>
          <w:bCs/>
        </w:rPr>
        <w:t>Mesures de réinsertion sociale dans le cadre de l’article 10. 3 du Pacte</w:t>
      </w:r>
    </w:p>
    <w:p w:rsidR="00000000" w:rsidRDefault="00000000">
      <w:pPr>
        <w:spacing w:after="240"/>
      </w:pPr>
      <w:r>
        <w:t>215.</w:t>
      </w:r>
      <w:r>
        <w:tab/>
        <w:t>En vue d’une resocialisation des détenus de la Maison centrale d’Antananarivo, l’Administration pénitentiaire en collaboration avec des membres d’ONG et d’associations œuvrant dans le domaine de la protection et de la promotion des droits de l’homme ont organisé des formations accès sur:</w:t>
      </w:r>
    </w:p>
    <w:p w:rsidR="00000000" w:rsidRDefault="00000000">
      <w:pPr>
        <w:spacing w:after="180"/>
        <w:ind w:firstLine="567"/>
      </w:pPr>
      <w:r>
        <w:t>a)</w:t>
      </w:r>
      <w:r>
        <w:tab/>
        <w:t>L’alphabétisation;</w:t>
      </w:r>
    </w:p>
    <w:p w:rsidR="00000000" w:rsidRDefault="00000000">
      <w:pPr>
        <w:spacing w:after="180"/>
        <w:ind w:firstLine="567"/>
      </w:pPr>
      <w:r>
        <w:t>b)</w:t>
      </w:r>
      <w:r>
        <w:tab/>
        <w:t>La formation «d’éducateurs pairs»;</w:t>
      </w:r>
    </w:p>
    <w:p w:rsidR="00000000" w:rsidRDefault="00000000">
      <w:pPr>
        <w:spacing w:after="180"/>
        <w:ind w:firstLine="567"/>
      </w:pPr>
      <w:r>
        <w:t>c)</w:t>
      </w:r>
      <w:r>
        <w:tab/>
        <w:t>L’enseignement de langues étrangères;</w:t>
      </w:r>
    </w:p>
    <w:p w:rsidR="00000000" w:rsidRDefault="00000000">
      <w:pPr>
        <w:spacing w:after="180"/>
        <w:ind w:firstLine="567"/>
      </w:pPr>
      <w:r>
        <w:t>d)</w:t>
      </w:r>
      <w:r>
        <w:tab/>
        <w:t>L’éducation spirituelle (culte);</w:t>
      </w:r>
    </w:p>
    <w:p w:rsidR="00000000" w:rsidRDefault="00000000">
      <w:pPr>
        <w:spacing w:after="180"/>
        <w:ind w:firstLine="567"/>
      </w:pPr>
      <w:r>
        <w:t>e)</w:t>
      </w:r>
      <w:r>
        <w:tab/>
        <w:t>La broderie, la coupe et couture;</w:t>
      </w:r>
    </w:p>
    <w:p w:rsidR="00000000" w:rsidRDefault="00000000">
      <w:pPr>
        <w:spacing w:after="180"/>
        <w:ind w:firstLine="567"/>
      </w:pPr>
      <w:r>
        <w:t>f)</w:t>
      </w:r>
      <w:r>
        <w:tab/>
        <w:t>L’aérobic (pour les femmes);</w:t>
      </w:r>
    </w:p>
    <w:p w:rsidR="00000000" w:rsidRDefault="00000000">
      <w:pPr>
        <w:spacing w:after="180"/>
        <w:ind w:firstLine="567"/>
      </w:pPr>
      <w:r>
        <w:t>g)</w:t>
      </w:r>
      <w:r>
        <w:tab/>
        <w:t>La danse;</w:t>
      </w:r>
    </w:p>
    <w:p w:rsidR="00000000" w:rsidRDefault="00000000">
      <w:pPr>
        <w:spacing w:after="180"/>
        <w:ind w:firstLine="567"/>
      </w:pPr>
      <w:r>
        <w:t>h)</w:t>
      </w:r>
      <w:r>
        <w:tab/>
        <w:t>La vannerie;</w:t>
      </w:r>
    </w:p>
    <w:p w:rsidR="00000000" w:rsidRDefault="00000000">
      <w:pPr>
        <w:spacing w:after="240"/>
        <w:ind w:firstLine="567"/>
      </w:pPr>
      <w:r>
        <w:t>i)</w:t>
      </w:r>
      <w:r>
        <w:tab/>
        <w:t>La peinture.</w:t>
      </w:r>
    </w:p>
    <w:p w:rsidR="00000000" w:rsidRDefault="00000000">
      <w:pPr>
        <w:spacing w:after="240"/>
      </w:pPr>
      <w:r>
        <w:t>216.</w:t>
      </w:r>
      <w:r>
        <w:tab/>
        <w:t>Annuellement une exposition d’objets d’art et de broderies confectionnés par les détenues incluant les mineures se tient tous les 10 décembre lors de la commémoration de la Journée internationale des droits de l’homme. Cette exposition organisée par le Groupe de travail sur les droits de l’homme et pilotée par le Ministère de la justice est réalisée avec la participation active de l’Administration pénitentiaire.</w:t>
      </w:r>
    </w:p>
    <w:p w:rsidR="00000000" w:rsidRDefault="00000000">
      <w:pPr>
        <w:spacing w:after="240"/>
      </w:pPr>
      <w:r>
        <w:t>217.</w:t>
      </w:r>
      <w:r>
        <w:tab/>
        <w:t>Par ailleurs, des distractions et des loisirs non prohibés par la loi sont pratiqués à la Maison centrale d’Antanimora (football, jeux éducatifs, etc.).</w:t>
      </w:r>
    </w:p>
    <w:p w:rsidR="00000000" w:rsidRDefault="00000000">
      <w:pPr>
        <w:spacing w:after="240"/>
      </w:pPr>
      <w:r>
        <w:t>218.</w:t>
      </w:r>
      <w:r>
        <w:tab/>
        <w:t>Pour les cas des mineurs délinquants, abandonnés ou inadaptés, l’État peut les confier à des établissements privés agréés. Ces derniers perçoivent une indemnité journalière, représentative des frais de nourriture, d’entretien, de soins et d’habillement du mineur dont elle a la garde et ce conformément à l’application des dispositions de l’ordonnance n</w:t>
      </w:r>
      <w:r>
        <w:rPr>
          <w:vertAlign w:val="superscript"/>
        </w:rPr>
        <w:t>o</w:t>
      </w:r>
      <w:r>
        <w:t> 62</w:t>
      </w:r>
      <w:r>
        <w:noBreakHyphen/>
        <w:t>038 du 19 septembre 1962 sur la protection de l’enfance et de l’article premier du décret n</w:t>
      </w:r>
      <w:r>
        <w:rPr>
          <w:vertAlign w:val="superscript"/>
        </w:rPr>
        <w:t>o</w:t>
      </w:r>
      <w:r>
        <w:t> 72-294 du 28 juillet 1972 relatif aux frais de garde des mineurs délinquants, abandonnés ou inadaptés</w:t>
      </w:r>
      <w:r>
        <w:rPr>
          <w:i/>
          <w:iCs/>
        </w:rPr>
        <w:t>.</w:t>
      </w:r>
    </w:p>
    <w:p w:rsidR="00000000" w:rsidRDefault="00000000">
      <w:pPr>
        <w:spacing w:after="240"/>
      </w:pPr>
      <w:r>
        <w:t>219.</w:t>
      </w:r>
      <w:r>
        <w:tab/>
        <w:t>Jusqu’à ce jour, on n’a pas enregistré des plaintes officielles pour violation des droits de l’homme.</w:t>
      </w:r>
    </w:p>
    <w:p w:rsidR="00000000" w:rsidRDefault="00000000">
      <w:pPr>
        <w:keepNext/>
        <w:spacing w:after="240"/>
        <w:jc w:val="center"/>
        <w:rPr>
          <w:b/>
          <w:bCs/>
        </w:rPr>
      </w:pPr>
      <w:bookmarkStart w:id="373" w:name="_Toc98224903"/>
      <w:r>
        <w:rPr>
          <w:b/>
          <w:bCs/>
        </w:rPr>
        <w:t>ARTICLE 11</w:t>
      </w:r>
      <w:bookmarkEnd w:id="373"/>
    </w:p>
    <w:p w:rsidR="00000000" w:rsidRDefault="00000000">
      <w:pPr>
        <w:keepNext/>
        <w:spacing w:after="240"/>
        <w:jc w:val="center"/>
        <w:rPr>
          <w:b/>
          <w:bCs/>
        </w:rPr>
      </w:pPr>
      <w:r>
        <w:rPr>
          <w:b/>
          <w:bCs/>
        </w:rPr>
        <w:t>Interdiction d’incarcération pour dettes civiles</w:t>
      </w:r>
    </w:p>
    <w:p w:rsidR="00000000" w:rsidRDefault="00000000">
      <w:pPr>
        <w:spacing w:after="240"/>
      </w:pPr>
      <w:r>
        <w:t>220.</w:t>
      </w:r>
      <w:r>
        <w:tab/>
        <w:t>Dans le précédent rapport CCPR/C/28/Add.13 (p. 32, par. 150), le Ministre de la justice dans un souci de clarification de la hiérarchisation des normes a rappelé par circulaire la supériorité du Pacte par rapport à la loi.</w:t>
      </w:r>
    </w:p>
    <w:p w:rsidR="00000000" w:rsidRDefault="00000000">
      <w:pPr>
        <w:spacing w:after="240"/>
      </w:pPr>
      <w:r>
        <w:t>221.</w:t>
      </w:r>
      <w:r>
        <w:tab/>
        <w:t>Madagascar, ayant ratifié le Pacte, a l’obligation d’incorporer dans son droit interne, l’interdiction d’incarcération pour dettes civiles.</w:t>
      </w:r>
    </w:p>
    <w:p w:rsidR="00000000" w:rsidRDefault="00000000">
      <w:pPr>
        <w:spacing w:after="240"/>
      </w:pPr>
      <w:r>
        <w:t>222.</w:t>
      </w:r>
      <w:r>
        <w:tab/>
        <w:t>En conséquence, toutes les dispositions législatives antérieures contraires sont caduques. Il en est ainsi de:</w:t>
      </w:r>
    </w:p>
    <w:p w:rsidR="00000000" w:rsidRDefault="00000000">
      <w:pPr>
        <w:spacing w:after="240"/>
        <w:ind w:firstLine="567"/>
      </w:pPr>
      <w:r>
        <w:t>a)</w:t>
      </w:r>
      <w:r>
        <w:tab/>
        <w:t>L’article 4 de l’ordonnance n</w:t>
      </w:r>
      <w:r>
        <w:rPr>
          <w:vertAlign w:val="superscript"/>
        </w:rPr>
        <w:t>o</w:t>
      </w:r>
      <w:r>
        <w:t> 62-063 du 27 septembre 1962 portant disposition relative au crédit rural et réglée par la pratique qui n’admet plus l’application des textes nationaux contraires au Pacte;</w:t>
      </w:r>
    </w:p>
    <w:p w:rsidR="00000000" w:rsidRDefault="00000000">
      <w:pPr>
        <w:spacing w:after="240"/>
        <w:ind w:firstLine="567"/>
      </w:pPr>
      <w:r>
        <w:t>b)</w:t>
      </w:r>
      <w:r>
        <w:tab/>
        <w:t>L’article 17 de l’ordonnance n</w:t>
      </w:r>
      <w:r>
        <w:rPr>
          <w:vertAlign w:val="superscript"/>
        </w:rPr>
        <w:t>o</w:t>
      </w:r>
      <w:r>
        <w:t> 62 069 du 29 septembre 1962 relative au crédit coopératif;</w:t>
      </w:r>
    </w:p>
    <w:p w:rsidR="00000000" w:rsidRDefault="00000000">
      <w:pPr>
        <w:spacing w:after="240"/>
        <w:ind w:firstLine="567"/>
      </w:pPr>
      <w:r>
        <w:t>c)</w:t>
      </w:r>
      <w:r>
        <w:tab/>
        <w:t>L’article 2 de l’ordonnance n</w:t>
      </w:r>
      <w:r>
        <w:rPr>
          <w:vertAlign w:val="superscript"/>
        </w:rPr>
        <w:t>o</w:t>
      </w:r>
      <w:r>
        <w:t> 62 113 du 1</w:t>
      </w:r>
      <w:r>
        <w:rPr>
          <w:vertAlign w:val="superscript"/>
        </w:rPr>
        <w:t>er</w:t>
      </w:r>
      <w:r>
        <w:t xml:space="preserve"> octobre 1962 portant dispositions relatives au prêt destiné à la construction et à l’acquisition des biens meubles et immeubles.</w:t>
      </w:r>
    </w:p>
    <w:p w:rsidR="00000000" w:rsidRDefault="00000000">
      <w:pPr>
        <w:spacing w:after="240"/>
      </w:pPr>
      <w:r>
        <w:t>223.</w:t>
      </w:r>
      <w:r>
        <w:tab/>
        <w:t>Désormais, l’incarcération du débiteur prévue par ces textes n’est plus appliquée et le recouvrement des dettes de telle nature relève de la compétence des tribunaux civils.</w:t>
      </w:r>
    </w:p>
    <w:p w:rsidR="00000000" w:rsidRDefault="00000000">
      <w:pPr>
        <w:spacing w:after="240"/>
      </w:pPr>
      <w:r>
        <w:t>224.</w:t>
      </w:r>
      <w:r>
        <w:tab/>
        <w:t>Pour une meilleure application de l’article 11 du Pacte, les juridictions répressives exercent un contrôle de légalité des poursuites.</w:t>
      </w:r>
    </w:p>
    <w:p w:rsidR="00000000" w:rsidRDefault="00000000">
      <w:pPr>
        <w:spacing w:after="240"/>
      </w:pPr>
      <w:r>
        <w:t>225.</w:t>
      </w:r>
      <w:r>
        <w:tab/>
        <w:t>Le ministère public avant d’exercer l’action publique doit vérifier la nature civile ou pénale des faits dont il est saisi. L’incarcération n’est envisagée qu’en cas d’infraction à la loi pénale. Ce contrôle se poursuit devant toutes les juridictions répressives au niveau du Tribunal de première instance, de la cour d’appel, et devant la Cour de cassation.</w:t>
      </w:r>
    </w:p>
    <w:p w:rsidR="00000000" w:rsidRDefault="00000000">
      <w:pPr>
        <w:spacing w:after="240"/>
      </w:pPr>
      <w:r>
        <w:t>226.</w:t>
      </w:r>
      <w:r>
        <w:tab/>
        <w:t>L’application de l’article 408, alinéa 2 du Code pénal sur l’abus de confiance mérite de faire l’objet des précisions suivantes. Cet article prévoit une condamnation et éventuellement une incarcération pour refus d’exécution des obligations contractuelles lorsque le débiteur est en mesure d’honorer ses engagements.</w:t>
      </w:r>
    </w:p>
    <w:p w:rsidR="00000000" w:rsidRDefault="00000000">
      <w:pPr>
        <w:spacing w:after="240"/>
      </w:pPr>
      <w:r>
        <w:t>227.</w:t>
      </w:r>
      <w:r>
        <w:tab/>
        <w:t>L’incarcération prévue n’est pas incompatible avec l’article 11 du Pacte qui stipule «</w:t>
      </w:r>
      <w:r>
        <w:rPr>
          <w:i/>
          <w:iCs/>
        </w:rPr>
        <w:t>pour la seule raison qu’il n’est pas en mesure</w:t>
      </w:r>
      <w:r>
        <w:t xml:space="preserve">». En effet, ici l’emprisonnement est subordonné à un refus de mauvaise foi d’exécuter des obligations contractuelles alors que le débiteur est en mesure de les exécuter. </w:t>
      </w:r>
    </w:p>
    <w:p w:rsidR="00000000" w:rsidRDefault="00000000">
      <w:pPr>
        <w:spacing w:after="240"/>
      </w:pPr>
      <w:r>
        <w:t>228.</w:t>
      </w:r>
      <w:r>
        <w:tab/>
        <w:t>La Cour suprême, toutes chambres réunies, a par son arrêt n</w:t>
      </w:r>
      <w:r>
        <w:rPr>
          <w:vertAlign w:val="superscript"/>
        </w:rPr>
        <w:t>o</w:t>
      </w:r>
      <w:r>
        <w:t> 99 du 1</w:t>
      </w:r>
      <w:r>
        <w:rPr>
          <w:vertAlign w:val="superscript"/>
        </w:rPr>
        <w:t>er</w:t>
      </w:r>
      <w:r>
        <w:t xml:space="preserve"> août 2002 rappelé que l’article 408 – 2 du Code pénal n’est pas applicable à une inexécution d’obligations contractuelles. En l’espèce, il a été retenu que la non</w:t>
      </w:r>
      <w:r>
        <w:noBreakHyphen/>
        <w:t>finition des travaux et la non</w:t>
      </w:r>
      <w:r>
        <w:noBreakHyphen/>
        <w:t>conformité des matériaux utilisés sur les réalisations faites constituent une affaire civile.</w:t>
      </w:r>
    </w:p>
    <w:p w:rsidR="00000000" w:rsidRDefault="00000000">
      <w:pPr>
        <w:keepNext/>
        <w:spacing w:after="240"/>
        <w:jc w:val="center"/>
        <w:rPr>
          <w:b/>
          <w:bCs/>
        </w:rPr>
      </w:pPr>
      <w:bookmarkStart w:id="374" w:name="_Toc98224904"/>
      <w:r>
        <w:rPr>
          <w:b/>
          <w:bCs/>
        </w:rPr>
        <w:t>ARTICLE 12</w:t>
      </w:r>
      <w:bookmarkEnd w:id="374"/>
    </w:p>
    <w:p w:rsidR="00000000" w:rsidRDefault="00000000">
      <w:pPr>
        <w:keepNext/>
        <w:spacing w:after="240"/>
        <w:jc w:val="center"/>
        <w:rPr>
          <w:b/>
          <w:bCs/>
        </w:rPr>
      </w:pPr>
      <w:r>
        <w:rPr>
          <w:b/>
          <w:bCs/>
        </w:rPr>
        <w:t>Droit de libre circulation et d’établissement</w:t>
      </w:r>
    </w:p>
    <w:p w:rsidR="00000000" w:rsidRDefault="00000000">
      <w:pPr>
        <w:spacing w:after="240"/>
      </w:pPr>
      <w:r>
        <w:t>229.</w:t>
      </w:r>
      <w:r>
        <w:tab/>
        <w:t xml:space="preserve">L’évolution enregistrée depuis le rapport précédent est consacrée par la Constitution. </w:t>
      </w:r>
    </w:p>
    <w:p w:rsidR="00000000" w:rsidRDefault="00000000">
      <w:pPr>
        <w:spacing w:after="240"/>
      </w:pPr>
      <w:r>
        <w:t>230.</w:t>
      </w:r>
      <w:r>
        <w:tab/>
        <w:t>Les articles 10 et 12 énoncent les principes de la liberté de circulation et d’établissement</w:t>
      </w:r>
    </w:p>
    <w:p w:rsidR="00000000" w:rsidRDefault="00000000">
      <w:pPr>
        <w:spacing w:after="240"/>
        <w:rPr>
          <w:i/>
          <w:iCs/>
        </w:rPr>
      </w:pPr>
      <w:r>
        <w:t>231.</w:t>
      </w:r>
      <w:r>
        <w:tab/>
        <w:t xml:space="preserve">Article 10: </w:t>
      </w:r>
      <w:r>
        <w:rPr>
          <w:iCs/>
        </w:rPr>
        <w:t>«</w:t>
      </w:r>
      <w:r>
        <w:rPr>
          <w:i/>
          <w:iCs/>
        </w:rPr>
        <w:t>Les libertés (…) de circulation, (…) sont garanties à tous et ne peuvent être limitées que par le respect des libertés et droits d’autrui et par l’impératif de sauvegarder l’ordre public. (...)</w:t>
      </w:r>
      <w:r>
        <w:rPr>
          <w:iCs/>
        </w:rPr>
        <w:t>»</w:t>
      </w:r>
      <w:r>
        <w:rPr>
          <w:i/>
          <w:iCs/>
        </w:rPr>
        <w:t>.</w:t>
      </w:r>
    </w:p>
    <w:p w:rsidR="00000000" w:rsidRDefault="00000000">
      <w:pPr>
        <w:spacing w:after="240"/>
        <w:rPr>
          <w:i/>
          <w:iCs/>
        </w:rPr>
      </w:pPr>
      <w:r>
        <w:t>232.</w:t>
      </w:r>
      <w:r>
        <w:tab/>
        <w:t xml:space="preserve">Article 12, alinéa 2: </w:t>
      </w:r>
      <w:r>
        <w:rPr>
          <w:iCs/>
        </w:rPr>
        <w:t>«</w:t>
      </w:r>
      <w:r>
        <w:rPr>
          <w:i/>
          <w:iCs/>
        </w:rPr>
        <w:t>Tout individu a le droit de circuler et de s’établir librement sur tout le territoire de la République dans les respects des droits d’autrui et des prescriptions de la loi.</w:t>
      </w:r>
      <w:r>
        <w:rPr>
          <w:iCs/>
        </w:rPr>
        <w:t>».</w:t>
      </w:r>
    </w:p>
    <w:p w:rsidR="00000000" w:rsidRDefault="00000000">
      <w:pPr>
        <w:spacing w:after="240"/>
      </w:pPr>
      <w:r>
        <w:t>233.</w:t>
      </w:r>
      <w:r>
        <w:tab/>
        <w:t>Par ailleurs, la possibilité d’obtenir des visas d’entrée à l’aéroport ou au port de débarquement est accordée aux étrangers par l’arrêté interministériel n</w:t>
      </w:r>
      <w:r>
        <w:rPr>
          <w:vertAlign w:val="superscript"/>
        </w:rPr>
        <w:t>o</w:t>
      </w:r>
      <w:r>
        <w:t> 8421/97 − MAE/MININTER/MI/SESP du 19 septembre 1997 portant application du décret n</w:t>
      </w:r>
      <w:r>
        <w:rPr>
          <w:vertAlign w:val="superscript"/>
        </w:rPr>
        <w:t>o</w:t>
      </w:r>
      <w:r>
        <w:t> 94-652 du 11 octobre 1994 susvisé.</w:t>
      </w:r>
    </w:p>
    <w:p w:rsidR="00000000" w:rsidRDefault="00000000">
      <w:pPr>
        <w:spacing w:after="240"/>
      </w:pPr>
      <w:r>
        <w:t>234.</w:t>
      </w:r>
      <w:r>
        <w:tab/>
        <w:t>Cette mesure constitue une innovation par rapport à la situation antérieure.</w:t>
      </w:r>
    </w:p>
    <w:p w:rsidR="00000000" w:rsidRDefault="00000000">
      <w:pPr>
        <w:spacing w:after="240"/>
        <w:rPr>
          <w:i/>
          <w:iCs/>
        </w:rPr>
      </w:pPr>
      <w:r>
        <w:t>235.</w:t>
      </w:r>
      <w:r>
        <w:tab/>
        <w:t xml:space="preserve">Les prescriptions du Pacte visant le droit de quitter librement n’importe quel pays, y compris le sien, sont incorporées dans la Constitution de 1992 en son article 12, alinéa 1, ainsi libellé: </w:t>
      </w:r>
      <w:r>
        <w:rPr>
          <w:iCs/>
        </w:rPr>
        <w:t>«</w:t>
      </w:r>
      <w:r>
        <w:rPr>
          <w:i/>
          <w:iCs/>
        </w:rPr>
        <w:t>Tout ressortissant malagasy a le droit de quitter le territoire national et d’y entrer dans les conditions fixées par la loi.</w:t>
      </w:r>
      <w:r>
        <w:rPr>
          <w:iCs/>
        </w:rPr>
        <w:t>»</w:t>
      </w:r>
      <w:r>
        <w:rPr>
          <w:i/>
          <w:iCs/>
        </w:rPr>
        <w:t xml:space="preserve">. </w:t>
      </w:r>
    </w:p>
    <w:p w:rsidR="00000000" w:rsidRDefault="00000000">
      <w:pPr>
        <w:spacing w:after="240"/>
      </w:pPr>
      <w:r>
        <w:t>236.</w:t>
      </w:r>
      <w:r>
        <w:rPr>
          <w:i/>
          <w:iCs/>
        </w:rPr>
        <w:tab/>
      </w:r>
      <w:r>
        <w:t>En conséquence, l’obtention de visas de sortie exigée aux nationaux auparavant est supprimée.</w:t>
      </w:r>
    </w:p>
    <w:p w:rsidR="00000000" w:rsidRDefault="00000000">
      <w:pPr>
        <w:keepNext/>
        <w:spacing w:after="240"/>
        <w:jc w:val="center"/>
        <w:rPr>
          <w:b/>
          <w:bCs/>
        </w:rPr>
      </w:pPr>
      <w:bookmarkStart w:id="375" w:name="_Toc98224905"/>
      <w:r>
        <w:rPr>
          <w:b/>
          <w:bCs/>
        </w:rPr>
        <w:t>ARTICLE 13</w:t>
      </w:r>
      <w:bookmarkEnd w:id="375"/>
    </w:p>
    <w:p w:rsidR="00000000" w:rsidRDefault="00000000">
      <w:pPr>
        <w:keepNext/>
        <w:spacing w:after="240"/>
        <w:jc w:val="center"/>
        <w:rPr>
          <w:b/>
          <w:bCs/>
        </w:rPr>
      </w:pPr>
      <w:r>
        <w:rPr>
          <w:b/>
          <w:bCs/>
        </w:rPr>
        <w:t>L’expulsion d’un étranger</w:t>
      </w:r>
    </w:p>
    <w:p w:rsidR="00000000" w:rsidRDefault="00000000">
      <w:pPr>
        <w:spacing w:after="240"/>
      </w:pPr>
      <w:r>
        <w:t>237.</w:t>
      </w:r>
      <w:r>
        <w:tab/>
        <w:t>La loi n</w:t>
      </w:r>
      <w:r>
        <w:rPr>
          <w:vertAlign w:val="superscript"/>
        </w:rPr>
        <w:t>o</w:t>
      </w:r>
      <w:r>
        <w:t> 62</w:t>
      </w:r>
      <w:r>
        <w:noBreakHyphen/>
        <w:t>006 du 6 juin 1962 fixant l’organisation et le contrôle de l’immigration précise les modalités applicables en cas de refoulement ou d’expulsion d’un étranger.</w:t>
      </w:r>
    </w:p>
    <w:p w:rsidR="00000000" w:rsidRDefault="00000000">
      <w:pPr>
        <w:spacing w:after="240"/>
      </w:pPr>
      <w:r>
        <w:t>238.</w:t>
      </w:r>
      <w:r>
        <w:tab/>
        <w:t>Le refoulement ou l’expulsion d’un étranger est prononcé dans les formes et conditions prévues aux articles 12 à 14 de cette loi:</w:t>
      </w:r>
    </w:p>
    <w:p w:rsidR="00000000" w:rsidRDefault="00000000">
      <w:pPr>
        <w:spacing w:after="240"/>
        <w:ind w:firstLine="567"/>
        <w:rPr>
          <w:i/>
          <w:iCs/>
        </w:rPr>
      </w:pPr>
      <w:r>
        <w:t>a)</w:t>
      </w:r>
      <w:r>
        <w:tab/>
        <w:t xml:space="preserve">L’article 12: </w:t>
      </w:r>
      <w:r>
        <w:rPr>
          <w:iCs/>
        </w:rPr>
        <w:t>«</w:t>
      </w:r>
      <w:r>
        <w:rPr>
          <w:i/>
          <w:iCs/>
        </w:rPr>
        <w:t>L’étranger qui est entré irrégulièrement ou qui n’a pas quitté le territoire à l’expiration du séjour qui lui a été accordé peut être refoulé sans préjudice des condamnations encourues.</w:t>
      </w:r>
      <w:r>
        <w:rPr>
          <w:iCs/>
        </w:rPr>
        <w:t>»;</w:t>
      </w:r>
    </w:p>
    <w:p w:rsidR="00000000" w:rsidRDefault="00000000">
      <w:pPr>
        <w:spacing w:after="240"/>
        <w:ind w:firstLine="567"/>
        <w:rPr>
          <w:i/>
          <w:iCs/>
        </w:rPr>
      </w:pPr>
      <w:r>
        <w:t>b)</w:t>
      </w:r>
      <w:r>
        <w:tab/>
        <w:t>L’article 13 indique</w:t>
      </w:r>
      <w:r>
        <w:rPr>
          <w:i/>
          <w:iCs/>
        </w:rPr>
        <w:t xml:space="preserve">: </w:t>
      </w:r>
      <w:r>
        <w:rPr>
          <w:iCs/>
        </w:rPr>
        <w:t>«</w:t>
      </w:r>
      <w:r>
        <w:rPr>
          <w:i/>
          <w:iCs/>
        </w:rPr>
        <w:t>peut également être refoulé, l’étranger admis à séjourner temporairement lorsque sa présence sur le territoire constitue une menace pour le maintien de l’ordre public, la protection de la santé, la moralité ou la sécurité publique</w:t>
      </w:r>
      <w:r>
        <w:rPr>
          <w:iCs/>
        </w:rPr>
        <w:t>»;</w:t>
      </w:r>
    </w:p>
    <w:p w:rsidR="00000000" w:rsidRDefault="00000000">
      <w:pPr>
        <w:spacing w:after="240"/>
        <w:ind w:firstLine="567"/>
        <w:rPr>
          <w:i/>
          <w:iCs/>
        </w:rPr>
      </w:pPr>
      <w:r>
        <w:t>c)</w:t>
      </w:r>
      <w:r>
        <w:tab/>
        <w:t>l’article 14 précise que «</w:t>
      </w:r>
      <w:r>
        <w:rPr>
          <w:i/>
          <w:iCs/>
        </w:rPr>
        <w:t>l’expulsion peut être prononcée par arrêté du Ministre de l’intérieur si la résidence d’un étranger sur le territoire constitue une menace pour l’ordre ou la sécurité public. L’arrêté d’expulsion est rapporté, le cas échéant, dans les mêmes formes</w:t>
      </w:r>
      <w:r>
        <w:rPr>
          <w:iCs/>
        </w:rPr>
        <w:t>».</w:t>
      </w:r>
    </w:p>
    <w:p w:rsidR="00000000" w:rsidRDefault="00000000">
      <w:pPr>
        <w:spacing w:after="240"/>
      </w:pPr>
      <w:r>
        <w:t>239.</w:t>
      </w:r>
      <w:r>
        <w:tab/>
        <w:t>L’étranger qui a fait l’objet d’un arrêté d’expulsion a la possibilité, s’il le demande, d’être entendu seul ou assisté d’un conseil par une commission spéciale, conformément à l’article 34 du décret n</w:t>
      </w:r>
      <w:r>
        <w:rPr>
          <w:vertAlign w:val="superscript"/>
        </w:rPr>
        <w:t>o</w:t>
      </w:r>
      <w:r>
        <w:t> 94-652 du 11 octobre 1994 portant application de la loi susvisée. Cette commission spéciale est composée du:</w:t>
      </w:r>
    </w:p>
    <w:p w:rsidR="00000000" w:rsidRDefault="00000000">
      <w:pPr>
        <w:spacing w:after="240"/>
        <w:ind w:firstLine="567"/>
      </w:pPr>
      <w:r>
        <w:t>a)</w:t>
      </w:r>
      <w:r>
        <w:tab/>
        <w:t>Président de la Délégation Spéciale du Faritany ou son vice-président;</w:t>
      </w:r>
    </w:p>
    <w:p w:rsidR="00000000" w:rsidRDefault="00000000">
      <w:pPr>
        <w:spacing w:after="240"/>
        <w:ind w:firstLine="567"/>
      </w:pPr>
      <w:r>
        <w:t>b)</w:t>
      </w:r>
      <w:r>
        <w:tab/>
        <w:t>Président de la délégation spéciale du Fivondronam-pokontany du lieu de résidence de l’intéressé ou de son représentant;</w:t>
      </w:r>
    </w:p>
    <w:p w:rsidR="00000000" w:rsidRDefault="00000000">
      <w:pPr>
        <w:spacing w:after="240"/>
        <w:ind w:firstLine="567"/>
      </w:pPr>
      <w:r>
        <w:t>c)</w:t>
      </w:r>
      <w:r>
        <w:tab/>
        <w:t>Directeur régional de sécurité et de police ou son représentant;</w:t>
      </w:r>
    </w:p>
    <w:p w:rsidR="00000000" w:rsidRDefault="00000000">
      <w:pPr>
        <w:spacing w:after="240"/>
        <w:ind w:firstLine="567"/>
      </w:pPr>
      <w:r>
        <w:t>d)</w:t>
      </w:r>
      <w:r>
        <w:tab/>
        <w:t>Fonctionnaire désigné par le président de la délégation spéciale du Faritany qui assure le secrétariat.</w:t>
      </w:r>
    </w:p>
    <w:p w:rsidR="00000000" w:rsidRDefault="00000000">
      <w:pPr>
        <w:spacing w:after="240"/>
      </w:pPr>
      <w:r>
        <w:t>240.</w:t>
      </w:r>
      <w:r>
        <w:tab/>
        <w:t>À</w:t>
      </w:r>
      <w:r>
        <w:rPr>
          <w:color w:val="000000"/>
        </w:rPr>
        <w:t xml:space="preserve"> </w:t>
      </w:r>
      <w:r>
        <w:t xml:space="preserve">la fin de l’audition, la Commission dresse un procès-verbal de réunion incluant </w:t>
      </w:r>
      <w:r>
        <w:rPr>
          <w:iCs/>
        </w:rPr>
        <w:t>«</w:t>
      </w:r>
      <w:r>
        <w:rPr>
          <w:i/>
          <w:iCs/>
        </w:rPr>
        <w:t>les explications de l’intéressé et éventuellement, les résultats des enquêtes complémentaires et l’avis motivé de la Commission</w:t>
      </w:r>
      <w:r>
        <w:rPr>
          <w:iCs/>
        </w:rPr>
        <w:t>»</w:t>
      </w:r>
      <w:r>
        <w:rPr>
          <w:i/>
          <w:iCs/>
        </w:rPr>
        <w:t xml:space="preserve"> </w:t>
      </w:r>
      <w:r>
        <w:t>(art. 37).</w:t>
      </w:r>
    </w:p>
    <w:p w:rsidR="00000000" w:rsidRDefault="00000000">
      <w:pPr>
        <w:spacing w:after="240"/>
      </w:pPr>
      <w:r>
        <w:t>241.</w:t>
      </w:r>
      <w:r>
        <w:tab/>
        <w:t>Le dossier est ensuite transmis au Ministère de l’intérieur de la réforme administrative qui statue.</w:t>
      </w:r>
    </w:p>
    <w:p w:rsidR="00000000" w:rsidRDefault="00000000">
      <w:pPr>
        <w:spacing w:after="240"/>
      </w:pPr>
      <w:r>
        <w:t>242.</w:t>
      </w:r>
      <w:r>
        <w:tab/>
        <w:t>Si le Ministère de l’intérieur confirme l’arrêté d’expulsion, l’étranger concerné a la possibilité d’intenter un recours pour excès de pouvoir devant la chambre administrative.</w:t>
      </w:r>
    </w:p>
    <w:p w:rsidR="00000000" w:rsidRDefault="00000000">
      <w:pPr>
        <w:keepNext/>
        <w:spacing w:after="240"/>
        <w:ind w:firstLine="567"/>
        <w:rPr>
          <w:b/>
          <w:bCs/>
        </w:rPr>
      </w:pPr>
      <w:r>
        <w:rPr>
          <w:b/>
          <w:bCs/>
        </w:rPr>
        <w:t>Situation des réfugiés</w:t>
      </w:r>
    </w:p>
    <w:p w:rsidR="00000000" w:rsidRDefault="00000000">
      <w:pPr>
        <w:spacing w:after="240"/>
      </w:pPr>
      <w:r>
        <w:t>243.</w:t>
      </w:r>
      <w:r>
        <w:tab/>
        <w:t>Signataire de la Convention des Nations Unies de 1951 et de la Convention de l’OUA de 1969, régissant les aspects propres aux réfugiés, Madagascar ne les a pas encore ratifiées.</w:t>
      </w:r>
    </w:p>
    <w:p w:rsidR="00000000" w:rsidRDefault="00000000">
      <w:pPr>
        <w:spacing w:after="240"/>
      </w:pPr>
      <w:r>
        <w:t>244.</w:t>
      </w:r>
      <w:r>
        <w:tab/>
        <w:t>Madagascar a accepté d’accueillir des réfugiés sur son territoire, sans avoir pu les prendre en charge.</w:t>
      </w:r>
    </w:p>
    <w:p w:rsidR="00000000" w:rsidRDefault="00000000">
      <w:pPr>
        <w:spacing w:after="240"/>
      </w:pPr>
      <w:r>
        <w:t>245.</w:t>
      </w:r>
      <w:r>
        <w:tab/>
        <w:t xml:space="preserve">Lors d’un séminaire portant sur </w:t>
      </w:r>
      <w:r>
        <w:rPr>
          <w:iCs/>
        </w:rPr>
        <w:t>«</w:t>
      </w:r>
      <w:r>
        <w:rPr>
          <w:i/>
          <w:iCs/>
        </w:rPr>
        <w:t>les impacts des instruments internationaux relatifs aux réfugiés et apatrides, organisé par le Programme des Nations Unies pour le développement (PNUD) à l’intention des fonctionnaires malagasy</w:t>
      </w:r>
      <w:r>
        <w:rPr>
          <w:iCs/>
        </w:rPr>
        <w:t>»</w:t>
      </w:r>
      <w:r>
        <w:t>, tenu à Antananarivo, du 17 au 19 octobre 2000, le Haut</w:t>
      </w:r>
      <w:r>
        <w:noBreakHyphen/>
        <w:t>Commissariat pour les Réfugiés (HCR) et le PNUD ont tenu à adresser leurs remerciements au Gouvernement malagasy pour son respect du principe de non</w:t>
      </w:r>
      <w:r>
        <w:noBreakHyphen/>
        <w:t>refoulement vis</w:t>
      </w:r>
      <w:r>
        <w:noBreakHyphen/>
        <w:t>à</w:t>
      </w:r>
      <w:r>
        <w:noBreakHyphen/>
        <w:t>vis des réfugiés hébergés à Madagascar et leur protection efficace en attendant que le HCR trouve une solution.</w:t>
      </w:r>
    </w:p>
    <w:p w:rsidR="00000000" w:rsidRDefault="00000000">
      <w:pPr>
        <w:spacing w:after="240"/>
        <w:jc w:val="center"/>
        <w:rPr>
          <w:b/>
          <w:bCs/>
        </w:rPr>
      </w:pPr>
      <w:bookmarkStart w:id="376" w:name="_Toc98224977"/>
      <w:r>
        <w:rPr>
          <w:b/>
          <w:bCs/>
        </w:rPr>
        <w:t>Tableau 46: Réfugiés à Madagascar 2001-2004</w:t>
      </w:r>
      <w:bookmarkEnd w:id="376"/>
    </w:p>
    <w:tbl>
      <w:tblPr>
        <w:tblW w:w="0" w:type="auto"/>
        <w:jc w:val="center"/>
        <w:tblInd w:w="-2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6"/>
        <w:gridCol w:w="1560"/>
        <w:gridCol w:w="2449"/>
      </w:tblGrid>
      <w:tr w:rsidR="00000000">
        <w:tblPrEx>
          <w:tblCellMar>
            <w:top w:w="0" w:type="dxa"/>
            <w:bottom w:w="0" w:type="dxa"/>
          </w:tblCellMar>
        </w:tblPrEx>
        <w:trPr>
          <w:jc w:val="center"/>
        </w:trPr>
        <w:tc>
          <w:tcPr>
            <w:tcW w:w="2596" w:type="dxa"/>
            <w:vAlign w:val="center"/>
          </w:tcPr>
          <w:p w:rsidR="00000000" w:rsidRDefault="00000000">
            <w:pPr>
              <w:spacing w:before="60" w:after="60"/>
              <w:jc w:val="center"/>
            </w:pPr>
            <w:r>
              <w:t>Pays d’origine</w:t>
            </w:r>
          </w:p>
        </w:tc>
        <w:tc>
          <w:tcPr>
            <w:tcW w:w="1560" w:type="dxa"/>
            <w:vAlign w:val="center"/>
          </w:tcPr>
          <w:p w:rsidR="00000000" w:rsidRDefault="00000000">
            <w:pPr>
              <w:spacing w:before="60" w:after="60"/>
              <w:jc w:val="center"/>
            </w:pPr>
            <w:r>
              <w:t>Nombre</w:t>
            </w:r>
          </w:p>
        </w:tc>
        <w:tc>
          <w:tcPr>
            <w:tcW w:w="2449" w:type="dxa"/>
            <w:vAlign w:val="center"/>
          </w:tcPr>
          <w:p w:rsidR="00000000" w:rsidRDefault="00000000">
            <w:pPr>
              <w:spacing w:before="60" w:after="60"/>
              <w:jc w:val="center"/>
            </w:pPr>
            <w:r>
              <w:t>Nombre de dépendants</w:t>
            </w:r>
          </w:p>
        </w:tc>
      </w:tr>
      <w:tr w:rsidR="00000000">
        <w:tblPrEx>
          <w:tblCellMar>
            <w:top w:w="0" w:type="dxa"/>
            <w:bottom w:w="0" w:type="dxa"/>
          </w:tblCellMar>
        </w:tblPrEx>
        <w:trPr>
          <w:jc w:val="center"/>
        </w:trPr>
        <w:tc>
          <w:tcPr>
            <w:tcW w:w="2596" w:type="dxa"/>
          </w:tcPr>
          <w:p w:rsidR="00000000" w:rsidRDefault="00000000">
            <w:pPr>
              <w:spacing w:before="60" w:after="60"/>
              <w:rPr>
                <w:lang w:val="en-GB"/>
              </w:rPr>
            </w:pPr>
            <w:r>
              <w:rPr>
                <w:lang w:val="en-GB"/>
              </w:rPr>
              <w:t>Angola</w:t>
            </w:r>
          </w:p>
        </w:tc>
        <w:tc>
          <w:tcPr>
            <w:tcW w:w="1560" w:type="dxa"/>
          </w:tcPr>
          <w:p w:rsidR="00000000" w:rsidRDefault="00000000">
            <w:pPr>
              <w:spacing w:before="60" w:after="60"/>
              <w:ind w:right="541"/>
              <w:jc w:val="right"/>
              <w:rPr>
                <w:lang w:val="en-GB"/>
              </w:rPr>
            </w:pPr>
            <w:r>
              <w:rPr>
                <w:lang w:val="en-GB"/>
              </w:rPr>
              <w:t>01</w:t>
            </w:r>
          </w:p>
        </w:tc>
        <w:tc>
          <w:tcPr>
            <w:tcW w:w="2449" w:type="dxa"/>
          </w:tcPr>
          <w:p w:rsidR="00000000" w:rsidRDefault="00000000">
            <w:pPr>
              <w:spacing w:before="60" w:after="60"/>
              <w:ind w:right="1070"/>
              <w:jc w:val="right"/>
              <w:rPr>
                <w:lang w:val="en-GB"/>
              </w:rPr>
            </w:pPr>
            <w:r>
              <w:rPr>
                <w:lang w:val="en-GB"/>
              </w:rPr>
              <w:t>00</w:t>
            </w:r>
          </w:p>
        </w:tc>
      </w:tr>
      <w:tr w:rsidR="00000000">
        <w:tblPrEx>
          <w:tblCellMar>
            <w:top w:w="0" w:type="dxa"/>
            <w:bottom w:w="0" w:type="dxa"/>
          </w:tblCellMar>
        </w:tblPrEx>
        <w:trPr>
          <w:jc w:val="center"/>
        </w:trPr>
        <w:tc>
          <w:tcPr>
            <w:tcW w:w="2596" w:type="dxa"/>
          </w:tcPr>
          <w:p w:rsidR="00000000" w:rsidRDefault="00000000">
            <w:pPr>
              <w:spacing w:before="60" w:after="60"/>
              <w:rPr>
                <w:bCs/>
                <w:lang w:val="en-GB"/>
              </w:rPr>
            </w:pPr>
            <w:r>
              <w:rPr>
                <w:bCs/>
                <w:lang w:val="en-GB"/>
              </w:rPr>
              <w:t>Burundi</w:t>
            </w:r>
          </w:p>
        </w:tc>
        <w:tc>
          <w:tcPr>
            <w:tcW w:w="1560" w:type="dxa"/>
          </w:tcPr>
          <w:p w:rsidR="00000000" w:rsidRDefault="00000000">
            <w:pPr>
              <w:spacing w:before="60" w:after="60"/>
              <w:ind w:right="541"/>
              <w:jc w:val="right"/>
              <w:rPr>
                <w:bCs/>
                <w:lang w:val="en-GB"/>
              </w:rPr>
            </w:pPr>
            <w:r>
              <w:rPr>
                <w:bCs/>
                <w:lang w:val="en-GB"/>
              </w:rPr>
              <w:t>02</w:t>
            </w:r>
          </w:p>
        </w:tc>
        <w:tc>
          <w:tcPr>
            <w:tcW w:w="2449" w:type="dxa"/>
          </w:tcPr>
          <w:p w:rsidR="00000000" w:rsidRDefault="00000000">
            <w:pPr>
              <w:spacing w:before="60" w:after="60"/>
              <w:ind w:right="1070"/>
              <w:jc w:val="right"/>
              <w:rPr>
                <w:bCs/>
                <w:lang w:val="en-GB"/>
              </w:rPr>
            </w:pPr>
            <w:r>
              <w:rPr>
                <w:bCs/>
                <w:lang w:val="en-GB"/>
              </w:rPr>
              <w:t>00</w:t>
            </w:r>
          </w:p>
        </w:tc>
      </w:tr>
      <w:tr w:rsidR="00000000">
        <w:tblPrEx>
          <w:tblCellMar>
            <w:top w:w="0" w:type="dxa"/>
            <w:bottom w:w="0" w:type="dxa"/>
          </w:tblCellMar>
        </w:tblPrEx>
        <w:trPr>
          <w:jc w:val="center"/>
        </w:trPr>
        <w:tc>
          <w:tcPr>
            <w:tcW w:w="2596" w:type="dxa"/>
          </w:tcPr>
          <w:p w:rsidR="00000000" w:rsidRDefault="00000000">
            <w:pPr>
              <w:spacing w:before="60" w:after="60"/>
              <w:rPr>
                <w:lang w:val="en-GB"/>
              </w:rPr>
            </w:pPr>
            <w:r>
              <w:rPr>
                <w:lang w:val="en-GB"/>
              </w:rPr>
              <w:t>Cameroun</w:t>
            </w:r>
          </w:p>
        </w:tc>
        <w:tc>
          <w:tcPr>
            <w:tcW w:w="1560" w:type="dxa"/>
          </w:tcPr>
          <w:p w:rsidR="00000000" w:rsidRDefault="00000000">
            <w:pPr>
              <w:spacing w:before="60" w:after="60"/>
              <w:ind w:right="541"/>
              <w:jc w:val="right"/>
            </w:pPr>
            <w:r>
              <w:t>01</w:t>
            </w:r>
          </w:p>
        </w:tc>
        <w:tc>
          <w:tcPr>
            <w:tcW w:w="2449" w:type="dxa"/>
          </w:tcPr>
          <w:p w:rsidR="00000000" w:rsidRDefault="00000000">
            <w:pPr>
              <w:spacing w:before="60" w:after="60"/>
              <w:ind w:right="1070"/>
              <w:jc w:val="right"/>
            </w:pPr>
            <w:r>
              <w:t>01</w:t>
            </w:r>
          </w:p>
        </w:tc>
      </w:tr>
      <w:tr w:rsidR="00000000">
        <w:tblPrEx>
          <w:tblCellMar>
            <w:top w:w="0" w:type="dxa"/>
            <w:bottom w:w="0" w:type="dxa"/>
          </w:tblCellMar>
        </w:tblPrEx>
        <w:trPr>
          <w:jc w:val="center"/>
        </w:trPr>
        <w:tc>
          <w:tcPr>
            <w:tcW w:w="2596" w:type="dxa"/>
          </w:tcPr>
          <w:p w:rsidR="00000000" w:rsidRDefault="00000000">
            <w:pPr>
              <w:spacing w:before="60" w:after="60"/>
            </w:pPr>
            <w:r>
              <w:t>Congo</w:t>
            </w:r>
          </w:p>
        </w:tc>
        <w:tc>
          <w:tcPr>
            <w:tcW w:w="1560" w:type="dxa"/>
          </w:tcPr>
          <w:p w:rsidR="00000000" w:rsidRDefault="00000000">
            <w:pPr>
              <w:spacing w:before="60" w:after="60"/>
              <w:ind w:right="541"/>
              <w:jc w:val="right"/>
            </w:pPr>
            <w:r>
              <w:t>12</w:t>
            </w:r>
          </w:p>
        </w:tc>
        <w:tc>
          <w:tcPr>
            <w:tcW w:w="2449" w:type="dxa"/>
          </w:tcPr>
          <w:p w:rsidR="00000000" w:rsidRDefault="00000000">
            <w:pPr>
              <w:spacing w:before="60" w:after="60"/>
              <w:ind w:right="1070"/>
              <w:jc w:val="right"/>
            </w:pPr>
            <w:r>
              <w:t>12</w:t>
            </w:r>
          </w:p>
        </w:tc>
      </w:tr>
      <w:tr w:rsidR="00000000">
        <w:tblPrEx>
          <w:tblCellMar>
            <w:top w:w="0" w:type="dxa"/>
            <w:bottom w:w="0" w:type="dxa"/>
          </w:tblCellMar>
        </w:tblPrEx>
        <w:trPr>
          <w:jc w:val="center"/>
        </w:trPr>
        <w:tc>
          <w:tcPr>
            <w:tcW w:w="2596" w:type="dxa"/>
          </w:tcPr>
          <w:p w:rsidR="00000000" w:rsidRDefault="00000000">
            <w:pPr>
              <w:spacing w:before="60" w:after="60"/>
            </w:pPr>
            <w:r>
              <w:t>Éthiopie</w:t>
            </w:r>
          </w:p>
        </w:tc>
        <w:tc>
          <w:tcPr>
            <w:tcW w:w="1560" w:type="dxa"/>
          </w:tcPr>
          <w:p w:rsidR="00000000" w:rsidRDefault="00000000">
            <w:pPr>
              <w:spacing w:before="60" w:after="60"/>
              <w:ind w:right="541"/>
              <w:jc w:val="right"/>
            </w:pPr>
            <w:r>
              <w:t>02</w:t>
            </w:r>
          </w:p>
        </w:tc>
        <w:tc>
          <w:tcPr>
            <w:tcW w:w="2449" w:type="dxa"/>
          </w:tcPr>
          <w:p w:rsidR="00000000" w:rsidRDefault="00000000">
            <w:pPr>
              <w:spacing w:before="60" w:after="60"/>
              <w:ind w:right="1070"/>
              <w:jc w:val="right"/>
            </w:pPr>
            <w:r>
              <w:t>02</w:t>
            </w:r>
          </w:p>
        </w:tc>
      </w:tr>
      <w:tr w:rsidR="00000000">
        <w:tblPrEx>
          <w:tblCellMar>
            <w:top w:w="0" w:type="dxa"/>
            <w:bottom w:w="0" w:type="dxa"/>
          </w:tblCellMar>
        </w:tblPrEx>
        <w:trPr>
          <w:jc w:val="center"/>
        </w:trPr>
        <w:tc>
          <w:tcPr>
            <w:tcW w:w="2596" w:type="dxa"/>
          </w:tcPr>
          <w:p w:rsidR="00000000" w:rsidRDefault="00000000">
            <w:pPr>
              <w:spacing w:before="60" w:after="60"/>
            </w:pPr>
            <w:r>
              <w:t>Libéria</w:t>
            </w:r>
          </w:p>
        </w:tc>
        <w:tc>
          <w:tcPr>
            <w:tcW w:w="1560" w:type="dxa"/>
          </w:tcPr>
          <w:p w:rsidR="00000000" w:rsidRDefault="00000000">
            <w:pPr>
              <w:spacing w:before="60" w:after="60"/>
              <w:ind w:right="541"/>
              <w:jc w:val="right"/>
            </w:pPr>
            <w:r>
              <w:t>08</w:t>
            </w:r>
          </w:p>
        </w:tc>
        <w:tc>
          <w:tcPr>
            <w:tcW w:w="2449" w:type="dxa"/>
          </w:tcPr>
          <w:p w:rsidR="00000000" w:rsidRDefault="00000000">
            <w:pPr>
              <w:spacing w:before="60" w:after="60"/>
              <w:ind w:right="1070"/>
              <w:jc w:val="right"/>
            </w:pPr>
            <w:r>
              <w:t>07</w:t>
            </w:r>
          </w:p>
        </w:tc>
      </w:tr>
      <w:tr w:rsidR="00000000">
        <w:tblPrEx>
          <w:tblCellMar>
            <w:top w:w="0" w:type="dxa"/>
            <w:bottom w:w="0" w:type="dxa"/>
          </w:tblCellMar>
        </w:tblPrEx>
        <w:trPr>
          <w:jc w:val="center"/>
        </w:trPr>
        <w:tc>
          <w:tcPr>
            <w:tcW w:w="2596" w:type="dxa"/>
          </w:tcPr>
          <w:p w:rsidR="00000000" w:rsidRDefault="00000000">
            <w:pPr>
              <w:spacing w:before="60" w:after="60"/>
            </w:pPr>
            <w:r>
              <w:t>Palestine</w:t>
            </w:r>
          </w:p>
        </w:tc>
        <w:tc>
          <w:tcPr>
            <w:tcW w:w="1560" w:type="dxa"/>
          </w:tcPr>
          <w:p w:rsidR="00000000" w:rsidRDefault="00000000">
            <w:pPr>
              <w:spacing w:before="60" w:after="60"/>
              <w:ind w:right="541"/>
              <w:jc w:val="right"/>
            </w:pPr>
            <w:r>
              <w:t>01</w:t>
            </w:r>
          </w:p>
        </w:tc>
        <w:tc>
          <w:tcPr>
            <w:tcW w:w="2449" w:type="dxa"/>
          </w:tcPr>
          <w:p w:rsidR="00000000" w:rsidRDefault="00000000">
            <w:pPr>
              <w:spacing w:before="60" w:after="60"/>
              <w:ind w:right="1070"/>
              <w:jc w:val="right"/>
            </w:pPr>
            <w:r>
              <w:t>04</w:t>
            </w:r>
          </w:p>
        </w:tc>
      </w:tr>
      <w:tr w:rsidR="00000000">
        <w:tblPrEx>
          <w:tblCellMar>
            <w:top w:w="0" w:type="dxa"/>
            <w:bottom w:w="0" w:type="dxa"/>
          </w:tblCellMar>
        </w:tblPrEx>
        <w:trPr>
          <w:jc w:val="center"/>
        </w:trPr>
        <w:tc>
          <w:tcPr>
            <w:tcW w:w="2596" w:type="dxa"/>
          </w:tcPr>
          <w:p w:rsidR="00000000" w:rsidRDefault="00000000">
            <w:pPr>
              <w:spacing w:before="60" w:after="60"/>
            </w:pPr>
            <w:r>
              <w:t>Rwanda</w:t>
            </w:r>
          </w:p>
        </w:tc>
        <w:tc>
          <w:tcPr>
            <w:tcW w:w="1560" w:type="dxa"/>
          </w:tcPr>
          <w:p w:rsidR="00000000" w:rsidRDefault="00000000">
            <w:pPr>
              <w:spacing w:before="60" w:after="60"/>
              <w:ind w:right="541"/>
              <w:jc w:val="right"/>
            </w:pPr>
            <w:r>
              <w:t>02</w:t>
            </w:r>
          </w:p>
        </w:tc>
        <w:tc>
          <w:tcPr>
            <w:tcW w:w="2449" w:type="dxa"/>
          </w:tcPr>
          <w:p w:rsidR="00000000" w:rsidRDefault="00000000">
            <w:pPr>
              <w:spacing w:before="60" w:after="60"/>
              <w:ind w:right="1070"/>
              <w:jc w:val="right"/>
            </w:pPr>
            <w:r>
              <w:t>014</w:t>
            </w:r>
          </w:p>
        </w:tc>
      </w:tr>
      <w:tr w:rsidR="00000000">
        <w:tblPrEx>
          <w:tblCellMar>
            <w:top w:w="0" w:type="dxa"/>
            <w:bottom w:w="0" w:type="dxa"/>
          </w:tblCellMar>
        </w:tblPrEx>
        <w:trPr>
          <w:jc w:val="center"/>
        </w:trPr>
        <w:tc>
          <w:tcPr>
            <w:tcW w:w="2596" w:type="dxa"/>
          </w:tcPr>
          <w:p w:rsidR="00000000" w:rsidRDefault="00000000">
            <w:pPr>
              <w:spacing w:before="60" w:after="60"/>
            </w:pPr>
            <w:r>
              <w:t>Sous-total</w:t>
            </w:r>
          </w:p>
        </w:tc>
        <w:tc>
          <w:tcPr>
            <w:tcW w:w="1560" w:type="dxa"/>
          </w:tcPr>
          <w:p w:rsidR="00000000" w:rsidRDefault="00000000">
            <w:pPr>
              <w:spacing w:before="60" w:after="60"/>
              <w:ind w:right="541"/>
              <w:jc w:val="right"/>
            </w:pPr>
            <w:r>
              <w:t>29</w:t>
            </w:r>
          </w:p>
        </w:tc>
        <w:tc>
          <w:tcPr>
            <w:tcW w:w="2449" w:type="dxa"/>
          </w:tcPr>
          <w:p w:rsidR="00000000" w:rsidRDefault="00000000">
            <w:pPr>
              <w:spacing w:before="60" w:after="60"/>
              <w:ind w:right="1070"/>
              <w:jc w:val="right"/>
            </w:pPr>
            <w:r>
              <w:t>27</w:t>
            </w:r>
          </w:p>
        </w:tc>
      </w:tr>
      <w:tr w:rsidR="00000000">
        <w:tblPrEx>
          <w:tblCellMar>
            <w:top w:w="0" w:type="dxa"/>
            <w:bottom w:w="0" w:type="dxa"/>
          </w:tblCellMar>
        </w:tblPrEx>
        <w:trPr>
          <w:jc w:val="center"/>
        </w:trPr>
        <w:tc>
          <w:tcPr>
            <w:tcW w:w="2596" w:type="dxa"/>
          </w:tcPr>
          <w:p w:rsidR="00000000" w:rsidRDefault="00000000">
            <w:pPr>
              <w:spacing w:before="60" w:after="60"/>
            </w:pPr>
            <w:r>
              <w:t>Total</w:t>
            </w:r>
          </w:p>
        </w:tc>
        <w:tc>
          <w:tcPr>
            <w:tcW w:w="1560" w:type="dxa"/>
          </w:tcPr>
          <w:p w:rsidR="00000000" w:rsidRDefault="00000000">
            <w:pPr>
              <w:spacing w:before="60" w:after="60"/>
              <w:ind w:right="541"/>
              <w:jc w:val="right"/>
            </w:pPr>
          </w:p>
        </w:tc>
        <w:tc>
          <w:tcPr>
            <w:tcW w:w="2449" w:type="dxa"/>
          </w:tcPr>
          <w:p w:rsidR="00000000" w:rsidRDefault="00000000">
            <w:pPr>
              <w:spacing w:before="60" w:after="60"/>
              <w:ind w:right="1070"/>
              <w:jc w:val="right"/>
            </w:pPr>
            <w:r>
              <w:t>56</w:t>
            </w:r>
          </w:p>
        </w:tc>
      </w:tr>
    </w:tbl>
    <w:p w:rsidR="00000000" w:rsidRDefault="00000000">
      <w:pPr>
        <w:rPr>
          <w:i/>
          <w:iCs/>
        </w:rPr>
      </w:pPr>
    </w:p>
    <w:p w:rsidR="00000000" w:rsidRDefault="00000000">
      <w:pPr>
        <w:spacing w:after="240"/>
        <w:ind w:firstLine="567"/>
      </w:pPr>
      <w:r>
        <w:rPr>
          <w:i/>
          <w:iCs/>
        </w:rPr>
        <w:t>Source</w:t>
      </w:r>
      <w:r>
        <w:t>: PNUD.</w:t>
      </w:r>
    </w:p>
    <w:p w:rsidR="00000000" w:rsidRDefault="00000000">
      <w:pPr>
        <w:keepNext/>
        <w:spacing w:after="240"/>
        <w:jc w:val="center"/>
        <w:rPr>
          <w:b/>
          <w:bCs/>
        </w:rPr>
      </w:pPr>
      <w:bookmarkStart w:id="377" w:name="_Toc98224906"/>
      <w:r>
        <w:rPr>
          <w:b/>
          <w:bCs/>
        </w:rPr>
        <w:t>ARTICLE 14</w:t>
      </w:r>
      <w:bookmarkEnd w:id="377"/>
    </w:p>
    <w:p w:rsidR="00000000" w:rsidRDefault="00000000">
      <w:pPr>
        <w:keepNext/>
        <w:spacing w:after="240"/>
        <w:jc w:val="center"/>
        <w:rPr>
          <w:b/>
          <w:bCs/>
          <w:color w:val="333333"/>
        </w:rPr>
      </w:pPr>
      <w:r>
        <w:rPr>
          <w:b/>
          <w:bCs/>
          <w:color w:val="333333"/>
        </w:rPr>
        <w:t>Le droit à un procès équitable</w:t>
      </w:r>
    </w:p>
    <w:p w:rsidR="00000000" w:rsidRDefault="00000000">
      <w:pPr>
        <w:spacing w:after="240"/>
      </w:pPr>
      <w:r>
        <w:t>246.</w:t>
      </w:r>
      <w:r>
        <w:tab/>
        <w:t>En réponse aux recommandations du Comité lors de l’examen du dernier rapport, les améliorations suivantes ont été réalisées:</w:t>
      </w:r>
    </w:p>
    <w:p w:rsidR="00000000" w:rsidRDefault="00000000">
      <w:pPr>
        <w:spacing w:after="240"/>
        <w:ind w:firstLine="567"/>
      </w:pPr>
      <w:r>
        <w:t>a)</w:t>
      </w:r>
      <w:r>
        <w:tab/>
        <w:t xml:space="preserve">La création de l’École </w:t>
      </w:r>
      <w:r>
        <w:rPr>
          <w:color w:val="000000"/>
        </w:rPr>
        <w:t xml:space="preserve">nationale </w:t>
      </w:r>
      <w:r>
        <w:t>de la magistrature et des greffes en 1997 a permis l’augmentation en nombre des magistrats et des greffiers. Actuellement on compte: 565 magistrats, 732 personnels judiciaires dont 410 greffiers et 322 secrétaires du parquet.</w:t>
      </w:r>
    </w:p>
    <w:p w:rsidR="00000000" w:rsidRDefault="00000000">
      <w:pPr>
        <w:spacing w:after="240"/>
      </w:pPr>
      <w:r>
        <w:t>247.</w:t>
      </w:r>
      <w:r>
        <w:tab/>
        <w:t xml:space="preserve">L’augmentation du nombre des tribunaux de première instance, actuellement portée à 36, s’inscrit dans la politique du Gouvernement de rapprocher la justice des justiciables. </w:t>
      </w:r>
    </w:p>
    <w:p w:rsidR="00000000" w:rsidRDefault="00000000">
      <w:pPr>
        <w:spacing w:after="240"/>
      </w:pPr>
      <w:r>
        <w:t>248.</w:t>
      </w:r>
      <w:r>
        <w:tab/>
        <w:t>Toujours dans la même optique, si, auparavant, il n’y avait que la cour d’appel d’Antananarivo pour tout Madagascar, actuellement on en compte quatre autres, à savoir celles de Toamasina, Toliara, Mahajanga, Fianarantsoa. La cour d’appel d’Antsiranana sera incessamment mise en place.</w:t>
      </w:r>
    </w:p>
    <w:p w:rsidR="00000000" w:rsidRDefault="00000000">
      <w:pPr>
        <w:spacing w:after="240"/>
        <w:ind w:firstLine="567"/>
      </w:pPr>
      <w:r>
        <w:t>a)</w:t>
      </w:r>
      <w:r>
        <w:tab/>
        <w:t>Il en est de même de la mise en place des tribunaux administratifs et financiers par la loi n</w:t>
      </w:r>
      <w:r>
        <w:rPr>
          <w:vertAlign w:val="superscript"/>
        </w:rPr>
        <w:t>o</w:t>
      </w:r>
      <w:r>
        <w:t> 2001</w:t>
      </w:r>
      <w:r>
        <w:noBreakHyphen/>
        <w:t>025 du 9 avril 2003 modifiée par la loi n</w:t>
      </w:r>
      <w:r>
        <w:rPr>
          <w:vertAlign w:val="superscript"/>
        </w:rPr>
        <w:t>o</w:t>
      </w:r>
      <w:r>
        <w:t> 2004</w:t>
      </w:r>
      <w:r>
        <w:noBreakHyphen/>
        <w:t>021 du 19 août 2004. Ces juridictions implantées au niveau de chaque chef-lieu de province sont compétentes pour juger en premier ressort de la légalité des actes de l’Administration au niveau provincial.</w:t>
      </w:r>
    </w:p>
    <w:p w:rsidR="00000000" w:rsidRDefault="00000000">
      <w:pPr>
        <w:spacing w:after="240"/>
      </w:pPr>
      <w:r>
        <w:t>249.</w:t>
      </w:r>
      <w:r>
        <w:tab/>
        <w:t>Le Conseil d’État statue en appel ou en cassation sur les décisions rendues par les juridictions administratives dans les provinces autonomes.</w:t>
      </w:r>
    </w:p>
    <w:p w:rsidR="00000000" w:rsidRDefault="00000000">
      <w:pPr>
        <w:spacing w:after="240"/>
      </w:pPr>
      <w:r>
        <w:t>250.</w:t>
      </w:r>
      <w:r>
        <w:tab/>
        <w:t xml:space="preserve">Les cours des comptes statuent en appel sur les décisions rendues par les juridictions financières </w:t>
      </w:r>
      <w:r>
        <w:rPr>
          <w:i/>
          <w:iCs/>
        </w:rPr>
        <w:t>ou les organismes administratifs à caractère juridictionnel</w:t>
      </w:r>
      <w:r>
        <w:t>.</w:t>
      </w:r>
    </w:p>
    <w:p w:rsidR="00000000" w:rsidRDefault="00000000">
      <w:pPr>
        <w:spacing w:after="240"/>
      </w:pPr>
      <w:r>
        <w:t>251.</w:t>
      </w:r>
      <w:r>
        <w:tab/>
        <w:t xml:space="preserve">La création de ces juridictions dont la mission est de rendre une justice impartiale et indépendante correspond aux exigences du Pacte. </w:t>
      </w:r>
    </w:p>
    <w:p w:rsidR="00000000" w:rsidRDefault="00000000">
      <w:pPr>
        <w:spacing w:after="240"/>
      </w:pPr>
      <w:r>
        <w:t>252.</w:t>
      </w:r>
      <w:r>
        <w:tab/>
        <w:t>Dans le même sens, les efforts visant à traiter les dossiers dans un délai raisonnable sont concrétisés par:</w:t>
      </w:r>
    </w:p>
    <w:p w:rsidR="00000000" w:rsidRDefault="00000000">
      <w:pPr>
        <w:spacing w:after="240"/>
        <w:ind w:firstLine="567"/>
      </w:pPr>
      <w:r>
        <w:t>a)</w:t>
      </w:r>
      <w:r>
        <w:tab/>
        <w:t>La refonte de la procédure civile instituant le juge de la mise en état;</w:t>
      </w:r>
    </w:p>
    <w:p w:rsidR="00000000" w:rsidRDefault="00000000">
      <w:pPr>
        <w:spacing w:after="240"/>
        <w:ind w:firstLine="567"/>
      </w:pPr>
      <w:r>
        <w:t>b)</w:t>
      </w:r>
      <w:r>
        <w:tab/>
        <w:t>La multiplication des sessions des cours criminelles pour juger les affaires comportant de longues détentions préventives dans un délai raisonnable.</w:t>
      </w:r>
    </w:p>
    <w:p w:rsidR="00000000" w:rsidRDefault="00000000">
      <w:pPr>
        <w:spacing w:after="240"/>
      </w:pPr>
      <w:r>
        <w:t>253.</w:t>
      </w:r>
      <w:r>
        <w:tab/>
        <w:t>Toujours dans le souci d’établir une justice équitable, il a été décidé la suppression des juridictions d’exception telles que le Tribunal criminel spécial et le Tribunal spécial économique. Désormais, les infractions relevant de la compétence de ces juridictions sont jugées par les juridictions de droit commun.</w:t>
      </w:r>
    </w:p>
    <w:p w:rsidR="00000000" w:rsidRDefault="00000000">
      <w:pPr>
        <w:keepNext/>
        <w:spacing w:after="240"/>
      </w:pPr>
      <w:r>
        <w:t>254.</w:t>
      </w:r>
      <w:r>
        <w:tab/>
        <w:t>D’autres mesures ont été également prises pour faciliter l’accès de tous à la justice telles que:</w:t>
      </w:r>
    </w:p>
    <w:p w:rsidR="00000000" w:rsidRDefault="00000000">
      <w:pPr>
        <w:spacing w:after="240"/>
        <w:ind w:firstLine="567"/>
      </w:pPr>
      <w:r>
        <w:t>a)</w:t>
      </w:r>
      <w:r>
        <w:tab/>
        <w:t>La redynamisation de l’assistance judiciaire pour les personnes en difficulté en collaboration avec la Banque africaine de développement;</w:t>
      </w:r>
    </w:p>
    <w:p w:rsidR="00000000" w:rsidRDefault="00000000">
      <w:pPr>
        <w:spacing w:after="240"/>
        <w:ind w:firstLine="567"/>
      </w:pPr>
      <w:r>
        <w:t>b)</w:t>
      </w:r>
      <w:r>
        <w:tab/>
        <w:t>La possibilité pour une personne suspectée de se faire assister par un défenseur de son choix dès l’enquête préliminaire est prévue par la loi n</w:t>
      </w:r>
      <w:r>
        <w:rPr>
          <w:vertAlign w:val="superscript"/>
        </w:rPr>
        <w:t>o</w:t>
      </w:r>
      <w:r>
        <w:t> 97</w:t>
      </w:r>
      <w:r>
        <w:noBreakHyphen/>
        <w:t xml:space="preserve">036 du 30 octobre 1997 concrétisant les dispositions de l’article 13 de la Constitution. </w:t>
      </w:r>
    </w:p>
    <w:p w:rsidR="00000000" w:rsidRDefault="00000000">
      <w:pPr>
        <w:spacing w:after="240"/>
      </w:pPr>
      <w:r>
        <w:t>255.</w:t>
      </w:r>
      <w:r>
        <w:tab/>
        <w:t>Cet article garantit la plénitude et l’inviolabilité des droits de la défense devant toutes les juridictions et à tous les stades de la procédure y compris celui de l’enquête préliminaire, au niveau de la police judiciaire et du parquet.</w:t>
      </w:r>
    </w:p>
    <w:p w:rsidR="00000000" w:rsidRDefault="00000000">
      <w:pPr>
        <w:spacing w:after="240"/>
        <w:ind w:firstLine="567"/>
      </w:pPr>
      <w:r>
        <w:t>a)</w:t>
      </w:r>
      <w:r>
        <w:tab/>
        <w:t>La création d’une commission de réforme du système pénal en charge de la révision tendant à la simplification de la procédure, à la réduction de la durée de détention et à l’accélération du traitement des dossiers;</w:t>
      </w:r>
    </w:p>
    <w:p w:rsidR="00000000" w:rsidRDefault="00000000">
      <w:pPr>
        <w:spacing w:after="240"/>
        <w:ind w:firstLine="567"/>
      </w:pPr>
      <w:r>
        <w:t>b)</w:t>
      </w:r>
      <w:r>
        <w:tab/>
        <w:t>La tenue d’un procès équitable implique la modernisation de la justice d’où des efforts ont été accomplis dans le domaine de:</w:t>
      </w:r>
    </w:p>
    <w:p w:rsidR="00000000" w:rsidRDefault="00000000">
      <w:pPr>
        <w:spacing w:after="240"/>
        <w:ind w:left="1134" w:hanging="567"/>
      </w:pPr>
      <w:r>
        <w:t>i)</w:t>
      </w:r>
      <w:r>
        <w:tab/>
        <w:t>L’harmonisation des textes en vigueur avec les directives des organisations internationales, incluant la réforme du droit des affaires par le biais de la Commission de réforme du droit des affaires (CRDA). La réforme entreprise vise à instaurer un environnement favorable à une meilleure protection des investissements et une sécurisation juridique des investisseurs;</w:t>
      </w:r>
    </w:p>
    <w:p w:rsidR="00000000" w:rsidRDefault="00000000">
      <w:pPr>
        <w:spacing w:after="240"/>
        <w:ind w:firstLine="567"/>
      </w:pPr>
      <w:r>
        <w:t>ii)</w:t>
      </w:r>
      <w:r>
        <w:tab/>
        <w:t>L’informatisation des greffes des tribunaux de commerce;</w:t>
      </w:r>
    </w:p>
    <w:p w:rsidR="00000000" w:rsidRDefault="00000000">
      <w:pPr>
        <w:spacing w:after="240"/>
        <w:ind w:left="1134" w:hanging="567"/>
      </w:pPr>
      <w:r>
        <w:t>iii)</w:t>
      </w:r>
      <w:r>
        <w:tab/>
        <w:t>L’informatisation de la tenue du Registre du commerce et des sociétés au niveau des juridictions et sur le plan national centralisée au Ministère de la justice.</w:t>
      </w:r>
    </w:p>
    <w:p w:rsidR="00000000" w:rsidRDefault="00000000">
      <w:pPr>
        <w:spacing w:after="240"/>
      </w:pPr>
      <w:r>
        <w:t>256.</w:t>
      </w:r>
      <w:r>
        <w:tab/>
        <w:t>Par ailleurs, la coopération internationale a beaucoup aidé à l’amélioration du cadre de travail de la justice.</w:t>
      </w:r>
    </w:p>
    <w:p w:rsidR="00000000" w:rsidRDefault="00000000">
      <w:pPr>
        <w:spacing w:after="240"/>
      </w:pPr>
      <w:r>
        <w:t>257.</w:t>
      </w:r>
      <w:r>
        <w:tab/>
        <w:t>Ainsi, sur financement conjoint de la Coopération française et du PNUD, l’informatisation du parquet d’Antananarivo est en voie de réalisation.</w:t>
      </w:r>
    </w:p>
    <w:p w:rsidR="00000000" w:rsidRDefault="00000000">
      <w:pPr>
        <w:spacing w:after="240"/>
      </w:pPr>
      <w:r>
        <w:t>258.</w:t>
      </w:r>
      <w:r>
        <w:tab/>
        <w:t>L’USAID a participé au renforcement des capacités par la dotation d’ouvrages juridiques aux magistrats.</w:t>
      </w:r>
    </w:p>
    <w:p w:rsidR="00000000" w:rsidRDefault="00000000">
      <w:pPr>
        <w:spacing w:after="240"/>
      </w:pPr>
      <w:r>
        <w:t>259.</w:t>
      </w:r>
      <w:r>
        <w:tab/>
        <w:t>L’Union européenne, la Grande-Bretagne et la Suisse ont activement contribué à la réhabilitation et l’extension des établissements pénitentiaires.</w:t>
      </w:r>
    </w:p>
    <w:p w:rsidR="00000000" w:rsidRDefault="00000000">
      <w:pPr>
        <w:spacing w:after="240"/>
      </w:pPr>
      <w:r>
        <w:t>260.</w:t>
      </w:r>
      <w:r>
        <w:tab/>
        <w:t>Enfin, les voies de recours ouvertes aux citoyens en cas de violation du Pacte sont consacrées par l’arrêt n</w:t>
      </w:r>
      <w:r>
        <w:rPr>
          <w:vertAlign w:val="superscript"/>
        </w:rPr>
        <w:t>o</w:t>
      </w:r>
      <w:r>
        <w:t> 231 du 5 septembre 2003 de la Cour suprême.</w:t>
      </w:r>
    </w:p>
    <w:p w:rsidR="00000000" w:rsidRDefault="00000000">
      <w:pPr>
        <w:spacing w:after="240"/>
      </w:pPr>
      <w:r>
        <w:t>261.</w:t>
      </w:r>
      <w:r>
        <w:tab/>
        <w:t>Cet arrêt consacre la primauté des conventions internationales régulièrement ratifiée et confirme la disposition constitutionnelle (art. 82.3.VIII).</w:t>
      </w:r>
    </w:p>
    <w:p w:rsidR="00000000" w:rsidRDefault="00000000">
      <w:pPr>
        <w:keepNext/>
        <w:spacing w:after="240"/>
      </w:pPr>
      <w:r>
        <w:t>262.</w:t>
      </w:r>
      <w:r>
        <w:tab/>
        <w:t>Les juridictions malgaches dans l’exercice de leur fonction de juger respectent les prescriptions du Pacte intéressant:</w:t>
      </w:r>
    </w:p>
    <w:p w:rsidR="00000000" w:rsidRDefault="00000000">
      <w:pPr>
        <w:spacing w:after="240"/>
        <w:ind w:firstLine="567"/>
      </w:pPr>
      <w:r>
        <w:t>a)</w:t>
      </w:r>
      <w:r>
        <w:tab/>
        <w:t>La présomption d’innocence;</w:t>
      </w:r>
    </w:p>
    <w:p w:rsidR="00000000" w:rsidRDefault="00000000">
      <w:pPr>
        <w:spacing w:after="240"/>
        <w:ind w:firstLine="567"/>
      </w:pPr>
      <w:r>
        <w:t>b)</w:t>
      </w:r>
      <w:r>
        <w:tab/>
        <w:t>Le droit d’être informé sur la nature et les motifs d’inculpation retenus contre la personne poursuivie;</w:t>
      </w:r>
    </w:p>
    <w:p w:rsidR="00000000" w:rsidRDefault="00000000">
      <w:pPr>
        <w:spacing w:after="240"/>
        <w:ind w:firstLine="567"/>
      </w:pPr>
      <w:r>
        <w:t>c)</w:t>
      </w:r>
      <w:r>
        <w:tab/>
        <w:t>La procédure spéciale suivie contre les mineurs délinquants;</w:t>
      </w:r>
    </w:p>
    <w:p w:rsidR="00000000" w:rsidRDefault="00000000">
      <w:pPr>
        <w:spacing w:after="240"/>
        <w:ind w:firstLine="567"/>
      </w:pPr>
      <w:r>
        <w:t>d)</w:t>
      </w:r>
      <w:r>
        <w:tab/>
        <w:t>Le respect de la règle du double degré de juridiction;</w:t>
      </w:r>
    </w:p>
    <w:p w:rsidR="00000000" w:rsidRDefault="00000000">
      <w:pPr>
        <w:spacing w:after="240"/>
        <w:ind w:firstLine="567"/>
      </w:pPr>
      <w:r>
        <w:t>e)</w:t>
      </w:r>
      <w:r>
        <w:tab/>
        <w:t>L’application de la règle «</w:t>
      </w:r>
      <w:r>
        <w:rPr>
          <w:i/>
          <w:iCs/>
        </w:rPr>
        <w:t>non bis in idem</w:t>
      </w:r>
      <w:r>
        <w:t>»;</w:t>
      </w:r>
    </w:p>
    <w:p w:rsidR="00000000" w:rsidRDefault="00000000">
      <w:pPr>
        <w:spacing w:after="240"/>
        <w:ind w:firstLine="567"/>
      </w:pPr>
      <w:r>
        <w:t>f)</w:t>
      </w:r>
      <w:r>
        <w:tab/>
        <w:t>La procédure de révision en cas d’erreur judiciaire.</w:t>
      </w:r>
    </w:p>
    <w:p w:rsidR="00000000" w:rsidRDefault="00000000">
      <w:pPr>
        <w:spacing w:after="240"/>
      </w:pPr>
      <w:r>
        <w:t>263.</w:t>
      </w:r>
      <w:r>
        <w:tab/>
        <w:t>Par ailleurs, le respect du droit à un procès équitable implique la moralisation de la profession judiciaire. Pour ce faire, Madagascar a ratifié les conventions onusienne et africaine sur la lutte contre la corruption.</w:t>
      </w:r>
    </w:p>
    <w:p w:rsidR="00000000" w:rsidRDefault="00000000">
      <w:pPr>
        <w:spacing w:after="240"/>
      </w:pPr>
      <w:r>
        <w:t>264.</w:t>
      </w:r>
      <w:r>
        <w:tab/>
        <w:t>L’application de bonne foi desdites conventions s’est traduite par:</w:t>
      </w:r>
    </w:p>
    <w:p w:rsidR="00000000" w:rsidRDefault="00000000">
      <w:pPr>
        <w:spacing w:after="240"/>
        <w:ind w:firstLine="567"/>
      </w:pPr>
      <w:r>
        <w:t>a)</w:t>
      </w:r>
      <w:r>
        <w:tab/>
        <w:t>L’adoption d’une loi anticorruption n</w:t>
      </w:r>
      <w:r>
        <w:rPr>
          <w:vertAlign w:val="superscript"/>
        </w:rPr>
        <w:t>o</w:t>
      </w:r>
      <w:r>
        <w:t> 2004</w:t>
      </w:r>
      <w:r>
        <w:noBreakHyphen/>
        <w:t>030 du 9 septembre 2004;</w:t>
      </w:r>
    </w:p>
    <w:p w:rsidR="00000000" w:rsidRDefault="00000000">
      <w:pPr>
        <w:spacing w:after="240"/>
        <w:ind w:firstLine="567"/>
      </w:pPr>
      <w:r>
        <w:t>b)</w:t>
      </w:r>
      <w:r>
        <w:tab/>
        <w:t>La création de structures adéquates et appropriées dont le Conseil supérieur de la lutte contre la corruption (CSLCC), le Bureau indépendant anticorruption (BIANCO), la chaîne pénale anticorruption et le service financier.</w:t>
      </w:r>
    </w:p>
    <w:p w:rsidR="00000000" w:rsidRDefault="00000000">
      <w:pPr>
        <w:spacing w:after="240"/>
      </w:pPr>
      <w:r>
        <w:t>265.</w:t>
      </w:r>
      <w:r>
        <w:tab/>
        <w:t>Madagascar s’est aussi engagée dans la lutte contre les crimes transnationaux organisés en ratifiant les instruments juridiques internationaux y afférents et en adoptant une loi réprimant le délit de blanchiment d’argent provenant d’une activité criminelle.</w:t>
      </w:r>
    </w:p>
    <w:p w:rsidR="00000000" w:rsidRDefault="00000000">
      <w:pPr>
        <w:spacing w:after="240"/>
      </w:pPr>
      <w:r>
        <w:t>266.</w:t>
      </w:r>
      <w:r>
        <w:tab/>
        <w:t>La législation nationale a érigé en délit puni d’un emprisonnement de 6 mois à 5 ans et d’une amende de 50 millions à 200 millions de FMG le défaut de déclaration de patrimoine par les catégories de personnalités ci-après énumérées:</w:t>
      </w:r>
    </w:p>
    <w:p w:rsidR="00000000" w:rsidRDefault="00000000">
      <w:pPr>
        <w:spacing w:after="240"/>
        <w:ind w:firstLine="567"/>
      </w:pPr>
      <w:r>
        <w:t>a)</w:t>
      </w:r>
      <w:r>
        <w:tab/>
        <w:t>Le Premier Ministre, chef du Gouvernement;</w:t>
      </w:r>
    </w:p>
    <w:p w:rsidR="00000000" w:rsidRDefault="00000000">
      <w:pPr>
        <w:spacing w:after="240"/>
        <w:ind w:firstLine="567"/>
      </w:pPr>
      <w:r>
        <w:t>b)</w:t>
      </w:r>
      <w:r>
        <w:tab/>
        <w:t>Sénateurs et députés;</w:t>
      </w:r>
    </w:p>
    <w:p w:rsidR="00000000" w:rsidRDefault="00000000">
      <w:pPr>
        <w:spacing w:after="240"/>
        <w:ind w:firstLine="567"/>
      </w:pPr>
      <w:r>
        <w:t>c)</w:t>
      </w:r>
      <w:r>
        <w:tab/>
        <w:t>Membres de la Haute Cour constitutionnelle;</w:t>
      </w:r>
    </w:p>
    <w:p w:rsidR="00000000" w:rsidRDefault="00000000">
      <w:pPr>
        <w:spacing w:after="240"/>
        <w:ind w:firstLine="567"/>
      </w:pPr>
      <w:r>
        <w:t>d)</w:t>
      </w:r>
      <w:r>
        <w:tab/>
        <w:t>Gouverneurs des provinces autonomes, chefs de région et maires;</w:t>
      </w:r>
    </w:p>
    <w:p w:rsidR="00000000" w:rsidRDefault="00000000">
      <w:pPr>
        <w:spacing w:after="240"/>
        <w:ind w:firstLine="567"/>
      </w:pPr>
      <w:r>
        <w:t>e)</w:t>
      </w:r>
      <w:r>
        <w:tab/>
        <w:t>Magistrats de l’ordre judiciaire, administratif et financier;</w:t>
      </w:r>
    </w:p>
    <w:p w:rsidR="00000000" w:rsidRDefault="00000000">
      <w:pPr>
        <w:spacing w:after="240"/>
        <w:ind w:firstLine="567"/>
      </w:pPr>
      <w:r>
        <w:t>f)</w:t>
      </w:r>
      <w:r>
        <w:tab/>
        <w:t>Fonctionnaires occupant des postes de haute responsabilité de niveau égal ou supérieur à celui de directeur de ministère;</w:t>
      </w:r>
    </w:p>
    <w:p w:rsidR="00000000" w:rsidRDefault="00000000">
      <w:pPr>
        <w:spacing w:after="240"/>
        <w:ind w:firstLine="567"/>
      </w:pPr>
      <w:r>
        <w:t>g)</w:t>
      </w:r>
      <w:r>
        <w:tab/>
        <w:t>Inspecteurs des domaines, du trésor, des douanes, des impôts et des finances;</w:t>
      </w:r>
    </w:p>
    <w:p w:rsidR="00000000" w:rsidRDefault="00000000">
      <w:pPr>
        <w:spacing w:after="240"/>
        <w:ind w:firstLine="567"/>
      </w:pPr>
      <w:r>
        <w:t>h)</w:t>
      </w:r>
      <w:r>
        <w:tab/>
        <w:t>Chefs de formation militaire à partir de l’échelon compagnie et plus;</w:t>
      </w:r>
    </w:p>
    <w:p w:rsidR="00000000" w:rsidRDefault="00000000">
      <w:pPr>
        <w:spacing w:after="240"/>
        <w:ind w:firstLine="567"/>
      </w:pPr>
      <w:r>
        <w:t>i)</w:t>
      </w:r>
      <w:r>
        <w:tab/>
        <w:t>Inspecteurs de l’Inspection générale de l’État, de l’Inspection générale de l’armée malagasy et de l’Inspection générale de la Gendarmerie nationale;</w:t>
      </w:r>
    </w:p>
    <w:p w:rsidR="00000000" w:rsidRDefault="00000000">
      <w:pPr>
        <w:spacing w:after="240"/>
        <w:ind w:firstLine="567"/>
      </w:pPr>
      <w:r>
        <w:t>j)</w:t>
      </w:r>
      <w:r>
        <w:tab/>
        <w:t>Toute personne exerçant les fonctions d’officier de police économique ou judiciaire.</w:t>
      </w:r>
    </w:p>
    <w:p w:rsidR="00000000" w:rsidRDefault="00000000">
      <w:pPr>
        <w:spacing w:after="240"/>
      </w:pPr>
      <w:r>
        <w:t>267.</w:t>
      </w:r>
      <w:r>
        <w:tab/>
        <w:t>Toutes ces mesures expriment la volonté du Gouvernement malgache d’engager une lutte pour éradiquer sinon atténuer au maximum les effets de la corruption, reconnus incompatibles avec la création d’un environnement sain pour le développement économique.</w:t>
      </w:r>
    </w:p>
    <w:p w:rsidR="00000000" w:rsidRDefault="00000000">
      <w:pPr>
        <w:keepNext/>
        <w:spacing w:after="240"/>
        <w:jc w:val="center"/>
        <w:rPr>
          <w:b/>
          <w:bCs/>
        </w:rPr>
      </w:pPr>
      <w:bookmarkStart w:id="378" w:name="_Toc98224907"/>
      <w:r>
        <w:rPr>
          <w:b/>
          <w:bCs/>
        </w:rPr>
        <w:t>ARTICLE 15</w:t>
      </w:r>
      <w:bookmarkEnd w:id="378"/>
    </w:p>
    <w:p w:rsidR="00000000" w:rsidRDefault="00000000">
      <w:pPr>
        <w:keepNext/>
        <w:spacing w:after="240"/>
        <w:jc w:val="center"/>
        <w:rPr>
          <w:b/>
          <w:bCs/>
        </w:rPr>
      </w:pPr>
      <w:r>
        <w:rPr>
          <w:b/>
          <w:bCs/>
        </w:rPr>
        <w:t xml:space="preserve">Le principe </w:t>
      </w:r>
      <w:r>
        <w:rPr>
          <w:b/>
          <w:bCs/>
          <w:iCs/>
        </w:rPr>
        <w:t>«</w:t>
      </w:r>
      <w:r>
        <w:rPr>
          <w:b/>
          <w:bCs/>
          <w:i/>
          <w:iCs/>
        </w:rPr>
        <w:t>nullum crimen, nulla poena sine lege</w:t>
      </w:r>
      <w:r>
        <w:rPr>
          <w:b/>
          <w:bCs/>
          <w:iCs/>
        </w:rPr>
        <w:t>»</w:t>
      </w:r>
    </w:p>
    <w:p w:rsidR="00000000" w:rsidRDefault="00000000">
      <w:pPr>
        <w:spacing w:after="240"/>
      </w:pPr>
      <w:r>
        <w:t>268.</w:t>
      </w:r>
      <w:r>
        <w:tab/>
        <w:t>La légalité des incriminations et des sanctions</w:t>
      </w:r>
      <w:r>
        <w:rPr>
          <w:b/>
          <w:bCs/>
        </w:rPr>
        <w:t xml:space="preserve"> </w:t>
      </w:r>
      <w:r>
        <w:t>pénales est reconnue par la Constitution du 18 septembre 1992.</w:t>
      </w:r>
    </w:p>
    <w:p w:rsidR="00000000" w:rsidRDefault="00000000">
      <w:pPr>
        <w:keepNext/>
        <w:spacing w:after="240"/>
      </w:pPr>
      <w:r>
        <w:t>269.</w:t>
      </w:r>
      <w:r>
        <w:tab/>
        <w:t>Les alinéas 3 et 4 de l’article 13 disposent respectivement que:</w:t>
      </w:r>
    </w:p>
    <w:p w:rsidR="00000000" w:rsidRDefault="00000000">
      <w:pPr>
        <w:spacing w:after="240"/>
        <w:ind w:firstLine="567"/>
        <w:rPr>
          <w:i/>
          <w:iCs/>
        </w:rPr>
      </w:pPr>
      <w:r>
        <w:rPr>
          <w:iCs/>
        </w:rPr>
        <w:t>a)</w:t>
      </w:r>
      <w:r>
        <w:rPr>
          <w:iCs/>
        </w:rPr>
        <w:tab/>
        <w:t>«</w:t>
      </w:r>
      <w:r>
        <w:rPr>
          <w:i/>
          <w:iCs/>
        </w:rPr>
        <w:t>Nul ne peut être poursuivi, arrêté ou détenu que dans les cas déterminés par la loi et selon les formes qu’elle a prescrites.</w:t>
      </w:r>
      <w:r>
        <w:rPr>
          <w:iCs/>
        </w:rPr>
        <w:t>»</w:t>
      </w:r>
      <w:r>
        <w:rPr>
          <w:i/>
          <w:iCs/>
        </w:rPr>
        <w:t>;</w:t>
      </w:r>
    </w:p>
    <w:p w:rsidR="00000000" w:rsidRDefault="00000000">
      <w:pPr>
        <w:spacing w:after="240"/>
        <w:ind w:firstLine="567"/>
        <w:rPr>
          <w:i/>
          <w:iCs/>
        </w:rPr>
      </w:pPr>
      <w:r>
        <w:t>b)</w:t>
      </w:r>
      <w:r>
        <w:tab/>
        <w:t>«</w:t>
      </w:r>
      <w:r>
        <w:rPr>
          <w:i/>
          <w:iCs/>
        </w:rPr>
        <w:t>Nul ne peut être puni qu’en vertu d’une loi promulguée et publiée antérieurement à la commission de l’acte punissable.</w:t>
      </w:r>
      <w:r>
        <w:t>».</w:t>
      </w:r>
    </w:p>
    <w:p w:rsidR="00000000" w:rsidRDefault="00000000">
      <w:pPr>
        <w:spacing w:after="240"/>
      </w:pPr>
      <w:r>
        <w:t>270.</w:t>
      </w:r>
      <w:r>
        <w:tab/>
        <w:t>Ces dispositions constitutionnelles ont été reprises par l’article 4 du Code pénal en ces termes: «</w:t>
      </w:r>
      <w:r>
        <w:rPr>
          <w:i/>
          <w:iCs/>
        </w:rPr>
        <w:t>Nulle contravention, nul délit, nul crime, ne peuvent être punis de peines qui n’étaient pas prononcées par la loi avant qu’ils fussent commis</w:t>
      </w:r>
      <w:r>
        <w:t>».</w:t>
      </w:r>
    </w:p>
    <w:p w:rsidR="00000000" w:rsidRDefault="00000000">
      <w:pPr>
        <w:spacing w:after="240"/>
      </w:pPr>
      <w:r>
        <w:t>271.</w:t>
      </w:r>
      <w:r>
        <w:tab/>
        <w:t xml:space="preserve">Des efforts ont été déployés pour éradiquer certaines pratiques coutumières infligeant des peines non prévues par la loi pénale. </w:t>
      </w:r>
    </w:p>
    <w:p w:rsidR="00000000" w:rsidRDefault="00000000">
      <w:pPr>
        <w:spacing w:after="240"/>
        <w:rPr>
          <w:i/>
          <w:iCs/>
        </w:rPr>
      </w:pPr>
      <w:r>
        <w:t>272.</w:t>
      </w:r>
      <w:r>
        <w:tab/>
        <w:t>Ainsi, la loi n</w:t>
      </w:r>
      <w:r>
        <w:rPr>
          <w:vertAlign w:val="superscript"/>
        </w:rPr>
        <w:t>o</w:t>
      </w:r>
      <w:r>
        <w:t> 2001</w:t>
      </w:r>
      <w:r>
        <w:noBreakHyphen/>
        <w:t xml:space="preserve">004 du 25 octobre 2001 portant réglementation générale des </w:t>
      </w:r>
      <w:r>
        <w:rPr>
          <w:iCs/>
        </w:rPr>
        <w:t>«</w:t>
      </w:r>
      <w:r>
        <w:rPr>
          <w:i/>
          <w:iCs/>
        </w:rPr>
        <w:t>Dina</w:t>
      </w:r>
      <w:r>
        <w:rPr>
          <w:iCs/>
        </w:rPr>
        <w:t>»</w:t>
      </w:r>
      <w:r>
        <w:t xml:space="preserve"> en matière de sécurité publique dispose en son article 7:</w:t>
      </w:r>
      <w:r>
        <w:rPr>
          <w:i/>
          <w:iCs/>
        </w:rPr>
        <w:t xml:space="preserve"> </w:t>
      </w:r>
      <w:r>
        <w:rPr>
          <w:iCs/>
        </w:rPr>
        <w:t>«</w:t>
      </w:r>
      <w:r>
        <w:rPr>
          <w:i/>
          <w:iCs/>
        </w:rPr>
        <w:t>Le Dina ne devient exécutoire qu’après son homologation par le tribunal de l’ordre judiciaire compétent ou la cour d’appel ainsi que sa publication par voie d’affichage, de discours d’information ou par tout autre mode de publicité.</w:t>
      </w:r>
      <w:r>
        <w:rPr>
          <w:iCs/>
        </w:rPr>
        <w:t>».</w:t>
      </w:r>
    </w:p>
    <w:p w:rsidR="00000000" w:rsidRDefault="00000000">
      <w:pPr>
        <w:spacing w:after="240"/>
        <w:rPr>
          <w:i/>
          <w:iCs/>
        </w:rPr>
      </w:pPr>
      <w:r>
        <w:t>273.</w:t>
      </w:r>
      <w:r>
        <w:tab/>
        <w:t xml:space="preserve">Par cette loi, l’État entend exercer un contrôle préalable de légalité concernant les sanctions édictées dans le cadre de l’application des </w:t>
      </w:r>
      <w:r>
        <w:rPr>
          <w:i/>
          <w:iCs/>
        </w:rPr>
        <w:t>Dina</w:t>
      </w:r>
      <w:r>
        <w:t>. En conséquence, une sanction pénale non conforme à la loi et au Pacte ne sera pas homologuée</w:t>
      </w:r>
      <w:r>
        <w:rPr>
          <w:i/>
          <w:iCs/>
        </w:rPr>
        <w:t>.</w:t>
      </w:r>
    </w:p>
    <w:p w:rsidR="00000000" w:rsidRDefault="00000000">
      <w:pPr>
        <w:spacing w:after="240"/>
      </w:pPr>
      <w:r>
        <w:t>274.</w:t>
      </w:r>
      <w:r>
        <w:tab/>
        <w:t>Le principe de la non</w:t>
      </w:r>
      <w:r>
        <w:noBreakHyphen/>
        <w:t>rétroactivité des lois pénales et celui de l’application de la peine plus douce, énoncés dans le Pacte, sont reconnus par la Constitution et appliqués par les juridictions répressives.</w:t>
      </w:r>
    </w:p>
    <w:p w:rsidR="00000000" w:rsidRDefault="00000000">
      <w:pPr>
        <w:keepNext/>
        <w:spacing w:after="240"/>
        <w:jc w:val="center"/>
        <w:rPr>
          <w:b/>
          <w:bCs/>
        </w:rPr>
      </w:pPr>
      <w:bookmarkStart w:id="379" w:name="_Toc97531617"/>
      <w:r>
        <w:rPr>
          <w:b/>
          <w:bCs/>
        </w:rPr>
        <w:t>AR</w:t>
      </w:r>
      <w:bookmarkStart w:id="380" w:name="OLE_LINK1"/>
      <w:bookmarkEnd w:id="380"/>
      <w:r>
        <w:rPr>
          <w:b/>
          <w:bCs/>
        </w:rPr>
        <w:t>TICLE 16</w:t>
      </w:r>
    </w:p>
    <w:p w:rsidR="00000000" w:rsidRDefault="00000000">
      <w:pPr>
        <w:keepNext/>
        <w:spacing w:after="240"/>
        <w:jc w:val="center"/>
        <w:rPr>
          <w:b/>
          <w:bCs/>
        </w:rPr>
      </w:pPr>
      <w:r>
        <w:rPr>
          <w:b/>
          <w:bCs/>
        </w:rPr>
        <w:t>Droit à la reconnaissance de la personnalité juridique</w:t>
      </w:r>
      <w:bookmarkEnd w:id="379"/>
    </w:p>
    <w:p w:rsidR="00000000" w:rsidRDefault="00000000">
      <w:pPr>
        <w:spacing w:after="240"/>
      </w:pPr>
      <w:r>
        <w:t>275.</w:t>
      </w:r>
      <w:r>
        <w:tab/>
        <w:t>La reconnaissance de la personnalité juridique à tout être humain implique qu’un certain nombre d’attributs puissent être affectés à un individu et le distinguent ainsi des autres citoyens. Cette reconnaissance est constatée par l’état civil.</w:t>
      </w:r>
    </w:p>
    <w:p w:rsidR="00000000" w:rsidRDefault="00000000">
      <w:pPr>
        <w:spacing w:after="240"/>
      </w:pPr>
      <w:r>
        <w:t>276.</w:t>
      </w:r>
      <w:r>
        <w:tab/>
        <w:t xml:space="preserve">La personnalité juridique confère à l’individu le bénéfice d’une protection des droits visés par le Pacte à faire valoir ses droits patrimoniaux et/ou extrapatrimoniaux. </w:t>
      </w:r>
    </w:p>
    <w:p w:rsidR="00000000" w:rsidRDefault="00000000">
      <w:pPr>
        <w:spacing w:after="240"/>
      </w:pPr>
      <w:r>
        <w:t>277.</w:t>
      </w:r>
      <w:r>
        <w:tab/>
        <w:t xml:space="preserve">Les progrès réalisés dans le domaine de la reconnaissance de la personnalité juridique sont concrétisés par la mise en œuvre d’une opération de délivrance de jugements supplétifs de naissance au profit de toute personne non enregistrée à la naissance. </w:t>
      </w:r>
    </w:p>
    <w:p w:rsidR="00000000" w:rsidRDefault="00000000">
      <w:pPr>
        <w:spacing w:after="240"/>
      </w:pPr>
      <w:r>
        <w:t>278.</w:t>
      </w:r>
      <w:r>
        <w:tab/>
        <w:t xml:space="preserve">La possession d’état civil facilite l’exercice, la jouissance et la protection des droits civils et politiques préconisés par le Pacte. </w:t>
      </w:r>
    </w:p>
    <w:p w:rsidR="00000000" w:rsidRDefault="00000000">
      <w:pPr>
        <w:spacing w:after="240"/>
      </w:pPr>
      <w:r>
        <w:t>279.</w:t>
      </w:r>
      <w:r>
        <w:tab/>
        <w:t xml:space="preserve">L’opération «délivrance de copie de naissance à tout enfant» financée par l’UNICEF apporte un appui à la réalisation de la politique «Éducation pour tous». </w:t>
      </w:r>
    </w:p>
    <w:p w:rsidR="00000000" w:rsidRDefault="00000000">
      <w:pPr>
        <w:keepNext/>
        <w:spacing w:after="240"/>
        <w:jc w:val="center"/>
        <w:rPr>
          <w:b/>
          <w:bCs/>
        </w:rPr>
      </w:pPr>
      <w:bookmarkStart w:id="381" w:name="_Toc98224909"/>
      <w:r>
        <w:rPr>
          <w:b/>
          <w:bCs/>
        </w:rPr>
        <w:t>ARTICLE 17</w:t>
      </w:r>
      <w:bookmarkEnd w:id="381"/>
    </w:p>
    <w:p w:rsidR="00000000" w:rsidRDefault="00000000">
      <w:pPr>
        <w:keepNext/>
        <w:spacing w:after="240"/>
        <w:jc w:val="center"/>
        <w:rPr>
          <w:b/>
          <w:bCs/>
          <w:color w:val="333333"/>
        </w:rPr>
      </w:pPr>
      <w:r>
        <w:rPr>
          <w:b/>
          <w:bCs/>
          <w:color w:val="333333"/>
        </w:rPr>
        <w:t>Droit à la protection de la vie privée</w:t>
      </w:r>
    </w:p>
    <w:p w:rsidR="00000000" w:rsidRDefault="00000000">
      <w:pPr>
        <w:spacing w:after="240"/>
      </w:pPr>
      <w:r>
        <w:t>280.</w:t>
      </w:r>
      <w:r>
        <w:tab/>
        <w:t xml:space="preserve">La protection de l’inviolabilité de la personne, du domicile et de la correspondance est visée par les paragraphes 1 et 2 de l’article 13 de la Constitution. </w:t>
      </w:r>
    </w:p>
    <w:p w:rsidR="00000000" w:rsidRDefault="00000000">
      <w:pPr>
        <w:spacing w:after="240"/>
      </w:pPr>
      <w:r>
        <w:t>281.</w:t>
      </w:r>
      <w:r>
        <w:tab/>
        <w:t>L’inviolabilité de la personne garantit une protection contre toute atteinte à l’intégrité physique, morale et à l’honneur.</w:t>
      </w:r>
    </w:p>
    <w:p w:rsidR="00000000" w:rsidRDefault="00000000">
      <w:pPr>
        <w:spacing w:after="240"/>
      </w:pPr>
      <w:r>
        <w:t>282.</w:t>
      </w:r>
      <w:r>
        <w:tab/>
        <w:t>La législation sanctionne les atteintes à ces violations et reconnaît le droit à réparation sous forme d’indemnisation en raison des préjudices subis.</w:t>
      </w:r>
    </w:p>
    <w:p w:rsidR="00000000" w:rsidRDefault="00000000">
      <w:pPr>
        <w:spacing w:after="240"/>
      </w:pPr>
      <w:r>
        <w:t>283.</w:t>
      </w:r>
      <w:r>
        <w:tab/>
        <w:t>La violation de domicile est punie par l’article 184 du Code pénal malgache. Les restrictions admises sont prévues par la Constitution et la loi.</w:t>
      </w:r>
    </w:p>
    <w:p w:rsidR="00000000" w:rsidRDefault="00000000">
      <w:pPr>
        <w:spacing w:after="240"/>
        <w:rPr>
          <w:i/>
          <w:iCs/>
          <w:color w:val="333333"/>
        </w:rPr>
      </w:pPr>
      <w:r>
        <w:t>284.</w:t>
      </w:r>
      <w:r>
        <w:tab/>
        <w:t xml:space="preserve">Selon la Constitution, </w:t>
      </w:r>
      <w:r>
        <w:rPr>
          <w:iCs/>
        </w:rPr>
        <w:t>«</w:t>
      </w:r>
      <w:r>
        <w:rPr>
          <w:i/>
          <w:iCs/>
        </w:rPr>
        <w:t xml:space="preserve">Nulle perquisition ne peut avoir lieu qu’en </w:t>
      </w:r>
      <w:r>
        <w:rPr>
          <w:i/>
          <w:iCs/>
          <w:color w:val="333333"/>
        </w:rPr>
        <w:t>vertu d’une loi et sur ordre d’une autorité compétente, hormis le cas de flagrant délit</w:t>
      </w:r>
      <w:r>
        <w:rPr>
          <w:iCs/>
          <w:color w:val="333333"/>
        </w:rPr>
        <w:t>»</w:t>
      </w:r>
      <w:r>
        <w:rPr>
          <w:i/>
          <w:iCs/>
          <w:color w:val="333333"/>
        </w:rPr>
        <w:t>.</w:t>
      </w:r>
    </w:p>
    <w:p w:rsidR="00000000" w:rsidRDefault="00000000">
      <w:pPr>
        <w:spacing w:after="240"/>
      </w:pPr>
      <w:r>
        <w:t>285.</w:t>
      </w:r>
      <w:r>
        <w:tab/>
        <w:t>L’article 259 du Code de procédure pénale précise qu’</w:t>
      </w:r>
      <w:r>
        <w:rPr>
          <w:iCs/>
        </w:rPr>
        <w:t>«</w:t>
      </w:r>
      <w:r>
        <w:rPr>
          <w:i/>
          <w:iCs/>
        </w:rPr>
        <w:t>aucune perquisition ou visite domiciliaire ne peut être commencée avant 5 heures et après 19 heures</w:t>
      </w:r>
      <w:r>
        <w:rPr>
          <w:iCs/>
        </w:rPr>
        <w:t>»</w:t>
      </w:r>
      <w:r>
        <w:t>.</w:t>
      </w:r>
    </w:p>
    <w:p w:rsidR="00000000" w:rsidRDefault="00000000">
      <w:pPr>
        <w:spacing w:after="240"/>
      </w:pPr>
      <w:r>
        <w:t>286.</w:t>
      </w:r>
      <w:r>
        <w:tab/>
        <w:t>Toute perquisition commencée avant 19 heures peut être poursuivie jusqu’à son achèvement.</w:t>
      </w:r>
    </w:p>
    <w:p w:rsidR="00000000" w:rsidRDefault="00000000">
      <w:pPr>
        <w:keepNext/>
        <w:spacing w:after="240"/>
      </w:pPr>
      <w:r>
        <w:t>287.</w:t>
      </w:r>
      <w:r>
        <w:tab/>
        <w:t>Les perquisitions de nuit sont autorisées en cas:</w:t>
      </w:r>
    </w:p>
    <w:p w:rsidR="00000000" w:rsidRDefault="00000000">
      <w:pPr>
        <w:spacing w:after="240"/>
        <w:ind w:firstLine="567"/>
      </w:pPr>
      <w:r>
        <w:t>a)</w:t>
      </w:r>
      <w:r>
        <w:tab/>
        <w:t>De crime ou délit contre la sûreté intérieure de l’État;</w:t>
      </w:r>
    </w:p>
    <w:p w:rsidR="00000000" w:rsidRDefault="00000000">
      <w:pPr>
        <w:spacing w:after="240"/>
        <w:ind w:firstLine="567"/>
        <w:rPr>
          <w:color w:val="333333"/>
        </w:rPr>
      </w:pPr>
      <w:r>
        <w:t>b)</w:t>
      </w:r>
      <w:r>
        <w:tab/>
        <w:t>De flagrant délit;</w:t>
      </w:r>
    </w:p>
    <w:p w:rsidR="00000000" w:rsidRDefault="00000000">
      <w:pPr>
        <w:spacing w:after="240"/>
        <w:ind w:firstLine="567"/>
        <w:rPr>
          <w:color w:val="333333"/>
        </w:rPr>
      </w:pPr>
      <w:r>
        <w:rPr>
          <w:color w:val="000000"/>
        </w:rPr>
        <w:t>c)</w:t>
      </w:r>
      <w:r>
        <w:rPr>
          <w:color w:val="000000"/>
        </w:rPr>
        <w:tab/>
        <w:t xml:space="preserve">De lutte contre les stupéfiants: article 119 de la loi </w:t>
      </w:r>
      <w:r>
        <w:t>n</w:t>
      </w:r>
      <w:r>
        <w:rPr>
          <w:vertAlign w:val="superscript"/>
        </w:rPr>
        <w:t>o</w:t>
      </w:r>
      <w:r>
        <w:t> </w:t>
      </w:r>
      <w:r>
        <w:rPr>
          <w:color w:val="000000"/>
        </w:rPr>
        <w:t>97</w:t>
      </w:r>
      <w:r>
        <w:rPr>
          <w:color w:val="000000"/>
        </w:rPr>
        <w:noBreakHyphen/>
        <w:t>039 du 4 novembre 1997 sur le contrôle des stupéfiants et des substances psychotropes à Madagascar.</w:t>
      </w:r>
    </w:p>
    <w:p w:rsidR="00000000" w:rsidRDefault="00000000">
      <w:pPr>
        <w:spacing w:after="240"/>
        <w:rPr>
          <w:color w:val="000000"/>
        </w:rPr>
      </w:pPr>
      <w:r>
        <w:rPr>
          <w:color w:val="000000"/>
        </w:rPr>
        <w:t>288.</w:t>
      </w:r>
      <w:r>
        <w:rPr>
          <w:color w:val="000000"/>
        </w:rPr>
        <w:tab/>
        <w:t>La répression des atteintes à la réputation et à l’honneur font l’objet d’un texte particulier relatif au délit de presse, tandis que la violation de correspondance est prévue par le Code pénal.</w:t>
      </w:r>
    </w:p>
    <w:p w:rsidR="00000000" w:rsidRDefault="00000000">
      <w:pPr>
        <w:keepNext/>
        <w:spacing w:after="240"/>
        <w:ind w:firstLine="567"/>
        <w:rPr>
          <w:b/>
          <w:bCs/>
        </w:rPr>
      </w:pPr>
      <w:r>
        <w:rPr>
          <w:b/>
          <w:bCs/>
        </w:rPr>
        <w:t>Les atteintes à l’honneur</w:t>
      </w:r>
    </w:p>
    <w:p w:rsidR="00000000" w:rsidRDefault="00000000">
      <w:pPr>
        <w:spacing w:after="240"/>
      </w:pPr>
      <w:r>
        <w:t>289.</w:t>
      </w:r>
      <w:r>
        <w:tab/>
        <w:t>Aux termes de l’article 85, alinéa premier, de la loi n</w:t>
      </w:r>
      <w:r>
        <w:rPr>
          <w:vertAlign w:val="superscript"/>
        </w:rPr>
        <w:t>o</w:t>
      </w:r>
      <w:r>
        <w:t> 90</w:t>
      </w:r>
      <w:r>
        <w:noBreakHyphen/>
        <w:t>031 du 21 décembre 1990 sur la communication:</w:t>
      </w:r>
    </w:p>
    <w:p w:rsidR="00000000" w:rsidRDefault="00000000">
      <w:pPr>
        <w:spacing w:after="240"/>
        <w:ind w:left="567"/>
      </w:pPr>
      <w:r>
        <w:rPr>
          <w:iCs/>
        </w:rPr>
        <w:t>«</w:t>
      </w:r>
      <w:r>
        <w:rPr>
          <w:i/>
          <w:iCs/>
        </w:rPr>
        <w:t>La diffamation commise envers les particuliers (…) sera punie d’un emprisonnement d’un mois à six mois et d’une amende de 30 000 à 1 000 000 de FMG ou l’une de ces deux peines seulement.</w:t>
      </w:r>
      <w:r>
        <w:rPr>
          <w:iCs/>
        </w:rPr>
        <w:t>».</w:t>
      </w:r>
    </w:p>
    <w:p w:rsidR="00000000" w:rsidRDefault="00000000">
      <w:pPr>
        <w:keepNext/>
        <w:spacing w:after="240"/>
        <w:ind w:firstLine="567"/>
        <w:rPr>
          <w:b/>
          <w:bCs/>
        </w:rPr>
      </w:pPr>
      <w:r>
        <w:rPr>
          <w:b/>
          <w:bCs/>
        </w:rPr>
        <w:t>La violation de correspondance</w:t>
      </w:r>
    </w:p>
    <w:p w:rsidR="00000000" w:rsidRDefault="00000000">
      <w:pPr>
        <w:spacing w:after="240"/>
      </w:pPr>
      <w:r>
        <w:t>290.</w:t>
      </w:r>
      <w:r>
        <w:tab/>
        <w:t xml:space="preserve">La violation de correspondance est sanctionnée par l’article 187 du Code pénal ainsi libellé: </w:t>
      </w:r>
    </w:p>
    <w:p w:rsidR="00000000" w:rsidRDefault="00000000">
      <w:pPr>
        <w:spacing w:after="240"/>
        <w:ind w:left="567"/>
        <w:rPr>
          <w:i/>
          <w:iCs/>
        </w:rPr>
      </w:pPr>
      <w:r>
        <w:rPr>
          <w:iCs/>
        </w:rPr>
        <w:t>«</w:t>
      </w:r>
      <w:r>
        <w:rPr>
          <w:i/>
          <w:iCs/>
        </w:rPr>
        <w:t>Toute suppression, toute ouverture de lettre confiée à la poste, commise ou facilitée par un fonctionnaire ou agent du Gouvernement ou de l’administration de la poste, sera punie d’une amende de 25 000 à 150 000 francs, et d’un emprisonnement de trois mois à cinq ans. Le coupable sera de plus interdit de toute fonction ou emploi public pendant cinq ans au moins et dix ans au plus.</w:t>
      </w:r>
    </w:p>
    <w:p w:rsidR="00000000" w:rsidRDefault="00000000">
      <w:pPr>
        <w:spacing w:after="240"/>
        <w:ind w:left="567"/>
        <w:rPr>
          <w:i/>
          <w:iCs/>
        </w:rPr>
      </w:pPr>
      <w:r>
        <w:rPr>
          <w:i/>
          <w:iCs/>
        </w:rPr>
        <w:t>En dehors des cas prévus au paragraphe premier du présent article, toute suppression, toute ouverture de correspondance adressée à des tiers, faite de mauvaise foi, sera punie d’un emprisonnement de six jours à un an et d’une amende de 25 000 à 150 000 francs ou de l’une de ces peines seulement.</w:t>
      </w:r>
      <w:r>
        <w:rPr>
          <w:iCs/>
        </w:rPr>
        <w:t>»</w:t>
      </w:r>
      <w:r>
        <w:rPr>
          <w:i/>
          <w:iCs/>
        </w:rPr>
        <w:t>.</w:t>
      </w:r>
    </w:p>
    <w:p w:rsidR="00000000" w:rsidRDefault="00000000">
      <w:pPr>
        <w:spacing w:after="240"/>
      </w:pPr>
      <w:r>
        <w:t>291.</w:t>
      </w:r>
      <w:r>
        <w:rPr>
          <w:i/>
          <w:iCs/>
        </w:rPr>
        <w:tab/>
      </w:r>
      <w:r>
        <w:t>L’interception des communications téléphoniques n’est autorisée que sur ordre du Procureur de la République ou du Juge d’instruction dans le cadre d’une procédure d’information judiciaire.</w:t>
      </w:r>
    </w:p>
    <w:p w:rsidR="00000000" w:rsidRDefault="00000000">
      <w:pPr>
        <w:keepNext/>
        <w:spacing w:after="240"/>
        <w:jc w:val="center"/>
        <w:rPr>
          <w:b/>
          <w:bCs/>
        </w:rPr>
      </w:pPr>
      <w:bookmarkStart w:id="382" w:name="_Toc98224910"/>
      <w:r>
        <w:rPr>
          <w:b/>
          <w:bCs/>
        </w:rPr>
        <w:t>ARTICLE 18</w:t>
      </w:r>
      <w:bookmarkEnd w:id="382"/>
    </w:p>
    <w:p w:rsidR="00000000" w:rsidRDefault="00000000">
      <w:pPr>
        <w:keepNext/>
        <w:spacing w:after="240"/>
        <w:jc w:val="center"/>
        <w:rPr>
          <w:b/>
          <w:bCs/>
        </w:rPr>
      </w:pPr>
      <w:r>
        <w:rPr>
          <w:b/>
          <w:bCs/>
        </w:rPr>
        <w:t>Liberté de pensée, de conscience et de religion</w:t>
      </w:r>
    </w:p>
    <w:p w:rsidR="00000000" w:rsidRDefault="00000000">
      <w:pPr>
        <w:spacing w:after="240"/>
        <w:rPr>
          <w:i/>
          <w:iCs/>
        </w:rPr>
      </w:pPr>
      <w:r>
        <w:t>292.</w:t>
      </w:r>
      <w:r>
        <w:tab/>
        <w:t xml:space="preserve">Aux termes de l’article 10 de la Constitution, </w:t>
      </w:r>
      <w:r>
        <w:rPr>
          <w:iCs/>
        </w:rPr>
        <w:t>«</w:t>
      </w:r>
      <w:r>
        <w:rPr>
          <w:i/>
          <w:iCs/>
        </w:rPr>
        <w:t>les libertés d’opinion et d’expression, de communication, de presse, d’association, de réunion, de circulation, de conscience et de religion sont garanties à tous et ne peuvent être limitées que par le respect des libertés et des droits d’autrui et par l’impératif de sauvegarder l’ordre public</w:t>
      </w:r>
      <w:r>
        <w:rPr>
          <w:iCs/>
        </w:rPr>
        <w:t>»</w:t>
      </w:r>
      <w:r>
        <w:rPr>
          <w:i/>
          <w:iCs/>
        </w:rPr>
        <w:t>.</w:t>
      </w:r>
    </w:p>
    <w:p w:rsidR="00000000" w:rsidRDefault="00000000">
      <w:pPr>
        <w:spacing w:after="240"/>
      </w:pPr>
      <w:r>
        <w:t>293.</w:t>
      </w:r>
      <w:r>
        <w:tab/>
        <w:t>Les libertés de religion et d’associations culturelles sont régies par l’ordonnance n</w:t>
      </w:r>
      <w:r>
        <w:rPr>
          <w:vertAlign w:val="superscript"/>
        </w:rPr>
        <w:t>o</w:t>
      </w:r>
      <w:r>
        <w:t> 62</w:t>
      </w:r>
      <w:r>
        <w:noBreakHyphen/>
        <w:t>117 du 1</w:t>
      </w:r>
      <w:r>
        <w:rPr>
          <w:vertAlign w:val="superscript"/>
        </w:rPr>
        <w:t>er</w:t>
      </w:r>
      <w:r>
        <w:t xml:space="preserve"> octobre 1962.</w:t>
      </w:r>
    </w:p>
    <w:p w:rsidR="00000000" w:rsidRDefault="00000000">
      <w:pPr>
        <w:spacing w:after="240"/>
      </w:pPr>
      <w:r>
        <w:t>294.</w:t>
      </w:r>
      <w:r>
        <w:tab/>
        <w:t>L’ordonnance n</w:t>
      </w:r>
      <w:r>
        <w:rPr>
          <w:vertAlign w:val="superscript"/>
        </w:rPr>
        <w:t>o</w:t>
      </w:r>
      <w:r>
        <w:t> 60-133 du 3 octobre 1960 organise la création et la dissolution des associations à but non lucratif.</w:t>
      </w:r>
    </w:p>
    <w:p w:rsidR="00000000" w:rsidRDefault="00000000">
      <w:pPr>
        <w:spacing w:after="240"/>
      </w:pPr>
      <w:r>
        <w:t>295.</w:t>
      </w:r>
      <w:r>
        <w:tab/>
        <w:t>L’expansion en nombre des associations culturelles, autres que les religions classiques catholiques, protestantes et musulmanes sur tout le territoire national, traduit le respect des libertés religieuses préconisé par le Pacte ainsi rédigé:</w:t>
      </w:r>
    </w:p>
    <w:p w:rsidR="00000000" w:rsidRDefault="00000000">
      <w:pPr>
        <w:spacing w:after="240"/>
        <w:ind w:left="567"/>
        <w:rPr>
          <w:i/>
          <w:iCs/>
        </w:rPr>
      </w:pPr>
      <w:r>
        <w:rPr>
          <w:iCs/>
        </w:rPr>
        <w:t>«</w:t>
      </w:r>
      <w:r>
        <w:rPr>
          <w:i/>
          <w:iCs/>
        </w:rPr>
        <w:t>Toute personne a droit à la liberté de pensée, de conscience et de religion; ce droit implique la liberté d’avoir ou d’adopter une religion ou une conviction de son choix, ainsi que la liberté de manifester sa religion ou sa conviction, individuellement ou en commun, tant en public qu’en privé, par le culte et l’accomplissement des rites, les pratiques et l’enseignement.</w:t>
      </w:r>
      <w:r>
        <w:rPr>
          <w:iCs/>
        </w:rPr>
        <w:t>»</w:t>
      </w:r>
      <w:r>
        <w:rPr>
          <w:i/>
          <w:iCs/>
        </w:rPr>
        <w:t>.</w:t>
      </w:r>
    </w:p>
    <w:p w:rsidR="00000000" w:rsidRDefault="00000000">
      <w:pPr>
        <w:spacing w:after="240"/>
      </w:pPr>
      <w:r>
        <w:t>296.</w:t>
      </w:r>
      <w:r>
        <w:tab/>
        <w:t xml:space="preserve">Les libertés religieuses visées à l’article 18 du Pacte ne sont limitées que par le respect des droits et libertés d’autrui, et la sauvegarde de l’ordre public. </w:t>
      </w:r>
    </w:p>
    <w:p w:rsidR="00000000" w:rsidRDefault="00000000">
      <w:pPr>
        <w:spacing w:after="240"/>
      </w:pPr>
      <w:r>
        <w:t>297.</w:t>
      </w:r>
      <w:r>
        <w:tab/>
        <w:t xml:space="preserve"> La Chambre administrative de la Cour Suprême, en cas de recours, exerce un contrôle de légalité sur les mesures de restrictions, de suspension ou de dissolution décidées par l’administration à l’encontre des associations religieuses. Tel contrôle juridictionnel offre une garantie de protection de l’exercice et de la jouissance des libertés énoncées à l’article 18 du Pacte. </w:t>
      </w:r>
    </w:p>
    <w:p w:rsidR="00000000" w:rsidRDefault="00000000">
      <w:pPr>
        <w:spacing w:after="240"/>
      </w:pPr>
      <w:r>
        <w:t>298.</w:t>
      </w:r>
      <w:r>
        <w:tab/>
        <w:t xml:space="preserve">Madagascar respecte la liberté des parents de faire assurer l’éducation religieuse et morale de leurs enfants conformément à leurs propres convictions. </w:t>
      </w:r>
    </w:p>
    <w:p w:rsidR="00000000" w:rsidRDefault="00000000">
      <w:pPr>
        <w:spacing w:after="240"/>
      </w:pPr>
      <w:r>
        <w:t>299.</w:t>
      </w:r>
      <w:r>
        <w:tab/>
        <w:t>La laïcité de l’État lui interdit toute immixtion dans les affaires religieuses, il en découle qu’il ne doit pas prendre en charge toutes dépenses relatives à l’exercice des cultes</w:t>
      </w:r>
    </w:p>
    <w:p w:rsidR="00000000" w:rsidRDefault="00000000">
      <w:pPr>
        <w:keepNext/>
        <w:spacing w:after="240"/>
        <w:jc w:val="center"/>
        <w:rPr>
          <w:b/>
          <w:bCs/>
          <w:color w:val="000000"/>
        </w:rPr>
      </w:pPr>
      <w:bookmarkStart w:id="383" w:name="_Toc97531618"/>
      <w:bookmarkStart w:id="384" w:name="_Toc98224911"/>
      <w:r>
        <w:rPr>
          <w:b/>
          <w:bCs/>
          <w:color w:val="000000"/>
        </w:rPr>
        <w:t>ARTICLE 19</w:t>
      </w:r>
      <w:bookmarkEnd w:id="383"/>
      <w:bookmarkEnd w:id="384"/>
    </w:p>
    <w:p w:rsidR="00000000" w:rsidRDefault="00000000">
      <w:pPr>
        <w:keepNext/>
        <w:spacing w:after="240"/>
        <w:jc w:val="center"/>
        <w:rPr>
          <w:b/>
          <w:bCs/>
        </w:rPr>
      </w:pPr>
      <w:r>
        <w:rPr>
          <w:b/>
          <w:bCs/>
          <w:color w:val="000000"/>
        </w:rPr>
        <w:t>Liberté d’opinion et d’expression</w:t>
      </w:r>
    </w:p>
    <w:p w:rsidR="00000000" w:rsidRDefault="00000000">
      <w:pPr>
        <w:spacing w:after="240"/>
      </w:pPr>
      <w:r>
        <w:t>300.</w:t>
      </w:r>
      <w:r>
        <w:tab/>
        <w:t xml:space="preserve">Les libertés d’opinion et d’expression sont inséparables. La première exprime la liberté de choisir sa vérité dans sa pensée tandis que la seconde est l’expression de la liberté de révéler sa pensée à autrui. </w:t>
      </w:r>
    </w:p>
    <w:p w:rsidR="00000000" w:rsidRDefault="00000000">
      <w:pPr>
        <w:spacing w:after="240"/>
      </w:pPr>
      <w:r>
        <w:t>301.</w:t>
      </w:r>
      <w:r>
        <w:tab/>
        <w:t>Pour la protection de ces libertés, il est indispensable de prévoir l’interdiction de sanctionner une opinion ou l’expression d’une opinion.</w:t>
      </w:r>
    </w:p>
    <w:p w:rsidR="00000000" w:rsidRDefault="00000000">
      <w:pPr>
        <w:spacing w:after="240"/>
      </w:pPr>
      <w:r>
        <w:t>302.</w:t>
      </w:r>
      <w:r>
        <w:tab/>
        <w:t>Le délit d’opinion n’existe pas en droit malagasy.</w:t>
      </w:r>
    </w:p>
    <w:p w:rsidR="00000000" w:rsidRDefault="00000000">
      <w:pPr>
        <w:spacing w:after="240"/>
        <w:rPr>
          <w:i/>
          <w:iCs/>
        </w:rPr>
      </w:pPr>
      <w:r>
        <w:t>303.</w:t>
      </w:r>
      <w:r>
        <w:tab/>
        <w:t xml:space="preserve">Toutefois, l’article 10 de la Constitution prévoit des restrictions en disposant </w:t>
      </w:r>
      <w:r>
        <w:rPr>
          <w:iCs/>
        </w:rPr>
        <w:t>«</w:t>
      </w:r>
      <w:r>
        <w:rPr>
          <w:i/>
          <w:iCs/>
        </w:rPr>
        <w:t>les libertés d’opinion et d’expression, de communication, de presse, d’association, de réunion, de circulation, de conscience et de religion sont garanties à tous et ne peuvent être limitées que par le respect des libertés et droits d’autrui et par l’impératif de sauvegarder l’ordre public</w:t>
      </w:r>
      <w:r>
        <w:rPr>
          <w:iCs/>
        </w:rPr>
        <w:t>»</w:t>
      </w:r>
      <w:r>
        <w:rPr>
          <w:i/>
          <w:iCs/>
        </w:rPr>
        <w:t>.</w:t>
      </w:r>
    </w:p>
    <w:p w:rsidR="00000000" w:rsidRDefault="00000000">
      <w:pPr>
        <w:spacing w:after="240"/>
      </w:pPr>
      <w:r>
        <w:t>304.</w:t>
      </w:r>
      <w:r>
        <w:tab/>
        <w:t>L’article 11 de cette Constitution prévoit également le droit à l’information non soumis à aucune contrainte préalable.</w:t>
      </w:r>
    </w:p>
    <w:p w:rsidR="00000000" w:rsidRDefault="00000000">
      <w:pPr>
        <w:spacing w:after="240"/>
        <w:rPr>
          <w:i/>
          <w:iCs/>
        </w:rPr>
      </w:pPr>
      <w:r>
        <w:t>305.</w:t>
      </w:r>
      <w:r>
        <w:tab/>
        <w:t>L’article 2, alinéa premier, de la loi n</w:t>
      </w:r>
      <w:r>
        <w:rPr>
          <w:vertAlign w:val="superscript"/>
        </w:rPr>
        <w:t>o</w:t>
      </w:r>
      <w:r>
        <w:t> 90</w:t>
      </w:r>
      <w:r>
        <w:noBreakHyphen/>
        <w:t xml:space="preserve">031 du 21 décembre 1990 apporte la précision suivante: </w:t>
      </w:r>
      <w:r>
        <w:rPr>
          <w:iCs/>
        </w:rPr>
        <w:t>«</w:t>
      </w:r>
      <w:r>
        <w:rPr>
          <w:i/>
          <w:iCs/>
        </w:rPr>
        <w:t>Toute personne a le droit d’exprimer son opinion et ses idées par voie de presse quel qu’en soit le support matériel.</w:t>
      </w:r>
      <w:r>
        <w:rPr>
          <w:iCs/>
        </w:rPr>
        <w:t>»</w:t>
      </w:r>
      <w:r>
        <w:rPr>
          <w:i/>
          <w:iCs/>
        </w:rPr>
        <w:t xml:space="preserve">. </w:t>
      </w:r>
    </w:p>
    <w:p w:rsidR="00000000" w:rsidRDefault="00000000">
      <w:pPr>
        <w:spacing w:after="240"/>
        <w:rPr>
          <w:i/>
          <w:iCs/>
        </w:rPr>
      </w:pPr>
      <w:r>
        <w:t>306.</w:t>
      </w:r>
      <w:r>
        <w:tab/>
        <w:t>Le droit à la liberté de la presse et à l’information est également prévu par l’ordonnance n</w:t>
      </w:r>
      <w:r>
        <w:rPr>
          <w:vertAlign w:val="superscript"/>
        </w:rPr>
        <w:t>o</w:t>
      </w:r>
      <w:r>
        <w:t> 92-039 du 14 septembre 1992 sur la communication audiovisuelle.</w:t>
      </w:r>
    </w:p>
    <w:p w:rsidR="00000000" w:rsidRDefault="00000000">
      <w:pPr>
        <w:spacing w:after="240"/>
        <w:rPr>
          <w:i/>
          <w:iCs/>
        </w:rPr>
      </w:pPr>
      <w:r>
        <w:t>307.</w:t>
      </w:r>
      <w:r>
        <w:tab/>
        <w:t>L’alinéa 2, article 2, de la loi n</w:t>
      </w:r>
      <w:r>
        <w:rPr>
          <w:vertAlign w:val="superscript"/>
        </w:rPr>
        <w:t>o</w:t>
      </w:r>
      <w:r>
        <w:t> 90</w:t>
      </w:r>
      <w:r>
        <w:noBreakHyphen/>
        <w:t xml:space="preserve">031 stipule: </w:t>
      </w:r>
      <w:r>
        <w:rPr>
          <w:iCs/>
        </w:rPr>
        <w:t>«</w:t>
      </w:r>
      <w:r>
        <w:rPr>
          <w:i/>
          <w:iCs/>
        </w:rPr>
        <w:t>la presse a pour mandat, en toute liberté et indépendance d’esprit, d’émettre toute opinion et de rapporter tout événement susceptible d’intéresser le public et de contribuer à son éducation</w:t>
      </w:r>
      <w:r>
        <w:rPr>
          <w:iCs/>
        </w:rPr>
        <w:t>»</w:t>
      </w:r>
      <w:r>
        <w:rPr>
          <w:i/>
          <w:iCs/>
        </w:rPr>
        <w:t xml:space="preserve">, </w:t>
      </w:r>
      <w:r>
        <w:t>tandis que l’alinéa 3 énonce que</w:t>
      </w:r>
      <w:r>
        <w:rPr>
          <w:i/>
          <w:iCs/>
        </w:rPr>
        <w:t xml:space="preserve"> </w:t>
      </w:r>
      <w:r>
        <w:rPr>
          <w:iCs/>
        </w:rPr>
        <w:t>«</w:t>
      </w:r>
      <w:r>
        <w:rPr>
          <w:i/>
          <w:iCs/>
        </w:rPr>
        <w:t>les manifestations de cette liberté n’ont d’autres limites que celles qu’impose le respect des droits et de la dignité d’autrui</w:t>
      </w:r>
      <w:r>
        <w:rPr>
          <w:iCs/>
        </w:rPr>
        <w:t>»</w:t>
      </w:r>
      <w:r>
        <w:rPr>
          <w:i/>
          <w:iCs/>
        </w:rPr>
        <w:t>.</w:t>
      </w:r>
    </w:p>
    <w:p w:rsidR="00000000" w:rsidRDefault="00000000">
      <w:pPr>
        <w:spacing w:after="240"/>
      </w:pPr>
      <w:r>
        <w:t>308.</w:t>
      </w:r>
      <w:r>
        <w:tab/>
        <w:t>Cette mesure législative indique que toute personne a droit à la liberté d’expression englobant la liberté de rechercher, de recevoir et de répandre des informations et des idées de toute nature, sans considération de frontière, sous une forme orale, écrite, imprimée ou artistique, ou par tout autre moyen de son choix.</w:t>
      </w:r>
    </w:p>
    <w:p w:rsidR="00000000" w:rsidRDefault="00000000">
      <w:pPr>
        <w:spacing w:after="240"/>
      </w:pPr>
      <w:r>
        <w:t>309.</w:t>
      </w:r>
      <w:r>
        <w:tab/>
        <w:t xml:space="preserve">Par ailleurs, l’article 59 de la même loi énonce </w:t>
      </w:r>
      <w:r>
        <w:rPr>
          <w:iCs/>
        </w:rPr>
        <w:t>«</w:t>
      </w:r>
      <w:r>
        <w:rPr>
          <w:i/>
          <w:iCs/>
        </w:rPr>
        <w:t>le public a droit à une information complète et conformément aux faits et événements. La garantie de qualité de l’information est assurée par la rigueur, l’intégrité et l’honnêteté intellectuelles</w:t>
      </w:r>
      <w:r>
        <w:rPr>
          <w:iCs/>
        </w:rPr>
        <w:t>»</w:t>
      </w:r>
      <w:r>
        <w:rPr>
          <w:i/>
          <w:iCs/>
        </w:rPr>
        <w:t>.</w:t>
      </w:r>
    </w:p>
    <w:p w:rsidR="00000000" w:rsidRDefault="00000000">
      <w:pPr>
        <w:spacing w:after="240"/>
      </w:pPr>
      <w:r>
        <w:t>310.</w:t>
      </w:r>
      <w:r>
        <w:tab/>
        <w:t xml:space="preserve">Les limites de l’exercice du droit à la liberté de presse et à l’information sont justifiées par le respect des droits et de la dignité d’autrui ou encore par la nécessité de sauvegarder la moralité et l’ordre public. </w:t>
      </w:r>
    </w:p>
    <w:p w:rsidR="00000000" w:rsidRDefault="00000000">
      <w:pPr>
        <w:spacing w:after="240"/>
      </w:pPr>
      <w:r>
        <w:t>311.</w:t>
      </w:r>
      <w:r>
        <w:tab/>
        <w:t xml:space="preserve">Ces mesures restrictives ne sont nullement contraires à celles édictées par le Pacte. </w:t>
      </w:r>
    </w:p>
    <w:p w:rsidR="00000000" w:rsidRDefault="00000000">
      <w:pPr>
        <w:spacing w:after="240"/>
      </w:pPr>
      <w:r>
        <w:t>312.</w:t>
      </w:r>
      <w:r>
        <w:tab/>
        <w:t>La libéralisation du secteur de la communication est illustrée par les tableaux suivants:</w:t>
      </w:r>
    </w:p>
    <w:p w:rsidR="00000000" w:rsidRDefault="00000000">
      <w:pPr>
        <w:spacing w:after="240"/>
        <w:jc w:val="center"/>
        <w:rPr>
          <w:b/>
          <w:bCs/>
        </w:rPr>
      </w:pPr>
      <w:bookmarkStart w:id="385" w:name="_Toc98224978"/>
      <w:r>
        <w:rPr>
          <w:b/>
          <w:bCs/>
        </w:rPr>
        <w:t>Tableau 47: Nombre des stations de radios par province au mois de novembre 2004</w:t>
      </w:r>
      <w:bookmarkEnd w:id="385"/>
    </w:p>
    <w:tbl>
      <w:tblPr>
        <w:tblW w:w="9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8"/>
        <w:gridCol w:w="1800"/>
        <w:gridCol w:w="1200"/>
        <w:gridCol w:w="1200"/>
        <w:gridCol w:w="1440"/>
        <w:gridCol w:w="1320"/>
        <w:gridCol w:w="941"/>
      </w:tblGrid>
      <w:tr w:rsidR="00000000">
        <w:trPr>
          <w:jc w:val="center"/>
        </w:trPr>
        <w:tc>
          <w:tcPr>
            <w:tcW w:w="1448" w:type="dxa"/>
            <w:vAlign w:val="center"/>
          </w:tcPr>
          <w:p w:rsidR="00000000" w:rsidRDefault="00000000">
            <w:pPr>
              <w:spacing w:before="60" w:after="60"/>
              <w:jc w:val="center"/>
              <w:rPr>
                <w:sz w:val="22"/>
              </w:rPr>
            </w:pPr>
            <w:r>
              <w:rPr>
                <w:sz w:val="22"/>
              </w:rPr>
              <w:t>Province</w:t>
            </w:r>
          </w:p>
        </w:tc>
        <w:tc>
          <w:tcPr>
            <w:tcW w:w="1800" w:type="dxa"/>
            <w:vAlign w:val="center"/>
          </w:tcPr>
          <w:p w:rsidR="00000000" w:rsidRDefault="00000000">
            <w:pPr>
              <w:spacing w:before="60" w:after="60"/>
              <w:jc w:val="center"/>
              <w:rPr>
                <w:sz w:val="22"/>
              </w:rPr>
            </w:pPr>
            <w:r>
              <w:rPr>
                <w:sz w:val="22"/>
              </w:rPr>
              <w:t>Convention gouvernementale</w:t>
            </w:r>
          </w:p>
        </w:tc>
        <w:tc>
          <w:tcPr>
            <w:tcW w:w="1200" w:type="dxa"/>
            <w:vAlign w:val="center"/>
          </w:tcPr>
          <w:p w:rsidR="00000000" w:rsidRDefault="00000000">
            <w:pPr>
              <w:spacing w:before="60" w:after="60"/>
              <w:jc w:val="center"/>
              <w:rPr>
                <w:sz w:val="22"/>
              </w:rPr>
            </w:pPr>
            <w:r>
              <w:rPr>
                <w:sz w:val="22"/>
              </w:rPr>
              <w:t>Services publics</w:t>
            </w:r>
          </w:p>
        </w:tc>
        <w:tc>
          <w:tcPr>
            <w:tcW w:w="1200" w:type="dxa"/>
            <w:vAlign w:val="center"/>
          </w:tcPr>
          <w:p w:rsidR="00000000" w:rsidRDefault="00000000">
            <w:pPr>
              <w:spacing w:before="60" w:after="60"/>
              <w:jc w:val="center"/>
              <w:rPr>
                <w:sz w:val="22"/>
              </w:rPr>
            </w:pPr>
            <w:r>
              <w:rPr>
                <w:sz w:val="22"/>
              </w:rPr>
              <w:t>Radios privées agréées</w:t>
            </w:r>
          </w:p>
        </w:tc>
        <w:tc>
          <w:tcPr>
            <w:tcW w:w="1440" w:type="dxa"/>
            <w:vAlign w:val="center"/>
          </w:tcPr>
          <w:p w:rsidR="00000000" w:rsidRDefault="00000000">
            <w:pPr>
              <w:spacing w:before="60" w:after="60"/>
              <w:jc w:val="center"/>
              <w:rPr>
                <w:sz w:val="22"/>
              </w:rPr>
            </w:pPr>
            <w:r>
              <w:rPr>
                <w:sz w:val="22"/>
              </w:rPr>
              <w:t>En cours de régularisation</w:t>
            </w:r>
          </w:p>
        </w:tc>
        <w:tc>
          <w:tcPr>
            <w:tcW w:w="1320" w:type="dxa"/>
            <w:vAlign w:val="center"/>
          </w:tcPr>
          <w:p w:rsidR="00000000" w:rsidRDefault="00000000">
            <w:pPr>
              <w:spacing w:before="60" w:after="60"/>
              <w:jc w:val="center"/>
              <w:rPr>
                <w:sz w:val="22"/>
              </w:rPr>
            </w:pPr>
            <w:r>
              <w:rPr>
                <w:sz w:val="22"/>
              </w:rPr>
              <w:t>Radios privées en situation irrégulière</w:t>
            </w:r>
          </w:p>
        </w:tc>
        <w:tc>
          <w:tcPr>
            <w:tcW w:w="941" w:type="dxa"/>
            <w:vAlign w:val="center"/>
          </w:tcPr>
          <w:p w:rsidR="00000000" w:rsidRDefault="00000000">
            <w:pPr>
              <w:spacing w:before="60" w:after="60"/>
              <w:jc w:val="center"/>
              <w:rPr>
                <w:sz w:val="22"/>
                <w:lang w:val="en-GB"/>
              </w:rPr>
            </w:pPr>
            <w:r>
              <w:rPr>
                <w:sz w:val="22"/>
                <w:lang w:val="en-GB"/>
              </w:rPr>
              <w:t>Total</w:t>
            </w:r>
          </w:p>
        </w:tc>
      </w:tr>
      <w:tr w:rsidR="00000000">
        <w:trPr>
          <w:jc w:val="center"/>
        </w:trPr>
        <w:tc>
          <w:tcPr>
            <w:tcW w:w="1448" w:type="dxa"/>
          </w:tcPr>
          <w:p w:rsidR="00000000" w:rsidRDefault="00000000">
            <w:pPr>
              <w:spacing w:before="60" w:after="60"/>
              <w:rPr>
                <w:bCs/>
                <w:sz w:val="22"/>
                <w:lang w:val="en-GB"/>
              </w:rPr>
            </w:pPr>
            <w:r>
              <w:rPr>
                <w:bCs/>
                <w:sz w:val="22"/>
                <w:lang w:val="en-GB"/>
              </w:rPr>
              <w:t>Antananarivo</w:t>
            </w:r>
          </w:p>
        </w:tc>
        <w:tc>
          <w:tcPr>
            <w:tcW w:w="1800" w:type="dxa"/>
          </w:tcPr>
          <w:p w:rsidR="00000000" w:rsidRDefault="00000000">
            <w:pPr>
              <w:spacing w:before="60" w:after="60"/>
              <w:ind w:right="263"/>
              <w:jc w:val="right"/>
              <w:rPr>
                <w:sz w:val="22"/>
                <w:lang w:val="en-GB"/>
              </w:rPr>
            </w:pPr>
            <w:r>
              <w:rPr>
                <w:sz w:val="22"/>
                <w:lang w:val="en-GB"/>
              </w:rPr>
              <w:t>04</w:t>
            </w:r>
          </w:p>
        </w:tc>
        <w:tc>
          <w:tcPr>
            <w:tcW w:w="1200" w:type="dxa"/>
          </w:tcPr>
          <w:p w:rsidR="00000000" w:rsidRDefault="00000000">
            <w:pPr>
              <w:spacing w:before="60" w:after="60"/>
              <w:ind w:right="263"/>
              <w:jc w:val="right"/>
              <w:rPr>
                <w:sz w:val="22"/>
                <w:lang w:val="en-GB"/>
              </w:rPr>
            </w:pPr>
            <w:r>
              <w:rPr>
                <w:sz w:val="22"/>
                <w:lang w:val="en-GB"/>
              </w:rPr>
              <w:t>03</w:t>
            </w:r>
          </w:p>
        </w:tc>
        <w:tc>
          <w:tcPr>
            <w:tcW w:w="1200" w:type="dxa"/>
          </w:tcPr>
          <w:p w:rsidR="00000000" w:rsidRDefault="00000000">
            <w:pPr>
              <w:spacing w:before="60" w:after="60"/>
              <w:ind w:right="263"/>
              <w:jc w:val="right"/>
              <w:rPr>
                <w:sz w:val="22"/>
                <w:lang w:val="en-GB"/>
              </w:rPr>
            </w:pPr>
            <w:r>
              <w:rPr>
                <w:sz w:val="22"/>
                <w:lang w:val="en-GB"/>
              </w:rPr>
              <w:t>52</w:t>
            </w:r>
          </w:p>
        </w:tc>
        <w:tc>
          <w:tcPr>
            <w:tcW w:w="1440" w:type="dxa"/>
          </w:tcPr>
          <w:p w:rsidR="00000000" w:rsidRDefault="00000000">
            <w:pPr>
              <w:spacing w:before="60" w:after="60"/>
              <w:ind w:right="263"/>
              <w:jc w:val="right"/>
              <w:rPr>
                <w:sz w:val="22"/>
                <w:lang w:val="en-GB"/>
              </w:rPr>
            </w:pPr>
            <w:r>
              <w:rPr>
                <w:sz w:val="22"/>
                <w:lang w:val="en-GB"/>
              </w:rPr>
              <w:t>03</w:t>
            </w:r>
          </w:p>
        </w:tc>
        <w:tc>
          <w:tcPr>
            <w:tcW w:w="1320" w:type="dxa"/>
          </w:tcPr>
          <w:p w:rsidR="00000000" w:rsidRDefault="00000000">
            <w:pPr>
              <w:spacing w:before="60" w:after="60"/>
              <w:ind w:right="263"/>
              <w:jc w:val="right"/>
              <w:rPr>
                <w:sz w:val="22"/>
                <w:lang w:val="en-GB"/>
              </w:rPr>
            </w:pPr>
            <w:r>
              <w:rPr>
                <w:sz w:val="22"/>
                <w:lang w:val="en-GB"/>
              </w:rPr>
              <w:t>04</w:t>
            </w:r>
          </w:p>
        </w:tc>
        <w:tc>
          <w:tcPr>
            <w:tcW w:w="941" w:type="dxa"/>
          </w:tcPr>
          <w:p w:rsidR="00000000" w:rsidRDefault="00000000">
            <w:pPr>
              <w:spacing w:before="60" w:after="60"/>
              <w:ind w:right="263"/>
              <w:jc w:val="right"/>
              <w:rPr>
                <w:sz w:val="22"/>
                <w:lang w:val="en-GB"/>
              </w:rPr>
            </w:pPr>
            <w:r>
              <w:rPr>
                <w:sz w:val="22"/>
                <w:lang w:val="en-GB"/>
              </w:rPr>
              <w:t>66</w:t>
            </w:r>
          </w:p>
        </w:tc>
      </w:tr>
      <w:tr w:rsidR="00000000">
        <w:trPr>
          <w:jc w:val="center"/>
        </w:trPr>
        <w:tc>
          <w:tcPr>
            <w:tcW w:w="1448" w:type="dxa"/>
          </w:tcPr>
          <w:p w:rsidR="00000000" w:rsidRDefault="00000000">
            <w:pPr>
              <w:spacing w:before="60" w:after="60"/>
              <w:rPr>
                <w:bCs/>
                <w:sz w:val="22"/>
                <w:lang w:val="en-GB"/>
              </w:rPr>
            </w:pPr>
            <w:r>
              <w:rPr>
                <w:bCs/>
                <w:sz w:val="22"/>
                <w:lang w:val="en-GB"/>
              </w:rPr>
              <w:t>Fianarantsoa</w:t>
            </w:r>
          </w:p>
        </w:tc>
        <w:tc>
          <w:tcPr>
            <w:tcW w:w="1800" w:type="dxa"/>
          </w:tcPr>
          <w:p w:rsidR="00000000" w:rsidRDefault="00000000">
            <w:pPr>
              <w:spacing w:before="60" w:after="60"/>
              <w:ind w:right="263"/>
              <w:jc w:val="right"/>
              <w:rPr>
                <w:sz w:val="22"/>
              </w:rPr>
            </w:pPr>
            <w:r>
              <w:rPr>
                <w:sz w:val="22"/>
              </w:rPr>
              <w:t>02</w:t>
            </w:r>
          </w:p>
        </w:tc>
        <w:tc>
          <w:tcPr>
            <w:tcW w:w="1200" w:type="dxa"/>
          </w:tcPr>
          <w:p w:rsidR="00000000" w:rsidRDefault="00000000">
            <w:pPr>
              <w:spacing w:before="60" w:after="60"/>
              <w:ind w:right="263"/>
              <w:jc w:val="right"/>
              <w:rPr>
                <w:sz w:val="22"/>
              </w:rPr>
            </w:pPr>
            <w:r>
              <w:rPr>
                <w:sz w:val="22"/>
              </w:rPr>
              <w:t>04</w:t>
            </w:r>
          </w:p>
        </w:tc>
        <w:tc>
          <w:tcPr>
            <w:tcW w:w="1200" w:type="dxa"/>
          </w:tcPr>
          <w:p w:rsidR="00000000" w:rsidRDefault="00000000">
            <w:pPr>
              <w:spacing w:before="60" w:after="60"/>
              <w:ind w:right="263"/>
              <w:jc w:val="right"/>
              <w:rPr>
                <w:sz w:val="22"/>
              </w:rPr>
            </w:pPr>
            <w:r>
              <w:rPr>
                <w:sz w:val="22"/>
              </w:rPr>
              <w:t>18</w:t>
            </w:r>
          </w:p>
        </w:tc>
        <w:tc>
          <w:tcPr>
            <w:tcW w:w="1440" w:type="dxa"/>
          </w:tcPr>
          <w:p w:rsidR="00000000" w:rsidRDefault="00000000">
            <w:pPr>
              <w:spacing w:before="60" w:after="60"/>
              <w:ind w:right="263"/>
              <w:jc w:val="right"/>
              <w:rPr>
                <w:sz w:val="22"/>
              </w:rPr>
            </w:pPr>
            <w:r>
              <w:rPr>
                <w:sz w:val="22"/>
              </w:rPr>
              <w:t>04</w:t>
            </w:r>
          </w:p>
        </w:tc>
        <w:tc>
          <w:tcPr>
            <w:tcW w:w="1320" w:type="dxa"/>
          </w:tcPr>
          <w:p w:rsidR="00000000" w:rsidRDefault="00000000">
            <w:pPr>
              <w:spacing w:before="60" w:after="60"/>
              <w:ind w:right="263"/>
              <w:jc w:val="right"/>
              <w:rPr>
                <w:sz w:val="22"/>
              </w:rPr>
            </w:pPr>
            <w:r>
              <w:rPr>
                <w:sz w:val="22"/>
              </w:rPr>
              <w:t>04</w:t>
            </w:r>
          </w:p>
        </w:tc>
        <w:tc>
          <w:tcPr>
            <w:tcW w:w="941" w:type="dxa"/>
          </w:tcPr>
          <w:p w:rsidR="00000000" w:rsidRDefault="00000000">
            <w:pPr>
              <w:spacing w:before="60" w:after="60"/>
              <w:ind w:right="263"/>
              <w:jc w:val="right"/>
              <w:rPr>
                <w:sz w:val="22"/>
              </w:rPr>
            </w:pPr>
            <w:r>
              <w:rPr>
                <w:sz w:val="22"/>
              </w:rPr>
              <w:t>32</w:t>
            </w:r>
          </w:p>
        </w:tc>
      </w:tr>
      <w:tr w:rsidR="00000000">
        <w:trPr>
          <w:jc w:val="center"/>
        </w:trPr>
        <w:tc>
          <w:tcPr>
            <w:tcW w:w="1448" w:type="dxa"/>
          </w:tcPr>
          <w:p w:rsidR="00000000" w:rsidRDefault="00000000">
            <w:pPr>
              <w:spacing w:before="60" w:after="60"/>
              <w:rPr>
                <w:bCs/>
                <w:sz w:val="22"/>
              </w:rPr>
            </w:pPr>
            <w:r>
              <w:rPr>
                <w:bCs/>
                <w:sz w:val="22"/>
              </w:rPr>
              <w:t>Toamasina</w:t>
            </w:r>
          </w:p>
        </w:tc>
        <w:tc>
          <w:tcPr>
            <w:tcW w:w="1800" w:type="dxa"/>
          </w:tcPr>
          <w:p w:rsidR="00000000" w:rsidRDefault="00000000">
            <w:pPr>
              <w:spacing w:before="60" w:after="60"/>
              <w:ind w:right="263"/>
              <w:jc w:val="right"/>
              <w:rPr>
                <w:sz w:val="22"/>
              </w:rPr>
            </w:pPr>
            <w:r>
              <w:rPr>
                <w:sz w:val="22"/>
              </w:rPr>
              <w:t>01</w:t>
            </w:r>
          </w:p>
        </w:tc>
        <w:tc>
          <w:tcPr>
            <w:tcW w:w="1200" w:type="dxa"/>
          </w:tcPr>
          <w:p w:rsidR="00000000" w:rsidRDefault="00000000">
            <w:pPr>
              <w:spacing w:before="60" w:after="60"/>
              <w:ind w:right="263"/>
              <w:jc w:val="right"/>
              <w:rPr>
                <w:sz w:val="22"/>
              </w:rPr>
            </w:pPr>
            <w:r>
              <w:rPr>
                <w:sz w:val="22"/>
              </w:rPr>
              <w:t>07</w:t>
            </w:r>
          </w:p>
        </w:tc>
        <w:tc>
          <w:tcPr>
            <w:tcW w:w="1200" w:type="dxa"/>
          </w:tcPr>
          <w:p w:rsidR="00000000" w:rsidRDefault="00000000">
            <w:pPr>
              <w:spacing w:before="60" w:after="60"/>
              <w:ind w:right="263"/>
              <w:jc w:val="right"/>
              <w:rPr>
                <w:sz w:val="22"/>
              </w:rPr>
            </w:pPr>
            <w:r>
              <w:rPr>
                <w:sz w:val="22"/>
              </w:rPr>
              <w:t>17</w:t>
            </w:r>
          </w:p>
        </w:tc>
        <w:tc>
          <w:tcPr>
            <w:tcW w:w="1440" w:type="dxa"/>
          </w:tcPr>
          <w:p w:rsidR="00000000" w:rsidRDefault="00000000">
            <w:pPr>
              <w:spacing w:before="60" w:after="60"/>
              <w:ind w:right="263"/>
              <w:jc w:val="right"/>
              <w:rPr>
                <w:sz w:val="22"/>
              </w:rPr>
            </w:pPr>
            <w:r>
              <w:rPr>
                <w:sz w:val="22"/>
              </w:rPr>
              <w:t>05</w:t>
            </w:r>
          </w:p>
        </w:tc>
        <w:tc>
          <w:tcPr>
            <w:tcW w:w="1320" w:type="dxa"/>
          </w:tcPr>
          <w:p w:rsidR="00000000" w:rsidRDefault="00000000">
            <w:pPr>
              <w:spacing w:before="60" w:after="60"/>
              <w:ind w:right="263"/>
              <w:jc w:val="right"/>
              <w:rPr>
                <w:sz w:val="22"/>
              </w:rPr>
            </w:pPr>
            <w:r>
              <w:rPr>
                <w:sz w:val="22"/>
              </w:rPr>
              <w:t>07</w:t>
            </w:r>
          </w:p>
        </w:tc>
        <w:tc>
          <w:tcPr>
            <w:tcW w:w="941" w:type="dxa"/>
          </w:tcPr>
          <w:p w:rsidR="00000000" w:rsidRDefault="00000000">
            <w:pPr>
              <w:spacing w:before="60" w:after="60"/>
              <w:ind w:right="263"/>
              <w:jc w:val="right"/>
              <w:rPr>
                <w:sz w:val="22"/>
              </w:rPr>
            </w:pPr>
            <w:r>
              <w:rPr>
                <w:sz w:val="22"/>
              </w:rPr>
              <w:t>37</w:t>
            </w:r>
          </w:p>
        </w:tc>
      </w:tr>
      <w:tr w:rsidR="00000000">
        <w:trPr>
          <w:jc w:val="center"/>
        </w:trPr>
        <w:tc>
          <w:tcPr>
            <w:tcW w:w="1448" w:type="dxa"/>
          </w:tcPr>
          <w:p w:rsidR="00000000" w:rsidRDefault="00000000">
            <w:pPr>
              <w:spacing w:before="60" w:after="60"/>
              <w:rPr>
                <w:bCs/>
                <w:sz w:val="22"/>
              </w:rPr>
            </w:pPr>
            <w:r>
              <w:rPr>
                <w:bCs/>
                <w:sz w:val="22"/>
              </w:rPr>
              <w:t>Toliara</w:t>
            </w:r>
          </w:p>
        </w:tc>
        <w:tc>
          <w:tcPr>
            <w:tcW w:w="1800" w:type="dxa"/>
          </w:tcPr>
          <w:p w:rsidR="00000000" w:rsidRDefault="00000000">
            <w:pPr>
              <w:spacing w:before="60" w:after="60"/>
              <w:ind w:right="263"/>
              <w:jc w:val="right"/>
              <w:rPr>
                <w:sz w:val="22"/>
              </w:rPr>
            </w:pPr>
            <w:r>
              <w:rPr>
                <w:sz w:val="22"/>
              </w:rPr>
              <w:t>01</w:t>
            </w:r>
          </w:p>
        </w:tc>
        <w:tc>
          <w:tcPr>
            <w:tcW w:w="1200" w:type="dxa"/>
          </w:tcPr>
          <w:p w:rsidR="00000000" w:rsidRDefault="00000000">
            <w:pPr>
              <w:spacing w:before="60" w:after="60"/>
              <w:ind w:right="263"/>
              <w:jc w:val="right"/>
              <w:rPr>
                <w:sz w:val="22"/>
              </w:rPr>
            </w:pPr>
            <w:r>
              <w:rPr>
                <w:sz w:val="22"/>
              </w:rPr>
              <w:t>08</w:t>
            </w:r>
          </w:p>
        </w:tc>
        <w:tc>
          <w:tcPr>
            <w:tcW w:w="1200" w:type="dxa"/>
          </w:tcPr>
          <w:p w:rsidR="00000000" w:rsidRDefault="00000000">
            <w:pPr>
              <w:spacing w:before="60" w:after="60"/>
              <w:ind w:right="263"/>
              <w:jc w:val="right"/>
              <w:rPr>
                <w:sz w:val="22"/>
              </w:rPr>
            </w:pPr>
            <w:r>
              <w:rPr>
                <w:sz w:val="22"/>
              </w:rPr>
              <w:t>18</w:t>
            </w:r>
          </w:p>
        </w:tc>
        <w:tc>
          <w:tcPr>
            <w:tcW w:w="1440" w:type="dxa"/>
          </w:tcPr>
          <w:p w:rsidR="00000000" w:rsidRDefault="00000000">
            <w:pPr>
              <w:spacing w:before="60" w:after="60"/>
              <w:ind w:right="263"/>
              <w:jc w:val="right"/>
              <w:rPr>
                <w:sz w:val="22"/>
              </w:rPr>
            </w:pPr>
            <w:r>
              <w:rPr>
                <w:sz w:val="22"/>
              </w:rPr>
              <w:t>05</w:t>
            </w:r>
          </w:p>
        </w:tc>
        <w:tc>
          <w:tcPr>
            <w:tcW w:w="1320" w:type="dxa"/>
          </w:tcPr>
          <w:p w:rsidR="00000000" w:rsidRDefault="00000000">
            <w:pPr>
              <w:spacing w:before="60" w:after="60"/>
              <w:ind w:right="263"/>
              <w:jc w:val="right"/>
              <w:rPr>
                <w:sz w:val="22"/>
              </w:rPr>
            </w:pPr>
            <w:r>
              <w:rPr>
                <w:sz w:val="22"/>
              </w:rPr>
              <w:t>06</w:t>
            </w:r>
          </w:p>
        </w:tc>
        <w:tc>
          <w:tcPr>
            <w:tcW w:w="941" w:type="dxa"/>
          </w:tcPr>
          <w:p w:rsidR="00000000" w:rsidRDefault="00000000">
            <w:pPr>
              <w:spacing w:before="60" w:after="60"/>
              <w:ind w:right="263"/>
              <w:jc w:val="right"/>
              <w:rPr>
                <w:sz w:val="22"/>
              </w:rPr>
            </w:pPr>
            <w:r>
              <w:rPr>
                <w:sz w:val="22"/>
              </w:rPr>
              <w:t>38</w:t>
            </w:r>
          </w:p>
        </w:tc>
      </w:tr>
      <w:tr w:rsidR="00000000">
        <w:trPr>
          <w:jc w:val="center"/>
        </w:trPr>
        <w:tc>
          <w:tcPr>
            <w:tcW w:w="1448" w:type="dxa"/>
          </w:tcPr>
          <w:p w:rsidR="00000000" w:rsidRDefault="00000000">
            <w:pPr>
              <w:spacing w:before="60" w:after="60"/>
              <w:rPr>
                <w:bCs/>
                <w:sz w:val="22"/>
              </w:rPr>
            </w:pPr>
            <w:r>
              <w:rPr>
                <w:bCs/>
                <w:sz w:val="22"/>
              </w:rPr>
              <w:t>Antsiranana</w:t>
            </w:r>
          </w:p>
        </w:tc>
        <w:tc>
          <w:tcPr>
            <w:tcW w:w="1800" w:type="dxa"/>
          </w:tcPr>
          <w:p w:rsidR="00000000" w:rsidRDefault="00000000">
            <w:pPr>
              <w:spacing w:before="60" w:after="60"/>
              <w:ind w:right="263"/>
              <w:jc w:val="right"/>
              <w:rPr>
                <w:sz w:val="22"/>
              </w:rPr>
            </w:pPr>
            <w:r>
              <w:rPr>
                <w:sz w:val="22"/>
              </w:rPr>
              <w:t>01</w:t>
            </w:r>
          </w:p>
        </w:tc>
        <w:tc>
          <w:tcPr>
            <w:tcW w:w="1200" w:type="dxa"/>
          </w:tcPr>
          <w:p w:rsidR="00000000" w:rsidRDefault="00000000">
            <w:pPr>
              <w:spacing w:before="60" w:after="60"/>
              <w:ind w:right="263"/>
              <w:jc w:val="right"/>
              <w:rPr>
                <w:sz w:val="22"/>
              </w:rPr>
            </w:pPr>
            <w:r>
              <w:rPr>
                <w:sz w:val="22"/>
              </w:rPr>
              <w:t>03</w:t>
            </w:r>
          </w:p>
        </w:tc>
        <w:tc>
          <w:tcPr>
            <w:tcW w:w="1200" w:type="dxa"/>
          </w:tcPr>
          <w:p w:rsidR="00000000" w:rsidRDefault="00000000">
            <w:pPr>
              <w:spacing w:before="60" w:after="60"/>
              <w:ind w:right="263"/>
              <w:jc w:val="right"/>
              <w:rPr>
                <w:sz w:val="22"/>
              </w:rPr>
            </w:pPr>
            <w:r>
              <w:rPr>
                <w:sz w:val="22"/>
              </w:rPr>
              <w:t>13</w:t>
            </w:r>
          </w:p>
        </w:tc>
        <w:tc>
          <w:tcPr>
            <w:tcW w:w="1440" w:type="dxa"/>
          </w:tcPr>
          <w:p w:rsidR="00000000" w:rsidRDefault="00000000">
            <w:pPr>
              <w:spacing w:before="60" w:after="60"/>
              <w:ind w:right="263"/>
              <w:jc w:val="right"/>
              <w:rPr>
                <w:sz w:val="22"/>
              </w:rPr>
            </w:pPr>
            <w:r>
              <w:rPr>
                <w:sz w:val="22"/>
              </w:rPr>
              <w:t>08</w:t>
            </w:r>
          </w:p>
        </w:tc>
        <w:tc>
          <w:tcPr>
            <w:tcW w:w="1320" w:type="dxa"/>
          </w:tcPr>
          <w:p w:rsidR="00000000" w:rsidRDefault="00000000">
            <w:pPr>
              <w:spacing w:before="60" w:after="60"/>
              <w:ind w:right="263"/>
              <w:jc w:val="right"/>
              <w:rPr>
                <w:sz w:val="22"/>
              </w:rPr>
            </w:pPr>
            <w:r>
              <w:rPr>
                <w:sz w:val="22"/>
              </w:rPr>
              <w:t>20</w:t>
            </w:r>
          </w:p>
        </w:tc>
        <w:tc>
          <w:tcPr>
            <w:tcW w:w="941" w:type="dxa"/>
          </w:tcPr>
          <w:p w:rsidR="00000000" w:rsidRDefault="00000000">
            <w:pPr>
              <w:spacing w:before="60" w:after="60"/>
              <w:ind w:right="263"/>
              <w:jc w:val="right"/>
              <w:rPr>
                <w:sz w:val="22"/>
              </w:rPr>
            </w:pPr>
            <w:r>
              <w:rPr>
                <w:sz w:val="22"/>
              </w:rPr>
              <w:t>45</w:t>
            </w:r>
          </w:p>
        </w:tc>
      </w:tr>
      <w:tr w:rsidR="00000000">
        <w:trPr>
          <w:jc w:val="center"/>
        </w:trPr>
        <w:tc>
          <w:tcPr>
            <w:tcW w:w="1448" w:type="dxa"/>
            <w:tcBorders>
              <w:bottom w:val="single" w:sz="4" w:space="0" w:color="auto"/>
            </w:tcBorders>
          </w:tcPr>
          <w:p w:rsidR="00000000" w:rsidRDefault="00000000">
            <w:pPr>
              <w:spacing w:before="60" w:after="60"/>
              <w:rPr>
                <w:bCs/>
                <w:sz w:val="22"/>
              </w:rPr>
            </w:pPr>
            <w:r>
              <w:rPr>
                <w:bCs/>
                <w:sz w:val="22"/>
              </w:rPr>
              <w:t>Mahajanga</w:t>
            </w:r>
          </w:p>
        </w:tc>
        <w:tc>
          <w:tcPr>
            <w:tcW w:w="1800" w:type="dxa"/>
            <w:tcBorders>
              <w:bottom w:val="single" w:sz="4" w:space="0" w:color="auto"/>
            </w:tcBorders>
          </w:tcPr>
          <w:p w:rsidR="00000000" w:rsidRDefault="00000000">
            <w:pPr>
              <w:spacing w:before="60" w:after="60"/>
              <w:ind w:right="263"/>
              <w:jc w:val="right"/>
              <w:rPr>
                <w:sz w:val="22"/>
              </w:rPr>
            </w:pPr>
            <w:r>
              <w:rPr>
                <w:sz w:val="22"/>
              </w:rPr>
              <w:t>00</w:t>
            </w:r>
          </w:p>
        </w:tc>
        <w:tc>
          <w:tcPr>
            <w:tcW w:w="1200" w:type="dxa"/>
            <w:tcBorders>
              <w:bottom w:val="single" w:sz="4" w:space="0" w:color="auto"/>
            </w:tcBorders>
          </w:tcPr>
          <w:p w:rsidR="00000000" w:rsidRDefault="00000000">
            <w:pPr>
              <w:spacing w:before="60" w:after="60"/>
              <w:ind w:right="263"/>
              <w:jc w:val="right"/>
              <w:rPr>
                <w:sz w:val="22"/>
              </w:rPr>
            </w:pPr>
            <w:r>
              <w:rPr>
                <w:sz w:val="22"/>
              </w:rPr>
              <w:t>05</w:t>
            </w:r>
          </w:p>
        </w:tc>
        <w:tc>
          <w:tcPr>
            <w:tcW w:w="1200" w:type="dxa"/>
            <w:tcBorders>
              <w:bottom w:val="single" w:sz="4" w:space="0" w:color="auto"/>
            </w:tcBorders>
          </w:tcPr>
          <w:p w:rsidR="00000000" w:rsidRDefault="00000000">
            <w:pPr>
              <w:spacing w:before="60" w:after="60"/>
              <w:ind w:right="263"/>
              <w:jc w:val="right"/>
              <w:rPr>
                <w:sz w:val="22"/>
              </w:rPr>
            </w:pPr>
            <w:r>
              <w:rPr>
                <w:sz w:val="22"/>
              </w:rPr>
              <w:t>08</w:t>
            </w:r>
          </w:p>
        </w:tc>
        <w:tc>
          <w:tcPr>
            <w:tcW w:w="1440" w:type="dxa"/>
            <w:tcBorders>
              <w:bottom w:val="single" w:sz="4" w:space="0" w:color="auto"/>
            </w:tcBorders>
          </w:tcPr>
          <w:p w:rsidR="00000000" w:rsidRDefault="00000000">
            <w:pPr>
              <w:spacing w:before="60" w:after="60"/>
              <w:ind w:right="263"/>
              <w:jc w:val="right"/>
              <w:rPr>
                <w:sz w:val="22"/>
              </w:rPr>
            </w:pPr>
            <w:r>
              <w:rPr>
                <w:sz w:val="22"/>
              </w:rPr>
              <w:t>05</w:t>
            </w:r>
          </w:p>
        </w:tc>
        <w:tc>
          <w:tcPr>
            <w:tcW w:w="1320" w:type="dxa"/>
            <w:tcBorders>
              <w:bottom w:val="single" w:sz="4" w:space="0" w:color="auto"/>
            </w:tcBorders>
          </w:tcPr>
          <w:p w:rsidR="00000000" w:rsidRDefault="00000000">
            <w:pPr>
              <w:spacing w:before="60" w:after="60"/>
              <w:ind w:right="263"/>
              <w:jc w:val="right"/>
              <w:rPr>
                <w:sz w:val="22"/>
              </w:rPr>
            </w:pPr>
            <w:r>
              <w:rPr>
                <w:sz w:val="22"/>
              </w:rPr>
              <w:t>02</w:t>
            </w:r>
          </w:p>
        </w:tc>
        <w:tc>
          <w:tcPr>
            <w:tcW w:w="941" w:type="dxa"/>
            <w:tcBorders>
              <w:bottom w:val="single" w:sz="4" w:space="0" w:color="auto"/>
            </w:tcBorders>
          </w:tcPr>
          <w:p w:rsidR="00000000" w:rsidRDefault="00000000">
            <w:pPr>
              <w:spacing w:before="60" w:after="60"/>
              <w:ind w:right="263"/>
              <w:jc w:val="right"/>
              <w:rPr>
                <w:sz w:val="22"/>
              </w:rPr>
            </w:pPr>
            <w:r>
              <w:rPr>
                <w:sz w:val="22"/>
              </w:rPr>
              <w:t>20</w:t>
            </w:r>
          </w:p>
        </w:tc>
      </w:tr>
      <w:tr w:rsidR="00000000">
        <w:trPr>
          <w:jc w:val="center"/>
        </w:trPr>
        <w:tc>
          <w:tcPr>
            <w:tcW w:w="1448" w:type="dxa"/>
          </w:tcPr>
          <w:p w:rsidR="00000000" w:rsidRDefault="00000000">
            <w:pPr>
              <w:spacing w:before="60" w:after="60"/>
              <w:rPr>
                <w:bCs/>
                <w:sz w:val="22"/>
              </w:rPr>
            </w:pPr>
            <w:r>
              <w:rPr>
                <w:bCs/>
                <w:sz w:val="22"/>
              </w:rPr>
              <w:t>Total</w:t>
            </w:r>
          </w:p>
        </w:tc>
        <w:tc>
          <w:tcPr>
            <w:tcW w:w="1800" w:type="dxa"/>
          </w:tcPr>
          <w:p w:rsidR="00000000" w:rsidRDefault="00000000">
            <w:pPr>
              <w:spacing w:before="60" w:after="60"/>
              <w:ind w:right="263"/>
              <w:jc w:val="right"/>
              <w:rPr>
                <w:bCs/>
                <w:sz w:val="22"/>
              </w:rPr>
            </w:pPr>
            <w:r>
              <w:rPr>
                <w:bCs/>
                <w:sz w:val="22"/>
              </w:rPr>
              <w:t>09</w:t>
            </w:r>
          </w:p>
        </w:tc>
        <w:tc>
          <w:tcPr>
            <w:tcW w:w="1200" w:type="dxa"/>
          </w:tcPr>
          <w:p w:rsidR="00000000" w:rsidRDefault="00000000">
            <w:pPr>
              <w:spacing w:before="60" w:after="60"/>
              <w:ind w:right="263"/>
              <w:jc w:val="right"/>
              <w:rPr>
                <w:bCs/>
                <w:sz w:val="22"/>
              </w:rPr>
            </w:pPr>
            <w:r>
              <w:rPr>
                <w:bCs/>
                <w:sz w:val="22"/>
              </w:rPr>
              <w:t>30</w:t>
            </w:r>
          </w:p>
        </w:tc>
        <w:tc>
          <w:tcPr>
            <w:tcW w:w="1200" w:type="dxa"/>
          </w:tcPr>
          <w:p w:rsidR="00000000" w:rsidRDefault="00000000">
            <w:pPr>
              <w:spacing w:before="60" w:after="60"/>
              <w:ind w:right="263"/>
              <w:jc w:val="right"/>
              <w:rPr>
                <w:bCs/>
                <w:sz w:val="22"/>
              </w:rPr>
            </w:pPr>
            <w:r>
              <w:rPr>
                <w:bCs/>
                <w:sz w:val="22"/>
              </w:rPr>
              <w:t>126</w:t>
            </w:r>
          </w:p>
        </w:tc>
        <w:tc>
          <w:tcPr>
            <w:tcW w:w="1440" w:type="dxa"/>
          </w:tcPr>
          <w:p w:rsidR="00000000" w:rsidRDefault="00000000">
            <w:pPr>
              <w:spacing w:before="60" w:after="60"/>
              <w:ind w:right="263"/>
              <w:jc w:val="right"/>
              <w:rPr>
                <w:bCs/>
                <w:sz w:val="22"/>
              </w:rPr>
            </w:pPr>
            <w:r>
              <w:rPr>
                <w:bCs/>
                <w:sz w:val="22"/>
              </w:rPr>
              <w:t>30</w:t>
            </w:r>
          </w:p>
        </w:tc>
        <w:tc>
          <w:tcPr>
            <w:tcW w:w="1320" w:type="dxa"/>
          </w:tcPr>
          <w:p w:rsidR="00000000" w:rsidRDefault="00000000">
            <w:pPr>
              <w:spacing w:before="60" w:after="60"/>
              <w:ind w:right="263"/>
              <w:jc w:val="right"/>
              <w:rPr>
                <w:bCs/>
                <w:sz w:val="22"/>
              </w:rPr>
            </w:pPr>
            <w:r>
              <w:rPr>
                <w:bCs/>
                <w:sz w:val="22"/>
              </w:rPr>
              <w:t>43</w:t>
            </w:r>
          </w:p>
        </w:tc>
        <w:tc>
          <w:tcPr>
            <w:tcW w:w="941" w:type="dxa"/>
          </w:tcPr>
          <w:p w:rsidR="00000000" w:rsidRDefault="00000000">
            <w:pPr>
              <w:spacing w:before="60" w:after="60"/>
              <w:ind w:right="263"/>
              <w:jc w:val="right"/>
              <w:rPr>
                <w:bCs/>
                <w:sz w:val="22"/>
              </w:rPr>
            </w:pPr>
            <w:r>
              <w:rPr>
                <w:bCs/>
                <w:sz w:val="22"/>
              </w:rPr>
              <w:t>238</w:t>
            </w:r>
          </w:p>
        </w:tc>
      </w:tr>
    </w:tbl>
    <w:p w:rsidR="00000000" w:rsidRDefault="00000000">
      <w:pPr>
        <w:rPr>
          <w:iCs/>
        </w:rPr>
      </w:pPr>
    </w:p>
    <w:p w:rsidR="00000000" w:rsidRDefault="00000000">
      <w:pPr>
        <w:spacing w:after="240"/>
        <w:ind w:firstLine="567"/>
        <w:rPr>
          <w:iCs/>
        </w:rPr>
      </w:pPr>
      <w:r>
        <w:rPr>
          <w:i/>
        </w:rPr>
        <w:t>Source</w:t>
      </w:r>
      <w:r>
        <w:rPr>
          <w:iCs/>
        </w:rPr>
        <w:t>: DIRM/SRR/CSCA (17/11/04).</w:t>
      </w:r>
    </w:p>
    <w:p w:rsidR="00000000" w:rsidRDefault="00000000">
      <w:pPr>
        <w:spacing w:after="240"/>
        <w:jc w:val="center"/>
        <w:rPr>
          <w:b/>
          <w:bCs/>
        </w:rPr>
      </w:pPr>
      <w:bookmarkStart w:id="386" w:name="_Toc98224979"/>
      <w:r>
        <w:rPr>
          <w:b/>
          <w:bCs/>
        </w:rPr>
        <w:br w:type="page"/>
        <w:t>Tableau 48: Nombre des stations de télévisions par province au mois de novembre 2004</w:t>
      </w:r>
      <w:bookmarkEnd w:id="386"/>
    </w:p>
    <w:tbl>
      <w:tblPr>
        <w:tblW w:w="8423" w:type="dxa"/>
        <w:jc w:val="center"/>
        <w:tblInd w:w="-2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74"/>
        <w:gridCol w:w="1320"/>
        <w:gridCol w:w="1320"/>
        <w:gridCol w:w="1680"/>
        <w:gridCol w:w="1329"/>
      </w:tblGrid>
      <w:tr w:rsidR="00000000">
        <w:trPr>
          <w:jc w:val="center"/>
        </w:trPr>
        <w:tc>
          <w:tcPr>
            <w:tcW w:w="2774" w:type="dxa"/>
            <w:vAlign w:val="center"/>
          </w:tcPr>
          <w:p w:rsidR="00000000" w:rsidRDefault="00000000">
            <w:pPr>
              <w:spacing w:before="60" w:after="60"/>
              <w:jc w:val="center"/>
            </w:pPr>
            <w:r>
              <w:t>Province</w:t>
            </w:r>
          </w:p>
        </w:tc>
        <w:tc>
          <w:tcPr>
            <w:tcW w:w="1320" w:type="dxa"/>
            <w:vAlign w:val="center"/>
          </w:tcPr>
          <w:p w:rsidR="00000000" w:rsidRDefault="00000000">
            <w:pPr>
              <w:spacing w:before="60" w:after="60"/>
              <w:jc w:val="center"/>
            </w:pPr>
            <w:r>
              <w:t>Services publics</w:t>
            </w:r>
          </w:p>
        </w:tc>
        <w:tc>
          <w:tcPr>
            <w:tcW w:w="1320" w:type="dxa"/>
            <w:vAlign w:val="center"/>
          </w:tcPr>
          <w:p w:rsidR="00000000" w:rsidRDefault="00000000">
            <w:pPr>
              <w:spacing w:before="60" w:after="60"/>
              <w:jc w:val="center"/>
            </w:pPr>
            <w:r>
              <w:t>Privées agréées</w:t>
            </w:r>
          </w:p>
        </w:tc>
        <w:tc>
          <w:tcPr>
            <w:tcW w:w="1680" w:type="dxa"/>
            <w:vAlign w:val="center"/>
          </w:tcPr>
          <w:p w:rsidR="00000000" w:rsidRDefault="00000000">
            <w:pPr>
              <w:spacing w:before="60" w:after="60"/>
              <w:jc w:val="center"/>
            </w:pPr>
            <w:r>
              <w:t>En cours de régularisation</w:t>
            </w:r>
          </w:p>
        </w:tc>
        <w:tc>
          <w:tcPr>
            <w:tcW w:w="1329" w:type="dxa"/>
            <w:vAlign w:val="center"/>
          </w:tcPr>
          <w:p w:rsidR="00000000" w:rsidRDefault="00000000">
            <w:pPr>
              <w:spacing w:before="60" w:after="60"/>
              <w:jc w:val="center"/>
              <w:rPr>
                <w:lang w:val="en-GB"/>
              </w:rPr>
            </w:pPr>
            <w:r>
              <w:rPr>
                <w:lang w:val="en-GB"/>
              </w:rPr>
              <w:t>Total</w:t>
            </w:r>
          </w:p>
        </w:tc>
      </w:tr>
      <w:tr w:rsidR="00000000">
        <w:trPr>
          <w:jc w:val="center"/>
        </w:trPr>
        <w:tc>
          <w:tcPr>
            <w:tcW w:w="2774" w:type="dxa"/>
          </w:tcPr>
          <w:p w:rsidR="00000000" w:rsidRDefault="00000000">
            <w:pPr>
              <w:spacing w:before="60" w:after="60"/>
              <w:rPr>
                <w:lang w:val="en-GB"/>
              </w:rPr>
            </w:pPr>
            <w:r>
              <w:rPr>
                <w:lang w:val="en-GB"/>
              </w:rPr>
              <w:t>Antananarivo</w:t>
            </w:r>
          </w:p>
        </w:tc>
        <w:tc>
          <w:tcPr>
            <w:tcW w:w="1320" w:type="dxa"/>
          </w:tcPr>
          <w:p w:rsidR="00000000" w:rsidRDefault="00000000">
            <w:pPr>
              <w:spacing w:before="60" w:after="60"/>
              <w:ind w:right="252"/>
              <w:jc w:val="right"/>
              <w:rPr>
                <w:lang w:val="en-GB"/>
              </w:rPr>
            </w:pPr>
            <w:r>
              <w:rPr>
                <w:lang w:val="en-GB"/>
              </w:rPr>
              <w:t>01</w:t>
            </w:r>
          </w:p>
        </w:tc>
        <w:tc>
          <w:tcPr>
            <w:tcW w:w="1320" w:type="dxa"/>
          </w:tcPr>
          <w:p w:rsidR="00000000" w:rsidRDefault="00000000">
            <w:pPr>
              <w:spacing w:before="60" w:after="60"/>
              <w:ind w:right="252"/>
              <w:jc w:val="right"/>
              <w:rPr>
                <w:lang w:val="en-GB"/>
              </w:rPr>
            </w:pPr>
            <w:r>
              <w:rPr>
                <w:lang w:val="en-GB"/>
              </w:rPr>
              <w:t>13</w:t>
            </w:r>
          </w:p>
        </w:tc>
        <w:tc>
          <w:tcPr>
            <w:tcW w:w="1680" w:type="dxa"/>
          </w:tcPr>
          <w:p w:rsidR="00000000" w:rsidRDefault="00000000">
            <w:pPr>
              <w:spacing w:before="60" w:after="60"/>
              <w:ind w:right="252"/>
              <w:jc w:val="right"/>
              <w:rPr>
                <w:lang w:val="en-GB"/>
              </w:rPr>
            </w:pPr>
            <w:r>
              <w:rPr>
                <w:lang w:val="en-GB"/>
              </w:rPr>
              <w:t>00</w:t>
            </w:r>
          </w:p>
        </w:tc>
        <w:tc>
          <w:tcPr>
            <w:tcW w:w="1329" w:type="dxa"/>
          </w:tcPr>
          <w:p w:rsidR="00000000" w:rsidRDefault="00000000">
            <w:pPr>
              <w:spacing w:before="60" w:after="60"/>
              <w:ind w:right="252"/>
              <w:jc w:val="right"/>
              <w:rPr>
                <w:lang w:val="en-GB"/>
              </w:rPr>
            </w:pPr>
            <w:r>
              <w:rPr>
                <w:lang w:val="en-GB"/>
              </w:rPr>
              <w:t>14</w:t>
            </w:r>
          </w:p>
        </w:tc>
      </w:tr>
      <w:tr w:rsidR="00000000">
        <w:trPr>
          <w:jc w:val="center"/>
        </w:trPr>
        <w:tc>
          <w:tcPr>
            <w:tcW w:w="2774" w:type="dxa"/>
          </w:tcPr>
          <w:p w:rsidR="00000000" w:rsidRDefault="00000000">
            <w:pPr>
              <w:spacing w:before="60" w:after="60"/>
              <w:rPr>
                <w:lang w:val="en-GB"/>
              </w:rPr>
            </w:pPr>
            <w:r>
              <w:rPr>
                <w:lang w:val="en-GB"/>
              </w:rPr>
              <w:t>Fianarantsoa</w:t>
            </w:r>
          </w:p>
        </w:tc>
        <w:tc>
          <w:tcPr>
            <w:tcW w:w="1320" w:type="dxa"/>
          </w:tcPr>
          <w:p w:rsidR="00000000" w:rsidRDefault="00000000">
            <w:pPr>
              <w:spacing w:before="60" w:after="60"/>
              <w:ind w:right="252"/>
              <w:jc w:val="right"/>
            </w:pPr>
            <w:r>
              <w:t>01</w:t>
            </w:r>
          </w:p>
        </w:tc>
        <w:tc>
          <w:tcPr>
            <w:tcW w:w="1320" w:type="dxa"/>
          </w:tcPr>
          <w:p w:rsidR="00000000" w:rsidRDefault="00000000">
            <w:pPr>
              <w:spacing w:before="60" w:after="60"/>
              <w:ind w:right="252"/>
              <w:jc w:val="right"/>
            </w:pPr>
            <w:r>
              <w:t>02</w:t>
            </w:r>
          </w:p>
        </w:tc>
        <w:tc>
          <w:tcPr>
            <w:tcW w:w="1680" w:type="dxa"/>
          </w:tcPr>
          <w:p w:rsidR="00000000" w:rsidRDefault="00000000">
            <w:pPr>
              <w:spacing w:before="60" w:after="60"/>
              <w:ind w:right="252"/>
              <w:jc w:val="right"/>
            </w:pPr>
            <w:r>
              <w:t>01</w:t>
            </w:r>
          </w:p>
        </w:tc>
        <w:tc>
          <w:tcPr>
            <w:tcW w:w="1329" w:type="dxa"/>
          </w:tcPr>
          <w:p w:rsidR="00000000" w:rsidRDefault="00000000">
            <w:pPr>
              <w:spacing w:before="60" w:after="60"/>
              <w:ind w:right="252"/>
              <w:jc w:val="right"/>
            </w:pPr>
            <w:r>
              <w:t>04</w:t>
            </w:r>
          </w:p>
        </w:tc>
      </w:tr>
      <w:tr w:rsidR="00000000">
        <w:trPr>
          <w:jc w:val="center"/>
        </w:trPr>
        <w:tc>
          <w:tcPr>
            <w:tcW w:w="2774" w:type="dxa"/>
          </w:tcPr>
          <w:p w:rsidR="00000000" w:rsidRDefault="00000000">
            <w:pPr>
              <w:spacing w:before="60" w:after="60"/>
            </w:pPr>
            <w:r>
              <w:t>Toamasina</w:t>
            </w:r>
          </w:p>
        </w:tc>
        <w:tc>
          <w:tcPr>
            <w:tcW w:w="1320" w:type="dxa"/>
          </w:tcPr>
          <w:p w:rsidR="00000000" w:rsidRDefault="00000000">
            <w:pPr>
              <w:spacing w:before="60" w:after="60"/>
              <w:ind w:right="252"/>
              <w:jc w:val="right"/>
            </w:pPr>
            <w:r>
              <w:t>01</w:t>
            </w:r>
          </w:p>
        </w:tc>
        <w:tc>
          <w:tcPr>
            <w:tcW w:w="1320" w:type="dxa"/>
          </w:tcPr>
          <w:p w:rsidR="00000000" w:rsidRDefault="00000000">
            <w:pPr>
              <w:spacing w:before="60" w:after="60"/>
              <w:ind w:right="252"/>
              <w:jc w:val="right"/>
            </w:pPr>
            <w:r>
              <w:t>01</w:t>
            </w:r>
          </w:p>
        </w:tc>
        <w:tc>
          <w:tcPr>
            <w:tcW w:w="1680" w:type="dxa"/>
          </w:tcPr>
          <w:p w:rsidR="00000000" w:rsidRDefault="00000000">
            <w:pPr>
              <w:spacing w:before="60" w:after="60"/>
              <w:ind w:right="252"/>
              <w:jc w:val="right"/>
            </w:pPr>
            <w:r>
              <w:t>01</w:t>
            </w:r>
          </w:p>
        </w:tc>
        <w:tc>
          <w:tcPr>
            <w:tcW w:w="1329" w:type="dxa"/>
          </w:tcPr>
          <w:p w:rsidR="00000000" w:rsidRDefault="00000000">
            <w:pPr>
              <w:spacing w:before="60" w:after="60"/>
              <w:ind w:right="252"/>
              <w:jc w:val="right"/>
            </w:pPr>
            <w:r>
              <w:t>03</w:t>
            </w:r>
          </w:p>
        </w:tc>
      </w:tr>
      <w:tr w:rsidR="00000000">
        <w:trPr>
          <w:jc w:val="center"/>
        </w:trPr>
        <w:tc>
          <w:tcPr>
            <w:tcW w:w="2774" w:type="dxa"/>
          </w:tcPr>
          <w:p w:rsidR="00000000" w:rsidRDefault="00000000">
            <w:pPr>
              <w:spacing w:before="60" w:after="60"/>
            </w:pPr>
            <w:r>
              <w:t>Toliara</w:t>
            </w:r>
          </w:p>
        </w:tc>
        <w:tc>
          <w:tcPr>
            <w:tcW w:w="1320" w:type="dxa"/>
          </w:tcPr>
          <w:p w:rsidR="00000000" w:rsidRDefault="00000000">
            <w:pPr>
              <w:spacing w:before="60" w:after="60"/>
              <w:ind w:right="252"/>
              <w:jc w:val="right"/>
            </w:pPr>
            <w:r>
              <w:t>01</w:t>
            </w:r>
          </w:p>
        </w:tc>
        <w:tc>
          <w:tcPr>
            <w:tcW w:w="1320" w:type="dxa"/>
          </w:tcPr>
          <w:p w:rsidR="00000000" w:rsidRDefault="00000000">
            <w:pPr>
              <w:spacing w:before="60" w:after="60"/>
              <w:ind w:right="252"/>
              <w:jc w:val="right"/>
            </w:pPr>
            <w:r>
              <w:t>02</w:t>
            </w:r>
          </w:p>
        </w:tc>
        <w:tc>
          <w:tcPr>
            <w:tcW w:w="1680" w:type="dxa"/>
          </w:tcPr>
          <w:p w:rsidR="00000000" w:rsidRDefault="00000000">
            <w:pPr>
              <w:spacing w:before="60" w:after="60"/>
              <w:ind w:right="252"/>
              <w:jc w:val="right"/>
            </w:pPr>
            <w:r>
              <w:t>01</w:t>
            </w:r>
          </w:p>
        </w:tc>
        <w:tc>
          <w:tcPr>
            <w:tcW w:w="1329" w:type="dxa"/>
          </w:tcPr>
          <w:p w:rsidR="00000000" w:rsidRDefault="00000000">
            <w:pPr>
              <w:spacing w:before="60" w:after="60"/>
              <w:ind w:right="252"/>
              <w:jc w:val="right"/>
            </w:pPr>
            <w:r>
              <w:t>04</w:t>
            </w:r>
          </w:p>
        </w:tc>
      </w:tr>
      <w:tr w:rsidR="00000000">
        <w:trPr>
          <w:jc w:val="center"/>
        </w:trPr>
        <w:tc>
          <w:tcPr>
            <w:tcW w:w="2774" w:type="dxa"/>
          </w:tcPr>
          <w:p w:rsidR="00000000" w:rsidRDefault="00000000">
            <w:pPr>
              <w:spacing w:before="60" w:after="60"/>
            </w:pPr>
            <w:r>
              <w:t>Antsiranana</w:t>
            </w:r>
          </w:p>
        </w:tc>
        <w:tc>
          <w:tcPr>
            <w:tcW w:w="1320" w:type="dxa"/>
          </w:tcPr>
          <w:p w:rsidR="00000000" w:rsidRDefault="00000000">
            <w:pPr>
              <w:spacing w:before="60" w:after="60"/>
              <w:ind w:right="252"/>
              <w:jc w:val="right"/>
            </w:pPr>
            <w:r>
              <w:t>01</w:t>
            </w:r>
          </w:p>
        </w:tc>
        <w:tc>
          <w:tcPr>
            <w:tcW w:w="1320" w:type="dxa"/>
          </w:tcPr>
          <w:p w:rsidR="00000000" w:rsidRDefault="00000000">
            <w:pPr>
              <w:spacing w:before="60" w:after="60"/>
              <w:ind w:right="252"/>
              <w:jc w:val="right"/>
            </w:pPr>
            <w:r>
              <w:t>00</w:t>
            </w:r>
          </w:p>
        </w:tc>
        <w:tc>
          <w:tcPr>
            <w:tcW w:w="1680" w:type="dxa"/>
          </w:tcPr>
          <w:p w:rsidR="00000000" w:rsidRDefault="00000000">
            <w:pPr>
              <w:spacing w:before="60" w:after="60"/>
              <w:ind w:right="252"/>
              <w:jc w:val="right"/>
            </w:pPr>
            <w:r>
              <w:t>01</w:t>
            </w:r>
          </w:p>
        </w:tc>
        <w:tc>
          <w:tcPr>
            <w:tcW w:w="1329" w:type="dxa"/>
          </w:tcPr>
          <w:p w:rsidR="00000000" w:rsidRDefault="00000000">
            <w:pPr>
              <w:spacing w:before="60" w:after="60"/>
              <w:ind w:right="252"/>
              <w:jc w:val="right"/>
            </w:pPr>
            <w:r>
              <w:t>02</w:t>
            </w:r>
          </w:p>
        </w:tc>
      </w:tr>
      <w:tr w:rsidR="00000000">
        <w:trPr>
          <w:jc w:val="center"/>
        </w:trPr>
        <w:tc>
          <w:tcPr>
            <w:tcW w:w="2774" w:type="dxa"/>
            <w:tcBorders>
              <w:bottom w:val="single" w:sz="4" w:space="0" w:color="auto"/>
            </w:tcBorders>
          </w:tcPr>
          <w:p w:rsidR="00000000" w:rsidRDefault="00000000">
            <w:pPr>
              <w:spacing w:before="60" w:after="60"/>
            </w:pPr>
            <w:r>
              <w:t>Mahajanga</w:t>
            </w:r>
          </w:p>
        </w:tc>
        <w:tc>
          <w:tcPr>
            <w:tcW w:w="1320" w:type="dxa"/>
            <w:tcBorders>
              <w:bottom w:val="single" w:sz="4" w:space="0" w:color="auto"/>
            </w:tcBorders>
          </w:tcPr>
          <w:p w:rsidR="00000000" w:rsidRDefault="00000000">
            <w:pPr>
              <w:spacing w:before="60" w:after="60"/>
              <w:ind w:right="252"/>
              <w:jc w:val="right"/>
            </w:pPr>
            <w:r>
              <w:t>01</w:t>
            </w:r>
          </w:p>
        </w:tc>
        <w:tc>
          <w:tcPr>
            <w:tcW w:w="1320" w:type="dxa"/>
            <w:tcBorders>
              <w:bottom w:val="single" w:sz="4" w:space="0" w:color="auto"/>
            </w:tcBorders>
          </w:tcPr>
          <w:p w:rsidR="00000000" w:rsidRDefault="00000000">
            <w:pPr>
              <w:spacing w:before="60" w:after="60"/>
              <w:ind w:right="252"/>
              <w:jc w:val="right"/>
            </w:pPr>
            <w:r>
              <w:t>02</w:t>
            </w:r>
          </w:p>
        </w:tc>
        <w:tc>
          <w:tcPr>
            <w:tcW w:w="1680" w:type="dxa"/>
            <w:tcBorders>
              <w:bottom w:val="single" w:sz="4" w:space="0" w:color="auto"/>
            </w:tcBorders>
          </w:tcPr>
          <w:p w:rsidR="00000000" w:rsidRDefault="00000000">
            <w:pPr>
              <w:spacing w:before="60" w:after="60"/>
              <w:ind w:right="252"/>
              <w:jc w:val="right"/>
            </w:pPr>
            <w:r>
              <w:t>00</w:t>
            </w:r>
          </w:p>
        </w:tc>
        <w:tc>
          <w:tcPr>
            <w:tcW w:w="1329" w:type="dxa"/>
            <w:tcBorders>
              <w:bottom w:val="single" w:sz="4" w:space="0" w:color="auto"/>
            </w:tcBorders>
          </w:tcPr>
          <w:p w:rsidR="00000000" w:rsidRDefault="00000000">
            <w:pPr>
              <w:spacing w:before="60" w:after="60"/>
              <w:ind w:right="252"/>
              <w:jc w:val="right"/>
            </w:pPr>
            <w:r>
              <w:t>03</w:t>
            </w:r>
          </w:p>
        </w:tc>
      </w:tr>
      <w:tr w:rsidR="00000000">
        <w:trPr>
          <w:jc w:val="center"/>
        </w:trPr>
        <w:tc>
          <w:tcPr>
            <w:tcW w:w="2774" w:type="dxa"/>
          </w:tcPr>
          <w:p w:rsidR="00000000" w:rsidRDefault="00000000">
            <w:pPr>
              <w:spacing w:before="60" w:after="60"/>
            </w:pPr>
            <w:r>
              <w:t>Total</w:t>
            </w:r>
          </w:p>
        </w:tc>
        <w:tc>
          <w:tcPr>
            <w:tcW w:w="1320" w:type="dxa"/>
          </w:tcPr>
          <w:p w:rsidR="00000000" w:rsidRDefault="00000000">
            <w:pPr>
              <w:spacing w:before="60" w:after="60"/>
              <w:ind w:right="252"/>
              <w:jc w:val="right"/>
            </w:pPr>
            <w:r>
              <w:t>06</w:t>
            </w:r>
          </w:p>
        </w:tc>
        <w:tc>
          <w:tcPr>
            <w:tcW w:w="1320" w:type="dxa"/>
          </w:tcPr>
          <w:p w:rsidR="00000000" w:rsidRDefault="00000000">
            <w:pPr>
              <w:spacing w:before="60" w:after="60"/>
              <w:ind w:right="252"/>
              <w:jc w:val="right"/>
            </w:pPr>
            <w:r>
              <w:t>20</w:t>
            </w:r>
          </w:p>
        </w:tc>
        <w:tc>
          <w:tcPr>
            <w:tcW w:w="1680" w:type="dxa"/>
          </w:tcPr>
          <w:p w:rsidR="00000000" w:rsidRDefault="00000000">
            <w:pPr>
              <w:spacing w:before="60" w:after="60"/>
              <w:ind w:right="252"/>
              <w:jc w:val="right"/>
            </w:pPr>
            <w:r>
              <w:t>04</w:t>
            </w:r>
          </w:p>
        </w:tc>
        <w:tc>
          <w:tcPr>
            <w:tcW w:w="1329" w:type="dxa"/>
          </w:tcPr>
          <w:p w:rsidR="00000000" w:rsidRDefault="00000000">
            <w:pPr>
              <w:spacing w:before="60" w:after="60"/>
              <w:ind w:right="252"/>
              <w:jc w:val="right"/>
            </w:pPr>
            <w:r>
              <w:t>30</w:t>
            </w:r>
          </w:p>
        </w:tc>
      </w:tr>
    </w:tbl>
    <w:p w:rsidR="00000000" w:rsidRDefault="00000000">
      <w:pPr>
        <w:rPr>
          <w:i/>
        </w:rPr>
      </w:pPr>
    </w:p>
    <w:p w:rsidR="00000000" w:rsidRDefault="00000000">
      <w:pPr>
        <w:spacing w:after="240"/>
        <w:ind w:firstLine="567"/>
        <w:rPr>
          <w:b/>
          <w:iCs/>
        </w:rPr>
      </w:pPr>
      <w:r>
        <w:rPr>
          <w:i/>
        </w:rPr>
        <w:t>Source</w:t>
      </w:r>
      <w:r>
        <w:rPr>
          <w:iCs/>
        </w:rPr>
        <w:t>: DIRM/SRR/CSCA (17/11/04).</w:t>
      </w:r>
    </w:p>
    <w:p w:rsidR="00000000" w:rsidRDefault="00000000">
      <w:pPr>
        <w:spacing w:after="240"/>
        <w:jc w:val="center"/>
        <w:rPr>
          <w:b/>
          <w:bCs/>
        </w:rPr>
      </w:pPr>
      <w:bookmarkStart w:id="387" w:name="_Toc98224980"/>
      <w:r>
        <w:rPr>
          <w:b/>
          <w:bCs/>
        </w:rPr>
        <w:t>Tableau 49: Les principaux quotidiens et hebdomadaires</w:t>
      </w:r>
      <w:bookmarkEnd w:id="387"/>
    </w:p>
    <w:tbl>
      <w:tblPr>
        <w:tblW w:w="0" w:type="auto"/>
        <w:jc w:val="center"/>
        <w:tblInd w:w="-2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7"/>
        <w:gridCol w:w="4208"/>
      </w:tblGrid>
      <w:tr w:rsidR="00000000">
        <w:tblPrEx>
          <w:tblCellMar>
            <w:top w:w="0" w:type="dxa"/>
            <w:bottom w:w="0" w:type="dxa"/>
          </w:tblCellMar>
        </w:tblPrEx>
        <w:trPr>
          <w:jc w:val="center"/>
        </w:trPr>
        <w:tc>
          <w:tcPr>
            <w:tcW w:w="4207" w:type="dxa"/>
            <w:tcBorders>
              <w:bottom w:val="single" w:sz="4" w:space="0" w:color="auto"/>
            </w:tcBorders>
          </w:tcPr>
          <w:p w:rsidR="00000000" w:rsidRDefault="00000000">
            <w:pPr>
              <w:spacing w:before="60" w:after="60"/>
            </w:pPr>
            <w:r>
              <w:t>Quotidiens</w:t>
            </w:r>
          </w:p>
        </w:tc>
        <w:tc>
          <w:tcPr>
            <w:tcW w:w="4208" w:type="dxa"/>
            <w:tcBorders>
              <w:bottom w:val="single" w:sz="4" w:space="0" w:color="auto"/>
            </w:tcBorders>
          </w:tcPr>
          <w:p w:rsidR="00000000" w:rsidRDefault="00000000">
            <w:pPr>
              <w:spacing w:before="60" w:after="60"/>
            </w:pPr>
            <w:r>
              <w:t>Hebdomadaires</w:t>
            </w:r>
          </w:p>
        </w:tc>
      </w:tr>
      <w:tr w:rsidR="00000000">
        <w:tblPrEx>
          <w:tblCellMar>
            <w:top w:w="0" w:type="dxa"/>
            <w:bottom w:w="0" w:type="dxa"/>
          </w:tblCellMar>
        </w:tblPrEx>
        <w:trPr>
          <w:jc w:val="center"/>
        </w:trPr>
        <w:tc>
          <w:tcPr>
            <w:tcW w:w="4207" w:type="dxa"/>
            <w:tcBorders>
              <w:bottom w:val="single" w:sz="4" w:space="0" w:color="auto"/>
            </w:tcBorders>
          </w:tcPr>
          <w:p w:rsidR="00000000" w:rsidRDefault="00000000">
            <w:pPr>
              <w:spacing w:before="60" w:after="60"/>
            </w:pPr>
            <w:r>
              <w:t>Express de Madagascar</w:t>
            </w:r>
          </w:p>
        </w:tc>
        <w:tc>
          <w:tcPr>
            <w:tcW w:w="4208" w:type="dxa"/>
            <w:tcBorders>
              <w:bottom w:val="single" w:sz="4" w:space="0" w:color="auto"/>
            </w:tcBorders>
          </w:tcPr>
          <w:p w:rsidR="00000000" w:rsidRDefault="00000000">
            <w:pPr>
              <w:spacing w:before="60" w:after="60"/>
            </w:pPr>
            <w:r>
              <w:t>Dans les Médias Demain (DMD)</w:t>
            </w:r>
          </w:p>
        </w:tc>
      </w:tr>
      <w:tr w:rsidR="00000000">
        <w:tblPrEx>
          <w:tblCellMar>
            <w:top w:w="0" w:type="dxa"/>
            <w:bottom w:w="0" w:type="dxa"/>
          </w:tblCellMar>
        </w:tblPrEx>
        <w:trPr>
          <w:jc w:val="center"/>
        </w:trPr>
        <w:tc>
          <w:tcPr>
            <w:tcW w:w="4207" w:type="dxa"/>
            <w:tcBorders>
              <w:top w:val="single" w:sz="4" w:space="0" w:color="auto"/>
              <w:bottom w:val="single" w:sz="4" w:space="0" w:color="auto"/>
            </w:tcBorders>
          </w:tcPr>
          <w:p w:rsidR="00000000" w:rsidRDefault="00000000">
            <w:pPr>
              <w:spacing w:before="60" w:after="60"/>
              <w:rPr>
                <w:lang w:val="en-GB"/>
              </w:rPr>
            </w:pPr>
            <w:r>
              <w:rPr>
                <w:lang w:val="en-GB"/>
              </w:rPr>
              <w:t>Gazetiko</w:t>
            </w:r>
          </w:p>
        </w:tc>
        <w:tc>
          <w:tcPr>
            <w:tcW w:w="4208" w:type="dxa"/>
            <w:tcBorders>
              <w:top w:val="single" w:sz="4" w:space="0" w:color="auto"/>
              <w:bottom w:val="single" w:sz="4" w:space="0" w:color="auto"/>
            </w:tcBorders>
          </w:tcPr>
          <w:p w:rsidR="00000000" w:rsidRDefault="00000000">
            <w:pPr>
              <w:spacing w:before="60" w:after="60"/>
              <w:rPr>
                <w:lang w:val="en-GB"/>
              </w:rPr>
            </w:pPr>
            <w:r>
              <w:rPr>
                <w:lang w:val="en-GB"/>
              </w:rPr>
              <w:t>Imongo Vaovao</w:t>
            </w:r>
          </w:p>
        </w:tc>
      </w:tr>
      <w:tr w:rsidR="00000000">
        <w:tblPrEx>
          <w:tblCellMar>
            <w:top w:w="0" w:type="dxa"/>
            <w:bottom w:w="0" w:type="dxa"/>
          </w:tblCellMar>
        </w:tblPrEx>
        <w:trPr>
          <w:jc w:val="center"/>
        </w:trPr>
        <w:tc>
          <w:tcPr>
            <w:tcW w:w="4207" w:type="dxa"/>
            <w:tcBorders>
              <w:top w:val="single" w:sz="4" w:space="0" w:color="auto"/>
              <w:bottom w:val="single" w:sz="4" w:space="0" w:color="auto"/>
            </w:tcBorders>
          </w:tcPr>
          <w:p w:rsidR="00000000" w:rsidRDefault="00000000">
            <w:pPr>
              <w:spacing w:before="60" w:after="60"/>
            </w:pPr>
            <w:r>
              <w:t>La Gazette de la Grande Ile</w:t>
            </w:r>
          </w:p>
        </w:tc>
        <w:tc>
          <w:tcPr>
            <w:tcW w:w="4208" w:type="dxa"/>
            <w:tcBorders>
              <w:top w:val="single" w:sz="4" w:space="0" w:color="auto"/>
              <w:bottom w:val="single" w:sz="4" w:space="0" w:color="auto"/>
            </w:tcBorders>
          </w:tcPr>
          <w:p w:rsidR="00000000" w:rsidRDefault="00000000">
            <w:pPr>
              <w:spacing w:before="60" w:after="60"/>
            </w:pPr>
            <w:r>
              <w:t>Ngah (Journal humoristique)</w:t>
            </w:r>
          </w:p>
        </w:tc>
      </w:tr>
      <w:tr w:rsidR="00000000">
        <w:tblPrEx>
          <w:tblCellMar>
            <w:top w:w="0" w:type="dxa"/>
            <w:bottom w:w="0" w:type="dxa"/>
          </w:tblCellMar>
        </w:tblPrEx>
        <w:trPr>
          <w:jc w:val="center"/>
        </w:trPr>
        <w:tc>
          <w:tcPr>
            <w:tcW w:w="4207" w:type="dxa"/>
            <w:tcBorders>
              <w:top w:val="single" w:sz="4" w:space="0" w:color="auto"/>
              <w:bottom w:val="single" w:sz="4" w:space="0" w:color="auto"/>
            </w:tcBorders>
          </w:tcPr>
          <w:p w:rsidR="00000000" w:rsidRDefault="00000000">
            <w:pPr>
              <w:spacing w:before="60" w:after="60"/>
            </w:pPr>
            <w:r>
              <w:t>Madagascar Tribune</w:t>
            </w:r>
          </w:p>
        </w:tc>
        <w:tc>
          <w:tcPr>
            <w:tcW w:w="4208" w:type="dxa"/>
            <w:tcBorders>
              <w:top w:val="single" w:sz="4" w:space="0" w:color="auto"/>
              <w:bottom w:val="single" w:sz="4" w:space="0" w:color="auto"/>
            </w:tcBorders>
          </w:tcPr>
          <w:p w:rsidR="00000000" w:rsidRDefault="00000000">
            <w:pPr>
              <w:spacing w:before="60" w:after="60"/>
            </w:pPr>
            <w:r>
              <w:t>Telonohorefy</w:t>
            </w:r>
          </w:p>
        </w:tc>
      </w:tr>
      <w:tr w:rsidR="00000000">
        <w:tblPrEx>
          <w:tblCellMar>
            <w:top w:w="0" w:type="dxa"/>
            <w:bottom w:w="0" w:type="dxa"/>
          </w:tblCellMar>
        </w:tblPrEx>
        <w:trPr>
          <w:jc w:val="center"/>
        </w:trPr>
        <w:tc>
          <w:tcPr>
            <w:tcW w:w="4207" w:type="dxa"/>
            <w:tcBorders>
              <w:top w:val="single" w:sz="4" w:space="0" w:color="auto"/>
              <w:bottom w:val="single" w:sz="4" w:space="0" w:color="auto"/>
            </w:tcBorders>
          </w:tcPr>
          <w:p w:rsidR="00000000" w:rsidRDefault="00000000">
            <w:pPr>
              <w:spacing w:before="60" w:after="60"/>
            </w:pPr>
            <w:r>
              <w:t>Midi Madagasikara</w:t>
            </w:r>
          </w:p>
        </w:tc>
        <w:tc>
          <w:tcPr>
            <w:tcW w:w="4208" w:type="dxa"/>
            <w:tcBorders>
              <w:top w:val="single" w:sz="4" w:space="0" w:color="auto"/>
              <w:bottom w:val="single" w:sz="4" w:space="0" w:color="auto"/>
            </w:tcBorders>
          </w:tcPr>
          <w:p w:rsidR="00000000" w:rsidRDefault="00000000">
            <w:pPr>
              <w:spacing w:before="60" w:after="60"/>
            </w:pPr>
            <w:r>
              <w:t>Lakroan’i Madagasikara</w:t>
            </w:r>
          </w:p>
        </w:tc>
      </w:tr>
      <w:tr w:rsidR="00000000">
        <w:tblPrEx>
          <w:tblCellMar>
            <w:top w:w="0" w:type="dxa"/>
            <w:bottom w:w="0" w:type="dxa"/>
          </w:tblCellMar>
        </w:tblPrEx>
        <w:trPr>
          <w:jc w:val="center"/>
        </w:trPr>
        <w:tc>
          <w:tcPr>
            <w:tcW w:w="4207" w:type="dxa"/>
            <w:tcBorders>
              <w:top w:val="single" w:sz="4" w:space="0" w:color="auto"/>
              <w:bottom w:val="single" w:sz="4" w:space="0" w:color="auto"/>
            </w:tcBorders>
          </w:tcPr>
          <w:p w:rsidR="00000000" w:rsidRDefault="00000000">
            <w:pPr>
              <w:spacing w:before="60" w:after="60"/>
              <w:rPr>
                <w:lang w:val="en-GB"/>
              </w:rPr>
            </w:pPr>
            <w:r>
              <w:rPr>
                <w:lang w:val="en-GB"/>
              </w:rPr>
              <w:t>Ny Gazety Androany</w:t>
            </w:r>
          </w:p>
        </w:tc>
        <w:tc>
          <w:tcPr>
            <w:tcW w:w="4208" w:type="dxa"/>
            <w:tcBorders>
              <w:top w:val="single" w:sz="4" w:space="0" w:color="auto"/>
              <w:bottom w:val="single" w:sz="4" w:space="0" w:color="auto"/>
            </w:tcBorders>
          </w:tcPr>
          <w:p w:rsidR="00000000" w:rsidRDefault="00000000">
            <w:pPr>
              <w:spacing w:before="60" w:after="60"/>
            </w:pPr>
            <w:r>
              <w:t>Revue de l’océan Indien</w:t>
            </w:r>
          </w:p>
        </w:tc>
      </w:tr>
      <w:tr w:rsidR="00000000">
        <w:tblPrEx>
          <w:tblCellMar>
            <w:top w:w="0" w:type="dxa"/>
            <w:bottom w:w="0" w:type="dxa"/>
          </w:tblCellMar>
        </w:tblPrEx>
        <w:trPr>
          <w:jc w:val="center"/>
        </w:trPr>
        <w:tc>
          <w:tcPr>
            <w:tcW w:w="4207" w:type="dxa"/>
            <w:tcBorders>
              <w:top w:val="single" w:sz="4" w:space="0" w:color="auto"/>
              <w:bottom w:val="single" w:sz="4" w:space="0" w:color="auto"/>
            </w:tcBorders>
          </w:tcPr>
          <w:p w:rsidR="00000000" w:rsidRDefault="00000000">
            <w:pPr>
              <w:spacing w:before="60" w:after="60"/>
            </w:pPr>
            <w:r>
              <w:t>Le quotidien</w:t>
            </w:r>
          </w:p>
        </w:tc>
        <w:tc>
          <w:tcPr>
            <w:tcW w:w="4208" w:type="dxa"/>
            <w:tcBorders>
              <w:top w:val="single" w:sz="4" w:space="0" w:color="auto"/>
              <w:bottom w:val="single" w:sz="4" w:space="0" w:color="auto"/>
            </w:tcBorders>
          </w:tcPr>
          <w:p w:rsidR="00000000" w:rsidRDefault="00000000">
            <w:pPr>
              <w:spacing w:before="60" w:after="60"/>
            </w:pPr>
            <w:r>
              <w:t>L’Hebdo de Madagascar</w:t>
            </w:r>
          </w:p>
        </w:tc>
      </w:tr>
      <w:tr w:rsidR="00000000">
        <w:tblPrEx>
          <w:tblCellMar>
            <w:top w:w="0" w:type="dxa"/>
            <w:bottom w:w="0" w:type="dxa"/>
          </w:tblCellMar>
        </w:tblPrEx>
        <w:trPr>
          <w:jc w:val="center"/>
        </w:trPr>
        <w:tc>
          <w:tcPr>
            <w:tcW w:w="4207" w:type="dxa"/>
            <w:tcBorders>
              <w:top w:val="single" w:sz="4" w:space="0" w:color="auto"/>
              <w:bottom w:val="single" w:sz="4" w:space="0" w:color="auto"/>
            </w:tcBorders>
          </w:tcPr>
          <w:p w:rsidR="00000000" w:rsidRDefault="00000000">
            <w:pPr>
              <w:spacing w:before="60" w:after="60"/>
            </w:pPr>
            <w:r>
              <w:t>Ny Vaovaontsika</w:t>
            </w:r>
          </w:p>
        </w:tc>
        <w:tc>
          <w:tcPr>
            <w:tcW w:w="4208" w:type="dxa"/>
            <w:tcBorders>
              <w:top w:val="single" w:sz="4" w:space="0" w:color="auto"/>
              <w:bottom w:val="single" w:sz="4" w:space="0" w:color="auto"/>
            </w:tcBorders>
          </w:tcPr>
          <w:p w:rsidR="00000000" w:rsidRDefault="00000000">
            <w:pPr>
              <w:spacing w:before="60" w:after="60"/>
            </w:pPr>
          </w:p>
        </w:tc>
      </w:tr>
      <w:tr w:rsidR="00000000">
        <w:tblPrEx>
          <w:tblCellMar>
            <w:top w:w="0" w:type="dxa"/>
            <w:bottom w:w="0" w:type="dxa"/>
          </w:tblCellMar>
        </w:tblPrEx>
        <w:trPr>
          <w:jc w:val="center"/>
        </w:trPr>
        <w:tc>
          <w:tcPr>
            <w:tcW w:w="4207" w:type="dxa"/>
            <w:tcBorders>
              <w:top w:val="single" w:sz="4" w:space="0" w:color="auto"/>
              <w:bottom w:val="single" w:sz="4" w:space="0" w:color="auto"/>
            </w:tcBorders>
          </w:tcPr>
          <w:p w:rsidR="00000000" w:rsidRDefault="00000000">
            <w:pPr>
              <w:spacing w:before="60" w:after="60"/>
            </w:pPr>
            <w:r>
              <w:t xml:space="preserve">Les Nouvelles </w:t>
            </w:r>
          </w:p>
        </w:tc>
        <w:tc>
          <w:tcPr>
            <w:tcW w:w="4208" w:type="dxa"/>
            <w:tcBorders>
              <w:top w:val="single" w:sz="4" w:space="0" w:color="auto"/>
              <w:bottom w:val="single" w:sz="4" w:space="0" w:color="auto"/>
            </w:tcBorders>
          </w:tcPr>
          <w:p w:rsidR="00000000" w:rsidRDefault="00000000">
            <w:pPr>
              <w:spacing w:before="60" w:after="60"/>
            </w:pPr>
          </w:p>
        </w:tc>
      </w:tr>
      <w:tr w:rsidR="00000000">
        <w:tblPrEx>
          <w:tblCellMar>
            <w:top w:w="0" w:type="dxa"/>
            <w:bottom w:w="0" w:type="dxa"/>
          </w:tblCellMar>
        </w:tblPrEx>
        <w:trPr>
          <w:jc w:val="center"/>
        </w:trPr>
        <w:tc>
          <w:tcPr>
            <w:tcW w:w="4207" w:type="dxa"/>
            <w:tcBorders>
              <w:top w:val="single" w:sz="4" w:space="0" w:color="auto"/>
              <w:bottom w:val="single" w:sz="4" w:space="0" w:color="auto"/>
            </w:tcBorders>
          </w:tcPr>
          <w:p w:rsidR="00000000" w:rsidRDefault="00000000">
            <w:pPr>
              <w:spacing w:before="60" w:after="60"/>
            </w:pPr>
            <w:r>
              <w:t>Taratra</w:t>
            </w:r>
          </w:p>
        </w:tc>
        <w:tc>
          <w:tcPr>
            <w:tcW w:w="4208" w:type="dxa"/>
            <w:tcBorders>
              <w:top w:val="single" w:sz="4" w:space="0" w:color="auto"/>
              <w:bottom w:val="single" w:sz="4" w:space="0" w:color="auto"/>
            </w:tcBorders>
          </w:tcPr>
          <w:p w:rsidR="00000000" w:rsidRDefault="00000000">
            <w:pPr>
              <w:spacing w:before="60" w:after="60"/>
            </w:pPr>
          </w:p>
        </w:tc>
      </w:tr>
      <w:tr w:rsidR="00000000">
        <w:tblPrEx>
          <w:tblCellMar>
            <w:top w:w="0" w:type="dxa"/>
            <w:bottom w:w="0" w:type="dxa"/>
          </w:tblCellMar>
        </w:tblPrEx>
        <w:trPr>
          <w:jc w:val="center"/>
        </w:trPr>
        <w:tc>
          <w:tcPr>
            <w:tcW w:w="4207" w:type="dxa"/>
            <w:tcBorders>
              <w:top w:val="single" w:sz="4" w:space="0" w:color="auto"/>
            </w:tcBorders>
          </w:tcPr>
          <w:p w:rsidR="00000000" w:rsidRDefault="00000000">
            <w:pPr>
              <w:spacing w:before="60" w:after="60"/>
            </w:pPr>
            <w:r>
              <w:t>Malaza</w:t>
            </w:r>
          </w:p>
        </w:tc>
        <w:tc>
          <w:tcPr>
            <w:tcW w:w="4208" w:type="dxa"/>
            <w:tcBorders>
              <w:top w:val="single" w:sz="4" w:space="0" w:color="auto"/>
            </w:tcBorders>
          </w:tcPr>
          <w:p w:rsidR="00000000" w:rsidRDefault="00000000">
            <w:pPr>
              <w:spacing w:before="60" w:after="60"/>
            </w:pPr>
          </w:p>
        </w:tc>
      </w:tr>
    </w:tbl>
    <w:p w:rsidR="00000000" w:rsidRDefault="00000000">
      <w:pPr>
        <w:spacing w:after="240"/>
      </w:pPr>
    </w:p>
    <w:p w:rsidR="00000000" w:rsidRDefault="00000000">
      <w:pPr>
        <w:keepNext/>
        <w:spacing w:after="240"/>
        <w:rPr>
          <w:b/>
          <w:bCs/>
        </w:rPr>
      </w:pPr>
      <w:bookmarkStart w:id="388" w:name="_Toc98224984"/>
      <w:r>
        <w:rPr>
          <w:b/>
          <w:bCs/>
        </w:rPr>
        <w:t xml:space="preserve">Graphique </w:t>
      </w:r>
      <w:r>
        <w:rPr>
          <w:b/>
          <w:bCs/>
        </w:rPr>
        <w:fldChar w:fldCharType="begin"/>
      </w:r>
      <w:r>
        <w:rPr>
          <w:b/>
          <w:bCs/>
        </w:rPr>
        <w:instrText xml:space="preserve"> SEQ Graphique \* ARABIC </w:instrText>
      </w:r>
      <w:r>
        <w:rPr>
          <w:b/>
          <w:bCs/>
        </w:rPr>
        <w:fldChar w:fldCharType="separate"/>
      </w:r>
      <w:r>
        <w:rPr>
          <w:b/>
          <w:bCs/>
          <w:noProof/>
        </w:rPr>
        <w:t>3</w:t>
      </w:r>
      <w:r>
        <w:rPr>
          <w:b/>
          <w:bCs/>
        </w:rPr>
        <w:fldChar w:fldCharType="end"/>
      </w:r>
      <w:r>
        <w:rPr>
          <w:b/>
          <w:bCs/>
        </w:rPr>
        <w:t>: Les principaux quotidiens et hebdomadaires de Madagascar</w:t>
      </w:r>
      <w:bookmarkEnd w:id="388"/>
    </w:p>
    <w:bookmarkStart w:id="389" w:name="_MON_1180338428"/>
    <w:bookmarkEnd w:id="389"/>
    <w:p w:rsidR="00000000" w:rsidRDefault="00000000">
      <w:pPr>
        <w:spacing w:after="240"/>
        <w:ind w:left="567" w:firstLine="567"/>
      </w:pPr>
      <w:r>
        <w:object w:dxaOrig="6509" w:dyaOrig="4260">
          <v:shape id="_x0000_i1027" type="#_x0000_t75" style="width:325.5pt;height:213pt" o:ole="">
            <v:imagedata r:id="rId13" o:title=""/>
          </v:shape>
          <o:OLEObject Type="Embed" ProgID="Excel.Chart.8" ShapeID="_x0000_i1027" DrawAspect="Content" ObjectID="_1395233501" r:id="rId14">
            <o:FieldCodes>\s</o:FieldCodes>
          </o:OLEObject>
        </w:object>
      </w:r>
    </w:p>
    <w:p w:rsidR="00000000" w:rsidRDefault="00000000">
      <w:pPr>
        <w:spacing w:after="240"/>
        <w:ind w:firstLine="567"/>
        <w:rPr>
          <w:b/>
          <w:iCs/>
        </w:rPr>
      </w:pPr>
      <w:r>
        <w:rPr>
          <w:i/>
        </w:rPr>
        <w:t>Source</w:t>
      </w:r>
      <w:r>
        <w:rPr>
          <w:iCs/>
        </w:rPr>
        <w:t>: DIRM/SRR/CSCA (17/11/04).</w:t>
      </w:r>
    </w:p>
    <w:p w:rsidR="00000000" w:rsidRDefault="00000000">
      <w:pPr>
        <w:spacing w:after="240"/>
      </w:pPr>
      <w:r>
        <w:t>313.</w:t>
      </w:r>
      <w:r>
        <w:tab/>
        <w:t>Ces tableaux marquent la fin de l’époque où l’État détient le monopole de la création et de l’exploitation de la radio et de la télévision</w:t>
      </w:r>
      <w:r>
        <w:rPr>
          <w:color w:val="0000FF"/>
        </w:rPr>
        <w:t xml:space="preserve">. </w:t>
      </w:r>
      <w:r>
        <w:t>La possibilité de recevoir des émissions télévisées par satellite renforce l’élimination du monopole d’État.</w:t>
      </w:r>
    </w:p>
    <w:p w:rsidR="00000000" w:rsidRDefault="00000000">
      <w:pPr>
        <w:spacing w:after="240"/>
      </w:pPr>
      <w:r>
        <w:t>314.</w:t>
      </w:r>
      <w:r>
        <w:tab/>
        <w:t>L’Office malagasy d’étude et de régulation de la télécommunication (OMERT) est chargé de délivrer les licences d’exploitation sur la communication aux radios et télévisions privées, de contrôler et de vérifier l’utilisation des fréquences suivant les textes en vigueur.</w:t>
      </w:r>
    </w:p>
    <w:p w:rsidR="00000000" w:rsidRDefault="00000000">
      <w:pPr>
        <w:keepNext/>
        <w:spacing w:after="240"/>
        <w:jc w:val="center"/>
        <w:rPr>
          <w:b/>
          <w:bCs/>
        </w:rPr>
      </w:pPr>
      <w:bookmarkStart w:id="390" w:name="_Toc98224912"/>
      <w:r>
        <w:rPr>
          <w:b/>
          <w:bCs/>
        </w:rPr>
        <w:t>ARTICLE 20</w:t>
      </w:r>
      <w:bookmarkEnd w:id="390"/>
    </w:p>
    <w:p w:rsidR="00000000" w:rsidRDefault="00000000">
      <w:pPr>
        <w:keepNext/>
        <w:spacing w:after="240"/>
        <w:jc w:val="center"/>
        <w:rPr>
          <w:b/>
          <w:bCs/>
        </w:rPr>
      </w:pPr>
      <w:r>
        <w:rPr>
          <w:b/>
          <w:bCs/>
        </w:rPr>
        <w:t>Interdiction de propagande en faveur de la guerre</w:t>
      </w:r>
    </w:p>
    <w:p w:rsidR="00000000" w:rsidRDefault="00000000">
      <w:pPr>
        <w:keepNext/>
        <w:spacing w:after="240"/>
        <w:jc w:val="center"/>
        <w:rPr>
          <w:b/>
          <w:bCs/>
        </w:rPr>
      </w:pPr>
      <w:r>
        <w:rPr>
          <w:b/>
          <w:bCs/>
        </w:rPr>
        <w:t>Interdiction de tout appel à la haine nationale, raciale ou religieuse</w:t>
      </w:r>
    </w:p>
    <w:p w:rsidR="00000000" w:rsidRDefault="00000000">
      <w:pPr>
        <w:spacing w:after="240"/>
      </w:pPr>
      <w:r>
        <w:t>315.</w:t>
      </w:r>
      <w:r>
        <w:tab/>
        <w:t>Le droit malagasy interdit la propagande en faveur de la guerre ainsi que toute incitation à la haine.</w:t>
      </w:r>
    </w:p>
    <w:p w:rsidR="00000000" w:rsidRDefault="00000000">
      <w:pPr>
        <w:spacing w:after="240"/>
      </w:pPr>
      <w:r>
        <w:t>316.</w:t>
      </w:r>
      <w:r>
        <w:tab/>
        <w:t>Le législateur, prenant en compte l’extrême gravité d’une incitation à la guerre n’a pas hésité à en punir de la peine capitale les auteurs. La sévérité de la sanction a pour but de dissuader ceux qui sont tentés de se livrer à de tels actes.</w:t>
      </w:r>
    </w:p>
    <w:p w:rsidR="00000000" w:rsidRDefault="00000000">
      <w:pPr>
        <w:spacing w:after="240"/>
        <w:rPr>
          <w:i/>
          <w:iCs/>
        </w:rPr>
      </w:pPr>
      <w:r>
        <w:t>317.</w:t>
      </w:r>
      <w:r>
        <w:tab/>
        <w:t xml:space="preserve">L’article 91 du Code pénal stipule: </w:t>
      </w:r>
      <w:r>
        <w:rPr>
          <w:iCs/>
        </w:rPr>
        <w:t>«</w:t>
      </w:r>
      <w:r>
        <w:rPr>
          <w:i/>
          <w:iCs/>
        </w:rPr>
        <w:t>l’attentat dont le but, soit d’exciter à la guerre civile en armant ou portant les citoyens ou habitants à s’armer les uns contre les autres, soit de porter la dévastation, le massacre et le pillage dans une ou plusieurs communes, sera puni de mort</w:t>
      </w:r>
      <w:r>
        <w:rPr>
          <w:iCs/>
        </w:rPr>
        <w:t>»</w:t>
      </w:r>
      <w:r>
        <w:rPr>
          <w:i/>
          <w:iCs/>
        </w:rPr>
        <w:t>.</w:t>
      </w:r>
    </w:p>
    <w:p w:rsidR="00000000" w:rsidRDefault="00000000">
      <w:pPr>
        <w:spacing w:after="240"/>
        <w:rPr>
          <w:i/>
          <w:iCs/>
        </w:rPr>
      </w:pPr>
      <w:r>
        <w:t>318.</w:t>
      </w:r>
      <w:r>
        <w:tab/>
        <w:t>Par ailleurs, aux termes de l’article 75, alinéa 5: «</w:t>
      </w:r>
      <w:r>
        <w:rPr>
          <w:i/>
          <w:iCs/>
        </w:rPr>
        <w:t>ceux qui, par l’un des moyens énoncés à l’article 74 auront provoqué la discrimination, la haine ou la violence à l’égard d’une personne ou d’un groupe de personnes en raison de leur origine, de leur couleur, de leur sexe, de leur situation de famille ou de leur appartenance ou de leur non appartenance à une nation, une race ou une religion déterminée, seront punis d’un emprisonnement d’un mois à un an et d’une amende de 100 000 à 3 000 000 FMG</w:t>
      </w:r>
      <w:r>
        <w:rPr>
          <w:iCs/>
        </w:rPr>
        <w:t>»</w:t>
      </w:r>
      <w:r>
        <w:rPr>
          <w:i/>
          <w:iCs/>
        </w:rPr>
        <w:t>.</w:t>
      </w:r>
    </w:p>
    <w:p w:rsidR="00000000" w:rsidRDefault="00000000">
      <w:pPr>
        <w:spacing w:after="240"/>
      </w:pPr>
      <w:r>
        <w:t>319.</w:t>
      </w:r>
      <w:r>
        <w:tab/>
      </w:r>
      <w:r>
        <w:rPr>
          <w:color w:val="000000"/>
        </w:rPr>
        <w:t xml:space="preserve">À </w:t>
      </w:r>
      <w:r>
        <w:t>titre de rappel, l’article 115 du Code pénal punit d’une peine d’emprisonnement de un mois à un an et d’une amende de 50 000 à 250 000 FMG ou de l’une de ces deux peines seulement «</w:t>
      </w:r>
      <w:r>
        <w:rPr>
          <w:i/>
          <w:iCs/>
        </w:rPr>
        <w:t>celui qui, en raison de l’origine d’une personne, de sa couleur, de son sexe, de sa situation de famille ou de son appartenance, ou non</w:t>
      </w:r>
      <w:r>
        <w:rPr>
          <w:i/>
          <w:iCs/>
        </w:rPr>
        <w:noBreakHyphen/>
        <w:t>appartenance, vraie ou supposée, à une ethnie, une nation, une race, ou une religion déterminée, lui aura refusé sciemment le bénéfice d’un droit auquel elle pouvait prétendre</w:t>
      </w:r>
      <w:r>
        <w:t>».</w:t>
      </w:r>
    </w:p>
    <w:p w:rsidR="00000000" w:rsidRDefault="00000000">
      <w:pPr>
        <w:spacing w:after="240"/>
      </w:pPr>
      <w:r>
        <w:t>320.</w:t>
      </w:r>
      <w:r>
        <w:tab/>
        <w:t>Les peines prévues ci-dessus sont portées au double lorsque les faits ont été commis par un dépositaire de l’autorité publique, à l’occasion de l’exercice de ses fonctions.</w:t>
      </w:r>
    </w:p>
    <w:p w:rsidR="00000000" w:rsidRDefault="00000000">
      <w:pPr>
        <w:keepNext/>
        <w:spacing w:after="240"/>
        <w:jc w:val="center"/>
        <w:rPr>
          <w:b/>
          <w:bCs/>
        </w:rPr>
      </w:pPr>
      <w:bookmarkStart w:id="391" w:name="_Toc98224913"/>
      <w:r>
        <w:rPr>
          <w:b/>
          <w:bCs/>
        </w:rPr>
        <w:t>ARTICLE 21</w:t>
      </w:r>
      <w:bookmarkEnd w:id="391"/>
    </w:p>
    <w:p w:rsidR="00000000" w:rsidRDefault="00000000">
      <w:pPr>
        <w:keepNext/>
        <w:spacing w:after="240"/>
        <w:jc w:val="center"/>
        <w:rPr>
          <w:b/>
          <w:bCs/>
        </w:rPr>
      </w:pPr>
      <w:r>
        <w:rPr>
          <w:b/>
          <w:bCs/>
        </w:rPr>
        <w:t>Liberté de réunion</w:t>
      </w:r>
    </w:p>
    <w:p w:rsidR="00000000" w:rsidRDefault="00000000">
      <w:pPr>
        <w:spacing w:after="240"/>
      </w:pPr>
      <w:r>
        <w:t>321.</w:t>
      </w:r>
      <w:r>
        <w:tab/>
        <w:t>Depuis le dernier rapport, il convient de noter le progrès apporté par l’article 10 de la Constitution sur la liberté de réunion.</w:t>
      </w:r>
    </w:p>
    <w:p w:rsidR="00000000" w:rsidRDefault="00000000">
      <w:pPr>
        <w:spacing w:after="240"/>
      </w:pPr>
      <w:r>
        <w:t>322.</w:t>
      </w:r>
      <w:r>
        <w:tab/>
        <w:t xml:space="preserve">Le terme </w:t>
      </w:r>
      <w:r>
        <w:rPr>
          <w:iCs/>
        </w:rPr>
        <w:t>«</w:t>
      </w:r>
      <w:r>
        <w:rPr>
          <w:i/>
          <w:iCs/>
        </w:rPr>
        <w:t>réunion</w:t>
      </w:r>
      <w:r>
        <w:rPr>
          <w:iCs/>
        </w:rPr>
        <w:t>»</w:t>
      </w:r>
      <w:r>
        <w:t xml:space="preserve"> vise celle tenue en salle, en privé ou sur les voies publiques.</w:t>
      </w:r>
    </w:p>
    <w:p w:rsidR="00000000" w:rsidRDefault="00000000">
      <w:pPr>
        <w:spacing w:after="240"/>
      </w:pPr>
      <w:r>
        <w:t>323.</w:t>
      </w:r>
      <w:r>
        <w:tab/>
        <w:t>Cette liberté ne connaît de limitation que le respect des droits et libertés d’autrui et la nécessité de sauvegarder l’ordre public.</w:t>
      </w:r>
    </w:p>
    <w:p w:rsidR="00000000" w:rsidRDefault="00000000">
      <w:pPr>
        <w:spacing w:after="240"/>
      </w:pPr>
      <w:r>
        <w:t>324.</w:t>
      </w:r>
      <w:r>
        <w:tab/>
        <w:t>Selon les articles 1 et 2 de l’ordonnance n</w:t>
      </w:r>
      <w:r>
        <w:rPr>
          <w:vertAlign w:val="superscript"/>
        </w:rPr>
        <w:t>o</w:t>
      </w:r>
      <w:r>
        <w:t> 60</w:t>
      </w:r>
      <w:r>
        <w:noBreakHyphen/>
        <w:t>104 du 21 septembre 1960 relative aux attroupements, la tenue d’une réunion sur la voie publique cesse d’être pacifique si un participant est porteur d’arme apparente.</w:t>
      </w:r>
    </w:p>
    <w:p w:rsidR="00000000" w:rsidRDefault="00000000">
      <w:pPr>
        <w:spacing w:after="240"/>
      </w:pPr>
      <w:r>
        <w:t>325.</w:t>
      </w:r>
      <w:r>
        <w:tab/>
        <w:t>La loi n</w:t>
      </w:r>
      <w:r>
        <w:rPr>
          <w:vertAlign w:val="superscript"/>
        </w:rPr>
        <w:t>o</w:t>
      </w:r>
      <w:r>
        <w:t> 91</w:t>
      </w:r>
      <w:r>
        <w:noBreakHyphen/>
        <w:t>011 du 18 juillet 1991 relative aux situations d’exception interdit et incrimine les attroupements et manifestations sur les voies publiques. Les détails de cette interdiction sont déjà développés à l’occasion des informations fournies sur l’application de l’article 4 du Pacte.</w:t>
      </w:r>
    </w:p>
    <w:p w:rsidR="00000000" w:rsidRDefault="00000000">
      <w:pPr>
        <w:keepNext/>
        <w:spacing w:after="240"/>
        <w:jc w:val="center"/>
      </w:pPr>
      <w:bookmarkStart w:id="392" w:name="_Toc98224914"/>
      <w:r>
        <w:rPr>
          <w:b/>
          <w:bCs/>
        </w:rPr>
        <w:t>ARTICLE</w:t>
      </w:r>
      <w:r>
        <w:t xml:space="preserve"> </w:t>
      </w:r>
      <w:r>
        <w:rPr>
          <w:b/>
          <w:bCs/>
        </w:rPr>
        <w:t>22</w:t>
      </w:r>
      <w:bookmarkEnd w:id="392"/>
    </w:p>
    <w:p w:rsidR="00000000" w:rsidRDefault="00000000">
      <w:pPr>
        <w:keepNext/>
        <w:spacing w:after="240"/>
        <w:jc w:val="center"/>
        <w:rPr>
          <w:b/>
          <w:bCs/>
        </w:rPr>
      </w:pPr>
      <w:r>
        <w:rPr>
          <w:b/>
          <w:bCs/>
        </w:rPr>
        <w:t>Liberté d’association et liberté syndicale</w:t>
      </w:r>
    </w:p>
    <w:p w:rsidR="00000000" w:rsidRDefault="00000000">
      <w:pPr>
        <w:keepNext/>
        <w:spacing w:after="240"/>
        <w:rPr>
          <w:b/>
          <w:bCs/>
        </w:rPr>
      </w:pPr>
      <w:r>
        <w:rPr>
          <w:b/>
          <w:bCs/>
        </w:rPr>
        <w:t>La liberté d’association</w:t>
      </w:r>
    </w:p>
    <w:p w:rsidR="00000000" w:rsidRDefault="00000000">
      <w:pPr>
        <w:spacing w:after="240"/>
      </w:pPr>
      <w:r>
        <w:t>326.</w:t>
      </w:r>
      <w:r>
        <w:tab/>
        <w:t>Les modalités d’exercice de la liberté d’association garantie par l’article 10 de la Constitution sont précisées par les textes législatifs et réglementaires ci-après:</w:t>
      </w:r>
    </w:p>
    <w:p w:rsidR="00000000" w:rsidRDefault="00000000">
      <w:pPr>
        <w:spacing w:after="240"/>
        <w:ind w:firstLine="567"/>
      </w:pPr>
      <w:r>
        <w:t>a)</w:t>
      </w:r>
      <w:r>
        <w:tab/>
        <w:t>Ordonnance n</w:t>
      </w:r>
      <w:r>
        <w:rPr>
          <w:vertAlign w:val="superscript"/>
        </w:rPr>
        <w:t>o </w:t>
      </w:r>
      <w:r>
        <w:t>60-133 du 3 octobre 1960 portant régime général des associations;</w:t>
      </w:r>
    </w:p>
    <w:p w:rsidR="00000000" w:rsidRDefault="00000000">
      <w:pPr>
        <w:spacing w:after="240"/>
        <w:ind w:firstLine="567"/>
      </w:pPr>
      <w:r>
        <w:t>b)</w:t>
      </w:r>
      <w:r>
        <w:tab/>
        <w:t>Décret n</w:t>
      </w:r>
      <w:r>
        <w:rPr>
          <w:vertAlign w:val="superscript"/>
        </w:rPr>
        <w:t>o</w:t>
      </w:r>
      <w:r>
        <w:t> 60-383 du 5 octobre 1960 portant application de l’ordonnance n</w:t>
      </w:r>
      <w:r>
        <w:rPr>
          <w:vertAlign w:val="superscript"/>
        </w:rPr>
        <w:t>o</w:t>
      </w:r>
      <w:r>
        <w:t> 60-133;</w:t>
      </w:r>
    </w:p>
    <w:p w:rsidR="00000000" w:rsidRDefault="00000000">
      <w:pPr>
        <w:spacing w:after="240"/>
        <w:ind w:firstLine="567"/>
      </w:pPr>
      <w:r>
        <w:t>c)</w:t>
      </w:r>
      <w:r>
        <w:tab/>
        <w:t>Ordonnance n</w:t>
      </w:r>
      <w:r>
        <w:rPr>
          <w:vertAlign w:val="superscript"/>
        </w:rPr>
        <w:t>o</w:t>
      </w:r>
      <w:r>
        <w:t> 90-011 du 9 mars 1990 portant régime général des partis ou organisations politiques;</w:t>
      </w:r>
    </w:p>
    <w:p w:rsidR="00000000" w:rsidRDefault="00000000">
      <w:pPr>
        <w:spacing w:after="240"/>
        <w:ind w:firstLine="567"/>
      </w:pPr>
      <w:r>
        <w:t>d)</w:t>
      </w:r>
      <w:r>
        <w:tab/>
        <w:t>Ordonnance n</w:t>
      </w:r>
      <w:r>
        <w:rPr>
          <w:vertAlign w:val="superscript"/>
        </w:rPr>
        <w:t>o</w:t>
      </w:r>
      <w:r>
        <w:t xml:space="preserve"> 96-030 du 14 août 1997 portant régime particulier des ONG; </w:t>
      </w:r>
    </w:p>
    <w:p w:rsidR="00000000" w:rsidRDefault="00000000">
      <w:pPr>
        <w:spacing w:after="240"/>
        <w:ind w:firstLine="567"/>
      </w:pPr>
      <w:r>
        <w:t>e)</w:t>
      </w:r>
      <w:r>
        <w:tab/>
        <w:t>Décret n</w:t>
      </w:r>
      <w:r>
        <w:rPr>
          <w:vertAlign w:val="superscript"/>
        </w:rPr>
        <w:t>o</w:t>
      </w:r>
      <w:r>
        <w:t> 98</w:t>
      </w:r>
      <w:r>
        <w:noBreakHyphen/>
        <w:t>711 du 2 septembre 1998 fixant les modalités d’application de la loi n</w:t>
      </w:r>
      <w:r>
        <w:rPr>
          <w:vertAlign w:val="superscript"/>
        </w:rPr>
        <w:t>o</w:t>
      </w:r>
      <w:r>
        <w:t> 96</w:t>
      </w:r>
      <w:r>
        <w:noBreakHyphen/>
        <w:t>030.</w:t>
      </w:r>
    </w:p>
    <w:p w:rsidR="00000000" w:rsidRDefault="00000000">
      <w:pPr>
        <w:spacing w:after="240"/>
      </w:pPr>
      <w:r>
        <w:t>327.</w:t>
      </w:r>
      <w:r>
        <w:tab/>
        <w:t>La protection du droit à la liberté d’association est garantie par un contrôle juridictionnel exercé par la Chambre administrative de la Cour suprême. L’action intentée doit porter sur la protection des intérêts collectifs des membres.</w:t>
      </w:r>
    </w:p>
    <w:p w:rsidR="00000000" w:rsidRDefault="00000000">
      <w:pPr>
        <w:spacing w:after="240"/>
      </w:pPr>
      <w:r>
        <w:t>328.</w:t>
      </w:r>
      <w:r>
        <w:tab/>
        <w:t>En cas de violations de leurs droits et libertés, ces associations peuvent intenter un recours devant cette juridiction.</w:t>
      </w:r>
    </w:p>
    <w:p w:rsidR="00000000" w:rsidRDefault="00000000">
      <w:pPr>
        <w:keepNext/>
        <w:spacing w:after="240"/>
        <w:ind w:firstLine="567"/>
        <w:rPr>
          <w:b/>
          <w:bCs/>
        </w:rPr>
      </w:pPr>
      <w:r>
        <w:rPr>
          <w:b/>
          <w:bCs/>
        </w:rPr>
        <w:t>La liberté syndicale</w:t>
      </w:r>
    </w:p>
    <w:p w:rsidR="00000000" w:rsidRDefault="00000000">
      <w:pPr>
        <w:spacing w:after="240"/>
      </w:pPr>
      <w:r>
        <w:t>329.</w:t>
      </w:r>
      <w:r>
        <w:tab/>
        <w:t>Les syndicats ont pour mission la défense des intérêts collectifs de leurs membres.</w:t>
      </w:r>
    </w:p>
    <w:p w:rsidR="00000000" w:rsidRDefault="00000000">
      <w:pPr>
        <w:spacing w:after="240"/>
      </w:pPr>
      <w:r>
        <w:t>330.</w:t>
      </w:r>
      <w:r>
        <w:tab/>
        <w:t>Sur le plan international, Madagascar a ratifié la Convention n</w:t>
      </w:r>
      <w:r>
        <w:rPr>
          <w:vertAlign w:val="superscript"/>
        </w:rPr>
        <w:t>o</w:t>
      </w:r>
      <w:r>
        <w:t xml:space="preserve"> 87 du 9 juillet 1948 de l’OIT sur la liberté syndicale et la protection du droit syndical. </w:t>
      </w:r>
    </w:p>
    <w:p w:rsidR="00000000" w:rsidRDefault="00000000">
      <w:pPr>
        <w:spacing w:after="240"/>
      </w:pPr>
      <w:r>
        <w:t>331.</w:t>
      </w:r>
      <w:r>
        <w:tab/>
        <w:t>L’article 31 de la Constitution reconnaît le droit de tout travailleur de défendre ses intérêts par l’action syndicale et en particulier de fonder librement un syndicat. L’adhésion à un syndicat est libre.</w:t>
      </w:r>
    </w:p>
    <w:p w:rsidR="00000000" w:rsidRDefault="00000000">
      <w:pPr>
        <w:spacing w:after="240"/>
      </w:pPr>
      <w:r>
        <w:t>332.</w:t>
      </w:r>
      <w:r>
        <w:tab/>
        <w:t>L’article 33 de la Constitution, précise que le droit de grève s’exerce dans les conditions fixées par la loi.</w:t>
      </w:r>
    </w:p>
    <w:p w:rsidR="00000000" w:rsidRDefault="00000000">
      <w:pPr>
        <w:spacing w:after="240"/>
      </w:pPr>
      <w:r>
        <w:t>333.</w:t>
      </w:r>
      <w:r>
        <w:tab/>
        <w:t>La Chambre administrative de la Cour suprême, par arrêt n</w:t>
      </w:r>
      <w:r>
        <w:rPr>
          <w:vertAlign w:val="superscript"/>
        </w:rPr>
        <w:t>o</w:t>
      </w:r>
      <w:r>
        <w:t xml:space="preserve"> 112 du 23 février 1983, dans l’affaire </w:t>
      </w:r>
      <w:r>
        <w:rPr>
          <w:i/>
          <w:iCs/>
        </w:rPr>
        <w:t>Raharison</w:t>
      </w:r>
      <w:r>
        <w:t xml:space="preserve"> c. </w:t>
      </w:r>
      <w:r>
        <w:rPr>
          <w:i/>
          <w:iCs/>
        </w:rPr>
        <w:t>État malagasy</w:t>
      </w:r>
      <w:r>
        <w:t xml:space="preserve"> a jugé:</w:t>
      </w:r>
    </w:p>
    <w:p w:rsidR="00000000" w:rsidRDefault="00000000">
      <w:pPr>
        <w:spacing w:after="240"/>
        <w:ind w:left="567"/>
        <w:rPr>
          <w:i/>
          <w:iCs/>
        </w:rPr>
      </w:pPr>
      <w:r>
        <w:t xml:space="preserve">que </w:t>
      </w:r>
      <w:r>
        <w:rPr>
          <w:iCs/>
        </w:rPr>
        <w:t>«</w:t>
      </w:r>
      <w:r>
        <w:rPr>
          <w:i/>
          <w:iCs/>
        </w:rPr>
        <w:t>Le droit de grève ne peut être exercé que conformément aux lois du pays, et en particulier en ce qui concerne Madagascar, à l’ordonnance n</w:t>
      </w:r>
      <w:r>
        <w:rPr>
          <w:i/>
          <w:iCs/>
          <w:vertAlign w:val="superscript"/>
        </w:rPr>
        <w:t>o</w:t>
      </w:r>
      <w:r>
        <w:rPr>
          <w:i/>
          <w:iCs/>
        </w:rPr>
        <w:t> 60-149 du 3 octobre 1960, qui n’a pas encore fait l’objet d’une abrogation et est en conséquence, toujours en vigueur, texte suivant lequel toute cessation concertée du travail est interdite à certaines catégories de fonctionnaires et agents.</w:t>
      </w:r>
    </w:p>
    <w:p w:rsidR="00000000" w:rsidRDefault="00000000">
      <w:pPr>
        <w:spacing w:after="240"/>
        <w:ind w:left="567"/>
        <w:rPr>
          <w:i/>
          <w:iCs/>
        </w:rPr>
      </w:pPr>
      <w:r>
        <w:rPr>
          <w:i/>
          <w:iCs/>
        </w:rPr>
        <w:t>Que Sieur Raharison et autres (…) faisaient partie de l’une des catégories d’agents pour laquelle la grève est interdite.</w:t>
      </w:r>
      <w:r>
        <w:rPr>
          <w:iCs/>
        </w:rPr>
        <w:t>».</w:t>
      </w:r>
    </w:p>
    <w:p w:rsidR="00000000" w:rsidRDefault="00000000">
      <w:pPr>
        <w:spacing w:after="240"/>
        <w:rPr>
          <w:i/>
          <w:iCs/>
        </w:rPr>
      </w:pPr>
      <w:r>
        <w:t>334.</w:t>
      </w:r>
      <w:r>
        <w:tab/>
        <w:t>Dans le même sens, l’arrêt n</w:t>
      </w:r>
      <w:r>
        <w:rPr>
          <w:vertAlign w:val="superscript"/>
        </w:rPr>
        <w:t>o</w:t>
      </w:r>
      <w:r>
        <w:t xml:space="preserve"> 114 du 23 février 1983, dans l’affaire Ramanoarisoa Basile − Rasamoelina Henri Solo contre État malagasy a précisé </w:t>
      </w:r>
      <w:r>
        <w:rPr>
          <w:iCs/>
        </w:rPr>
        <w:t>«</w:t>
      </w:r>
      <w:r>
        <w:rPr>
          <w:i/>
          <w:iCs/>
        </w:rPr>
        <w:t>Considérant qu’il ressort de l’instruction que les requérants étaient en fonction dans les services de la Météorologie; qu’en application de l’ordonnance susmentionnée, ils faisaient partie de l’une des catégories d’agents pour laquelle la grève est interdite soit parce qu’il s’agit d’agent de conception, soit pour des raisons de sécurité, soit encore parce qu’il s’agit de service dont l’interruption entraînerait d’importants préjudices à la nation; qu’ayant fait la grève du 8 au 16 août 1979, les intéressés ont commis une faute professionnelle.</w:t>
      </w:r>
      <w:r>
        <w:rPr>
          <w:iCs/>
        </w:rPr>
        <w:t>».</w:t>
      </w:r>
    </w:p>
    <w:p w:rsidR="00000000" w:rsidRDefault="00000000">
      <w:pPr>
        <w:spacing w:after="240"/>
        <w:rPr>
          <w:color w:val="000000"/>
        </w:rPr>
      </w:pPr>
      <w:r>
        <w:rPr>
          <w:color w:val="000000"/>
        </w:rPr>
        <w:t>335.</w:t>
      </w:r>
      <w:r>
        <w:rPr>
          <w:color w:val="000000"/>
        </w:rPr>
        <w:tab/>
        <w:t>Par avis n</w:t>
      </w:r>
      <w:r>
        <w:rPr>
          <w:color w:val="000000"/>
          <w:vertAlign w:val="superscript"/>
        </w:rPr>
        <w:t>o</w:t>
      </w:r>
      <w:r>
        <w:rPr>
          <w:color w:val="000000"/>
        </w:rPr>
        <w:t> 01-HCC/AV du 6 avril 2005, sur l’interprétation des dispositions de l’article 33 de la Constitution, la Haute Cour constitutionnelle a précisé que:</w:t>
      </w:r>
    </w:p>
    <w:p w:rsidR="00000000" w:rsidRDefault="00000000">
      <w:pPr>
        <w:spacing w:after="240"/>
        <w:ind w:left="567"/>
        <w:rPr>
          <w:i/>
          <w:iCs/>
          <w:color w:val="000000"/>
        </w:rPr>
      </w:pPr>
      <w:r>
        <w:rPr>
          <w:iCs/>
          <w:color w:val="000000"/>
        </w:rPr>
        <w:t>«</w:t>
      </w:r>
      <w:r>
        <w:rPr>
          <w:i/>
          <w:iCs/>
          <w:color w:val="000000"/>
        </w:rPr>
        <w:t>… la grève des fonctionnaires doit s’exercer dans le respect de l’ordonnancement juridique en vigueur, à savoir la Constitution, les lois et les règlements;</w:t>
      </w:r>
    </w:p>
    <w:p w:rsidR="00000000" w:rsidRDefault="00000000">
      <w:pPr>
        <w:spacing w:after="240"/>
        <w:ind w:left="567"/>
        <w:rPr>
          <w:i/>
          <w:iCs/>
          <w:color w:val="000000"/>
        </w:rPr>
      </w:pPr>
      <w:r>
        <w:rPr>
          <w:i/>
          <w:iCs/>
          <w:color w:val="000000"/>
        </w:rPr>
        <w:t>Qu’une réglementation de la grève des fonctionnaires doit tenir compte du statut juridique spécial auquel le fonctionnaire est soumis;</w:t>
      </w:r>
    </w:p>
    <w:p w:rsidR="00000000" w:rsidRDefault="00000000">
      <w:pPr>
        <w:spacing w:after="240"/>
        <w:ind w:left="567"/>
        <w:rPr>
          <w:i/>
          <w:iCs/>
          <w:color w:val="000000"/>
        </w:rPr>
      </w:pPr>
      <w:r>
        <w:rPr>
          <w:i/>
          <w:iCs/>
          <w:color w:val="000000"/>
        </w:rPr>
        <w:t>Elle n’est licite que pour la défense des intérêts professionnels collectifs uniquement.</w:t>
      </w:r>
      <w:r>
        <w:rPr>
          <w:iCs/>
          <w:color w:val="000000"/>
        </w:rPr>
        <w:t>».</w:t>
      </w:r>
    </w:p>
    <w:p w:rsidR="00000000" w:rsidRDefault="00000000">
      <w:pPr>
        <w:spacing w:after="240"/>
        <w:ind w:left="567"/>
        <w:rPr>
          <w:i/>
          <w:iCs/>
          <w:color w:val="000000"/>
        </w:rPr>
      </w:pPr>
      <w:r>
        <w:rPr>
          <w:iCs/>
          <w:color w:val="000000"/>
        </w:rPr>
        <w:t>«</w:t>
      </w:r>
      <w:r>
        <w:rPr>
          <w:i/>
          <w:iCs/>
          <w:color w:val="000000"/>
        </w:rPr>
        <w:t>Que la mesure de retenue n’a pas le caractère de sanction, la constatation de l’inexécution du service n’impliquant aucune appréciation du comportement personnel de l’agent comme dans le cadre d’une procédure disciplinaire.</w:t>
      </w:r>
      <w:r>
        <w:rPr>
          <w:iCs/>
          <w:color w:val="000000"/>
        </w:rPr>
        <w:t>»</w:t>
      </w:r>
    </w:p>
    <w:p w:rsidR="00000000" w:rsidRDefault="00000000">
      <w:pPr>
        <w:spacing w:after="240"/>
        <w:ind w:left="567"/>
        <w:rPr>
          <w:i/>
          <w:iCs/>
          <w:color w:val="000000"/>
        </w:rPr>
      </w:pPr>
      <w:r>
        <w:rPr>
          <w:iCs/>
          <w:color w:val="000000"/>
        </w:rPr>
        <w:t>«</w:t>
      </w:r>
      <w:r>
        <w:rPr>
          <w:i/>
          <w:iCs/>
          <w:color w:val="000000"/>
        </w:rPr>
        <w:t>Qu’il en résulte qu’en cas d’arrêt de travail pour fait de grève, le fonctionnaire n’a pas droit à rémunération dès lors que l’inexécution de ses obligations est suffisamment manifeste.</w:t>
      </w:r>
      <w:r>
        <w:rPr>
          <w:iCs/>
          <w:color w:val="000000"/>
        </w:rPr>
        <w:t>».</w:t>
      </w:r>
    </w:p>
    <w:p w:rsidR="00000000" w:rsidRDefault="00000000">
      <w:pPr>
        <w:spacing w:after="240"/>
        <w:rPr>
          <w:i/>
          <w:iCs/>
        </w:rPr>
      </w:pPr>
      <w:r>
        <w:t>336.</w:t>
      </w:r>
      <w:r>
        <w:tab/>
        <w:t>Conformément à l’article 22 paragraphe 2 du Pacte, dans l’intérêt de la sécurité et de l’ordre public, le droit de grève n’est pas reconnu au personnel des forces armées, de la police et de la gendarmerie.</w:t>
      </w:r>
    </w:p>
    <w:p w:rsidR="00000000" w:rsidRDefault="00000000">
      <w:pPr>
        <w:keepNext/>
        <w:spacing w:after="240"/>
        <w:ind w:firstLine="567"/>
        <w:rPr>
          <w:b/>
          <w:bCs/>
          <w:color w:val="000000"/>
        </w:rPr>
      </w:pPr>
      <w:r>
        <w:rPr>
          <w:b/>
          <w:bCs/>
          <w:color w:val="000000"/>
        </w:rPr>
        <w:t>La liberté syndicale dans le secteur privé</w:t>
      </w:r>
    </w:p>
    <w:p w:rsidR="00000000" w:rsidRDefault="00000000">
      <w:pPr>
        <w:spacing w:after="240"/>
        <w:rPr>
          <w:color w:val="000000"/>
        </w:rPr>
      </w:pPr>
      <w:r>
        <w:rPr>
          <w:color w:val="000000"/>
        </w:rPr>
        <w:t>337.</w:t>
      </w:r>
      <w:r>
        <w:rPr>
          <w:color w:val="000000"/>
        </w:rPr>
        <w:tab/>
        <w:t xml:space="preserve">La loi </w:t>
      </w:r>
      <w:r>
        <w:t>n</w:t>
      </w:r>
      <w:r>
        <w:rPr>
          <w:vertAlign w:val="superscript"/>
        </w:rPr>
        <w:t>o</w:t>
      </w:r>
      <w:r>
        <w:t> </w:t>
      </w:r>
      <w:r>
        <w:rPr>
          <w:color w:val="000000"/>
        </w:rPr>
        <w:t>94</w:t>
      </w:r>
      <w:r>
        <w:rPr>
          <w:color w:val="000000"/>
        </w:rPr>
        <w:noBreakHyphen/>
        <w:t xml:space="preserve">029 du 25 août 1995 portant Code du travail n’impose plus aux syndicats l’obligation de s’affilier aux partis du Front national pour la défense de la révolution. </w:t>
      </w:r>
    </w:p>
    <w:p w:rsidR="00000000" w:rsidRDefault="00000000">
      <w:pPr>
        <w:spacing w:after="240"/>
        <w:rPr>
          <w:i/>
          <w:iCs/>
        </w:rPr>
      </w:pPr>
      <w:r>
        <w:rPr>
          <w:color w:val="000000"/>
        </w:rPr>
        <w:t>338.</w:t>
      </w:r>
      <w:r>
        <w:rPr>
          <w:color w:val="000000"/>
        </w:rPr>
        <w:tab/>
        <w:t xml:space="preserve">Ainsi, </w:t>
      </w:r>
      <w:r>
        <w:t xml:space="preserve">l’article 4 de cette loi énonce que: </w:t>
      </w:r>
      <w:r>
        <w:rPr>
          <w:iCs/>
        </w:rPr>
        <w:t>«</w:t>
      </w:r>
      <w:r>
        <w:rPr>
          <w:i/>
          <w:iCs/>
        </w:rPr>
        <w:t>l’exercice du droit syndical est reconnu dans le respect des droits et libertés garantis par la Constitution</w:t>
      </w:r>
      <w:r>
        <w:rPr>
          <w:iCs/>
        </w:rPr>
        <w:t>».</w:t>
      </w:r>
    </w:p>
    <w:p w:rsidR="00000000" w:rsidRDefault="00000000">
      <w:pPr>
        <w:spacing w:after="240"/>
        <w:rPr>
          <w:i/>
          <w:iCs/>
        </w:rPr>
      </w:pPr>
      <w:r>
        <w:t>339.</w:t>
      </w:r>
      <w:r>
        <w:tab/>
        <w:t xml:space="preserve">En outre, l’article 5 édicte que: </w:t>
      </w:r>
      <w:r>
        <w:rPr>
          <w:iCs/>
        </w:rPr>
        <w:t>«</w:t>
      </w:r>
      <w:r>
        <w:rPr>
          <w:i/>
          <w:iCs/>
        </w:rPr>
        <w:t>les travailleurs et les employeurs, sans distinction d’aucune sorte et quelle que soit leur profession, ont le droit sans autorisation préalable, de constituer librement des organisations syndicales et professionnelles, ainsi que de s’affilier à des organisations de leur choix, à la seule condition de se conformer aux statuts de ces dernières</w:t>
      </w:r>
      <w:r>
        <w:rPr>
          <w:iCs/>
        </w:rPr>
        <w:t>».</w:t>
      </w:r>
    </w:p>
    <w:p w:rsidR="00000000" w:rsidRDefault="00000000">
      <w:pPr>
        <w:spacing w:after="240"/>
      </w:pPr>
      <w:r>
        <w:t>340.</w:t>
      </w:r>
      <w:r>
        <w:tab/>
        <w:t>Actuellement, les organisations de travailleurs et les organisations d’employeurs travaillent en partenariat pour les négociations salariales et les problèmes du monde du travail.</w:t>
      </w:r>
    </w:p>
    <w:p w:rsidR="00000000" w:rsidRDefault="00000000">
      <w:pPr>
        <w:spacing w:after="240"/>
      </w:pPr>
      <w:r>
        <w:t>341.</w:t>
      </w:r>
      <w:r>
        <w:tab/>
        <w:t xml:space="preserve">L’ancienne structure tripartite, connue sous la dénomination de Conseil national de l’emploi (CNE), composée des représentants de l’État, de l’organisation des travailleurs et des employeurs est actuellement remplacée par le Conseil national du travail (CNT). </w:t>
      </w:r>
    </w:p>
    <w:p w:rsidR="00000000" w:rsidRDefault="00000000">
      <w:pPr>
        <w:spacing w:after="240"/>
      </w:pPr>
      <w:r>
        <w:t>342.</w:t>
      </w:r>
      <w:r>
        <w:tab/>
        <w:t>La nouvelle législation du travail n</w:t>
      </w:r>
      <w:r>
        <w:rPr>
          <w:vertAlign w:val="superscript"/>
        </w:rPr>
        <w:t>o</w:t>
      </w:r>
      <w:r>
        <w:t> 2003-044 du 28 juillet 2004 a pris en compte les diverses recommandations de l’OIT tendant à une meilleure implication des différents acteurs dans la mise en place d’un environnement favorables aux travailleurs incluant:</w:t>
      </w:r>
    </w:p>
    <w:p w:rsidR="00000000" w:rsidRDefault="00000000">
      <w:pPr>
        <w:spacing w:after="240"/>
        <w:ind w:firstLine="567"/>
      </w:pPr>
      <w:r>
        <w:t>a)</w:t>
      </w:r>
      <w:r>
        <w:tab/>
        <w:t>La formation professionnelle;</w:t>
      </w:r>
    </w:p>
    <w:p w:rsidR="00000000" w:rsidRDefault="00000000">
      <w:pPr>
        <w:spacing w:after="240"/>
        <w:ind w:firstLine="567"/>
      </w:pPr>
      <w:r>
        <w:t>b)</w:t>
      </w:r>
      <w:r>
        <w:tab/>
        <w:t>L’hygiène et la sécurité;</w:t>
      </w:r>
    </w:p>
    <w:p w:rsidR="00000000" w:rsidRDefault="00000000">
      <w:pPr>
        <w:spacing w:after="240"/>
        <w:ind w:firstLine="567"/>
      </w:pPr>
      <w:r>
        <w:t>c)</w:t>
      </w:r>
      <w:r>
        <w:tab/>
        <w:t>La prestation et la sécurité sociale.</w:t>
      </w:r>
    </w:p>
    <w:p w:rsidR="00000000" w:rsidRDefault="00000000">
      <w:pPr>
        <w:spacing w:after="240"/>
      </w:pPr>
      <w:r>
        <w:t>343.</w:t>
      </w:r>
      <w:r>
        <w:tab/>
        <w:t>Ce Conseil a été institué en tant qu’organe tripartite de consultation, de dialogue, de concertation, de négociation entre les partenaires sociaux et d’informations en matière d’emploi, de formation, de protection sociale, de travail et de salaire.</w:t>
      </w:r>
    </w:p>
    <w:p w:rsidR="00000000" w:rsidRDefault="00000000">
      <w:pPr>
        <w:spacing w:after="240"/>
      </w:pPr>
      <w:r>
        <w:t>344.</w:t>
      </w:r>
      <w:r>
        <w:tab/>
        <w:t>Les progrès réalisés dans ce domaine sont constitués par la protection constitutionnelle, législative et judiciaire de la liberté syndicale et du droit de grève.</w:t>
      </w:r>
    </w:p>
    <w:p w:rsidR="00000000" w:rsidRDefault="00000000">
      <w:pPr>
        <w:spacing w:after="240"/>
        <w:ind w:firstLine="567"/>
        <w:rPr>
          <w:b/>
          <w:bCs/>
        </w:rPr>
      </w:pPr>
      <w:r>
        <w:rPr>
          <w:b/>
          <w:bCs/>
        </w:rPr>
        <w:t>La liberté syndicale de la fonction publique</w:t>
      </w:r>
    </w:p>
    <w:p w:rsidR="00000000" w:rsidRDefault="00000000">
      <w:pPr>
        <w:spacing w:after="240"/>
      </w:pPr>
      <w:r>
        <w:t>345.</w:t>
      </w:r>
      <w:r>
        <w:tab/>
        <w:t>La loi n</w:t>
      </w:r>
      <w:r>
        <w:rPr>
          <w:vertAlign w:val="superscript"/>
        </w:rPr>
        <w:t>o</w:t>
      </w:r>
      <w:r>
        <w:t> 2003</w:t>
      </w:r>
      <w:r>
        <w:noBreakHyphen/>
        <w:t>011 du 9 septembre 2003 portant statut général des fonctionnaires, a maintenu le Conseil supérieur de la fonction publique (CSFOP) pour favoriser le dialogue et la concertation entre l’État et les syndicats des fonctionnaires.</w:t>
      </w:r>
    </w:p>
    <w:p w:rsidR="00000000" w:rsidRDefault="00000000">
      <w:pPr>
        <w:spacing w:after="240"/>
      </w:pPr>
      <w:r>
        <w:t>346.</w:t>
      </w:r>
      <w:r>
        <w:tab/>
        <w:t>Actuellement, au vu de l’arrêté n</w:t>
      </w:r>
      <w:r>
        <w:rPr>
          <w:vertAlign w:val="superscript"/>
        </w:rPr>
        <w:t>o</w:t>
      </w:r>
      <w:r>
        <w:t> 18536/2004 du 1</w:t>
      </w:r>
      <w:r>
        <w:rPr>
          <w:vertAlign w:val="superscript"/>
        </w:rPr>
        <w:t>er</w:t>
      </w:r>
      <w:r>
        <w:t xml:space="preserve"> octobre 2004, 20 syndicats des fonctionnaires sont représentés au sein du CSFOP.</w:t>
      </w:r>
    </w:p>
    <w:p w:rsidR="00000000" w:rsidRDefault="00000000">
      <w:pPr>
        <w:spacing w:after="240"/>
      </w:pPr>
      <w:r>
        <w:t>347.</w:t>
      </w:r>
      <w:r>
        <w:tab/>
        <w:t>On constate une tendance au regroupement en vue d’une coopération intersyndicale ayant abouti à la naissance de la Conférence des travailleurs malgaches (CTM).</w:t>
      </w:r>
    </w:p>
    <w:p w:rsidR="00000000" w:rsidRDefault="00000000">
      <w:pPr>
        <w:spacing w:after="240"/>
        <w:ind w:firstLine="567"/>
        <w:rPr>
          <w:b/>
          <w:bCs/>
        </w:rPr>
      </w:pPr>
      <w:r>
        <w:rPr>
          <w:b/>
          <w:bCs/>
        </w:rPr>
        <w:t>Les organisations d’employeurs</w:t>
      </w:r>
    </w:p>
    <w:p w:rsidR="00000000" w:rsidRDefault="00000000">
      <w:pPr>
        <w:spacing w:after="240"/>
      </w:pPr>
      <w:r>
        <w:t>348.</w:t>
      </w:r>
      <w:r>
        <w:tab/>
        <w:t xml:space="preserve">Les organisations patronales malagasy constituées par le Groupement des Entreprises de Madagascar (GEM) et le Fivondronan’ny Mpandraharaha Malagasy (FIV.MPA.MA) sont membres fondateurs de la Confédération d’organisations d’employeurs de l’océan Indien (COEOI) regroupant: </w:t>
      </w:r>
    </w:p>
    <w:p w:rsidR="00000000" w:rsidRDefault="00000000">
      <w:pPr>
        <w:spacing w:after="240"/>
        <w:ind w:firstLine="567"/>
      </w:pPr>
      <w:r>
        <w:t>a)</w:t>
      </w:r>
      <w:r>
        <w:tab/>
        <w:t>L’Organisation patronale des Comores (OPACO);</w:t>
      </w:r>
    </w:p>
    <w:p w:rsidR="00000000" w:rsidRDefault="00000000">
      <w:pPr>
        <w:spacing w:after="240"/>
        <w:ind w:firstLine="567"/>
      </w:pPr>
      <w:r>
        <w:t>b)</w:t>
      </w:r>
      <w:r>
        <w:tab/>
        <w:t>La Fédération d’employeurs de l’île Maurice;</w:t>
      </w:r>
    </w:p>
    <w:p w:rsidR="00000000" w:rsidRDefault="00000000">
      <w:pPr>
        <w:spacing w:after="240"/>
        <w:ind w:firstLine="567"/>
      </w:pPr>
      <w:r>
        <w:t>c)</w:t>
      </w:r>
      <w:r>
        <w:tab/>
        <w:t>Le Comité de liaison des intérêts économiques de la Réunion (COLIER);</w:t>
      </w:r>
    </w:p>
    <w:p w:rsidR="00000000" w:rsidRDefault="00000000">
      <w:pPr>
        <w:spacing w:after="240"/>
        <w:ind w:firstLine="567"/>
      </w:pPr>
      <w:r>
        <w:t>d)</w:t>
      </w:r>
      <w:r>
        <w:tab/>
        <w:t>La Fédération d’employeurs des Seychelles (FES).</w:t>
      </w:r>
    </w:p>
    <w:p w:rsidR="00000000" w:rsidRDefault="00000000">
      <w:pPr>
        <w:spacing w:after="240"/>
      </w:pPr>
      <w:r>
        <w:t>349.</w:t>
      </w:r>
      <w:r>
        <w:tab/>
        <w:t>La COEOI</w:t>
      </w:r>
      <w:r>
        <w:rPr>
          <w:i/>
          <w:iCs/>
        </w:rPr>
        <w:t xml:space="preserve"> </w:t>
      </w:r>
      <w:r>
        <w:t>est une structure sous-régionale des organisations d’employeurs les plus représentatives de l’océan Indien.</w:t>
      </w:r>
    </w:p>
    <w:p w:rsidR="00000000" w:rsidRDefault="00000000">
      <w:pPr>
        <w:spacing w:after="240"/>
      </w:pPr>
      <w:r>
        <w:t>350.</w:t>
      </w:r>
      <w:r>
        <w:tab/>
        <w:t xml:space="preserve">Au niveau régional, Madagascar est membre de la </w:t>
      </w:r>
      <w:r>
        <w:rPr>
          <w:iCs/>
        </w:rPr>
        <w:t>«</w:t>
      </w:r>
      <w:r>
        <w:rPr>
          <w:i/>
          <w:iCs/>
        </w:rPr>
        <w:t>Promotion du dialogue social en Afrique francophone</w:t>
      </w:r>
      <w:r>
        <w:rPr>
          <w:iCs/>
        </w:rPr>
        <w:t>»</w:t>
      </w:r>
      <w:r>
        <w:t xml:space="preserve"> (PRODIAF), programme mis en œuvre par le BIT et le Gouvernement malagasy en 1997.</w:t>
      </w:r>
    </w:p>
    <w:p w:rsidR="00000000" w:rsidRDefault="00000000">
      <w:pPr>
        <w:keepNext/>
        <w:spacing w:after="240"/>
        <w:jc w:val="center"/>
        <w:rPr>
          <w:b/>
          <w:bCs/>
        </w:rPr>
      </w:pPr>
      <w:bookmarkStart w:id="393" w:name="_Toc97531619"/>
      <w:bookmarkStart w:id="394" w:name="_Toc98224915"/>
      <w:r>
        <w:rPr>
          <w:b/>
          <w:bCs/>
        </w:rPr>
        <w:t>ARTICLE 23</w:t>
      </w:r>
      <w:bookmarkStart w:id="395" w:name="_Toc97531621"/>
      <w:bookmarkEnd w:id="393"/>
      <w:bookmarkEnd w:id="394"/>
    </w:p>
    <w:p w:rsidR="00000000" w:rsidRDefault="00000000">
      <w:pPr>
        <w:keepNext/>
        <w:spacing w:after="240"/>
        <w:jc w:val="center"/>
        <w:rPr>
          <w:b/>
          <w:bCs/>
        </w:rPr>
      </w:pPr>
      <w:r>
        <w:rPr>
          <w:b/>
          <w:bCs/>
        </w:rPr>
        <w:t>Protection de la famille</w:t>
      </w:r>
      <w:bookmarkEnd w:id="395"/>
      <w:r>
        <w:rPr>
          <w:b/>
          <w:bCs/>
        </w:rPr>
        <w:t xml:space="preserve"> et des enfants</w:t>
      </w:r>
    </w:p>
    <w:p w:rsidR="00000000" w:rsidRDefault="00000000">
      <w:pPr>
        <w:keepNext/>
        <w:spacing w:after="240"/>
        <w:ind w:firstLine="567"/>
        <w:rPr>
          <w:b/>
        </w:rPr>
      </w:pPr>
      <w:r>
        <w:rPr>
          <w:b/>
        </w:rPr>
        <w:t>Protection de la famille</w:t>
      </w:r>
    </w:p>
    <w:p w:rsidR="00000000" w:rsidRDefault="00000000">
      <w:pPr>
        <w:spacing w:after="240"/>
      </w:pPr>
      <w:r>
        <w:t>351.</w:t>
      </w:r>
      <w:r>
        <w:tab/>
        <w:t>L’évolution importante enregistrée depuis le dernier rapport est consacrée par la Constitution qui a fait siennes en son article 20 les dispositions de l’article 23-1 du Pacte.</w:t>
      </w:r>
    </w:p>
    <w:p w:rsidR="00000000" w:rsidRDefault="00000000">
      <w:pPr>
        <w:spacing w:after="240"/>
        <w:rPr>
          <w:i/>
          <w:iCs/>
        </w:rPr>
      </w:pPr>
      <w:r>
        <w:t>352.</w:t>
      </w:r>
      <w:r>
        <w:tab/>
        <w:t xml:space="preserve">L’article 20 de la Constitution stipule que </w:t>
      </w:r>
      <w:r>
        <w:rPr>
          <w:iCs/>
        </w:rPr>
        <w:t>«</w:t>
      </w:r>
      <w:r>
        <w:rPr>
          <w:i/>
          <w:iCs/>
        </w:rPr>
        <w:t>La famille, élément naturel et fondamental de la société, est protégée par l’État. Tout individu a le droit de fonder une famille et de transmettre en héritage ses biens personnels.</w:t>
      </w:r>
      <w:r>
        <w:rPr>
          <w:iCs/>
        </w:rPr>
        <w:t>».</w:t>
      </w:r>
    </w:p>
    <w:p w:rsidR="00000000" w:rsidRDefault="00000000">
      <w:pPr>
        <w:spacing w:after="240"/>
      </w:pPr>
      <w:bookmarkStart w:id="396" w:name="_Toc97531623"/>
      <w:r>
        <w:t>353.</w:t>
      </w:r>
      <w:r>
        <w:tab/>
        <w:t>Aux termes de l’article 21 de la Loi fondamentale, la famille bénéficie d’une protection étendue ainsi énoncée:</w:t>
      </w:r>
      <w:bookmarkEnd w:id="396"/>
    </w:p>
    <w:p w:rsidR="00000000" w:rsidRDefault="00000000">
      <w:pPr>
        <w:spacing w:after="240"/>
        <w:ind w:left="567"/>
      </w:pPr>
      <w:bookmarkStart w:id="397" w:name="_Toc97531624"/>
      <w:r>
        <w:t>«</w:t>
      </w:r>
      <w:r>
        <w:rPr>
          <w:i/>
          <w:iCs/>
        </w:rPr>
        <w:t>L’État assure la protection de la famille pour son libre épanouissement ainsi que celle de la mère et de l’enfant par une législation et par des institutions sociales appropriées.</w:t>
      </w:r>
      <w:r>
        <w:t>».</w:t>
      </w:r>
      <w:bookmarkEnd w:id="397"/>
    </w:p>
    <w:p w:rsidR="00000000" w:rsidRDefault="00000000">
      <w:pPr>
        <w:spacing w:after="240"/>
      </w:pPr>
      <w:r>
        <w:t>354.</w:t>
      </w:r>
      <w:r>
        <w:tab/>
        <w:t>L’innovation apportée par la loi n</w:t>
      </w:r>
      <w:r>
        <w:rPr>
          <w:vertAlign w:val="superscript"/>
        </w:rPr>
        <w:t>o</w:t>
      </w:r>
      <w:r>
        <w:t> 90</w:t>
      </w:r>
      <w:r>
        <w:noBreakHyphen/>
        <w:t>013 du 20 juillet 1990 modifiant l’ordonnance n</w:t>
      </w:r>
      <w:r>
        <w:rPr>
          <w:vertAlign w:val="superscript"/>
        </w:rPr>
        <w:t>o</w:t>
      </w:r>
      <w:r>
        <w:t> 62</w:t>
      </w:r>
      <w:r>
        <w:noBreakHyphen/>
        <w:t>089 du 1</w:t>
      </w:r>
      <w:r>
        <w:rPr>
          <w:vertAlign w:val="superscript"/>
        </w:rPr>
        <w:t>er</w:t>
      </w:r>
      <w:r>
        <w:t xml:space="preserve"> octobre 1962 relative au mariage met fin à la discrimination à l’égard de l’épouse tout au long de la vie commune.</w:t>
      </w:r>
    </w:p>
    <w:p w:rsidR="00000000" w:rsidRDefault="00000000">
      <w:pPr>
        <w:spacing w:after="240"/>
      </w:pPr>
      <w:bookmarkStart w:id="398" w:name="_Toc97531628"/>
      <w:r>
        <w:t>355.</w:t>
      </w:r>
      <w:r>
        <w:tab/>
        <w:t xml:space="preserve">Cette loi prévoit que les époux fixent d’un commun accord la résidence commune et </w:t>
      </w:r>
      <w:r>
        <w:rPr>
          <w:iCs/>
        </w:rPr>
        <w:t>«</w:t>
      </w:r>
      <w:r>
        <w:rPr>
          <w:i/>
          <w:iCs/>
        </w:rPr>
        <w:t>… en cas de survenance, au cours du mariage, de désaccords entre les époux sur le choix d’une résidence commune, l’époux le plus diligent peut saisir le juge des référés</w:t>
      </w:r>
      <w:r>
        <w:t>».</w:t>
      </w:r>
      <w:bookmarkEnd w:id="398"/>
    </w:p>
    <w:p w:rsidR="00000000" w:rsidRDefault="00000000">
      <w:pPr>
        <w:spacing w:after="240"/>
      </w:pPr>
      <w:bookmarkStart w:id="399" w:name="_Toc97531629"/>
      <w:r>
        <w:t>356.</w:t>
      </w:r>
      <w:r>
        <w:tab/>
        <w:t xml:space="preserve">Par ailleurs, l’article 57 stipule que: </w:t>
      </w:r>
      <w:r>
        <w:rPr>
          <w:iCs/>
        </w:rPr>
        <w:t>«</w:t>
      </w:r>
      <w:r>
        <w:rPr>
          <w:i/>
          <w:iCs/>
        </w:rPr>
        <w:t>chacun des époux peut donner à son conjoint mandat général ou particulier de les représenter</w:t>
      </w:r>
      <w:r>
        <w:rPr>
          <w:iCs/>
        </w:rPr>
        <w:t>»</w:t>
      </w:r>
      <w:r>
        <w:rPr>
          <w:i/>
          <w:iCs/>
        </w:rPr>
        <w:t>.</w:t>
      </w:r>
      <w:bookmarkEnd w:id="399"/>
    </w:p>
    <w:p w:rsidR="00000000" w:rsidRDefault="00000000">
      <w:pPr>
        <w:spacing w:after="240"/>
      </w:pPr>
      <w:bookmarkStart w:id="400" w:name="_Toc97531630"/>
      <w:r>
        <w:t>357.</w:t>
      </w:r>
      <w:r>
        <w:tab/>
        <w:t>L’amélioration apportée aux régimes matrimoniaux est consacrée par la loi n</w:t>
      </w:r>
      <w:r>
        <w:rPr>
          <w:vertAlign w:val="superscript"/>
        </w:rPr>
        <w:t>o</w:t>
      </w:r>
      <w:r>
        <w:t> 90</w:t>
      </w:r>
      <w:r>
        <w:noBreakHyphen/>
        <w:t xml:space="preserve">014 du 20 juillet 1990. Désormais, en cas de dissolution du mariage, le partage des biens de la communauté par moitié </w:t>
      </w:r>
      <w:bookmarkEnd w:id="400"/>
      <w:r>
        <w:t>est la règle.</w:t>
      </w:r>
    </w:p>
    <w:p w:rsidR="00000000" w:rsidRDefault="00000000">
      <w:pPr>
        <w:spacing w:after="240"/>
      </w:pPr>
      <w:r>
        <w:t>358.</w:t>
      </w:r>
      <w:r>
        <w:tab/>
        <w:t xml:space="preserve">Enfin, </w:t>
      </w:r>
      <w:bookmarkStart w:id="401" w:name="_Toc97531631"/>
      <w:r>
        <w:t>sur le plan pénal, les époux convaincus d’avoir commis le délit d’adultère sont punis de mêmes peines prévues à l’article 357 du Code pénal et la loi n</w:t>
      </w:r>
      <w:r>
        <w:rPr>
          <w:vertAlign w:val="superscript"/>
        </w:rPr>
        <w:t>o</w:t>
      </w:r>
      <w:r>
        <w:t> 96-009 du 9 août 1996.</w:t>
      </w:r>
      <w:bookmarkEnd w:id="401"/>
    </w:p>
    <w:p w:rsidR="00000000" w:rsidRDefault="00000000">
      <w:pPr>
        <w:spacing w:after="240"/>
      </w:pPr>
      <w:bookmarkStart w:id="402" w:name="_Toc97531632"/>
      <w:r>
        <w:t>359.</w:t>
      </w:r>
      <w:r>
        <w:tab/>
        <w:t>Dans le souci de promouvoir l’égalité des droits et responsabilités des époux, un document préconisant l’</w:t>
      </w:r>
      <w:r>
        <w:rPr>
          <w:iCs/>
        </w:rPr>
        <w:t>«</w:t>
      </w:r>
      <w:r>
        <w:rPr>
          <w:i/>
          <w:iCs/>
        </w:rPr>
        <w:t>Égalité de l’homme et de la femme pour le développement</w:t>
      </w:r>
      <w:r>
        <w:rPr>
          <w:iCs/>
        </w:rPr>
        <w:t>»</w:t>
      </w:r>
      <w:r>
        <w:rPr>
          <w:i/>
          <w:iCs/>
        </w:rPr>
        <w:t xml:space="preserve"> </w:t>
      </w:r>
      <w:r>
        <w:t>fut élaboré par l’État malagasy avec le concours du PNUD</w:t>
      </w:r>
      <w:r>
        <w:rPr>
          <w:color w:val="000000"/>
        </w:rPr>
        <w:t>.</w:t>
      </w:r>
    </w:p>
    <w:p w:rsidR="00000000" w:rsidRDefault="00000000">
      <w:pPr>
        <w:spacing w:after="240"/>
        <w:ind w:firstLine="567"/>
        <w:rPr>
          <w:b/>
          <w:bCs/>
        </w:rPr>
      </w:pPr>
      <w:r>
        <w:rPr>
          <w:b/>
          <w:bCs/>
        </w:rPr>
        <w:t>Protection des enfants</w:t>
      </w:r>
    </w:p>
    <w:p w:rsidR="00000000" w:rsidRDefault="00000000">
      <w:pPr>
        <w:spacing w:after="240"/>
      </w:pPr>
      <w:r>
        <w:t>360.</w:t>
      </w:r>
      <w:r>
        <w:tab/>
        <w:t>Les innovations réalisées se traduisent par la ratification des instruments internationaux relatifs aux droits de l’enfant.</w:t>
      </w:r>
    </w:p>
    <w:p w:rsidR="00000000" w:rsidRDefault="00000000">
      <w:pPr>
        <w:spacing w:after="240"/>
      </w:pPr>
      <w:r>
        <w:t>361.</w:t>
      </w:r>
      <w:r>
        <w:tab/>
        <w:t>Madagascar a ratifié:</w:t>
      </w:r>
    </w:p>
    <w:p w:rsidR="00000000" w:rsidRDefault="00000000">
      <w:pPr>
        <w:spacing w:after="240"/>
        <w:ind w:firstLine="567"/>
      </w:pPr>
      <w:r>
        <w:t>a)</w:t>
      </w:r>
      <w:r>
        <w:tab/>
        <w:t>La Convention relative aux droits de l’enfant le 19 mars 1991;</w:t>
      </w:r>
    </w:p>
    <w:p w:rsidR="00000000" w:rsidRDefault="00000000">
      <w:pPr>
        <w:spacing w:after="240"/>
        <w:ind w:firstLine="567"/>
      </w:pPr>
      <w:r>
        <w:t>b)</w:t>
      </w:r>
      <w:r>
        <w:tab/>
        <w:t>La Charte africaine des droits et du bien-être de l’enfant le 17 janvier 2005;</w:t>
      </w:r>
    </w:p>
    <w:p w:rsidR="00000000" w:rsidRDefault="00000000">
      <w:pPr>
        <w:spacing w:after="240"/>
        <w:ind w:firstLine="567"/>
      </w:pPr>
      <w:r>
        <w:t>c)</w:t>
      </w:r>
      <w:r>
        <w:tab/>
        <w:t>Le protocole facultatif à la Convention relative aux droits de l’enfant concernant l’implication des enfants dans les conflits armés le 2 février 2004;</w:t>
      </w:r>
    </w:p>
    <w:p w:rsidR="00000000" w:rsidRDefault="00000000">
      <w:pPr>
        <w:spacing w:after="240"/>
        <w:ind w:firstLine="567"/>
      </w:pPr>
      <w:r>
        <w:t>d)</w:t>
      </w:r>
      <w:r>
        <w:tab/>
        <w:t>Le protocole facultatif à la Convention relative aux droits de l’enfant concernant la vente d’enfants, la prostitution des enfants et la pornographie mettant en scène des enfant le 2 février 2004.</w:t>
      </w:r>
    </w:p>
    <w:p w:rsidR="00000000" w:rsidRDefault="00000000">
      <w:pPr>
        <w:spacing w:after="240"/>
      </w:pPr>
      <w:r>
        <w:t>362.</w:t>
      </w:r>
      <w:r>
        <w:tab/>
        <w:t>Actuellement, des efforts de réformes législatives sont effectués en vue de donner plein effet aux différentes conventions ratifiées.</w:t>
      </w:r>
      <w:bookmarkEnd w:id="402"/>
    </w:p>
    <w:p w:rsidR="00000000" w:rsidRDefault="00000000">
      <w:pPr>
        <w:keepNext/>
        <w:spacing w:after="240"/>
        <w:jc w:val="center"/>
        <w:rPr>
          <w:b/>
          <w:bCs/>
        </w:rPr>
      </w:pPr>
      <w:bookmarkStart w:id="403" w:name="_Toc98224916"/>
      <w:r>
        <w:rPr>
          <w:b/>
          <w:bCs/>
        </w:rPr>
        <w:t>ARTICLE 24</w:t>
      </w:r>
      <w:bookmarkEnd w:id="403"/>
    </w:p>
    <w:p w:rsidR="00000000" w:rsidRDefault="00000000">
      <w:pPr>
        <w:keepNext/>
        <w:spacing w:after="240"/>
        <w:jc w:val="center"/>
        <w:rPr>
          <w:b/>
          <w:bCs/>
        </w:rPr>
      </w:pPr>
      <w:r>
        <w:rPr>
          <w:b/>
          <w:bCs/>
        </w:rPr>
        <w:t>Droits de l’enfant</w:t>
      </w:r>
    </w:p>
    <w:p w:rsidR="00000000" w:rsidRDefault="00000000">
      <w:pPr>
        <w:keepNext/>
        <w:spacing w:after="240"/>
        <w:jc w:val="center"/>
        <w:rPr>
          <w:b/>
          <w:bCs/>
        </w:rPr>
      </w:pPr>
      <w:r>
        <w:rPr>
          <w:b/>
          <w:bCs/>
        </w:rPr>
        <w:t>Administration de la justice pour mineurs</w:t>
      </w:r>
    </w:p>
    <w:p w:rsidR="00000000" w:rsidRDefault="00000000">
      <w:pPr>
        <w:spacing w:after="240"/>
        <w:ind w:firstLine="567"/>
        <w:rPr>
          <w:b/>
          <w:bCs/>
        </w:rPr>
      </w:pPr>
      <w:r>
        <w:rPr>
          <w:b/>
          <w:bCs/>
        </w:rPr>
        <w:t>Droits de l’enfant</w:t>
      </w:r>
    </w:p>
    <w:p w:rsidR="00000000" w:rsidRDefault="00000000">
      <w:pPr>
        <w:spacing w:after="240"/>
      </w:pPr>
      <w:r>
        <w:t>363.</w:t>
      </w:r>
      <w:r>
        <w:tab/>
        <w:t xml:space="preserve">Des nouvelles lois renforcent la protection des droits de l’enfant à Madagascar. </w:t>
      </w:r>
    </w:p>
    <w:p w:rsidR="00000000" w:rsidRDefault="00000000">
      <w:pPr>
        <w:spacing w:after="240"/>
        <w:rPr>
          <w:i/>
          <w:iCs/>
        </w:rPr>
      </w:pPr>
      <w:r>
        <w:t>364.</w:t>
      </w:r>
      <w:r>
        <w:tab/>
        <w:t>La Charte africaine des droits et du bien</w:t>
      </w:r>
      <w:r>
        <w:noBreakHyphen/>
        <w:t xml:space="preserve">être de l’enfant, en son article 3 stipule que </w:t>
      </w:r>
      <w:r>
        <w:rPr>
          <w:iCs/>
        </w:rPr>
        <w:t>«</w:t>
      </w:r>
      <w:r>
        <w:rPr>
          <w:i/>
          <w:iCs/>
        </w:rPr>
        <w:t>tout enfant a droit de jouir de tous les droits et libertés reconnus et garantis par la présente Charte, sans distinction de race, de groupe ethnique, de couleur, de sexe, de langue, de religion, d’appartenance politique ou autre opinion, d’origine nationale et sociale, de fortune, de naissance ou autre statut, et sans distinction du même ordre pour ses parents ou son tuteur légal</w:t>
      </w:r>
      <w:r>
        <w:rPr>
          <w:iCs/>
        </w:rPr>
        <w:t>»</w:t>
      </w:r>
      <w:r>
        <w:rPr>
          <w:i/>
          <w:iCs/>
        </w:rPr>
        <w:t>.</w:t>
      </w:r>
    </w:p>
    <w:p w:rsidR="00000000" w:rsidRDefault="00000000">
      <w:pPr>
        <w:spacing w:after="240"/>
      </w:pPr>
      <w:r>
        <w:t>365.</w:t>
      </w:r>
      <w:r>
        <w:tab/>
        <w:t>Depuis la rédaction du second rapport, des dispositions nouvelles, conformes aux recommandations du Comité des droits de l’enfant dont la loi n</w:t>
      </w:r>
      <w:r>
        <w:rPr>
          <w:vertAlign w:val="superscript"/>
        </w:rPr>
        <w:t>o</w:t>
      </w:r>
      <w:r>
        <w:t> 2004</w:t>
      </w:r>
      <w:r>
        <w:noBreakHyphen/>
        <w:t xml:space="preserve">004 du 26 juillet 2004, portant orientation générale du système d’éducation, d’enseignement et de formation à Madagascar, couvrent tous les domaines de l’éducation et de la formation. </w:t>
      </w:r>
    </w:p>
    <w:p w:rsidR="00000000" w:rsidRDefault="00000000">
      <w:pPr>
        <w:spacing w:after="240"/>
      </w:pPr>
      <w:r>
        <w:t>366.</w:t>
      </w:r>
      <w:r>
        <w:tab/>
        <w:t>L’enseignement est accessible à tout enfant, sans discrimination fondée sur la race, la couleur, le sexe, la langue, la religion, l’origine nationale ou sociale, la fortune ou la naissance, a droit, de la part de sa famille, de la société et de l’État, aux mesures de protection qu’exige sa condition de mineur. </w:t>
      </w:r>
    </w:p>
    <w:p w:rsidR="00000000" w:rsidRDefault="00000000">
      <w:pPr>
        <w:spacing w:after="240"/>
      </w:pPr>
      <w:r>
        <w:t>367.</w:t>
      </w:r>
      <w:r>
        <w:tab/>
        <w:t>La Constitution malagasy reconnaît à tout enfant le droit à l’instruction et à l’éducation sous la responsabilité des parents dans le respect de leur liberté de choix.</w:t>
      </w:r>
    </w:p>
    <w:p w:rsidR="00000000" w:rsidRDefault="00000000">
      <w:pPr>
        <w:keepNext/>
        <w:spacing w:after="240"/>
        <w:ind w:firstLine="567"/>
        <w:rPr>
          <w:b/>
          <w:bCs/>
        </w:rPr>
      </w:pPr>
      <w:r>
        <w:rPr>
          <w:b/>
          <w:bCs/>
        </w:rPr>
        <w:t>Secteur éducation</w:t>
      </w:r>
    </w:p>
    <w:p w:rsidR="00000000" w:rsidRDefault="00000000">
      <w:pPr>
        <w:spacing w:after="240"/>
        <w:rPr>
          <w:color w:val="333333"/>
        </w:rPr>
      </w:pPr>
      <w:r>
        <w:rPr>
          <w:color w:val="333333"/>
        </w:rPr>
        <w:t>368.</w:t>
      </w:r>
      <w:r>
        <w:rPr>
          <w:color w:val="333333"/>
        </w:rPr>
        <w:tab/>
        <w:t xml:space="preserve">La scolarisation étant </w:t>
      </w:r>
      <w:r>
        <w:rPr>
          <w:color w:val="000000"/>
        </w:rPr>
        <w:t>un système</w:t>
      </w:r>
      <w:r>
        <w:rPr>
          <w:color w:val="333333"/>
        </w:rPr>
        <w:t xml:space="preserve"> efficace en faveur de la protection des mineurs, les efforts du Ministère de l’éducation nationale et de la recherche scientifique sont axés sur la mise en œuvre de la politique de l’«éducation pour tous» dont les objectifs sont:</w:t>
      </w:r>
    </w:p>
    <w:p w:rsidR="00000000" w:rsidRDefault="00000000">
      <w:pPr>
        <w:spacing w:after="240"/>
        <w:ind w:firstLine="567"/>
        <w:rPr>
          <w:color w:val="000000"/>
        </w:rPr>
      </w:pPr>
      <w:r>
        <w:rPr>
          <w:color w:val="333333"/>
        </w:rPr>
        <w:t>a)</w:t>
      </w:r>
      <w:r>
        <w:rPr>
          <w:color w:val="333333"/>
        </w:rPr>
        <w:tab/>
        <w:t>La scolarisation universelle au niveau primaire (1</w:t>
      </w:r>
      <w:r>
        <w:rPr>
          <w:color w:val="333333"/>
          <w:vertAlign w:val="superscript"/>
        </w:rPr>
        <w:t>er</w:t>
      </w:r>
      <w:r>
        <w:rPr>
          <w:color w:val="333333"/>
        </w:rPr>
        <w:t xml:space="preserve"> cycle de l’éducation fondamentale avec </w:t>
      </w:r>
      <w:r>
        <w:rPr>
          <w:color w:val="000000"/>
        </w:rPr>
        <w:t>un taux d’achèvement de 100 % pour 2015);</w:t>
      </w:r>
    </w:p>
    <w:p w:rsidR="00000000" w:rsidRDefault="00000000">
      <w:pPr>
        <w:spacing w:after="240"/>
        <w:ind w:firstLine="567"/>
        <w:rPr>
          <w:color w:val="333333"/>
        </w:rPr>
      </w:pPr>
      <w:r>
        <w:rPr>
          <w:color w:val="000000"/>
        </w:rPr>
        <w:t>b)</w:t>
      </w:r>
      <w:r>
        <w:rPr>
          <w:color w:val="000000"/>
        </w:rPr>
        <w:tab/>
        <w:t>L’accroissement de l’accès et de</w:t>
      </w:r>
      <w:r>
        <w:rPr>
          <w:color w:val="333333"/>
        </w:rPr>
        <w:t xml:space="preserve"> la réussite au second cycle de l’éducation fondamentale en prévoyant un doublement de l’effectif des élèves;</w:t>
      </w:r>
    </w:p>
    <w:p w:rsidR="00000000" w:rsidRDefault="00000000">
      <w:pPr>
        <w:spacing w:after="240"/>
        <w:ind w:firstLine="567"/>
        <w:rPr>
          <w:color w:val="000000"/>
        </w:rPr>
      </w:pPr>
      <w:r>
        <w:rPr>
          <w:color w:val="333333"/>
        </w:rPr>
        <w:t>c)</w:t>
      </w:r>
      <w:r>
        <w:rPr>
          <w:color w:val="333333"/>
        </w:rPr>
        <w:tab/>
        <w:t>Le renforcement de la capacité d’accueil des lycées et de leur performance.</w:t>
      </w:r>
    </w:p>
    <w:p w:rsidR="00000000" w:rsidRDefault="00000000">
      <w:pPr>
        <w:keepNext/>
        <w:spacing w:after="240"/>
        <w:ind w:firstLine="567"/>
        <w:rPr>
          <w:b/>
          <w:bCs/>
          <w:color w:val="333333"/>
        </w:rPr>
      </w:pPr>
      <w:r>
        <w:rPr>
          <w:b/>
          <w:bCs/>
          <w:color w:val="333333"/>
        </w:rPr>
        <w:t>Mesures législatives</w:t>
      </w:r>
    </w:p>
    <w:p w:rsidR="00000000" w:rsidRDefault="00000000">
      <w:pPr>
        <w:spacing w:after="240"/>
        <w:rPr>
          <w:color w:val="333333"/>
        </w:rPr>
      </w:pPr>
      <w:r>
        <w:rPr>
          <w:color w:val="333333"/>
        </w:rPr>
        <w:t>369.</w:t>
      </w:r>
      <w:r>
        <w:rPr>
          <w:color w:val="333333"/>
        </w:rPr>
        <w:tab/>
        <w:t xml:space="preserve">La loi </w:t>
      </w:r>
      <w:r>
        <w:t>n</w:t>
      </w:r>
      <w:r>
        <w:rPr>
          <w:vertAlign w:val="superscript"/>
        </w:rPr>
        <w:t>o</w:t>
      </w:r>
      <w:r>
        <w:t> </w:t>
      </w:r>
      <w:r>
        <w:rPr>
          <w:color w:val="333333"/>
        </w:rPr>
        <w:t>2004</w:t>
      </w:r>
      <w:r>
        <w:rPr>
          <w:color w:val="333333"/>
        </w:rPr>
        <w:noBreakHyphen/>
        <w:t>004 du 26 juillet 2004, portant orientation générale du système d’éducation, d’enseignement et de formation à Madagascar, accorde une place importante à l’éducation non formelle caractérisée par une formation professionnelle des enfants déscolarisés et non scolarisés.</w:t>
      </w:r>
    </w:p>
    <w:p w:rsidR="00000000" w:rsidRDefault="00000000">
      <w:pPr>
        <w:spacing w:after="240"/>
        <w:rPr>
          <w:color w:val="333333"/>
        </w:rPr>
      </w:pPr>
      <w:r>
        <w:rPr>
          <w:color w:val="333333"/>
        </w:rPr>
        <w:t>370.</w:t>
      </w:r>
      <w:r>
        <w:rPr>
          <w:color w:val="333333"/>
        </w:rPr>
        <w:tab/>
        <w:t>L’éducation à la citoyenneté et au civisme (ECC) a pour but de faire acquérir aux enfants, les compétences de vie nécessaires leur permettant de se protéger eux</w:t>
      </w:r>
      <w:r>
        <w:rPr>
          <w:color w:val="333333"/>
        </w:rPr>
        <w:noBreakHyphen/>
        <w:t>mêmes des dangers qui les menacent.</w:t>
      </w:r>
    </w:p>
    <w:p w:rsidR="00000000" w:rsidRDefault="00000000">
      <w:pPr>
        <w:spacing w:after="240"/>
      </w:pPr>
      <w:r>
        <w:t>371.</w:t>
      </w:r>
      <w:r>
        <w:tab/>
        <w:t>Dans le but d’assurer une meilleure protection des droits de l’enfant, Madagascar a adopté les Conventions de l’OIT n</w:t>
      </w:r>
      <w:r>
        <w:rPr>
          <w:vertAlign w:val="superscript"/>
        </w:rPr>
        <w:t>os</w:t>
      </w:r>
      <w:r>
        <w:t> 138 et 182 respectivement fixant l’âge minimum d’embauche et interdisant les pratiques des pires formes de travail des enfants.</w:t>
      </w:r>
    </w:p>
    <w:p w:rsidR="00000000" w:rsidRDefault="00000000">
      <w:pPr>
        <w:keepNext/>
        <w:spacing w:after="240"/>
        <w:ind w:firstLine="567"/>
      </w:pPr>
      <w:r>
        <w:rPr>
          <w:b/>
          <w:bCs/>
        </w:rPr>
        <w:t>Mesures administratives</w:t>
      </w:r>
    </w:p>
    <w:p w:rsidR="00000000" w:rsidRDefault="00000000">
      <w:pPr>
        <w:spacing w:after="240"/>
      </w:pPr>
      <w:r>
        <w:t>372.</w:t>
      </w:r>
      <w:r>
        <w:tab/>
        <w:t>Le Gouvernement a déployé des efforts pour réaliser sa politique d’éducation, notamment par:</w:t>
      </w:r>
    </w:p>
    <w:p w:rsidR="00000000" w:rsidRDefault="00000000">
      <w:pPr>
        <w:spacing w:after="240"/>
        <w:ind w:firstLine="567"/>
      </w:pPr>
      <w:r>
        <w:t>a)</w:t>
      </w:r>
      <w:r>
        <w:tab/>
        <w:t>La prise en charge de la totalité des droits d’inscriptions dans les écoles publiques;</w:t>
      </w:r>
    </w:p>
    <w:p w:rsidR="00000000" w:rsidRDefault="00000000">
      <w:pPr>
        <w:spacing w:after="240"/>
        <w:ind w:firstLine="567"/>
      </w:pPr>
      <w:r>
        <w:t>b)</w:t>
      </w:r>
      <w:r>
        <w:tab/>
        <w:t>La contribution aux droits d’inscription dans les écoles privées;</w:t>
      </w:r>
    </w:p>
    <w:p w:rsidR="00000000" w:rsidRDefault="00000000">
      <w:pPr>
        <w:spacing w:after="240"/>
        <w:ind w:firstLine="567"/>
      </w:pPr>
      <w:r>
        <w:t>c)</w:t>
      </w:r>
      <w:r>
        <w:tab/>
        <w:t>La distribution de kits scolaires pour les enfants de l’enseignement public et privé;</w:t>
      </w:r>
    </w:p>
    <w:p w:rsidR="00000000" w:rsidRDefault="00000000">
      <w:pPr>
        <w:spacing w:after="240"/>
        <w:ind w:firstLine="567"/>
      </w:pPr>
      <w:r>
        <w:t>d)</w:t>
      </w:r>
      <w:r>
        <w:tab/>
        <w:t>La distribution de kits pédagogiques pour les enseignants de l’enseignement public et privé;</w:t>
      </w:r>
    </w:p>
    <w:p w:rsidR="00000000" w:rsidRDefault="00000000">
      <w:pPr>
        <w:spacing w:after="240"/>
        <w:ind w:firstLine="567"/>
      </w:pPr>
      <w:r>
        <w:t>e)</w:t>
      </w:r>
      <w:r>
        <w:tab/>
        <w:t>La motivation des enseignants par l’octroi d’indemnités d’éloignement et d’indemnités de craie;</w:t>
      </w:r>
    </w:p>
    <w:p w:rsidR="00000000" w:rsidRDefault="00000000">
      <w:pPr>
        <w:spacing w:after="240"/>
        <w:ind w:firstLine="567"/>
      </w:pPr>
      <w:r>
        <w:t>f)</w:t>
      </w:r>
      <w:r>
        <w:tab/>
        <w:t>La distribution de manuels scolaires.</w:t>
      </w:r>
    </w:p>
    <w:p w:rsidR="00000000" w:rsidRDefault="00000000">
      <w:pPr>
        <w:spacing w:after="240"/>
        <w:rPr>
          <w:color w:val="000000"/>
        </w:rPr>
      </w:pPr>
      <w:r>
        <w:t>373.</w:t>
      </w:r>
      <w:r>
        <w:tab/>
        <w:t xml:space="preserve">Ces mesures devraient inciter les parents à scolariser les enfants et promouvoir l’assiduité </w:t>
      </w:r>
      <w:r>
        <w:rPr>
          <w:color w:val="000000"/>
        </w:rPr>
        <w:t xml:space="preserve">à </w:t>
      </w:r>
      <w:r>
        <w:t>l’école.</w:t>
      </w:r>
    </w:p>
    <w:p w:rsidR="00000000" w:rsidRDefault="00000000">
      <w:pPr>
        <w:spacing w:after="240"/>
      </w:pPr>
      <w:r>
        <w:t>374.</w:t>
      </w:r>
      <w:r>
        <w:tab/>
        <w:t xml:space="preserve">D’autres mesures techniques comme l’application à terme de la méthode dite </w:t>
      </w:r>
      <w:r>
        <w:rPr>
          <w:iCs/>
        </w:rPr>
        <w:t>«</w:t>
      </w:r>
      <w:r>
        <w:rPr>
          <w:i/>
          <w:iCs/>
        </w:rPr>
        <w:t>Approche par les Compétences</w:t>
      </w:r>
      <w:r>
        <w:rPr>
          <w:iCs/>
        </w:rPr>
        <w:t>»</w:t>
      </w:r>
      <w:r>
        <w:t xml:space="preserve"> ont pour but d’augmenter le taux d’achèvement des études au niveau du secteur éducatif malagasy.</w:t>
      </w:r>
    </w:p>
    <w:p w:rsidR="00000000" w:rsidRDefault="00000000">
      <w:pPr>
        <w:spacing w:after="240"/>
      </w:pPr>
      <w:r>
        <w:t>375.</w:t>
      </w:r>
      <w:r>
        <w:tab/>
        <w:t xml:space="preserve">En dehors du système éducatif, des programmes interministériels sont initiés en faveur de la protection de l’enfant: la lutte contre le travail des enfants, la lutte contre les pires formes de travail des enfants, la préparation d’un nouveau texte sur l’adoption, ainsi que la lutte contre l’esclavage humain et le trafic des personnes. </w:t>
      </w:r>
    </w:p>
    <w:p w:rsidR="00000000" w:rsidRDefault="00000000">
      <w:pPr>
        <w:spacing w:after="240"/>
        <w:rPr>
          <w:color w:val="333333"/>
        </w:rPr>
      </w:pPr>
      <w:r>
        <w:t>376.</w:t>
      </w:r>
      <w:r>
        <w:tab/>
        <w:t>Pour préserver un avenir décent aux générations, l</w:t>
      </w:r>
      <w:r>
        <w:rPr>
          <w:color w:val="333333"/>
        </w:rPr>
        <w:t>e Ministère de la fonction publique, du travail et des lois sociales conjointement avec le Ministère de la population, de la protection sociale et des loisirs créent des centres d’éducation et d’apprentissage destinés aux enfants des rues, aux enfants déscolarisés et non scolarisés ainsi qu’aux enfants victimes de maltraitance.</w:t>
      </w:r>
    </w:p>
    <w:p w:rsidR="00000000" w:rsidRDefault="00000000">
      <w:pPr>
        <w:keepNext/>
        <w:spacing w:after="240"/>
        <w:ind w:firstLine="567"/>
        <w:rPr>
          <w:b/>
          <w:bCs/>
        </w:rPr>
      </w:pPr>
      <w:r>
        <w:rPr>
          <w:b/>
          <w:bCs/>
        </w:rPr>
        <w:t>Administration de la justice pour mineurs</w:t>
      </w:r>
    </w:p>
    <w:p w:rsidR="00000000" w:rsidRDefault="00000000">
      <w:pPr>
        <w:spacing w:after="240"/>
      </w:pPr>
      <w:r>
        <w:t>377.</w:t>
      </w:r>
      <w:r>
        <w:tab/>
        <w:t>Faisant suite aux recommandations du Comité des droits de l’enfant (CRCC/15/Add.218 du 27 octobre 2003), les observations ci</w:t>
      </w:r>
      <w:r>
        <w:noBreakHyphen/>
        <w:t>après méritent d’être soulignées.</w:t>
      </w:r>
    </w:p>
    <w:p w:rsidR="00000000" w:rsidRDefault="00000000">
      <w:pPr>
        <w:spacing w:after="240"/>
      </w:pPr>
      <w:r>
        <w:t>378.</w:t>
      </w:r>
      <w:r>
        <w:tab/>
        <w:t>L’article 40 de la Convention relative aux droits de l’enfant énonce que «</w:t>
      </w:r>
      <w:r>
        <w:rPr>
          <w:i/>
          <w:iCs/>
        </w:rPr>
        <w:t>tout enfant suspecté, accusé ou reconnu coupable d’avoir commis un délit a droit à un traitement qui favorise son sens de la dignité et de la valeur personnelle, qui tienne compte de son âge et qui vise sa réintégration dans la société. L’enfant a droit à des garanties fondamentales, ainsi qu’à une assistance juridique ou à toute autre assistance appropriée pour sa défense. La procédure judiciaire et le placement en institution doivent être évités chaque fois que cela est possible</w:t>
      </w:r>
      <w:r>
        <w:t xml:space="preserve">». </w:t>
      </w:r>
    </w:p>
    <w:p w:rsidR="00000000" w:rsidRDefault="00000000">
      <w:pPr>
        <w:spacing w:after="240"/>
      </w:pPr>
      <w:r>
        <w:t>379.</w:t>
      </w:r>
      <w:r>
        <w:tab/>
        <w:t xml:space="preserve">Par ailleurs, </w:t>
      </w:r>
      <w:r>
        <w:rPr>
          <w:iCs/>
        </w:rPr>
        <w:t>«</w:t>
      </w:r>
      <w:r>
        <w:rPr>
          <w:i/>
          <w:iCs/>
        </w:rPr>
        <w:t>l’ensemble des règles minima des Nations Unies concernant l’administration de la justice pour mineurs (Règles de Beijing) de 1985 notamment sur l’âge de la responsabilité pénale, sur les droits devant être reconnus aux mineurs tout au long de la procédure, sur les instructions et poursuites par le recours aux moyens extrajudiciaires, sur le jugement et du règlement des affaires et également</w:t>
      </w:r>
      <w:r>
        <w:t xml:space="preserve"> </w:t>
      </w:r>
      <w:r>
        <w:rPr>
          <w:i/>
          <w:iCs/>
        </w:rPr>
        <w:t>concernant le traitement en milieu ouvert et celui en institution</w:t>
      </w:r>
      <w:r>
        <w:t>».</w:t>
      </w:r>
    </w:p>
    <w:p w:rsidR="00000000" w:rsidRDefault="00000000">
      <w:pPr>
        <w:spacing w:after="240"/>
      </w:pPr>
      <w:r>
        <w:t>380.</w:t>
      </w:r>
      <w:r>
        <w:tab/>
        <w:t>Ces textes internationaux prévoient que tout au long de la procédure, un ensemble de droits qu’il faut accorder à l’enfant pour garantir un procès équitable et un traitement adapté à son âge. Ils préconisent aussi une procédure spécifique pour les mineurs, laquelle dans la mesure du possible sera extrajudiciaire. En tout état de cause, doivent être observées les règles sur:</w:t>
      </w:r>
    </w:p>
    <w:p w:rsidR="00000000" w:rsidRDefault="00000000">
      <w:pPr>
        <w:spacing w:after="240"/>
        <w:ind w:firstLine="567"/>
      </w:pPr>
      <w:r>
        <w:t>a)</w:t>
      </w:r>
      <w:r>
        <w:tab/>
        <w:t>La présomption d’innocence;</w:t>
      </w:r>
    </w:p>
    <w:p w:rsidR="00000000" w:rsidRDefault="00000000">
      <w:pPr>
        <w:spacing w:after="240"/>
        <w:ind w:firstLine="567"/>
      </w:pPr>
      <w:r>
        <w:t>b)</w:t>
      </w:r>
      <w:r>
        <w:tab/>
        <w:t>Le droit à être informé des charges;</w:t>
      </w:r>
    </w:p>
    <w:p w:rsidR="00000000" w:rsidRDefault="00000000">
      <w:pPr>
        <w:spacing w:after="240"/>
        <w:ind w:firstLine="567"/>
      </w:pPr>
      <w:r>
        <w:t>c)</w:t>
      </w:r>
      <w:r>
        <w:tab/>
        <w:t>Le droit à l’assistance d’un conseil;</w:t>
      </w:r>
    </w:p>
    <w:p w:rsidR="00000000" w:rsidRDefault="00000000">
      <w:pPr>
        <w:spacing w:after="240"/>
        <w:ind w:firstLine="567"/>
      </w:pPr>
      <w:r>
        <w:t>d)</w:t>
      </w:r>
      <w:r>
        <w:tab/>
        <w:t>Le droit à la présence des parents ou du tuteur;</w:t>
      </w:r>
    </w:p>
    <w:p w:rsidR="00000000" w:rsidRDefault="00000000">
      <w:pPr>
        <w:spacing w:after="240"/>
        <w:ind w:firstLine="567"/>
      </w:pPr>
      <w:r>
        <w:t>e)</w:t>
      </w:r>
      <w:r>
        <w:tab/>
        <w:t>Le droit d’interroger ou de confronter les témoins;</w:t>
      </w:r>
    </w:p>
    <w:p w:rsidR="00000000" w:rsidRDefault="00000000">
      <w:pPr>
        <w:spacing w:after="240"/>
        <w:ind w:firstLine="567"/>
      </w:pPr>
      <w:r>
        <w:t>f)</w:t>
      </w:r>
      <w:r>
        <w:tab/>
        <w:t>Le droit à un double degré de juridiction.</w:t>
      </w:r>
    </w:p>
    <w:p w:rsidR="00000000" w:rsidRDefault="00000000">
      <w:pPr>
        <w:spacing w:after="240"/>
      </w:pPr>
      <w:r>
        <w:t>381.</w:t>
      </w:r>
      <w:r>
        <w:tab/>
        <w:t>Pour l’application de ce principe, l’ordonnance n</w:t>
      </w:r>
      <w:r>
        <w:rPr>
          <w:vertAlign w:val="superscript"/>
        </w:rPr>
        <w:t>o</w:t>
      </w:r>
      <w:r>
        <w:t xml:space="preserve"> 62-038 du 19 septembre 1962 sur la protection de l’enfance prévoit des dispositions spécifiques pour les mineurs impliqués dans une procédure pénale. </w:t>
      </w:r>
    </w:p>
    <w:p w:rsidR="00000000" w:rsidRDefault="00000000">
      <w:pPr>
        <w:spacing w:after="240"/>
      </w:pPr>
      <w:r>
        <w:t>382.</w:t>
      </w:r>
      <w:r>
        <w:tab/>
        <w:t>Cette ordonnance distingue trois situations pour déterminer la responsabilité pénale du mineur.</w:t>
      </w:r>
    </w:p>
    <w:p w:rsidR="00000000" w:rsidRDefault="00000000">
      <w:pPr>
        <w:spacing w:after="240"/>
      </w:pPr>
      <w:r>
        <w:t>383.</w:t>
      </w:r>
      <w:r>
        <w:tab/>
        <w:t>L’enfant âgé moins de 13 ans est pénalement irresponsable.</w:t>
      </w:r>
    </w:p>
    <w:p w:rsidR="00000000" w:rsidRDefault="00000000">
      <w:pPr>
        <w:spacing w:after="240"/>
      </w:pPr>
      <w:r>
        <w:t>384.</w:t>
      </w:r>
      <w:r>
        <w:tab/>
        <w:t>L’enfant âgé de 13 à 16 ans peut être déclaré coupable sans être totalement responsable c’est-à-dire sa responsabilité pénale est susceptible d’être atténuée en fonction de ses facultés de discernement, du milieu dans lequel il évolue, de son niveau d’instruction.</w:t>
      </w:r>
    </w:p>
    <w:p w:rsidR="00000000" w:rsidRDefault="00000000">
      <w:pPr>
        <w:spacing w:after="240"/>
      </w:pPr>
      <w:r>
        <w:t>385.</w:t>
      </w:r>
      <w:r>
        <w:tab/>
        <w:t>Enfin, l’enfant âgé de 16 à 18 ans peut être déclaré coupable et reconnu entièrement responsable. La loi permet d’écarter l’excuse atténuante de minorité pour cette catégorie d’âge.</w:t>
      </w:r>
    </w:p>
    <w:p w:rsidR="00000000" w:rsidRDefault="00000000">
      <w:pPr>
        <w:spacing w:after="240"/>
      </w:pPr>
      <w:r>
        <w:t>386.</w:t>
      </w:r>
      <w:r>
        <w:tab/>
        <w:t>Malgré cette faculté, dans la pratique les juges ont toujours accordé l’excuse atténuante de minorité aux mineurs âgés de 16 à 18 ans.</w:t>
      </w:r>
    </w:p>
    <w:p w:rsidR="00000000" w:rsidRDefault="00000000">
      <w:pPr>
        <w:spacing w:after="240"/>
      </w:pPr>
      <w:r>
        <w:t>387.</w:t>
      </w:r>
      <w:r>
        <w:tab/>
        <w:t xml:space="preserve">La majorité pénale est fixée à 18 ans. </w:t>
      </w:r>
    </w:p>
    <w:p w:rsidR="00000000" w:rsidRDefault="00000000">
      <w:pPr>
        <w:spacing w:after="240"/>
      </w:pPr>
      <w:r>
        <w:t>388.</w:t>
      </w:r>
      <w:r>
        <w:tab/>
        <w:t>Selon la loi, le mineur de 13 ans peut faire l’objet d’une poursuite pénale. Dans ce cas, des mesures éducatives seront priorisées au lieu et à la place d’une sanction répressive.</w:t>
      </w:r>
    </w:p>
    <w:p w:rsidR="00000000" w:rsidRDefault="00000000">
      <w:pPr>
        <w:spacing w:after="240"/>
      </w:pPr>
      <w:r>
        <w:t>389.</w:t>
      </w:r>
      <w:r>
        <w:tab/>
        <w:t>Dans le cadre de la réforme en cours, il a été retenu l’étude de l’opportunité d’instituer un système de médiation pénale ou de traitement extrajudiciaire.</w:t>
      </w:r>
    </w:p>
    <w:p w:rsidR="00000000" w:rsidRDefault="00000000">
      <w:pPr>
        <w:spacing w:after="240"/>
        <w:rPr>
          <w:color w:val="000000"/>
        </w:rPr>
      </w:pPr>
      <w:r>
        <w:t>390.</w:t>
      </w:r>
      <w:r>
        <w:tab/>
        <w:t>L’adoption de la loi n</w:t>
      </w:r>
      <w:r>
        <w:rPr>
          <w:vertAlign w:val="superscript"/>
        </w:rPr>
        <w:t>o</w:t>
      </w:r>
      <w:r>
        <w:t> 97</w:t>
      </w:r>
      <w:r>
        <w:noBreakHyphen/>
        <w:t xml:space="preserve">036 du 30 octobre 1997 renforce les règles relatives à la défense des parties et vient combler les lacunes constatées dans l’ordonnance susvisée. </w:t>
      </w:r>
    </w:p>
    <w:p w:rsidR="00000000" w:rsidRDefault="00000000">
      <w:pPr>
        <w:spacing w:after="240"/>
      </w:pPr>
      <w:r>
        <w:t>391.</w:t>
      </w:r>
      <w:r>
        <w:tab/>
        <w:t>En conséquence, les mineurs ont droit à l’assistance d’un conseil à tous les stades de la procédure.</w:t>
      </w:r>
    </w:p>
    <w:p w:rsidR="00000000" w:rsidRDefault="00000000">
      <w:pPr>
        <w:spacing w:after="240"/>
      </w:pPr>
      <w:r>
        <w:t>392.</w:t>
      </w:r>
      <w:r>
        <w:tab/>
        <w:t xml:space="preserve">À Madagascar, il existe des juridictions répressives pour mineurs. Citons: </w:t>
      </w:r>
    </w:p>
    <w:p w:rsidR="00000000" w:rsidRDefault="00000000">
      <w:pPr>
        <w:spacing w:after="240"/>
        <w:ind w:firstLine="567"/>
      </w:pPr>
      <w:r>
        <w:t>a)</w:t>
      </w:r>
      <w:r>
        <w:tab/>
        <w:t>Le juge des enfants en charge d’informer</w:t>
      </w:r>
      <w:r>
        <w:rPr>
          <w:color w:val="FF0000"/>
        </w:rPr>
        <w:t xml:space="preserve"> </w:t>
      </w:r>
      <w:r>
        <w:t>contre les</w:t>
      </w:r>
      <w:r>
        <w:rPr>
          <w:color w:val="FF0000"/>
        </w:rPr>
        <w:t xml:space="preserve"> </w:t>
      </w:r>
      <w:r>
        <w:t>mineurs poursuivis;</w:t>
      </w:r>
    </w:p>
    <w:p w:rsidR="00000000" w:rsidRDefault="00000000">
      <w:pPr>
        <w:spacing w:after="240"/>
        <w:ind w:firstLine="567"/>
      </w:pPr>
      <w:r>
        <w:t>b)</w:t>
      </w:r>
      <w:r>
        <w:tab/>
        <w:t>Le tribunal pour enfants compétent pour juger les délits commis par les mineurs;</w:t>
      </w:r>
    </w:p>
    <w:p w:rsidR="00000000" w:rsidRDefault="00000000">
      <w:pPr>
        <w:spacing w:after="240"/>
        <w:ind w:firstLine="567"/>
      </w:pPr>
      <w:r>
        <w:t>c)</w:t>
      </w:r>
      <w:r>
        <w:tab/>
        <w:t>La Cour criminelle des mineurs.</w:t>
      </w:r>
    </w:p>
    <w:p w:rsidR="00000000" w:rsidRDefault="00000000">
      <w:pPr>
        <w:spacing w:after="240"/>
      </w:pPr>
      <w:r>
        <w:t>393.</w:t>
      </w:r>
      <w:r>
        <w:tab/>
        <w:t xml:space="preserve">Actuellement, des efforts sont entrepris pour augmenter le nombre des travailleurs sociaux par la création d’écoles spécialisées dans ce domaine. </w:t>
      </w:r>
    </w:p>
    <w:p w:rsidR="00000000" w:rsidRDefault="00000000">
      <w:pPr>
        <w:spacing w:after="240"/>
        <w:rPr>
          <w:lang w:val="es-ES_tradnl"/>
        </w:rPr>
      </w:pPr>
      <w:r>
        <w:t>394.</w:t>
      </w:r>
      <w:r>
        <w:tab/>
        <w:t xml:space="preserve">Outre la Maison centrale d’Antananarivo, la séparation des mineurs d’avec les adultes est effective dans les établissements pénitentiaires ci-après: </w:t>
      </w:r>
      <w:r>
        <w:rPr>
          <w:lang w:val="es-ES_tradnl"/>
        </w:rPr>
        <w:t>Toamasina, Ambatondrazaka, Antalaha, Antsiranana, Antsirabe, Tolagnaro, Toliara, Morondava et Farafangana.</w:t>
      </w:r>
    </w:p>
    <w:p w:rsidR="00000000" w:rsidRDefault="00000000">
      <w:pPr>
        <w:spacing w:after="240"/>
      </w:pPr>
      <w:r>
        <w:t>395.</w:t>
      </w:r>
      <w:r>
        <w:tab/>
        <w:t>À l’issue d’une procédure judiciaire, il est prévu un programme de réadaptation et de réinsertion sociale organisé par voie réglementaire. Dans ce sens, fut adopté le décret n</w:t>
      </w:r>
      <w:r>
        <w:rPr>
          <w:vertAlign w:val="superscript"/>
        </w:rPr>
        <w:t>o</w:t>
      </w:r>
      <w:r>
        <w:t> 2004</w:t>
      </w:r>
      <w:r>
        <w:noBreakHyphen/>
        <w:t xml:space="preserve">160 du 3 février 2004. </w:t>
      </w:r>
    </w:p>
    <w:p w:rsidR="00000000" w:rsidRDefault="00000000">
      <w:pPr>
        <w:spacing w:after="240"/>
      </w:pPr>
      <w:r>
        <w:t>396.</w:t>
      </w:r>
      <w:r>
        <w:tab/>
        <w:t>Ce décret prévoit la création d’un service d’éducation surveillée au sein de la Direction centrale de l’Administration pénitentiaire du Ministère de la justice</w:t>
      </w:r>
    </w:p>
    <w:p w:rsidR="00000000" w:rsidRDefault="00000000">
      <w:pPr>
        <w:spacing w:after="240"/>
      </w:pPr>
      <w:r>
        <w:t>397.</w:t>
      </w:r>
      <w:r>
        <w:tab/>
        <w:t>Des améliorations ont été réalisées au niveau des provinces de Mahajanga, de Toamasina et de Fianarantsoa avec la participation d’associations privées et d’organisations non gouvernementales par la création de structures d’accueil pour les mineurs délinquants.</w:t>
      </w:r>
    </w:p>
    <w:p w:rsidR="00000000" w:rsidRDefault="00000000">
      <w:pPr>
        <w:spacing w:after="240"/>
      </w:pPr>
      <w:r>
        <w:t>398.</w:t>
      </w:r>
      <w:r>
        <w:tab/>
      </w:r>
      <w:r>
        <w:rPr>
          <w:color w:val="000000"/>
        </w:rPr>
        <w:t xml:space="preserve">À </w:t>
      </w:r>
      <w:r>
        <w:t xml:space="preserve">titre d’exemple, citons l’Association pour la sauvegarde et la protection de l’enfance (ASPE) de Toamasina qui s’occupe de 150 enfants dont une cinquantaine de délinquants. </w:t>
      </w:r>
    </w:p>
    <w:p w:rsidR="00000000" w:rsidRDefault="00000000">
      <w:pPr>
        <w:spacing w:after="240"/>
      </w:pPr>
      <w:r>
        <w:t>399.</w:t>
      </w:r>
      <w:r>
        <w:tab/>
        <w:t>En collaboration avec le Ministère de la justice et l’ambassade de la Grande</w:t>
      </w:r>
      <w:r>
        <w:noBreakHyphen/>
        <w:t>Bretagne, cette association a construit trois bâtiments d’accueil.</w:t>
      </w:r>
    </w:p>
    <w:p w:rsidR="00000000" w:rsidRDefault="00000000">
      <w:pPr>
        <w:spacing w:after="240"/>
      </w:pPr>
      <w:r>
        <w:t>400.</w:t>
      </w:r>
      <w:r>
        <w:tab/>
        <w:t>Par application de l’article 3 de l’ordonnance n</w:t>
      </w:r>
      <w:r>
        <w:rPr>
          <w:vertAlign w:val="superscript"/>
        </w:rPr>
        <w:t>o</w:t>
      </w:r>
      <w:r>
        <w:t xml:space="preserve"> 62-038, l’État prend en charge les frais de garde des enfants placés dans ces centres par une décision de justice. </w:t>
      </w:r>
    </w:p>
    <w:p w:rsidR="00000000" w:rsidRDefault="00000000">
      <w:pPr>
        <w:spacing w:after="240"/>
      </w:pPr>
      <w:r>
        <w:t>401.</w:t>
      </w:r>
      <w:r>
        <w:rPr>
          <w:i/>
          <w:iCs/>
        </w:rPr>
        <w:tab/>
      </w:r>
      <w:r>
        <w:t>Madagascar a ratifié le protocole facultatif se rapportant aux conventions relatives aux droits de l’enfant concernant l’un la vente d’enfants, la prostitution des enfants et la pornographie mettant en scène des enfants, et l’autre l’implication d’enfants dans les conflits armés.</w:t>
      </w:r>
    </w:p>
    <w:p w:rsidR="00000000" w:rsidRDefault="00000000">
      <w:pPr>
        <w:spacing w:after="240"/>
      </w:pPr>
      <w:r>
        <w:t>402.</w:t>
      </w:r>
      <w:r>
        <w:tab/>
        <w:t xml:space="preserve">Pour combattre la vente d’enfants déguisée et réalisée à partir d’une procédure d’adoption internationale, un projet de loi y afférent sera soumis au Parlement pour adoption à la session du mois de mai 2005. </w:t>
      </w:r>
    </w:p>
    <w:p w:rsidR="00000000" w:rsidRDefault="00000000">
      <w:pPr>
        <w:spacing w:after="240"/>
        <w:ind w:firstLine="567"/>
        <w:rPr>
          <w:b/>
          <w:bCs/>
        </w:rPr>
      </w:pPr>
      <w:r>
        <w:rPr>
          <w:b/>
          <w:bCs/>
        </w:rPr>
        <w:t>État civil et nationalité</w:t>
      </w:r>
    </w:p>
    <w:p w:rsidR="00000000" w:rsidRDefault="00000000">
      <w:pPr>
        <w:spacing w:after="240"/>
      </w:pPr>
      <w:r>
        <w:t>403.</w:t>
      </w:r>
      <w:r>
        <w:tab/>
        <w:t>La loi n</w:t>
      </w:r>
      <w:r>
        <w:rPr>
          <w:vertAlign w:val="superscript"/>
        </w:rPr>
        <w:t>o</w:t>
      </w:r>
      <w:r>
        <w:t> 61</w:t>
      </w:r>
      <w:r>
        <w:noBreakHyphen/>
        <w:t>025 du 9 octobre 1961 relative aux actes de l’état civil a été modifiée à trois reprises, la dernière étant la loi n</w:t>
      </w:r>
      <w:r>
        <w:rPr>
          <w:vertAlign w:val="superscript"/>
        </w:rPr>
        <w:t>o</w:t>
      </w:r>
      <w:r>
        <w:t> 90</w:t>
      </w:r>
      <w:r>
        <w:noBreakHyphen/>
        <w:t>015 du 20 juillet 1990. Cette évolution prouve la volonté de l’État d’améliorer la législation régissant l’enregistrement des naissances.</w:t>
      </w:r>
    </w:p>
    <w:p w:rsidR="00000000" w:rsidRDefault="00000000">
      <w:pPr>
        <w:spacing w:after="240"/>
      </w:pPr>
      <w:r>
        <w:t>404.</w:t>
      </w:r>
      <w:r>
        <w:tab/>
        <w:t xml:space="preserve">Des campagnes visant à la délivrance de jugements supplétifs sont menées dans le cadre de l’opération </w:t>
      </w:r>
      <w:r>
        <w:rPr>
          <w:iCs/>
        </w:rPr>
        <w:t>«</w:t>
      </w:r>
      <w:r>
        <w:rPr>
          <w:i/>
          <w:iCs/>
        </w:rPr>
        <w:t>Ezaka Kopia ho an’ny Ankizy</w:t>
      </w:r>
      <w:r>
        <w:rPr>
          <w:iCs/>
        </w:rPr>
        <w:t>»</w:t>
      </w:r>
      <w:r>
        <w:t xml:space="preserve"> (EKA) pour suppléer à la carence d’actes de naissance dans la périphérie des grandes villes et en milieu rural, particulièrement dans les régions enclavées.</w:t>
      </w:r>
    </w:p>
    <w:p w:rsidR="00000000" w:rsidRDefault="00000000">
      <w:pPr>
        <w:spacing w:after="240"/>
      </w:pPr>
      <w:r>
        <w:t>405.</w:t>
      </w:r>
      <w:r>
        <w:tab/>
        <w:t>Le Code de la nationalité malgache est essentiellement fondé sur la nationalité par filiation. L’ordonnance n</w:t>
      </w:r>
      <w:r>
        <w:rPr>
          <w:vertAlign w:val="superscript"/>
        </w:rPr>
        <w:t>o</w:t>
      </w:r>
      <w:r>
        <w:t> 60-064 du 22 juillet 1960 portant Code de la nationalité malgache prévoit dans les articles 9 à 11 l’application de cette règle. L’article 11 est suffisamment large pour être interprété dans l’intérêt de tout enfant né de parents inconnus, à Madagascar.</w:t>
      </w:r>
    </w:p>
    <w:p w:rsidR="00000000" w:rsidRDefault="00000000">
      <w:pPr>
        <w:keepNext/>
        <w:spacing w:after="240"/>
        <w:jc w:val="center"/>
        <w:rPr>
          <w:b/>
          <w:bCs/>
        </w:rPr>
      </w:pPr>
      <w:bookmarkStart w:id="404" w:name="_Toc98224917"/>
      <w:r>
        <w:rPr>
          <w:b/>
          <w:bCs/>
        </w:rPr>
        <w:t>ARTICLE 25</w:t>
      </w:r>
      <w:bookmarkEnd w:id="404"/>
    </w:p>
    <w:p w:rsidR="00000000" w:rsidRDefault="00000000">
      <w:pPr>
        <w:keepNext/>
        <w:spacing w:after="240"/>
        <w:jc w:val="center"/>
        <w:rPr>
          <w:b/>
          <w:bCs/>
        </w:rPr>
      </w:pPr>
      <w:r>
        <w:rPr>
          <w:b/>
          <w:bCs/>
        </w:rPr>
        <w:t>Droits politiques</w:t>
      </w:r>
    </w:p>
    <w:p w:rsidR="00000000" w:rsidRDefault="00000000">
      <w:pPr>
        <w:spacing w:after="240"/>
      </w:pPr>
      <w:r>
        <w:t>406.</w:t>
      </w:r>
      <w:r>
        <w:tab/>
        <w:t>Les mesures positives réalisées en application du paragraphe 1</w:t>
      </w:r>
      <w:r>
        <w:rPr>
          <w:vertAlign w:val="superscript"/>
        </w:rPr>
        <w:t xml:space="preserve"> </w:t>
      </w:r>
      <w:r>
        <w:t>a)</w:t>
      </w:r>
      <w:r>
        <w:rPr>
          <w:vertAlign w:val="superscript"/>
        </w:rPr>
        <w:t xml:space="preserve"> </w:t>
      </w:r>
      <w:r>
        <w:t>de l’article 25 du Pacte sont concrétisées par la Constitution de 1992 ayant abandonné les pratiques discriminatoires à l’encontre des citoyens non affiliés au FNDR.</w:t>
      </w:r>
    </w:p>
    <w:p w:rsidR="00000000" w:rsidRDefault="00000000">
      <w:pPr>
        <w:spacing w:after="240"/>
        <w:rPr>
          <w:i/>
          <w:iCs/>
        </w:rPr>
      </w:pPr>
      <w:r>
        <w:t>407.</w:t>
      </w:r>
      <w:r>
        <w:tab/>
        <w:t xml:space="preserve">En effet, cette nouvelle Constitution en son article 14 a institué le pluralisme politique ainsi rédigé: </w:t>
      </w:r>
      <w:r>
        <w:rPr>
          <w:iCs/>
        </w:rPr>
        <w:t>«</w:t>
      </w:r>
      <w:r>
        <w:rPr>
          <w:i/>
          <w:iCs/>
        </w:rPr>
        <w:t>les citoyens s’organisent librement, sans autorisation préalable, en associations ou partis politiques; sont toutefois interdits les associations ou partis politiques qui mettent en cause l’unité de la nation et ceux qui prônent le totalitarisme ou le ségrégationnisme (…)</w:t>
      </w:r>
      <w:r>
        <w:rPr>
          <w:iCs/>
        </w:rPr>
        <w:t>»</w:t>
      </w:r>
      <w:r>
        <w:rPr>
          <w:i/>
          <w:iCs/>
        </w:rPr>
        <w:t>.</w:t>
      </w:r>
    </w:p>
    <w:p w:rsidR="00000000" w:rsidRDefault="00000000">
      <w:pPr>
        <w:keepNext/>
        <w:spacing w:after="240"/>
        <w:ind w:firstLine="567"/>
        <w:rPr>
          <w:b/>
          <w:bCs/>
        </w:rPr>
      </w:pPr>
      <w:r>
        <w:rPr>
          <w:b/>
          <w:bCs/>
        </w:rPr>
        <w:t>L’éligibilité</w:t>
      </w:r>
    </w:p>
    <w:p w:rsidR="00000000" w:rsidRDefault="00000000">
      <w:pPr>
        <w:spacing w:after="240"/>
        <w:rPr>
          <w:i/>
          <w:iCs/>
        </w:rPr>
      </w:pPr>
      <w:r>
        <w:t>408.</w:t>
      </w:r>
      <w:r>
        <w:tab/>
        <w:t xml:space="preserve">L’égalité en matière de droit de vote et d’éligibilité aux élections est régie par l’article 15 de la Constitution ainsi rédigé: </w:t>
      </w:r>
      <w:r>
        <w:rPr>
          <w:iCs/>
        </w:rPr>
        <w:t>«</w:t>
      </w:r>
      <w:r>
        <w:rPr>
          <w:i/>
          <w:iCs/>
        </w:rPr>
        <w:t>Tout citoyen a le droit, sans aucune discrimination fondée sur l’appartenance ou non à un parti politique, ou sur l’obligation d’être investi par un parti politique, de se porter candidat aux élections prévues par la présente Constitution sous réserve des conditions fixées par la loi.</w:t>
      </w:r>
      <w:r>
        <w:rPr>
          <w:iCs/>
        </w:rPr>
        <w:t>»</w:t>
      </w:r>
      <w:r>
        <w:rPr>
          <w:i/>
          <w:iCs/>
        </w:rPr>
        <w:t>.</w:t>
      </w:r>
    </w:p>
    <w:p w:rsidR="00000000" w:rsidRDefault="00000000">
      <w:pPr>
        <w:spacing w:after="240"/>
      </w:pPr>
      <w:r>
        <w:t>409.</w:t>
      </w:r>
      <w:r>
        <w:tab/>
        <w:t>Cette disposition constitutionnelle est reprise par la loi organique n</w:t>
      </w:r>
      <w:r>
        <w:rPr>
          <w:vertAlign w:val="superscript"/>
        </w:rPr>
        <w:t>o</w:t>
      </w:r>
      <w:r>
        <w:t> 2000</w:t>
      </w:r>
      <w:r>
        <w:noBreakHyphen/>
        <w:t>014 du 24 août 2000 portant Code électoral</w:t>
      </w:r>
      <w:r>
        <w:rPr>
          <w:color w:val="000000"/>
        </w:rPr>
        <w:t>.</w:t>
      </w:r>
      <w:r>
        <w:t xml:space="preserve"> </w:t>
      </w:r>
    </w:p>
    <w:p w:rsidR="00000000" w:rsidRDefault="00000000">
      <w:pPr>
        <w:spacing w:after="240"/>
        <w:rPr>
          <w:i/>
          <w:iCs/>
        </w:rPr>
      </w:pPr>
      <w:r>
        <w:t>410.</w:t>
      </w:r>
      <w:r>
        <w:tab/>
        <w:t xml:space="preserve">L’article 4 dudit Code prévoit le droit pour tout citoyen de se porter candidat aux élections publiques: </w:t>
      </w:r>
      <w:r>
        <w:rPr>
          <w:iCs/>
        </w:rPr>
        <w:t>«</w:t>
      </w:r>
      <w:r>
        <w:rPr>
          <w:i/>
          <w:iCs/>
        </w:rPr>
        <w:t>Sont éligibles, sans distinction de sexe, tous les citoyens malgaches remplissant les conditions pour être électeurs, ainsi que celles requises par les textes particuliers à chaque catégorie d’élection, notamment:</w:t>
      </w:r>
    </w:p>
    <w:p w:rsidR="00000000" w:rsidRDefault="00000000">
      <w:pPr>
        <w:spacing w:after="240"/>
        <w:ind w:firstLine="567"/>
        <w:rPr>
          <w:i/>
          <w:iCs/>
        </w:rPr>
      </w:pPr>
      <w:r>
        <w:rPr>
          <w:i/>
          <w:iCs/>
        </w:rPr>
        <w:t>a)</w:t>
      </w:r>
      <w:r>
        <w:rPr>
          <w:i/>
          <w:iCs/>
        </w:rPr>
        <w:tab/>
        <w:t>Être inscrit sur la liste électorale;</w:t>
      </w:r>
    </w:p>
    <w:p w:rsidR="00000000" w:rsidRDefault="00000000">
      <w:pPr>
        <w:spacing w:after="240"/>
        <w:ind w:firstLine="567"/>
        <w:rPr>
          <w:i/>
          <w:iCs/>
        </w:rPr>
      </w:pPr>
      <w:r>
        <w:rPr>
          <w:i/>
          <w:iCs/>
        </w:rPr>
        <w:t>b)</w:t>
      </w:r>
      <w:r>
        <w:rPr>
          <w:i/>
          <w:iCs/>
        </w:rPr>
        <w:tab/>
        <w:t>Avoir l’âge requis par la loi pour chaque fonction élective;</w:t>
      </w:r>
    </w:p>
    <w:p w:rsidR="00000000" w:rsidRDefault="00000000">
      <w:pPr>
        <w:spacing w:after="240"/>
        <w:ind w:firstLine="567"/>
        <w:rPr>
          <w:i/>
          <w:iCs/>
        </w:rPr>
      </w:pPr>
      <w:r>
        <w:rPr>
          <w:i/>
          <w:iCs/>
        </w:rPr>
        <w:t>c)</w:t>
      </w:r>
      <w:r>
        <w:rPr>
          <w:i/>
          <w:iCs/>
        </w:rPr>
        <w:tab/>
        <w:t>N’avoir pas fait l’objet d’une condamnation.</w:t>
      </w:r>
      <w:r>
        <w:rPr>
          <w:iCs/>
        </w:rPr>
        <w:t>»</w:t>
      </w:r>
      <w:r>
        <w:rPr>
          <w:i/>
          <w:iCs/>
        </w:rPr>
        <w:t>.</w:t>
      </w:r>
    </w:p>
    <w:p w:rsidR="00000000" w:rsidRDefault="00000000">
      <w:pPr>
        <w:spacing w:after="240"/>
      </w:pPr>
      <w:r>
        <w:t>411.</w:t>
      </w:r>
      <w:r>
        <w:tab/>
        <w:t>Depuis le dernier rapport, plusieurs élections ont eu lieu:</w:t>
      </w:r>
    </w:p>
    <w:p w:rsidR="00000000" w:rsidRDefault="00000000">
      <w:pPr>
        <w:spacing w:after="240"/>
        <w:ind w:firstLine="567"/>
      </w:pPr>
      <w:r>
        <w:t>a)</w:t>
      </w:r>
      <w:r>
        <w:tab/>
        <w:t>Élections présidentielles: 1992, 1996, 2001;</w:t>
      </w:r>
    </w:p>
    <w:p w:rsidR="00000000" w:rsidRDefault="00000000">
      <w:pPr>
        <w:spacing w:after="240"/>
        <w:ind w:firstLine="567"/>
      </w:pPr>
      <w:r>
        <w:t>b)</w:t>
      </w:r>
      <w:r>
        <w:tab/>
        <w:t>Élections législatives: 1993, 1998, 2003;</w:t>
      </w:r>
    </w:p>
    <w:p w:rsidR="00000000" w:rsidRDefault="00000000">
      <w:pPr>
        <w:spacing w:after="240"/>
        <w:ind w:firstLine="567"/>
      </w:pPr>
      <w:r>
        <w:t>c)</w:t>
      </w:r>
      <w:r>
        <w:tab/>
        <w:t>Élections communales: 1994, 1998, 2003.</w:t>
      </w:r>
    </w:p>
    <w:p w:rsidR="00000000" w:rsidRDefault="00000000">
      <w:pPr>
        <w:spacing w:after="240"/>
      </w:pPr>
      <w:r>
        <w:t>412.</w:t>
      </w:r>
      <w:r>
        <w:tab/>
        <w:t>Les mesures prises par le Gouvernement en la matière sont conformes à la tenue d’élections périodiques, honnêtes, au suffrage universel et égal, et au scrutin secret. C’est dans ce sens que l’État malagasy admet la présence d’observateurs nationaux et internationaux pour la surveillance de la régularité et de la sincérité des élections.</w:t>
      </w:r>
    </w:p>
    <w:p w:rsidR="00000000" w:rsidRDefault="00000000">
      <w:pPr>
        <w:spacing w:after="240"/>
      </w:pPr>
      <w:r>
        <w:t>413.</w:t>
      </w:r>
      <w:r>
        <w:tab/>
        <w:t>Afin de mieux assurer l’expression libre de la volonté des électeurs, le Code électoral évolue avec les différentes élections. Ces modifications ont eu lieu en 1992, en 1996 et en 2002.</w:t>
      </w:r>
    </w:p>
    <w:p w:rsidR="00000000" w:rsidRDefault="00000000">
      <w:pPr>
        <w:keepNext/>
        <w:spacing w:after="240"/>
        <w:ind w:firstLine="567"/>
        <w:rPr>
          <w:b/>
          <w:bCs/>
        </w:rPr>
      </w:pPr>
      <w:r>
        <w:rPr>
          <w:b/>
          <w:bCs/>
        </w:rPr>
        <w:t>Règlement du contentieux électoral</w:t>
      </w:r>
    </w:p>
    <w:p w:rsidR="00000000" w:rsidRDefault="00000000">
      <w:pPr>
        <w:spacing w:after="240"/>
      </w:pPr>
      <w:r>
        <w:t>414.</w:t>
      </w:r>
      <w:r>
        <w:tab/>
        <w:t>La loi organique n</w:t>
      </w:r>
      <w:r>
        <w:rPr>
          <w:vertAlign w:val="superscript"/>
        </w:rPr>
        <w:t>o</w:t>
      </w:r>
      <w:r>
        <w:t> 2000</w:t>
      </w:r>
      <w:r>
        <w:noBreakHyphen/>
        <w:t>014 du 24 août 2000 portant Code électoral renforce l’ordonnance modifiée n</w:t>
      </w:r>
      <w:r>
        <w:rPr>
          <w:vertAlign w:val="superscript"/>
        </w:rPr>
        <w:t>o</w:t>
      </w:r>
      <w:r>
        <w:t> 92.041 du 2 octobre 1992 portant Code électoral et fixe les règles des élections au suffrage universel direct, ou indirect, la mise en œuvre des consultations périodiques où «</w:t>
      </w:r>
      <w:r>
        <w:rPr>
          <w:i/>
          <w:iCs/>
        </w:rPr>
        <w:t>la liberté, le secret et la sincérité du vote sont garantis</w:t>
      </w:r>
      <w:r>
        <w:t>»</w:t>
      </w:r>
      <w:r>
        <w:rPr>
          <w:i/>
          <w:iCs/>
        </w:rPr>
        <w:t>.</w:t>
      </w:r>
      <w:r>
        <w:t xml:space="preserve"> </w:t>
      </w:r>
    </w:p>
    <w:p w:rsidR="00000000" w:rsidRDefault="00000000">
      <w:pPr>
        <w:spacing w:after="240"/>
      </w:pPr>
      <w:r>
        <w:t>415.</w:t>
      </w:r>
      <w:r>
        <w:tab/>
        <w:t>En matière de contentieux électoral, la loi introduit une innovation importante concernant la répartition des compétences entre la juridiction constitutionnelle et la juridiction administrative.</w:t>
      </w:r>
    </w:p>
    <w:p w:rsidR="00000000" w:rsidRDefault="00000000">
      <w:pPr>
        <w:spacing w:after="240"/>
      </w:pPr>
      <w:r>
        <w:t>416.</w:t>
      </w:r>
      <w:r>
        <w:tab/>
        <w:t>La Haute Cour constitutionnelle juge en premier et dernier ressort les requêtes contentieuses relatives au référendum, aux élections présidentielles et parlementaires.</w:t>
      </w:r>
    </w:p>
    <w:p w:rsidR="00000000" w:rsidRDefault="00000000">
      <w:pPr>
        <w:spacing w:after="240"/>
      </w:pPr>
      <w:r>
        <w:t>417.</w:t>
      </w:r>
      <w:r>
        <w:tab/>
        <w:t>Le Conseil d’État statue en cassation sur les cas de violation de la loi, tandis que le Tribunal administratif, institué par la loi n</w:t>
      </w:r>
      <w:r>
        <w:rPr>
          <w:vertAlign w:val="superscript"/>
        </w:rPr>
        <w:t>o</w:t>
      </w:r>
      <w:r>
        <w:t> 2001</w:t>
      </w:r>
      <w:r>
        <w:noBreakHyphen/>
        <w:t>025 du 9 avril 2003, connaît en premier et dernier ressort de toutes requêtes contentieuses afférentes aux élections provinciales, régionales et communales.</w:t>
      </w:r>
    </w:p>
    <w:p w:rsidR="00000000" w:rsidRDefault="00000000">
      <w:pPr>
        <w:keepNext/>
        <w:spacing w:after="240"/>
        <w:ind w:firstLine="567"/>
        <w:rPr>
          <w:b/>
          <w:bCs/>
        </w:rPr>
      </w:pPr>
      <w:r>
        <w:rPr>
          <w:b/>
          <w:bCs/>
        </w:rPr>
        <w:t>La capacité d’être électeur</w:t>
      </w:r>
    </w:p>
    <w:p w:rsidR="00000000" w:rsidRDefault="00000000">
      <w:pPr>
        <w:spacing w:after="240"/>
        <w:rPr>
          <w:i/>
          <w:iCs/>
        </w:rPr>
      </w:pPr>
      <w:r>
        <w:t>418.</w:t>
      </w:r>
      <w:r>
        <w:tab/>
        <w:t xml:space="preserve">L’article 2 du Code électoral détermine les conditions d’application de l’article 6, alinéa 2, de la Constitution en ces termes: </w:t>
      </w:r>
      <w:r>
        <w:rPr>
          <w:iCs/>
        </w:rPr>
        <w:t>«</w:t>
      </w:r>
      <w:r>
        <w:rPr>
          <w:i/>
          <w:iCs/>
        </w:rPr>
        <w:t>sont électeurs tous les citoyens malgaches sans distinction de sexe, âgés de 18 ans révolus à la date du scrutin, résidant à l’intérieur du territoire national et jouissant de leurs droits civils et politiques</w:t>
      </w:r>
      <w:r>
        <w:rPr>
          <w:iCs/>
        </w:rPr>
        <w:t>»</w:t>
      </w:r>
      <w:r>
        <w:rPr>
          <w:i/>
          <w:iCs/>
        </w:rPr>
        <w:t>.</w:t>
      </w:r>
    </w:p>
    <w:p w:rsidR="00000000" w:rsidRDefault="00000000">
      <w:pPr>
        <w:keepNext/>
        <w:spacing w:after="240"/>
        <w:ind w:firstLine="567"/>
        <w:rPr>
          <w:b/>
          <w:bCs/>
        </w:rPr>
      </w:pPr>
      <w:r>
        <w:rPr>
          <w:b/>
          <w:bCs/>
        </w:rPr>
        <w:t>La participation des collectivités de base</w:t>
      </w:r>
    </w:p>
    <w:p w:rsidR="00000000" w:rsidRDefault="00000000">
      <w:pPr>
        <w:spacing w:after="240"/>
      </w:pPr>
      <w:r>
        <w:t>419.</w:t>
      </w:r>
      <w:r>
        <w:tab/>
        <w:t>La mise en place de collectivités décentralisées a favorisé la participation des citoyens à la préparation d’élections libres et transparentes. À cet égard, il y a lieu de mentionner le rôle important joué par les Fokontany, collectivités territoriales de base, dans l’établissement des listes électorales, tel que stipulé dans l’article 6 de la loi organique portant Code électoral.</w:t>
      </w:r>
    </w:p>
    <w:p w:rsidR="00000000" w:rsidRDefault="00000000">
      <w:pPr>
        <w:spacing w:after="240"/>
        <w:rPr>
          <w:i/>
          <w:iCs/>
        </w:rPr>
      </w:pPr>
      <w:r>
        <w:t>420.</w:t>
      </w:r>
      <w:r>
        <w:tab/>
        <w:t xml:space="preserve">L’article 7 de ladite loi fait référence à </w:t>
      </w:r>
      <w:r>
        <w:rPr>
          <w:iCs/>
        </w:rPr>
        <w:t>«</w:t>
      </w:r>
      <w:r>
        <w:rPr>
          <w:i/>
          <w:iCs/>
        </w:rPr>
        <w:t>une commission locale de recensement des électeurs. Cette commission est chargée de recenser tous les citoyens ayant acquis les qualités exigées par la loi pour l’exercice du droit de vote, créée au niveau de chaque Fokontany</w:t>
      </w:r>
      <w:r>
        <w:rPr>
          <w:iCs/>
        </w:rPr>
        <w:t>»</w:t>
      </w:r>
      <w:r>
        <w:rPr>
          <w:i/>
          <w:iCs/>
        </w:rPr>
        <w:t>.</w:t>
      </w:r>
    </w:p>
    <w:p w:rsidR="00000000" w:rsidRDefault="00000000">
      <w:pPr>
        <w:keepNext/>
        <w:spacing w:after="240"/>
        <w:ind w:firstLine="567"/>
        <w:rPr>
          <w:b/>
          <w:bCs/>
        </w:rPr>
      </w:pPr>
      <w:r>
        <w:rPr>
          <w:b/>
          <w:bCs/>
        </w:rPr>
        <w:t>Suivi et contrôle des élections</w:t>
      </w:r>
    </w:p>
    <w:p w:rsidR="00000000" w:rsidRDefault="00000000">
      <w:pPr>
        <w:spacing w:after="240"/>
        <w:rPr>
          <w:i/>
          <w:iCs/>
        </w:rPr>
      </w:pPr>
      <w:r>
        <w:t>421.</w:t>
      </w:r>
      <w:r>
        <w:tab/>
        <w:t>La mise en place du Conseil national électoral (CNE) en 1992 a permis un suivi et un contrôle renforcé des opérations électorales. L’article 114 de la loi organique n</w:t>
      </w:r>
      <w:r>
        <w:rPr>
          <w:vertAlign w:val="superscript"/>
        </w:rPr>
        <w:t>o</w:t>
      </w:r>
      <w:r>
        <w:t> 2000</w:t>
      </w:r>
      <w:r>
        <w:noBreakHyphen/>
        <w:t>014 du 24 août 2000 stipule ainsi que «</w:t>
      </w:r>
      <w:r>
        <w:rPr>
          <w:i/>
          <w:iCs/>
        </w:rPr>
        <w:t>un conseil national, garant moral de l’authenticité du scrutin et de la sincérité du vote est chargé de superviser toutes les opérations relatives au bon déroulement des élections et consultations populaires</w:t>
      </w:r>
      <w:r>
        <w:t>»</w:t>
      </w:r>
      <w:r>
        <w:rPr>
          <w:i/>
          <w:iCs/>
        </w:rPr>
        <w:t>.</w:t>
      </w:r>
    </w:p>
    <w:p w:rsidR="00000000" w:rsidRDefault="00000000">
      <w:pPr>
        <w:spacing w:after="240"/>
        <w:rPr>
          <w:color w:val="333333"/>
        </w:rPr>
      </w:pPr>
      <w:r>
        <w:rPr>
          <w:color w:val="333333"/>
        </w:rPr>
        <w:t>422.</w:t>
      </w:r>
      <w:r>
        <w:rPr>
          <w:color w:val="333333"/>
        </w:rPr>
        <w:tab/>
        <w:t>D’autres mesures ont été également adoptées pour assurer un contrôle de la régularité des scrutins:</w:t>
      </w:r>
    </w:p>
    <w:p w:rsidR="00000000" w:rsidRDefault="00000000">
      <w:pPr>
        <w:spacing w:after="240"/>
        <w:ind w:firstLine="567"/>
        <w:rPr>
          <w:color w:val="333333"/>
        </w:rPr>
      </w:pPr>
      <w:r>
        <w:rPr>
          <w:color w:val="333333"/>
        </w:rPr>
        <w:t>a)</w:t>
      </w:r>
      <w:r>
        <w:rPr>
          <w:color w:val="333333"/>
        </w:rPr>
        <w:tab/>
        <w:t>Observation des élections par des comités apolitiques de citoyens, sans distinction d’origine ethnique ou de religion;</w:t>
      </w:r>
    </w:p>
    <w:p w:rsidR="00000000" w:rsidRDefault="00000000">
      <w:pPr>
        <w:spacing w:after="240"/>
        <w:ind w:firstLine="567"/>
        <w:rPr>
          <w:color w:val="333333"/>
        </w:rPr>
      </w:pPr>
      <w:r>
        <w:rPr>
          <w:color w:val="333333"/>
        </w:rPr>
        <w:t>b)</w:t>
      </w:r>
      <w:r>
        <w:rPr>
          <w:color w:val="333333"/>
        </w:rPr>
        <w:tab/>
        <w:t>Possibilité d’observation des élections par des organisations régionales et internationales;</w:t>
      </w:r>
    </w:p>
    <w:p w:rsidR="00000000" w:rsidRDefault="00000000">
      <w:pPr>
        <w:spacing w:after="240"/>
        <w:ind w:firstLine="567"/>
        <w:rPr>
          <w:color w:val="333333"/>
        </w:rPr>
      </w:pPr>
      <w:r>
        <w:rPr>
          <w:color w:val="333333"/>
        </w:rPr>
        <w:t>c)</w:t>
      </w:r>
      <w:r>
        <w:rPr>
          <w:color w:val="333333"/>
        </w:rPr>
        <w:tab/>
        <w:t>Surveillance des élections effectuée par des associations regroupées d’observateurs;</w:t>
      </w:r>
    </w:p>
    <w:p w:rsidR="00000000" w:rsidRDefault="00000000">
      <w:pPr>
        <w:spacing w:after="240"/>
        <w:ind w:firstLine="567"/>
        <w:rPr>
          <w:color w:val="333333"/>
        </w:rPr>
      </w:pPr>
      <w:r>
        <w:rPr>
          <w:color w:val="333333"/>
        </w:rPr>
        <w:t>d)</w:t>
      </w:r>
      <w:r>
        <w:rPr>
          <w:color w:val="333333"/>
        </w:rPr>
        <w:tab/>
        <w:t>Création d’un Comité de coordination des observateurs des élections, par des associations ou entités de la société civile en association apolitique, institué afin de mieux faire respecter les principes démocratiques lors des élections. Ce Comité est composé exclusivement d’ONG agréées par le Conseil national électoral;</w:t>
      </w:r>
    </w:p>
    <w:p w:rsidR="00000000" w:rsidRDefault="00000000">
      <w:pPr>
        <w:spacing w:after="240"/>
        <w:ind w:firstLine="567"/>
        <w:rPr>
          <w:color w:val="333333"/>
        </w:rPr>
      </w:pPr>
      <w:r>
        <w:rPr>
          <w:color w:val="333333"/>
        </w:rPr>
        <w:t>e)</w:t>
      </w:r>
      <w:r>
        <w:rPr>
          <w:color w:val="333333"/>
        </w:rPr>
        <w:tab/>
        <w:t>Création d’un consortium des observateurs avec une formation préalable dispensée par le CNE en 2001.</w:t>
      </w:r>
    </w:p>
    <w:p w:rsidR="00000000" w:rsidRDefault="00000000">
      <w:pPr>
        <w:spacing w:after="240"/>
        <w:rPr>
          <w:color w:val="333333"/>
        </w:rPr>
      </w:pPr>
      <w:r>
        <w:rPr>
          <w:color w:val="333333"/>
        </w:rPr>
        <w:t>423.</w:t>
      </w:r>
      <w:r>
        <w:rPr>
          <w:color w:val="333333"/>
        </w:rPr>
        <w:tab/>
        <w:t xml:space="preserve">L’ordonnance </w:t>
      </w:r>
      <w:r>
        <w:t>n</w:t>
      </w:r>
      <w:r>
        <w:rPr>
          <w:vertAlign w:val="superscript"/>
        </w:rPr>
        <w:t>o</w:t>
      </w:r>
      <w:r>
        <w:t> </w:t>
      </w:r>
      <w:r>
        <w:rPr>
          <w:color w:val="333333"/>
        </w:rPr>
        <w:t>92</w:t>
      </w:r>
      <w:r>
        <w:rPr>
          <w:color w:val="333333"/>
        </w:rPr>
        <w:noBreakHyphen/>
        <w:t>041 du 2 octobre 1992 portant Code électoral définit le champ d’intervention du Comité national d’observation des élections (CNOE):</w:t>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037"/>
        </w:tabs>
        <w:spacing w:after="240"/>
        <w:rPr>
          <w:color w:val="333333"/>
        </w:rPr>
      </w:pPr>
      <w:r>
        <w:rPr>
          <w:color w:val="333333"/>
        </w:rPr>
        <w:tab/>
        <w:t>a)</w:t>
      </w:r>
      <w:r>
        <w:rPr>
          <w:color w:val="333333"/>
        </w:rPr>
        <w:tab/>
        <w:t>Contrôle du respect des dispositions légales et réglementaires;</w:t>
      </w:r>
    </w:p>
    <w:p w:rsidR="00000000" w:rsidRDefault="00000000">
      <w:pPr>
        <w:spacing w:after="240"/>
        <w:ind w:firstLine="567"/>
        <w:rPr>
          <w:color w:val="333333"/>
        </w:rPr>
      </w:pPr>
      <w:r>
        <w:rPr>
          <w:color w:val="333333"/>
        </w:rPr>
        <w:t>b)</w:t>
      </w:r>
      <w:r>
        <w:rPr>
          <w:color w:val="333333"/>
        </w:rPr>
        <w:tab/>
        <w:t>Éducation des citoyens sur la corrélation entre la dignité du citoyen, la valeur du scrutin, le lien entre le vote individuel et la gestion de l’État;</w:t>
      </w:r>
    </w:p>
    <w:p w:rsidR="00000000" w:rsidRDefault="00000000">
      <w:pPr>
        <w:spacing w:after="240"/>
        <w:ind w:firstLine="567"/>
        <w:rPr>
          <w:color w:val="333333"/>
        </w:rPr>
      </w:pPr>
      <w:r>
        <w:rPr>
          <w:color w:val="333333"/>
        </w:rPr>
        <w:t>c)</w:t>
      </w:r>
      <w:r>
        <w:rPr>
          <w:color w:val="333333"/>
        </w:rPr>
        <w:tab/>
        <w:t>Formation des membres des associations et des bureaux de vote;</w:t>
      </w:r>
    </w:p>
    <w:p w:rsidR="00000000" w:rsidRDefault="00000000">
      <w:pPr>
        <w:spacing w:after="240"/>
        <w:ind w:firstLine="567"/>
        <w:rPr>
          <w:color w:val="333333"/>
        </w:rPr>
      </w:pPr>
      <w:r>
        <w:rPr>
          <w:color w:val="333333"/>
        </w:rPr>
        <w:t>d)</w:t>
      </w:r>
      <w:r>
        <w:rPr>
          <w:color w:val="333333"/>
        </w:rPr>
        <w:tab/>
        <w:t>Préparation d’une convention nationale sur l’observation des élections.</w:t>
      </w:r>
    </w:p>
    <w:p w:rsidR="00000000" w:rsidRDefault="00000000">
      <w:pPr>
        <w:keepNext/>
        <w:spacing w:after="240"/>
        <w:ind w:firstLine="567"/>
        <w:rPr>
          <w:b/>
          <w:bCs/>
        </w:rPr>
      </w:pPr>
      <w:r>
        <w:rPr>
          <w:b/>
          <w:bCs/>
        </w:rPr>
        <w:t>Observation des élections</w:t>
      </w:r>
    </w:p>
    <w:p w:rsidR="00000000" w:rsidRDefault="00000000">
      <w:pPr>
        <w:spacing w:after="240"/>
      </w:pPr>
      <w:r>
        <w:t>424.</w:t>
      </w:r>
      <w:r>
        <w:tab/>
        <w:t>Madagascar admet sans restriction la présence d’observateurs étrangers pour surveiller le déroulement du processus électoral.</w:t>
      </w:r>
    </w:p>
    <w:p w:rsidR="00000000" w:rsidRDefault="00000000">
      <w:pPr>
        <w:spacing w:after="240"/>
      </w:pPr>
      <w:r>
        <w:t>425.</w:t>
      </w:r>
      <w:r>
        <w:tab/>
        <w:t>La participation de la société civile se traduit par des activités de contrôle de régularité et de sincérité des scrutins menées au sein des comités d’observateurs des élections.</w:t>
      </w:r>
    </w:p>
    <w:p w:rsidR="00000000" w:rsidRDefault="00000000">
      <w:pPr>
        <w:keepNext/>
        <w:spacing w:after="240"/>
        <w:ind w:firstLine="567"/>
        <w:rPr>
          <w:b/>
          <w:bCs/>
        </w:rPr>
      </w:pPr>
      <w:r>
        <w:rPr>
          <w:b/>
          <w:bCs/>
        </w:rPr>
        <w:t>Le Conseil national électoral</w:t>
      </w:r>
    </w:p>
    <w:p w:rsidR="00000000" w:rsidRDefault="00000000">
      <w:pPr>
        <w:spacing w:after="240"/>
      </w:pPr>
      <w:r>
        <w:t>426.</w:t>
      </w:r>
      <w:r>
        <w:tab/>
        <w:t>Il a été créé un Conseil national électoral en 1992 pour superviser toutes les opérations relatives au bon déroulement des élections et consultations populaires conformément aux dispositions de l’article 113 de la loi organique n</w:t>
      </w:r>
      <w:r>
        <w:rPr>
          <w:vertAlign w:val="superscript"/>
        </w:rPr>
        <w:t>o</w:t>
      </w:r>
      <w:r>
        <w:t> 2000</w:t>
      </w:r>
      <w:r>
        <w:noBreakHyphen/>
        <w:t>014 du 14 août 2000 portant Code électoral.</w:t>
      </w:r>
    </w:p>
    <w:p w:rsidR="00000000" w:rsidRDefault="00000000">
      <w:pPr>
        <w:spacing w:after="240"/>
      </w:pPr>
      <w:r>
        <w:t>427.</w:t>
      </w:r>
      <w:r>
        <w:tab/>
        <w:t>Le Conseil national électoral est composé:</w:t>
      </w:r>
    </w:p>
    <w:p w:rsidR="00000000" w:rsidRDefault="00000000">
      <w:pPr>
        <w:spacing w:after="240"/>
        <w:ind w:firstLine="567"/>
      </w:pPr>
      <w:r>
        <w:t>a)</w:t>
      </w:r>
      <w:r>
        <w:tab/>
        <w:t>D’un membre désigné par le Président de la République;</w:t>
      </w:r>
    </w:p>
    <w:p w:rsidR="00000000" w:rsidRDefault="00000000">
      <w:pPr>
        <w:spacing w:after="240"/>
        <w:ind w:firstLine="567"/>
      </w:pPr>
      <w:r>
        <w:t>b)</w:t>
      </w:r>
      <w:r>
        <w:tab/>
        <w:t>Du Médiateur ou l’un de ses adjoints;</w:t>
      </w:r>
    </w:p>
    <w:p w:rsidR="00000000" w:rsidRDefault="00000000">
      <w:pPr>
        <w:spacing w:after="240"/>
        <w:ind w:firstLine="567"/>
      </w:pPr>
      <w:r>
        <w:t>c)</w:t>
      </w:r>
      <w:r>
        <w:tab/>
        <w:t>D’un membre désigné par le Ministre chargé de l’intérieur;</w:t>
      </w:r>
    </w:p>
    <w:p w:rsidR="00000000" w:rsidRDefault="00000000">
      <w:pPr>
        <w:spacing w:after="240"/>
        <w:ind w:firstLine="567"/>
      </w:pPr>
      <w:r>
        <w:t>d)</w:t>
      </w:r>
      <w:r>
        <w:tab/>
        <w:t>D’un membre désigné par l’ordre des avocats;</w:t>
      </w:r>
    </w:p>
    <w:p w:rsidR="00000000" w:rsidRDefault="00000000">
      <w:pPr>
        <w:spacing w:after="240"/>
        <w:ind w:firstLine="567"/>
      </w:pPr>
      <w:r>
        <w:t>e)</w:t>
      </w:r>
      <w:r>
        <w:tab/>
        <w:t>D’un membre désigné par l’ordre des journalistes;</w:t>
      </w:r>
    </w:p>
    <w:p w:rsidR="00000000" w:rsidRDefault="00000000">
      <w:pPr>
        <w:spacing w:after="240"/>
        <w:ind w:firstLine="567"/>
      </w:pPr>
      <w:r>
        <w:t>f)</w:t>
      </w:r>
      <w:r>
        <w:tab/>
        <w:t>D’un membre désigné par le premier Président de la Cour suprême;</w:t>
      </w:r>
    </w:p>
    <w:p w:rsidR="00000000" w:rsidRDefault="00000000">
      <w:pPr>
        <w:spacing w:after="240"/>
        <w:ind w:firstLine="567"/>
      </w:pPr>
      <w:r>
        <w:t>g)</w:t>
      </w:r>
      <w:r>
        <w:tab/>
        <w:t>D’un membre désigné par le Procureur général près la Cour suprême.</w:t>
      </w:r>
    </w:p>
    <w:p w:rsidR="00000000" w:rsidRDefault="00000000">
      <w:pPr>
        <w:spacing w:after="240"/>
      </w:pPr>
      <w:r>
        <w:t>428.</w:t>
      </w:r>
      <w:r>
        <w:tab/>
        <w:t>Article 23. Le Conseil national électoral conseille et assiste les autorités chargées d’organiser les élections, et contrôle la bonne exécution des travaux relatifs aux opérations électorales.</w:t>
      </w:r>
    </w:p>
    <w:p w:rsidR="00000000" w:rsidRDefault="00000000">
      <w:pPr>
        <w:spacing w:after="240"/>
      </w:pPr>
      <w:r>
        <w:t>429.</w:t>
      </w:r>
      <w:r>
        <w:tab/>
        <w:t>Article 31. Le Conseil national électoral accorde l’agrément aux organisations non gouvernementales désireuses de participer à l’observation des opérations électorales.</w:t>
      </w:r>
    </w:p>
    <w:p w:rsidR="00000000" w:rsidRDefault="00000000">
      <w:pPr>
        <w:spacing w:after="240"/>
        <w:rPr>
          <w:i/>
          <w:iCs/>
        </w:rPr>
      </w:pPr>
      <w:r>
        <w:t>430.</w:t>
      </w:r>
      <w:r>
        <w:tab/>
        <w:t xml:space="preserve">Article 27 2. </w:t>
      </w:r>
      <w:r>
        <w:rPr>
          <w:iCs/>
        </w:rPr>
        <w:t>«</w:t>
      </w:r>
      <w:r>
        <w:rPr>
          <w:i/>
          <w:iCs/>
        </w:rPr>
        <w:t>(...) En outre, il est habilité à se saisir et à présenter devant les juridictions compétentes:</w:t>
      </w:r>
    </w:p>
    <w:p w:rsidR="00000000" w:rsidRDefault="00000000">
      <w:pPr>
        <w:numPr>
          <w:ilvl w:val="0"/>
          <w:numId w:val="139"/>
        </w:numPr>
        <w:spacing w:after="240"/>
        <w:rPr>
          <w:i/>
          <w:iCs/>
        </w:rPr>
      </w:pPr>
      <w:r>
        <w:rPr>
          <w:i/>
          <w:iCs/>
        </w:rPr>
        <w:t>Soit une requête en dénonciation;</w:t>
      </w:r>
    </w:p>
    <w:p w:rsidR="00000000" w:rsidRDefault="00000000">
      <w:pPr>
        <w:numPr>
          <w:ilvl w:val="0"/>
          <w:numId w:val="139"/>
        </w:numPr>
        <w:spacing w:after="240"/>
        <w:rPr>
          <w:i/>
          <w:iCs/>
        </w:rPr>
      </w:pPr>
      <w:r>
        <w:rPr>
          <w:i/>
          <w:iCs/>
        </w:rPr>
        <w:t>Soit une requête en protestation;</w:t>
      </w:r>
    </w:p>
    <w:p w:rsidR="00000000" w:rsidRDefault="00000000">
      <w:pPr>
        <w:numPr>
          <w:ilvl w:val="0"/>
          <w:numId w:val="139"/>
        </w:numPr>
        <w:spacing w:after="240"/>
        <w:rPr>
          <w:i/>
          <w:iCs/>
        </w:rPr>
      </w:pPr>
      <w:r>
        <w:rPr>
          <w:i/>
          <w:iCs/>
        </w:rPr>
        <w:t>Soit une requête en contestation;</w:t>
      </w:r>
    </w:p>
    <w:p w:rsidR="00000000" w:rsidRDefault="00000000">
      <w:pPr>
        <w:numPr>
          <w:ilvl w:val="0"/>
          <w:numId w:val="139"/>
        </w:numPr>
        <w:spacing w:after="240"/>
        <w:rPr>
          <w:i/>
          <w:iCs/>
        </w:rPr>
      </w:pPr>
      <w:r>
        <w:rPr>
          <w:i/>
          <w:iCs/>
        </w:rPr>
        <w:t>Soit une requête en répression;</w:t>
      </w:r>
    </w:p>
    <w:p w:rsidR="00000000" w:rsidRDefault="00000000">
      <w:pPr>
        <w:numPr>
          <w:ilvl w:val="0"/>
          <w:numId w:val="139"/>
        </w:numPr>
        <w:spacing w:after="240"/>
        <w:rPr>
          <w:i/>
          <w:iCs/>
        </w:rPr>
      </w:pPr>
      <w:r>
        <w:rPr>
          <w:i/>
          <w:iCs/>
        </w:rPr>
        <w:t>Soit un recours en contentieux des élections.</w:t>
      </w:r>
    </w:p>
    <w:p w:rsidR="00000000" w:rsidRDefault="00000000">
      <w:pPr>
        <w:spacing w:after="240"/>
        <w:rPr>
          <w:i/>
          <w:iCs/>
        </w:rPr>
      </w:pPr>
      <w:r>
        <w:rPr>
          <w:i/>
          <w:iCs/>
        </w:rPr>
        <w:t>À cet effet, il a droit d’ester en justice.</w:t>
      </w:r>
      <w:r>
        <w:rPr>
          <w:iCs/>
        </w:rPr>
        <w:t>».</w:t>
      </w:r>
    </w:p>
    <w:p w:rsidR="00000000" w:rsidRDefault="00000000">
      <w:pPr>
        <w:spacing w:after="240"/>
        <w:ind w:firstLine="567"/>
        <w:rPr>
          <w:b/>
          <w:bCs/>
        </w:rPr>
      </w:pPr>
      <w:r>
        <w:rPr>
          <w:b/>
          <w:bCs/>
        </w:rPr>
        <w:t>Accès à la Fonction Publique</w:t>
      </w:r>
    </w:p>
    <w:p w:rsidR="00000000" w:rsidRDefault="00000000">
      <w:pPr>
        <w:spacing w:after="240"/>
      </w:pPr>
      <w:r>
        <w:t>431.</w:t>
      </w:r>
      <w:r>
        <w:tab/>
        <w:t>L’article 27 de la Constitution de 1992 énonce les conditions exigées pour accéder à la fonction publique dans les termes suivants:</w:t>
      </w:r>
    </w:p>
    <w:p w:rsidR="00000000" w:rsidRDefault="00000000">
      <w:pPr>
        <w:spacing w:after="240"/>
        <w:ind w:left="567"/>
        <w:rPr>
          <w:i/>
          <w:iCs/>
        </w:rPr>
      </w:pPr>
      <w:r>
        <w:t>«</w:t>
      </w:r>
      <w:r>
        <w:rPr>
          <w:i/>
          <w:iCs/>
        </w:rPr>
        <w:t>Le travail et la formation professionnelle sont pour tout citoyen un droit et un devoir.</w:t>
      </w:r>
    </w:p>
    <w:p w:rsidR="00000000" w:rsidRDefault="00000000">
      <w:pPr>
        <w:spacing w:after="240"/>
        <w:ind w:left="567"/>
        <w:rPr>
          <w:i/>
          <w:iCs/>
        </w:rPr>
      </w:pPr>
      <w:r>
        <w:rPr>
          <w:i/>
          <w:iCs/>
        </w:rPr>
        <w:t>L’accès aux fonctions publiques est ouvert à tout citoyen sans autres conditions que celles de la capacité et des aptitudes.</w:t>
      </w:r>
    </w:p>
    <w:p w:rsidR="00000000" w:rsidRDefault="00000000">
      <w:pPr>
        <w:spacing w:after="240"/>
        <w:ind w:left="567"/>
      </w:pPr>
      <w:r>
        <w:rPr>
          <w:i/>
          <w:iCs/>
        </w:rPr>
        <w:t>Toutefois, le recrutement dans la fonction publique peut être assorti de contingentement par provinces autonomes pendant une période dont la durée et les modalités seront déterminées par la loi.</w:t>
      </w:r>
      <w:r>
        <w:t>».</w:t>
      </w:r>
    </w:p>
    <w:p w:rsidR="00000000" w:rsidRDefault="00000000">
      <w:pPr>
        <w:spacing w:after="240"/>
      </w:pPr>
      <w:r>
        <w:t>432.</w:t>
      </w:r>
      <w:r>
        <w:tab/>
        <w:t xml:space="preserve">La Constitution précise les conditions générales d’égalité d’accès aux fonctions publiques tout en admettant la pratique d’une discrimination positive au profit des candidats issus des provinces. Il faut comprendre cette mesure comme étant le palliatif nécessaire pour établir une égalité de chance faussée par l’insuffisance des moyens matériels et humains en matière d’enseignement dans les provinces. </w:t>
      </w:r>
    </w:p>
    <w:p w:rsidR="00000000" w:rsidRDefault="00000000">
      <w:pPr>
        <w:spacing w:after="240"/>
      </w:pPr>
      <w:r>
        <w:t>433.</w:t>
      </w:r>
      <w:r>
        <w:tab/>
        <w:t>Sur le plan législatif, la loi n</w:t>
      </w:r>
      <w:r>
        <w:rPr>
          <w:vertAlign w:val="superscript"/>
        </w:rPr>
        <w:t>o</w:t>
      </w:r>
      <w:r>
        <w:t> 2003</w:t>
      </w:r>
      <w:r>
        <w:noBreakHyphen/>
        <w:t>011 du 3 Septembre 2003 portant statut général des fonctionnaires pose les conditions générales d’accès à la fonction publique.</w:t>
      </w:r>
    </w:p>
    <w:p w:rsidR="00000000" w:rsidRDefault="00000000">
      <w:pPr>
        <w:spacing w:after="240"/>
      </w:pPr>
      <w:r>
        <w:t>434.</w:t>
      </w:r>
      <w:r>
        <w:tab/>
        <w:t>Elle affirme dans son article 17 que: «</w:t>
      </w:r>
      <w:r>
        <w:rPr>
          <w:i/>
          <w:iCs/>
        </w:rPr>
        <w:t>nul ne peut être nommé à un emploi de fonctionnaire s’il ne remplit les conditions ci-après</w:t>
      </w:r>
      <w:r>
        <w:t>:</w:t>
      </w:r>
    </w:p>
    <w:p w:rsidR="00000000" w:rsidRDefault="00000000">
      <w:pPr>
        <w:spacing w:after="240"/>
        <w:ind w:firstLine="567"/>
        <w:rPr>
          <w:i/>
          <w:iCs/>
        </w:rPr>
      </w:pPr>
      <w:r>
        <w:rPr>
          <w:i/>
          <w:iCs/>
        </w:rPr>
        <w:t>a)</w:t>
      </w:r>
      <w:r>
        <w:rPr>
          <w:i/>
          <w:iCs/>
        </w:rPr>
        <w:tab/>
        <w:t>Être de nationalité malgache;</w:t>
      </w:r>
    </w:p>
    <w:p w:rsidR="00000000" w:rsidRDefault="00000000">
      <w:pPr>
        <w:spacing w:after="240"/>
        <w:ind w:firstLine="567"/>
        <w:rPr>
          <w:i/>
          <w:iCs/>
        </w:rPr>
      </w:pPr>
      <w:r>
        <w:rPr>
          <w:i/>
          <w:iCs/>
        </w:rPr>
        <w:t>b)</w:t>
      </w:r>
      <w:r>
        <w:rPr>
          <w:i/>
          <w:iCs/>
        </w:rPr>
        <w:tab/>
        <w:t>Jouir des droits civiques;</w:t>
      </w:r>
    </w:p>
    <w:p w:rsidR="00000000" w:rsidRDefault="00000000">
      <w:pPr>
        <w:spacing w:after="240"/>
        <w:ind w:firstLine="567"/>
      </w:pPr>
      <w:r>
        <w:rPr>
          <w:i/>
          <w:iCs/>
        </w:rPr>
        <w:t>c)</w:t>
      </w:r>
      <w:r>
        <w:rPr>
          <w:i/>
          <w:iCs/>
        </w:rPr>
        <w:tab/>
        <w:t>Se trouver en position régulière vis-à-vis du service national;</w:t>
      </w:r>
    </w:p>
    <w:p w:rsidR="00000000" w:rsidRDefault="00000000">
      <w:pPr>
        <w:spacing w:after="240"/>
        <w:ind w:firstLine="567"/>
        <w:rPr>
          <w:i/>
          <w:iCs/>
        </w:rPr>
      </w:pPr>
      <w:r>
        <w:rPr>
          <w:i/>
          <w:iCs/>
        </w:rPr>
        <w:t>d)</w:t>
      </w:r>
      <w:r>
        <w:rPr>
          <w:i/>
          <w:iCs/>
        </w:rPr>
        <w:tab/>
        <w:t>Être reconnu apte physiquement et médicalement pour servir la fonction;</w:t>
      </w:r>
    </w:p>
    <w:p w:rsidR="00000000" w:rsidRDefault="00000000">
      <w:pPr>
        <w:spacing w:after="240"/>
        <w:ind w:firstLine="567"/>
        <w:rPr>
          <w:i/>
          <w:iCs/>
        </w:rPr>
      </w:pPr>
      <w:r>
        <w:rPr>
          <w:i/>
          <w:iCs/>
        </w:rPr>
        <w:t>e)</w:t>
      </w:r>
      <w:r>
        <w:rPr>
          <w:i/>
          <w:iCs/>
        </w:rPr>
        <w:tab/>
        <w:t>Être âgé de 18 ans au moins et 45 ans au plus au 1</w:t>
      </w:r>
      <w:r>
        <w:rPr>
          <w:i/>
          <w:iCs/>
          <w:vertAlign w:val="superscript"/>
        </w:rPr>
        <w:t>er</w:t>
      </w:r>
      <w:r>
        <w:rPr>
          <w:i/>
          <w:iCs/>
        </w:rPr>
        <w:t xml:space="preserve"> janvier de l’année portant ouverture du concours, s’il s’agit d’un premier recrutement;</w:t>
      </w:r>
    </w:p>
    <w:p w:rsidR="00000000" w:rsidRDefault="00000000">
      <w:pPr>
        <w:spacing w:after="240"/>
        <w:ind w:firstLine="567"/>
      </w:pPr>
      <w:r>
        <w:rPr>
          <w:i/>
          <w:iCs/>
        </w:rPr>
        <w:t>f)</w:t>
      </w:r>
      <w:r>
        <w:rPr>
          <w:i/>
          <w:iCs/>
        </w:rPr>
        <w:tab/>
        <w:t>Être titulaire de l’un des titres requis pour le niveau minimum de recrutement du cadre et échelle.</w:t>
      </w:r>
      <w:r>
        <w:t>».</w:t>
      </w:r>
    </w:p>
    <w:p w:rsidR="00000000" w:rsidRDefault="00000000">
      <w:pPr>
        <w:spacing w:after="240"/>
      </w:pPr>
      <w:r>
        <w:t>435.</w:t>
      </w:r>
      <w:r>
        <w:tab/>
        <w:t xml:space="preserve">La juridiction administrative sanctionne la violation par l’Administration, de tout acte portant atteinte à l’égalité d’accès aux fonctions publiques. </w:t>
      </w:r>
    </w:p>
    <w:p w:rsidR="00000000" w:rsidRDefault="00000000">
      <w:pPr>
        <w:spacing w:after="240"/>
      </w:pPr>
      <w:r>
        <w:t>436.</w:t>
      </w:r>
      <w:r>
        <w:tab/>
        <w:t>À</w:t>
      </w:r>
      <w:r>
        <w:rPr>
          <w:i/>
          <w:iCs/>
        </w:rPr>
        <w:t xml:space="preserve"> </w:t>
      </w:r>
      <w:r>
        <w:t>titre d’illustration, la Chambre administrative par son arrêt n</w:t>
      </w:r>
      <w:r>
        <w:rPr>
          <w:vertAlign w:val="superscript"/>
        </w:rPr>
        <w:t>o</w:t>
      </w:r>
      <w:r>
        <w:t> 30/76</w:t>
      </w:r>
      <w:r>
        <w:noBreakHyphen/>
        <w:t>ADM du 7 mai 1997 a déclaré recevable l’action intentée par le syndicat de contrôleurs des prix et des enquêtes économiques pour la défense de l’intérêt de ses membres ayant vocation à accéder au corps des Commissaires au prix soit par voie de concours professionnel, soit par le moyen de l’avancement au choix, alors que l’effectif réglementaire dudit corps est limité et alors que la décision attaquée déroge aux conditions normalement prévues pour l’accession d’un corps à l’autre.</w:t>
      </w:r>
    </w:p>
    <w:p w:rsidR="00000000" w:rsidRDefault="00000000">
      <w:pPr>
        <w:spacing w:after="240"/>
      </w:pPr>
      <w:r>
        <w:t>437.</w:t>
      </w:r>
      <w:r>
        <w:tab/>
        <w:t>Dans le même sens, la Chambre administrative dans son arrêt n</w:t>
      </w:r>
      <w:r>
        <w:rPr>
          <w:vertAlign w:val="superscript"/>
        </w:rPr>
        <w:t>o</w:t>
      </w:r>
      <w:r>
        <w:t> 17/78</w:t>
      </w:r>
      <w:r>
        <w:noBreakHyphen/>
        <w:t>ADM et 39/78</w:t>
      </w:r>
      <w:r>
        <w:noBreakHyphen/>
        <w:t>ADM du 7 avril 1979 a annulé les résultats d’un concours au motif que l’arrêté portant ouverture de concours n’a été publié que 19 jours après la clôture des inscriptions. Cet arrêt illustre la violation du principe de l’égalité d’accès des candidats au concours d’entrée dans la fonction publique.</w:t>
      </w:r>
    </w:p>
    <w:p w:rsidR="00000000" w:rsidRDefault="00000000">
      <w:pPr>
        <w:keepNext/>
        <w:spacing w:after="240"/>
        <w:jc w:val="center"/>
        <w:rPr>
          <w:b/>
          <w:bCs/>
        </w:rPr>
      </w:pPr>
      <w:bookmarkStart w:id="405" w:name="_Toc98224918"/>
      <w:r>
        <w:rPr>
          <w:b/>
          <w:bCs/>
        </w:rPr>
        <w:t>ARTICLE 26</w:t>
      </w:r>
      <w:bookmarkEnd w:id="405"/>
    </w:p>
    <w:p w:rsidR="00000000" w:rsidRDefault="00000000">
      <w:pPr>
        <w:keepNext/>
        <w:spacing w:after="240"/>
        <w:jc w:val="center"/>
        <w:rPr>
          <w:b/>
          <w:bCs/>
        </w:rPr>
      </w:pPr>
      <w:r>
        <w:rPr>
          <w:b/>
          <w:bCs/>
        </w:rPr>
        <w:t>Principe de non</w:t>
      </w:r>
      <w:r>
        <w:rPr>
          <w:b/>
          <w:bCs/>
        </w:rPr>
        <w:noBreakHyphen/>
        <w:t>discrimination devant la loi</w:t>
      </w:r>
    </w:p>
    <w:p w:rsidR="00000000" w:rsidRDefault="00000000">
      <w:pPr>
        <w:spacing w:after="240"/>
        <w:rPr>
          <w:color w:val="333333"/>
        </w:rPr>
      </w:pPr>
      <w:r>
        <w:rPr>
          <w:color w:val="333333"/>
        </w:rPr>
        <w:t>438.</w:t>
      </w:r>
      <w:r>
        <w:rPr>
          <w:color w:val="333333"/>
        </w:rPr>
        <w:tab/>
        <w:t>Les progrès accomplis dans le domaine de l’application du principe d’égalité devant la loi sont exprimés dans la nouvelle Constitution adoptée en 1992.</w:t>
      </w:r>
    </w:p>
    <w:p w:rsidR="00000000" w:rsidRDefault="00000000">
      <w:pPr>
        <w:spacing w:after="240"/>
        <w:rPr>
          <w:color w:val="333333"/>
        </w:rPr>
      </w:pPr>
      <w:r>
        <w:rPr>
          <w:color w:val="333333"/>
        </w:rPr>
        <w:t>439.</w:t>
      </w:r>
      <w:r>
        <w:rPr>
          <w:color w:val="333333"/>
        </w:rPr>
        <w:tab/>
        <w:t>Les constituants ont été guidés par l’idée de donner à la vie politique une nouvelle base libérale et démocratique.</w:t>
      </w:r>
    </w:p>
    <w:p w:rsidR="00000000" w:rsidRDefault="00000000">
      <w:pPr>
        <w:spacing w:after="240"/>
        <w:rPr>
          <w:color w:val="333333"/>
        </w:rPr>
      </w:pPr>
      <w:r>
        <w:rPr>
          <w:color w:val="333333"/>
        </w:rPr>
        <w:t>440.</w:t>
      </w:r>
      <w:r>
        <w:rPr>
          <w:color w:val="333333"/>
        </w:rPr>
        <w:tab/>
        <w:t>Les droits de participation à la vie politique ne sont plus conditionnés par l’appartenance à un parti politique affilié au FNDR.</w:t>
      </w:r>
    </w:p>
    <w:p w:rsidR="00000000" w:rsidRDefault="00000000">
      <w:pPr>
        <w:spacing w:after="240"/>
        <w:rPr>
          <w:color w:val="333333"/>
        </w:rPr>
      </w:pPr>
      <w:r>
        <w:rPr>
          <w:color w:val="333333"/>
        </w:rPr>
        <w:t>441.</w:t>
      </w:r>
      <w:r>
        <w:rPr>
          <w:color w:val="333333"/>
        </w:rPr>
        <w:tab/>
        <w:t>Par ailleurs, la Constitution consacre le principe selon lequel tous sont égaux devant la loi, c’est-à-dire que nul ne doit être désavantagé ni favorisé en raison de son sexe, de sa race, de sa langue, de sa religion ou de son appartenance à un parti politique.</w:t>
      </w:r>
    </w:p>
    <w:p w:rsidR="00000000" w:rsidRDefault="00000000">
      <w:pPr>
        <w:spacing w:after="240"/>
        <w:rPr>
          <w:i/>
          <w:iCs/>
        </w:rPr>
      </w:pPr>
      <w:r>
        <w:t>442.</w:t>
      </w:r>
      <w:r>
        <w:tab/>
        <w:t xml:space="preserve">Dans ce sens, l’article 8 de la Constitution de 1992 énonce que: </w:t>
      </w:r>
      <w:r>
        <w:rPr>
          <w:iCs/>
        </w:rPr>
        <w:t>«</w:t>
      </w:r>
      <w:r>
        <w:rPr>
          <w:i/>
          <w:iCs/>
        </w:rPr>
        <w:t>Les nationaux sont égaux en droit et jouissent des mêmes libertés fondamentales protégées par la loi sans discrimination fondée sur le sexe, le degré d’instruction, la fortune, l’origine, la race, la croyance religieuse ou l’opinion.</w:t>
      </w:r>
      <w:r>
        <w:rPr>
          <w:iCs/>
        </w:rPr>
        <w:t>»</w:t>
      </w:r>
      <w:r>
        <w:rPr>
          <w:i/>
          <w:iCs/>
        </w:rPr>
        <w:t>.</w:t>
      </w:r>
    </w:p>
    <w:p w:rsidR="00000000" w:rsidRDefault="00000000">
      <w:pPr>
        <w:spacing w:after="240"/>
      </w:pPr>
      <w:r>
        <w:t>443.</w:t>
      </w:r>
      <w:r>
        <w:tab/>
        <w:t>En outre, des mesures concrètes ont été prises pour prévenir et réprimer toutes formes de discrimination.</w:t>
      </w:r>
    </w:p>
    <w:p w:rsidR="00000000" w:rsidRDefault="00000000">
      <w:pPr>
        <w:spacing w:after="240"/>
      </w:pPr>
      <w:r>
        <w:t>444.</w:t>
      </w:r>
      <w:r>
        <w:tab/>
        <w:t>Rappelons que l’article 115 du Code pénal punit le refus d’un droit fondé sur l’origine d’une personne, de sa couleur, de son sexe, de sa situation de famille ou de son appartenance ou de sa non-appartenance, vraie ou supposée, à une ethnie, une nation, une race ou une religion déterminée.</w:t>
      </w:r>
    </w:p>
    <w:p w:rsidR="00000000" w:rsidRDefault="00000000">
      <w:pPr>
        <w:spacing w:after="240"/>
      </w:pPr>
      <w:r>
        <w:t>445.</w:t>
      </w:r>
      <w:r>
        <w:tab/>
        <w:t>La peine encourue est de un mois à un an d’emprisonnement et d’une amende de 50 000 à 250 000 francs malagasy ou l’une de ces deux peines seulement.</w:t>
      </w:r>
    </w:p>
    <w:p w:rsidR="00000000" w:rsidRDefault="00000000">
      <w:pPr>
        <w:spacing w:after="240"/>
      </w:pPr>
      <w:r>
        <w:t>446.</w:t>
      </w:r>
      <w:r>
        <w:tab/>
        <w:t>La peine est doublée lorsque l’auteur est un dépositaire de l’autorité publique ou un citoyen chargé d’un ministère de service public dans l’exercice ou à l’occasion de l’exercice de ses fonctions.</w:t>
      </w:r>
    </w:p>
    <w:p w:rsidR="00000000" w:rsidRDefault="00000000">
      <w:pPr>
        <w:spacing w:after="240"/>
      </w:pPr>
      <w:r>
        <w:t>447.</w:t>
      </w:r>
      <w:r>
        <w:tab/>
        <w:t>Des mesures de réformes législatives ont été réalisées pour supprimer les discriminations à l’égard des femmes. C’est ainsi la loi sur les régimes matrimoniaux a été modifiée pour établir le partage égalitaire des biens en cas de dissolution de la communauté des époux.</w:t>
      </w:r>
    </w:p>
    <w:p w:rsidR="00000000" w:rsidRDefault="00000000">
      <w:pPr>
        <w:spacing w:after="240"/>
      </w:pPr>
      <w:r>
        <w:t>448.</w:t>
      </w:r>
      <w:r>
        <w:tab/>
        <w:t>À</w:t>
      </w:r>
      <w:r>
        <w:rPr>
          <w:i/>
          <w:iCs/>
        </w:rPr>
        <w:t xml:space="preserve"> </w:t>
      </w:r>
      <w:r>
        <w:t xml:space="preserve">Madagascar, dans des localités enclavées, l’application du principe d’égalité entre homme et femme se heurte à des résistances fondées sur la coutume. </w:t>
      </w:r>
    </w:p>
    <w:p w:rsidR="00000000" w:rsidRDefault="00000000">
      <w:pPr>
        <w:spacing w:after="240"/>
      </w:pPr>
      <w:r>
        <w:t>449.</w:t>
      </w:r>
      <w:r>
        <w:tab/>
        <w:t xml:space="preserve">Actuellement, les autorités gouvernementales et parlementaires lancent des actions de sensibilisation et de conscientisation pour convaincre la population d’adopter un comportement compatible à un traitement juste et équitable. </w:t>
      </w:r>
    </w:p>
    <w:p w:rsidR="00000000" w:rsidRDefault="00000000">
      <w:pPr>
        <w:keepNext/>
        <w:spacing w:after="240"/>
        <w:jc w:val="center"/>
        <w:rPr>
          <w:b/>
          <w:bCs/>
        </w:rPr>
      </w:pPr>
      <w:bookmarkStart w:id="406" w:name="_Toc98224919"/>
      <w:r>
        <w:rPr>
          <w:b/>
          <w:bCs/>
        </w:rPr>
        <w:t>ARTICLE 27</w:t>
      </w:r>
      <w:bookmarkEnd w:id="406"/>
    </w:p>
    <w:p w:rsidR="00000000" w:rsidRDefault="00000000">
      <w:pPr>
        <w:keepNext/>
        <w:spacing w:after="240"/>
        <w:jc w:val="center"/>
        <w:rPr>
          <w:b/>
          <w:bCs/>
        </w:rPr>
      </w:pPr>
      <w:r>
        <w:rPr>
          <w:b/>
          <w:bCs/>
        </w:rPr>
        <w:t>Droits des minorités ethniques, religieuses ou linguistiques</w:t>
      </w:r>
    </w:p>
    <w:p w:rsidR="00000000" w:rsidRDefault="00000000">
      <w:pPr>
        <w:keepNext/>
        <w:spacing w:after="240"/>
        <w:ind w:firstLine="567"/>
        <w:rPr>
          <w:b/>
          <w:bCs/>
        </w:rPr>
      </w:pPr>
      <w:r>
        <w:rPr>
          <w:b/>
          <w:bCs/>
        </w:rPr>
        <w:t>Minorités ethniques</w:t>
      </w:r>
    </w:p>
    <w:p w:rsidR="00000000" w:rsidRDefault="00000000">
      <w:pPr>
        <w:spacing w:after="240"/>
      </w:pPr>
      <w:r>
        <w:t>450.</w:t>
      </w:r>
      <w:r>
        <w:tab/>
        <w:t>À</w:t>
      </w:r>
      <w:r>
        <w:rPr>
          <w:i/>
          <w:iCs/>
        </w:rPr>
        <w:t xml:space="preserve"> </w:t>
      </w:r>
      <w:r>
        <w:t>Madagascar, il n’existe pas de minorités ethniques victimes de discrimination au sens du Pacte.</w:t>
      </w:r>
    </w:p>
    <w:p w:rsidR="00000000" w:rsidRDefault="00000000">
      <w:pPr>
        <w:spacing w:after="240"/>
      </w:pPr>
      <w:r>
        <w:t>451.</w:t>
      </w:r>
      <w:r>
        <w:tab/>
        <w:t xml:space="preserve">La jouissance et l’exercice des droits civils et politiques sont protégés sans discrimination fondée sur l’origine ethnique. </w:t>
      </w:r>
    </w:p>
    <w:p w:rsidR="00000000" w:rsidRDefault="00000000">
      <w:pPr>
        <w:keepNext/>
        <w:spacing w:after="240"/>
        <w:ind w:firstLine="567"/>
        <w:rPr>
          <w:b/>
          <w:bCs/>
        </w:rPr>
      </w:pPr>
      <w:r>
        <w:rPr>
          <w:b/>
          <w:bCs/>
        </w:rPr>
        <w:t>Droit à la liberté de religion</w:t>
      </w:r>
    </w:p>
    <w:p w:rsidR="00000000" w:rsidRDefault="00000000">
      <w:pPr>
        <w:spacing w:after="240"/>
      </w:pPr>
      <w:r>
        <w:t>452.</w:t>
      </w:r>
      <w:r>
        <w:tab/>
        <w:t>La liberté de religion visée à l’article 10 de la Constitution a fait l’objet de la loi n</w:t>
      </w:r>
      <w:r>
        <w:rPr>
          <w:vertAlign w:val="superscript"/>
        </w:rPr>
        <w:t>o</w:t>
      </w:r>
      <w:r>
        <w:t> 62</w:t>
      </w:r>
      <w:r>
        <w:noBreakHyphen/>
        <w:t>117 du 1</w:t>
      </w:r>
      <w:r>
        <w:rPr>
          <w:vertAlign w:val="superscript"/>
        </w:rPr>
        <w:t>er</w:t>
      </w:r>
      <w:r>
        <w:t xml:space="preserve"> octobre 1962.</w:t>
      </w:r>
    </w:p>
    <w:p w:rsidR="00000000" w:rsidRDefault="00000000">
      <w:pPr>
        <w:spacing w:after="240"/>
      </w:pPr>
      <w:r>
        <w:t>453.</w:t>
      </w:r>
      <w:r>
        <w:tab/>
        <w:t>La liberté du culte se traduit par la possibilité égale pour chaque communauté de fidèles de se livrer aux pratiques liées à leur confession religieuse.</w:t>
      </w:r>
    </w:p>
    <w:p w:rsidR="00000000" w:rsidRDefault="00000000">
      <w:pPr>
        <w:spacing w:after="240"/>
      </w:pPr>
      <w:r>
        <w:t>454.</w:t>
      </w:r>
      <w:r>
        <w:tab/>
        <w:t>Chaque communauté de croyants regroupés en églises, temples, paroisses, bénéficie de la même liberté de célébrer son culte tant à l’intérieur qu’à l’extérieur des édifices cultuels, sauf atteinte à l’ordre public, aux libertés et droits d’autrui.</w:t>
      </w:r>
    </w:p>
    <w:p w:rsidR="00000000" w:rsidRDefault="00000000">
      <w:pPr>
        <w:spacing w:after="240"/>
        <w:rPr>
          <w:color w:val="333333"/>
        </w:rPr>
      </w:pPr>
      <w:r>
        <w:t>455.</w:t>
      </w:r>
      <w:r>
        <w:tab/>
        <w:t>Les libertés de culte et d’instruction religieuse sont respectées dans les établissements privés confessionnels lesquels ne s’opposent pas à l’admission d’élèves issus de confession différente</w:t>
      </w:r>
      <w:r>
        <w:rPr>
          <w:color w:val="333333"/>
        </w:rPr>
        <w:t>.</w:t>
      </w:r>
    </w:p>
    <w:p w:rsidR="00000000" w:rsidRDefault="00000000">
      <w:pPr>
        <w:spacing w:after="240"/>
      </w:pPr>
      <w:r>
        <w:t>456.</w:t>
      </w:r>
      <w:r>
        <w:tab/>
        <w:t>Par respect du principe de la laïcité de l’État, les établissements d’enseignement public ne dispensent pas de cours d’instruction religieuse.</w:t>
      </w:r>
    </w:p>
    <w:p w:rsidR="00000000" w:rsidRDefault="00000000">
      <w:pPr>
        <w:keepNext/>
        <w:spacing w:after="240"/>
        <w:ind w:firstLine="567"/>
        <w:rPr>
          <w:b/>
          <w:bCs/>
        </w:rPr>
      </w:pPr>
      <w:r>
        <w:rPr>
          <w:b/>
          <w:bCs/>
        </w:rPr>
        <w:t>Droits des minorités linguistiques</w:t>
      </w:r>
    </w:p>
    <w:p w:rsidR="00000000" w:rsidRDefault="00000000">
      <w:pPr>
        <w:spacing w:after="240"/>
      </w:pPr>
      <w:r>
        <w:t>457.</w:t>
      </w:r>
      <w:r>
        <w:tab/>
        <w:t>À Madagascar, la pratique d’une langue officielle en plus des dialectes régionaux constitue un facteur de consolidation de l’unité nationale et de la cohésion sociale.</w:t>
      </w:r>
    </w:p>
    <w:p w:rsidR="00000000" w:rsidRDefault="00000000">
      <w:pPr>
        <w:spacing w:after="240"/>
      </w:pPr>
      <w:r>
        <w:t>458.</w:t>
      </w:r>
      <w:r>
        <w:tab/>
        <w:t>Les minorités étrangères sont libres d’utiliser leur langue nationale dans les domaines de l’enseignement, de la religion ou dans d’autres activités artistiques et culturelles. Ils peuvent accéder aux services publics ou privés en pratiquant leur propre langue avec le concours d’un interprète.</w:t>
      </w:r>
    </w:p>
    <w:p w:rsidR="00000000" w:rsidRDefault="00000000">
      <w:pPr>
        <w:keepNext/>
        <w:spacing w:after="240"/>
        <w:jc w:val="center"/>
        <w:rPr>
          <w:b/>
          <w:bCs/>
        </w:rPr>
      </w:pPr>
      <w:r>
        <w:rPr>
          <w:b/>
          <w:bCs/>
        </w:rPr>
        <w:t>CONCLUSION</w:t>
      </w:r>
    </w:p>
    <w:p w:rsidR="00000000" w:rsidRDefault="00000000">
      <w:pPr>
        <w:spacing w:after="240"/>
      </w:pPr>
      <w:r>
        <w:t>459.</w:t>
      </w:r>
      <w:r>
        <w:tab/>
        <w:t>Pour conclure, les quelques observations ci-après méritent d’être soulevées:</w:t>
      </w:r>
    </w:p>
    <w:p w:rsidR="00000000" w:rsidRDefault="00000000">
      <w:pPr>
        <w:spacing w:after="240"/>
      </w:pPr>
      <w:r>
        <w:tab/>
        <w:t>L’impact de la crise postélectorale courant 2002, les effets dévastateurs des cyclones et inondations d’une grande partie des zones de culture rizicole, la hausse du coût du pétrole et du riz sur le marché international et la dépréciation de la monnaie ont provoqué une dégradation de la situation économique malagasy.</w:t>
      </w:r>
    </w:p>
    <w:p w:rsidR="00000000" w:rsidRDefault="00000000">
      <w:pPr>
        <w:spacing w:after="240"/>
      </w:pPr>
      <w:r>
        <w:t>460.</w:t>
      </w:r>
      <w:r>
        <w:tab/>
        <w:t xml:space="preserve">Malgré cette situation, deux ans après la crise, l’État malagasy a pu: </w:t>
      </w:r>
    </w:p>
    <w:p w:rsidR="00000000" w:rsidRDefault="00000000">
      <w:pPr>
        <w:spacing w:after="240"/>
        <w:ind w:firstLine="567"/>
      </w:pPr>
      <w:r>
        <w:t>a)</w:t>
      </w:r>
      <w:r>
        <w:tab/>
        <w:t>Atteindre un taux de croissance économique de l’ordre de 5 % et le point d’achèvement suivi d’un effacement d’une grande partie de la dette extérieure;</w:t>
      </w:r>
    </w:p>
    <w:p w:rsidR="00000000" w:rsidRDefault="00000000">
      <w:pPr>
        <w:spacing w:after="240"/>
        <w:ind w:firstLine="567"/>
      </w:pPr>
      <w:r>
        <w:t>b)</w:t>
      </w:r>
      <w:r>
        <w:tab/>
        <w:t>Satisfaire aux conditions d’éligibilité dans le cadre du Programme du «</w:t>
      </w:r>
      <w:r>
        <w:rPr>
          <w:i/>
          <w:iCs/>
        </w:rPr>
        <w:t>Millenium Challenge Account</w:t>
      </w:r>
      <w:r>
        <w:t>»;</w:t>
      </w:r>
    </w:p>
    <w:p w:rsidR="00000000" w:rsidRDefault="00000000">
      <w:pPr>
        <w:spacing w:after="240"/>
        <w:ind w:firstLine="567"/>
      </w:pPr>
      <w:r>
        <w:t>c)</w:t>
      </w:r>
      <w:r>
        <w:tab/>
        <w:t>Bénéficier des appuis financiers et techniques auprès des autres partenaires, dont l’Union européenne;</w:t>
      </w:r>
    </w:p>
    <w:p w:rsidR="00000000" w:rsidRDefault="00000000">
      <w:pPr>
        <w:spacing w:after="240"/>
      </w:pPr>
      <w:r>
        <w:t>461.</w:t>
      </w:r>
      <w:r>
        <w:tab/>
        <w:t>Dans un premier temps, l’État malagasy s’est attelé à la réinstauration immédiate de la sécurité ainsi qu’à la levée des barrages antiéconomiques pour permettre la libre circulation des personnes et des biens. Dans le même sens, des mesures ont été prises pour réhabiliter les infrastructures endommagées durant la crise.</w:t>
      </w:r>
    </w:p>
    <w:p w:rsidR="00000000" w:rsidRDefault="00000000">
      <w:pPr>
        <w:spacing w:after="240"/>
      </w:pPr>
      <w:r>
        <w:t>462.</w:t>
      </w:r>
      <w:r>
        <w:tab/>
        <w:t>Les auteurs d’exactions, de crimes et délits de dégradation d’ouvrages publics, ceux convaincus de propagande de haine raciale et de déclaration de sécession ont été arrêtés et traduits en Justice.</w:t>
      </w:r>
    </w:p>
    <w:p w:rsidR="00000000" w:rsidRDefault="00000000">
      <w:pPr>
        <w:spacing w:after="240"/>
      </w:pPr>
      <w:r>
        <w:t>463.</w:t>
      </w:r>
      <w:r>
        <w:tab/>
        <w:t>Par la suite, le Gouvernement a tenu des élections parlementaires et communales en vue de désigner les représentants du peuple en charge de légiférer en leur nom et de participer à la gestion des affaires publiques.</w:t>
      </w:r>
    </w:p>
    <w:p w:rsidR="00000000" w:rsidRDefault="00000000">
      <w:pPr>
        <w:spacing w:after="240"/>
      </w:pPr>
      <w:r>
        <w:t>464.</w:t>
      </w:r>
      <w:r>
        <w:tab/>
        <w:t xml:space="preserve">Simultanément, des réformes économiques et institutionnelles ont été mises en œuvre pour libéraliser le marché (désengagement de l’État, régulation du marché par la loi de l’offre et de la demande, instauration progressive de la libre concurrence, ouverture de l’économie). </w:t>
      </w:r>
    </w:p>
    <w:p w:rsidR="00000000" w:rsidRDefault="00000000">
      <w:pPr>
        <w:spacing w:after="240"/>
      </w:pPr>
      <w:r>
        <w:t>465.</w:t>
      </w:r>
      <w:r>
        <w:tab/>
        <w:t xml:space="preserve">Avec le concours des partenaires internationaux, le Gouvernement a entrepris des initiatives pour réhabiliter le pays dans tous les secteurs et plus particulièrement dans le domaine de l’économie, de l’éducation, de la santé, de l’agriculture et de la justice. </w:t>
      </w:r>
    </w:p>
    <w:p w:rsidR="00000000" w:rsidRDefault="00000000">
      <w:pPr>
        <w:spacing w:after="240"/>
      </w:pPr>
      <w:r>
        <w:t>466.</w:t>
      </w:r>
      <w:r>
        <w:tab/>
        <w:t>Par ailleurs, les programmes de construction et de réhabilitation des routes ont été réalisés pour créer un environnement favorable à l’application de la politique de développement, et ce dans le but de réduire de moitié le taux de pauvreté d’ici 2010.</w:t>
      </w:r>
    </w:p>
    <w:p w:rsidR="00000000" w:rsidRDefault="00000000">
      <w:pPr>
        <w:spacing w:after="240"/>
      </w:pPr>
      <w:r>
        <w:t>467.</w:t>
      </w:r>
      <w:r>
        <w:tab/>
        <w:t>Dans le cadre la mise en place d’un État de droit et d’une société démocratique bien gouvernée, la lutte contre la corruption figure parmi les actions prioritaires de l’actuel Gouvernement. Outre la ratification de la Convention y afférente, Madagascar a procédé à la réforme de sa législation nationale et à la création d’organismes indépendants anticorruption.</w:t>
      </w:r>
    </w:p>
    <w:p w:rsidR="00000000" w:rsidRDefault="00000000">
      <w:pPr>
        <w:spacing w:after="240"/>
      </w:pPr>
      <w:r>
        <w:t>468.</w:t>
      </w:r>
      <w:r>
        <w:tab/>
        <w:t>Le présent rapport réalisé, avec le soutien de l’Union européenne et du PNUD, exprime la ferme volonté de l’État malagasy de s’acquitter de ses obligations nées de la ratification du Pacte relatif aux droits civils et politiques et d’exécuter en toute bonne foi les directives de son application en droit interne.</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15"/>
      <w:headerReference w:type="default" r:id="rId16"/>
      <w:footerReference w:type="first" r:id="rId17"/>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42327  (F)    130605    160605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est publié sans avoir été soumis aux services d’édition, conformément au souhait exprimé par le Comité des droits de l’homme à sa soixante</w:t>
      </w:r>
      <w:r>
        <w:noBreakHyphen/>
        <w:t>sixième session en juillet 1999.</w:t>
      </w:r>
    </w:p>
  </w:footnote>
  <w:footnote w:id="2">
    <w:p w:rsidR="00000000" w:rsidRDefault="00000000">
      <w:pPr>
        <w:pStyle w:val="FootnoteText"/>
        <w:spacing w:after="240"/>
      </w:pPr>
      <w:r>
        <w:rPr>
          <w:rStyle w:val="FootnoteReference"/>
        </w:rPr>
        <w:t>**</w:t>
      </w:r>
      <w:r>
        <w:t xml:space="preserve"> Les annexes à ce rapport sont disponibles auprès du secrétariat du Comité.</w:t>
      </w:r>
    </w:p>
  </w:footnote>
  <w:footnote w:id="3">
    <w:p w:rsidR="00000000" w:rsidRDefault="00000000">
      <w:pPr>
        <w:pStyle w:val="FootnoteText"/>
        <w:spacing w:after="240"/>
      </w:pPr>
      <w:r>
        <w:rPr>
          <w:rStyle w:val="FootnoteReference"/>
        </w:rPr>
        <w:footnoteRef/>
      </w:r>
      <w:r>
        <w:t xml:space="preserve"> Hetsika Iadiana amin’ny Kitrotro sy ny Aretina mpahazo ny Ankizy (Opération de lutte contre la rougeole et les maladies infantiles).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CCPR/C/MDG/2005/3</w:t>
    </w:r>
  </w:p>
  <w:p w:rsidR="00000000" w:rsidRDefault="00000000">
    <w:pPr>
      <w:pStyle w:val="Header"/>
    </w:pPr>
    <w:r>
      <w:t xml:space="preserve">page </w:t>
    </w:r>
    <w:r>
      <w:fldChar w:fldCharType="begin"/>
    </w:r>
    <w:r>
      <w:instrText xml:space="preserve"> PAGE  \* MERGEFORMAT </w:instrText>
    </w:r>
    <w:r>
      <w:fldChar w:fldCharType="separate"/>
    </w:r>
    <w:r>
      <w:rPr>
        <w:noProof/>
      </w:rPr>
      <w:t>72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CCPR/C/MDG/2005/3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FA9D98"/>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86EA5126"/>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721057"/>
    <w:multiLevelType w:val="hybridMultilevel"/>
    <w:tmpl w:val="7190012E"/>
    <w:lvl w:ilvl="0" w:tplc="C720BC12">
      <w:start w:val="1"/>
      <w:numFmt w:val="lowerLetter"/>
      <w:lvlText w:val="%1)"/>
      <w:lvlJc w:val="left"/>
      <w:pPr>
        <w:tabs>
          <w:tab w:val="num" w:pos="1410"/>
        </w:tabs>
        <w:ind w:left="1410" w:hanging="63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03BA37A6"/>
    <w:multiLevelType w:val="hybridMultilevel"/>
    <w:tmpl w:val="316EC06E"/>
    <w:lvl w:ilvl="0" w:tplc="61B2733C">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4">
    <w:nsid w:val="045F68BD"/>
    <w:multiLevelType w:val="hybridMultilevel"/>
    <w:tmpl w:val="89340508"/>
    <w:lvl w:ilvl="0" w:tplc="9AFAF0B8">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
    <w:nsid w:val="053319E6"/>
    <w:multiLevelType w:val="hybridMultilevel"/>
    <w:tmpl w:val="D7521BF0"/>
    <w:lvl w:ilvl="0" w:tplc="1F8C8D3A">
      <w:numFmt w:val="lowerLetter"/>
      <w:lvlText w:val="%1)"/>
      <w:lvlJc w:val="left"/>
      <w:pPr>
        <w:tabs>
          <w:tab w:val="num" w:pos="1004"/>
        </w:tabs>
        <w:ind w:left="1004" w:hanging="360"/>
      </w:pPr>
      <w:rPr>
        <w:rFonts w:ascii="Times New Roman" w:eastAsia="Times New Roman" w:hAnsi="Times New Roman" w:cs="Times New Roman"/>
      </w:rPr>
    </w:lvl>
    <w:lvl w:ilvl="1" w:tplc="040C0003">
      <w:start w:val="1"/>
      <w:numFmt w:val="bullet"/>
      <w:lvlText w:val="o"/>
      <w:lvlJc w:val="left"/>
      <w:pPr>
        <w:tabs>
          <w:tab w:val="num" w:pos="1724"/>
        </w:tabs>
        <w:ind w:left="1724" w:hanging="360"/>
      </w:pPr>
      <w:rPr>
        <w:rFonts w:ascii="Courier New" w:hAnsi="Courier New" w:hint="default"/>
      </w:rPr>
    </w:lvl>
    <w:lvl w:ilvl="2" w:tplc="61CC3C02">
      <w:start w:val="1"/>
      <w:numFmt w:val="bullet"/>
      <w:lvlText w:val="-"/>
      <w:lvlJc w:val="left"/>
      <w:pPr>
        <w:tabs>
          <w:tab w:val="num" w:pos="2444"/>
        </w:tabs>
        <w:ind w:left="2424" w:hanging="340"/>
      </w:pPr>
      <w:rPr>
        <w:rFonts w:ascii="Times New Roman" w:eastAsia="Times New Roman" w:hAnsi="Times New Roman" w:cs="Times New Roman"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6">
    <w:nsid w:val="05FB1EE9"/>
    <w:multiLevelType w:val="hybridMultilevel"/>
    <w:tmpl w:val="B69ADCF8"/>
    <w:lvl w:ilvl="0" w:tplc="9A16B1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06255A34"/>
    <w:multiLevelType w:val="hybridMultilevel"/>
    <w:tmpl w:val="ABD6B6F4"/>
    <w:lvl w:ilvl="0" w:tplc="00786616">
      <w:start w:val="1"/>
      <w:numFmt w:val="bullet"/>
      <w:lvlText w:val=""/>
      <w:lvlJc w:val="left"/>
      <w:pPr>
        <w:tabs>
          <w:tab w:val="num" w:pos="1647"/>
        </w:tabs>
        <w:ind w:left="1627" w:hanging="34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8">
    <w:nsid w:val="06940914"/>
    <w:multiLevelType w:val="hybridMultilevel"/>
    <w:tmpl w:val="4F025D54"/>
    <w:lvl w:ilvl="0" w:tplc="314231C4">
      <w:start w:val="1"/>
      <w:numFmt w:val="lowerLetter"/>
      <w:lvlText w:val="%1)"/>
      <w:lvlJc w:val="left"/>
      <w:pPr>
        <w:tabs>
          <w:tab w:val="num" w:pos="704"/>
        </w:tabs>
        <w:ind w:left="704" w:hanging="420"/>
      </w:pPr>
      <w:rPr>
        <w:rFonts w:hint="default"/>
      </w:rPr>
    </w:lvl>
    <w:lvl w:ilvl="1" w:tplc="DABC0B5C">
      <w:start w:val="200"/>
      <w:numFmt w:val="decimal"/>
      <w:lvlText w:val="%2."/>
      <w:lvlJc w:val="left"/>
      <w:pPr>
        <w:tabs>
          <w:tab w:val="num" w:pos="1424"/>
        </w:tabs>
        <w:ind w:left="1424" w:hanging="42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9">
    <w:nsid w:val="07B42FA7"/>
    <w:multiLevelType w:val="hybridMultilevel"/>
    <w:tmpl w:val="A18E4516"/>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95C411B"/>
    <w:multiLevelType w:val="hybridMultilevel"/>
    <w:tmpl w:val="C1521D08"/>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9A951B5"/>
    <w:multiLevelType w:val="hybridMultilevel"/>
    <w:tmpl w:val="2C6226CC"/>
    <w:lvl w:ilvl="0" w:tplc="6324D170">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12">
    <w:nsid w:val="0A701434"/>
    <w:multiLevelType w:val="hybridMultilevel"/>
    <w:tmpl w:val="4E44E040"/>
    <w:lvl w:ilvl="0" w:tplc="CAF6EE4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0C850810"/>
    <w:multiLevelType w:val="hybridMultilevel"/>
    <w:tmpl w:val="522E481C"/>
    <w:lvl w:ilvl="0" w:tplc="9A8098C6">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4">
    <w:nsid w:val="0D581CF7"/>
    <w:multiLevelType w:val="hybridMultilevel"/>
    <w:tmpl w:val="7DE2C30C"/>
    <w:lvl w:ilvl="0" w:tplc="12B2B6D4">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5">
    <w:nsid w:val="13642867"/>
    <w:multiLevelType w:val="hybridMultilevel"/>
    <w:tmpl w:val="6032F328"/>
    <w:lvl w:ilvl="0" w:tplc="00786616">
      <w:start w:val="1"/>
      <w:numFmt w:val="bullet"/>
      <w:lvlText w:val=""/>
      <w:lvlJc w:val="left"/>
      <w:pPr>
        <w:tabs>
          <w:tab w:val="num" w:pos="927"/>
        </w:tabs>
        <w:ind w:left="907" w:hanging="34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3F14931"/>
    <w:multiLevelType w:val="hybridMultilevel"/>
    <w:tmpl w:val="611A8008"/>
    <w:lvl w:ilvl="0" w:tplc="A09E3E66">
      <w:numFmt w:val="bullet"/>
      <w:lvlText w:val="-"/>
      <w:lvlJc w:val="left"/>
      <w:pPr>
        <w:tabs>
          <w:tab w:val="num" w:pos="1429"/>
        </w:tabs>
        <w:ind w:left="1429" w:hanging="360"/>
      </w:pPr>
      <w:rPr>
        <w:rFonts w:ascii="Times New Roman" w:eastAsia="Times New Roman" w:hAnsi="Times New Roman" w:cs="Times New Roman" w:hint="default"/>
      </w:rPr>
    </w:lvl>
    <w:lvl w:ilvl="1" w:tplc="040C0003" w:tentative="1">
      <w:start w:val="1"/>
      <w:numFmt w:val="bullet"/>
      <w:lvlText w:val="o"/>
      <w:lvlJc w:val="left"/>
      <w:pPr>
        <w:tabs>
          <w:tab w:val="num" w:pos="2149"/>
        </w:tabs>
        <w:ind w:left="2149" w:hanging="360"/>
      </w:pPr>
      <w:rPr>
        <w:rFonts w:ascii="Courier New" w:hAnsi="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7">
    <w:nsid w:val="155F0460"/>
    <w:multiLevelType w:val="hybridMultilevel"/>
    <w:tmpl w:val="2D324148"/>
    <w:lvl w:ilvl="0" w:tplc="A09E3E6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88E33BF"/>
    <w:multiLevelType w:val="hybridMultilevel"/>
    <w:tmpl w:val="6CA68F94"/>
    <w:lvl w:ilvl="0" w:tplc="76E6D268">
      <w:start w:val="1"/>
      <w:numFmt w:val="lowerLetter"/>
      <w:lvlText w:val="%1)"/>
      <w:lvlJc w:val="left"/>
      <w:pPr>
        <w:tabs>
          <w:tab w:val="num" w:pos="1410"/>
        </w:tabs>
        <w:ind w:left="1410" w:hanging="6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1B292CED"/>
    <w:multiLevelType w:val="hybridMultilevel"/>
    <w:tmpl w:val="5C046E48"/>
    <w:lvl w:ilvl="0" w:tplc="EA84833E">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20">
    <w:nsid w:val="1B9027D4"/>
    <w:multiLevelType w:val="hybridMultilevel"/>
    <w:tmpl w:val="6B3696DC"/>
    <w:lvl w:ilvl="0" w:tplc="5456D6E0">
      <w:numFmt w:val="bullet"/>
      <w:lvlText w:val="-"/>
      <w:lvlJc w:val="left"/>
      <w:pPr>
        <w:tabs>
          <w:tab w:val="num" w:pos="1429"/>
        </w:tabs>
        <w:ind w:left="1429" w:hanging="360"/>
      </w:pPr>
      <w:rPr>
        <w:rFonts w:ascii="Times New Roman" w:eastAsia="Times New Roman" w:hAnsi="Times New Roman" w:cs="Times New Roman" w:hint="default"/>
      </w:rPr>
    </w:lvl>
    <w:lvl w:ilvl="1" w:tplc="040C0003" w:tentative="1">
      <w:start w:val="1"/>
      <w:numFmt w:val="bullet"/>
      <w:lvlText w:val="o"/>
      <w:lvlJc w:val="left"/>
      <w:pPr>
        <w:tabs>
          <w:tab w:val="num" w:pos="2149"/>
        </w:tabs>
        <w:ind w:left="2149" w:hanging="360"/>
      </w:pPr>
      <w:rPr>
        <w:rFonts w:ascii="Courier New" w:hAnsi="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1">
    <w:nsid w:val="1BA953E6"/>
    <w:multiLevelType w:val="hybridMultilevel"/>
    <w:tmpl w:val="3078FB44"/>
    <w:lvl w:ilvl="0" w:tplc="0C1E4D9A">
      <w:numFmt w:val="lowerLetter"/>
      <w:lvlText w:val="%1)"/>
      <w:lvlJc w:val="left"/>
      <w:pPr>
        <w:tabs>
          <w:tab w:val="num" w:pos="2149"/>
        </w:tabs>
        <w:ind w:left="2149" w:hanging="360"/>
      </w:pPr>
      <w:rPr>
        <w:rFonts w:ascii="Times New Roman" w:eastAsia="Times New Roman" w:hAnsi="Times New Roman" w:cs="Times New Roman"/>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BED03FC"/>
    <w:multiLevelType w:val="hybridMultilevel"/>
    <w:tmpl w:val="A978159E"/>
    <w:lvl w:ilvl="0" w:tplc="755CB58E">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23">
    <w:nsid w:val="1C645994"/>
    <w:multiLevelType w:val="hybridMultilevel"/>
    <w:tmpl w:val="BB3EEE22"/>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61CC3C02">
      <w:start w:val="1"/>
      <w:numFmt w:val="bullet"/>
      <w:lvlText w:val="-"/>
      <w:lvlJc w:val="left"/>
      <w:pPr>
        <w:tabs>
          <w:tab w:val="num" w:pos="1440"/>
        </w:tabs>
        <w:ind w:left="1420" w:hanging="34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00941C8"/>
    <w:multiLevelType w:val="hybridMultilevel"/>
    <w:tmpl w:val="183ACA7A"/>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06748D9"/>
    <w:multiLevelType w:val="hybridMultilevel"/>
    <w:tmpl w:val="AB8A645E"/>
    <w:lvl w:ilvl="0" w:tplc="095E9CAA">
      <w:start w:val="1"/>
      <w:numFmt w:val="lowerLetter"/>
      <w:lvlText w:val="%1)"/>
      <w:lvlJc w:val="left"/>
      <w:pPr>
        <w:tabs>
          <w:tab w:val="num" w:pos="1409"/>
        </w:tabs>
        <w:ind w:left="1409" w:hanging="765"/>
      </w:pPr>
      <w:rPr>
        <w:rFonts w:hint="default"/>
      </w:r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26">
    <w:nsid w:val="20A76EBD"/>
    <w:multiLevelType w:val="hybridMultilevel"/>
    <w:tmpl w:val="EF8C79C4"/>
    <w:lvl w:ilvl="0" w:tplc="0F94E1DA">
      <w:start w:val="1"/>
      <w:numFmt w:val="lowerLetter"/>
      <w:lvlText w:val="%1)"/>
      <w:lvlJc w:val="left"/>
      <w:pPr>
        <w:tabs>
          <w:tab w:val="num" w:pos="1404"/>
        </w:tabs>
        <w:ind w:left="1404" w:hanging="78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27">
    <w:nsid w:val="24435D9F"/>
    <w:multiLevelType w:val="hybridMultilevel"/>
    <w:tmpl w:val="CC5ECE5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4976F90"/>
    <w:multiLevelType w:val="hybridMultilevel"/>
    <w:tmpl w:val="EA3202AA"/>
    <w:lvl w:ilvl="0" w:tplc="2CE00EE0">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29">
    <w:nsid w:val="25A849D7"/>
    <w:multiLevelType w:val="hybridMultilevel"/>
    <w:tmpl w:val="32568E8C"/>
    <w:lvl w:ilvl="0" w:tplc="EBAA6730">
      <w:start w:val="1"/>
      <w:numFmt w:val="lowerLetter"/>
      <w:lvlText w:val="%1)"/>
      <w:lvlJc w:val="left"/>
      <w:pPr>
        <w:tabs>
          <w:tab w:val="num" w:pos="1068"/>
        </w:tabs>
        <w:ind w:left="1068" w:hanging="360"/>
      </w:pPr>
      <w:rPr>
        <w:rFonts w:hint="default"/>
        <w:color w:val="333333"/>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0">
    <w:nsid w:val="26543044"/>
    <w:multiLevelType w:val="hybridMultilevel"/>
    <w:tmpl w:val="BE683C12"/>
    <w:lvl w:ilvl="0" w:tplc="F75C4280">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31">
    <w:nsid w:val="285C134D"/>
    <w:multiLevelType w:val="hybridMultilevel"/>
    <w:tmpl w:val="23AE2D04"/>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28DE1619"/>
    <w:multiLevelType w:val="hybridMultilevel"/>
    <w:tmpl w:val="3D2C4E0E"/>
    <w:lvl w:ilvl="0" w:tplc="D6BA414E">
      <w:start w:val="1"/>
      <w:numFmt w:val="lowerLetter"/>
      <w:lvlText w:val="%1)"/>
      <w:lvlJc w:val="left"/>
      <w:pPr>
        <w:tabs>
          <w:tab w:val="num" w:pos="1068"/>
        </w:tabs>
        <w:ind w:left="1068" w:hanging="360"/>
      </w:pPr>
      <w:rPr>
        <w:rFonts w:hint="default"/>
        <w:color w:val="auto"/>
      </w:rPr>
    </w:lvl>
    <w:lvl w:ilvl="1" w:tplc="0458225E">
      <w:start w:val="1"/>
      <w:numFmt w:val="lowerRoman"/>
      <w:lvlText w:val="(%2)"/>
      <w:lvlJc w:val="left"/>
      <w:pPr>
        <w:tabs>
          <w:tab w:val="num" w:pos="2478"/>
        </w:tabs>
        <w:ind w:left="2478" w:hanging="1050"/>
      </w:pPr>
      <w:rPr>
        <w:rFonts w:hint="default"/>
      </w:r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4">
    <w:nsid w:val="2C1424FB"/>
    <w:multiLevelType w:val="hybridMultilevel"/>
    <w:tmpl w:val="589A7470"/>
    <w:lvl w:ilvl="0" w:tplc="9D28A00C">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5">
    <w:nsid w:val="2CBC6712"/>
    <w:multiLevelType w:val="hybridMultilevel"/>
    <w:tmpl w:val="40149D6C"/>
    <w:lvl w:ilvl="0" w:tplc="2A1248CC">
      <w:start w:val="1"/>
      <w:numFmt w:val="lowerLetter"/>
      <w:lvlText w:val="%1)"/>
      <w:lvlJc w:val="left"/>
      <w:pPr>
        <w:tabs>
          <w:tab w:val="num" w:pos="720"/>
        </w:tabs>
        <w:ind w:left="720" w:hanging="360"/>
      </w:pPr>
      <w:rPr>
        <w:rFonts w:ascii="Times New Roman" w:eastAsia="Times New Roman" w:hAnsi="Times New Roman" w:cs="Times New Roman"/>
      </w:rPr>
    </w:lvl>
    <w:lvl w:ilvl="1" w:tplc="61CC3C02">
      <w:start w:val="1"/>
      <w:numFmt w:val="bullet"/>
      <w:lvlText w:val="-"/>
      <w:lvlJc w:val="left"/>
      <w:pPr>
        <w:tabs>
          <w:tab w:val="num" w:pos="1440"/>
        </w:tabs>
        <w:ind w:left="1420" w:hanging="340"/>
      </w:pPr>
      <w:rPr>
        <w:rFonts w:ascii="Times New Roman" w:eastAsia="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DB7CA54A">
      <w:start w:val="213"/>
      <w:numFmt w:val="decimal"/>
      <w:lvlText w:val="%4."/>
      <w:lvlJc w:val="left"/>
      <w:pPr>
        <w:tabs>
          <w:tab w:val="num" w:pos="2940"/>
        </w:tabs>
        <w:ind w:left="2940" w:hanging="420"/>
      </w:pPr>
      <w:rPr>
        <w:rFonts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2D5B32DE"/>
    <w:multiLevelType w:val="hybridMultilevel"/>
    <w:tmpl w:val="7682CF6C"/>
    <w:lvl w:ilvl="0" w:tplc="040C0001">
      <w:start w:val="1"/>
      <w:numFmt w:val="bullet"/>
      <w:lvlText w:val=""/>
      <w:lvlJc w:val="left"/>
      <w:pPr>
        <w:tabs>
          <w:tab w:val="num" w:pos="720"/>
        </w:tabs>
        <w:ind w:left="720" w:hanging="360"/>
      </w:pPr>
      <w:rPr>
        <w:rFonts w:ascii="Symbol" w:hAnsi="Symbol" w:hint="default"/>
      </w:rPr>
    </w:lvl>
    <w:lvl w:ilvl="1" w:tplc="61CC3C02">
      <w:start w:val="1"/>
      <w:numFmt w:val="bullet"/>
      <w:lvlText w:val="-"/>
      <w:lvlJc w:val="left"/>
      <w:pPr>
        <w:tabs>
          <w:tab w:val="num" w:pos="1440"/>
        </w:tabs>
        <w:ind w:left="1420" w:hanging="34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2E680EF8"/>
    <w:multiLevelType w:val="hybridMultilevel"/>
    <w:tmpl w:val="175A60EC"/>
    <w:lvl w:ilvl="0" w:tplc="BA0626A0">
      <w:start w:val="1"/>
      <w:numFmt w:val="lowerLetter"/>
      <w:lvlText w:val="%1)"/>
      <w:lvlJc w:val="left"/>
      <w:pPr>
        <w:tabs>
          <w:tab w:val="num" w:pos="644"/>
        </w:tabs>
        <w:ind w:left="624" w:hanging="340"/>
      </w:pPr>
      <w:rPr>
        <w:rFonts w:ascii="Times New Roman" w:eastAsia="Times New Roman" w:hAnsi="Times New Roman" w:cs="Times New Roman"/>
      </w:rPr>
    </w:lvl>
    <w:lvl w:ilvl="1" w:tplc="1CDEF4A2">
      <w:start w:val="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32962C9"/>
    <w:multiLevelType w:val="hybridMultilevel"/>
    <w:tmpl w:val="E5DA84DE"/>
    <w:lvl w:ilvl="0" w:tplc="CFF8E01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38177DF0"/>
    <w:multiLevelType w:val="hybridMultilevel"/>
    <w:tmpl w:val="7A06C38A"/>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3893110E"/>
    <w:multiLevelType w:val="hybridMultilevel"/>
    <w:tmpl w:val="35EE32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91064D9"/>
    <w:multiLevelType w:val="hybridMultilevel"/>
    <w:tmpl w:val="A91C148E"/>
    <w:lvl w:ilvl="0" w:tplc="7CA09DFE">
      <w:start w:val="30"/>
      <w:numFmt w:val="decimal"/>
      <w:lvlText w:val="%1."/>
      <w:lvlJc w:val="left"/>
      <w:pPr>
        <w:tabs>
          <w:tab w:val="num" w:pos="1065"/>
        </w:tabs>
        <w:ind w:left="1065" w:hanging="705"/>
      </w:pPr>
      <w:rPr>
        <w:rFonts w:hint="default"/>
      </w:rPr>
    </w:lvl>
    <w:lvl w:ilvl="1" w:tplc="F292504E">
      <w:start w:val="1"/>
      <w:numFmt w:val="lowerLetter"/>
      <w:lvlText w:val="%2)"/>
      <w:lvlJc w:val="left"/>
      <w:pPr>
        <w:tabs>
          <w:tab w:val="num" w:pos="1920"/>
        </w:tabs>
        <w:ind w:left="1920" w:hanging="8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96B01E9"/>
    <w:multiLevelType w:val="hybridMultilevel"/>
    <w:tmpl w:val="80E69D1A"/>
    <w:lvl w:ilvl="0" w:tplc="702CA482">
      <w:start w:val="1"/>
      <w:numFmt w:val="lowerLetter"/>
      <w:lvlText w:val="%1)"/>
      <w:lvlJc w:val="left"/>
      <w:pPr>
        <w:tabs>
          <w:tab w:val="num" w:pos="1068"/>
        </w:tabs>
        <w:ind w:left="1068" w:hanging="360"/>
      </w:pPr>
      <w:rPr>
        <w:rFonts w:hint="default"/>
        <w:i w:val="0"/>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43">
    <w:nsid w:val="39A07FCF"/>
    <w:multiLevelType w:val="hybridMultilevel"/>
    <w:tmpl w:val="F59E2F9A"/>
    <w:lvl w:ilvl="0" w:tplc="8BF83F84">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44">
    <w:nsid w:val="3B461B5D"/>
    <w:multiLevelType w:val="hybridMultilevel"/>
    <w:tmpl w:val="57944420"/>
    <w:lvl w:ilvl="0" w:tplc="D2BC0DC2">
      <w:start w:val="29"/>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3BDF28EC"/>
    <w:multiLevelType w:val="hybridMultilevel"/>
    <w:tmpl w:val="86A4A7DE"/>
    <w:lvl w:ilvl="0" w:tplc="0409000F">
      <w:start w:val="8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7">
    <w:nsid w:val="3D1A3C5C"/>
    <w:multiLevelType w:val="hybridMultilevel"/>
    <w:tmpl w:val="E20A26CE"/>
    <w:lvl w:ilvl="0" w:tplc="0FBE44A6">
      <w:start w:val="1"/>
      <w:numFmt w:val="lowerLetter"/>
      <w:lvlText w:val="%1)"/>
      <w:lvlJc w:val="left"/>
      <w:pPr>
        <w:tabs>
          <w:tab w:val="num" w:pos="720"/>
        </w:tabs>
        <w:ind w:left="720" w:hanging="360"/>
      </w:pPr>
      <w:rPr>
        <w:rFonts w:ascii="Times New Roman" w:eastAsia="Times New Roman" w:hAnsi="Times New Roman" w:cs="Times New Roman"/>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3F654C45"/>
    <w:multiLevelType w:val="hybridMultilevel"/>
    <w:tmpl w:val="4418C04E"/>
    <w:lvl w:ilvl="0" w:tplc="D03C2740">
      <w:start w:val="1"/>
      <w:numFmt w:val="lowerLetter"/>
      <w:lvlText w:val="%1)"/>
      <w:lvlJc w:val="left"/>
      <w:pPr>
        <w:tabs>
          <w:tab w:val="num" w:pos="1404"/>
        </w:tabs>
        <w:ind w:left="1404" w:hanging="78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49">
    <w:nsid w:val="3FEB4E1E"/>
    <w:multiLevelType w:val="hybridMultilevel"/>
    <w:tmpl w:val="FA181252"/>
    <w:lvl w:ilvl="0" w:tplc="CF707F02">
      <w:start w:val="1"/>
      <w:numFmt w:val="lowerLetter"/>
      <w:lvlText w:val="%1)"/>
      <w:lvlJc w:val="left"/>
      <w:pPr>
        <w:tabs>
          <w:tab w:val="num" w:pos="1404"/>
        </w:tabs>
        <w:ind w:left="1404" w:hanging="78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50">
    <w:nsid w:val="43BE0573"/>
    <w:multiLevelType w:val="hybridMultilevel"/>
    <w:tmpl w:val="B9349054"/>
    <w:lvl w:ilvl="0" w:tplc="E180A976">
      <w:start w:val="1"/>
      <w:numFmt w:val="lowerLetter"/>
      <w:lvlText w:val="%1)"/>
      <w:lvlJc w:val="left"/>
      <w:pPr>
        <w:tabs>
          <w:tab w:val="num" w:pos="1068"/>
        </w:tabs>
        <w:ind w:left="1068" w:hanging="360"/>
      </w:pPr>
      <w:rPr>
        <w:rFonts w:hint="default"/>
        <w:color w:val="auto"/>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1">
    <w:nsid w:val="43D517BA"/>
    <w:multiLevelType w:val="hybridMultilevel"/>
    <w:tmpl w:val="C59A1F62"/>
    <w:lvl w:ilvl="0" w:tplc="97FE6EEA">
      <w:start w:val="2"/>
      <w:numFmt w:val="bullet"/>
      <w:lvlText w:val="-"/>
      <w:lvlJc w:val="left"/>
      <w:pPr>
        <w:tabs>
          <w:tab w:val="num" w:pos="1800"/>
        </w:tabs>
        <w:ind w:left="180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43E437BD"/>
    <w:multiLevelType w:val="hybridMultilevel"/>
    <w:tmpl w:val="0076F440"/>
    <w:lvl w:ilvl="0" w:tplc="2B2A2FD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nsid w:val="45924750"/>
    <w:multiLevelType w:val="hybridMultilevel"/>
    <w:tmpl w:val="635664CA"/>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191A80F8">
      <w:start w:val="203"/>
      <w:numFmt w:val="bullet"/>
      <w:lvlText w:val="–"/>
      <w:lvlJc w:val="left"/>
      <w:pPr>
        <w:tabs>
          <w:tab w:val="num" w:pos="1440"/>
        </w:tabs>
        <w:ind w:left="1440" w:hanging="360"/>
      </w:pPr>
      <w:rPr>
        <w:rFonts w:ascii="Arial" w:eastAsia="Times New Roman" w:hAnsi="Arial"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46520746"/>
    <w:multiLevelType w:val="hybridMultilevel"/>
    <w:tmpl w:val="59D25BE0"/>
    <w:lvl w:ilvl="0" w:tplc="A09E3E66">
      <w:numFmt w:val="bullet"/>
      <w:lvlText w:val="-"/>
      <w:lvlJc w:val="left"/>
      <w:pPr>
        <w:tabs>
          <w:tab w:val="num" w:pos="2520"/>
        </w:tabs>
        <w:ind w:left="2520" w:hanging="360"/>
      </w:pPr>
      <w:rPr>
        <w:rFonts w:ascii="Times New Roman" w:eastAsia="Times New Roman" w:hAnsi="Times New Roman" w:cs="Times New Roman" w:hint="default"/>
      </w:rPr>
    </w:lvl>
    <w:lvl w:ilvl="1" w:tplc="040C0003" w:tentative="1">
      <w:start w:val="1"/>
      <w:numFmt w:val="bullet"/>
      <w:lvlText w:val="o"/>
      <w:lvlJc w:val="left"/>
      <w:pPr>
        <w:tabs>
          <w:tab w:val="num" w:pos="3240"/>
        </w:tabs>
        <w:ind w:left="3240" w:hanging="360"/>
      </w:pPr>
      <w:rPr>
        <w:rFonts w:ascii="Courier New" w:hAnsi="Courier New" w:hint="default"/>
      </w:rPr>
    </w:lvl>
    <w:lvl w:ilvl="2" w:tplc="040C0005" w:tentative="1">
      <w:start w:val="1"/>
      <w:numFmt w:val="bullet"/>
      <w:lvlText w:val=""/>
      <w:lvlJc w:val="left"/>
      <w:pPr>
        <w:tabs>
          <w:tab w:val="num" w:pos="3960"/>
        </w:tabs>
        <w:ind w:left="3960" w:hanging="360"/>
      </w:pPr>
      <w:rPr>
        <w:rFonts w:ascii="Wingdings" w:hAnsi="Wingdings" w:hint="default"/>
      </w:rPr>
    </w:lvl>
    <w:lvl w:ilvl="3" w:tplc="040C0001" w:tentative="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55">
    <w:nsid w:val="467128BA"/>
    <w:multiLevelType w:val="hybridMultilevel"/>
    <w:tmpl w:val="7BC22C3E"/>
    <w:lvl w:ilvl="0" w:tplc="9C24A758">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6">
    <w:nsid w:val="479449E8"/>
    <w:multiLevelType w:val="hybridMultilevel"/>
    <w:tmpl w:val="C9124E10"/>
    <w:lvl w:ilvl="0" w:tplc="F6CEC6B6">
      <w:start w:val="1"/>
      <w:numFmt w:val="lowerLetter"/>
      <w:lvlText w:val="%1)"/>
      <w:lvlJc w:val="left"/>
      <w:pPr>
        <w:tabs>
          <w:tab w:val="num" w:pos="1068"/>
        </w:tabs>
        <w:ind w:left="1068" w:hanging="360"/>
      </w:pPr>
      <w:rPr>
        <w:rFonts w:hint="default"/>
        <w:i w:val="0"/>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7">
    <w:nsid w:val="496745AB"/>
    <w:multiLevelType w:val="hybridMultilevel"/>
    <w:tmpl w:val="089E1A4C"/>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4A1B2716"/>
    <w:multiLevelType w:val="hybridMultilevel"/>
    <w:tmpl w:val="72B895DC"/>
    <w:lvl w:ilvl="0" w:tplc="040C000B">
      <w:start w:val="1"/>
      <w:numFmt w:val="bullet"/>
      <w:lvlText w:val=""/>
      <w:lvlJc w:val="left"/>
      <w:pPr>
        <w:tabs>
          <w:tab w:val="num" w:pos="720"/>
        </w:tabs>
        <w:ind w:left="720" w:hanging="360"/>
      </w:pPr>
      <w:rPr>
        <w:rFonts w:ascii="Wingdings" w:hAnsi="Wingdings" w:hint="default"/>
      </w:rPr>
    </w:lvl>
    <w:lvl w:ilvl="1" w:tplc="BE88D92A">
      <w:start w:val="8"/>
      <w:numFmt w:val="lowerLetter"/>
      <w:lvlText w:val="%2)"/>
      <w:lvlJc w:val="left"/>
      <w:pPr>
        <w:tabs>
          <w:tab w:val="num" w:pos="1440"/>
        </w:tabs>
        <w:ind w:left="1440" w:hanging="360"/>
      </w:pPr>
      <w:rPr>
        <w:rFonts w:ascii="Times New Roman" w:eastAsia="Times New Roman" w:hAnsi="Times New Roman" w:cs="Times New Roman"/>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4A931E9B"/>
    <w:multiLevelType w:val="hybridMultilevel"/>
    <w:tmpl w:val="409C0678"/>
    <w:lvl w:ilvl="0" w:tplc="A09E3E66">
      <w:numFmt w:val="bullet"/>
      <w:lvlText w:val="-"/>
      <w:lvlJc w:val="left"/>
      <w:pPr>
        <w:tabs>
          <w:tab w:val="num" w:pos="720"/>
        </w:tabs>
        <w:ind w:left="720" w:hanging="360"/>
      </w:pPr>
      <w:rPr>
        <w:rFonts w:ascii="Times New Roman" w:eastAsia="Times New Roman" w:hAnsi="Times New Roman" w:cs="Times New Roman" w:hint="default"/>
      </w:rPr>
    </w:lvl>
    <w:lvl w:ilvl="1" w:tplc="5456D6E0">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4DFB6517"/>
    <w:multiLevelType w:val="hybridMultilevel"/>
    <w:tmpl w:val="EFF65E1E"/>
    <w:lvl w:ilvl="0" w:tplc="040C0001">
      <w:start w:val="1"/>
      <w:numFmt w:val="bullet"/>
      <w:lvlText w:val=""/>
      <w:lvlJc w:val="left"/>
      <w:pPr>
        <w:tabs>
          <w:tab w:val="num" w:pos="720"/>
        </w:tabs>
        <w:ind w:left="720" w:hanging="360"/>
      </w:pPr>
      <w:rPr>
        <w:rFonts w:ascii="Symbol" w:hAnsi="Symbol" w:hint="default"/>
      </w:rPr>
    </w:lvl>
    <w:lvl w:ilvl="1" w:tplc="61CC3C02">
      <w:start w:val="1"/>
      <w:numFmt w:val="bullet"/>
      <w:lvlText w:val="-"/>
      <w:lvlJc w:val="left"/>
      <w:pPr>
        <w:tabs>
          <w:tab w:val="num" w:pos="1440"/>
        </w:tabs>
        <w:ind w:left="1420" w:hanging="34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4F703F5F"/>
    <w:multiLevelType w:val="hybridMultilevel"/>
    <w:tmpl w:val="995CC9AC"/>
    <w:lvl w:ilvl="0" w:tplc="6312372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3">
    <w:nsid w:val="4FC6136C"/>
    <w:multiLevelType w:val="hybridMultilevel"/>
    <w:tmpl w:val="FD262D20"/>
    <w:lvl w:ilvl="0" w:tplc="D75A1D00">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64">
    <w:nsid w:val="52420449"/>
    <w:multiLevelType w:val="hybridMultilevel"/>
    <w:tmpl w:val="2D4646F4"/>
    <w:lvl w:ilvl="0" w:tplc="AF1AE718">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65">
    <w:nsid w:val="52A70A04"/>
    <w:multiLevelType w:val="hybridMultilevel"/>
    <w:tmpl w:val="DCE84D3A"/>
    <w:lvl w:ilvl="0" w:tplc="A09E3E66">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6">
    <w:nsid w:val="53CC74BC"/>
    <w:multiLevelType w:val="hybridMultilevel"/>
    <w:tmpl w:val="46DE402A"/>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54F91902"/>
    <w:multiLevelType w:val="hybridMultilevel"/>
    <w:tmpl w:val="995CC9AC"/>
    <w:lvl w:ilvl="0" w:tplc="8AC2BDB0">
      <w:start w:val="1"/>
      <w:numFmt w:val="bullet"/>
      <w:lvlText w:val="-"/>
      <w:lvlJc w:val="left"/>
      <w:pPr>
        <w:tabs>
          <w:tab w:val="num" w:pos="-76"/>
        </w:tabs>
        <w:ind w:left="-76" w:hanging="360"/>
      </w:pPr>
      <w:rPr>
        <w:rFonts w:ascii="Times New Roman" w:eastAsia="Times New Roman" w:hAnsi="Times New Roman" w:cs="Times New Roman" w:hint="default"/>
      </w:rPr>
    </w:lvl>
    <w:lvl w:ilvl="1" w:tplc="7C9E3414">
      <w:start w:val="1"/>
      <w:numFmt w:val="bullet"/>
      <w:lvlText w:val=""/>
      <w:lvlJc w:val="left"/>
      <w:pPr>
        <w:tabs>
          <w:tab w:val="num" w:pos="644"/>
        </w:tabs>
        <w:ind w:left="284" w:firstLine="0"/>
      </w:pPr>
      <w:rPr>
        <w:rFonts w:ascii="Symbol" w:hAnsi="Symbol" w:hint="default"/>
      </w:rPr>
    </w:lvl>
    <w:lvl w:ilvl="2" w:tplc="040C0005" w:tentative="1">
      <w:start w:val="1"/>
      <w:numFmt w:val="bullet"/>
      <w:lvlText w:val=""/>
      <w:lvlJc w:val="left"/>
      <w:pPr>
        <w:tabs>
          <w:tab w:val="num" w:pos="1364"/>
        </w:tabs>
        <w:ind w:left="1364" w:hanging="360"/>
      </w:pPr>
      <w:rPr>
        <w:rFonts w:ascii="Wingdings" w:hAnsi="Wingdings" w:hint="default"/>
      </w:rPr>
    </w:lvl>
    <w:lvl w:ilvl="3" w:tplc="040C0001" w:tentative="1">
      <w:start w:val="1"/>
      <w:numFmt w:val="bullet"/>
      <w:lvlText w:val=""/>
      <w:lvlJc w:val="left"/>
      <w:pPr>
        <w:tabs>
          <w:tab w:val="num" w:pos="2084"/>
        </w:tabs>
        <w:ind w:left="2084" w:hanging="360"/>
      </w:pPr>
      <w:rPr>
        <w:rFonts w:ascii="Symbol" w:hAnsi="Symbol" w:hint="default"/>
      </w:rPr>
    </w:lvl>
    <w:lvl w:ilvl="4" w:tplc="040C0003" w:tentative="1">
      <w:start w:val="1"/>
      <w:numFmt w:val="bullet"/>
      <w:lvlText w:val="o"/>
      <w:lvlJc w:val="left"/>
      <w:pPr>
        <w:tabs>
          <w:tab w:val="num" w:pos="2804"/>
        </w:tabs>
        <w:ind w:left="2804" w:hanging="360"/>
      </w:pPr>
      <w:rPr>
        <w:rFonts w:ascii="Courier New" w:hAnsi="Courier New" w:hint="default"/>
      </w:rPr>
    </w:lvl>
    <w:lvl w:ilvl="5" w:tplc="040C0005" w:tentative="1">
      <w:start w:val="1"/>
      <w:numFmt w:val="bullet"/>
      <w:lvlText w:val=""/>
      <w:lvlJc w:val="left"/>
      <w:pPr>
        <w:tabs>
          <w:tab w:val="num" w:pos="3524"/>
        </w:tabs>
        <w:ind w:left="3524" w:hanging="360"/>
      </w:pPr>
      <w:rPr>
        <w:rFonts w:ascii="Wingdings" w:hAnsi="Wingdings" w:hint="default"/>
      </w:rPr>
    </w:lvl>
    <w:lvl w:ilvl="6" w:tplc="040C0001" w:tentative="1">
      <w:start w:val="1"/>
      <w:numFmt w:val="bullet"/>
      <w:lvlText w:val=""/>
      <w:lvlJc w:val="left"/>
      <w:pPr>
        <w:tabs>
          <w:tab w:val="num" w:pos="4244"/>
        </w:tabs>
        <w:ind w:left="4244" w:hanging="360"/>
      </w:pPr>
      <w:rPr>
        <w:rFonts w:ascii="Symbol" w:hAnsi="Symbol" w:hint="default"/>
      </w:rPr>
    </w:lvl>
    <w:lvl w:ilvl="7" w:tplc="040C0003" w:tentative="1">
      <w:start w:val="1"/>
      <w:numFmt w:val="bullet"/>
      <w:lvlText w:val="o"/>
      <w:lvlJc w:val="left"/>
      <w:pPr>
        <w:tabs>
          <w:tab w:val="num" w:pos="4964"/>
        </w:tabs>
        <w:ind w:left="4964" w:hanging="360"/>
      </w:pPr>
      <w:rPr>
        <w:rFonts w:ascii="Courier New" w:hAnsi="Courier New" w:hint="default"/>
      </w:rPr>
    </w:lvl>
    <w:lvl w:ilvl="8" w:tplc="040C0005" w:tentative="1">
      <w:start w:val="1"/>
      <w:numFmt w:val="bullet"/>
      <w:lvlText w:val=""/>
      <w:lvlJc w:val="left"/>
      <w:pPr>
        <w:tabs>
          <w:tab w:val="num" w:pos="5684"/>
        </w:tabs>
        <w:ind w:left="5684" w:hanging="360"/>
      </w:pPr>
      <w:rPr>
        <w:rFonts w:ascii="Wingdings" w:hAnsi="Wingdings" w:hint="default"/>
      </w:rPr>
    </w:lvl>
  </w:abstractNum>
  <w:abstractNum w:abstractNumId="68">
    <w:nsid w:val="55461A9E"/>
    <w:multiLevelType w:val="hybridMultilevel"/>
    <w:tmpl w:val="C1963ED6"/>
    <w:lvl w:ilvl="0" w:tplc="FE88611A">
      <w:start w:val="1"/>
      <w:numFmt w:val="lowerLetter"/>
      <w:lvlText w:val="%1)"/>
      <w:lvlJc w:val="left"/>
      <w:pPr>
        <w:tabs>
          <w:tab w:val="num" w:pos="644"/>
        </w:tabs>
        <w:ind w:left="624" w:hanging="340"/>
      </w:pPr>
      <w:rPr>
        <w:rFonts w:ascii="Times New Roman" w:eastAsia="Times New Roman" w:hAnsi="Times New Roman" w:cs="Times New Roman"/>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5C160C74"/>
    <w:multiLevelType w:val="hybridMultilevel"/>
    <w:tmpl w:val="571E9D94"/>
    <w:lvl w:ilvl="0" w:tplc="D2A45916">
      <w:start w:val="1"/>
      <w:numFmt w:val="lowerLetter"/>
      <w:lvlText w:val="%1)"/>
      <w:lvlJc w:val="left"/>
      <w:pPr>
        <w:tabs>
          <w:tab w:val="num" w:pos="720"/>
        </w:tabs>
        <w:ind w:left="720" w:hanging="360"/>
      </w:pPr>
      <w:rPr>
        <w:rFonts w:ascii="Times New Roman" w:eastAsia="Times New Roman" w:hAnsi="Times New Roman" w:cs="Times New Roman"/>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5C447433"/>
    <w:multiLevelType w:val="hybridMultilevel"/>
    <w:tmpl w:val="DD2A482C"/>
    <w:lvl w:ilvl="0" w:tplc="A86A814C">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71">
    <w:nsid w:val="5CD174F4"/>
    <w:multiLevelType w:val="hybridMultilevel"/>
    <w:tmpl w:val="AF98E85E"/>
    <w:lvl w:ilvl="0" w:tplc="F27C102C">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2">
    <w:nsid w:val="5EA53C34"/>
    <w:multiLevelType w:val="hybridMultilevel"/>
    <w:tmpl w:val="96FA6A08"/>
    <w:lvl w:ilvl="0" w:tplc="A09E3E66">
      <w:numFmt w:val="bullet"/>
      <w:lvlText w:val="-"/>
      <w:lvlJc w:val="left"/>
      <w:pPr>
        <w:tabs>
          <w:tab w:val="num" w:pos="1440"/>
        </w:tabs>
        <w:ind w:left="1440" w:hanging="360"/>
      </w:pPr>
      <w:rPr>
        <w:rFonts w:ascii="Times New Roman" w:eastAsia="Times New Roman" w:hAnsi="Times New Roman" w:cs="Times New Roman"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73">
    <w:nsid w:val="5F4B19FF"/>
    <w:multiLevelType w:val="hybridMultilevel"/>
    <w:tmpl w:val="CB6CAAC4"/>
    <w:lvl w:ilvl="0" w:tplc="8800F4B8">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74">
    <w:nsid w:val="5FFA4029"/>
    <w:multiLevelType w:val="hybridMultilevel"/>
    <w:tmpl w:val="664E1742"/>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60487512"/>
    <w:multiLevelType w:val="hybridMultilevel"/>
    <w:tmpl w:val="EEBC35EE"/>
    <w:lvl w:ilvl="0" w:tplc="6F5A5BDE">
      <w:start w:val="1"/>
      <w:numFmt w:val="lowerLetter"/>
      <w:lvlText w:val="%1)"/>
      <w:lvlJc w:val="left"/>
      <w:pPr>
        <w:tabs>
          <w:tab w:val="num" w:pos="644"/>
        </w:tabs>
        <w:ind w:left="624" w:hanging="340"/>
      </w:pPr>
      <w:rPr>
        <w:rFonts w:ascii="Times New Roman" w:eastAsia="Times New Roman" w:hAnsi="Times New Roman" w:cs="Times New Roman"/>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61774CA0"/>
    <w:multiLevelType w:val="hybridMultilevel"/>
    <w:tmpl w:val="BD20FBFE"/>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61C17D47"/>
    <w:multiLevelType w:val="hybridMultilevel"/>
    <w:tmpl w:val="9086EAF0"/>
    <w:lvl w:ilvl="0" w:tplc="6E2E40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8">
    <w:nsid w:val="62F64788"/>
    <w:multiLevelType w:val="hybridMultilevel"/>
    <w:tmpl w:val="E16EBD8E"/>
    <w:lvl w:ilvl="0" w:tplc="5456D6E0">
      <w:numFmt w:val="bullet"/>
      <w:lvlText w:val="-"/>
      <w:lvlJc w:val="left"/>
      <w:pPr>
        <w:tabs>
          <w:tab w:val="num" w:pos="1069"/>
        </w:tabs>
        <w:ind w:left="1069" w:hanging="360"/>
      </w:pPr>
      <w:rPr>
        <w:rFonts w:ascii="Times New Roman" w:eastAsia="Times New Roman" w:hAnsi="Times New Roman" w:cs="Times New Roman"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tentative="1">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79">
    <w:nsid w:val="636152C3"/>
    <w:multiLevelType w:val="hybridMultilevel"/>
    <w:tmpl w:val="9BCE9B08"/>
    <w:lvl w:ilvl="0" w:tplc="00786616">
      <w:start w:val="1"/>
      <w:numFmt w:val="bullet"/>
      <w:lvlText w:val=""/>
      <w:lvlJc w:val="left"/>
      <w:pPr>
        <w:tabs>
          <w:tab w:val="num" w:pos="1636"/>
        </w:tabs>
        <w:ind w:left="1616" w:hanging="34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80">
    <w:nsid w:val="66853B2A"/>
    <w:multiLevelType w:val="hybridMultilevel"/>
    <w:tmpl w:val="B7106E78"/>
    <w:lvl w:ilvl="0" w:tplc="61B6DBFC">
      <w:start w:val="1"/>
      <w:numFmt w:val="lowerLetter"/>
      <w:lvlText w:val="%1)"/>
      <w:lvlJc w:val="left"/>
      <w:pPr>
        <w:tabs>
          <w:tab w:val="num" w:pos="644"/>
        </w:tabs>
        <w:ind w:left="624" w:hanging="340"/>
      </w:pPr>
      <w:rPr>
        <w:rFonts w:ascii="Times New Roman" w:eastAsia="Times New Roman" w:hAnsi="Times New Roman" w:cs="Times New Roman"/>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67127660"/>
    <w:multiLevelType w:val="singleLevel"/>
    <w:tmpl w:val="C544630C"/>
    <w:lvl w:ilvl="0">
      <w:start w:val="1"/>
      <w:numFmt w:val="lowerLetter"/>
      <w:lvlText w:val="%1)"/>
      <w:lvlJc w:val="left"/>
      <w:pPr>
        <w:tabs>
          <w:tab w:val="num" w:pos="1068"/>
        </w:tabs>
        <w:ind w:left="1068" w:hanging="360"/>
      </w:pPr>
      <w:rPr>
        <w:rFonts w:ascii="Times New Roman" w:eastAsia="Times New Roman" w:hAnsi="Times New Roman" w:cs="Times New Roman"/>
      </w:rPr>
    </w:lvl>
  </w:abstractNum>
  <w:abstractNum w:abstractNumId="82">
    <w:nsid w:val="6998445C"/>
    <w:multiLevelType w:val="hybridMultilevel"/>
    <w:tmpl w:val="00BA46A0"/>
    <w:lvl w:ilvl="0" w:tplc="27B24F64">
      <w:start w:val="157"/>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AAF116E"/>
    <w:multiLevelType w:val="hybridMultilevel"/>
    <w:tmpl w:val="5FC43CA0"/>
    <w:lvl w:ilvl="0" w:tplc="81F62980">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84">
    <w:nsid w:val="6AE22D20"/>
    <w:multiLevelType w:val="hybridMultilevel"/>
    <w:tmpl w:val="6EBA6AE2"/>
    <w:lvl w:ilvl="0" w:tplc="C994DC1A">
      <w:start w:val="1"/>
      <w:numFmt w:val="lowerLetter"/>
      <w:lvlText w:val="%1)"/>
      <w:lvlJc w:val="left"/>
      <w:pPr>
        <w:tabs>
          <w:tab w:val="num" w:pos="644"/>
        </w:tabs>
        <w:ind w:left="624" w:hanging="340"/>
      </w:pPr>
      <w:rPr>
        <w:rFonts w:ascii="Times New Roman" w:eastAsia="Times New Roman" w:hAnsi="Times New Roman" w:cs="Times New Roman"/>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6E1D16CA"/>
    <w:multiLevelType w:val="hybridMultilevel"/>
    <w:tmpl w:val="7AA6B93E"/>
    <w:lvl w:ilvl="0" w:tplc="35F8E714">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86">
    <w:nsid w:val="6E1F6E60"/>
    <w:multiLevelType w:val="hybridMultilevel"/>
    <w:tmpl w:val="A24021E4"/>
    <w:lvl w:ilvl="0" w:tplc="777EA6BA">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7">
    <w:nsid w:val="700F3BFE"/>
    <w:multiLevelType w:val="hybridMultilevel"/>
    <w:tmpl w:val="A38A6AFC"/>
    <w:lvl w:ilvl="0" w:tplc="15888778">
      <w:start w:val="1"/>
      <w:numFmt w:val="lowerLetter"/>
      <w:lvlText w:val="%1)"/>
      <w:lvlJc w:val="left"/>
      <w:pPr>
        <w:tabs>
          <w:tab w:val="num" w:pos="1414"/>
        </w:tabs>
        <w:ind w:left="1414" w:hanging="70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88">
    <w:nsid w:val="77432876"/>
    <w:multiLevelType w:val="hybridMultilevel"/>
    <w:tmpl w:val="7876C1F2"/>
    <w:lvl w:ilvl="0" w:tplc="97FE6EEA">
      <w:start w:val="2"/>
      <w:numFmt w:val="bullet"/>
      <w:lvlText w:val="-"/>
      <w:lvlJc w:val="left"/>
      <w:pPr>
        <w:tabs>
          <w:tab w:val="num" w:pos="1800"/>
        </w:tabs>
        <w:ind w:left="1800" w:hanging="360"/>
      </w:pPr>
      <w:rPr>
        <w:rFonts w:ascii="Times New Roman" w:eastAsia="Times New Roman" w:hAnsi="Times New Roman" w:cs="Times New Roman" w:hint="default"/>
      </w:rPr>
    </w:lvl>
    <w:lvl w:ilvl="1" w:tplc="040C0003">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89">
    <w:nsid w:val="787F7089"/>
    <w:multiLevelType w:val="hybridMultilevel"/>
    <w:tmpl w:val="6344C792"/>
    <w:lvl w:ilvl="0" w:tplc="7DD49D2C">
      <w:start w:val="1"/>
      <w:numFmt w:val="lowerLetter"/>
      <w:lvlText w:val="%1)"/>
      <w:lvlJc w:val="left"/>
      <w:pPr>
        <w:tabs>
          <w:tab w:val="num" w:pos="1068"/>
        </w:tabs>
        <w:ind w:left="1068" w:hanging="360"/>
      </w:pPr>
      <w:rPr>
        <w:rFonts w:hint="default"/>
      </w:rPr>
    </w:lvl>
    <w:lvl w:ilvl="1" w:tplc="C4D0E1E0">
      <w:start w:val="1"/>
      <w:numFmt w:val="lowerLetter"/>
      <w:lvlText w:val="%2)"/>
      <w:lvlJc w:val="left"/>
      <w:pPr>
        <w:tabs>
          <w:tab w:val="num" w:pos="1788"/>
        </w:tabs>
        <w:ind w:left="1788" w:hanging="360"/>
      </w:pPr>
      <w:rPr>
        <w:rFonts w:hint="default"/>
      </w:r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90">
    <w:nsid w:val="799941C8"/>
    <w:multiLevelType w:val="hybridMultilevel"/>
    <w:tmpl w:val="430CAC40"/>
    <w:lvl w:ilvl="0" w:tplc="23F489C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7A141690"/>
    <w:multiLevelType w:val="hybridMultilevel"/>
    <w:tmpl w:val="751043C8"/>
    <w:lvl w:ilvl="0" w:tplc="A09E3E6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7ACD4F75"/>
    <w:multiLevelType w:val="hybridMultilevel"/>
    <w:tmpl w:val="F0522A38"/>
    <w:lvl w:ilvl="0" w:tplc="AB661200">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9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94">
    <w:nsid w:val="7D9E6956"/>
    <w:multiLevelType w:val="hybridMultilevel"/>
    <w:tmpl w:val="C38A1096"/>
    <w:lvl w:ilvl="0" w:tplc="97FE6EEA">
      <w:start w:val="2"/>
      <w:numFmt w:val="bullet"/>
      <w:lvlText w:val="-"/>
      <w:lvlJc w:val="left"/>
      <w:pPr>
        <w:tabs>
          <w:tab w:val="num" w:pos="1800"/>
        </w:tabs>
        <w:ind w:left="180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7FAB1E9C"/>
    <w:multiLevelType w:val="hybridMultilevel"/>
    <w:tmpl w:val="E2927F58"/>
    <w:lvl w:ilvl="0" w:tplc="8AC2BDB0">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6"/>
  </w:num>
  <w:num w:numId="2">
    <w:abstractNumId w:val="93"/>
  </w:num>
  <w:num w:numId="3">
    <w:abstractNumId w:val="33"/>
  </w:num>
  <w:num w:numId="4">
    <w:abstractNumId w:val="93"/>
  </w:num>
  <w:num w:numId="5">
    <w:abstractNumId w:val="33"/>
  </w:num>
  <w:num w:numId="6">
    <w:abstractNumId w:val="93"/>
  </w:num>
  <w:num w:numId="7">
    <w:abstractNumId w:val="93"/>
  </w:num>
  <w:num w:numId="8">
    <w:abstractNumId w:val="93"/>
  </w:num>
  <w:num w:numId="9">
    <w:abstractNumId w:val="93"/>
  </w:num>
  <w:num w:numId="10">
    <w:abstractNumId w:val="46"/>
  </w:num>
  <w:num w:numId="11">
    <w:abstractNumId w:val="46"/>
  </w:num>
  <w:num w:numId="12">
    <w:abstractNumId w:val="93"/>
  </w:num>
  <w:num w:numId="13">
    <w:abstractNumId w:val="46"/>
  </w:num>
  <w:num w:numId="14">
    <w:abstractNumId w:val="93"/>
  </w:num>
  <w:num w:numId="15">
    <w:abstractNumId w:val="93"/>
  </w:num>
  <w:num w:numId="16">
    <w:abstractNumId w:val="93"/>
  </w:num>
  <w:num w:numId="17">
    <w:abstractNumId w:val="93"/>
  </w:num>
  <w:num w:numId="18">
    <w:abstractNumId w:val="93"/>
  </w:num>
  <w:num w:numId="19">
    <w:abstractNumId w:val="93"/>
  </w:num>
  <w:num w:numId="20">
    <w:abstractNumId w:val="33"/>
  </w:num>
  <w:num w:numId="21">
    <w:abstractNumId w:val="33"/>
  </w:num>
  <w:num w:numId="22">
    <w:abstractNumId w:val="33"/>
  </w:num>
  <w:num w:numId="23">
    <w:abstractNumId w:val="33"/>
  </w:num>
  <w:num w:numId="24">
    <w:abstractNumId w:val="33"/>
  </w:num>
  <w:num w:numId="25">
    <w:abstractNumId w:val="46"/>
  </w:num>
  <w:num w:numId="26">
    <w:abstractNumId w:val="46"/>
  </w:num>
  <w:num w:numId="27">
    <w:abstractNumId w:val="33"/>
  </w:num>
  <w:num w:numId="28">
    <w:abstractNumId w:val="46"/>
  </w:num>
  <w:num w:numId="29">
    <w:abstractNumId w:val="46"/>
  </w:num>
  <w:num w:numId="30">
    <w:abstractNumId w:val="46"/>
  </w:num>
  <w:num w:numId="31">
    <w:abstractNumId w:val="33"/>
  </w:num>
  <w:num w:numId="32">
    <w:abstractNumId w:val="33"/>
  </w:num>
  <w:num w:numId="33">
    <w:abstractNumId w:val="93"/>
  </w:num>
  <w:num w:numId="34">
    <w:abstractNumId w:val="33"/>
  </w:num>
  <w:num w:numId="35">
    <w:abstractNumId w:val="93"/>
  </w:num>
  <w:num w:numId="36">
    <w:abstractNumId w:val="93"/>
  </w:num>
  <w:num w:numId="37">
    <w:abstractNumId w:val="33"/>
  </w:num>
  <w:num w:numId="38">
    <w:abstractNumId w:val="93"/>
  </w:num>
  <w:num w:numId="39">
    <w:abstractNumId w:val="33"/>
  </w:num>
  <w:num w:numId="40">
    <w:abstractNumId w:val="33"/>
  </w:num>
  <w:num w:numId="41">
    <w:abstractNumId w:val="33"/>
  </w:num>
  <w:num w:numId="42">
    <w:abstractNumId w:val="93"/>
  </w:num>
  <w:num w:numId="43">
    <w:abstractNumId w:val="33"/>
  </w:num>
  <w:num w:numId="44">
    <w:abstractNumId w:val="93"/>
  </w:num>
  <w:num w:numId="45">
    <w:abstractNumId w:val="33"/>
  </w:num>
  <w:num w:numId="46">
    <w:abstractNumId w:val="33"/>
  </w:num>
  <w:num w:numId="47">
    <w:abstractNumId w:val="62"/>
  </w:num>
  <w:num w:numId="48">
    <w:abstractNumId w:val="1"/>
  </w:num>
  <w:num w:numId="49">
    <w:abstractNumId w:val="0"/>
  </w:num>
  <w:num w:numId="50">
    <w:abstractNumId w:val="44"/>
  </w:num>
  <w:num w:numId="51">
    <w:abstractNumId w:val="5"/>
  </w:num>
  <w:num w:numId="52">
    <w:abstractNumId w:val="36"/>
  </w:num>
  <w:num w:numId="53">
    <w:abstractNumId w:val="67"/>
  </w:num>
  <w:num w:numId="54">
    <w:abstractNumId w:val="88"/>
  </w:num>
  <w:num w:numId="55">
    <w:abstractNumId w:val="61"/>
  </w:num>
  <w:num w:numId="56">
    <w:abstractNumId w:val="81"/>
  </w:num>
  <w:num w:numId="57">
    <w:abstractNumId w:val="76"/>
  </w:num>
  <w:num w:numId="58">
    <w:abstractNumId w:val="95"/>
  </w:num>
  <w:num w:numId="59">
    <w:abstractNumId w:val="94"/>
  </w:num>
  <w:num w:numId="60">
    <w:abstractNumId w:val="51"/>
  </w:num>
  <w:num w:numId="61">
    <w:abstractNumId w:val="39"/>
  </w:num>
  <w:num w:numId="62">
    <w:abstractNumId w:val="53"/>
  </w:num>
  <w:num w:numId="63">
    <w:abstractNumId w:val="24"/>
  </w:num>
  <w:num w:numId="64">
    <w:abstractNumId w:val="80"/>
  </w:num>
  <w:num w:numId="65">
    <w:abstractNumId w:val="60"/>
  </w:num>
  <w:num w:numId="66">
    <w:abstractNumId w:val="10"/>
  </w:num>
  <w:num w:numId="67">
    <w:abstractNumId w:val="35"/>
  </w:num>
  <w:num w:numId="68">
    <w:abstractNumId w:val="23"/>
  </w:num>
  <w:num w:numId="69">
    <w:abstractNumId w:val="91"/>
  </w:num>
  <w:num w:numId="70">
    <w:abstractNumId w:val="78"/>
  </w:num>
  <w:num w:numId="71">
    <w:abstractNumId w:val="20"/>
  </w:num>
  <w:num w:numId="72">
    <w:abstractNumId w:val="59"/>
  </w:num>
  <w:num w:numId="73">
    <w:abstractNumId w:val="90"/>
  </w:num>
  <w:num w:numId="74">
    <w:abstractNumId w:val="58"/>
  </w:num>
  <w:num w:numId="75">
    <w:abstractNumId w:val="21"/>
  </w:num>
  <w:num w:numId="76">
    <w:abstractNumId w:val="37"/>
  </w:num>
  <w:num w:numId="77">
    <w:abstractNumId w:val="84"/>
  </w:num>
  <w:num w:numId="78">
    <w:abstractNumId w:val="74"/>
  </w:num>
  <w:num w:numId="79">
    <w:abstractNumId w:val="69"/>
  </w:num>
  <w:num w:numId="80">
    <w:abstractNumId w:val="47"/>
  </w:num>
  <w:num w:numId="81">
    <w:abstractNumId w:val="75"/>
  </w:num>
  <w:num w:numId="82">
    <w:abstractNumId w:val="9"/>
  </w:num>
  <w:num w:numId="83">
    <w:abstractNumId w:val="72"/>
  </w:num>
  <w:num w:numId="84">
    <w:abstractNumId w:val="7"/>
  </w:num>
  <w:num w:numId="85">
    <w:abstractNumId w:val="79"/>
  </w:num>
  <w:num w:numId="86">
    <w:abstractNumId w:val="16"/>
  </w:num>
  <w:num w:numId="87">
    <w:abstractNumId w:val="68"/>
  </w:num>
  <w:num w:numId="88">
    <w:abstractNumId w:val="15"/>
  </w:num>
  <w:num w:numId="89">
    <w:abstractNumId w:val="54"/>
  </w:num>
  <w:num w:numId="90">
    <w:abstractNumId w:val="38"/>
  </w:num>
  <w:num w:numId="91">
    <w:abstractNumId w:val="65"/>
  </w:num>
  <w:num w:numId="92">
    <w:abstractNumId w:val="17"/>
  </w:num>
  <w:num w:numId="93">
    <w:abstractNumId w:val="71"/>
  </w:num>
  <w:num w:numId="94">
    <w:abstractNumId w:val="12"/>
  </w:num>
  <w:num w:numId="95">
    <w:abstractNumId w:val="41"/>
  </w:num>
  <w:num w:numId="96">
    <w:abstractNumId w:val="13"/>
  </w:num>
  <w:num w:numId="97">
    <w:abstractNumId w:val="83"/>
  </w:num>
  <w:num w:numId="98">
    <w:abstractNumId w:val="14"/>
  </w:num>
  <w:num w:numId="99">
    <w:abstractNumId w:val="45"/>
  </w:num>
  <w:num w:numId="100">
    <w:abstractNumId w:val="87"/>
  </w:num>
  <w:num w:numId="101">
    <w:abstractNumId w:val="85"/>
  </w:num>
  <w:num w:numId="102">
    <w:abstractNumId w:val="82"/>
  </w:num>
  <w:num w:numId="103">
    <w:abstractNumId w:val="30"/>
  </w:num>
  <w:num w:numId="104">
    <w:abstractNumId w:val="11"/>
  </w:num>
  <w:num w:numId="105">
    <w:abstractNumId w:val="8"/>
  </w:num>
  <w:num w:numId="106">
    <w:abstractNumId w:val="18"/>
  </w:num>
  <w:num w:numId="107">
    <w:abstractNumId w:val="3"/>
  </w:num>
  <w:num w:numId="108">
    <w:abstractNumId w:val="25"/>
  </w:num>
  <w:num w:numId="109">
    <w:abstractNumId w:val="40"/>
  </w:num>
  <w:num w:numId="110">
    <w:abstractNumId w:val="27"/>
  </w:num>
  <w:num w:numId="111">
    <w:abstractNumId w:val="86"/>
  </w:num>
  <w:num w:numId="112">
    <w:abstractNumId w:val="43"/>
  </w:num>
  <w:num w:numId="113">
    <w:abstractNumId w:val="42"/>
  </w:num>
  <w:num w:numId="114">
    <w:abstractNumId w:val="55"/>
  </w:num>
  <w:num w:numId="115">
    <w:abstractNumId w:val="50"/>
  </w:num>
  <w:num w:numId="116">
    <w:abstractNumId w:val="92"/>
  </w:num>
  <w:num w:numId="117">
    <w:abstractNumId w:val="89"/>
  </w:num>
  <w:num w:numId="118">
    <w:abstractNumId w:val="32"/>
  </w:num>
  <w:num w:numId="119">
    <w:abstractNumId w:val="70"/>
  </w:num>
  <w:num w:numId="120">
    <w:abstractNumId w:val="63"/>
  </w:num>
  <w:num w:numId="121">
    <w:abstractNumId w:val="56"/>
  </w:num>
  <w:num w:numId="122">
    <w:abstractNumId w:val="28"/>
  </w:num>
  <w:num w:numId="123">
    <w:abstractNumId w:val="6"/>
  </w:num>
  <w:num w:numId="124">
    <w:abstractNumId w:val="19"/>
  </w:num>
  <w:num w:numId="125">
    <w:abstractNumId w:val="29"/>
  </w:num>
  <w:num w:numId="126">
    <w:abstractNumId w:val="64"/>
  </w:num>
  <w:num w:numId="127">
    <w:abstractNumId w:val="34"/>
  </w:num>
  <w:num w:numId="128">
    <w:abstractNumId w:val="73"/>
  </w:num>
  <w:num w:numId="129">
    <w:abstractNumId w:val="4"/>
  </w:num>
  <w:num w:numId="130">
    <w:abstractNumId w:val="49"/>
  </w:num>
  <w:num w:numId="131">
    <w:abstractNumId w:val="22"/>
  </w:num>
  <w:num w:numId="132">
    <w:abstractNumId w:val="26"/>
  </w:num>
  <w:num w:numId="133">
    <w:abstractNumId w:val="52"/>
  </w:num>
  <w:num w:numId="134">
    <w:abstractNumId w:val="48"/>
  </w:num>
  <w:num w:numId="135">
    <w:abstractNumId w:val="2"/>
  </w:num>
  <w:num w:numId="136">
    <w:abstractNumId w:val="77"/>
  </w:num>
  <w:num w:numId="137">
    <w:abstractNumId w:val="57"/>
  </w:num>
  <w:num w:numId="138">
    <w:abstractNumId w:val="31"/>
  </w:num>
  <w:num w:numId="139">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DE"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ListBullet">
    <w:name w:val="List Bullet"/>
    <w:basedOn w:val="Normal"/>
    <w:autoRedefine/>
    <w:semiHidden/>
    <w:pPr>
      <w:numPr>
        <w:numId w:val="48"/>
      </w:numPr>
    </w:pPr>
    <w:rPr>
      <w:sz w:val="20"/>
      <w:lang w:val="fr-FR"/>
    </w:rPr>
  </w:style>
  <w:style w:type="paragraph" w:styleId="ListBullet2">
    <w:name w:val="List Bullet 2"/>
    <w:basedOn w:val="Normal"/>
    <w:autoRedefine/>
    <w:semiHidden/>
    <w:pPr>
      <w:numPr>
        <w:numId w:val="49"/>
      </w:numPr>
    </w:pPr>
    <w:rPr>
      <w:szCs w:val="24"/>
      <w:lang w:val="fr-FR"/>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Microsoft_Excel_Chart1.xls"/><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73</Pages>
  <Words>21508</Words>
  <Characters>122601</Characters>
  <Application>Microsoft Office Word</Application>
  <DocSecurity>4</DocSecurity>
  <Lines>1021</Lines>
  <Paragraphs>245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150562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2005-06-16T09:19:00Z</cp:lastPrinted>
  <dcterms:created xsi:type="dcterms:W3CDTF">2005-06-16T09:23:00Z</dcterms:created>
  <dcterms:modified xsi:type="dcterms:W3CDTF">2005-06-16T09:23:00Z</dcterms:modified>
</cp:coreProperties>
</file>