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1523928"/>
      <w:r>
        <w:rPr>
          <w:rFonts w:hint="eastAsia"/>
        </w:rPr>
        <w:t>消除对妇女歧视委员会</w:t>
      </w:r>
      <w:bookmarkEnd w:id="1"/>
      <w:bookmarkEnd w:id="2"/>
      <w:bookmarkEnd w:id="3"/>
      <w:bookmarkEnd w:id="4"/>
      <w:bookmarkEnd w:id="5"/>
      <w:bookmarkEnd w:id="6"/>
      <w:bookmarkEnd w:id="7"/>
      <w:bookmarkEnd w:id="8"/>
      <w:bookmarkEnd w:id="9"/>
      <w:bookmarkEnd w:id="10"/>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1" w:name="_Toc188785126"/>
      <w:bookmarkStart w:id="12" w:name="_Toc188785237"/>
      <w:bookmarkStart w:id="13" w:name="_Toc190746918"/>
      <w:bookmarkStart w:id="14" w:name="_Toc194293535"/>
      <w:bookmarkStart w:id="15" w:name="_Toc194293804"/>
      <w:bookmarkStart w:id="16" w:name="_Toc207160457"/>
      <w:bookmarkStart w:id="17" w:name="_Toc207160808"/>
      <w:bookmarkStart w:id="18" w:name="_Toc216249199"/>
      <w:bookmarkStart w:id="19" w:name="_Toc221523929"/>
      <w:r>
        <w:rPr>
          <w:rFonts w:hint="eastAsia"/>
        </w:rPr>
        <w:t>审议缔约国根据《消除对妇女一切形式歧视公约》</w:t>
      </w:r>
      <w:r>
        <w:br/>
      </w:r>
      <w:r>
        <w:rPr>
          <w:rFonts w:hint="eastAsia"/>
        </w:rPr>
        <w:t>第</w:t>
      </w:r>
      <w:r>
        <w:t>18</w:t>
      </w:r>
      <w:r>
        <w:rPr>
          <w:rFonts w:hint="eastAsia"/>
        </w:rPr>
        <w:t>条提交的报告</w:t>
      </w:r>
      <w:bookmarkEnd w:id="11"/>
      <w:bookmarkEnd w:id="12"/>
      <w:bookmarkEnd w:id="13"/>
      <w:bookmarkEnd w:id="14"/>
      <w:bookmarkEnd w:id="15"/>
      <w:bookmarkEnd w:id="16"/>
      <w:bookmarkEnd w:id="17"/>
      <w:bookmarkEnd w:id="18"/>
      <w:bookmarkEnd w:id="19"/>
    </w:p>
    <w:p w:rsidR="00430DAC" w:rsidRDefault="00430DAC">
      <w:pPr>
        <w:spacing w:line="360" w:lineRule="auto"/>
        <w:jc w:val="center"/>
        <w:rPr>
          <w:rFonts w:ascii="SimSun" w:hAnsi="SimSun" w:hint="eastAsia"/>
          <w:sz w:val="28"/>
          <w:szCs w:val="28"/>
        </w:rPr>
      </w:pPr>
    </w:p>
    <w:p w:rsidR="00430DAC" w:rsidRDefault="00430DAC">
      <w:pPr>
        <w:pStyle w:val="H1"/>
        <w:spacing w:before="120"/>
        <w:jc w:val="center"/>
        <w:rPr>
          <w:rFonts w:hint="eastAsia"/>
          <w:bCs/>
        </w:rPr>
      </w:pPr>
      <w:bookmarkStart w:id="20" w:name="_Toc188785127"/>
      <w:bookmarkStart w:id="21" w:name="_Toc188785238"/>
      <w:bookmarkStart w:id="22" w:name="_Toc190746919"/>
      <w:bookmarkStart w:id="23" w:name="_Toc194293536"/>
      <w:bookmarkStart w:id="24" w:name="_Toc194293805"/>
      <w:bookmarkStart w:id="25" w:name="_Toc207160458"/>
      <w:bookmarkStart w:id="26" w:name="_Toc207160809"/>
      <w:bookmarkStart w:id="27" w:name="_Toc221523930"/>
      <w:r>
        <w:rPr>
          <w:rFonts w:hint="eastAsia"/>
          <w:bCs/>
          <w:u w:val="single"/>
        </w:rPr>
        <w:t>缔约国</w:t>
      </w:r>
      <w:r w:rsidR="00520611">
        <w:rPr>
          <w:rFonts w:hint="eastAsia"/>
          <w:bCs/>
          <w:u w:val="single"/>
        </w:rPr>
        <w:t>的第</w:t>
      </w:r>
      <w:r w:rsidR="004C2F0E">
        <w:rPr>
          <w:rFonts w:hint="eastAsia"/>
          <w:bCs/>
          <w:u w:val="single"/>
        </w:rPr>
        <w:t>六</w:t>
      </w:r>
      <w:r w:rsidR="00520611">
        <w:rPr>
          <w:rFonts w:hint="eastAsia"/>
          <w:bCs/>
          <w:u w:val="single"/>
        </w:rPr>
        <w:t>次</w:t>
      </w:r>
      <w:r>
        <w:rPr>
          <w:rFonts w:hint="eastAsia"/>
          <w:bCs/>
          <w:u w:val="single"/>
        </w:rPr>
        <w:t>定期报告</w:t>
      </w:r>
      <w:bookmarkEnd w:id="20"/>
      <w:bookmarkEnd w:id="21"/>
      <w:bookmarkEnd w:id="22"/>
      <w:bookmarkEnd w:id="23"/>
      <w:bookmarkEnd w:id="24"/>
      <w:bookmarkEnd w:id="25"/>
      <w:bookmarkEnd w:id="26"/>
      <w:bookmarkEnd w:id="27"/>
    </w:p>
    <w:p w:rsidR="00430DAC" w:rsidRDefault="00430DAC">
      <w:pPr>
        <w:rPr>
          <w:rFonts w:hint="eastAsia"/>
        </w:rPr>
      </w:pPr>
    </w:p>
    <w:p w:rsidR="00430DAC" w:rsidRPr="004C2F0E" w:rsidRDefault="00430DAC">
      <w:pPr>
        <w:rPr>
          <w:rFonts w:hint="eastAsia"/>
        </w:rPr>
      </w:pPr>
    </w:p>
    <w:p w:rsidR="00430DAC" w:rsidRDefault="004C2F0E">
      <w:pPr>
        <w:pStyle w:val="HCh"/>
        <w:jc w:val="center"/>
      </w:pPr>
      <w:bookmarkStart w:id="28" w:name="_Toc188785128"/>
      <w:bookmarkStart w:id="29" w:name="_Toc188785239"/>
      <w:bookmarkStart w:id="30" w:name="_Toc190746920"/>
      <w:bookmarkStart w:id="31" w:name="_Toc194293537"/>
      <w:bookmarkStart w:id="32" w:name="_Toc194293806"/>
      <w:bookmarkStart w:id="33" w:name="_Toc207160459"/>
      <w:bookmarkStart w:id="34" w:name="_Toc207160810"/>
      <w:bookmarkStart w:id="35" w:name="_Toc216249200"/>
      <w:bookmarkStart w:id="36" w:name="_Toc221523931"/>
      <w:r>
        <w:rPr>
          <w:rFonts w:cs="SimHei" w:hint="eastAsia"/>
          <w:szCs w:val="28"/>
        </w:rPr>
        <w:t>马拉维</w:t>
      </w:r>
      <w:r w:rsidR="00430DAC">
        <w:rPr>
          <w:vertAlign w:val="superscript"/>
        </w:rPr>
        <w:t>*</w:t>
      </w:r>
      <w:bookmarkEnd w:id="28"/>
      <w:bookmarkEnd w:id="29"/>
      <w:bookmarkEnd w:id="30"/>
      <w:bookmarkEnd w:id="31"/>
      <w:bookmarkEnd w:id="32"/>
      <w:bookmarkEnd w:id="33"/>
      <w:bookmarkEnd w:id="34"/>
      <w:bookmarkEnd w:id="35"/>
      <w:bookmarkEnd w:id="36"/>
    </w:p>
    <w:p w:rsidR="00430DAC" w:rsidRDefault="00430DAC">
      <w:pPr>
        <w:pStyle w:val="HCh"/>
        <w:jc w:val="center"/>
        <w:rPr>
          <w:rFonts w:hint="eastAsia"/>
        </w:rPr>
      </w:pPr>
    </w:p>
    <w:p w:rsidR="00430DAC" w:rsidRDefault="00430DAC">
      <w:pPr>
        <w:pStyle w:val="Date"/>
        <w:spacing w:line="60" w:lineRule="exact"/>
        <w:rPr>
          <w:rFonts w:hint="eastAsia"/>
        </w:rPr>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7" w:name="_Toc77496595"/>
    </w:p>
    <w:bookmarkEnd w:id="37"/>
    <w:p w:rsidR="00430DAC" w:rsidRDefault="00430DAC" w:rsidP="00520611">
      <w:pPr>
        <w:tabs>
          <w:tab w:val="left" w:pos="6255"/>
        </w:tabs>
        <w:spacing w:line="480" w:lineRule="auto"/>
        <w:rPr>
          <w:rFonts w:hint="eastAsia"/>
        </w:rPr>
      </w:pPr>
    </w:p>
    <w:p w:rsidR="00520611" w:rsidRPr="001D3B13" w:rsidRDefault="00CD59D4" w:rsidP="00371864">
      <w:pPr>
        <w:spacing w:after="240" w:line="460" w:lineRule="exact"/>
        <w:jc w:val="center"/>
        <w:rPr>
          <w:rFonts w:ascii="SimHei" w:eastAsia="SimHei" w:cs="Arial" w:hint="eastAsia"/>
          <w:color w:val="FF0000"/>
          <w:sz w:val="28"/>
          <w:szCs w:val="28"/>
        </w:rPr>
      </w:pPr>
      <w:r>
        <w:rPr>
          <w:rFonts w:ascii="SimHei" w:eastAsia="SimHei" w:cs="Arial"/>
          <w:noProof/>
          <w:color w:val="FF0000"/>
          <w:sz w:val="28"/>
          <w:szCs w:val="28"/>
        </w:rPr>
        <w:pict>
          <v:shapetype id="_x0000_t202" coordsize="21600,21600" o:spt="202" path="m,l,21600r21600,l21600,xe">
            <v:stroke joinstyle="miter"/>
            <v:path gradientshapeok="t" o:connecttype="rect"/>
          </v:shapetype>
          <v:shape id="_x0000_s1419" type="#_x0000_t202" style="position:absolute;left:0;text-align:left;margin-left:181.9pt;margin-top:633.95pt;width:171pt;height:27pt;z-index:1" stroked="f">
            <v:textbox>
              <w:txbxContent>
                <w:p w:rsidR="00F93BBA" w:rsidRPr="000730D3" w:rsidRDefault="00F93BBA" w:rsidP="00CD59D4">
                  <w:pPr>
                    <w:rPr>
                      <w:szCs w:val="36"/>
                    </w:rPr>
                  </w:pPr>
                </w:p>
              </w:txbxContent>
            </v:textbox>
          </v:shape>
        </w:pict>
      </w:r>
      <w:r w:rsidR="00520611" w:rsidRPr="001D3B13">
        <w:rPr>
          <w:rFonts w:ascii="SimHei" w:eastAsia="SimHei" w:cs="Arial" w:hint="eastAsia"/>
          <w:color w:val="FF0000"/>
          <w:sz w:val="28"/>
          <w:szCs w:val="28"/>
        </w:rPr>
        <w:t>目录</w:t>
      </w:r>
    </w:p>
    <w:p w:rsidR="00064834" w:rsidRPr="00064834" w:rsidRDefault="00064834" w:rsidP="00064834">
      <w:pPr>
        <w:spacing w:line="480" w:lineRule="auto"/>
        <w:jc w:val="right"/>
        <w:rPr>
          <w:rFonts w:ascii="KaiTi_GB2312" w:eastAsia="KaiTi_GB2312" w:hint="eastAsia"/>
          <w:color w:val="0000FF"/>
        </w:rPr>
      </w:pPr>
      <w:r w:rsidRPr="00064834">
        <w:rPr>
          <w:rFonts w:ascii="KaiTi_GB2312" w:eastAsia="KaiTi_GB2312" w:hint="eastAsia"/>
          <w:color w:val="0000FF"/>
        </w:rPr>
        <w:t>页次</w:t>
      </w:r>
    </w:p>
    <w:p w:rsidR="003268A2" w:rsidRPr="003268A2" w:rsidRDefault="00520611" w:rsidP="003268A2">
      <w:pPr>
        <w:autoSpaceDE w:val="0"/>
        <w:autoSpaceDN w:val="0"/>
        <w:spacing w:line="480" w:lineRule="auto"/>
        <w:rPr>
          <w:rFonts w:hint="eastAsia"/>
          <w:noProof/>
        </w:rPr>
      </w:pPr>
      <w:r>
        <w:rPr>
          <w:rStyle w:val="CommentReference"/>
          <w:vanish/>
        </w:rPr>
        <w:commentReference w:id="38"/>
      </w:r>
      <w:r w:rsidR="003268A2">
        <w:fldChar w:fldCharType="begin"/>
      </w:r>
      <w:r w:rsidR="003268A2">
        <w:instrText xml:space="preserve"> </w:instrText>
      </w:r>
      <w:r w:rsidR="003268A2">
        <w:rPr>
          <w:rFonts w:hint="eastAsia"/>
        </w:rPr>
        <w:instrText>TOC \o "1-3" \h \z \u</w:instrText>
      </w:r>
      <w:r w:rsidR="003268A2">
        <w:instrText xml:space="preserve"> </w:instrText>
      </w:r>
      <w:r w:rsidR="003268A2">
        <w:fldChar w:fldCharType="separate"/>
      </w:r>
    </w:p>
    <w:p w:rsidR="003268A2" w:rsidRDefault="003268A2">
      <w:pPr>
        <w:pStyle w:val="TOC1"/>
        <w:rPr>
          <w:szCs w:val="24"/>
        </w:rPr>
      </w:pPr>
      <w:hyperlink w:anchor="_Toc221523932" w:history="1">
        <w:r w:rsidRPr="00055873">
          <w:rPr>
            <w:rStyle w:val="Hyperlink"/>
            <w:rFonts w:hint="eastAsia"/>
          </w:rPr>
          <w:t>前言</w:t>
        </w:r>
        <w:r>
          <w:rPr>
            <w:webHidden/>
          </w:rPr>
          <w:tab/>
        </w:r>
        <w:r>
          <w:rPr>
            <w:webHidden/>
          </w:rPr>
          <w:fldChar w:fldCharType="begin"/>
        </w:r>
        <w:r>
          <w:rPr>
            <w:webHidden/>
          </w:rPr>
          <w:instrText xml:space="preserve"> PAGEREF _Toc221523932 \h </w:instrText>
        </w:r>
        <w:r>
          <w:rPr>
            <w:webHidden/>
          </w:rPr>
          <w:fldChar w:fldCharType="separate"/>
        </w:r>
        <w:r w:rsidR="00483641">
          <w:rPr>
            <w:webHidden/>
          </w:rPr>
          <w:t>4</w:t>
        </w:r>
        <w:r>
          <w:rPr>
            <w:webHidden/>
          </w:rPr>
          <w:fldChar w:fldCharType="end"/>
        </w:r>
      </w:hyperlink>
    </w:p>
    <w:p w:rsidR="003268A2" w:rsidRDefault="003268A2">
      <w:pPr>
        <w:pStyle w:val="TOC1"/>
        <w:rPr>
          <w:szCs w:val="24"/>
        </w:rPr>
      </w:pPr>
      <w:hyperlink w:anchor="_Toc221523933" w:history="1">
        <w:r w:rsidRPr="00055873">
          <w:rPr>
            <w:rStyle w:val="Hyperlink"/>
            <w:rFonts w:hint="eastAsia"/>
          </w:rPr>
          <w:t>简称</w:t>
        </w:r>
        <w:r>
          <w:rPr>
            <w:webHidden/>
          </w:rPr>
          <w:tab/>
        </w:r>
        <w:r>
          <w:rPr>
            <w:webHidden/>
          </w:rPr>
          <w:fldChar w:fldCharType="begin"/>
        </w:r>
        <w:r>
          <w:rPr>
            <w:webHidden/>
          </w:rPr>
          <w:instrText xml:space="preserve"> PAGEREF _Toc221523933 \h </w:instrText>
        </w:r>
        <w:r>
          <w:rPr>
            <w:webHidden/>
          </w:rPr>
          <w:fldChar w:fldCharType="separate"/>
        </w:r>
        <w:r w:rsidR="00483641">
          <w:rPr>
            <w:webHidden/>
          </w:rPr>
          <w:t>5</w:t>
        </w:r>
        <w:r>
          <w:rPr>
            <w:webHidden/>
          </w:rPr>
          <w:fldChar w:fldCharType="end"/>
        </w:r>
      </w:hyperlink>
    </w:p>
    <w:p w:rsidR="003268A2" w:rsidRDefault="003268A2">
      <w:pPr>
        <w:pStyle w:val="TOC1"/>
        <w:rPr>
          <w:szCs w:val="24"/>
        </w:rPr>
      </w:pPr>
      <w:hyperlink w:anchor="_Toc221523934" w:history="1">
        <w:r w:rsidRPr="00055873">
          <w:rPr>
            <w:rStyle w:val="Hyperlink"/>
            <w:rFonts w:hint="eastAsia"/>
          </w:rPr>
          <w:t>导言</w:t>
        </w:r>
        <w:r>
          <w:rPr>
            <w:webHidden/>
          </w:rPr>
          <w:tab/>
        </w:r>
        <w:r>
          <w:rPr>
            <w:webHidden/>
          </w:rPr>
          <w:fldChar w:fldCharType="begin"/>
        </w:r>
        <w:r>
          <w:rPr>
            <w:webHidden/>
          </w:rPr>
          <w:instrText xml:space="preserve"> PAGEREF _Toc221523934 \h </w:instrText>
        </w:r>
        <w:r>
          <w:rPr>
            <w:webHidden/>
          </w:rPr>
          <w:fldChar w:fldCharType="separate"/>
        </w:r>
        <w:r w:rsidR="00483641">
          <w:rPr>
            <w:webHidden/>
          </w:rPr>
          <w:t>6</w:t>
        </w:r>
        <w:r>
          <w:rPr>
            <w:webHidden/>
          </w:rPr>
          <w:fldChar w:fldCharType="end"/>
        </w:r>
      </w:hyperlink>
    </w:p>
    <w:p w:rsidR="003268A2" w:rsidRDefault="003268A2">
      <w:pPr>
        <w:pStyle w:val="TOC1"/>
        <w:rPr>
          <w:szCs w:val="24"/>
        </w:rPr>
      </w:pPr>
      <w:hyperlink w:anchor="_Toc221523935" w:history="1">
        <w:r w:rsidRPr="00055873">
          <w:rPr>
            <w:rStyle w:val="Hyperlink"/>
            <w:rFonts w:hint="eastAsia"/>
          </w:rPr>
          <w:t>第一部分：背景</w:t>
        </w:r>
        <w:r>
          <w:rPr>
            <w:webHidden/>
          </w:rPr>
          <w:tab/>
        </w:r>
        <w:r>
          <w:rPr>
            <w:webHidden/>
          </w:rPr>
          <w:fldChar w:fldCharType="begin"/>
        </w:r>
        <w:r>
          <w:rPr>
            <w:webHidden/>
          </w:rPr>
          <w:instrText xml:space="preserve"> PAGEREF _Toc221523935 \h </w:instrText>
        </w:r>
        <w:r>
          <w:rPr>
            <w:webHidden/>
          </w:rPr>
          <w:fldChar w:fldCharType="separate"/>
        </w:r>
        <w:r w:rsidR="00483641">
          <w:rPr>
            <w:webHidden/>
          </w:rPr>
          <w:t>7</w:t>
        </w:r>
        <w:r>
          <w:rPr>
            <w:webHidden/>
          </w:rPr>
          <w:fldChar w:fldCharType="end"/>
        </w:r>
      </w:hyperlink>
    </w:p>
    <w:p w:rsidR="003268A2" w:rsidRDefault="003268A2">
      <w:pPr>
        <w:pStyle w:val="TOC1"/>
        <w:rPr>
          <w:szCs w:val="24"/>
        </w:rPr>
      </w:pPr>
      <w:hyperlink w:anchor="_Toc221523936" w:history="1">
        <w:r w:rsidRPr="00055873">
          <w:rPr>
            <w:rStyle w:val="Hyperlink"/>
          </w:rPr>
          <w:t xml:space="preserve">1.1  </w:t>
        </w:r>
        <w:r w:rsidRPr="00055873">
          <w:rPr>
            <w:rStyle w:val="Hyperlink"/>
            <w:rFonts w:hint="eastAsia"/>
          </w:rPr>
          <w:t>社会经济背景</w:t>
        </w:r>
        <w:r>
          <w:rPr>
            <w:webHidden/>
          </w:rPr>
          <w:tab/>
        </w:r>
        <w:r>
          <w:rPr>
            <w:webHidden/>
          </w:rPr>
          <w:fldChar w:fldCharType="begin"/>
        </w:r>
        <w:r>
          <w:rPr>
            <w:webHidden/>
          </w:rPr>
          <w:instrText xml:space="preserve"> PAGEREF _Toc221523936 \h </w:instrText>
        </w:r>
        <w:r>
          <w:rPr>
            <w:webHidden/>
          </w:rPr>
          <w:fldChar w:fldCharType="separate"/>
        </w:r>
        <w:r w:rsidR="00483641">
          <w:rPr>
            <w:webHidden/>
          </w:rPr>
          <w:t>7</w:t>
        </w:r>
        <w:r>
          <w:rPr>
            <w:webHidden/>
          </w:rPr>
          <w:fldChar w:fldCharType="end"/>
        </w:r>
      </w:hyperlink>
    </w:p>
    <w:p w:rsidR="003268A2" w:rsidRDefault="003268A2">
      <w:pPr>
        <w:pStyle w:val="TOC1"/>
        <w:rPr>
          <w:szCs w:val="24"/>
        </w:rPr>
      </w:pPr>
      <w:hyperlink w:anchor="_Toc221523937" w:history="1">
        <w:r w:rsidRPr="00055873">
          <w:rPr>
            <w:rStyle w:val="Hyperlink"/>
          </w:rPr>
          <w:t xml:space="preserve">1.2  </w:t>
        </w:r>
        <w:r w:rsidRPr="00055873">
          <w:rPr>
            <w:rStyle w:val="Hyperlink"/>
            <w:rFonts w:hint="eastAsia"/>
          </w:rPr>
          <w:t>社会经济指标</w:t>
        </w:r>
        <w:r>
          <w:rPr>
            <w:webHidden/>
          </w:rPr>
          <w:tab/>
        </w:r>
        <w:r>
          <w:rPr>
            <w:webHidden/>
          </w:rPr>
          <w:fldChar w:fldCharType="begin"/>
        </w:r>
        <w:r>
          <w:rPr>
            <w:webHidden/>
          </w:rPr>
          <w:instrText xml:space="preserve"> PAGEREF _Toc221523937 \h </w:instrText>
        </w:r>
        <w:r>
          <w:rPr>
            <w:webHidden/>
          </w:rPr>
          <w:fldChar w:fldCharType="separate"/>
        </w:r>
        <w:r w:rsidR="00483641">
          <w:rPr>
            <w:webHidden/>
          </w:rPr>
          <w:t>8</w:t>
        </w:r>
        <w:r>
          <w:rPr>
            <w:webHidden/>
          </w:rPr>
          <w:fldChar w:fldCharType="end"/>
        </w:r>
      </w:hyperlink>
    </w:p>
    <w:p w:rsidR="003268A2" w:rsidRDefault="003268A2">
      <w:pPr>
        <w:pStyle w:val="TOC1"/>
        <w:rPr>
          <w:szCs w:val="24"/>
        </w:rPr>
      </w:pPr>
      <w:hyperlink w:anchor="_Toc221523938" w:history="1">
        <w:r w:rsidRPr="00055873">
          <w:rPr>
            <w:rStyle w:val="Hyperlink"/>
          </w:rPr>
          <w:t xml:space="preserve">1.3  </w:t>
        </w:r>
        <w:r w:rsidRPr="00055873">
          <w:rPr>
            <w:rStyle w:val="Hyperlink"/>
            <w:rFonts w:hint="eastAsia"/>
          </w:rPr>
          <w:t>总体政治结构</w:t>
        </w:r>
        <w:r>
          <w:rPr>
            <w:webHidden/>
          </w:rPr>
          <w:tab/>
        </w:r>
        <w:r>
          <w:rPr>
            <w:webHidden/>
          </w:rPr>
          <w:fldChar w:fldCharType="begin"/>
        </w:r>
        <w:r>
          <w:rPr>
            <w:webHidden/>
          </w:rPr>
          <w:instrText xml:space="preserve"> PAGEREF _Toc221523938 \h </w:instrText>
        </w:r>
        <w:r>
          <w:rPr>
            <w:webHidden/>
          </w:rPr>
          <w:fldChar w:fldCharType="separate"/>
        </w:r>
        <w:r w:rsidR="00483641">
          <w:rPr>
            <w:webHidden/>
          </w:rPr>
          <w:t>9</w:t>
        </w:r>
        <w:r>
          <w:rPr>
            <w:webHidden/>
          </w:rPr>
          <w:fldChar w:fldCharType="end"/>
        </w:r>
      </w:hyperlink>
    </w:p>
    <w:p w:rsidR="003268A2" w:rsidRDefault="003268A2">
      <w:pPr>
        <w:pStyle w:val="TOC1"/>
        <w:rPr>
          <w:szCs w:val="24"/>
        </w:rPr>
      </w:pPr>
      <w:hyperlink w:anchor="_Toc221523939" w:history="1">
        <w:r w:rsidRPr="00055873">
          <w:rPr>
            <w:rStyle w:val="Hyperlink"/>
          </w:rPr>
          <w:t xml:space="preserve">1.4  </w:t>
        </w:r>
        <w:r w:rsidRPr="00055873">
          <w:rPr>
            <w:rStyle w:val="Hyperlink"/>
            <w:rFonts w:hint="eastAsia"/>
          </w:rPr>
          <w:t>保护妇女权利的总体规范性框架</w:t>
        </w:r>
        <w:r>
          <w:rPr>
            <w:webHidden/>
          </w:rPr>
          <w:tab/>
        </w:r>
        <w:r>
          <w:rPr>
            <w:webHidden/>
          </w:rPr>
          <w:fldChar w:fldCharType="begin"/>
        </w:r>
        <w:r>
          <w:rPr>
            <w:webHidden/>
          </w:rPr>
          <w:instrText xml:space="preserve"> PAGEREF _Toc221523939 \h </w:instrText>
        </w:r>
        <w:r>
          <w:rPr>
            <w:webHidden/>
          </w:rPr>
          <w:fldChar w:fldCharType="separate"/>
        </w:r>
        <w:r w:rsidR="00483641">
          <w:rPr>
            <w:webHidden/>
          </w:rPr>
          <w:t>10</w:t>
        </w:r>
        <w:r>
          <w:rPr>
            <w:webHidden/>
          </w:rPr>
          <w:fldChar w:fldCharType="end"/>
        </w:r>
      </w:hyperlink>
    </w:p>
    <w:p w:rsidR="003268A2" w:rsidRDefault="003268A2">
      <w:pPr>
        <w:pStyle w:val="TOC1"/>
        <w:rPr>
          <w:szCs w:val="24"/>
        </w:rPr>
      </w:pPr>
      <w:hyperlink w:anchor="_Toc221523940" w:history="1">
        <w:r w:rsidRPr="00055873">
          <w:rPr>
            <w:rStyle w:val="Hyperlink"/>
          </w:rPr>
          <w:t xml:space="preserve">1.5  </w:t>
        </w:r>
        <w:r w:rsidRPr="00055873">
          <w:rPr>
            <w:rStyle w:val="Hyperlink"/>
            <w:rFonts w:hint="eastAsia"/>
          </w:rPr>
          <w:t>信息与宣传</w:t>
        </w:r>
        <w:r>
          <w:rPr>
            <w:webHidden/>
          </w:rPr>
          <w:tab/>
        </w:r>
        <w:r>
          <w:rPr>
            <w:webHidden/>
          </w:rPr>
          <w:fldChar w:fldCharType="begin"/>
        </w:r>
        <w:r>
          <w:rPr>
            <w:webHidden/>
          </w:rPr>
          <w:instrText xml:space="preserve"> PAGEREF _Toc221523940 \h </w:instrText>
        </w:r>
        <w:r>
          <w:rPr>
            <w:webHidden/>
          </w:rPr>
          <w:fldChar w:fldCharType="separate"/>
        </w:r>
        <w:r w:rsidR="00483641">
          <w:rPr>
            <w:webHidden/>
          </w:rPr>
          <w:t>10</w:t>
        </w:r>
        <w:r>
          <w:rPr>
            <w:webHidden/>
          </w:rPr>
          <w:fldChar w:fldCharType="end"/>
        </w:r>
      </w:hyperlink>
    </w:p>
    <w:p w:rsidR="003268A2" w:rsidRDefault="003268A2">
      <w:pPr>
        <w:pStyle w:val="TOC1"/>
        <w:rPr>
          <w:szCs w:val="24"/>
        </w:rPr>
      </w:pPr>
      <w:hyperlink w:anchor="_Toc221523941" w:history="1">
        <w:r w:rsidRPr="00055873">
          <w:rPr>
            <w:rStyle w:val="Hyperlink"/>
          </w:rPr>
          <w:t xml:space="preserve">1.6  </w:t>
        </w:r>
        <w:r w:rsidRPr="00055873">
          <w:rPr>
            <w:rStyle w:val="Hyperlink"/>
            <w:rFonts w:hint="eastAsia"/>
          </w:rPr>
          <w:t>《消除对妇女歧视公约》与国家法律</w:t>
        </w:r>
        <w:r>
          <w:rPr>
            <w:webHidden/>
          </w:rPr>
          <w:tab/>
        </w:r>
        <w:r>
          <w:rPr>
            <w:webHidden/>
          </w:rPr>
          <w:fldChar w:fldCharType="begin"/>
        </w:r>
        <w:r>
          <w:rPr>
            <w:webHidden/>
          </w:rPr>
          <w:instrText xml:space="preserve"> PAGEREF _Toc221523941 \h </w:instrText>
        </w:r>
        <w:r>
          <w:rPr>
            <w:webHidden/>
          </w:rPr>
          <w:fldChar w:fldCharType="separate"/>
        </w:r>
        <w:r w:rsidR="00483641">
          <w:rPr>
            <w:webHidden/>
          </w:rPr>
          <w:t>11</w:t>
        </w:r>
        <w:r>
          <w:rPr>
            <w:webHidden/>
          </w:rPr>
          <w:fldChar w:fldCharType="end"/>
        </w:r>
      </w:hyperlink>
    </w:p>
    <w:p w:rsidR="003268A2" w:rsidRDefault="003268A2">
      <w:pPr>
        <w:pStyle w:val="TOC1"/>
        <w:rPr>
          <w:szCs w:val="24"/>
        </w:rPr>
      </w:pPr>
      <w:hyperlink w:anchor="_Toc221523942" w:history="1">
        <w:r w:rsidRPr="00055873">
          <w:rPr>
            <w:rStyle w:val="Hyperlink"/>
          </w:rPr>
          <w:t xml:space="preserve">1.7  </w:t>
        </w:r>
        <w:r w:rsidRPr="00055873">
          <w:rPr>
            <w:rStyle w:val="Hyperlink"/>
            <w:rFonts w:hint="eastAsia"/>
          </w:rPr>
          <w:t>《消除对妇女</w:t>
        </w:r>
        <w:r w:rsidR="009408E7">
          <w:rPr>
            <w:rStyle w:val="Hyperlink"/>
            <w:rFonts w:hint="eastAsia"/>
          </w:rPr>
          <w:t>歧</w:t>
        </w:r>
        <w:r w:rsidRPr="00055873">
          <w:rPr>
            <w:rStyle w:val="Hyperlink"/>
            <w:rFonts w:hint="eastAsia"/>
          </w:rPr>
          <w:t>视公约》与国家政策和方案</w:t>
        </w:r>
        <w:r>
          <w:rPr>
            <w:webHidden/>
          </w:rPr>
          <w:tab/>
        </w:r>
        <w:r>
          <w:rPr>
            <w:webHidden/>
          </w:rPr>
          <w:fldChar w:fldCharType="begin"/>
        </w:r>
        <w:r>
          <w:rPr>
            <w:webHidden/>
          </w:rPr>
          <w:instrText xml:space="preserve"> PAGEREF _Toc221523942 \h </w:instrText>
        </w:r>
        <w:r>
          <w:rPr>
            <w:webHidden/>
          </w:rPr>
          <w:fldChar w:fldCharType="separate"/>
        </w:r>
        <w:r w:rsidR="00483641">
          <w:rPr>
            <w:webHidden/>
          </w:rPr>
          <w:t>15</w:t>
        </w:r>
        <w:r>
          <w:rPr>
            <w:webHidden/>
          </w:rPr>
          <w:fldChar w:fldCharType="end"/>
        </w:r>
      </w:hyperlink>
    </w:p>
    <w:p w:rsidR="003268A2" w:rsidRDefault="003268A2">
      <w:pPr>
        <w:pStyle w:val="TOC1"/>
        <w:rPr>
          <w:szCs w:val="24"/>
        </w:rPr>
      </w:pPr>
      <w:hyperlink w:anchor="_Toc221523943" w:history="1">
        <w:r w:rsidRPr="00055873">
          <w:rPr>
            <w:rStyle w:val="Hyperlink"/>
            <w:rFonts w:hint="eastAsia"/>
          </w:rPr>
          <w:t>第二部分：一般执行措施</w:t>
        </w:r>
        <w:r>
          <w:rPr>
            <w:webHidden/>
          </w:rPr>
          <w:tab/>
        </w:r>
        <w:r>
          <w:rPr>
            <w:webHidden/>
          </w:rPr>
          <w:fldChar w:fldCharType="begin"/>
        </w:r>
        <w:r>
          <w:rPr>
            <w:webHidden/>
          </w:rPr>
          <w:instrText xml:space="preserve"> PAGEREF _Toc221523943 \h </w:instrText>
        </w:r>
        <w:r>
          <w:rPr>
            <w:webHidden/>
          </w:rPr>
          <w:fldChar w:fldCharType="separate"/>
        </w:r>
        <w:r w:rsidR="00483641">
          <w:rPr>
            <w:webHidden/>
          </w:rPr>
          <w:t>21</w:t>
        </w:r>
        <w:r>
          <w:rPr>
            <w:webHidden/>
          </w:rPr>
          <w:fldChar w:fldCharType="end"/>
        </w:r>
      </w:hyperlink>
    </w:p>
    <w:p w:rsidR="003268A2" w:rsidRDefault="003268A2" w:rsidP="00344F1C">
      <w:pPr>
        <w:pStyle w:val="TOC2"/>
        <w:ind w:left="31680"/>
        <w:rPr>
          <w:kern w:val="2"/>
          <w:szCs w:val="24"/>
        </w:rPr>
      </w:pPr>
      <w:hyperlink w:anchor="_Toc221523944" w:history="1">
        <w:r w:rsidRPr="00055873">
          <w:rPr>
            <w:rStyle w:val="Hyperlink"/>
            <w:rFonts w:hint="eastAsia"/>
          </w:rPr>
          <w:t>第</w:t>
        </w:r>
        <w:r w:rsidRPr="00055873">
          <w:rPr>
            <w:rStyle w:val="Hyperlink"/>
          </w:rPr>
          <w:t>1</w:t>
        </w:r>
        <w:r w:rsidRPr="00055873">
          <w:rPr>
            <w:rStyle w:val="Hyperlink"/>
            <w:rFonts w:hint="eastAsia"/>
          </w:rPr>
          <w:t>条：歧视的定义</w:t>
        </w:r>
        <w:r>
          <w:rPr>
            <w:webHidden/>
          </w:rPr>
          <w:tab/>
        </w:r>
        <w:r>
          <w:rPr>
            <w:webHidden/>
          </w:rPr>
          <w:fldChar w:fldCharType="begin"/>
        </w:r>
        <w:r>
          <w:rPr>
            <w:webHidden/>
          </w:rPr>
          <w:instrText xml:space="preserve"> PAGEREF _Toc221523944 \h </w:instrText>
        </w:r>
        <w:r>
          <w:rPr>
            <w:webHidden/>
          </w:rPr>
          <w:fldChar w:fldCharType="separate"/>
        </w:r>
        <w:r w:rsidR="00483641">
          <w:rPr>
            <w:webHidden/>
          </w:rPr>
          <w:t>22</w:t>
        </w:r>
        <w:r>
          <w:rPr>
            <w:webHidden/>
          </w:rPr>
          <w:fldChar w:fldCharType="end"/>
        </w:r>
      </w:hyperlink>
    </w:p>
    <w:p w:rsidR="003268A2" w:rsidRDefault="003268A2" w:rsidP="00344F1C">
      <w:pPr>
        <w:pStyle w:val="TOC2"/>
        <w:ind w:left="31680"/>
        <w:rPr>
          <w:kern w:val="2"/>
          <w:szCs w:val="24"/>
        </w:rPr>
      </w:pPr>
      <w:hyperlink w:anchor="_Toc221523945" w:history="1">
        <w:r w:rsidRPr="00055873">
          <w:rPr>
            <w:rStyle w:val="Hyperlink"/>
            <w:rFonts w:hint="eastAsia"/>
          </w:rPr>
          <w:t>第</w:t>
        </w:r>
        <w:r w:rsidRPr="00055873">
          <w:rPr>
            <w:rStyle w:val="Hyperlink"/>
          </w:rPr>
          <w:t>2</w:t>
        </w:r>
        <w:r w:rsidRPr="00055873">
          <w:rPr>
            <w:rStyle w:val="Hyperlink"/>
            <w:rFonts w:hint="eastAsia"/>
          </w:rPr>
          <w:t>条：缔约国的义务</w:t>
        </w:r>
        <w:r>
          <w:rPr>
            <w:webHidden/>
          </w:rPr>
          <w:tab/>
        </w:r>
        <w:r>
          <w:rPr>
            <w:webHidden/>
          </w:rPr>
          <w:fldChar w:fldCharType="begin"/>
        </w:r>
        <w:r>
          <w:rPr>
            <w:webHidden/>
          </w:rPr>
          <w:instrText xml:space="preserve"> PAGEREF _Toc221523945 \h </w:instrText>
        </w:r>
        <w:r>
          <w:rPr>
            <w:webHidden/>
          </w:rPr>
          <w:fldChar w:fldCharType="separate"/>
        </w:r>
        <w:r w:rsidR="00483641">
          <w:rPr>
            <w:webHidden/>
          </w:rPr>
          <w:t>22</w:t>
        </w:r>
        <w:r>
          <w:rPr>
            <w:webHidden/>
          </w:rPr>
          <w:fldChar w:fldCharType="end"/>
        </w:r>
      </w:hyperlink>
    </w:p>
    <w:p w:rsidR="003268A2" w:rsidRDefault="003268A2" w:rsidP="00344F1C">
      <w:pPr>
        <w:pStyle w:val="TOC2"/>
        <w:ind w:left="31680"/>
        <w:rPr>
          <w:kern w:val="2"/>
          <w:szCs w:val="24"/>
        </w:rPr>
      </w:pPr>
      <w:hyperlink w:anchor="_Toc221523946" w:history="1">
        <w:r w:rsidRPr="00055873">
          <w:rPr>
            <w:rStyle w:val="Hyperlink"/>
            <w:rFonts w:hint="eastAsia"/>
          </w:rPr>
          <w:t>第</w:t>
        </w:r>
        <w:r w:rsidRPr="00055873">
          <w:rPr>
            <w:rStyle w:val="Hyperlink"/>
          </w:rPr>
          <w:t>3</w:t>
        </w:r>
        <w:r w:rsidRPr="00055873">
          <w:rPr>
            <w:rStyle w:val="Hyperlink"/>
            <w:rFonts w:hint="eastAsia"/>
          </w:rPr>
          <w:t>条：确保妇女充分发展和提高妇女地位的适当措施</w:t>
        </w:r>
        <w:r>
          <w:rPr>
            <w:webHidden/>
          </w:rPr>
          <w:tab/>
        </w:r>
        <w:r>
          <w:rPr>
            <w:webHidden/>
          </w:rPr>
          <w:fldChar w:fldCharType="begin"/>
        </w:r>
        <w:r>
          <w:rPr>
            <w:webHidden/>
          </w:rPr>
          <w:instrText xml:space="preserve"> PAGEREF _Toc221523946 \h </w:instrText>
        </w:r>
        <w:r>
          <w:rPr>
            <w:webHidden/>
          </w:rPr>
          <w:fldChar w:fldCharType="separate"/>
        </w:r>
        <w:r w:rsidR="00483641">
          <w:rPr>
            <w:webHidden/>
          </w:rPr>
          <w:t>23</w:t>
        </w:r>
        <w:r>
          <w:rPr>
            <w:webHidden/>
          </w:rPr>
          <w:fldChar w:fldCharType="end"/>
        </w:r>
      </w:hyperlink>
    </w:p>
    <w:p w:rsidR="003268A2" w:rsidRDefault="003268A2" w:rsidP="00344F1C">
      <w:pPr>
        <w:pStyle w:val="TOC2"/>
        <w:ind w:left="31680"/>
        <w:rPr>
          <w:kern w:val="2"/>
          <w:szCs w:val="24"/>
        </w:rPr>
      </w:pPr>
      <w:hyperlink w:anchor="_Toc221523947" w:history="1">
        <w:r w:rsidRPr="00055873">
          <w:rPr>
            <w:rStyle w:val="Hyperlink"/>
            <w:rFonts w:hint="eastAsia"/>
          </w:rPr>
          <w:t>第</w:t>
        </w:r>
        <w:r w:rsidRPr="00055873">
          <w:rPr>
            <w:rStyle w:val="Hyperlink"/>
          </w:rPr>
          <w:t>4</w:t>
        </w:r>
        <w:r w:rsidRPr="00055873">
          <w:rPr>
            <w:rStyle w:val="Hyperlink"/>
            <w:rFonts w:hint="eastAsia"/>
          </w:rPr>
          <w:t>条：特别措施</w:t>
        </w:r>
        <w:r>
          <w:rPr>
            <w:webHidden/>
          </w:rPr>
          <w:tab/>
        </w:r>
        <w:r>
          <w:rPr>
            <w:webHidden/>
          </w:rPr>
          <w:fldChar w:fldCharType="begin"/>
        </w:r>
        <w:r>
          <w:rPr>
            <w:webHidden/>
          </w:rPr>
          <w:instrText xml:space="preserve"> PAGEREF _Toc221523947 \h </w:instrText>
        </w:r>
        <w:r>
          <w:rPr>
            <w:webHidden/>
          </w:rPr>
          <w:fldChar w:fldCharType="separate"/>
        </w:r>
        <w:r w:rsidR="00483641">
          <w:rPr>
            <w:webHidden/>
          </w:rPr>
          <w:t>25</w:t>
        </w:r>
        <w:r>
          <w:rPr>
            <w:webHidden/>
          </w:rPr>
          <w:fldChar w:fldCharType="end"/>
        </w:r>
      </w:hyperlink>
    </w:p>
    <w:p w:rsidR="003268A2" w:rsidRDefault="003268A2" w:rsidP="00344F1C">
      <w:pPr>
        <w:pStyle w:val="TOC2"/>
        <w:ind w:left="31680"/>
        <w:rPr>
          <w:kern w:val="2"/>
          <w:szCs w:val="24"/>
        </w:rPr>
      </w:pPr>
      <w:hyperlink w:anchor="_Toc221523948" w:history="1">
        <w:r w:rsidRPr="00055873">
          <w:rPr>
            <w:rStyle w:val="Hyperlink"/>
            <w:rFonts w:hint="eastAsia"/>
          </w:rPr>
          <w:t>第</w:t>
        </w:r>
        <w:r w:rsidRPr="00055873">
          <w:rPr>
            <w:rStyle w:val="Hyperlink"/>
          </w:rPr>
          <w:t>5</w:t>
        </w:r>
        <w:r w:rsidRPr="00055873">
          <w:rPr>
            <w:rStyle w:val="Hyperlink"/>
            <w:rFonts w:hint="eastAsia"/>
          </w:rPr>
          <w:t>条：社会和文化模式的改变</w:t>
        </w:r>
        <w:r>
          <w:rPr>
            <w:webHidden/>
          </w:rPr>
          <w:tab/>
        </w:r>
        <w:r>
          <w:rPr>
            <w:webHidden/>
          </w:rPr>
          <w:fldChar w:fldCharType="begin"/>
        </w:r>
        <w:r>
          <w:rPr>
            <w:webHidden/>
          </w:rPr>
          <w:instrText xml:space="preserve"> PAGEREF _Toc221523948 \h </w:instrText>
        </w:r>
        <w:r>
          <w:rPr>
            <w:webHidden/>
          </w:rPr>
          <w:fldChar w:fldCharType="separate"/>
        </w:r>
        <w:r w:rsidR="00483641">
          <w:rPr>
            <w:webHidden/>
          </w:rPr>
          <w:t>25</w:t>
        </w:r>
        <w:r>
          <w:rPr>
            <w:webHidden/>
          </w:rPr>
          <w:fldChar w:fldCharType="end"/>
        </w:r>
      </w:hyperlink>
    </w:p>
    <w:p w:rsidR="003268A2" w:rsidRDefault="003268A2" w:rsidP="00344F1C">
      <w:pPr>
        <w:pStyle w:val="TOC2"/>
        <w:ind w:left="31680"/>
        <w:rPr>
          <w:kern w:val="2"/>
          <w:szCs w:val="24"/>
        </w:rPr>
      </w:pPr>
      <w:hyperlink w:anchor="_Toc221523949" w:history="1">
        <w:r w:rsidRPr="00055873">
          <w:rPr>
            <w:rStyle w:val="Hyperlink"/>
            <w:rFonts w:hint="eastAsia"/>
          </w:rPr>
          <w:t>第</w:t>
        </w:r>
        <w:r w:rsidRPr="00055873">
          <w:rPr>
            <w:rStyle w:val="Hyperlink"/>
          </w:rPr>
          <w:t>6</w:t>
        </w:r>
        <w:r w:rsidRPr="00055873">
          <w:rPr>
            <w:rStyle w:val="Hyperlink"/>
            <w:rFonts w:hint="eastAsia"/>
          </w:rPr>
          <w:t>条：制止对妇女的剥削</w:t>
        </w:r>
        <w:r>
          <w:rPr>
            <w:webHidden/>
          </w:rPr>
          <w:tab/>
        </w:r>
        <w:r>
          <w:rPr>
            <w:webHidden/>
          </w:rPr>
          <w:fldChar w:fldCharType="begin"/>
        </w:r>
        <w:r>
          <w:rPr>
            <w:webHidden/>
          </w:rPr>
          <w:instrText xml:space="preserve"> PAGEREF _Toc221523949 \h </w:instrText>
        </w:r>
        <w:r>
          <w:rPr>
            <w:webHidden/>
          </w:rPr>
          <w:fldChar w:fldCharType="separate"/>
        </w:r>
        <w:r w:rsidR="00483641">
          <w:rPr>
            <w:webHidden/>
          </w:rPr>
          <w:t>26</w:t>
        </w:r>
        <w:r>
          <w:rPr>
            <w:webHidden/>
          </w:rPr>
          <w:fldChar w:fldCharType="end"/>
        </w:r>
      </w:hyperlink>
    </w:p>
    <w:p w:rsidR="003268A2" w:rsidRDefault="003268A2" w:rsidP="00344F1C">
      <w:pPr>
        <w:pStyle w:val="TOC2"/>
        <w:ind w:left="31680"/>
        <w:rPr>
          <w:kern w:val="2"/>
          <w:szCs w:val="24"/>
        </w:rPr>
      </w:pPr>
      <w:hyperlink w:anchor="_Toc221523950" w:history="1">
        <w:r w:rsidRPr="00055873">
          <w:rPr>
            <w:rStyle w:val="Hyperlink"/>
            <w:rFonts w:hint="eastAsia"/>
          </w:rPr>
          <w:t>第</w:t>
        </w:r>
        <w:r w:rsidRPr="00055873">
          <w:rPr>
            <w:rStyle w:val="Hyperlink"/>
          </w:rPr>
          <w:t>7</w:t>
        </w:r>
        <w:r w:rsidRPr="00055873">
          <w:rPr>
            <w:rStyle w:val="Hyperlink"/>
            <w:rFonts w:hint="eastAsia"/>
          </w:rPr>
          <w:t>条：平等参与国家政治和公共生活</w:t>
        </w:r>
        <w:r>
          <w:rPr>
            <w:webHidden/>
          </w:rPr>
          <w:tab/>
        </w:r>
        <w:r>
          <w:rPr>
            <w:webHidden/>
          </w:rPr>
          <w:fldChar w:fldCharType="begin"/>
        </w:r>
        <w:r>
          <w:rPr>
            <w:webHidden/>
          </w:rPr>
          <w:instrText xml:space="preserve"> PAGEREF _Toc221523950 \h </w:instrText>
        </w:r>
        <w:r>
          <w:rPr>
            <w:webHidden/>
          </w:rPr>
          <w:fldChar w:fldCharType="separate"/>
        </w:r>
        <w:r w:rsidR="00483641">
          <w:rPr>
            <w:webHidden/>
          </w:rPr>
          <w:t>30</w:t>
        </w:r>
        <w:r>
          <w:rPr>
            <w:webHidden/>
          </w:rPr>
          <w:fldChar w:fldCharType="end"/>
        </w:r>
      </w:hyperlink>
    </w:p>
    <w:p w:rsidR="003268A2" w:rsidRDefault="003268A2" w:rsidP="00344F1C">
      <w:pPr>
        <w:pStyle w:val="TOC2"/>
        <w:ind w:left="31680"/>
        <w:rPr>
          <w:kern w:val="2"/>
          <w:szCs w:val="24"/>
        </w:rPr>
      </w:pPr>
      <w:hyperlink w:anchor="_Toc221523951" w:history="1">
        <w:r w:rsidRPr="00055873">
          <w:rPr>
            <w:rStyle w:val="Hyperlink"/>
            <w:rFonts w:hint="eastAsia"/>
          </w:rPr>
          <w:t>第</w:t>
        </w:r>
        <w:r w:rsidRPr="00055873">
          <w:rPr>
            <w:rStyle w:val="Hyperlink"/>
          </w:rPr>
          <w:t>8</w:t>
        </w:r>
        <w:r w:rsidRPr="00055873">
          <w:rPr>
            <w:rStyle w:val="Hyperlink"/>
            <w:rFonts w:hint="eastAsia"/>
          </w:rPr>
          <w:t>条：平等参与国际政治和公共生活</w:t>
        </w:r>
        <w:r>
          <w:rPr>
            <w:webHidden/>
          </w:rPr>
          <w:tab/>
        </w:r>
        <w:r>
          <w:rPr>
            <w:webHidden/>
          </w:rPr>
          <w:fldChar w:fldCharType="begin"/>
        </w:r>
        <w:r>
          <w:rPr>
            <w:webHidden/>
          </w:rPr>
          <w:instrText xml:space="preserve"> PAGEREF _Toc221523951 \h </w:instrText>
        </w:r>
        <w:r>
          <w:rPr>
            <w:webHidden/>
          </w:rPr>
          <w:fldChar w:fldCharType="separate"/>
        </w:r>
        <w:r w:rsidR="00483641">
          <w:rPr>
            <w:webHidden/>
          </w:rPr>
          <w:t>32</w:t>
        </w:r>
        <w:r>
          <w:rPr>
            <w:webHidden/>
          </w:rPr>
          <w:fldChar w:fldCharType="end"/>
        </w:r>
      </w:hyperlink>
    </w:p>
    <w:p w:rsidR="003268A2" w:rsidRDefault="003268A2" w:rsidP="00344F1C">
      <w:pPr>
        <w:pStyle w:val="TOC2"/>
        <w:ind w:left="31680"/>
        <w:rPr>
          <w:kern w:val="2"/>
          <w:szCs w:val="24"/>
        </w:rPr>
      </w:pPr>
      <w:hyperlink w:anchor="_Toc221523952" w:history="1">
        <w:r w:rsidRPr="00055873">
          <w:rPr>
            <w:rStyle w:val="Hyperlink"/>
            <w:rFonts w:hint="eastAsia"/>
          </w:rPr>
          <w:t>第</w:t>
        </w:r>
        <w:r w:rsidRPr="00055873">
          <w:rPr>
            <w:rStyle w:val="Hyperlink"/>
          </w:rPr>
          <w:t>9</w:t>
        </w:r>
        <w:r w:rsidRPr="00055873">
          <w:rPr>
            <w:rStyle w:val="Hyperlink"/>
            <w:rFonts w:hint="eastAsia"/>
          </w:rPr>
          <w:t>条：国籍法规定的平等</w:t>
        </w:r>
        <w:r>
          <w:rPr>
            <w:webHidden/>
          </w:rPr>
          <w:tab/>
        </w:r>
        <w:r>
          <w:rPr>
            <w:webHidden/>
          </w:rPr>
          <w:fldChar w:fldCharType="begin"/>
        </w:r>
        <w:r>
          <w:rPr>
            <w:webHidden/>
          </w:rPr>
          <w:instrText xml:space="preserve"> PAGEREF _Toc221523952 \h </w:instrText>
        </w:r>
        <w:r>
          <w:rPr>
            <w:webHidden/>
          </w:rPr>
          <w:fldChar w:fldCharType="separate"/>
        </w:r>
        <w:r w:rsidR="00483641">
          <w:rPr>
            <w:webHidden/>
          </w:rPr>
          <w:t>32</w:t>
        </w:r>
        <w:r>
          <w:rPr>
            <w:webHidden/>
          </w:rPr>
          <w:fldChar w:fldCharType="end"/>
        </w:r>
      </w:hyperlink>
    </w:p>
    <w:p w:rsidR="003268A2" w:rsidRDefault="003268A2" w:rsidP="00344F1C">
      <w:pPr>
        <w:pStyle w:val="TOC2"/>
        <w:ind w:left="31680"/>
        <w:rPr>
          <w:kern w:val="2"/>
          <w:szCs w:val="24"/>
        </w:rPr>
      </w:pPr>
      <w:hyperlink w:anchor="_Toc221523953" w:history="1">
        <w:r w:rsidRPr="00055873">
          <w:rPr>
            <w:rStyle w:val="Hyperlink"/>
            <w:rFonts w:hint="eastAsia"/>
          </w:rPr>
          <w:t>第</w:t>
        </w:r>
        <w:r w:rsidRPr="00055873">
          <w:rPr>
            <w:rStyle w:val="Hyperlink"/>
          </w:rPr>
          <w:t>10</w:t>
        </w:r>
        <w:r w:rsidRPr="00055873">
          <w:rPr>
            <w:rStyle w:val="Hyperlink"/>
            <w:rFonts w:hint="eastAsia"/>
          </w:rPr>
          <w:t>条：教育和培训</w:t>
        </w:r>
        <w:r>
          <w:rPr>
            <w:webHidden/>
          </w:rPr>
          <w:tab/>
        </w:r>
        <w:r>
          <w:rPr>
            <w:webHidden/>
          </w:rPr>
          <w:fldChar w:fldCharType="begin"/>
        </w:r>
        <w:r>
          <w:rPr>
            <w:webHidden/>
          </w:rPr>
          <w:instrText xml:space="preserve"> PAGEREF _Toc221523953 \h </w:instrText>
        </w:r>
        <w:r>
          <w:rPr>
            <w:webHidden/>
          </w:rPr>
          <w:fldChar w:fldCharType="separate"/>
        </w:r>
        <w:r w:rsidR="00483641">
          <w:rPr>
            <w:webHidden/>
          </w:rPr>
          <w:t>34</w:t>
        </w:r>
        <w:r>
          <w:rPr>
            <w:webHidden/>
          </w:rPr>
          <w:fldChar w:fldCharType="end"/>
        </w:r>
      </w:hyperlink>
    </w:p>
    <w:p w:rsidR="003268A2" w:rsidRDefault="003268A2" w:rsidP="00344F1C">
      <w:pPr>
        <w:pStyle w:val="TOC2"/>
        <w:ind w:left="31680"/>
        <w:rPr>
          <w:kern w:val="2"/>
          <w:szCs w:val="24"/>
        </w:rPr>
      </w:pPr>
      <w:hyperlink w:anchor="_Toc221523954" w:history="1">
        <w:r w:rsidRPr="00055873">
          <w:rPr>
            <w:rStyle w:val="Hyperlink"/>
            <w:rFonts w:hint="eastAsia"/>
          </w:rPr>
          <w:t>第</w:t>
        </w:r>
        <w:r w:rsidRPr="00055873">
          <w:rPr>
            <w:rStyle w:val="Hyperlink"/>
          </w:rPr>
          <w:t>11</w:t>
        </w:r>
        <w:r w:rsidRPr="00055873">
          <w:rPr>
            <w:rStyle w:val="Hyperlink"/>
            <w:rFonts w:hint="eastAsia"/>
          </w:rPr>
          <w:t>条：就业与工作</w:t>
        </w:r>
        <w:r>
          <w:rPr>
            <w:webHidden/>
          </w:rPr>
          <w:tab/>
        </w:r>
        <w:r>
          <w:rPr>
            <w:webHidden/>
          </w:rPr>
          <w:fldChar w:fldCharType="begin"/>
        </w:r>
        <w:r>
          <w:rPr>
            <w:webHidden/>
          </w:rPr>
          <w:instrText xml:space="preserve"> PAGEREF _Toc221523954 \h </w:instrText>
        </w:r>
        <w:r>
          <w:rPr>
            <w:webHidden/>
          </w:rPr>
          <w:fldChar w:fldCharType="separate"/>
        </w:r>
        <w:r w:rsidR="00483641">
          <w:rPr>
            <w:webHidden/>
          </w:rPr>
          <w:t>38</w:t>
        </w:r>
        <w:r>
          <w:rPr>
            <w:webHidden/>
          </w:rPr>
          <w:fldChar w:fldCharType="end"/>
        </w:r>
      </w:hyperlink>
    </w:p>
    <w:p w:rsidR="003268A2" w:rsidRDefault="003268A2" w:rsidP="00344F1C">
      <w:pPr>
        <w:pStyle w:val="TOC2"/>
        <w:ind w:left="31680"/>
        <w:rPr>
          <w:kern w:val="2"/>
          <w:szCs w:val="24"/>
        </w:rPr>
      </w:pPr>
      <w:hyperlink w:anchor="_Toc221523955" w:history="1">
        <w:r w:rsidRPr="00055873">
          <w:rPr>
            <w:rStyle w:val="Hyperlink"/>
            <w:rFonts w:hint="eastAsia"/>
          </w:rPr>
          <w:t>第</w:t>
        </w:r>
        <w:r w:rsidRPr="00055873">
          <w:rPr>
            <w:rStyle w:val="Hyperlink"/>
          </w:rPr>
          <w:t>12</w:t>
        </w:r>
        <w:r w:rsidRPr="00055873">
          <w:rPr>
            <w:rStyle w:val="Hyperlink"/>
            <w:rFonts w:hint="eastAsia"/>
          </w:rPr>
          <w:t>条：保健</w:t>
        </w:r>
        <w:r>
          <w:rPr>
            <w:webHidden/>
          </w:rPr>
          <w:tab/>
        </w:r>
        <w:r>
          <w:rPr>
            <w:webHidden/>
          </w:rPr>
          <w:fldChar w:fldCharType="begin"/>
        </w:r>
        <w:r>
          <w:rPr>
            <w:webHidden/>
          </w:rPr>
          <w:instrText xml:space="preserve"> PAGEREF _Toc221523955 \h </w:instrText>
        </w:r>
        <w:r>
          <w:rPr>
            <w:webHidden/>
          </w:rPr>
          <w:fldChar w:fldCharType="separate"/>
        </w:r>
        <w:r w:rsidR="00483641">
          <w:rPr>
            <w:webHidden/>
          </w:rPr>
          <w:t>39</w:t>
        </w:r>
        <w:r>
          <w:rPr>
            <w:webHidden/>
          </w:rPr>
          <w:fldChar w:fldCharType="end"/>
        </w:r>
      </w:hyperlink>
    </w:p>
    <w:p w:rsidR="003268A2" w:rsidRDefault="003268A2" w:rsidP="00344F1C">
      <w:pPr>
        <w:pStyle w:val="TOC2"/>
        <w:ind w:left="31680"/>
        <w:rPr>
          <w:kern w:val="2"/>
          <w:szCs w:val="24"/>
        </w:rPr>
      </w:pPr>
      <w:hyperlink w:anchor="_Toc221523956" w:history="1">
        <w:r w:rsidRPr="00055873">
          <w:rPr>
            <w:rStyle w:val="Hyperlink"/>
            <w:rFonts w:hint="eastAsia"/>
          </w:rPr>
          <w:t>第</w:t>
        </w:r>
        <w:r w:rsidRPr="00055873">
          <w:rPr>
            <w:rStyle w:val="Hyperlink"/>
          </w:rPr>
          <w:t>13</w:t>
        </w:r>
        <w:r w:rsidRPr="00055873">
          <w:rPr>
            <w:rStyle w:val="Hyperlink"/>
            <w:rFonts w:hint="eastAsia"/>
          </w:rPr>
          <w:t>条：经济和社会保障</w:t>
        </w:r>
        <w:r>
          <w:rPr>
            <w:webHidden/>
          </w:rPr>
          <w:tab/>
        </w:r>
        <w:r>
          <w:rPr>
            <w:webHidden/>
          </w:rPr>
          <w:fldChar w:fldCharType="begin"/>
        </w:r>
        <w:r>
          <w:rPr>
            <w:webHidden/>
          </w:rPr>
          <w:instrText xml:space="preserve"> PAGEREF _Toc221523956 \h </w:instrText>
        </w:r>
        <w:r>
          <w:rPr>
            <w:webHidden/>
          </w:rPr>
          <w:fldChar w:fldCharType="separate"/>
        </w:r>
        <w:r w:rsidR="00483641">
          <w:rPr>
            <w:webHidden/>
          </w:rPr>
          <w:t>43</w:t>
        </w:r>
        <w:r>
          <w:rPr>
            <w:webHidden/>
          </w:rPr>
          <w:fldChar w:fldCharType="end"/>
        </w:r>
      </w:hyperlink>
    </w:p>
    <w:p w:rsidR="003268A2" w:rsidRDefault="003268A2" w:rsidP="00344F1C">
      <w:pPr>
        <w:pStyle w:val="TOC2"/>
        <w:ind w:left="31680"/>
        <w:rPr>
          <w:kern w:val="2"/>
          <w:szCs w:val="24"/>
        </w:rPr>
      </w:pPr>
      <w:hyperlink w:anchor="_Toc221523957" w:history="1">
        <w:r w:rsidRPr="00055873">
          <w:rPr>
            <w:rStyle w:val="Hyperlink"/>
            <w:rFonts w:hint="eastAsia"/>
          </w:rPr>
          <w:t>第</w:t>
        </w:r>
        <w:r w:rsidRPr="00055873">
          <w:rPr>
            <w:rStyle w:val="Hyperlink"/>
          </w:rPr>
          <w:t>14</w:t>
        </w:r>
        <w:r w:rsidRPr="00055873">
          <w:rPr>
            <w:rStyle w:val="Hyperlink"/>
            <w:rFonts w:hint="eastAsia"/>
          </w:rPr>
          <w:t>条：农村妇女</w:t>
        </w:r>
        <w:r>
          <w:rPr>
            <w:webHidden/>
          </w:rPr>
          <w:tab/>
        </w:r>
        <w:r>
          <w:rPr>
            <w:webHidden/>
          </w:rPr>
          <w:fldChar w:fldCharType="begin"/>
        </w:r>
        <w:r>
          <w:rPr>
            <w:webHidden/>
          </w:rPr>
          <w:instrText xml:space="preserve"> PAGEREF _Toc221523957 \h </w:instrText>
        </w:r>
        <w:r>
          <w:rPr>
            <w:webHidden/>
          </w:rPr>
          <w:fldChar w:fldCharType="separate"/>
        </w:r>
        <w:r w:rsidR="00483641">
          <w:rPr>
            <w:webHidden/>
          </w:rPr>
          <w:t>43</w:t>
        </w:r>
        <w:r>
          <w:rPr>
            <w:webHidden/>
          </w:rPr>
          <w:fldChar w:fldCharType="end"/>
        </w:r>
      </w:hyperlink>
    </w:p>
    <w:p w:rsidR="003268A2" w:rsidRDefault="003268A2" w:rsidP="00344F1C">
      <w:pPr>
        <w:pStyle w:val="TOC2"/>
        <w:ind w:left="31680"/>
        <w:rPr>
          <w:kern w:val="2"/>
          <w:szCs w:val="24"/>
        </w:rPr>
      </w:pPr>
      <w:hyperlink w:anchor="_Toc221523958" w:history="1">
        <w:r w:rsidRPr="00055873">
          <w:rPr>
            <w:rStyle w:val="Hyperlink"/>
            <w:rFonts w:hint="eastAsia"/>
          </w:rPr>
          <w:t>第</w:t>
        </w:r>
        <w:r w:rsidRPr="00055873">
          <w:rPr>
            <w:rStyle w:val="Hyperlink"/>
          </w:rPr>
          <w:t>15</w:t>
        </w:r>
        <w:r w:rsidRPr="00055873">
          <w:rPr>
            <w:rStyle w:val="Hyperlink"/>
            <w:rFonts w:hint="eastAsia"/>
          </w:rPr>
          <w:t>条：民事法律面前的平等</w:t>
        </w:r>
        <w:r>
          <w:rPr>
            <w:webHidden/>
          </w:rPr>
          <w:tab/>
        </w:r>
        <w:r>
          <w:rPr>
            <w:webHidden/>
          </w:rPr>
          <w:fldChar w:fldCharType="begin"/>
        </w:r>
        <w:r>
          <w:rPr>
            <w:webHidden/>
          </w:rPr>
          <w:instrText xml:space="preserve"> PAGEREF _Toc221523958 \h </w:instrText>
        </w:r>
        <w:r>
          <w:rPr>
            <w:webHidden/>
          </w:rPr>
          <w:fldChar w:fldCharType="separate"/>
        </w:r>
        <w:r w:rsidR="00483641">
          <w:rPr>
            <w:webHidden/>
          </w:rPr>
          <w:t>45</w:t>
        </w:r>
        <w:r>
          <w:rPr>
            <w:webHidden/>
          </w:rPr>
          <w:fldChar w:fldCharType="end"/>
        </w:r>
      </w:hyperlink>
    </w:p>
    <w:p w:rsidR="003268A2" w:rsidRDefault="003268A2" w:rsidP="00344F1C">
      <w:pPr>
        <w:pStyle w:val="TOC2"/>
        <w:ind w:left="31680"/>
        <w:rPr>
          <w:kern w:val="2"/>
          <w:szCs w:val="24"/>
        </w:rPr>
      </w:pPr>
      <w:hyperlink w:anchor="_Toc221523959" w:history="1">
        <w:r w:rsidRPr="00055873">
          <w:rPr>
            <w:rStyle w:val="Hyperlink"/>
            <w:rFonts w:hint="eastAsia"/>
          </w:rPr>
          <w:t>第</w:t>
        </w:r>
        <w:r w:rsidRPr="00055873">
          <w:rPr>
            <w:rStyle w:val="Hyperlink"/>
          </w:rPr>
          <w:t>16</w:t>
        </w:r>
        <w:r w:rsidRPr="00055873">
          <w:rPr>
            <w:rStyle w:val="Hyperlink"/>
            <w:rFonts w:hint="eastAsia"/>
          </w:rPr>
          <w:t>条：婚姻和家事法律</w:t>
        </w:r>
        <w:r>
          <w:rPr>
            <w:webHidden/>
          </w:rPr>
          <w:tab/>
        </w:r>
        <w:r>
          <w:rPr>
            <w:webHidden/>
          </w:rPr>
          <w:fldChar w:fldCharType="begin"/>
        </w:r>
        <w:r>
          <w:rPr>
            <w:webHidden/>
          </w:rPr>
          <w:instrText xml:space="preserve"> PAGEREF _Toc221523959 \h </w:instrText>
        </w:r>
        <w:r>
          <w:rPr>
            <w:webHidden/>
          </w:rPr>
          <w:fldChar w:fldCharType="separate"/>
        </w:r>
        <w:r w:rsidR="00483641">
          <w:rPr>
            <w:webHidden/>
          </w:rPr>
          <w:t>45</w:t>
        </w:r>
        <w:r>
          <w:rPr>
            <w:webHidden/>
          </w:rPr>
          <w:fldChar w:fldCharType="end"/>
        </w:r>
      </w:hyperlink>
    </w:p>
    <w:p w:rsidR="003268A2" w:rsidRDefault="003268A2">
      <w:pPr>
        <w:pStyle w:val="TOC1"/>
        <w:rPr>
          <w:szCs w:val="24"/>
        </w:rPr>
      </w:pPr>
      <w:hyperlink w:anchor="_Toc221523960" w:history="1">
        <w:r w:rsidRPr="00055873">
          <w:rPr>
            <w:rStyle w:val="Hyperlink"/>
            <w:rFonts w:hint="eastAsia"/>
          </w:rPr>
          <w:t>第三部分：履行《公约》义务的制约因素和挑战</w:t>
        </w:r>
        <w:r>
          <w:rPr>
            <w:webHidden/>
          </w:rPr>
          <w:tab/>
        </w:r>
        <w:r>
          <w:rPr>
            <w:webHidden/>
          </w:rPr>
          <w:fldChar w:fldCharType="begin"/>
        </w:r>
        <w:r>
          <w:rPr>
            <w:webHidden/>
          </w:rPr>
          <w:instrText xml:space="preserve"> PAGEREF _Toc221523960 \h </w:instrText>
        </w:r>
        <w:r>
          <w:rPr>
            <w:webHidden/>
          </w:rPr>
          <w:fldChar w:fldCharType="separate"/>
        </w:r>
        <w:r w:rsidR="00483641">
          <w:rPr>
            <w:webHidden/>
          </w:rPr>
          <w:t>48</w:t>
        </w:r>
        <w:r>
          <w:rPr>
            <w:webHidden/>
          </w:rPr>
          <w:fldChar w:fldCharType="end"/>
        </w:r>
      </w:hyperlink>
    </w:p>
    <w:p w:rsidR="003268A2" w:rsidRDefault="003268A2">
      <w:pPr>
        <w:pStyle w:val="TOC1"/>
        <w:rPr>
          <w:szCs w:val="24"/>
        </w:rPr>
      </w:pPr>
      <w:hyperlink w:anchor="_Toc221523961" w:history="1">
        <w:r w:rsidRPr="00055873">
          <w:rPr>
            <w:rStyle w:val="Hyperlink"/>
            <w:rFonts w:hint="eastAsia"/>
          </w:rPr>
          <w:t>附件</w:t>
        </w:r>
        <w:r>
          <w:rPr>
            <w:webHidden/>
          </w:rPr>
          <w:tab/>
        </w:r>
        <w:r>
          <w:rPr>
            <w:webHidden/>
          </w:rPr>
          <w:fldChar w:fldCharType="begin"/>
        </w:r>
        <w:r>
          <w:rPr>
            <w:webHidden/>
          </w:rPr>
          <w:instrText xml:space="preserve"> PAGEREF _Toc221523961 \h </w:instrText>
        </w:r>
        <w:r>
          <w:rPr>
            <w:webHidden/>
          </w:rPr>
          <w:fldChar w:fldCharType="separate"/>
        </w:r>
        <w:r w:rsidR="00483641">
          <w:rPr>
            <w:webHidden/>
          </w:rPr>
          <w:t>51</w:t>
        </w:r>
        <w:r>
          <w:rPr>
            <w:webHidden/>
          </w:rPr>
          <w:fldChar w:fldCharType="end"/>
        </w:r>
      </w:hyperlink>
    </w:p>
    <w:p w:rsidR="00527C62" w:rsidRPr="007A44B0" w:rsidRDefault="003268A2" w:rsidP="001233F5">
      <w:pPr>
        <w:autoSpaceDE w:val="0"/>
        <w:autoSpaceDN w:val="0"/>
        <w:spacing w:line="480" w:lineRule="auto"/>
        <w:rPr>
          <w:rFonts w:hint="eastAsia"/>
        </w:rPr>
      </w:pPr>
      <w:r>
        <w:fldChar w:fldCharType="end"/>
      </w:r>
    </w:p>
    <w:p w:rsidR="00527C62" w:rsidRDefault="00527C62" w:rsidP="00527C62">
      <w:pPr>
        <w:autoSpaceDE w:val="0"/>
        <w:autoSpaceDN w:val="0"/>
        <w:spacing w:line="480" w:lineRule="auto"/>
        <w:rPr>
          <w:rFonts w:hint="eastAsia"/>
        </w:rPr>
      </w:pPr>
    </w:p>
    <w:p w:rsidR="00601FCF" w:rsidRPr="00064834" w:rsidRDefault="00601FCF" w:rsidP="00064834">
      <w:pPr>
        <w:pStyle w:val="HCh"/>
        <w:jc w:val="center"/>
        <w:rPr>
          <w:rFonts w:ascii="Times New Roman" w:hint="eastAsia"/>
          <w:szCs w:val="28"/>
        </w:rPr>
      </w:pPr>
      <w:r>
        <w:br w:type="page"/>
      </w:r>
      <w:bookmarkStart w:id="39" w:name="_Toc221523932"/>
      <w:r w:rsidRPr="00064834">
        <w:rPr>
          <w:rFonts w:ascii="Times New Roman" w:hint="eastAsia"/>
          <w:szCs w:val="28"/>
        </w:rPr>
        <w:t>前言</w:t>
      </w:r>
      <w:bookmarkEnd w:id="39"/>
    </w:p>
    <w:p w:rsidR="00601FCF" w:rsidRPr="001A700D" w:rsidRDefault="00601FCF" w:rsidP="00344F1C">
      <w:pPr>
        <w:spacing w:after="240" w:line="360" w:lineRule="exact"/>
        <w:ind w:firstLineChars="250" w:firstLine="31680"/>
        <w:rPr>
          <w:rFonts w:hint="eastAsia"/>
          <w:szCs w:val="21"/>
        </w:rPr>
      </w:pPr>
      <w:r w:rsidRPr="001A700D">
        <w:rPr>
          <w:rFonts w:hint="eastAsia"/>
          <w:szCs w:val="21"/>
        </w:rPr>
        <w:t>本报告旨在履行马拉维共和国在签署和批准《消除对妇女一切形式歧视公约》时所作的承诺。</w:t>
      </w:r>
    </w:p>
    <w:p w:rsidR="00601FCF" w:rsidRPr="001A700D" w:rsidRDefault="00601FCF" w:rsidP="00344F1C">
      <w:pPr>
        <w:spacing w:after="240" w:line="360" w:lineRule="exact"/>
        <w:ind w:firstLineChars="200" w:firstLine="31680"/>
        <w:rPr>
          <w:rFonts w:hint="eastAsia"/>
          <w:szCs w:val="21"/>
        </w:rPr>
      </w:pPr>
      <w:r w:rsidRPr="001A700D">
        <w:rPr>
          <w:rFonts w:hint="eastAsia"/>
          <w:szCs w:val="21"/>
        </w:rPr>
        <w:t>本报告由妇女和儿童发展部以负责性别问题国家机构的名义编写，该部努力履行其法定使命，贯彻提高妇女地位、确保男女权利和机会平等的公共政策。</w:t>
      </w:r>
    </w:p>
    <w:p w:rsidR="00601FCF" w:rsidRPr="001A700D" w:rsidRDefault="00601FCF" w:rsidP="00344F1C">
      <w:pPr>
        <w:spacing w:after="240" w:line="360" w:lineRule="exact"/>
        <w:ind w:firstLineChars="250" w:firstLine="31680"/>
        <w:rPr>
          <w:rFonts w:hint="eastAsia"/>
          <w:szCs w:val="21"/>
        </w:rPr>
      </w:pPr>
      <w:r w:rsidRPr="001A700D">
        <w:rPr>
          <w:rFonts w:hint="eastAsia"/>
          <w:szCs w:val="21"/>
        </w:rPr>
        <w:t>联合国人口基金为编写本报告提供了财政支助。编写本报告所使用的数据，是在对马拉维各个国家机构、非政府机构、学术界以及专家所编制的主要文件和统计数据进行系统总结后得出的。此外，还有在采访专家和重要答卷人时收集的信息作为补充。对本报告的批判性讨论使它得以纳入更多信息。</w:t>
      </w:r>
    </w:p>
    <w:p w:rsidR="00601FCF" w:rsidRPr="001A700D" w:rsidRDefault="00601FCF" w:rsidP="00344F1C">
      <w:pPr>
        <w:spacing w:after="240" w:line="360" w:lineRule="exact"/>
        <w:ind w:firstLineChars="250" w:firstLine="31680"/>
        <w:rPr>
          <w:szCs w:val="21"/>
        </w:rPr>
      </w:pPr>
      <w:r w:rsidRPr="001A700D">
        <w:rPr>
          <w:rFonts w:hint="eastAsia"/>
          <w:szCs w:val="21"/>
        </w:rPr>
        <w:t>马拉维政府谨此按照本国在批准《公约》时所作承诺，将这份第六次报告提交委员会审议。</w:t>
      </w:r>
    </w:p>
    <w:p w:rsidR="00064834" w:rsidRDefault="00064834" w:rsidP="00064834">
      <w:pPr>
        <w:spacing w:after="240" w:line="360" w:lineRule="exact"/>
        <w:rPr>
          <w:rFonts w:hint="eastAsia"/>
          <w:szCs w:val="21"/>
        </w:rPr>
      </w:pPr>
    </w:p>
    <w:p w:rsidR="00601FCF" w:rsidRPr="00064834" w:rsidRDefault="00601FCF" w:rsidP="00064834">
      <w:pPr>
        <w:spacing w:after="240" w:line="360" w:lineRule="exact"/>
        <w:rPr>
          <w:rFonts w:ascii="SimHei" w:eastAsia="SimHei" w:hint="eastAsia"/>
          <w:color w:val="FF0000"/>
          <w:szCs w:val="21"/>
        </w:rPr>
      </w:pPr>
      <w:r w:rsidRPr="00064834">
        <w:rPr>
          <w:rFonts w:ascii="SimHei" w:eastAsia="SimHei" w:hint="eastAsia"/>
          <w:color w:val="FF0000"/>
          <w:szCs w:val="21"/>
        </w:rPr>
        <w:t>Anna Kachikho阁下</w:t>
      </w:r>
    </w:p>
    <w:p w:rsidR="00601FCF" w:rsidRPr="00064834" w:rsidRDefault="00601FCF" w:rsidP="00064834">
      <w:pPr>
        <w:spacing w:after="240" w:line="360" w:lineRule="exact"/>
        <w:rPr>
          <w:rFonts w:ascii="SimHei" w:eastAsia="SimHei" w:hint="eastAsia"/>
          <w:color w:val="FF0000"/>
          <w:szCs w:val="21"/>
        </w:rPr>
      </w:pPr>
      <w:r w:rsidRPr="00064834">
        <w:rPr>
          <w:rFonts w:ascii="SimHei" w:eastAsia="SimHei" w:hint="eastAsia"/>
          <w:color w:val="FF0000"/>
          <w:szCs w:val="21"/>
        </w:rPr>
        <w:t>妇女和儿童发展部部长</w:t>
      </w:r>
    </w:p>
    <w:p w:rsidR="00601FCF" w:rsidRPr="001A700D" w:rsidRDefault="00601FCF" w:rsidP="00344F1C">
      <w:pPr>
        <w:spacing w:after="240" w:line="360" w:lineRule="exact"/>
        <w:ind w:firstLineChars="250" w:firstLine="31680"/>
        <w:rPr>
          <w:szCs w:val="21"/>
        </w:rPr>
      </w:pPr>
    </w:p>
    <w:p w:rsidR="00601FCF" w:rsidRPr="00064834" w:rsidRDefault="00601FCF" w:rsidP="00064834">
      <w:pPr>
        <w:pStyle w:val="HCh"/>
        <w:jc w:val="center"/>
        <w:rPr>
          <w:rFonts w:ascii="Times New Roman" w:hint="eastAsia"/>
          <w:szCs w:val="28"/>
        </w:rPr>
      </w:pPr>
      <w:r w:rsidRPr="001A700D">
        <w:rPr>
          <w:rFonts w:ascii="Times New Roman"/>
          <w:color w:val="auto"/>
          <w:sz w:val="21"/>
          <w:szCs w:val="21"/>
        </w:rPr>
        <w:br w:type="page"/>
      </w:r>
      <w:bookmarkStart w:id="40" w:name="_Toc221523933"/>
      <w:r w:rsidRPr="00064834">
        <w:rPr>
          <w:rFonts w:ascii="Times New Roman" w:hint="eastAsia"/>
          <w:szCs w:val="28"/>
        </w:rPr>
        <w:t>简称</w:t>
      </w:r>
      <w:bookmarkEnd w:id="40"/>
    </w:p>
    <w:p w:rsidR="00601FCF" w:rsidRPr="0053435B" w:rsidRDefault="00601FCF" w:rsidP="0053435B">
      <w:pPr>
        <w:spacing w:after="240" w:line="360" w:lineRule="exact"/>
        <w:rPr>
          <w:rFonts w:hint="eastAsia"/>
          <w:szCs w:val="21"/>
        </w:rPr>
      </w:pPr>
      <w:r w:rsidRPr="0053435B">
        <w:rPr>
          <w:rFonts w:hint="eastAsia"/>
          <w:szCs w:val="21"/>
        </w:rPr>
        <w:t>艾滋病</w:t>
      </w:r>
      <w:r w:rsidRPr="0053435B">
        <w:rPr>
          <w:szCs w:val="21"/>
        </w:rPr>
        <w:tab/>
      </w:r>
      <w:r w:rsidRPr="0053435B">
        <w:rPr>
          <w:rFonts w:hint="eastAsia"/>
          <w:szCs w:val="21"/>
        </w:rPr>
        <w:tab/>
      </w:r>
      <w:r w:rsidRPr="0053435B">
        <w:rPr>
          <w:rFonts w:hint="eastAsia"/>
          <w:szCs w:val="21"/>
        </w:rPr>
        <w:tab/>
      </w:r>
      <w:r w:rsidRPr="0053435B">
        <w:rPr>
          <w:rFonts w:hint="eastAsia"/>
          <w:szCs w:val="21"/>
        </w:rPr>
        <w:tab/>
      </w:r>
      <w:r w:rsidRPr="0053435B">
        <w:rPr>
          <w:rFonts w:hint="eastAsia"/>
          <w:szCs w:val="21"/>
        </w:rPr>
        <w:tab/>
      </w:r>
      <w:r w:rsidR="00064834">
        <w:rPr>
          <w:rFonts w:hint="eastAsia"/>
          <w:szCs w:val="21"/>
        </w:rPr>
        <w:tab/>
      </w:r>
      <w:r w:rsidR="00064834">
        <w:rPr>
          <w:rFonts w:hint="eastAsia"/>
          <w:szCs w:val="21"/>
        </w:rPr>
        <w:tab/>
      </w:r>
      <w:r w:rsidR="00064834">
        <w:rPr>
          <w:rFonts w:hint="eastAsia"/>
          <w:szCs w:val="21"/>
        </w:rPr>
        <w:tab/>
      </w:r>
      <w:r w:rsidR="00064834">
        <w:rPr>
          <w:rFonts w:hint="eastAsia"/>
          <w:szCs w:val="21"/>
        </w:rPr>
        <w:tab/>
      </w:r>
      <w:r w:rsidRPr="0053435B">
        <w:rPr>
          <w:szCs w:val="21"/>
        </w:rPr>
        <w:t>获得性免疫缺陷综合</w:t>
      </w:r>
      <w:r w:rsidR="009408E7">
        <w:rPr>
          <w:rFonts w:hint="eastAsia"/>
          <w:szCs w:val="21"/>
        </w:rPr>
        <w:t>征</w:t>
      </w:r>
    </w:p>
    <w:p w:rsidR="00601FCF" w:rsidRPr="0053435B" w:rsidRDefault="00601FCF" w:rsidP="0053435B">
      <w:pPr>
        <w:spacing w:after="240" w:line="360" w:lineRule="exact"/>
        <w:rPr>
          <w:szCs w:val="21"/>
        </w:rPr>
      </w:pPr>
      <w:r w:rsidRPr="0053435B">
        <w:rPr>
          <w:rFonts w:hint="eastAsia"/>
          <w:szCs w:val="21"/>
        </w:rPr>
        <w:t>《消除对妇女歧视公约》</w:t>
      </w:r>
      <w:r w:rsidRPr="0053435B">
        <w:rPr>
          <w:szCs w:val="21"/>
        </w:rPr>
        <w:tab/>
      </w:r>
      <w:r w:rsidRPr="0053435B">
        <w:rPr>
          <w:rFonts w:hint="eastAsia"/>
          <w:szCs w:val="21"/>
        </w:rPr>
        <w:t>《消除对妇女一切形式歧视公约》</w:t>
      </w:r>
    </w:p>
    <w:p w:rsidR="00601FCF" w:rsidRPr="0053435B" w:rsidRDefault="00601FCF" w:rsidP="0053435B">
      <w:pPr>
        <w:spacing w:after="240" w:line="360" w:lineRule="exact"/>
        <w:rPr>
          <w:szCs w:val="21"/>
        </w:rPr>
      </w:pPr>
      <w:r w:rsidRPr="0053435B">
        <w:rPr>
          <w:rFonts w:hint="eastAsia"/>
          <w:szCs w:val="21"/>
        </w:rPr>
        <w:t>基督教健康协会</w:t>
      </w:r>
      <w:r w:rsidRPr="0053435B">
        <w:rPr>
          <w:szCs w:val="21"/>
        </w:rPr>
        <w:tab/>
      </w:r>
      <w:r w:rsidRPr="0053435B">
        <w:rPr>
          <w:rFonts w:hint="eastAsia"/>
          <w:szCs w:val="21"/>
        </w:rPr>
        <w:tab/>
      </w:r>
      <w:r w:rsidRPr="0053435B">
        <w:rPr>
          <w:rFonts w:hint="eastAsia"/>
          <w:szCs w:val="21"/>
        </w:rPr>
        <w:tab/>
      </w:r>
      <w:r w:rsidR="00064834">
        <w:rPr>
          <w:rFonts w:hint="eastAsia"/>
          <w:szCs w:val="21"/>
        </w:rPr>
        <w:tab/>
      </w:r>
      <w:r w:rsidR="00064834">
        <w:rPr>
          <w:rFonts w:hint="eastAsia"/>
          <w:szCs w:val="21"/>
        </w:rPr>
        <w:tab/>
      </w:r>
      <w:r w:rsidRPr="0053435B">
        <w:rPr>
          <w:rFonts w:hint="eastAsia"/>
          <w:szCs w:val="21"/>
        </w:rPr>
        <w:t>马拉维基督教健康协会</w:t>
      </w:r>
    </w:p>
    <w:p w:rsidR="00601FCF" w:rsidRPr="0053435B" w:rsidRDefault="00601FCF" w:rsidP="0053435B">
      <w:pPr>
        <w:spacing w:after="240" w:line="360" w:lineRule="exact"/>
        <w:rPr>
          <w:szCs w:val="21"/>
        </w:rPr>
      </w:pPr>
      <w:r w:rsidRPr="0053435B">
        <w:rPr>
          <w:rFonts w:hint="eastAsia"/>
          <w:szCs w:val="21"/>
        </w:rPr>
        <w:t>基金组织</w:t>
      </w:r>
      <w:r w:rsidRPr="0053435B">
        <w:rPr>
          <w:szCs w:val="21"/>
        </w:rPr>
        <w:tab/>
      </w:r>
      <w:r w:rsidRPr="0053435B">
        <w:rPr>
          <w:szCs w:val="21"/>
        </w:rPr>
        <w:tab/>
      </w:r>
      <w:r w:rsidRPr="0053435B">
        <w:rPr>
          <w:rFonts w:hint="eastAsia"/>
          <w:szCs w:val="21"/>
        </w:rPr>
        <w:tab/>
      </w:r>
      <w:r w:rsidRPr="0053435B">
        <w:rPr>
          <w:rFonts w:hint="eastAsia"/>
          <w:szCs w:val="21"/>
        </w:rPr>
        <w:tab/>
      </w:r>
      <w:r w:rsidR="00064834">
        <w:rPr>
          <w:rFonts w:hint="eastAsia"/>
          <w:szCs w:val="21"/>
        </w:rPr>
        <w:tab/>
      </w:r>
      <w:r w:rsidR="00064834">
        <w:rPr>
          <w:rFonts w:hint="eastAsia"/>
          <w:szCs w:val="21"/>
        </w:rPr>
        <w:tab/>
      </w:r>
      <w:r w:rsidR="00064834">
        <w:rPr>
          <w:rFonts w:hint="eastAsia"/>
          <w:szCs w:val="21"/>
        </w:rPr>
        <w:tab/>
      </w:r>
      <w:r w:rsidR="00064834">
        <w:rPr>
          <w:rFonts w:hint="eastAsia"/>
          <w:szCs w:val="21"/>
        </w:rPr>
        <w:tab/>
      </w:r>
      <w:r w:rsidRPr="0053435B">
        <w:rPr>
          <w:szCs w:val="21"/>
        </w:rPr>
        <w:t>国际货币基金组织</w:t>
      </w:r>
    </w:p>
    <w:p w:rsidR="00601FCF" w:rsidRPr="0053435B" w:rsidRDefault="00601FCF" w:rsidP="0053435B">
      <w:pPr>
        <w:spacing w:after="240" w:line="360" w:lineRule="exact"/>
        <w:rPr>
          <w:szCs w:val="21"/>
        </w:rPr>
      </w:pPr>
      <w:r w:rsidRPr="0053435B">
        <w:rPr>
          <w:rFonts w:hint="eastAsia"/>
          <w:szCs w:val="21"/>
        </w:rPr>
        <w:t>移民组织</w:t>
      </w:r>
      <w:r w:rsidRPr="0053435B">
        <w:rPr>
          <w:rFonts w:hint="eastAsia"/>
          <w:szCs w:val="21"/>
        </w:rPr>
        <w:tab/>
      </w:r>
      <w:r w:rsidRPr="0053435B">
        <w:rPr>
          <w:rFonts w:hint="eastAsia"/>
          <w:szCs w:val="21"/>
        </w:rPr>
        <w:tab/>
      </w:r>
      <w:r w:rsidRPr="0053435B">
        <w:rPr>
          <w:szCs w:val="21"/>
        </w:rPr>
        <w:tab/>
      </w:r>
      <w:r w:rsidRPr="0053435B">
        <w:rPr>
          <w:szCs w:val="21"/>
        </w:rPr>
        <w:tab/>
      </w:r>
      <w:r w:rsidR="00064834">
        <w:rPr>
          <w:rFonts w:hint="eastAsia"/>
          <w:szCs w:val="21"/>
        </w:rPr>
        <w:tab/>
      </w:r>
      <w:r w:rsidR="00064834">
        <w:rPr>
          <w:rFonts w:hint="eastAsia"/>
          <w:szCs w:val="21"/>
        </w:rPr>
        <w:tab/>
      </w:r>
      <w:r w:rsidR="00064834">
        <w:rPr>
          <w:rFonts w:hint="eastAsia"/>
          <w:szCs w:val="21"/>
        </w:rPr>
        <w:tab/>
      </w:r>
      <w:r w:rsidR="00064834">
        <w:rPr>
          <w:rFonts w:hint="eastAsia"/>
          <w:szCs w:val="21"/>
        </w:rPr>
        <w:tab/>
      </w:r>
      <w:r w:rsidRPr="0053435B">
        <w:rPr>
          <w:szCs w:val="21"/>
        </w:rPr>
        <w:t>国际移民组织</w:t>
      </w:r>
    </w:p>
    <w:p w:rsidR="00601FCF" w:rsidRPr="0053435B" w:rsidRDefault="00601FCF" w:rsidP="0053435B">
      <w:pPr>
        <w:spacing w:after="240" w:line="360" w:lineRule="exact"/>
        <w:rPr>
          <w:szCs w:val="21"/>
        </w:rPr>
      </w:pPr>
      <w:r w:rsidRPr="0053435B">
        <w:rPr>
          <w:rFonts w:hint="eastAsia"/>
          <w:szCs w:val="21"/>
        </w:rPr>
        <w:t>艾滋病毒</w:t>
      </w:r>
      <w:r w:rsidRPr="0053435B">
        <w:rPr>
          <w:szCs w:val="21"/>
        </w:rPr>
        <w:tab/>
      </w:r>
      <w:r w:rsidRPr="0053435B">
        <w:rPr>
          <w:szCs w:val="21"/>
        </w:rPr>
        <w:tab/>
      </w:r>
      <w:r w:rsidRPr="0053435B">
        <w:rPr>
          <w:rFonts w:hint="eastAsia"/>
          <w:szCs w:val="21"/>
        </w:rPr>
        <w:tab/>
      </w:r>
      <w:r w:rsidRPr="0053435B">
        <w:rPr>
          <w:rFonts w:hint="eastAsia"/>
          <w:szCs w:val="21"/>
        </w:rPr>
        <w:tab/>
      </w:r>
      <w:r w:rsidR="00064834">
        <w:rPr>
          <w:rFonts w:hint="eastAsia"/>
          <w:szCs w:val="21"/>
        </w:rPr>
        <w:tab/>
      </w:r>
      <w:r w:rsidR="00064834">
        <w:rPr>
          <w:rFonts w:hint="eastAsia"/>
          <w:szCs w:val="21"/>
        </w:rPr>
        <w:tab/>
      </w:r>
      <w:r w:rsidR="00064834">
        <w:rPr>
          <w:rFonts w:hint="eastAsia"/>
          <w:szCs w:val="21"/>
        </w:rPr>
        <w:tab/>
      </w:r>
      <w:r w:rsidR="00064834">
        <w:rPr>
          <w:rFonts w:hint="eastAsia"/>
          <w:szCs w:val="21"/>
        </w:rPr>
        <w:tab/>
      </w:r>
      <w:r w:rsidRPr="0053435B">
        <w:rPr>
          <w:szCs w:val="21"/>
        </w:rPr>
        <w:t>人体免疫缺陷病毒</w:t>
      </w:r>
    </w:p>
    <w:p w:rsidR="00601FCF" w:rsidRPr="0053435B" w:rsidRDefault="00601FCF" w:rsidP="0053435B">
      <w:pPr>
        <w:spacing w:after="240" w:line="360" w:lineRule="exact"/>
        <w:rPr>
          <w:szCs w:val="21"/>
        </w:rPr>
      </w:pPr>
      <w:r w:rsidRPr="0053435B">
        <w:rPr>
          <w:rFonts w:hint="eastAsia"/>
          <w:szCs w:val="21"/>
        </w:rPr>
        <w:t>艾滋病毒</w:t>
      </w:r>
      <w:r w:rsidRPr="0053435B">
        <w:rPr>
          <w:szCs w:val="21"/>
        </w:rPr>
        <w:t>检测和咨询</w:t>
      </w:r>
      <w:r w:rsidRPr="0053435B">
        <w:rPr>
          <w:szCs w:val="21"/>
        </w:rPr>
        <w:tab/>
      </w:r>
      <w:r w:rsidR="00064834">
        <w:rPr>
          <w:rFonts w:hint="eastAsia"/>
          <w:szCs w:val="21"/>
        </w:rPr>
        <w:tab/>
      </w:r>
      <w:r w:rsidR="00064834">
        <w:rPr>
          <w:rFonts w:hint="eastAsia"/>
          <w:szCs w:val="21"/>
        </w:rPr>
        <w:tab/>
      </w:r>
      <w:r w:rsidRPr="0053435B">
        <w:rPr>
          <w:szCs w:val="21"/>
        </w:rPr>
        <w:t>人体免疫缺陷病毒检测和咨询</w:t>
      </w:r>
    </w:p>
    <w:p w:rsidR="00601FCF" w:rsidRPr="0053435B" w:rsidRDefault="00601FCF" w:rsidP="0053435B">
      <w:pPr>
        <w:spacing w:after="240" w:line="360" w:lineRule="exact"/>
        <w:rPr>
          <w:szCs w:val="21"/>
        </w:rPr>
      </w:pPr>
      <w:r w:rsidRPr="0053435B">
        <w:rPr>
          <w:szCs w:val="21"/>
        </w:rPr>
        <w:t>增长</w:t>
      </w:r>
      <w:r w:rsidRPr="0053435B">
        <w:rPr>
          <w:rFonts w:hint="eastAsia"/>
          <w:szCs w:val="21"/>
        </w:rPr>
        <w:t>与</w:t>
      </w:r>
      <w:r w:rsidRPr="0053435B">
        <w:rPr>
          <w:szCs w:val="21"/>
        </w:rPr>
        <w:t>发展战略</w:t>
      </w:r>
      <w:r w:rsidRPr="0053435B">
        <w:rPr>
          <w:rFonts w:hint="eastAsia"/>
          <w:szCs w:val="21"/>
        </w:rPr>
        <w:tab/>
      </w:r>
      <w:r w:rsidRPr="0053435B">
        <w:rPr>
          <w:szCs w:val="21"/>
        </w:rPr>
        <w:tab/>
      </w:r>
      <w:r w:rsidRPr="0053435B">
        <w:rPr>
          <w:szCs w:val="21"/>
        </w:rPr>
        <w:tab/>
      </w:r>
      <w:r w:rsidRPr="0053435B">
        <w:rPr>
          <w:rFonts w:hint="eastAsia"/>
          <w:szCs w:val="21"/>
        </w:rPr>
        <w:t xml:space="preserve"> </w:t>
      </w:r>
      <w:r w:rsidR="00064834">
        <w:rPr>
          <w:rFonts w:hint="eastAsia"/>
          <w:szCs w:val="21"/>
        </w:rPr>
        <w:tab/>
      </w:r>
      <w:r w:rsidR="00064834">
        <w:rPr>
          <w:rFonts w:hint="eastAsia"/>
          <w:szCs w:val="21"/>
        </w:rPr>
        <w:tab/>
      </w:r>
      <w:r w:rsidRPr="0053435B">
        <w:rPr>
          <w:szCs w:val="21"/>
        </w:rPr>
        <w:t>马拉维增长</w:t>
      </w:r>
      <w:r w:rsidRPr="0053435B">
        <w:rPr>
          <w:rFonts w:hint="eastAsia"/>
          <w:szCs w:val="21"/>
        </w:rPr>
        <w:t>与</w:t>
      </w:r>
      <w:r w:rsidRPr="0053435B">
        <w:rPr>
          <w:szCs w:val="21"/>
        </w:rPr>
        <w:t>发展战略</w:t>
      </w:r>
    </w:p>
    <w:p w:rsidR="00601FCF" w:rsidRPr="0053435B" w:rsidRDefault="00601FCF" w:rsidP="0053435B">
      <w:pPr>
        <w:spacing w:after="240" w:line="360" w:lineRule="exact"/>
        <w:rPr>
          <w:szCs w:val="21"/>
        </w:rPr>
      </w:pPr>
      <w:r w:rsidRPr="0053435B">
        <w:rPr>
          <w:szCs w:val="21"/>
        </w:rPr>
        <w:t>人权委员会</w:t>
      </w:r>
      <w:r w:rsidRPr="0053435B">
        <w:rPr>
          <w:rFonts w:hint="eastAsia"/>
          <w:szCs w:val="21"/>
        </w:rPr>
        <w:tab/>
      </w:r>
      <w:r w:rsidRPr="0053435B">
        <w:rPr>
          <w:rFonts w:hint="eastAsia"/>
          <w:szCs w:val="21"/>
        </w:rPr>
        <w:tab/>
      </w:r>
      <w:r w:rsidRPr="0053435B">
        <w:rPr>
          <w:szCs w:val="21"/>
        </w:rPr>
        <w:tab/>
      </w:r>
      <w:r w:rsidRPr="0053435B">
        <w:rPr>
          <w:szCs w:val="21"/>
        </w:rPr>
        <w:tab/>
      </w:r>
      <w:r w:rsidRPr="0053435B">
        <w:rPr>
          <w:rFonts w:hint="eastAsia"/>
          <w:szCs w:val="21"/>
        </w:rPr>
        <w:t xml:space="preserve"> </w:t>
      </w:r>
      <w:r w:rsidR="00064834">
        <w:rPr>
          <w:rFonts w:hint="eastAsia"/>
          <w:szCs w:val="21"/>
        </w:rPr>
        <w:tab/>
      </w:r>
      <w:r w:rsidR="00064834">
        <w:rPr>
          <w:rFonts w:hint="eastAsia"/>
          <w:szCs w:val="21"/>
        </w:rPr>
        <w:tab/>
      </w:r>
      <w:r w:rsidR="00064834">
        <w:rPr>
          <w:rFonts w:hint="eastAsia"/>
          <w:szCs w:val="21"/>
        </w:rPr>
        <w:tab/>
      </w:r>
      <w:r w:rsidRPr="0053435B">
        <w:rPr>
          <w:szCs w:val="21"/>
        </w:rPr>
        <w:t>马拉维人权委员会</w:t>
      </w:r>
    </w:p>
    <w:p w:rsidR="00601FCF" w:rsidRPr="0053435B" w:rsidRDefault="00601FCF" w:rsidP="0053435B">
      <w:pPr>
        <w:spacing w:after="240" w:line="360" w:lineRule="exact"/>
        <w:rPr>
          <w:szCs w:val="21"/>
        </w:rPr>
      </w:pPr>
      <w:r w:rsidRPr="0053435B">
        <w:rPr>
          <w:szCs w:val="21"/>
        </w:rPr>
        <w:t>打击贩卖儿童网络</w:t>
      </w:r>
      <w:r w:rsidRPr="0053435B">
        <w:rPr>
          <w:rFonts w:hint="eastAsia"/>
          <w:szCs w:val="21"/>
        </w:rPr>
        <w:tab/>
      </w:r>
      <w:r w:rsidRPr="0053435B">
        <w:rPr>
          <w:rFonts w:hint="eastAsia"/>
          <w:szCs w:val="21"/>
        </w:rPr>
        <w:tab/>
      </w:r>
      <w:r w:rsidRPr="0053435B">
        <w:rPr>
          <w:szCs w:val="21"/>
        </w:rPr>
        <w:tab/>
      </w:r>
      <w:r w:rsidR="00064834">
        <w:rPr>
          <w:rFonts w:hint="eastAsia"/>
          <w:szCs w:val="21"/>
        </w:rPr>
        <w:tab/>
      </w:r>
      <w:r w:rsidRPr="0053435B">
        <w:rPr>
          <w:szCs w:val="21"/>
        </w:rPr>
        <w:t>马拉维打击贩卖儿童网络</w:t>
      </w:r>
    </w:p>
    <w:p w:rsidR="00601FCF" w:rsidRPr="0053435B" w:rsidRDefault="00601FCF" w:rsidP="0053435B">
      <w:pPr>
        <w:spacing w:after="240" w:line="360" w:lineRule="exact"/>
        <w:rPr>
          <w:szCs w:val="21"/>
        </w:rPr>
      </w:pPr>
      <w:r w:rsidRPr="0053435B">
        <w:rPr>
          <w:rFonts w:hint="eastAsia"/>
          <w:szCs w:val="21"/>
        </w:rPr>
        <w:t>南共体</w:t>
      </w:r>
      <w:r w:rsidRPr="0053435B">
        <w:rPr>
          <w:szCs w:val="21"/>
        </w:rPr>
        <w:tab/>
      </w:r>
      <w:r w:rsidRPr="0053435B">
        <w:rPr>
          <w:szCs w:val="21"/>
        </w:rPr>
        <w:tab/>
      </w:r>
      <w:r w:rsidRPr="0053435B">
        <w:rPr>
          <w:rFonts w:hint="eastAsia"/>
          <w:szCs w:val="21"/>
        </w:rPr>
        <w:t xml:space="preserve"> </w:t>
      </w:r>
      <w:r w:rsidR="00064834">
        <w:rPr>
          <w:rFonts w:hint="eastAsia"/>
          <w:szCs w:val="21"/>
        </w:rPr>
        <w:tab/>
      </w:r>
      <w:r w:rsidR="00064834">
        <w:rPr>
          <w:rFonts w:hint="eastAsia"/>
          <w:szCs w:val="21"/>
        </w:rPr>
        <w:tab/>
      </w:r>
      <w:r w:rsidR="00064834">
        <w:rPr>
          <w:rFonts w:hint="eastAsia"/>
          <w:szCs w:val="21"/>
        </w:rPr>
        <w:tab/>
      </w:r>
      <w:r w:rsidR="00064834">
        <w:rPr>
          <w:rFonts w:hint="eastAsia"/>
          <w:szCs w:val="21"/>
        </w:rPr>
        <w:tab/>
      </w:r>
      <w:r w:rsidR="00064834">
        <w:rPr>
          <w:rFonts w:hint="eastAsia"/>
          <w:szCs w:val="21"/>
        </w:rPr>
        <w:tab/>
      </w:r>
      <w:r w:rsidR="00064834">
        <w:rPr>
          <w:rFonts w:hint="eastAsia"/>
          <w:szCs w:val="21"/>
        </w:rPr>
        <w:tab/>
      </w:r>
      <w:r w:rsidR="00064834">
        <w:rPr>
          <w:rFonts w:hint="eastAsia"/>
          <w:szCs w:val="21"/>
        </w:rPr>
        <w:tab/>
      </w:r>
      <w:r w:rsidRPr="0053435B">
        <w:rPr>
          <w:szCs w:val="21"/>
        </w:rPr>
        <w:t>南部非洲发展共同体</w:t>
      </w:r>
    </w:p>
    <w:p w:rsidR="00601FCF" w:rsidRPr="0053435B" w:rsidRDefault="00601FCF" w:rsidP="00FB05C0">
      <w:pPr>
        <w:autoSpaceDE w:val="0"/>
        <w:autoSpaceDN w:val="0"/>
        <w:spacing w:after="240" w:line="360" w:lineRule="exact"/>
        <w:rPr>
          <w:rFonts w:hint="eastAsia"/>
          <w:szCs w:val="21"/>
        </w:rPr>
      </w:pPr>
      <w:r w:rsidRPr="0053435B">
        <w:rPr>
          <w:rFonts w:ascii="Courier New" w:hAnsi="Courier New" w:cs="Courier New"/>
          <w:szCs w:val="21"/>
        </w:rPr>
        <w:t>难民署</w:t>
      </w:r>
      <w:r w:rsidRPr="0053435B">
        <w:rPr>
          <w:rFonts w:ascii="Courier New" w:hAnsi="Courier New" w:cs="Courier New" w:hint="eastAsia"/>
          <w:szCs w:val="21"/>
        </w:rPr>
        <w:tab/>
      </w:r>
      <w:r w:rsidRPr="0053435B">
        <w:rPr>
          <w:rFonts w:ascii="Courier New" w:hAnsi="Courier New" w:cs="Courier New" w:hint="eastAsia"/>
          <w:szCs w:val="21"/>
        </w:rPr>
        <w:tab/>
      </w:r>
      <w:r w:rsidRPr="0053435B">
        <w:rPr>
          <w:rFonts w:ascii="Courier New" w:hAnsi="Courier New" w:cs="Courier New" w:hint="eastAsia"/>
          <w:szCs w:val="21"/>
        </w:rPr>
        <w:tab/>
      </w:r>
      <w:r w:rsidRPr="0053435B">
        <w:rPr>
          <w:rFonts w:ascii="Courier New" w:hAnsi="Courier New" w:cs="Courier New" w:hint="eastAsia"/>
          <w:szCs w:val="21"/>
        </w:rPr>
        <w:tab/>
      </w:r>
      <w:r w:rsidRPr="0053435B">
        <w:rPr>
          <w:rFonts w:ascii="Courier New" w:hAnsi="Courier New" w:cs="Courier New" w:hint="eastAsia"/>
          <w:szCs w:val="21"/>
        </w:rPr>
        <w:tab/>
      </w:r>
      <w:r w:rsidR="00064834">
        <w:rPr>
          <w:rFonts w:ascii="Courier New" w:hAnsi="Courier New" w:cs="Courier New" w:hint="eastAsia"/>
          <w:szCs w:val="21"/>
        </w:rPr>
        <w:tab/>
      </w:r>
      <w:r w:rsidR="00064834">
        <w:rPr>
          <w:rFonts w:ascii="Courier New" w:hAnsi="Courier New" w:cs="Courier New" w:hint="eastAsia"/>
          <w:szCs w:val="21"/>
        </w:rPr>
        <w:tab/>
      </w:r>
      <w:r w:rsidR="00064834">
        <w:rPr>
          <w:rFonts w:ascii="Courier New" w:hAnsi="Courier New" w:cs="Courier New" w:hint="eastAsia"/>
          <w:szCs w:val="21"/>
        </w:rPr>
        <w:tab/>
      </w:r>
      <w:r w:rsidR="00064834">
        <w:rPr>
          <w:rFonts w:ascii="Courier New" w:hAnsi="Courier New" w:cs="Courier New" w:hint="eastAsia"/>
          <w:szCs w:val="21"/>
        </w:rPr>
        <w:tab/>
      </w:r>
      <w:r w:rsidRPr="0053435B">
        <w:rPr>
          <w:rFonts w:hint="eastAsia"/>
          <w:szCs w:val="21"/>
        </w:rPr>
        <w:t>联合国难民事务高级专员办事处</w:t>
      </w:r>
    </w:p>
    <w:p w:rsidR="00601FCF" w:rsidRPr="001A700D" w:rsidRDefault="00601FCF" w:rsidP="00FB05C0">
      <w:pPr>
        <w:autoSpaceDE w:val="0"/>
        <w:autoSpaceDN w:val="0"/>
        <w:spacing w:after="240" w:line="360" w:lineRule="exact"/>
        <w:rPr>
          <w:rFonts w:hint="eastAsia"/>
          <w:b/>
          <w:szCs w:val="21"/>
        </w:rPr>
      </w:pPr>
    </w:p>
    <w:p w:rsidR="00F41B4C" w:rsidRPr="00064834" w:rsidRDefault="00F41B4C" w:rsidP="00064834">
      <w:pPr>
        <w:pStyle w:val="HCh"/>
        <w:jc w:val="center"/>
        <w:rPr>
          <w:rFonts w:ascii="Times New Roman"/>
          <w:szCs w:val="28"/>
        </w:rPr>
      </w:pPr>
      <w:r w:rsidRPr="001A700D">
        <w:rPr>
          <w:rFonts w:hAnsi="Courier New"/>
          <w:color w:val="auto"/>
          <w:sz w:val="21"/>
          <w:szCs w:val="21"/>
        </w:rPr>
        <w:br w:type="page"/>
      </w:r>
      <w:bookmarkStart w:id="41" w:name="_Toc221523934"/>
      <w:r w:rsidRPr="00064834">
        <w:rPr>
          <w:rFonts w:ascii="Times New Roman" w:hint="eastAsia"/>
          <w:szCs w:val="28"/>
        </w:rPr>
        <w:t>导言</w:t>
      </w:r>
      <w:bookmarkEnd w:id="41"/>
    </w:p>
    <w:p w:rsidR="00F41B4C" w:rsidRPr="001A700D" w:rsidRDefault="00F41B4C" w:rsidP="00064834">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1987</w:t>
      </w:r>
      <w:r w:rsidRPr="001A700D">
        <w:rPr>
          <w:rFonts w:hint="eastAsia"/>
          <w:szCs w:val="21"/>
        </w:rPr>
        <w:t>年</w:t>
      </w:r>
      <w:r w:rsidRPr="001A700D">
        <w:rPr>
          <w:rFonts w:hint="eastAsia"/>
          <w:szCs w:val="21"/>
        </w:rPr>
        <w:t>9</w:t>
      </w:r>
      <w:r w:rsidRPr="001A700D">
        <w:rPr>
          <w:rFonts w:hint="eastAsia"/>
          <w:szCs w:val="21"/>
        </w:rPr>
        <w:t>月，马拉维共和国批准了《消除对妇女一切形式歧视公约》（以下简称《消除对妇女歧视公约》）。根据该《公约》第</w:t>
      </w:r>
      <w:r w:rsidRPr="001A700D">
        <w:rPr>
          <w:rFonts w:hint="eastAsia"/>
          <w:szCs w:val="21"/>
        </w:rPr>
        <w:t>18</w:t>
      </w:r>
      <w:r w:rsidRPr="001A700D">
        <w:rPr>
          <w:rFonts w:hint="eastAsia"/>
          <w:szCs w:val="21"/>
        </w:rPr>
        <w:t>条，</w:t>
      </w:r>
      <w:r w:rsidRPr="001A700D" w:rsidDel="006F6A92">
        <w:rPr>
          <w:rFonts w:hint="eastAsia"/>
          <w:szCs w:val="21"/>
        </w:rPr>
        <w:t xml:space="preserve"> </w:t>
      </w:r>
      <w:r w:rsidRPr="001A700D">
        <w:rPr>
          <w:rFonts w:hint="eastAsia"/>
          <w:szCs w:val="21"/>
        </w:rPr>
        <w:t>1988</w:t>
      </w:r>
      <w:r w:rsidRPr="001A700D">
        <w:rPr>
          <w:rFonts w:hint="eastAsia"/>
          <w:szCs w:val="21"/>
        </w:rPr>
        <w:t>年向消除对妇女歧视委员会提交了初次报告。</w:t>
      </w:r>
      <w:r w:rsidRPr="001A700D">
        <w:rPr>
          <w:rFonts w:hint="eastAsia"/>
          <w:szCs w:val="21"/>
        </w:rPr>
        <w:t>16</w:t>
      </w:r>
      <w:r w:rsidRPr="001A700D">
        <w:rPr>
          <w:rFonts w:hint="eastAsia"/>
          <w:szCs w:val="21"/>
        </w:rPr>
        <w:t>年后的</w:t>
      </w:r>
      <w:r w:rsidRPr="001A700D">
        <w:rPr>
          <w:rFonts w:hint="eastAsia"/>
          <w:szCs w:val="21"/>
        </w:rPr>
        <w:t>2004</w:t>
      </w:r>
      <w:r w:rsidRPr="001A700D">
        <w:rPr>
          <w:rFonts w:hint="eastAsia"/>
          <w:szCs w:val="21"/>
        </w:rPr>
        <w:t>年，马拉维提交了第二、第三、第四和第五次合并报告。</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2006</w:t>
      </w:r>
      <w:r w:rsidRPr="001A700D">
        <w:rPr>
          <w:rFonts w:hint="eastAsia"/>
          <w:szCs w:val="21"/>
        </w:rPr>
        <w:t>年</w:t>
      </w:r>
      <w:r w:rsidRPr="001A700D">
        <w:rPr>
          <w:rFonts w:hint="eastAsia"/>
          <w:szCs w:val="21"/>
        </w:rPr>
        <w:t>5</w:t>
      </w:r>
      <w:r w:rsidRPr="001A700D">
        <w:rPr>
          <w:rFonts w:hint="eastAsia"/>
          <w:szCs w:val="21"/>
        </w:rPr>
        <w:t>月，委员会第</w:t>
      </w:r>
      <w:r w:rsidRPr="001A700D">
        <w:rPr>
          <w:rFonts w:hint="eastAsia"/>
          <w:szCs w:val="21"/>
        </w:rPr>
        <w:t>727</w:t>
      </w:r>
      <w:r w:rsidRPr="001A700D">
        <w:rPr>
          <w:rFonts w:hint="eastAsia"/>
          <w:szCs w:val="21"/>
        </w:rPr>
        <w:t>和</w:t>
      </w:r>
      <w:r w:rsidRPr="001A700D">
        <w:rPr>
          <w:rFonts w:hint="eastAsia"/>
          <w:szCs w:val="21"/>
        </w:rPr>
        <w:t>728</w:t>
      </w:r>
      <w:r w:rsidRPr="001A700D">
        <w:rPr>
          <w:rFonts w:hint="eastAsia"/>
          <w:szCs w:val="21"/>
        </w:rPr>
        <w:t>次会议对该合并报告进行了审议。</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本文件是有关马拉维为遵守《公约》规定所采取措施的第六次报告，时间涵盖</w:t>
      </w:r>
      <w:r w:rsidRPr="001A700D">
        <w:rPr>
          <w:rFonts w:hint="eastAsia"/>
          <w:szCs w:val="21"/>
        </w:rPr>
        <w:t>2006</w:t>
      </w:r>
      <w:r w:rsidRPr="001A700D">
        <w:rPr>
          <w:rFonts w:hint="eastAsia"/>
          <w:szCs w:val="21"/>
        </w:rPr>
        <w:t>至</w:t>
      </w:r>
      <w:r w:rsidRPr="001A700D">
        <w:rPr>
          <w:rFonts w:hint="eastAsia"/>
          <w:szCs w:val="21"/>
        </w:rPr>
        <w:t>2008</w:t>
      </w:r>
      <w:r w:rsidRPr="001A700D">
        <w:rPr>
          <w:rFonts w:hint="eastAsia"/>
          <w:szCs w:val="21"/>
        </w:rPr>
        <w:t>年。起草过程中考虑了委员会对前一报告的评论意见，以及国家机构和民间团体代表就当前形势和本报告所涉期间内进展情况提出的意见和共同分析。</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本报告经由一个周密的协商过程编写而成，参与编写本报告的人员来自包括政府各部和管理机构在内的公共部门、私营部门、学术界、包括代表妇女利益的网络和组织在内的民间团体，以及国际组织。</w:t>
      </w:r>
      <w:r w:rsidRPr="001A700D">
        <w:rPr>
          <w:rStyle w:val="FootnoteReference"/>
          <w:szCs w:val="21"/>
        </w:rPr>
        <w:footnoteReference w:id="1"/>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本报告分为三个部分。第一部分提供马拉维的基本信息，描述了报告所涉期间内的社会、经济和政治背景。第二部分载有对委员会结论意见的响应措施，以及对《公约》各条执行情况的详细回顾，包括分析所取得的进展和相关趋势。最后，第三部分概述了马拉维政府在报告所涉期间内所面临的主要挑战</w:t>
      </w:r>
      <w:r w:rsidR="009408E7">
        <w:rPr>
          <w:rFonts w:hint="eastAsia"/>
          <w:szCs w:val="21"/>
        </w:rPr>
        <w:t>。</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至于委员会对马拉维以往报告的意见和建议，马拉维政府赞赏它们对其进步的认可，并说明针对这些意见和关切而采取的行动已经纳入本报告之中。</w:t>
      </w:r>
    </w:p>
    <w:p w:rsidR="00F41B4C" w:rsidRPr="001A700D" w:rsidRDefault="00F41B4C" w:rsidP="00FB05C0">
      <w:pPr>
        <w:spacing w:after="240" w:line="360" w:lineRule="exact"/>
        <w:rPr>
          <w:szCs w:val="21"/>
        </w:rPr>
      </w:pPr>
    </w:p>
    <w:p w:rsidR="00F41B4C" w:rsidRPr="00357714" w:rsidRDefault="00F41B4C" w:rsidP="00357714">
      <w:pPr>
        <w:pStyle w:val="HCh"/>
        <w:jc w:val="center"/>
        <w:rPr>
          <w:rFonts w:ascii="Times New Roman"/>
          <w:szCs w:val="28"/>
        </w:rPr>
      </w:pPr>
      <w:r w:rsidRPr="001A700D">
        <w:rPr>
          <w:szCs w:val="21"/>
        </w:rPr>
        <w:br w:type="page"/>
      </w:r>
      <w:bookmarkStart w:id="42" w:name="_Toc221523935"/>
      <w:r w:rsidRPr="00357714">
        <w:rPr>
          <w:rFonts w:ascii="Times New Roman" w:hint="eastAsia"/>
          <w:szCs w:val="28"/>
        </w:rPr>
        <w:t>第一部分：背景</w:t>
      </w:r>
      <w:bookmarkEnd w:id="42"/>
    </w:p>
    <w:p w:rsidR="00F41B4C" w:rsidRPr="001A700D" w:rsidRDefault="00DC448F" w:rsidP="00DC448F">
      <w:pPr>
        <w:pStyle w:val="H1"/>
        <w:spacing w:before="120"/>
      </w:pPr>
      <w:bookmarkStart w:id="43" w:name="_Toc221523936"/>
      <w:r>
        <w:rPr>
          <w:rFonts w:hint="eastAsia"/>
        </w:rPr>
        <w:t xml:space="preserve">1.1  </w:t>
      </w:r>
      <w:r w:rsidR="00F41B4C" w:rsidRPr="001A700D">
        <w:rPr>
          <w:rFonts w:hint="eastAsia"/>
        </w:rPr>
        <w:t>社会经济背景</w:t>
      </w:r>
      <w:bookmarkEnd w:id="43"/>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对</w:t>
      </w:r>
      <w:r w:rsidRPr="001A700D">
        <w:rPr>
          <w:rFonts w:hint="eastAsia"/>
          <w:szCs w:val="21"/>
        </w:rPr>
        <w:t>2007</w:t>
      </w:r>
      <w:r w:rsidRPr="001A700D">
        <w:rPr>
          <w:rFonts w:hint="eastAsia"/>
          <w:szCs w:val="21"/>
        </w:rPr>
        <w:t>年的预测表明，马拉维人口约为</w:t>
      </w:r>
      <w:r w:rsidRPr="001A700D">
        <w:rPr>
          <w:rFonts w:hint="eastAsia"/>
          <w:szCs w:val="21"/>
        </w:rPr>
        <w:t>11 937 934</w:t>
      </w:r>
      <w:r w:rsidRPr="001A700D">
        <w:rPr>
          <w:rFonts w:hint="eastAsia"/>
          <w:szCs w:val="21"/>
        </w:rPr>
        <w:t>人，年增长率估计为</w:t>
      </w:r>
      <w:r w:rsidRPr="001A700D">
        <w:rPr>
          <w:rFonts w:hint="eastAsia"/>
          <w:szCs w:val="21"/>
        </w:rPr>
        <w:t>3.32%</w:t>
      </w:r>
      <w:r w:rsidRPr="001A700D">
        <w:rPr>
          <w:rFonts w:hint="eastAsia"/>
          <w:szCs w:val="21"/>
        </w:rPr>
        <w:t>。平均人口密度为每平方公里</w:t>
      </w:r>
      <w:r w:rsidRPr="001A700D">
        <w:rPr>
          <w:rFonts w:hint="eastAsia"/>
          <w:szCs w:val="21"/>
        </w:rPr>
        <w:t>105</w:t>
      </w:r>
      <w:r w:rsidRPr="001A700D">
        <w:rPr>
          <w:rFonts w:hint="eastAsia"/>
          <w:szCs w:val="21"/>
        </w:rPr>
        <w:t>人。对</w:t>
      </w:r>
      <w:r w:rsidRPr="001A700D">
        <w:rPr>
          <w:rFonts w:hint="eastAsia"/>
          <w:szCs w:val="21"/>
        </w:rPr>
        <w:t>1999</w:t>
      </w:r>
      <w:r w:rsidRPr="001A700D">
        <w:rPr>
          <w:rFonts w:hint="eastAsia"/>
          <w:szCs w:val="21"/>
        </w:rPr>
        <w:t>至</w:t>
      </w:r>
      <w:r w:rsidRPr="001A700D">
        <w:rPr>
          <w:rFonts w:hint="eastAsia"/>
          <w:szCs w:val="21"/>
        </w:rPr>
        <w:t>2008</w:t>
      </w:r>
      <w:r w:rsidRPr="001A700D">
        <w:rPr>
          <w:rFonts w:hint="eastAsia"/>
          <w:szCs w:val="21"/>
        </w:rPr>
        <w:t>年的人口预测估计，</w:t>
      </w:r>
      <w:r w:rsidRPr="001A700D">
        <w:rPr>
          <w:rFonts w:hint="eastAsia"/>
          <w:szCs w:val="21"/>
        </w:rPr>
        <w:t>0-14</w:t>
      </w:r>
      <w:r w:rsidRPr="001A700D">
        <w:rPr>
          <w:rFonts w:hint="eastAsia"/>
          <w:szCs w:val="21"/>
        </w:rPr>
        <w:t>岁和</w:t>
      </w:r>
      <w:r w:rsidRPr="001A700D">
        <w:rPr>
          <w:rFonts w:hint="eastAsia"/>
          <w:szCs w:val="21"/>
        </w:rPr>
        <w:t>15-19</w:t>
      </w:r>
      <w:r w:rsidRPr="001A700D">
        <w:rPr>
          <w:rFonts w:hint="eastAsia"/>
          <w:szCs w:val="21"/>
        </w:rPr>
        <w:t>岁年龄组的人口平稳增长，而</w:t>
      </w:r>
      <w:r w:rsidRPr="001A700D">
        <w:rPr>
          <w:rFonts w:hint="eastAsia"/>
          <w:szCs w:val="21"/>
        </w:rPr>
        <w:t>55</w:t>
      </w:r>
      <w:r w:rsidRPr="001A700D">
        <w:rPr>
          <w:rFonts w:hint="eastAsia"/>
          <w:szCs w:val="21"/>
        </w:rPr>
        <w:t>岁以上年龄组的人口有所下降（见表</w:t>
      </w:r>
      <w:r w:rsidRPr="001A700D">
        <w:rPr>
          <w:rFonts w:hint="eastAsia"/>
          <w:szCs w:val="21"/>
        </w:rPr>
        <w:t>1</w:t>
      </w:r>
      <w:r w:rsidRPr="001A700D">
        <w:rPr>
          <w:rFonts w:hint="eastAsia"/>
          <w:szCs w:val="21"/>
        </w:rPr>
        <w:t>）。此外，预测还表明，到</w:t>
      </w:r>
      <w:r w:rsidRPr="001A700D">
        <w:rPr>
          <w:rFonts w:hint="eastAsia"/>
          <w:szCs w:val="21"/>
        </w:rPr>
        <w:t>2015</w:t>
      </w:r>
      <w:r w:rsidRPr="001A700D">
        <w:rPr>
          <w:rFonts w:hint="eastAsia"/>
          <w:szCs w:val="21"/>
        </w:rPr>
        <w:t>年人口将达</w:t>
      </w:r>
      <w:r w:rsidRPr="001A700D">
        <w:rPr>
          <w:rFonts w:hint="eastAsia"/>
          <w:szCs w:val="21"/>
        </w:rPr>
        <w:t>1 600</w:t>
      </w:r>
      <w:r w:rsidRPr="001A700D">
        <w:rPr>
          <w:rFonts w:hint="eastAsia"/>
          <w:szCs w:val="21"/>
        </w:rPr>
        <w:t>万，而且这种快速的人口增长是马拉维贫困率高且积重难返、环境普遍退化的一个关键因素。</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马拉维的人口增长取决于多种因素，包括生育率、死亡率、移民和城市化。最新记录的生育率数据表明它仍高居</w:t>
      </w:r>
      <w:r w:rsidRPr="001A700D">
        <w:rPr>
          <w:rFonts w:hint="eastAsia"/>
          <w:szCs w:val="21"/>
        </w:rPr>
        <w:t>6%</w:t>
      </w:r>
      <w:r w:rsidRPr="001A700D">
        <w:rPr>
          <w:rFonts w:hint="eastAsia"/>
          <w:szCs w:val="21"/>
        </w:rPr>
        <w:t>不下（</w:t>
      </w:r>
      <w:r w:rsidRPr="001A700D">
        <w:rPr>
          <w:rFonts w:hint="eastAsia"/>
          <w:szCs w:val="21"/>
        </w:rPr>
        <w:t>2004</w:t>
      </w:r>
      <w:r w:rsidRPr="001A700D">
        <w:rPr>
          <w:rFonts w:hint="eastAsia"/>
          <w:szCs w:val="21"/>
        </w:rPr>
        <w:t>年人口与健康调查）。至于死亡率，预期寿命已从</w:t>
      </w:r>
      <w:r w:rsidRPr="001A700D">
        <w:rPr>
          <w:rFonts w:hint="eastAsia"/>
          <w:szCs w:val="21"/>
        </w:rPr>
        <w:t>1987</w:t>
      </w:r>
      <w:r w:rsidRPr="001A700D">
        <w:rPr>
          <w:rFonts w:hint="eastAsia"/>
          <w:szCs w:val="21"/>
        </w:rPr>
        <w:t>年的</w:t>
      </w:r>
      <w:r w:rsidRPr="001A700D">
        <w:rPr>
          <w:rFonts w:hint="eastAsia"/>
          <w:szCs w:val="21"/>
        </w:rPr>
        <w:t>46</w:t>
      </w:r>
      <w:r w:rsidRPr="001A700D">
        <w:rPr>
          <w:rFonts w:hint="eastAsia"/>
          <w:szCs w:val="21"/>
        </w:rPr>
        <w:t>岁降至</w:t>
      </w:r>
      <w:r w:rsidRPr="001A700D">
        <w:rPr>
          <w:rFonts w:hint="eastAsia"/>
          <w:szCs w:val="21"/>
        </w:rPr>
        <w:t>2005</w:t>
      </w:r>
      <w:r w:rsidRPr="001A700D">
        <w:rPr>
          <w:rFonts w:hint="eastAsia"/>
          <w:szCs w:val="21"/>
        </w:rPr>
        <w:t>年的</w:t>
      </w:r>
      <w:r w:rsidRPr="001A700D">
        <w:rPr>
          <w:rFonts w:hint="eastAsia"/>
          <w:szCs w:val="21"/>
        </w:rPr>
        <w:t>37</w:t>
      </w:r>
      <w:r w:rsidRPr="001A700D">
        <w:rPr>
          <w:rFonts w:hint="eastAsia"/>
          <w:szCs w:val="21"/>
        </w:rPr>
        <w:t>岁，罪魁祸首是艾滋病毒和艾滋病。产妇死亡率略有好转，从</w:t>
      </w:r>
      <w:r w:rsidRPr="001A700D">
        <w:rPr>
          <w:rFonts w:hint="eastAsia"/>
          <w:szCs w:val="21"/>
        </w:rPr>
        <w:t>2000</w:t>
      </w:r>
      <w:r w:rsidRPr="001A700D">
        <w:rPr>
          <w:rFonts w:hint="eastAsia"/>
          <w:szCs w:val="21"/>
        </w:rPr>
        <w:t>年的每</w:t>
      </w:r>
      <w:r w:rsidRPr="001A700D">
        <w:rPr>
          <w:rFonts w:hint="eastAsia"/>
          <w:szCs w:val="21"/>
        </w:rPr>
        <w:t>100 000</w:t>
      </w:r>
      <w:r w:rsidRPr="001A700D">
        <w:rPr>
          <w:rFonts w:hint="eastAsia"/>
          <w:szCs w:val="21"/>
        </w:rPr>
        <w:t>活产儿有</w:t>
      </w:r>
      <w:r w:rsidRPr="001A700D">
        <w:rPr>
          <w:rFonts w:hint="eastAsia"/>
          <w:szCs w:val="21"/>
        </w:rPr>
        <w:t>1 120</w:t>
      </w:r>
      <w:r w:rsidRPr="001A700D">
        <w:rPr>
          <w:rFonts w:hint="eastAsia"/>
          <w:szCs w:val="21"/>
        </w:rPr>
        <w:t>人死亡降至</w:t>
      </w:r>
      <w:r w:rsidRPr="001A700D">
        <w:rPr>
          <w:rFonts w:hint="eastAsia"/>
          <w:szCs w:val="21"/>
        </w:rPr>
        <w:t>2004</w:t>
      </w:r>
      <w:r w:rsidRPr="001A700D">
        <w:rPr>
          <w:rFonts w:hint="eastAsia"/>
          <w:szCs w:val="21"/>
        </w:rPr>
        <w:t>年的每</w:t>
      </w:r>
      <w:r w:rsidRPr="001A700D">
        <w:rPr>
          <w:rFonts w:hint="eastAsia"/>
          <w:szCs w:val="21"/>
        </w:rPr>
        <w:t>100 000</w:t>
      </w:r>
      <w:r w:rsidRPr="001A700D">
        <w:rPr>
          <w:rFonts w:hint="eastAsia"/>
          <w:szCs w:val="21"/>
        </w:rPr>
        <w:t>活产儿有</w:t>
      </w:r>
      <w:r w:rsidRPr="001A700D">
        <w:rPr>
          <w:rFonts w:hint="eastAsia"/>
          <w:szCs w:val="21"/>
        </w:rPr>
        <w:t>984</w:t>
      </w:r>
      <w:r w:rsidRPr="001A700D">
        <w:rPr>
          <w:rFonts w:hint="eastAsia"/>
          <w:szCs w:val="21"/>
        </w:rPr>
        <w:t>人死亡。</w:t>
      </w:r>
      <w:r w:rsidRPr="001A700D">
        <w:rPr>
          <w:rFonts w:hint="eastAsia"/>
          <w:szCs w:val="21"/>
        </w:rPr>
        <w:t>5</w:t>
      </w:r>
      <w:r w:rsidRPr="001A700D">
        <w:rPr>
          <w:rFonts w:hint="eastAsia"/>
          <w:szCs w:val="21"/>
        </w:rPr>
        <w:t>岁以下儿童死亡率从</w:t>
      </w:r>
      <w:r w:rsidRPr="001A700D">
        <w:rPr>
          <w:rFonts w:hint="eastAsia"/>
          <w:szCs w:val="21"/>
        </w:rPr>
        <w:t>2000</w:t>
      </w:r>
      <w:r w:rsidRPr="001A700D">
        <w:rPr>
          <w:rFonts w:hint="eastAsia"/>
          <w:szCs w:val="21"/>
        </w:rPr>
        <w:t>年的</w:t>
      </w:r>
      <w:r w:rsidRPr="001A700D">
        <w:rPr>
          <w:rFonts w:hint="eastAsia"/>
          <w:szCs w:val="21"/>
        </w:rPr>
        <w:t>189</w:t>
      </w:r>
      <w:r w:rsidRPr="001A700D">
        <w:rPr>
          <w:rFonts w:ascii="SimSun" w:hAnsi="SimSun" w:hint="eastAsia"/>
          <w:szCs w:val="21"/>
        </w:rPr>
        <w:t>‰</w:t>
      </w:r>
      <w:r w:rsidRPr="001A700D">
        <w:rPr>
          <w:rFonts w:hint="eastAsia"/>
          <w:szCs w:val="21"/>
        </w:rPr>
        <w:t>下降到</w:t>
      </w:r>
      <w:r w:rsidRPr="001A700D">
        <w:rPr>
          <w:rFonts w:hint="eastAsia"/>
          <w:szCs w:val="21"/>
        </w:rPr>
        <w:t>2004</w:t>
      </w:r>
      <w:r w:rsidRPr="001A700D">
        <w:rPr>
          <w:rFonts w:hint="eastAsia"/>
          <w:szCs w:val="21"/>
        </w:rPr>
        <w:t>年的</w:t>
      </w:r>
      <w:r w:rsidR="009408E7">
        <w:rPr>
          <w:rFonts w:hint="eastAsia"/>
          <w:szCs w:val="21"/>
        </w:rPr>
        <w:t xml:space="preserve">    </w:t>
      </w:r>
      <w:r w:rsidRPr="001A700D">
        <w:rPr>
          <w:rFonts w:hint="eastAsia"/>
          <w:szCs w:val="21"/>
        </w:rPr>
        <w:t>133</w:t>
      </w:r>
      <w:r w:rsidRPr="001A700D">
        <w:rPr>
          <w:rFonts w:hint="eastAsia"/>
          <w:szCs w:val="21"/>
        </w:rPr>
        <w:t>‰，同时婴儿死亡率也从</w:t>
      </w:r>
      <w:r w:rsidRPr="001A700D">
        <w:rPr>
          <w:rFonts w:hint="eastAsia"/>
          <w:szCs w:val="21"/>
        </w:rPr>
        <w:t>2000</w:t>
      </w:r>
      <w:r w:rsidRPr="001A700D">
        <w:rPr>
          <w:rFonts w:hint="eastAsia"/>
          <w:szCs w:val="21"/>
        </w:rPr>
        <w:t>年的</w:t>
      </w:r>
      <w:r w:rsidRPr="001A700D">
        <w:rPr>
          <w:rFonts w:hint="eastAsia"/>
          <w:szCs w:val="21"/>
        </w:rPr>
        <w:t>104</w:t>
      </w:r>
      <w:r w:rsidRPr="001A700D">
        <w:rPr>
          <w:rFonts w:hint="eastAsia"/>
          <w:szCs w:val="21"/>
        </w:rPr>
        <w:t>‰降至</w:t>
      </w:r>
      <w:r w:rsidRPr="001A700D">
        <w:rPr>
          <w:rFonts w:hint="eastAsia"/>
          <w:szCs w:val="21"/>
        </w:rPr>
        <w:t>2004</w:t>
      </w:r>
      <w:r w:rsidRPr="001A700D">
        <w:rPr>
          <w:rFonts w:hint="eastAsia"/>
          <w:szCs w:val="21"/>
        </w:rPr>
        <w:t>年的</w:t>
      </w:r>
      <w:r w:rsidRPr="001A700D">
        <w:rPr>
          <w:rFonts w:hint="eastAsia"/>
          <w:szCs w:val="21"/>
        </w:rPr>
        <w:t>76</w:t>
      </w:r>
      <w:r w:rsidRPr="001A700D">
        <w:rPr>
          <w:rFonts w:hint="eastAsia"/>
          <w:szCs w:val="21"/>
        </w:rPr>
        <w:t>‰。</w:t>
      </w:r>
      <w:r w:rsidRPr="001A700D">
        <w:rPr>
          <w:rFonts w:hint="eastAsia"/>
          <w:szCs w:val="21"/>
        </w:rPr>
        <w:t>2006</w:t>
      </w:r>
      <w:r w:rsidRPr="001A700D">
        <w:rPr>
          <w:rFonts w:hint="eastAsia"/>
          <w:szCs w:val="21"/>
        </w:rPr>
        <w:t>年度多指标类集调查的数据显示，婴儿死亡率约为每</w:t>
      </w:r>
      <w:r w:rsidRPr="001A700D">
        <w:rPr>
          <w:rFonts w:hint="eastAsia"/>
          <w:szCs w:val="21"/>
        </w:rPr>
        <w:t>1</w:t>
      </w:r>
      <w:r w:rsidR="009408E7">
        <w:rPr>
          <w:rFonts w:hint="eastAsia"/>
          <w:szCs w:val="21"/>
        </w:rPr>
        <w:t xml:space="preserve"> </w:t>
      </w:r>
      <w:r w:rsidRPr="001A700D">
        <w:rPr>
          <w:rFonts w:hint="eastAsia"/>
          <w:szCs w:val="21"/>
        </w:rPr>
        <w:t>000</w:t>
      </w:r>
      <w:r w:rsidRPr="001A700D">
        <w:rPr>
          <w:rFonts w:hint="eastAsia"/>
          <w:szCs w:val="21"/>
        </w:rPr>
        <w:t>活产儿有</w:t>
      </w:r>
      <w:r w:rsidRPr="001A700D">
        <w:rPr>
          <w:rFonts w:hint="eastAsia"/>
          <w:szCs w:val="21"/>
        </w:rPr>
        <w:t>69</w:t>
      </w:r>
      <w:r w:rsidRPr="001A700D">
        <w:rPr>
          <w:rFonts w:hint="eastAsia"/>
          <w:szCs w:val="21"/>
        </w:rPr>
        <w:t>人死亡，</w:t>
      </w:r>
      <w:r w:rsidRPr="001A700D">
        <w:rPr>
          <w:rFonts w:hint="eastAsia"/>
          <w:szCs w:val="21"/>
        </w:rPr>
        <w:t>5</w:t>
      </w:r>
      <w:r w:rsidRPr="001A700D">
        <w:rPr>
          <w:rFonts w:hint="eastAsia"/>
          <w:szCs w:val="21"/>
        </w:rPr>
        <w:t>岁以下儿童死亡概率约为每</w:t>
      </w:r>
      <w:r w:rsidRPr="001A700D">
        <w:rPr>
          <w:rFonts w:hint="eastAsia"/>
          <w:szCs w:val="21"/>
        </w:rPr>
        <w:t>1</w:t>
      </w:r>
      <w:r w:rsidR="009408E7">
        <w:rPr>
          <w:rFonts w:hint="eastAsia"/>
          <w:szCs w:val="21"/>
        </w:rPr>
        <w:t xml:space="preserve"> </w:t>
      </w:r>
      <w:r w:rsidRPr="001A700D">
        <w:rPr>
          <w:rFonts w:hint="eastAsia"/>
          <w:szCs w:val="21"/>
        </w:rPr>
        <w:t>000</w:t>
      </w:r>
      <w:r w:rsidRPr="001A700D">
        <w:rPr>
          <w:rFonts w:hint="eastAsia"/>
          <w:szCs w:val="21"/>
        </w:rPr>
        <w:t>活产儿有</w:t>
      </w:r>
      <w:r w:rsidRPr="001A700D">
        <w:rPr>
          <w:rFonts w:hint="eastAsia"/>
          <w:szCs w:val="21"/>
        </w:rPr>
        <w:t>118</w:t>
      </w:r>
      <w:r w:rsidRPr="001A700D">
        <w:rPr>
          <w:rFonts w:hint="eastAsia"/>
          <w:szCs w:val="21"/>
        </w:rPr>
        <w:t>人死亡。</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从农村流向都市的人口已经增多。</w:t>
      </w:r>
      <w:r w:rsidRPr="001A700D">
        <w:rPr>
          <w:rFonts w:hint="eastAsia"/>
          <w:szCs w:val="21"/>
        </w:rPr>
        <w:t>2005</w:t>
      </w:r>
      <w:r w:rsidRPr="001A700D">
        <w:rPr>
          <w:rFonts w:hint="eastAsia"/>
          <w:szCs w:val="21"/>
        </w:rPr>
        <w:t>年住户综合调查表明，有</w:t>
      </w:r>
      <w:r w:rsidRPr="001A700D">
        <w:rPr>
          <w:rFonts w:hint="eastAsia"/>
          <w:szCs w:val="21"/>
        </w:rPr>
        <w:t>17.2%</w:t>
      </w:r>
      <w:r w:rsidRPr="001A700D">
        <w:rPr>
          <w:rFonts w:hint="eastAsia"/>
          <w:szCs w:val="21"/>
        </w:rPr>
        <w:t>的户主在国内迁移，其中</w:t>
      </w:r>
      <w:r w:rsidRPr="001A700D">
        <w:rPr>
          <w:rFonts w:hint="eastAsia"/>
          <w:szCs w:val="21"/>
        </w:rPr>
        <w:t>11%</w:t>
      </w:r>
      <w:r w:rsidRPr="001A700D">
        <w:rPr>
          <w:rFonts w:hint="eastAsia"/>
          <w:szCs w:val="21"/>
        </w:rPr>
        <w:t>是迁往城市地区。移民对贫困、艾滋病毒传播和环境影响极大。</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马拉维的城市人口增长率为</w:t>
      </w:r>
      <w:r w:rsidRPr="001A700D">
        <w:rPr>
          <w:rFonts w:hint="eastAsia"/>
          <w:szCs w:val="21"/>
        </w:rPr>
        <w:t>6.3%</w:t>
      </w:r>
      <w:r w:rsidRPr="001A700D">
        <w:rPr>
          <w:rFonts w:hint="eastAsia"/>
          <w:szCs w:val="21"/>
        </w:rPr>
        <w:t>，居世界前列。这导致了住房短缺、犯罪增加、艾滋病毒传播和高失业率。</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马拉维政府刚刚完成了人口和住房普查，普查结果预计到</w:t>
      </w:r>
      <w:r w:rsidRPr="001A700D">
        <w:rPr>
          <w:rFonts w:hint="eastAsia"/>
          <w:szCs w:val="21"/>
        </w:rPr>
        <w:t>2008</w:t>
      </w:r>
      <w:r w:rsidRPr="001A700D">
        <w:rPr>
          <w:rFonts w:hint="eastAsia"/>
          <w:szCs w:val="21"/>
        </w:rPr>
        <w:t>年</w:t>
      </w:r>
      <w:r w:rsidRPr="001A700D">
        <w:rPr>
          <w:rFonts w:hint="eastAsia"/>
          <w:szCs w:val="21"/>
        </w:rPr>
        <w:t>9</w:t>
      </w:r>
      <w:r w:rsidRPr="001A700D">
        <w:rPr>
          <w:rFonts w:hint="eastAsia"/>
          <w:szCs w:val="21"/>
        </w:rPr>
        <w:t>月份公布。</w:t>
      </w:r>
    </w:p>
    <w:p w:rsidR="00F41B4C" w:rsidRPr="00DC448F" w:rsidRDefault="00F41B4C" w:rsidP="00DC448F">
      <w:pPr>
        <w:pStyle w:val="TableofFigures"/>
        <w:spacing w:after="240" w:line="360" w:lineRule="exact"/>
        <w:rPr>
          <w:rFonts w:ascii="SimHei" w:eastAsia="SimHei" w:hint="eastAsia"/>
          <w:bCs/>
          <w:color w:val="FF0000"/>
          <w:sz w:val="21"/>
          <w:szCs w:val="21"/>
          <w:lang w:val="fr-FR" w:eastAsia="zh-CN"/>
        </w:rPr>
      </w:pPr>
      <w:r w:rsidRPr="00DC448F">
        <w:rPr>
          <w:rFonts w:ascii="SimHei" w:eastAsia="SimHei" w:hint="eastAsia"/>
          <w:bCs/>
          <w:color w:val="FF0000"/>
          <w:sz w:val="21"/>
          <w:szCs w:val="21"/>
          <w:lang w:val="fr-FR" w:eastAsia="zh-CN"/>
        </w:rPr>
        <w:t>表1</w:t>
      </w:r>
      <w:r w:rsidR="00DC448F">
        <w:rPr>
          <w:rFonts w:ascii="SimHei" w:eastAsia="SimHei" w:hint="eastAsia"/>
          <w:bCs/>
          <w:color w:val="FF0000"/>
          <w:sz w:val="21"/>
          <w:szCs w:val="21"/>
          <w:lang w:val="fr-FR" w:eastAsia="zh-CN"/>
        </w:rPr>
        <w:t>：</w:t>
      </w:r>
      <w:r w:rsidRPr="00DC448F">
        <w:rPr>
          <w:rFonts w:ascii="SimHei" w:eastAsia="SimHei" w:hint="eastAsia"/>
          <w:bCs/>
          <w:color w:val="FF0000"/>
          <w:sz w:val="21"/>
          <w:szCs w:val="21"/>
          <w:lang w:val="fr-FR" w:eastAsia="zh-CN"/>
        </w:rPr>
        <w:t>人口预测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8"/>
        <w:gridCol w:w="875"/>
        <w:gridCol w:w="875"/>
        <w:gridCol w:w="876"/>
        <w:gridCol w:w="876"/>
        <w:gridCol w:w="876"/>
        <w:gridCol w:w="876"/>
        <w:gridCol w:w="876"/>
        <w:gridCol w:w="876"/>
        <w:gridCol w:w="876"/>
        <w:gridCol w:w="876"/>
      </w:tblGrid>
      <w:tr w:rsidR="00F41B4C" w:rsidRPr="001A700D" w:rsidTr="00DC448F">
        <w:trPr>
          <w:trHeight w:val="285"/>
        </w:trPr>
        <w:tc>
          <w:tcPr>
            <w:tcW w:w="650" w:type="pct"/>
            <w:shd w:val="clear" w:color="auto" w:fill="auto"/>
          </w:tcPr>
          <w:p w:rsidR="00F41B4C" w:rsidRPr="001A700D" w:rsidRDefault="00F41B4C" w:rsidP="00DC448F">
            <w:pPr>
              <w:spacing w:line="360" w:lineRule="exact"/>
              <w:rPr>
                <w:szCs w:val="21"/>
              </w:rPr>
            </w:pPr>
          </w:p>
        </w:tc>
        <w:tc>
          <w:tcPr>
            <w:tcW w:w="4350" w:type="pct"/>
            <w:gridSpan w:val="10"/>
          </w:tcPr>
          <w:p w:rsidR="00F41B4C" w:rsidRPr="001A700D" w:rsidRDefault="00F41B4C" w:rsidP="00344F1C">
            <w:pPr>
              <w:spacing w:line="360" w:lineRule="exact"/>
              <w:ind w:firstLineChars="50" w:firstLine="31680"/>
              <w:rPr>
                <w:rFonts w:hint="eastAsia"/>
                <w:szCs w:val="21"/>
              </w:rPr>
            </w:pPr>
            <w:r w:rsidRPr="001A700D">
              <w:rPr>
                <w:rFonts w:hint="eastAsia"/>
                <w:szCs w:val="21"/>
              </w:rPr>
              <w:t>占总</w:t>
            </w:r>
            <w:r w:rsidRPr="001A700D">
              <w:rPr>
                <w:szCs w:val="21"/>
              </w:rPr>
              <w:t>人口</w:t>
            </w:r>
            <w:r w:rsidRPr="001A700D">
              <w:rPr>
                <w:rFonts w:hint="eastAsia"/>
                <w:szCs w:val="21"/>
              </w:rPr>
              <w:t>的百分比</w:t>
            </w:r>
            <w:r w:rsidRPr="001A700D">
              <w:rPr>
                <w:rFonts w:hint="eastAsia"/>
                <w:szCs w:val="21"/>
              </w:rPr>
              <w:t>:</w:t>
            </w:r>
          </w:p>
        </w:tc>
      </w:tr>
      <w:tr w:rsidR="00DC448F" w:rsidRPr="001A700D" w:rsidTr="00DC448F">
        <w:tc>
          <w:tcPr>
            <w:tcW w:w="650" w:type="pct"/>
          </w:tcPr>
          <w:p w:rsidR="00F41B4C" w:rsidRPr="00DC448F" w:rsidRDefault="00F41B4C" w:rsidP="00DC448F">
            <w:pPr>
              <w:spacing w:line="360" w:lineRule="exact"/>
              <w:jc w:val="center"/>
              <w:rPr>
                <w:rFonts w:ascii="SimHei" w:eastAsia="SimHei" w:hint="eastAsia"/>
                <w:color w:val="FF0000"/>
                <w:szCs w:val="21"/>
              </w:rPr>
            </w:pPr>
            <w:r w:rsidRPr="00DC448F">
              <w:rPr>
                <w:rFonts w:ascii="SimHei" w:eastAsia="SimHei" w:hint="eastAsia"/>
                <w:color w:val="FF0000"/>
                <w:szCs w:val="21"/>
              </w:rPr>
              <w:t>年龄组</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1999</w:t>
            </w:r>
            <w:r w:rsidR="00DC448F">
              <w:rPr>
                <w:rFonts w:ascii="KaiTi_GB2312" w:eastAsia="KaiTi_GB2312" w:hint="eastAsia"/>
                <w:color w:val="0000FF"/>
                <w:szCs w:val="21"/>
              </w:rPr>
              <w:t>年</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2000</w:t>
            </w:r>
            <w:r w:rsidR="00DC448F">
              <w:rPr>
                <w:rFonts w:ascii="KaiTi_GB2312" w:eastAsia="KaiTi_GB2312" w:hint="eastAsia"/>
                <w:color w:val="0000FF"/>
                <w:szCs w:val="21"/>
              </w:rPr>
              <w:t>年</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2001</w:t>
            </w:r>
            <w:r w:rsidR="00DC448F">
              <w:rPr>
                <w:rFonts w:ascii="KaiTi_GB2312" w:eastAsia="KaiTi_GB2312" w:hint="eastAsia"/>
                <w:color w:val="0000FF"/>
                <w:szCs w:val="21"/>
              </w:rPr>
              <w:t>年</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2002</w:t>
            </w:r>
            <w:r w:rsidR="00DC448F">
              <w:rPr>
                <w:rFonts w:ascii="KaiTi_GB2312" w:eastAsia="KaiTi_GB2312" w:hint="eastAsia"/>
                <w:color w:val="0000FF"/>
                <w:szCs w:val="21"/>
              </w:rPr>
              <w:t>年</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2003</w:t>
            </w:r>
            <w:r w:rsidR="00DC448F">
              <w:rPr>
                <w:rFonts w:ascii="KaiTi_GB2312" w:eastAsia="KaiTi_GB2312" w:hint="eastAsia"/>
                <w:color w:val="0000FF"/>
                <w:szCs w:val="21"/>
              </w:rPr>
              <w:t>年</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2004</w:t>
            </w:r>
            <w:r w:rsidR="00DC448F">
              <w:rPr>
                <w:rFonts w:ascii="KaiTi_GB2312" w:eastAsia="KaiTi_GB2312" w:hint="eastAsia"/>
                <w:color w:val="0000FF"/>
                <w:szCs w:val="21"/>
              </w:rPr>
              <w:t>年</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2005</w:t>
            </w:r>
            <w:r w:rsidR="00DC448F">
              <w:rPr>
                <w:rFonts w:ascii="KaiTi_GB2312" w:eastAsia="KaiTi_GB2312" w:hint="eastAsia"/>
                <w:color w:val="0000FF"/>
                <w:szCs w:val="21"/>
              </w:rPr>
              <w:t>年</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2006</w:t>
            </w:r>
            <w:r w:rsidR="00DC448F">
              <w:rPr>
                <w:rFonts w:ascii="KaiTi_GB2312" w:eastAsia="KaiTi_GB2312" w:hint="eastAsia"/>
                <w:color w:val="0000FF"/>
                <w:szCs w:val="21"/>
              </w:rPr>
              <w:t>年</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2007</w:t>
            </w:r>
            <w:r w:rsidR="00DC448F">
              <w:rPr>
                <w:rFonts w:ascii="KaiTi_GB2312" w:eastAsia="KaiTi_GB2312" w:hint="eastAsia"/>
                <w:color w:val="0000FF"/>
                <w:szCs w:val="21"/>
              </w:rPr>
              <w:t>年</w:t>
            </w:r>
          </w:p>
        </w:tc>
        <w:tc>
          <w:tcPr>
            <w:tcW w:w="435" w:type="pct"/>
          </w:tcPr>
          <w:p w:rsidR="00F41B4C" w:rsidRPr="00DC448F" w:rsidRDefault="00F41B4C" w:rsidP="00DC448F">
            <w:pPr>
              <w:spacing w:line="360" w:lineRule="exact"/>
              <w:rPr>
                <w:rFonts w:ascii="KaiTi_GB2312" w:eastAsia="KaiTi_GB2312" w:hint="eastAsia"/>
                <w:color w:val="0000FF"/>
                <w:szCs w:val="21"/>
              </w:rPr>
            </w:pPr>
            <w:r w:rsidRPr="00DC448F">
              <w:rPr>
                <w:rFonts w:ascii="KaiTi_GB2312" w:eastAsia="KaiTi_GB2312" w:hint="eastAsia"/>
                <w:color w:val="0000FF"/>
                <w:szCs w:val="21"/>
              </w:rPr>
              <w:t>2008</w:t>
            </w:r>
            <w:r w:rsidR="00DC448F">
              <w:rPr>
                <w:rFonts w:ascii="KaiTi_GB2312" w:eastAsia="KaiTi_GB2312" w:hint="eastAsia"/>
                <w:color w:val="0000FF"/>
                <w:szCs w:val="21"/>
              </w:rPr>
              <w:t>年</w:t>
            </w:r>
          </w:p>
        </w:tc>
      </w:tr>
      <w:tr w:rsidR="00DC448F" w:rsidRPr="001A700D" w:rsidTr="00DC448F">
        <w:tc>
          <w:tcPr>
            <w:tcW w:w="650" w:type="pct"/>
          </w:tcPr>
          <w:p w:rsidR="00F41B4C" w:rsidRPr="00DC448F" w:rsidRDefault="00F41B4C" w:rsidP="00344F1C">
            <w:pPr>
              <w:spacing w:line="360" w:lineRule="exact"/>
              <w:ind w:left="31680" w:hangingChars="49" w:firstLine="31680"/>
              <w:jc w:val="center"/>
              <w:rPr>
                <w:rFonts w:ascii="SimHei" w:eastAsia="SimHei" w:hint="eastAsia"/>
                <w:color w:val="FF0000"/>
                <w:szCs w:val="21"/>
              </w:rPr>
            </w:pPr>
            <w:r w:rsidRPr="00DC448F">
              <w:rPr>
                <w:rFonts w:ascii="SimHei" w:eastAsia="SimHei" w:hint="eastAsia"/>
                <w:color w:val="FF0000"/>
                <w:szCs w:val="21"/>
              </w:rPr>
              <w:t>0–14岁</w:t>
            </w:r>
          </w:p>
        </w:tc>
        <w:tc>
          <w:tcPr>
            <w:tcW w:w="435" w:type="pct"/>
          </w:tcPr>
          <w:p w:rsidR="00F41B4C" w:rsidRPr="001A700D" w:rsidRDefault="00F41B4C" w:rsidP="009408E7">
            <w:pPr>
              <w:spacing w:line="360" w:lineRule="exact"/>
              <w:jc w:val="center"/>
              <w:rPr>
                <w:szCs w:val="21"/>
              </w:rPr>
            </w:pPr>
            <w:r w:rsidRPr="001A700D">
              <w:rPr>
                <w:szCs w:val="21"/>
              </w:rPr>
              <w:t>44</w:t>
            </w:r>
          </w:p>
        </w:tc>
        <w:tc>
          <w:tcPr>
            <w:tcW w:w="435" w:type="pct"/>
          </w:tcPr>
          <w:p w:rsidR="00F41B4C" w:rsidRPr="001A700D" w:rsidRDefault="00F41B4C" w:rsidP="009408E7">
            <w:pPr>
              <w:spacing w:line="360" w:lineRule="exact"/>
              <w:jc w:val="center"/>
              <w:rPr>
                <w:szCs w:val="21"/>
              </w:rPr>
            </w:pPr>
            <w:r w:rsidRPr="001A700D">
              <w:rPr>
                <w:szCs w:val="21"/>
              </w:rPr>
              <w:t>45.1</w:t>
            </w:r>
          </w:p>
        </w:tc>
        <w:tc>
          <w:tcPr>
            <w:tcW w:w="435" w:type="pct"/>
          </w:tcPr>
          <w:p w:rsidR="00F41B4C" w:rsidRPr="001A700D" w:rsidRDefault="00F41B4C" w:rsidP="009408E7">
            <w:pPr>
              <w:spacing w:line="360" w:lineRule="exact"/>
              <w:jc w:val="center"/>
              <w:rPr>
                <w:szCs w:val="21"/>
              </w:rPr>
            </w:pPr>
            <w:r w:rsidRPr="001A700D">
              <w:rPr>
                <w:szCs w:val="21"/>
              </w:rPr>
              <w:t>45.6</w:t>
            </w:r>
          </w:p>
        </w:tc>
        <w:tc>
          <w:tcPr>
            <w:tcW w:w="435" w:type="pct"/>
          </w:tcPr>
          <w:p w:rsidR="00F41B4C" w:rsidRPr="001A700D" w:rsidRDefault="00F41B4C" w:rsidP="009408E7">
            <w:pPr>
              <w:spacing w:line="360" w:lineRule="exact"/>
              <w:jc w:val="center"/>
              <w:rPr>
                <w:szCs w:val="21"/>
              </w:rPr>
            </w:pPr>
            <w:r w:rsidRPr="001A700D">
              <w:rPr>
                <w:szCs w:val="21"/>
              </w:rPr>
              <w:t>46</w:t>
            </w:r>
          </w:p>
        </w:tc>
        <w:tc>
          <w:tcPr>
            <w:tcW w:w="435" w:type="pct"/>
          </w:tcPr>
          <w:p w:rsidR="00F41B4C" w:rsidRPr="001A700D" w:rsidRDefault="00F41B4C" w:rsidP="009408E7">
            <w:pPr>
              <w:spacing w:line="360" w:lineRule="exact"/>
              <w:jc w:val="center"/>
              <w:rPr>
                <w:szCs w:val="21"/>
              </w:rPr>
            </w:pPr>
            <w:r w:rsidRPr="001A700D">
              <w:rPr>
                <w:szCs w:val="21"/>
              </w:rPr>
              <w:t>46.4</w:t>
            </w:r>
          </w:p>
        </w:tc>
        <w:tc>
          <w:tcPr>
            <w:tcW w:w="435" w:type="pct"/>
          </w:tcPr>
          <w:p w:rsidR="00F41B4C" w:rsidRPr="001A700D" w:rsidRDefault="00F41B4C" w:rsidP="009408E7">
            <w:pPr>
              <w:spacing w:line="360" w:lineRule="exact"/>
              <w:jc w:val="center"/>
              <w:rPr>
                <w:szCs w:val="21"/>
              </w:rPr>
            </w:pPr>
            <w:r w:rsidRPr="001A700D">
              <w:rPr>
                <w:szCs w:val="21"/>
              </w:rPr>
              <w:t>46.7</w:t>
            </w:r>
          </w:p>
        </w:tc>
        <w:tc>
          <w:tcPr>
            <w:tcW w:w="435" w:type="pct"/>
          </w:tcPr>
          <w:p w:rsidR="00F41B4C" w:rsidRPr="001A700D" w:rsidRDefault="00F41B4C" w:rsidP="009408E7">
            <w:pPr>
              <w:spacing w:line="360" w:lineRule="exact"/>
              <w:jc w:val="center"/>
              <w:rPr>
                <w:szCs w:val="21"/>
              </w:rPr>
            </w:pPr>
            <w:r w:rsidRPr="001A700D">
              <w:rPr>
                <w:szCs w:val="21"/>
              </w:rPr>
              <w:t>47</w:t>
            </w:r>
          </w:p>
        </w:tc>
        <w:tc>
          <w:tcPr>
            <w:tcW w:w="435" w:type="pct"/>
          </w:tcPr>
          <w:p w:rsidR="00F41B4C" w:rsidRPr="001A700D" w:rsidRDefault="00F41B4C" w:rsidP="009408E7">
            <w:pPr>
              <w:spacing w:line="360" w:lineRule="exact"/>
              <w:jc w:val="center"/>
              <w:rPr>
                <w:szCs w:val="21"/>
              </w:rPr>
            </w:pPr>
            <w:r w:rsidRPr="001A700D">
              <w:rPr>
                <w:szCs w:val="21"/>
              </w:rPr>
              <w:t>47.3</w:t>
            </w:r>
          </w:p>
        </w:tc>
        <w:tc>
          <w:tcPr>
            <w:tcW w:w="435" w:type="pct"/>
          </w:tcPr>
          <w:p w:rsidR="00F41B4C" w:rsidRPr="001A700D" w:rsidRDefault="00F41B4C" w:rsidP="009408E7">
            <w:pPr>
              <w:spacing w:line="360" w:lineRule="exact"/>
              <w:jc w:val="center"/>
              <w:rPr>
                <w:szCs w:val="21"/>
              </w:rPr>
            </w:pPr>
            <w:r w:rsidRPr="001A700D">
              <w:rPr>
                <w:szCs w:val="21"/>
              </w:rPr>
              <w:t>47.5</w:t>
            </w:r>
          </w:p>
        </w:tc>
        <w:tc>
          <w:tcPr>
            <w:tcW w:w="435" w:type="pct"/>
          </w:tcPr>
          <w:p w:rsidR="00F41B4C" w:rsidRPr="001A700D" w:rsidRDefault="00F41B4C" w:rsidP="009408E7">
            <w:pPr>
              <w:spacing w:line="360" w:lineRule="exact"/>
              <w:jc w:val="center"/>
              <w:rPr>
                <w:szCs w:val="21"/>
              </w:rPr>
            </w:pPr>
            <w:r w:rsidRPr="001A700D">
              <w:rPr>
                <w:szCs w:val="21"/>
              </w:rPr>
              <w:t>47.2</w:t>
            </w:r>
          </w:p>
        </w:tc>
      </w:tr>
      <w:tr w:rsidR="00DC448F" w:rsidRPr="001A700D" w:rsidTr="00DC448F">
        <w:tc>
          <w:tcPr>
            <w:tcW w:w="650" w:type="pct"/>
          </w:tcPr>
          <w:p w:rsidR="00F41B4C" w:rsidRPr="00DC448F" w:rsidRDefault="00F41B4C" w:rsidP="00DC448F">
            <w:pPr>
              <w:spacing w:line="360" w:lineRule="exact"/>
              <w:jc w:val="center"/>
              <w:rPr>
                <w:rFonts w:ascii="SimHei" w:eastAsia="SimHei" w:hint="eastAsia"/>
                <w:color w:val="FF0000"/>
                <w:szCs w:val="21"/>
              </w:rPr>
            </w:pPr>
            <w:r w:rsidRPr="00DC448F">
              <w:rPr>
                <w:rFonts w:ascii="SimHei" w:eastAsia="SimHei" w:hint="eastAsia"/>
                <w:color w:val="FF0000"/>
                <w:szCs w:val="21"/>
              </w:rPr>
              <w:t>15–19岁</w:t>
            </w:r>
          </w:p>
        </w:tc>
        <w:tc>
          <w:tcPr>
            <w:tcW w:w="435" w:type="pct"/>
          </w:tcPr>
          <w:p w:rsidR="00F41B4C" w:rsidRPr="001A700D" w:rsidRDefault="00F41B4C" w:rsidP="009408E7">
            <w:pPr>
              <w:spacing w:line="360" w:lineRule="exact"/>
              <w:jc w:val="center"/>
              <w:rPr>
                <w:szCs w:val="21"/>
              </w:rPr>
            </w:pPr>
            <w:r w:rsidRPr="001A700D">
              <w:rPr>
                <w:szCs w:val="21"/>
              </w:rPr>
              <w:t>10.8</w:t>
            </w:r>
          </w:p>
        </w:tc>
        <w:tc>
          <w:tcPr>
            <w:tcW w:w="435" w:type="pct"/>
          </w:tcPr>
          <w:p w:rsidR="00F41B4C" w:rsidRPr="001A700D" w:rsidRDefault="00F41B4C" w:rsidP="009408E7">
            <w:pPr>
              <w:spacing w:line="360" w:lineRule="exact"/>
              <w:jc w:val="center"/>
              <w:rPr>
                <w:szCs w:val="21"/>
              </w:rPr>
            </w:pPr>
            <w:r w:rsidRPr="001A700D">
              <w:rPr>
                <w:szCs w:val="21"/>
              </w:rPr>
              <w:t>10.8</w:t>
            </w:r>
          </w:p>
        </w:tc>
        <w:tc>
          <w:tcPr>
            <w:tcW w:w="435" w:type="pct"/>
          </w:tcPr>
          <w:p w:rsidR="00F41B4C" w:rsidRPr="001A700D" w:rsidRDefault="00F41B4C" w:rsidP="009408E7">
            <w:pPr>
              <w:spacing w:line="360" w:lineRule="exact"/>
              <w:jc w:val="center"/>
              <w:rPr>
                <w:szCs w:val="21"/>
              </w:rPr>
            </w:pPr>
            <w:r w:rsidRPr="001A700D">
              <w:rPr>
                <w:szCs w:val="21"/>
              </w:rPr>
              <w:t>10.7</w:t>
            </w:r>
          </w:p>
        </w:tc>
        <w:tc>
          <w:tcPr>
            <w:tcW w:w="435" w:type="pct"/>
          </w:tcPr>
          <w:p w:rsidR="00F41B4C" w:rsidRPr="001A700D" w:rsidRDefault="00F41B4C" w:rsidP="009408E7">
            <w:pPr>
              <w:spacing w:line="360" w:lineRule="exact"/>
              <w:jc w:val="center"/>
              <w:rPr>
                <w:szCs w:val="21"/>
              </w:rPr>
            </w:pPr>
            <w:r w:rsidRPr="001A700D">
              <w:rPr>
                <w:szCs w:val="21"/>
              </w:rPr>
              <w:t>10.6</w:t>
            </w:r>
          </w:p>
        </w:tc>
        <w:tc>
          <w:tcPr>
            <w:tcW w:w="435" w:type="pct"/>
          </w:tcPr>
          <w:p w:rsidR="00F41B4C" w:rsidRPr="001A700D" w:rsidRDefault="00F41B4C" w:rsidP="009408E7">
            <w:pPr>
              <w:spacing w:line="360" w:lineRule="exact"/>
              <w:jc w:val="center"/>
              <w:rPr>
                <w:szCs w:val="21"/>
              </w:rPr>
            </w:pPr>
            <w:r w:rsidRPr="001A700D">
              <w:rPr>
                <w:szCs w:val="21"/>
              </w:rPr>
              <w:t>10.5</w:t>
            </w:r>
          </w:p>
        </w:tc>
        <w:tc>
          <w:tcPr>
            <w:tcW w:w="435" w:type="pct"/>
          </w:tcPr>
          <w:p w:rsidR="00F41B4C" w:rsidRPr="001A700D" w:rsidRDefault="00F41B4C" w:rsidP="009408E7">
            <w:pPr>
              <w:spacing w:line="360" w:lineRule="exact"/>
              <w:jc w:val="center"/>
              <w:rPr>
                <w:szCs w:val="21"/>
              </w:rPr>
            </w:pPr>
            <w:r w:rsidRPr="001A700D">
              <w:rPr>
                <w:szCs w:val="21"/>
              </w:rPr>
              <w:t>10.5</w:t>
            </w:r>
          </w:p>
        </w:tc>
        <w:tc>
          <w:tcPr>
            <w:tcW w:w="435" w:type="pct"/>
          </w:tcPr>
          <w:p w:rsidR="00F41B4C" w:rsidRPr="001A700D" w:rsidRDefault="00F41B4C" w:rsidP="009408E7">
            <w:pPr>
              <w:spacing w:line="360" w:lineRule="exact"/>
              <w:jc w:val="center"/>
              <w:rPr>
                <w:szCs w:val="21"/>
              </w:rPr>
            </w:pPr>
            <w:r w:rsidRPr="001A700D">
              <w:rPr>
                <w:szCs w:val="21"/>
              </w:rPr>
              <w:t>10.4</w:t>
            </w:r>
          </w:p>
        </w:tc>
        <w:tc>
          <w:tcPr>
            <w:tcW w:w="435" w:type="pct"/>
          </w:tcPr>
          <w:p w:rsidR="00F41B4C" w:rsidRPr="001A700D" w:rsidRDefault="00F41B4C" w:rsidP="009408E7">
            <w:pPr>
              <w:spacing w:line="360" w:lineRule="exact"/>
              <w:jc w:val="center"/>
              <w:rPr>
                <w:szCs w:val="21"/>
              </w:rPr>
            </w:pPr>
            <w:r w:rsidRPr="001A700D">
              <w:rPr>
                <w:szCs w:val="21"/>
              </w:rPr>
              <w:t>10.3</w:t>
            </w:r>
          </w:p>
        </w:tc>
        <w:tc>
          <w:tcPr>
            <w:tcW w:w="435" w:type="pct"/>
          </w:tcPr>
          <w:p w:rsidR="00F41B4C" w:rsidRPr="001A700D" w:rsidRDefault="00F41B4C" w:rsidP="009408E7">
            <w:pPr>
              <w:spacing w:line="360" w:lineRule="exact"/>
              <w:jc w:val="center"/>
              <w:rPr>
                <w:szCs w:val="21"/>
              </w:rPr>
            </w:pPr>
            <w:r w:rsidRPr="001A700D">
              <w:rPr>
                <w:szCs w:val="21"/>
              </w:rPr>
              <w:t>10.3</w:t>
            </w:r>
          </w:p>
        </w:tc>
        <w:tc>
          <w:tcPr>
            <w:tcW w:w="435" w:type="pct"/>
          </w:tcPr>
          <w:p w:rsidR="00F41B4C" w:rsidRPr="001A700D" w:rsidRDefault="00F41B4C" w:rsidP="009408E7">
            <w:pPr>
              <w:spacing w:line="360" w:lineRule="exact"/>
              <w:jc w:val="center"/>
              <w:rPr>
                <w:szCs w:val="21"/>
              </w:rPr>
            </w:pPr>
            <w:r w:rsidRPr="001A700D">
              <w:rPr>
                <w:szCs w:val="21"/>
              </w:rPr>
              <w:t>10.2</w:t>
            </w:r>
          </w:p>
        </w:tc>
      </w:tr>
      <w:tr w:rsidR="00DC448F" w:rsidRPr="001A700D" w:rsidTr="00DC448F">
        <w:tc>
          <w:tcPr>
            <w:tcW w:w="650" w:type="pct"/>
          </w:tcPr>
          <w:p w:rsidR="00F41B4C" w:rsidRPr="00DC448F" w:rsidRDefault="00F41B4C" w:rsidP="00DC448F">
            <w:pPr>
              <w:spacing w:line="360" w:lineRule="exact"/>
              <w:jc w:val="center"/>
              <w:rPr>
                <w:rFonts w:ascii="SimHei" w:eastAsia="SimHei" w:hint="eastAsia"/>
                <w:color w:val="FF0000"/>
                <w:szCs w:val="21"/>
              </w:rPr>
            </w:pPr>
            <w:r w:rsidRPr="00DC448F">
              <w:rPr>
                <w:rFonts w:ascii="SimHei" w:eastAsia="SimHei" w:hint="eastAsia"/>
                <w:color w:val="FF0000"/>
                <w:szCs w:val="21"/>
              </w:rPr>
              <w:t>55岁</w:t>
            </w:r>
            <w:r w:rsidR="009408E7">
              <w:rPr>
                <w:rFonts w:ascii="SimHei" w:eastAsia="SimHei" w:hint="eastAsia"/>
                <w:color w:val="FF0000"/>
                <w:szCs w:val="21"/>
              </w:rPr>
              <w:t>及</w:t>
            </w:r>
            <w:r w:rsidRPr="00DC448F">
              <w:rPr>
                <w:rFonts w:ascii="SimHei" w:eastAsia="SimHei" w:hint="eastAsia"/>
                <w:color w:val="FF0000"/>
                <w:szCs w:val="21"/>
              </w:rPr>
              <w:t>以上</w:t>
            </w:r>
          </w:p>
        </w:tc>
        <w:tc>
          <w:tcPr>
            <w:tcW w:w="435" w:type="pct"/>
          </w:tcPr>
          <w:p w:rsidR="00F41B4C" w:rsidRPr="001A700D" w:rsidRDefault="00F41B4C" w:rsidP="009408E7">
            <w:pPr>
              <w:spacing w:line="360" w:lineRule="exact"/>
              <w:jc w:val="center"/>
              <w:rPr>
                <w:szCs w:val="21"/>
              </w:rPr>
            </w:pPr>
            <w:r w:rsidRPr="001A700D">
              <w:rPr>
                <w:szCs w:val="21"/>
              </w:rPr>
              <w:t>6.3</w:t>
            </w:r>
          </w:p>
        </w:tc>
        <w:tc>
          <w:tcPr>
            <w:tcW w:w="435" w:type="pct"/>
          </w:tcPr>
          <w:p w:rsidR="00F41B4C" w:rsidRPr="001A700D" w:rsidRDefault="00F41B4C" w:rsidP="009408E7">
            <w:pPr>
              <w:spacing w:line="360" w:lineRule="exact"/>
              <w:jc w:val="center"/>
              <w:rPr>
                <w:szCs w:val="21"/>
              </w:rPr>
            </w:pPr>
            <w:r w:rsidRPr="001A700D">
              <w:rPr>
                <w:szCs w:val="21"/>
              </w:rPr>
              <w:t>5.7</w:t>
            </w:r>
          </w:p>
        </w:tc>
        <w:tc>
          <w:tcPr>
            <w:tcW w:w="435" w:type="pct"/>
          </w:tcPr>
          <w:p w:rsidR="00F41B4C" w:rsidRPr="001A700D" w:rsidRDefault="00F41B4C" w:rsidP="009408E7">
            <w:pPr>
              <w:spacing w:line="360" w:lineRule="exact"/>
              <w:jc w:val="center"/>
              <w:rPr>
                <w:szCs w:val="21"/>
              </w:rPr>
            </w:pPr>
            <w:r w:rsidRPr="001A700D">
              <w:rPr>
                <w:szCs w:val="21"/>
              </w:rPr>
              <w:t>5.2</w:t>
            </w:r>
          </w:p>
        </w:tc>
        <w:tc>
          <w:tcPr>
            <w:tcW w:w="435" w:type="pct"/>
          </w:tcPr>
          <w:p w:rsidR="00F41B4C" w:rsidRPr="001A700D" w:rsidRDefault="00F41B4C" w:rsidP="009408E7">
            <w:pPr>
              <w:spacing w:line="360" w:lineRule="exact"/>
              <w:jc w:val="center"/>
              <w:rPr>
                <w:szCs w:val="21"/>
              </w:rPr>
            </w:pPr>
            <w:r w:rsidRPr="001A700D">
              <w:rPr>
                <w:szCs w:val="21"/>
              </w:rPr>
              <w:t>4.7</w:t>
            </w:r>
          </w:p>
        </w:tc>
        <w:tc>
          <w:tcPr>
            <w:tcW w:w="435" w:type="pct"/>
          </w:tcPr>
          <w:p w:rsidR="00F41B4C" w:rsidRPr="001A700D" w:rsidRDefault="00F41B4C" w:rsidP="009408E7">
            <w:pPr>
              <w:spacing w:line="360" w:lineRule="exact"/>
              <w:jc w:val="center"/>
              <w:rPr>
                <w:szCs w:val="21"/>
              </w:rPr>
            </w:pPr>
            <w:r w:rsidRPr="001A700D">
              <w:rPr>
                <w:szCs w:val="21"/>
              </w:rPr>
              <w:t>4.5</w:t>
            </w:r>
          </w:p>
        </w:tc>
        <w:tc>
          <w:tcPr>
            <w:tcW w:w="435" w:type="pct"/>
          </w:tcPr>
          <w:p w:rsidR="00F41B4C" w:rsidRPr="001A700D" w:rsidRDefault="00F41B4C" w:rsidP="009408E7">
            <w:pPr>
              <w:spacing w:line="360" w:lineRule="exact"/>
              <w:jc w:val="center"/>
              <w:rPr>
                <w:szCs w:val="21"/>
              </w:rPr>
            </w:pPr>
            <w:r w:rsidRPr="001A700D">
              <w:rPr>
                <w:szCs w:val="21"/>
              </w:rPr>
              <w:t>4.3</w:t>
            </w:r>
          </w:p>
        </w:tc>
        <w:tc>
          <w:tcPr>
            <w:tcW w:w="435" w:type="pct"/>
          </w:tcPr>
          <w:p w:rsidR="00F41B4C" w:rsidRPr="001A700D" w:rsidRDefault="00F41B4C" w:rsidP="009408E7">
            <w:pPr>
              <w:spacing w:line="360" w:lineRule="exact"/>
              <w:jc w:val="center"/>
              <w:rPr>
                <w:szCs w:val="21"/>
              </w:rPr>
            </w:pPr>
            <w:r w:rsidRPr="001A700D">
              <w:rPr>
                <w:szCs w:val="21"/>
              </w:rPr>
              <w:t>4.2</w:t>
            </w:r>
          </w:p>
        </w:tc>
        <w:tc>
          <w:tcPr>
            <w:tcW w:w="435" w:type="pct"/>
          </w:tcPr>
          <w:p w:rsidR="00F41B4C" w:rsidRPr="001A700D" w:rsidRDefault="00F41B4C" w:rsidP="009408E7">
            <w:pPr>
              <w:spacing w:line="360" w:lineRule="exact"/>
              <w:jc w:val="center"/>
              <w:rPr>
                <w:szCs w:val="21"/>
              </w:rPr>
            </w:pPr>
            <w:r w:rsidRPr="001A700D">
              <w:rPr>
                <w:szCs w:val="21"/>
              </w:rPr>
              <w:t>4.1</w:t>
            </w:r>
          </w:p>
        </w:tc>
        <w:tc>
          <w:tcPr>
            <w:tcW w:w="435" w:type="pct"/>
          </w:tcPr>
          <w:p w:rsidR="00F41B4C" w:rsidRPr="001A700D" w:rsidRDefault="00F41B4C" w:rsidP="009408E7">
            <w:pPr>
              <w:spacing w:line="360" w:lineRule="exact"/>
              <w:jc w:val="center"/>
              <w:rPr>
                <w:szCs w:val="21"/>
              </w:rPr>
            </w:pPr>
            <w:r w:rsidRPr="001A700D">
              <w:rPr>
                <w:szCs w:val="21"/>
              </w:rPr>
              <w:t>4.0</w:t>
            </w:r>
          </w:p>
        </w:tc>
        <w:tc>
          <w:tcPr>
            <w:tcW w:w="435" w:type="pct"/>
          </w:tcPr>
          <w:p w:rsidR="00F41B4C" w:rsidRPr="001A700D" w:rsidRDefault="00F41B4C" w:rsidP="009408E7">
            <w:pPr>
              <w:spacing w:line="360" w:lineRule="exact"/>
              <w:jc w:val="center"/>
              <w:rPr>
                <w:szCs w:val="21"/>
              </w:rPr>
            </w:pPr>
            <w:r w:rsidRPr="001A700D">
              <w:rPr>
                <w:szCs w:val="21"/>
              </w:rPr>
              <w:t>4.0</w:t>
            </w:r>
          </w:p>
        </w:tc>
      </w:tr>
    </w:tbl>
    <w:p w:rsidR="00F41B4C" w:rsidRPr="001A700D" w:rsidRDefault="00F41B4C" w:rsidP="00DC448F">
      <w:pPr>
        <w:spacing w:after="240" w:line="360" w:lineRule="exact"/>
        <w:rPr>
          <w:szCs w:val="21"/>
        </w:rPr>
      </w:pPr>
      <w:r w:rsidRPr="00DC448F">
        <w:rPr>
          <w:rFonts w:ascii="KaiTi_GB2312" w:eastAsia="KaiTi_GB2312" w:hint="eastAsia"/>
          <w:color w:val="0000FF"/>
          <w:szCs w:val="21"/>
        </w:rPr>
        <w:t>资料来源</w:t>
      </w:r>
      <w:r w:rsidRPr="00DC448F">
        <w:rPr>
          <w:rFonts w:hint="eastAsia"/>
          <w:color w:val="0000FF"/>
          <w:szCs w:val="21"/>
        </w:rPr>
        <w:t>：</w:t>
      </w:r>
      <w:r w:rsidRPr="001A700D">
        <w:rPr>
          <w:rFonts w:hint="eastAsia"/>
          <w:szCs w:val="21"/>
        </w:rPr>
        <w:t>国家统计局，根据</w:t>
      </w:r>
      <w:r w:rsidRPr="001A700D">
        <w:rPr>
          <w:rFonts w:hint="eastAsia"/>
          <w:szCs w:val="21"/>
        </w:rPr>
        <w:t>19</w:t>
      </w:r>
      <w:r w:rsidR="009408E7">
        <w:rPr>
          <w:rFonts w:hint="eastAsia"/>
          <w:szCs w:val="21"/>
        </w:rPr>
        <w:t>9</w:t>
      </w:r>
      <w:r w:rsidRPr="001A700D">
        <w:rPr>
          <w:rFonts w:hint="eastAsia"/>
          <w:szCs w:val="21"/>
        </w:rPr>
        <w:t>8</w:t>
      </w:r>
      <w:r w:rsidRPr="001A700D">
        <w:rPr>
          <w:rFonts w:hint="eastAsia"/>
          <w:szCs w:val="21"/>
        </w:rPr>
        <w:t>年马拉维人口和住房普查所作的人口预测。</w:t>
      </w:r>
    </w:p>
    <w:p w:rsidR="00F41B4C" w:rsidRPr="00DC448F" w:rsidRDefault="00DC448F" w:rsidP="00DC448F">
      <w:pPr>
        <w:pStyle w:val="H1"/>
        <w:spacing w:before="120"/>
      </w:pPr>
      <w:bookmarkStart w:id="44" w:name="_Toc221523937"/>
      <w:r>
        <w:rPr>
          <w:rFonts w:hint="eastAsia"/>
        </w:rPr>
        <w:t xml:space="preserve">1.2  </w:t>
      </w:r>
      <w:r w:rsidR="00F41B4C" w:rsidRPr="00DC448F">
        <w:rPr>
          <w:rFonts w:hint="eastAsia"/>
        </w:rPr>
        <w:t>社会经济指标</w:t>
      </w:r>
      <w:bookmarkEnd w:id="44"/>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马拉维经济的特点是普遍极度贫困。</w:t>
      </w:r>
      <w:r w:rsidR="006606A4">
        <w:rPr>
          <w:rFonts w:hint="eastAsia"/>
          <w:szCs w:val="21"/>
        </w:rPr>
        <w:t>《</w:t>
      </w:r>
      <w:r w:rsidRPr="001A700D">
        <w:rPr>
          <w:rFonts w:hint="eastAsia"/>
          <w:szCs w:val="21"/>
        </w:rPr>
        <w:t>马拉维增长与发展战略</w:t>
      </w:r>
      <w:r w:rsidR="006606A4">
        <w:rPr>
          <w:rFonts w:hint="eastAsia"/>
          <w:szCs w:val="21"/>
        </w:rPr>
        <w:t>》</w:t>
      </w:r>
      <w:r w:rsidRPr="001A700D">
        <w:rPr>
          <w:rFonts w:hint="eastAsia"/>
          <w:szCs w:val="21"/>
        </w:rPr>
        <w:t>（增长与发展战略）表明七年来贫困状况并无大的改观。</w:t>
      </w:r>
      <w:r w:rsidRPr="001A700D">
        <w:rPr>
          <w:rFonts w:hint="eastAsia"/>
          <w:szCs w:val="21"/>
        </w:rPr>
        <w:t>2004/05</w:t>
      </w:r>
      <w:r w:rsidRPr="001A700D">
        <w:rPr>
          <w:rFonts w:hint="eastAsia"/>
          <w:szCs w:val="21"/>
        </w:rPr>
        <w:t>年度的住户综合调查表明，</w:t>
      </w:r>
      <w:r w:rsidRPr="001A700D">
        <w:rPr>
          <w:rFonts w:hint="eastAsia"/>
          <w:szCs w:val="21"/>
        </w:rPr>
        <w:t>52.4%</w:t>
      </w:r>
      <w:r w:rsidRPr="001A700D">
        <w:rPr>
          <w:rFonts w:hint="eastAsia"/>
          <w:szCs w:val="21"/>
        </w:rPr>
        <w:t>的人口生活在贫困线以下。</w:t>
      </w:r>
      <w:r w:rsidRPr="001A700D">
        <w:rPr>
          <w:rStyle w:val="FootnoteReference"/>
          <w:szCs w:val="21"/>
        </w:rPr>
        <w:footnoteReference w:id="2"/>
      </w:r>
      <w:r w:rsidRPr="001A700D">
        <w:rPr>
          <w:rFonts w:hint="eastAsia"/>
          <w:szCs w:val="21"/>
        </w:rPr>
        <w:t>这意味着有大约</w:t>
      </w:r>
      <w:r w:rsidRPr="001A700D">
        <w:rPr>
          <w:rFonts w:hint="eastAsia"/>
          <w:szCs w:val="21"/>
        </w:rPr>
        <w:t>630</w:t>
      </w:r>
      <w:r w:rsidRPr="001A700D">
        <w:rPr>
          <w:rFonts w:hint="eastAsia"/>
          <w:szCs w:val="21"/>
        </w:rPr>
        <w:t>万贫困人口，其中</w:t>
      </w:r>
      <w:r w:rsidRPr="001A700D">
        <w:rPr>
          <w:rFonts w:hint="eastAsia"/>
          <w:szCs w:val="21"/>
        </w:rPr>
        <w:t>270</w:t>
      </w:r>
      <w:r w:rsidRPr="001A700D">
        <w:rPr>
          <w:rFonts w:hint="eastAsia"/>
          <w:szCs w:val="21"/>
        </w:rPr>
        <w:t>万马拉维人生活极度贫困，无力满足建议的日常饮食需求，同时农村地区比城市地区更加贫困。南部地区最为贫困，其次是北部地区。贫困的表现形式包括收入低、粮食短缺、营养不良情况严重以及可预防疾病的发病率高。</w:t>
      </w:r>
    </w:p>
    <w:p w:rsidR="00F41B4C" w:rsidRPr="001A700D" w:rsidRDefault="006606A4" w:rsidP="00127428">
      <w:pPr>
        <w:widowControl/>
        <w:numPr>
          <w:ilvl w:val="0"/>
          <w:numId w:val="35"/>
        </w:numPr>
        <w:tabs>
          <w:tab w:val="left" w:pos="480"/>
        </w:tabs>
        <w:adjustRightInd/>
        <w:spacing w:after="240" w:line="360" w:lineRule="exact"/>
        <w:ind w:left="0" w:firstLine="0"/>
        <w:textAlignment w:val="auto"/>
        <w:rPr>
          <w:szCs w:val="21"/>
        </w:rPr>
      </w:pPr>
      <w:r>
        <w:rPr>
          <w:rFonts w:hint="eastAsia"/>
          <w:szCs w:val="21"/>
        </w:rPr>
        <w:t>《</w:t>
      </w:r>
      <w:r w:rsidR="00F41B4C" w:rsidRPr="001A700D">
        <w:rPr>
          <w:rFonts w:hint="eastAsia"/>
          <w:szCs w:val="21"/>
        </w:rPr>
        <w:t>增长与发展战略</w:t>
      </w:r>
      <w:r>
        <w:rPr>
          <w:rFonts w:hint="eastAsia"/>
          <w:szCs w:val="21"/>
        </w:rPr>
        <w:t>》</w:t>
      </w:r>
      <w:r w:rsidR="00F41B4C" w:rsidRPr="001A700D">
        <w:rPr>
          <w:rFonts w:hint="eastAsia"/>
          <w:szCs w:val="21"/>
        </w:rPr>
        <w:t>表明，女性为户主的家庭更为贫困。它还指出，在过去</w:t>
      </w:r>
      <w:r w:rsidR="00F41B4C" w:rsidRPr="001A700D">
        <w:rPr>
          <w:rFonts w:hint="eastAsia"/>
          <w:szCs w:val="21"/>
        </w:rPr>
        <w:t>7</w:t>
      </w:r>
      <w:r w:rsidR="00F41B4C" w:rsidRPr="001A700D">
        <w:rPr>
          <w:rFonts w:hint="eastAsia"/>
          <w:szCs w:val="21"/>
        </w:rPr>
        <w:t>年里有</w:t>
      </w:r>
      <w:r w:rsidR="00F41B4C" w:rsidRPr="001A700D">
        <w:rPr>
          <w:rFonts w:hint="eastAsia"/>
          <w:szCs w:val="21"/>
        </w:rPr>
        <w:t>30%</w:t>
      </w:r>
      <w:r w:rsidR="00F41B4C" w:rsidRPr="001A700D">
        <w:rPr>
          <w:rFonts w:hint="eastAsia"/>
          <w:szCs w:val="21"/>
        </w:rPr>
        <w:t>的贫困人口脱贫，同时又有</w:t>
      </w:r>
      <w:r w:rsidR="00F41B4C" w:rsidRPr="001A700D">
        <w:rPr>
          <w:rFonts w:hint="eastAsia"/>
          <w:szCs w:val="21"/>
        </w:rPr>
        <w:t>30%</w:t>
      </w:r>
      <w:r w:rsidR="00F41B4C" w:rsidRPr="001A700D">
        <w:rPr>
          <w:rFonts w:hint="eastAsia"/>
          <w:szCs w:val="21"/>
        </w:rPr>
        <w:t>的非贫困人口陷入贫困，这表明马拉维存在着持续的经济脆弱性。贫困脆弱性评估</w:t>
      </w:r>
      <w:r w:rsidR="00F41B4C" w:rsidRPr="001A700D">
        <w:rPr>
          <w:rStyle w:val="FootnoteReference"/>
          <w:szCs w:val="21"/>
        </w:rPr>
        <w:footnoteReference w:id="3"/>
      </w:r>
      <w:r w:rsidR="00F41B4C" w:rsidRPr="001A700D">
        <w:rPr>
          <w:rFonts w:hint="eastAsia"/>
          <w:szCs w:val="21"/>
        </w:rPr>
        <w:t>表明，对家庭贫困程度有影响的主要因素是家庭规模、教育、非农业就业机会、灌溉条件、是否靠近市场和贸易中心以及是否有柏油路。健康指标在过去十年恶化了。在此期间，人均医生数量减少一半，儿童免疫接种率也从</w:t>
      </w:r>
      <w:r w:rsidR="00F41B4C" w:rsidRPr="001A700D">
        <w:rPr>
          <w:rFonts w:hint="eastAsia"/>
          <w:szCs w:val="21"/>
        </w:rPr>
        <w:t>1992</w:t>
      </w:r>
      <w:r w:rsidR="00F41B4C" w:rsidRPr="001A700D">
        <w:rPr>
          <w:rFonts w:hint="eastAsia"/>
          <w:szCs w:val="21"/>
        </w:rPr>
        <w:t>年的</w:t>
      </w:r>
      <w:r w:rsidR="00F41B4C" w:rsidRPr="001A700D">
        <w:rPr>
          <w:rFonts w:hint="eastAsia"/>
          <w:szCs w:val="21"/>
        </w:rPr>
        <w:t>82%</w:t>
      </w:r>
      <w:r w:rsidR="00F41B4C" w:rsidRPr="001A700D">
        <w:rPr>
          <w:rFonts w:hint="eastAsia"/>
          <w:szCs w:val="21"/>
        </w:rPr>
        <w:t>下降到</w:t>
      </w:r>
      <w:r w:rsidR="00F41B4C" w:rsidRPr="001A700D">
        <w:rPr>
          <w:rFonts w:hint="eastAsia"/>
          <w:szCs w:val="21"/>
        </w:rPr>
        <w:t>2004</w:t>
      </w:r>
      <w:r w:rsidR="00F41B4C" w:rsidRPr="001A700D">
        <w:rPr>
          <w:rFonts w:hint="eastAsia"/>
          <w:szCs w:val="21"/>
        </w:rPr>
        <w:t>年的</w:t>
      </w:r>
      <w:r w:rsidR="00F41B4C" w:rsidRPr="001A700D">
        <w:rPr>
          <w:rFonts w:hint="eastAsia"/>
          <w:szCs w:val="21"/>
        </w:rPr>
        <w:t>64%</w:t>
      </w:r>
      <w:r w:rsidR="00F41B4C" w:rsidRPr="001A700D">
        <w:rPr>
          <w:rFonts w:hint="eastAsia"/>
          <w:szCs w:val="21"/>
        </w:rPr>
        <w:t>。儿童营养不良自</w:t>
      </w:r>
      <w:r w:rsidR="00F41B4C" w:rsidRPr="001A700D">
        <w:rPr>
          <w:rFonts w:hint="eastAsia"/>
          <w:szCs w:val="21"/>
        </w:rPr>
        <w:t>1992</w:t>
      </w:r>
      <w:r w:rsidR="00F41B4C" w:rsidRPr="001A700D">
        <w:rPr>
          <w:rFonts w:hint="eastAsia"/>
          <w:szCs w:val="21"/>
        </w:rPr>
        <w:t>年以来基本上维持原有状况，五岁以下的儿童中，几乎有半数发育不良，</w:t>
      </w:r>
      <w:r w:rsidR="00F41B4C" w:rsidRPr="001A700D">
        <w:rPr>
          <w:rFonts w:hint="eastAsia"/>
          <w:szCs w:val="21"/>
        </w:rPr>
        <w:t>22%</w:t>
      </w:r>
      <w:r w:rsidR="00F41B4C" w:rsidRPr="001A700D">
        <w:rPr>
          <w:rFonts w:hint="eastAsia"/>
          <w:szCs w:val="21"/>
        </w:rPr>
        <w:t>严重发育不良。</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马拉维成功获得了达到“重债穷国”完成点所需达到的一切要求，其后被免除了所有外债的近</w:t>
      </w:r>
      <w:r w:rsidRPr="001A700D">
        <w:rPr>
          <w:rFonts w:hint="eastAsia"/>
          <w:szCs w:val="21"/>
        </w:rPr>
        <w:t>95%</w:t>
      </w:r>
      <w:r w:rsidRPr="001A700D">
        <w:rPr>
          <w:rFonts w:hint="eastAsia"/>
          <w:szCs w:val="21"/>
        </w:rPr>
        <w:t>（约</w:t>
      </w:r>
      <w:r w:rsidRPr="001A700D">
        <w:rPr>
          <w:rFonts w:hint="eastAsia"/>
          <w:szCs w:val="21"/>
        </w:rPr>
        <w:t>30</w:t>
      </w:r>
      <w:r w:rsidRPr="001A700D">
        <w:rPr>
          <w:rFonts w:hint="eastAsia"/>
          <w:szCs w:val="21"/>
        </w:rPr>
        <w:t>亿美元）。这是一个重要的里程碑，因为更多财政资源得以重新投向其他有关社会经济发展方案。</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马拉维的经济仍然以农业为主，农业占</w:t>
      </w:r>
      <w:r w:rsidR="006606A4">
        <w:rPr>
          <w:rFonts w:hint="eastAsia"/>
          <w:szCs w:val="21"/>
        </w:rPr>
        <w:t>马拉维</w:t>
      </w:r>
      <w:r w:rsidRPr="001A700D">
        <w:rPr>
          <w:rFonts w:hint="eastAsia"/>
          <w:szCs w:val="21"/>
        </w:rPr>
        <w:t>国内生产总值的三分之一强，占出口收入的</w:t>
      </w:r>
      <w:r w:rsidRPr="001A700D">
        <w:rPr>
          <w:rFonts w:hint="eastAsia"/>
          <w:szCs w:val="21"/>
        </w:rPr>
        <w:t>90%</w:t>
      </w:r>
      <w:r w:rsidRPr="001A700D">
        <w:rPr>
          <w:rFonts w:hint="eastAsia"/>
          <w:szCs w:val="21"/>
        </w:rPr>
        <w:t>以上。服务业占国内生产总值的</w:t>
      </w:r>
      <w:r w:rsidRPr="001A700D">
        <w:rPr>
          <w:rFonts w:hint="eastAsia"/>
          <w:szCs w:val="21"/>
        </w:rPr>
        <w:t>45.1%</w:t>
      </w:r>
      <w:r w:rsidRPr="001A700D">
        <w:rPr>
          <w:rFonts w:hint="eastAsia"/>
          <w:szCs w:val="21"/>
        </w:rPr>
        <w:t>。</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马拉维的经济依然薄弱，容易受到外部冲击。据世界银行和国际货币基金组织统计，</w:t>
      </w:r>
      <w:r w:rsidRPr="001A700D">
        <w:rPr>
          <w:rFonts w:hint="eastAsia"/>
          <w:szCs w:val="21"/>
        </w:rPr>
        <w:t>2000-2005</w:t>
      </w:r>
      <w:r w:rsidRPr="001A700D">
        <w:rPr>
          <w:rFonts w:hint="eastAsia"/>
          <w:szCs w:val="21"/>
        </w:rPr>
        <w:t>年间，马拉维的经济增长率为</w:t>
      </w:r>
      <w:r w:rsidRPr="001A700D">
        <w:rPr>
          <w:rFonts w:hint="eastAsia"/>
          <w:szCs w:val="21"/>
        </w:rPr>
        <w:t>3.4%</w:t>
      </w:r>
      <w:r w:rsidRPr="001A700D">
        <w:rPr>
          <w:rFonts w:hint="eastAsia"/>
          <w:szCs w:val="21"/>
        </w:rPr>
        <w:t>，而撒哈拉以南非洲地区为</w:t>
      </w:r>
      <w:r w:rsidRPr="001A700D">
        <w:rPr>
          <w:rFonts w:hint="eastAsia"/>
          <w:szCs w:val="21"/>
        </w:rPr>
        <w:t>4.2%</w:t>
      </w:r>
      <w:r w:rsidRPr="001A700D">
        <w:rPr>
          <w:rFonts w:hint="eastAsia"/>
          <w:szCs w:val="21"/>
        </w:rPr>
        <w:t>。同样，尽管在过去两年里通货膨胀一直在减退，但是相比撒哈拉以南非洲地区</w:t>
      </w:r>
      <w:r w:rsidRPr="001A700D">
        <w:rPr>
          <w:rFonts w:hint="eastAsia"/>
          <w:szCs w:val="21"/>
        </w:rPr>
        <w:t>8.9%</w:t>
      </w:r>
      <w:r w:rsidRPr="001A700D">
        <w:rPr>
          <w:rFonts w:hint="eastAsia"/>
          <w:szCs w:val="21"/>
        </w:rPr>
        <w:t>的通货膨胀率，</w:t>
      </w:r>
      <w:r w:rsidRPr="001A700D">
        <w:rPr>
          <w:rFonts w:hint="eastAsia"/>
          <w:szCs w:val="21"/>
        </w:rPr>
        <w:t>2005</w:t>
      </w:r>
      <w:r w:rsidRPr="001A700D">
        <w:rPr>
          <w:rFonts w:hint="eastAsia"/>
          <w:szCs w:val="21"/>
        </w:rPr>
        <w:t>年马拉维的通货膨胀率就地区标准而言仍然很高，为</w:t>
      </w:r>
      <w:r w:rsidRPr="001A700D">
        <w:rPr>
          <w:rFonts w:hint="eastAsia"/>
          <w:szCs w:val="21"/>
        </w:rPr>
        <w:t>15%</w:t>
      </w:r>
      <w:r w:rsidRPr="001A700D">
        <w:rPr>
          <w:rFonts w:hint="eastAsia"/>
          <w:szCs w:val="21"/>
        </w:rPr>
        <w:t>（世界银行和基金组织统计数据）。马拉维通货膨胀率的变动，紧随气候模式、国际燃料价格、货币供应和汇率变动。其原因包括财政收</w:t>
      </w:r>
      <w:r w:rsidR="006606A4">
        <w:rPr>
          <w:rFonts w:hint="eastAsia"/>
          <w:szCs w:val="21"/>
        </w:rPr>
        <w:t>入</w:t>
      </w:r>
      <w:r w:rsidRPr="001A700D">
        <w:rPr>
          <w:rFonts w:hint="eastAsia"/>
          <w:szCs w:val="21"/>
        </w:rPr>
        <w:t>减少，粮食和燃料等必需品价格高昂，内债总额已经高得无力偿付给国家货币政策造成压力，以及本币贬值。货币贬值是从固定汇率制度向浮动汇率制度转变的一个直接后果。此外，由于运输、能源和水利方面的有形基础设施简陋，私营部门的投资一直不景气，特别是在制造业上。</w:t>
      </w:r>
    </w:p>
    <w:p w:rsidR="00F41B4C" w:rsidRPr="00DC448F" w:rsidRDefault="00DC448F" w:rsidP="00DC448F">
      <w:pPr>
        <w:pStyle w:val="H1"/>
        <w:spacing w:before="120"/>
      </w:pPr>
      <w:bookmarkStart w:id="45" w:name="_Toc221523938"/>
      <w:r>
        <w:rPr>
          <w:rFonts w:hint="eastAsia"/>
        </w:rPr>
        <w:t xml:space="preserve">1.3  </w:t>
      </w:r>
      <w:r w:rsidR="00F41B4C" w:rsidRPr="00DC448F">
        <w:rPr>
          <w:rFonts w:hint="eastAsia"/>
        </w:rPr>
        <w:t>总体政治结构</w:t>
      </w:r>
      <w:bookmarkEnd w:id="45"/>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根据</w:t>
      </w:r>
      <w:r w:rsidRPr="001A700D">
        <w:rPr>
          <w:rFonts w:hint="eastAsia"/>
          <w:szCs w:val="21"/>
        </w:rPr>
        <w:t>1995</w:t>
      </w:r>
      <w:r w:rsidRPr="001A700D">
        <w:rPr>
          <w:rFonts w:hint="eastAsia"/>
          <w:szCs w:val="21"/>
        </w:rPr>
        <w:t>年通过的《共和国宪法》，马拉维是一个享有国际法权利和义务的主权国家。《宪法》是马拉维的最高权威，因此，任何与之不符乃至于矛盾的法案或法律均属无效。</w:t>
      </w:r>
      <w:r w:rsidRPr="001A700D">
        <w:rPr>
          <w:rStyle w:val="FootnoteReference"/>
          <w:szCs w:val="21"/>
        </w:rPr>
        <w:footnoteReference w:id="4"/>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根据《宪法》规定，国家是一个拥有参与权和代表权的民主政体。它确立了行政、立法和司法机关的三权分立制度。</w:t>
      </w:r>
      <w:r w:rsidRPr="001A700D">
        <w:rPr>
          <w:rStyle w:val="FootnoteReference"/>
          <w:szCs w:val="21"/>
        </w:rPr>
        <w:footnoteReference w:id="5"/>
      </w:r>
      <w:r w:rsidRPr="001A700D">
        <w:rPr>
          <w:rFonts w:hint="eastAsia"/>
          <w:szCs w:val="21"/>
        </w:rPr>
        <w:t>行使国家权力的任何人，其法律和政治权力均来自于马拉维人民，该权力应该完全依照《宪法》来行使，以服务和保护人民的利益。</w:t>
      </w:r>
      <w:r w:rsidRPr="001A700D">
        <w:rPr>
          <w:rStyle w:val="FootnoteReference"/>
          <w:szCs w:val="21"/>
        </w:rPr>
        <w:footnoteReference w:id="6"/>
      </w:r>
      <w:r w:rsidRPr="001A700D">
        <w:rPr>
          <w:rFonts w:hint="eastAsia"/>
          <w:szCs w:val="21"/>
        </w:rPr>
        <w:t>所有行使国家权力的人应不辜负人民的信任，行使这项权力的权限条件是马拉维人民的持续信任，它可以通过开放、负责任和透明的政府和知情的民主选择得以保持。</w:t>
      </w:r>
      <w:r w:rsidRPr="001A700D">
        <w:rPr>
          <w:rStyle w:val="FootnoteReference"/>
          <w:szCs w:val="21"/>
        </w:rPr>
        <w:footnoteReference w:id="7"/>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行政机关由总统、最多两名副总统、内阁和总检察长组成。其职能是提出政策和立法倡议以及执行法律。</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立法机关由议长领导，包括议会、</w:t>
      </w:r>
      <w:r w:rsidRPr="001A700D">
        <w:rPr>
          <w:rStyle w:val="FootnoteReference"/>
          <w:szCs w:val="21"/>
        </w:rPr>
        <w:footnoteReference w:id="8"/>
      </w:r>
      <w:r w:rsidRPr="001A700D">
        <w:rPr>
          <w:rFonts w:hint="eastAsia"/>
          <w:szCs w:val="21"/>
        </w:rPr>
        <w:t>议会高级职员和当选的议会成员。其职能是颁布反映马拉维人民利益和宪法价值的法律。</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司法机关独立于行政机关和立法机关，它包括首席法官、上诉法官、高等法院法官、最高法院和高等法院书记官以及专业和业余地方法官。最高一级的上诉法院是最高上诉法院、拥有无限初审管辖权和上诉管辖权的高等法院和地方法院。已经设立三个专门法庭：高等法院商事法庭、高等法院宪法法庭</w:t>
      </w:r>
      <w:r w:rsidRPr="001A700D">
        <w:rPr>
          <w:rStyle w:val="FootnoteReference"/>
          <w:szCs w:val="21"/>
        </w:rPr>
        <w:footnoteReference w:id="9"/>
      </w:r>
      <w:r w:rsidRPr="001A700D">
        <w:rPr>
          <w:rFonts w:hint="eastAsia"/>
          <w:szCs w:val="21"/>
        </w:rPr>
        <w:t>和附属于高等法院的劳资关系法庭。</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司法机关的作用是“以独立、公正的方式，在只与法律有关的事实和规定方面”对</w:t>
      </w:r>
      <w:r w:rsidR="006606A4">
        <w:rPr>
          <w:rFonts w:hint="eastAsia"/>
          <w:szCs w:val="21"/>
        </w:rPr>
        <w:t>《</w:t>
      </w:r>
      <w:r w:rsidRPr="001A700D">
        <w:rPr>
          <w:rFonts w:hint="eastAsia"/>
          <w:szCs w:val="21"/>
        </w:rPr>
        <w:t>宪法</w:t>
      </w:r>
      <w:r w:rsidR="006606A4">
        <w:rPr>
          <w:rFonts w:hint="eastAsia"/>
          <w:szCs w:val="21"/>
        </w:rPr>
        <w:t>》</w:t>
      </w:r>
      <w:r w:rsidRPr="001A700D">
        <w:rPr>
          <w:rFonts w:hint="eastAsia"/>
          <w:szCs w:val="21"/>
        </w:rPr>
        <w:t>进行阐释和保护。司法机关的任务是促进作为建立开放和民主制度的社会基础的价值观，考虑到</w:t>
      </w:r>
      <w:r w:rsidR="006606A4">
        <w:rPr>
          <w:rFonts w:hint="eastAsia"/>
          <w:szCs w:val="21"/>
        </w:rPr>
        <w:t>《</w:t>
      </w:r>
      <w:r w:rsidRPr="001A700D">
        <w:rPr>
          <w:rFonts w:hint="eastAsia"/>
          <w:szCs w:val="21"/>
        </w:rPr>
        <w:t>宪法</w:t>
      </w:r>
      <w:r w:rsidR="006606A4">
        <w:rPr>
          <w:rFonts w:hint="eastAsia"/>
          <w:szCs w:val="21"/>
        </w:rPr>
        <w:t>》</w:t>
      </w:r>
      <w:r w:rsidRPr="001A700D">
        <w:rPr>
          <w:rFonts w:hint="eastAsia"/>
          <w:szCs w:val="21"/>
        </w:rPr>
        <w:t>中规定的人权，并考虑到国际公法和相关判例法的现有规范。</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共和国的领土面积为</w:t>
      </w:r>
      <w:r w:rsidRPr="001A700D">
        <w:rPr>
          <w:rFonts w:hint="eastAsia"/>
          <w:szCs w:val="21"/>
        </w:rPr>
        <w:t>118 480</w:t>
      </w:r>
      <w:r w:rsidRPr="001A700D">
        <w:rPr>
          <w:rFonts w:hint="eastAsia"/>
          <w:szCs w:val="21"/>
        </w:rPr>
        <w:t>平方公里，其中有</w:t>
      </w:r>
      <w:r w:rsidRPr="001A700D">
        <w:rPr>
          <w:rFonts w:hint="eastAsia"/>
          <w:szCs w:val="21"/>
        </w:rPr>
        <w:t>24 210</w:t>
      </w:r>
      <w:r w:rsidRPr="001A700D">
        <w:rPr>
          <w:rFonts w:hint="eastAsia"/>
          <w:szCs w:val="21"/>
        </w:rPr>
        <w:t>平方公里的地表淡水。它分为</w:t>
      </w:r>
      <w:r w:rsidRPr="001A700D">
        <w:rPr>
          <w:rFonts w:hint="eastAsia"/>
          <w:szCs w:val="21"/>
        </w:rPr>
        <w:t>4</w:t>
      </w:r>
      <w:r w:rsidRPr="001A700D">
        <w:rPr>
          <w:rFonts w:hint="eastAsia"/>
          <w:szCs w:val="21"/>
        </w:rPr>
        <w:t>个行政区和</w:t>
      </w:r>
      <w:r w:rsidRPr="001A700D">
        <w:rPr>
          <w:rFonts w:hint="eastAsia"/>
          <w:szCs w:val="21"/>
        </w:rPr>
        <w:t>28</w:t>
      </w:r>
      <w:r w:rsidRPr="001A700D">
        <w:rPr>
          <w:rFonts w:hint="eastAsia"/>
          <w:szCs w:val="21"/>
        </w:rPr>
        <w:t>个县。</w:t>
      </w:r>
    </w:p>
    <w:p w:rsidR="00F41B4C" w:rsidRPr="00DC448F" w:rsidRDefault="00DC448F" w:rsidP="00DC448F">
      <w:pPr>
        <w:pStyle w:val="H1"/>
        <w:spacing w:before="120"/>
      </w:pPr>
      <w:bookmarkStart w:id="46" w:name="_Toc221523939"/>
      <w:r>
        <w:rPr>
          <w:rFonts w:hint="eastAsia"/>
        </w:rPr>
        <w:t xml:space="preserve">1.4  </w:t>
      </w:r>
      <w:r w:rsidR="00F41B4C" w:rsidRPr="00DC448F">
        <w:rPr>
          <w:rFonts w:hint="eastAsia"/>
        </w:rPr>
        <w:t>保护妇女权利的总体规范性框架</w:t>
      </w:r>
      <w:bookmarkEnd w:id="46"/>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1995</w:t>
      </w:r>
      <w:r w:rsidRPr="001A700D">
        <w:rPr>
          <w:rFonts w:hint="eastAsia"/>
          <w:szCs w:val="21"/>
        </w:rPr>
        <w:t>年《宪法》规定法律面前人人平等，</w:t>
      </w:r>
      <w:r w:rsidRPr="001A700D">
        <w:rPr>
          <w:rStyle w:val="FootnoteReference"/>
          <w:szCs w:val="21"/>
        </w:rPr>
        <w:footnoteReference w:id="10"/>
      </w:r>
      <w:r w:rsidRPr="001A700D">
        <w:rPr>
          <w:rFonts w:hint="eastAsia"/>
          <w:szCs w:val="21"/>
        </w:rPr>
        <w:t>还规定保护和享有公民权利和政治权利，不得以性别、种族、肤色、语言、宗教、政治或其他观点、国籍、民族或社会背景、残疾、财产、出身或其他情况为理由进行歧视。</w:t>
      </w:r>
      <w:r w:rsidRPr="001A700D">
        <w:rPr>
          <w:rStyle w:val="FootnoteReference"/>
          <w:szCs w:val="21"/>
        </w:rPr>
        <w:footnoteReference w:id="11"/>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根据《宪法》，每个人都享有国家保护，以及《宪法》、国际文书及其他法规所载的权利。《宪法》还规定了对权利的执行、制约和限制，以及为执行权利可诉诸于的论坛。这些论坛包括法院、人权委员会和监察员办公室。</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在体制上，妇女和儿童发展部是在马拉维的所有发展计划、社区发展方案实施和社会福利服务中负责监督性别协调和性别主流化的国家机构。</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该部设有</w:t>
      </w:r>
      <w:r w:rsidRPr="001A700D">
        <w:rPr>
          <w:rFonts w:hint="eastAsia"/>
          <w:szCs w:val="21"/>
        </w:rPr>
        <w:t>5</w:t>
      </w:r>
      <w:r w:rsidRPr="001A700D">
        <w:rPr>
          <w:rFonts w:hint="eastAsia"/>
          <w:szCs w:val="21"/>
        </w:rPr>
        <w:t>个司，其中</w:t>
      </w:r>
      <w:r w:rsidRPr="001A700D">
        <w:rPr>
          <w:rFonts w:hint="eastAsia"/>
          <w:szCs w:val="21"/>
        </w:rPr>
        <w:t>3</w:t>
      </w:r>
      <w:r w:rsidRPr="001A700D">
        <w:rPr>
          <w:rFonts w:hint="eastAsia"/>
          <w:szCs w:val="21"/>
        </w:rPr>
        <w:t>个处理核心的技术服务：妇女发展事务、社区发展和儿童发展事务。另外两个提供支持服务：行政、财务和人力资源，以及计划和研究。</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妇女事务司是国家性别机构的秘书处，负责所有政府政策、框架、方案和活动中性别问题的协调、宣传和纳入主流。该司还负责促进妇女的权利，包括生殖健康权。</w:t>
      </w:r>
    </w:p>
    <w:p w:rsidR="00F41B4C" w:rsidRPr="00DC448F" w:rsidRDefault="00F41B4C" w:rsidP="00DC448F">
      <w:pPr>
        <w:pStyle w:val="H1"/>
        <w:spacing w:before="120"/>
        <w:rPr>
          <w:rFonts w:hint="eastAsia"/>
        </w:rPr>
      </w:pPr>
      <w:bookmarkStart w:id="47" w:name="_Toc221523940"/>
      <w:r w:rsidRPr="00DC448F">
        <w:t>1.5</w:t>
      </w:r>
      <w:r w:rsidR="00DC448F">
        <w:rPr>
          <w:rFonts w:hint="eastAsia"/>
        </w:rPr>
        <w:t xml:space="preserve">  </w:t>
      </w:r>
      <w:r w:rsidRPr="00DC448F">
        <w:rPr>
          <w:rFonts w:hint="eastAsia"/>
        </w:rPr>
        <w:t>信息与宣传</w:t>
      </w:r>
      <w:bookmarkEnd w:id="47"/>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始于</w:t>
      </w:r>
      <w:r w:rsidRPr="001A700D">
        <w:rPr>
          <w:rFonts w:hint="eastAsia"/>
          <w:szCs w:val="21"/>
        </w:rPr>
        <w:t>20</w:t>
      </w:r>
      <w:r w:rsidRPr="001A700D">
        <w:rPr>
          <w:rFonts w:hint="eastAsia"/>
          <w:szCs w:val="21"/>
        </w:rPr>
        <w:t>世纪</w:t>
      </w:r>
      <w:r w:rsidRPr="001A700D">
        <w:rPr>
          <w:rFonts w:hint="eastAsia"/>
          <w:szCs w:val="21"/>
        </w:rPr>
        <w:t>90</w:t>
      </w:r>
      <w:r w:rsidRPr="001A700D">
        <w:rPr>
          <w:rFonts w:hint="eastAsia"/>
          <w:szCs w:val="21"/>
        </w:rPr>
        <w:t>年代初的民主体制，倡导建立一个尊重人权文化的开放社会。通过以妇女和儿童发展部为首的多个国家机构，已将性别问题纳入主流。其他管理机构，如人权委员会、法律委员会、监察员办公室以及来自民间社会和国际组织的非国家行动者，在解决全社会的性别问题中也发挥了积极作用。</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持续低下的妇女和男子文化水平，阻碍了在马拉维开展有效的人权教育。在人权领域使用英语作为沟通手段，也阻碍了其进展。</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马拉维继续致力于在全国各地广泛宣传《消除对妇女歧视公约》。尽管存在许多地方语言和方言，但只有一个《消除对妇女歧视公约》的官方译本。使用各种语言和方法进行宣传，使乡村社区得以领悟、实践、保护和实现人权，这仍然是一个挑战。</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政府最近在信息部下面设立了公民教育司。该司的任务是在有关政府政策和政府方案的信息、教育和宣传资料的形成和传播方面协调一切计划，以确保其实用性、正确性和最大限度的传播。</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预计公民教育司还将与妇女和儿童发展部合作，协助出版、简化并普及《消除对妇女歧视公约》、《非洲人权和人民权利宪章》及其关于妇女权利的议定书、《北京行动纲要》、尚未生效的《南共体</w:t>
      </w:r>
      <w:r w:rsidR="00041D45">
        <w:rPr>
          <w:rFonts w:hint="eastAsia"/>
          <w:szCs w:val="21"/>
        </w:rPr>
        <w:t>男女</w:t>
      </w:r>
      <w:r w:rsidRPr="001A700D">
        <w:rPr>
          <w:rFonts w:hint="eastAsia"/>
          <w:szCs w:val="21"/>
        </w:rPr>
        <w:t>平等与发展议定书》，以及其他相关文本。</w:t>
      </w:r>
    </w:p>
    <w:p w:rsidR="00F41B4C" w:rsidRPr="00DC448F" w:rsidRDefault="00F41B4C" w:rsidP="00DC448F">
      <w:pPr>
        <w:pStyle w:val="H1"/>
        <w:spacing w:before="120"/>
      </w:pPr>
      <w:bookmarkStart w:id="48" w:name="_Toc221523941"/>
      <w:r w:rsidRPr="00DC448F">
        <w:t>1.6</w:t>
      </w:r>
      <w:r w:rsidR="00DC448F">
        <w:rPr>
          <w:rFonts w:hint="eastAsia"/>
        </w:rPr>
        <w:t xml:space="preserve">  </w:t>
      </w:r>
      <w:r w:rsidRPr="00DC448F">
        <w:rPr>
          <w:rFonts w:hint="eastAsia"/>
        </w:rPr>
        <w:t>《消除对妇女歧视公约》与国家法律</w:t>
      </w:r>
      <w:bookmarkEnd w:id="48"/>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自从</w:t>
      </w:r>
      <w:r w:rsidRPr="001A700D">
        <w:rPr>
          <w:rFonts w:hint="eastAsia"/>
          <w:szCs w:val="21"/>
        </w:rPr>
        <w:t>2006</w:t>
      </w:r>
      <w:r w:rsidRPr="001A700D">
        <w:rPr>
          <w:rFonts w:hint="eastAsia"/>
          <w:szCs w:val="21"/>
        </w:rPr>
        <w:t>年讨论合并报告以来，已对立法进行了多次改革，其目的是将《消除对妇女歧视公约》的各项条款纳入本国立法。这些改革由公共和非公共部门发起。</w:t>
      </w:r>
    </w:p>
    <w:p w:rsidR="00F41B4C" w:rsidRPr="00DC448F" w:rsidRDefault="00F41B4C" w:rsidP="00DC448F">
      <w:pPr>
        <w:spacing w:after="240" w:line="360" w:lineRule="exact"/>
        <w:rPr>
          <w:rFonts w:ascii="SimHei" w:eastAsia="SimHei" w:hint="eastAsia"/>
          <w:color w:val="FF0000"/>
          <w:szCs w:val="21"/>
        </w:rPr>
      </w:pPr>
      <w:r w:rsidRPr="00DC448F">
        <w:rPr>
          <w:rFonts w:ascii="SimHei" w:eastAsia="SimHei" w:hint="eastAsia"/>
          <w:color w:val="FF0000"/>
          <w:szCs w:val="21"/>
        </w:rPr>
        <w:t>宪法审查</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lang w:val="en-GB"/>
        </w:rPr>
      </w:pPr>
      <w:r w:rsidRPr="001A700D">
        <w:rPr>
          <w:rFonts w:hint="eastAsia"/>
          <w:szCs w:val="21"/>
          <w:lang w:val="en-GB"/>
        </w:rPr>
        <w:t>2004</w:t>
      </w:r>
      <w:r w:rsidRPr="001A700D">
        <w:rPr>
          <w:rFonts w:hint="eastAsia"/>
          <w:szCs w:val="21"/>
          <w:lang w:val="en-GB"/>
        </w:rPr>
        <w:t>年，政府批准了法律委员会关于审查《宪法》的建议。负责该进程的特别法律委员会于</w:t>
      </w:r>
      <w:r w:rsidRPr="001A700D">
        <w:rPr>
          <w:rFonts w:hint="eastAsia"/>
          <w:szCs w:val="21"/>
          <w:lang w:val="en-GB"/>
        </w:rPr>
        <w:t>2006</w:t>
      </w:r>
      <w:r w:rsidRPr="001A700D">
        <w:rPr>
          <w:rFonts w:hint="eastAsia"/>
          <w:szCs w:val="21"/>
          <w:lang w:val="en-GB"/>
        </w:rPr>
        <w:t>年正式开始工作。妇女和儿童发展部对宪法审查进程做出了重大贡献，它拟定了一份全面的立场文件，提出了若干关于各个年龄所有妇女的建议。这份立场文件全面采纳了马拉维缔约国合并报告委员会所提出的建议。其中的大部分提议与其他利益攸关者的提议类似，并经过了法律委员会的审议。</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lang w:val="en-GB"/>
        </w:rPr>
      </w:pPr>
      <w:r w:rsidRPr="001A700D">
        <w:rPr>
          <w:rFonts w:hint="eastAsia"/>
          <w:szCs w:val="21"/>
          <w:lang w:val="en-GB"/>
        </w:rPr>
        <w:t>一个问题突出的领域是《宪法》的第</w:t>
      </w:r>
      <w:r w:rsidRPr="001A700D">
        <w:rPr>
          <w:rFonts w:hint="eastAsia"/>
          <w:szCs w:val="21"/>
          <w:lang w:val="en-GB"/>
        </w:rPr>
        <w:t>23</w:t>
      </w:r>
      <w:r w:rsidRPr="001A700D">
        <w:rPr>
          <w:rFonts w:hint="eastAsia"/>
          <w:szCs w:val="21"/>
          <w:lang w:val="en-GB"/>
        </w:rPr>
        <w:t>条，为该条款之目的，它规定儿童的年龄为</w:t>
      </w:r>
      <w:r w:rsidRPr="001A700D">
        <w:rPr>
          <w:rFonts w:hint="eastAsia"/>
          <w:szCs w:val="21"/>
          <w:lang w:val="en-GB"/>
        </w:rPr>
        <w:t>16</w:t>
      </w:r>
      <w:r w:rsidRPr="001A700D">
        <w:rPr>
          <w:rFonts w:hint="eastAsia"/>
          <w:szCs w:val="21"/>
          <w:lang w:val="en-GB"/>
        </w:rPr>
        <w:t>岁。妇女和儿童发展部考虑到女童易于受害，提议将成人年龄提高到</w:t>
      </w:r>
      <w:r w:rsidRPr="001A700D">
        <w:rPr>
          <w:rFonts w:hint="eastAsia"/>
          <w:szCs w:val="21"/>
          <w:lang w:val="en-GB"/>
        </w:rPr>
        <w:t>18</w:t>
      </w:r>
      <w:r w:rsidRPr="001A700D">
        <w:rPr>
          <w:rFonts w:hint="eastAsia"/>
          <w:szCs w:val="21"/>
          <w:lang w:val="en-GB"/>
        </w:rPr>
        <w:t>岁，以便与《儿童权利公约》的规定相吻合。它考虑到马拉维儿童的具体特点，大部分未满</w:t>
      </w:r>
      <w:r w:rsidRPr="001A700D">
        <w:rPr>
          <w:rFonts w:hint="eastAsia"/>
          <w:szCs w:val="21"/>
          <w:lang w:val="en-GB"/>
        </w:rPr>
        <w:t>18</w:t>
      </w:r>
      <w:r w:rsidRPr="001A700D">
        <w:rPr>
          <w:rFonts w:hint="eastAsia"/>
          <w:szCs w:val="21"/>
          <w:lang w:val="en-GB"/>
        </w:rPr>
        <w:t>岁的儿童仍在读中学，需要作为儿童得到法律保护。法律委员会已经着手审议这一问题，提议将成人年龄提高到</w:t>
      </w:r>
      <w:r w:rsidRPr="001A700D">
        <w:rPr>
          <w:rFonts w:hint="eastAsia"/>
          <w:szCs w:val="21"/>
          <w:lang w:val="en-GB"/>
        </w:rPr>
        <w:t>18</w:t>
      </w:r>
      <w:r w:rsidRPr="001A700D">
        <w:rPr>
          <w:rFonts w:hint="eastAsia"/>
          <w:szCs w:val="21"/>
          <w:lang w:val="en-GB"/>
        </w:rPr>
        <w:t>岁。</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宪法审查进程还需要审查《宪法》关于家庭和婚姻的第</w:t>
      </w:r>
      <w:r w:rsidRPr="001A700D">
        <w:rPr>
          <w:rFonts w:hint="eastAsia"/>
          <w:szCs w:val="21"/>
        </w:rPr>
        <w:t>22</w:t>
      </w:r>
      <w:r w:rsidRPr="001A700D">
        <w:rPr>
          <w:rFonts w:hint="eastAsia"/>
          <w:szCs w:val="21"/>
        </w:rPr>
        <w:t>条。一些利益攸关者指出，《宪法》在结婚的最低年龄上含糊不清。根据第</w:t>
      </w:r>
      <w:r w:rsidRPr="001A700D">
        <w:rPr>
          <w:rFonts w:hint="eastAsia"/>
          <w:szCs w:val="21"/>
        </w:rPr>
        <w:t>22</w:t>
      </w:r>
      <w:r w:rsidRPr="001A700D">
        <w:rPr>
          <w:rFonts w:hint="eastAsia"/>
          <w:szCs w:val="21"/>
        </w:rPr>
        <w:t>条规定，一个人</w:t>
      </w:r>
      <w:r w:rsidRPr="001A700D">
        <w:rPr>
          <w:rFonts w:hint="eastAsia"/>
          <w:szCs w:val="21"/>
        </w:rPr>
        <w:t>18</w:t>
      </w:r>
      <w:r w:rsidRPr="001A700D">
        <w:rPr>
          <w:rFonts w:hint="eastAsia"/>
          <w:szCs w:val="21"/>
        </w:rPr>
        <w:t>岁即可结婚，无须征得其父母的同意；</w:t>
      </w:r>
      <w:r w:rsidRPr="001A700D">
        <w:rPr>
          <w:rFonts w:hint="eastAsia"/>
          <w:szCs w:val="21"/>
        </w:rPr>
        <w:t>15</w:t>
      </w:r>
      <w:r w:rsidRPr="001A700D">
        <w:rPr>
          <w:rFonts w:hint="eastAsia"/>
          <w:szCs w:val="21"/>
        </w:rPr>
        <w:t>到</w:t>
      </w:r>
      <w:r w:rsidRPr="001A700D">
        <w:rPr>
          <w:rFonts w:hint="eastAsia"/>
          <w:szCs w:val="21"/>
        </w:rPr>
        <w:t>18</w:t>
      </w:r>
      <w:r w:rsidRPr="001A700D">
        <w:rPr>
          <w:rFonts w:hint="eastAsia"/>
          <w:szCs w:val="21"/>
        </w:rPr>
        <w:t>岁之间的人必须征得父母同意方能结婚；而且国家有义务在任何一方未满</w:t>
      </w:r>
      <w:r w:rsidRPr="001A700D">
        <w:rPr>
          <w:rFonts w:hint="eastAsia"/>
          <w:szCs w:val="21"/>
        </w:rPr>
        <w:t>15</w:t>
      </w:r>
      <w:r w:rsidRPr="001A700D">
        <w:rPr>
          <w:rFonts w:hint="eastAsia"/>
          <w:szCs w:val="21"/>
        </w:rPr>
        <w:t>岁时“劝阻”双方不要结婚。许多评论者认为，马拉维没有设定最低结婚年龄。也有人认为，一方或双方未满</w:t>
      </w:r>
      <w:r w:rsidRPr="001A700D">
        <w:rPr>
          <w:rFonts w:hint="eastAsia"/>
          <w:szCs w:val="21"/>
        </w:rPr>
        <w:t>15</w:t>
      </w:r>
      <w:r w:rsidRPr="001A700D">
        <w:rPr>
          <w:rFonts w:hint="eastAsia"/>
          <w:szCs w:val="21"/>
        </w:rPr>
        <w:t>岁的婚姻只能由国家劝阻，而不能禁止。</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就结婚的最低年龄问题向法律委员会提出的大多数提议，都建议应该按照关于儿童定义的国际标准</w:t>
      </w:r>
      <w:r w:rsidRPr="001A700D">
        <w:rPr>
          <w:rStyle w:val="FootnoteReference"/>
          <w:szCs w:val="21"/>
        </w:rPr>
        <w:footnoteReference w:id="12"/>
      </w:r>
      <w:r w:rsidRPr="001A700D">
        <w:rPr>
          <w:rFonts w:hint="eastAsia"/>
          <w:szCs w:val="21"/>
        </w:rPr>
        <w:t>将其提高到</w:t>
      </w:r>
      <w:r w:rsidRPr="001A700D">
        <w:rPr>
          <w:rFonts w:hint="eastAsia"/>
          <w:szCs w:val="21"/>
        </w:rPr>
        <w:t>18</w:t>
      </w:r>
      <w:r w:rsidRPr="001A700D">
        <w:rPr>
          <w:rFonts w:hint="eastAsia"/>
          <w:szCs w:val="21"/>
        </w:rPr>
        <w:t>岁。法律委员会因此建议，应将征得父母或监护人同意的婚姻的最低年龄提高到</w:t>
      </w:r>
      <w:r w:rsidRPr="001A700D">
        <w:rPr>
          <w:rFonts w:hint="eastAsia"/>
          <w:szCs w:val="21"/>
        </w:rPr>
        <w:t>18</w:t>
      </w:r>
      <w:r w:rsidRPr="001A700D">
        <w:rPr>
          <w:rFonts w:hint="eastAsia"/>
          <w:szCs w:val="21"/>
        </w:rPr>
        <w:t>岁，并进一步建议，</w:t>
      </w:r>
      <w:r w:rsidRPr="001A700D">
        <w:rPr>
          <w:rFonts w:hint="eastAsia"/>
          <w:szCs w:val="21"/>
        </w:rPr>
        <w:t>21</w:t>
      </w:r>
      <w:r w:rsidRPr="001A700D">
        <w:rPr>
          <w:rFonts w:hint="eastAsia"/>
          <w:szCs w:val="21"/>
        </w:rPr>
        <w:t>岁以上结婚可以不经父母同意。</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宪法审查进程于</w:t>
      </w:r>
      <w:r w:rsidRPr="001A700D">
        <w:rPr>
          <w:rFonts w:hint="eastAsia"/>
          <w:szCs w:val="21"/>
        </w:rPr>
        <w:t>2007</w:t>
      </w:r>
      <w:r w:rsidRPr="001A700D">
        <w:rPr>
          <w:rFonts w:hint="eastAsia"/>
          <w:szCs w:val="21"/>
        </w:rPr>
        <w:t>年结束，建议和修正案已经通过并提交内阁审议。议会有望在</w:t>
      </w:r>
      <w:r w:rsidRPr="001A700D">
        <w:rPr>
          <w:rFonts w:hint="eastAsia"/>
          <w:szCs w:val="21"/>
        </w:rPr>
        <w:t>2008</w:t>
      </w:r>
      <w:r w:rsidRPr="001A700D">
        <w:rPr>
          <w:rFonts w:hint="eastAsia"/>
          <w:szCs w:val="21"/>
        </w:rPr>
        <w:t>年审议上述建议。</w:t>
      </w:r>
    </w:p>
    <w:p w:rsidR="00F41B4C" w:rsidRPr="00DC448F" w:rsidRDefault="00F41B4C" w:rsidP="00DC448F">
      <w:pPr>
        <w:spacing w:after="240" w:line="360" w:lineRule="exact"/>
        <w:rPr>
          <w:rFonts w:ascii="SimHei" w:eastAsia="SimHei"/>
          <w:color w:val="FF0000"/>
          <w:szCs w:val="21"/>
        </w:rPr>
      </w:pPr>
      <w:r w:rsidRPr="00DC448F">
        <w:rPr>
          <w:rFonts w:ascii="SimHei" w:eastAsia="SimHei"/>
          <w:color w:val="FF0000"/>
          <w:szCs w:val="21"/>
        </w:rPr>
        <w:t>习惯法</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目前已经启动了两个方案，以处理与《消除对妇女歧视公约》不相符的习惯法，它们是《与两性平等相关的法律改革方案》和《艾滋病毒和艾滋病防治法发展方案》。</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与两性平等相关的法律改革方案》审查了完全以性、性别和婚姻状况为由歧视妇女的文化和传统习俗。两性平等委员会还指出，妇女往往不是出于自愿而是由于男女之间不平衡的权力关系而被迫参与到有害的习俗之中。委员会认为，这些纯粹基于性、性别和婚姻状况歧视妇女的习俗应当予以禁止和清除。</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艾滋病毒和艾滋病防治法发展方案》还从艾滋病毒和艾滋病方面考察了一些文化和社会习俗。可以看到的是，马拉维和其他不少国家一样，艾滋病毒和艾滋病对妇女的影响甚于男子，在艾滋病毒和艾滋病灾害的受害者中，妇女的数量更多。</w:t>
      </w:r>
      <w:r w:rsidRPr="001A700D">
        <w:rPr>
          <w:rFonts w:hint="eastAsia"/>
          <w:szCs w:val="21"/>
        </w:rPr>
        <w:t>2008</w:t>
      </w:r>
      <w:r w:rsidRPr="001A700D">
        <w:rPr>
          <w:rFonts w:hint="eastAsia"/>
          <w:szCs w:val="21"/>
        </w:rPr>
        <w:t>年，国家艾滋病防治委员会估计，艾滋病毒感染者总数为</w:t>
      </w:r>
      <w:r w:rsidRPr="001A700D">
        <w:rPr>
          <w:rFonts w:hint="eastAsia"/>
          <w:szCs w:val="21"/>
        </w:rPr>
        <w:t>898 888</w:t>
      </w:r>
      <w:r w:rsidRPr="001A700D">
        <w:rPr>
          <w:rFonts w:hint="eastAsia"/>
          <w:szCs w:val="21"/>
        </w:rPr>
        <w:t>人，其中</w:t>
      </w:r>
      <w:r w:rsidRPr="001A700D">
        <w:rPr>
          <w:rFonts w:hint="eastAsia"/>
          <w:szCs w:val="21"/>
        </w:rPr>
        <w:t>15</w:t>
      </w:r>
      <w:r w:rsidRPr="001A700D">
        <w:rPr>
          <w:rFonts w:hint="eastAsia"/>
          <w:szCs w:val="21"/>
        </w:rPr>
        <w:t>岁以上的成年女性占</w:t>
      </w:r>
      <w:r w:rsidRPr="001A700D">
        <w:rPr>
          <w:rFonts w:hint="eastAsia"/>
          <w:szCs w:val="21"/>
        </w:rPr>
        <w:t>53%</w:t>
      </w:r>
      <w:r w:rsidRPr="001A700D">
        <w:rPr>
          <w:rFonts w:hint="eastAsia"/>
          <w:szCs w:val="21"/>
        </w:rPr>
        <w:t>。</w:t>
      </w:r>
      <w:r w:rsidRPr="001A700D">
        <w:rPr>
          <w:rFonts w:hint="eastAsia"/>
          <w:szCs w:val="21"/>
        </w:rPr>
        <w:t>25</w:t>
      </w:r>
      <w:r w:rsidRPr="001A700D">
        <w:rPr>
          <w:rFonts w:hint="eastAsia"/>
          <w:szCs w:val="21"/>
        </w:rPr>
        <w:t>岁以下感染艾滋病毒的风险，女童和妇女明显高于男童和男子。</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妇女还肩负着照顾艾滋病患者的重担。该委员会还审议了文化和社会习俗对于艾滋病毒和艾滋病的传播所起的推波助澜作用。最近完成的这项方案还就禁止某些导致艾滋病毒感染的有害做法提出了一些建议。在各种审查方案中，法律委员会都考察了某些编纂自习惯法的成文法。在某些情况下，法律委员会建议禁止有害的习惯法和习惯做法。法律委员会完成了对编纂自某些习惯法的有关继承、结婚和离婚的成文法的审查。</w:t>
      </w:r>
    </w:p>
    <w:p w:rsidR="00F41B4C" w:rsidRPr="00DC448F" w:rsidRDefault="00F41B4C" w:rsidP="00DC448F">
      <w:pPr>
        <w:spacing w:after="240" w:line="360" w:lineRule="exact"/>
        <w:rPr>
          <w:rFonts w:ascii="SimHei" w:eastAsia="SimHei"/>
          <w:color w:val="FF0000"/>
          <w:szCs w:val="21"/>
        </w:rPr>
      </w:pPr>
      <w:r w:rsidRPr="00DC448F">
        <w:rPr>
          <w:rFonts w:ascii="SimHei" w:eastAsia="SimHei"/>
          <w:color w:val="FF0000"/>
          <w:szCs w:val="21"/>
        </w:rPr>
        <w:t>对妇女的暴力</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bCs/>
          <w:szCs w:val="21"/>
        </w:rPr>
      </w:pPr>
      <w:r w:rsidRPr="001A700D">
        <w:rPr>
          <w:rFonts w:hint="eastAsia"/>
          <w:bCs/>
          <w:szCs w:val="21"/>
        </w:rPr>
        <w:t>对于马拉维的妇女和女童来说，基于性别的暴力是一个长期存在的问题。它强化了妇女的从属地位，进一步助长了导致伤害、艾滋病毒感染和意外怀孕的性虐待。</w:t>
      </w:r>
      <w:r w:rsidRPr="001A700D">
        <w:rPr>
          <w:rFonts w:hint="eastAsia"/>
          <w:bCs/>
          <w:szCs w:val="21"/>
        </w:rPr>
        <w:t>2004</w:t>
      </w:r>
      <w:r w:rsidRPr="001A700D">
        <w:rPr>
          <w:rFonts w:hint="eastAsia"/>
          <w:bCs/>
          <w:szCs w:val="21"/>
        </w:rPr>
        <w:t>年，</w:t>
      </w:r>
      <w:r w:rsidRPr="001A700D">
        <w:rPr>
          <w:rFonts w:hint="eastAsia"/>
          <w:bCs/>
          <w:szCs w:val="21"/>
        </w:rPr>
        <w:t>28%</w:t>
      </w:r>
      <w:r w:rsidRPr="001A700D">
        <w:rPr>
          <w:rFonts w:hint="eastAsia"/>
          <w:bCs/>
          <w:szCs w:val="21"/>
        </w:rPr>
        <w:t>的</w:t>
      </w:r>
      <w:r w:rsidRPr="001A700D">
        <w:rPr>
          <w:rFonts w:hint="eastAsia"/>
          <w:bCs/>
          <w:szCs w:val="21"/>
        </w:rPr>
        <w:t>15</w:t>
      </w:r>
      <w:r w:rsidRPr="001A700D">
        <w:rPr>
          <w:rFonts w:hint="eastAsia"/>
          <w:bCs/>
          <w:szCs w:val="21"/>
        </w:rPr>
        <w:t>岁以下妇女和</w:t>
      </w:r>
      <w:r w:rsidRPr="001A700D">
        <w:rPr>
          <w:rFonts w:hint="eastAsia"/>
          <w:bCs/>
          <w:szCs w:val="21"/>
        </w:rPr>
        <w:t>13%</w:t>
      </w:r>
      <w:r w:rsidRPr="001A700D">
        <w:rPr>
          <w:rFonts w:hint="eastAsia"/>
          <w:bCs/>
          <w:szCs w:val="21"/>
        </w:rPr>
        <w:t>的已婚妇女有过人身暴力经历。施暴者往往是丈夫等亲密伙伴，最常见的形式包括打耳光和扭胳膊（</w:t>
      </w:r>
      <w:r w:rsidRPr="001A700D">
        <w:rPr>
          <w:rFonts w:hint="eastAsia"/>
          <w:bCs/>
          <w:szCs w:val="21"/>
        </w:rPr>
        <w:t>16%</w:t>
      </w:r>
      <w:r w:rsidRPr="001A700D">
        <w:rPr>
          <w:rFonts w:hint="eastAsia"/>
          <w:bCs/>
          <w:szCs w:val="21"/>
        </w:rPr>
        <w:t>）</w:t>
      </w:r>
      <w:r w:rsidR="0037751F">
        <w:rPr>
          <w:rFonts w:hint="eastAsia"/>
          <w:bCs/>
          <w:szCs w:val="21"/>
        </w:rPr>
        <w:t>，</w:t>
      </w:r>
      <w:r w:rsidRPr="001A700D">
        <w:rPr>
          <w:rStyle w:val="FootnoteReference"/>
          <w:bCs/>
          <w:szCs w:val="21"/>
        </w:rPr>
        <w:footnoteReference w:id="13"/>
      </w:r>
      <w:r w:rsidRPr="001A700D">
        <w:rPr>
          <w:rFonts w:hint="eastAsia"/>
          <w:bCs/>
          <w:szCs w:val="21"/>
        </w:rPr>
        <w:t>以及强迫性交或婚内强奸（</w:t>
      </w:r>
      <w:r w:rsidRPr="001A700D">
        <w:rPr>
          <w:rFonts w:hint="eastAsia"/>
          <w:bCs/>
          <w:szCs w:val="21"/>
        </w:rPr>
        <w:t>13%</w:t>
      </w:r>
      <w:r w:rsidRPr="001A700D">
        <w:rPr>
          <w:rFonts w:hint="eastAsia"/>
          <w:bCs/>
          <w:szCs w:val="21"/>
        </w:rPr>
        <w:t>）</w:t>
      </w:r>
      <w:r w:rsidR="0037751F">
        <w:rPr>
          <w:rFonts w:hint="eastAsia"/>
          <w:bCs/>
          <w:szCs w:val="21"/>
        </w:rPr>
        <w:t>。</w:t>
      </w:r>
      <w:r w:rsidRPr="001A700D">
        <w:rPr>
          <w:rStyle w:val="FootnoteReference"/>
          <w:bCs/>
          <w:szCs w:val="21"/>
        </w:rPr>
        <w:footnoteReference w:id="14"/>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bCs/>
          <w:szCs w:val="21"/>
        </w:rPr>
      </w:pPr>
      <w:r w:rsidRPr="001A700D">
        <w:rPr>
          <w:rFonts w:hint="eastAsia"/>
          <w:bCs/>
          <w:szCs w:val="21"/>
        </w:rPr>
        <w:t>针对这种情况，政府沿袭了由民间社会引领的一个进程，于</w:t>
      </w:r>
      <w:r w:rsidRPr="001A700D">
        <w:rPr>
          <w:rFonts w:hint="eastAsia"/>
          <w:bCs/>
          <w:szCs w:val="21"/>
        </w:rPr>
        <w:t>2006</w:t>
      </w:r>
      <w:r w:rsidRPr="001A700D">
        <w:rPr>
          <w:rFonts w:hint="eastAsia"/>
          <w:bCs/>
          <w:szCs w:val="21"/>
        </w:rPr>
        <w:t>年</w:t>
      </w:r>
      <w:r w:rsidRPr="001A700D">
        <w:rPr>
          <w:rFonts w:hint="eastAsia"/>
          <w:bCs/>
          <w:szCs w:val="21"/>
        </w:rPr>
        <w:t>4</w:t>
      </w:r>
      <w:r w:rsidRPr="001A700D">
        <w:rPr>
          <w:rFonts w:hint="eastAsia"/>
          <w:bCs/>
          <w:szCs w:val="21"/>
        </w:rPr>
        <w:t>月颁布了《防止家庭暴力法》。尽管该法已经生效，但还需要进一步完善，方能全面实施。妇女和儿童发展部意识到该法的现有空白点，正在对该法进行审查。</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bCs/>
          <w:szCs w:val="21"/>
        </w:rPr>
      </w:pPr>
      <w:r w:rsidRPr="001A700D">
        <w:rPr>
          <w:rFonts w:hint="eastAsia"/>
          <w:bCs/>
          <w:szCs w:val="21"/>
        </w:rPr>
        <w:t>两性平等法规和贩卖人口问题议案的制定，旨在进一步遏制基于性别的暴力事件和案件，这些事件和案例的表现形式有：</w:t>
      </w:r>
      <w:r w:rsidRPr="00127428">
        <w:rPr>
          <w:rFonts w:hint="eastAsia"/>
          <w:szCs w:val="21"/>
        </w:rPr>
        <w:t>性骚扰</w:t>
      </w:r>
      <w:r w:rsidRPr="001A700D">
        <w:rPr>
          <w:rFonts w:hint="eastAsia"/>
          <w:bCs/>
          <w:szCs w:val="21"/>
        </w:rPr>
        <w:t>，特别是在工作场所；基于文化的性别暴力，它助长了歧视以及艾滋病毒感染的蔓延；性剥削，人口贩运的结果；以及其他方式。</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bCs/>
          <w:szCs w:val="21"/>
        </w:rPr>
      </w:pPr>
      <w:r w:rsidRPr="001A700D">
        <w:rPr>
          <w:rFonts w:hint="eastAsia"/>
          <w:bCs/>
          <w:szCs w:val="21"/>
        </w:rPr>
        <w:t>在政策层面，政府通过了《打击基于性别的暴力的国家战略》（</w:t>
      </w:r>
      <w:r w:rsidRPr="001A700D">
        <w:rPr>
          <w:rFonts w:hint="eastAsia"/>
          <w:bCs/>
          <w:szCs w:val="21"/>
        </w:rPr>
        <w:t>2002-2006</w:t>
      </w:r>
      <w:r w:rsidRPr="001A700D">
        <w:rPr>
          <w:rFonts w:hint="eastAsia"/>
          <w:bCs/>
          <w:szCs w:val="21"/>
        </w:rPr>
        <w:t>年）和《基于性别的暴力的国家应对措施》（</w:t>
      </w:r>
      <w:r w:rsidRPr="00127428">
        <w:rPr>
          <w:rFonts w:hint="eastAsia"/>
          <w:szCs w:val="21"/>
        </w:rPr>
        <w:t>2007</w:t>
      </w:r>
      <w:r w:rsidRPr="001A700D">
        <w:rPr>
          <w:rFonts w:hint="eastAsia"/>
          <w:bCs/>
          <w:szCs w:val="21"/>
        </w:rPr>
        <w:t>-2011</w:t>
      </w:r>
      <w:r w:rsidRPr="001A700D">
        <w:rPr>
          <w:rFonts w:hint="eastAsia"/>
          <w:bCs/>
          <w:szCs w:val="21"/>
        </w:rPr>
        <w:t>年）。</w:t>
      </w:r>
    </w:p>
    <w:p w:rsidR="00F41B4C" w:rsidRPr="00DC448F" w:rsidRDefault="00F41B4C" w:rsidP="00DC448F">
      <w:pPr>
        <w:spacing w:after="240" w:line="360" w:lineRule="exact"/>
        <w:rPr>
          <w:rFonts w:ascii="SimHei" w:eastAsia="SimHei"/>
          <w:color w:val="FF0000"/>
          <w:szCs w:val="21"/>
        </w:rPr>
      </w:pPr>
      <w:r w:rsidRPr="00DC448F">
        <w:rPr>
          <w:rFonts w:ascii="SimHei" w:eastAsia="SimHei"/>
          <w:color w:val="FF0000"/>
          <w:szCs w:val="21"/>
        </w:rPr>
        <w:t>继承法</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还对《遗嘱和继承法》进行了审查，并建议通过拟议的《遗产（遗嘱、继承和保护）法案》。该法案特别废除了涉及继承的所有习惯法。该方案与妇女尤其相关之处，是废除了男女儿童之间的歧视性继承惯例。根据现行法律，已婚女儿的继承少于儿子。这一规定被认为是歧视性的，特别是因为婚姻法目前已经具有足够的灵活性，甚至允许</w:t>
      </w:r>
      <w:r w:rsidRPr="001A700D">
        <w:rPr>
          <w:rFonts w:hint="eastAsia"/>
          <w:szCs w:val="21"/>
        </w:rPr>
        <w:t>15</w:t>
      </w:r>
      <w:r w:rsidRPr="001A700D">
        <w:rPr>
          <w:rFonts w:hint="eastAsia"/>
          <w:szCs w:val="21"/>
        </w:rPr>
        <w:t>岁的女孩结婚。</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还建议，作为歧视规则的一个例外，年幼儿童应该继承更大份额的遗产，以满足年幼儿童的较大需求。政府还建议，遗产分配的请求应首先由被界定为包括未亡配偶和子女的“直系亲属”提出。相比以继承习惯法为基础的现行继承制度，这将确保妇女和儿童的财产权利得到更好的保护。</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另一项建议的大意是，所有子女都应受益于已故父母的遗产，而不论其出身环境如何。</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政府通过妇女和儿童发展部大力宣传这些建议，并游说国会议员，以确保国会在</w:t>
      </w:r>
      <w:r w:rsidRPr="001A700D">
        <w:rPr>
          <w:rFonts w:hint="eastAsia"/>
          <w:szCs w:val="21"/>
        </w:rPr>
        <w:t>2008</w:t>
      </w:r>
      <w:r w:rsidRPr="001A700D">
        <w:rPr>
          <w:rFonts w:hint="eastAsia"/>
          <w:szCs w:val="21"/>
        </w:rPr>
        <w:t>年将其制定为法律。</w:t>
      </w:r>
    </w:p>
    <w:p w:rsidR="00F41B4C" w:rsidRPr="00DC448F" w:rsidRDefault="00F41B4C" w:rsidP="00DC448F">
      <w:pPr>
        <w:spacing w:after="240" w:line="360" w:lineRule="exact"/>
        <w:rPr>
          <w:rFonts w:ascii="SimHei" w:eastAsia="SimHei"/>
          <w:color w:val="FF0000"/>
          <w:szCs w:val="21"/>
        </w:rPr>
      </w:pPr>
      <w:r w:rsidRPr="00DC448F">
        <w:rPr>
          <w:rFonts w:ascii="SimHei" w:eastAsia="SimHei"/>
          <w:color w:val="FF0000"/>
          <w:szCs w:val="21"/>
        </w:rPr>
        <w:t>结婚</w:t>
      </w:r>
      <w:r w:rsidRPr="00DC448F">
        <w:rPr>
          <w:rFonts w:ascii="SimHei" w:eastAsia="SimHei" w:hint="eastAsia"/>
          <w:color w:val="FF0000"/>
          <w:szCs w:val="21"/>
        </w:rPr>
        <w:t>、</w:t>
      </w:r>
      <w:r w:rsidRPr="00DC448F">
        <w:rPr>
          <w:rFonts w:ascii="SimHei" w:eastAsia="SimHei"/>
          <w:color w:val="FF0000"/>
          <w:szCs w:val="21"/>
        </w:rPr>
        <w:t>离婚和家庭关系法案</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对结婚和离婚法律的审查，构成了《与两性平等相关的法律改革方案》的第二个阶段。所审查的法律有：《婚姻法》、《非洲婚姻（基督教仪式）登记法》、《亚洲人（结婚、离婚和继承）法》、《离婚法》、《已婚妇女扶养法》、《抚养令（强制）法》以及有关结婚和离婚的习惯法。</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法律委员会建议废除所有这些法规，代之以一项新法案，题为《结婚、离婚和家庭关系法案》。在拟议的法案中，法律委员会建议禁止一夫多妻制，这是因为它对妇女产生了歧视性影响和负面作用。该法案承认，不只是在离婚后或分居期间，在婚姻存续期间有时也存在对妇女和儿童的有意忽视。在这方面，已经就抚养和给予已谙世事的子女阐明自己对监护问题看法的机会问题，提出了具体的条款建议。</w:t>
      </w:r>
    </w:p>
    <w:p w:rsidR="00F41B4C" w:rsidRPr="00DC448F" w:rsidRDefault="00F41B4C" w:rsidP="00DC448F">
      <w:pPr>
        <w:spacing w:after="240" w:line="360" w:lineRule="exact"/>
        <w:rPr>
          <w:rFonts w:ascii="SimHei" w:eastAsia="SimHei" w:hint="eastAsia"/>
          <w:color w:val="FF0000"/>
          <w:szCs w:val="21"/>
        </w:rPr>
      </w:pPr>
      <w:r w:rsidRPr="00DC448F">
        <w:rPr>
          <w:rFonts w:ascii="SimHei" w:eastAsia="SimHei" w:hint="eastAsia"/>
          <w:color w:val="FF0000"/>
          <w:szCs w:val="21"/>
        </w:rPr>
        <w:t>两性平等法规</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制定一部两性平等法规是《与两性平等相关的法律改革方案》的最后一个阶段，它也直接涉及对妇女和儿童有</w:t>
      </w:r>
      <w:r w:rsidRPr="001A700D">
        <w:rPr>
          <w:rFonts w:ascii="Courier New" w:hAnsi="Courier New" w:cs="Courier New"/>
          <w:szCs w:val="21"/>
        </w:rPr>
        <w:t>不利影响</w:t>
      </w:r>
      <w:r w:rsidRPr="001A700D">
        <w:rPr>
          <w:rFonts w:ascii="Courier New" w:hAnsi="Courier New" w:cs="Courier New" w:hint="eastAsia"/>
          <w:szCs w:val="21"/>
        </w:rPr>
        <w:t>的习惯法的废止问题。</w:t>
      </w:r>
      <w:r w:rsidRPr="001A700D">
        <w:rPr>
          <w:rFonts w:hint="eastAsia"/>
          <w:szCs w:val="21"/>
        </w:rPr>
        <w:t>拟议的法案旨在禁止那些侵犯</w:t>
      </w:r>
      <w:r w:rsidRPr="001A700D">
        <w:rPr>
          <w:rFonts w:ascii="Courier New" w:hAnsi="Courier New" w:cs="Courier New"/>
          <w:szCs w:val="21"/>
        </w:rPr>
        <w:t>妇女和儿童权利的</w:t>
      </w:r>
      <w:r w:rsidRPr="001A700D">
        <w:rPr>
          <w:rFonts w:ascii="Courier New" w:hAnsi="Courier New" w:cs="Courier New" w:hint="eastAsia"/>
          <w:szCs w:val="21"/>
        </w:rPr>
        <w:t>惯例和传统习俗。这些习俗独自或与其他习俗或做法一道，助长了对于妇女的强迫性性行为。</w:t>
      </w:r>
    </w:p>
    <w:p w:rsidR="00F41B4C" w:rsidRPr="00DC448F" w:rsidRDefault="00DC448F" w:rsidP="00DC448F">
      <w:pPr>
        <w:spacing w:after="240" w:line="360" w:lineRule="exact"/>
        <w:rPr>
          <w:rFonts w:ascii="SimHei" w:eastAsia="SimHei"/>
          <w:color w:val="FF0000"/>
          <w:szCs w:val="21"/>
        </w:rPr>
      </w:pPr>
      <w:bookmarkStart w:id="49" w:name="nrb2"/>
      <w:bookmarkEnd w:id="49"/>
      <w:r>
        <w:rPr>
          <w:rFonts w:ascii="SimHei" w:eastAsia="SimHei"/>
          <w:color w:val="FF0000"/>
          <w:szCs w:val="21"/>
        </w:rPr>
        <w:br w:type="page"/>
      </w:r>
      <w:r w:rsidR="00F41B4C" w:rsidRPr="00DC448F">
        <w:rPr>
          <w:rFonts w:ascii="SimHei" w:eastAsia="SimHei" w:hint="eastAsia"/>
          <w:color w:val="FF0000"/>
          <w:szCs w:val="21"/>
        </w:rPr>
        <w:t>国家登记法案</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《国家登记法案》旨在引入对所有出生和死亡的强制登记，向</w:t>
      </w:r>
      <w:r w:rsidRPr="001A700D">
        <w:rPr>
          <w:rFonts w:hint="eastAsia"/>
          <w:szCs w:val="21"/>
        </w:rPr>
        <w:t>16</w:t>
      </w:r>
      <w:r w:rsidRPr="001A700D">
        <w:rPr>
          <w:rFonts w:hint="eastAsia"/>
          <w:szCs w:val="21"/>
        </w:rPr>
        <w:t>岁以上的所有马拉维人签发身份登记号和身份证，并正式登记在本国居住的所有非马拉维人。该法案还为设立国家登记局规定了法律基础，该局负责制定、协调和实施一个国家登记与识别系统。该系统的机构将直达乡村一级，开展生命登记工作。</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《国家登记法案》的颁布对妇女有深远的影响。人们希望在有了登记系统以后，政府应能更加了解各个年龄组和人口的情况，从而更容易地以妇女为对象，实施各种方案。</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该法案还旨在废止有关出生和死亡登记的现行法律。该法案此前曾提交议会但议会未加讨论，</w:t>
      </w:r>
      <w:r w:rsidRPr="001A700D">
        <w:rPr>
          <w:rFonts w:hint="eastAsia"/>
          <w:szCs w:val="21"/>
        </w:rPr>
        <w:t>2008</w:t>
      </w:r>
      <w:r w:rsidRPr="001A700D">
        <w:rPr>
          <w:rFonts w:hint="eastAsia"/>
          <w:szCs w:val="21"/>
        </w:rPr>
        <w:t>年有望再次提交议会讨论。</w:t>
      </w:r>
    </w:p>
    <w:p w:rsidR="00F41B4C" w:rsidRPr="00DC448F" w:rsidRDefault="00F41B4C" w:rsidP="00DC448F">
      <w:pPr>
        <w:spacing w:after="240" w:line="360" w:lineRule="exact"/>
        <w:rPr>
          <w:rFonts w:ascii="SimHei" w:eastAsia="SimHei" w:hint="eastAsia"/>
          <w:color w:val="FF0000"/>
          <w:szCs w:val="21"/>
        </w:rPr>
      </w:pPr>
      <w:r w:rsidRPr="00DC448F">
        <w:rPr>
          <w:rFonts w:ascii="SimHei" w:eastAsia="SimHei" w:hint="eastAsia"/>
          <w:color w:val="FF0000"/>
          <w:szCs w:val="21"/>
        </w:rPr>
        <w:t>儿童（照管、保护和司法）议案</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根据议会妇女和儿童问题核心小组会议关于有必要审查亲属关系法特定方面的提议，对《儿童和青少年法案》进行了审查。值得注意的是，该法也关系到妇女，尤其是女童。这一审查进程在</w:t>
      </w:r>
      <w:r w:rsidRPr="001A700D">
        <w:rPr>
          <w:rFonts w:hint="eastAsia"/>
          <w:szCs w:val="21"/>
        </w:rPr>
        <w:t>2005</w:t>
      </w:r>
      <w:r w:rsidRPr="001A700D">
        <w:rPr>
          <w:rFonts w:hint="eastAsia"/>
          <w:szCs w:val="21"/>
        </w:rPr>
        <w:t>年结束，并最终形成了一份法律委员会调查结果和建议报告，报告载有一部题为《儿童（照管、保护和司法）议案》的建议案。</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该议案是将《儿童权利公约》本地化的全面尝试，因为它并没有局限于儿童司法问题，涉及的事项包括：父母对其子女的义务和责任；儿童需要照管和保护的判定；监护；寄养；住宿安排；儿童法院在照管和保护事项中的权力和职责；与儿童司法和保护相关的地方当局的职责和职能；以及保护儿童免受不良习俗影响。</w:t>
      </w:r>
    </w:p>
    <w:p w:rsidR="00F41B4C" w:rsidRPr="00DC448F" w:rsidRDefault="00F41B4C" w:rsidP="00DC448F">
      <w:pPr>
        <w:spacing w:after="240" w:line="360" w:lineRule="exact"/>
        <w:rPr>
          <w:rFonts w:ascii="SimHei" w:eastAsia="SimHei" w:hint="eastAsia"/>
          <w:color w:val="FF0000"/>
          <w:szCs w:val="21"/>
        </w:rPr>
      </w:pPr>
      <w:r w:rsidRPr="00DC448F">
        <w:rPr>
          <w:rFonts w:ascii="SimHei" w:eastAsia="SimHei"/>
          <w:color w:val="FF0000"/>
          <w:szCs w:val="21"/>
        </w:rPr>
        <w:t>艾滋病毒和艾滋病（预防</w:t>
      </w:r>
      <w:r w:rsidRPr="00DC448F">
        <w:rPr>
          <w:rFonts w:ascii="SimHei" w:eastAsia="SimHei" w:hint="eastAsia"/>
          <w:color w:val="FF0000"/>
          <w:szCs w:val="21"/>
        </w:rPr>
        <w:t>与</w:t>
      </w:r>
      <w:r w:rsidRPr="00DC448F">
        <w:rPr>
          <w:rFonts w:ascii="SimHei" w:eastAsia="SimHei"/>
          <w:color w:val="FF0000"/>
          <w:szCs w:val="21"/>
        </w:rPr>
        <w:t>管理）</w:t>
      </w:r>
      <w:r w:rsidRPr="00DC448F">
        <w:rPr>
          <w:rFonts w:ascii="SimHei" w:eastAsia="SimHei" w:hint="eastAsia"/>
          <w:color w:val="FF0000"/>
          <w:szCs w:val="21"/>
        </w:rPr>
        <w:t>议案</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艾滋病毒和艾滋病立法的发展是为了应对一场日益严重的灾难，这场灾难波及经济、法律、人权、社会、政治和心理等多个领域，具有跨部门性质。</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政府一级的主要机构是国家艾滋病防治委员会（公共信托机构）和设在总统和内阁办公室下的营养、艾滋病毒和艾滋病部。</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这场灾难对于妇女和女童异常严重的影响说明，在实施社会成员的权利中忽视了性别因素。没有经济保障迫使妇女从事高危活动，而没有协商安全性行为的选择余地。因此，拟议中的法律旨在减少这场灾难对妇女的影响。政府注意到，妇女受到严重影响，她们是受到艾滋病毒感染和影响的人群，而且大多数传播艾滋病毒的文化和社会习俗对妇女的影响都更大。</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因此，拟议的法律禁止已知会加大使他人感染艾滋病毒的可能性的某些文化习俗。还注意到这种传染病会产生包括财产损失、羞耻和对感染者的歧视在内的附带影响，并已通过立法来应对这些弊端。</w:t>
      </w:r>
    </w:p>
    <w:p w:rsidR="00F41B4C" w:rsidRPr="00DC448F" w:rsidRDefault="00F41B4C" w:rsidP="00DC448F">
      <w:pPr>
        <w:spacing w:after="240" w:line="360" w:lineRule="exact"/>
        <w:rPr>
          <w:rFonts w:ascii="SimHei" w:eastAsia="SimHei"/>
          <w:color w:val="FF0000"/>
          <w:szCs w:val="21"/>
        </w:rPr>
      </w:pPr>
      <w:r w:rsidRPr="00DC448F">
        <w:rPr>
          <w:rFonts w:ascii="SimHei" w:eastAsia="SimHei" w:hint="eastAsia"/>
          <w:color w:val="FF0000"/>
          <w:szCs w:val="21"/>
        </w:rPr>
        <w:t>贩卖人口问题议案</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注意到马拉维是贩卖活动受害者的来源国、过境国和目的地国，并开始立法打击贩卖人口活动。贩卖儿童问题的解决，是按照一个早前的计划，在《儿童和青少年法案》的审查过程中，针对儿童的有关事项立法。</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政府还注意到，马拉维出现了旨在取得劳动力和进行性剥削的内部和外部贩卖人口活动。摘取器官特别是性器官的事件呈上升趋势。</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政府希望，拟议中的打击贩卖人口法律能对以下方面</w:t>
      </w:r>
      <w:r w:rsidR="0037751F">
        <w:rPr>
          <w:rFonts w:hint="eastAsia"/>
          <w:szCs w:val="21"/>
        </w:rPr>
        <w:t>做出</w:t>
      </w:r>
      <w:r w:rsidRPr="001A700D">
        <w:rPr>
          <w:rFonts w:hint="eastAsia"/>
          <w:szCs w:val="21"/>
        </w:rPr>
        <w:t>规定：对受害者的法律保护、贩卖人口的预防、</w:t>
      </w:r>
      <w:r w:rsidRPr="001A700D">
        <w:rPr>
          <w:rFonts w:hint="eastAsia"/>
          <w:szCs w:val="21"/>
        </w:rPr>
        <w:t xml:space="preserve"> </w:t>
      </w:r>
      <w:r w:rsidRPr="001A700D">
        <w:rPr>
          <w:rFonts w:hint="eastAsia"/>
          <w:szCs w:val="21"/>
        </w:rPr>
        <w:t>对违法者的起诉、马拉维与其他国家在打击贩卖人口方面合作的促进。</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美国政府司法部直到前不久才将马拉维评为</w:t>
      </w:r>
      <w:r w:rsidRPr="001A700D">
        <w:rPr>
          <w:rFonts w:hint="eastAsia"/>
          <w:szCs w:val="21"/>
        </w:rPr>
        <w:t>1</w:t>
      </w:r>
      <w:r w:rsidRPr="001A700D">
        <w:rPr>
          <w:rFonts w:hint="eastAsia"/>
          <w:szCs w:val="21"/>
        </w:rPr>
        <w:t>类国家，这是对马拉维采取行动制止贩卖人口活动的认可。</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在最近的审查中，马拉维已降为</w:t>
      </w:r>
      <w:r w:rsidRPr="001A700D">
        <w:rPr>
          <w:rFonts w:hint="eastAsia"/>
          <w:szCs w:val="21"/>
        </w:rPr>
        <w:t>2</w:t>
      </w:r>
      <w:r w:rsidRPr="001A700D">
        <w:rPr>
          <w:rFonts w:hint="eastAsia"/>
          <w:szCs w:val="21"/>
        </w:rPr>
        <w:t>类国家，原因之一是未能充分惩罚贩卖人口活动的实施者。政府已经注意到各种现行法律中存在的空白，强调了具体制定有关贩卖人口问题法律的重要性，并且继续使用《就业法》</w:t>
      </w:r>
      <w:r w:rsidRPr="001A700D">
        <w:rPr>
          <w:rStyle w:val="FootnoteReference"/>
          <w:szCs w:val="21"/>
        </w:rPr>
        <w:footnoteReference w:id="15"/>
      </w:r>
      <w:r w:rsidRPr="001A700D">
        <w:rPr>
          <w:rFonts w:hint="eastAsia"/>
          <w:szCs w:val="21"/>
        </w:rPr>
        <w:t>和《刑法》</w:t>
      </w:r>
      <w:r w:rsidRPr="001A700D">
        <w:rPr>
          <w:rStyle w:val="FootnoteReference"/>
          <w:szCs w:val="21"/>
        </w:rPr>
        <w:footnoteReference w:id="16"/>
      </w:r>
      <w:r w:rsidRPr="001A700D">
        <w:rPr>
          <w:rFonts w:hint="eastAsia"/>
          <w:szCs w:val="21"/>
        </w:rPr>
        <w:t>等现有立法来遏制贩卖人口活动。</w:t>
      </w:r>
    </w:p>
    <w:p w:rsidR="00F41B4C" w:rsidRPr="00DC448F" w:rsidRDefault="00F41B4C" w:rsidP="00DC448F">
      <w:pPr>
        <w:pStyle w:val="H1"/>
        <w:spacing w:before="120"/>
      </w:pPr>
      <w:bookmarkStart w:id="50" w:name="_Toc221523942"/>
      <w:r w:rsidRPr="00DC448F">
        <w:t>1.7</w:t>
      </w:r>
      <w:r w:rsidR="00DC448F">
        <w:rPr>
          <w:rFonts w:hint="eastAsia"/>
        </w:rPr>
        <w:t xml:space="preserve">  </w:t>
      </w:r>
      <w:r w:rsidRPr="00DC448F">
        <w:rPr>
          <w:rFonts w:hint="eastAsia"/>
        </w:rPr>
        <w:t>《消除对妇女</w:t>
      </w:r>
      <w:r w:rsidR="00AE7EDC">
        <w:rPr>
          <w:rFonts w:hint="eastAsia"/>
        </w:rPr>
        <w:t>歧</w:t>
      </w:r>
      <w:r w:rsidRPr="00DC448F">
        <w:rPr>
          <w:rFonts w:hint="eastAsia"/>
        </w:rPr>
        <w:t>视公约》与国家政策和方案</w:t>
      </w:r>
      <w:bookmarkEnd w:id="50"/>
    </w:p>
    <w:p w:rsidR="00F41B4C" w:rsidRPr="00DC448F" w:rsidRDefault="00F41B4C" w:rsidP="00DC448F">
      <w:pPr>
        <w:spacing w:after="240" w:line="360" w:lineRule="exact"/>
        <w:rPr>
          <w:rFonts w:ascii="SimHei" w:eastAsia="SimHei"/>
          <w:color w:val="FF0000"/>
          <w:szCs w:val="21"/>
        </w:rPr>
      </w:pPr>
      <w:r w:rsidRPr="00DC448F">
        <w:rPr>
          <w:rFonts w:ascii="SimHei" w:eastAsia="SimHei" w:hint="eastAsia"/>
          <w:color w:val="FF0000"/>
          <w:szCs w:val="21"/>
        </w:rPr>
        <w:t>马拉维增长与发展战略</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bCs/>
          <w:szCs w:val="21"/>
        </w:rPr>
      </w:pPr>
      <w:r w:rsidRPr="001A700D">
        <w:rPr>
          <w:rFonts w:hint="eastAsia"/>
          <w:bCs/>
          <w:szCs w:val="21"/>
        </w:rPr>
        <w:t>《马拉维增长与发展战略》（增长与发展战略）是马拉维在</w:t>
      </w:r>
      <w:r w:rsidRPr="001A700D">
        <w:rPr>
          <w:rFonts w:hint="eastAsia"/>
          <w:bCs/>
          <w:szCs w:val="21"/>
        </w:rPr>
        <w:t>2006</w:t>
      </w:r>
      <w:r w:rsidRPr="001A700D">
        <w:rPr>
          <w:rFonts w:hint="eastAsia"/>
          <w:bCs/>
          <w:szCs w:val="21"/>
        </w:rPr>
        <w:t>至</w:t>
      </w:r>
      <w:r w:rsidRPr="001A700D">
        <w:rPr>
          <w:rFonts w:hint="eastAsia"/>
          <w:bCs/>
          <w:szCs w:val="21"/>
        </w:rPr>
        <w:t>2011</w:t>
      </w:r>
      <w:r w:rsidRPr="001A700D">
        <w:rPr>
          <w:rFonts w:hint="eastAsia"/>
          <w:bCs/>
          <w:szCs w:val="21"/>
        </w:rPr>
        <w:t>年这</w:t>
      </w:r>
      <w:r w:rsidRPr="001A700D">
        <w:rPr>
          <w:rFonts w:hint="eastAsia"/>
          <w:bCs/>
          <w:szCs w:val="21"/>
        </w:rPr>
        <w:t>5</w:t>
      </w:r>
      <w:r w:rsidRPr="001A700D">
        <w:rPr>
          <w:rFonts w:hint="eastAsia"/>
          <w:bCs/>
          <w:szCs w:val="21"/>
        </w:rPr>
        <w:t>年期间的总体战略。它是政府中政策</w:t>
      </w:r>
      <w:r w:rsidRPr="00127428">
        <w:rPr>
          <w:rFonts w:hint="eastAsia"/>
          <w:szCs w:val="21"/>
        </w:rPr>
        <w:t>制定</w:t>
      </w:r>
      <w:r w:rsidRPr="001A700D">
        <w:rPr>
          <w:rFonts w:hint="eastAsia"/>
          <w:bCs/>
          <w:szCs w:val="21"/>
        </w:rPr>
        <w:t>者、私营部门、民间社会组织、发展伙伴和公众的唯一参考文件。《增长与发展战略》的目的是把马拉维从一个以进口和消费为主的国家转化为一个以生产和出口为主的经济体。</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bCs/>
          <w:szCs w:val="21"/>
        </w:rPr>
      </w:pPr>
      <w:r w:rsidRPr="001A700D">
        <w:rPr>
          <w:rFonts w:hint="eastAsia"/>
          <w:bCs/>
          <w:szCs w:val="21"/>
        </w:rPr>
        <w:t>《增长与发展战略》背后的哲学理念，是通过可持续的经济增长和基础设施发展来减少贫困。它列出了六个关键领域，为国家确立了</w:t>
      </w:r>
      <w:r w:rsidRPr="001A700D">
        <w:rPr>
          <w:rFonts w:hint="eastAsia"/>
          <w:bCs/>
          <w:szCs w:val="21"/>
        </w:rPr>
        <w:t>5</w:t>
      </w:r>
      <w:r w:rsidRPr="001A700D">
        <w:rPr>
          <w:rFonts w:hint="eastAsia"/>
          <w:bCs/>
          <w:szCs w:val="21"/>
        </w:rPr>
        <w:t>年内的发展方向。这些优先领域包括：农业和粮食安全；灌溉和水利开发；交通基础设施开发；能源生产和供应；农村综合开发；营养失调、艾滋病毒和艾滋病的预防和管理。</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bCs/>
          <w:szCs w:val="21"/>
        </w:rPr>
      </w:pPr>
      <w:r w:rsidRPr="001A700D">
        <w:rPr>
          <w:rFonts w:hint="eastAsia"/>
          <w:bCs/>
          <w:szCs w:val="21"/>
        </w:rPr>
        <w:t>这六个</w:t>
      </w:r>
      <w:r w:rsidRPr="00127428">
        <w:rPr>
          <w:rFonts w:hint="eastAsia"/>
          <w:szCs w:val="21"/>
        </w:rPr>
        <w:t>优先</w:t>
      </w:r>
      <w:r w:rsidRPr="001A700D">
        <w:rPr>
          <w:rFonts w:hint="eastAsia"/>
          <w:bCs/>
          <w:szCs w:val="21"/>
        </w:rPr>
        <w:t>领域还旨在加速实现千年发展目标等其他目标，因此也承认了卫生、教育、男女平等、环境和治理等其他关键领域的重要性。千年发展目标也以《马拉维增长与发展战略》为基础，该战略强调有必要为私营部门的投资创造一个有利的环境。这六个优先领域是围绕五大主题确立的，它们是：可持续的经济增长；社会保护；社会发展；基础设施开发；施政工作的改进。对这些主题下的所有活动都进行了成本核算并考虑到了有限的可用资源。</w:t>
      </w:r>
    </w:p>
    <w:p w:rsidR="00F41B4C" w:rsidRPr="00DC448F" w:rsidRDefault="00F41B4C" w:rsidP="00DC448F">
      <w:pPr>
        <w:spacing w:after="240" w:line="360" w:lineRule="exact"/>
        <w:rPr>
          <w:rFonts w:ascii="SimHei" w:eastAsia="SimHei"/>
          <w:color w:val="FF0000"/>
          <w:szCs w:val="21"/>
        </w:rPr>
      </w:pPr>
      <w:r w:rsidRPr="00DC448F">
        <w:rPr>
          <w:rFonts w:ascii="SimHei" w:eastAsia="SimHei" w:hint="eastAsia"/>
          <w:color w:val="FF0000"/>
          <w:szCs w:val="21"/>
        </w:rPr>
        <w:t>国家性别政策</w:t>
      </w:r>
    </w:p>
    <w:p w:rsidR="00F41B4C" w:rsidRPr="00127428"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27428">
        <w:rPr>
          <w:rFonts w:hint="eastAsia"/>
          <w:szCs w:val="21"/>
        </w:rPr>
        <w:t>第一个《国家性别政策》于</w:t>
      </w:r>
      <w:r w:rsidRPr="00127428">
        <w:rPr>
          <w:rFonts w:hint="eastAsia"/>
          <w:szCs w:val="21"/>
        </w:rPr>
        <w:t>2005</w:t>
      </w:r>
      <w:r w:rsidRPr="00127428">
        <w:rPr>
          <w:rFonts w:hint="eastAsia"/>
          <w:szCs w:val="21"/>
        </w:rPr>
        <w:t>年到期，政府对</w:t>
      </w:r>
      <w:r w:rsidRPr="00127428">
        <w:rPr>
          <w:rFonts w:hint="eastAsia"/>
          <w:szCs w:val="21"/>
        </w:rPr>
        <w:t>2005</w:t>
      </w:r>
      <w:r w:rsidRPr="00127428">
        <w:rPr>
          <w:rFonts w:hint="eastAsia"/>
          <w:szCs w:val="21"/>
        </w:rPr>
        <w:t>至</w:t>
      </w:r>
      <w:r w:rsidRPr="00127428">
        <w:rPr>
          <w:rFonts w:hint="eastAsia"/>
          <w:szCs w:val="21"/>
        </w:rPr>
        <w:t>2010</w:t>
      </w:r>
      <w:r w:rsidRPr="00127428">
        <w:rPr>
          <w:rFonts w:hint="eastAsia"/>
          <w:szCs w:val="21"/>
        </w:rPr>
        <w:t>年期间的《国家性别政策》已经审查完毕。为了实施已经到期的《国家性别政策》而制定的《国家性别方案》，在</w:t>
      </w:r>
      <w:r w:rsidRPr="00127428">
        <w:rPr>
          <w:rFonts w:hint="eastAsia"/>
          <w:szCs w:val="21"/>
        </w:rPr>
        <w:t>2009</w:t>
      </w:r>
      <w:r w:rsidRPr="00127428">
        <w:rPr>
          <w:rFonts w:hint="eastAsia"/>
          <w:szCs w:val="21"/>
        </w:rPr>
        <w:t>年</w:t>
      </w:r>
      <w:r w:rsidRPr="00127428">
        <w:rPr>
          <w:rFonts w:hint="eastAsia"/>
          <w:szCs w:val="21"/>
        </w:rPr>
        <w:t>12</w:t>
      </w:r>
      <w:r w:rsidRPr="00127428">
        <w:rPr>
          <w:rFonts w:hint="eastAsia"/>
          <w:szCs w:val="21"/>
        </w:rPr>
        <w:t>月之前仍然有效。</w:t>
      </w:r>
    </w:p>
    <w:p w:rsidR="00F41B4C" w:rsidRPr="00127428"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27428">
        <w:rPr>
          <w:rFonts w:hint="eastAsia"/>
          <w:szCs w:val="21"/>
        </w:rPr>
        <w:t>业经修订的《国家性别政策》的总体目标，是将性别观点纳入国家发展进程的主流，以促进妇女和男子、女童和男童的参与，获得可持续的均衡发展。</w:t>
      </w:r>
    </w:p>
    <w:p w:rsidR="00F41B4C" w:rsidRPr="00127428"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27428">
        <w:rPr>
          <w:rFonts w:hint="eastAsia"/>
          <w:szCs w:val="21"/>
        </w:rPr>
        <w:t>它还旨在应对当前的主要挑战和新出现的问题，包括艾滋病毒和艾滋病、基于性别的暴力、人口贩运、环境的加剧退化以及高度贫困，所有这些都有其性别方面。</w:t>
      </w:r>
    </w:p>
    <w:p w:rsidR="00F41B4C" w:rsidRPr="00127428"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27428">
        <w:rPr>
          <w:rFonts w:hint="eastAsia"/>
          <w:szCs w:val="21"/>
        </w:rPr>
        <w:t>除了《消除对妇女歧视公约》，业经修订的《国家性别政策》还借鉴了</w:t>
      </w:r>
      <w:r w:rsidRPr="00127428">
        <w:rPr>
          <w:rFonts w:hint="eastAsia"/>
          <w:szCs w:val="21"/>
        </w:rPr>
        <w:t>1993</w:t>
      </w:r>
      <w:r w:rsidRPr="00127428">
        <w:rPr>
          <w:rFonts w:hint="eastAsia"/>
          <w:szCs w:val="21"/>
        </w:rPr>
        <w:t>年维也纳人权会议、</w:t>
      </w:r>
      <w:r w:rsidRPr="00127428">
        <w:rPr>
          <w:rFonts w:hint="eastAsia"/>
          <w:szCs w:val="21"/>
        </w:rPr>
        <w:t>1997</w:t>
      </w:r>
      <w:r w:rsidRPr="00127428">
        <w:rPr>
          <w:rFonts w:hint="eastAsia"/>
          <w:szCs w:val="21"/>
        </w:rPr>
        <w:t>年《南部非洲发展共同体（南共体）</w:t>
      </w:r>
      <w:r w:rsidR="00041D45">
        <w:rPr>
          <w:rFonts w:hint="eastAsia"/>
          <w:szCs w:val="21"/>
        </w:rPr>
        <w:t>男女平等</w:t>
      </w:r>
      <w:r w:rsidRPr="00127428">
        <w:rPr>
          <w:rFonts w:hint="eastAsia"/>
          <w:szCs w:val="21"/>
        </w:rPr>
        <w:t>与发展宣言》、《南共体</w:t>
      </w:r>
      <w:r w:rsidR="00041D45">
        <w:rPr>
          <w:rFonts w:ascii="SimSun" w:hAnsi="SimSun" w:cs="SimSun" w:hint="eastAsia"/>
          <w:szCs w:val="21"/>
        </w:rPr>
        <w:t>男女平等</w:t>
      </w:r>
      <w:r w:rsidRPr="00127428">
        <w:rPr>
          <w:rFonts w:hint="eastAsia"/>
          <w:szCs w:val="21"/>
        </w:rPr>
        <w:t>与发展议定书草案》以及《非洲人权和人民权利宪章关于非洲妇女权利的议定书》。</w:t>
      </w:r>
    </w:p>
    <w:p w:rsidR="00F41B4C" w:rsidRPr="00127428"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27428">
        <w:rPr>
          <w:rFonts w:hint="eastAsia"/>
          <w:szCs w:val="21"/>
        </w:rPr>
        <w:t>这项业经修订政策的八个政策主题包括：性别、扫盲、教育和培训；性别和生殖健康；农业，粮食安全和营养；自然资源和环境管理；施政和人权；消除贫困和赋予经济权力；性别与艾滋病毒和艾滋病；以及基于性别的暴力。</w:t>
      </w:r>
    </w:p>
    <w:p w:rsidR="00F41B4C" w:rsidRPr="00DC448F" w:rsidRDefault="00F41B4C" w:rsidP="00DC448F">
      <w:pPr>
        <w:spacing w:after="240" w:line="360" w:lineRule="exact"/>
        <w:rPr>
          <w:rFonts w:ascii="SimHei" w:eastAsia="SimHei"/>
          <w:color w:val="FF0000"/>
          <w:szCs w:val="21"/>
        </w:rPr>
      </w:pPr>
      <w:r w:rsidRPr="00DC448F">
        <w:rPr>
          <w:rFonts w:ascii="SimHei" w:eastAsia="SimHei" w:hint="eastAsia"/>
          <w:color w:val="FF0000"/>
          <w:szCs w:val="21"/>
        </w:rPr>
        <w:t>国家艾滋病毒和艾滋病防治政策，有关艾滋病毒和艾滋病的国家战略框架</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2003</w:t>
      </w:r>
      <w:r w:rsidRPr="001A700D">
        <w:rPr>
          <w:rFonts w:hint="eastAsia"/>
          <w:szCs w:val="21"/>
        </w:rPr>
        <w:t>年，国家艾滋病防治委员会制定了一项国家艾滋病毒和艾滋病防治战略框架的实施计划和一项国家艾滋病防治政策，后者吸纳了目前大部分国际政策原则并为所有方案和干预措施规定了行政和法律框架，“以减少感染，降低易感性，完善对艾滋病毒携带者的治疗、护理和支助，并减轻这种传染病的社会经济影响。”该战略框架到期后，制定了一个</w:t>
      </w:r>
      <w:r w:rsidRPr="001A700D">
        <w:rPr>
          <w:rFonts w:hint="eastAsia"/>
          <w:szCs w:val="21"/>
        </w:rPr>
        <w:t>2005-2009</w:t>
      </w:r>
      <w:r w:rsidRPr="001A700D">
        <w:rPr>
          <w:rFonts w:hint="eastAsia"/>
          <w:szCs w:val="21"/>
        </w:rPr>
        <w:t>年国家艾滋病毒和艾滋病防治行动框架，继续推动全国在今后五年间及时、有效地应对艾滋病毒和艾滋病。该行动框架还将孤儿和易受感染儿童的照顾等因素纳入到它的减轻影响措施中。</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关于体制框架，政府于</w:t>
      </w:r>
      <w:r w:rsidRPr="001A700D">
        <w:rPr>
          <w:rFonts w:hint="eastAsia"/>
          <w:szCs w:val="21"/>
        </w:rPr>
        <w:t>2004</w:t>
      </w:r>
      <w:r w:rsidRPr="001A700D">
        <w:rPr>
          <w:rFonts w:hint="eastAsia"/>
          <w:szCs w:val="21"/>
        </w:rPr>
        <w:t>年在总统和内阁办公室下设立了营养、艾滋病毒和艾滋病部。该部负责监督全国应对艾滋病毒和艾滋病的情况，而国家艾滋病防治委员会仍然是执行机构。</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国家艾滋病防治委员会按照马拉维</w:t>
      </w:r>
      <w:r w:rsidRPr="001A700D">
        <w:rPr>
          <w:rFonts w:hint="eastAsia"/>
          <w:szCs w:val="21"/>
        </w:rPr>
        <w:t>2005-2009</w:t>
      </w:r>
      <w:r w:rsidRPr="001A700D">
        <w:rPr>
          <w:rFonts w:hint="eastAsia"/>
          <w:szCs w:val="21"/>
        </w:rPr>
        <w:t>年国家艾滋病毒和艾滋病防治行动框架开展活动，该框架五年期内的八个优先领域已经确定，分别是：预防和行为转变；治疗、护理和支助；减轻影响；经济和社会心理；主流化、伙伴关系和能力建设；监测和评估；研究；资源调配、跟踪和利用；以及国家政策协调和方案规划。该行动框架希望利用现有资源降低艾滋病毒和艾滋病的流行程度，并提供治疗、护理和支助给艾滋病毒携带者和艾滋病患者，以及所有受艾滋病影响者，特别是孤儿、易受感染儿童和孤寡老人。</w:t>
      </w:r>
    </w:p>
    <w:p w:rsidR="00F41B4C" w:rsidRPr="00DC448F" w:rsidRDefault="00F41B4C" w:rsidP="00DC448F">
      <w:pPr>
        <w:spacing w:after="240" w:line="360" w:lineRule="exact"/>
        <w:rPr>
          <w:rFonts w:ascii="SimHei" w:eastAsia="SimHei"/>
          <w:color w:val="FF0000"/>
          <w:szCs w:val="21"/>
        </w:rPr>
      </w:pPr>
      <w:r w:rsidRPr="00DC448F">
        <w:rPr>
          <w:rFonts w:ascii="SimHei" w:eastAsia="SimHei" w:hint="eastAsia"/>
          <w:color w:val="FF0000"/>
          <w:szCs w:val="21"/>
        </w:rPr>
        <w:t>2005-2009年孤儿和易受感染儿童国家行动计划</w:t>
      </w:r>
    </w:p>
    <w:p w:rsidR="00F41B4C" w:rsidRPr="001A700D" w:rsidRDefault="00F41B4C" w:rsidP="00127428">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孤儿和易受感染儿童国家行动计划是由妇女和儿童发展部制定的一个战略应对措施，以确保通过减轻艾滋病毒和艾滋病的影响，充分满足孤儿和易受感染儿童的权利。该国家行动计划由总统于</w:t>
      </w:r>
      <w:r w:rsidRPr="001A700D">
        <w:rPr>
          <w:rFonts w:hint="eastAsia"/>
          <w:szCs w:val="21"/>
        </w:rPr>
        <w:t>2005</w:t>
      </w:r>
      <w:r w:rsidRPr="001A700D">
        <w:rPr>
          <w:rFonts w:hint="eastAsia"/>
          <w:szCs w:val="21"/>
        </w:rPr>
        <w:t>年“非洲儿童日”启动，它表明马拉维政府致力于实现联合国大会特别会议有关孤儿和易受感染儿童的艾滋病毒和艾滋病方面的目标。该国家行动计划还试图把某些千年发展目标变为现实。它的六个战略领域是：</w:t>
      </w:r>
    </w:p>
    <w:p w:rsidR="00F41B4C" w:rsidRPr="001A700D" w:rsidRDefault="00F41B4C" w:rsidP="00DC448F">
      <w:pPr>
        <w:widowControl/>
        <w:numPr>
          <w:ilvl w:val="1"/>
          <w:numId w:val="32"/>
        </w:numPr>
        <w:tabs>
          <w:tab w:val="clear" w:pos="1440"/>
          <w:tab w:val="num" w:pos="1080"/>
        </w:tabs>
        <w:adjustRightInd/>
        <w:spacing w:after="240" w:line="360" w:lineRule="exact"/>
        <w:ind w:left="1080" w:hanging="600"/>
        <w:textAlignment w:val="auto"/>
        <w:rPr>
          <w:szCs w:val="21"/>
        </w:rPr>
      </w:pPr>
      <w:r w:rsidRPr="001A700D">
        <w:rPr>
          <w:rFonts w:hint="eastAsia"/>
          <w:szCs w:val="21"/>
        </w:rPr>
        <w:t>随着来自社会安全网络的支助增多，增加孤儿和易受感染儿童在教育、健康、营养、用水、卫生和出生登记方面获得必不可少的优质服务机会；</w:t>
      </w:r>
    </w:p>
    <w:p w:rsidR="00F41B4C" w:rsidRPr="001A700D" w:rsidRDefault="00F41B4C" w:rsidP="00DC448F">
      <w:pPr>
        <w:widowControl/>
        <w:numPr>
          <w:ilvl w:val="1"/>
          <w:numId w:val="32"/>
        </w:numPr>
        <w:tabs>
          <w:tab w:val="clear" w:pos="1440"/>
          <w:tab w:val="num" w:pos="1080"/>
        </w:tabs>
        <w:adjustRightInd/>
        <w:spacing w:after="240" w:line="360" w:lineRule="exact"/>
        <w:ind w:left="1080" w:hanging="600"/>
        <w:textAlignment w:val="auto"/>
        <w:rPr>
          <w:szCs w:val="21"/>
        </w:rPr>
      </w:pPr>
      <w:r w:rsidRPr="001A700D">
        <w:rPr>
          <w:rFonts w:hint="eastAsia"/>
          <w:szCs w:val="21"/>
        </w:rPr>
        <w:t>加强家庭和社区照顾孤儿和易受感染儿童的能力；</w:t>
      </w:r>
    </w:p>
    <w:p w:rsidR="00F41B4C" w:rsidRPr="001A700D" w:rsidRDefault="00F41B4C" w:rsidP="00DC448F">
      <w:pPr>
        <w:widowControl/>
        <w:numPr>
          <w:ilvl w:val="1"/>
          <w:numId w:val="32"/>
        </w:numPr>
        <w:tabs>
          <w:tab w:val="clear" w:pos="1440"/>
          <w:tab w:val="num" w:pos="1080"/>
        </w:tabs>
        <w:adjustRightInd/>
        <w:spacing w:after="240" w:line="360" w:lineRule="exact"/>
        <w:ind w:left="1080" w:hanging="600"/>
        <w:textAlignment w:val="auto"/>
        <w:rPr>
          <w:szCs w:val="21"/>
        </w:rPr>
      </w:pPr>
      <w:r w:rsidRPr="001A700D">
        <w:rPr>
          <w:rFonts w:hint="eastAsia"/>
          <w:szCs w:val="21"/>
        </w:rPr>
        <w:t>提供法律框架和协调机制，以保护最容易受到感染的儿童；</w:t>
      </w:r>
    </w:p>
    <w:p w:rsidR="00F41B4C" w:rsidRPr="001A700D" w:rsidRDefault="00F41B4C" w:rsidP="00DC448F">
      <w:pPr>
        <w:widowControl/>
        <w:numPr>
          <w:ilvl w:val="1"/>
          <w:numId w:val="32"/>
        </w:numPr>
        <w:tabs>
          <w:tab w:val="clear" w:pos="1440"/>
          <w:tab w:val="num" w:pos="1080"/>
        </w:tabs>
        <w:adjustRightInd/>
        <w:spacing w:after="240" w:line="360" w:lineRule="exact"/>
        <w:ind w:left="1080" w:hanging="600"/>
        <w:textAlignment w:val="auto"/>
        <w:rPr>
          <w:szCs w:val="21"/>
        </w:rPr>
      </w:pPr>
      <w:r w:rsidRPr="001A700D">
        <w:rPr>
          <w:rFonts w:hint="eastAsia"/>
          <w:szCs w:val="21"/>
        </w:rPr>
        <w:t>加强为孤儿和易受感染儿童提供服务的主要部门的技术、体制和人力资源能力；</w:t>
      </w:r>
    </w:p>
    <w:p w:rsidR="00F41B4C" w:rsidRPr="001A700D" w:rsidRDefault="00F41B4C" w:rsidP="00DC448F">
      <w:pPr>
        <w:widowControl/>
        <w:numPr>
          <w:ilvl w:val="1"/>
          <w:numId w:val="32"/>
        </w:numPr>
        <w:tabs>
          <w:tab w:val="clear" w:pos="1440"/>
          <w:tab w:val="num" w:pos="1080"/>
        </w:tabs>
        <w:adjustRightInd/>
        <w:spacing w:after="240" w:line="360" w:lineRule="exact"/>
        <w:ind w:left="1080" w:hanging="600"/>
        <w:textAlignment w:val="auto"/>
        <w:rPr>
          <w:szCs w:val="21"/>
        </w:rPr>
      </w:pPr>
      <w:r w:rsidRPr="001A700D">
        <w:rPr>
          <w:rFonts w:hint="eastAsia"/>
          <w:szCs w:val="21"/>
        </w:rPr>
        <w:t>提高各级认识，为受贫困和艾滋病毒</w:t>
      </w:r>
      <w:r w:rsidRPr="001A700D">
        <w:rPr>
          <w:rFonts w:hint="eastAsia"/>
          <w:szCs w:val="21"/>
        </w:rPr>
        <w:t>/</w:t>
      </w:r>
      <w:r w:rsidRPr="001A700D">
        <w:rPr>
          <w:rFonts w:hint="eastAsia"/>
          <w:szCs w:val="21"/>
        </w:rPr>
        <w:t>艾滋病影响的儿童和家庭创造一个有利的环境；以及</w:t>
      </w:r>
    </w:p>
    <w:p w:rsidR="00F41B4C" w:rsidRPr="001A700D" w:rsidRDefault="00F41B4C" w:rsidP="00DC448F">
      <w:pPr>
        <w:widowControl/>
        <w:numPr>
          <w:ilvl w:val="1"/>
          <w:numId w:val="32"/>
        </w:numPr>
        <w:tabs>
          <w:tab w:val="clear" w:pos="1440"/>
          <w:tab w:val="num" w:pos="1080"/>
        </w:tabs>
        <w:adjustRightInd/>
        <w:spacing w:after="240" w:line="360" w:lineRule="exact"/>
        <w:ind w:left="1080" w:hanging="600"/>
        <w:textAlignment w:val="auto"/>
        <w:rPr>
          <w:szCs w:val="21"/>
        </w:rPr>
      </w:pPr>
      <w:r w:rsidRPr="001A700D">
        <w:rPr>
          <w:rFonts w:hint="eastAsia"/>
          <w:szCs w:val="21"/>
        </w:rPr>
        <w:t>监测和评估。</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迄今为止，该国家行动计划相当有效，只是社区组织存在一些小问题，它们还需要某些能力建设和培训，以便其工作</w:t>
      </w:r>
      <w:r w:rsidRPr="00315346">
        <w:rPr>
          <w:rFonts w:hint="eastAsia"/>
          <w:szCs w:val="21"/>
        </w:rPr>
        <w:t>得</w:t>
      </w:r>
      <w:r w:rsidRPr="001A700D">
        <w:rPr>
          <w:rFonts w:hint="eastAsia"/>
          <w:szCs w:val="21"/>
        </w:rPr>
        <w:t>到更好的协调。</w:t>
      </w:r>
    </w:p>
    <w:p w:rsidR="00F41B4C" w:rsidRPr="00DC448F" w:rsidRDefault="00F41B4C" w:rsidP="00DC448F">
      <w:pPr>
        <w:spacing w:after="240" w:line="360" w:lineRule="exact"/>
        <w:rPr>
          <w:rFonts w:ascii="SimHei" w:eastAsia="SimHei" w:hint="eastAsia"/>
          <w:color w:val="FF0000"/>
          <w:szCs w:val="21"/>
        </w:rPr>
      </w:pPr>
      <w:r w:rsidRPr="00DC448F">
        <w:rPr>
          <w:rFonts w:ascii="SimHei" w:eastAsia="SimHei" w:hint="eastAsia"/>
          <w:color w:val="FF0000"/>
          <w:szCs w:val="21"/>
        </w:rPr>
        <w:t>教育政策</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教育和职业培训部目前正在实施其名为“政策与投资框架”的第二个教育计划。第一个政策与投资框架是</w:t>
      </w:r>
      <w:r w:rsidRPr="001A700D">
        <w:rPr>
          <w:rFonts w:hint="eastAsia"/>
          <w:szCs w:val="21"/>
        </w:rPr>
        <w:t>1995</w:t>
      </w:r>
      <w:r w:rsidRPr="001A700D">
        <w:rPr>
          <w:rFonts w:hint="eastAsia"/>
          <w:szCs w:val="21"/>
        </w:rPr>
        <w:t>至</w:t>
      </w:r>
      <w:r w:rsidRPr="001A700D">
        <w:rPr>
          <w:rFonts w:hint="eastAsia"/>
          <w:szCs w:val="21"/>
        </w:rPr>
        <w:t>2005</w:t>
      </w:r>
      <w:r w:rsidRPr="001A700D">
        <w:rPr>
          <w:rFonts w:hint="eastAsia"/>
          <w:szCs w:val="21"/>
        </w:rPr>
        <w:t>年的一个十年计划。实行免费初等教育依然是第一个政策与投资框架的最重要成就。尽管缺少战略规划，预算分配不足并且因而实施不力，但是政策与投资框架仍然朝正确方向迈出了一步。</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目前，业经修订的政策与投资框架正在实施之中，它涵盖</w:t>
      </w:r>
      <w:r w:rsidRPr="001A700D">
        <w:rPr>
          <w:rFonts w:hint="eastAsia"/>
          <w:szCs w:val="21"/>
        </w:rPr>
        <w:t>2005</w:t>
      </w:r>
      <w:r w:rsidRPr="001A700D">
        <w:rPr>
          <w:rFonts w:hint="eastAsia"/>
          <w:szCs w:val="21"/>
        </w:rPr>
        <w:t>至</w:t>
      </w:r>
      <w:r w:rsidRPr="001A700D">
        <w:rPr>
          <w:rFonts w:hint="eastAsia"/>
          <w:szCs w:val="21"/>
        </w:rPr>
        <w:t>2012</w:t>
      </w:r>
      <w:r w:rsidRPr="001A700D">
        <w:rPr>
          <w:rFonts w:hint="eastAsia"/>
          <w:szCs w:val="21"/>
        </w:rPr>
        <w:t>年。这一政策与投资框架尤其旨在应对</w:t>
      </w:r>
      <w:r w:rsidRPr="001A700D">
        <w:rPr>
          <w:rFonts w:hint="eastAsia"/>
          <w:szCs w:val="21"/>
        </w:rPr>
        <w:t>1994</w:t>
      </w:r>
      <w:r w:rsidRPr="001A700D">
        <w:rPr>
          <w:rFonts w:hint="eastAsia"/>
          <w:szCs w:val="21"/>
        </w:rPr>
        <w:t>年实行免费初等教育政策所引发的挑战。通过该政策与投资框架，政府旨在与相关利益攸关方有效合作，为每名儿童发展并提供优质基础教育。</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该政策与投资框架为教育系统提出了诸多目标，其目的是在教育系统的各个层面增加所有人接受教育的机会。计划到</w:t>
      </w:r>
      <w:r w:rsidRPr="001A700D">
        <w:rPr>
          <w:rFonts w:hint="eastAsia"/>
          <w:szCs w:val="21"/>
        </w:rPr>
        <w:t>2015</w:t>
      </w:r>
      <w:r w:rsidRPr="001A700D">
        <w:rPr>
          <w:rFonts w:hint="eastAsia"/>
          <w:szCs w:val="21"/>
        </w:rPr>
        <w:t>年，将所有县的净入学率提高到</w:t>
      </w:r>
      <w:r w:rsidRPr="001A700D">
        <w:rPr>
          <w:rFonts w:hint="eastAsia"/>
          <w:szCs w:val="21"/>
        </w:rPr>
        <w:t>95%</w:t>
      </w:r>
      <w:r w:rsidRPr="001A700D">
        <w:rPr>
          <w:rFonts w:hint="eastAsia"/>
          <w:szCs w:val="21"/>
        </w:rPr>
        <w:t>。在中学一级，其目标是将相应年龄组的毛入学率从目前的</w:t>
      </w:r>
      <w:r w:rsidRPr="001A700D">
        <w:rPr>
          <w:rFonts w:hint="eastAsia"/>
          <w:szCs w:val="21"/>
        </w:rPr>
        <w:t>18%</w:t>
      </w:r>
      <w:r w:rsidRPr="001A700D">
        <w:rPr>
          <w:rFonts w:hint="eastAsia"/>
          <w:szCs w:val="21"/>
        </w:rPr>
        <w:t>提高到</w:t>
      </w:r>
      <w:r w:rsidRPr="001A700D">
        <w:rPr>
          <w:rFonts w:hint="eastAsia"/>
          <w:szCs w:val="21"/>
        </w:rPr>
        <w:t>30%</w:t>
      </w:r>
      <w:r w:rsidRPr="001A700D">
        <w:rPr>
          <w:rFonts w:hint="eastAsia"/>
          <w:szCs w:val="21"/>
        </w:rPr>
        <w:t>。在高等教育方面，其目标是将相应年龄组的高等院校入学率从目前的</w:t>
      </w:r>
      <w:r w:rsidRPr="001A700D">
        <w:rPr>
          <w:rFonts w:hint="eastAsia"/>
          <w:szCs w:val="21"/>
        </w:rPr>
        <w:t>0.3%</w:t>
      </w:r>
      <w:r w:rsidRPr="001A700D">
        <w:rPr>
          <w:rFonts w:hint="eastAsia"/>
          <w:szCs w:val="21"/>
        </w:rPr>
        <w:t>提高到</w:t>
      </w:r>
      <w:r w:rsidRPr="001A700D">
        <w:rPr>
          <w:rFonts w:hint="eastAsia"/>
          <w:szCs w:val="21"/>
        </w:rPr>
        <w:t>1%</w:t>
      </w:r>
      <w:r w:rsidRPr="001A700D">
        <w:rPr>
          <w:rFonts w:hint="eastAsia"/>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该政策与投资框架战略谋求尽量减少这些分部门之间的利益背反，同时最优先注意加速实现普及初等学校教育，因为普及初等教育投资的社会回报最高——造就一代经济更活跃、更有知识、更健康、更具参与性的国民。认识到这一点，该政策与投资框架提出了一些措施，来缓解各级教育中的低出勤率和入学率、高留级率和辍学率问题。这些问题在小学一级特别尖锐，该政策与投资框架就此提出了一些战略，这有助于将一至七年级的留级和辍学率降低到</w:t>
      </w:r>
      <w:r w:rsidRPr="001A700D">
        <w:rPr>
          <w:rFonts w:hint="eastAsia"/>
          <w:szCs w:val="21"/>
        </w:rPr>
        <w:t>5%</w:t>
      </w:r>
      <w:r w:rsidRPr="001A700D">
        <w:rPr>
          <w:rFonts w:hint="eastAsia"/>
          <w:szCs w:val="21"/>
        </w:rPr>
        <w:t>以下，将八年级的留级和辍学率降低到</w:t>
      </w:r>
      <w:r w:rsidRPr="001A700D">
        <w:rPr>
          <w:rFonts w:hint="eastAsia"/>
          <w:szCs w:val="21"/>
        </w:rPr>
        <w:t>10%</w:t>
      </w:r>
      <w:r w:rsidRPr="001A700D">
        <w:rPr>
          <w:rFonts w:hint="eastAsia"/>
          <w:szCs w:val="21"/>
        </w:rPr>
        <w:t>以下。</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该政策与投资框架还强调，必须确保马拉维的教育系统不会加剧社会群体之间和地区之间的现有不平等状况。该政策与投资框架确立了包括奖金计划在内的多项战略，以增加女童和妇女、有特殊需要的儿童和其他弱势青年和乡村青年对于各级教育系统的参与。打算在初等、中等和高等教育中将妇女的参与率提高到</w:t>
      </w:r>
      <w:r w:rsidRPr="001A700D">
        <w:rPr>
          <w:rFonts w:hint="eastAsia"/>
          <w:szCs w:val="21"/>
        </w:rPr>
        <w:t>50%</w:t>
      </w:r>
      <w:r w:rsidRPr="001A700D">
        <w:rPr>
          <w:rFonts w:hint="eastAsia"/>
          <w:szCs w:val="21"/>
        </w:rPr>
        <w:t>以上。</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为了实施该政策与投资框架，教育部制定并于</w:t>
      </w:r>
      <w:r w:rsidRPr="001A700D">
        <w:rPr>
          <w:rFonts w:hint="eastAsia"/>
          <w:szCs w:val="21"/>
        </w:rPr>
        <w:t>2007</w:t>
      </w:r>
      <w:r w:rsidRPr="001A700D">
        <w:rPr>
          <w:rFonts w:hint="eastAsia"/>
          <w:szCs w:val="21"/>
        </w:rPr>
        <w:t>年启动了一项为期十年的国家教育部门计划。该计划在从基础教育到高等教育的各级教育部门，包括职业培训部门，为政策与投资框架的各个主题提供了有具体针对性的战略。</w:t>
      </w:r>
    </w:p>
    <w:p w:rsidR="00F41B4C" w:rsidRPr="00DC448F" w:rsidRDefault="00F41B4C" w:rsidP="00DC448F">
      <w:pPr>
        <w:spacing w:after="240" w:line="360" w:lineRule="exact"/>
        <w:rPr>
          <w:rFonts w:ascii="SimHei" w:eastAsia="SimHei"/>
          <w:color w:val="FF0000"/>
          <w:szCs w:val="21"/>
        </w:rPr>
      </w:pPr>
      <w:r w:rsidRPr="00DC448F">
        <w:rPr>
          <w:rFonts w:ascii="SimHei" w:eastAsia="SimHei"/>
          <w:color w:val="FF0000"/>
          <w:szCs w:val="21"/>
        </w:rPr>
        <w:t>粮食安全和营养政策</w:t>
      </w:r>
    </w:p>
    <w:p w:rsidR="00F41B4C" w:rsidRPr="001A700D" w:rsidRDefault="00041D45" w:rsidP="00315346">
      <w:pPr>
        <w:widowControl/>
        <w:numPr>
          <w:ilvl w:val="0"/>
          <w:numId w:val="35"/>
        </w:numPr>
        <w:tabs>
          <w:tab w:val="left" w:pos="480"/>
        </w:tabs>
        <w:adjustRightInd/>
        <w:spacing w:after="240" w:line="360" w:lineRule="exact"/>
        <w:ind w:left="0" w:firstLine="0"/>
        <w:textAlignment w:val="auto"/>
        <w:rPr>
          <w:szCs w:val="21"/>
        </w:rPr>
      </w:pPr>
      <w:r>
        <w:rPr>
          <w:rFonts w:hint="eastAsia"/>
          <w:szCs w:val="21"/>
        </w:rPr>
        <w:t>2005</w:t>
      </w:r>
      <w:r>
        <w:rPr>
          <w:rFonts w:hint="eastAsia"/>
          <w:szCs w:val="21"/>
        </w:rPr>
        <w:t>年，</w:t>
      </w:r>
      <w:r w:rsidR="00F41B4C" w:rsidRPr="001A700D">
        <w:rPr>
          <w:rFonts w:hint="eastAsia"/>
          <w:szCs w:val="21"/>
        </w:rPr>
        <w:t>政府制定了一项国家营养政策（</w:t>
      </w:r>
      <w:r w:rsidR="00F41B4C" w:rsidRPr="001A700D">
        <w:rPr>
          <w:rFonts w:hint="eastAsia"/>
          <w:szCs w:val="21"/>
        </w:rPr>
        <w:t>2006-2011</w:t>
      </w:r>
      <w:r w:rsidR="00F41B4C" w:rsidRPr="001A700D">
        <w:rPr>
          <w:rFonts w:hint="eastAsia"/>
          <w:szCs w:val="21"/>
        </w:rPr>
        <w:t>年），其中包括拟由农业部实施的粮食安全政策以及拟由总统和内阁办公室营养、艾滋病毒和艾滋病部实施的国家营养政策。为了克服以往营养政策的不足，这项政策旨在减少普遍存在的营养失调，确保改善所有马拉维人的营养状况，以有效促进经济增长和发展。为了落实这一政策，制定了国家营养方案（</w:t>
      </w:r>
      <w:r w:rsidR="00F41B4C" w:rsidRPr="001A700D">
        <w:rPr>
          <w:rFonts w:hint="eastAsia"/>
          <w:szCs w:val="21"/>
        </w:rPr>
        <w:t>2006-2011</w:t>
      </w:r>
      <w:r w:rsidR="00F41B4C" w:rsidRPr="001A700D">
        <w:rPr>
          <w:rFonts w:hint="eastAsia"/>
          <w:szCs w:val="21"/>
        </w:rPr>
        <w:t>年），该方案以营养政策和战略计划（</w:t>
      </w:r>
      <w:r w:rsidR="00F41B4C" w:rsidRPr="001A700D">
        <w:rPr>
          <w:rFonts w:hint="eastAsia"/>
          <w:szCs w:val="21"/>
        </w:rPr>
        <w:t>2006-2011</w:t>
      </w:r>
      <w:r w:rsidR="00F41B4C" w:rsidRPr="001A700D">
        <w:rPr>
          <w:rFonts w:hint="eastAsia"/>
          <w:szCs w:val="21"/>
        </w:rPr>
        <w:t>年）为指南并由交流计划（</w:t>
      </w:r>
      <w:r w:rsidR="00F41B4C" w:rsidRPr="001A700D">
        <w:rPr>
          <w:rFonts w:hint="eastAsia"/>
          <w:szCs w:val="21"/>
        </w:rPr>
        <w:t>2006-2011</w:t>
      </w:r>
      <w:r w:rsidR="00F41B4C" w:rsidRPr="001A700D">
        <w:rPr>
          <w:rFonts w:hint="eastAsia"/>
          <w:szCs w:val="21"/>
        </w:rPr>
        <w:t>年）支持，成为在各级提供服务的工具。为了实现国家营养政策目标，营养和艾滋病毒</w:t>
      </w:r>
      <w:r w:rsidR="00F41B4C" w:rsidRPr="001A700D">
        <w:rPr>
          <w:rFonts w:hint="eastAsia"/>
          <w:szCs w:val="21"/>
        </w:rPr>
        <w:t>/</w:t>
      </w:r>
      <w:r w:rsidR="00F41B4C" w:rsidRPr="001A700D">
        <w:rPr>
          <w:rFonts w:hint="eastAsia"/>
          <w:szCs w:val="21"/>
        </w:rPr>
        <w:t>艾滋病商业计划（</w:t>
      </w:r>
      <w:r w:rsidR="00F41B4C" w:rsidRPr="001A700D">
        <w:rPr>
          <w:rFonts w:hint="eastAsia"/>
          <w:szCs w:val="21"/>
        </w:rPr>
        <w:t>2006-2011</w:t>
      </w:r>
      <w:r w:rsidR="00F41B4C" w:rsidRPr="001A700D">
        <w:rPr>
          <w:rFonts w:hint="eastAsia"/>
          <w:szCs w:val="21"/>
        </w:rPr>
        <w:t>年）概述了每个利益攸关</w:t>
      </w:r>
      <w:r>
        <w:rPr>
          <w:rFonts w:hint="eastAsia"/>
          <w:szCs w:val="21"/>
        </w:rPr>
        <w:t>方</w:t>
      </w:r>
      <w:r w:rsidR="00F41B4C" w:rsidRPr="001A700D">
        <w:rPr>
          <w:rFonts w:hint="eastAsia"/>
          <w:szCs w:val="21"/>
        </w:rPr>
        <w:t>的角色和职责。</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现行政策面临着来自马拉维人民营养状况的巨大挑战。其总体目标是显</w:t>
      </w:r>
      <w:r w:rsidR="00041D45">
        <w:rPr>
          <w:rFonts w:hint="eastAsia"/>
          <w:szCs w:val="21"/>
        </w:rPr>
        <w:t>著</w:t>
      </w:r>
      <w:r w:rsidRPr="001A700D">
        <w:rPr>
          <w:rFonts w:hint="eastAsia"/>
          <w:szCs w:val="21"/>
        </w:rPr>
        <w:t>改善所有马拉维人的营养状况，重点尤其在于弱势群体，包括但不限于预产期和哺乳期母亲、</w:t>
      </w:r>
      <w:r w:rsidRPr="001A700D">
        <w:rPr>
          <w:rFonts w:hint="eastAsia"/>
          <w:szCs w:val="21"/>
        </w:rPr>
        <w:t>15</w:t>
      </w:r>
      <w:r w:rsidRPr="001A700D">
        <w:rPr>
          <w:rFonts w:hint="eastAsia"/>
          <w:szCs w:val="21"/>
        </w:rPr>
        <w:t>岁以下儿童、孤儿、残疾人、老年人和艾滋病毒携带者。</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根据这项政策，</w:t>
      </w:r>
      <w:r w:rsidRPr="001A700D">
        <w:rPr>
          <w:rFonts w:hint="eastAsia"/>
          <w:szCs w:val="21"/>
        </w:rPr>
        <w:t>5</w:t>
      </w:r>
      <w:r w:rsidRPr="001A700D">
        <w:rPr>
          <w:rFonts w:hint="eastAsia"/>
          <w:szCs w:val="21"/>
        </w:rPr>
        <w:t>岁以下发育迟缓的儿童占</w:t>
      </w:r>
      <w:r w:rsidRPr="001A700D">
        <w:rPr>
          <w:rFonts w:hint="eastAsia"/>
          <w:szCs w:val="21"/>
        </w:rPr>
        <w:t>56%</w:t>
      </w:r>
      <w:r w:rsidRPr="001A700D">
        <w:rPr>
          <w:rFonts w:hint="eastAsia"/>
          <w:szCs w:val="21"/>
        </w:rPr>
        <w:t>；消瘦儿童占</w:t>
      </w:r>
      <w:r w:rsidRPr="001A700D">
        <w:rPr>
          <w:rFonts w:hint="eastAsia"/>
          <w:szCs w:val="21"/>
        </w:rPr>
        <w:t>5%</w:t>
      </w:r>
      <w:r w:rsidRPr="001A700D">
        <w:rPr>
          <w:rFonts w:hint="eastAsia"/>
          <w:szCs w:val="21"/>
        </w:rPr>
        <w:t>；体重不足儿童占</w:t>
      </w:r>
      <w:r w:rsidRPr="001A700D">
        <w:rPr>
          <w:rFonts w:hint="eastAsia"/>
          <w:szCs w:val="21"/>
        </w:rPr>
        <w:t>22%</w:t>
      </w:r>
      <w:r w:rsidRPr="001A700D">
        <w:rPr>
          <w:rFonts w:hint="eastAsia"/>
          <w:szCs w:val="21"/>
        </w:rPr>
        <w:t>；成人的营养不良率为</w:t>
      </w:r>
      <w:r w:rsidRPr="001A700D">
        <w:rPr>
          <w:rFonts w:hint="eastAsia"/>
          <w:szCs w:val="21"/>
        </w:rPr>
        <w:t>25-36%</w:t>
      </w:r>
      <w:r w:rsidRPr="001A700D">
        <w:rPr>
          <w:rFonts w:hint="eastAsia"/>
          <w:szCs w:val="21"/>
        </w:rPr>
        <w:t>；城市地区肥胖率为</w:t>
      </w:r>
      <w:r w:rsidRPr="001A700D">
        <w:rPr>
          <w:rFonts w:hint="eastAsia"/>
          <w:szCs w:val="21"/>
        </w:rPr>
        <w:t>25%</w:t>
      </w:r>
      <w:r w:rsidRPr="001A700D">
        <w:rPr>
          <w:rFonts w:hint="eastAsia"/>
          <w:szCs w:val="21"/>
        </w:rPr>
        <w:t>，农村地区肥胖率为</w:t>
      </w:r>
      <w:r w:rsidRPr="001A700D">
        <w:rPr>
          <w:rFonts w:hint="eastAsia"/>
          <w:szCs w:val="21"/>
        </w:rPr>
        <w:t>12%</w:t>
      </w:r>
      <w:r w:rsidRPr="001A700D">
        <w:rPr>
          <w:rFonts w:hint="eastAsia"/>
          <w:szCs w:val="21"/>
        </w:rPr>
        <w:t>，全国儿童肥胖率为</w:t>
      </w:r>
      <w:r w:rsidRPr="001A700D">
        <w:rPr>
          <w:rFonts w:hint="eastAsia"/>
          <w:szCs w:val="21"/>
        </w:rPr>
        <w:t>7%</w:t>
      </w:r>
      <w:r w:rsidRPr="001A700D">
        <w:rPr>
          <w:rFonts w:hint="eastAsia"/>
          <w:szCs w:val="21"/>
        </w:rPr>
        <w:t>。维生素</w:t>
      </w:r>
      <w:r w:rsidRPr="001A700D">
        <w:rPr>
          <w:rFonts w:hint="eastAsia"/>
          <w:szCs w:val="21"/>
        </w:rPr>
        <w:t>A</w:t>
      </w:r>
      <w:r w:rsidRPr="001A700D">
        <w:rPr>
          <w:rFonts w:hint="eastAsia"/>
          <w:szCs w:val="21"/>
        </w:rPr>
        <w:t>微量元素缺乏症的发病率在学龄前儿童中为</w:t>
      </w:r>
      <w:r w:rsidRPr="001A700D">
        <w:rPr>
          <w:rFonts w:hint="eastAsia"/>
          <w:szCs w:val="21"/>
        </w:rPr>
        <w:t>80%</w:t>
      </w:r>
      <w:r w:rsidRPr="001A700D">
        <w:rPr>
          <w:rFonts w:hint="eastAsia"/>
          <w:szCs w:val="21"/>
        </w:rPr>
        <w:t>，在学龄儿童中为</w:t>
      </w:r>
      <w:r w:rsidRPr="001A700D">
        <w:rPr>
          <w:rFonts w:hint="eastAsia"/>
          <w:szCs w:val="21"/>
        </w:rPr>
        <w:t>38%</w:t>
      </w:r>
      <w:r w:rsidRPr="001A700D">
        <w:rPr>
          <w:rFonts w:hint="eastAsia"/>
          <w:szCs w:val="21"/>
        </w:rPr>
        <w:t>，在生育期妇女中为</w:t>
      </w:r>
      <w:r w:rsidRPr="001A700D">
        <w:rPr>
          <w:rFonts w:hint="eastAsia"/>
          <w:szCs w:val="21"/>
        </w:rPr>
        <w:t>57%</w:t>
      </w:r>
      <w:r w:rsidRPr="001A700D">
        <w:rPr>
          <w:rFonts w:hint="eastAsia"/>
          <w:szCs w:val="21"/>
        </w:rPr>
        <w:t>，在男子中为</w:t>
      </w:r>
      <w:r w:rsidRPr="001A700D">
        <w:rPr>
          <w:rFonts w:hint="eastAsia"/>
          <w:szCs w:val="21"/>
        </w:rPr>
        <w:t>38%</w:t>
      </w:r>
      <w:r w:rsidRPr="001A700D">
        <w:rPr>
          <w:rFonts w:hint="eastAsia"/>
          <w:szCs w:val="21"/>
        </w:rPr>
        <w:t>。缺铁症的发病率在学龄前儿童中为</w:t>
      </w:r>
      <w:r w:rsidRPr="001A700D">
        <w:rPr>
          <w:rFonts w:hint="eastAsia"/>
          <w:szCs w:val="21"/>
        </w:rPr>
        <w:t>73%</w:t>
      </w:r>
      <w:r w:rsidRPr="001A700D">
        <w:rPr>
          <w:rFonts w:hint="eastAsia"/>
          <w:szCs w:val="21"/>
        </w:rPr>
        <w:t>，在学龄儿童中为</w:t>
      </w:r>
      <w:r w:rsidRPr="001A700D">
        <w:rPr>
          <w:rFonts w:hint="eastAsia"/>
          <w:szCs w:val="21"/>
        </w:rPr>
        <w:t>54%</w:t>
      </w:r>
      <w:r w:rsidRPr="001A700D">
        <w:rPr>
          <w:rFonts w:hint="eastAsia"/>
          <w:szCs w:val="21"/>
        </w:rPr>
        <w:t>，在生育期妇女中为</w:t>
      </w:r>
      <w:r w:rsidRPr="001A700D">
        <w:rPr>
          <w:rFonts w:hint="eastAsia"/>
          <w:szCs w:val="21"/>
        </w:rPr>
        <w:t>44%</w:t>
      </w:r>
      <w:r w:rsidRPr="001A700D">
        <w:rPr>
          <w:rFonts w:hint="eastAsia"/>
          <w:szCs w:val="21"/>
        </w:rPr>
        <w:t>，在怀孕期妇女中为</w:t>
      </w:r>
      <w:r w:rsidRPr="001A700D">
        <w:rPr>
          <w:rFonts w:hint="eastAsia"/>
          <w:szCs w:val="21"/>
        </w:rPr>
        <w:t>47%</w:t>
      </w:r>
      <w:r w:rsidRPr="001A700D">
        <w:rPr>
          <w:rFonts w:hint="eastAsia"/>
          <w:szCs w:val="21"/>
        </w:rPr>
        <w:t>，在贫血的男子中为</w:t>
      </w:r>
      <w:r w:rsidR="00041D45">
        <w:rPr>
          <w:rFonts w:hint="eastAsia"/>
          <w:szCs w:val="21"/>
        </w:rPr>
        <w:t>17</w:t>
      </w:r>
      <w:r w:rsidRPr="001A700D">
        <w:rPr>
          <w:rFonts w:hint="eastAsia"/>
          <w:szCs w:val="21"/>
        </w:rPr>
        <w:t>%</w:t>
      </w:r>
      <w:r w:rsidRPr="001A700D">
        <w:rPr>
          <w:rFonts w:hint="eastAsia"/>
          <w:szCs w:val="21"/>
        </w:rPr>
        <w:t>。碘缺乏性失调也很常见，据估计，学生中克汀病的发病率为</w:t>
      </w:r>
      <w:r w:rsidRPr="001A700D">
        <w:rPr>
          <w:rFonts w:hint="eastAsia"/>
          <w:szCs w:val="21"/>
        </w:rPr>
        <w:t>3%</w:t>
      </w:r>
      <w:r w:rsidRPr="001A700D">
        <w:rPr>
          <w:rFonts w:hint="eastAsia"/>
          <w:szCs w:val="21"/>
        </w:rPr>
        <w:t>，尿碘缺乏症的发病率为</w:t>
      </w:r>
      <w:r w:rsidRPr="001A700D">
        <w:rPr>
          <w:rFonts w:hint="eastAsia"/>
          <w:szCs w:val="21"/>
        </w:rPr>
        <w:t>50%</w:t>
      </w:r>
      <w:r w:rsidRPr="001A700D">
        <w:rPr>
          <w:rFonts w:hint="eastAsia"/>
          <w:szCs w:val="21"/>
        </w:rPr>
        <w:t>，而且在严重缺碘地区，</w:t>
      </w:r>
      <w:r w:rsidRPr="001A700D">
        <w:rPr>
          <w:rFonts w:hint="eastAsia"/>
          <w:szCs w:val="21"/>
        </w:rPr>
        <w:t>87%</w:t>
      </w:r>
      <w:r w:rsidRPr="001A700D">
        <w:rPr>
          <w:rFonts w:hint="eastAsia"/>
          <w:szCs w:val="21"/>
        </w:rPr>
        <w:t>的儿童智商较低。</w:t>
      </w:r>
    </w:p>
    <w:p w:rsidR="00F41B4C" w:rsidRPr="00DC448F" w:rsidRDefault="00F41B4C" w:rsidP="00DC448F">
      <w:pPr>
        <w:spacing w:after="240" w:line="360" w:lineRule="exact"/>
        <w:rPr>
          <w:rFonts w:ascii="SimHei" w:eastAsia="SimHei" w:hint="eastAsia"/>
          <w:color w:val="FF0000"/>
          <w:szCs w:val="21"/>
        </w:rPr>
      </w:pPr>
      <w:r w:rsidRPr="00DC448F">
        <w:rPr>
          <w:rFonts w:ascii="SimHei" w:eastAsia="SimHei" w:hint="eastAsia"/>
          <w:color w:val="FF0000"/>
          <w:szCs w:val="21"/>
        </w:rPr>
        <w:t>方案和计划</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315346">
        <w:rPr>
          <w:rFonts w:hint="eastAsia"/>
          <w:szCs w:val="21"/>
        </w:rPr>
        <w:t>政府一直在实施一些旨在执行《消除对妇女歧视公约》的方案和计划。</w:t>
      </w:r>
    </w:p>
    <w:p w:rsidR="00F41B4C" w:rsidRPr="00DC448F" w:rsidRDefault="00F41B4C" w:rsidP="00DC448F">
      <w:pPr>
        <w:spacing w:after="240" w:line="360" w:lineRule="exact"/>
        <w:rPr>
          <w:rFonts w:ascii="SimHei" w:eastAsia="SimHei"/>
          <w:color w:val="FF0000"/>
          <w:szCs w:val="21"/>
        </w:rPr>
      </w:pPr>
      <w:r w:rsidRPr="00DC448F">
        <w:rPr>
          <w:rFonts w:ascii="SimHei" w:eastAsia="SimHei"/>
          <w:color w:val="FF0000"/>
          <w:szCs w:val="21"/>
        </w:rPr>
        <w:t>社会保护计划</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社会保护已经被明确认定为《增长与发展战略》的第二个主题。社会保护包括保护并改善最贫困、最弱势人群的生计与福利的政策和惯例。</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社会现金补贴制度始于</w:t>
      </w:r>
      <w:r w:rsidRPr="001A700D">
        <w:rPr>
          <w:rFonts w:hint="eastAsia"/>
          <w:szCs w:val="21"/>
        </w:rPr>
        <w:t>2006</w:t>
      </w:r>
      <w:r w:rsidRPr="001A700D">
        <w:rPr>
          <w:rFonts w:hint="eastAsia"/>
          <w:szCs w:val="21"/>
        </w:rPr>
        <w:t>年</w:t>
      </w:r>
      <w:r w:rsidRPr="001A700D">
        <w:rPr>
          <w:rFonts w:hint="eastAsia"/>
          <w:szCs w:val="21"/>
        </w:rPr>
        <w:t>4</w:t>
      </w:r>
      <w:r w:rsidRPr="001A700D">
        <w:rPr>
          <w:rFonts w:hint="eastAsia"/>
          <w:szCs w:val="21"/>
        </w:rPr>
        <w:t>月，当时在姆钦济县设计并试行了一项社会现金补贴计划的试点办法。这一试点计划从</w:t>
      </w:r>
      <w:r w:rsidRPr="001A700D">
        <w:rPr>
          <w:rFonts w:hint="eastAsia"/>
          <w:szCs w:val="21"/>
        </w:rPr>
        <w:t>2006</w:t>
      </w:r>
      <w:r w:rsidRPr="001A700D">
        <w:rPr>
          <w:rFonts w:hint="eastAsia"/>
          <w:szCs w:val="21"/>
        </w:rPr>
        <w:t>年</w:t>
      </w:r>
      <w:r w:rsidRPr="001A700D">
        <w:rPr>
          <w:rFonts w:hint="eastAsia"/>
          <w:szCs w:val="21"/>
        </w:rPr>
        <w:t>9</w:t>
      </w:r>
      <w:r w:rsidRPr="001A700D">
        <w:rPr>
          <w:rFonts w:hint="eastAsia"/>
          <w:szCs w:val="21"/>
        </w:rPr>
        <w:t>月开始实施。社会现金补贴计划旨在减轻试点地区极度贫困同时劳动力有限的所有家庭的贫困和饥饿程度；在对抗艾滋病毒</w:t>
      </w:r>
      <w:r w:rsidRPr="001A700D">
        <w:rPr>
          <w:rFonts w:hint="eastAsia"/>
          <w:szCs w:val="21"/>
        </w:rPr>
        <w:t>/</w:t>
      </w:r>
      <w:r w:rsidRPr="001A700D">
        <w:rPr>
          <w:rFonts w:hint="eastAsia"/>
          <w:szCs w:val="21"/>
        </w:rPr>
        <w:t>艾滋病、疟疾及其他衰竭性疾病的保护战略中发挥作用；提高目标群体家庭的儿童的入学率和出勤率，并投资于他们的健康和营养状况；提供有关可行性、成本和效益的信息，以及作为马拉维社会保护方案的一个组成部分的社会现金补贴计划的积极和消极影响信息。</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2007</w:t>
      </w:r>
      <w:r w:rsidRPr="001A700D">
        <w:rPr>
          <w:rFonts w:hint="eastAsia"/>
          <w:szCs w:val="21"/>
        </w:rPr>
        <w:t>年，政府着手制定一项社会保护政策和方案。政府认识到，为了制定一项全面的方案，必须吸取现有社会保护方案的重要教训。社会现金补贴计划正在通过县议会在姆钦济、萨利马、利科马、马钦加和曼戈切县试点。</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在试点计划出台之前，关爱世界组织出于人道主义正在实施一项现金补贴计划，提供现金作为粮食援助的替代。这一行动在多瓦县进行。</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受益人基于两条标准确定：他们极度贫困，且劳动力有限。其类别属于“极度贫困的劳动力有限家庭”，为老年人、抚养孤儿和易受感染儿童的老人、有三个孤儿以上的女户主家庭、长期患病者、残疾人以及儿童户主家庭。</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极度贫困者生活在贫困线以下，其特征是每日仅有一餐，无力购买肥皂、衣服、学习用具等基本的非食物类物品，并且没有任何有价值的资产。劳动力有限家庭是指没有一个强壮的、胜任劳作的</w:t>
      </w:r>
      <w:r w:rsidRPr="001A700D">
        <w:rPr>
          <w:rFonts w:hint="eastAsia"/>
          <w:szCs w:val="21"/>
        </w:rPr>
        <w:t>19</w:t>
      </w:r>
      <w:r w:rsidRPr="001A700D">
        <w:rPr>
          <w:rFonts w:hint="eastAsia"/>
          <w:szCs w:val="21"/>
        </w:rPr>
        <w:t>至</w:t>
      </w:r>
      <w:r w:rsidRPr="001A700D">
        <w:rPr>
          <w:rFonts w:hint="eastAsia"/>
          <w:szCs w:val="21"/>
        </w:rPr>
        <w:t>64</w:t>
      </w:r>
      <w:r w:rsidRPr="001A700D">
        <w:rPr>
          <w:rFonts w:hint="eastAsia"/>
          <w:szCs w:val="21"/>
        </w:rPr>
        <w:t>岁家庭成员，或者虽然有一个胜任劳作的</w:t>
      </w:r>
      <w:r w:rsidRPr="001A700D">
        <w:rPr>
          <w:rFonts w:hint="eastAsia"/>
          <w:szCs w:val="21"/>
        </w:rPr>
        <w:t>19</w:t>
      </w:r>
      <w:r w:rsidRPr="001A700D">
        <w:rPr>
          <w:rFonts w:hint="eastAsia"/>
          <w:szCs w:val="21"/>
        </w:rPr>
        <w:t>至</w:t>
      </w:r>
      <w:r w:rsidRPr="001A700D">
        <w:rPr>
          <w:rFonts w:hint="eastAsia"/>
          <w:szCs w:val="21"/>
        </w:rPr>
        <w:t>64</w:t>
      </w:r>
      <w:r w:rsidRPr="001A700D">
        <w:rPr>
          <w:rFonts w:hint="eastAsia"/>
          <w:szCs w:val="21"/>
        </w:rPr>
        <w:t>岁家庭成员，但他</w:t>
      </w:r>
      <w:r w:rsidRPr="001A700D">
        <w:rPr>
          <w:rFonts w:hint="eastAsia"/>
          <w:szCs w:val="21"/>
        </w:rPr>
        <w:t>/</w:t>
      </w:r>
      <w:r w:rsidRPr="001A700D">
        <w:rPr>
          <w:rFonts w:hint="eastAsia"/>
          <w:szCs w:val="21"/>
        </w:rPr>
        <w:t>她必须照顾</w:t>
      </w:r>
      <w:r w:rsidRPr="001A700D">
        <w:rPr>
          <w:rFonts w:hint="eastAsia"/>
          <w:szCs w:val="21"/>
        </w:rPr>
        <w:t>3</w:t>
      </w:r>
      <w:r w:rsidRPr="001A700D">
        <w:rPr>
          <w:rFonts w:hint="eastAsia"/>
          <w:szCs w:val="21"/>
        </w:rPr>
        <w:t>个以上家庭成员。</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每月的现金补贴数额根据家庭规模各不相同，并考虑到了有子女在读小学或中学的家庭情况：</w:t>
      </w:r>
    </w:p>
    <w:p w:rsidR="00F41B4C" w:rsidRPr="001A700D" w:rsidRDefault="00F41B4C" w:rsidP="00DC448F">
      <w:pPr>
        <w:widowControl/>
        <w:numPr>
          <w:ilvl w:val="0"/>
          <w:numId w:val="37"/>
        </w:numPr>
        <w:tabs>
          <w:tab w:val="left" w:pos="960"/>
        </w:tabs>
        <w:autoSpaceDE w:val="0"/>
        <w:autoSpaceDN w:val="0"/>
        <w:spacing w:after="240" w:line="360" w:lineRule="exact"/>
        <w:ind w:left="480" w:firstLine="0"/>
        <w:textAlignment w:val="auto"/>
        <w:rPr>
          <w:szCs w:val="21"/>
        </w:rPr>
      </w:pPr>
      <w:r w:rsidRPr="001A700D">
        <w:rPr>
          <w:rFonts w:hint="eastAsia"/>
          <w:szCs w:val="21"/>
        </w:rPr>
        <w:t>1</w:t>
      </w:r>
      <w:r w:rsidRPr="001A700D">
        <w:rPr>
          <w:rFonts w:hint="eastAsia"/>
          <w:szCs w:val="21"/>
        </w:rPr>
        <w:t>人家庭：</w:t>
      </w:r>
      <w:r w:rsidRPr="001A700D">
        <w:rPr>
          <w:rFonts w:hint="eastAsia"/>
          <w:szCs w:val="21"/>
        </w:rPr>
        <w:t xml:space="preserve"> 600</w:t>
      </w:r>
      <w:r w:rsidRPr="001A700D">
        <w:rPr>
          <w:rFonts w:hint="eastAsia"/>
          <w:szCs w:val="21"/>
        </w:rPr>
        <w:t>马拉维克瓦查</w:t>
      </w:r>
      <w:r w:rsidR="00041D45">
        <w:rPr>
          <w:rFonts w:hint="eastAsia"/>
          <w:szCs w:val="21"/>
        </w:rPr>
        <w:t>；</w:t>
      </w:r>
      <w:r w:rsidRPr="001A700D">
        <w:rPr>
          <w:rStyle w:val="FootnoteReference"/>
          <w:szCs w:val="21"/>
        </w:rPr>
        <w:footnoteReference w:id="17"/>
      </w:r>
    </w:p>
    <w:p w:rsidR="00F41B4C" w:rsidRPr="001A700D" w:rsidRDefault="00F41B4C" w:rsidP="00DC448F">
      <w:pPr>
        <w:widowControl/>
        <w:numPr>
          <w:ilvl w:val="0"/>
          <w:numId w:val="37"/>
        </w:numPr>
        <w:tabs>
          <w:tab w:val="left" w:pos="960"/>
        </w:tabs>
        <w:autoSpaceDE w:val="0"/>
        <w:autoSpaceDN w:val="0"/>
        <w:spacing w:after="240" w:line="360" w:lineRule="exact"/>
        <w:ind w:left="480" w:firstLine="0"/>
        <w:jc w:val="left"/>
        <w:textAlignment w:val="auto"/>
        <w:rPr>
          <w:szCs w:val="21"/>
        </w:rPr>
      </w:pPr>
      <w:r w:rsidRPr="001A700D">
        <w:rPr>
          <w:rFonts w:hint="eastAsia"/>
          <w:szCs w:val="21"/>
        </w:rPr>
        <w:t>2</w:t>
      </w:r>
      <w:r w:rsidRPr="001A700D">
        <w:rPr>
          <w:rFonts w:hint="eastAsia"/>
          <w:szCs w:val="21"/>
        </w:rPr>
        <w:t>人家庭：</w:t>
      </w:r>
      <w:r w:rsidRPr="001A700D">
        <w:rPr>
          <w:rFonts w:hint="eastAsia"/>
          <w:szCs w:val="21"/>
        </w:rPr>
        <w:t xml:space="preserve"> 1 000</w:t>
      </w:r>
      <w:r w:rsidRPr="001A700D">
        <w:rPr>
          <w:rFonts w:hint="eastAsia"/>
          <w:szCs w:val="21"/>
        </w:rPr>
        <w:t>马拉维克瓦查；</w:t>
      </w:r>
    </w:p>
    <w:p w:rsidR="00F41B4C" w:rsidRPr="001A700D" w:rsidRDefault="00F41B4C" w:rsidP="00DC448F">
      <w:pPr>
        <w:widowControl/>
        <w:numPr>
          <w:ilvl w:val="0"/>
          <w:numId w:val="37"/>
        </w:numPr>
        <w:tabs>
          <w:tab w:val="left" w:pos="960"/>
        </w:tabs>
        <w:autoSpaceDE w:val="0"/>
        <w:autoSpaceDN w:val="0"/>
        <w:spacing w:after="240" w:line="360" w:lineRule="exact"/>
        <w:ind w:left="480" w:firstLine="0"/>
        <w:jc w:val="left"/>
        <w:textAlignment w:val="auto"/>
        <w:rPr>
          <w:szCs w:val="21"/>
        </w:rPr>
      </w:pPr>
      <w:r w:rsidRPr="001A700D">
        <w:rPr>
          <w:rFonts w:hint="eastAsia"/>
          <w:szCs w:val="21"/>
        </w:rPr>
        <w:t>3</w:t>
      </w:r>
      <w:r w:rsidRPr="001A700D">
        <w:rPr>
          <w:rFonts w:hint="eastAsia"/>
          <w:szCs w:val="21"/>
        </w:rPr>
        <w:t>人家庭：</w:t>
      </w:r>
      <w:r w:rsidRPr="001A700D">
        <w:rPr>
          <w:rFonts w:hint="eastAsia"/>
          <w:szCs w:val="21"/>
        </w:rPr>
        <w:t xml:space="preserve"> 1 400</w:t>
      </w:r>
      <w:r w:rsidRPr="001A700D">
        <w:rPr>
          <w:rFonts w:hint="eastAsia"/>
          <w:szCs w:val="21"/>
        </w:rPr>
        <w:t>马拉维克瓦查；</w:t>
      </w:r>
      <w:r w:rsidRPr="001A700D" w:rsidDel="00EC0535">
        <w:rPr>
          <w:rFonts w:hint="eastAsia"/>
          <w:szCs w:val="21"/>
        </w:rPr>
        <w:t xml:space="preserve"> </w:t>
      </w:r>
    </w:p>
    <w:p w:rsidR="00F41B4C" w:rsidRPr="001A700D" w:rsidRDefault="00F41B4C" w:rsidP="00DC448F">
      <w:pPr>
        <w:widowControl/>
        <w:numPr>
          <w:ilvl w:val="0"/>
          <w:numId w:val="37"/>
        </w:numPr>
        <w:tabs>
          <w:tab w:val="left" w:pos="960"/>
        </w:tabs>
        <w:autoSpaceDE w:val="0"/>
        <w:autoSpaceDN w:val="0"/>
        <w:spacing w:after="240" w:line="360" w:lineRule="exact"/>
        <w:ind w:left="480" w:firstLine="0"/>
        <w:jc w:val="left"/>
        <w:textAlignment w:val="auto"/>
        <w:rPr>
          <w:szCs w:val="21"/>
        </w:rPr>
      </w:pPr>
      <w:r w:rsidRPr="001A700D">
        <w:rPr>
          <w:rFonts w:hint="eastAsia"/>
          <w:szCs w:val="21"/>
        </w:rPr>
        <w:t>4</w:t>
      </w:r>
      <w:r w:rsidRPr="001A700D">
        <w:rPr>
          <w:rFonts w:hint="eastAsia"/>
          <w:szCs w:val="21"/>
        </w:rPr>
        <w:t>人及以上家庭：</w:t>
      </w:r>
      <w:r w:rsidRPr="001A700D">
        <w:rPr>
          <w:rFonts w:hint="eastAsia"/>
          <w:szCs w:val="21"/>
        </w:rPr>
        <w:t xml:space="preserve"> 1 800</w:t>
      </w:r>
      <w:r w:rsidRPr="001A700D">
        <w:rPr>
          <w:rFonts w:hint="eastAsia"/>
          <w:szCs w:val="21"/>
        </w:rPr>
        <w:t>马拉维克瓦查。</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在小学就读的儿童，另加津贴</w:t>
      </w:r>
      <w:r w:rsidRPr="001A700D">
        <w:rPr>
          <w:rFonts w:hint="eastAsia"/>
          <w:szCs w:val="21"/>
        </w:rPr>
        <w:t>200</w:t>
      </w:r>
      <w:r w:rsidRPr="001A700D">
        <w:rPr>
          <w:rFonts w:hint="eastAsia"/>
          <w:szCs w:val="21"/>
        </w:rPr>
        <w:t>马拉维克瓦查，在中学就读的儿童，另加津贴</w:t>
      </w:r>
      <w:r w:rsidRPr="001A700D">
        <w:rPr>
          <w:rFonts w:hint="eastAsia"/>
          <w:szCs w:val="21"/>
        </w:rPr>
        <w:t>400</w:t>
      </w:r>
      <w:r w:rsidRPr="001A700D">
        <w:rPr>
          <w:rFonts w:hint="eastAsia"/>
          <w:szCs w:val="21"/>
        </w:rPr>
        <w:t>马拉维克瓦查。这种津贴的目的是鼓励入学和续读，同时投资于儿童的健康和营养，并保护儿童免受剥削和虐待，比如做童工或早婚。</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到目前为止，有</w:t>
      </w:r>
      <w:r w:rsidRPr="001A700D">
        <w:rPr>
          <w:rFonts w:hint="eastAsia"/>
          <w:szCs w:val="21"/>
        </w:rPr>
        <w:t>2 442</w:t>
      </w:r>
      <w:r w:rsidRPr="001A700D">
        <w:rPr>
          <w:rFonts w:hint="eastAsia"/>
          <w:szCs w:val="21"/>
        </w:rPr>
        <w:t>户受益于这项试点计划，受益人达到</w:t>
      </w:r>
      <w:r w:rsidRPr="001A700D">
        <w:rPr>
          <w:rFonts w:hint="eastAsia"/>
          <w:szCs w:val="21"/>
        </w:rPr>
        <w:t>11 170</w:t>
      </w:r>
      <w:r w:rsidRPr="001A700D">
        <w:rPr>
          <w:rFonts w:hint="eastAsia"/>
          <w:szCs w:val="21"/>
        </w:rPr>
        <w:t>名，其中有</w:t>
      </w:r>
      <w:r w:rsidRPr="001A700D">
        <w:rPr>
          <w:rFonts w:hint="eastAsia"/>
          <w:szCs w:val="21"/>
        </w:rPr>
        <w:t>7 480</w:t>
      </w:r>
      <w:r w:rsidRPr="001A700D">
        <w:rPr>
          <w:rFonts w:hint="eastAsia"/>
          <w:szCs w:val="21"/>
        </w:rPr>
        <w:t>名儿童，</w:t>
      </w:r>
      <w:r w:rsidRPr="001A700D">
        <w:rPr>
          <w:rFonts w:hint="eastAsia"/>
          <w:szCs w:val="21"/>
        </w:rPr>
        <w:t>6 013</w:t>
      </w:r>
      <w:r w:rsidRPr="001A700D">
        <w:rPr>
          <w:rFonts w:hint="eastAsia"/>
          <w:szCs w:val="21"/>
        </w:rPr>
        <w:t>名是孤儿，</w:t>
      </w:r>
      <w:r w:rsidRPr="001A700D">
        <w:rPr>
          <w:rFonts w:hint="eastAsia"/>
          <w:szCs w:val="21"/>
        </w:rPr>
        <w:t>1 604</w:t>
      </w:r>
      <w:r w:rsidRPr="001A700D">
        <w:rPr>
          <w:rFonts w:hint="eastAsia"/>
          <w:szCs w:val="21"/>
        </w:rPr>
        <w:t>户老人为户主的家庭，</w:t>
      </w:r>
      <w:r w:rsidRPr="001A700D">
        <w:rPr>
          <w:rFonts w:hint="eastAsia"/>
          <w:szCs w:val="21"/>
        </w:rPr>
        <w:t>34</w:t>
      </w:r>
      <w:r w:rsidRPr="001A700D">
        <w:rPr>
          <w:rFonts w:hint="eastAsia"/>
          <w:szCs w:val="21"/>
        </w:rPr>
        <w:t>户儿童为户主的家庭，</w:t>
      </w:r>
      <w:r w:rsidRPr="001A700D">
        <w:rPr>
          <w:rFonts w:hint="eastAsia"/>
          <w:szCs w:val="21"/>
        </w:rPr>
        <w:t>1 585</w:t>
      </w:r>
      <w:r w:rsidRPr="001A700D">
        <w:rPr>
          <w:rFonts w:hint="eastAsia"/>
          <w:szCs w:val="21"/>
        </w:rPr>
        <w:t>户妇女为户主的家庭。</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补贴的金额取决于家庭的规模和上学儿童的人数。现金补贴对家庭成员尤其是儿童的福祉影响巨大。儿童现在可以洗浴、吃饭、上学，并有机会获得更多的营养食品和保健服务。国家社会保护方案的一个重要组成部分，将是一项对</w:t>
      </w:r>
      <w:r w:rsidRPr="001A700D">
        <w:rPr>
          <w:rFonts w:hint="eastAsia"/>
          <w:szCs w:val="21"/>
        </w:rPr>
        <w:t>10%</w:t>
      </w:r>
      <w:r w:rsidRPr="001A700D">
        <w:rPr>
          <w:rFonts w:hint="eastAsia"/>
          <w:szCs w:val="21"/>
        </w:rPr>
        <w:t>的马拉维最贫困家庭予以支助的计划。预测表明，通过该计划，十年内将有</w:t>
      </w:r>
      <w:r w:rsidRPr="001A700D">
        <w:rPr>
          <w:rFonts w:hint="eastAsia"/>
          <w:szCs w:val="21"/>
        </w:rPr>
        <w:t>250 000</w:t>
      </w:r>
      <w:r w:rsidRPr="001A700D">
        <w:rPr>
          <w:rFonts w:hint="eastAsia"/>
          <w:szCs w:val="21"/>
        </w:rPr>
        <w:t>户家庭受益。</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政府预计，社会现金补贴将有助于实现千年发展目标、解决收入贫困、改善营养状况、促进赋予女性权力</w:t>
      </w:r>
      <w:r w:rsidRPr="001A700D">
        <w:rPr>
          <w:rStyle w:val="FootnoteReference"/>
          <w:szCs w:val="21"/>
        </w:rPr>
        <w:footnoteReference w:id="18"/>
      </w:r>
      <w:r w:rsidRPr="001A700D">
        <w:rPr>
          <w:rFonts w:hint="eastAsia"/>
          <w:szCs w:val="21"/>
        </w:rPr>
        <w:t>和增进两性关系的平衡。</w:t>
      </w:r>
    </w:p>
    <w:p w:rsidR="00F41B4C" w:rsidRPr="00DC448F" w:rsidRDefault="00F41B4C" w:rsidP="00DC448F">
      <w:pPr>
        <w:spacing w:after="240" w:line="360" w:lineRule="exact"/>
        <w:rPr>
          <w:rFonts w:ascii="SimHei" w:eastAsia="SimHei" w:hint="eastAsia"/>
          <w:color w:val="FF0000"/>
          <w:szCs w:val="21"/>
        </w:rPr>
      </w:pPr>
      <w:r w:rsidRPr="00DC448F">
        <w:rPr>
          <w:rFonts w:ascii="SimHei" w:eastAsia="SimHei" w:hint="eastAsia"/>
          <w:color w:val="FF0000"/>
          <w:szCs w:val="21"/>
        </w:rPr>
        <w:t>妇女和儿童保护</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bCs/>
          <w:szCs w:val="21"/>
        </w:rPr>
        <w:t xml:space="preserve"> </w:t>
      </w:r>
      <w:r w:rsidRPr="001A700D">
        <w:rPr>
          <w:rFonts w:hint="eastAsia"/>
          <w:szCs w:val="21"/>
        </w:rPr>
        <w:t>2005</w:t>
      </w:r>
      <w:r w:rsidRPr="001A700D">
        <w:rPr>
          <w:rFonts w:hint="eastAsia"/>
          <w:szCs w:val="21"/>
        </w:rPr>
        <w:t>年，妇女和儿童发展部制定了制止伤害和剥削儿童项目，该项目正在实施之中，取得了重大成功。它旨在通过保护、预防和康复，建立一个保护儿童特别是最弱势儿童的环境。认识的提高导致更多的虐待儿童案件被告发。该部目前正在制定一项有关儿童保护的国家政策。</w:t>
      </w:r>
    </w:p>
    <w:p w:rsidR="00F41B4C" w:rsidRPr="00DC448F" w:rsidRDefault="00F41B4C" w:rsidP="00DC448F">
      <w:pPr>
        <w:spacing w:after="240" w:line="360" w:lineRule="exact"/>
        <w:rPr>
          <w:rFonts w:ascii="SimHei" w:eastAsia="SimHei"/>
          <w:color w:val="FF0000"/>
          <w:szCs w:val="21"/>
        </w:rPr>
      </w:pPr>
      <w:r w:rsidRPr="00DC448F">
        <w:rPr>
          <w:rFonts w:ascii="SimHei" w:eastAsia="SimHei"/>
          <w:color w:val="FF0000"/>
          <w:szCs w:val="21"/>
        </w:rPr>
        <w:t>政策协调机制</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妇女和儿童发展部负责协调有关妇女权利的政策和行动。过去，该部的能力有限，影响到了有效的协调。然而，报告所涉期间内在各个层面的有效协调方面取得了显著进展。妇女和儿童发展部下设的妇女事务司负责协调妇女保护和权利方案。为了缓解该部的能力限制，协调工作由一些网络管理，比如非政府组织</w:t>
      </w:r>
      <w:r w:rsidRPr="001A700D">
        <w:rPr>
          <w:rFonts w:hint="eastAsia"/>
          <w:szCs w:val="21"/>
        </w:rPr>
        <w:t>/</w:t>
      </w:r>
      <w:r w:rsidRPr="001A700D">
        <w:rPr>
          <w:rFonts w:hint="eastAsia"/>
          <w:szCs w:val="21"/>
        </w:rPr>
        <w:t>性别协调网。该网络由处理性别和妇女问题的非政府组织组成。</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该网络中不同角色所起的作用由妇女和儿童发展部协调，总体上界定明确，每个成员都各尽所长发挥其作用。</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妇女权利问题的数据收集也是一个挑战。马拉维人权委员会目前正试图通过协调利益攸关各方，收集各个弱势群体的数据，来填补数据空白。这些工作同样是与妇女和儿童发展部密切合作进行的，以避免任何重复性劳动。</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bCs/>
          <w:szCs w:val="21"/>
        </w:rPr>
        <w:t xml:space="preserve"> </w:t>
      </w:r>
      <w:r w:rsidRPr="001A700D">
        <w:rPr>
          <w:rFonts w:hint="eastAsia"/>
          <w:bCs/>
          <w:szCs w:val="21"/>
        </w:rPr>
        <w:t>虽然该部设法通过利用各种网络来克服其自身在协调行动中的财政限制，它的有效能力仍然受到制约。在过去的五个</w:t>
      </w:r>
      <w:r w:rsidRPr="00315346">
        <w:rPr>
          <w:rFonts w:hint="eastAsia"/>
          <w:szCs w:val="21"/>
        </w:rPr>
        <w:t>财政年度</w:t>
      </w:r>
      <w:r w:rsidRPr="001A700D">
        <w:rPr>
          <w:rFonts w:hint="eastAsia"/>
          <w:bCs/>
          <w:szCs w:val="21"/>
        </w:rPr>
        <w:t>中，马拉维政府财政部给妇女和儿童发展部的其他经常性交易预算一直在持续减少。总体经常性预算从</w:t>
      </w:r>
      <w:r w:rsidRPr="001A700D">
        <w:rPr>
          <w:rFonts w:hint="eastAsia"/>
          <w:bCs/>
          <w:szCs w:val="21"/>
        </w:rPr>
        <w:t>2002/03</w:t>
      </w:r>
      <w:r w:rsidRPr="001A700D">
        <w:rPr>
          <w:rFonts w:hint="eastAsia"/>
          <w:bCs/>
          <w:szCs w:val="21"/>
        </w:rPr>
        <w:t>年度的</w:t>
      </w:r>
      <w:r w:rsidRPr="001A700D">
        <w:rPr>
          <w:rFonts w:hint="eastAsia"/>
          <w:bCs/>
          <w:szCs w:val="21"/>
        </w:rPr>
        <w:t>4.12</w:t>
      </w:r>
      <w:r w:rsidRPr="001A700D">
        <w:rPr>
          <w:rFonts w:hint="eastAsia"/>
          <w:bCs/>
          <w:szCs w:val="21"/>
        </w:rPr>
        <w:t>亿马拉维克瓦查降到了</w:t>
      </w:r>
      <w:r w:rsidRPr="001A700D">
        <w:rPr>
          <w:rFonts w:hint="eastAsia"/>
          <w:bCs/>
          <w:szCs w:val="21"/>
        </w:rPr>
        <w:t>2005/06</w:t>
      </w:r>
      <w:r w:rsidRPr="001A700D">
        <w:rPr>
          <w:rFonts w:hint="eastAsia"/>
          <w:bCs/>
          <w:szCs w:val="21"/>
        </w:rPr>
        <w:t>年度的</w:t>
      </w:r>
      <w:r w:rsidRPr="001A700D">
        <w:rPr>
          <w:rFonts w:hint="eastAsia"/>
          <w:bCs/>
          <w:szCs w:val="21"/>
        </w:rPr>
        <w:t>1.73</w:t>
      </w:r>
      <w:r w:rsidRPr="001A700D">
        <w:rPr>
          <w:rFonts w:hint="eastAsia"/>
          <w:bCs/>
          <w:szCs w:val="21"/>
        </w:rPr>
        <w:t>亿马拉维克瓦查。其他经常性交易资金从</w:t>
      </w:r>
      <w:r w:rsidRPr="001A700D">
        <w:rPr>
          <w:rFonts w:hint="eastAsia"/>
          <w:bCs/>
          <w:szCs w:val="21"/>
        </w:rPr>
        <w:t>2002/03</w:t>
      </w:r>
      <w:r w:rsidRPr="001A700D">
        <w:rPr>
          <w:rFonts w:hint="eastAsia"/>
          <w:bCs/>
          <w:szCs w:val="21"/>
        </w:rPr>
        <w:t>年度的</w:t>
      </w:r>
      <w:r w:rsidRPr="001A700D">
        <w:rPr>
          <w:rFonts w:hint="eastAsia"/>
          <w:bCs/>
          <w:szCs w:val="21"/>
        </w:rPr>
        <w:t>3.12</w:t>
      </w:r>
      <w:r w:rsidRPr="001A700D">
        <w:rPr>
          <w:rFonts w:hint="eastAsia"/>
          <w:bCs/>
          <w:szCs w:val="21"/>
        </w:rPr>
        <w:t>亿马拉维克瓦查降到了</w:t>
      </w:r>
      <w:r w:rsidRPr="001A700D">
        <w:rPr>
          <w:rFonts w:hint="eastAsia"/>
          <w:bCs/>
          <w:szCs w:val="21"/>
        </w:rPr>
        <w:t>2005/06</w:t>
      </w:r>
      <w:r w:rsidRPr="001A700D">
        <w:rPr>
          <w:rFonts w:hint="eastAsia"/>
          <w:bCs/>
          <w:szCs w:val="21"/>
        </w:rPr>
        <w:t>年度的</w:t>
      </w:r>
      <w:r w:rsidRPr="001A700D">
        <w:rPr>
          <w:rFonts w:hint="eastAsia"/>
          <w:bCs/>
          <w:szCs w:val="21"/>
        </w:rPr>
        <w:t>0.73</w:t>
      </w:r>
      <w:r w:rsidRPr="001A700D">
        <w:rPr>
          <w:rFonts w:hint="eastAsia"/>
          <w:bCs/>
          <w:szCs w:val="21"/>
        </w:rPr>
        <w:t>亿马拉维克瓦查。</w:t>
      </w:r>
      <w:r w:rsidRPr="001A700D">
        <w:rPr>
          <w:rFonts w:hint="eastAsia"/>
          <w:bCs/>
          <w:szCs w:val="21"/>
        </w:rPr>
        <w:t>2006/07</w:t>
      </w:r>
      <w:r w:rsidRPr="001A700D">
        <w:rPr>
          <w:rFonts w:hint="eastAsia"/>
          <w:bCs/>
          <w:szCs w:val="21"/>
        </w:rPr>
        <w:t>财政年度，该部经常性资金的上限固定在</w:t>
      </w:r>
      <w:r w:rsidRPr="001A700D">
        <w:rPr>
          <w:rFonts w:hint="eastAsia"/>
          <w:bCs/>
          <w:szCs w:val="21"/>
        </w:rPr>
        <w:t>2.07</w:t>
      </w:r>
      <w:r w:rsidRPr="001A700D">
        <w:rPr>
          <w:rFonts w:hint="eastAsia"/>
          <w:bCs/>
          <w:szCs w:val="21"/>
        </w:rPr>
        <w:t>亿马拉维克瓦查，其他经常性交易资金的上限固定在</w:t>
      </w:r>
      <w:r w:rsidRPr="001A700D">
        <w:rPr>
          <w:rFonts w:hint="eastAsia"/>
          <w:bCs/>
          <w:szCs w:val="21"/>
        </w:rPr>
        <w:t>0.81</w:t>
      </w:r>
      <w:r w:rsidRPr="001A700D">
        <w:rPr>
          <w:rFonts w:hint="eastAsia"/>
          <w:bCs/>
          <w:szCs w:val="21"/>
        </w:rPr>
        <w:t>亿马拉维克瓦查。</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对地方一级政府妇女方案的预算分配，是影响《消除对妇女歧视公约》执行的一个挑战。在地方一级政府，究竟有多少预算分配给了妇女不得而知。就所了解的情况来看，分配给妇女的预算极不可能被正当利用，这是因为地方一级政府对妇女权利的认识有限。</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尽管妇女和儿童发展部在宣传《消除对妇女歧视公约》、增进并培训各个利益攸关方的《公约》意识方面付出了令人钦佩的努力，一些县级政府官员对《公约》的认识仍处在低水平。</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不过，妇女权利行动的协调也面临着其他挑战。例如，尤其是各个部门在地方一级设立的委员会之间相互竞争，因为它们不愿意共同合作而造成了工作重复。此外，妇女权利在马拉维是一种比较新奇的现象，大多数部门和社区不理解与其相关问题的重要性和紧迫性。</w:t>
      </w:r>
    </w:p>
    <w:p w:rsidR="00F41B4C" w:rsidRPr="00B7504E" w:rsidRDefault="00F41B4C" w:rsidP="00B7504E">
      <w:pPr>
        <w:pStyle w:val="HCh"/>
        <w:jc w:val="center"/>
        <w:rPr>
          <w:rFonts w:ascii="Times New Roman"/>
          <w:szCs w:val="28"/>
        </w:rPr>
      </w:pPr>
      <w:bookmarkStart w:id="51" w:name="_Toc221523943"/>
      <w:r w:rsidRPr="00B7504E">
        <w:rPr>
          <w:rFonts w:ascii="Times New Roman" w:hint="eastAsia"/>
          <w:szCs w:val="28"/>
        </w:rPr>
        <w:t>第二部分：一般执行措施</w:t>
      </w:r>
      <w:bookmarkEnd w:id="51"/>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本部分概述缔约国在收到委员会关于第二、第三、第四和第五次合并报告的结论性意见之后所采取的措施，并逐条进一步说明马拉维为执行</w:t>
      </w:r>
      <w:r w:rsidR="00041D45">
        <w:rPr>
          <w:rFonts w:hint="eastAsia"/>
          <w:szCs w:val="21"/>
        </w:rPr>
        <w:t>《</w:t>
      </w:r>
      <w:r w:rsidRPr="001A700D">
        <w:rPr>
          <w:rFonts w:hint="eastAsia"/>
          <w:szCs w:val="21"/>
        </w:rPr>
        <w:t>公约</w:t>
      </w:r>
      <w:r w:rsidR="00041D45">
        <w:rPr>
          <w:rFonts w:hint="eastAsia"/>
          <w:szCs w:val="21"/>
        </w:rPr>
        <w:t>》</w:t>
      </w:r>
      <w:r w:rsidRPr="001A700D">
        <w:rPr>
          <w:rFonts w:hint="eastAsia"/>
          <w:szCs w:val="21"/>
        </w:rPr>
        <w:t>而采取的措施。</w:t>
      </w:r>
    </w:p>
    <w:p w:rsidR="00F41B4C" w:rsidRPr="00B7504E" w:rsidRDefault="00B7504E" w:rsidP="00B7504E">
      <w:pPr>
        <w:pStyle w:val="H3"/>
        <w:rPr>
          <w:rFonts w:hint="eastAsia"/>
        </w:rPr>
      </w:pPr>
      <w:r>
        <w:br w:type="page"/>
      </w:r>
      <w:bookmarkStart w:id="52" w:name="_Toc221523944"/>
      <w:r w:rsidR="00F41B4C" w:rsidRPr="00B7504E">
        <w:rPr>
          <w:rFonts w:hint="eastAsia"/>
        </w:rPr>
        <w:t>第1条：歧视的定义</w:t>
      </w:r>
      <w:bookmarkEnd w:id="52"/>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bookmarkStart w:id="53" w:name="article2"/>
      <w:bookmarkEnd w:id="53"/>
      <w:r w:rsidRPr="001A700D">
        <w:rPr>
          <w:rFonts w:hint="eastAsia"/>
          <w:bCs/>
          <w:iCs/>
          <w:szCs w:val="21"/>
        </w:rPr>
        <w:t xml:space="preserve"> </w:t>
      </w:r>
      <w:r w:rsidRPr="001A700D">
        <w:rPr>
          <w:rFonts w:hint="eastAsia"/>
          <w:bCs/>
          <w:iCs/>
          <w:szCs w:val="21"/>
        </w:rPr>
        <w:t>在合并报告中，马拉维审查了一般法律框架和男女平等的宪法保障，确认《共和国宪法》并没有从法律上界定歧视，只是禁止以包括性、性别和婚姻状况在内的各种理由对所有人进行歧视。</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立法机关尚未界定对妇女的歧视。马拉维加入了对歧视有界定的《消除对妇女歧视公约》、《世界人权宣言》、《联合国宪章》、《公民及政治权利国际公约》以及《经济、社会</w:t>
      </w:r>
      <w:r w:rsidR="00041D45">
        <w:rPr>
          <w:rFonts w:hint="eastAsia"/>
          <w:bCs/>
          <w:iCs/>
          <w:szCs w:val="21"/>
        </w:rPr>
        <w:t>、</w:t>
      </w:r>
      <w:r w:rsidRPr="001A700D">
        <w:rPr>
          <w:rFonts w:hint="eastAsia"/>
          <w:bCs/>
          <w:iCs/>
          <w:szCs w:val="21"/>
        </w:rPr>
        <w:t>文化权利国际公约》。在法律委员会制定两性平等法规方案时，曾经试图采纳与上述国际文书和《消除对妇女歧视公约》本身相一致的“对妇女歧视”的定义。</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在制定两性</w:t>
      </w:r>
      <w:r w:rsidRPr="00315346">
        <w:rPr>
          <w:rFonts w:hint="eastAsia"/>
          <w:szCs w:val="21"/>
        </w:rPr>
        <w:t>平等</w:t>
      </w:r>
      <w:r w:rsidRPr="001A700D">
        <w:rPr>
          <w:rFonts w:hint="eastAsia"/>
          <w:bCs/>
          <w:iCs/>
          <w:szCs w:val="21"/>
        </w:rPr>
        <w:t>法规方案时还考察了文化生活和公共领域等妇女遇到严重歧视的其他部门中</w:t>
      </w:r>
      <w:r w:rsidRPr="001A700D" w:rsidDel="008E17F5">
        <w:rPr>
          <w:rFonts w:hint="eastAsia"/>
          <w:bCs/>
          <w:iCs/>
          <w:szCs w:val="21"/>
        </w:rPr>
        <w:t xml:space="preserve"> </w:t>
      </w:r>
      <w:r w:rsidRPr="001A700D">
        <w:rPr>
          <w:rFonts w:hint="eastAsia"/>
          <w:bCs/>
          <w:iCs/>
          <w:szCs w:val="21"/>
        </w:rPr>
        <w:t>“对妇女歧视”的定义。考察的结果是提出了若干立法干预措施，如禁止宣扬歧视妇女的做法；促进妇女在与男子平等的基础上参与公共生活；保健，特别是妇女的性权利和生殖权利；教育；尊严，包括性骚扰问题；以及减少贫困和赋予经济权力。</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习惯法和习俗惯例继续造成了男女角色和权力关系的定义差异。在革除被认为是基于性或性别的歧视性习俗惯例中，法律委员会注意到，有必要澄清和关注旨在消除对妇女歧视的规范。根据关于男女平等的法律草案，这些习俗</w:t>
      </w:r>
      <w:r w:rsidRPr="00315346">
        <w:rPr>
          <w:rFonts w:hint="eastAsia"/>
          <w:szCs w:val="21"/>
        </w:rPr>
        <w:t>惯例</w:t>
      </w:r>
      <w:r w:rsidRPr="001A700D">
        <w:rPr>
          <w:rFonts w:hint="eastAsia"/>
          <w:bCs/>
          <w:iCs/>
          <w:szCs w:val="21"/>
        </w:rPr>
        <w:t>已被禁止。</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总之，尽管</w:t>
      </w:r>
      <w:r w:rsidRPr="00315346">
        <w:rPr>
          <w:rFonts w:hint="eastAsia"/>
          <w:szCs w:val="21"/>
        </w:rPr>
        <w:t>《宪法》</w:t>
      </w:r>
      <w:r w:rsidRPr="001A700D">
        <w:rPr>
          <w:rFonts w:hint="eastAsia"/>
          <w:bCs/>
          <w:iCs/>
          <w:szCs w:val="21"/>
        </w:rPr>
        <w:t>不允许歧视，但是定于</w:t>
      </w:r>
      <w:r w:rsidRPr="001A700D">
        <w:rPr>
          <w:rFonts w:hint="eastAsia"/>
          <w:bCs/>
          <w:iCs/>
          <w:szCs w:val="21"/>
        </w:rPr>
        <w:t>2008</w:t>
      </w:r>
      <w:r w:rsidRPr="001A700D">
        <w:rPr>
          <w:rFonts w:hint="eastAsia"/>
          <w:bCs/>
          <w:iCs/>
          <w:szCs w:val="21"/>
        </w:rPr>
        <w:t>年完成的两性平等法规项下的法律定义仍将捍卫《消除对妇女歧视公约》中的价值观，并提倡在地方法院适用《消除对妇女歧视公约》。</w:t>
      </w:r>
    </w:p>
    <w:p w:rsidR="00F41B4C" w:rsidRPr="00B7504E" w:rsidRDefault="00F41B4C" w:rsidP="00B7504E">
      <w:pPr>
        <w:pStyle w:val="H3"/>
      </w:pPr>
      <w:bookmarkStart w:id="54" w:name="_Toc221523945"/>
      <w:r w:rsidRPr="00B7504E">
        <w:rPr>
          <w:rFonts w:hint="eastAsia"/>
        </w:rPr>
        <w:t>第2条：缔约国的义务</w:t>
      </w:r>
      <w:bookmarkEnd w:id="54"/>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bookmarkStart w:id="55" w:name="article3"/>
      <w:bookmarkEnd w:id="55"/>
      <w:r w:rsidRPr="001A700D">
        <w:rPr>
          <w:rFonts w:hint="eastAsia"/>
          <w:bCs/>
          <w:iCs/>
          <w:szCs w:val="21"/>
        </w:rPr>
        <w:t xml:space="preserve"> </w:t>
      </w:r>
      <w:r w:rsidRPr="001A700D">
        <w:rPr>
          <w:rFonts w:hint="eastAsia"/>
          <w:bCs/>
          <w:iCs/>
          <w:szCs w:val="21"/>
        </w:rPr>
        <w:t>《宪法》体现了作为人权和国家政策的平等原则。在制定两性平等法规时，法律委员会出台了立法及其他干预措施，</w:t>
      </w:r>
      <w:r w:rsidRPr="00315346">
        <w:rPr>
          <w:rFonts w:hint="eastAsia"/>
          <w:szCs w:val="21"/>
        </w:rPr>
        <w:t>旨在</w:t>
      </w:r>
      <w:r w:rsidRPr="001A700D">
        <w:rPr>
          <w:rFonts w:hint="eastAsia"/>
          <w:bCs/>
          <w:iCs/>
          <w:szCs w:val="21"/>
        </w:rPr>
        <w:t>禁止对妇女和女童一切形式的歧视。两性平等法规的生效，有望确立对妇女的法律保护手段，以确保有效的保护，并能诉诸国家主管法院及其他公共机构，诸如监察员办公室和人权委员会。</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国家也有义务采用并执行有助于实现性别平等的政策和法律。国家政策的性别平等原则再加上禁止基于性别和性进行</w:t>
      </w:r>
      <w:r w:rsidRPr="00315346">
        <w:rPr>
          <w:rFonts w:hint="eastAsia"/>
          <w:szCs w:val="21"/>
        </w:rPr>
        <w:t>歧视</w:t>
      </w:r>
      <w:r w:rsidRPr="001A700D">
        <w:rPr>
          <w:rFonts w:hint="eastAsia"/>
          <w:bCs/>
          <w:iCs/>
          <w:szCs w:val="21"/>
        </w:rPr>
        <w:t>的条款，强调了国家在确立性别平等方面的义务。根据《宪法》规定，国家有义务进一步颁布法律，以解决社会不平等现象，禁止歧视性的习俗惯例，并对不平等的实施者加以刑事制裁。</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两性平等法规的目的是通过扩大在法庭上可以援引法规条款的范围，使宪法规定得以适用。拟议的这项法律旨在对可能引起不平等的情况和对此种违法行为的惩罚</w:t>
      </w:r>
      <w:r w:rsidR="0037751F">
        <w:rPr>
          <w:rFonts w:hint="eastAsia"/>
          <w:bCs/>
          <w:iCs/>
          <w:szCs w:val="21"/>
        </w:rPr>
        <w:t>做出</w:t>
      </w:r>
      <w:r w:rsidRPr="001A700D">
        <w:rPr>
          <w:rFonts w:hint="eastAsia"/>
          <w:bCs/>
          <w:iCs/>
          <w:szCs w:val="21"/>
        </w:rPr>
        <w:t>规定。除刑事制裁以外，它还规定了可对实施者强制执行的其他补救措施。</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在《与两性平等相关的法律改革方案》之前，法律委员会在法律改革中并没有特别强调性别因素，但现在已经采用了一项政策，首先是组成若干特别法律委员会，审查各项法律乃至对审查对象的处理方式。在制定和审查法律时，应该将性别问题和性别因素纳入主流。</w:t>
      </w:r>
      <w:r w:rsidRPr="001A700D">
        <w:rPr>
          <w:rStyle w:val="FootnoteReference"/>
          <w:bCs/>
          <w:iCs/>
          <w:szCs w:val="21"/>
        </w:rPr>
        <w:footnoteReference w:id="19"/>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尽管没有将</w:t>
      </w:r>
      <w:r w:rsidRPr="00315346">
        <w:rPr>
          <w:rFonts w:hint="eastAsia"/>
          <w:szCs w:val="21"/>
        </w:rPr>
        <w:t>强奸罪</w:t>
      </w:r>
      <w:r w:rsidRPr="001A700D">
        <w:rPr>
          <w:rFonts w:hint="eastAsia"/>
          <w:bCs/>
          <w:iCs/>
          <w:szCs w:val="21"/>
        </w:rPr>
        <w:t>视为无性别色彩的罪行，但是审查《刑法》（</w:t>
      </w:r>
      <w:r w:rsidRPr="001A700D">
        <w:rPr>
          <w:rFonts w:hint="eastAsia"/>
          <w:bCs/>
          <w:iCs/>
          <w:szCs w:val="21"/>
        </w:rPr>
        <w:t>2000</w:t>
      </w:r>
      <w:r w:rsidRPr="001A700D">
        <w:rPr>
          <w:rFonts w:hint="eastAsia"/>
          <w:bCs/>
          <w:iCs/>
          <w:szCs w:val="21"/>
        </w:rPr>
        <w:t>年）的特别法律委员会已经将性行为的定义扩大到包括女性之间或由女性实施的行为。一些拟议的《刑法》修正案包括将女性之间的猥亵行为定为刑事犯罪；禁止商业目的的性行为；以及引入对儿童的不道德罪。所引入的与儿童有关的罪行包括：针对儿童或在儿童面前的猥亵行为；向儿童展示、出售或暴露冒犯性物品；以及介绍儿童在公共娱乐业中从事或模仿性活动。</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尽管经过审查的《刑法》尚未通过，但是</w:t>
      </w:r>
      <w:r w:rsidRPr="001A700D">
        <w:rPr>
          <w:rFonts w:hint="eastAsia"/>
          <w:bCs/>
          <w:iCs/>
          <w:szCs w:val="21"/>
        </w:rPr>
        <w:t>2000</w:t>
      </w:r>
      <w:r w:rsidRPr="001A700D">
        <w:rPr>
          <w:rFonts w:hint="eastAsia"/>
          <w:bCs/>
          <w:iCs/>
          <w:szCs w:val="21"/>
        </w:rPr>
        <w:t>年提出的建议案指导了此后的改革方案，包括两性平等法规的制定和艾滋病毒</w:t>
      </w:r>
      <w:r w:rsidRPr="001A700D">
        <w:rPr>
          <w:rFonts w:hint="eastAsia"/>
          <w:bCs/>
          <w:iCs/>
          <w:szCs w:val="21"/>
        </w:rPr>
        <w:t>/</w:t>
      </w:r>
      <w:r w:rsidRPr="001A700D">
        <w:rPr>
          <w:rFonts w:hint="eastAsia"/>
          <w:bCs/>
          <w:iCs/>
          <w:szCs w:val="21"/>
        </w:rPr>
        <w:t>艾滋病的立法进程</w:t>
      </w:r>
      <w:r w:rsidR="00B82BAE">
        <w:rPr>
          <w:rFonts w:hint="eastAsia"/>
          <w:bCs/>
          <w:iCs/>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拟议的有关艾滋病毒</w:t>
      </w:r>
      <w:r w:rsidRPr="001A700D">
        <w:rPr>
          <w:rFonts w:hint="eastAsia"/>
          <w:bCs/>
          <w:iCs/>
          <w:szCs w:val="21"/>
        </w:rPr>
        <w:t>/</w:t>
      </w:r>
      <w:r w:rsidRPr="001A700D">
        <w:rPr>
          <w:rFonts w:hint="eastAsia"/>
          <w:bCs/>
          <w:iCs/>
          <w:szCs w:val="21"/>
        </w:rPr>
        <w:t>艾滋病方案的立法还禁止因某人实际感染或被想象感染了艾滋病毒而对其加以歧视。尽管这一条款已经列入了有关艾滋病毒</w:t>
      </w:r>
      <w:r w:rsidRPr="001A700D">
        <w:rPr>
          <w:rFonts w:hint="eastAsia"/>
          <w:bCs/>
          <w:iCs/>
          <w:szCs w:val="21"/>
        </w:rPr>
        <w:t>/</w:t>
      </w:r>
      <w:r w:rsidRPr="001A700D">
        <w:rPr>
          <w:rFonts w:hint="eastAsia"/>
          <w:bCs/>
          <w:iCs/>
          <w:szCs w:val="21"/>
        </w:rPr>
        <w:t>艾滋病的法律，委员会仍注意到，这种形式歧视的一般受害者都是妇女，因为她们首当其冲是这种传染病的感染者和受影响者。</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在数据编制上，国家统计局保证在编制数据时按性别分列，可以用这种数据监测马拉维的男女状况。</w:t>
      </w:r>
    </w:p>
    <w:p w:rsidR="00F41B4C" w:rsidRPr="00B7504E" w:rsidRDefault="00F41B4C" w:rsidP="00B7504E">
      <w:pPr>
        <w:pStyle w:val="H3"/>
      </w:pPr>
      <w:bookmarkStart w:id="56" w:name="_Toc221523946"/>
      <w:r w:rsidRPr="00B7504E">
        <w:rPr>
          <w:rFonts w:hint="eastAsia"/>
        </w:rPr>
        <w:t>第3条：确保妇女充分发展和提高妇女地位的适当措施</w:t>
      </w:r>
      <w:bookmarkEnd w:id="56"/>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《南共体男女平等与发展宣言》要求缔约国确保到</w:t>
      </w:r>
      <w:r w:rsidRPr="001A700D">
        <w:rPr>
          <w:rFonts w:hint="eastAsia"/>
          <w:bCs/>
          <w:iCs/>
          <w:szCs w:val="21"/>
        </w:rPr>
        <w:t>2005</w:t>
      </w:r>
      <w:r w:rsidRPr="001A700D">
        <w:rPr>
          <w:rFonts w:hint="eastAsia"/>
          <w:bCs/>
          <w:iCs/>
          <w:szCs w:val="21"/>
        </w:rPr>
        <w:t>年为妇女保留</w:t>
      </w:r>
      <w:r w:rsidRPr="001A700D">
        <w:rPr>
          <w:rFonts w:hint="eastAsia"/>
          <w:bCs/>
          <w:iCs/>
          <w:szCs w:val="21"/>
        </w:rPr>
        <w:t>30%</w:t>
      </w:r>
      <w:r w:rsidRPr="001A700D">
        <w:rPr>
          <w:rFonts w:hint="eastAsia"/>
          <w:bCs/>
          <w:iCs/>
          <w:szCs w:val="21"/>
        </w:rPr>
        <w:t>的公共生活职位。</w:t>
      </w:r>
      <w:r w:rsidRPr="001A700D">
        <w:rPr>
          <w:rFonts w:hint="eastAsia"/>
          <w:bCs/>
          <w:iCs/>
          <w:szCs w:val="21"/>
        </w:rPr>
        <w:t>2005</w:t>
      </w:r>
      <w:r w:rsidRPr="001A700D">
        <w:rPr>
          <w:rFonts w:hint="eastAsia"/>
          <w:bCs/>
          <w:iCs/>
          <w:szCs w:val="21"/>
        </w:rPr>
        <w:t>年该宣言期满时，政府在</w:t>
      </w:r>
      <w:r w:rsidRPr="00315346">
        <w:rPr>
          <w:rFonts w:hint="eastAsia"/>
          <w:szCs w:val="21"/>
        </w:rPr>
        <w:t>所有</w:t>
      </w:r>
      <w:r w:rsidRPr="001A700D">
        <w:rPr>
          <w:rFonts w:hint="eastAsia"/>
          <w:bCs/>
          <w:iCs/>
          <w:szCs w:val="21"/>
        </w:rPr>
        <w:t>部门都未实现</w:t>
      </w:r>
      <w:r w:rsidRPr="001A700D">
        <w:rPr>
          <w:rFonts w:hint="eastAsia"/>
          <w:bCs/>
          <w:iCs/>
          <w:szCs w:val="21"/>
        </w:rPr>
        <w:t>30%</w:t>
      </w:r>
      <w:r w:rsidRPr="001A700D">
        <w:rPr>
          <w:rFonts w:hint="eastAsia"/>
          <w:bCs/>
          <w:iCs/>
          <w:szCs w:val="21"/>
        </w:rPr>
        <w:t>的代表率。尽管如此，参与保护和促进妇女权利的马拉维民间社会组织都参与《南共体男女平等与发展议定书》的拟定工作，该《议定书》提出，妇女应与男子平等参与公共生活，这意味着参与的门槛应该是</w:t>
      </w:r>
      <w:r w:rsidRPr="001A700D">
        <w:rPr>
          <w:rFonts w:hint="eastAsia"/>
          <w:bCs/>
          <w:iCs/>
          <w:szCs w:val="21"/>
        </w:rPr>
        <w:t>50%</w:t>
      </w:r>
      <w:r w:rsidRPr="001A700D">
        <w:rPr>
          <w:rFonts w:hint="eastAsia"/>
          <w:bCs/>
          <w:iCs/>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《国家性别政策》已经由妇女和儿童发展部进行了审查。这一新政策有待内阁批准，它以其前身为基础，并试图纠正其</w:t>
      </w:r>
      <w:r w:rsidRPr="00315346">
        <w:rPr>
          <w:rFonts w:hint="eastAsia"/>
          <w:szCs w:val="21"/>
        </w:rPr>
        <w:t>前身</w:t>
      </w:r>
      <w:r w:rsidRPr="001A700D">
        <w:rPr>
          <w:rFonts w:hint="eastAsia"/>
          <w:bCs/>
          <w:iCs/>
          <w:szCs w:val="21"/>
        </w:rPr>
        <w:t>的薄弱之处。</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szCs w:val="21"/>
        </w:rPr>
        <w:t>先前的这项政策取得的一些成就包括：制定并执行性别主流化方针、打击基于性别暴力的国家战略和国家性别方案；将性别观点纳入公共部门、私营部门和民间社会组织主流的能力建设；议会和决策职位上的妇女人数增多；颁布了《防止家庭暴力法》，从性别角度制定并审查了各项立法。</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szCs w:val="21"/>
        </w:rPr>
        <w:t>现有《性别政策草案》的基础是目前的总体政策方针《马拉维增长与发展战略》（增长与发展战略）。该《政策草案》的主要目的，是将性别观点纳入国家发展进程的主流，以促进妇女和男子、女童和男童参与推动可持续的均衡发展，从而消除贫困。</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 xml:space="preserve"> </w:t>
      </w:r>
      <w:r w:rsidRPr="001A700D">
        <w:rPr>
          <w:rFonts w:hint="eastAsia"/>
          <w:bCs/>
          <w:iCs/>
          <w:szCs w:val="21"/>
        </w:rPr>
        <w:t>《增长与发展战略》认为，性别平等对于取得均衡、可持续的社会与经济发展非常重要。它把性别作为一个次主题。《增长与发展战略》表明，性别问题是国家总体发展议程的一个组成部分。</w:t>
      </w:r>
      <w:r w:rsidRPr="001A700D">
        <w:rPr>
          <w:rFonts w:hint="eastAsia"/>
          <w:bCs/>
          <w:iCs/>
          <w:szCs w:val="21"/>
        </w:rPr>
        <w:t>0.374</w:t>
      </w:r>
      <w:r w:rsidRPr="001A700D">
        <w:rPr>
          <w:rFonts w:hint="eastAsia"/>
          <w:bCs/>
          <w:iCs/>
          <w:szCs w:val="21"/>
        </w:rPr>
        <w:t>的性别发展指数是存在巨大性别差异的证明。这意味着尽管妇女人口更多，妇女在经济、社会、政治及其他社会领域的参与率却很低。因此，《增长与发展战略》旨在将性别观点纳入国家发展计划的主流，以促进两性的平等参与，实现</w:t>
      </w:r>
      <w:r w:rsidRPr="00315346">
        <w:rPr>
          <w:rFonts w:hint="eastAsia"/>
          <w:szCs w:val="21"/>
        </w:rPr>
        <w:t>可持续发展</w:t>
      </w:r>
      <w:r w:rsidRPr="001A700D">
        <w:rPr>
          <w:rFonts w:hint="eastAsia"/>
          <w:bCs/>
          <w:iCs/>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根据</w:t>
      </w:r>
      <w:r w:rsidRPr="00315346">
        <w:rPr>
          <w:rFonts w:hint="eastAsia"/>
          <w:szCs w:val="21"/>
        </w:rPr>
        <w:t>《性别政策</w:t>
      </w:r>
      <w:r w:rsidR="00B82BAE" w:rsidRPr="001A700D">
        <w:rPr>
          <w:rFonts w:hint="eastAsia"/>
          <w:bCs/>
          <w:iCs/>
          <w:szCs w:val="21"/>
        </w:rPr>
        <w:t>草案</w:t>
      </w:r>
      <w:r w:rsidRPr="00315346">
        <w:rPr>
          <w:rFonts w:hint="eastAsia"/>
          <w:szCs w:val="21"/>
        </w:rPr>
        <w:t>》</w:t>
      </w:r>
      <w:r w:rsidRPr="001A700D">
        <w:rPr>
          <w:rFonts w:hint="eastAsia"/>
          <w:bCs/>
          <w:iCs/>
          <w:szCs w:val="21"/>
        </w:rPr>
        <w:t>，经济规划和发展部负有具体职责，包括：确保所有的宏观和微观政策对性别问题</w:t>
      </w:r>
      <w:r w:rsidR="0037751F">
        <w:rPr>
          <w:rFonts w:hint="eastAsia"/>
          <w:bCs/>
          <w:iCs/>
          <w:szCs w:val="21"/>
        </w:rPr>
        <w:t>做出</w:t>
      </w:r>
      <w:r w:rsidRPr="001A700D">
        <w:rPr>
          <w:rFonts w:hint="eastAsia"/>
          <w:bCs/>
          <w:iCs/>
          <w:szCs w:val="21"/>
        </w:rPr>
        <w:t>回应；增强规划人员和政策分析人员的能力，以提高他们分析性别问题的技能，以此作为在中央、部门和地方规划当局之间建立有效机构联系的一项战略；确保将性别预算纳入规划进程的主流；确保由国家统计局收集、分析和传播的信息按性别分类。</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自</w:t>
      </w:r>
      <w:r w:rsidRPr="001A700D">
        <w:rPr>
          <w:rFonts w:hint="eastAsia"/>
          <w:bCs/>
          <w:iCs/>
          <w:szCs w:val="21"/>
        </w:rPr>
        <w:t>2001</w:t>
      </w:r>
      <w:r w:rsidRPr="001A700D">
        <w:rPr>
          <w:rFonts w:hint="eastAsia"/>
          <w:bCs/>
          <w:iCs/>
          <w:szCs w:val="21"/>
        </w:rPr>
        <w:t>年以来，政府一直要求在各个机构内任命一名性别问题协调人，以此实施公共部门的机构能力建设。自那时起，这些性别问题协调人已经接受了性别主流化和分析方面的培训。</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szCs w:val="21"/>
        </w:rPr>
        <w:t>从</w:t>
      </w:r>
      <w:r w:rsidRPr="001A700D">
        <w:rPr>
          <w:rFonts w:hint="eastAsia"/>
          <w:szCs w:val="21"/>
        </w:rPr>
        <w:t>2002</w:t>
      </w:r>
      <w:r w:rsidRPr="001A700D">
        <w:rPr>
          <w:rFonts w:hint="eastAsia"/>
          <w:szCs w:val="21"/>
        </w:rPr>
        <w:t>年起直到</w:t>
      </w:r>
      <w:r w:rsidRPr="001A700D">
        <w:rPr>
          <w:rFonts w:hint="eastAsia"/>
          <w:szCs w:val="21"/>
        </w:rPr>
        <w:t>2006</w:t>
      </w:r>
      <w:r w:rsidRPr="001A700D">
        <w:rPr>
          <w:rFonts w:hint="eastAsia"/>
          <w:szCs w:val="21"/>
        </w:rPr>
        <w:t>年，政府实施了一项《打击基于性别暴力的国家战略》。这导致全体国民和利益攸关者认识到了对妇女的暴力和基于性别的暴力的原因和影响，提高了受害者诉诸司法的机会，确保了法律规定足以遏制基于性别的暴力，并强化了执行机构的能力。在</w:t>
      </w:r>
      <w:r w:rsidRPr="001A700D">
        <w:rPr>
          <w:rFonts w:hint="eastAsia"/>
          <w:szCs w:val="21"/>
        </w:rPr>
        <w:t>2007</w:t>
      </w:r>
      <w:r w:rsidRPr="001A700D">
        <w:rPr>
          <w:rFonts w:hint="eastAsia"/>
          <w:szCs w:val="21"/>
        </w:rPr>
        <w:t>至</w:t>
      </w:r>
      <w:r w:rsidRPr="001A700D">
        <w:rPr>
          <w:rFonts w:hint="eastAsia"/>
          <w:szCs w:val="21"/>
        </w:rPr>
        <w:t>2008</w:t>
      </w:r>
      <w:r w:rsidRPr="001A700D">
        <w:rPr>
          <w:rFonts w:hint="eastAsia"/>
          <w:szCs w:val="21"/>
        </w:rPr>
        <w:t>年间对该战略进行了审查。</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2008</w:t>
      </w:r>
      <w:r w:rsidRPr="001A700D">
        <w:rPr>
          <w:rFonts w:hint="eastAsia"/>
          <w:bCs/>
          <w:iCs/>
          <w:szCs w:val="21"/>
        </w:rPr>
        <w:t>年</w:t>
      </w:r>
      <w:r w:rsidRPr="001A700D">
        <w:rPr>
          <w:rFonts w:hint="eastAsia"/>
          <w:bCs/>
          <w:iCs/>
          <w:szCs w:val="21"/>
        </w:rPr>
        <w:t>7</w:t>
      </w:r>
      <w:r w:rsidRPr="001A700D">
        <w:rPr>
          <w:rFonts w:hint="eastAsia"/>
          <w:bCs/>
          <w:iCs/>
          <w:szCs w:val="21"/>
        </w:rPr>
        <w:t>月，政府通过了《国家对基于性别的暴力的应对措施》。该《国家应对措施》的有效期是</w:t>
      </w:r>
      <w:r w:rsidRPr="001A700D">
        <w:rPr>
          <w:rFonts w:hint="eastAsia"/>
          <w:bCs/>
          <w:iCs/>
          <w:szCs w:val="21"/>
        </w:rPr>
        <w:t>2008</w:t>
      </w:r>
      <w:r w:rsidRPr="001A700D">
        <w:rPr>
          <w:rFonts w:hint="eastAsia"/>
          <w:bCs/>
          <w:iCs/>
          <w:szCs w:val="21"/>
        </w:rPr>
        <w:t>至</w:t>
      </w:r>
      <w:r w:rsidRPr="001A700D">
        <w:rPr>
          <w:rFonts w:hint="eastAsia"/>
          <w:bCs/>
          <w:iCs/>
          <w:szCs w:val="21"/>
        </w:rPr>
        <w:t>2011</w:t>
      </w:r>
      <w:r w:rsidRPr="001A700D">
        <w:rPr>
          <w:rFonts w:hint="eastAsia"/>
          <w:bCs/>
          <w:iCs/>
          <w:szCs w:val="21"/>
        </w:rPr>
        <w:t>年。《国家应对措施》这一文件认识到马拉维基于性别暴力问题的严重程度，旨在增进马拉维对</w:t>
      </w:r>
      <w:r w:rsidRPr="00315346">
        <w:rPr>
          <w:rFonts w:hint="eastAsia"/>
          <w:szCs w:val="21"/>
        </w:rPr>
        <w:t>《消除对妇女歧视公约》</w:t>
      </w:r>
      <w:r w:rsidRPr="001A700D">
        <w:rPr>
          <w:rFonts w:hint="eastAsia"/>
          <w:bCs/>
          <w:iCs/>
          <w:szCs w:val="21"/>
        </w:rPr>
        <w:t>及其他人权文书的承诺，并支持政府预防和解决马拉维基于性别的暴力事件。</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szCs w:val="21"/>
        </w:rPr>
        <w:t xml:space="preserve"> </w:t>
      </w:r>
      <w:r w:rsidRPr="001A700D">
        <w:rPr>
          <w:rFonts w:hint="eastAsia"/>
          <w:bCs/>
          <w:szCs w:val="21"/>
        </w:rPr>
        <w:t>《国家应对措施》预计还将有助于确保颁布与性别相关的立法，并向包括基层人民在内的所有利益攸关者宣传基于</w:t>
      </w:r>
      <w:r w:rsidRPr="00315346">
        <w:rPr>
          <w:rFonts w:hint="eastAsia"/>
          <w:szCs w:val="21"/>
        </w:rPr>
        <w:t>性别</w:t>
      </w:r>
      <w:r w:rsidRPr="001A700D">
        <w:rPr>
          <w:rFonts w:hint="eastAsia"/>
          <w:bCs/>
          <w:szCs w:val="21"/>
        </w:rPr>
        <w:t>的暴力问题；提高执法机构及其他机构在处理基于性别的暴力问题时适用人权原则的能力；最终确定并实施有关基于性别暴力问题的政策；强化各利益攸关方在基于性别的暴力问题上的协调和伙伴关系；确保基于性别暴力的受害者得到必要的照顾和支助；并且可以提供按性别分类的有关基于性别暴力的数据。</w:t>
      </w:r>
    </w:p>
    <w:p w:rsidR="00F41B4C" w:rsidRPr="00B7504E" w:rsidRDefault="00B77AE3" w:rsidP="00B7504E">
      <w:pPr>
        <w:pStyle w:val="H3"/>
      </w:pPr>
      <w:r>
        <w:br w:type="page"/>
      </w:r>
      <w:bookmarkStart w:id="57" w:name="_Toc221523947"/>
      <w:r w:rsidR="00F41B4C" w:rsidRPr="00B7504E">
        <w:t>第4条</w:t>
      </w:r>
      <w:r w:rsidR="00F41B4C" w:rsidRPr="00B7504E">
        <w:rPr>
          <w:rFonts w:hint="eastAsia"/>
        </w:rPr>
        <w:t>：</w:t>
      </w:r>
      <w:r w:rsidR="00F41B4C" w:rsidRPr="00B7504E">
        <w:t>特别措施</w:t>
      </w:r>
      <w:bookmarkEnd w:id="57"/>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bookmarkStart w:id="58" w:name="article5"/>
      <w:bookmarkEnd w:id="58"/>
      <w:r w:rsidRPr="001A700D">
        <w:rPr>
          <w:rFonts w:hint="eastAsia"/>
          <w:bCs/>
          <w:iCs/>
          <w:szCs w:val="21"/>
        </w:rPr>
        <w:t xml:space="preserve"> </w:t>
      </w:r>
      <w:r w:rsidRPr="001A700D">
        <w:rPr>
          <w:rFonts w:hint="eastAsia"/>
          <w:bCs/>
          <w:iCs/>
          <w:szCs w:val="21"/>
        </w:rPr>
        <w:t>正在实施的制定两性平等法规方案有意引入一种配额制度，以提高妇女在公共生活、政治和教育领域中的影响力。该配额固定在</w:t>
      </w:r>
      <w:r w:rsidRPr="001A700D">
        <w:rPr>
          <w:rFonts w:hint="eastAsia"/>
          <w:bCs/>
          <w:iCs/>
          <w:szCs w:val="21"/>
        </w:rPr>
        <w:t>40%</w:t>
      </w:r>
      <w:r w:rsidRPr="001A700D">
        <w:rPr>
          <w:rFonts w:hint="eastAsia"/>
          <w:bCs/>
          <w:iCs/>
          <w:szCs w:val="21"/>
        </w:rPr>
        <w:t>，打算适用于所有公共机构。它还确保考虑女性在初等、中等和高等教育的入学率，将其固定为至少占适龄学生的</w:t>
      </w:r>
      <w:r w:rsidRPr="001A700D">
        <w:rPr>
          <w:rFonts w:hint="eastAsia"/>
          <w:bCs/>
          <w:iCs/>
          <w:szCs w:val="21"/>
        </w:rPr>
        <w:t>40%</w:t>
      </w:r>
      <w:r w:rsidRPr="001A700D">
        <w:rPr>
          <w:rFonts w:hint="eastAsia"/>
          <w:bCs/>
          <w:iCs/>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《宪法》保障享有的妇女权利受到了限制，因为缺少使相关条款适用和生效的法律。拟议的两性平等法规的颁布，将</w:t>
      </w:r>
      <w:r w:rsidRPr="00315346">
        <w:rPr>
          <w:rFonts w:hint="eastAsia"/>
          <w:szCs w:val="21"/>
        </w:rPr>
        <w:t>确保</w:t>
      </w:r>
      <w:r w:rsidRPr="001A700D">
        <w:rPr>
          <w:rFonts w:hint="eastAsia"/>
          <w:bCs/>
          <w:iCs/>
          <w:szCs w:val="21"/>
        </w:rPr>
        <w:t>宪法规定的权利能够很容易享有和强制执行。</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两性平等委员会还提出了大意如下的建议：尽管私营部门并无义务遵守拟议的配额，但是鼓励它们遵守该配额。两性平等委员会还提议，政府应出台各种方案和倡议，鼓励私营机构遵守配额制度。</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政府继续要求新闻媒体进行各种宣传活动，通过这些活动来讨论妇女权利问题和《消除对妇女歧视公约》的各项条款。</w:t>
      </w:r>
      <w:r w:rsidRPr="001A700D">
        <w:rPr>
          <w:rFonts w:hint="eastAsia"/>
          <w:bCs/>
          <w:iCs/>
          <w:szCs w:val="21"/>
        </w:rPr>
        <w:t>2006</w:t>
      </w:r>
      <w:r w:rsidRPr="001A700D">
        <w:rPr>
          <w:rFonts w:hint="eastAsia"/>
          <w:bCs/>
          <w:iCs/>
          <w:szCs w:val="21"/>
        </w:rPr>
        <w:t>年，政府有计划地利用媒体作为工具，宣传《消除对妇女歧视公约》及其规定。</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szCs w:val="21"/>
        </w:rPr>
        <w:t>在政策层面，《国家性别政策草案》还提出，国家两性平等机制应确保将性别观点纳入国家各个组织的一切行动，特别是包括促进使用按性别分类的数据，促进在规划和报告中使用性别分析法，以及提高对妇女问题的关注等等。该草案还提出，每个组织都要任命一名性别问题协调人，该人应是决策高层的官员，作为性别主流化问题的协调人。</w:t>
      </w:r>
    </w:p>
    <w:p w:rsidR="00F41B4C" w:rsidRPr="00B7504E" w:rsidRDefault="00F41B4C" w:rsidP="00B7504E">
      <w:pPr>
        <w:pStyle w:val="H3"/>
        <w:rPr>
          <w:rFonts w:hint="eastAsia"/>
        </w:rPr>
      </w:pPr>
      <w:bookmarkStart w:id="59" w:name="_Toc221523948"/>
      <w:r w:rsidRPr="00B7504E">
        <w:t>第5条</w:t>
      </w:r>
      <w:r w:rsidRPr="00B7504E">
        <w:rPr>
          <w:rFonts w:hint="eastAsia"/>
        </w:rPr>
        <w:t>：</w:t>
      </w:r>
      <w:r w:rsidRPr="00B7504E">
        <w:t>社会和文化模式</w:t>
      </w:r>
      <w:r w:rsidRPr="00B7504E">
        <w:rPr>
          <w:rFonts w:hint="eastAsia"/>
        </w:rPr>
        <w:t>的</w:t>
      </w:r>
      <w:r w:rsidRPr="00B7504E">
        <w:t>改</w:t>
      </w:r>
      <w:r w:rsidRPr="00B7504E">
        <w:rPr>
          <w:rFonts w:hint="eastAsia"/>
        </w:rPr>
        <w:t>变</w:t>
      </w:r>
      <w:bookmarkEnd w:id="59"/>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 xml:space="preserve"> </w:t>
      </w:r>
      <w:r w:rsidRPr="001A700D">
        <w:rPr>
          <w:rFonts w:hint="eastAsia"/>
          <w:szCs w:val="21"/>
        </w:rPr>
        <w:t>法律委员会制定的两个方案涉及了对有害习俗惯例的管制问题，它们是：《与两性平等相关的法律改革方案》和《艾滋病毒和艾滋病防治立法方案》。</w:t>
      </w:r>
      <w:r w:rsidRPr="001A700D">
        <w:rPr>
          <w:rStyle w:val="FootnoteReference"/>
          <w:szCs w:val="21"/>
        </w:rPr>
        <w:footnoteReference w:id="20"/>
      </w:r>
      <w:r w:rsidRPr="001A700D">
        <w:rPr>
          <w:rFonts w:hint="eastAsia"/>
          <w:szCs w:val="21"/>
        </w:rPr>
        <w:t>在法律委员会采取这些行动之前，马拉维人权委员会（人权委员会）也进行了一项研究，以找出侵犯人权或妨碍享有人权的社会和文化习俗。</w:t>
      </w:r>
      <w:r w:rsidRPr="001A700D">
        <w:rPr>
          <w:rStyle w:val="FootnoteReference"/>
          <w:szCs w:val="21"/>
        </w:rPr>
        <w:footnoteReference w:id="21"/>
      </w:r>
      <w:r w:rsidRPr="001A700D">
        <w:rPr>
          <w:rFonts w:hint="eastAsia"/>
          <w:szCs w:val="21"/>
        </w:rPr>
        <w:t>根据人权委员会的调查结果及其他资料来源，</w:t>
      </w:r>
      <w:r w:rsidRPr="001A700D">
        <w:rPr>
          <w:rStyle w:val="FootnoteReference"/>
          <w:szCs w:val="21"/>
        </w:rPr>
        <w:footnoteReference w:id="22"/>
      </w:r>
      <w:r w:rsidRPr="001A700D">
        <w:rPr>
          <w:rFonts w:hint="eastAsia"/>
          <w:szCs w:val="21"/>
        </w:rPr>
        <w:t>法律委员会革除了一些已知完全是基于性、性别和婚姻状况而歧视妇女的习俗惯例。法律委员会提议禁止这些习俗，并对任何此类习俗的实施者予以刑事制裁。</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有关性别问题的法律改革委员会决定在三个主要领域优先实施直接立法干预措施，它们是：继承法；结婚和离婚法；以及两性平等法规。《遗嘱和</w:t>
      </w:r>
      <w:r w:rsidR="00B82BAE">
        <w:rPr>
          <w:rFonts w:hint="eastAsia"/>
          <w:bCs/>
          <w:iCs/>
          <w:szCs w:val="21"/>
        </w:rPr>
        <w:t>继承</w:t>
      </w:r>
      <w:r w:rsidRPr="001A700D">
        <w:rPr>
          <w:rFonts w:hint="eastAsia"/>
          <w:bCs/>
          <w:iCs/>
          <w:szCs w:val="21"/>
        </w:rPr>
        <w:t>法》是关于继承事项的主要立法，其中也纳入了某些习惯法原则。在对该法的审查中，委员会决定修订有关继承方面的这些条款，以减少配偶和直系亲属的困难。</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法律委员会还提议禁止一夫多妻制的婚姻制度以及其他习俗惯例，以确保消除习惯法所倡导的歧视性做法。</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bCs/>
          <w:iCs/>
          <w:szCs w:val="21"/>
        </w:rPr>
        <w:t>法律委员会进一步指出，上述习俗惯例在基于性、性别和婚姻状况而对妇女歧视的同时，还加快了艾滋病毒的传播。法律委员会指出，几乎在所有情况下，受到这些习俗惯例不利影响的都是妇女，并进一步提议在有关艾滋病毒和艾滋病的立法草案中禁止此类有害做法。</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 xml:space="preserve"> </w:t>
      </w:r>
      <w:r w:rsidRPr="001A700D">
        <w:rPr>
          <w:rFonts w:hint="eastAsia"/>
          <w:szCs w:val="21"/>
        </w:rPr>
        <w:t xml:space="preserve"> </w:t>
      </w:r>
      <w:r w:rsidRPr="001A700D">
        <w:rPr>
          <w:rFonts w:hint="eastAsia"/>
          <w:bCs/>
          <w:iCs/>
          <w:szCs w:val="21"/>
        </w:rPr>
        <w:t>妇女和儿童发展部已经出台了若干方案，以清除和减少对女性的不良文化影响。《妇女、女童与艾滋病毒方案》审查了一些有助于向妇女传播艾滋病毒的文化和传统习俗。其他方案包括培训传统部族领导人方案和反对有害文化习俗的媒体宣传方案。</w:t>
      </w:r>
    </w:p>
    <w:p w:rsidR="00F41B4C" w:rsidRPr="00B7504E" w:rsidRDefault="00F41B4C" w:rsidP="00B7504E">
      <w:pPr>
        <w:pStyle w:val="H3"/>
      </w:pPr>
      <w:bookmarkStart w:id="60" w:name="article6"/>
      <w:bookmarkStart w:id="61" w:name="_Toc221523949"/>
      <w:bookmarkEnd w:id="60"/>
      <w:r w:rsidRPr="00B7504E">
        <w:t>第6条</w:t>
      </w:r>
      <w:r w:rsidRPr="00B7504E">
        <w:rPr>
          <w:rFonts w:hint="eastAsia"/>
        </w:rPr>
        <w:t>：</w:t>
      </w:r>
      <w:r w:rsidRPr="00B7504E">
        <w:t>制止对妇女的剥削</w:t>
      </w:r>
      <w:bookmarkEnd w:id="61"/>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目前，尚无任何法律取缔贩卖和剥削妇女的行为。</w:t>
      </w:r>
      <w:r w:rsidRPr="001A700D">
        <w:rPr>
          <w:rFonts w:hint="eastAsia"/>
          <w:szCs w:val="21"/>
        </w:rPr>
        <w:t>2007</w:t>
      </w:r>
      <w:r w:rsidRPr="001A700D">
        <w:rPr>
          <w:rFonts w:hint="eastAsia"/>
          <w:szCs w:val="21"/>
        </w:rPr>
        <w:t>年，鉴于马拉维为遏制贩卖妇女和儿童行为所做出的努力，美国国务院将马拉维评为</w:t>
      </w:r>
      <w:r w:rsidRPr="001A700D">
        <w:rPr>
          <w:rFonts w:hint="eastAsia"/>
          <w:szCs w:val="21"/>
        </w:rPr>
        <w:t>1</w:t>
      </w:r>
      <w:r w:rsidRPr="001A700D">
        <w:rPr>
          <w:rFonts w:hint="eastAsia"/>
          <w:szCs w:val="21"/>
        </w:rPr>
        <w:t>类国家。</w:t>
      </w:r>
      <w:r w:rsidRPr="001A700D">
        <w:rPr>
          <w:rFonts w:hint="eastAsia"/>
          <w:szCs w:val="21"/>
        </w:rPr>
        <w:t>1</w:t>
      </w:r>
      <w:r w:rsidRPr="001A700D">
        <w:rPr>
          <w:rFonts w:hint="eastAsia"/>
          <w:szCs w:val="21"/>
        </w:rPr>
        <w:t>类属于排名最高的国家。</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不过，在美国国务院最近公布的报告中，马拉维的排名已经跌至</w:t>
      </w:r>
      <w:r w:rsidRPr="001A700D">
        <w:rPr>
          <w:rFonts w:hint="eastAsia"/>
          <w:szCs w:val="21"/>
        </w:rPr>
        <w:t>2</w:t>
      </w:r>
      <w:r w:rsidRPr="001A700D">
        <w:rPr>
          <w:rFonts w:hint="eastAsia"/>
          <w:szCs w:val="21"/>
        </w:rPr>
        <w:t>类，这意味着若要再次提升排名，有一些领域的问题马拉维必须解决。</w:t>
      </w:r>
      <w:r w:rsidRPr="001A700D">
        <w:rPr>
          <w:rStyle w:val="FootnoteReference"/>
          <w:szCs w:val="21"/>
        </w:rPr>
        <w:footnoteReference w:id="23"/>
      </w:r>
      <w:r w:rsidRPr="001A700D">
        <w:rPr>
          <w:rFonts w:hint="eastAsia"/>
          <w:szCs w:val="21"/>
        </w:rPr>
        <w:t>从</w:t>
      </w:r>
      <w:r w:rsidRPr="001A700D">
        <w:rPr>
          <w:rFonts w:hint="eastAsia"/>
          <w:szCs w:val="21"/>
        </w:rPr>
        <w:t>1</w:t>
      </w:r>
      <w:r w:rsidRPr="001A700D">
        <w:rPr>
          <w:rFonts w:hint="eastAsia"/>
          <w:szCs w:val="21"/>
        </w:rPr>
        <w:t>类掉下来的一些主要原因包括未能有效起诉和惩罚人贩子。</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有关马拉维境内外贩卖妇女事件的消息日益增多。</w:t>
      </w:r>
      <w:r w:rsidRPr="001A700D">
        <w:rPr>
          <w:rStyle w:val="FootnoteReference"/>
          <w:szCs w:val="21"/>
        </w:rPr>
        <w:footnoteReference w:id="24"/>
      </w:r>
      <w:r w:rsidRPr="001A700D">
        <w:rPr>
          <w:rFonts w:hint="eastAsia"/>
          <w:szCs w:val="21"/>
        </w:rPr>
        <w:t>在贩卖人口方面，马拉维既是来源国，又是过境国和目的地国。</w:t>
      </w:r>
      <w:r w:rsidRPr="001A700D">
        <w:rPr>
          <w:rStyle w:val="FootnoteReference"/>
          <w:szCs w:val="21"/>
        </w:rPr>
        <w:footnoteReference w:id="25"/>
      </w:r>
      <w:r w:rsidRPr="001A700D">
        <w:rPr>
          <w:rFonts w:hint="eastAsia"/>
          <w:szCs w:val="21"/>
        </w:rPr>
        <w:t>境外目的地从西欧、美国到南非，范围很广，妇女在那里往往被迫卖淫，受到剥削。在某些情况下，合法离开马拉维去求学或就业的女孩最终却遭到性剥削和经济剥削。</w:t>
      </w:r>
      <w:r w:rsidRPr="001A700D">
        <w:rPr>
          <w:rStyle w:val="FootnoteReference"/>
          <w:szCs w:val="21"/>
        </w:rPr>
        <w:footnoteReference w:id="26"/>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家庭中的剥削，特别是对家庭女佣的剥削，继续以惊人的速度增加。在大多数情况下，这些案件很少得到报告和处理，未能诉诸执法机构。</w:t>
      </w:r>
      <w:r w:rsidRPr="001A700D">
        <w:rPr>
          <w:rStyle w:val="FootnoteReference"/>
          <w:szCs w:val="21"/>
        </w:rPr>
        <w:footnoteReference w:id="27"/>
      </w:r>
      <w:r w:rsidRPr="001A700D">
        <w:rPr>
          <w:rFonts w:hint="eastAsia"/>
          <w:szCs w:val="21"/>
        </w:rPr>
        <w:t>政府已经意识到这一日益严重的问题，并已着手实施一项方案，以制定打击贩卖人口的法律。制定这项法律的法律委员会打算确立有关贩卖人口的四个核心领域：保护受害者；公众和利益攸关者参与；起诉罪犯；以及预防贩卖人口活动。</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没有关于包括卖淫、色情和贩卖活动在内的性剥削所涉及的妇女和儿童人数的数据，不过它们已被公认为社会问题。</w:t>
      </w:r>
      <w:r w:rsidRPr="001A700D">
        <w:rPr>
          <w:rStyle w:val="FootnoteReference"/>
          <w:szCs w:val="21"/>
        </w:rPr>
        <w:footnoteReference w:id="28"/>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在贩卖人口活动方面，国际移民组织（移民组织）的报告指出，长途货车司机在主要公路沿线招募妇女和女童，向</w:t>
      </w:r>
      <w:r w:rsidRPr="001A700D">
        <w:rPr>
          <w:rFonts w:hint="eastAsia"/>
          <w:szCs w:val="21"/>
        </w:rPr>
        <w:t>她们</w:t>
      </w:r>
      <w:r w:rsidRPr="001A700D">
        <w:rPr>
          <w:rFonts w:hint="eastAsia"/>
          <w:noProof/>
          <w:szCs w:val="21"/>
        </w:rPr>
        <w:t>许诺到南非就业、结婚或读书。</w:t>
      </w:r>
      <w:r w:rsidRPr="001A700D">
        <w:rPr>
          <w:rStyle w:val="FootnoteReference"/>
          <w:noProof/>
          <w:szCs w:val="21"/>
        </w:rPr>
        <w:footnoteReference w:id="29"/>
      </w:r>
      <w:r w:rsidRPr="001A700D">
        <w:rPr>
          <w:rFonts w:hint="eastAsia"/>
          <w:noProof/>
          <w:szCs w:val="21"/>
        </w:rPr>
        <w:t>他们在拜特布里奇或科马蒂普特无照越境。一旦到达约翰内斯堡，受害者就被扣留作为性奴隶。马拉维女商人也将受害者贩卖到约翰内斯堡的妓院。移民组织报告说，在南非每月驱逐回马拉维的</w:t>
      </w:r>
      <w:r w:rsidRPr="001A700D">
        <w:rPr>
          <w:rFonts w:hint="eastAsia"/>
          <w:noProof/>
          <w:szCs w:val="21"/>
        </w:rPr>
        <w:t>80</w:t>
      </w:r>
      <w:r w:rsidRPr="001A700D">
        <w:rPr>
          <w:rFonts w:hint="eastAsia"/>
          <w:noProof/>
          <w:szCs w:val="21"/>
        </w:rPr>
        <w:t>人中，至少有两名是贩卖活动的受害者。</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 xml:space="preserve"> </w:t>
      </w:r>
      <w:r w:rsidRPr="001A700D">
        <w:rPr>
          <w:rFonts w:hint="eastAsia"/>
          <w:noProof/>
          <w:szCs w:val="21"/>
        </w:rPr>
        <w:t>根据马拉维人权委员会的报告，</w:t>
      </w:r>
      <w:r w:rsidRPr="001A700D">
        <w:rPr>
          <w:rStyle w:val="FootnoteReference"/>
          <w:noProof/>
          <w:szCs w:val="21"/>
        </w:rPr>
        <w:footnoteReference w:id="30"/>
      </w:r>
      <w:r w:rsidRPr="001A700D">
        <w:rPr>
          <w:rFonts w:hint="eastAsia"/>
          <w:noProof/>
          <w:szCs w:val="21"/>
        </w:rPr>
        <w:t>在卡龙加和奇蒂帕这两个北部边境县的偏远地区，贫困家庭的年轻女孩被卖给富人作性奴隶。一些家长用自己的女儿偿还债务。在马拉维北部地区，居住在马拉维湖沿岸、坦桑尼亚边境沿线和</w:t>
      </w:r>
      <w:r w:rsidRPr="001A700D">
        <w:rPr>
          <w:rFonts w:hint="eastAsia"/>
          <w:noProof/>
          <w:szCs w:val="21"/>
        </w:rPr>
        <w:t>Misuku</w:t>
      </w:r>
      <w:r w:rsidRPr="001A700D">
        <w:rPr>
          <w:rFonts w:hint="eastAsia"/>
          <w:noProof/>
          <w:szCs w:val="21"/>
        </w:rPr>
        <w:t>山的</w:t>
      </w:r>
      <w:r w:rsidRPr="001A700D">
        <w:rPr>
          <w:rFonts w:hint="eastAsia"/>
          <w:noProof/>
          <w:szCs w:val="21"/>
        </w:rPr>
        <w:t>Nyakyusa</w:t>
      </w:r>
      <w:r w:rsidRPr="001A700D">
        <w:rPr>
          <w:rFonts w:hint="eastAsia"/>
          <w:noProof/>
          <w:szCs w:val="21"/>
        </w:rPr>
        <w:t>人和</w:t>
      </w:r>
      <w:r w:rsidRPr="001A700D">
        <w:rPr>
          <w:rFonts w:hint="eastAsia"/>
          <w:noProof/>
          <w:szCs w:val="21"/>
        </w:rPr>
        <w:t>Ngonde</w:t>
      </w:r>
      <w:r w:rsidRPr="001A700D">
        <w:rPr>
          <w:rFonts w:hint="eastAsia"/>
          <w:noProof/>
          <w:szCs w:val="21"/>
        </w:rPr>
        <w:t>人沿袭着一种名为</w:t>
      </w:r>
      <w:r w:rsidRPr="001A700D">
        <w:rPr>
          <w:rFonts w:hint="eastAsia"/>
          <w:noProof/>
          <w:szCs w:val="21"/>
        </w:rPr>
        <w:t>kupimbira</w:t>
      </w:r>
      <w:r w:rsidRPr="001A700D">
        <w:rPr>
          <w:rFonts w:hint="eastAsia"/>
          <w:noProof/>
          <w:szCs w:val="21"/>
        </w:rPr>
        <w:t>（用女童还债）的传统习俗。根据这一传统，女孩被终生囚禁，并经常遭受虐待。</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访问马拉维的欧洲游客对儿童进行性剥削。他们在马拉维湖沿岸的度假胜地招募女童和男童。在某些情况下，性游客是从事各种合法活动的马拉维居民。例如，</w:t>
      </w:r>
      <w:r w:rsidRPr="001A700D">
        <w:rPr>
          <w:rFonts w:hint="eastAsia"/>
          <w:noProof/>
          <w:szCs w:val="21"/>
        </w:rPr>
        <w:t>2002</w:t>
      </w:r>
      <w:r w:rsidRPr="001A700D">
        <w:rPr>
          <w:rFonts w:hint="eastAsia"/>
          <w:noProof/>
          <w:szCs w:val="21"/>
        </w:rPr>
        <w:t>年，一名英国公民因涉嫌鸡奸流浪儿童而被逮捕。他被判决有罪，而且马拉维最高上诉法院维持了对他的有罪判决，但是</w:t>
      </w:r>
      <w:r w:rsidRPr="001A700D">
        <w:rPr>
          <w:rFonts w:hint="eastAsia"/>
          <w:noProof/>
          <w:szCs w:val="21"/>
        </w:rPr>
        <w:t>2003</w:t>
      </w:r>
      <w:r w:rsidRPr="001A700D">
        <w:rPr>
          <w:rFonts w:hint="eastAsia"/>
          <w:noProof/>
          <w:szCs w:val="21"/>
        </w:rPr>
        <w:t>年</w:t>
      </w:r>
      <w:r w:rsidRPr="001A700D">
        <w:rPr>
          <w:rFonts w:hint="eastAsia"/>
          <w:noProof/>
          <w:szCs w:val="21"/>
        </w:rPr>
        <w:t>5</w:t>
      </w:r>
      <w:r w:rsidRPr="001A700D">
        <w:rPr>
          <w:rFonts w:hint="eastAsia"/>
          <w:noProof/>
          <w:szCs w:val="21"/>
        </w:rPr>
        <w:t>月，他得到了前国家元首的宽恕。</w:t>
      </w:r>
      <w:r w:rsidRPr="001A700D">
        <w:rPr>
          <w:rStyle w:val="FootnoteReference"/>
          <w:noProof/>
          <w:szCs w:val="21"/>
        </w:rPr>
        <w:footnoteReference w:id="31"/>
      </w:r>
      <w:r w:rsidRPr="001A700D">
        <w:rPr>
          <w:rFonts w:hint="eastAsia"/>
          <w:noProof/>
          <w:szCs w:val="21"/>
        </w:rPr>
        <w:t>他被定三项罪名，并被判处</w:t>
      </w:r>
      <w:r w:rsidRPr="001A700D">
        <w:rPr>
          <w:rFonts w:hint="eastAsia"/>
          <w:noProof/>
          <w:szCs w:val="21"/>
        </w:rPr>
        <w:t>12</w:t>
      </w:r>
      <w:r w:rsidRPr="001A700D">
        <w:rPr>
          <w:rFonts w:hint="eastAsia"/>
          <w:noProof/>
          <w:szCs w:val="21"/>
        </w:rPr>
        <w:t>年监禁和劳役。他只服了</w:t>
      </w:r>
      <w:r w:rsidRPr="001A700D">
        <w:rPr>
          <w:rFonts w:hint="eastAsia"/>
          <w:noProof/>
          <w:szCs w:val="21"/>
        </w:rPr>
        <w:t>1</w:t>
      </w:r>
      <w:r w:rsidRPr="001A700D">
        <w:rPr>
          <w:rFonts w:hint="eastAsia"/>
          <w:noProof/>
          <w:szCs w:val="21"/>
        </w:rPr>
        <w:t>年零</w:t>
      </w:r>
      <w:r w:rsidRPr="001A700D">
        <w:rPr>
          <w:rFonts w:hint="eastAsia"/>
          <w:noProof/>
          <w:szCs w:val="21"/>
        </w:rPr>
        <w:t>6</w:t>
      </w:r>
      <w:r w:rsidRPr="001A700D">
        <w:rPr>
          <w:rFonts w:hint="eastAsia"/>
          <w:noProof/>
          <w:szCs w:val="21"/>
        </w:rPr>
        <w:t>个月的刑，并在此后被驱逐出境。</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 xml:space="preserve"> </w:t>
      </w:r>
      <w:r w:rsidRPr="001A700D">
        <w:rPr>
          <w:rFonts w:hint="eastAsia"/>
          <w:noProof/>
          <w:szCs w:val="21"/>
        </w:rPr>
        <w:t>此外，马拉维有人因贩卖人体部件或器官而被逮捕，这种行径往往与巫术或邪教有关。</w:t>
      </w:r>
      <w:r w:rsidRPr="001A700D">
        <w:rPr>
          <w:rFonts w:hint="eastAsia"/>
          <w:noProof/>
          <w:szCs w:val="21"/>
        </w:rPr>
        <w:t xml:space="preserve"> 2003</w:t>
      </w:r>
      <w:r w:rsidRPr="001A700D">
        <w:rPr>
          <w:rFonts w:hint="eastAsia"/>
          <w:noProof/>
          <w:szCs w:val="21"/>
        </w:rPr>
        <w:t>年</w:t>
      </w:r>
      <w:r w:rsidRPr="001A700D">
        <w:rPr>
          <w:rFonts w:hint="eastAsia"/>
          <w:noProof/>
          <w:szCs w:val="21"/>
        </w:rPr>
        <w:t>5</w:t>
      </w:r>
      <w:r w:rsidRPr="001A700D">
        <w:rPr>
          <w:rFonts w:hint="eastAsia"/>
          <w:noProof/>
          <w:szCs w:val="21"/>
        </w:rPr>
        <w:t>月，</w:t>
      </w:r>
      <w:r w:rsidRPr="001A700D">
        <w:rPr>
          <w:rFonts w:hint="eastAsia"/>
          <w:noProof/>
          <w:szCs w:val="21"/>
        </w:rPr>
        <w:t>7</w:t>
      </w:r>
      <w:r w:rsidRPr="001A700D">
        <w:rPr>
          <w:rFonts w:hint="eastAsia"/>
          <w:noProof/>
          <w:szCs w:val="21"/>
        </w:rPr>
        <w:t>人被控贩卖人体部件，并被判处</w:t>
      </w:r>
      <w:r w:rsidRPr="001A700D">
        <w:rPr>
          <w:rFonts w:hint="eastAsia"/>
          <w:noProof/>
          <w:szCs w:val="21"/>
        </w:rPr>
        <w:t>14</w:t>
      </w:r>
      <w:r w:rsidRPr="001A700D">
        <w:rPr>
          <w:rFonts w:hint="eastAsia"/>
          <w:noProof/>
          <w:szCs w:val="21"/>
        </w:rPr>
        <w:t>年监禁。同月，一名妇女因为在提供教育和就业机会的幌子下贩运女童到欧洲卖淫而受审。其中一名受害者在逃离德国一家妓院后向警方报案。</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 xml:space="preserve"> </w:t>
      </w:r>
      <w:r w:rsidRPr="001A700D">
        <w:rPr>
          <w:rFonts w:hint="eastAsia"/>
          <w:noProof/>
          <w:szCs w:val="21"/>
        </w:rPr>
        <w:t>更早一些，即</w:t>
      </w:r>
      <w:r w:rsidRPr="001A700D">
        <w:rPr>
          <w:rFonts w:hint="eastAsia"/>
          <w:noProof/>
          <w:szCs w:val="21"/>
        </w:rPr>
        <w:t>1999</w:t>
      </w:r>
      <w:r w:rsidRPr="001A700D">
        <w:rPr>
          <w:rFonts w:hint="eastAsia"/>
          <w:noProof/>
          <w:szCs w:val="21"/>
        </w:rPr>
        <w:t>年，在警方的一次突袭中，三名来自利隆圭的女孩在一家性俱乐部被捕，一名当地女商人因为</w:t>
      </w:r>
      <w:r w:rsidRPr="001A700D">
        <w:rPr>
          <w:rFonts w:hint="eastAsia"/>
          <w:szCs w:val="21"/>
        </w:rPr>
        <w:t>介绍</w:t>
      </w:r>
      <w:r w:rsidRPr="001A700D">
        <w:rPr>
          <w:rFonts w:hint="eastAsia"/>
          <w:noProof/>
          <w:szCs w:val="21"/>
        </w:rPr>
        <w:t>妇女到马拉维境外卖淫而受审，但是由于技术原因又被释放。</w:t>
      </w:r>
      <w:r w:rsidRPr="001A700D">
        <w:rPr>
          <w:rStyle w:val="FootnoteReference"/>
          <w:noProof/>
          <w:szCs w:val="21"/>
        </w:rPr>
        <w:footnoteReference w:id="32"/>
      </w:r>
      <w:r w:rsidRPr="001A700D">
        <w:rPr>
          <w:rFonts w:hint="eastAsia"/>
          <w:noProof/>
          <w:szCs w:val="21"/>
        </w:rPr>
        <w:t>在荷兰逗留期间，这些年龄在</w:t>
      </w:r>
      <w:r w:rsidRPr="001A700D">
        <w:rPr>
          <w:rFonts w:hint="eastAsia"/>
          <w:noProof/>
          <w:szCs w:val="21"/>
        </w:rPr>
        <w:t>15</w:t>
      </w:r>
      <w:r w:rsidRPr="001A700D">
        <w:rPr>
          <w:rFonts w:hint="eastAsia"/>
          <w:noProof/>
          <w:szCs w:val="21"/>
        </w:rPr>
        <w:t>至</w:t>
      </w:r>
      <w:r w:rsidRPr="001A700D">
        <w:rPr>
          <w:rFonts w:hint="eastAsia"/>
          <w:noProof/>
          <w:szCs w:val="21"/>
        </w:rPr>
        <w:t>19</w:t>
      </w:r>
      <w:r w:rsidRPr="001A700D">
        <w:rPr>
          <w:rFonts w:hint="eastAsia"/>
          <w:noProof/>
          <w:szCs w:val="21"/>
        </w:rPr>
        <w:t>岁之间的女孩曾遭受过各种侮辱，先是人口贩子的侮辱，后来是以</w:t>
      </w:r>
      <w:r w:rsidRPr="001A700D">
        <w:rPr>
          <w:rFonts w:hint="eastAsia"/>
          <w:noProof/>
          <w:szCs w:val="21"/>
        </w:rPr>
        <w:t>1</w:t>
      </w:r>
      <w:r w:rsidRPr="001A700D">
        <w:rPr>
          <w:rFonts w:hint="eastAsia"/>
          <w:noProof/>
          <w:szCs w:val="21"/>
        </w:rPr>
        <w:t>万美元买下她们的尼日利亚商人的侮辱。</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 xml:space="preserve"> </w:t>
      </w:r>
      <w:r w:rsidRPr="001A700D">
        <w:rPr>
          <w:rFonts w:hint="eastAsia"/>
          <w:szCs w:val="21"/>
        </w:rPr>
        <w:t>立法措施包括法律委员会对《刑法》进行审查</w:t>
      </w:r>
      <w:r w:rsidRPr="001A700D">
        <w:rPr>
          <w:rStyle w:val="FootnoteReference"/>
          <w:szCs w:val="21"/>
        </w:rPr>
        <w:footnoteReference w:id="33"/>
      </w:r>
      <w:r w:rsidRPr="001A700D">
        <w:rPr>
          <w:rFonts w:hint="eastAsia"/>
          <w:szCs w:val="21"/>
        </w:rPr>
        <w:t>和制定打击贩卖人口法。这些努力旨在确保人贩子不能再像现在这样钻法律的空子。</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 xml:space="preserve"> </w:t>
      </w:r>
      <w:r w:rsidRPr="001A700D">
        <w:rPr>
          <w:rFonts w:hint="eastAsia"/>
          <w:noProof/>
          <w:szCs w:val="21"/>
        </w:rPr>
        <w:t>卖淫在马拉维基本上没有受到管制。从事商业性色情产业的妇女不时被警方逮捕，而这几乎总是招致妇女组织的强烈抗议，认为逮捕具有歧视性，因为介绍卖淫的男子并未被拘捕。缺少条例规定往往不利于频频遭受客户肉体虐待的妇女性工作者。已经尝试在城市地区关闭妓院、逮捕皮条客，以遏制艾滋病毒的蔓延。</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为保护妇女和儿童，警察署和移民局正在执行各种方案并建立各种机制。这些机制包括受害者支助单位和儿童保护单位，向受害者提供支助和庇护。</w:t>
      </w:r>
      <w:r w:rsidRPr="001A700D">
        <w:rPr>
          <w:rFonts w:hint="eastAsia"/>
          <w:szCs w:val="21"/>
        </w:rPr>
        <w:t>2005</w:t>
      </w:r>
      <w:r w:rsidRPr="001A700D">
        <w:rPr>
          <w:rFonts w:hint="eastAsia"/>
          <w:szCs w:val="21"/>
        </w:rPr>
        <w:t>年，对边境检查站中的警察和移民官员以及其他执法人员开展了认识贩卖人口和儿童问题的宣传活动。这一活动是由国际移民组织与法律委员会合作开展的。因此，边境执法人员现在高度警惕，随时准备拦截人贩子。这项提高认识活动也有社区警务人员参加。</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 xml:space="preserve"> </w:t>
      </w:r>
      <w:r w:rsidRPr="001A700D">
        <w:rPr>
          <w:rFonts w:hint="eastAsia"/>
          <w:noProof/>
          <w:szCs w:val="21"/>
        </w:rPr>
        <w:t>移民局还出台了一些打击贩卖妇女儿童的措施。例如，该局</w:t>
      </w:r>
      <w:r w:rsidR="0037751F">
        <w:rPr>
          <w:rFonts w:hint="eastAsia"/>
          <w:noProof/>
          <w:szCs w:val="21"/>
        </w:rPr>
        <w:t>做出</w:t>
      </w:r>
      <w:r w:rsidRPr="001A700D">
        <w:rPr>
          <w:rFonts w:hint="eastAsia"/>
          <w:noProof/>
          <w:szCs w:val="21"/>
        </w:rPr>
        <w:t>了一项要求，即任何携带儿童出国旅行者要有回程票，以确保他们返回国内。</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妇女和儿童发展部正在通过其县级社区发展官员提高人们对性剥削问题的认识。不过，在帮助获救后没有其他收入来源和支助的受害者方面，县级社区发展官员的能力受到了挑战。缺少遣送儿童回家的运输工具和资源以及需要支助获救儿童使其不再重操旧业，这仍然是一个难题。</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县级社会福利官员与社区儿童保护官员在社区一级共同开展工作，鼓励建立儿童权利俱乐部，以解决对儿童的性虐待及其他保护问题。正在针对青春期少女进行生活技能培训，以减少各个层面的剥削。有一种日益增长的趋势，就是女童在被餐馆招工之后才知道她们要跟付钱的男人睡觉。县级社会福利官员特别积极地参与拦截犯罪者和帮助受害者康复。</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2007</w:t>
      </w:r>
      <w:r w:rsidRPr="001A700D">
        <w:rPr>
          <w:rFonts w:hint="eastAsia"/>
          <w:szCs w:val="21"/>
        </w:rPr>
        <w:t>年，政府使社区儿童保护工作者的人数从</w:t>
      </w:r>
      <w:r w:rsidRPr="001A700D">
        <w:rPr>
          <w:rFonts w:hint="eastAsia"/>
          <w:szCs w:val="21"/>
        </w:rPr>
        <w:t>243</w:t>
      </w:r>
      <w:r w:rsidRPr="001A700D">
        <w:rPr>
          <w:rFonts w:hint="eastAsia"/>
          <w:szCs w:val="21"/>
        </w:rPr>
        <w:t>人增加到</w:t>
      </w:r>
      <w:r w:rsidRPr="001A700D">
        <w:rPr>
          <w:rFonts w:hint="eastAsia"/>
          <w:szCs w:val="21"/>
        </w:rPr>
        <w:t>602</w:t>
      </w:r>
      <w:r w:rsidRPr="001A700D">
        <w:rPr>
          <w:rFonts w:hint="eastAsia"/>
          <w:szCs w:val="21"/>
        </w:rPr>
        <w:t>人。这一活动还在进行，其目的是扩展社区儿童保护工作者的工作范围。预计到</w:t>
      </w:r>
      <w:r w:rsidRPr="001A700D">
        <w:rPr>
          <w:rFonts w:hint="eastAsia"/>
          <w:szCs w:val="21"/>
        </w:rPr>
        <w:t>2008</w:t>
      </w:r>
      <w:r w:rsidRPr="001A700D">
        <w:rPr>
          <w:rFonts w:hint="eastAsia"/>
          <w:szCs w:val="21"/>
        </w:rPr>
        <w:t>年底，受过培训的社区儿童保护工作者将达</w:t>
      </w:r>
      <w:r w:rsidRPr="001A700D">
        <w:rPr>
          <w:rFonts w:hint="eastAsia"/>
          <w:szCs w:val="21"/>
        </w:rPr>
        <w:t>800</w:t>
      </w:r>
      <w:r w:rsidRPr="001A700D">
        <w:rPr>
          <w:rFonts w:hint="eastAsia"/>
          <w:szCs w:val="21"/>
        </w:rPr>
        <w:t>人，已为这一任务分配了资金。该培训为期五周。</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儿童受害者通过社会福利官员、儿童保护官员、医务工作者和受害者支助单位的个别辅导进行恢复和康复。</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妇女和儿童发展部还建立了一个打击贩卖儿童活动的全国性网络，该网络由非政府组织组成，它们向儿童保护技术工作组汇报。该网络已经建立，以便就消除贩卖儿童行为提供援助，并提供回归社会和康复方面的支助。</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 xml:space="preserve"> </w:t>
      </w:r>
      <w:r w:rsidRPr="001A700D">
        <w:rPr>
          <w:rFonts w:hint="eastAsia"/>
          <w:noProof/>
          <w:szCs w:val="21"/>
        </w:rPr>
        <w:t>终止儿童卖淫、儿童色情制品和为性目的贩卖儿童国际在马拉维、莫桑比克和南非发起了一项针对商业化性剥削儿童受害者的项目。该项目旨在使儿童更多地参与打击商业化性剥削，增强儿童的生活技能，提高受害者恢复及回归社会方案的质量，并减少受害者的孤独感。一个地方性的非政府组织“儿童之眼”将在马拉维实施该项目。</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政府还在</w:t>
      </w:r>
      <w:r w:rsidRPr="001A700D">
        <w:rPr>
          <w:rFonts w:hint="eastAsia"/>
          <w:szCs w:val="21"/>
        </w:rPr>
        <w:t>2007</w:t>
      </w:r>
      <w:r w:rsidRPr="001A700D">
        <w:rPr>
          <w:rFonts w:hint="eastAsia"/>
          <w:szCs w:val="21"/>
        </w:rPr>
        <w:t>年发起了“制止虐待儿童运动”，尽管该运动针对的是儿童，它通常同时针对女童。这一运动的主攻方向是打击贩卖人口、童工、童婚和虐待。</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noProof/>
          <w:szCs w:val="21"/>
        </w:rPr>
        <w:t xml:space="preserve"> </w:t>
      </w:r>
      <w:r w:rsidRPr="001A700D">
        <w:rPr>
          <w:rFonts w:hint="eastAsia"/>
          <w:noProof/>
          <w:szCs w:val="21"/>
        </w:rPr>
        <w:t>政府还在起草《儿童保护政策》，并有望在</w:t>
      </w:r>
      <w:r w:rsidRPr="001A700D">
        <w:rPr>
          <w:rFonts w:hint="eastAsia"/>
          <w:noProof/>
          <w:szCs w:val="21"/>
        </w:rPr>
        <w:t>2008</w:t>
      </w:r>
      <w:r w:rsidRPr="001A700D">
        <w:rPr>
          <w:rFonts w:hint="eastAsia"/>
          <w:noProof/>
          <w:szCs w:val="21"/>
        </w:rPr>
        <w:t>年完稿。最近，国际移民组织（移民组织）在比勒陀利亚启动了一个耗资</w:t>
      </w:r>
      <w:r w:rsidRPr="001A700D">
        <w:rPr>
          <w:rFonts w:hint="eastAsia"/>
          <w:noProof/>
          <w:szCs w:val="21"/>
        </w:rPr>
        <w:t>190</w:t>
      </w:r>
      <w:r w:rsidRPr="001A700D">
        <w:rPr>
          <w:rFonts w:hint="eastAsia"/>
          <w:noProof/>
          <w:szCs w:val="21"/>
        </w:rPr>
        <w:t>万美元、为期</w:t>
      </w:r>
      <w:r w:rsidRPr="001A700D">
        <w:rPr>
          <w:rFonts w:hint="eastAsia"/>
          <w:noProof/>
          <w:szCs w:val="21"/>
        </w:rPr>
        <w:t>2</w:t>
      </w:r>
      <w:r w:rsidRPr="001A700D">
        <w:rPr>
          <w:rFonts w:hint="eastAsia"/>
          <w:noProof/>
          <w:szCs w:val="21"/>
        </w:rPr>
        <w:t>年的方案，以防止贩卖人口，保护受害者并向其提供康复援助，或者提供返回家园、回归社会的选择自由。该方案将注重研究并传播整个地区的打击贩卖人口活动的数据，同时提高执法机构和非政府组织服务提供者的能力，使其能够识别和帮助潜在的受害者。移民组织与政府和非政府组织合作伙伴共同努力，向受害者提供一些康复选项，并帮助受害者自愿遣返和回归社会。移民组织还承诺支持拟由法律委员会实施的贩卖人口问题立法审查方案。</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一些非政府组织也主动打击贩卖人口活动，甚至通过向陷入商业化性剥削者传授职业技能，帮助受害者在事后回归社会并康复身心。</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马拉维打击贩卖儿童网络（打击贩卖儿童网络）</w:t>
      </w:r>
      <w:r w:rsidRPr="001A700D">
        <w:rPr>
          <w:rStyle w:val="FootnoteReference"/>
          <w:szCs w:val="21"/>
        </w:rPr>
        <w:footnoteReference w:id="34"/>
      </w:r>
      <w:r w:rsidRPr="001A700D">
        <w:rPr>
          <w:rFonts w:hint="eastAsia"/>
          <w:szCs w:val="21"/>
        </w:rPr>
        <w:t>在</w:t>
      </w:r>
      <w:r w:rsidRPr="001A700D">
        <w:rPr>
          <w:rFonts w:hint="eastAsia"/>
          <w:szCs w:val="21"/>
        </w:rPr>
        <w:t>2008</w:t>
      </w:r>
      <w:r w:rsidRPr="001A700D">
        <w:rPr>
          <w:rFonts w:hint="eastAsia"/>
          <w:szCs w:val="21"/>
        </w:rPr>
        <w:t>年委托有关方面进行了一项研究，以评估贩卖人口在马拉维达到的程度。这项活动主要针对的是儿童，不过人们希望，从这项研究获得的信息将十分有助于产生有关马拉维贩卖人口情况的更多统计数字。</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有关贩卖人口的拟议立法应该包含贩卖人口的定义，严厉惩罚实施贩卖的罪犯，促进对受害者及其权利的保护，并解决境内外的贩卖问题。特别法律委员会已经审议了是否应有一个独立的机构来处理贩卖问题，或者是否应有一个包括所有利益攸关方在内的特别工作组，但尚未就此得出结论。预计特别法律委员会的报告会在</w:t>
      </w:r>
      <w:r w:rsidRPr="001A700D">
        <w:rPr>
          <w:rFonts w:hint="eastAsia"/>
          <w:szCs w:val="21"/>
        </w:rPr>
        <w:t>2008</w:t>
      </w:r>
      <w:r w:rsidRPr="001A700D">
        <w:rPr>
          <w:rFonts w:hint="eastAsia"/>
          <w:szCs w:val="21"/>
        </w:rPr>
        <w:t>年</w:t>
      </w:r>
      <w:r w:rsidRPr="001A700D">
        <w:rPr>
          <w:rFonts w:hint="eastAsia"/>
          <w:szCs w:val="21"/>
        </w:rPr>
        <w:t>10</w:t>
      </w:r>
      <w:r w:rsidRPr="001A700D">
        <w:rPr>
          <w:rFonts w:hint="eastAsia"/>
          <w:szCs w:val="21"/>
        </w:rPr>
        <w:t>月发表。</w:t>
      </w:r>
    </w:p>
    <w:p w:rsidR="00F41B4C" w:rsidRPr="00B7504E" w:rsidRDefault="00B77AE3" w:rsidP="00B7504E">
      <w:pPr>
        <w:pStyle w:val="H3"/>
      </w:pPr>
      <w:r>
        <w:br w:type="page"/>
      </w:r>
      <w:bookmarkStart w:id="62" w:name="_Toc221523950"/>
      <w:r w:rsidR="00F41B4C" w:rsidRPr="00B7504E">
        <w:rPr>
          <w:rFonts w:hint="eastAsia"/>
        </w:rPr>
        <w:t>第7条：平等参与国家政治和公共生活</w:t>
      </w:r>
      <w:bookmarkEnd w:id="62"/>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bookmarkStart w:id="63" w:name="part2"/>
      <w:bookmarkStart w:id="64" w:name="article7"/>
      <w:bookmarkEnd w:id="63"/>
      <w:bookmarkEnd w:id="64"/>
      <w:r w:rsidRPr="001A700D">
        <w:rPr>
          <w:rFonts w:hint="eastAsia"/>
          <w:szCs w:val="21"/>
        </w:rPr>
        <w:t xml:space="preserve"> </w:t>
      </w:r>
      <w:r w:rsidRPr="001A700D">
        <w:rPr>
          <w:rFonts w:hint="eastAsia"/>
          <w:szCs w:val="21"/>
        </w:rPr>
        <w:t>政坛仍然是一个男女不平等时有表现的领域。在关键的决策职位上，妇女在数量上远远不及其男同事。</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《宪法》规定了法律上的平等，而且还规定，应该通过立法来解决社会的不平等现象。在审议中，两性平等委员会认为，《宪法》的这一规定为采用特别措施以加速事实上的两性平等奠定了基础。</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妇女自</w:t>
      </w:r>
      <w:r w:rsidRPr="001A700D">
        <w:rPr>
          <w:rFonts w:hint="eastAsia"/>
          <w:szCs w:val="21"/>
        </w:rPr>
        <w:t>1994</w:t>
      </w:r>
      <w:r w:rsidRPr="001A700D">
        <w:rPr>
          <w:rFonts w:hint="eastAsia"/>
          <w:szCs w:val="21"/>
        </w:rPr>
        <w:t>年起有资格投票选举和被选举担任公职。选举委员会指出，大选期间的实际投票人数中，妇女超过男子。</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有一些因素阻碍着妇女在议会中取得人数优势和得到有效代表。尽管妇女有权在与男子平等的基础上代表某一政党或事业竞选，但是有许多根本性的因素在阻碍着她们。最为突出的主要原因，是议会要求使用英语作为交流媒介，以及缺少财政资源。</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关于财政资源，政治生活需要大量的财政资源来支持政治选举。由于所受的教育有限，妇女获得财政资源的机会通常也有限，因此，她们无法与男子在同一起跑线上竞争。</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使妇女较少参与公共和政治生活的另一个问题，是妇女的投票能力。在大多数情况下选民都有重男轻女的倾向，这是因为存在根深蒂固的陈旧观念，认为政治领域完全是男人的天下。即使是在一些妇女获选公职并成功代表其选民的地方，情况也是如此。</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rFonts w:eastAsia="Batang"/>
          <w:bCs/>
          <w:szCs w:val="21"/>
        </w:rPr>
      </w:pPr>
      <w:r w:rsidRPr="001A700D">
        <w:rPr>
          <w:rFonts w:hint="eastAsia"/>
          <w:bCs/>
          <w:szCs w:val="21"/>
        </w:rPr>
        <w:t xml:space="preserve"> </w:t>
      </w:r>
      <w:r w:rsidRPr="001A700D">
        <w:rPr>
          <w:rFonts w:eastAsia="Batang" w:hint="eastAsia"/>
          <w:bCs/>
          <w:szCs w:val="21"/>
        </w:rPr>
        <w:t>在</w:t>
      </w:r>
      <w:r w:rsidRPr="001A700D">
        <w:rPr>
          <w:rFonts w:ascii="SimSun" w:hAnsi="SimSun" w:cs="SimSun" w:hint="eastAsia"/>
          <w:bCs/>
          <w:szCs w:val="21"/>
        </w:rPr>
        <w:t>内阁</w:t>
      </w:r>
      <w:r w:rsidRPr="001A700D">
        <w:rPr>
          <w:rFonts w:ascii="Batang" w:eastAsia="Batang" w:hAnsi="Batang" w:cs="Batang" w:hint="eastAsia"/>
          <w:bCs/>
          <w:szCs w:val="21"/>
        </w:rPr>
        <w:t>一</w:t>
      </w:r>
      <w:r w:rsidRPr="001A700D">
        <w:rPr>
          <w:rFonts w:ascii="SimSun" w:hAnsi="SimSun" w:cs="SimSun" w:hint="eastAsia"/>
          <w:bCs/>
          <w:szCs w:val="21"/>
        </w:rPr>
        <w:t>级</w:t>
      </w:r>
      <w:r w:rsidRPr="001A700D">
        <w:rPr>
          <w:rFonts w:ascii="Batang" w:eastAsia="Batang" w:hAnsi="Batang" w:cs="Batang" w:hint="eastAsia"/>
          <w:bCs/>
          <w:szCs w:val="21"/>
        </w:rPr>
        <w:t>，有</w:t>
      </w:r>
      <w:r w:rsidRPr="001A700D">
        <w:rPr>
          <w:rFonts w:eastAsia="Batang" w:hint="eastAsia"/>
          <w:bCs/>
          <w:szCs w:val="21"/>
        </w:rPr>
        <w:t>38</w:t>
      </w:r>
      <w:r w:rsidRPr="001A700D">
        <w:rPr>
          <w:rFonts w:eastAsia="Batang" w:hint="eastAsia"/>
          <w:bCs/>
          <w:szCs w:val="21"/>
        </w:rPr>
        <w:t>名</w:t>
      </w:r>
      <w:r w:rsidRPr="001A700D">
        <w:rPr>
          <w:rFonts w:ascii="SimSun" w:hAnsi="SimSun" w:cs="SimSun" w:hint="eastAsia"/>
          <w:bCs/>
          <w:szCs w:val="21"/>
        </w:rPr>
        <w:t>内阁</w:t>
      </w:r>
      <w:r w:rsidRPr="001A700D">
        <w:rPr>
          <w:rFonts w:ascii="Batang" w:eastAsia="Batang" w:hAnsi="Batang" w:cs="Batang" w:hint="eastAsia"/>
          <w:bCs/>
          <w:szCs w:val="21"/>
        </w:rPr>
        <w:t>部</w:t>
      </w:r>
      <w:r w:rsidRPr="001A700D">
        <w:rPr>
          <w:rFonts w:ascii="SimSun" w:hAnsi="SimSun" w:cs="SimSun" w:hint="eastAsia"/>
          <w:bCs/>
          <w:szCs w:val="21"/>
        </w:rPr>
        <w:t>长</w:t>
      </w:r>
      <w:r w:rsidRPr="001A700D">
        <w:rPr>
          <w:rFonts w:ascii="Batang" w:eastAsia="Batang" w:hAnsi="Batang" w:cs="Batang" w:hint="eastAsia"/>
          <w:bCs/>
          <w:szCs w:val="21"/>
        </w:rPr>
        <w:t>（</w:t>
      </w:r>
      <w:r w:rsidRPr="001A700D">
        <w:rPr>
          <w:rFonts w:ascii="Batang" w:hAnsi="Batang" w:cs="Batang" w:hint="eastAsia"/>
          <w:bCs/>
          <w:szCs w:val="21"/>
        </w:rPr>
        <w:t>正副部长各</w:t>
      </w:r>
      <w:r w:rsidRPr="001A700D">
        <w:rPr>
          <w:rFonts w:eastAsia="Batang" w:hint="eastAsia"/>
          <w:bCs/>
          <w:szCs w:val="21"/>
        </w:rPr>
        <w:t>19</w:t>
      </w:r>
      <w:r w:rsidRPr="001A700D">
        <w:rPr>
          <w:rFonts w:eastAsia="Batang" w:hint="eastAsia"/>
          <w:bCs/>
          <w:szCs w:val="21"/>
        </w:rPr>
        <w:t>名</w:t>
      </w:r>
      <w:r w:rsidRPr="001A700D">
        <w:rPr>
          <w:rFonts w:ascii="Batang" w:eastAsia="Batang" w:hAnsi="Batang" w:cs="Batang" w:hint="eastAsia"/>
          <w:bCs/>
          <w:szCs w:val="21"/>
        </w:rPr>
        <w:t>），女性只有</w:t>
      </w:r>
      <w:r w:rsidRPr="001A700D">
        <w:rPr>
          <w:rFonts w:eastAsia="Batang" w:hint="eastAsia"/>
          <w:bCs/>
          <w:szCs w:val="21"/>
        </w:rPr>
        <w:t>7</w:t>
      </w:r>
      <w:r w:rsidRPr="001A700D">
        <w:rPr>
          <w:rFonts w:eastAsia="Batang" w:hint="eastAsia"/>
          <w:bCs/>
          <w:szCs w:val="21"/>
        </w:rPr>
        <w:t>名，其中</w:t>
      </w:r>
      <w:r w:rsidRPr="001A700D">
        <w:rPr>
          <w:rFonts w:eastAsia="Batang" w:hint="eastAsia"/>
          <w:bCs/>
          <w:szCs w:val="21"/>
        </w:rPr>
        <w:t>4</w:t>
      </w:r>
      <w:r w:rsidRPr="001A700D">
        <w:rPr>
          <w:rFonts w:eastAsia="Batang" w:hint="eastAsia"/>
          <w:bCs/>
          <w:szCs w:val="21"/>
        </w:rPr>
        <w:t>名是正部</w:t>
      </w:r>
      <w:r w:rsidRPr="001A700D">
        <w:rPr>
          <w:rFonts w:ascii="SimSun" w:hAnsi="SimSun" w:cs="SimSun" w:hint="eastAsia"/>
          <w:bCs/>
          <w:szCs w:val="21"/>
        </w:rPr>
        <w:t>长</w:t>
      </w:r>
      <w:r w:rsidRPr="001A700D">
        <w:rPr>
          <w:rFonts w:ascii="Batang" w:eastAsia="Batang" w:hAnsi="Batang" w:cs="Batang" w:hint="eastAsia"/>
          <w:bCs/>
          <w:szCs w:val="21"/>
        </w:rPr>
        <w:t>，</w:t>
      </w:r>
      <w:r w:rsidRPr="001A700D">
        <w:rPr>
          <w:rFonts w:eastAsia="Batang" w:hint="eastAsia"/>
          <w:bCs/>
          <w:szCs w:val="21"/>
        </w:rPr>
        <w:t>3</w:t>
      </w:r>
      <w:r w:rsidRPr="001A700D">
        <w:rPr>
          <w:rFonts w:eastAsia="Batang" w:hint="eastAsia"/>
          <w:bCs/>
          <w:szCs w:val="21"/>
        </w:rPr>
        <w:t>名是副部</w:t>
      </w:r>
      <w:r w:rsidRPr="001A700D">
        <w:rPr>
          <w:rFonts w:ascii="SimSun" w:hAnsi="SimSun" w:cs="SimSun" w:hint="eastAsia"/>
          <w:bCs/>
          <w:szCs w:val="21"/>
        </w:rPr>
        <w:t>长</w:t>
      </w:r>
      <w:r w:rsidRPr="001A700D">
        <w:rPr>
          <w:rFonts w:ascii="Batang" w:eastAsia="Batang" w:hAnsi="Batang" w:cs="Batang" w:hint="eastAsia"/>
          <w:bCs/>
          <w:szCs w:val="21"/>
        </w:rPr>
        <w:t>。女性首席</w:t>
      </w:r>
      <w:r w:rsidRPr="00315346">
        <w:rPr>
          <w:rFonts w:hint="eastAsia"/>
          <w:szCs w:val="21"/>
        </w:rPr>
        <w:t>秘书</w:t>
      </w:r>
      <w:r w:rsidRPr="001A700D">
        <w:rPr>
          <w:rFonts w:ascii="Batang" w:eastAsia="Batang" w:hAnsi="Batang" w:cs="Batang" w:hint="eastAsia"/>
          <w:bCs/>
          <w:szCs w:val="21"/>
        </w:rPr>
        <w:t>只有</w:t>
      </w:r>
      <w:r w:rsidRPr="001A700D">
        <w:rPr>
          <w:rFonts w:eastAsia="Batang" w:hint="eastAsia"/>
          <w:bCs/>
          <w:szCs w:val="21"/>
        </w:rPr>
        <w:t>5</w:t>
      </w:r>
      <w:r w:rsidRPr="001A700D">
        <w:rPr>
          <w:rFonts w:eastAsia="Batang" w:hint="eastAsia"/>
          <w:bCs/>
          <w:szCs w:val="21"/>
        </w:rPr>
        <w:t>名</w:t>
      </w:r>
      <w:r w:rsidRPr="001A700D">
        <w:rPr>
          <w:rFonts w:hint="eastAsia"/>
          <w:bCs/>
          <w:szCs w:val="21"/>
        </w:rPr>
        <w:t>，</w:t>
      </w:r>
      <w:r w:rsidRPr="001A700D">
        <w:rPr>
          <w:rFonts w:ascii="Batang" w:hAnsi="Batang" w:cs="Batang" w:hint="eastAsia"/>
          <w:bCs/>
          <w:szCs w:val="21"/>
        </w:rPr>
        <w:t>而</w:t>
      </w:r>
      <w:r w:rsidRPr="001A700D">
        <w:rPr>
          <w:rFonts w:eastAsia="Batang" w:hint="eastAsia"/>
          <w:bCs/>
          <w:szCs w:val="21"/>
        </w:rPr>
        <w:t>男性首席秘</w:t>
      </w:r>
      <w:r w:rsidRPr="001A700D">
        <w:rPr>
          <w:rFonts w:ascii="SimSun" w:hAnsi="SimSun" w:cs="SimSun" w:hint="eastAsia"/>
          <w:bCs/>
          <w:szCs w:val="21"/>
        </w:rPr>
        <w:t>书则为33名。</w:t>
      </w:r>
      <w:r w:rsidRPr="001A700D">
        <w:rPr>
          <w:rStyle w:val="FootnoteReference"/>
          <w:rFonts w:eastAsia="Batang"/>
          <w:bCs/>
          <w:szCs w:val="21"/>
        </w:rPr>
        <w:footnoteReference w:id="35"/>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rFonts w:eastAsia="Batang"/>
          <w:bCs/>
          <w:szCs w:val="21"/>
        </w:rPr>
      </w:pPr>
      <w:r w:rsidRPr="00315346">
        <w:rPr>
          <w:rFonts w:hint="eastAsia"/>
          <w:szCs w:val="21"/>
        </w:rPr>
        <w:t xml:space="preserve"> </w:t>
      </w:r>
      <w:r w:rsidRPr="00315346">
        <w:rPr>
          <w:rFonts w:hint="eastAsia"/>
          <w:szCs w:val="21"/>
        </w:rPr>
        <w:t>在姆祖祖、布兰太尔、利隆圭和松巴的城市地方议会中，妇女平均占有</w:t>
      </w:r>
      <w:r w:rsidRPr="00315346">
        <w:rPr>
          <w:rFonts w:hint="eastAsia"/>
          <w:szCs w:val="21"/>
        </w:rPr>
        <w:t>43%</w:t>
      </w:r>
      <w:r w:rsidRPr="00315346">
        <w:rPr>
          <w:rFonts w:hint="eastAsia"/>
          <w:szCs w:val="21"/>
        </w:rPr>
        <w:t>的席位，但在农村地方议会中，妇女占有的席位还不到</w:t>
      </w:r>
      <w:r w:rsidRPr="00315346">
        <w:rPr>
          <w:rFonts w:hint="eastAsia"/>
          <w:szCs w:val="21"/>
        </w:rPr>
        <w:t>10%</w:t>
      </w:r>
      <w:r w:rsidRPr="001A700D">
        <w:rPr>
          <w:rFonts w:hint="eastAsia"/>
          <w:bCs/>
          <w:szCs w:val="21"/>
        </w:rPr>
        <w:t>。</w:t>
      </w:r>
      <w:r w:rsidRPr="001A700D">
        <w:rPr>
          <w:rStyle w:val="FootnoteReference"/>
          <w:rFonts w:eastAsia="Batang"/>
          <w:bCs/>
          <w:szCs w:val="21"/>
        </w:rPr>
        <w:footnoteReference w:id="36"/>
      </w:r>
      <w:r w:rsidRPr="001A700D">
        <w:rPr>
          <w:rFonts w:eastAsia="Batang" w:hint="eastAsia"/>
          <w:bCs/>
          <w:szCs w:val="21"/>
        </w:rPr>
        <w:t xml:space="preserve">   </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rFonts w:eastAsia="Batang"/>
          <w:bCs/>
          <w:szCs w:val="21"/>
        </w:rPr>
      </w:pPr>
      <w:r w:rsidRPr="00315346">
        <w:rPr>
          <w:rFonts w:hint="eastAsia"/>
          <w:szCs w:val="21"/>
        </w:rPr>
        <w:t>非政府组织中担任决策职位的妇女比例（</w:t>
      </w:r>
      <w:r w:rsidRPr="00315346">
        <w:rPr>
          <w:rFonts w:hint="eastAsia"/>
          <w:szCs w:val="21"/>
        </w:rPr>
        <w:t>38.7%</w:t>
      </w:r>
      <w:r w:rsidRPr="00315346">
        <w:rPr>
          <w:rFonts w:hint="eastAsia"/>
          <w:szCs w:val="21"/>
        </w:rPr>
        <w:t>）超过了地方和中央政府的比例，后者分别是</w:t>
      </w:r>
      <w:r w:rsidRPr="00315346">
        <w:rPr>
          <w:rFonts w:hint="eastAsia"/>
          <w:szCs w:val="21"/>
        </w:rPr>
        <w:t>22.5%</w:t>
      </w:r>
      <w:r w:rsidRPr="00315346">
        <w:rPr>
          <w:rFonts w:hint="eastAsia"/>
          <w:szCs w:val="21"/>
        </w:rPr>
        <w:t>和</w:t>
      </w:r>
      <w:r w:rsidRPr="00315346">
        <w:rPr>
          <w:rFonts w:hint="eastAsia"/>
          <w:szCs w:val="21"/>
        </w:rPr>
        <w:t>22.4%</w:t>
      </w:r>
      <w:r w:rsidRPr="00315346">
        <w:rPr>
          <w:rFonts w:hint="eastAsia"/>
          <w:szCs w:val="21"/>
        </w:rPr>
        <w:t>。不过，大多数在非政府组织决策岗位上工作的妇女都在城市中心。</w:t>
      </w:r>
      <w:r w:rsidRPr="001A700D">
        <w:rPr>
          <w:rStyle w:val="FootnoteReference"/>
          <w:rFonts w:ascii="Batang" w:eastAsia="Batang" w:hAnsi="Batang" w:cs="Batang"/>
          <w:bCs/>
          <w:szCs w:val="21"/>
        </w:rPr>
        <w:footnoteReference w:id="37"/>
      </w:r>
    </w:p>
    <w:p w:rsidR="00F41B4C" w:rsidRPr="00B77AE3" w:rsidRDefault="00B77AE3" w:rsidP="00B77AE3">
      <w:pPr>
        <w:pStyle w:val="TableofFigures"/>
        <w:spacing w:after="240" w:line="360" w:lineRule="exact"/>
        <w:rPr>
          <w:rFonts w:ascii="SimHei" w:eastAsia="SimHei"/>
          <w:bCs/>
          <w:color w:val="FF0000"/>
          <w:sz w:val="21"/>
          <w:szCs w:val="21"/>
          <w:lang w:val="fr-FR" w:eastAsia="zh-CN"/>
        </w:rPr>
      </w:pPr>
      <w:r>
        <w:rPr>
          <w:rFonts w:ascii="SimHei" w:eastAsia="SimHei"/>
          <w:bCs/>
          <w:color w:val="FF0000"/>
          <w:sz w:val="21"/>
          <w:szCs w:val="21"/>
          <w:lang w:val="fr-FR" w:eastAsia="zh-CN"/>
        </w:rPr>
        <w:br w:type="page"/>
      </w:r>
      <w:r w:rsidR="00F41B4C" w:rsidRPr="00B77AE3">
        <w:rPr>
          <w:rFonts w:ascii="SimHei" w:eastAsia="SimHei" w:hint="eastAsia"/>
          <w:bCs/>
          <w:color w:val="FF0000"/>
          <w:sz w:val="21"/>
          <w:szCs w:val="21"/>
          <w:lang w:val="fr-FR" w:eastAsia="zh-CN"/>
        </w:rPr>
        <w:t>表2：各类机构中担任决策职位的男女比例简表</w:t>
      </w:r>
      <w:r w:rsidR="00F41B4C" w:rsidRPr="00B77AE3">
        <w:rPr>
          <w:rFonts w:ascii="SimHei" w:eastAsia="SimHei"/>
          <w:bCs/>
          <w:color w:val="FF0000"/>
          <w:sz w:val="21"/>
          <w:szCs w:val="21"/>
          <w:lang w:val="fr-FR" w:eastAsia="zh-CN"/>
        </w:rPr>
        <w:tab/>
      </w:r>
      <w:r w:rsidR="00F41B4C" w:rsidRPr="00B77AE3">
        <w:rPr>
          <w:rFonts w:ascii="SimHei" w:eastAsia="SimHei"/>
          <w:bCs/>
          <w:color w:val="FF0000"/>
          <w:sz w:val="21"/>
          <w:szCs w:val="21"/>
          <w:lang w:val="fr-FR" w:eastAsia="zh-CN"/>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1"/>
        <w:gridCol w:w="2442"/>
        <w:gridCol w:w="1772"/>
        <w:gridCol w:w="1711"/>
      </w:tblGrid>
      <w:tr w:rsidR="00F41B4C" w:rsidRPr="00133771" w:rsidTr="00133771">
        <w:tblPrEx>
          <w:tblCellMar>
            <w:top w:w="0" w:type="dxa"/>
            <w:bottom w:w="0" w:type="dxa"/>
          </w:tblCellMar>
        </w:tblPrEx>
        <w:trPr>
          <w:tblHeader/>
        </w:trPr>
        <w:tc>
          <w:tcPr>
            <w:tcW w:w="2057" w:type="pct"/>
          </w:tcPr>
          <w:p w:rsidR="00F41B4C" w:rsidRPr="00133771" w:rsidRDefault="00F41B4C" w:rsidP="00133771">
            <w:pPr>
              <w:spacing w:line="360" w:lineRule="exact"/>
              <w:rPr>
                <w:rFonts w:ascii="KaiTi_GB2312" w:eastAsia="KaiTi_GB2312" w:hint="eastAsia"/>
                <w:b/>
                <w:color w:val="0000FF"/>
                <w:szCs w:val="21"/>
              </w:rPr>
            </w:pPr>
            <w:r w:rsidRPr="00133771">
              <w:rPr>
                <w:rFonts w:ascii="KaiTi_GB2312" w:eastAsia="KaiTi_GB2312" w:hint="eastAsia"/>
                <w:b/>
                <w:color w:val="0000FF"/>
                <w:szCs w:val="21"/>
              </w:rPr>
              <w:t>机</w:t>
            </w:r>
            <w:r w:rsidRPr="00133771">
              <w:rPr>
                <w:rFonts w:ascii="KaiTi_GB2312" w:eastAsia="KaiTi_GB2312" w:hAnsi="SimSun" w:cs="SimSun" w:hint="eastAsia"/>
                <w:b/>
                <w:color w:val="0000FF"/>
                <w:szCs w:val="21"/>
              </w:rPr>
              <w:t>构类别</w:t>
            </w:r>
          </w:p>
        </w:tc>
        <w:tc>
          <w:tcPr>
            <w:tcW w:w="1213" w:type="pct"/>
          </w:tcPr>
          <w:p w:rsidR="00F41B4C" w:rsidRPr="00133771" w:rsidRDefault="00F41B4C" w:rsidP="00133771">
            <w:pPr>
              <w:spacing w:line="360" w:lineRule="exact"/>
              <w:rPr>
                <w:rFonts w:ascii="KaiTi_GB2312" w:eastAsia="KaiTi_GB2312" w:hint="eastAsia"/>
                <w:b/>
                <w:color w:val="0000FF"/>
                <w:szCs w:val="21"/>
              </w:rPr>
            </w:pPr>
            <w:r w:rsidRPr="00133771">
              <w:rPr>
                <w:rFonts w:ascii="KaiTi_GB2312" w:eastAsia="KaiTi_GB2312" w:hint="eastAsia"/>
                <w:b/>
                <w:color w:val="0000FF"/>
                <w:szCs w:val="21"/>
              </w:rPr>
              <w:t>女</w:t>
            </w:r>
          </w:p>
        </w:tc>
        <w:tc>
          <w:tcPr>
            <w:tcW w:w="880" w:type="pct"/>
          </w:tcPr>
          <w:p w:rsidR="00F41B4C" w:rsidRPr="00133771" w:rsidRDefault="00F41B4C" w:rsidP="00133771">
            <w:pPr>
              <w:spacing w:line="360" w:lineRule="exact"/>
              <w:rPr>
                <w:rFonts w:ascii="KaiTi_GB2312" w:eastAsia="KaiTi_GB2312" w:hint="eastAsia"/>
                <w:b/>
                <w:color w:val="0000FF"/>
                <w:szCs w:val="21"/>
              </w:rPr>
            </w:pPr>
            <w:r w:rsidRPr="00133771">
              <w:rPr>
                <w:rFonts w:ascii="KaiTi_GB2312" w:eastAsia="KaiTi_GB2312" w:hint="eastAsia"/>
                <w:b/>
                <w:color w:val="0000FF"/>
                <w:szCs w:val="21"/>
              </w:rPr>
              <w:t>男</w:t>
            </w:r>
          </w:p>
        </w:tc>
        <w:tc>
          <w:tcPr>
            <w:tcW w:w="850" w:type="pct"/>
          </w:tcPr>
          <w:p w:rsidR="00F41B4C" w:rsidRPr="00133771" w:rsidRDefault="00F41B4C" w:rsidP="00133771">
            <w:pPr>
              <w:spacing w:line="360" w:lineRule="exact"/>
              <w:rPr>
                <w:rFonts w:ascii="KaiTi_GB2312" w:eastAsia="KaiTi_GB2312" w:hint="eastAsia"/>
                <w:b/>
                <w:color w:val="0000FF"/>
                <w:szCs w:val="21"/>
              </w:rPr>
            </w:pPr>
            <w:r w:rsidRPr="00133771">
              <w:rPr>
                <w:rFonts w:ascii="KaiTi_GB2312" w:eastAsia="KaiTi_GB2312" w:hint="eastAsia"/>
                <w:b/>
                <w:color w:val="0000FF"/>
                <w:szCs w:val="21"/>
              </w:rPr>
              <w:t>女性所占百分比</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hint="eastAsia"/>
                <w:bCs/>
                <w:szCs w:val="21"/>
              </w:rPr>
            </w:pPr>
            <w:r w:rsidRPr="001A700D">
              <w:rPr>
                <w:rFonts w:hint="eastAsia"/>
                <w:bCs/>
                <w:szCs w:val="21"/>
              </w:rPr>
              <w:t>政府行政部门</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6</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37</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16.2</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hint="eastAsia"/>
                <w:bCs/>
                <w:szCs w:val="21"/>
              </w:rPr>
            </w:pPr>
            <w:r w:rsidRPr="001A700D">
              <w:rPr>
                <w:rFonts w:hint="eastAsia"/>
                <w:bCs/>
                <w:szCs w:val="21"/>
              </w:rPr>
              <w:t>司法机关</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4</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27</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12.9</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hint="eastAsia"/>
                <w:bCs/>
                <w:szCs w:val="21"/>
              </w:rPr>
            </w:pPr>
            <w:r w:rsidRPr="001A700D">
              <w:rPr>
                <w:rFonts w:hint="eastAsia"/>
                <w:bCs/>
                <w:szCs w:val="21"/>
              </w:rPr>
              <w:t>立法机关</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27</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193</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14.0</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hint="eastAsia"/>
                <w:bCs/>
                <w:szCs w:val="21"/>
              </w:rPr>
            </w:pPr>
            <w:r w:rsidRPr="001A700D">
              <w:rPr>
                <w:rFonts w:hint="eastAsia"/>
                <w:bCs/>
                <w:szCs w:val="21"/>
              </w:rPr>
              <w:t>中央政府（走访的）</w:t>
            </w:r>
            <w:r w:rsidRPr="001A700D">
              <w:rPr>
                <w:rStyle w:val="FootnoteReference"/>
                <w:bCs/>
                <w:szCs w:val="21"/>
              </w:rPr>
              <w:footnoteReference w:id="38"/>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55</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171</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24.3</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hint="eastAsia"/>
                <w:bCs/>
                <w:szCs w:val="21"/>
              </w:rPr>
            </w:pPr>
            <w:r w:rsidRPr="001A700D">
              <w:rPr>
                <w:rFonts w:hint="eastAsia"/>
                <w:bCs/>
                <w:szCs w:val="21"/>
              </w:rPr>
              <w:t>地方政府（在城市走访的）</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65</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76</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46.0</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hint="eastAsia"/>
                <w:bCs/>
                <w:szCs w:val="21"/>
              </w:rPr>
            </w:pPr>
            <w:r w:rsidRPr="001A700D">
              <w:rPr>
                <w:rFonts w:hint="eastAsia"/>
                <w:bCs/>
                <w:szCs w:val="21"/>
              </w:rPr>
              <w:t>地方政府（在农村走访的）</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9</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51</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15.0</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hint="eastAsia"/>
                <w:bCs/>
                <w:szCs w:val="21"/>
              </w:rPr>
            </w:pPr>
            <w:r w:rsidRPr="001A700D">
              <w:rPr>
                <w:rFonts w:hint="eastAsia"/>
                <w:bCs/>
                <w:szCs w:val="21"/>
              </w:rPr>
              <w:t>私营部门（走访的）</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11</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110</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9.1</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hint="eastAsia"/>
                <w:bCs/>
                <w:szCs w:val="21"/>
              </w:rPr>
            </w:pPr>
            <w:r w:rsidRPr="001A700D">
              <w:rPr>
                <w:rFonts w:hint="eastAsia"/>
                <w:bCs/>
                <w:szCs w:val="21"/>
              </w:rPr>
              <w:t>民间社团（走访的）</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27</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48</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36.0</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eastAsia="Batang"/>
                <w:bCs/>
                <w:szCs w:val="21"/>
              </w:rPr>
            </w:pPr>
            <w:r w:rsidRPr="001A700D">
              <w:rPr>
                <w:rFonts w:hint="eastAsia"/>
                <w:bCs/>
                <w:szCs w:val="21"/>
              </w:rPr>
              <w:t>政治团体（走访的）</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15</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39</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27.8</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eastAsia="Batang"/>
                <w:bCs/>
                <w:szCs w:val="21"/>
              </w:rPr>
            </w:pPr>
            <w:r w:rsidRPr="001A700D">
              <w:rPr>
                <w:rFonts w:hint="eastAsia"/>
                <w:bCs/>
                <w:szCs w:val="21"/>
              </w:rPr>
              <w:t>议会（走访的）</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3</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7</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30.0</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eastAsia="Batang"/>
                <w:bCs/>
                <w:szCs w:val="21"/>
              </w:rPr>
            </w:pPr>
            <w:r w:rsidRPr="001A700D">
              <w:rPr>
                <w:rFonts w:hint="eastAsia"/>
                <w:bCs/>
                <w:szCs w:val="21"/>
              </w:rPr>
              <w:t>宗教团体（走访的）</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13</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274</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4.5</w:t>
            </w:r>
          </w:p>
        </w:tc>
      </w:tr>
      <w:tr w:rsidR="00F41B4C" w:rsidRPr="001A700D" w:rsidTr="00133771">
        <w:tblPrEx>
          <w:tblCellMar>
            <w:top w:w="0" w:type="dxa"/>
            <w:bottom w:w="0" w:type="dxa"/>
          </w:tblCellMar>
        </w:tblPrEx>
        <w:tc>
          <w:tcPr>
            <w:tcW w:w="2057" w:type="pct"/>
          </w:tcPr>
          <w:p w:rsidR="00F41B4C" w:rsidRPr="001A700D" w:rsidRDefault="00F41B4C" w:rsidP="00133771">
            <w:pPr>
              <w:spacing w:line="360" w:lineRule="exact"/>
              <w:rPr>
                <w:rFonts w:eastAsia="Batang"/>
                <w:bCs/>
                <w:szCs w:val="21"/>
              </w:rPr>
            </w:pPr>
            <w:r w:rsidRPr="001A700D">
              <w:rPr>
                <w:rFonts w:ascii="Arial" w:hAnsi="Arial" w:cs="Arial"/>
                <w:szCs w:val="21"/>
              </w:rPr>
              <w:t>半官方团体</w:t>
            </w:r>
            <w:r w:rsidRPr="001A700D">
              <w:rPr>
                <w:rFonts w:hint="eastAsia"/>
                <w:bCs/>
                <w:szCs w:val="21"/>
              </w:rPr>
              <w:t>（走访的）</w:t>
            </w:r>
          </w:p>
        </w:tc>
        <w:tc>
          <w:tcPr>
            <w:tcW w:w="1213" w:type="pct"/>
          </w:tcPr>
          <w:p w:rsidR="00F41B4C" w:rsidRPr="001A700D" w:rsidRDefault="00F41B4C" w:rsidP="00133771">
            <w:pPr>
              <w:spacing w:line="360" w:lineRule="exact"/>
              <w:rPr>
                <w:rFonts w:eastAsia="Batang"/>
                <w:bCs/>
                <w:szCs w:val="21"/>
              </w:rPr>
            </w:pPr>
            <w:r w:rsidRPr="001A700D">
              <w:rPr>
                <w:rFonts w:eastAsia="Batang"/>
                <w:bCs/>
                <w:szCs w:val="21"/>
              </w:rPr>
              <w:t>5</w:t>
            </w:r>
          </w:p>
        </w:tc>
        <w:tc>
          <w:tcPr>
            <w:tcW w:w="880" w:type="pct"/>
          </w:tcPr>
          <w:p w:rsidR="00F41B4C" w:rsidRPr="001A700D" w:rsidRDefault="00F41B4C" w:rsidP="00133771">
            <w:pPr>
              <w:spacing w:line="360" w:lineRule="exact"/>
              <w:rPr>
                <w:rFonts w:eastAsia="Batang"/>
                <w:bCs/>
                <w:szCs w:val="21"/>
              </w:rPr>
            </w:pPr>
            <w:r w:rsidRPr="001A700D">
              <w:rPr>
                <w:rFonts w:eastAsia="Batang"/>
                <w:bCs/>
                <w:szCs w:val="21"/>
              </w:rPr>
              <w:t>23</w:t>
            </w:r>
          </w:p>
        </w:tc>
        <w:tc>
          <w:tcPr>
            <w:tcW w:w="850" w:type="pct"/>
          </w:tcPr>
          <w:p w:rsidR="00F41B4C" w:rsidRPr="001A700D" w:rsidRDefault="00F41B4C" w:rsidP="00133771">
            <w:pPr>
              <w:spacing w:line="360" w:lineRule="exact"/>
              <w:rPr>
                <w:rFonts w:eastAsia="Batang"/>
                <w:bCs/>
                <w:szCs w:val="21"/>
              </w:rPr>
            </w:pPr>
            <w:r w:rsidRPr="001A700D">
              <w:rPr>
                <w:rFonts w:eastAsia="Batang"/>
                <w:bCs/>
                <w:szCs w:val="21"/>
              </w:rPr>
              <w:t>17.8</w:t>
            </w:r>
          </w:p>
        </w:tc>
      </w:tr>
    </w:tbl>
    <w:p w:rsidR="00F41B4C" w:rsidRPr="001A700D" w:rsidRDefault="00F41B4C" w:rsidP="00FB05C0">
      <w:pPr>
        <w:spacing w:after="240" w:line="360" w:lineRule="exact"/>
        <w:rPr>
          <w:rFonts w:hint="eastAsia"/>
          <w:bCs/>
          <w:szCs w:val="21"/>
        </w:rPr>
      </w:pPr>
      <w:r w:rsidRPr="00133771">
        <w:rPr>
          <w:rFonts w:ascii="KaiTi_GB2312" w:eastAsia="KaiTi_GB2312" w:hint="eastAsia"/>
          <w:bCs/>
          <w:color w:val="0000FF"/>
          <w:szCs w:val="21"/>
        </w:rPr>
        <w:t>资料来源</w:t>
      </w:r>
      <w:r w:rsidRPr="00133771">
        <w:rPr>
          <w:rFonts w:hint="eastAsia"/>
          <w:bCs/>
          <w:color w:val="0000FF"/>
          <w:szCs w:val="21"/>
        </w:rPr>
        <w:t>：</w:t>
      </w:r>
      <w:r w:rsidRPr="001A700D">
        <w:rPr>
          <w:rFonts w:hint="eastAsia"/>
          <w:bCs/>
          <w:szCs w:val="21"/>
        </w:rPr>
        <w:t>《决策职位</w:t>
      </w:r>
      <w:r w:rsidR="00B82BAE">
        <w:rPr>
          <w:rFonts w:hint="eastAsia"/>
          <w:bCs/>
          <w:szCs w:val="21"/>
        </w:rPr>
        <w:t>上</w:t>
      </w:r>
      <w:r w:rsidRPr="001A700D">
        <w:rPr>
          <w:rFonts w:hint="eastAsia"/>
          <w:bCs/>
          <w:szCs w:val="21"/>
        </w:rPr>
        <w:t>的女性</w:t>
      </w:r>
      <w:r w:rsidR="00B82BAE">
        <w:rPr>
          <w:rFonts w:hint="eastAsia"/>
          <w:bCs/>
          <w:szCs w:val="21"/>
        </w:rPr>
        <w:t>和</w:t>
      </w:r>
      <w:r w:rsidRPr="001A700D">
        <w:rPr>
          <w:rFonts w:hint="eastAsia"/>
          <w:bCs/>
          <w:szCs w:val="21"/>
        </w:rPr>
        <w:t>男性》（</w:t>
      </w:r>
      <w:r w:rsidRPr="001A700D">
        <w:rPr>
          <w:rFonts w:hint="eastAsia"/>
          <w:bCs/>
          <w:szCs w:val="21"/>
        </w:rPr>
        <w:t>2008</w:t>
      </w:r>
      <w:r w:rsidRPr="001A700D">
        <w:rPr>
          <w:rFonts w:hint="eastAsia"/>
          <w:bCs/>
          <w:szCs w:val="21"/>
        </w:rPr>
        <w:t>年）。</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该部一直在跟踪《消除对妇女歧视公约》以及《南共体男女平等与发展宣言》等其他国际文书的执行和本地化情况，</w:t>
      </w:r>
      <w:r w:rsidRPr="001A700D">
        <w:rPr>
          <w:rFonts w:hint="eastAsia"/>
          <w:szCs w:val="21"/>
        </w:rPr>
        <w:t>1997</w:t>
      </w:r>
      <w:r w:rsidRPr="001A700D">
        <w:rPr>
          <w:rFonts w:hint="eastAsia"/>
          <w:szCs w:val="21"/>
        </w:rPr>
        <w:t>年的这项宣言规定妇女在议会的参与率下限为</w:t>
      </w:r>
      <w:r w:rsidRPr="001A700D">
        <w:rPr>
          <w:rFonts w:hint="eastAsia"/>
          <w:szCs w:val="21"/>
        </w:rPr>
        <w:t>30%</w:t>
      </w:r>
      <w:r w:rsidRPr="001A700D">
        <w:rPr>
          <w:rFonts w:hint="eastAsia"/>
          <w:szCs w:val="21"/>
        </w:rPr>
        <w:t>。《两性平等庄严宣言》、《非洲人权和人民权利宪章关于非洲妇女权利的议定书》以及马拉维已经加入的《南共体男女平等与发展议定书草案》要求决策职位的妇女代表达到</w:t>
      </w:r>
      <w:r w:rsidRPr="001A700D">
        <w:rPr>
          <w:rFonts w:hint="eastAsia"/>
          <w:szCs w:val="21"/>
        </w:rPr>
        <w:t>50%</w:t>
      </w:r>
      <w:r w:rsidRPr="001A700D">
        <w:rPr>
          <w:rFonts w:hint="eastAsia"/>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政府还指出，由于报告所涉期间内没有举行选举这一事实，妇女在议会中的人数一直没有增加。报告所涉期间内也没有进行地方政府选举。不过还是有一些议会一级的补选，并且只有男子在补选中当选议员。</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针对这一情况，该部制定了一项方案，旨在</w:t>
      </w:r>
      <w:r w:rsidRPr="001A700D">
        <w:rPr>
          <w:rFonts w:hint="eastAsia"/>
          <w:szCs w:val="21"/>
        </w:rPr>
        <w:t>2009</w:t>
      </w:r>
      <w:r w:rsidRPr="001A700D">
        <w:rPr>
          <w:rFonts w:hint="eastAsia"/>
          <w:szCs w:val="21"/>
        </w:rPr>
        <w:t>年议会选举中实现</w:t>
      </w:r>
      <w:r w:rsidRPr="001A700D">
        <w:rPr>
          <w:rFonts w:hint="eastAsia"/>
          <w:szCs w:val="21"/>
        </w:rPr>
        <w:t>50%</w:t>
      </w:r>
      <w:r w:rsidRPr="001A700D">
        <w:rPr>
          <w:rFonts w:hint="eastAsia"/>
          <w:szCs w:val="21"/>
        </w:rPr>
        <w:t>的妇女议员代表率。该国家方案于</w:t>
      </w:r>
      <w:smartTag w:uri="urn:schemas-microsoft-com:office:smarttags" w:element="chsdate">
        <w:smartTagPr>
          <w:attr w:name="IsROCDate" w:val="False"/>
          <w:attr w:name="IsLunarDate" w:val="False"/>
          <w:attr w:name="Day" w:val="18"/>
          <w:attr w:name="Month" w:val="7"/>
          <w:attr w:name="Year" w:val="2008"/>
        </w:smartTagPr>
        <w:r w:rsidRPr="001A700D">
          <w:rPr>
            <w:rFonts w:hint="eastAsia"/>
            <w:szCs w:val="21"/>
          </w:rPr>
          <w:t>2008</w:t>
        </w:r>
        <w:r w:rsidRPr="001A700D">
          <w:rPr>
            <w:rFonts w:hint="eastAsia"/>
            <w:szCs w:val="21"/>
          </w:rPr>
          <w:t>年</w:t>
        </w:r>
        <w:r w:rsidRPr="001A700D">
          <w:rPr>
            <w:rFonts w:hint="eastAsia"/>
            <w:szCs w:val="21"/>
          </w:rPr>
          <w:t>7</w:t>
        </w:r>
        <w:r w:rsidRPr="001A700D">
          <w:rPr>
            <w:rFonts w:hint="eastAsia"/>
            <w:szCs w:val="21"/>
          </w:rPr>
          <w:t>月</w:t>
        </w:r>
        <w:r w:rsidRPr="001A700D">
          <w:rPr>
            <w:rFonts w:hint="eastAsia"/>
            <w:szCs w:val="21"/>
          </w:rPr>
          <w:t>18</w:t>
        </w:r>
        <w:r w:rsidRPr="001A700D">
          <w:rPr>
            <w:rFonts w:hint="eastAsia"/>
            <w:szCs w:val="21"/>
          </w:rPr>
          <w:t>日</w:t>
        </w:r>
      </w:smartTag>
      <w:r w:rsidRPr="001A700D">
        <w:rPr>
          <w:rFonts w:hint="eastAsia"/>
          <w:szCs w:val="21"/>
        </w:rPr>
        <w:t>启动，题为“增加议会和地方政府中的妇女代表”，它得到了民间社会和发展伙伴的支持。该部还设立了一个特别单位，以带头实施该方案。</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民间社会组织的作用是与马拉维选举委员会任命的执行机构合作，共同落实方案活动。</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拟议的两性平等法规规定了旨在降低男子在公共和政治生活中的支配地位的特别措施。</w:t>
      </w:r>
    </w:p>
    <w:p w:rsidR="00F41B4C" w:rsidRPr="00B7504E" w:rsidRDefault="00133771" w:rsidP="00B7504E">
      <w:pPr>
        <w:pStyle w:val="H3"/>
      </w:pPr>
      <w:r>
        <w:rPr>
          <w:rFonts w:ascii="Times New Roman" w:eastAsia="SimSun"/>
          <w:b w:val="0"/>
          <w:color w:val="auto"/>
          <w:spacing w:val="0"/>
          <w:kern w:val="0"/>
          <w:szCs w:val="21"/>
        </w:rPr>
        <w:br w:type="page"/>
      </w:r>
      <w:bookmarkStart w:id="65" w:name="_Toc221523951"/>
      <w:r w:rsidR="00F41B4C" w:rsidRPr="00B7504E">
        <w:rPr>
          <w:rFonts w:hint="eastAsia"/>
        </w:rPr>
        <w:t>第8条：平等参与国际政治和公共生活</w:t>
      </w:r>
      <w:bookmarkEnd w:id="65"/>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bookmarkStart w:id="66" w:name="article8"/>
      <w:bookmarkEnd w:id="66"/>
      <w:r w:rsidRPr="001A700D">
        <w:rPr>
          <w:rFonts w:hint="eastAsia"/>
          <w:szCs w:val="21"/>
        </w:rPr>
        <w:t xml:space="preserve"> </w:t>
      </w:r>
      <w:r w:rsidRPr="001A700D">
        <w:rPr>
          <w:rFonts w:hint="eastAsia"/>
          <w:szCs w:val="21"/>
        </w:rPr>
        <w:t>马拉维没有具体的机制来保证马拉维妇女参与国际组织。总统有权任命大使、高级专员、全权代表、外交代表、领事和领事馆官员。在目前由一名女部长领导的外交部，不存在参与外交服务的歧视。虽然权力属于总统，对于任命何人从事外事工作并无定则。</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不基于性、性别和婚姻状况进行歧视的宪法规定确立了机会平等原则，拟议的两性平等法规旨在为妇女参与公共服务设定</w:t>
      </w:r>
      <w:r w:rsidRPr="001A700D">
        <w:rPr>
          <w:rFonts w:hint="eastAsia"/>
          <w:szCs w:val="21"/>
        </w:rPr>
        <w:t>40%</w:t>
      </w:r>
      <w:r w:rsidRPr="001A700D">
        <w:rPr>
          <w:rFonts w:hint="eastAsia"/>
          <w:szCs w:val="21"/>
        </w:rPr>
        <w:t>的最低限额，因而将会进一步强化这一原则。</w:t>
      </w:r>
    </w:p>
    <w:p w:rsidR="00F41B4C" w:rsidRPr="00B7504E" w:rsidRDefault="00F41B4C" w:rsidP="00B7504E">
      <w:pPr>
        <w:pStyle w:val="H3"/>
      </w:pPr>
      <w:bookmarkStart w:id="67" w:name="_Toc221523952"/>
      <w:r w:rsidRPr="00B7504E">
        <w:rPr>
          <w:rFonts w:hint="eastAsia"/>
        </w:rPr>
        <w:t>第9条：国籍法规定的平等</w:t>
      </w:r>
      <w:bookmarkEnd w:id="67"/>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bookmarkStart w:id="68" w:name="article9"/>
      <w:bookmarkEnd w:id="68"/>
      <w:r w:rsidRPr="001A700D">
        <w:rPr>
          <w:rFonts w:hint="eastAsia"/>
          <w:szCs w:val="21"/>
        </w:rPr>
        <w:t xml:space="preserve"> </w:t>
      </w:r>
      <w:r w:rsidRPr="001A700D">
        <w:rPr>
          <w:rFonts w:hint="eastAsia"/>
          <w:szCs w:val="21"/>
        </w:rPr>
        <w:t>根据《宪法》第</w:t>
      </w:r>
      <w:r w:rsidRPr="001A700D">
        <w:rPr>
          <w:rFonts w:hint="eastAsia"/>
          <w:szCs w:val="21"/>
        </w:rPr>
        <w:t>47</w:t>
      </w:r>
      <w:r w:rsidRPr="001A700D">
        <w:rPr>
          <w:rFonts w:hint="eastAsia"/>
          <w:szCs w:val="21"/>
        </w:rPr>
        <w:t>条规定，该法并未以性别为由对获得或保持国籍的权利加以歧视，并强调公民身份不得被随意取消或剥夺。第</w:t>
      </w:r>
      <w:r w:rsidRPr="001A700D">
        <w:rPr>
          <w:rFonts w:hint="eastAsia"/>
          <w:szCs w:val="21"/>
        </w:rPr>
        <w:t>47</w:t>
      </w:r>
      <w:r w:rsidRPr="001A700D">
        <w:rPr>
          <w:rFonts w:hint="eastAsia"/>
          <w:szCs w:val="21"/>
        </w:rPr>
        <w:t>条还界定了公民身份的获得，包括通过出身、血统、婚姻、登记、入籍或其他法律规定的方式获得公民身份。</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《公民身份法》</w:t>
      </w:r>
      <w:r w:rsidRPr="001A700D">
        <w:rPr>
          <w:rStyle w:val="FootnoteReference"/>
          <w:szCs w:val="21"/>
        </w:rPr>
        <w:footnoteReference w:id="39"/>
      </w:r>
      <w:r w:rsidRPr="001A700D">
        <w:rPr>
          <w:rFonts w:hint="eastAsia"/>
          <w:szCs w:val="21"/>
        </w:rPr>
        <w:t>仍然有效，未经修订。</w:t>
      </w:r>
      <w:r w:rsidRPr="001A700D">
        <w:rPr>
          <w:rStyle w:val="FootnoteReference"/>
          <w:szCs w:val="21"/>
        </w:rPr>
        <w:footnoteReference w:id="40"/>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lang w:val="en-GB"/>
        </w:rPr>
        <w:t xml:space="preserve"> </w:t>
      </w:r>
      <w:r w:rsidRPr="001A700D">
        <w:rPr>
          <w:rFonts w:hint="eastAsia"/>
          <w:szCs w:val="21"/>
          <w:lang w:val="en-GB"/>
        </w:rPr>
        <w:t>此外，</w:t>
      </w:r>
      <w:r w:rsidRPr="00315346">
        <w:rPr>
          <w:rFonts w:hint="eastAsia"/>
          <w:szCs w:val="21"/>
        </w:rPr>
        <w:t>《公民身份法》</w:t>
      </w:r>
      <w:r w:rsidRPr="001A700D">
        <w:rPr>
          <w:rFonts w:hint="eastAsia"/>
          <w:szCs w:val="21"/>
          <w:lang w:val="en-GB"/>
        </w:rPr>
        <w:t>的上述条款需要修改，以确保妇女在获得或保持公民身份方面享有平等权利。</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lang w:val="en-GB"/>
        </w:rPr>
        <w:t xml:space="preserve"> </w:t>
      </w:r>
      <w:r w:rsidRPr="001A700D">
        <w:rPr>
          <w:rFonts w:hint="eastAsia"/>
          <w:szCs w:val="21"/>
        </w:rPr>
        <w:t>不过，有关移民的国家法律框架目前并不完善。在报告所涉期间内，上份报告所注意到的不平等现象尚未通过《移民与公民身份法》的审查、修订或废除加以解决。</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目前，移民局正在制定一项有关移民马拉维的政策文件，预计它将就男女在移民事宜方面的差异提出进一步的建议。</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法律并未规定无国籍人的定义，马拉维也没有加入</w:t>
      </w:r>
      <w:r w:rsidRPr="001A700D">
        <w:rPr>
          <w:rFonts w:hint="eastAsia"/>
          <w:szCs w:val="21"/>
        </w:rPr>
        <w:t>1954</w:t>
      </w:r>
      <w:r w:rsidRPr="001A700D">
        <w:rPr>
          <w:rFonts w:hint="eastAsia"/>
          <w:szCs w:val="21"/>
        </w:rPr>
        <w:t>年《关于无国籍人地位的公约》和</w:t>
      </w:r>
      <w:r w:rsidRPr="001A700D">
        <w:rPr>
          <w:rFonts w:hint="eastAsia"/>
          <w:szCs w:val="21"/>
        </w:rPr>
        <w:t>1961</w:t>
      </w:r>
      <w:r w:rsidRPr="001A700D">
        <w:rPr>
          <w:rFonts w:hint="eastAsia"/>
          <w:szCs w:val="21"/>
        </w:rPr>
        <w:t>年《减少无国籍状态公约》。这两项公约的原则都需要纳入国内法。国际社会，尤其是难民署，一直鼓励马拉维加入</w:t>
      </w:r>
      <w:r w:rsidRPr="001A700D">
        <w:rPr>
          <w:rFonts w:hint="eastAsia"/>
          <w:szCs w:val="21"/>
        </w:rPr>
        <w:t>1954</w:t>
      </w:r>
      <w:r w:rsidRPr="001A700D">
        <w:rPr>
          <w:rFonts w:hint="eastAsia"/>
          <w:szCs w:val="21"/>
        </w:rPr>
        <w:t>年《关于无国籍人地位的公约》和</w:t>
      </w:r>
      <w:r w:rsidRPr="001A700D">
        <w:rPr>
          <w:rFonts w:hint="eastAsia"/>
          <w:szCs w:val="21"/>
        </w:rPr>
        <w:t>1961</w:t>
      </w:r>
      <w:r w:rsidRPr="001A700D">
        <w:rPr>
          <w:rFonts w:hint="eastAsia"/>
          <w:szCs w:val="21"/>
        </w:rPr>
        <w:t>年《减少无国籍状态公约》。此外，它还应当取消对</w:t>
      </w:r>
      <w:r w:rsidRPr="001A700D">
        <w:rPr>
          <w:rFonts w:hint="eastAsia"/>
          <w:szCs w:val="21"/>
        </w:rPr>
        <w:t>1951</w:t>
      </w:r>
      <w:r w:rsidRPr="001A700D">
        <w:rPr>
          <w:rFonts w:hint="eastAsia"/>
          <w:szCs w:val="21"/>
        </w:rPr>
        <w:t>年《关于难民地位的公约》第</w:t>
      </w:r>
      <w:r w:rsidRPr="001A700D">
        <w:rPr>
          <w:rFonts w:hint="eastAsia"/>
          <w:szCs w:val="21"/>
        </w:rPr>
        <w:t>34</w:t>
      </w:r>
      <w:r w:rsidRPr="001A700D">
        <w:rPr>
          <w:rFonts w:hint="eastAsia"/>
          <w:szCs w:val="21"/>
        </w:rPr>
        <w:t>条的保留。</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2007</w:t>
      </w:r>
      <w:r w:rsidRPr="001A700D">
        <w:rPr>
          <w:rFonts w:hint="eastAsia"/>
          <w:szCs w:val="21"/>
        </w:rPr>
        <w:t>年底，在总计</w:t>
      </w:r>
      <w:r w:rsidRPr="001A700D">
        <w:rPr>
          <w:rFonts w:hint="eastAsia"/>
          <w:szCs w:val="21"/>
        </w:rPr>
        <w:t>9 707</w:t>
      </w:r>
      <w:r w:rsidRPr="001A700D">
        <w:rPr>
          <w:rFonts w:hint="eastAsia"/>
          <w:szCs w:val="21"/>
        </w:rPr>
        <w:t>名难民和寻求庇护者中，有</w:t>
      </w:r>
      <w:r w:rsidRPr="001A700D">
        <w:rPr>
          <w:rFonts w:hint="eastAsia"/>
          <w:szCs w:val="21"/>
        </w:rPr>
        <w:t>8 689</w:t>
      </w:r>
      <w:r w:rsidRPr="001A700D">
        <w:rPr>
          <w:rFonts w:hint="eastAsia"/>
          <w:szCs w:val="21"/>
        </w:rPr>
        <w:t>人居住在</w:t>
      </w:r>
      <w:r w:rsidR="00B82BAE">
        <w:rPr>
          <w:rFonts w:hint="eastAsia"/>
          <w:szCs w:val="21"/>
        </w:rPr>
        <w:t>D</w:t>
      </w:r>
      <w:r w:rsidRPr="001A700D">
        <w:rPr>
          <w:rFonts w:hint="eastAsia"/>
          <w:szCs w:val="21"/>
        </w:rPr>
        <w:t>zaleka</w:t>
      </w:r>
      <w:r w:rsidRPr="001A700D">
        <w:rPr>
          <w:rFonts w:hint="eastAsia"/>
          <w:szCs w:val="21"/>
        </w:rPr>
        <w:t>难民营，其余</w:t>
      </w:r>
      <w:r w:rsidRPr="001A700D">
        <w:rPr>
          <w:rFonts w:hint="eastAsia"/>
          <w:szCs w:val="21"/>
        </w:rPr>
        <w:t>1 018</w:t>
      </w:r>
      <w:r w:rsidRPr="001A700D">
        <w:rPr>
          <w:rFonts w:hint="eastAsia"/>
          <w:szCs w:val="21"/>
        </w:rPr>
        <w:t>人居住在城市地区。在</w:t>
      </w:r>
      <w:r w:rsidRPr="001A700D">
        <w:rPr>
          <w:rFonts w:hint="eastAsia"/>
          <w:szCs w:val="21"/>
        </w:rPr>
        <w:t>3 032</w:t>
      </w:r>
      <w:r w:rsidRPr="001A700D">
        <w:rPr>
          <w:rFonts w:hint="eastAsia"/>
          <w:szCs w:val="21"/>
        </w:rPr>
        <w:t>名难民中，有</w:t>
      </w:r>
      <w:r w:rsidRPr="001A700D">
        <w:rPr>
          <w:rFonts w:hint="eastAsia"/>
          <w:szCs w:val="21"/>
        </w:rPr>
        <w:t>1 694</w:t>
      </w:r>
      <w:r w:rsidRPr="001A700D">
        <w:rPr>
          <w:rFonts w:hint="eastAsia"/>
          <w:szCs w:val="21"/>
        </w:rPr>
        <w:t>名卢旺达人，</w:t>
      </w:r>
      <w:r w:rsidRPr="001A700D">
        <w:rPr>
          <w:rFonts w:hint="eastAsia"/>
          <w:szCs w:val="21"/>
        </w:rPr>
        <w:t>594</w:t>
      </w:r>
      <w:r w:rsidRPr="001A700D">
        <w:rPr>
          <w:rFonts w:hint="eastAsia"/>
          <w:szCs w:val="21"/>
        </w:rPr>
        <w:t>名布隆迪人，</w:t>
      </w:r>
      <w:r w:rsidRPr="001A700D">
        <w:rPr>
          <w:rFonts w:hint="eastAsia"/>
          <w:szCs w:val="21"/>
        </w:rPr>
        <w:t>719</w:t>
      </w:r>
      <w:r w:rsidRPr="001A700D">
        <w:rPr>
          <w:rFonts w:hint="eastAsia"/>
          <w:szCs w:val="21"/>
        </w:rPr>
        <w:t>名刚果人。在</w:t>
      </w:r>
      <w:r w:rsidRPr="001A700D">
        <w:rPr>
          <w:rFonts w:hint="eastAsia"/>
          <w:szCs w:val="21"/>
        </w:rPr>
        <w:t>6 675</w:t>
      </w:r>
      <w:r w:rsidRPr="001A700D">
        <w:rPr>
          <w:rFonts w:hint="eastAsia"/>
          <w:szCs w:val="21"/>
        </w:rPr>
        <w:t>名寻求庇护者中，有</w:t>
      </w:r>
      <w:r w:rsidRPr="001A700D">
        <w:rPr>
          <w:rFonts w:hint="eastAsia"/>
          <w:szCs w:val="21"/>
        </w:rPr>
        <w:t>2 801</w:t>
      </w:r>
      <w:r w:rsidRPr="001A700D">
        <w:rPr>
          <w:rFonts w:hint="eastAsia"/>
          <w:szCs w:val="21"/>
        </w:rPr>
        <w:t>名卢旺达人，</w:t>
      </w:r>
      <w:r w:rsidRPr="001A700D">
        <w:rPr>
          <w:rFonts w:hint="eastAsia"/>
          <w:szCs w:val="21"/>
        </w:rPr>
        <w:t>1 893</w:t>
      </w:r>
      <w:r w:rsidRPr="001A700D">
        <w:rPr>
          <w:rFonts w:hint="eastAsia"/>
          <w:szCs w:val="21"/>
        </w:rPr>
        <w:t>名布隆迪人，</w:t>
      </w:r>
      <w:r w:rsidRPr="001A700D">
        <w:rPr>
          <w:rFonts w:hint="eastAsia"/>
          <w:szCs w:val="21"/>
        </w:rPr>
        <w:t>1 926</w:t>
      </w:r>
      <w:r w:rsidRPr="001A700D">
        <w:rPr>
          <w:rFonts w:hint="eastAsia"/>
          <w:szCs w:val="21"/>
        </w:rPr>
        <w:t>名刚果人。还有安哥拉、厄立特里亚、埃塞俄比亚、索马里、津巴布韦、肯尼亚、苏丹和乌干达等其他国籍的人员。将近</w:t>
      </w:r>
      <w:r w:rsidRPr="001A700D">
        <w:rPr>
          <w:rFonts w:hint="eastAsia"/>
          <w:szCs w:val="21"/>
        </w:rPr>
        <w:t>46%</w:t>
      </w:r>
      <w:r w:rsidRPr="001A700D">
        <w:rPr>
          <w:rFonts w:hint="eastAsia"/>
          <w:szCs w:val="21"/>
        </w:rPr>
        <w:t>的寻求庇护者和难民是女性。</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马拉维对</w:t>
      </w:r>
      <w:r w:rsidRPr="001A700D">
        <w:rPr>
          <w:rFonts w:hint="eastAsia"/>
          <w:szCs w:val="21"/>
        </w:rPr>
        <w:t>1951</w:t>
      </w:r>
      <w:r w:rsidRPr="001A700D">
        <w:rPr>
          <w:rFonts w:hint="eastAsia"/>
          <w:szCs w:val="21"/>
        </w:rPr>
        <w:t>年《难民公约》</w:t>
      </w:r>
      <w:r w:rsidR="0037751F">
        <w:rPr>
          <w:rFonts w:hint="eastAsia"/>
          <w:szCs w:val="21"/>
        </w:rPr>
        <w:t>做出</w:t>
      </w:r>
      <w:r w:rsidRPr="001A700D">
        <w:rPr>
          <w:rFonts w:hint="eastAsia"/>
          <w:szCs w:val="21"/>
        </w:rPr>
        <w:t>了</w:t>
      </w:r>
      <w:r w:rsidRPr="001A700D">
        <w:rPr>
          <w:rFonts w:hint="eastAsia"/>
          <w:szCs w:val="21"/>
        </w:rPr>
        <w:t>9</w:t>
      </w:r>
      <w:r w:rsidRPr="001A700D">
        <w:rPr>
          <w:rFonts w:hint="eastAsia"/>
          <w:szCs w:val="21"/>
        </w:rPr>
        <w:t>项保留，即：第</w:t>
      </w:r>
      <w:r w:rsidRPr="001A700D">
        <w:rPr>
          <w:rFonts w:hint="eastAsia"/>
          <w:szCs w:val="21"/>
        </w:rPr>
        <w:t>7</w:t>
      </w:r>
      <w:r w:rsidRPr="001A700D">
        <w:rPr>
          <w:rFonts w:hint="eastAsia"/>
          <w:szCs w:val="21"/>
        </w:rPr>
        <w:t>条“相互条件的免除”，第</w:t>
      </w:r>
      <w:r w:rsidRPr="001A700D">
        <w:rPr>
          <w:rFonts w:hint="eastAsia"/>
          <w:szCs w:val="21"/>
        </w:rPr>
        <w:t>13</w:t>
      </w:r>
      <w:r w:rsidRPr="001A700D">
        <w:rPr>
          <w:rFonts w:hint="eastAsia"/>
          <w:szCs w:val="21"/>
        </w:rPr>
        <w:t>条“动产和不动产”，第</w:t>
      </w:r>
      <w:r w:rsidRPr="001A700D">
        <w:rPr>
          <w:rFonts w:hint="eastAsia"/>
          <w:szCs w:val="21"/>
        </w:rPr>
        <w:t>15</w:t>
      </w:r>
      <w:r w:rsidRPr="001A700D">
        <w:rPr>
          <w:rFonts w:hint="eastAsia"/>
          <w:szCs w:val="21"/>
        </w:rPr>
        <w:t>条“结社的权利”，第</w:t>
      </w:r>
      <w:r w:rsidRPr="001A700D">
        <w:rPr>
          <w:rFonts w:hint="eastAsia"/>
          <w:szCs w:val="21"/>
        </w:rPr>
        <w:t>17</w:t>
      </w:r>
      <w:r w:rsidRPr="001A700D">
        <w:rPr>
          <w:rFonts w:hint="eastAsia"/>
          <w:szCs w:val="21"/>
        </w:rPr>
        <w:t>条“以工资受偿的雇佣”，第</w:t>
      </w:r>
      <w:r w:rsidRPr="001A700D">
        <w:rPr>
          <w:rFonts w:hint="eastAsia"/>
          <w:szCs w:val="21"/>
        </w:rPr>
        <w:t>19</w:t>
      </w:r>
      <w:r w:rsidRPr="001A700D">
        <w:rPr>
          <w:rFonts w:hint="eastAsia"/>
          <w:szCs w:val="21"/>
        </w:rPr>
        <w:t>条“自由职业”，第</w:t>
      </w:r>
      <w:r w:rsidRPr="001A700D">
        <w:rPr>
          <w:rFonts w:hint="eastAsia"/>
          <w:szCs w:val="21"/>
        </w:rPr>
        <w:t>22</w:t>
      </w:r>
      <w:r w:rsidRPr="001A700D">
        <w:rPr>
          <w:rFonts w:hint="eastAsia"/>
          <w:szCs w:val="21"/>
        </w:rPr>
        <w:t>条“公共教育”，第</w:t>
      </w:r>
      <w:r w:rsidRPr="001A700D">
        <w:rPr>
          <w:rFonts w:hint="eastAsia"/>
          <w:szCs w:val="21"/>
        </w:rPr>
        <w:t>24</w:t>
      </w:r>
      <w:r w:rsidRPr="001A700D">
        <w:rPr>
          <w:rFonts w:hint="eastAsia"/>
          <w:szCs w:val="21"/>
        </w:rPr>
        <w:t>条“劳动立法和社会安全”，第</w:t>
      </w:r>
      <w:r w:rsidRPr="001A700D">
        <w:rPr>
          <w:rFonts w:hint="eastAsia"/>
          <w:szCs w:val="21"/>
        </w:rPr>
        <w:t>26</w:t>
      </w:r>
      <w:r w:rsidRPr="001A700D">
        <w:rPr>
          <w:rFonts w:hint="eastAsia"/>
          <w:szCs w:val="21"/>
        </w:rPr>
        <w:t>条“行动自由”和第</w:t>
      </w:r>
      <w:r w:rsidRPr="001A700D">
        <w:rPr>
          <w:rFonts w:hint="eastAsia"/>
          <w:szCs w:val="21"/>
        </w:rPr>
        <w:t>34</w:t>
      </w:r>
      <w:r w:rsidRPr="001A700D">
        <w:rPr>
          <w:rFonts w:hint="eastAsia"/>
          <w:szCs w:val="21"/>
        </w:rPr>
        <w:t>条“入籍”。对“行动自由”（以及相关的营地政策）、“以工资受偿的雇佣”和“入籍”的保留，妨碍女性难民享有全面的人权，并阻碍增强难民妇女的能力，使其有机会实现自给自足。</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马拉维已有的改善国内儿童处境的法律框架延伸到了难民儿童。这符合《儿童权利公约》的要求。政府对儿童接受教育这一基本权利的尊重，导致正在向包括难童在内的所有儿童普及小学教育，尽管马拉维对《难民公约》第</w:t>
      </w:r>
      <w:r w:rsidRPr="001A700D">
        <w:rPr>
          <w:rFonts w:hint="eastAsia"/>
          <w:szCs w:val="21"/>
        </w:rPr>
        <w:t>22</w:t>
      </w:r>
      <w:r w:rsidRPr="001A700D">
        <w:rPr>
          <w:rFonts w:hint="eastAsia"/>
          <w:szCs w:val="21"/>
        </w:rPr>
        <w:t>条有保留。</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2006</w:t>
      </w:r>
      <w:r w:rsidRPr="001A700D">
        <w:rPr>
          <w:rFonts w:hint="eastAsia"/>
          <w:szCs w:val="21"/>
        </w:rPr>
        <w:t>年</w:t>
      </w:r>
      <w:r w:rsidRPr="001A700D">
        <w:rPr>
          <w:rFonts w:hint="eastAsia"/>
          <w:szCs w:val="21"/>
        </w:rPr>
        <w:t>4</w:t>
      </w:r>
      <w:r w:rsidRPr="001A700D">
        <w:rPr>
          <w:rFonts w:hint="eastAsia"/>
          <w:szCs w:val="21"/>
        </w:rPr>
        <w:t>月通过的《防止家庭暴力法》已被视为确保强化打击家庭暴力法律框架的一个重要工具。女难民无论在何处，都遭受过并继续遭受基于性别的家庭暴力。当该法最终实行时，它将有望向女难民提供必要的保护。《刑法》也规定确保对女难民的保护。</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来到马拉维的寻求庇护者大多从北部边境地区入境，并在卡龙加接待中心由在此工作的政府现场助理予以登记。通过其他过境站抵达的难民，在</w:t>
      </w:r>
      <w:r w:rsidRPr="001A700D">
        <w:rPr>
          <w:rFonts w:hint="eastAsia"/>
          <w:szCs w:val="21"/>
        </w:rPr>
        <w:t>Dzaleka</w:t>
      </w:r>
      <w:r w:rsidRPr="001A700D">
        <w:rPr>
          <w:rFonts w:hint="eastAsia"/>
          <w:szCs w:val="21"/>
        </w:rPr>
        <w:t>难民营登记时偶尔会有困难。不过，自</w:t>
      </w:r>
      <w:r w:rsidRPr="001A700D">
        <w:rPr>
          <w:rFonts w:hint="eastAsia"/>
          <w:szCs w:val="21"/>
        </w:rPr>
        <w:t>2006</w:t>
      </w:r>
      <w:r w:rsidRPr="001A700D">
        <w:rPr>
          <w:rFonts w:hint="eastAsia"/>
          <w:szCs w:val="21"/>
        </w:rPr>
        <w:t>年</w:t>
      </w:r>
      <w:r w:rsidRPr="001A700D">
        <w:rPr>
          <w:rFonts w:hint="eastAsia"/>
          <w:szCs w:val="21"/>
        </w:rPr>
        <w:t>4</w:t>
      </w:r>
      <w:r w:rsidRPr="001A700D">
        <w:rPr>
          <w:rFonts w:hint="eastAsia"/>
          <w:szCs w:val="21"/>
        </w:rPr>
        <w:t>月起确立了一个先决条件，即要求所有寻求庇护者必须从其入境口岸取得移民入境证，方能进行登记。这一先决条件偶尔执行。</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通常入境官员不发放入境证，寻求庇护者也不知道有这样的要求。</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难民营管理机构有时拒绝为没有入境证的寻求庇护者登记。当这些寻求庇护者与最近的移民办事处——利隆圭地区移民办事处——交涉时，他们被告知要到利隆圭北方</w:t>
      </w:r>
      <w:r w:rsidRPr="001A700D">
        <w:rPr>
          <w:rFonts w:hint="eastAsia"/>
          <w:szCs w:val="21"/>
        </w:rPr>
        <w:t>700</w:t>
      </w:r>
      <w:r w:rsidRPr="001A700D">
        <w:rPr>
          <w:rFonts w:hint="eastAsia"/>
          <w:szCs w:val="21"/>
        </w:rPr>
        <w:t>公里之外的卡龙加北部边境去取入境证。考虑到卡龙加接待中心从</w:t>
      </w:r>
      <w:r w:rsidRPr="001A700D">
        <w:rPr>
          <w:rFonts w:hint="eastAsia"/>
          <w:szCs w:val="21"/>
        </w:rPr>
        <w:t>2007</w:t>
      </w:r>
      <w:r w:rsidRPr="001A700D">
        <w:rPr>
          <w:rFonts w:hint="eastAsia"/>
          <w:szCs w:val="21"/>
        </w:rPr>
        <w:t>年</w:t>
      </w:r>
      <w:r w:rsidRPr="001A700D">
        <w:rPr>
          <w:rFonts w:hint="eastAsia"/>
          <w:szCs w:val="21"/>
        </w:rPr>
        <w:t>5</w:t>
      </w:r>
      <w:r w:rsidRPr="001A700D">
        <w:rPr>
          <w:rFonts w:hint="eastAsia"/>
          <w:szCs w:val="21"/>
        </w:rPr>
        <w:t>月至</w:t>
      </w:r>
      <w:r w:rsidRPr="001A700D">
        <w:rPr>
          <w:rFonts w:hint="eastAsia"/>
          <w:szCs w:val="21"/>
        </w:rPr>
        <w:t>2008</w:t>
      </w:r>
      <w:r w:rsidRPr="001A700D">
        <w:rPr>
          <w:rFonts w:hint="eastAsia"/>
          <w:szCs w:val="21"/>
        </w:rPr>
        <w:t>年</w:t>
      </w:r>
      <w:r w:rsidRPr="001A700D">
        <w:rPr>
          <w:rFonts w:hint="eastAsia"/>
          <w:szCs w:val="21"/>
        </w:rPr>
        <w:t>3</w:t>
      </w:r>
      <w:r w:rsidRPr="001A700D">
        <w:rPr>
          <w:rFonts w:hint="eastAsia"/>
          <w:szCs w:val="21"/>
        </w:rPr>
        <w:t>月正式关闭，并非所有寻求庇护者都是通过卡龙加来到马拉维的，寻求庇护者通常没有任何身份证明文件，并且往往没多少钱返回卡龙加，因此要寻求庇护者自费去其入境站的做法并不可行，并将寻求庇护者尤其是弱势妇女置于困境。</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政府曾尝试在边境记录和管理来马拉维的投奔者。对于政府来说，仍需确保不会使妇女处于更加弱势的地位，从而损害她们寻求庇护、安全和福祉的权利。</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寻求庇护者的登记是按个人进行的。卡龙加接待中心初次登记所记录的信息包括基本的生物数据，如姓名、国籍、性别和出生日期。寻求庇护者还要在接待中心填写庇护申请表。不过大多数情况下，对于逃离的原因，登记阶段所记录的信息是非常有限的。</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警方负责在马拉维国内和难民营执法和维持秩序。</w:t>
      </w:r>
      <w:r w:rsidRPr="001A700D">
        <w:rPr>
          <w:rFonts w:hint="eastAsia"/>
          <w:szCs w:val="21"/>
        </w:rPr>
        <w:t>Dzaleka</w:t>
      </w:r>
      <w:r w:rsidRPr="001A700D">
        <w:rPr>
          <w:rFonts w:hint="eastAsia"/>
          <w:szCs w:val="21"/>
        </w:rPr>
        <w:t>难民营有一个警察局，它为难民营居民和当地的马拉维人服务，为其配备了四名警察，其中两名每天</w:t>
      </w:r>
      <w:r w:rsidRPr="001A700D">
        <w:rPr>
          <w:rFonts w:hint="eastAsia"/>
          <w:szCs w:val="21"/>
        </w:rPr>
        <w:t>24</w:t>
      </w:r>
      <w:r w:rsidRPr="001A700D">
        <w:rPr>
          <w:rFonts w:hint="eastAsia"/>
          <w:szCs w:val="21"/>
        </w:rPr>
        <w:t>小时值班。还有</w:t>
      </w:r>
      <w:r w:rsidRPr="001A700D">
        <w:rPr>
          <w:rFonts w:hint="eastAsia"/>
          <w:szCs w:val="21"/>
        </w:rPr>
        <w:t>6</w:t>
      </w:r>
      <w:r w:rsidRPr="001A700D">
        <w:rPr>
          <w:rFonts w:hint="eastAsia"/>
          <w:szCs w:val="21"/>
        </w:rPr>
        <w:t>名保安在难民营管理机构领导下工作。</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Dzaleka</w:t>
      </w:r>
      <w:r w:rsidRPr="001A700D">
        <w:rPr>
          <w:rFonts w:hint="eastAsia"/>
          <w:szCs w:val="21"/>
        </w:rPr>
        <w:t>难民营没有女警官，内政部的解释是因为缺少女警官宿舍。难民署已经建造了一处女警官宿舍，有望在</w:t>
      </w:r>
      <w:r w:rsidRPr="001A700D">
        <w:rPr>
          <w:rFonts w:hint="eastAsia"/>
          <w:szCs w:val="21"/>
        </w:rPr>
        <w:t>2008</w:t>
      </w:r>
      <w:r w:rsidRPr="001A700D">
        <w:rPr>
          <w:rFonts w:hint="eastAsia"/>
          <w:szCs w:val="21"/>
        </w:rPr>
        <w:t>年年中启用。缺少女警官对女性难民影响很大，只要权利遭到侵犯，她们都不得不面对男性执法人员。如果是性犯罪，女性难民就会采取相当妥协的立场，因为某些人对于其所遭受侵犯的细节难以启齿。</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rPr>
      </w:pPr>
      <w:r w:rsidRPr="001A700D">
        <w:rPr>
          <w:rFonts w:hint="eastAsia"/>
          <w:szCs w:val="21"/>
        </w:rPr>
        <w:t xml:space="preserve"> </w:t>
      </w:r>
      <w:r w:rsidRPr="001A700D">
        <w:rPr>
          <w:rFonts w:hint="eastAsia"/>
          <w:szCs w:val="21"/>
        </w:rPr>
        <w:t>所有难民营居民以及居住在城市地区的难民和寻求庇护者都可以求助警方，并且鼓励他们向警方报告所有安全事件、威胁及其他事项。</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lang w:val="en-GB"/>
        </w:rPr>
      </w:pPr>
      <w:r w:rsidRPr="001A700D">
        <w:rPr>
          <w:rFonts w:hint="eastAsia"/>
          <w:szCs w:val="21"/>
        </w:rPr>
        <w:t xml:space="preserve"> </w:t>
      </w:r>
      <w:r w:rsidRPr="001A700D">
        <w:rPr>
          <w:rFonts w:hint="eastAsia"/>
          <w:szCs w:val="21"/>
        </w:rPr>
        <w:t>难民和寻求庇护者享有和马拉维人同样的法律补救措施，并且有机会诉诸法院审理。女性难民在刑事诉讼程序中不受歧视。不过有时诉讼程序会受延迟影响，对于男性难民和马拉维人而言，情况也是如此。</w:t>
      </w:r>
    </w:p>
    <w:p w:rsidR="00F41B4C" w:rsidRPr="001A700D" w:rsidRDefault="00F41B4C" w:rsidP="00133771">
      <w:pPr>
        <w:widowControl/>
        <w:numPr>
          <w:ilvl w:val="0"/>
          <w:numId w:val="35"/>
        </w:numPr>
        <w:tabs>
          <w:tab w:val="left" w:pos="480"/>
        </w:tabs>
        <w:adjustRightInd/>
        <w:spacing w:after="240" w:line="340" w:lineRule="exact"/>
        <w:ind w:left="0" w:firstLine="0"/>
        <w:textAlignment w:val="auto"/>
        <w:rPr>
          <w:szCs w:val="21"/>
          <w:lang w:val="en-GB"/>
        </w:rPr>
      </w:pPr>
      <w:r w:rsidRPr="001A700D">
        <w:rPr>
          <w:rFonts w:hint="eastAsia"/>
          <w:szCs w:val="21"/>
          <w:lang w:val="en-GB"/>
        </w:rPr>
        <w:t xml:space="preserve"> </w:t>
      </w:r>
      <w:r w:rsidRPr="001A700D">
        <w:rPr>
          <w:rFonts w:hint="eastAsia"/>
          <w:szCs w:val="21"/>
          <w:lang w:val="en-GB"/>
        </w:rPr>
        <w:t>关于剥削，难民署、政府及其他合作伙伴正在对寻求庇护的女性进行定期的参与性评估访问，以期查明弱势妇女，如贩运活动的受害者。</w:t>
      </w:r>
    </w:p>
    <w:p w:rsidR="00F41B4C" w:rsidRPr="00B7504E" w:rsidRDefault="00F41B4C" w:rsidP="00B7504E">
      <w:pPr>
        <w:pStyle w:val="H3"/>
        <w:rPr>
          <w:rFonts w:hint="eastAsia"/>
        </w:rPr>
      </w:pPr>
      <w:bookmarkStart w:id="69" w:name="_Toc221523953"/>
      <w:r w:rsidRPr="00B7504E">
        <w:rPr>
          <w:rFonts w:hint="eastAsia"/>
        </w:rPr>
        <w:t>第10条：教育和培训</w:t>
      </w:r>
      <w:bookmarkEnd w:id="69"/>
    </w:p>
    <w:p w:rsidR="00F41B4C" w:rsidRPr="00133771" w:rsidRDefault="00B82BAE" w:rsidP="006C7D6B">
      <w:pPr>
        <w:widowControl/>
        <w:numPr>
          <w:ilvl w:val="0"/>
          <w:numId w:val="35"/>
        </w:numPr>
        <w:tabs>
          <w:tab w:val="left" w:pos="480"/>
        </w:tabs>
        <w:adjustRightInd/>
        <w:spacing w:after="240" w:line="340" w:lineRule="exact"/>
        <w:ind w:left="0" w:firstLine="0"/>
        <w:textAlignment w:val="auto"/>
        <w:rPr>
          <w:rFonts w:hint="eastAsia"/>
          <w:szCs w:val="21"/>
          <w:lang w:val="en-GB"/>
        </w:rPr>
      </w:pPr>
      <w:bookmarkStart w:id="70" w:name="part3"/>
      <w:bookmarkStart w:id="71" w:name="article10"/>
      <w:bookmarkEnd w:id="70"/>
      <w:bookmarkEnd w:id="71"/>
      <w:r w:rsidRPr="001A700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25" type="#_x0000_t75" style="position:absolute;left:0;text-align:left;margin-left:56.5pt;margin-top:73.6pt;width:393.5pt;height:222.75pt;z-index:2">
            <v:imagedata r:id="rId14" o:title=""/>
          </v:shape>
        </w:pict>
      </w:r>
      <w:r w:rsidR="006C7D6B">
        <w:rPr>
          <w:noProof/>
        </w:rPr>
        <w:pict>
          <v:shape id="_x0000_s1429" type="#_x0000_t202" style="position:absolute;left:0;text-align:left;margin-left:-6pt;margin-top:70pt;width:234pt;height:20.8pt;z-index:4" stroked="f">
            <v:textbox style="mso-next-textbox:#_x0000_s1429">
              <w:txbxContent>
                <w:p w:rsidR="00F93BBA" w:rsidRPr="006C7D6B" w:rsidRDefault="00F93BBA">
                  <w:pPr>
                    <w:rPr>
                      <w:rFonts w:ascii="SimHei" w:eastAsia="SimHei" w:hint="eastAsia"/>
                      <w:color w:val="FF0000"/>
                    </w:rPr>
                  </w:pPr>
                  <w:r w:rsidRPr="006C7D6B">
                    <w:rPr>
                      <w:rFonts w:ascii="SimHei" w:eastAsia="SimHei" w:hint="eastAsia"/>
                      <w:color w:val="FF0000"/>
                      <w:szCs w:val="21"/>
                      <w:lang w:val="en-GB"/>
                    </w:rPr>
                    <w:t>图1：马拉维教育系统的结构</w:t>
                  </w:r>
                </w:p>
              </w:txbxContent>
            </v:textbox>
          </v:shape>
        </w:pict>
      </w:r>
      <w:r w:rsidR="00F41B4C" w:rsidRPr="001A700D">
        <w:rPr>
          <w:rFonts w:hint="eastAsia"/>
          <w:szCs w:val="21"/>
        </w:rPr>
        <w:t xml:space="preserve"> </w:t>
      </w:r>
      <w:r w:rsidR="00F41B4C" w:rsidRPr="001A700D">
        <w:rPr>
          <w:rFonts w:hint="eastAsia"/>
          <w:szCs w:val="21"/>
        </w:rPr>
        <w:t>在《宪法》中，教育被确立为所有人的权利。《宪法》进一步规定，初等教育应包括至少</w:t>
      </w:r>
      <w:r w:rsidR="00F41B4C" w:rsidRPr="001A700D">
        <w:rPr>
          <w:rFonts w:hint="eastAsia"/>
          <w:szCs w:val="21"/>
        </w:rPr>
        <w:t>8</w:t>
      </w:r>
      <w:r w:rsidR="00F41B4C" w:rsidRPr="001A700D">
        <w:rPr>
          <w:rFonts w:hint="eastAsia"/>
          <w:szCs w:val="21"/>
        </w:rPr>
        <w:t>年的教育。马拉维教育系统的结构表明，</w:t>
      </w:r>
      <w:r w:rsidR="00F41B4C" w:rsidRPr="001A700D">
        <w:rPr>
          <w:rFonts w:hint="eastAsia"/>
          <w:szCs w:val="21"/>
        </w:rPr>
        <w:t>8</w:t>
      </w:r>
      <w:r w:rsidR="00F41B4C" w:rsidRPr="001A700D">
        <w:rPr>
          <w:rFonts w:hint="eastAsia"/>
          <w:szCs w:val="21"/>
        </w:rPr>
        <w:t>年初等教育结业后将获小学教育毕业证书；</w:t>
      </w:r>
      <w:r w:rsidR="00F41B4C" w:rsidRPr="001A700D">
        <w:rPr>
          <w:rFonts w:hint="eastAsia"/>
          <w:szCs w:val="21"/>
        </w:rPr>
        <w:t>2</w:t>
      </w:r>
      <w:r w:rsidR="00F41B4C" w:rsidRPr="001A700D">
        <w:rPr>
          <w:rFonts w:hint="eastAsia"/>
          <w:szCs w:val="21"/>
        </w:rPr>
        <w:t>年中等教育结业后将获初中教育文凭，之后可以接受高等教育；再学</w:t>
      </w:r>
      <w:r w:rsidR="00F41B4C" w:rsidRPr="001A700D">
        <w:rPr>
          <w:rFonts w:hint="eastAsia"/>
          <w:szCs w:val="21"/>
        </w:rPr>
        <w:t>2</w:t>
      </w:r>
      <w:r w:rsidR="00F41B4C" w:rsidRPr="001A700D">
        <w:rPr>
          <w:rFonts w:hint="eastAsia"/>
          <w:szCs w:val="21"/>
        </w:rPr>
        <w:t>年后将获马拉维学校教育文凭；此后学生可以继续接受技术和职业培训，或者进入马拉维大学、姆祖祖大学或多马西教育学院。该结构如图</w:t>
      </w:r>
      <w:r w:rsidR="00F41B4C" w:rsidRPr="001A700D">
        <w:rPr>
          <w:rFonts w:hint="eastAsia"/>
          <w:szCs w:val="21"/>
        </w:rPr>
        <w:t>1</w:t>
      </w:r>
      <w:r w:rsidR="00F41B4C" w:rsidRPr="001A700D">
        <w:rPr>
          <w:rFonts w:hint="eastAsia"/>
          <w:szCs w:val="21"/>
        </w:rPr>
        <w:t>所示：</w:t>
      </w:r>
    </w:p>
    <w:p w:rsidR="00133771" w:rsidRDefault="00133771" w:rsidP="00133771">
      <w:pPr>
        <w:widowControl/>
        <w:tabs>
          <w:tab w:val="left" w:pos="480"/>
        </w:tabs>
        <w:adjustRightInd/>
        <w:spacing w:after="240" w:line="360" w:lineRule="exact"/>
        <w:textAlignment w:val="auto"/>
        <w:rPr>
          <w:rFonts w:hint="eastAsia"/>
          <w:szCs w:val="21"/>
        </w:rPr>
      </w:pPr>
    </w:p>
    <w:p w:rsidR="00133771" w:rsidRDefault="00133771" w:rsidP="00133771">
      <w:pPr>
        <w:widowControl/>
        <w:tabs>
          <w:tab w:val="left" w:pos="480"/>
        </w:tabs>
        <w:adjustRightInd/>
        <w:spacing w:after="240" w:line="360" w:lineRule="exact"/>
        <w:textAlignment w:val="auto"/>
        <w:rPr>
          <w:rFonts w:hint="eastAsia"/>
          <w:szCs w:val="21"/>
        </w:rPr>
      </w:pPr>
    </w:p>
    <w:p w:rsidR="00133771" w:rsidRDefault="00133771" w:rsidP="00133771">
      <w:pPr>
        <w:widowControl/>
        <w:tabs>
          <w:tab w:val="left" w:pos="480"/>
        </w:tabs>
        <w:adjustRightInd/>
        <w:spacing w:after="240" w:line="360" w:lineRule="exact"/>
        <w:textAlignment w:val="auto"/>
        <w:rPr>
          <w:rFonts w:hint="eastAsia"/>
          <w:szCs w:val="21"/>
        </w:rPr>
      </w:pPr>
    </w:p>
    <w:p w:rsidR="00133771" w:rsidRDefault="00133771" w:rsidP="00133771">
      <w:pPr>
        <w:widowControl/>
        <w:tabs>
          <w:tab w:val="left" w:pos="480"/>
        </w:tabs>
        <w:adjustRightInd/>
        <w:spacing w:after="240" w:line="360" w:lineRule="exact"/>
        <w:textAlignment w:val="auto"/>
        <w:rPr>
          <w:rFonts w:hint="eastAsia"/>
          <w:szCs w:val="21"/>
        </w:rPr>
      </w:pPr>
    </w:p>
    <w:p w:rsidR="00133771" w:rsidRDefault="00133771" w:rsidP="00133771">
      <w:pPr>
        <w:widowControl/>
        <w:tabs>
          <w:tab w:val="left" w:pos="480"/>
        </w:tabs>
        <w:adjustRightInd/>
        <w:spacing w:after="240" w:line="360" w:lineRule="exact"/>
        <w:textAlignment w:val="auto"/>
        <w:rPr>
          <w:rFonts w:hint="eastAsia"/>
          <w:szCs w:val="21"/>
        </w:rPr>
      </w:pPr>
    </w:p>
    <w:p w:rsidR="00133771" w:rsidRDefault="00133771" w:rsidP="00133771">
      <w:pPr>
        <w:widowControl/>
        <w:tabs>
          <w:tab w:val="left" w:pos="480"/>
        </w:tabs>
        <w:adjustRightInd/>
        <w:spacing w:after="240" w:line="360" w:lineRule="exact"/>
        <w:textAlignment w:val="auto"/>
        <w:rPr>
          <w:rFonts w:hint="eastAsia"/>
          <w:szCs w:val="21"/>
        </w:rPr>
      </w:pPr>
    </w:p>
    <w:p w:rsidR="00133771" w:rsidRPr="001A700D" w:rsidRDefault="00133771" w:rsidP="00133771">
      <w:pPr>
        <w:widowControl/>
        <w:tabs>
          <w:tab w:val="left" w:pos="480"/>
        </w:tabs>
        <w:adjustRightInd/>
        <w:spacing w:after="240" w:line="360" w:lineRule="exact"/>
        <w:textAlignment w:val="auto"/>
        <w:rPr>
          <w:szCs w:val="21"/>
          <w:lang w:val="en-GB"/>
        </w:rPr>
      </w:pPr>
    </w:p>
    <w:p w:rsidR="00F41B4C" w:rsidRPr="001A700D" w:rsidRDefault="00F41B4C" w:rsidP="006C7D6B">
      <w:pPr>
        <w:pStyle w:val="NormalWeb"/>
        <w:spacing w:before="0" w:beforeAutospacing="0" w:after="240" w:afterAutospacing="0" w:line="360" w:lineRule="exact"/>
        <w:jc w:val="both"/>
        <w:rPr>
          <w:rFonts w:hint="eastAsia"/>
          <w:sz w:val="21"/>
          <w:szCs w:val="21"/>
          <w:lang w:eastAsia="zh-CN"/>
        </w:rPr>
      </w:pPr>
      <w:r w:rsidRPr="006C7D6B">
        <w:rPr>
          <w:rFonts w:ascii="KaiTi_GB2312" w:eastAsia="KaiTi_GB2312" w:hint="eastAsia"/>
          <w:color w:val="0000FF"/>
          <w:sz w:val="21"/>
          <w:szCs w:val="21"/>
          <w:lang w:eastAsia="zh-CN"/>
        </w:rPr>
        <w:t>资料</w:t>
      </w:r>
      <w:r w:rsidRPr="006C7D6B">
        <w:rPr>
          <w:rFonts w:ascii="KaiTi_GB2312" w:eastAsia="KaiTi_GB2312" w:hint="eastAsia"/>
          <w:color w:val="0000FF"/>
          <w:sz w:val="21"/>
          <w:szCs w:val="21"/>
        </w:rPr>
        <w:t>来源</w:t>
      </w:r>
      <w:r w:rsidRPr="006C7D6B">
        <w:rPr>
          <w:rFonts w:hint="eastAsia"/>
          <w:color w:val="0000FF"/>
          <w:sz w:val="21"/>
          <w:szCs w:val="21"/>
        </w:rPr>
        <w:t>：</w:t>
      </w:r>
      <w:r w:rsidRPr="001A700D">
        <w:rPr>
          <w:rFonts w:hint="eastAsia"/>
          <w:sz w:val="21"/>
          <w:szCs w:val="21"/>
        </w:rPr>
        <w:t>教育部</w:t>
      </w:r>
      <w:r w:rsidRPr="001A700D">
        <w:rPr>
          <w:rFonts w:hint="eastAsia"/>
          <w:sz w:val="21"/>
          <w:szCs w:val="21"/>
          <w:lang w:eastAsia="zh-CN"/>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在入学、继续学习、授课和成绩等教育方面，依然存在性别不平等现象。教育和贫困之间有着不可分割的联系，这对国家的发展议程提出了重大挑战。教育不仅与农业生产力、高收入、低生育率和完善的营养和健康绝对相关，而且也是取得这些成果的一个先决条件。教育还是妇女享受社会、经济和政治权利的一个先决条件，从而使妇女能够选举和被选举，并从事可行的经济活动，包括获得更高水平的收入和贷款额度。</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增长与发展战略》指出，教育是实现繁荣的关键，是社会经济发展、工业增长的催化剂，也是向穷人、弱者和无发言权者授予权力的手段。教育促进群体团结、民族意识和对多样性的包容。根据《增长与发展战略》，作为教育次主题的三个优先领域，正在培养学生成为有能力的称职公民，为他们在非正式部门、私人部门和公共部门有酬就业提供一个学术基础，并且在高等教育中培养具备相关领域知识和技能的高素质专业人才。</w:t>
      </w:r>
      <w:r w:rsidRPr="001A700D">
        <w:rPr>
          <w:rStyle w:val="FootnoteReference"/>
          <w:szCs w:val="21"/>
        </w:rPr>
        <w:footnoteReference w:id="41"/>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政府通过采行一系列行动来应对妇女和女童在谋求教育机会时所面临的挑战，这些行动包括：女孩获得基本扫盲教育——社会动员运动，教育质量社会动员运动，女孩重新入学政策，以及课程编制活动，等等。</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马拉维的教育指标是撒哈拉以南非洲地区最低的一个。相比其他教育等级，学前教育尚未受到重视，而且学前教育机构的主体是非公共部门机构。</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马拉维的成人识字率为</w:t>
      </w:r>
      <w:r w:rsidRPr="001A700D">
        <w:rPr>
          <w:rFonts w:hint="eastAsia"/>
          <w:szCs w:val="21"/>
        </w:rPr>
        <w:t>60.9%</w:t>
      </w:r>
      <w:r w:rsidRPr="001A700D">
        <w:rPr>
          <w:rFonts w:hint="eastAsia"/>
          <w:szCs w:val="21"/>
        </w:rPr>
        <w:t>，城市人口中为</w:t>
      </w:r>
      <w:r w:rsidRPr="001A700D">
        <w:rPr>
          <w:rFonts w:hint="eastAsia"/>
          <w:szCs w:val="21"/>
        </w:rPr>
        <w:t>90.5%</w:t>
      </w:r>
      <w:r w:rsidRPr="001A700D">
        <w:rPr>
          <w:rFonts w:hint="eastAsia"/>
          <w:szCs w:val="21"/>
        </w:rPr>
        <w:t>，农村人口中为</w:t>
      </w:r>
      <w:r w:rsidRPr="001A700D">
        <w:rPr>
          <w:rFonts w:hint="eastAsia"/>
          <w:szCs w:val="21"/>
        </w:rPr>
        <w:t>58.7%</w:t>
      </w:r>
      <w:r w:rsidRPr="001A700D">
        <w:rPr>
          <w:rFonts w:hint="eastAsia"/>
          <w:szCs w:val="21"/>
        </w:rPr>
        <w:t>。按学校等级、年龄和性别统计的学龄人口总数见表</w:t>
      </w:r>
      <w:r w:rsidRPr="001A700D">
        <w:rPr>
          <w:rFonts w:hint="eastAsia"/>
          <w:szCs w:val="21"/>
        </w:rPr>
        <w:t>3</w:t>
      </w:r>
      <w:r w:rsidRPr="001A700D">
        <w:rPr>
          <w:rFonts w:hint="eastAsia"/>
          <w:szCs w:val="21"/>
        </w:rPr>
        <w:t>：</w:t>
      </w:r>
    </w:p>
    <w:p w:rsidR="00F41B4C" w:rsidRPr="006C7D6B" w:rsidRDefault="00F41B4C" w:rsidP="006C7D6B">
      <w:pPr>
        <w:spacing w:after="240" w:line="360" w:lineRule="exact"/>
        <w:rPr>
          <w:rFonts w:ascii="SimHei" w:eastAsia="SimHei" w:hint="eastAsia"/>
          <w:color w:val="FF0000"/>
          <w:szCs w:val="21"/>
          <w:lang w:val="en-GB"/>
        </w:rPr>
      </w:pPr>
      <w:r w:rsidRPr="006C7D6B">
        <w:rPr>
          <w:rFonts w:ascii="SimHei" w:eastAsia="SimHei" w:hint="eastAsia"/>
          <w:color w:val="FF0000"/>
          <w:szCs w:val="21"/>
          <w:lang w:val="en-GB"/>
        </w:rPr>
        <w:t>表3：学龄人口</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3"/>
        <w:gridCol w:w="1418"/>
        <w:gridCol w:w="1381"/>
        <w:gridCol w:w="1417"/>
        <w:gridCol w:w="1568"/>
        <w:gridCol w:w="1242"/>
        <w:gridCol w:w="1447"/>
      </w:tblGrid>
      <w:tr w:rsidR="00F41B4C" w:rsidRPr="006C7D6B" w:rsidTr="006C7D6B">
        <w:tc>
          <w:tcPr>
            <w:tcW w:w="791" w:type="pct"/>
          </w:tcPr>
          <w:p w:rsidR="00F41B4C" w:rsidRPr="006C7D6B" w:rsidRDefault="00F41B4C" w:rsidP="006C7D6B">
            <w:pPr>
              <w:autoSpaceDE w:val="0"/>
              <w:autoSpaceDN w:val="0"/>
              <w:spacing w:line="360" w:lineRule="exact"/>
              <w:rPr>
                <w:rFonts w:ascii="SimHei" w:eastAsia="SimHei" w:hint="eastAsia"/>
                <w:bCs/>
                <w:color w:val="FF0000"/>
                <w:szCs w:val="21"/>
              </w:rPr>
            </w:pPr>
            <w:r w:rsidRPr="006C7D6B">
              <w:rPr>
                <w:rFonts w:ascii="SimHei" w:eastAsia="SimHei" w:hint="eastAsia"/>
                <w:bCs/>
                <w:color w:val="FF0000"/>
                <w:szCs w:val="21"/>
              </w:rPr>
              <w:t>学校等级</w:t>
            </w:r>
          </w:p>
        </w:tc>
        <w:tc>
          <w:tcPr>
            <w:tcW w:w="704" w:type="pct"/>
          </w:tcPr>
          <w:p w:rsidR="00F41B4C" w:rsidRPr="006C7D6B" w:rsidRDefault="00F41B4C" w:rsidP="006C7D6B">
            <w:pPr>
              <w:autoSpaceDE w:val="0"/>
              <w:autoSpaceDN w:val="0"/>
              <w:spacing w:line="360" w:lineRule="exact"/>
              <w:jc w:val="center"/>
              <w:rPr>
                <w:rFonts w:ascii="SimHei" w:eastAsia="SimHei" w:hint="eastAsia"/>
                <w:bCs/>
                <w:color w:val="FF0000"/>
                <w:szCs w:val="21"/>
              </w:rPr>
            </w:pPr>
            <w:r w:rsidRPr="006C7D6B">
              <w:rPr>
                <w:rFonts w:ascii="SimHei" w:eastAsia="SimHei" w:hint="eastAsia"/>
                <w:bCs/>
                <w:color w:val="FF0000"/>
                <w:szCs w:val="21"/>
              </w:rPr>
              <w:t>年龄</w:t>
            </w:r>
          </w:p>
        </w:tc>
        <w:tc>
          <w:tcPr>
            <w:tcW w:w="686" w:type="pct"/>
          </w:tcPr>
          <w:p w:rsidR="00F41B4C" w:rsidRPr="006C7D6B" w:rsidRDefault="00F41B4C" w:rsidP="006C7D6B">
            <w:pPr>
              <w:autoSpaceDE w:val="0"/>
              <w:autoSpaceDN w:val="0"/>
              <w:spacing w:line="360" w:lineRule="exact"/>
              <w:jc w:val="center"/>
              <w:rPr>
                <w:rFonts w:ascii="SimHei" w:eastAsia="SimHei" w:hint="eastAsia"/>
                <w:bCs/>
                <w:color w:val="FF0000"/>
                <w:szCs w:val="21"/>
              </w:rPr>
            </w:pPr>
            <w:r w:rsidRPr="006C7D6B">
              <w:rPr>
                <w:rFonts w:ascii="SimHei" w:eastAsia="SimHei" w:hint="eastAsia"/>
                <w:bCs/>
                <w:color w:val="FF0000"/>
                <w:szCs w:val="21"/>
              </w:rPr>
              <w:t>男女总数</w:t>
            </w:r>
          </w:p>
        </w:tc>
        <w:tc>
          <w:tcPr>
            <w:tcW w:w="704" w:type="pct"/>
          </w:tcPr>
          <w:p w:rsidR="00F41B4C" w:rsidRPr="006C7D6B" w:rsidRDefault="00F41B4C" w:rsidP="006C7D6B">
            <w:pPr>
              <w:autoSpaceDE w:val="0"/>
              <w:autoSpaceDN w:val="0"/>
              <w:spacing w:line="360" w:lineRule="exact"/>
              <w:jc w:val="center"/>
              <w:rPr>
                <w:rFonts w:ascii="SimHei" w:eastAsia="SimHei" w:hint="eastAsia"/>
                <w:bCs/>
                <w:color w:val="FF0000"/>
                <w:szCs w:val="21"/>
              </w:rPr>
            </w:pPr>
            <w:r w:rsidRPr="006C7D6B">
              <w:rPr>
                <w:rFonts w:ascii="SimHei" w:eastAsia="SimHei" w:hint="eastAsia"/>
                <w:bCs/>
                <w:color w:val="FF0000"/>
                <w:szCs w:val="21"/>
              </w:rPr>
              <w:t>男</w:t>
            </w:r>
          </w:p>
        </w:tc>
        <w:tc>
          <w:tcPr>
            <w:tcW w:w="779" w:type="pct"/>
          </w:tcPr>
          <w:p w:rsidR="00F41B4C" w:rsidRPr="006C7D6B" w:rsidRDefault="00F41B4C" w:rsidP="006C7D6B">
            <w:pPr>
              <w:autoSpaceDE w:val="0"/>
              <w:autoSpaceDN w:val="0"/>
              <w:spacing w:line="360" w:lineRule="exact"/>
              <w:jc w:val="center"/>
              <w:rPr>
                <w:rFonts w:ascii="SimHei" w:eastAsia="SimHei" w:hint="eastAsia"/>
                <w:bCs/>
                <w:color w:val="FF0000"/>
                <w:szCs w:val="21"/>
              </w:rPr>
            </w:pPr>
            <w:r w:rsidRPr="006C7D6B">
              <w:rPr>
                <w:rFonts w:ascii="SimHei" w:eastAsia="SimHei" w:hint="eastAsia"/>
                <w:bCs/>
                <w:color w:val="FF0000"/>
                <w:szCs w:val="21"/>
              </w:rPr>
              <w:t>百分比</w:t>
            </w:r>
          </w:p>
        </w:tc>
        <w:tc>
          <w:tcPr>
            <w:tcW w:w="617" w:type="pct"/>
          </w:tcPr>
          <w:p w:rsidR="00F41B4C" w:rsidRPr="006C7D6B" w:rsidRDefault="00F41B4C" w:rsidP="006C7D6B">
            <w:pPr>
              <w:autoSpaceDE w:val="0"/>
              <w:autoSpaceDN w:val="0"/>
              <w:spacing w:line="360" w:lineRule="exact"/>
              <w:jc w:val="center"/>
              <w:rPr>
                <w:rFonts w:ascii="SimHei" w:eastAsia="SimHei" w:hint="eastAsia"/>
                <w:bCs/>
                <w:color w:val="FF0000"/>
                <w:szCs w:val="21"/>
              </w:rPr>
            </w:pPr>
            <w:r w:rsidRPr="006C7D6B">
              <w:rPr>
                <w:rFonts w:ascii="SimHei" w:eastAsia="SimHei" w:hint="eastAsia"/>
                <w:bCs/>
                <w:color w:val="FF0000"/>
                <w:szCs w:val="21"/>
              </w:rPr>
              <w:t>女</w:t>
            </w:r>
          </w:p>
        </w:tc>
        <w:tc>
          <w:tcPr>
            <w:tcW w:w="720" w:type="pct"/>
          </w:tcPr>
          <w:p w:rsidR="00F41B4C" w:rsidRPr="006C7D6B" w:rsidRDefault="00F41B4C" w:rsidP="006C7D6B">
            <w:pPr>
              <w:autoSpaceDE w:val="0"/>
              <w:autoSpaceDN w:val="0"/>
              <w:spacing w:line="360" w:lineRule="exact"/>
              <w:jc w:val="center"/>
              <w:rPr>
                <w:rFonts w:ascii="SimHei" w:eastAsia="SimHei" w:hint="eastAsia"/>
                <w:bCs/>
                <w:color w:val="FF0000"/>
                <w:szCs w:val="21"/>
              </w:rPr>
            </w:pPr>
            <w:r w:rsidRPr="006C7D6B">
              <w:rPr>
                <w:rFonts w:ascii="SimHei" w:eastAsia="SimHei" w:hint="eastAsia"/>
                <w:bCs/>
                <w:color w:val="FF0000"/>
                <w:szCs w:val="21"/>
              </w:rPr>
              <w:t>百分比</w:t>
            </w:r>
          </w:p>
        </w:tc>
      </w:tr>
      <w:tr w:rsidR="00F41B4C" w:rsidRPr="001A700D" w:rsidTr="006C7D6B">
        <w:tc>
          <w:tcPr>
            <w:tcW w:w="791" w:type="pct"/>
          </w:tcPr>
          <w:p w:rsidR="00F41B4C" w:rsidRPr="006C7D6B" w:rsidRDefault="00F41B4C" w:rsidP="006C7D6B">
            <w:pPr>
              <w:autoSpaceDE w:val="0"/>
              <w:autoSpaceDN w:val="0"/>
              <w:spacing w:line="360" w:lineRule="exact"/>
              <w:rPr>
                <w:rFonts w:ascii="SimHei" w:eastAsia="SimHei" w:hint="eastAsia"/>
                <w:bCs/>
                <w:color w:val="FF0000"/>
                <w:szCs w:val="21"/>
              </w:rPr>
            </w:pPr>
            <w:r w:rsidRPr="006C7D6B">
              <w:rPr>
                <w:rFonts w:ascii="SimHei" w:eastAsia="SimHei" w:hint="eastAsia"/>
                <w:bCs/>
                <w:color w:val="FF0000"/>
                <w:szCs w:val="21"/>
              </w:rPr>
              <w:t>小学</w:t>
            </w:r>
          </w:p>
        </w:tc>
        <w:tc>
          <w:tcPr>
            <w:tcW w:w="704" w:type="pct"/>
          </w:tcPr>
          <w:p w:rsidR="00F41B4C" w:rsidRPr="001A700D" w:rsidRDefault="00F41B4C" w:rsidP="006C7D6B">
            <w:pPr>
              <w:autoSpaceDE w:val="0"/>
              <w:autoSpaceDN w:val="0"/>
              <w:spacing w:line="360" w:lineRule="exact"/>
              <w:jc w:val="center"/>
              <w:rPr>
                <w:bCs/>
                <w:szCs w:val="21"/>
              </w:rPr>
            </w:pPr>
            <w:r w:rsidRPr="001A700D">
              <w:rPr>
                <w:bCs/>
                <w:szCs w:val="21"/>
              </w:rPr>
              <w:t>6 - 13</w:t>
            </w:r>
          </w:p>
        </w:tc>
        <w:tc>
          <w:tcPr>
            <w:tcW w:w="686" w:type="pct"/>
          </w:tcPr>
          <w:p w:rsidR="00F41B4C" w:rsidRPr="001A700D" w:rsidRDefault="00F41B4C" w:rsidP="006C7D6B">
            <w:pPr>
              <w:autoSpaceDE w:val="0"/>
              <w:autoSpaceDN w:val="0"/>
              <w:spacing w:line="360" w:lineRule="exact"/>
              <w:jc w:val="center"/>
              <w:rPr>
                <w:b/>
                <w:bCs/>
                <w:szCs w:val="21"/>
              </w:rPr>
            </w:pPr>
            <w:r w:rsidRPr="001A700D">
              <w:rPr>
                <w:szCs w:val="21"/>
              </w:rPr>
              <w:t>2</w:t>
            </w:r>
            <w:r w:rsidRPr="001A700D">
              <w:rPr>
                <w:rFonts w:hint="eastAsia"/>
                <w:szCs w:val="21"/>
              </w:rPr>
              <w:t xml:space="preserve"> </w:t>
            </w:r>
            <w:r w:rsidRPr="001A700D">
              <w:rPr>
                <w:szCs w:val="21"/>
              </w:rPr>
              <w:t>857</w:t>
            </w:r>
            <w:r w:rsidRPr="001A700D">
              <w:rPr>
                <w:rFonts w:hint="eastAsia"/>
                <w:szCs w:val="21"/>
              </w:rPr>
              <w:t xml:space="preserve"> </w:t>
            </w:r>
            <w:r w:rsidRPr="001A700D">
              <w:rPr>
                <w:szCs w:val="21"/>
              </w:rPr>
              <w:t>643</w:t>
            </w:r>
          </w:p>
        </w:tc>
        <w:tc>
          <w:tcPr>
            <w:tcW w:w="704" w:type="pct"/>
          </w:tcPr>
          <w:p w:rsidR="00F41B4C" w:rsidRPr="001A700D" w:rsidRDefault="00F41B4C" w:rsidP="006C7D6B">
            <w:pPr>
              <w:autoSpaceDE w:val="0"/>
              <w:autoSpaceDN w:val="0"/>
              <w:spacing w:line="360" w:lineRule="exact"/>
              <w:jc w:val="center"/>
              <w:rPr>
                <w:b/>
                <w:bCs/>
                <w:szCs w:val="21"/>
              </w:rPr>
            </w:pPr>
            <w:r w:rsidRPr="001A700D">
              <w:rPr>
                <w:szCs w:val="21"/>
              </w:rPr>
              <w:t>1</w:t>
            </w:r>
            <w:r w:rsidRPr="001A700D">
              <w:rPr>
                <w:rFonts w:hint="eastAsia"/>
                <w:szCs w:val="21"/>
              </w:rPr>
              <w:t xml:space="preserve"> </w:t>
            </w:r>
            <w:r w:rsidRPr="001A700D">
              <w:rPr>
                <w:szCs w:val="21"/>
              </w:rPr>
              <w:t>415</w:t>
            </w:r>
            <w:r w:rsidRPr="001A700D">
              <w:rPr>
                <w:rFonts w:hint="eastAsia"/>
                <w:szCs w:val="21"/>
              </w:rPr>
              <w:t xml:space="preserve"> </w:t>
            </w:r>
            <w:r w:rsidRPr="001A700D">
              <w:rPr>
                <w:szCs w:val="21"/>
              </w:rPr>
              <w:t>656</w:t>
            </w:r>
          </w:p>
        </w:tc>
        <w:tc>
          <w:tcPr>
            <w:tcW w:w="779" w:type="pct"/>
          </w:tcPr>
          <w:p w:rsidR="00F41B4C" w:rsidRPr="001A700D" w:rsidRDefault="00F41B4C" w:rsidP="006C7D6B">
            <w:pPr>
              <w:autoSpaceDE w:val="0"/>
              <w:autoSpaceDN w:val="0"/>
              <w:spacing w:line="360" w:lineRule="exact"/>
              <w:jc w:val="center"/>
              <w:rPr>
                <w:b/>
                <w:bCs/>
                <w:szCs w:val="21"/>
              </w:rPr>
            </w:pPr>
            <w:r w:rsidRPr="001A700D">
              <w:rPr>
                <w:szCs w:val="21"/>
              </w:rPr>
              <w:t xml:space="preserve">49.54 </w:t>
            </w:r>
            <w:r w:rsidRPr="001A700D">
              <w:rPr>
                <w:rFonts w:hint="eastAsia"/>
                <w:szCs w:val="21"/>
              </w:rPr>
              <w:t>%</w:t>
            </w:r>
          </w:p>
        </w:tc>
        <w:tc>
          <w:tcPr>
            <w:tcW w:w="617" w:type="pct"/>
          </w:tcPr>
          <w:p w:rsidR="00F41B4C" w:rsidRPr="001A700D" w:rsidRDefault="00F41B4C" w:rsidP="006C7D6B">
            <w:pPr>
              <w:autoSpaceDE w:val="0"/>
              <w:autoSpaceDN w:val="0"/>
              <w:spacing w:line="360" w:lineRule="exact"/>
              <w:jc w:val="center"/>
              <w:rPr>
                <w:b/>
                <w:bCs/>
                <w:szCs w:val="21"/>
              </w:rPr>
            </w:pPr>
            <w:r w:rsidRPr="001A700D">
              <w:rPr>
                <w:szCs w:val="21"/>
              </w:rPr>
              <w:t>1</w:t>
            </w:r>
            <w:r w:rsidRPr="001A700D">
              <w:rPr>
                <w:rFonts w:hint="eastAsia"/>
                <w:szCs w:val="21"/>
              </w:rPr>
              <w:t xml:space="preserve"> </w:t>
            </w:r>
            <w:r w:rsidRPr="001A700D">
              <w:rPr>
                <w:szCs w:val="21"/>
              </w:rPr>
              <w:t>441</w:t>
            </w:r>
            <w:r w:rsidRPr="001A700D">
              <w:rPr>
                <w:rFonts w:hint="eastAsia"/>
                <w:szCs w:val="21"/>
              </w:rPr>
              <w:t xml:space="preserve"> </w:t>
            </w:r>
            <w:r w:rsidRPr="001A700D">
              <w:rPr>
                <w:szCs w:val="21"/>
              </w:rPr>
              <w:t>987</w:t>
            </w:r>
          </w:p>
        </w:tc>
        <w:tc>
          <w:tcPr>
            <w:tcW w:w="720" w:type="pct"/>
          </w:tcPr>
          <w:p w:rsidR="00F41B4C" w:rsidRPr="001A700D" w:rsidRDefault="00F41B4C" w:rsidP="006C7D6B">
            <w:pPr>
              <w:autoSpaceDE w:val="0"/>
              <w:autoSpaceDN w:val="0"/>
              <w:spacing w:line="360" w:lineRule="exact"/>
              <w:jc w:val="center"/>
              <w:rPr>
                <w:rFonts w:hint="eastAsia"/>
                <w:b/>
                <w:bCs/>
                <w:szCs w:val="21"/>
              </w:rPr>
            </w:pPr>
            <w:r w:rsidRPr="001A700D">
              <w:rPr>
                <w:szCs w:val="21"/>
              </w:rPr>
              <w:t>50.46</w:t>
            </w:r>
            <w:r w:rsidRPr="001A700D">
              <w:rPr>
                <w:rFonts w:hint="eastAsia"/>
                <w:szCs w:val="21"/>
              </w:rPr>
              <w:t>%</w:t>
            </w:r>
          </w:p>
        </w:tc>
      </w:tr>
      <w:tr w:rsidR="00F41B4C" w:rsidRPr="001A700D" w:rsidTr="006C7D6B">
        <w:tc>
          <w:tcPr>
            <w:tcW w:w="791" w:type="pct"/>
          </w:tcPr>
          <w:p w:rsidR="00F41B4C" w:rsidRPr="006C7D6B" w:rsidRDefault="00F41B4C" w:rsidP="006C7D6B">
            <w:pPr>
              <w:autoSpaceDE w:val="0"/>
              <w:autoSpaceDN w:val="0"/>
              <w:spacing w:line="360" w:lineRule="exact"/>
              <w:rPr>
                <w:rFonts w:ascii="SimHei" w:eastAsia="SimHei" w:hint="eastAsia"/>
                <w:bCs/>
                <w:color w:val="FF0000"/>
                <w:szCs w:val="21"/>
              </w:rPr>
            </w:pPr>
            <w:r w:rsidRPr="006C7D6B">
              <w:rPr>
                <w:rFonts w:ascii="SimHei" w:eastAsia="SimHei" w:hint="eastAsia"/>
                <w:bCs/>
                <w:color w:val="FF0000"/>
                <w:szCs w:val="21"/>
              </w:rPr>
              <w:t>中学</w:t>
            </w:r>
          </w:p>
        </w:tc>
        <w:tc>
          <w:tcPr>
            <w:tcW w:w="704" w:type="pct"/>
          </w:tcPr>
          <w:p w:rsidR="00F41B4C" w:rsidRPr="001A700D" w:rsidRDefault="00F41B4C" w:rsidP="006C7D6B">
            <w:pPr>
              <w:autoSpaceDE w:val="0"/>
              <w:autoSpaceDN w:val="0"/>
              <w:spacing w:line="360" w:lineRule="exact"/>
              <w:jc w:val="center"/>
              <w:rPr>
                <w:bCs/>
                <w:szCs w:val="21"/>
              </w:rPr>
            </w:pPr>
            <w:r w:rsidRPr="001A700D">
              <w:rPr>
                <w:bCs/>
                <w:szCs w:val="21"/>
              </w:rPr>
              <w:t>14 - 17</w:t>
            </w:r>
          </w:p>
        </w:tc>
        <w:tc>
          <w:tcPr>
            <w:tcW w:w="686" w:type="pct"/>
          </w:tcPr>
          <w:p w:rsidR="00F41B4C" w:rsidRPr="001A700D" w:rsidRDefault="00F41B4C" w:rsidP="006C7D6B">
            <w:pPr>
              <w:autoSpaceDE w:val="0"/>
              <w:autoSpaceDN w:val="0"/>
              <w:spacing w:line="360" w:lineRule="exact"/>
              <w:jc w:val="center"/>
              <w:rPr>
                <w:bCs/>
                <w:szCs w:val="21"/>
              </w:rPr>
            </w:pPr>
            <w:r w:rsidRPr="001A700D">
              <w:rPr>
                <w:bCs/>
                <w:szCs w:val="21"/>
              </w:rPr>
              <w:t>1</w:t>
            </w:r>
            <w:r w:rsidRPr="001A700D">
              <w:rPr>
                <w:rFonts w:hint="eastAsia"/>
                <w:bCs/>
                <w:szCs w:val="21"/>
              </w:rPr>
              <w:t xml:space="preserve"> </w:t>
            </w:r>
            <w:r w:rsidRPr="001A700D">
              <w:rPr>
                <w:bCs/>
                <w:szCs w:val="21"/>
              </w:rPr>
              <w:t>193</w:t>
            </w:r>
            <w:r w:rsidRPr="001A700D">
              <w:rPr>
                <w:rFonts w:hint="eastAsia"/>
                <w:bCs/>
                <w:szCs w:val="21"/>
              </w:rPr>
              <w:t xml:space="preserve"> </w:t>
            </w:r>
            <w:r w:rsidRPr="001A700D">
              <w:rPr>
                <w:bCs/>
                <w:szCs w:val="21"/>
              </w:rPr>
              <w:t>326</w:t>
            </w:r>
          </w:p>
        </w:tc>
        <w:tc>
          <w:tcPr>
            <w:tcW w:w="704" w:type="pct"/>
          </w:tcPr>
          <w:p w:rsidR="00F41B4C" w:rsidRPr="001A700D" w:rsidRDefault="00F41B4C" w:rsidP="006C7D6B">
            <w:pPr>
              <w:autoSpaceDE w:val="0"/>
              <w:autoSpaceDN w:val="0"/>
              <w:spacing w:line="360" w:lineRule="exact"/>
              <w:jc w:val="center"/>
              <w:rPr>
                <w:bCs/>
                <w:szCs w:val="21"/>
              </w:rPr>
            </w:pPr>
            <w:r w:rsidRPr="001A700D">
              <w:rPr>
                <w:bCs/>
                <w:szCs w:val="21"/>
              </w:rPr>
              <w:t>563</w:t>
            </w:r>
            <w:r w:rsidRPr="001A700D">
              <w:rPr>
                <w:rFonts w:hint="eastAsia"/>
                <w:bCs/>
                <w:szCs w:val="21"/>
              </w:rPr>
              <w:t xml:space="preserve"> </w:t>
            </w:r>
            <w:r w:rsidRPr="001A700D">
              <w:rPr>
                <w:bCs/>
                <w:szCs w:val="21"/>
              </w:rPr>
              <w:t>465</w:t>
            </w:r>
          </w:p>
        </w:tc>
        <w:tc>
          <w:tcPr>
            <w:tcW w:w="779" w:type="pct"/>
          </w:tcPr>
          <w:p w:rsidR="00F41B4C" w:rsidRPr="001A700D" w:rsidRDefault="00F41B4C" w:rsidP="006C7D6B">
            <w:pPr>
              <w:autoSpaceDE w:val="0"/>
              <w:autoSpaceDN w:val="0"/>
              <w:spacing w:line="360" w:lineRule="exact"/>
              <w:jc w:val="center"/>
              <w:rPr>
                <w:rFonts w:hint="eastAsia"/>
                <w:bCs/>
                <w:szCs w:val="21"/>
              </w:rPr>
            </w:pPr>
            <w:r w:rsidRPr="001A700D">
              <w:rPr>
                <w:szCs w:val="21"/>
              </w:rPr>
              <w:t>47.22</w:t>
            </w:r>
            <w:r w:rsidRPr="001A700D">
              <w:rPr>
                <w:rFonts w:hint="eastAsia"/>
                <w:szCs w:val="21"/>
              </w:rPr>
              <w:t>%</w:t>
            </w:r>
          </w:p>
        </w:tc>
        <w:tc>
          <w:tcPr>
            <w:tcW w:w="617" w:type="pct"/>
          </w:tcPr>
          <w:p w:rsidR="00F41B4C" w:rsidRPr="001A700D" w:rsidRDefault="00F41B4C" w:rsidP="006C7D6B">
            <w:pPr>
              <w:autoSpaceDE w:val="0"/>
              <w:autoSpaceDN w:val="0"/>
              <w:spacing w:line="360" w:lineRule="exact"/>
              <w:jc w:val="center"/>
              <w:rPr>
                <w:bCs/>
                <w:szCs w:val="21"/>
              </w:rPr>
            </w:pPr>
            <w:r w:rsidRPr="001A700D">
              <w:rPr>
                <w:bCs/>
                <w:szCs w:val="21"/>
              </w:rPr>
              <w:t>629</w:t>
            </w:r>
            <w:r w:rsidRPr="001A700D">
              <w:rPr>
                <w:rFonts w:hint="eastAsia"/>
                <w:bCs/>
                <w:szCs w:val="21"/>
              </w:rPr>
              <w:t xml:space="preserve"> </w:t>
            </w:r>
            <w:r w:rsidRPr="001A700D">
              <w:rPr>
                <w:bCs/>
                <w:szCs w:val="21"/>
              </w:rPr>
              <w:t>861</w:t>
            </w:r>
          </w:p>
        </w:tc>
        <w:tc>
          <w:tcPr>
            <w:tcW w:w="720" w:type="pct"/>
          </w:tcPr>
          <w:p w:rsidR="00F41B4C" w:rsidRPr="001A700D" w:rsidRDefault="00F41B4C" w:rsidP="006C7D6B">
            <w:pPr>
              <w:autoSpaceDE w:val="0"/>
              <w:autoSpaceDN w:val="0"/>
              <w:spacing w:line="360" w:lineRule="exact"/>
              <w:jc w:val="center"/>
              <w:rPr>
                <w:rFonts w:hint="eastAsia"/>
                <w:b/>
                <w:bCs/>
                <w:szCs w:val="21"/>
              </w:rPr>
            </w:pPr>
            <w:r w:rsidRPr="001A700D">
              <w:rPr>
                <w:szCs w:val="21"/>
              </w:rPr>
              <w:t>52.78</w:t>
            </w:r>
            <w:r w:rsidRPr="001A700D">
              <w:rPr>
                <w:rFonts w:hint="eastAsia"/>
                <w:szCs w:val="21"/>
              </w:rPr>
              <w:t>%</w:t>
            </w:r>
          </w:p>
        </w:tc>
      </w:tr>
    </w:tbl>
    <w:p w:rsidR="00F41B4C" w:rsidRPr="001A700D" w:rsidRDefault="00F41B4C" w:rsidP="006C7D6B">
      <w:pPr>
        <w:autoSpaceDE w:val="0"/>
        <w:autoSpaceDN w:val="0"/>
        <w:spacing w:after="240" w:line="360" w:lineRule="exact"/>
        <w:rPr>
          <w:rFonts w:hint="eastAsia"/>
          <w:szCs w:val="21"/>
        </w:rPr>
      </w:pPr>
      <w:r w:rsidRPr="006C7D6B">
        <w:rPr>
          <w:rFonts w:ascii="KaiTi_GB2312" w:eastAsia="KaiTi_GB2312" w:hint="eastAsia"/>
          <w:color w:val="0000FF"/>
          <w:szCs w:val="21"/>
        </w:rPr>
        <w:t>资料来源</w:t>
      </w:r>
      <w:r w:rsidRPr="006C7D6B">
        <w:rPr>
          <w:color w:val="0000FF"/>
          <w:szCs w:val="21"/>
        </w:rPr>
        <w:t>：</w:t>
      </w:r>
      <w:r w:rsidRPr="001A700D">
        <w:rPr>
          <w:szCs w:val="21"/>
        </w:rPr>
        <w:t>国家统计局</w:t>
      </w:r>
      <w:r w:rsidRPr="001A700D">
        <w:rPr>
          <w:szCs w:val="21"/>
        </w:rPr>
        <w:t>2007</w:t>
      </w:r>
      <w:r w:rsidRPr="001A700D">
        <w:rPr>
          <w:szCs w:val="21"/>
        </w:rPr>
        <w:t>年</w:t>
      </w:r>
      <w:r w:rsidRPr="001A700D">
        <w:rPr>
          <w:rFonts w:hint="eastAsia"/>
          <w:szCs w:val="21"/>
        </w:rPr>
        <w:t>预测的估计数（</w:t>
      </w:r>
      <w:r w:rsidRPr="001A700D">
        <w:rPr>
          <w:szCs w:val="21"/>
        </w:rPr>
        <w:t>2007</w:t>
      </w:r>
      <w:r w:rsidRPr="001A700D">
        <w:rPr>
          <w:rFonts w:hint="eastAsia"/>
          <w:szCs w:val="21"/>
        </w:rPr>
        <w:t>年）。</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接受教育、留住中小学生以及采取什么教育内容和教育方法，仍然是一个挑战。教育质量受到了多种因素的不间断影响，尤其是在公立教育机构。私立学校的教师数量在缓慢增长，而公立机构的教师数量却在稳步下降。公共部门和私营部门开办的学校数量都在增长，但增长速度很慢。学校的数量见图</w:t>
      </w:r>
      <w:r w:rsidRPr="001A700D">
        <w:rPr>
          <w:rFonts w:hint="eastAsia"/>
          <w:szCs w:val="21"/>
        </w:rPr>
        <w:t>2</w:t>
      </w:r>
      <w:r w:rsidRPr="001A700D">
        <w:rPr>
          <w:rFonts w:hint="eastAsia"/>
          <w:szCs w:val="21"/>
        </w:rPr>
        <w:t>所示：</w:t>
      </w:r>
    </w:p>
    <w:p w:rsidR="00F41B4C" w:rsidRPr="006C7D6B" w:rsidRDefault="006C7D6B" w:rsidP="006C7D6B">
      <w:pPr>
        <w:spacing w:after="240" w:line="360" w:lineRule="exact"/>
        <w:rPr>
          <w:rFonts w:ascii="SimHei" w:eastAsia="SimHei"/>
          <w:color w:val="FF0000"/>
          <w:szCs w:val="21"/>
          <w:lang w:val="en-GB"/>
        </w:rPr>
      </w:pPr>
      <w:r>
        <w:rPr>
          <w:szCs w:val="21"/>
        </w:rPr>
        <w:br w:type="page"/>
      </w:r>
      <w:r w:rsidR="00F41B4C" w:rsidRPr="006C7D6B">
        <w:rPr>
          <w:rFonts w:ascii="SimHei" w:eastAsia="SimHei" w:hint="eastAsia"/>
          <w:color w:val="FF0000"/>
          <w:szCs w:val="21"/>
          <w:lang w:val="en-GB"/>
        </w:rPr>
        <w:t>图2：</w:t>
      </w:r>
      <w:r w:rsidR="00F41B4C" w:rsidRPr="006C7D6B">
        <w:rPr>
          <w:rFonts w:ascii="SimHei" w:eastAsia="SimHei"/>
          <w:color w:val="FF0000"/>
          <w:szCs w:val="21"/>
          <w:lang w:val="en-GB"/>
        </w:rPr>
        <w:t>2005-2007年</w:t>
      </w:r>
      <w:r w:rsidR="00F41B4C" w:rsidRPr="006C7D6B">
        <w:rPr>
          <w:rFonts w:ascii="SimHei" w:eastAsia="SimHei" w:hint="eastAsia"/>
          <w:color w:val="FF0000"/>
          <w:szCs w:val="21"/>
          <w:lang w:val="en-GB"/>
        </w:rPr>
        <w:t>所有中小学数量</w:t>
      </w:r>
    </w:p>
    <w:p w:rsidR="006C7D6B" w:rsidRDefault="006C7D6B" w:rsidP="006C7D6B">
      <w:pPr>
        <w:spacing w:after="240" w:line="360" w:lineRule="exact"/>
        <w:rPr>
          <w:rFonts w:ascii="KaiTi_GB2312" w:eastAsia="KaiTi_GB2312" w:hint="eastAsia"/>
          <w:szCs w:val="21"/>
        </w:rPr>
      </w:pPr>
      <w:r w:rsidRPr="001A700D">
        <w:rPr>
          <w:noProof/>
          <w:szCs w:val="21"/>
        </w:rPr>
        <w:pict>
          <v:shape id="_x0000_s1426" type="#_x0000_t75" style="position:absolute;left:0;text-align:left;margin-left:1in;margin-top:6.4pt;width:319.75pt;height:155.5pt;z-index:3">
            <v:imagedata r:id="rId15" o:title="" croptop="10658f" cropbottom="9389f"/>
          </v:shape>
        </w:pict>
      </w:r>
    </w:p>
    <w:p w:rsidR="006C7D6B" w:rsidRDefault="006C7D6B" w:rsidP="006C7D6B">
      <w:pPr>
        <w:spacing w:after="240" w:line="360" w:lineRule="exact"/>
        <w:rPr>
          <w:rFonts w:ascii="KaiTi_GB2312" w:eastAsia="KaiTi_GB2312" w:hint="eastAsia"/>
          <w:szCs w:val="21"/>
        </w:rPr>
      </w:pPr>
    </w:p>
    <w:p w:rsidR="006C7D6B" w:rsidRDefault="006C7D6B" w:rsidP="006C7D6B">
      <w:pPr>
        <w:spacing w:after="240" w:line="360" w:lineRule="exact"/>
        <w:rPr>
          <w:rFonts w:ascii="KaiTi_GB2312" w:eastAsia="KaiTi_GB2312" w:hint="eastAsia"/>
          <w:szCs w:val="21"/>
        </w:rPr>
      </w:pPr>
    </w:p>
    <w:p w:rsidR="006C7D6B" w:rsidRDefault="006C7D6B" w:rsidP="006C7D6B">
      <w:pPr>
        <w:spacing w:after="240" w:line="360" w:lineRule="exact"/>
        <w:rPr>
          <w:rFonts w:ascii="KaiTi_GB2312" w:eastAsia="KaiTi_GB2312" w:hint="eastAsia"/>
          <w:szCs w:val="21"/>
        </w:rPr>
      </w:pPr>
    </w:p>
    <w:p w:rsidR="006C7D6B" w:rsidRDefault="006C7D6B" w:rsidP="006C7D6B">
      <w:pPr>
        <w:spacing w:after="240" w:line="360" w:lineRule="exact"/>
        <w:rPr>
          <w:rFonts w:ascii="KaiTi_GB2312" w:eastAsia="KaiTi_GB2312" w:hint="eastAsia"/>
          <w:szCs w:val="21"/>
        </w:rPr>
      </w:pPr>
    </w:p>
    <w:p w:rsidR="006C7D6B" w:rsidRDefault="006C7D6B" w:rsidP="006C7D6B">
      <w:pPr>
        <w:spacing w:after="240" w:line="360" w:lineRule="exact"/>
        <w:rPr>
          <w:rFonts w:ascii="KaiTi_GB2312" w:eastAsia="KaiTi_GB2312" w:hint="eastAsia"/>
          <w:szCs w:val="21"/>
        </w:rPr>
      </w:pPr>
    </w:p>
    <w:p w:rsidR="00F41B4C" w:rsidRPr="001A700D" w:rsidRDefault="00F41B4C" w:rsidP="006C7D6B">
      <w:pPr>
        <w:spacing w:after="240" w:line="360" w:lineRule="exact"/>
        <w:rPr>
          <w:rFonts w:hint="eastAsia"/>
          <w:szCs w:val="21"/>
        </w:rPr>
      </w:pPr>
      <w:r w:rsidRPr="006C7D6B">
        <w:rPr>
          <w:rFonts w:ascii="KaiTi_GB2312" w:eastAsia="KaiTi_GB2312" w:hint="eastAsia"/>
          <w:color w:val="0000FF"/>
          <w:szCs w:val="21"/>
        </w:rPr>
        <w:t>资料来源</w:t>
      </w:r>
      <w:r w:rsidRPr="006C7D6B">
        <w:rPr>
          <w:rFonts w:hint="eastAsia"/>
          <w:color w:val="0000FF"/>
          <w:szCs w:val="21"/>
        </w:rPr>
        <w:t>：</w:t>
      </w:r>
      <w:r w:rsidRPr="001A700D">
        <w:rPr>
          <w:rFonts w:hint="eastAsia"/>
          <w:szCs w:val="21"/>
        </w:rPr>
        <w:t>教育部（</w:t>
      </w:r>
      <w:r w:rsidRPr="001A700D">
        <w:rPr>
          <w:rFonts w:hint="eastAsia"/>
          <w:szCs w:val="21"/>
        </w:rPr>
        <w:t>2007</w:t>
      </w:r>
      <w:r w:rsidRPr="001A700D">
        <w:rPr>
          <w:rFonts w:hint="eastAsia"/>
          <w:szCs w:val="21"/>
        </w:rPr>
        <w:t>年）。</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大多数人口没有正式学历。</w:t>
      </w:r>
      <w:r w:rsidRPr="001A700D">
        <w:rPr>
          <w:rFonts w:hint="eastAsia"/>
          <w:szCs w:val="21"/>
        </w:rPr>
        <w:t>2000</w:t>
      </w:r>
      <w:r w:rsidRPr="001A700D">
        <w:rPr>
          <w:rFonts w:hint="eastAsia"/>
          <w:szCs w:val="21"/>
        </w:rPr>
        <w:t>年，国家统计局进行的一项调查表明，</w:t>
      </w:r>
      <w:r w:rsidRPr="001A700D">
        <w:rPr>
          <w:rFonts w:hint="eastAsia"/>
          <w:szCs w:val="21"/>
        </w:rPr>
        <w:t>88%</w:t>
      </w:r>
      <w:r w:rsidRPr="001A700D">
        <w:rPr>
          <w:rFonts w:hint="eastAsia"/>
          <w:szCs w:val="21"/>
        </w:rPr>
        <w:t>的人口（</w:t>
      </w:r>
      <w:r w:rsidRPr="001A700D">
        <w:rPr>
          <w:rFonts w:hint="eastAsia"/>
          <w:szCs w:val="21"/>
        </w:rPr>
        <w:t>84%</w:t>
      </w:r>
      <w:r w:rsidRPr="001A700D">
        <w:rPr>
          <w:rFonts w:hint="eastAsia"/>
          <w:szCs w:val="21"/>
        </w:rPr>
        <w:t>的男性和</w:t>
      </w:r>
      <w:r w:rsidRPr="001A700D">
        <w:rPr>
          <w:rFonts w:hint="eastAsia"/>
          <w:szCs w:val="21"/>
        </w:rPr>
        <w:t>92%</w:t>
      </w:r>
      <w:r w:rsidRPr="001A700D">
        <w:rPr>
          <w:rFonts w:hint="eastAsia"/>
          <w:szCs w:val="21"/>
        </w:rPr>
        <w:t>的女性）没有正式学历（即既没有小学毕业证书也没有初中文凭，既没有马拉维学校教育文凭也没有“</w:t>
      </w:r>
      <w:r w:rsidRPr="001A700D">
        <w:rPr>
          <w:rFonts w:hint="eastAsia"/>
          <w:szCs w:val="21"/>
        </w:rPr>
        <w:t>A</w:t>
      </w:r>
      <w:r w:rsidRPr="001A700D">
        <w:rPr>
          <w:rFonts w:hint="eastAsia"/>
          <w:szCs w:val="21"/>
        </w:rPr>
        <w:t>”级证书，既没有文凭也没有学位）。</w:t>
      </w:r>
      <w:r w:rsidRPr="001A700D">
        <w:rPr>
          <w:rStyle w:val="FootnoteReference"/>
          <w:szCs w:val="21"/>
        </w:rPr>
        <w:footnoteReference w:id="42"/>
      </w:r>
      <w:r w:rsidRPr="001A700D">
        <w:rPr>
          <w:rFonts w:hint="eastAsia"/>
          <w:szCs w:val="21"/>
        </w:rPr>
        <w:t>妇女的文盲率尤其高，从未参加过正规学校教育的妇女比例，从</w:t>
      </w:r>
      <w:r w:rsidRPr="001A700D">
        <w:rPr>
          <w:rFonts w:hint="eastAsia"/>
          <w:szCs w:val="21"/>
        </w:rPr>
        <w:t>20</w:t>
      </w:r>
      <w:r w:rsidRPr="001A700D">
        <w:rPr>
          <w:rFonts w:hint="eastAsia"/>
          <w:szCs w:val="21"/>
        </w:rPr>
        <w:t>到</w:t>
      </w:r>
      <w:r w:rsidRPr="001A700D">
        <w:rPr>
          <w:rFonts w:hint="eastAsia"/>
          <w:szCs w:val="21"/>
        </w:rPr>
        <w:t>24</w:t>
      </w:r>
      <w:r w:rsidRPr="001A700D">
        <w:rPr>
          <w:rFonts w:hint="eastAsia"/>
          <w:szCs w:val="21"/>
        </w:rPr>
        <w:t>岁年龄组的</w:t>
      </w:r>
      <w:r w:rsidRPr="001A700D">
        <w:rPr>
          <w:rFonts w:hint="eastAsia"/>
          <w:szCs w:val="21"/>
        </w:rPr>
        <w:t>19%</w:t>
      </w:r>
      <w:r w:rsidRPr="001A700D">
        <w:rPr>
          <w:rFonts w:hint="eastAsia"/>
          <w:szCs w:val="21"/>
        </w:rPr>
        <w:t>增加到</w:t>
      </w:r>
      <w:r w:rsidRPr="001A700D">
        <w:rPr>
          <w:rFonts w:hint="eastAsia"/>
          <w:szCs w:val="21"/>
        </w:rPr>
        <w:t>65</w:t>
      </w:r>
      <w:r w:rsidRPr="001A700D">
        <w:rPr>
          <w:rFonts w:hint="eastAsia"/>
          <w:szCs w:val="21"/>
        </w:rPr>
        <w:t>岁及以上年龄组的</w:t>
      </w:r>
      <w:r w:rsidRPr="001A700D">
        <w:rPr>
          <w:rFonts w:hint="eastAsia"/>
          <w:szCs w:val="21"/>
        </w:rPr>
        <w:t>70%</w:t>
      </w:r>
      <w:r w:rsidRPr="001A700D">
        <w:rPr>
          <w:rFonts w:hint="eastAsia"/>
          <w:szCs w:val="21"/>
        </w:rPr>
        <w:t>。</w:t>
      </w:r>
      <w:r w:rsidRPr="001A700D">
        <w:rPr>
          <w:rStyle w:val="FootnoteReference"/>
          <w:szCs w:val="21"/>
        </w:rPr>
        <w:footnoteReference w:id="43"/>
      </w:r>
      <w:r w:rsidRPr="001A700D">
        <w:rPr>
          <w:rFonts w:hint="eastAsia"/>
          <w:szCs w:val="21"/>
        </w:rPr>
        <w:t>对应的男子数字分别是</w:t>
      </w:r>
      <w:r w:rsidRPr="001A700D">
        <w:rPr>
          <w:rFonts w:hint="eastAsia"/>
          <w:szCs w:val="21"/>
        </w:rPr>
        <w:t>9%</w:t>
      </w:r>
      <w:r w:rsidRPr="001A700D">
        <w:rPr>
          <w:rFonts w:hint="eastAsia"/>
          <w:szCs w:val="21"/>
        </w:rPr>
        <w:t>和</w:t>
      </w:r>
      <w:r w:rsidRPr="001A700D">
        <w:rPr>
          <w:rFonts w:hint="eastAsia"/>
          <w:szCs w:val="21"/>
        </w:rPr>
        <w:t>38%</w:t>
      </w:r>
      <w:r w:rsidRPr="001A700D">
        <w:rPr>
          <w:rFonts w:hint="eastAsia"/>
          <w:szCs w:val="21"/>
        </w:rPr>
        <w:t>。</w:t>
      </w:r>
      <w:r w:rsidRPr="001A700D">
        <w:rPr>
          <w:rStyle w:val="FootnoteReference"/>
          <w:szCs w:val="21"/>
        </w:rPr>
        <w:footnoteReference w:id="44"/>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虽然</w:t>
      </w:r>
      <w:r w:rsidRPr="001A700D">
        <w:rPr>
          <w:rFonts w:hint="eastAsia"/>
          <w:szCs w:val="21"/>
        </w:rPr>
        <w:t>1994</w:t>
      </w:r>
      <w:r w:rsidRPr="001A700D">
        <w:rPr>
          <w:rFonts w:hint="eastAsia"/>
          <w:szCs w:val="21"/>
        </w:rPr>
        <w:t>年引入的免费初等教育在</w:t>
      </w:r>
      <w:r w:rsidRPr="001A700D">
        <w:rPr>
          <w:rFonts w:hint="eastAsia"/>
          <w:szCs w:val="21"/>
        </w:rPr>
        <w:t>1999</w:t>
      </w:r>
      <w:r w:rsidRPr="001A700D">
        <w:rPr>
          <w:rFonts w:hint="eastAsia"/>
          <w:szCs w:val="21"/>
        </w:rPr>
        <w:t>年将毛入学率提高到了</w:t>
      </w:r>
      <w:r w:rsidRPr="001A700D">
        <w:rPr>
          <w:rFonts w:hint="eastAsia"/>
          <w:szCs w:val="21"/>
        </w:rPr>
        <w:t>132%</w:t>
      </w:r>
      <w:r w:rsidRPr="001A700D">
        <w:rPr>
          <w:rFonts w:hint="eastAsia"/>
          <w:szCs w:val="21"/>
        </w:rPr>
        <w:t>，将净入学率提高到了</w:t>
      </w:r>
      <w:r w:rsidRPr="001A700D">
        <w:rPr>
          <w:rFonts w:hint="eastAsia"/>
          <w:szCs w:val="21"/>
        </w:rPr>
        <w:t>78%</w:t>
      </w:r>
      <w:r w:rsidRPr="001A700D">
        <w:rPr>
          <w:rFonts w:hint="eastAsia"/>
          <w:szCs w:val="21"/>
        </w:rPr>
        <w:t>，</w:t>
      </w:r>
      <w:r w:rsidRPr="001A700D">
        <w:rPr>
          <w:rStyle w:val="FootnoteReference"/>
          <w:szCs w:val="21"/>
        </w:rPr>
        <w:footnoteReference w:id="45"/>
      </w:r>
      <w:r w:rsidRPr="001A700D">
        <w:rPr>
          <w:rFonts w:hint="eastAsia"/>
          <w:szCs w:val="21"/>
        </w:rPr>
        <w:t>但是，围绕初等教育的挑战导致了高辍学率。据估计，目前仅有</w:t>
      </w:r>
      <w:r w:rsidRPr="001A700D">
        <w:rPr>
          <w:rFonts w:hint="eastAsia"/>
          <w:szCs w:val="21"/>
        </w:rPr>
        <w:t>30%</w:t>
      </w:r>
      <w:r w:rsidRPr="001A700D">
        <w:rPr>
          <w:rFonts w:hint="eastAsia"/>
          <w:szCs w:val="21"/>
        </w:rPr>
        <w:t>的小学入学者能完成小学教育。</w:t>
      </w:r>
      <w:r w:rsidRPr="001A700D">
        <w:rPr>
          <w:rStyle w:val="FootnoteReference"/>
          <w:szCs w:val="21"/>
        </w:rPr>
        <w:footnoteReference w:id="46"/>
      </w:r>
      <w:r w:rsidRPr="001A700D">
        <w:rPr>
          <w:rFonts w:hint="eastAsia"/>
          <w:szCs w:val="21"/>
        </w:rPr>
        <w:t>贫困家庭儿童和女童的续读率尤其低</w:t>
      </w:r>
      <w:r w:rsidRPr="001A700D">
        <w:rPr>
          <w:rStyle w:val="FootnoteReference"/>
          <w:szCs w:val="21"/>
        </w:rPr>
        <w:footnoteReference w:id="47"/>
      </w:r>
      <w:r w:rsidRPr="001A700D">
        <w:rPr>
          <w:rFonts w:hint="eastAsia"/>
          <w:szCs w:val="21"/>
        </w:rPr>
        <w:t>。</w:t>
      </w:r>
      <w:r w:rsidRPr="001A700D">
        <w:rPr>
          <w:rFonts w:hint="eastAsia"/>
          <w:szCs w:val="21"/>
        </w:rPr>
        <w:t>2004</w:t>
      </w:r>
      <w:r w:rsidRPr="001A700D">
        <w:rPr>
          <w:rFonts w:hint="eastAsia"/>
          <w:szCs w:val="21"/>
        </w:rPr>
        <w:t>年以来的</w:t>
      </w:r>
      <w:r w:rsidRPr="001A700D">
        <w:rPr>
          <w:rFonts w:hint="eastAsia"/>
          <w:szCs w:val="21"/>
        </w:rPr>
        <w:t>2004</w:t>
      </w:r>
      <w:r w:rsidRPr="001A700D">
        <w:rPr>
          <w:rFonts w:hint="eastAsia"/>
          <w:szCs w:val="21"/>
        </w:rPr>
        <w:t>年、</w:t>
      </w:r>
      <w:r w:rsidRPr="001A700D">
        <w:rPr>
          <w:rFonts w:hint="eastAsia"/>
          <w:szCs w:val="21"/>
        </w:rPr>
        <w:t>2005</w:t>
      </w:r>
      <w:r w:rsidRPr="001A700D">
        <w:rPr>
          <w:rFonts w:hint="eastAsia"/>
          <w:szCs w:val="21"/>
        </w:rPr>
        <w:t>年和</w:t>
      </w:r>
      <w:r w:rsidRPr="001A700D">
        <w:rPr>
          <w:rFonts w:hint="eastAsia"/>
          <w:szCs w:val="21"/>
        </w:rPr>
        <w:t>2006</w:t>
      </w:r>
      <w:r w:rsidRPr="001A700D">
        <w:rPr>
          <w:rFonts w:hint="eastAsia"/>
          <w:szCs w:val="21"/>
        </w:rPr>
        <w:t>年，每年入学的小学生平均约为</w:t>
      </w:r>
      <w:r w:rsidRPr="001A700D">
        <w:rPr>
          <w:rFonts w:hint="eastAsia"/>
          <w:szCs w:val="21"/>
        </w:rPr>
        <w:t>32 000</w:t>
      </w:r>
      <w:r w:rsidRPr="001A700D">
        <w:rPr>
          <w:rFonts w:hint="eastAsia"/>
          <w:szCs w:val="21"/>
        </w:rPr>
        <w:t>人。</w:t>
      </w:r>
      <w:r w:rsidRPr="001A700D">
        <w:rPr>
          <w:rStyle w:val="FootnoteReference"/>
          <w:szCs w:val="21"/>
        </w:rPr>
        <w:footnoteReference w:id="48"/>
      </w:r>
      <w:r w:rsidRPr="001A700D">
        <w:rPr>
          <w:rFonts w:hint="eastAsia"/>
          <w:szCs w:val="21"/>
        </w:rPr>
        <w:t>这几年入学的中学生平均为</w:t>
      </w:r>
      <w:r w:rsidRPr="001A700D">
        <w:rPr>
          <w:rFonts w:hint="eastAsia"/>
          <w:szCs w:val="21"/>
        </w:rPr>
        <w:t>19 000</w:t>
      </w:r>
      <w:r w:rsidRPr="001A700D">
        <w:rPr>
          <w:rFonts w:hint="eastAsia"/>
          <w:szCs w:val="21"/>
        </w:rPr>
        <w:t>人。</w:t>
      </w:r>
      <w:r w:rsidRPr="001A700D">
        <w:rPr>
          <w:rStyle w:val="FootnoteReference"/>
          <w:szCs w:val="21"/>
        </w:rPr>
        <w:footnoteReference w:id="49"/>
      </w:r>
      <w:r w:rsidRPr="001A700D">
        <w:rPr>
          <w:rFonts w:hint="eastAsia"/>
          <w:szCs w:val="21"/>
        </w:rPr>
        <w:t>这些数字并不说明这些学生和儿童所接受的、为大多数评论家所诟病的教育质量。</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报告所涉期间中小学入学情况显示人数稳步增长。</w:t>
      </w:r>
      <w:r w:rsidRPr="001A700D">
        <w:rPr>
          <w:rFonts w:hint="eastAsia"/>
          <w:szCs w:val="21"/>
        </w:rPr>
        <w:t>2004</w:t>
      </w:r>
      <w:r w:rsidRPr="001A700D">
        <w:rPr>
          <w:rFonts w:hint="eastAsia"/>
          <w:szCs w:val="21"/>
        </w:rPr>
        <w:t>年，小学入学人数为</w:t>
      </w:r>
      <w:r w:rsidRPr="001A700D">
        <w:rPr>
          <w:rFonts w:hint="eastAsia"/>
          <w:szCs w:val="21"/>
        </w:rPr>
        <w:t>3 166 786</w:t>
      </w:r>
      <w:r w:rsidRPr="001A700D">
        <w:rPr>
          <w:rFonts w:hint="eastAsia"/>
          <w:szCs w:val="21"/>
        </w:rPr>
        <w:t>人，</w:t>
      </w:r>
      <w:r w:rsidRPr="001A700D">
        <w:rPr>
          <w:rFonts w:hint="eastAsia"/>
          <w:szCs w:val="21"/>
        </w:rPr>
        <w:t>2007</w:t>
      </w:r>
      <w:r w:rsidRPr="001A700D">
        <w:rPr>
          <w:rFonts w:hint="eastAsia"/>
          <w:szCs w:val="21"/>
        </w:rPr>
        <w:t>年大致相同，为</w:t>
      </w:r>
      <w:r w:rsidRPr="001A700D">
        <w:rPr>
          <w:rFonts w:hint="eastAsia"/>
          <w:szCs w:val="21"/>
        </w:rPr>
        <w:t>3 306 926</w:t>
      </w:r>
      <w:r w:rsidRPr="001A700D">
        <w:rPr>
          <w:rFonts w:hint="eastAsia"/>
          <w:szCs w:val="21"/>
        </w:rPr>
        <w:t>人，增长了</w:t>
      </w:r>
      <w:r w:rsidRPr="001A700D">
        <w:rPr>
          <w:rFonts w:hint="eastAsia"/>
          <w:szCs w:val="21"/>
        </w:rPr>
        <w:t>4.2%</w:t>
      </w:r>
      <w:r w:rsidRPr="001A700D">
        <w:rPr>
          <w:rFonts w:hint="eastAsia"/>
          <w:szCs w:val="21"/>
        </w:rPr>
        <w:t>。在同一时期，中学入学人数为</w:t>
      </w:r>
      <w:r w:rsidRPr="001A700D">
        <w:rPr>
          <w:rFonts w:hint="eastAsia"/>
          <w:szCs w:val="21"/>
        </w:rPr>
        <w:t>180 157</w:t>
      </w:r>
      <w:r w:rsidRPr="001A700D">
        <w:rPr>
          <w:rFonts w:hint="eastAsia"/>
          <w:szCs w:val="21"/>
        </w:rPr>
        <w:t>和</w:t>
      </w:r>
      <w:r w:rsidRPr="001A700D">
        <w:rPr>
          <w:rFonts w:hint="eastAsia"/>
          <w:szCs w:val="21"/>
        </w:rPr>
        <w:t>210 325</w:t>
      </w:r>
      <w:r w:rsidRPr="001A700D">
        <w:rPr>
          <w:rFonts w:hint="eastAsia"/>
          <w:szCs w:val="21"/>
        </w:rPr>
        <w:t>人，增长了</w:t>
      </w:r>
      <w:r w:rsidRPr="001A700D">
        <w:rPr>
          <w:rFonts w:hint="eastAsia"/>
          <w:szCs w:val="21"/>
        </w:rPr>
        <w:t>14.3%</w:t>
      </w:r>
      <w:r w:rsidRPr="001A700D">
        <w:rPr>
          <w:rFonts w:hint="eastAsia"/>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女孩和儿童入学及续读率低的原因是多种多样的。列举过的较为常见原因是：女孩入学时年龄偏大；早孕和青少年怀孕；早婚；劳力需求；家庭收入低；性骚扰和男教师伦理观念差；男同学的性骚扰；没有能力开设注重两性平等的课程；男女同学关系中的陈旧观念和偏见；以及缺少完善的卫生设施，迫使女孩在青春期发育后辍学。</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女孩在获得各级教育机会方面继续面临挑战。在中学的毛入学人数中，女生仅占</w:t>
      </w:r>
      <w:r w:rsidRPr="001A700D">
        <w:rPr>
          <w:rFonts w:hint="eastAsia"/>
          <w:szCs w:val="21"/>
        </w:rPr>
        <w:t>37%</w:t>
      </w:r>
      <w:r w:rsidRPr="001A700D">
        <w:rPr>
          <w:rFonts w:hint="eastAsia"/>
          <w:szCs w:val="21"/>
        </w:rPr>
        <w:t>。</w:t>
      </w:r>
      <w:r w:rsidRPr="001A700D">
        <w:rPr>
          <w:rStyle w:val="FootnoteReference"/>
          <w:szCs w:val="21"/>
        </w:rPr>
        <w:footnoteReference w:id="50"/>
      </w:r>
      <w:r w:rsidRPr="001A700D">
        <w:rPr>
          <w:rFonts w:hint="eastAsia"/>
          <w:szCs w:val="21"/>
        </w:rPr>
        <w:t>高等教育中女生的比例同样很低，在现有的大约</w:t>
      </w:r>
      <w:r w:rsidRPr="001A700D">
        <w:rPr>
          <w:rFonts w:hint="eastAsia"/>
          <w:szCs w:val="21"/>
        </w:rPr>
        <w:t>4 000</w:t>
      </w:r>
      <w:r w:rsidRPr="001A700D">
        <w:rPr>
          <w:rFonts w:hint="eastAsia"/>
          <w:szCs w:val="21"/>
        </w:rPr>
        <w:t>个名额中，女学生仅占不到</w:t>
      </w:r>
      <w:r w:rsidRPr="001A700D">
        <w:rPr>
          <w:rFonts w:hint="eastAsia"/>
          <w:szCs w:val="21"/>
        </w:rPr>
        <w:t>30%</w:t>
      </w:r>
      <w:r w:rsidRPr="001A700D">
        <w:rPr>
          <w:rFonts w:hint="eastAsia"/>
          <w:szCs w:val="21"/>
        </w:rPr>
        <w:t>。</w:t>
      </w:r>
      <w:r w:rsidRPr="001A700D">
        <w:rPr>
          <w:rStyle w:val="FootnoteReference"/>
          <w:szCs w:val="21"/>
        </w:rPr>
        <w:footnoteReference w:id="51"/>
      </w:r>
      <w:r w:rsidRPr="001A700D">
        <w:rPr>
          <w:rFonts w:hint="eastAsia"/>
          <w:szCs w:val="21"/>
        </w:rPr>
        <w:t>入学人数受到学校名额、寄宿设施、学习和财政资源等不足的制约。企业技术和职业培训的入学人数统计也表明，女生人数很少。</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教育部注意到学校需要卫生设施，以便满足女生的需求。目前，通过在学校建造厕所和提供安全用水的持续进程，正在改善学校的卫生设施。教育部在农村地区提供水井，在城市地区提供自来水。</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
          <w:szCs w:val="21"/>
        </w:rPr>
      </w:pPr>
      <w:r w:rsidRPr="001A700D">
        <w:rPr>
          <w:rFonts w:hint="eastAsia"/>
          <w:szCs w:val="21"/>
        </w:rPr>
        <w:t xml:space="preserve"> </w:t>
      </w:r>
      <w:r w:rsidRPr="001A700D">
        <w:rPr>
          <w:rFonts w:hint="eastAsia"/>
          <w:szCs w:val="21"/>
        </w:rPr>
        <w:t>该部还注意到教育机构内的性骚扰案件在增多，不过还未计算出官方数字。该部正在制定一项有关校内性骚扰的战略，有关校内性骚扰问题的战略与政策的缺失，已经对男孩和女孩完成教育产生了负面影响。</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该部还注意到性骚扰不仅仅是学校中有，在社区和家庭中也在蔓延。应该指出的是，即使是校外性骚扰也会影响学生的在校成绩，因此，需要全面的政策、法律和严厉的惩罚措施，以制止违法行为。两性平等法规对于将性骚扰定为刑事犯罪和对性骚扰的民事补救措施</w:t>
      </w:r>
      <w:r w:rsidR="0037751F">
        <w:rPr>
          <w:rFonts w:hint="eastAsia"/>
          <w:szCs w:val="21"/>
        </w:rPr>
        <w:t>做出</w:t>
      </w:r>
      <w:r w:rsidRPr="001A700D">
        <w:rPr>
          <w:rFonts w:hint="eastAsia"/>
          <w:szCs w:val="21"/>
        </w:rPr>
        <w:t>了规定。</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一些教育和培训机构已将性别观点纳入其课程，并且引入了作为学校核心课程的生活技能培训方案，以便应对女孩的培训需求。</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招聘教师中的性别平等也是一个挑战，因为教育部并无准则来指导招聘过程。这也适用于隶属教育部的技术院校。尽管该部制定的《小学教育初步方案手册》提出要在平等的基础上招聘，新招的女教师人数仍然较少，其原因是缺少宿舍。例如，在招收中学教师的</w:t>
      </w:r>
      <w:r w:rsidRPr="001A700D">
        <w:rPr>
          <w:rFonts w:hint="eastAsia"/>
          <w:szCs w:val="21"/>
        </w:rPr>
        <w:t>Domasi</w:t>
      </w:r>
      <w:r w:rsidRPr="001A700D">
        <w:rPr>
          <w:rFonts w:hint="eastAsia"/>
          <w:szCs w:val="21"/>
        </w:rPr>
        <w:t>教育学院，女学员有</w:t>
      </w:r>
      <w:r w:rsidRPr="001A700D">
        <w:rPr>
          <w:rFonts w:hint="eastAsia"/>
          <w:szCs w:val="21"/>
        </w:rPr>
        <w:t>270</w:t>
      </w:r>
      <w:r w:rsidRPr="001A700D">
        <w:rPr>
          <w:rFonts w:hint="eastAsia"/>
          <w:szCs w:val="21"/>
        </w:rPr>
        <w:t>个名额，男学员有</w:t>
      </w:r>
      <w:r w:rsidRPr="001A700D">
        <w:rPr>
          <w:rFonts w:hint="eastAsia"/>
          <w:szCs w:val="21"/>
        </w:rPr>
        <w:t>390</w:t>
      </w:r>
      <w:r w:rsidRPr="001A700D">
        <w:rPr>
          <w:rFonts w:hint="eastAsia"/>
          <w:szCs w:val="21"/>
        </w:rPr>
        <w:t>个名额，分别占</w:t>
      </w:r>
      <w:r w:rsidRPr="001A700D">
        <w:rPr>
          <w:rFonts w:hint="eastAsia"/>
          <w:szCs w:val="21"/>
        </w:rPr>
        <w:t>42%</w:t>
      </w:r>
      <w:r w:rsidRPr="001A700D">
        <w:rPr>
          <w:rFonts w:hint="eastAsia"/>
          <w:szCs w:val="21"/>
        </w:rPr>
        <w:t>和</w:t>
      </w:r>
      <w:r w:rsidRPr="001A700D">
        <w:rPr>
          <w:rFonts w:hint="eastAsia"/>
          <w:szCs w:val="21"/>
        </w:rPr>
        <w:t>58%</w:t>
      </w:r>
      <w:r w:rsidRPr="001A700D">
        <w:rPr>
          <w:rFonts w:hint="eastAsia"/>
          <w:szCs w:val="21"/>
        </w:rPr>
        <w:t>。不过，那些因住宿原因未被录取的学员又被在基本平等的基础上招生的学校择优录取了。该部正在制定准则，以确保在平等的基础上进行公共教育机构的招聘工作，并提倡为通常不申请理科和数学课程的女学员开设非传统课程。</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女生的辍学率高于男同学。在某些情况下，该部招收的女生多于男生，但是由于女生的辍学率高，女生人数远远低于男生。辍学率高的原因包括经济、社会原因以及怀孕等与健康相关的问题。</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教育部还引入了助学金和奖学金，旨在使女童获得教育。在技术院校，助学金和奖学金旨在发放给以男生为主的那些课程中的女学生，但是现在，奖学金的标准不再基于性别，而是基于需要。该部提出了一个获得助学金和奖学金的女生配额，这在两性平等法规中也有提出。</w:t>
      </w:r>
    </w:p>
    <w:p w:rsidR="00F41B4C" w:rsidRPr="00B7504E" w:rsidRDefault="00F41B4C" w:rsidP="00B7504E">
      <w:pPr>
        <w:pStyle w:val="H3"/>
        <w:rPr>
          <w:rFonts w:hint="eastAsia"/>
        </w:rPr>
      </w:pPr>
      <w:bookmarkStart w:id="72" w:name="article11"/>
      <w:bookmarkStart w:id="73" w:name="_Toc221523954"/>
      <w:bookmarkEnd w:id="72"/>
      <w:r w:rsidRPr="00B7504E">
        <w:rPr>
          <w:rFonts w:hint="eastAsia"/>
        </w:rPr>
        <w:t>第11条：就业与工作</w:t>
      </w:r>
      <w:bookmarkEnd w:id="73"/>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宪法》保障公平和安全劳动的权利。它禁止歧视并规定了同工同酬和公平薪酬的原则，不得有任何区别待遇或歧视，特别是根据性别等因素的区别待遇或歧视。《就业法》进一步确立了非歧视原则以及包括性别在内的各种理由。法律委员会根据《艾滋病毒和艾滋病防治法发展方案》提出，应增加在就业领域内禁止以艾滋病毒和艾滋病为由进行歧视这一条。</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《宪法》确立了在马拉维自由从事经济活动、工作和谋生的权利。《就业法》的另一项基本原则是同工同酬的权利。这</w:t>
      </w:r>
      <w:r w:rsidRPr="00315346">
        <w:rPr>
          <w:rFonts w:hint="eastAsia"/>
          <w:szCs w:val="21"/>
        </w:rPr>
        <w:t>意味着</w:t>
      </w:r>
      <w:r w:rsidRPr="001A700D">
        <w:rPr>
          <w:rFonts w:hint="eastAsia"/>
          <w:bCs/>
          <w:iCs/>
          <w:szCs w:val="21"/>
        </w:rPr>
        <w:t>妇女有权享有所有权利，不能因性别遭受歧视。</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不过，妇女因怀孕而失业的事件还在继续发生。在有些情况下，怀孕也是扣发产假期间工资的原因，而通常升职或</w:t>
      </w:r>
      <w:r w:rsidRPr="00315346">
        <w:rPr>
          <w:rFonts w:hint="eastAsia"/>
          <w:szCs w:val="21"/>
        </w:rPr>
        <w:t>其他</w:t>
      </w:r>
      <w:r w:rsidRPr="001A700D">
        <w:rPr>
          <w:rFonts w:hint="eastAsia"/>
          <w:bCs/>
          <w:iCs/>
          <w:szCs w:val="21"/>
        </w:rPr>
        <w:t>职业提升机会并不计算产假。</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妇女在工作场所还继续遭到暴力。男同事的性骚扰仍然猖獗，反映了其社会结构角色。工作场所或其他地方的性骚扰完全因性别而攻击妇女的人格或名誉，因此妇女深受侮辱和诋毁。不过仍然缺乏有效的证据，以证实性骚扰的程度。</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i/>
          <w:szCs w:val="21"/>
        </w:rPr>
      </w:pPr>
      <w:r w:rsidRPr="001A700D">
        <w:rPr>
          <w:rFonts w:hint="eastAsia"/>
          <w:szCs w:val="21"/>
        </w:rPr>
        <w:t>有关性骚扰指控的现有唯一证据，是在本报告所涉期间以外裁定的“</w:t>
      </w:r>
      <w:r w:rsidRPr="001A700D">
        <w:rPr>
          <w:rFonts w:hint="eastAsia"/>
          <w:szCs w:val="21"/>
        </w:rPr>
        <w:t>Rose K. Kankosi</w:t>
      </w:r>
      <w:r w:rsidRPr="001A700D">
        <w:rPr>
          <w:rFonts w:hint="eastAsia"/>
          <w:szCs w:val="21"/>
        </w:rPr>
        <w:t>诉监察员办公室案”。</w:t>
      </w:r>
      <w:r w:rsidRPr="001A700D">
        <w:rPr>
          <w:rStyle w:val="FootnoteReference"/>
          <w:szCs w:val="21"/>
        </w:rPr>
        <w:footnoteReference w:id="52"/>
      </w:r>
      <w:r w:rsidRPr="001A700D">
        <w:rPr>
          <w:rFonts w:hint="eastAsia"/>
          <w:szCs w:val="21"/>
        </w:rPr>
        <w:t>该案件的依据是根据《宪法》的规定，不公平的劳动惯例构成了对原告第</w:t>
      </w:r>
      <w:r w:rsidRPr="001A700D">
        <w:rPr>
          <w:rFonts w:hint="eastAsia"/>
          <w:szCs w:val="21"/>
        </w:rPr>
        <w:t>31</w:t>
      </w:r>
      <w:r w:rsidRPr="001A700D">
        <w:rPr>
          <w:rFonts w:hint="eastAsia"/>
          <w:szCs w:val="21"/>
        </w:rPr>
        <w:t>条宪法权利的侵犯，以及《就业法》第</w:t>
      </w:r>
      <w:r w:rsidRPr="001A700D">
        <w:rPr>
          <w:rFonts w:hint="eastAsia"/>
          <w:szCs w:val="21"/>
        </w:rPr>
        <w:t>60</w:t>
      </w:r>
      <w:r w:rsidRPr="001A700D">
        <w:rPr>
          <w:rFonts w:hint="eastAsia"/>
          <w:szCs w:val="21"/>
        </w:rPr>
        <w:t>条规定的推定解雇。原告声称，她因在工作场所反抗被告的性勾引而受害。法院得出结论，根据向法庭出示的证据，被告对原告的行为构成了无理的性勾引。法院进而得出结论，这种性勾引构成了性骚扰。</w:t>
      </w:r>
      <w:r w:rsidRPr="001A700D">
        <w:rPr>
          <w:rStyle w:val="FootnoteReference"/>
          <w:szCs w:val="21"/>
        </w:rPr>
        <w:footnoteReference w:id="53"/>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还没有法律或政策禁止性骚扰。拟议的两性平等法规提出，性骚扰应被法律禁止。这项拟议法律旨在根据妇女享有尊严的权利禁止性骚扰，因此，对于性骚扰者既应实施刑事制裁，也应实施民事制裁。</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马拉维各地的童工现象仍然很普遍。儿童既从事家务也从事工业工作。《宪法》和《就业法》禁止雇佣童工和强迫劳动。禁止童工的依据是为儿童提供保护，使其免于从事危险性和剥削性的工作。</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bCs/>
          <w:iCs/>
          <w:szCs w:val="21"/>
        </w:rPr>
        <w:t>在</w:t>
      </w:r>
      <w:r w:rsidRPr="001A700D">
        <w:rPr>
          <w:rFonts w:hint="eastAsia"/>
          <w:bCs/>
          <w:iCs/>
          <w:szCs w:val="21"/>
        </w:rPr>
        <w:t>5</w:t>
      </w:r>
      <w:r w:rsidRPr="001A700D">
        <w:rPr>
          <w:rFonts w:hint="eastAsia"/>
          <w:bCs/>
          <w:iCs/>
          <w:szCs w:val="21"/>
        </w:rPr>
        <w:t>到</w:t>
      </w:r>
      <w:r w:rsidRPr="001A700D">
        <w:rPr>
          <w:rFonts w:hint="eastAsia"/>
          <w:bCs/>
          <w:iCs/>
          <w:szCs w:val="21"/>
        </w:rPr>
        <w:t>17</w:t>
      </w:r>
      <w:r w:rsidRPr="001A700D">
        <w:rPr>
          <w:rFonts w:hint="eastAsia"/>
          <w:bCs/>
          <w:iCs/>
          <w:szCs w:val="21"/>
        </w:rPr>
        <w:t>岁的马拉维儿童中，大约有</w:t>
      </w:r>
      <w:r w:rsidRPr="001A700D">
        <w:rPr>
          <w:rFonts w:hint="eastAsia"/>
          <w:bCs/>
          <w:iCs/>
          <w:szCs w:val="21"/>
        </w:rPr>
        <w:t>38%</w:t>
      </w:r>
      <w:r w:rsidRPr="001A700D">
        <w:rPr>
          <w:rFonts w:hint="eastAsia"/>
          <w:bCs/>
          <w:iCs/>
          <w:szCs w:val="21"/>
        </w:rPr>
        <w:t>从事某种劳动，其中</w:t>
      </w:r>
      <w:r w:rsidRPr="001A700D">
        <w:rPr>
          <w:rFonts w:hint="eastAsia"/>
          <w:bCs/>
          <w:iCs/>
          <w:szCs w:val="21"/>
        </w:rPr>
        <w:t>14</w:t>
      </w:r>
      <w:r w:rsidRPr="001A700D">
        <w:rPr>
          <w:rFonts w:hint="eastAsia"/>
          <w:bCs/>
          <w:iCs/>
          <w:szCs w:val="21"/>
        </w:rPr>
        <w:t>岁以下儿童占</w:t>
      </w:r>
      <w:r w:rsidRPr="001A700D">
        <w:rPr>
          <w:rFonts w:hint="eastAsia"/>
          <w:bCs/>
          <w:iCs/>
          <w:szCs w:val="21"/>
        </w:rPr>
        <w:t>95%</w:t>
      </w:r>
      <w:r w:rsidRPr="001A700D">
        <w:rPr>
          <w:rFonts w:hint="eastAsia"/>
          <w:bCs/>
          <w:iCs/>
          <w:szCs w:val="21"/>
        </w:rPr>
        <w:t>。</w:t>
      </w:r>
      <w:r w:rsidRPr="001A700D">
        <w:rPr>
          <w:rStyle w:val="FootnoteReference"/>
          <w:bCs/>
          <w:iCs/>
          <w:szCs w:val="21"/>
        </w:rPr>
        <w:footnoteReference w:id="54"/>
      </w:r>
      <w:r w:rsidRPr="001A700D">
        <w:rPr>
          <w:rFonts w:hint="eastAsia"/>
          <w:bCs/>
          <w:iCs/>
          <w:szCs w:val="21"/>
        </w:rPr>
        <w:t>超过</w:t>
      </w:r>
      <w:r w:rsidRPr="001A700D">
        <w:rPr>
          <w:rFonts w:hint="eastAsia"/>
          <w:bCs/>
          <w:iCs/>
          <w:szCs w:val="21"/>
        </w:rPr>
        <w:t>75%</w:t>
      </w:r>
      <w:r w:rsidRPr="001A700D">
        <w:rPr>
          <w:rFonts w:hint="eastAsia"/>
          <w:bCs/>
          <w:iCs/>
          <w:szCs w:val="21"/>
        </w:rPr>
        <w:t>的工作是在家庭内部，</w:t>
      </w:r>
      <w:r w:rsidRPr="001A700D">
        <w:rPr>
          <w:rFonts w:hint="eastAsia"/>
          <w:bCs/>
          <w:iCs/>
          <w:szCs w:val="21"/>
        </w:rPr>
        <w:t>24%</w:t>
      </w:r>
      <w:r w:rsidRPr="001A700D">
        <w:rPr>
          <w:rFonts w:hint="eastAsia"/>
          <w:bCs/>
          <w:iCs/>
          <w:szCs w:val="21"/>
        </w:rPr>
        <w:t>的工作是在家庭以外。大多数儿童在农业部门工作，已经有儿童弃学到烟草农场做工的报告。</w:t>
      </w:r>
    </w:p>
    <w:p w:rsidR="00F41B4C" w:rsidRPr="00B7504E" w:rsidRDefault="00F41B4C" w:rsidP="00B7504E">
      <w:pPr>
        <w:pStyle w:val="H3"/>
        <w:rPr>
          <w:rFonts w:hint="eastAsia"/>
        </w:rPr>
      </w:pPr>
      <w:bookmarkStart w:id="74" w:name="_Toc221523955"/>
      <w:r w:rsidRPr="00B7504E">
        <w:rPr>
          <w:rFonts w:hint="eastAsia"/>
        </w:rPr>
        <w:t>第12条：保健</w:t>
      </w:r>
      <w:bookmarkEnd w:id="74"/>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没有明确的法律规定来确立享有健康和卫生设施的权利。《宪法》规定，国家有义务提供满足马拉维社会的健康需要和符合国际保健标准的充分保健。《宪法》进一步规定，国家有义务为所有人提供充分营养，以促进良好健康和自足。这些规定被说成是国家政策的原则，而并非马拉维人的权利。马拉维人拥有发展权，这种权利的适用把妇女、儿童和残疾人作为在获得保健及其他服务方面需要特别考虑的对象。</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制定两性平等法规的两性平等委员会提出了健康方面的新的法律条款，尤其是与性健康和生殖健康有关的条款。这符合</w:t>
      </w:r>
      <w:r w:rsidRPr="001A700D">
        <w:rPr>
          <w:rFonts w:hint="eastAsia"/>
          <w:szCs w:val="21"/>
        </w:rPr>
        <w:t>2002</w:t>
      </w:r>
      <w:r w:rsidRPr="001A700D">
        <w:rPr>
          <w:rFonts w:hint="eastAsia"/>
          <w:szCs w:val="21"/>
        </w:rPr>
        <w:t>年通过的《生殖健康政策》。</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获得保健服务的机会有限，特别是在农村地区。保健服务由政府、宗教组织、私营部门和传统保健服务供应商提供。政府占</w:t>
      </w:r>
      <w:r w:rsidRPr="001A700D">
        <w:rPr>
          <w:rFonts w:hint="eastAsia"/>
          <w:szCs w:val="21"/>
        </w:rPr>
        <w:t>60%</w:t>
      </w:r>
      <w:r w:rsidRPr="001A700D">
        <w:rPr>
          <w:rFonts w:hint="eastAsia"/>
          <w:szCs w:val="21"/>
        </w:rPr>
        <w:t>，马拉维基督教健康协会（基督教健康协会）占</w:t>
      </w:r>
      <w:r w:rsidRPr="001A700D">
        <w:rPr>
          <w:rFonts w:hint="eastAsia"/>
          <w:szCs w:val="21"/>
        </w:rPr>
        <w:t>25%</w:t>
      </w:r>
      <w:r w:rsidRPr="001A700D">
        <w:rPr>
          <w:rFonts w:hint="eastAsia"/>
          <w:szCs w:val="21"/>
        </w:rPr>
        <w:t>。私营部门的贡献相对较小，占其余部分。</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有关妇女的关键统计数字表明，</w:t>
      </w:r>
      <w:r w:rsidRPr="001A700D">
        <w:rPr>
          <w:rFonts w:hint="eastAsia"/>
          <w:szCs w:val="21"/>
        </w:rPr>
        <w:t>2004</w:t>
      </w:r>
      <w:r w:rsidRPr="001A700D">
        <w:rPr>
          <w:rFonts w:hint="eastAsia"/>
          <w:szCs w:val="21"/>
        </w:rPr>
        <w:t>年女青年</w:t>
      </w:r>
      <w:r w:rsidRPr="001A700D">
        <w:rPr>
          <w:rStyle w:val="FootnoteReference"/>
          <w:szCs w:val="21"/>
        </w:rPr>
        <w:footnoteReference w:id="55"/>
      </w:r>
      <w:r w:rsidRPr="001A700D">
        <w:rPr>
          <w:rFonts w:hint="eastAsia"/>
          <w:szCs w:val="21"/>
        </w:rPr>
        <w:t>的识字率为</w:t>
      </w:r>
      <w:r w:rsidRPr="001A700D">
        <w:rPr>
          <w:rFonts w:hint="eastAsia"/>
          <w:szCs w:val="21"/>
        </w:rPr>
        <w:t>54%</w:t>
      </w:r>
      <w:r w:rsidRPr="001A700D">
        <w:rPr>
          <w:rFonts w:hint="eastAsia"/>
          <w:szCs w:val="21"/>
        </w:rPr>
        <w:t>，女孩初婚的平均年龄为</w:t>
      </w:r>
      <w:r w:rsidRPr="001A700D">
        <w:rPr>
          <w:rFonts w:hint="eastAsia"/>
          <w:szCs w:val="21"/>
        </w:rPr>
        <w:t>17</w:t>
      </w:r>
      <w:r w:rsidRPr="001A700D">
        <w:rPr>
          <w:rFonts w:hint="eastAsia"/>
          <w:szCs w:val="21"/>
        </w:rPr>
        <w:t>岁，产妇死亡率是每</w:t>
      </w:r>
      <w:r w:rsidRPr="001A700D">
        <w:rPr>
          <w:rFonts w:hint="eastAsia"/>
          <w:szCs w:val="21"/>
        </w:rPr>
        <w:t>100 000</w:t>
      </w:r>
      <w:r w:rsidRPr="001A700D">
        <w:rPr>
          <w:rFonts w:hint="eastAsia"/>
          <w:szCs w:val="21"/>
        </w:rPr>
        <w:t>个活产儿有</w:t>
      </w:r>
      <w:r w:rsidRPr="001A700D">
        <w:rPr>
          <w:rFonts w:hint="eastAsia"/>
          <w:szCs w:val="21"/>
        </w:rPr>
        <w:t>984</w:t>
      </w:r>
      <w:r w:rsidRPr="001A700D">
        <w:rPr>
          <w:rFonts w:hint="eastAsia"/>
          <w:szCs w:val="21"/>
        </w:rPr>
        <w:t>人死亡，产妇死亡人数为每年</w:t>
      </w:r>
      <w:r w:rsidRPr="001A700D">
        <w:rPr>
          <w:rFonts w:hint="eastAsia"/>
          <w:szCs w:val="21"/>
        </w:rPr>
        <w:t>6 000</w:t>
      </w:r>
      <w:r w:rsidRPr="001A700D">
        <w:rPr>
          <w:rFonts w:hint="eastAsia"/>
          <w:szCs w:val="21"/>
        </w:rPr>
        <w:t>人，每天</w:t>
      </w:r>
      <w:r w:rsidRPr="001A700D">
        <w:rPr>
          <w:rFonts w:hint="eastAsia"/>
          <w:szCs w:val="21"/>
        </w:rPr>
        <w:t>16</w:t>
      </w:r>
      <w:r w:rsidRPr="001A700D">
        <w:rPr>
          <w:rFonts w:hint="eastAsia"/>
          <w:szCs w:val="21"/>
        </w:rPr>
        <w:t>人。避孕普及率为</w:t>
      </w:r>
      <w:r w:rsidRPr="001A700D">
        <w:rPr>
          <w:rFonts w:hint="eastAsia"/>
          <w:szCs w:val="21"/>
        </w:rPr>
        <w:t>28%</w:t>
      </w:r>
      <w:r w:rsidRPr="001A700D">
        <w:rPr>
          <w:rFonts w:hint="eastAsia"/>
          <w:szCs w:val="21"/>
        </w:rPr>
        <w:t>，而青少年的生育率为</w:t>
      </w:r>
      <w:r w:rsidRPr="001A700D">
        <w:rPr>
          <w:rFonts w:hint="eastAsia"/>
          <w:szCs w:val="21"/>
        </w:rPr>
        <w:t>30%</w:t>
      </w:r>
      <w:r w:rsidRPr="001A700D">
        <w:rPr>
          <w:rFonts w:hint="eastAsia"/>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在报告所涉期间内，计划生育服务的利用有增长迹象。计划外怀孕也很常见。</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15</w:t>
      </w:r>
      <w:r w:rsidRPr="001A700D">
        <w:rPr>
          <w:rFonts w:hint="eastAsia"/>
          <w:szCs w:val="21"/>
        </w:rPr>
        <w:t>至</w:t>
      </w:r>
      <w:r w:rsidRPr="001A700D">
        <w:rPr>
          <w:rFonts w:hint="eastAsia"/>
          <w:szCs w:val="21"/>
        </w:rPr>
        <w:t>49</w:t>
      </w:r>
      <w:r w:rsidRPr="001A700D">
        <w:rPr>
          <w:rFonts w:hint="eastAsia"/>
          <w:szCs w:val="21"/>
        </w:rPr>
        <w:t>岁年龄组的妇女对避孕方法的认识普遍提高。这一年龄组</w:t>
      </w:r>
      <w:r w:rsidRPr="001A700D">
        <w:rPr>
          <w:rFonts w:hint="eastAsia"/>
          <w:szCs w:val="21"/>
        </w:rPr>
        <w:t>97%</w:t>
      </w:r>
      <w:r w:rsidRPr="001A700D">
        <w:rPr>
          <w:rFonts w:hint="eastAsia"/>
          <w:szCs w:val="21"/>
        </w:rPr>
        <w:t>的妇女至少了解一种计生方法。已经利用收音机和面对面的互动开展宣传活动，因为有些人是文盲，这些方式极为有效。根据</w:t>
      </w:r>
      <w:r w:rsidRPr="001A700D">
        <w:rPr>
          <w:rFonts w:hint="eastAsia"/>
          <w:szCs w:val="21"/>
        </w:rPr>
        <w:t>2004</w:t>
      </w:r>
      <w:r w:rsidRPr="001A700D">
        <w:rPr>
          <w:rFonts w:hint="eastAsia"/>
          <w:szCs w:val="21"/>
        </w:rPr>
        <w:t>年人口与健康调查，</w:t>
      </w:r>
      <w:r w:rsidRPr="001A700D">
        <w:rPr>
          <w:rFonts w:hint="eastAsia"/>
          <w:szCs w:val="21"/>
        </w:rPr>
        <w:t>97%</w:t>
      </w:r>
      <w:r w:rsidRPr="001A700D">
        <w:rPr>
          <w:rFonts w:hint="eastAsia"/>
          <w:szCs w:val="21"/>
        </w:rPr>
        <w:t>的</w:t>
      </w:r>
      <w:r w:rsidRPr="001A700D">
        <w:rPr>
          <w:rFonts w:hint="eastAsia"/>
          <w:szCs w:val="21"/>
        </w:rPr>
        <w:t>15</w:t>
      </w:r>
      <w:r w:rsidRPr="001A700D">
        <w:rPr>
          <w:rFonts w:hint="eastAsia"/>
          <w:szCs w:val="21"/>
        </w:rPr>
        <w:t>至</w:t>
      </w:r>
      <w:r w:rsidRPr="001A700D">
        <w:rPr>
          <w:rFonts w:hint="eastAsia"/>
          <w:szCs w:val="21"/>
        </w:rPr>
        <w:t>49</w:t>
      </w:r>
      <w:r w:rsidRPr="001A700D">
        <w:rPr>
          <w:rFonts w:hint="eastAsia"/>
          <w:szCs w:val="21"/>
        </w:rPr>
        <w:t>岁女性和</w:t>
      </w:r>
      <w:r w:rsidRPr="001A700D">
        <w:rPr>
          <w:rFonts w:hint="eastAsia"/>
          <w:szCs w:val="21"/>
        </w:rPr>
        <w:t>97%</w:t>
      </w:r>
      <w:r w:rsidRPr="001A700D">
        <w:rPr>
          <w:rFonts w:hint="eastAsia"/>
          <w:szCs w:val="21"/>
        </w:rPr>
        <w:t>的</w:t>
      </w:r>
      <w:r w:rsidRPr="001A700D">
        <w:rPr>
          <w:rFonts w:hint="eastAsia"/>
          <w:szCs w:val="21"/>
        </w:rPr>
        <w:t>15</w:t>
      </w:r>
      <w:r w:rsidRPr="001A700D">
        <w:rPr>
          <w:rFonts w:hint="eastAsia"/>
          <w:szCs w:val="21"/>
        </w:rPr>
        <w:t>至</w:t>
      </w:r>
      <w:r w:rsidRPr="001A700D">
        <w:rPr>
          <w:rFonts w:hint="eastAsia"/>
          <w:szCs w:val="21"/>
        </w:rPr>
        <w:t>54</w:t>
      </w:r>
      <w:r w:rsidRPr="001A700D">
        <w:rPr>
          <w:rFonts w:hint="eastAsia"/>
          <w:szCs w:val="21"/>
        </w:rPr>
        <w:t>岁男性了解至少一种现代计生方法。所有妇女都最为熟知的避孕方法是注射避孕（占</w:t>
      </w:r>
      <w:r w:rsidRPr="001A700D">
        <w:rPr>
          <w:rFonts w:hint="eastAsia"/>
          <w:szCs w:val="21"/>
        </w:rPr>
        <w:t>93%</w:t>
      </w:r>
      <w:r w:rsidRPr="001A700D">
        <w:rPr>
          <w:rFonts w:hint="eastAsia"/>
          <w:szCs w:val="21"/>
        </w:rPr>
        <w:t>）、使用避孕套和避孕药（占</w:t>
      </w:r>
      <w:r w:rsidRPr="001A700D">
        <w:rPr>
          <w:rFonts w:hint="eastAsia"/>
          <w:szCs w:val="21"/>
        </w:rPr>
        <w:t>90%</w:t>
      </w:r>
      <w:r w:rsidRPr="001A700D">
        <w:rPr>
          <w:rFonts w:hint="eastAsia"/>
          <w:szCs w:val="21"/>
        </w:rPr>
        <w:t>）以及女性绝育（占</w:t>
      </w:r>
      <w:r w:rsidRPr="001A700D">
        <w:rPr>
          <w:rFonts w:hint="eastAsia"/>
          <w:szCs w:val="21"/>
        </w:rPr>
        <w:t>83%</w:t>
      </w:r>
      <w:r w:rsidRPr="001A700D">
        <w:rPr>
          <w:rFonts w:hint="eastAsia"/>
          <w:szCs w:val="21"/>
        </w:rPr>
        <w:t>）。没有任何形式性经验的妇女最为熟知的避孕方式是男用避孕套（</w:t>
      </w:r>
      <w:r w:rsidRPr="001A700D">
        <w:rPr>
          <w:rFonts w:hint="eastAsia"/>
          <w:szCs w:val="21"/>
        </w:rPr>
        <w:t>72%</w:t>
      </w:r>
      <w:r w:rsidRPr="001A700D">
        <w:rPr>
          <w:rFonts w:hint="eastAsia"/>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2004</w:t>
      </w:r>
      <w:r w:rsidRPr="001A700D">
        <w:rPr>
          <w:rFonts w:hint="eastAsia"/>
          <w:szCs w:val="21"/>
        </w:rPr>
        <w:t>年，对于所有妇女来说，理想家庭的平均规模为</w:t>
      </w:r>
      <w:r w:rsidRPr="001A700D">
        <w:rPr>
          <w:rFonts w:hint="eastAsia"/>
          <w:szCs w:val="21"/>
        </w:rPr>
        <w:t>4.0</w:t>
      </w:r>
      <w:r w:rsidRPr="001A700D">
        <w:rPr>
          <w:rFonts w:hint="eastAsia"/>
          <w:szCs w:val="21"/>
        </w:rPr>
        <w:t>人，比</w:t>
      </w:r>
      <w:r w:rsidRPr="001A700D">
        <w:rPr>
          <w:rFonts w:hint="eastAsia"/>
          <w:szCs w:val="21"/>
        </w:rPr>
        <w:t>2000</w:t>
      </w:r>
      <w:r w:rsidRPr="001A700D">
        <w:rPr>
          <w:rFonts w:hint="eastAsia"/>
          <w:szCs w:val="21"/>
        </w:rPr>
        <w:t>年的</w:t>
      </w:r>
      <w:r w:rsidRPr="001A700D">
        <w:rPr>
          <w:rFonts w:hint="eastAsia"/>
          <w:szCs w:val="21"/>
        </w:rPr>
        <w:t>4.8</w:t>
      </w:r>
      <w:r w:rsidRPr="001A700D">
        <w:rPr>
          <w:rFonts w:hint="eastAsia"/>
          <w:szCs w:val="21"/>
        </w:rPr>
        <w:t>人有下降。据估计，</w:t>
      </w:r>
      <w:r w:rsidRPr="001A700D">
        <w:rPr>
          <w:rFonts w:hint="eastAsia"/>
          <w:szCs w:val="21"/>
        </w:rPr>
        <w:t>35%</w:t>
      </w:r>
      <w:r w:rsidRPr="001A700D">
        <w:rPr>
          <w:rFonts w:hint="eastAsia"/>
          <w:szCs w:val="21"/>
        </w:rPr>
        <w:t>的妇女不想再生孩子，希望将其家庭规模限制在目前水平，而且有</w:t>
      </w:r>
      <w:r w:rsidRPr="001A700D">
        <w:rPr>
          <w:rFonts w:hint="eastAsia"/>
          <w:szCs w:val="21"/>
        </w:rPr>
        <w:t>6%</w:t>
      </w:r>
      <w:r w:rsidRPr="001A700D">
        <w:rPr>
          <w:rFonts w:hint="eastAsia"/>
          <w:szCs w:val="21"/>
        </w:rPr>
        <w:t>的妇女做了绝育手术。已婚妇女的避孕需求未满足率</w:t>
      </w:r>
      <w:r w:rsidRPr="001A700D">
        <w:rPr>
          <w:rStyle w:val="FootnoteReference"/>
          <w:szCs w:val="21"/>
        </w:rPr>
        <w:footnoteReference w:id="56"/>
      </w:r>
      <w:r w:rsidRPr="001A700D">
        <w:rPr>
          <w:rFonts w:hint="eastAsia"/>
          <w:szCs w:val="21"/>
        </w:rPr>
        <w:t>为</w:t>
      </w:r>
      <w:r w:rsidRPr="001A700D">
        <w:rPr>
          <w:rFonts w:hint="eastAsia"/>
          <w:szCs w:val="21"/>
        </w:rPr>
        <w:t>28%</w:t>
      </w:r>
      <w:r w:rsidRPr="001A700D">
        <w:rPr>
          <w:rFonts w:hint="eastAsia"/>
          <w:szCs w:val="21"/>
        </w:rPr>
        <w:t>：对生育间隔要求的未满足率为</w:t>
      </w:r>
      <w:r w:rsidRPr="001A700D">
        <w:rPr>
          <w:rFonts w:hint="eastAsia"/>
          <w:szCs w:val="21"/>
        </w:rPr>
        <w:t>17%</w:t>
      </w:r>
      <w:r w:rsidRPr="001A700D">
        <w:rPr>
          <w:rFonts w:hint="eastAsia"/>
          <w:szCs w:val="21"/>
        </w:rPr>
        <w:t>，对限制生育数量要求的未满足率是</w:t>
      </w:r>
      <w:r w:rsidRPr="001A700D">
        <w:rPr>
          <w:rFonts w:hint="eastAsia"/>
          <w:szCs w:val="21"/>
        </w:rPr>
        <w:t>10%</w:t>
      </w:r>
      <w:r w:rsidRPr="001A700D">
        <w:rPr>
          <w:rFonts w:hint="eastAsia"/>
          <w:szCs w:val="21"/>
        </w:rPr>
        <w:t>。已婚妇女中的计划生育总需求，从</w:t>
      </w:r>
      <w:r w:rsidRPr="001A700D">
        <w:rPr>
          <w:rFonts w:hint="eastAsia"/>
          <w:szCs w:val="21"/>
        </w:rPr>
        <w:t>2000</w:t>
      </w:r>
      <w:r w:rsidRPr="001A700D">
        <w:rPr>
          <w:rFonts w:hint="eastAsia"/>
          <w:szCs w:val="21"/>
        </w:rPr>
        <w:t>年的</w:t>
      </w:r>
      <w:r w:rsidRPr="001A700D">
        <w:rPr>
          <w:rFonts w:hint="eastAsia"/>
          <w:szCs w:val="21"/>
        </w:rPr>
        <w:t>60%</w:t>
      </w:r>
      <w:r w:rsidRPr="001A700D">
        <w:rPr>
          <w:rFonts w:hint="eastAsia"/>
          <w:szCs w:val="21"/>
        </w:rPr>
        <w:t>增加到</w:t>
      </w:r>
      <w:r w:rsidRPr="001A700D">
        <w:rPr>
          <w:rFonts w:hint="eastAsia"/>
          <w:szCs w:val="21"/>
        </w:rPr>
        <w:t>2004</w:t>
      </w:r>
      <w:r w:rsidRPr="001A700D">
        <w:rPr>
          <w:rFonts w:hint="eastAsia"/>
          <w:szCs w:val="21"/>
        </w:rPr>
        <w:t>年的</w:t>
      </w:r>
      <w:r w:rsidRPr="001A700D">
        <w:rPr>
          <w:rFonts w:hint="eastAsia"/>
          <w:szCs w:val="21"/>
        </w:rPr>
        <w:t>62%</w:t>
      </w:r>
      <w:r w:rsidRPr="001A700D">
        <w:rPr>
          <w:rFonts w:hint="eastAsia"/>
          <w:szCs w:val="21"/>
        </w:rPr>
        <w:t>。马拉维已婚妇女中利用避孕方法的占</w:t>
      </w:r>
      <w:r w:rsidRPr="001A700D">
        <w:rPr>
          <w:rFonts w:hint="eastAsia"/>
          <w:szCs w:val="21"/>
        </w:rPr>
        <w:t>33%</w:t>
      </w:r>
      <w:r w:rsidRPr="001A700D">
        <w:rPr>
          <w:rFonts w:hint="eastAsia"/>
          <w:szCs w:val="21"/>
        </w:rPr>
        <w:t>，</w:t>
      </w:r>
      <w:r w:rsidRPr="001A700D">
        <w:rPr>
          <w:rFonts w:hint="eastAsia"/>
          <w:szCs w:val="21"/>
        </w:rPr>
        <w:t>28%</w:t>
      </w:r>
      <w:r w:rsidRPr="001A700D">
        <w:rPr>
          <w:rFonts w:hint="eastAsia"/>
          <w:szCs w:val="21"/>
        </w:rPr>
        <w:t>使用的是某种现代方法。避孕套仍是首选的避孕方法，尤其是在年轻妇女中，这或许是由于它有预防艾滋病毒感染的双重作用。年长的妇女仍然偏爱注射避孕药剂。</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 xml:space="preserve"> </w:t>
      </w:r>
      <w:r w:rsidRPr="001A700D">
        <w:rPr>
          <w:rFonts w:hint="eastAsia"/>
          <w:szCs w:val="21"/>
        </w:rPr>
        <w:t>自</w:t>
      </w:r>
      <w:r w:rsidRPr="001A700D">
        <w:rPr>
          <w:rFonts w:hint="eastAsia"/>
          <w:szCs w:val="21"/>
        </w:rPr>
        <w:t>1999</w:t>
      </w:r>
      <w:r w:rsidRPr="001A700D">
        <w:rPr>
          <w:rFonts w:hint="eastAsia"/>
          <w:szCs w:val="21"/>
        </w:rPr>
        <w:t>年起的</w:t>
      </w:r>
      <w:r w:rsidRPr="001A700D">
        <w:rPr>
          <w:rFonts w:hint="eastAsia"/>
          <w:szCs w:val="21"/>
        </w:rPr>
        <w:t>5</w:t>
      </w:r>
      <w:r w:rsidRPr="001A700D">
        <w:rPr>
          <w:rFonts w:hint="eastAsia"/>
          <w:szCs w:val="21"/>
        </w:rPr>
        <w:t>年间，</w:t>
      </w:r>
      <w:r w:rsidRPr="001A700D">
        <w:rPr>
          <w:rFonts w:hint="eastAsia"/>
          <w:szCs w:val="21"/>
        </w:rPr>
        <w:t>20%</w:t>
      </w:r>
      <w:r w:rsidRPr="001A700D">
        <w:rPr>
          <w:rFonts w:hint="eastAsia"/>
          <w:szCs w:val="21"/>
        </w:rPr>
        <w:t>的妊娠是计划外怀孕，</w:t>
      </w:r>
      <w:r w:rsidRPr="001A700D">
        <w:rPr>
          <w:rFonts w:hint="eastAsia"/>
          <w:szCs w:val="21"/>
        </w:rPr>
        <w:t>21%</w:t>
      </w:r>
      <w:r w:rsidRPr="001A700D">
        <w:rPr>
          <w:rFonts w:hint="eastAsia"/>
          <w:szCs w:val="21"/>
        </w:rPr>
        <w:t>不合时宜（以后想要）。计划外生产从</w:t>
      </w:r>
      <w:r w:rsidRPr="001A700D">
        <w:rPr>
          <w:rFonts w:hint="eastAsia"/>
          <w:szCs w:val="21"/>
        </w:rPr>
        <w:t>1992</w:t>
      </w:r>
      <w:r w:rsidRPr="001A700D">
        <w:rPr>
          <w:rFonts w:hint="eastAsia"/>
          <w:szCs w:val="21"/>
        </w:rPr>
        <w:t>年的</w:t>
      </w:r>
      <w:r w:rsidRPr="001A700D">
        <w:rPr>
          <w:rFonts w:hint="eastAsia"/>
          <w:szCs w:val="21"/>
        </w:rPr>
        <w:t>14%</w:t>
      </w:r>
      <w:r w:rsidRPr="001A700D">
        <w:rPr>
          <w:rFonts w:hint="eastAsia"/>
          <w:szCs w:val="21"/>
        </w:rPr>
        <w:t>猛增到</w:t>
      </w:r>
      <w:r w:rsidRPr="001A700D">
        <w:rPr>
          <w:rFonts w:hint="eastAsia"/>
          <w:szCs w:val="21"/>
        </w:rPr>
        <w:t>2000</w:t>
      </w:r>
      <w:r w:rsidRPr="001A700D">
        <w:rPr>
          <w:rFonts w:hint="eastAsia"/>
          <w:szCs w:val="21"/>
        </w:rPr>
        <w:t>年的</w:t>
      </w:r>
      <w:r w:rsidRPr="001A700D">
        <w:rPr>
          <w:rFonts w:hint="eastAsia"/>
          <w:szCs w:val="21"/>
        </w:rPr>
        <w:t>22%</w:t>
      </w:r>
      <w:r w:rsidRPr="001A700D">
        <w:rPr>
          <w:rFonts w:hint="eastAsia"/>
          <w:szCs w:val="21"/>
        </w:rPr>
        <w:t>，但在</w:t>
      </w:r>
      <w:r w:rsidRPr="001A700D">
        <w:rPr>
          <w:rFonts w:hint="eastAsia"/>
          <w:szCs w:val="21"/>
        </w:rPr>
        <w:t>2004</w:t>
      </w:r>
      <w:r w:rsidRPr="001A700D">
        <w:rPr>
          <w:rFonts w:hint="eastAsia"/>
          <w:szCs w:val="21"/>
        </w:rPr>
        <w:t>年又下降到了</w:t>
      </w:r>
      <w:r w:rsidRPr="001A700D">
        <w:rPr>
          <w:rFonts w:hint="eastAsia"/>
          <w:szCs w:val="21"/>
        </w:rPr>
        <w:t>20%</w:t>
      </w:r>
      <w:r w:rsidRPr="001A700D">
        <w:rPr>
          <w:rFonts w:hint="eastAsia"/>
          <w:szCs w:val="21"/>
        </w:rPr>
        <w:t>。早产终止妊娠仍在进行，尽管在马拉维这是非法的。两性平等委员会对性权利和生殖权利状况进行了审查，建议至少对惩罚堕胎的刑法进行修改，以确保女性享有生殖权利。另据报告，大多数堕胎是由男伴强迫进行的，以便终止妊娠。</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政府设施已率先提供避孕药具。国际组织和非政府组织也支持这一行动。</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马拉维妇女在产前接受医生或合格护士护理的人数，从</w:t>
      </w:r>
      <w:r w:rsidRPr="001A700D">
        <w:rPr>
          <w:rFonts w:hint="eastAsia"/>
          <w:szCs w:val="21"/>
        </w:rPr>
        <w:t>2000</w:t>
      </w:r>
      <w:r w:rsidRPr="001A700D">
        <w:rPr>
          <w:rFonts w:hint="eastAsia"/>
          <w:szCs w:val="21"/>
        </w:rPr>
        <w:t>年的</w:t>
      </w:r>
      <w:r w:rsidRPr="001A700D">
        <w:rPr>
          <w:rFonts w:hint="eastAsia"/>
          <w:szCs w:val="21"/>
        </w:rPr>
        <w:t>91%</w:t>
      </w:r>
      <w:r w:rsidRPr="001A700D">
        <w:rPr>
          <w:rFonts w:hint="eastAsia"/>
          <w:szCs w:val="21"/>
        </w:rPr>
        <w:t>增加到了</w:t>
      </w:r>
      <w:r w:rsidRPr="001A700D">
        <w:rPr>
          <w:rFonts w:hint="eastAsia"/>
          <w:szCs w:val="21"/>
        </w:rPr>
        <w:t>2004</w:t>
      </w:r>
      <w:r w:rsidRPr="001A700D">
        <w:rPr>
          <w:rFonts w:hint="eastAsia"/>
          <w:szCs w:val="21"/>
        </w:rPr>
        <w:t>年的</w:t>
      </w:r>
      <w:r w:rsidRPr="001A700D">
        <w:rPr>
          <w:rFonts w:hint="eastAsia"/>
          <w:szCs w:val="21"/>
        </w:rPr>
        <w:t>93%</w:t>
      </w:r>
      <w:r w:rsidRPr="001A700D">
        <w:rPr>
          <w:rFonts w:hint="eastAsia"/>
          <w:szCs w:val="21"/>
        </w:rPr>
        <w:t>。护士和受过培训的助产士为</w:t>
      </w:r>
      <w:r w:rsidRPr="001A700D">
        <w:rPr>
          <w:rFonts w:hint="eastAsia"/>
          <w:szCs w:val="21"/>
        </w:rPr>
        <w:t>82%</w:t>
      </w:r>
      <w:r w:rsidRPr="001A700D">
        <w:rPr>
          <w:rFonts w:hint="eastAsia"/>
          <w:szCs w:val="21"/>
        </w:rPr>
        <w:t>的妇女提供此类服务，而传统接生婆为</w:t>
      </w:r>
      <w:r w:rsidRPr="001A700D">
        <w:rPr>
          <w:rFonts w:hint="eastAsia"/>
          <w:szCs w:val="21"/>
        </w:rPr>
        <w:t>2%</w:t>
      </w:r>
      <w:r w:rsidRPr="001A700D">
        <w:rPr>
          <w:rFonts w:hint="eastAsia"/>
          <w:szCs w:val="21"/>
        </w:rPr>
        <w:t>的妇女提供服务。</w:t>
      </w:r>
      <w:r w:rsidRPr="001A700D">
        <w:rPr>
          <w:rFonts w:hint="eastAsia"/>
          <w:szCs w:val="21"/>
        </w:rPr>
        <w:t>10%</w:t>
      </w:r>
      <w:r w:rsidRPr="001A700D">
        <w:rPr>
          <w:rFonts w:hint="eastAsia"/>
          <w:szCs w:val="21"/>
        </w:rPr>
        <w:t>的妇女从医生那里接受产前护理，还有</w:t>
      </w:r>
      <w:r w:rsidRPr="001A700D">
        <w:rPr>
          <w:rFonts w:hint="eastAsia"/>
          <w:szCs w:val="21"/>
        </w:rPr>
        <w:t>5%</w:t>
      </w:r>
      <w:r w:rsidRPr="001A700D">
        <w:rPr>
          <w:rFonts w:hint="eastAsia"/>
          <w:szCs w:val="21"/>
        </w:rPr>
        <w:t>的妇女没有得到任何产前护理。因此，</w:t>
      </w:r>
      <w:r w:rsidRPr="001A700D">
        <w:rPr>
          <w:rFonts w:hint="eastAsia"/>
          <w:szCs w:val="21"/>
        </w:rPr>
        <w:t>50%</w:t>
      </w:r>
      <w:r w:rsidRPr="001A700D">
        <w:rPr>
          <w:rFonts w:hint="eastAsia"/>
          <w:szCs w:val="21"/>
        </w:rPr>
        <w:t>的生产由护士或助产士接生，</w:t>
      </w:r>
      <w:r w:rsidRPr="001A700D">
        <w:rPr>
          <w:rFonts w:hint="eastAsia"/>
          <w:szCs w:val="21"/>
        </w:rPr>
        <w:t>6%</w:t>
      </w:r>
      <w:r w:rsidRPr="001A700D">
        <w:rPr>
          <w:rFonts w:hint="eastAsia"/>
          <w:szCs w:val="21"/>
        </w:rPr>
        <w:t>的生产由医生或临床人员接生，只有</w:t>
      </w:r>
      <w:r w:rsidRPr="001A700D">
        <w:rPr>
          <w:rFonts w:hint="eastAsia"/>
          <w:szCs w:val="21"/>
        </w:rPr>
        <w:t>1%</w:t>
      </w:r>
      <w:r w:rsidRPr="001A700D">
        <w:rPr>
          <w:rFonts w:hint="eastAsia"/>
          <w:szCs w:val="21"/>
        </w:rPr>
        <w:t>的生产是由患者陪护接生。这些数字表明，</w:t>
      </w:r>
      <w:r w:rsidRPr="001A700D">
        <w:rPr>
          <w:rFonts w:hint="eastAsia"/>
          <w:szCs w:val="21"/>
        </w:rPr>
        <w:t>2000</w:t>
      </w:r>
      <w:r w:rsidRPr="001A700D">
        <w:rPr>
          <w:rFonts w:hint="eastAsia"/>
          <w:szCs w:val="21"/>
        </w:rPr>
        <w:t>至</w:t>
      </w:r>
      <w:r w:rsidRPr="001A700D">
        <w:rPr>
          <w:rFonts w:hint="eastAsia"/>
          <w:szCs w:val="21"/>
        </w:rPr>
        <w:t>2007</w:t>
      </w:r>
      <w:r w:rsidRPr="001A700D">
        <w:rPr>
          <w:rFonts w:hint="eastAsia"/>
          <w:szCs w:val="21"/>
        </w:rPr>
        <w:t>年期间，由医生或临床人员接生的比例增长</w:t>
      </w:r>
      <w:r w:rsidRPr="001A700D">
        <w:rPr>
          <w:rFonts w:hint="eastAsia"/>
          <w:szCs w:val="21"/>
        </w:rPr>
        <w:t>2%</w:t>
      </w:r>
      <w:r w:rsidRPr="001A700D">
        <w:rPr>
          <w:rFonts w:hint="eastAsia"/>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有</w:t>
      </w:r>
      <w:r w:rsidRPr="001A700D">
        <w:rPr>
          <w:rFonts w:hint="eastAsia"/>
          <w:szCs w:val="21"/>
        </w:rPr>
        <w:t>70%</w:t>
      </w:r>
      <w:r w:rsidRPr="001A700D">
        <w:rPr>
          <w:rFonts w:hint="eastAsia"/>
          <w:szCs w:val="21"/>
        </w:rPr>
        <w:t>的妇女根本没有得到所建议的在分娩之后立即开始的</w:t>
      </w:r>
      <w:r w:rsidRPr="001A700D">
        <w:rPr>
          <w:rFonts w:hint="eastAsia"/>
          <w:szCs w:val="21"/>
        </w:rPr>
        <w:t>42</w:t>
      </w:r>
      <w:r w:rsidRPr="001A700D">
        <w:rPr>
          <w:rFonts w:hint="eastAsia"/>
          <w:szCs w:val="21"/>
        </w:rPr>
        <w:t>天产后护理。接受产后护理的妇女（占</w:t>
      </w:r>
      <w:r w:rsidRPr="001A700D">
        <w:rPr>
          <w:rFonts w:hint="eastAsia"/>
          <w:szCs w:val="21"/>
        </w:rPr>
        <w:t>30%</w:t>
      </w:r>
      <w:r w:rsidRPr="001A700D">
        <w:rPr>
          <w:rFonts w:hint="eastAsia"/>
          <w:szCs w:val="21"/>
        </w:rPr>
        <w:t>）中，大多在产后两天内接受护理，少数妇女在产后</w:t>
      </w:r>
      <w:r w:rsidRPr="001A700D">
        <w:rPr>
          <w:rFonts w:hint="eastAsia"/>
          <w:szCs w:val="21"/>
        </w:rPr>
        <w:t>3</w:t>
      </w:r>
      <w:r w:rsidRPr="001A700D">
        <w:rPr>
          <w:rFonts w:hint="eastAsia"/>
          <w:szCs w:val="21"/>
        </w:rPr>
        <w:t>到</w:t>
      </w:r>
      <w:r w:rsidRPr="001A700D">
        <w:rPr>
          <w:rFonts w:hint="eastAsia"/>
          <w:szCs w:val="21"/>
        </w:rPr>
        <w:t>6</w:t>
      </w:r>
      <w:r w:rsidRPr="001A700D">
        <w:rPr>
          <w:rFonts w:hint="eastAsia"/>
          <w:szCs w:val="21"/>
        </w:rPr>
        <w:t>天进行了检查，</w:t>
      </w:r>
      <w:r w:rsidRPr="001A700D">
        <w:rPr>
          <w:rFonts w:hint="eastAsia"/>
          <w:szCs w:val="21"/>
        </w:rPr>
        <w:t>8%</w:t>
      </w:r>
      <w:r w:rsidRPr="001A700D">
        <w:rPr>
          <w:rFonts w:hint="eastAsia"/>
          <w:szCs w:val="21"/>
        </w:rPr>
        <w:t>的妇女在产后一到六周内接受护理。</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母乳喂养在马拉维几乎普及。几乎</w:t>
      </w:r>
      <w:r w:rsidRPr="001A700D">
        <w:rPr>
          <w:rFonts w:hint="eastAsia"/>
          <w:szCs w:val="21"/>
        </w:rPr>
        <w:t>98%</w:t>
      </w:r>
      <w:r w:rsidRPr="001A700D">
        <w:rPr>
          <w:rFonts w:hint="eastAsia"/>
          <w:szCs w:val="21"/>
        </w:rPr>
        <w:t>的儿童都是母乳喂养，平均期限为</w:t>
      </w:r>
      <w:r w:rsidRPr="001A700D">
        <w:rPr>
          <w:rFonts w:hint="eastAsia"/>
          <w:szCs w:val="21"/>
        </w:rPr>
        <w:t>23.4</w:t>
      </w:r>
      <w:r w:rsidRPr="001A700D">
        <w:rPr>
          <w:rFonts w:hint="eastAsia"/>
          <w:szCs w:val="21"/>
        </w:rPr>
        <w:t>个月。奶瓶喂养相对少见，</w:t>
      </w:r>
      <w:r w:rsidRPr="001A700D">
        <w:rPr>
          <w:rFonts w:hint="eastAsia"/>
          <w:szCs w:val="21"/>
        </w:rPr>
        <w:t>6</w:t>
      </w:r>
      <w:r w:rsidRPr="001A700D">
        <w:rPr>
          <w:rFonts w:hint="eastAsia"/>
          <w:szCs w:val="21"/>
        </w:rPr>
        <w:t>个月以下儿童的奶瓶喂养率一直保持在</w:t>
      </w:r>
      <w:r w:rsidRPr="001A700D">
        <w:rPr>
          <w:rFonts w:hint="eastAsia"/>
          <w:szCs w:val="21"/>
        </w:rPr>
        <w:t>3%</w:t>
      </w:r>
      <w:r w:rsidRPr="001A700D">
        <w:rPr>
          <w:rFonts w:hint="eastAsia"/>
          <w:szCs w:val="21"/>
        </w:rPr>
        <w:t>。这些数字很可能会因开展“预防母婴传播”活动而改变，这项活动建议感染艾滋病毒的妇女不用母乳喂养孩子。</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卫生部指出，在很多情况下，个人不得不长途跋涉前去医院。某些情况下，妇女得走</w:t>
      </w:r>
      <w:r w:rsidRPr="001A700D">
        <w:rPr>
          <w:rFonts w:hint="eastAsia"/>
          <w:szCs w:val="21"/>
        </w:rPr>
        <w:t>20</w:t>
      </w:r>
      <w:r w:rsidRPr="001A700D">
        <w:rPr>
          <w:rFonts w:hint="eastAsia"/>
          <w:szCs w:val="21"/>
        </w:rPr>
        <w:t>多公里才能到达医院。该部计划在全国各地建立更多卫生设施，以便从全国任意一个特定地点到达保健中心的平均距离缩短到</w:t>
      </w:r>
      <w:r w:rsidRPr="001A700D">
        <w:rPr>
          <w:rFonts w:hint="eastAsia"/>
          <w:szCs w:val="21"/>
        </w:rPr>
        <w:t>5</w:t>
      </w:r>
      <w:r w:rsidRPr="001A700D">
        <w:rPr>
          <w:rFonts w:hint="eastAsia"/>
          <w:szCs w:val="21"/>
        </w:rPr>
        <w:t>公里以内。</w:t>
      </w:r>
    </w:p>
    <w:p w:rsidR="00F41B4C" w:rsidRPr="006C7D6B" w:rsidRDefault="00F41B4C" w:rsidP="006C7D6B">
      <w:pPr>
        <w:pStyle w:val="NormalWeb"/>
        <w:spacing w:before="0" w:beforeAutospacing="0" w:after="240" w:afterAutospacing="0" w:line="360" w:lineRule="exact"/>
        <w:jc w:val="both"/>
        <w:rPr>
          <w:rFonts w:ascii="KaiTi_GB2312" w:eastAsia="KaiTi_GB2312" w:hint="eastAsia"/>
          <w:color w:val="0000FF"/>
          <w:sz w:val="21"/>
          <w:szCs w:val="21"/>
        </w:rPr>
      </w:pPr>
      <w:r w:rsidRPr="006C7D6B">
        <w:rPr>
          <w:rFonts w:ascii="KaiTi_GB2312" w:eastAsia="KaiTi_GB2312" w:hint="eastAsia"/>
          <w:color w:val="0000FF"/>
          <w:sz w:val="21"/>
          <w:szCs w:val="21"/>
        </w:rPr>
        <w:t>艾滋病毒</w:t>
      </w:r>
      <w:r w:rsidRPr="006C7D6B">
        <w:rPr>
          <w:rFonts w:ascii="KaiTi_GB2312" w:eastAsia="KaiTi_GB2312" w:hint="eastAsia"/>
          <w:color w:val="0000FF"/>
          <w:sz w:val="21"/>
          <w:szCs w:val="21"/>
          <w:lang w:eastAsia="zh-CN"/>
        </w:rPr>
        <w:t>和</w:t>
      </w:r>
      <w:r w:rsidRPr="006C7D6B">
        <w:rPr>
          <w:rFonts w:ascii="KaiTi_GB2312" w:eastAsia="KaiTi_GB2312" w:hint="eastAsia"/>
          <w:color w:val="0000FF"/>
          <w:sz w:val="21"/>
          <w:szCs w:val="21"/>
        </w:rPr>
        <w:t>艾滋病</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szCs w:val="21"/>
        </w:rPr>
        <w:t xml:space="preserve"> </w:t>
      </w:r>
      <w:r w:rsidRPr="001A700D">
        <w:rPr>
          <w:rFonts w:hint="eastAsia"/>
          <w:szCs w:val="21"/>
        </w:rPr>
        <w:t xml:space="preserve"> </w:t>
      </w:r>
      <w:r w:rsidRPr="001A700D">
        <w:rPr>
          <w:rFonts w:hint="eastAsia"/>
          <w:szCs w:val="21"/>
        </w:rPr>
        <w:t>马拉维仍然是世界上深受艾滋病毒和艾滋病重创的国家之一。</w:t>
      </w:r>
      <w:r w:rsidRPr="001A700D">
        <w:rPr>
          <w:rFonts w:hint="eastAsia"/>
          <w:szCs w:val="21"/>
        </w:rPr>
        <w:t>2008</w:t>
      </w:r>
      <w:r w:rsidRPr="001A700D">
        <w:rPr>
          <w:rFonts w:hint="eastAsia"/>
          <w:szCs w:val="21"/>
        </w:rPr>
        <w:t>年，感染艾滋病毒的人口总数估计为</w:t>
      </w:r>
      <w:r w:rsidRPr="001A700D">
        <w:rPr>
          <w:rFonts w:hint="eastAsia"/>
          <w:szCs w:val="21"/>
        </w:rPr>
        <w:t>898 888</w:t>
      </w:r>
      <w:r w:rsidRPr="001A700D">
        <w:rPr>
          <w:rFonts w:hint="eastAsia"/>
          <w:szCs w:val="21"/>
        </w:rPr>
        <w:t>人，其中</w:t>
      </w:r>
      <w:r w:rsidRPr="001A700D">
        <w:rPr>
          <w:rFonts w:hint="eastAsia"/>
          <w:szCs w:val="21"/>
        </w:rPr>
        <w:t>89 055</w:t>
      </w:r>
      <w:r w:rsidRPr="001A700D">
        <w:rPr>
          <w:rFonts w:hint="eastAsia"/>
          <w:szCs w:val="21"/>
        </w:rPr>
        <w:t>人是</w:t>
      </w:r>
      <w:r w:rsidRPr="001A700D">
        <w:rPr>
          <w:rFonts w:hint="eastAsia"/>
          <w:szCs w:val="21"/>
        </w:rPr>
        <w:t>0</w:t>
      </w:r>
      <w:r w:rsidRPr="001A700D">
        <w:rPr>
          <w:rFonts w:hint="eastAsia"/>
          <w:szCs w:val="21"/>
        </w:rPr>
        <w:t>至</w:t>
      </w:r>
      <w:r w:rsidRPr="001A700D">
        <w:rPr>
          <w:rFonts w:hint="eastAsia"/>
          <w:szCs w:val="21"/>
        </w:rPr>
        <w:t>14</w:t>
      </w:r>
      <w:r w:rsidRPr="001A700D">
        <w:rPr>
          <w:rFonts w:hint="eastAsia"/>
          <w:szCs w:val="21"/>
        </w:rPr>
        <w:t>岁儿童。</w:t>
      </w:r>
      <w:r w:rsidRPr="001A700D">
        <w:rPr>
          <w:rFonts w:hint="eastAsia"/>
          <w:szCs w:val="21"/>
        </w:rPr>
        <w:t>2008</w:t>
      </w:r>
      <w:r w:rsidRPr="001A700D">
        <w:rPr>
          <w:rFonts w:hint="eastAsia"/>
          <w:szCs w:val="21"/>
        </w:rPr>
        <w:t>年全国成人感染率估计为</w:t>
      </w:r>
      <w:r w:rsidRPr="001A700D">
        <w:rPr>
          <w:rFonts w:hint="eastAsia"/>
          <w:szCs w:val="21"/>
        </w:rPr>
        <w:t>12.0%</w:t>
      </w:r>
      <w:r w:rsidRPr="001A700D">
        <w:rPr>
          <w:rFonts w:hint="eastAsia"/>
          <w:szCs w:val="21"/>
        </w:rPr>
        <w:t>。城市</w:t>
      </w:r>
      <w:r w:rsidRPr="001A700D">
        <w:rPr>
          <w:rFonts w:hint="eastAsia"/>
          <w:szCs w:val="21"/>
        </w:rPr>
        <w:t>15</w:t>
      </w:r>
      <w:r w:rsidRPr="001A700D">
        <w:rPr>
          <w:rFonts w:hint="eastAsia"/>
          <w:szCs w:val="21"/>
        </w:rPr>
        <w:t>至</w:t>
      </w:r>
      <w:r w:rsidRPr="001A700D">
        <w:rPr>
          <w:rFonts w:hint="eastAsia"/>
          <w:szCs w:val="21"/>
        </w:rPr>
        <w:t>49</w:t>
      </w:r>
      <w:r w:rsidRPr="001A700D">
        <w:rPr>
          <w:rFonts w:hint="eastAsia"/>
          <w:szCs w:val="21"/>
        </w:rPr>
        <w:t>岁年龄组人口的艾滋病毒感染率为</w:t>
      </w:r>
      <w:r w:rsidRPr="001A700D">
        <w:rPr>
          <w:rFonts w:hint="eastAsia"/>
          <w:szCs w:val="21"/>
        </w:rPr>
        <w:t>15.6%</w:t>
      </w:r>
      <w:r w:rsidRPr="001A700D">
        <w:rPr>
          <w:rFonts w:hint="eastAsia"/>
          <w:szCs w:val="21"/>
        </w:rPr>
        <w:t>，农村人口则为</w:t>
      </w:r>
      <w:r w:rsidRPr="001A700D">
        <w:rPr>
          <w:rFonts w:hint="eastAsia"/>
          <w:szCs w:val="21"/>
        </w:rPr>
        <w:t>11.6%</w:t>
      </w:r>
      <w:r w:rsidRPr="001A700D">
        <w:rPr>
          <w:rFonts w:hint="eastAsia"/>
          <w:szCs w:val="21"/>
        </w:rPr>
        <w:t>。城市感染者人口估计为</w:t>
      </w:r>
      <w:r w:rsidRPr="001A700D">
        <w:rPr>
          <w:rFonts w:hint="eastAsia"/>
          <w:szCs w:val="21"/>
        </w:rPr>
        <w:t>179 745</w:t>
      </w:r>
      <w:r w:rsidRPr="001A700D">
        <w:rPr>
          <w:rFonts w:hint="eastAsia"/>
          <w:szCs w:val="21"/>
        </w:rPr>
        <w:t>人，而农村感染者人口估计为</w:t>
      </w:r>
      <w:r w:rsidRPr="001A700D">
        <w:rPr>
          <w:rFonts w:hint="eastAsia"/>
          <w:szCs w:val="21"/>
        </w:rPr>
        <w:t>630 088</w:t>
      </w:r>
      <w:r w:rsidRPr="001A700D">
        <w:rPr>
          <w:rFonts w:hint="eastAsia"/>
          <w:szCs w:val="21"/>
        </w:rPr>
        <w:t>人。</w:t>
      </w:r>
      <w:r w:rsidRPr="001A700D">
        <w:rPr>
          <w:rFonts w:hint="eastAsia"/>
          <w:szCs w:val="21"/>
        </w:rPr>
        <w:t>15</w:t>
      </w:r>
      <w:r w:rsidRPr="001A700D">
        <w:rPr>
          <w:rFonts w:hint="eastAsia"/>
          <w:szCs w:val="21"/>
        </w:rPr>
        <w:t>岁以上女性感染人数为</w:t>
      </w:r>
      <w:r w:rsidRPr="001A700D">
        <w:rPr>
          <w:rFonts w:hint="eastAsia"/>
          <w:szCs w:val="21"/>
        </w:rPr>
        <w:t>473 348</w:t>
      </w:r>
      <w:r w:rsidRPr="001A700D">
        <w:rPr>
          <w:rFonts w:hint="eastAsia"/>
          <w:szCs w:val="21"/>
        </w:rPr>
        <w:t>人。每年因艾滋病死亡人数估计为</w:t>
      </w:r>
      <w:r w:rsidRPr="001A700D">
        <w:rPr>
          <w:rFonts w:hint="eastAsia"/>
          <w:szCs w:val="21"/>
        </w:rPr>
        <w:t>85 000</w:t>
      </w:r>
      <w:r w:rsidRPr="001A700D">
        <w:rPr>
          <w:rFonts w:hint="eastAsia"/>
          <w:szCs w:val="21"/>
        </w:rPr>
        <w:t>人。</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统计数字表明，妇女仍然构成感染者总人数的大多数。区域流行病学调查表明，在马拉维南部地区，艾滋病毒的感染率为</w:t>
      </w:r>
      <w:r w:rsidRPr="001A700D">
        <w:rPr>
          <w:rFonts w:hint="eastAsia"/>
          <w:szCs w:val="21"/>
        </w:rPr>
        <w:t>18.6%</w:t>
      </w:r>
      <w:r w:rsidRPr="001A700D">
        <w:rPr>
          <w:rFonts w:hint="eastAsia"/>
          <w:szCs w:val="21"/>
        </w:rPr>
        <w:t>，中部地区为</w:t>
      </w:r>
      <w:r w:rsidRPr="001A700D">
        <w:rPr>
          <w:rFonts w:hint="eastAsia"/>
          <w:szCs w:val="21"/>
        </w:rPr>
        <w:t>9.3%</w:t>
      </w:r>
      <w:r w:rsidRPr="001A700D">
        <w:rPr>
          <w:rFonts w:hint="eastAsia"/>
          <w:szCs w:val="21"/>
        </w:rPr>
        <w:t>，北部地区为</w:t>
      </w:r>
      <w:r w:rsidRPr="001A700D">
        <w:rPr>
          <w:rFonts w:hint="eastAsia"/>
          <w:szCs w:val="21"/>
        </w:rPr>
        <w:t>13.5%</w:t>
      </w:r>
      <w:r w:rsidRPr="001A700D">
        <w:rPr>
          <w:rFonts w:hint="eastAsia"/>
          <w:szCs w:val="21"/>
        </w:rPr>
        <w:t>。异性性接触占所有感染的</w:t>
      </w:r>
      <w:r w:rsidRPr="001A700D">
        <w:rPr>
          <w:rFonts w:hint="eastAsia"/>
          <w:szCs w:val="21"/>
        </w:rPr>
        <w:t>88%</w:t>
      </w:r>
      <w:r w:rsidRPr="001A700D">
        <w:rPr>
          <w:rFonts w:hint="eastAsia"/>
          <w:szCs w:val="21"/>
        </w:rPr>
        <w:t>，而母婴传播和输血传播占了剩余部分。有关特殊人群艾滋病毒感染情况的统计数据见表</w:t>
      </w:r>
      <w:r w:rsidRPr="001A700D">
        <w:rPr>
          <w:rFonts w:hint="eastAsia"/>
          <w:szCs w:val="21"/>
        </w:rPr>
        <w:t>3</w:t>
      </w:r>
      <w:r w:rsidRPr="001A700D">
        <w:rPr>
          <w:rFonts w:hint="eastAsia"/>
          <w:szCs w:val="21"/>
        </w:rPr>
        <w:t>。</w:t>
      </w:r>
    </w:p>
    <w:p w:rsidR="00F41B4C" w:rsidRPr="006C7D6B" w:rsidRDefault="00F41B4C" w:rsidP="006C7D6B">
      <w:pPr>
        <w:spacing w:after="240" w:line="360" w:lineRule="exact"/>
        <w:rPr>
          <w:rFonts w:ascii="SimHei" w:eastAsia="SimHei" w:hint="eastAsia"/>
          <w:color w:val="FF0000"/>
          <w:szCs w:val="21"/>
          <w:lang w:val="en-GB"/>
        </w:rPr>
      </w:pPr>
      <w:r w:rsidRPr="006C7D6B">
        <w:rPr>
          <w:rFonts w:ascii="SimHei" w:eastAsia="SimHei" w:hint="eastAsia"/>
          <w:color w:val="FF0000"/>
          <w:szCs w:val="21"/>
          <w:lang w:val="en-GB"/>
        </w:rPr>
        <w:t>表3：艾滋病毒感染概况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5"/>
        <w:gridCol w:w="3481"/>
      </w:tblGrid>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rPr>
            </w:pPr>
            <w:r w:rsidRPr="001A700D">
              <w:rPr>
                <w:sz w:val="21"/>
                <w:szCs w:val="21"/>
              </w:rPr>
              <w:t>女性性工作者</w:t>
            </w:r>
          </w:p>
        </w:tc>
        <w:tc>
          <w:tcPr>
            <w:tcW w:w="1729" w:type="pct"/>
          </w:tcPr>
          <w:p w:rsidR="00F41B4C" w:rsidRPr="001A700D" w:rsidRDefault="00F41B4C" w:rsidP="006C7D6B">
            <w:pPr>
              <w:pStyle w:val="NormalWeb"/>
              <w:spacing w:before="0" w:beforeAutospacing="0" w:after="0" w:afterAutospacing="0" w:line="360" w:lineRule="exact"/>
              <w:jc w:val="center"/>
              <w:rPr>
                <w:rFonts w:hint="eastAsia"/>
                <w:sz w:val="21"/>
                <w:szCs w:val="21"/>
                <w:lang w:eastAsia="zh-CN"/>
              </w:rPr>
            </w:pPr>
            <w:r w:rsidRPr="001A700D">
              <w:rPr>
                <w:sz w:val="21"/>
                <w:szCs w:val="21"/>
              </w:rPr>
              <w:t>69.1</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rPr>
            </w:pPr>
            <w:r w:rsidRPr="001A700D">
              <w:rPr>
                <w:rFonts w:ascii="Courier New" w:hAnsi="Courier New" w:cs="Courier New"/>
                <w:sz w:val="21"/>
                <w:szCs w:val="21"/>
              </w:rPr>
              <w:t>小学教师</w:t>
            </w:r>
            <w:r w:rsidR="00B82BAE">
              <w:rPr>
                <w:rFonts w:ascii="Courier New" w:hAnsi="Courier New" w:cs="Courier New" w:hint="eastAsia"/>
                <w:sz w:val="21"/>
                <w:szCs w:val="21"/>
                <w:lang w:eastAsia="zh-CN"/>
              </w:rPr>
              <w:t>–</w:t>
            </w:r>
            <w:r w:rsidRPr="001A700D">
              <w:rPr>
                <w:rFonts w:ascii="Courier New" w:hAnsi="Courier New" w:cs="Courier New"/>
                <w:sz w:val="21"/>
                <w:szCs w:val="21"/>
              </w:rPr>
              <w:t>男性</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24.2</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rPr>
            </w:pPr>
            <w:r w:rsidRPr="001A700D">
              <w:rPr>
                <w:rFonts w:ascii="Courier New" w:hAnsi="Courier New" w:cs="Courier New"/>
                <w:sz w:val="21"/>
                <w:szCs w:val="21"/>
              </w:rPr>
              <w:t>小学教师</w:t>
            </w:r>
            <w:r w:rsidR="00B82BAE">
              <w:rPr>
                <w:rFonts w:ascii="Courier New" w:hAnsi="Courier New" w:cs="Courier New" w:hint="eastAsia"/>
                <w:sz w:val="21"/>
                <w:szCs w:val="21"/>
                <w:lang w:eastAsia="zh-CN"/>
              </w:rPr>
              <w:t>–</w:t>
            </w:r>
            <w:r w:rsidRPr="001A700D">
              <w:rPr>
                <w:rFonts w:ascii="Courier New" w:hAnsi="Courier New" w:cs="Courier New" w:hint="eastAsia"/>
                <w:sz w:val="21"/>
                <w:szCs w:val="21"/>
                <w:lang w:eastAsia="zh-CN"/>
              </w:rPr>
              <w:t>女</w:t>
            </w:r>
            <w:r w:rsidRPr="001A700D">
              <w:rPr>
                <w:rFonts w:ascii="Courier New" w:hAnsi="Courier New" w:cs="Courier New"/>
                <w:sz w:val="21"/>
                <w:szCs w:val="21"/>
              </w:rPr>
              <w:t>性</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21.6</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rPr>
            </w:pPr>
            <w:r w:rsidRPr="001A700D">
              <w:rPr>
                <w:rFonts w:ascii="Courier New" w:hAnsi="Courier New" w:cs="Courier New" w:hint="eastAsia"/>
                <w:sz w:val="21"/>
                <w:szCs w:val="21"/>
                <w:lang w:eastAsia="zh-CN"/>
              </w:rPr>
              <w:t>中</w:t>
            </w:r>
            <w:r w:rsidRPr="001A700D">
              <w:rPr>
                <w:rFonts w:ascii="Courier New" w:hAnsi="Courier New" w:cs="Courier New"/>
                <w:sz w:val="21"/>
                <w:szCs w:val="21"/>
              </w:rPr>
              <w:t>学教师</w:t>
            </w:r>
            <w:r w:rsidR="00B82BAE">
              <w:rPr>
                <w:rFonts w:ascii="Courier New" w:hAnsi="Courier New" w:cs="Courier New" w:hint="eastAsia"/>
                <w:sz w:val="21"/>
                <w:szCs w:val="21"/>
                <w:lang w:eastAsia="zh-CN"/>
              </w:rPr>
              <w:t>–</w:t>
            </w:r>
            <w:r w:rsidRPr="001A700D">
              <w:rPr>
                <w:rFonts w:ascii="Courier New" w:hAnsi="Courier New" w:cs="Courier New"/>
                <w:sz w:val="21"/>
                <w:szCs w:val="21"/>
              </w:rPr>
              <w:t>男性</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17.6</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rPr>
            </w:pPr>
            <w:r w:rsidRPr="001A700D">
              <w:rPr>
                <w:rFonts w:ascii="Courier New" w:hAnsi="Courier New" w:cs="Courier New" w:hint="eastAsia"/>
                <w:sz w:val="21"/>
                <w:szCs w:val="21"/>
                <w:lang w:eastAsia="zh-CN"/>
              </w:rPr>
              <w:t>中</w:t>
            </w:r>
            <w:r w:rsidRPr="001A700D">
              <w:rPr>
                <w:rFonts w:ascii="Courier New" w:hAnsi="Courier New" w:cs="Courier New"/>
                <w:sz w:val="21"/>
                <w:szCs w:val="21"/>
              </w:rPr>
              <w:t>学教师</w:t>
            </w:r>
            <w:r w:rsidR="00B82BAE">
              <w:rPr>
                <w:rFonts w:ascii="Courier New" w:hAnsi="Courier New" w:cs="Courier New" w:hint="eastAsia"/>
                <w:sz w:val="21"/>
                <w:szCs w:val="21"/>
                <w:lang w:eastAsia="zh-CN"/>
              </w:rPr>
              <w:t>–</w:t>
            </w:r>
            <w:r w:rsidRPr="001A700D">
              <w:rPr>
                <w:rFonts w:ascii="Courier New" w:hAnsi="Courier New" w:cs="Courier New" w:hint="eastAsia"/>
                <w:sz w:val="21"/>
                <w:szCs w:val="21"/>
                <w:lang w:eastAsia="zh-CN"/>
              </w:rPr>
              <w:t>女</w:t>
            </w:r>
            <w:r w:rsidRPr="001A700D">
              <w:rPr>
                <w:rFonts w:ascii="Courier New" w:hAnsi="Courier New" w:cs="Courier New"/>
                <w:sz w:val="21"/>
                <w:szCs w:val="21"/>
              </w:rPr>
              <w:t>性</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16.7</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rPr>
            </w:pPr>
            <w:r w:rsidRPr="001A700D">
              <w:rPr>
                <w:rFonts w:ascii="Courier New" w:hAnsi="Courier New" w:cs="Courier New"/>
                <w:sz w:val="21"/>
                <w:szCs w:val="21"/>
              </w:rPr>
              <w:t>女性边境贸易商</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23.1</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rFonts w:hint="eastAsia"/>
                <w:sz w:val="21"/>
                <w:szCs w:val="21"/>
                <w:lang w:eastAsia="zh-CN"/>
              </w:rPr>
            </w:pPr>
            <w:r w:rsidRPr="001A700D">
              <w:rPr>
                <w:rFonts w:hint="eastAsia"/>
                <w:sz w:val="21"/>
                <w:szCs w:val="21"/>
                <w:lang w:eastAsia="zh-CN"/>
              </w:rPr>
              <w:t>男性小贩</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 xml:space="preserve">7 </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rFonts w:hint="eastAsia"/>
                <w:sz w:val="21"/>
                <w:szCs w:val="21"/>
                <w:lang w:eastAsia="zh-CN"/>
              </w:rPr>
            </w:pPr>
            <w:r w:rsidRPr="001A700D">
              <w:rPr>
                <w:rFonts w:hint="eastAsia"/>
                <w:sz w:val="21"/>
                <w:szCs w:val="21"/>
                <w:lang w:eastAsia="zh-CN"/>
              </w:rPr>
              <w:t>货车司机</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14.7</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rFonts w:hint="eastAsia"/>
                <w:sz w:val="21"/>
                <w:szCs w:val="21"/>
                <w:lang w:eastAsia="zh-CN"/>
              </w:rPr>
            </w:pPr>
            <w:r w:rsidRPr="001A700D">
              <w:rPr>
                <w:rFonts w:hint="eastAsia"/>
                <w:sz w:val="21"/>
                <w:szCs w:val="21"/>
                <w:lang w:eastAsia="zh-CN"/>
              </w:rPr>
              <w:t>渔民</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16.6</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rPr>
            </w:pPr>
            <w:r w:rsidRPr="001A700D">
              <w:rPr>
                <w:rFonts w:ascii="Courier New" w:hAnsi="Courier New" w:cs="Courier New"/>
                <w:sz w:val="21"/>
                <w:szCs w:val="21"/>
              </w:rPr>
              <w:t>地产工人</w:t>
            </w:r>
            <w:r w:rsidR="00B82BAE">
              <w:rPr>
                <w:rFonts w:ascii="Courier New" w:hAnsi="Courier New" w:cs="Courier New" w:hint="eastAsia"/>
                <w:sz w:val="21"/>
                <w:szCs w:val="21"/>
                <w:lang w:eastAsia="zh-CN"/>
              </w:rPr>
              <w:t>–</w:t>
            </w:r>
            <w:r w:rsidRPr="001A700D">
              <w:rPr>
                <w:rFonts w:ascii="Courier New" w:hAnsi="Courier New" w:cs="Courier New"/>
                <w:sz w:val="21"/>
                <w:szCs w:val="21"/>
              </w:rPr>
              <w:t>男性</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19.5</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rPr>
            </w:pPr>
            <w:r w:rsidRPr="001A700D">
              <w:rPr>
                <w:rFonts w:ascii="Courier New" w:hAnsi="Courier New" w:cs="Courier New"/>
                <w:sz w:val="21"/>
                <w:szCs w:val="21"/>
              </w:rPr>
              <w:t>地产工人</w:t>
            </w:r>
            <w:r w:rsidR="00B82BAE">
              <w:rPr>
                <w:rFonts w:ascii="Courier New" w:hAnsi="Courier New" w:cs="Courier New" w:hint="eastAsia"/>
                <w:sz w:val="21"/>
                <w:szCs w:val="21"/>
                <w:lang w:eastAsia="zh-CN"/>
              </w:rPr>
              <w:t>–</w:t>
            </w:r>
            <w:r w:rsidRPr="001A700D">
              <w:rPr>
                <w:rFonts w:ascii="Courier New" w:hAnsi="Courier New" w:cs="Courier New" w:hint="eastAsia"/>
                <w:sz w:val="21"/>
                <w:szCs w:val="21"/>
                <w:lang w:eastAsia="zh-CN"/>
              </w:rPr>
              <w:t>女</w:t>
            </w:r>
            <w:r w:rsidRPr="001A700D">
              <w:rPr>
                <w:rFonts w:ascii="Courier New" w:hAnsi="Courier New" w:cs="Courier New"/>
                <w:sz w:val="21"/>
                <w:szCs w:val="21"/>
              </w:rPr>
              <w:t>性</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17.1</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lang w:val="it-IT"/>
              </w:rPr>
            </w:pPr>
            <w:r w:rsidRPr="001A700D">
              <w:rPr>
                <w:rFonts w:hint="eastAsia"/>
                <w:sz w:val="21"/>
                <w:szCs w:val="21"/>
                <w:lang w:eastAsia="zh-CN"/>
              </w:rPr>
              <w:t>警察</w:t>
            </w:r>
            <w:r w:rsidR="00B82BAE">
              <w:rPr>
                <w:rFonts w:hint="eastAsia"/>
                <w:sz w:val="21"/>
                <w:szCs w:val="21"/>
                <w:lang w:eastAsia="zh-CN"/>
              </w:rPr>
              <w:t>–</w:t>
            </w:r>
            <w:r w:rsidRPr="001A700D">
              <w:rPr>
                <w:rFonts w:ascii="Courier New" w:hAnsi="Courier New" w:cs="Courier New"/>
                <w:sz w:val="21"/>
                <w:szCs w:val="21"/>
              </w:rPr>
              <w:t>男性</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24.5</w:t>
            </w:r>
            <w:r w:rsidRPr="001A700D">
              <w:rPr>
                <w:rFonts w:hint="eastAsia"/>
                <w:sz w:val="21"/>
                <w:szCs w:val="21"/>
                <w:lang w:eastAsia="zh-CN"/>
              </w:rPr>
              <w:t>%</w:t>
            </w:r>
          </w:p>
        </w:tc>
      </w:tr>
      <w:tr w:rsidR="00F41B4C" w:rsidRPr="001A700D" w:rsidTr="006C7D6B">
        <w:tc>
          <w:tcPr>
            <w:tcW w:w="3271" w:type="pct"/>
          </w:tcPr>
          <w:p w:rsidR="00F41B4C" w:rsidRPr="001A700D" w:rsidRDefault="00F41B4C" w:rsidP="006C7D6B">
            <w:pPr>
              <w:pStyle w:val="NormalWeb"/>
              <w:spacing w:before="0" w:beforeAutospacing="0" w:after="0" w:afterAutospacing="0" w:line="360" w:lineRule="exact"/>
              <w:jc w:val="both"/>
              <w:rPr>
                <w:sz w:val="21"/>
                <w:szCs w:val="21"/>
              </w:rPr>
            </w:pPr>
            <w:r w:rsidRPr="001A700D">
              <w:rPr>
                <w:rFonts w:hint="eastAsia"/>
                <w:sz w:val="21"/>
                <w:szCs w:val="21"/>
                <w:lang w:eastAsia="zh-CN"/>
              </w:rPr>
              <w:t>警察</w:t>
            </w:r>
            <w:r w:rsidR="00B82BAE">
              <w:rPr>
                <w:rFonts w:hint="eastAsia"/>
                <w:sz w:val="21"/>
                <w:szCs w:val="21"/>
                <w:lang w:eastAsia="zh-CN"/>
              </w:rPr>
              <w:t>–</w:t>
            </w:r>
            <w:r w:rsidRPr="001A700D">
              <w:rPr>
                <w:rFonts w:ascii="Courier New" w:hAnsi="Courier New" w:cs="Courier New" w:hint="eastAsia"/>
                <w:sz w:val="21"/>
                <w:szCs w:val="21"/>
                <w:lang w:eastAsia="zh-CN"/>
              </w:rPr>
              <w:t>女</w:t>
            </w:r>
            <w:r w:rsidRPr="001A700D">
              <w:rPr>
                <w:rFonts w:ascii="Courier New" w:hAnsi="Courier New" w:cs="Courier New"/>
                <w:sz w:val="21"/>
                <w:szCs w:val="21"/>
              </w:rPr>
              <w:t>性</w:t>
            </w:r>
          </w:p>
        </w:tc>
        <w:tc>
          <w:tcPr>
            <w:tcW w:w="1729" w:type="pct"/>
          </w:tcPr>
          <w:p w:rsidR="00F41B4C" w:rsidRPr="001A700D" w:rsidRDefault="00F41B4C" w:rsidP="006C7D6B">
            <w:pPr>
              <w:pStyle w:val="NormalWeb"/>
              <w:spacing w:before="0" w:beforeAutospacing="0" w:after="0" w:afterAutospacing="0" w:line="360" w:lineRule="exact"/>
              <w:jc w:val="center"/>
              <w:rPr>
                <w:sz w:val="21"/>
                <w:szCs w:val="21"/>
              </w:rPr>
            </w:pPr>
            <w:r w:rsidRPr="001A700D">
              <w:rPr>
                <w:sz w:val="21"/>
                <w:szCs w:val="21"/>
              </w:rPr>
              <w:t>32.1</w:t>
            </w:r>
            <w:r w:rsidRPr="001A700D">
              <w:rPr>
                <w:rFonts w:hint="eastAsia"/>
                <w:sz w:val="21"/>
                <w:szCs w:val="21"/>
                <w:lang w:eastAsia="zh-CN"/>
              </w:rPr>
              <w:t>%</w:t>
            </w:r>
          </w:p>
        </w:tc>
      </w:tr>
    </w:tbl>
    <w:p w:rsidR="00F41B4C" w:rsidRPr="001A700D" w:rsidRDefault="00F41B4C" w:rsidP="006C7D6B">
      <w:pPr>
        <w:pStyle w:val="NormalWeb"/>
        <w:spacing w:before="0" w:beforeAutospacing="0" w:after="240" w:afterAutospacing="0" w:line="360" w:lineRule="exact"/>
        <w:jc w:val="both"/>
        <w:rPr>
          <w:rFonts w:hint="eastAsia"/>
          <w:sz w:val="21"/>
          <w:szCs w:val="21"/>
          <w:lang w:eastAsia="zh-CN"/>
        </w:rPr>
      </w:pPr>
      <w:r w:rsidRPr="006C7D6B">
        <w:rPr>
          <w:rFonts w:ascii="KaiTi_GB2312" w:eastAsia="KaiTi_GB2312" w:hint="eastAsia"/>
          <w:color w:val="0000FF"/>
          <w:sz w:val="21"/>
          <w:szCs w:val="21"/>
          <w:lang w:eastAsia="zh-CN"/>
        </w:rPr>
        <w:t>资料来源</w:t>
      </w:r>
      <w:r w:rsidRPr="006C7D6B">
        <w:rPr>
          <w:rFonts w:hint="eastAsia"/>
          <w:color w:val="0000FF"/>
          <w:sz w:val="21"/>
          <w:szCs w:val="21"/>
          <w:lang w:eastAsia="zh-CN"/>
        </w:rPr>
        <w:t>：</w:t>
      </w:r>
      <w:r w:rsidRPr="001A700D">
        <w:rPr>
          <w:rFonts w:hint="eastAsia"/>
          <w:sz w:val="21"/>
          <w:szCs w:val="21"/>
          <w:lang w:eastAsia="zh-CN"/>
        </w:rPr>
        <w:t>国家艾滋病防治委员会（</w:t>
      </w:r>
      <w:r w:rsidRPr="001A700D">
        <w:rPr>
          <w:rFonts w:hint="eastAsia"/>
          <w:sz w:val="21"/>
          <w:szCs w:val="21"/>
          <w:lang w:eastAsia="zh-CN"/>
        </w:rPr>
        <w:t>2008</w:t>
      </w:r>
      <w:r w:rsidRPr="001A700D">
        <w:rPr>
          <w:rFonts w:hint="eastAsia"/>
          <w:sz w:val="21"/>
          <w:szCs w:val="21"/>
          <w:lang w:eastAsia="zh-CN"/>
        </w:rPr>
        <w:t>年）。</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在马拉维，基本上人人都知道艾滋病毒和艾滋病。几乎每个人都听说过艾滋病，尽管了解得并不全面，特别是对于艾滋病的信念和艾滋病毒的传染及预防知识知之不多。男性对艾滋病毒预防和有关艾滋病毒</w:t>
      </w:r>
      <w:r w:rsidRPr="001A700D">
        <w:rPr>
          <w:rFonts w:hint="eastAsia"/>
          <w:szCs w:val="21"/>
        </w:rPr>
        <w:t>/</w:t>
      </w:r>
      <w:r w:rsidRPr="001A700D">
        <w:rPr>
          <w:rFonts w:hint="eastAsia"/>
          <w:szCs w:val="21"/>
        </w:rPr>
        <w:t>艾滋病的错误概念的认识好于女性，因为几乎</w:t>
      </w:r>
      <w:r w:rsidRPr="001A700D">
        <w:rPr>
          <w:rFonts w:hint="eastAsia"/>
          <w:szCs w:val="21"/>
        </w:rPr>
        <w:t>30%</w:t>
      </w:r>
      <w:r w:rsidRPr="001A700D">
        <w:rPr>
          <w:rFonts w:hint="eastAsia"/>
          <w:szCs w:val="21"/>
        </w:rPr>
        <w:t>的马拉维女性家庭成员从未上过学。使用避孕套和限制性伴侣数量是广为人知的预防措施。从生物学角度看，妇女比男子更容易感染艾滋病毒，但是相当数量的男性和女性都认识到，一个看上去健康的人可能带有艾滋病毒。</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报告所涉期间内采取了行动，包括由卫生部动议整合保健服务，以形成一个产前保健的全面模式，提倡为所有孕妇进行非强制性的产前门诊检查。《妇女和女童艾滋病毒</w:t>
      </w:r>
      <w:r w:rsidRPr="001A700D">
        <w:rPr>
          <w:rFonts w:hint="eastAsia"/>
          <w:szCs w:val="21"/>
        </w:rPr>
        <w:t>/</w:t>
      </w:r>
      <w:r w:rsidRPr="001A700D">
        <w:rPr>
          <w:rFonts w:hint="eastAsia"/>
          <w:szCs w:val="21"/>
        </w:rPr>
        <w:t>艾滋病防治综合方案》旨在减少该传染病在马拉维女性中的传播，办法是在女童和青年妇女中宣传预防知识；教育女童；使人们了解针对妇女和女童的暴力；认识妇女和女童的财产权和继承权；减轻妇女和女童照料病人的负担；以及给予妇女和女童护理和治疗。</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rFonts w:eastAsia="Calibri"/>
          <w:szCs w:val="21"/>
        </w:rPr>
      </w:pPr>
      <w:r w:rsidRPr="001A700D">
        <w:rPr>
          <w:rFonts w:hint="eastAsia"/>
          <w:szCs w:val="21"/>
        </w:rPr>
        <w:t xml:space="preserve"> </w:t>
      </w:r>
      <w:r w:rsidRPr="001A700D">
        <w:rPr>
          <w:rFonts w:eastAsia="Calibri" w:hint="eastAsia"/>
          <w:szCs w:val="21"/>
        </w:rPr>
        <w:t>《艾滋病毒咨询与检测</w:t>
      </w:r>
      <w:r w:rsidRPr="001A700D">
        <w:rPr>
          <w:rFonts w:hint="eastAsia"/>
          <w:szCs w:val="21"/>
        </w:rPr>
        <w:t>推广</w:t>
      </w:r>
      <w:r w:rsidRPr="001A700D">
        <w:rPr>
          <w:rFonts w:eastAsia="Calibri" w:hint="eastAsia"/>
          <w:szCs w:val="21"/>
        </w:rPr>
        <w:t>计划》（</w:t>
      </w:r>
      <w:r w:rsidRPr="001A700D">
        <w:rPr>
          <w:rFonts w:eastAsia="Calibri" w:hint="eastAsia"/>
          <w:szCs w:val="21"/>
        </w:rPr>
        <w:t>2006</w:t>
      </w:r>
      <w:r w:rsidRPr="001A700D">
        <w:rPr>
          <w:rFonts w:hint="eastAsia"/>
          <w:szCs w:val="21"/>
        </w:rPr>
        <w:t>-</w:t>
      </w:r>
      <w:r w:rsidRPr="001A700D">
        <w:rPr>
          <w:rFonts w:eastAsia="Calibri" w:hint="eastAsia"/>
          <w:szCs w:val="21"/>
        </w:rPr>
        <w:t>2010</w:t>
      </w:r>
      <w:r w:rsidRPr="001A700D">
        <w:rPr>
          <w:rFonts w:eastAsia="Calibri" w:hint="eastAsia"/>
          <w:szCs w:val="21"/>
        </w:rPr>
        <w:t>年）于</w:t>
      </w:r>
      <w:r w:rsidRPr="001A700D">
        <w:rPr>
          <w:rFonts w:eastAsia="Calibri" w:hint="eastAsia"/>
          <w:szCs w:val="21"/>
        </w:rPr>
        <w:t>2005</w:t>
      </w:r>
      <w:r w:rsidRPr="001A700D">
        <w:rPr>
          <w:rFonts w:eastAsia="Calibri" w:hint="eastAsia"/>
          <w:szCs w:val="21"/>
        </w:rPr>
        <w:t>年制定，它作为一个规划工具</w:t>
      </w:r>
      <w:r w:rsidRPr="001A700D">
        <w:rPr>
          <w:rFonts w:hint="eastAsia"/>
          <w:szCs w:val="21"/>
        </w:rPr>
        <w:t>提出</w:t>
      </w:r>
      <w:r w:rsidRPr="001A700D">
        <w:rPr>
          <w:rFonts w:eastAsia="Calibri" w:hint="eastAsia"/>
          <w:szCs w:val="21"/>
        </w:rPr>
        <w:t>了大规模</w:t>
      </w:r>
      <w:r w:rsidRPr="001A700D">
        <w:rPr>
          <w:rFonts w:hint="eastAsia"/>
          <w:szCs w:val="21"/>
        </w:rPr>
        <w:t>推广艾滋</w:t>
      </w:r>
      <w:r w:rsidRPr="001A700D">
        <w:rPr>
          <w:rFonts w:eastAsia="Calibri" w:hint="eastAsia"/>
          <w:szCs w:val="21"/>
        </w:rPr>
        <w:t>病毒检测和咨询服务</w:t>
      </w:r>
      <w:r w:rsidRPr="001A700D">
        <w:rPr>
          <w:rFonts w:hint="eastAsia"/>
          <w:szCs w:val="21"/>
        </w:rPr>
        <w:t>的</w:t>
      </w:r>
      <w:r w:rsidRPr="001A700D">
        <w:rPr>
          <w:rFonts w:eastAsia="Calibri" w:hint="eastAsia"/>
          <w:szCs w:val="21"/>
        </w:rPr>
        <w:t>框架和战略。该计划内有一项</w:t>
      </w:r>
      <w:r w:rsidRPr="001A700D">
        <w:rPr>
          <w:rFonts w:eastAsia="Calibri" w:hint="eastAsia"/>
          <w:szCs w:val="21"/>
        </w:rPr>
        <w:t>2006</w:t>
      </w:r>
      <w:r w:rsidRPr="001A700D">
        <w:rPr>
          <w:rFonts w:hint="eastAsia"/>
          <w:szCs w:val="21"/>
        </w:rPr>
        <w:t>至</w:t>
      </w:r>
      <w:r w:rsidRPr="001A700D">
        <w:rPr>
          <w:rFonts w:eastAsia="Calibri" w:hint="eastAsia"/>
          <w:szCs w:val="21"/>
        </w:rPr>
        <w:t>2007</w:t>
      </w:r>
      <w:r w:rsidRPr="001A700D">
        <w:rPr>
          <w:rFonts w:eastAsia="Calibri" w:hint="eastAsia"/>
          <w:szCs w:val="21"/>
        </w:rPr>
        <w:t>年间</w:t>
      </w:r>
      <w:r w:rsidRPr="001A700D">
        <w:rPr>
          <w:rFonts w:hint="eastAsia"/>
          <w:szCs w:val="21"/>
        </w:rPr>
        <w:t>的</w:t>
      </w:r>
      <w:r w:rsidRPr="001A700D">
        <w:rPr>
          <w:rFonts w:eastAsia="Calibri" w:hint="eastAsia"/>
          <w:szCs w:val="21"/>
        </w:rPr>
        <w:t>两年行动计划。</w:t>
      </w:r>
      <w:r w:rsidRPr="001A700D">
        <w:rPr>
          <w:rFonts w:hint="eastAsia"/>
          <w:szCs w:val="21"/>
        </w:rPr>
        <w:t>在</w:t>
      </w:r>
      <w:r w:rsidRPr="001A700D">
        <w:rPr>
          <w:rFonts w:eastAsia="Calibri" w:hint="eastAsia"/>
          <w:szCs w:val="21"/>
        </w:rPr>
        <w:t>这项计划</w:t>
      </w:r>
      <w:r w:rsidRPr="001A700D">
        <w:rPr>
          <w:rFonts w:hint="eastAsia"/>
          <w:szCs w:val="21"/>
        </w:rPr>
        <w:t>下</w:t>
      </w:r>
      <w:r w:rsidRPr="001A700D">
        <w:rPr>
          <w:rFonts w:eastAsia="Calibri" w:hint="eastAsia"/>
          <w:szCs w:val="21"/>
        </w:rPr>
        <w:t>制定了七个战略，</w:t>
      </w:r>
      <w:r w:rsidRPr="001A700D">
        <w:rPr>
          <w:rFonts w:hint="eastAsia"/>
          <w:szCs w:val="21"/>
        </w:rPr>
        <w:t>它们</w:t>
      </w:r>
      <w:r w:rsidRPr="001A700D">
        <w:rPr>
          <w:rFonts w:eastAsia="Calibri" w:hint="eastAsia"/>
          <w:szCs w:val="21"/>
        </w:rPr>
        <w:t>如</w:t>
      </w:r>
      <w:r w:rsidRPr="001A700D">
        <w:rPr>
          <w:rFonts w:hint="eastAsia"/>
          <w:szCs w:val="21"/>
        </w:rPr>
        <w:t>能</w:t>
      </w:r>
      <w:r w:rsidRPr="001A700D">
        <w:rPr>
          <w:rFonts w:eastAsia="Calibri" w:hint="eastAsia"/>
          <w:szCs w:val="21"/>
        </w:rPr>
        <w:t>实现，会</w:t>
      </w:r>
      <w:r w:rsidRPr="001A700D">
        <w:rPr>
          <w:rFonts w:hint="eastAsia"/>
          <w:szCs w:val="21"/>
        </w:rPr>
        <w:t>使</w:t>
      </w:r>
      <w:r w:rsidRPr="001A700D">
        <w:rPr>
          <w:rFonts w:eastAsia="Calibri" w:hint="eastAsia"/>
          <w:szCs w:val="21"/>
        </w:rPr>
        <w:t>近</w:t>
      </w:r>
      <w:r w:rsidRPr="001A700D">
        <w:rPr>
          <w:rFonts w:eastAsia="Calibri" w:hint="eastAsia"/>
          <w:szCs w:val="21"/>
        </w:rPr>
        <w:t>300</w:t>
      </w:r>
      <w:r w:rsidRPr="001A700D">
        <w:rPr>
          <w:rFonts w:eastAsia="Calibri" w:hint="eastAsia"/>
          <w:szCs w:val="21"/>
        </w:rPr>
        <w:t>万马拉维人在</w:t>
      </w:r>
      <w:r w:rsidRPr="001A700D">
        <w:rPr>
          <w:rFonts w:eastAsia="Calibri" w:hint="eastAsia"/>
          <w:szCs w:val="21"/>
        </w:rPr>
        <w:t>2006</w:t>
      </w:r>
      <w:r w:rsidRPr="001A700D">
        <w:rPr>
          <w:rFonts w:eastAsia="Calibri" w:hint="eastAsia"/>
          <w:szCs w:val="21"/>
        </w:rPr>
        <w:t>至</w:t>
      </w:r>
      <w:r w:rsidRPr="001A700D">
        <w:rPr>
          <w:rFonts w:eastAsia="Calibri" w:hint="eastAsia"/>
          <w:szCs w:val="21"/>
        </w:rPr>
        <w:t>2010</w:t>
      </w:r>
      <w:r w:rsidRPr="001A700D">
        <w:rPr>
          <w:rFonts w:eastAsia="Calibri" w:hint="eastAsia"/>
          <w:szCs w:val="21"/>
        </w:rPr>
        <w:t>年间</w:t>
      </w:r>
      <w:r w:rsidRPr="001A700D">
        <w:rPr>
          <w:rFonts w:hint="eastAsia"/>
          <w:szCs w:val="21"/>
        </w:rPr>
        <w:t>有机会</w:t>
      </w:r>
      <w:r w:rsidRPr="001A700D">
        <w:rPr>
          <w:rFonts w:eastAsia="Calibri" w:hint="eastAsia"/>
          <w:szCs w:val="21"/>
        </w:rPr>
        <w:t>获得</w:t>
      </w:r>
      <w:r w:rsidRPr="001A700D">
        <w:rPr>
          <w:rFonts w:hint="eastAsia"/>
          <w:szCs w:val="21"/>
        </w:rPr>
        <w:t>艾滋</w:t>
      </w:r>
      <w:r w:rsidRPr="001A700D">
        <w:rPr>
          <w:rFonts w:eastAsia="Calibri" w:hint="eastAsia"/>
          <w:szCs w:val="21"/>
        </w:rPr>
        <w:t>病毒检测和咨询服务。这些战略包括：促进所有马拉维人公平</w:t>
      </w:r>
      <w:r w:rsidRPr="001A700D">
        <w:rPr>
          <w:rFonts w:hint="eastAsia"/>
          <w:szCs w:val="21"/>
        </w:rPr>
        <w:t>获得艾滋</w:t>
      </w:r>
      <w:r w:rsidRPr="001A700D">
        <w:rPr>
          <w:rFonts w:eastAsia="Calibri" w:hint="eastAsia"/>
          <w:szCs w:val="21"/>
        </w:rPr>
        <w:t>病毒检测和咨询；提高</w:t>
      </w:r>
      <w:r w:rsidRPr="001A700D">
        <w:rPr>
          <w:rFonts w:hint="eastAsia"/>
          <w:szCs w:val="21"/>
        </w:rPr>
        <w:t>艾滋</w:t>
      </w:r>
      <w:r w:rsidRPr="001A700D">
        <w:rPr>
          <w:rFonts w:eastAsia="Calibri" w:hint="eastAsia"/>
          <w:szCs w:val="21"/>
        </w:rPr>
        <w:t>病毒检测和咨询的服务质量；发展人力资源能力，以提供</w:t>
      </w:r>
      <w:r w:rsidRPr="001A700D">
        <w:rPr>
          <w:rFonts w:hint="eastAsia"/>
          <w:szCs w:val="21"/>
        </w:rPr>
        <w:t>艾滋</w:t>
      </w:r>
      <w:r w:rsidRPr="001A700D">
        <w:rPr>
          <w:rFonts w:eastAsia="Calibri" w:hint="eastAsia"/>
          <w:szCs w:val="21"/>
        </w:rPr>
        <w:t>病毒检测和咨询服务；</w:t>
      </w:r>
      <w:r w:rsidRPr="001A700D">
        <w:rPr>
          <w:rFonts w:hint="eastAsia"/>
          <w:szCs w:val="21"/>
        </w:rPr>
        <w:t>引发对于艾滋</w:t>
      </w:r>
      <w:r w:rsidRPr="001A700D">
        <w:rPr>
          <w:rFonts w:eastAsia="Calibri" w:hint="eastAsia"/>
          <w:szCs w:val="21"/>
        </w:rPr>
        <w:t>病毒检测和咨询的服务需求；制作并传播</w:t>
      </w:r>
      <w:r w:rsidRPr="001A700D">
        <w:rPr>
          <w:rFonts w:hint="eastAsia"/>
          <w:szCs w:val="21"/>
        </w:rPr>
        <w:t>艾滋</w:t>
      </w:r>
      <w:r w:rsidRPr="001A700D">
        <w:rPr>
          <w:rFonts w:eastAsia="Calibri" w:hint="eastAsia"/>
          <w:szCs w:val="21"/>
        </w:rPr>
        <w:t>病毒检测和咨询的原始资料；</w:t>
      </w:r>
      <w:r w:rsidRPr="001A700D">
        <w:rPr>
          <w:rFonts w:hint="eastAsia"/>
          <w:szCs w:val="21"/>
        </w:rPr>
        <w:t>开展</w:t>
      </w:r>
      <w:r w:rsidRPr="001A700D">
        <w:rPr>
          <w:rFonts w:eastAsia="Calibri" w:hint="eastAsia"/>
          <w:szCs w:val="21"/>
        </w:rPr>
        <w:t>研究；以及交流经验。</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rFonts w:eastAsia="Calibri"/>
          <w:szCs w:val="21"/>
        </w:rPr>
      </w:pPr>
      <w:r w:rsidRPr="001A700D">
        <w:rPr>
          <w:rFonts w:hint="eastAsia"/>
          <w:szCs w:val="21"/>
        </w:rPr>
        <w:t xml:space="preserve"> </w:t>
      </w:r>
      <w:r w:rsidRPr="001A700D">
        <w:rPr>
          <w:rFonts w:eastAsia="Calibri" w:hint="eastAsia"/>
          <w:szCs w:val="21"/>
        </w:rPr>
        <w:t>政府于</w:t>
      </w:r>
      <w:r w:rsidRPr="001A700D">
        <w:rPr>
          <w:rFonts w:eastAsia="Calibri" w:hint="eastAsia"/>
          <w:szCs w:val="21"/>
        </w:rPr>
        <w:t>2005</w:t>
      </w:r>
      <w:r w:rsidRPr="001A700D">
        <w:rPr>
          <w:rFonts w:eastAsia="Calibri" w:hint="eastAsia"/>
          <w:szCs w:val="21"/>
        </w:rPr>
        <w:t>年批准了第二个抗逆转录病毒疗法全国推广计划，</w:t>
      </w:r>
      <w:r w:rsidRPr="001A700D">
        <w:rPr>
          <w:rFonts w:hint="eastAsia"/>
          <w:szCs w:val="21"/>
        </w:rPr>
        <w:t>涵盖的时期为</w:t>
      </w:r>
      <w:r w:rsidRPr="001A700D">
        <w:rPr>
          <w:rFonts w:eastAsia="Calibri" w:hint="eastAsia"/>
          <w:szCs w:val="21"/>
        </w:rPr>
        <w:t>2006</w:t>
      </w:r>
      <w:r w:rsidRPr="001A700D">
        <w:rPr>
          <w:rFonts w:eastAsia="Calibri" w:hint="eastAsia"/>
          <w:szCs w:val="21"/>
        </w:rPr>
        <w:t>至</w:t>
      </w:r>
      <w:r w:rsidRPr="001A700D">
        <w:rPr>
          <w:rFonts w:eastAsia="Calibri" w:hint="eastAsia"/>
          <w:szCs w:val="21"/>
        </w:rPr>
        <w:t>2010</w:t>
      </w:r>
      <w:r w:rsidRPr="001A700D">
        <w:rPr>
          <w:rFonts w:eastAsia="Calibri" w:hint="eastAsia"/>
          <w:szCs w:val="21"/>
        </w:rPr>
        <w:t>年。该计划的</w:t>
      </w:r>
      <w:r w:rsidRPr="001A700D">
        <w:rPr>
          <w:rFonts w:hint="eastAsia"/>
          <w:szCs w:val="21"/>
        </w:rPr>
        <w:t>初衷</w:t>
      </w:r>
      <w:r w:rsidRPr="001A700D">
        <w:rPr>
          <w:rFonts w:eastAsia="Calibri" w:hint="eastAsia"/>
          <w:szCs w:val="21"/>
        </w:rPr>
        <w:t>是普</w:t>
      </w:r>
      <w:r w:rsidRPr="001A700D">
        <w:rPr>
          <w:rFonts w:hint="eastAsia"/>
          <w:szCs w:val="21"/>
        </w:rPr>
        <w:t>及</w:t>
      </w:r>
      <w:r w:rsidRPr="001A700D">
        <w:rPr>
          <w:rFonts w:eastAsia="Calibri" w:hint="eastAsia"/>
          <w:szCs w:val="21"/>
        </w:rPr>
        <w:t>抗逆转录病毒治疗，</w:t>
      </w:r>
      <w:r w:rsidRPr="001A700D">
        <w:rPr>
          <w:rFonts w:hint="eastAsia"/>
          <w:szCs w:val="21"/>
        </w:rPr>
        <w:t>初步目标</w:t>
      </w:r>
      <w:r w:rsidRPr="001A700D">
        <w:rPr>
          <w:rFonts w:eastAsia="Calibri" w:hint="eastAsia"/>
          <w:szCs w:val="21"/>
        </w:rPr>
        <w:t>是在</w:t>
      </w:r>
      <w:r w:rsidRPr="001A700D">
        <w:rPr>
          <w:rFonts w:eastAsia="Calibri" w:hint="eastAsia"/>
          <w:szCs w:val="21"/>
        </w:rPr>
        <w:t>2006</w:t>
      </w:r>
      <w:r w:rsidRPr="001A700D">
        <w:rPr>
          <w:rFonts w:eastAsia="Calibri" w:hint="eastAsia"/>
          <w:szCs w:val="21"/>
        </w:rPr>
        <w:t>年开始接收</w:t>
      </w:r>
      <w:r w:rsidRPr="001A700D">
        <w:rPr>
          <w:rFonts w:eastAsia="Calibri" w:hint="eastAsia"/>
          <w:szCs w:val="21"/>
        </w:rPr>
        <w:t>35 000</w:t>
      </w:r>
      <w:r w:rsidRPr="001A700D">
        <w:rPr>
          <w:rFonts w:eastAsia="Calibri" w:hint="eastAsia"/>
          <w:szCs w:val="21"/>
        </w:rPr>
        <w:t>名新患者</w:t>
      </w:r>
      <w:r w:rsidRPr="001A700D">
        <w:rPr>
          <w:rFonts w:hint="eastAsia"/>
          <w:szCs w:val="21"/>
        </w:rPr>
        <w:t>进行</w:t>
      </w:r>
      <w:r w:rsidRPr="001A700D">
        <w:rPr>
          <w:rFonts w:eastAsia="Calibri" w:hint="eastAsia"/>
          <w:szCs w:val="21"/>
        </w:rPr>
        <w:t>抗逆转录病毒</w:t>
      </w:r>
      <w:r w:rsidRPr="001A700D">
        <w:rPr>
          <w:rFonts w:hint="eastAsia"/>
          <w:szCs w:val="21"/>
        </w:rPr>
        <w:t>治疗</w:t>
      </w:r>
      <w:r w:rsidRPr="001A700D">
        <w:rPr>
          <w:rFonts w:eastAsia="Calibri" w:hint="eastAsia"/>
          <w:szCs w:val="21"/>
        </w:rPr>
        <w:t>，</w:t>
      </w:r>
      <w:r w:rsidRPr="001A700D">
        <w:rPr>
          <w:rFonts w:eastAsia="Calibri" w:hint="eastAsia"/>
          <w:szCs w:val="21"/>
        </w:rPr>
        <w:t>2007</w:t>
      </w:r>
      <w:r w:rsidRPr="001A700D">
        <w:rPr>
          <w:rFonts w:eastAsia="Calibri" w:hint="eastAsia"/>
          <w:szCs w:val="21"/>
        </w:rPr>
        <w:t>年接收</w:t>
      </w:r>
      <w:r w:rsidRPr="001A700D">
        <w:rPr>
          <w:rFonts w:eastAsia="Calibri" w:hint="eastAsia"/>
          <w:szCs w:val="21"/>
        </w:rPr>
        <w:t>40 000</w:t>
      </w:r>
      <w:r w:rsidRPr="001A700D">
        <w:rPr>
          <w:rFonts w:eastAsia="Calibri" w:hint="eastAsia"/>
          <w:szCs w:val="21"/>
        </w:rPr>
        <w:t>名，</w:t>
      </w:r>
      <w:r w:rsidRPr="001A700D">
        <w:rPr>
          <w:rFonts w:eastAsia="Calibri" w:hint="eastAsia"/>
          <w:szCs w:val="21"/>
        </w:rPr>
        <w:t>2008</w:t>
      </w:r>
      <w:r w:rsidRPr="001A700D">
        <w:rPr>
          <w:rFonts w:eastAsia="Calibri" w:hint="eastAsia"/>
          <w:szCs w:val="21"/>
        </w:rPr>
        <w:t>、</w:t>
      </w:r>
      <w:r w:rsidRPr="001A700D">
        <w:rPr>
          <w:rFonts w:eastAsia="Calibri" w:hint="eastAsia"/>
          <w:szCs w:val="21"/>
        </w:rPr>
        <w:t>2009</w:t>
      </w:r>
      <w:r w:rsidRPr="001A700D">
        <w:rPr>
          <w:rFonts w:eastAsia="Calibri" w:hint="eastAsia"/>
          <w:szCs w:val="21"/>
        </w:rPr>
        <w:t>和</w:t>
      </w:r>
      <w:r w:rsidRPr="001A700D">
        <w:rPr>
          <w:rFonts w:eastAsia="Calibri" w:hint="eastAsia"/>
          <w:szCs w:val="21"/>
        </w:rPr>
        <w:t>2010</w:t>
      </w:r>
      <w:r w:rsidRPr="001A700D">
        <w:rPr>
          <w:rFonts w:eastAsia="Calibri" w:hint="eastAsia"/>
          <w:szCs w:val="21"/>
        </w:rPr>
        <w:t>年每年接收</w:t>
      </w:r>
      <w:r w:rsidRPr="001A700D">
        <w:rPr>
          <w:rFonts w:eastAsia="Calibri" w:hint="eastAsia"/>
          <w:szCs w:val="21"/>
        </w:rPr>
        <w:t>45 000</w:t>
      </w:r>
      <w:r w:rsidRPr="001A700D">
        <w:rPr>
          <w:rFonts w:eastAsia="Calibri" w:hint="eastAsia"/>
          <w:szCs w:val="21"/>
        </w:rPr>
        <w:t>名，到</w:t>
      </w:r>
      <w:r w:rsidRPr="001A700D">
        <w:rPr>
          <w:rFonts w:eastAsia="Calibri" w:hint="eastAsia"/>
          <w:szCs w:val="21"/>
        </w:rPr>
        <w:t>2010</w:t>
      </w:r>
      <w:r w:rsidRPr="001A700D">
        <w:rPr>
          <w:rFonts w:eastAsia="Calibri" w:hint="eastAsia"/>
          <w:szCs w:val="21"/>
        </w:rPr>
        <w:t>年底</w:t>
      </w:r>
      <w:r w:rsidRPr="001A700D">
        <w:rPr>
          <w:rFonts w:hint="eastAsia"/>
          <w:szCs w:val="21"/>
        </w:rPr>
        <w:t>接收总计</w:t>
      </w:r>
      <w:r w:rsidRPr="001A700D">
        <w:rPr>
          <w:rFonts w:eastAsia="Calibri" w:hint="eastAsia"/>
          <w:szCs w:val="21"/>
        </w:rPr>
        <w:t>245 000</w:t>
      </w:r>
      <w:r w:rsidRPr="001A700D">
        <w:rPr>
          <w:rFonts w:eastAsia="Calibri" w:hint="eastAsia"/>
          <w:szCs w:val="21"/>
        </w:rPr>
        <w:t>名患者。</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rFonts w:eastAsia="Calibri"/>
          <w:szCs w:val="21"/>
        </w:rPr>
      </w:pPr>
      <w:r w:rsidRPr="001A700D">
        <w:rPr>
          <w:rFonts w:eastAsia="Calibri" w:hint="eastAsia"/>
          <w:szCs w:val="21"/>
        </w:rPr>
        <w:t>实现</w:t>
      </w:r>
      <w:r w:rsidRPr="001A700D">
        <w:rPr>
          <w:rFonts w:hint="eastAsia"/>
          <w:szCs w:val="21"/>
        </w:rPr>
        <w:t>这些目标的</w:t>
      </w:r>
      <w:r w:rsidRPr="001A700D">
        <w:rPr>
          <w:rFonts w:eastAsia="Calibri" w:hint="eastAsia"/>
          <w:szCs w:val="21"/>
        </w:rPr>
        <w:t>途径</w:t>
      </w:r>
      <w:r w:rsidRPr="001A700D">
        <w:rPr>
          <w:rFonts w:hint="eastAsia"/>
          <w:szCs w:val="21"/>
        </w:rPr>
        <w:t>是</w:t>
      </w:r>
      <w:r w:rsidRPr="001A700D">
        <w:rPr>
          <w:rFonts w:eastAsia="Calibri" w:hint="eastAsia"/>
          <w:szCs w:val="21"/>
        </w:rPr>
        <w:t>，第一轮在</w:t>
      </w:r>
      <w:r w:rsidRPr="001A700D">
        <w:rPr>
          <w:rFonts w:eastAsia="Calibri" w:hint="eastAsia"/>
          <w:szCs w:val="21"/>
        </w:rPr>
        <w:t>60</w:t>
      </w:r>
      <w:r w:rsidRPr="001A700D">
        <w:rPr>
          <w:rFonts w:eastAsia="Calibri" w:hint="eastAsia"/>
          <w:szCs w:val="21"/>
        </w:rPr>
        <w:t>个站点推广；第二轮</w:t>
      </w:r>
      <w:r w:rsidRPr="001A700D">
        <w:rPr>
          <w:rFonts w:hint="eastAsia"/>
          <w:szCs w:val="21"/>
        </w:rPr>
        <w:t>在</w:t>
      </w:r>
      <w:r w:rsidRPr="001A700D">
        <w:rPr>
          <w:rFonts w:eastAsia="Calibri" w:hint="eastAsia"/>
          <w:szCs w:val="21"/>
        </w:rPr>
        <w:t>2006</w:t>
      </w:r>
      <w:r w:rsidRPr="001A700D">
        <w:rPr>
          <w:rFonts w:eastAsia="Calibri" w:hint="eastAsia"/>
          <w:szCs w:val="21"/>
        </w:rPr>
        <w:t>年</w:t>
      </w:r>
      <w:r w:rsidRPr="001A700D">
        <w:rPr>
          <w:rFonts w:eastAsia="Calibri" w:hint="eastAsia"/>
          <w:szCs w:val="21"/>
        </w:rPr>
        <w:t>4</w:t>
      </w:r>
      <w:r w:rsidRPr="001A700D">
        <w:rPr>
          <w:rFonts w:eastAsia="Calibri" w:hint="eastAsia"/>
          <w:szCs w:val="21"/>
        </w:rPr>
        <w:t>月</w:t>
      </w:r>
      <w:r w:rsidRPr="001A700D">
        <w:rPr>
          <w:rFonts w:hint="eastAsia"/>
          <w:szCs w:val="21"/>
        </w:rPr>
        <w:t>前</w:t>
      </w:r>
      <w:r w:rsidRPr="001A700D">
        <w:rPr>
          <w:rFonts w:eastAsia="Calibri" w:hint="eastAsia"/>
          <w:szCs w:val="21"/>
        </w:rPr>
        <w:t>纳入</w:t>
      </w:r>
      <w:r w:rsidRPr="001A700D">
        <w:rPr>
          <w:rFonts w:eastAsia="Calibri" w:hint="eastAsia"/>
          <w:szCs w:val="21"/>
        </w:rPr>
        <w:t>38</w:t>
      </w:r>
      <w:r w:rsidRPr="001A700D">
        <w:rPr>
          <w:rFonts w:eastAsia="Calibri" w:hint="eastAsia"/>
          <w:szCs w:val="21"/>
        </w:rPr>
        <w:t>个新站点提供服务；第三轮</w:t>
      </w:r>
      <w:r w:rsidRPr="001A700D">
        <w:rPr>
          <w:rFonts w:hint="eastAsia"/>
          <w:szCs w:val="21"/>
        </w:rPr>
        <w:t>在</w:t>
      </w:r>
      <w:r w:rsidRPr="001A700D">
        <w:rPr>
          <w:rFonts w:eastAsia="Calibri" w:hint="eastAsia"/>
          <w:szCs w:val="21"/>
        </w:rPr>
        <w:t>2007</w:t>
      </w:r>
      <w:r w:rsidRPr="001A700D">
        <w:rPr>
          <w:rFonts w:eastAsia="Calibri" w:hint="eastAsia"/>
          <w:szCs w:val="21"/>
        </w:rPr>
        <w:t>年</w:t>
      </w:r>
      <w:r w:rsidRPr="001A700D">
        <w:rPr>
          <w:rFonts w:hint="eastAsia"/>
          <w:szCs w:val="21"/>
        </w:rPr>
        <w:t>前</w:t>
      </w:r>
      <w:r w:rsidRPr="001A700D">
        <w:rPr>
          <w:rFonts w:eastAsia="Calibri" w:hint="eastAsia"/>
          <w:szCs w:val="21"/>
        </w:rPr>
        <w:t>有可能通过吸收私营部门参与，纳入更多站点提供</w:t>
      </w:r>
      <w:r w:rsidRPr="001A700D">
        <w:rPr>
          <w:rFonts w:hint="eastAsia"/>
          <w:szCs w:val="21"/>
        </w:rPr>
        <w:t>该疗法</w:t>
      </w:r>
      <w:r w:rsidRPr="001A700D">
        <w:rPr>
          <w:rFonts w:eastAsia="Calibri" w:hint="eastAsia"/>
          <w:szCs w:val="21"/>
        </w:rPr>
        <w:t>。减少现有诊所工作负担的计划，包括减少使用较为低级的卫生工作人员去跟进患者，将</w:t>
      </w:r>
      <w:r w:rsidRPr="001A700D">
        <w:rPr>
          <w:rFonts w:hint="eastAsia"/>
          <w:szCs w:val="21"/>
        </w:rPr>
        <w:t>提供服务权下放给</w:t>
      </w:r>
      <w:r w:rsidRPr="001A700D">
        <w:rPr>
          <w:rFonts w:eastAsia="Calibri" w:hint="eastAsia"/>
          <w:szCs w:val="21"/>
        </w:rPr>
        <w:t>各保健中心。</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rFonts w:eastAsia="Calibri"/>
          <w:szCs w:val="21"/>
        </w:rPr>
      </w:pPr>
      <w:r w:rsidRPr="001A700D">
        <w:rPr>
          <w:rFonts w:hint="eastAsia"/>
          <w:szCs w:val="21"/>
        </w:rPr>
        <w:t xml:space="preserve"> </w:t>
      </w:r>
      <w:r w:rsidRPr="00315346">
        <w:rPr>
          <w:rFonts w:hint="eastAsia"/>
          <w:szCs w:val="21"/>
        </w:rPr>
        <w:t>《国家结核病防治方案》</w:t>
      </w:r>
      <w:r w:rsidRPr="001A700D">
        <w:rPr>
          <w:rFonts w:eastAsia="Calibri" w:hint="eastAsia"/>
          <w:szCs w:val="21"/>
        </w:rPr>
        <w:t>针对与艾滋病毒</w:t>
      </w:r>
      <w:r w:rsidRPr="001A700D">
        <w:rPr>
          <w:rFonts w:eastAsia="Calibri" w:hint="eastAsia"/>
          <w:szCs w:val="21"/>
        </w:rPr>
        <w:t>/</w:t>
      </w:r>
      <w:r w:rsidRPr="001A700D">
        <w:rPr>
          <w:rFonts w:eastAsia="Calibri" w:hint="eastAsia"/>
          <w:szCs w:val="21"/>
        </w:rPr>
        <w:t>艾滋病相关的一种严重机会性</w:t>
      </w:r>
      <w:r w:rsidRPr="001A700D">
        <w:rPr>
          <w:rFonts w:hint="eastAsia"/>
          <w:szCs w:val="21"/>
        </w:rPr>
        <w:t>传染病</w:t>
      </w:r>
      <w:r w:rsidRPr="001A700D">
        <w:rPr>
          <w:rFonts w:eastAsia="Calibri" w:hint="eastAsia"/>
          <w:szCs w:val="21"/>
        </w:rPr>
        <w:t>制定了一个五年计划。该计划有意</w:t>
      </w:r>
      <w:r w:rsidRPr="001A700D">
        <w:rPr>
          <w:rFonts w:hint="eastAsia"/>
          <w:szCs w:val="21"/>
        </w:rPr>
        <w:t>涵盖</w:t>
      </w:r>
      <w:r w:rsidRPr="001A700D">
        <w:rPr>
          <w:rFonts w:eastAsia="Calibri" w:hint="eastAsia"/>
          <w:szCs w:val="21"/>
        </w:rPr>
        <w:t>2002</w:t>
      </w:r>
      <w:r w:rsidRPr="001A700D">
        <w:rPr>
          <w:rFonts w:eastAsia="Calibri" w:hint="eastAsia"/>
          <w:szCs w:val="21"/>
        </w:rPr>
        <w:t>至</w:t>
      </w:r>
      <w:r w:rsidRPr="001A700D">
        <w:rPr>
          <w:rFonts w:eastAsia="Calibri" w:hint="eastAsia"/>
          <w:szCs w:val="21"/>
        </w:rPr>
        <w:t>2006</w:t>
      </w:r>
      <w:r w:rsidRPr="001A700D">
        <w:rPr>
          <w:rFonts w:eastAsia="Calibri" w:hint="eastAsia"/>
          <w:szCs w:val="21"/>
        </w:rPr>
        <w:t>年。在这一计划中，政府执行了一个从</w:t>
      </w:r>
      <w:r w:rsidRPr="001A700D">
        <w:rPr>
          <w:rFonts w:eastAsia="Calibri" w:hint="eastAsia"/>
          <w:szCs w:val="21"/>
        </w:rPr>
        <w:t>2003</w:t>
      </w:r>
      <w:r w:rsidRPr="001A700D">
        <w:rPr>
          <w:rFonts w:eastAsia="Calibri" w:hint="eastAsia"/>
          <w:szCs w:val="21"/>
        </w:rPr>
        <w:t>到</w:t>
      </w:r>
      <w:r w:rsidRPr="001A700D">
        <w:rPr>
          <w:rFonts w:eastAsia="Calibri" w:hint="eastAsia"/>
          <w:szCs w:val="21"/>
        </w:rPr>
        <w:t>2005</w:t>
      </w:r>
      <w:r w:rsidRPr="001A700D">
        <w:rPr>
          <w:rFonts w:eastAsia="Calibri" w:hint="eastAsia"/>
          <w:szCs w:val="21"/>
        </w:rPr>
        <w:t>年扩大艾滋病毒</w:t>
      </w:r>
      <w:r w:rsidRPr="001A700D">
        <w:rPr>
          <w:rFonts w:eastAsia="Calibri" w:hint="eastAsia"/>
          <w:szCs w:val="21"/>
        </w:rPr>
        <w:t>/</w:t>
      </w:r>
      <w:r w:rsidRPr="001A700D">
        <w:rPr>
          <w:rFonts w:eastAsia="Calibri" w:hint="eastAsia"/>
          <w:szCs w:val="21"/>
        </w:rPr>
        <w:t>结核</w:t>
      </w:r>
      <w:r w:rsidRPr="001A700D">
        <w:rPr>
          <w:rFonts w:hint="eastAsia"/>
          <w:szCs w:val="21"/>
        </w:rPr>
        <w:t>病防治</w:t>
      </w:r>
      <w:r w:rsidRPr="001A700D">
        <w:rPr>
          <w:rFonts w:eastAsia="Calibri" w:hint="eastAsia"/>
          <w:szCs w:val="21"/>
        </w:rPr>
        <w:t>活动的三年计划。</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eastAsia="Calibri" w:hint="eastAsia"/>
          <w:szCs w:val="21"/>
        </w:rPr>
        <w:t>该计划的主要</w:t>
      </w:r>
      <w:r w:rsidRPr="001A700D">
        <w:rPr>
          <w:rFonts w:hint="eastAsia"/>
          <w:szCs w:val="21"/>
        </w:rPr>
        <w:t>内容</w:t>
      </w:r>
      <w:r w:rsidRPr="001A700D">
        <w:rPr>
          <w:rFonts w:eastAsia="Calibri" w:hint="eastAsia"/>
          <w:szCs w:val="21"/>
        </w:rPr>
        <w:t>是：</w:t>
      </w:r>
      <w:r w:rsidRPr="001A700D">
        <w:rPr>
          <w:rFonts w:hint="eastAsia"/>
          <w:szCs w:val="21"/>
        </w:rPr>
        <w:t>为</w:t>
      </w:r>
      <w:r w:rsidRPr="001A700D">
        <w:rPr>
          <w:rFonts w:eastAsia="Calibri" w:hint="eastAsia"/>
          <w:szCs w:val="21"/>
        </w:rPr>
        <w:t>结核病患者</w:t>
      </w:r>
      <w:r w:rsidRPr="001A700D">
        <w:rPr>
          <w:rFonts w:hint="eastAsia"/>
          <w:szCs w:val="21"/>
        </w:rPr>
        <w:t>提供</w:t>
      </w:r>
      <w:r w:rsidRPr="001A700D">
        <w:rPr>
          <w:rFonts w:eastAsia="Calibri" w:hint="eastAsia"/>
          <w:szCs w:val="21"/>
        </w:rPr>
        <w:t>自愿咨询和艾滋病毒检测服务，为未患结核病的艾滋病毒感染者提供预防治疗，为患结核病的艾滋病毒阳性患者提供辅助环磷酰胺预防治疗，并为艾滋病毒</w:t>
      </w:r>
      <w:r w:rsidRPr="001A700D">
        <w:rPr>
          <w:rFonts w:hint="eastAsia"/>
          <w:szCs w:val="21"/>
        </w:rPr>
        <w:t>引发的</w:t>
      </w:r>
      <w:r w:rsidRPr="001A700D">
        <w:rPr>
          <w:rFonts w:eastAsia="Calibri" w:hint="eastAsia"/>
          <w:szCs w:val="21"/>
        </w:rPr>
        <w:t>结核病患者提供抗逆转录病毒治疗。</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在马拉维</w:t>
      </w:r>
      <w:r w:rsidRPr="001A700D">
        <w:rPr>
          <w:rFonts w:hint="eastAsia"/>
          <w:szCs w:val="21"/>
        </w:rPr>
        <w:t>100 000</w:t>
      </w:r>
      <w:r w:rsidRPr="001A700D">
        <w:rPr>
          <w:rFonts w:hint="eastAsia"/>
          <w:szCs w:val="21"/>
        </w:rPr>
        <w:t>名新的艾滋病毒感染者中，大约有</w:t>
      </w:r>
      <w:r w:rsidRPr="001A700D">
        <w:rPr>
          <w:rFonts w:hint="eastAsia"/>
          <w:szCs w:val="21"/>
        </w:rPr>
        <w:t>30 000</w:t>
      </w:r>
      <w:r w:rsidRPr="001A700D">
        <w:rPr>
          <w:rFonts w:hint="eastAsia"/>
          <w:szCs w:val="21"/>
        </w:rPr>
        <w:t>名可以归因为母婴传播。据估计，每年分娩的</w:t>
      </w:r>
      <w:r w:rsidRPr="001A700D">
        <w:rPr>
          <w:rFonts w:hint="eastAsia"/>
          <w:szCs w:val="21"/>
        </w:rPr>
        <w:t>540 000</w:t>
      </w:r>
      <w:r w:rsidRPr="001A700D">
        <w:rPr>
          <w:rFonts w:hint="eastAsia"/>
          <w:szCs w:val="21"/>
        </w:rPr>
        <w:t>名妇女中，有</w:t>
      </w:r>
      <w:r w:rsidRPr="001A700D">
        <w:rPr>
          <w:rFonts w:hint="eastAsia"/>
          <w:szCs w:val="21"/>
        </w:rPr>
        <w:t>18.3%</w:t>
      </w:r>
      <w:r w:rsidRPr="001A700D">
        <w:rPr>
          <w:rFonts w:hint="eastAsia"/>
          <w:szCs w:val="21"/>
        </w:rPr>
        <w:t>的人是艾滋病毒感染者，这就是说有</w:t>
      </w:r>
      <w:r w:rsidRPr="001A700D">
        <w:rPr>
          <w:rFonts w:hint="eastAsia"/>
          <w:szCs w:val="21"/>
        </w:rPr>
        <w:t>98 000</w:t>
      </w:r>
      <w:r w:rsidRPr="001A700D">
        <w:rPr>
          <w:rFonts w:hint="eastAsia"/>
          <w:szCs w:val="21"/>
        </w:rPr>
        <w:t>名妇女需要预防母婴传播。起草了一项在</w:t>
      </w:r>
      <w:r w:rsidRPr="001A700D">
        <w:rPr>
          <w:rFonts w:hint="eastAsia"/>
          <w:szCs w:val="21"/>
        </w:rPr>
        <w:t>2006-2010</w:t>
      </w:r>
      <w:r w:rsidRPr="001A700D">
        <w:rPr>
          <w:rFonts w:hint="eastAsia"/>
          <w:szCs w:val="21"/>
        </w:rPr>
        <w:t>年提供预防母婴传播措施的五年计划，其目的是在</w:t>
      </w:r>
      <w:r w:rsidRPr="001A700D">
        <w:rPr>
          <w:rFonts w:hint="eastAsia"/>
          <w:szCs w:val="21"/>
        </w:rPr>
        <w:t>2004</w:t>
      </w:r>
      <w:r w:rsidRPr="001A700D">
        <w:rPr>
          <w:rFonts w:hint="eastAsia"/>
          <w:szCs w:val="21"/>
        </w:rPr>
        <w:t>年</w:t>
      </w:r>
      <w:r w:rsidRPr="001A700D">
        <w:rPr>
          <w:rFonts w:hint="eastAsia"/>
          <w:szCs w:val="21"/>
        </w:rPr>
        <w:t>2.7%</w:t>
      </w:r>
      <w:r w:rsidRPr="001A700D">
        <w:rPr>
          <w:rFonts w:hint="eastAsia"/>
          <w:szCs w:val="21"/>
        </w:rPr>
        <w:t>的感染艾滋病毒妇女接受抗逆转录病毒预防的基础上取得显著进步。该计划的重要内容有：增加检验艾滋病毒的孕妇人数，从</w:t>
      </w:r>
      <w:r w:rsidRPr="001A700D">
        <w:rPr>
          <w:rFonts w:hint="eastAsia"/>
          <w:szCs w:val="21"/>
        </w:rPr>
        <w:t>2006</w:t>
      </w:r>
      <w:r w:rsidRPr="001A700D">
        <w:rPr>
          <w:rFonts w:hint="eastAsia"/>
          <w:szCs w:val="21"/>
        </w:rPr>
        <w:t>年的</w:t>
      </w:r>
      <w:r w:rsidRPr="001A700D">
        <w:rPr>
          <w:rFonts w:hint="eastAsia"/>
          <w:szCs w:val="21"/>
        </w:rPr>
        <w:t>100 000</w:t>
      </w:r>
      <w:r w:rsidRPr="001A700D">
        <w:rPr>
          <w:rFonts w:hint="eastAsia"/>
          <w:szCs w:val="21"/>
        </w:rPr>
        <w:t>人以上增加到</w:t>
      </w:r>
      <w:r w:rsidRPr="001A700D">
        <w:rPr>
          <w:rFonts w:hint="eastAsia"/>
          <w:szCs w:val="21"/>
        </w:rPr>
        <w:t>2010</w:t>
      </w:r>
      <w:r w:rsidRPr="001A700D">
        <w:rPr>
          <w:rFonts w:hint="eastAsia"/>
          <w:szCs w:val="21"/>
        </w:rPr>
        <w:t>年的</w:t>
      </w:r>
      <w:r w:rsidRPr="001A700D">
        <w:rPr>
          <w:rFonts w:hint="eastAsia"/>
          <w:szCs w:val="21"/>
        </w:rPr>
        <w:t>400 000</w:t>
      </w:r>
      <w:r w:rsidRPr="001A700D">
        <w:rPr>
          <w:rFonts w:hint="eastAsia"/>
          <w:szCs w:val="21"/>
        </w:rPr>
        <w:t>人以上；</w:t>
      </w:r>
      <w:r w:rsidRPr="001A700D">
        <w:rPr>
          <w:rFonts w:hint="eastAsia"/>
          <w:szCs w:val="21"/>
        </w:rPr>
        <w:t>2006</w:t>
      </w:r>
      <w:r w:rsidRPr="001A700D">
        <w:rPr>
          <w:rFonts w:hint="eastAsia"/>
          <w:szCs w:val="21"/>
        </w:rPr>
        <w:t>年，向</w:t>
      </w:r>
      <w:r w:rsidRPr="001A700D">
        <w:rPr>
          <w:rFonts w:hint="eastAsia"/>
          <w:szCs w:val="21"/>
        </w:rPr>
        <w:t>10 000</w:t>
      </w:r>
      <w:r w:rsidRPr="001A700D">
        <w:rPr>
          <w:rFonts w:hint="eastAsia"/>
          <w:szCs w:val="21"/>
        </w:rPr>
        <w:t>对母子提供抗逆转录病毒预防治疗，</w:t>
      </w:r>
      <w:r w:rsidRPr="001A700D">
        <w:rPr>
          <w:rFonts w:hint="eastAsia"/>
          <w:szCs w:val="21"/>
        </w:rPr>
        <w:t>2010</w:t>
      </w:r>
      <w:r w:rsidRPr="001A700D">
        <w:rPr>
          <w:rFonts w:hint="eastAsia"/>
          <w:szCs w:val="21"/>
        </w:rPr>
        <w:t>年向超过</w:t>
      </w:r>
      <w:r w:rsidRPr="001A700D">
        <w:rPr>
          <w:rFonts w:hint="eastAsia"/>
          <w:szCs w:val="21"/>
        </w:rPr>
        <w:t>65 000</w:t>
      </w:r>
      <w:r w:rsidRPr="001A700D">
        <w:rPr>
          <w:rFonts w:hint="eastAsia"/>
          <w:szCs w:val="21"/>
        </w:rPr>
        <w:t>对提供；并由此在未来</w:t>
      </w:r>
      <w:r w:rsidRPr="001A700D">
        <w:rPr>
          <w:rFonts w:hint="eastAsia"/>
          <w:szCs w:val="21"/>
        </w:rPr>
        <w:t>5</w:t>
      </w:r>
      <w:r w:rsidRPr="001A700D">
        <w:rPr>
          <w:rFonts w:hint="eastAsia"/>
          <w:szCs w:val="21"/>
        </w:rPr>
        <w:t>年预防</w:t>
      </w:r>
      <w:r w:rsidRPr="001A700D">
        <w:rPr>
          <w:rFonts w:hint="eastAsia"/>
          <w:szCs w:val="21"/>
        </w:rPr>
        <w:t>40 000</w:t>
      </w:r>
      <w:r w:rsidRPr="001A700D">
        <w:rPr>
          <w:rFonts w:hint="eastAsia"/>
          <w:szCs w:val="21"/>
        </w:rPr>
        <w:t>名婴儿感染艾滋病毒。</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妇女和女童更加容易感染的一个已知原因，是男女之间不平等的权力关系。妇女往往因为害怕失去伴侣或婚姻，而无法主张其性健康和生殖健康权利，比如坚持使用避孕套的权利。男性的性伴侣多于女性。与多个性伴侣发生性关系的配偶，往往不会彼此告知其血清状态。</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受感染的妇女蒙受的屈辱更甚，因为男人可以离开其配偶，与另一个未感染的妇女结婚。</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传统和文化习俗显然造成了不平等的权力关系。因此，妇女和女童首当其冲要照料艾滋病患者。拟议的有关性别平等与艾滋病毒</w:t>
      </w:r>
      <w:r w:rsidR="00271411">
        <w:rPr>
          <w:rFonts w:hint="eastAsia"/>
          <w:szCs w:val="21"/>
        </w:rPr>
        <w:t>和</w:t>
      </w:r>
      <w:r w:rsidRPr="001A700D">
        <w:rPr>
          <w:rFonts w:hint="eastAsia"/>
          <w:szCs w:val="21"/>
        </w:rPr>
        <w:t>艾滋病的立法，意在禁止这些有害文化习俗。拟议的艾滋病毒</w:t>
      </w:r>
      <w:r w:rsidR="00271411">
        <w:rPr>
          <w:rFonts w:hint="eastAsia"/>
          <w:szCs w:val="21"/>
        </w:rPr>
        <w:t>和</w:t>
      </w:r>
      <w:r w:rsidRPr="001A700D">
        <w:rPr>
          <w:rFonts w:hint="eastAsia"/>
          <w:szCs w:val="21"/>
        </w:rPr>
        <w:t>艾滋病防治立法以感染他人的可能性为基础提出禁止某些行为，它也注意到大部分有害习俗的受害者是那些常常被迫参与危险活动的妇女这一事实。</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一些传统行医者建议人们，通过与白化症患者或处女性交来清除自己感染的艾滋病毒，这种做法也导致了妇女和女童中的感染率上升。政府正在制定一项国家政策，以规范传统行医者的行为。政府还在拟议的艾滋病毒</w:t>
      </w:r>
      <w:r w:rsidR="00271411">
        <w:rPr>
          <w:rFonts w:hint="eastAsia"/>
          <w:szCs w:val="21"/>
        </w:rPr>
        <w:t>和</w:t>
      </w:r>
      <w:r w:rsidRPr="001A700D">
        <w:rPr>
          <w:rFonts w:hint="eastAsia"/>
          <w:szCs w:val="21"/>
        </w:rPr>
        <w:t>艾滋病防治立法中将传播误导性的信息定为刑事犯罪，并加重了《刑法》对性犯罪的惩罚，并进一步提议，所有刑事案件中的性犯罪者都应测试是否感染艾滋病毒。</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有关乳腺癌、卵巢癌和宫颈癌的信息极少。马拉维没有治疗癌症病人的机构，女孩们对此的认识水平也相当低。目前，政府正在开展宣传和教育，同时在全国各地的保健中心简化检验和乳房造影的程序，免费或降低价格。</w:t>
      </w:r>
    </w:p>
    <w:p w:rsidR="00F41B4C" w:rsidRPr="00B77AE3" w:rsidRDefault="00F41B4C" w:rsidP="00B77AE3">
      <w:pPr>
        <w:pStyle w:val="H3"/>
        <w:rPr>
          <w:rFonts w:hint="eastAsia"/>
        </w:rPr>
      </w:pPr>
      <w:bookmarkStart w:id="75" w:name="_Toc221523956"/>
      <w:r w:rsidRPr="00B77AE3">
        <w:t>第13条</w:t>
      </w:r>
      <w:r w:rsidRPr="00B77AE3">
        <w:rPr>
          <w:rFonts w:hint="eastAsia"/>
        </w:rPr>
        <w:t>：</w:t>
      </w:r>
      <w:r w:rsidRPr="00B77AE3">
        <w:t>经济和社会</w:t>
      </w:r>
      <w:r w:rsidRPr="00B77AE3">
        <w:rPr>
          <w:rFonts w:hint="eastAsia"/>
        </w:rPr>
        <w:t>保障</w:t>
      </w:r>
      <w:bookmarkEnd w:id="75"/>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bookmarkStart w:id="76" w:name="article13"/>
      <w:bookmarkEnd w:id="76"/>
      <w:r w:rsidRPr="001A700D">
        <w:rPr>
          <w:rFonts w:hint="eastAsia"/>
          <w:szCs w:val="21"/>
        </w:rPr>
        <w:t xml:space="preserve"> </w:t>
      </w:r>
      <w:r w:rsidRPr="001A700D">
        <w:rPr>
          <w:rFonts w:hint="eastAsia"/>
          <w:szCs w:val="21"/>
        </w:rPr>
        <w:t>《宪法》建立了一个确保妇女实现以下权利的框架：领取家庭津贴的权利、获得银行贷款的权利以及参加娱乐活动、体育运动和各方面生活的权利。《宪法》保障妇女取得和保留财产权，包括遗产继承权。其他权益包括：取得和保留子女监护权、平等做出影响孩子成长决定的权利；解除婚姻时公平处置与配偶共有财产的权利；以及获得合理扶养的权利。</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有关</w:t>
      </w:r>
      <w:r w:rsidR="00271411">
        <w:rPr>
          <w:rFonts w:hint="eastAsia"/>
          <w:szCs w:val="21"/>
        </w:rPr>
        <w:t>《</w:t>
      </w:r>
      <w:r w:rsidRPr="001A700D">
        <w:rPr>
          <w:rFonts w:hint="eastAsia"/>
          <w:szCs w:val="21"/>
        </w:rPr>
        <w:t>遗嘱和继承法</w:t>
      </w:r>
      <w:r w:rsidR="00271411">
        <w:rPr>
          <w:rFonts w:hint="eastAsia"/>
          <w:szCs w:val="21"/>
        </w:rPr>
        <w:t>》</w:t>
      </w:r>
      <w:r w:rsidRPr="001A700D">
        <w:rPr>
          <w:rFonts w:hint="eastAsia"/>
          <w:szCs w:val="21"/>
        </w:rPr>
        <w:t>的方案确保已被界定为配偶和子女的直系亲属成为遗产第一继承人。</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并无规则禁止妇女获得信贷，但是歧视在实践中是存在的。在马拉维，可以获得信贷的人数很少，因此获得信贷过程中的性别差异仍然是一个现实。马拉维的信贷机会非常有限，很少有中小型企业家获得信贷。妇女无法获得正规信贷和投资信贷，大多数妇女通过微型金融机构获得信贷。</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《宪法》确立了参与一种所选择的文化和语言的权利。在一个开放、民主的理性社会，这一权利可能受到法律或国际人权标准的限制或制约。这说明性别与艾滋病毒</w:t>
      </w:r>
      <w:r w:rsidRPr="001A700D">
        <w:rPr>
          <w:rFonts w:hint="eastAsia"/>
          <w:szCs w:val="21"/>
        </w:rPr>
        <w:t>/</w:t>
      </w:r>
      <w:r w:rsidRPr="001A700D">
        <w:rPr>
          <w:rFonts w:hint="eastAsia"/>
          <w:szCs w:val="21"/>
        </w:rPr>
        <w:t>艾滋病委员会就一些传统文化习俗出台某些限制措施的立场是正当的。</w:t>
      </w:r>
    </w:p>
    <w:p w:rsidR="00F41B4C" w:rsidRPr="00B77AE3" w:rsidRDefault="00F41B4C" w:rsidP="00B77AE3">
      <w:pPr>
        <w:pStyle w:val="H3"/>
        <w:rPr>
          <w:rFonts w:hint="eastAsia"/>
        </w:rPr>
      </w:pPr>
      <w:bookmarkStart w:id="77" w:name="_Toc221523957"/>
      <w:r w:rsidRPr="00B77AE3">
        <w:rPr>
          <w:rFonts w:hint="eastAsia"/>
        </w:rPr>
        <w:t>第14条：农村妇女</w:t>
      </w:r>
      <w:bookmarkEnd w:id="77"/>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bookmarkStart w:id="78" w:name="article14"/>
      <w:bookmarkEnd w:id="78"/>
      <w:r w:rsidRPr="001A700D">
        <w:rPr>
          <w:rFonts w:hint="eastAsia"/>
          <w:szCs w:val="21"/>
        </w:rPr>
        <w:t xml:space="preserve"> </w:t>
      </w:r>
      <w:r w:rsidRPr="001A700D">
        <w:rPr>
          <w:rFonts w:hint="eastAsia"/>
          <w:szCs w:val="21"/>
        </w:rPr>
        <w:t>马拉维依然以农业为主。《宪法》规定了一项共同发展权，其中承认在适用这项权利时应给予妇女、儿童和残疾人特别考虑。《宪法》进一步规定，国家应确保人人有平等机会获得基本资源、教育、保健服务、粮食、住房、就业和基础设施。根据这一责任，国家有义务进一步证明其政策的正当性。</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农村地区的生活质量仍然远远低于城市地区。很大比例的农村人口主要是自给农民，其中妇女占</w:t>
      </w:r>
      <w:r w:rsidRPr="001A700D">
        <w:rPr>
          <w:rFonts w:hint="eastAsia"/>
          <w:szCs w:val="21"/>
        </w:rPr>
        <w:t>80%</w:t>
      </w:r>
      <w:r w:rsidRPr="001A700D">
        <w:rPr>
          <w:rFonts w:hint="eastAsia"/>
          <w:szCs w:val="21"/>
        </w:rPr>
        <w:t>。其生活费用低于城市地区。农业投入的获得，受到可用性和承受力的限制。与男子相比，农村妇女在与农业相关的工作中花费的时间更多。安全用水是农村妇女面临的挑战，她们必须长途跋涉超过</w:t>
      </w:r>
      <w:r w:rsidRPr="001A700D">
        <w:rPr>
          <w:rFonts w:hint="eastAsia"/>
          <w:szCs w:val="21"/>
        </w:rPr>
        <w:t>5</w:t>
      </w:r>
      <w:r w:rsidRPr="001A700D">
        <w:rPr>
          <w:rFonts w:hint="eastAsia"/>
          <w:szCs w:val="21"/>
        </w:rPr>
        <w:t>公里，以寻找水源。</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农村妇女比城市妇女遭受更多的歧视。她们在陈旧的观念中被认为比男子弱，是男子的附庸。与同龄男子相比，妇女不结婚被认为更糟糕。离异妇女面临更多的歧视，甚至可能受到打击，因为她们被认为是失败者。在农村地区，婚姻是尊重和地位的来源。习惯法保护了某些此类态度。</w:t>
      </w:r>
      <w:r w:rsidR="006D4117">
        <w:rPr>
          <w:rFonts w:hint="eastAsia"/>
          <w:szCs w:val="21"/>
        </w:rPr>
        <w:t>与</w:t>
      </w:r>
      <w:r w:rsidRPr="001A700D">
        <w:rPr>
          <w:rFonts w:hint="eastAsia"/>
          <w:szCs w:val="21"/>
        </w:rPr>
        <w:t>城市妇女不同，农村妇女往往屈从于有害和歧视性的社会文化习俗。在家庭中，权力关系仍然由男子掌握。大多数农村妇女面对着包括人身攻击在内的暴力行为。对于子女人数和生育间隔，她们没有发言权，或者发言权有限。任何干预丈夫重要决定的企图，往往导致离婚或肉体虐待。不幸的是，社会和文化都希望农村妇女容忍这种虐待，传统的宗教信仰和习俗进一步强化了这一点。</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农村妇女获得保健服务的机会有限。她们往往需要长途跋涉以获得保健服务。在家里，她们担负着照顾病人的重任，即使她们本身的家务劳动已经是超负荷的。全国婴儿死亡率为每</w:t>
      </w:r>
      <w:r w:rsidRPr="001A700D">
        <w:rPr>
          <w:rFonts w:hint="eastAsia"/>
          <w:szCs w:val="21"/>
        </w:rPr>
        <w:t>1 000</w:t>
      </w:r>
      <w:r w:rsidRPr="001A700D">
        <w:rPr>
          <w:rFonts w:hint="eastAsia"/>
          <w:szCs w:val="21"/>
        </w:rPr>
        <w:t>个活产儿有</w:t>
      </w:r>
      <w:r w:rsidRPr="001A700D">
        <w:rPr>
          <w:rFonts w:hint="eastAsia"/>
          <w:szCs w:val="21"/>
        </w:rPr>
        <w:t>76</w:t>
      </w:r>
      <w:r w:rsidRPr="001A700D">
        <w:rPr>
          <w:rFonts w:hint="eastAsia"/>
          <w:szCs w:val="21"/>
        </w:rPr>
        <w:t>人死亡，儿童死亡率为</w:t>
      </w:r>
      <w:r w:rsidRPr="001A700D">
        <w:rPr>
          <w:rFonts w:hint="eastAsia"/>
          <w:szCs w:val="21"/>
        </w:rPr>
        <w:t>62</w:t>
      </w:r>
      <w:r w:rsidRPr="001A700D">
        <w:rPr>
          <w:rFonts w:hint="eastAsia"/>
          <w:szCs w:val="21"/>
        </w:rPr>
        <w:t>‰。城市的死亡率普遍低于农村的死亡率。城市地区</w:t>
      </w:r>
      <w:r w:rsidRPr="001A700D">
        <w:rPr>
          <w:rFonts w:hint="eastAsia"/>
          <w:szCs w:val="21"/>
        </w:rPr>
        <w:t>5</w:t>
      </w:r>
      <w:r w:rsidRPr="001A700D">
        <w:rPr>
          <w:rFonts w:hint="eastAsia"/>
          <w:szCs w:val="21"/>
        </w:rPr>
        <w:t>岁以下儿童死亡率为</w:t>
      </w:r>
      <w:r w:rsidRPr="001A700D">
        <w:rPr>
          <w:rFonts w:hint="eastAsia"/>
          <w:szCs w:val="21"/>
        </w:rPr>
        <w:t>116</w:t>
      </w:r>
      <w:r w:rsidRPr="001A700D">
        <w:rPr>
          <w:rFonts w:hint="eastAsia"/>
          <w:szCs w:val="21"/>
        </w:rPr>
        <w:t>‰，而农村地区为</w:t>
      </w:r>
      <w:r w:rsidRPr="001A700D">
        <w:rPr>
          <w:rFonts w:hint="eastAsia"/>
          <w:szCs w:val="21"/>
        </w:rPr>
        <w:t>164</w:t>
      </w:r>
      <w:r w:rsidRPr="001A700D">
        <w:rPr>
          <w:rFonts w:hint="eastAsia"/>
          <w:szCs w:val="21"/>
        </w:rPr>
        <w:t>‰。对马拉维的三个区加以比较，北部区的</w:t>
      </w:r>
      <w:r w:rsidRPr="001A700D">
        <w:rPr>
          <w:rFonts w:hint="eastAsia"/>
          <w:szCs w:val="21"/>
        </w:rPr>
        <w:t>5</w:t>
      </w:r>
      <w:r w:rsidRPr="001A700D">
        <w:rPr>
          <w:rFonts w:hint="eastAsia"/>
          <w:szCs w:val="21"/>
        </w:rPr>
        <w:t>岁以下儿童死亡率（</w:t>
      </w:r>
      <w:r w:rsidRPr="001A700D">
        <w:rPr>
          <w:rFonts w:hint="eastAsia"/>
          <w:szCs w:val="21"/>
        </w:rPr>
        <w:t>120</w:t>
      </w:r>
      <w:r w:rsidRPr="001A700D">
        <w:rPr>
          <w:rFonts w:hint="eastAsia"/>
          <w:szCs w:val="21"/>
        </w:rPr>
        <w:t>‰）低于中央区（</w:t>
      </w:r>
      <w:r w:rsidRPr="001A700D">
        <w:rPr>
          <w:rFonts w:hint="eastAsia"/>
          <w:szCs w:val="21"/>
        </w:rPr>
        <w:t>162</w:t>
      </w:r>
      <w:r w:rsidRPr="001A700D">
        <w:rPr>
          <w:rFonts w:hint="eastAsia"/>
          <w:szCs w:val="21"/>
        </w:rPr>
        <w:t>‰）和南部区（</w:t>
      </w:r>
      <w:r w:rsidRPr="001A700D">
        <w:rPr>
          <w:rFonts w:hint="eastAsia"/>
          <w:szCs w:val="21"/>
        </w:rPr>
        <w:t>164</w:t>
      </w:r>
      <w:r w:rsidRPr="001A700D">
        <w:rPr>
          <w:rFonts w:hint="eastAsia"/>
          <w:szCs w:val="21"/>
        </w:rPr>
        <w:t>‰）。同样，北部区的婴儿死亡率（</w:t>
      </w:r>
      <w:r w:rsidRPr="001A700D">
        <w:rPr>
          <w:rFonts w:hint="eastAsia"/>
          <w:szCs w:val="21"/>
        </w:rPr>
        <w:t>82</w:t>
      </w:r>
      <w:r w:rsidRPr="001A700D">
        <w:rPr>
          <w:rFonts w:hint="eastAsia"/>
          <w:szCs w:val="21"/>
        </w:rPr>
        <w:t>‰）也低于中部区（</w:t>
      </w:r>
      <w:r w:rsidRPr="001A700D">
        <w:rPr>
          <w:rFonts w:hint="eastAsia"/>
          <w:szCs w:val="21"/>
        </w:rPr>
        <w:t>90</w:t>
      </w:r>
      <w:r w:rsidRPr="001A700D">
        <w:rPr>
          <w:rFonts w:hint="eastAsia"/>
          <w:szCs w:val="21"/>
        </w:rPr>
        <w:t>‰）和南部区（</w:t>
      </w:r>
      <w:r w:rsidRPr="001A700D">
        <w:rPr>
          <w:rFonts w:hint="eastAsia"/>
          <w:szCs w:val="21"/>
        </w:rPr>
        <w:t>98</w:t>
      </w:r>
      <w:r w:rsidRPr="001A700D">
        <w:rPr>
          <w:rFonts w:hint="eastAsia"/>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农村妇女的高生育率，是她们无法协商计划生育而由男方独断的结果。农村妇女的生育率为每名妇女生育</w:t>
      </w:r>
      <w:r w:rsidRPr="001A700D">
        <w:rPr>
          <w:rFonts w:hint="eastAsia"/>
          <w:szCs w:val="21"/>
        </w:rPr>
        <w:t>4.2</w:t>
      </w:r>
      <w:r w:rsidRPr="001A700D">
        <w:rPr>
          <w:rFonts w:hint="eastAsia"/>
          <w:szCs w:val="21"/>
        </w:rPr>
        <w:t>个子女，而城市居民则为每名妇女生育</w:t>
      </w:r>
      <w:r w:rsidRPr="001A700D">
        <w:rPr>
          <w:rFonts w:hint="eastAsia"/>
          <w:szCs w:val="21"/>
        </w:rPr>
        <w:t>6.4</w:t>
      </w:r>
      <w:r w:rsidRPr="001A700D">
        <w:rPr>
          <w:rFonts w:hint="eastAsia"/>
          <w:szCs w:val="21"/>
        </w:rPr>
        <w:t>个子女。妇女的教育和经济地位始终是分析生育行为的一个重要变量。没受过小学教育或者受过较低级小学教育（</w:t>
      </w:r>
      <w:r w:rsidRPr="001A700D">
        <w:rPr>
          <w:rFonts w:hint="eastAsia"/>
          <w:szCs w:val="21"/>
        </w:rPr>
        <w:t>1</w:t>
      </w:r>
      <w:r w:rsidRPr="001A700D">
        <w:rPr>
          <w:rFonts w:hint="eastAsia"/>
          <w:szCs w:val="21"/>
        </w:rPr>
        <w:t>到</w:t>
      </w:r>
      <w:r w:rsidRPr="001A700D">
        <w:rPr>
          <w:rFonts w:hint="eastAsia"/>
          <w:szCs w:val="21"/>
        </w:rPr>
        <w:t>4</w:t>
      </w:r>
      <w:r w:rsidRPr="001A700D">
        <w:rPr>
          <w:rFonts w:hint="eastAsia"/>
          <w:szCs w:val="21"/>
        </w:rPr>
        <w:t>年）的妇女的总生育率，高于受过较高级小学（</w:t>
      </w:r>
      <w:r w:rsidRPr="001A700D">
        <w:rPr>
          <w:rFonts w:hint="eastAsia"/>
          <w:szCs w:val="21"/>
        </w:rPr>
        <w:t>5</w:t>
      </w:r>
      <w:r w:rsidRPr="001A700D">
        <w:rPr>
          <w:rFonts w:hint="eastAsia"/>
          <w:szCs w:val="21"/>
        </w:rPr>
        <w:t>到</w:t>
      </w:r>
      <w:r w:rsidRPr="001A700D">
        <w:rPr>
          <w:rFonts w:hint="eastAsia"/>
          <w:szCs w:val="21"/>
        </w:rPr>
        <w:t>8</w:t>
      </w:r>
      <w:r w:rsidRPr="001A700D">
        <w:rPr>
          <w:rFonts w:hint="eastAsia"/>
          <w:szCs w:val="21"/>
        </w:rPr>
        <w:t>年）、中学或大学教育的妇女。</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农村妇女对社会的劳动力需求做出很大贡献。与男子相比，农村妇女对农业劳动的贡献更大。她们生产的口粮也比男子多。妇女对粮食生产贡献很大，她们还普遍参与家庭食物的制作。这些任务被传给女孩，由她们分担，而让男孩休息、读书或从事经济活动。在生产以烟叶、茶叶为主的经济作物中，妇女贡献的劳动力也更多</w:t>
      </w:r>
      <w:r w:rsidR="006D4117">
        <w:rPr>
          <w:rFonts w:hint="eastAsia"/>
          <w:szCs w:val="21"/>
        </w:rPr>
        <w:t>。</w:t>
      </w:r>
      <w:r w:rsidRPr="001A700D">
        <w:rPr>
          <w:rStyle w:val="FootnoteReference"/>
          <w:szCs w:val="21"/>
        </w:rPr>
        <w:footnoteReference w:id="57"/>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尤其是在农村地区，妇女的价值还根据其生育能力来评估。农村妇女的人均生育率高于城市妇女。</w:t>
      </w:r>
      <w:r w:rsidRPr="001A700D">
        <w:rPr>
          <w:rStyle w:val="FootnoteReference"/>
          <w:szCs w:val="21"/>
        </w:rPr>
        <w:footnoteReference w:id="58"/>
      </w:r>
      <w:r w:rsidRPr="001A700D">
        <w:rPr>
          <w:rFonts w:hint="eastAsia"/>
          <w:szCs w:val="21"/>
        </w:rPr>
        <w:t>尽管还承担着其他义务，农村妇女仍然要生育子女。不孕的妇女被人看不起，婚后不能生育被视为离婚的一个正当理由。</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rFonts w:hint="eastAsia"/>
          <w:szCs w:val="21"/>
        </w:rPr>
      </w:pPr>
      <w:r w:rsidRPr="001A700D">
        <w:rPr>
          <w:rFonts w:hint="eastAsia"/>
          <w:szCs w:val="21"/>
        </w:rPr>
        <w:t>农村妇女要取得不动产通常要通过家长，而家长都是男子。在父系社会，取得土地要通过丈夫，而在母系社会则是通过舅舅。在这两种情况下，男人仍然控制着家庭的土地。不过人们注意到，在母系社会中，土地所有权仍归妇女，而控制权归男子。这是妇女的一项传统权利。</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法律委员会正在审查现行立法，使其符合新的土地政策，这对于正在进行的土地改革仍然是一个挑战。无论有关提案是否在马拉维引入所有权，都将不会剥夺母系社会妇女拥有其实际享有土地的传统权利，尽管该土地由男子控制。</w:t>
      </w:r>
    </w:p>
    <w:p w:rsidR="00F41B4C" w:rsidRPr="00B77AE3" w:rsidRDefault="00F41B4C" w:rsidP="00B77AE3">
      <w:pPr>
        <w:pStyle w:val="H3"/>
      </w:pPr>
      <w:bookmarkStart w:id="79" w:name="_Toc221523958"/>
      <w:r w:rsidRPr="00B77AE3">
        <w:rPr>
          <w:rFonts w:hint="eastAsia"/>
        </w:rPr>
        <w:t>第15条：民事法律面前的平等</w:t>
      </w:r>
      <w:bookmarkEnd w:id="79"/>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bookmarkStart w:id="80" w:name="part4"/>
      <w:bookmarkStart w:id="81" w:name="article15"/>
      <w:bookmarkEnd w:id="80"/>
      <w:bookmarkEnd w:id="81"/>
      <w:r w:rsidRPr="001A700D">
        <w:rPr>
          <w:rFonts w:hint="eastAsia"/>
          <w:szCs w:val="21"/>
        </w:rPr>
        <w:t xml:space="preserve"> </w:t>
      </w:r>
      <w:r w:rsidRPr="001A700D">
        <w:rPr>
          <w:rFonts w:hint="eastAsia"/>
          <w:szCs w:val="21"/>
        </w:rPr>
        <w:t>所有马拉维人在法律面前一律平等，这体现在《宪法》第</w:t>
      </w:r>
      <w:r w:rsidRPr="001A700D">
        <w:rPr>
          <w:rFonts w:hint="eastAsia"/>
          <w:szCs w:val="21"/>
        </w:rPr>
        <w:t>41</w:t>
      </w:r>
      <w:r w:rsidRPr="001A700D">
        <w:rPr>
          <w:rFonts w:hint="eastAsia"/>
          <w:szCs w:val="21"/>
        </w:rPr>
        <w:t>条。《公民及政治权利国际公约》和《非洲人权和人民权利宪章》也确立了“法律面前人人平等”的原则。</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根据《宪法》，妇女在与男子平等的基础上也有签订合同、取得并保留财产权、取得并保留公民权以及主张其权利的法律行为能力。</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鉴于包括支付司法费用在内的诉讼成本，诉诸法院的案件仍然有限。</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妇女享有迁移权，以寻求经济利益、教育和就业。在许多情况下，由于男方实行了限制妇女迁移权的控制措施，妇女对这一权利的享有仍然受到限制。</w:t>
      </w:r>
    </w:p>
    <w:p w:rsidR="00F41B4C" w:rsidRPr="00B77AE3" w:rsidRDefault="00F41B4C" w:rsidP="00B77AE3">
      <w:pPr>
        <w:pStyle w:val="H3"/>
      </w:pPr>
      <w:bookmarkStart w:id="82" w:name="article16"/>
      <w:bookmarkStart w:id="83" w:name="_Toc221523959"/>
      <w:bookmarkEnd w:id="82"/>
      <w:r w:rsidRPr="00B77AE3">
        <w:rPr>
          <w:rFonts w:hint="eastAsia"/>
        </w:rPr>
        <w:t>第16条：婚姻和家事法律</w:t>
      </w:r>
      <w:bookmarkEnd w:id="83"/>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宪法》承认家庭作为基本的社会单位，有权获得国家和社会的保护。家庭在马拉维社会仍然受到重点保护，无论是在农村还是城市地区都受到高度尊重。《宪法》指出，应该禁止将婚姻状况作为歧视妇女的理由之一。</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男女不平等在家庭生活的各个阶段，即在结婚时、婚姻存续期间和离婚时，都存在。</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《宪法》规定了男女享有结婚和建立家庭的平等权利。它进一步规定，不得强迫</w:t>
      </w:r>
      <w:r w:rsidRPr="001A700D">
        <w:rPr>
          <w:rFonts w:hint="eastAsia"/>
          <w:szCs w:val="21"/>
        </w:rPr>
        <w:t>18</w:t>
      </w:r>
      <w:r w:rsidRPr="001A700D">
        <w:rPr>
          <w:rFonts w:hint="eastAsia"/>
          <w:szCs w:val="21"/>
        </w:rPr>
        <w:t>岁以上的任何人结婚。</w:t>
      </w:r>
      <w:r w:rsidRPr="001A700D">
        <w:rPr>
          <w:rFonts w:hint="eastAsia"/>
          <w:szCs w:val="21"/>
        </w:rPr>
        <w:t>15</w:t>
      </w:r>
      <w:r w:rsidRPr="001A700D">
        <w:rPr>
          <w:rFonts w:hint="eastAsia"/>
          <w:szCs w:val="21"/>
        </w:rPr>
        <w:t>到</w:t>
      </w:r>
      <w:r w:rsidRPr="001A700D">
        <w:rPr>
          <w:rFonts w:hint="eastAsia"/>
          <w:szCs w:val="21"/>
        </w:rPr>
        <w:t>18</w:t>
      </w:r>
      <w:r w:rsidRPr="001A700D">
        <w:rPr>
          <w:rFonts w:hint="eastAsia"/>
          <w:szCs w:val="21"/>
        </w:rPr>
        <w:t>岁之间的人经父母或监护人同意可以结婚。一方或双方未满</w:t>
      </w:r>
      <w:r w:rsidRPr="001A700D">
        <w:rPr>
          <w:rFonts w:hint="eastAsia"/>
          <w:szCs w:val="21"/>
        </w:rPr>
        <w:t>15</w:t>
      </w:r>
      <w:r w:rsidRPr="001A700D">
        <w:rPr>
          <w:rFonts w:hint="eastAsia"/>
          <w:szCs w:val="21"/>
        </w:rPr>
        <w:t>岁时，国家应劝阻其结婚。根据《婚姻法》，《宪法》允许</w:t>
      </w:r>
      <w:r w:rsidRPr="001A700D">
        <w:rPr>
          <w:rFonts w:hint="eastAsia"/>
          <w:szCs w:val="21"/>
        </w:rPr>
        <w:t>21</w:t>
      </w:r>
      <w:r w:rsidRPr="001A700D">
        <w:rPr>
          <w:rFonts w:hint="eastAsia"/>
          <w:szCs w:val="21"/>
        </w:rPr>
        <w:t>岁以下的人结婚，就是允许童婚。</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由于传统和宗教的原因，马拉维存在童婚，虽然童婚一直在稳步下降。青春期的到来似乎就是可以结婚的标志。在农村地区，少女一到青春期，就要服从传统训诫，包括准备结婚的训诫。在一些文化里，成人礼仪式的最后是与长者挑选的一名男子性交（</w:t>
      </w:r>
      <w:r w:rsidRPr="001A700D">
        <w:rPr>
          <w:rFonts w:hint="eastAsia"/>
          <w:i/>
          <w:szCs w:val="21"/>
        </w:rPr>
        <w:t>fisi</w:t>
      </w:r>
      <w:r w:rsidRPr="001A700D">
        <w:rPr>
          <w:rFonts w:hint="eastAsia"/>
          <w:szCs w:val="21"/>
        </w:rPr>
        <w:t>）。</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由于极度贫困，父母通常鼓励孩子与有钱的男人结婚，以便他们摆脱贫困。这些父母往往以害怕女孩早孕而蒙羞为借口，鼓励她们体面成婚。</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儿童也被出嫁，以解决父母或监护人欠下的债务。在马拉维北部盛行的一种名为</w:t>
      </w:r>
      <w:r w:rsidRPr="001A700D">
        <w:rPr>
          <w:rFonts w:hint="eastAsia"/>
          <w:szCs w:val="21"/>
        </w:rPr>
        <w:t>kupimbira</w:t>
      </w:r>
      <w:r w:rsidRPr="001A700D">
        <w:rPr>
          <w:rFonts w:hint="eastAsia"/>
          <w:szCs w:val="21"/>
        </w:rPr>
        <w:t>的习俗，这是一种偿债形式，即因无力还债而将女儿转让给债主。</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法律委员会审查了结婚和离婚法。在审查期间，委员会审议了一些涉及婚姻的法规和习惯法。委员会认识到，在该法律制度之下存在着多种婚姻。大多数婚姻是根据习惯法缔结的，利用的是在北方区和南部的恩桑杰县盛行的父系制度，以及中央区和南部区盛行的母系制度。这些制度在合并报告第</w:t>
      </w:r>
      <w:r w:rsidRPr="001A700D">
        <w:rPr>
          <w:rFonts w:hint="eastAsia"/>
          <w:szCs w:val="21"/>
        </w:rPr>
        <w:t>16.4</w:t>
      </w:r>
      <w:r w:rsidRPr="001A700D">
        <w:rPr>
          <w:rFonts w:hint="eastAsia"/>
          <w:szCs w:val="21"/>
        </w:rPr>
        <w:t>部分已作描述。</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在审查过程中，法律委员会审议了婚姻合同的缔约双方的权利和义务。委员会首先注意到，婚姻中的权利和义务往往是由结婚时所采用形式的性质决定的。委员会得出结论认为，结婚的形式最多只能确定婚姻的有效性，而不应赋予双方权利和义务。</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家庭长期以来被视为国家或社会不得干预的私人实体。在现实中，国家和社会都有办法干预婚姻私事。家庭暴力的盛行导致颁布了《防止家庭暴力法》，这是国家干预的一种形式。第三方对婚姻的干预在拟议的结婚和离婚法律中已作说明。</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家庭暴力事件不断增加，它们包括性虐待、财政虐待、肉体和心理虐待。性虐待可能是个别人性变态的结果，不过最近已经将其归咎于传统行医者，他们将与未成年人性交说成是治疗艾滋病毒感染的灵丹妙药，并且是获得财富的一种基本要素。男子经常被蛊惑与自己的女儿睡觉，即使女儿只有</w:t>
      </w:r>
      <w:r w:rsidRPr="001A700D">
        <w:rPr>
          <w:rFonts w:hint="eastAsia"/>
          <w:szCs w:val="21"/>
        </w:rPr>
        <w:t>6</w:t>
      </w:r>
      <w:r w:rsidRPr="001A700D">
        <w:rPr>
          <w:rFonts w:hint="eastAsia"/>
          <w:szCs w:val="21"/>
        </w:rPr>
        <w:t>个月大。</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肉体虐待案例也在增多。在媒体报道的两起轰动性案件中，一起案件涉及的是女佣被她的雇主（女性）浇热水，另一起案件是丈夫因怀疑妻子与人通奸而剁掉她的双手。政府和民间社会组织都在致力于解决家庭暴力问题，向女受害者提供必要的服务，包括提供庇护所和法律援助。</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结束婚姻的理由各不相同。《婚姻法》规定了已缔结的婚姻可据以解体的五个理由。在审查过程中，委员会考虑采取一项统一制度来规范管理马拉维的所有婚姻。这就需要采用共同的离婚理由，因此委员会建议，对于马拉维的一切婚姻，如果婚姻已属不可挽回地破裂，则应准予离婚。根据拟议的法律，不可挽回地破裂可以通过通奸、遗弃、精神错乱、性犯罪的定罪等证据或法院认为已造成不可挽回的破裂的其他理由来推定。</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关于扶养问题，现行的《已婚妇女（扶养）法》只规定了对妇女的扶养。《宪法》确立了这一立场，规定妇女的权利之一是有权在婚姻解体后得到合理的扶养。审查过程中采取了性别平等的做法，并且规定丈夫和妻子均可扶养对方。拟议的法律还规定了婚姻存续期间的扶养、离婚后的扶养、法定分居和无效婚姻的扶养以及单身孕妇的扶养。法院已被授权发出、变更或撤销扶养令。外国发出的扶养令可以在马拉维登记备案，而且可以向居住在国外的人发出扶养令。</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宪法》进一步保障取得和保留子女监护权、保护权和照管权的平等权利。这一立场在拟议的婚姻和离婚法律中得到了加强。根据《儿童权利公约》，子女的监护问题必须考虑的不仅是孩子的年龄，还有孩子的最大利益。</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在婚姻一方死亡的情况下，也可以终止婚姻。大多数情况下会发生财产争夺和对妻子婚姻财产权利的干涉。尽管对《遗嘱和</w:t>
      </w:r>
      <w:r w:rsidR="006D4117">
        <w:rPr>
          <w:rFonts w:hint="eastAsia"/>
          <w:szCs w:val="21"/>
        </w:rPr>
        <w:t>继承</w:t>
      </w:r>
      <w:r w:rsidRPr="001A700D">
        <w:rPr>
          <w:rFonts w:hint="eastAsia"/>
          <w:szCs w:val="21"/>
        </w:rPr>
        <w:t>法》进行了修订，禁止争夺或强占财产，但有效的执行仍然遥遥无期，因为至今尚未任命检察官。此外，该法案还未经议会颁布。</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家庭仍然是社会的核心组织单位，但是得到了重新界定，尤其是在艾滋病毒和艾滋病蔓延的情况下。这种传染病导致出现了单亲家庭、儿童为户主的家庭和祖父母为户主的家庭。</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政府采取了多项行动保护孤儿的利益。</w:t>
      </w:r>
      <w:r w:rsidRPr="001A700D">
        <w:rPr>
          <w:rFonts w:hint="eastAsia"/>
          <w:szCs w:val="21"/>
        </w:rPr>
        <w:t>2005</w:t>
      </w:r>
      <w:r w:rsidRPr="001A700D">
        <w:rPr>
          <w:rFonts w:hint="eastAsia"/>
          <w:szCs w:val="21"/>
        </w:rPr>
        <w:t>至</w:t>
      </w:r>
      <w:r w:rsidRPr="001A700D">
        <w:rPr>
          <w:rFonts w:hint="eastAsia"/>
          <w:szCs w:val="21"/>
        </w:rPr>
        <w:t>2009</w:t>
      </w:r>
      <w:r w:rsidRPr="001A700D">
        <w:rPr>
          <w:rFonts w:hint="eastAsia"/>
          <w:szCs w:val="21"/>
        </w:rPr>
        <w:t>年期间的孤儿和易受感染儿童国家行动计划是这些行动中的一例。孤儿和易受感染儿童国家行动计划旨在为实现孤儿和易受感染儿童的权利创造一个环境。该计划的主旨是制定和实施一个综合的安全网络系统，在家庭一级提供多方面的关爱和一揽子支助。它提出了工作时间表、利益攸关方的责任以及一个延续、完善、扩大业已制定的孤儿和易受感染儿童干预措施的框架。</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实现男女平等这一挑战仍然是一个梦想，尤其是在家庭环境中。人们希望，性别陈旧观念和不平等现象会在拟议的婚姻和离婚法律颁布之后有所改变。</w:t>
      </w:r>
    </w:p>
    <w:p w:rsidR="00F41B4C" w:rsidRPr="001A700D" w:rsidRDefault="00F41B4C" w:rsidP="00FB05C0">
      <w:pPr>
        <w:spacing w:after="240" w:line="360" w:lineRule="exact"/>
        <w:rPr>
          <w:szCs w:val="21"/>
        </w:rPr>
      </w:pPr>
    </w:p>
    <w:p w:rsidR="00F41B4C" w:rsidRPr="00E31944" w:rsidRDefault="00F41B4C" w:rsidP="00E31944">
      <w:pPr>
        <w:pStyle w:val="HCh"/>
        <w:jc w:val="center"/>
        <w:rPr>
          <w:rFonts w:ascii="Times New Roman"/>
          <w:szCs w:val="28"/>
        </w:rPr>
      </w:pPr>
      <w:r w:rsidRPr="001A700D">
        <w:rPr>
          <w:b/>
          <w:szCs w:val="21"/>
        </w:rPr>
        <w:br w:type="page"/>
      </w:r>
      <w:bookmarkStart w:id="84" w:name="_Toc221523960"/>
      <w:r w:rsidRPr="00E31944">
        <w:rPr>
          <w:rFonts w:ascii="Times New Roman" w:hint="eastAsia"/>
          <w:szCs w:val="28"/>
        </w:rPr>
        <w:t>第三部分：履行《公约》义务的制约因素和挑战</w:t>
      </w:r>
      <w:bookmarkEnd w:id="84"/>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虽然在报告所涉期间内取得了显著进步，但是更充分地执行</w:t>
      </w:r>
      <w:r w:rsidR="006D4117">
        <w:rPr>
          <w:rFonts w:hint="eastAsia"/>
          <w:szCs w:val="21"/>
        </w:rPr>
        <w:t>《</w:t>
      </w:r>
      <w:r w:rsidRPr="001A700D">
        <w:rPr>
          <w:rFonts w:hint="eastAsia"/>
          <w:szCs w:val="21"/>
        </w:rPr>
        <w:t>公约</w:t>
      </w:r>
      <w:r w:rsidR="006D4117">
        <w:rPr>
          <w:rFonts w:hint="eastAsia"/>
          <w:szCs w:val="21"/>
        </w:rPr>
        <w:t>》</w:t>
      </w:r>
      <w:r w:rsidRPr="001A700D">
        <w:rPr>
          <w:rFonts w:hint="eastAsia"/>
          <w:szCs w:val="21"/>
        </w:rPr>
        <w:t>规定的一个主要障碍仍然是存在着歧视性做法，这些做法对实现在有关马拉维性别平等的法律、体制和政策框架内确立的原则、目标和指标产生了负面影响。</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提高认识、接受在建立法治过程中尊重、保护和实现妇女权利的意义以及妇女作为平等伙伴参与国家社会经济发展并从中受益的重要性，一直非常困难。</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执行《公约》各项条款方面取得的进展也是很有限，必须在大部分人口特别是妇女极度贫困这一背景下来审视该问题。马拉维仍然是世界最贫穷的国家之一，其收入分配仍不平等。</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国内法律框架仍然需要通过将马拉维批准的国际条约本地化来加以进一步调整，以促进和保护妇女的权利。现行法律必须更加切实有效地应用，必须为妇女诉诸司法程序提供便利，尤其要关注最边缘群体的妇女，如贫困、农村、残疾、土著妇女和少女。</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马拉维</w:t>
      </w:r>
      <w:r w:rsidRPr="00315346">
        <w:rPr>
          <w:szCs w:val="21"/>
        </w:rPr>
        <w:t>尚未</w:t>
      </w:r>
      <w:r w:rsidRPr="001A700D">
        <w:rPr>
          <w:rFonts w:ascii="Courier New" w:hAnsi="Courier New" w:cs="Courier New"/>
          <w:szCs w:val="21"/>
        </w:rPr>
        <w:t>批准</w:t>
      </w:r>
      <w:r w:rsidRPr="001A700D">
        <w:rPr>
          <w:rFonts w:hint="eastAsia"/>
          <w:szCs w:val="21"/>
        </w:rPr>
        <w:t>《消除对妇女歧视公约任择议定书》。</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关于家庭暴力的预防，政府注意到在促进启动应对家庭暴力机制的各种机构的无障碍进入方面取得了进展。这包括增加申诉人可以住宿的受害者支助设施，建立对儿童友好的法庭，在司法程序中推动问题的迅速处理，以及促进和保护受害者行使其权利。尽管如此，审判和司法裁定仍有拖延。</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政府推动起草了一部有关性别平等的法律，它将确保给妇女提供平等机会，并强化与妇女有关的现有国家政策、计划和方案。不过，迄今为止，这部法律的制定工作尚未结束。</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其他法规，有些甚至是已经提交议会的法规，也遇到了在制定和通过两性平等法规时遇到的困难。这些挑战反映出各个政治力量与妇女运动中的各种利益攸关方之间缺乏共识。</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性别平等计划的执行仍然过分依赖于国际合作伙伴所提供的资源。国家没有分配足够的资源给促进妇女进步的机构或是用于执行性别政策和方案。不过，应该强调的是，将性别观点逐渐纳入其他国际政策（《国家艾滋病毒和艾滋病防治政策》、《国家营养政策》和《国家教育部门计划》等）的做法创造了种种机会，可借以动员对性别问题的政治和财政支助。</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政府给妇女和儿童发展部的拨款不足，可该部正在领导推动性别议程的工作，它的能力很有限，无法对各机构及其他政府主管部门施加影响，以便确保在政府内部采取一种对男女均公平的做法。</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虽然在降低总生育率方面已经取得进展，但是期望生育率和实际生育率之间仍有显著差距，这与妇女的教育水平、居住地、收入和族群有关。尤其令人关注的是，少女怀孕率和产妇死亡率相当高，这反映了保健信息和基本保健服务的获得机会不多。鉴于这种情况，降低产妇死亡率已经成为优先事项，不仅对于卫生部门如此，对于确定了所有政策目标的《马拉维增长</w:t>
      </w:r>
      <w:r w:rsidR="006D4117">
        <w:rPr>
          <w:rFonts w:hint="eastAsia"/>
          <w:szCs w:val="21"/>
        </w:rPr>
        <w:t>与</w:t>
      </w:r>
      <w:r w:rsidRPr="001A700D">
        <w:rPr>
          <w:rFonts w:hint="eastAsia"/>
          <w:szCs w:val="21"/>
        </w:rPr>
        <w:t>发展战略》也是如此。</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挑战包括：缺少一个报告机制；不知道应当向谁报告性骚扰案件；由于社会和文化原因而不能报告；以及缺乏训练有素的人员向性骚扰受害者提供咨询服务。</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医疗卫生是劳动密集型工作，医生、护士、临床医生、卫生监督人员是提供保健服务的中坚力量。卫生部门已经受到了自然减员、生病、缺勤以及医疗人才外流的严重影响。卫生工作者的自然减员率在过去</w:t>
      </w:r>
      <w:r w:rsidRPr="001A700D">
        <w:rPr>
          <w:rFonts w:hint="eastAsia"/>
          <w:szCs w:val="21"/>
        </w:rPr>
        <w:t>20</w:t>
      </w:r>
      <w:r w:rsidRPr="001A700D">
        <w:rPr>
          <w:rFonts w:hint="eastAsia"/>
          <w:szCs w:val="21"/>
        </w:rPr>
        <w:t>年中稳步上升。亡故是自然减员的主要原因，占</w:t>
      </w:r>
      <w:r w:rsidRPr="001A700D">
        <w:rPr>
          <w:rFonts w:hint="eastAsia"/>
          <w:szCs w:val="21"/>
        </w:rPr>
        <w:t>2004</w:t>
      </w:r>
      <w:r w:rsidRPr="001A700D">
        <w:rPr>
          <w:rFonts w:hint="eastAsia"/>
          <w:szCs w:val="21"/>
        </w:rPr>
        <w:t>至</w:t>
      </w:r>
      <w:r w:rsidRPr="001A700D">
        <w:rPr>
          <w:rFonts w:hint="eastAsia"/>
          <w:szCs w:val="21"/>
        </w:rPr>
        <w:t>2005</w:t>
      </w:r>
      <w:r w:rsidRPr="001A700D">
        <w:rPr>
          <w:rFonts w:hint="eastAsia"/>
          <w:szCs w:val="21"/>
        </w:rPr>
        <w:t>年间自然减员总数的</w:t>
      </w:r>
      <w:r w:rsidRPr="001A700D">
        <w:rPr>
          <w:rFonts w:hint="eastAsia"/>
          <w:szCs w:val="21"/>
        </w:rPr>
        <w:t>45%</w:t>
      </w:r>
      <w:r w:rsidRPr="001A700D">
        <w:rPr>
          <w:rFonts w:hint="eastAsia"/>
          <w:szCs w:val="21"/>
        </w:rPr>
        <w:t>。可能有大约</w:t>
      </w:r>
      <w:r w:rsidRPr="001A700D">
        <w:rPr>
          <w:rFonts w:hint="eastAsia"/>
          <w:szCs w:val="21"/>
        </w:rPr>
        <w:t>10%</w:t>
      </w:r>
      <w:r w:rsidRPr="001A700D">
        <w:rPr>
          <w:rFonts w:hint="eastAsia"/>
          <w:szCs w:val="21"/>
        </w:rPr>
        <w:t>的亡故是死于艾滋病。导致自然减员的其他因素是退休和辞职。</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医疗卫生工作人员的人才外流证明，从对每名医疗卫生工作人员的财政投资损失及其技能和知识损失看，国家的代价沉重。</w:t>
      </w:r>
      <w:r w:rsidRPr="001A700D">
        <w:rPr>
          <w:rFonts w:hint="eastAsia"/>
          <w:szCs w:val="21"/>
        </w:rPr>
        <w:t>2006</w:t>
      </w:r>
      <w:r w:rsidRPr="001A700D">
        <w:rPr>
          <w:rFonts w:hint="eastAsia"/>
          <w:szCs w:val="21"/>
        </w:rPr>
        <w:t>年的一项研究表明，从马拉维移民国外的一名注册助产士所造成的财政损失在</w:t>
      </w:r>
      <w:r w:rsidRPr="001A700D">
        <w:rPr>
          <w:rFonts w:hint="eastAsia"/>
          <w:szCs w:val="21"/>
        </w:rPr>
        <w:t>71 081.76</w:t>
      </w:r>
      <w:r w:rsidRPr="001A700D">
        <w:rPr>
          <w:rFonts w:hint="eastAsia"/>
          <w:szCs w:val="21"/>
        </w:rPr>
        <w:t>美元到</w:t>
      </w:r>
      <w:r w:rsidRPr="001A700D">
        <w:rPr>
          <w:rFonts w:hint="eastAsia"/>
          <w:szCs w:val="21"/>
        </w:rPr>
        <w:t>7 500 000</w:t>
      </w:r>
      <w:r w:rsidRPr="001A700D">
        <w:rPr>
          <w:rFonts w:hint="eastAsia"/>
          <w:szCs w:val="21"/>
        </w:rPr>
        <w:t>美元之间，这是按</w:t>
      </w:r>
      <w:r w:rsidRPr="001A700D">
        <w:rPr>
          <w:rFonts w:hint="eastAsia"/>
          <w:szCs w:val="21"/>
        </w:rPr>
        <w:t>30</w:t>
      </w:r>
      <w:r w:rsidRPr="001A700D">
        <w:rPr>
          <w:rFonts w:hint="eastAsia"/>
          <w:szCs w:val="21"/>
        </w:rPr>
        <w:t>年期、分别为</w:t>
      </w:r>
      <w:r w:rsidRPr="001A700D">
        <w:rPr>
          <w:rFonts w:hint="eastAsia"/>
          <w:szCs w:val="21"/>
        </w:rPr>
        <w:t>7%</w:t>
      </w:r>
      <w:r w:rsidRPr="001A700D">
        <w:rPr>
          <w:rFonts w:hint="eastAsia"/>
          <w:szCs w:val="21"/>
        </w:rPr>
        <w:t>和</w:t>
      </w:r>
      <w:r w:rsidRPr="001A700D">
        <w:rPr>
          <w:rFonts w:hint="eastAsia"/>
          <w:szCs w:val="21"/>
        </w:rPr>
        <w:t>25%</w:t>
      </w:r>
      <w:r w:rsidRPr="001A700D">
        <w:rPr>
          <w:rFonts w:hint="eastAsia"/>
          <w:szCs w:val="21"/>
        </w:rPr>
        <w:t>的银行年利率计算得出的。</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2006</w:t>
      </w:r>
      <w:r w:rsidRPr="001A700D">
        <w:rPr>
          <w:rFonts w:hint="eastAsia"/>
          <w:szCs w:val="21"/>
        </w:rPr>
        <w:t>年，马拉维的艾滋病毒感染率为</w:t>
      </w:r>
      <w:r w:rsidRPr="001A700D">
        <w:rPr>
          <w:rFonts w:hint="eastAsia"/>
          <w:szCs w:val="21"/>
        </w:rPr>
        <w:t>14.1%</w:t>
      </w:r>
      <w:r w:rsidRPr="001A700D">
        <w:rPr>
          <w:rFonts w:hint="eastAsia"/>
          <w:szCs w:val="21"/>
        </w:rPr>
        <w:t>，在公立医院，每</w:t>
      </w:r>
      <w:r w:rsidRPr="001A700D">
        <w:rPr>
          <w:rFonts w:hint="eastAsia"/>
          <w:szCs w:val="21"/>
        </w:rPr>
        <w:t>100</w:t>
      </w:r>
      <w:r w:rsidRPr="001A700D">
        <w:rPr>
          <w:rFonts w:hint="eastAsia"/>
          <w:szCs w:val="21"/>
        </w:rPr>
        <w:t>万人的医生数为</w:t>
      </w:r>
      <w:r w:rsidRPr="001A700D">
        <w:rPr>
          <w:rFonts w:hint="eastAsia"/>
          <w:szCs w:val="21"/>
        </w:rPr>
        <w:t>1.1</w:t>
      </w:r>
      <w:r w:rsidRPr="001A700D">
        <w:rPr>
          <w:rFonts w:hint="eastAsia"/>
          <w:szCs w:val="21"/>
        </w:rPr>
        <w:t>人，每</w:t>
      </w:r>
      <w:r w:rsidRPr="001A700D">
        <w:rPr>
          <w:rFonts w:hint="eastAsia"/>
          <w:szCs w:val="21"/>
        </w:rPr>
        <w:t>100</w:t>
      </w:r>
      <w:r w:rsidRPr="001A700D">
        <w:rPr>
          <w:rFonts w:hint="eastAsia"/>
          <w:szCs w:val="21"/>
        </w:rPr>
        <w:t>万人的护士数为</w:t>
      </w:r>
      <w:r w:rsidRPr="001A700D">
        <w:rPr>
          <w:rFonts w:hint="eastAsia"/>
          <w:szCs w:val="21"/>
        </w:rPr>
        <w:t>25.6</w:t>
      </w:r>
      <w:r w:rsidRPr="001A700D">
        <w:rPr>
          <w:rFonts w:hint="eastAsia"/>
          <w:szCs w:val="21"/>
        </w:rPr>
        <w:t>人。</w:t>
      </w:r>
      <w:r w:rsidRPr="001A700D">
        <w:rPr>
          <w:rFonts w:hint="eastAsia"/>
          <w:szCs w:val="21"/>
        </w:rPr>
        <w:t>2004</w:t>
      </w:r>
      <w:r w:rsidRPr="001A700D">
        <w:rPr>
          <w:rFonts w:hint="eastAsia"/>
          <w:szCs w:val="21"/>
        </w:rPr>
        <w:t>年，卫生部发表了一份报告，称卫生部门的人力资源状况为重度危机。马拉维熟练医务人员与非熟练医务人员的比率极低，缺少熟练医务人员仍然是最大的挑战之一。医疗卫生工作人员的分配不均加剧了这一问题，虽然马拉维的大多数人口在农村，但几乎</w:t>
      </w:r>
      <w:r w:rsidRPr="001A700D">
        <w:rPr>
          <w:rFonts w:hint="eastAsia"/>
          <w:szCs w:val="21"/>
        </w:rPr>
        <w:t>50%</w:t>
      </w:r>
      <w:r w:rsidRPr="001A700D">
        <w:rPr>
          <w:rFonts w:hint="eastAsia"/>
          <w:szCs w:val="21"/>
        </w:rPr>
        <w:t>的合格医生却在城市里的四个中心医院工作。</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某些医疗服务提供者的渎职和态度导致获得卫生服务的机会更加有限。对患者的歧视和虐待迫使人们寻求其尊严得到尊重的其他替代服务。偏向有钱人的歧视性做法在卫生设施继续存在，相比作为患者大多数的穷人，这类患者得到了更好的服务和药物治疗。对于在人口中占很大比例的农村妇女的歧视更加严重。</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bCs/>
          <w:iCs/>
          <w:szCs w:val="21"/>
        </w:rPr>
      </w:pPr>
      <w:r w:rsidRPr="001A700D">
        <w:rPr>
          <w:rFonts w:hint="eastAsia"/>
          <w:szCs w:val="21"/>
        </w:rPr>
        <w:t>另一方面，卫生服务提供者很少，他们都超负荷工作。人力资源过劳很大程度上归因于艾滋病毒和艾滋病。几乎</w:t>
      </w:r>
      <w:r w:rsidRPr="001A700D">
        <w:rPr>
          <w:rFonts w:hint="eastAsia"/>
          <w:szCs w:val="21"/>
        </w:rPr>
        <w:t>90%</w:t>
      </w:r>
      <w:r w:rsidRPr="001A700D">
        <w:rPr>
          <w:rFonts w:hint="eastAsia"/>
          <w:szCs w:val="21"/>
        </w:rPr>
        <w:t>的卫生工作人员表示，其工作量增加的首要原因是艾滋病毒和艾滋病以及工作人员的高空缺率。</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因此，有必要继续增加妇女获得计划生育信息和服务的机会，提高产前保健质量和医院分娩比例，完善分娩并发症护理和传统助产士的操作，以确保母亲安全。</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鉴于发病率和死亡率指标出现了变化，尤其是妇女的宫颈癌、子宫癌和乳腺癌发病率在增加，有必要重新确定保健的优先次序。不过，早期发现率仍然过低，这是由于文化问题以及获得保健服务的机会不足。</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妇女在正规和非正规部门工作场所遇到的各种形式歧视，包括性骚扰，要求我们更加努力地审查和执行劳动法，缩小男女工资差距，改善妇女的工作条件，特别是家政服务中的工作条件。</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妇女难以获得财产所有权，以及缺乏一个全面的公共政策来促使其获得信贷，这些都助长妇女在经济和社会发展中的不平等，尤其是在农村地区。</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需要坚持不懈地努力，促使妇女获得信贷、土地和技术援助。</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有必要以妇女的语言、文化和具体保护措施，提高她们对关于保护妇女的具体法律的认识，使其认识到上述权利以及如何参与保护。</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政府有必要做出一致努力，尤其是在劳动力市场和经济领域开展有计划的宣传活动，提高妇女的地位，以此消除阻碍妇女发展、降低妇女地位的社会陈旧观念。</w:t>
      </w:r>
    </w:p>
    <w:p w:rsidR="00F41B4C" w:rsidRPr="001A700D" w:rsidRDefault="00F41B4C" w:rsidP="00315346">
      <w:pPr>
        <w:widowControl/>
        <w:numPr>
          <w:ilvl w:val="0"/>
          <w:numId w:val="35"/>
        </w:numPr>
        <w:tabs>
          <w:tab w:val="left" w:pos="480"/>
        </w:tabs>
        <w:adjustRightInd/>
        <w:spacing w:after="240" w:line="360" w:lineRule="exact"/>
        <w:ind w:left="0" w:firstLine="0"/>
        <w:textAlignment w:val="auto"/>
        <w:rPr>
          <w:szCs w:val="21"/>
        </w:rPr>
      </w:pPr>
      <w:r w:rsidRPr="001A700D">
        <w:rPr>
          <w:rFonts w:hint="eastAsia"/>
          <w:szCs w:val="21"/>
        </w:rPr>
        <w:t xml:space="preserve"> </w:t>
      </w:r>
      <w:r w:rsidRPr="001A700D">
        <w:rPr>
          <w:rFonts w:hint="eastAsia"/>
          <w:szCs w:val="21"/>
        </w:rPr>
        <w:t>信息编制机构需要进一步努力，提供反映性别观点的数据和统计分析，从而影响公共政策的制定。</w:t>
      </w:r>
    </w:p>
    <w:p w:rsidR="00F41B4C" w:rsidRPr="001A700D" w:rsidRDefault="00F41B4C" w:rsidP="00FB05C0">
      <w:pPr>
        <w:autoSpaceDE w:val="0"/>
        <w:autoSpaceDN w:val="0"/>
        <w:spacing w:after="240" w:line="360" w:lineRule="exact"/>
        <w:rPr>
          <w:szCs w:val="21"/>
        </w:rPr>
      </w:pPr>
    </w:p>
    <w:p w:rsidR="00F41B4C" w:rsidRPr="00E31944" w:rsidRDefault="00F41B4C" w:rsidP="00E31944">
      <w:pPr>
        <w:pStyle w:val="HCh"/>
        <w:jc w:val="center"/>
        <w:rPr>
          <w:rFonts w:ascii="Times New Roman" w:hint="eastAsia"/>
          <w:szCs w:val="28"/>
        </w:rPr>
      </w:pPr>
      <w:r w:rsidRPr="001A700D">
        <w:rPr>
          <w:szCs w:val="21"/>
        </w:rPr>
        <w:br w:type="page"/>
      </w:r>
      <w:bookmarkStart w:id="85" w:name="_Toc221523961"/>
      <w:r w:rsidRPr="00E31944">
        <w:rPr>
          <w:rFonts w:ascii="Times New Roman" w:hint="eastAsia"/>
          <w:szCs w:val="28"/>
        </w:rPr>
        <w:t>附件</w:t>
      </w:r>
      <w:bookmarkEnd w:id="85"/>
    </w:p>
    <w:p w:rsidR="00F41B4C" w:rsidRPr="001A700D" w:rsidRDefault="00F41B4C" w:rsidP="00E31944">
      <w:pPr>
        <w:tabs>
          <w:tab w:val="left" w:pos="480"/>
        </w:tabs>
        <w:autoSpaceDE w:val="0"/>
        <w:autoSpaceDN w:val="0"/>
        <w:spacing w:after="240" w:line="360" w:lineRule="exact"/>
        <w:rPr>
          <w:rFonts w:hint="eastAsia"/>
          <w:szCs w:val="21"/>
        </w:rPr>
      </w:pPr>
      <w:r w:rsidRPr="001A700D">
        <w:rPr>
          <w:rFonts w:hint="eastAsia"/>
          <w:szCs w:val="21"/>
        </w:rPr>
        <w:t>1.</w:t>
      </w:r>
      <w:r w:rsidRPr="001A700D">
        <w:rPr>
          <w:rFonts w:hint="eastAsia"/>
          <w:szCs w:val="21"/>
        </w:rPr>
        <w:tab/>
      </w:r>
      <w:r w:rsidRPr="001A700D">
        <w:rPr>
          <w:rFonts w:hint="eastAsia"/>
          <w:szCs w:val="21"/>
        </w:rPr>
        <w:t>马拉维政府（</w:t>
      </w:r>
      <w:r w:rsidRPr="001A700D">
        <w:rPr>
          <w:rFonts w:hint="eastAsia"/>
          <w:szCs w:val="21"/>
        </w:rPr>
        <w:t>2006</w:t>
      </w:r>
      <w:r w:rsidRPr="001A700D">
        <w:rPr>
          <w:rFonts w:hint="eastAsia"/>
          <w:szCs w:val="21"/>
        </w:rPr>
        <w:t>年），《马拉维增长</w:t>
      </w:r>
      <w:r w:rsidR="006D4117">
        <w:rPr>
          <w:rFonts w:hint="eastAsia"/>
          <w:szCs w:val="21"/>
        </w:rPr>
        <w:t>与</w:t>
      </w:r>
      <w:r w:rsidRPr="001A700D">
        <w:rPr>
          <w:rFonts w:hint="eastAsia"/>
          <w:szCs w:val="21"/>
        </w:rPr>
        <w:t>发展战略》</w:t>
      </w:r>
      <w:r w:rsidR="00E31944">
        <w:rPr>
          <w:rFonts w:hint="eastAsia"/>
          <w:szCs w:val="21"/>
        </w:rPr>
        <w:t>–</w:t>
      </w:r>
      <w:r w:rsidRPr="001A700D">
        <w:rPr>
          <w:rFonts w:hint="eastAsia"/>
          <w:szCs w:val="21"/>
        </w:rPr>
        <w:t>电子版；</w:t>
      </w:r>
    </w:p>
    <w:p w:rsidR="00F41B4C" w:rsidRPr="001A700D" w:rsidRDefault="00F41B4C" w:rsidP="00E31944">
      <w:pPr>
        <w:tabs>
          <w:tab w:val="left" w:pos="480"/>
        </w:tabs>
        <w:autoSpaceDE w:val="0"/>
        <w:autoSpaceDN w:val="0"/>
        <w:spacing w:after="240" w:line="360" w:lineRule="exact"/>
        <w:rPr>
          <w:rFonts w:hint="eastAsia"/>
          <w:szCs w:val="21"/>
        </w:rPr>
      </w:pPr>
      <w:r w:rsidRPr="001A700D">
        <w:rPr>
          <w:rFonts w:hint="eastAsia"/>
          <w:szCs w:val="21"/>
        </w:rPr>
        <w:t>2.</w:t>
      </w:r>
      <w:r w:rsidRPr="001A700D">
        <w:rPr>
          <w:rFonts w:hint="eastAsia"/>
          <w:szCs w:val="21"/>
        </w:rPr>
        <w:tab/>
      </w:r>
      <w:r w:rsidRPr="001A700D">
        <w:rPr>
          <w:rFonts w:hint="eastAsia"/>
          <w:szCs w:val="21"/>
        </w:rPr>
        <w:t>马拉维人权委员会（</w:t>
      </w:r>
      <w:r w:rsidRPr="001A700D">
        <w:rPr>
          <w:rFonts w:hint="eastAsia"/>
          <w:szCs w:val="21"/>
        </w:rPr>
        <w:t>2006</w:t>
      </w:r>
      <w:r w:rsidRPr="001A700D">
        <w:rPr>
          <w:rFonts w:hint="eastAsia"/>
          <w:szCs w:val="21"/>
        </w:rPr>
        <w:t>年），《文化习俗与人权》，人权委员会</w:t>
      </w:r>
      <w:r w:rsidR="00E31944">
        <w:rPr>
          <w:rFonts w:hint="eastAsia"/>
          <w:szCs w:val="21"/>
        </w:rPr>
        <w:t>–</w:t>
      </w:r>
      <w:r w:rsidRPr="001A700D">
        <w:rPr>
          <w:rFonts w:hint="eastAsia"/>
          <w:szCs w:val="21"/>
        </w:rPr>
        <w:t>电子版；</w:t>
      </w:r>
    </w:p>
    <w:p w:rsidR="00F41B4C" w:rsidRPr="001A700D" w:rsidRDefault="00F41B4C" w:rsidP="00E31944">
      <w:pPr>
        <w:tabs>
          <w:tab w:val="left" w:pos="480"/>
        </w:tabs>
        <w:autoSpaceDE w:val="0"/>
        <w:autoSpaceDN w:val="0"/>
        <w:spacing w:after="240" w:line="360" w:lineRule="exact"/>
        <w:rPr>
          <w:rFonts w:hint="eastAsia"/>
          <w:szCs w:val="21"/>
        </w:rPr>
      </w:pPr>
      <w:r w:rsidRPr="001A700D">
        <w:rPr>
          <w:rFonts w:hint="eastAsia"/>
          <w:szCs w:val="21"/>
        </w:rPr>
        <w:t>3.</w:t>
      </w:r>
      <w:r w:rsidRPr="001A700D">
        <w:rPr>
          <w:rFonts w:hint="eastAsia"/>
          <w:szCs w:val="21"/>
        </w:rPr>
        <w:tab/>
      </w:r>
      <w:r w:rsidRPr="001A700D">
        <w:rPr>
          <w:rFonts w:hint="eastAsia"/>
          <w:szCs w:val="21"/>
        </w:rPr>
        <w:t>马拉维法律委员会（</w:t>
      </w:r>
      <w:r w:rsidRPr="001A700D">
        <w:rPr>
          <w:rFonts w:hint="eastAsia"/>
          <w:szCs w:val="21"/>
        </w:rPr>
        <w:t>2005</w:t>
      </w:r>
      <w:r w:rsidRPr="001A700D">
        <w:rPr>
          <w:rFonts w:hint="eastAsia"/>
          <w:szCs w:val="21"/>
        </w:rPr>
        <w:t>年），《马拉维的贩卖人口问题</w:t>
      </w:r>
      <w:r w:rsidR="006D4117">
        <w:rPr>
          <w:rFonts w:hint="eastAsia"/>
          <w:szCs w:val="21"/>
        </w:rPr>
        <w:t>——</w:t>
      </w:r>
      <w:r w:rsidRPr="001A700D">
        <w:rPr>
          <w:rFonts w:hint="eastAsia"/>
          <w:szCs w:val="21"/>
        </w:rPr>
        <w:t>研究论文》，政府印制局，松巴</w:t>
      </w:r>
      <w:r w:rsidR="00E31944">
        <w:rPr>
          <w:rFonts w:hint="eastAsia"/>
          <w:szCs w:val="21"/>
        </w:rPr>
        <w:t>–</w:t>
      </w:r>
      <w:r w:rsidRPr="001A700D">
        <w:rPr>
          <w:rFonts w:hint="eastAsia"/>
          <w:szCs w:val="21"/>
        </w:rPr>
        <w:t>印刷版；</w:t>
      </w:r>
    </w:p>
    <w:p w:rsidR="00F41B4C" w:rsidRPr="001A700D" w:rsidRDefault="00F41B4C" w:rsidP="00E31944">
      <w:pPr>
        <w:tabs>
          <w:tab w:val="left" w:pos="480"/>
        </w:tabs>
        <w:autoSpaceDE w:val="0"/>
        <w:autoSpaceDN w:val="0"/>
        <w:spacing w:after="240" w:line="360" w:lineRule="exact"/>
        <w:rPr>
          <w:rFonts w:hint="eastAsia"/>
          <w:szCs w:val="21"/>
        </w:rPr>
      </w:pPr>
      <w:r w:rsidRPr="001A700D">
        <w:rPr>
          <w:rFonts w:hint="eastAsia"/>
          <w:szCs w:val="21"/>
        </w:rPr>
        <w:t>4.</w:t>
      </w:r>
      <w:r w:rsidRPr="001A700D">
        <w:rPr>
          <w:rFonts w:hint="eastAsia"/>
          <w:szCs w:val="21"/>
        </w:rPr>
        <w:tab/>
      </w:r>
      <w:r w:rsidRPr="001A700D">
        <w:rPr>
          <w:rFonts w:hint="eastAsia"/>
          <w:szCs w:val="21"/>
        </w:rPr>
        <w:t>经济规划和发展部（</w:t>
      </w:r>
      <w:r w:rsidRPr="001A700D">
        <w:rPr>
          <w:rFonts w:hint="eastAsia"/>
          <w:szCs w:val="21"/>
        </w:rPr>
        <w:t>2007</w:t>
      </w:r>
      <w:r w:rsidRPr="001A700D">
        <w:rPr>
          <w:rFonts w:hint="eastAsia"/>
          <w:szCs w:val="21"/>
        </w:rPr>
        <w:t>年），《马拉维千年发展目标报告》</w:t>
      </w:r>
      <w:r w:rsidR="00E31944">
        <w:rPr>
          <w:rFonts w:hint="eastAsia"/>
          <w:szCs w:val="21"/>
        </w:rPr>
        <w:t>–</w:t>
      </w:r>
      <w:r w:rsidRPr="001A700D">
        <w:rPr>
          <w:rFonts w:hint="eastAsia"/>
          <w:szCs w:val="21"/>
        </w:rPr>
        <w:t>电子版；</w:t>
      </w:r>
    </w:p>
    <w:p w:rsidR="00F41B4C" w:rsidRPr="001A700D" w:rsidRDefault="00F41B4C" w:rsidP="00E31944">
      <w:pPr>
        <w:tabs>
          <w:tab w:val="left" w:pos="480"/>
        </w:tabs>
        <w:autoSpaceDE w:val="0"/>
        <w:autoSpaceDN w:val="0"/>
        <w:spacing w:after="240" w:line="360" w:lineRule="exact"/>
        <w:rPr>
          <w:rFonts w:hint="eastAsia"/>
          <w:szCs w:val="21"/>
        </w:rPr>
      </w:pPr>
      <w:r w:rsidRPr="001A700D">
        <w:rPr>
          <w:rFonts w:hint="eastAsia"/>
          <w:szCs w:val="21"/>
        </w:rPr>
        <w:t>5.</w:t>
      </w:r>
      <w:r w:rsidRPr="001A700D">
        <w:rPr>
          <w:rFonts w:hint="eastAsia"/>
          <w:szCs w:val="21"/>
        </w:rPr>
        <w:tab/>
      </w:r>
      <w:r w:rsidRPr="001A700D">
        <w:rPr>
          <w:rFonts w:hint="eastAsia"/>
          <w:szCs w:val="21"/>
        </w:rPr>
        <w:t>教育、科学和技术部（</w:t>
      </w:r>
      <w:r w:rsidRPr="001A700D">
        <w:rPr>
          <w:rFonts w:hint="eastAsia"/>
          <w:szCs w:val="21"/>
        </w:rPr>
        <w:t>2007</w:t>
      </w:r>
      <w:r w:rsidRPr="001A700D">
        <w:rPr>
          <w:rFonts w:hint="eastAsia"/>
          <w:szCs w:val="21"/>
        </w:rPr>
        <w:t>年），《</w:t>
      </w:r>
      <w:r w:rsidRPr="001A700D">
        <w:rPr>
          <w:rFonts w:hint="eastAsia"/>
          <w:szCs w:val="21"/>
        </w:rPr>
        <w:t>2007</w:t>
      </w:r>
      <w:r w:rsidRPr="001A700D">
        <w:rPr>
          <w:rFonts w:hint="eastAsia"/>
          <w:szCs w:val="21"/>
        </w:rPr>
        <w:t>年教育统计</w:t>
      </w:r>
      <w:r w:rsidR="00E31944">
        <w:rPr>
          <w:rFonts w:hint="eastAsia"/>
          <w:szCs w:val="21"/>
        </w:rPr>
        <w:t>——</w:t>
      </w:r>
      <w:r w:rsidRPr="001A700D">
        <w:rPr>
          <w:rFonts w:hint="eastAsia"/>
          <w:szCs w:val="21"/>
        </w:rPr>
        <w:t>马拉维》</w:t>
      </w:r>
      <w:r w:rsidR="00E31944">
        <w:rPr>
          <w:rFonts w:hint="eastAsia"/>
          <w:szCs w:val="21"/>
        </w:rPr>
        <w:t>–</w:t>
      </w:r>
      <w:r w:rsidRPr="001A700D">
        <w:rPr>
          <w:rFonts w:hint="eastAsia"/>
          <w:szCs w:val="21"/>
        </w:rPr>
        <w:t>电子版；</w:t>
      </w:r>
    </w:p>
    <w:p w:rsidR="00F41B4C" w:rsidRPr="001A700D" w:rsidRDefault="00F41B4C" w:rsidP="00E31944">
      <w:pPr>
        <w:tabs>
          <w:tab w:val="left" w:pos="480"/>
        </w:tabs>
        <w:autoSpaceDE w:val="0"/>
        <w:autoSpaceDN w:val="0"/>
        <w:spacing w:after="240" w:line="360" w:lineRule="exact"/>
        <w:rPr>
          <w:rFonts w:hint="eastAsia"/>
          <w:szCs w:val="21"/>
        </w:rPr>
      </w:pPr>
      <w:r w:rsidRPr="001A700D">
        <w:rPr>
          <w:rFonts w:hint="eastAsia"/>
          <w:szCs w:val="21"/>
        </w:rPr>
        <w:t>6.</w:t>
      </w:r>
      <w:r w:rsidRPr="001A700D">
        <w:rPr>
          <w:rFonts w:hint="eastAsia"/>
          <w:szCs w:val="21"/>
        </w:rPr>
        <w:tab/>
      </w:r>
      <w:r w:rsidRPr="001A700D">
        <w:rPr>
          <w:rFonts w:hint="eastAsia"/>
          <w:szCs w:val="21"/>
        </w:rPr>
        <w:t>卫生部（</w:t>
      </w:r>
      <w:r w:rsidRPr="001A700D">
        <w:rPr>
          <w:rFonts w:hint="eastAsia"/>
          <w:szCs w:val="21"/>
        </w:rPr>
        <w:t xml:space="preserve"> 2004</w:t>
      </w:r>
      <w:r w:rsidRPr="001A700D">
        <w:rPr>
          <w:rFonts w:hint="eastAsia"/>
          <w:szCs w:val="21"/>
        </w:rPr>
        <w:t>年），《人口与健康调查》</w:t>
      </w:r>
      <w:r w:rsidRPr="001A700D">
        <w:rPr>
          <w:rFonts w:hint="eastAsia"/>
          <w:szCs w:val="21"/>
        </w:rPr>
        <w:t xml:space="preserve"> - </w:t>
      </w:r>
      <w:r w:rsidRPr="001A700D">
        <w:rPr>
          <w:rFonts w:hint="eastAsia"/>
          <w:szCs w:val="21"/>
        </w:rPr>
        <w:t>电子版；</w:t>
      </w:r>
    </w:p>
    <w:p w:rsidR="00F41B4C" w:rsidRPr="001A700D" w:rsidRDefault="00F41B4C" w:rsidP="00E31944">
      <w:pPr>
        <w:tabs>
          <w:tab w:val="left" w:pos="480"/>
        </w:tabs>
        <w:autoSpaceDE w:val="0"/>
        <w:autoSpaceDN w:val="0"/>
        <w:spacing w:after="240" w:line="360" w:lineRule="exact"/>
        <w:rPr>
          <w:rFonts w:hint="eastAsia"/>
          <w:szCs w:val="21"/>
        </w:rPr>
      </w:pPr>
      <w:r w:rsidRPr="001A700D">
        <w:rPr>
          <w:rFonts w:hint="eastAsia"/>
          <w:szCs w:val="21"/>
        </w:rPr>
        <w:t>7.</w:t>
      </w:r>
      <w:r w:rsidRPr="001A700D">
        <w:rPr>
          <w:rFonts w:hint="eastAsia"/>
          <w:szCs w:val="21"/>
        </w:rPr>
        <w:tab/>
      </w:r>
      <w:r w:rsidRPr="001A700D">
        <w:rPr>
          <w:rFonts w:hint="eastAsia"/>
          <w:szCs w:val="21"/>
        </w:rPr>
        <w:t>妇女和儿童发展部（</w:t>
      </w:r>
      <w:r w:rsidRPr="001A700D">
        <w:rPr>
          <w:rFonts w:hint="eastAsia"/>
          <w:szCs w:val="21"/>
        </w:rPr>
        <w:t>2007</w:t>
      </w:r>
      <w:r w:rsidRPr="001A700D">
        <w:rPr>
          <w:rFonts w:hint="eastAsia"/>
          <w:szCs w:val="21"/>
        </w:rPr>
        <w:t>年），《国家对基于性别的暴力的应对措施》</w:t>
      </w:r>
      <w:r w:rsidR="00E31944">
        <w:rPr>
          <w:rFonts w:hint="eastAsia"/>
          <w:szCs w:val="21"/>
        </w:rPr>
        <w:t>–</w:t>
      </w:r>
      <w:r w:rsidRPr="001A700D">
        <w:rPr>
          <w:rFonts w:hint="eastAsia"/>
          <w:szCs w:val="21"/>
        </w:rPr>
        <w:t>电子版；</w:t>
      </w:r>
    </w:p>
    <w:p w:rsidR="00F41B4C" w:rsidRPr="001A700D" w:rsidRDefault="00F41B4C" w:rsidP="00E31944">
      <w:pPr>
        <w:tabs>
          <w:tab w:val="left" w:pos="480"/>
        </w:tabs>
        <w:autoSpaceDE w:val="0"/>
        <w:autoSpaceDN w:val="0"/>
        <w:spacing w:after="240" w:line="360" w:lineRule="exact"/>
        <w:rPr>
          <w:rFonts w:hint="eastAsia"/>
          <w:szCs w:val="21"/>
        </w:rPr>
      </w:pPr>
      <w:r w:rsidRPr="001A700D">
        <w:rPr>
          <w:rFonts w:hint="eastAsia"/>
          <w:szCs w:val="21"/>
        </w:rPr>
        <w:t>8.</w:t>
      </w:r>
      <w:r w:rsidRPr="001A700D">
        <w:rPr>
          <w:rFonts w:hint="eastAsia"/>
          <w:szCs w:val="21"/>
        </w:rPr>
        <w:tab/>
      </w:r>
      <w:r w:rsidRPr="001A700D">
        <w:rPr>
          <w:rFonts w:hint="eastAsia"/>
          <w:szCs w:val="21"/>
        </w:rPr>
        <w:t>国家统计局和</w:t>
      </w:r>
      <w:r w:rsidRPr="001A700D">
        <w:rPr>
          <w:rFonts w:hint="eastAsia"/>
          <w:szCs w:val="21"/>
        </w:rPr>
        <w:t>ORC Macro</w:t>
      </w:r>
      <w:r w:rsidRPr="001A700D">
        <w:rPr>
          <w:rFonts w:hint="eastAsia"/>
          <w:szCs w:val="21"/>
        </w:rPr>
        <w:t>公司，</w:t>
      </w:r>
      <w:r w:rsidRPr="001A700D">
        <w:rPr>
          <w:rFonts w:hint="eastAsia"/>
          <w:szCs w:val="21"/>
        </w:rPr>
        <w:t>2005</w:t>
      </w:r>
      <w:r w:rsidRPr="001A700D">
        <w:rPr>
          <w:rFonts w:hint="eastAsia"/>
          <w:szCs w:val="21"/>
        </w:rPr>
        <w:t>年，《</w:t>
      </w:r>
      <w:r w:rsidRPr="001A700D">
        <w:rPr>
          <w:rFonts w:hint="eastAsia"/>
          <w:szCs w:val="21"/>
        </w:rPr>
        <w:t>2004</w:t>
      </w:r>
      <w:r w:rsidRPr="001A700D">
        <w:rPr>
          <w:rFonts w:hint="eastAsia"/>
          <w:szCs w:val="21"/>
        </w:rPr>
        <w:t>年马拉维人口与健康调查》。</w:t>
      </w:r>
      <w:r w:rsidRPr="001A700D">
        <w:rPr>
          <w:rFonts w:hint="eastAsia"/>
          <w:szCs w:val="21"/>
        </w:rPr>
        <w:t>Calverton</w:t>
      </w:r>
      <w:r w:rsidRPr="001A700D">
        <w:rPr>
          <w:rFonts w:hint="eastAsia"/>
          <w:szCs w:val="21"/>
        </w:rPr>
        <w:t>市，马里兰：国家统计局和</w:t>
      </w:r>
      <w:r w:rsidRPr="001A700D">
        <w:rPr>
          <w:rFonts w:hint="eastAsia"/>
          <w:szCs w:val="21"/>
        </w:rPr>
        <w:t>ORC Macro</w:t>
      </w:r>
      <w:r w:rsidRPr="001A700D">
        <w:rPr>
          <w:rFonts w:hint="eastAsia"/>
          <w:szCs w:val="21"/>
        </w:rPr>
        <w:t>公司</w:t>
      </w:r>
      <w:r w:rsidR="00E31944">
        <w:rPr>
          <w:rFonts w:hint="eastAsia"/>
          <w:szCs w:val="21"/>
        </w:rPr>
        <w:t>–</w:t>
      </w:r>
      <w:r w:rsidRPr="001A700D">
        <w:rPr>
          <w:rFonts w:hint="eastAsia"/>
          <w:szCs w:val="21"/>
        </w:rPr>
        <w:t>电子版；</w:t>
      </w:r>
    </w:p>
    <w:p w:rsidR="00F41B4C" w:rsidRPr="001A700D" w:rsidRDefault="00F41B4C" w:rsidP="00E31944">
      <w:pPr>
        <w:tabs>
          <w:tab w:val="left" w:pos="480"/>
        </w:tabs>
        <w:autoSpaceDE w:val="0"/>
        <w:autoSpaceDN w:val="0"/>
        <w:spacing w:after="240" w:line="360" w:lineRule="exact"/>
        <w:rPr>
          <w:szCs w:val="21"/>
        </w:rPr>
      </w:pPr>
      <w:r w:rsidRPr="001A700D">
        <w:rPr>
          <w:rFonts w:hint="eastAsia"/>
          <w:szCs w:val="21"/>
        </w:rPr>
        <w:t>9.</w:t>
      </w:r>
      <w:r w:rsidRPr="001A700D">
        <w:rPr>
          <w:rFonts w:hint="eastAsia"/>
          <w:szCs w:val="21"/>
        </w:rPr>
        <w:tab/>
        <w:t>Robert Kafakoma</w:t>
      </w:r>
      <w:r w:rsidRPr="001A700D">
        <w:rPr>
          <w:rFonts w:hint="eastAsia"/>
          <w:szCs w:val="21"/>
        </w:rPr>
        <w:t>和</w:t>
      </w:r>
      <w:r w:rsidRPr="001A700D">
        <w:rPr>
          <w:rFonts w:hint="eastAsia"/>
          <w:szCs w:val="21"/>
        </w:rPr>
        <w:t>Mckey Mphepo</w:t>
      </w:r>
      <w:r w:rsidRPr="001A700D">
        <w:rPr>
          <w:rFonts w:hint="eastAsia"/>
          <w:szCs w:val="21"/>
        </w:rPr>
        <w:t>（</w:t>
      </w:r>
      <w:r w:rsidRPr="001A700D">
        <w:rPr>
          <w:rFonts w:hint="eastAsia"/>
          <w:szCs w:val="21"/>
        </w:rPr>
        <w:t>2008</w:t>
      </w:r>
      <w:r w:rsidRPr="001A700D">
        <w:rPr>
          <w:rFonts w:hint="eastAsia"/>
          <w:szCs w:val="21"/>
        </w:rPr>
        <w:t>年），《决策职位上的女性和男性》，研究报告（未发表）</w:t>
      </w:r>
      <w:r w:rsidR="00E31944">
        <w:rPr>
          <w:rFonts w:hint="eastAsia"/>
          <w:szCs w:val="21"/>
        </w:rPr>
        <w:t>–</w:t>
      </w:r>
      <w:r w:rsidRPr="001A700D">
        <w:rPr>
          <w:rFonts w:hint="eastAsia"/>
          <w:szCs w:val="21"/>
        </w:rPr>
        <w:t>电子版。</w:t>
      </w:r>
    </w:p>
    <w:p w:rsidR="00430DAC" w:rsidRDefault="00430DAC" w:rsidP="0092354C">
      <w:pPr>
        <w:tabs>
          <w:tab w:val="left" w:pos="6255"/>
        </w:tabs>
        <w:spacing w:line="480" w:lineRule="auto"/>
        <w:rPr>
          <w:rFonts w:hAnsi="Courier New" w:hint="eastAsia"/>
          <w:color w:val="000000"/>
          <w:szCs w:val="21"/>
        </w:rPr>
      </w:pPr>
    </w:p>
    <w:p w:rsidR="00E31944" w:rsidRDefault="00E31944" w:rsidP="0092354C">
      <w:pPr>
        <w:tabs>
          <w:tab w:val="left" w:pos="6255"/>
        </w:tabs>
        <w:spacing w:line="480" w:lineRule="auto"/>
        <w:rPr>
          <w:rFonts w:hAnsi="Courier New" w:hint="eastAsia"/>
          <w:color w:val="000000"/>
          <w:szCs w:val="21"/>
        </w:rPr>
      </w:pPr>
    </w:p>
    <w:p w:rsidR="00E31944" w:rsidRPr="00F41B4C" w:rsidRDefault="00E31944" w:rsidP="00E31944">
      <w:pPr>
        <w:tabs>
          <w:tab w:val="left" w:pos="6255"/>
        </w:tabs>
        <w:spacing w:line="480" w:lineRule="auto"/>
        <w:jc w:val="center"/>
        <w:rPr>
          <w:rFonts w:hAnsi="Courier New" w:hint="eastAsia"/>
          <w:color w:val="000000"/>
          <w:szCs w:val="21"/>
        </w:rPr>
      </w:pPr>
      <w:r>
        <w:rPr>
          <w:rFonts w:hAnsi="Courier New" w:hint="eastAsia"/>
          <w:color w:val="000000"/>
          <w:szCs w:val="21"/>
        </w:rPr>
        <w:t>—————</w:t>
      </w:r>
    </w:p>
    <w:sectPr w:rsidR="00E31944" w:rsidRPr="00F41B4C">
      <w:headerReference w:type="even" r:id="rId16"/>
      <w:headerReference w:type="default" r:id="rId17"/>
      <w:footerReference w:type="even" r:id="rId18"/>
      <w:footerReference w:type="default" r:id="rId19"/>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04T14:48:00Z" w:initials="Start">
    <w:p w:rsidR="00F93BBA" w:rsidRDefault="00F93BBA">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w:t>
      </w:r>
      <w:smartTag w:uri="urn:schemas-microsoft-com:office:smarttags" w:element="chmetcnv">
        <w:smartTagPr>
          <w:attr w:name="TCSC" w:val="0"/>
          <w:attr w:name="NumberType" w:val="1"/>
          <w:attr w:name="Negative" w:val="False"/>
          <w:attr w:name="HasSpace" w:val="False"/>
          <w:attr w:name="SourceValue" w:val="856266"/>
          <w:attr w:name="UnitName" w:val="C"/>
        </w:smartTagPr>
        <w:r>
          <w:t>0</w:t>
        </w:r>
        <w:r>
          <w:rPr>
            <w:rFonts w:hint="eastAsia"/>
          </w:rPr>
          <w:t>856266</w:t>
        </w:r>
        <w:r>
          <w:t>C</w:t>
        </w:r>
      </w:smartTag>
      <w:r>
        <w:t>&lt;&lt;ODS JOB NO&gt;&gt;</w:t>
      </w:r>
    </w:p>
    <w:p w:rsidR="00F93BBA" w:rsidRDefault="00F93BBA">
      <w:pPr>
        <w:pStyle w:val="CommentText"/>
      </w:pPr>
      <w:r>
        <w:t>&lt;&lt;ODS DOC SYMBOL1&gt;&gt;CEDAW/C/</w:t>
      </w:r>
      <w:r>
        <w:rPr>
          <w:rFonts w:hint="eastAsia"/>
        </w:rPr>
        <w:t>MWI</w:t>
      </w:r>
      <w:r>
        <w:t>/</w:t>
      </w:r>
      <w:r>
        <w:rPr>
          <w:rFonts w:hint="eastAsia"/>
        </w:rPr>
        <w:t>6</w:t>
      </w:r>
      <w:r>
        <w:t>&lt;&lt;ODS DOC SYMBOL1&gt;&gt;</w:t>
      </w:r>
    </w:p>
    <w:p w:rsidR="00F93BBA" w:rsidRDefault="00F93BBA">
      <w:pPr>
        <w:pStyle w:val="CommentText"/>
        <w:rPr>
          <w:rFonts w:hint="eastAsia"/>
        </w:rPr>
      </w:pPr>
      <w:r>
        <w:t>&lt;&lt;ODS DOC SYMBOL2&gt;&gt;&lt;&lt;ODS DOC SYMBOL2&gt;&gt;</w:t>
      </w:r>
      <w:r>
        <w:rPr>
          <w:rFonts w:hint="eastAsia"/>
        </w:rPr>
        <w:t>853</w:t>
      </w:r>
    </w:p>
  </w:comment>
  <w:comment w:id="38" w:author="南鹏" w:date="2009-01-26T11:48:00Z" w:initials="南鹏">
    <w:p w:rsidR="00F93BBA" w:rsidRDefault="00F93BBA" w:rsidP="00520611">
      <w:pPr>
        <w:pStyle w:val="CommentText"/>
        <w:rPr>
          <w:rFonts w:hint="eastAsia"/>
        </w:rPr>
      </w:pPr>
      <w:r>
        <w:rPr>
          <w:rStyle w:val="CommentReference"/>
        </w:rPr>
        <w:annotationRef/>
      </w:r>
      <w:r>
        <w:rPr>
          <w:rFonts w:hint="eastAsia"/>
        </w:rPr>
        <w:t>目录部分的页码有问题，黑色字体是英文原文的页码，蓝色字体是根据译文重新编的号。请审校老师定夺选择哪个：）</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6B5" w:rsidRDefault="009B46B5">
      <w:r>
        <w:separator/>
      </w:r>
    </w:p>
  </w:endnote>
  <w:endnote w:type="continuationSeparator" w:id="0">
    <w:p w:rsidR="009B46B5" w:rsidRDefault="009B4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3" w:usb1="080E0000" w:usb2="00000010" w:usb3="00000000" w:csb0="00040001"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BA" w:rsidRDefault="00F93BB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83641">
      <w:rPr>
        <w:rStyle w:val="PageNumber"/>
        <w:noProof/>
      </w:rPr>
      <w:t>51</w:t>
    </w:r>
    <w:r>
      <w:rPr>
        <w:rStyle w:val="PageNumber"/>
      </w:rPr>
      <w:fldChar w:fldCharType="end"/>
    </w:r>
  </w:p>
  <w:p w:rsidR="00F93BBA" w:rsidRDefault="00F93BB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BA" w:rsidRDefault="00F93BB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83641">
      <w:rPr>
        <w:rStyle w:val="PageNumber"/>
        <w:noProof/>
      </w:rPr>
      <w:t>51</w:t>
    </w:r>
    <w:r>
      <w:rPr>
        <w:rStyle w:val="PageNumber"/>
      </w:rPr>
      <w:fldChar w:fldCharType="end"/>
    </w:r>
  </w:p>
  <w:p w:rsidR="00F93BBA" w:rsidRDefault="00F93BB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BA" w:rsidRDefault="00F93BBA" w:rsidP="00344F1C">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本报告印发之前未经正式编辑。</w:t>
    </w:r>
  </w:p>
  <w:p w:rsidR="00F93BBA" w:rsidRDefault="00F93BBA" w:rsidP="00344F1C">
    <w:pPr>
      <w:pStyle w:val="FootnoteText"/>
      <w:spacing w:afterLines="50" w:after="120" w:line="260" w:lineRule="exact"/>
      <w:ind w:firstLineChars="200" w:firstLine="31680"/>
      <w:jc w:val="both"/>
      <w:rPr>
        <w:rFonts w:eastAsia="SimSun" w:hint="eastAsia"/>
        <w:szCs w:val="24"/>
      </w:rPr>
    </w:pPr>
  </w:p>
  <w:p w:rsidR="00F93BBA" w:rsidRPr="00F93BBA" w:rsidRDefault="00F93BBA">
    <w:pPr>
      <w:pStyle w:val="FootnoteText"/>
      <w:spacing w:afterLines="50" w:after="120"/>
      <w:rPr>
        <w:rFonts w:ascii="Barcode 3 of 9 by request" w:eastAsia="SimSun" w:hAnsi="Barcode 3 of 9 by request"/>
        <w:b/>
        <w:bCs/>
        <w:noProof/>
        <w:snapToGrid w:val="0"/>
        <w:sz w:val="21"/>
      </w:rPr>
    </w:pPr>
    <w:r>
      <w:rPr>
        <w:rFonts w:hint="eastAsia"/>
        <w:sz w:val="21"/>
      </w:rPr>
      <w:t>08-56266</w:t>
    </w:r>
    <w:r>
      <w:rPr>
        <w:sz w:val="21"/>
      </w:rPr>
      <w:t>(</w:t>
    </w:r>
    <w:r>
      <w:rPr>
        <w:rFonts w:hint="eastAsia"/>
        <w:sz w:val="21"/>
      </w:rPr>
      <w:t>C</w:t>
    </w:r>
    <w:r>
      <w:rPr>
        <w:sz w:val="21"/>
      </w:rPr>
      <w:t>)</w:t>
    </w:r>
    <w:r>
      <w:rPr>
        <w:sz w:val="21"/>
      </w:rPr>
      <w:br/>
    </w:r>
    <w:r w:rsidRPr="00F93BBA">
      <w:rPr>
        <w:rFonts w:ascii="Barcode 3 of 9 by request" w:eastAsia="SimSun" w:hAnsi="Barcode 3 of 9 by request"/>
        <w:b/>
        <w:bCs/>
        <w:noProof/>
        <w:snapToGrid w:val="0"/>
        <w:sz w:val="21"/>
      </w:rPr>
      <w:t>*0856266*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BA" w:rsidRDefault="00F93BBA">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483641">
      <w:rPr>
        <w:rStyle w:val="PageNumber"/>
        <w:noProof/>
      </w:rPr>
      <w:t>2</w:t>
    </w:r>
    <w:r>
      <w:rPr>
        <w:rStyle w:val="PageNumber"/>
      </w:rPr>
      <w:fldChar w:fldCharType="end"/>
    </w:r>
  </w:p>
  <w:p w:rsidR="00F93BBA" w:rsidRDefault="00F93BBA">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BA" w:rsidRDefault="00F93BBA">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483641">
      <w:rPr>
        <w:rStyle w:val="PageNumber"/>
        <w:noProof/>
      </w:rPr>
      <w:t>3</w:t>
    </w:r>
    <w:r>
      <w:rPr>
        <w:rStyle w:val="PageNumber"/>
      </w:rPr>
      <w:fldChar w:fldCharType="end"/>
    </w:r>
  </w:p>
  <w:p w:rsidR="00F93BBA" w:rsidRDefault="00F93BB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6B5" w:rsidRDefault="009B46B5">
      <w:r>
        <w:separator/>
      </w:r>
    </w:p>
  </w:footnote>
  <w:footnote w:type="continuationSeparator" w:id="0">
    <w:p w:rsidR="009B46B5" w:rsidRDefault="009B46B5">
      <w:r>
        <w:continuationSeparator/>
      </w:r>
    </w:p>
  </w:footnote>
  <w:footnote w:id="1">
    <w:p w:rsidR="00F93BBA" w:rsidRPr="00D4545A" w:rsidRDefault="00F93BBA" w:rsidP="00F41B4C">
      <w:pPr>
        <w:pStyle w:val="FootnoteText"/>
      </w:pPr>
      <w:r>
        <w:rPr>
          <w:rStyle w:val="FootnoteReference"/>
        </w:rPr>
        <w:footnoteRef/>
      </w:r>
      <w:r>
        <w:rPr>
          <w:rFonts w:hint="eastAsia"/>
        </w:rPr>
        <w:t xml:space="preserve">  </w:t>
      </w:r>
      <w:r w:rsidRPr="00D4545A">
        <w:rPr>
          <w:rFonts w:hint="eastAsia"/>
        </w:rPr>
        <w:t>如难民署</w:t>
      </w:r>
      <w:r>
        <w:rPr>
          <w:rFonts w:hint="eastAsia"/>
        </w:rPr>
        <w:t>。</w:t>
      </w:r>
    </w:p>
  </w:footnote>
  <w:footnote w:id="2">
    <w:p w:rsidR="00F93BBA" w:rsidRPr="00E34803" w:rsidRDefault="00F93BBA" w:rsidP="00F41B4C">
      <w:pPr>
        <w:pStyle w:val="FootnoteText"/>
      </w:pPr>
      <w:r>
        <w:rPr>
          <w:rStyle w:val="FootnoteReference"/>
        </w:rPr>
        <w:footnoteRef/>
      </w:r>
      <w:r>
        <w:t xml:space="preserve"> </w:t>
      </w:r>
      <w:r>
        <w:rPr>
          <w:rFonts w:hint="eastAsia"/>
        </w:rPr>
        <w:t xml:space="preserve"> </w:t>
      </w:r>
      <w:r w:rsidRPr="00E34803">
        <w:rPr>
          <w:rFonts w:hint="eastAsia"/>
        </w:rPr>
        <w:t>这</w:t>
      </w:r>
      <w:r>
        <w:rPr>
          <w:rFonts w:hint="eastAsia"/>
        </w:rPr>
        <w:t>指每天</w:t>
      </w:r>
      <w:r w:rsidRPr="00E34803">
        <w:rPr>
          <w:rFonts w:hint="eastAsia"/>
        </w:rPr>
        <w:t>生活费不到一美元</w:t>
      </w:r>
      <w:r>
        <w:rPr>
          <w:rFonts w:hint="eastAsia"/>
        </w:rPr>
        <w:t>的人口百分比。</w:t>
      </w:r>
    </w:p>
  </w:footnote>
  <w:footnote w:id="3">
    <w:p w:rsidR="00F93BBA" w:rsidRPr="00E34803" w:rsidRDefault="00F93BBA" w:rsidP="00F41B4C">
      <w:pPr>
        <w:pStyle w:val="FootnoteText"/>
      </w:pPr>
      <w:r>
        <w:rPr>
          <w:rStyle w:val="FootnoteReference"/>
        </w:rPr>
        <w:footnoteRef/>
      </w:r>
      <w:r>
        <w:t xml:space="preserve"> </w:t>
      </w:r>
      <w:r>
        <w:rPr>
          <w:rFonts w:hint="eastAsia"/>
        </w:rPr>
        <w:t xml:space="preserve"> </w:t>
      </w:r>
      <w:r w:rsidRPr="00E34803">
        <w:rPr>
          <w:rFonts w:hint="eastAsia"/>
        </w:rPr>
        <w:t>报告于</w:t>
      </w:r>
      <w:r w:rsidRPr="00E34803">
        <w:rPr>
          <w:rFonts w:hint="eastAsia"/>
        </w:rPr>
        <w:t>2006</w:t>
      </w:r>
      <w:r w:rsidRPr="00E34803">
        <w:rPr>
          <w:rFonts w:hint="eastAsia"/>
        </w:rPr>
        <w:t>年</w:t>
      </w:r>
      <w:r w:rsidRPr="00E34803">
        <w:rPr>
          <w:rFonts w:hint="eastAsia"/>
        </w:rPr>
        <w:t>6</w:t>
      </w:r>
      <w:r w:rsidRPr="00E34803">
        <w:rPr>
          <w:rFonts w:hint="eastAsia"/>
        </w:rPr>
        <w:t>月</w:t>
      </w:r>
      <w:r>
        <w:rPr>
          <w:rFonts w:hint="eastAsia"/>
        </w:rPr>
        <w:t>发表。</w:t>
      </w:r>
    </w:p>
  </w:footnote>
  <w:footnote w:id="4">
    <w:p w:rsidR="00F93BBA" w:rsidRPr="00812187" w:rsidRDefault="00F93BBA" w:rsidP="00F41B4C">
      <w:pPr>
        <w:pStyle w:val="FootnoteText"/>
      </w:pPr>
      <w:r>
        <w:rPr>
          <w:rStyle w:val="FootnoteReference"/>
        </w:rPr>
        <w:footnoteRef/>
      </w:r>
      <w:r>
        <w:rPr>
          <w:rFonts w:hint="eastAsia"/>
        </w:rPr>
        <w:t xml:space="preserve">  </w:t>
      </w:r>
      <w:r w:rsidRPr="00812187">
        <w:rPr>
          <w:rFonts w:hint="eastAsia"/>
        </w:rPr>
        <w:t>第</w:t>
      </w:r>
      <w:r w:rsidRPr="00812187">
        <w:rPr>
          <w:rFonts w:hint="eastAsia"/>
        </w:rPr>
        <w:t>5</w:t>
      </w:r>
      <w:r w:rsidRPr="00812187">
        <w:rPr>
          <w:rFonts w:hint="eastAsia"/>
        </w:rPr>
        <w:t>条</w:t>
      </w:r>
      <w:r>
        <w:rPr>
          <w:rFonts w:hint="eastAsia"/>
        </w:rPr>
        <w:t>。</w:t>
      </w:r>
    </w:p>
  </w:footnote>
  <w:footnote w:id="5">
    <w:p w:rsidR="00F93BBA" w:rsidRPr="00812187" w:rsidRDefault="00F93BBA" w:rsidP="00F41B4C">
      <w:pPr>
        <w:pStyle w:val="FootnoteText"/>
      </w:pPr>
      <w:r>
        <w:rPr>
          <w:rStyle w:val="FootnoteReference"/>
        </w:rPr>
        <w:footnoteRef/>
      </w:r>
      <w:r>
        <w:rPr>
          <w:rFonts w:hint="eastAsia"/>
        </w:rPr>
        <w:t xml:space="preserve">  </w:t>
      </w:r>
      <w:r w:rsidRPr="00812187">
        <w:rPr>
          <w:rFonts w:hint="eastAsia"/>
        </w:rPr>
        <w:t>见</w:t>
      </w:r>
      <w:r>
        <w:rPr>
          <w:rFonts w:hint="eastAsia"/>
        </w:rPr>
        <w:t>《</w:t>
      </w:r>
      <w:r w:rsidRPr="00812187">
        <w:rPr>
          <w:rFonts w:hint="eastAsia"/>
        </w:rPr>
        <w:t>宪法</w:t>
      </w:r>
      <w:r>
        <w:rPr>
          <w:rFonts w:hint="eastAsia"/>
        </w:rPr>
        <w:t>》</w:t>
      </w:r>
      <w:r w:rsidRPr="00812187">
        <w:rPr>
          <w:rFonts w:hint="eastAsia"/>
        </w:rPr>
        <w:t>第</w:t>
      </w:r>
      <w:r w:rsidRPr="00812187">
        <w:rPr>
          <w:rFonts w:hint="eastAsia"/>
        </w:rPr>
        <w:t>7</w:t>
      </w:r>
      <w:r w:rsidRPr="00812187">
        <w:rPr>
          <w:rFonts w:hint="eastAsia"/>
        </w:rPr>
        <w:t>、</w:t>
      </w:r>
      <w:r w:rsidRPr="00812187">
        <w:rPr>
          <w:rFonts w:hint="eastAsia"/>
        </w:rPr>
        <w:t>8</w:t>
      </w:r>
      <w:r w:rsidRPr="00812187">
        <w:rPr>
          <w:rFonts w:hint="eastAsia"/>
        </w:rPr>
        <w:t>、</w:t>
      </w:r>
      <w:r w:rsidRPr="00812187">
        <w:rPr>
          <w:rFonts w:hint="eastAsia"/>
        </w:rPr>
        <w:t>9</w:t>
      </w:r>
      <w:r w:rsidRPr="00812187">
        <w:rPr>
          <w:rFonts w:hint="eastAsia"/>
        </w:rPr>
        <w:t>条</w:t>
      </w:r>
      <w:r>
        <w:rPr>
          <w:rFonts w:hint="eastAsia"/>
        </w:rPr>
        <w:t>。</w:t>
      </w:r>
    </w:p>
  </w:footnote>
  <w:footnote w:id="6">
    <w:p w:rsidR="00F93BBA" w:rsidRPr="00812187" w:rsidRDefault="00F93BBA" w:rsidP="00F41B4C">
      <w:pPr>
        <w:pStyle w:val="FootnoteText"/>
      </w:pPr>
      <w:r>
        <w:rPr>
          <w:rStyle w:val="FootnoteReference"/>
        </w:rPr>
        <w:footnoteRef/>
      </w:r>
      <w:r>
        <w:rPr>
          <w:rFonts w:hint="eastAsia"/>
        </w:rPr>
        <w:t xml:space="preserve">  </w:t>
      </w:r>
      <w:r w:rsidRPr="00812187">
        <w:rPr>
          <w:rFonts w:hint="eastAsia"/>
        </w:rPr>
        <w:t>第</w:t>
      </w:r>
      <w:r>
        <w:rPr>
          <w:rFonts w:hint="eastAsia"/>
        </w:rPr>
        <w:t>12</w:t>
      </w:r>
      <w:r>
        <w:rPr>
          <w:rFonts w:hint="eastAsia"/>
        </w:rPr>
        <w:t>（一）</w:t>
      </w:r>
      <w:r w:rsidRPr="00812187">
        <w:rPr>
          <w:rFonts w:hint="eastAsia"/>
        </w:rPr>
        <w:t>条</w:t>
      </w:r>
      <w:r>
        <w:rPr>
          <w:rFonts w:hint="eastAsia"/>
        </w:rPr>
        <w:t>。</w:t>
      </w:r>
    </w:p>
  </w:footnote>
  <w:footnote w:id="7">
    <w:p w:rsidR="00F93BBA" w:rsidRPr="00812187" w:rsidRDefault="00F93BBA" w:rsidP="00F41B4C">
      <w:pPr>
        <w:pStyle w:val="FootnoteText"/>
      </w:pPr>
      <w:r>
        <w:rPr>
          <w:rStyle w:val="FootnoteReference"/>
        </w:rPr>
        <w:footnoteRef/>
      </w:r>
      <w:r>
        <w:rPr>
          <w:rFonts w:hint="eastAsia"/>
        </w:rPr>
        <w:t xml:space="preserve">  </w:t>
      </w:r>
      <w:r w:rsidRPr="00812187">
        <w:rPr>
          <w:rFonts w:hint="eastAsia"/>
        </w:rPr>
        <w:t>第</w:t>
      </w:r>
      <w:r>
        <w:rPr>
          <w:rFonts w:hint="eastAsia"/>
        </w:rPr>
        <w:t>12</w:t>
      </w:r>
      <w:r>
        <w:rPr>
          <w:rFonts w:hint="eastAsia"/>
        </w:rPr>
        <w:t>（三）</w:t>
      </w:r>
      <w:r w:rsidRPr="00812187">
        <w:rPr>
          <w:rFonts w:hint="eastAsia"/>
        </w:rPr>
        <w:t>条</w:t>
      </w:r>
      <w:r>
        <w:rPr>
          <w:rFonts w:hint="eastAsia"/>
        </w:rPr>
        <w:t>。</w:t>
      </w:r>
    </w:p>
  </w:footnote>
  <w:footnote w:id="8">
    <w:p w:rsidR="00F93BBA" w:rsidRPr="00E86FED" w:rsidRDefault="00F93BBA" w:rsidP="00F41B4C">
      <w:pPr>
        <w:pStyle w:val="FootnoteText"/>
      </w:pPr>
      <w:r>
        <w:rPr>
          <w:rStyle w:val="FootnoteReference"/>
        </w:rPr>
        <w:footnoteRef/>
      </w:r>
      <w:r>
        <w:rPr>
          <w:rFonts w:hint="eastAsia"/>
        </w:rPr>
        <w:t xml:space="preserve">  </w:t>
      </w:r>
      <w:r w:rsidRPr="00E86FED">
        <w:rPr>
          <w:rFonts w:hint="eastAsia"/>
        </w:rPr>
        <w:t>议会由作为国家首脑的总统和国民大会组成</w:t>
      </w:r>
      <w:r>
        <w:rPr>
          <w:rFonts w:hint="eastAsia"/>
        </w:rPr>
        <w:t>——</w:t>
      </w:r>
      <w:r w:rsidRPr="00E86FED">
        <w:rPr>
          <w:rFonts w:hint="eastAsia"/>
        </w:rPr>
        <w:t>第</w:t>
      </w:r>
      <w:r w:rsidRPr="00E86FED">
        <w:rPr>
          <w:rFonts w:hint="eastAsia"/>
        </w:rPr>
        <w:t>49</w:t>
      </w:r>
      <w:r w:rsidRPr="00E86FED">
        <w:rPr>
          <w:rFonts w:hint="eastAsia"/>
        </w:rPr>
        <w:t>（</w:t>
      </w:r>
      <w:r w:rsidRPr="00E86FED">
        <w:rPr>
          <w:rFonts w:hint="eastAsia"/>
        </w:rPr>
        <w:t>1</w:t>
      </w:r>
      <w:r w:rsidRPr="00E86FED">
        <w:rPr>
          <w:rFonts w:hint="eastAsia"/>
        </w:rPr>
        <w:t>）条</w:t>
      </w:r>
      <w:r>
        <w:rPr>
          <w:rFonts w:hint="eastAsia"/>
        </w:rPr>
        <w:t>。</w:t>
      </w:r>
    </w:p>
  </w:footnote>
  <w:footnote w:id="9">
    <w:p w:rsidR="00F93BBA" w:rsidRPr="006B3299" w:rsidRDefault="00F93BBA" w:rsidP="00F41B4C">
      <w:pPr>
        <w:pStyle w:val="FootnoteText"/>
      </w:pPr>
      <w:r>
        <w:rPr>
          <w:rStyle w:val="FootnoteReference"/>
        </w:rPr>
        <w:footnoteRef/>
      </w:r>
      <w:r>
        <w:rPr>
          <w:rFonts w:hint="eastAsia"/>
        </w:rPr>
        <w:t xml:space="preserve">  </w:t>
      </w:r>
      <w:r w:rsidRPr="006B3299">
        <w:rPr>
          <w:rFonts w:hint="eastAsia"/>
        </w:rPr>
        <w:t>通过一部修订《法院法》的法律</w:t>
      </w:r>
      <w:r>
        <w:rPr>
          <w:rFonts w:hint="eastAsia"/>
        </w:rPr>
        <w:t>，</w:t>
      </w:r>
      <w:r w:rsidRPr="006B3299">
        <w:rPr>
          <w:rFonts w:hint="eastAsia"/>
        </w:rPr>
        <w:t>允许特设一个高</w:t>
      </w:r>
      <w:r>
        <w:rPr>
          <w:rFonts w:hint="eastAsia"/>
        </w:rPr>
        <w:t>等</w:t>
      </w:r>
      <w:r w:rsidRPr="006B3299">
        <w:rPr>
          <w:rFonts w:hint="eastAsia"/>
        </w:rPr>
        <w:t>法院法</w:t>
      </w:r>
      <w:r>
        <w:rPr>
          <w:rFonts w:hint="eastAsia"/>
        </w:rPr>
        <w:t>庭</w:t>
      </w:r>
      <w:r w:rsidRPr="006B3299">
        <w:rPr>
          <w:rFonts w:hint="eastAsia"/>
        </w:rPr>
        <w:t>来处理宪法性质的争议</w:t>
      </w:r>
      <w:r>
        <w:rPr>
          <w:rFonts w:hint="eastAsia"/>
        </w:rPr>
        <w:t>。</w:t>
      </w:r>
    </w:p>
  </w:footnote>
  <w:footnote w:id="10">
    <w:p w:rsidR="00F93BBA" w:rsidRPr="00A56164" w:rsidRDefault="00F93BBA" w:rsidP="00F41B4C">
      <w:pPr>
        <w:pStyle w:val="FootnoteText"/>
      </w:pPr>
      <w:r>
        <w:rPr>
          <w:rStyle w:val="FootnoteReference"/>
        </w:rPr>
        <w:footnoteRef/>
      </w:r>
      <w:r>
        <w:rPr>
          <w:rFonts w:hint="eastAsia"/>
        </w:rPr>
        <w:t xml:space="preserve">  </w:t>
      </w:r>
      <w:r w:rsidRPr="00A56164">
        <w:rPr>
          <w:rFonts w:hint="eastAsia"/>
        </w:rPr>
        <w:t>第</w:t>
      </w:r>
      <w:r w:rsidRPr="00A56164">
        <w:rPr>
          <w:rFonts w:hint="eastAsia"/>
        </w:rPr>
        <w:t>41</w:t>
      </w:r>
      <w:r w:rsidRPr="00A56164">
        <w:rPr>
          <w:rFonts w:hint="eastAsia"/>
        </w:rPr>
        <w:t>（</w:t>
      </w:r>
      <w:r w:rsidRPr="00A56164">
        <w:rPr>
          <w:rFonts w:hint="eastAsia"/>
        </w:rPr>
        <w:t>1</w:t>
      </w:r>
      <w:r w:rsidRPr="00A56164">
        <w:rPr>
          <w:rFonts w:hint="eastAsia"/>
        </w:rPr>
        <w:t>）条</w:t>
      </w:r>
      <w:r>
        <w:rPr>
          <w:rFonts w:hint="eastAsia"/>
        </w:rPr>
        <w:t>。</w:t>
      </w:r>
    </w:p>
  </w:footnote>
  <w:footnote w:id="11">
    <w:p w:rsidR="00F93BBA" w:rsidRPr="00A56164" w:rsidRDefault="00F93BBA" w:rsidP="00F41B4C">
      <w:pPr>
        <w:pStyle w:val="FootnoteText"/>
      </w:pPr>
      <w:r>
        <w:rPr>
          <w:rStyle w:val="FootnoteReference"/>
        </w:rPr>
        <w:footnoteRef/>
      </w:r>
      <w:r>
        <w:rPr>
          <w:rFonts w:hint="eastAsia"/>
        </w:rPr>
        <w:t xml:space="preserve">  </w:t>
      </w:r>
      <w:r w:rsidRPr="00A56164">
        <w:rPr>
          <w:rFonts w:hint="eastAsia"/>
        </w:rPr>
        <w:t>第</w:t>
      </w:r>
      <w:r w:rsidRPr="00A56164">
        <w:rPr>
          <w:rFonts w:hint="eastAsia"/>
        </w:rPr>
        <w:t>20</w:t>
      </w:r>
      <w:r w:rsidRPr="00A56164">
        <w:rPr>
          <w:rFonts w:hint="eastAsia"/>
        </w:rPr>
        <w:t>（</w:t>
      </w:r>
      <w:r w:rsidRPr="00A56164">
        <w:rPr>
          <w:rFonts w:hint="eastAsia"/>
        </w:rPr>
        <w:t>1</w:t>
      </w:r>
      <w:r w:rsidRPr="00A56164">
        <w:rPr>
          <w:rFonts w:hint="eastAsia"/>
        </w:rPr>
        <w:t>）条</w:t>
      </w:r>
      <w:r>
        <w:rPr>
          <w:rFonts w:hint="eastAsia"/>
        </w:rPr>
        <w:t>。</w:t>
      </w:r>
    </w:p>
  </w:footnote>
  <w:footnote w:id="12">
    <w:p w:rsidR="00F93BBA" w:rsidRPr="00751BD7" w:rsidRDefault="00F93BBA" w:rsidP="00F41B4C">
      <w:pPr>
        <w:pStyle w:val="FootnoteText"/>
      </w:pPr>
      <w:r>
        <w:rPr>
          <w:rStyle w:val="FootnoteReference"/>
        </w:rPr>
        <w:footnoteRef/>
      </w:r>
      <w:r>
        <w:t xml:space="preserve"> </w:t>
      </w:r>
      <w:r>
        <w:rPr>
          <w:rFonts w:hint="eastAsia"/>
        </w:rPr>
        <w:t xml:space="preserve"> </w:t>
      </w:r>
      <w:r w:rsidRPr="00751BD7">
        <w:rPr>
          <w:rFonts w:hint="eastAsia"/>
        </w:rPr>
        <w:t>《儿童权利公约》、《公民</w:t>
      </w:r>
      <w:r>
        <w:rPr>
          <w:rFonts w:hint="eastAsia"/>
        </w:rPr>
        <w:t>及</w:t>
      </w:r>
      <w:r w:rsidRPr="00751BD7">
        <w:rPr>
          <w:rFonts w:hint="eastAsia"/>
        </w:rPr>
        <w:t>政治权利国际公约》、《非洲人权和人民权利宪章》和《关于婚姻的同意、结婚最低年龄和婚姻登记的公约》将儿童定义为</w:t>
      </w:r>
      <w:r>
        <w:rPr>
          <w:rFonts w:hint="eastAsia"/>
        </w:rPr>
        <w:t>未满</w:t>
      </w:r>
      <w:r w:rsidRPr="00751BD7">
        <w:rPr>
          <w:rFonts w:hint="eastAsia"/>
        </w:rPr>
        <w:t>18</w:t>
      </w:r>
      <w:r w:rsidRPr="00751BD7">
        <w:rPr>
          <w:rFonts w:hint="eastAsia"/>
        </w:rPr>
        <w:t>岁的任何人。</w:t>
      </w:r>
    </w:p>
  </w:footnote>
  <w:footnote w:id="13">
    <w:p w:rsidR="00F93BBA" w:rsidRPr="00664F61" w:rsidRDefault="00F93BBA" w:rsidP="00F41B4C">
      <w:pPr>
        <w:pStyle w:val="FootnoteText"/>
      </w:pPr>
      <w:r>
        <w:rPr>
          <w:rStyle w:val="FootnoteReference"/>
        </w:rPr>
        <w:footnoteRef/>
      </w:r>
      <w:r>
        <w:t xml:space="preserve"> </w:t>
      </w:r>
      <w:r>
        <w:rPr>
          <w:rFonts w:hint="eastAsia"/>
        </w:rPr>
        <w:t xml:space="preserve"> </w:t>
      </w:r>
      <w:r w:rsidRPr="00664F61">
        <w:rPr>
          <w:rFonts w:hint="eastAsia"/>
        </w:rPr>
        <w:t>2007</w:t>
      </w:r>
      <w:r w:rsidRPr="00664F61">
        <w:rPr>
          <w:rFonts w:hint="eastAsia"/>
        </w:rPr>
        <w:t>年，媒体报道了一个丈夫剁掉妻子双手的案例</w:t>
      </w:r>
      <w:r>
        <w:rPr>
          <w:rFonts w:hint="eastAsia"/>
        </w:rPr>
        <w:t>。</w:t>
      </w:r>
    </w:p>
  </w:footnote>
  <w:footnote w:id="14">
    <w:p w:rsidR="00F93BBA" w:rsidRPr="00664F61" w:rsidRDefault="00F93BBA" w:rsidP="00F41B4C">
      <w:pPr>
        <w:pStyle w:val="FootnoteText"/>
      </w:pPr>
      <w:r>
        <w:rPr>
          <w:rStyle w:val="FootnoteReference"/>
        </w:rPr>
        <w:footnoteRef/>
      </w:r>
      <w:r>
        <w:t xml:space="preserve"> </w:t>
      </w:r>
      <w:r>
        <w:rPr>
          <w:rFonts w:hint="eastAsia"/>
        </w:rPr>
        <w:t xml:space="preserve"> 2004</w:t>
      </w:r>
      <w:r>
        <w:rPr>
          <w:rFonts w:hint="eastAsia"/>
        </w:rPr>
        <w:t>年</w:t>
      </w:r>
      <w:r w:rsidRPr="00664F61">
        <w:rPr>
          <w:rFonts w:hint="eastAsia"/>
        </w:rPr>
        <w:t>人口</w:t>
      </w:r>
      <w:r>
        <w:rPr>
          <w:rFonts w:hint="eastAsia"/>
        </w:rPr>
        <w:t>与健康</w:t>
      </w:r>
      <w:r w:rsidRPr="00664F61">
        <w:rPr>
          <w:rFonts w:hint="eastAsia"/>
        </w:rPr>
        <w:t>调查</w:t>
      </w:r>
      <w:r>
        <w:rPr>
          <w:rFonts w:hint="eastAsia"/>
        </w:rPr>
        <w:t>。</w:t>
      </w:r>
    </w:p>
  </w:footnote>
  <w:footnote w:id="15">
    <w:p w:rsidR="00F93BBA" w:rsidRPr="00E37592" w:rsidRDefault="00F93BBA" w:rsidP="00F41B4C">
      <w:pPr>
        <w:pStyle w:val="FootnoteText"/>
      </w:pPr>
      <w:r>
        <w:rPr>
          <w:rStyle w:val="FootnoteReference"/>
        </w:rPr>
        <w:footnoteRef/>
      </w:r>
      <w:r>
        <w:t xml:space="preserve"> </w:t>
      </w:r>
      <w:r>
        <w:rPr>
          <w:rFonts w:hint="eastAsia"/>
        </w:rPr>
        <w:t xml:space="preserve"> </w:t>
      </w:r>
      <w:r w:rsidRPr="00E37592">
        <w:rPr>
          <w:rFonts w:hint="eastAsia"/>
        </w:rPr>
        <w:t>该法律禁止使用童工和强迫劳动。</w:t>
      </w:r>
    </w:p>
  </w:footnote>
  <w:footnote w:id="16">
    <w:p w:rsidR="00F93BBA" w:rsidRPr="00E37592" w:rsidRDefault="00F93BBA" w:rsidP="00F41B4C">
      <w:pPr>
        <w:pStyle w:val="FootnoteText"/>
      </w:pPr>
      <w:r>
        <w:rPr>
          <w:rStyle w:val="FootnoteReference"/>
        </w:rPr>
        <w:footnoteRef/>
      </w:r>
      <w:r>
        <w:t xml:space="preserve"> </w:t>
      </w:r>
      <w:r>
        <w:rPr>
          <w:rFonts w:hint="eastAsia"/>
        </w:rPr>
        <w:t xml:space="preserve"> </w:t>
      </w:r>
      <w:r w:rsidRPr="00E37592">
        <w:rPr>
          <w:rFonts w:hint="eastAsia"/>
        </w:rPr>
        <w:t>该法</w:t>
      </w:r>
      <w:r>
        <w:rPr>
          <w:rFonts w:hint="eastAsia"/>
        </w:rPr>
        <w:t>规将</w:t>
      </w:r>
      <w:r w:rsidRPr="00E37592">
        <w:rPr>
          <w:rFonts w:hint="eastAsia"/>
        </w:rPr>
        <w:t>性剥削、奴役、</w:t>
      </w:r>
      <w:r>
        <w:rPr>
          <w:rFonts w:hint="eastAsia"/>
        </w:rPr>
        <w:t>类似于</w:t>
      </w:r>
      <w:r w:rsidRPr="00E37592">
        <w:rPr>
          <w:rFonts w:hint="eastAsia"/>
        </w:rPr>
        <w:t>奴役</w:t>
      </w:r>
      <w:r>
        <w:rPr>
          <w:rFonts w:hint="eastAsia"/>
        </w:rPr>
        <w:t>的做法</w:t>
      </w:r>
      <w:r w:rsidRPr="00E37592">
        <w:rPr>
          <w:rFonts w:hint="eastAsia"/>
        </w:rPr>
        <w:t>等定</w:t>
      </w:r>
      <w:r>
        <w:rPr>
          <w:rFonts w:hint="eastAsia"/>
        </w:rPr>
        <w:t>为刑事犯</w:t>
      </w:r>
      <w:r w:rsidRPr="00E37592">
        <w:rPr>
          <w:rFonts w:hint="eastAsia"/>
        </w:rPr>
        <w:t>罪。</w:t>
      </w:r>
    </w:p>
  </w:footnote>
  <w:footnote w:id="17">
    <w:p w:rsidR="00F93BBA" w:rsidRPr="008B2E9B" w:rsidRDefault="00F93BBA" w:rsidP="00F41B4C">
      <w:pPr>
        <w:pStyle w:val="FootnoteText"/>
      </w:pPr>
      <w:r>
        <w:rPr>
          <w:rStyle w:val="FootnoteReference"/>
        </w:rPr>
        <w:footnoteRef/>
      </w:r>
      <w:r>
        <w:t xml:space="preserve"> </w:t>
      </w:r>
      <w:r>
        <w:rPr>
          <w:rFonts w:hint="eastAsia"/>
        </w:rPr>
        <w:t xml:space="preserve"> 2008</w:t>
      </w:r>
      <w:r>
        <w:rPr>
          <w:rFonts w:hint="eastAsia"/>
        </w:rPr>
        <w:t>年</w:t>
      </w:r>
      <w:r>
        <w:rPr>
          <w:rFonts w:hint="eastAsia"/>
        </w:rPr>
        <w:t>7</w:t>
      </w:r>
      <w:r>
        <w:rPr>
          <w:rFonts w:hint="eastAsia"/>
        </w:rPr>
        <w:t>月，</w:t>
      </w:r>
      <w:r>
        <w:rPr>
          <w:rFonts w:hint="eastAsia"/>
        </w:rPr>
        <w:t>1</w:t>
      </w:r>
      <w:r>
        <w:rPr>
          <w:rFonts w:hint="eastAsia"/>
        </w:rPr>
        <w:t>美元</w:t>
      </w:r>
      <w:r>
        <w:rPr>
          <w:rFonts w:hint="eastAsia"/>
        </w:rPr>
        <w:t>=141</w:t>
      </w:r>
      <w:r>
        <w:rPr>
          <w:rFonts w:hint="eastAsia"/>
          <w:color w:val="000000"/>
        </w:rPr>
        <w:t>马拉维</w:t>
      </w:r>
      <w:r w:rsidRPr="008B2E9B">
        <w:rPr>
          <w:rFonts w:hint="eastAsia"/>
        </w:rPr>
        <w:t>克瓦查</w:t>
      </w:r>
      <w:r>
        <w:rPr>
          <w:rFonts w:hint="eastAsia"/>
        </w:rPr>
        <w:t>。</w:t>
      </w:r>
    </w:p>
  </w:footnote>
  <w:footnote w:id="18">
    <w:p w:rsidR="00F93BBA" w:rsidRPr="008B2E9B" w:rsidRDefault="00F93BBA" w:rsidP="00F41B4C">
      <w:pPr>
        <w:pStyle w:val="FootnoteText"/>
      </w:pPr>
      <w:r>
        <w:rPr>
          <w:rStyle w:val="FootnoteReference"/>
        </w:rPr>
        <w:footnoteRef/>
      </w:r>
      <w:r>
        <w:t xml:space="preserve"> </w:t>
      </w:r>
      <w:r>
        <w:rPr>
          <w:rFonts w:hint="eastAsia"/>
        </w:rPr>
        <w:t xml:space="preserve"> </w:t>
      </w:r>
      <w:r w:rsidRPr="008B2E9B">
        <w:rPr>
          <w:rFonts w:hint="eastAsia"/>
        </w:rPr>
        <w:t>在许多国家，社会捐赠主要分配给妇女。</w:t>
      </w:r>
    </w:p>
  </w:footnote>
  <w:footnote w:id="19">
    <w:p w:rsidR="00F93BBA" w:rsidRPr="00CD6149" w:rsidRDefault="00F93BBA" w:rsidP="00F41B4C">
      <w:pPr>
        <w:pStyle w:val="FootnoteText"/>
      </w:pPr>
      <w:r>
        <w:rPr>
          <w:rStyle w:val="FootnoteReference"/>
        </w:rPr>
        <w:footnoteRef/>
      </w:r>
      <w:r>
        <w:t xml:space="preserve"> </w:t>
      </w:r>
      <w:r>
        <w:rPr>
          <w:rFonts w:hint="eastAsia"/>
        </w:rPr>
        <w:t xml:space="preserve"> </w:t>
      </w:r>
      <w:r w:rsidRPr="00CD6149">
        <w:rPr>
          <w:rFonts w:hint="eastAsia"/>
        </w:rPr>
        <w:t>马拉维法律委员会（</w:t>
      </w:r>
      <w:r w:rsidRPr="00CD6149">
        <w:rPr>
          <w:rFonts w:hint="eastAsia"/>
        </w:rPr>
        <w:t>2000</w:t>
      </w:r>
      <w:r w:rsidRPr="00CD6149">
        <w:rPr>
          <w:rFonts w:hint="eastAsia"/>
        </w:rPr>
        <w:t>年），</w:t>
      </w:r>
      <w:r>
        <w:rPr>
          <w:rFonts w:hint="eastAsia"/>
        </w:rPr>
        <w:t>《</w:t>
      </w:r>
      <w:r w:rsidRPr="00CD6149">
        <w:rPr>
          <w:rFonts w:hint="eastAsia"/>
        </w:rPr>
        <w:t>刑法审查报告</w:t>
      </w:r>
      <w:r>
        <w:rPr>
          <w:rFonts w:hint="eastAsia"/>
        </w:rPr>
        <w:t>》</w:t>
      </w:r>
      <w:r w:rsidRPr="00CD6149">
        <w:rPr>
          <w:rFonts w:hint="eastAsia"/>
        </w:rPr>
        <w:t>，政府</w:t>
      </w:r>
      <w:r>
        <w:rPr>
          <w:rFonts w:hint="eastAsia"/>
        </w:rPr>
        <w:t>公报</w:t>
      </w:r>
      <w:r w:rsidRPr="00CD6149">
        <w:rPr>
          <w:rFonts w:hint="eastAsia"/>
        </w:rPr>
        <w:t>，松巴</w:t>
      </w:r>
      <w:r>
        <w:rPr>
          <w:rFonts w:hint="eastAsia"/>
        </w:rPr>
        <w:t>。</w:t>
      </w:r>
    </w:p>
  </w:footnote>
  <w:footnote w:id="20">
    <w:p w:rsidR="00F93BBA" w:rsidRPr="00CF64CB" w:rsidRDefault="00F93BBA" w:rsidP="00F41B4C">
      <w:pPr>
        <w:pStyle w:val="FootnoteText"/>
      </w:pPr>
      <w:r>
        <w:rPr>
          <w:rStyle w:val="FootnoteReference"/>
        </w:rPr>
        <w:footnoteRef/>
      </w:r>
      <w:r>
        <w:rPr>
          <w:rFonts w:hint="eastAsia"/>
        </w:rPr>
        <w:t xml:space="preserve">  </w:t>
      </w:r>
      <w:r w:rsidRPr="00CF64CB">
        <w:rPr>
          <w:rFonts w:hint="eastAsia"/>
        </w:rPr>
        <w:t>《</w:t>
      </w:r>
      <w:r>
        <w:rPr>
          <w:rFonts w:hint="eastAsia"/>
          <w:color w:val="000000"/>
        </w:rPr>
        <w:t>与两性平等相关的法律改革方案</w:t>
      </w:r>
      <w:r w:rsidRPr="00CF64CB">
        <w:rPr>
          <w:rFonts w:hint="eastAsia"/>
        </w:rPr>
        <w:t>》</w:t>
      </w:r>
      <w:r>
        <w:rPr>
          <w:rFonts w:hint="eastAsia"/>
        </w:rPr>
        <w:t>在</w:t>
      </w:r>
      <w:r w:rsidRPr="00F93F78">
        <w:rPr>
          <w:rFonts w:hint="eastAsia"/>
          <w:color w:val="000000"/>
        </w:rPr>
        <w:t>结婚和离婚法律的审查</w:t>
      </w:r>
      <w:r>
        <w:rPr>
          <w:rFonts w:hint="eastAsia"/>
          <w:color w:val="000000"/>
        </w:rPr>
        <w:t>方案、</w:t>
      </w:r>
      <w:r>
        <w:rPr>
          <w:rFonts w:hint="eastAsia"/>
        </w:rPr>
        <w:t>两性</w:t>
      </w:r>
      <w:r w:rsidRPr="00CF64CB">
        <w:rPr>
          <w:rFonts w:hint="eastAsia"/>
        </w:rPr>
        <w:t>平等法</w:t>
      </w:r>
      <w:r>
        <w:rPr>
          <w:rFonts w:hint="eastAsia"/>
        </w:rPr>
        <w:t>规</w:t>
      </w:r>
      <w:r w:rsidRPr="00CF64CB">
        <w:rPr>
          <w:rFonts w:hint="eastAsia"/>
        </w:rPr>
        <w:t>方案</w:t>
      </w:r>
      <w:r>
        <w:rPr>
          <w:rFonts w:hint="eastAsia"/>
        </w:rPr>
        <w:t>等</w:t>
      </w:r>
      <w:r w:rsidRPr="00CF64CB">
        <w:rPr>
          <w:rFonts w:hint="eastAsia"/>
        </w:rPr>
        <w:t>各</w:t>
      </w:r>
      <w:r>
        <w:rPr>
          <w:rFonts w:hint="eastAsia"/>
        </w:rPr>
        <w:t>个</w:t>
      </w:r>
      <w:r w:rsidRPr="00CF64CB">
        <w:rPr>
          <w:rFonts w:hint="eastAsia"/>
        </w:rPr>
        <w:t>阶段</w:t>
      </w:r>
      <w:r>
        <w:rPr>
          <w:rFonts w:hint="eastAsia"/>
        </w:rPr>
        <w:t>，均涉及</w:t>
      </w:r>
      <w:r w:rsidRPr="00CF64CB">
        <w:rPr>
          <w:rFonts w:hint="eastAsia"/>
        </w:rPr>
        <w:t>文化习俗问题。</w:t>
      </w:r>
      <w:r>
        <w:rPr>
          <w:rFonts w:hint="eastAsia"/>
        </w:rPr>
        <w:t>两性平等法规</w:t>
      </w:r>
      <w:r w:rsidRPr="00CF64CB">
        <w:rPr>
          <w:rFonts w:hint="eastAsia"/>
        </w:rPr>
        <w:t>方案将于</w:t>
      </w:r>
      <w:r w:rsidRPr="00CF64CB">
        <w:rPr>
          <w:rFonts w:hint="eastAsia"/>
        </w:rPr>
        <w:t>2008</w:t>
      </w:r>
      <w:r w:rsidRPr="00CF64CB">
        <w:rPr>
          <w:rFonts w:hint="eastAsia"/>
        </w:rPr>
        <w:t>年第三季度完成。艾滋病毒和艾滋病立法方案</w:t>
      </w:r>
      <w:r>
        <w:rPr>
          <w:rFonts w:hint="eastAsia"/>
        </w:rPr>
        <w:t>已</w:t>
      </w:r>
      <w:r w:rsidRPr="00CF64CB">
        <w:rPr>
          <w:rFonts w:hint="eastAsia"/>
        </w:rPr>
        <w:t>于</w:t>
      </w:r>
      <w:r w:rsidRPr="00CF64CB">
        <w:rPr>
          <w:rFonts w:hint="eastAsia"/>
        </w:rPr>
        <w:t>2008</w:t>
      </w:r>
      <w:r w:rsidRPr="00CF64CB">
        <w:rPr>
          <w:rFonts w:hint="eastAsia"/>
        </w:rPr>
        <w:t>年</w:t>
      </w:r>
      <w:r w:rsidRPr="00CF64CB">
        <w:rPr>
          <w:rFonts w:hint="eastAsia"/>
        </w:rPr>
        <w:t>5</w:t>
      </w:r>
      <w:r w:rsidRPr="00CF64CB">
        <w:rPr>
          <w:rFonts w:hint="eastAsia"/>
        </w:rPr>
        <w:t>月完成。</w:t>
      </w:r>
    </w:p>
  </w:footnote>
  <w:footnote w:id="21">
    <w:p w:rsidR="00F93BBA" w:rsidRPr="00CF64CB" w:rsidRDefault="00F93BBA" w:rsidP="00F41B4C">
      <w:pPr>
        <w:pStyle w:val="FootnoteText"/>
      </w:pPr>
      <w:r>
        <w:rPr>
          <w:rStyle w:val="FootnoteReference"/>
        </w:rPr>
        <w:footnoteRef/>
      </w:r>
      <w:r>
        <w:rPr>
          <w:rFonts w:hint="eastAsia"/>
        </w:rPr>
        <w:t xml:space="preserve">  </w:t>
      </w:r>
      <w:r w:rsidRPr="00CF64CB">
        <w:rPr>
          <w:rFonts w:hint="eastAsia"/>
        </w:rPr>
        <w:t>马拉维人权委员会（</w:t>
      </w:r>
      <w:r w:rsidRPr="00CF64CB">
        <w:rPr>
          <w:rFonts w:hint="eastAsia"/>
        </w:rPr>
        <w:t>2006</w:t>
      </w:r>
      <w:r w:rsidRPr="00CF64CB">
        <w:rPr>
          <w:rFonts w:hint="eastAsia"/>
        </w:rPr>
        <w:t>年），文化习俗</w:t>
      </w:r>
      <w:r>
        <w:rPr>
          <w:rFonts w:hint="eastAsia"/>
        </w:rPr>
        <w:t>与</w:t>
      </w:r>
      <w:r w:rsidRPr="00CF64CB">
        <w:rPr>
          <w:rFonts w:hint="eastAsia"/>
        </w:rPr>
        <w:t>人权，</w:t>
      </w:r>
      <w:r w:rsidRPr="00CF64CB">
        <w:rPr>
          <w:rFonts w:hint="eastAsia"/>
        </w:rPr>
        <w:t xml:space="preserve"> </w:t>
      </w:r>
      <w:r>
        <w:rPr>
          <w:rFonts w:hint="eastAsia"/>
        </w:rPr>
        <w:t>人权委员会。</w:t>
      </w:r>
    </w:p>
  </w:footnote>
  <w:footnote w:id="22">
    <w:p w:rsidR="00F93BBA" w:rsidRPr="00CF64CB" w:rsidRDefault="00F93BBA" w:rsidP="00F41B4C">
      <w:pPr>
        <w:pStyle w:val="FootnoteText"/>
      </w:pPr>
      <w:r>
        <w:rPr>
          <w:rStyle w:val="FootnoteReference"/>
        </w:rPr>
        <w:footnoteRef/>
      </w:r>
      <w:r>
        <w:rPr>
          <w:rFonts w:hint="eastAsia"/>
        </w:rPr>
        <w:t xml:space="preserve">  </w:t>
      </w:r>
      <w:r w:rsidRPr="00CF64CB">
        <w:rPr>
          <w:rFonts w:hint="eastAsia"/>
        </w:rPr>
        <w:t>马拉维福音派协会也进行了类似的研究，并认定了一些被认为对妇女和儿童有害的习俗。</w:t>
      </w:r>
    </w:p>
  </w:footnote>
  <w:footnote w:id="23">
    <w:p w:rsidR="00F93BBA" w:rsidRPr="009E3990" w:rsidRDefault="00F93BBA" w:rsidP="00F41B4C">
      <w:pPr>
        <w:pStyle w:val="FootnoteText"/>
      </w:pPr>
      <w:r>
        <w:rPr>
          <w:rStyle w:val="FootnoteReference"/>
        </w:rPr>
        <w:footnoteRef/>
      </w:r>
      <w:r>
        <w:rPr>
          <w:rFonts w:hint="eastAsia"/>
        </w:rPr>
        <w:t xml:space="preserve">  </w:t>
      </w:r>
      <w:r w:rsidRPr="009E3990">
        <w:rPr>
          <w:rFonts w:hint="eastAsia"/>
        </w:rPr>
        <w:t>这份报告于</w:t>
      </w:r>
      <w:r w:rsidRPr="009E3990">
        <w:rPr>
          <w:rFonts w:hint="eastAsia"/>
        </w:rPr>
        <w:t>2008</w:t>
      </w:r>
      <w:r w:rsidRPr="009E3990">
        <w:rPr>
          <w:rFonts w:hint="eastAsia"/>
        </w:rPr>
        <w:t>年</w:t>
      </w:r>
      <w:r w:rsidRPr="009E3990">
        <w:rPr>
          <w:rFonts w:hint="eastAsia"/>
        </w:rPr>
        <w:t>6</w:t>
      </w:r>
      <w:r w:rsidRPr="009E3990">
        <w:rPr>
          <w:rFonts w:hint="eastAsia"/>
        </w:rPr>
        <w:t>月</w:t>
      </w:r>
      <w:r>
        <w:rPr>
          <w:rFonts w:hint="eastAsia"/>
        </w:rPr>
        <w:t>发表</w:t>
      </w:r>
      <w:r w:rsidRPr="009E3990">
        <w:rPr>
          <w:rFonts w:hint="eastAsia"/>
        </w:rPr>
        <w:t>。它是美国国务院</w:t>
      </w:r>
      <w:r w:rsidRPr="009E3990">
        <w:rPr>
          <w:rFonts w:hint="eastAsia"/>
        </w:rPr>
        <w:t>2008</w:t>
      </w:r>
      <w:r w:rsidRPr="009E3990">
        <w:rPr>
          <w:rFonts w:hint="eastAsia"/>
        </w:rPr>
        <w:t>年</w:t>
      </w:r>
      <w:r w:rsidRPr="009E3990">
        <w:rPr>
          <w:rFonts w:hint="eastAsia"/>
        </w:rPr>
        <w:t>6</w:t>
      </w:r>
      <w:r w:rsidRPr="009E3990">
        <w:rPr>
          <w:rFonts w:hint="eastAsia"/>
        </w:rPr>
        <w:t>月</w:t>
      </w:r>
      <w:r>
        <w:rPr>
          <w:rFonts w:hint="eastAsia"/>
        </w:rPr>
        <w:t>的</w:t>
      </w:r>
      <w:r w:rsidRPr="009E3990">
        <w:rPr>
          <w:rFonts w:hint="eastAsia"/>
        </w:rPr>
        <w:t>报告。</w:t>
      </w:r>
    </w:p>
  </w:footnote>
  <w:footnote w:id="24">
    <w:p w:rsidR="00F93BBA" w:rsidRPr="009E3990" w:rsidRDefault="00F93BBA" w:rsidP="00F41B4C">
      <w:pPr>
        <w:pStyle w:val="FootnoteText"/>
      </w:pPr>
      <w:r>
        <w:rPr>
          <w:rStyle w:val="FootnoteReference"/>
        </w:rPr>
        <w:footnoteRef/>
      </w:r>
      <w:r>
        <w:rPr>
          <w:rFonts w:hint="eastAsia"/>
        </w:rPr>
        <w:t xml:space="preserve">  </w:t>
      </w:r>
      <w:r w:rsidRPr="009E3990">
        <w:rPr>
          <w:rFonts w:hint="eastAsia"/>
        </w:rPr>
        <w:t>马拉维法律委员会（</w:t>
      </w:r>
      <w:r w:rsidRPr="009E3990">
        <w:rPr>
          <w:rFonts w:hint="eastAsia"/>
        </w:rPr>
        <w:t>2005</w:t>
      </w:r>
      <w:r w:rsidRPr="009E3990">
        <w:rPr>
          <w:rFonts w:hint="eastAsia"/>
        </w:rPr>
        <w:t>年），</w:t>
      </w:r>
      <w:r>
        <w:rPr>
          <w:rFonts w:hint="eastAsia"/>
        </w:rPr>
        <w:t>《</w:t>
      </w:r>
      <w:r w:rsidRPr="009E3990">
        <w:rPr>
          <w:rFonts w:hint="eastAsia"/>
        </w:rPr>
        <w:t>马拉维的</w:t>
      </w:r>
      <w:r>
        <w:rPr>
          <w:rFonts w:hint="eastAsia"/>
        </w:rPr>
        <w:t>贩卖</w:t>
      </w:r>
      <w:r w:rsidRPr="009E3990">
        <w:rPr>
          <w:rFonts w:hint="eastAsia"/>
        </w:rPr>
        <w:t>人口</w:t>
      </w:r>
      <w:r>
        <w:rPr>
          <w:rFonts w:hint="eastAsia"/>
        </w:rPr>
        <w:t>问题——</w:t>
      </w:r>
      <w:r w:rsidRPr="009E3990">
        <w:rPr>
          <w:rFonts w:hint="eastAsia"/>
        </w:rPr>
        <w:t>研究论文</w:t>
      </w:r>
      <w:r>
        <w:rPr>
          <w:rFonts w:hint="eastAsia"/>
        </w:rPr>
        <w:t>》</w:t>
      </w:r>
      <w:r w:rsidRPr="009E3990">
        <w:rPr>
          <w:rFonts w:hint="eastAsia"/>
        </w:rPr>
        <w:t>，政府</w:t>
      </w:r>
      <w:r>
        <w:rPr>
          <w:rFonts w:hint="eastAsia"/>
        </w:rPr>
        <w:t>印制局</w:t>
      </w:r>
      <w:r w:rsidRPr="009E3990">
        <w:rPr>
          <w:rFonts w:hint="eastAsia"/>
        </w:rPr>
        <w:t>，松巴</w:t>
      </w:r>
      <w:r>
        <w:rPr>
          <w:rFonts w:hint="eastAsia"/>
        </w:rPr>
        <w:t>。</w:t>
      </w:r>
    </w:p>
  </w:footnote>
  <w:footnote w:id="25">
    <w:p w:rsidR="00F93BBA"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26">
    <w:p w:rsidR="00F93BBA"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27">
    <w:p w:rsidR="00F93BBA"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28">
    <w:p w:rsidR="00F93BBA" w:rsidRPr="009E3990"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29">
    <w:p w:rsidR="00F93BBA" w:rsidRPr="00BD2780" w:rsidRDefault="00F93BBA" w:rsidP="00F41B4C">
      <w:pPr>
        <w:pStyle w:val="FootnoteText"/>
      </w:pPr>
      <w:r>
        <w:rPr>
          <w:rStyle w:val="FootnoteReference"/>
        </w:rPr>
        <w:footnoteRef/>
      </w:r>
      <w:r>
        <w:rPr>
          <w:rFonts w:hint="eastAsia"/>
        </w:rPr>
        <w:t xml:space="preserve">  </w:t>
      </w:r>
      <w:r w:rsidRPr="00BD2780">
        <w:rPr>
          <w:rFonts w:hint="eastAsia"/>
        </w:rPr>
        <w:t>国际移民组织，</w:t>
      </w:r>
      <w:r>
        <w:rPr>
          <w:rFonts w:hint="eastAsia"/>
        </w:rPr>
        <w:t>《拐卖</w:t>
      </w:r>
      <w:r w:rsidRPr="00BD2780">
        <w:rPr>
          <w:rFonts w:hint="eastAsia"/>
        </w:rPr>
        <w:t>和奴役：</w:t>
      </w:r>
      <w:r>
        <w:rPr>
          <w:rFonts w:hint="eastAsia"/>
        </w:rPr>
        <w:t>在南部非洲贩运妇女儿童以图</w:t>
      </w:r>
      <w:r w:rsidRPr="00BD2780">
        <w:rPr>
          <w:rFonts w:hint="eastAsia"/>
        </w:rPr>
        <w:t>出售和剥削</w:t>
      </w:r>
      <w:r>
        <w:rPr>
          <w:rFonts w:hint="eastAsia"/>
        </w:rPr>
        <w:t>》，</w:t>
      </w:r>
      <w:r w:rsidRPr="00BD2780">
        <w:rPr>
          <w:rFonts w:hint="eastAsia"/>
        </w:rPr>
        <w:t>比勒陀利亚，</w:t>
      </w:r>
      <w:r w:rsidRPr="00BD2780">
        <w:rPr>
          <w:rFonts w:hint="eastAsia"/>
        </w:rPr>
        <w:t>2003</w:t>
      </w:r>
      <w:r w:rsidRPr="00BD2780">
        <w:rPr>
          <w:rFonts w:hint="eastAsia"/>
        </w:rPr>
        <w:t>年</w:t>
      </w:r>
      <w:r w:rsidRPr="00BD2780">
        <w:rPr>
          <w:rFonts w:hint="eastAsia"/>
        </w:rPr>
        <w:t>5</w:t>
      </w:r>
      <w:r w:rsidRPr="00BD2780">
        <w:rPr>
          <w:rFonts w:hint="eastAsia"/>
        </w:rPr>
        <w:t>月</w:t>
      </w:r>
      <w:r>
        <w:rPr>
          <w:rFonts w:hint="eastAsia"/>
        </w:rPr>
        <w:t>。</w:t>
      </w:r>
    </w:p>
  </w:footnote>
  <w:footnote w:id="30">
    <w:p w:rsidR="00F93BBA" w:rsidRPr="00A322B3" w:rsidRDefault="00F93BBA" w:rsidP="00F41B4C">
      <w:pPr>
        <w:pStyle w:val="FootnoteText"/>
      </w:pPr>
      <w:r>
        <w:rPr>
          <w:rStyle w:val="FootnoteReference"/>
        </w:rPr>
        <w:footnoteRef/>
      </w:r>
      <w:r>
        <w:rPr>
          <w:rFonts w:hint="eastAsia"/>
        </w:rPr>
        <w:t xml:space="preserve">  </w:t>
      </w:r>
      <w:r w:rsidRPr="00A322B3">
        <w:rPr>
          <w:rFonts w:hint="eastAsia"/>
        </w:rPr>
        <w:t>马拉维人权委员会（</w:t>
      </w:r>
      <w:r w:rsidRPr="00A322B3">
        <w:rPr>
          <w:rFonts w:hint="eastAsia"/>
        </w:rPr>
        <w:t>2006</w:t>
      </w:r>
      <w:r w:rsidRPr="00A322B3">
        <w:rPr>
          <w:rFonts w:hint="eastAsia"/>
        </w:rPr>
        <w:t>年），</w:t>
      </w:r>
      <w:r>
        <w:rPr>
          <w:rFonts w:hint="eastAsia"/>
        </w:rPr>
        <w:t>《</w:t>
      </w:r>
      <w:r w:rsidRPr="00A322B3">
        <w:rPr>
          <w:rFonts w:hint="eastAsia"/>
        </w:rPr>
        <w:t>文化习俗</w:t>
      </w:r>
      <w:r>
        <w:rPr>
          <w:rFonts w:hint="eastAsia"/>
        </w:rPr>
        <w:t>与</w:t>
      </w:r>
      <w:r w:rsidRPr="00A322B3">
        <w:rPr>
          <w:rFonts w:hint="eastAsia"/>
        </w:rPr>
        <w:t>人权</w:t>
      </w:r>
      <w:r>
        <w:rPr>
          <w:rFonts w:hint="eastAsia"/>
        </w:rPr>
        <w:t>》</w:t>
      </w:r>
      <w:r w:rsidRPr="00A322B3">
        <w:rPr>
          <w:rFonts w:hint="eastAsia"/>
        </w:rPr>
        <w:t>，</w:t>
      </w:r>
      <w:r>
        <w:rPr>
          <w:rFonts w:hint="eastAsia"/>
        </w:rPr>
        <w:t>人权委员会。</w:t>
      </w:r>
    </w:p>
  </w:footnote>
  <w:footnote w:id="31">
    <w:p w:rsidR="00F93BBA" w:rsidRPr="00A30060" w:rsidRDefault="00F93BBA" w:rsidP="00F41B4C">
      <w:pPr>
        <w:pStyle w:val="FootnoteText"/>
        <w:rPr>
          <w:rFonts w:hint="eastAsia"/>
        </w:rPr>
      </w:pPr>
      <w:r>
        <w:rPr>
          <w:rStyle w:val="FootnoteReference"/>
        </w:rPr>
        <w:footnoteRef/>
      </w:r>
      <w:r>
        <w:rPr>
          <w:rFonts w:hint="eastAsia"/>
        </w:rPr>
        <w:t xml:space="preserve">  </w:t>
      </w:r>
      <w:r>
        <w:rPr>
          <w:rFonts w:hint="eastAsia"/>
        </w:rPr>
        <w:t>“共和国诉</w:t>
      </w:r>
      <w:r>
        <w:rPr>
          <w:rFonts w:hint="eastAsia"/>
        </w:rPr>
        <w:t>Richard Hayles</w:t>
      </w:r>
      <w:r>
        <w:rPr>
          <w:rFonts w:hint="eastAsia"/>
        </w:rPr>
        <w:t>案”，</w:t>
      </w:r>
      <w:r w:rsidDel="00C26564">
        <w:rPr>
          <w:rFonts w:hint="eastAsia"/>
        </w:rPr>
        <w:t xml:space="preserve"> </w:t>
      </w:r>
      <w:r>
        <w:rPr>
          <w:rFonts w:hint="eastAsia"/>
        </w:rPr>
        <w:t>2001</w:t>
      </w:r>
      <w:r>
        <w:rPr>
          <w:rFonts w:hint="eastAsia"/>
        </w:rPr>
        <w:t>年第</w:t>
      </w:r>
      <w:r>
        <w:rPr>
          <w:rFonts w:hint="eastAsia"/>
        </w:rPr>
        <w:t>655</w:t>
      </w:r>
      <w:r>
        <w:rPr>
          <w:rFonts w:hint="eastAsia"/>
        </w:rPr>
        <w:t>号刑事案件；“</w:t>
      </w:r>
      <w:r>
        <w:rPr>
          <w:rFonts w:hint="eastAsia"/>
        </w:rPr>
        <w:t>Richard Hayles</w:t>
      </w:r>
      <w:r>
        <w:rPr>
          <w:rFonts w:hint="eastAsia"/>
        </w:rPr>
        <w:t>诉共和国案”，</w:t>
      </w:r>
      <w:r>
        <w:rPr>
          <w:rFonts w:hint="eastAsia"/>
        </w:rPr>
        <w:t>MSCA</w:t>
      </w:r>
      <w:r w:rsidDel="00C26564">
        <w:rPr>
          <w:rFonts w:hint="eastAsia"/>
        </w:rPr>
        <w:t xml:space="preserve"> </w:t>
      </w:r>
      <w:r>
        <w:rPr>
          <w:rFonts w:hint="eastAsia"/>
        </w:rPr>
        <w:t>2002</w:t>
      </w:r>
      <w:r>
        <w:rPr>
          <w:rFonts w:hint="eastAsia"/>
        </w:rPr>
        <w:t>年第</w:t>
      </w:r>
      <w:r>
        <w:rPr>
          <w:rFonts w:hint="eastAsia"/>
        </w:rPr>
        <w:t>8</w:t>
      </w:r>
      <w:r>
        <w:rPr>
          <w:rFonts w:hint="eastAsia"/>
        </w:rPr>
        <w:t>号刑事上诉。在这一事件中，被告是一名中学教师，参加了马拉维的一个慈善组织。原告以前是流浪儿，被告帮助他们上学读书并满足他们的其他需求。</w:t>
      </w:r>
    </w:p>
  </w:footnote>
  <w:footnote w:id="32">
    <w:p w:rsidR="00F93BBA" w:rsidRPr="00224B19" w:rsidRDefault="00F93BBA" w:rsidP="00F41B4C">
      <w:pPr>
        <w:pStyle w:val="FootnoteText"/>
      </w:pPr>
      <w:r>
        <w:rPr>
          <w:rStyle w:val="FootnoteReference"/>
        </w:rPr>
        <w:footnoteRef/>
      </w:r>
      <w:r>
        <w:t xml:space="preserve"> </w:t>
      </w:r>
      <w:r>
        <w:rPr>
          <w:rFonts w:hint="eastAsia"/>
        </w:rPr>
        <w:t xml:space="preserve"> </w:t>
      </w:r>
      <w:r>
        <w:rPr>
          <w:rFonts w:hint="eastAsia"/>
        </w:rPr>
        <w:t>“共和国</w:t>
      </w:r>
      <w:r w:rsidRPr="00224B19">
        <w:rPr>
          <w:rFonts w:hint="eastAsia"/>
        </w:rPr>
        <w:t>诉</w:t>
      </w:r>
      <w:r w:rsidRPr="00224B19">
        <w:rPr>
          <w:rFonts w:hint="eastAsia"/>
        </w:rPr>
        <w:t>Ruth Lourenco</w:t>
      </w:r>
      <w:r w:rsidRPr="00224B19">
        <w:rPr>
          <w:rFonts w:hint="eastAsia"/>
        </w:rPr>
        <w:t>案</w:t>
      </w:r>
      <w:r>
        <w:rPr>
          <w:rFonts w:hint="eastAsia"/>
        </w:rPr>
        <w:t>”</w:t>
      </w:r>
      <w:r w:rsidRPr="00224B19">
        <w:rPr>
          <w:rFonts w:hint="eastAsia"/>
        </w:rPr>
        <w:t>，</w:t>
      </w:r>
      <w:r w:rsidRPr="00224B19" w:rsidDel="006C5E13">
        <w:rPr>
          <w:rFonts w:hint="eastAsia"/>
        </w:rPr>
        <w:t xml:space="preserve"> </w:t>
      </w:r>
      <w:r w:rsidRPr="00224B19">
        <w:rPr>
          <w:rFonts w:hint="eastAsia"/>
        </w:rPr>
        <w:t>1999</w:t>
      </w:r>
      <w:r w:rsidRPr="00224B19">
        <w:rPr>
          <w:rFonts w:hint="eastAsia"/>
        </w:rPr>
        <w:t>年第</w:t>
      </w:r>
      <w:r w:rsidRPr="00224B19">
        <w:rPr>
          <w:rFonts w:hint="eastAsia"/>
        </w:rPr>
        <w:t>150</w:t>
      </w:r>
      <w:r w:rsidRPr="00224B19">
        <w:rPr>
          <w:rFonts w:hint="eastAsia"/>
        </w:rPr>
        <w:t>号刑事案件。利隆圭高级驻地裁判官法院（未报告）。在本案中，一名马拉维女商人被指控贩</w:t>
      </w:r>
      <w:r>
        <w:rPr>
          <w:rFonts w:hint="eastAsia"/>
        </w:rPr>
        <w:t>卖</w:t>
      </w:r>
      <w:r w:rsidRPr="00224B19">
        <w:rPr>
          <w:rFonts w:hint="eastAsia"/>
        </w:rPr>
        <w:t>三名马拉维女孩，这些女孩在荷兰一家性俱乐部被警方在突袭中逮捕，后被驱逐出境。该女商人被指控介绍卖淫</w:t>
      </w:r>
      <w:r>
        <w:rPr>
          <w:rFonts w:hint="eastAsia"/>
        </w:rPr>
        <w:t>，</w:t>
      </w:r>
      <w:r w:rsidRPr="00224B19">
        <w:rPr>
          <w:rFonts w:hint="eastAsia"/>
        </w:rPr>
        <w:t>违反</w:t>
      </w:r>
      <w:r>
        <w:rPr>
          <w:rFonts w:hint="eastAsia"/>
        </w:rPr>
        <w:t>了《</w:t>
      </w:r>
      <w:r w:rsidRPr="00224B19">
        <w:rPr>
          <w:rFonts w:hint="eastAsia"/>
        </w:rPr>
        <w:t>刑法</w:t>
      </w:r>
      <w:r>
        <w:rPr>
          <w:rFonts w:hint="eastAsia"/>
        </w:rPr>
        <w:t>》</w:t>
      </w:r>
      <w:r w:rsidRPr="00224B19">
        <w:rPr>
          <w:rFonts w:hint="eastAsia"/>
        </w:rPr>
        <w:t>第</w:t>
      </w:r>
      <w:r w:rsidRPr="00224B19">
        <w:rPr>
          <w:rFonts w:hint="eastAsia"/>
        </w:rPr>
        <w:t>140</w:t>
      </w:r>
      <w:r w:rsidRPr="00224B19">
        <w:rPr>
          <w:rFonts w:hint="eastAsia"/>
        </w:rPr>
        <w:t>（</w:t>
      </w:r>
      <w:r w:rsidRPr="00224B19">
        <w:rPr>
          <w:rFonts w:hint="eastAsia"/>
        </w:rPr>
        <w:t>d</w:t>
      </w:r>
      <w:r w:rsidRPr="00224B19">
        <w:rPr>
          <w:rFonts w:hint="eastAsia"/>
        </w:rPr>
        <w:t>）条。</w:t>
      </w:r>
    </w:p>
  </w:footnote>
  <w:footnote w:id="33">
    <w:p w:rsidR="00F93BBA" w:rsidRPr="007E35C8" w:rsidRDefault="00F93BBA" w:rsidP="00F41B4C">
      <w:pPr>
        <w:pStyle w:val="FootnoteText"/>
      </w:pPr>
      <w:r>
        <w:rPr>
          <w:rStyle w:val="FootnoteReference"/>
        </w:rPr>
        <w:footnoteRef/>
      </w:r>
      <w:r>
        <w:rPr>
          <w:rFonts w:hint="eastAsia"/>
        </w:rPr>
        <w:t xml:space="preserve">  </w:t>
      </w:r>
      <w:r w:rsidRPr="007E35C8">
        <w:rPr>
          <w:rFonts w:hint="eastAsia"/>
        </w:rPr>
        <w:t>尽管</w:t>
      </w:r>
      <w:r>
        <w:rPr>
          <w:rFonts w:hint="eastAsia"/>
        </w:rPr>
        <w:t>议会还未通过所</w:t>
      </w:r>
      <w:r w:rsidRPr="007E35C8">
        <w:rPr>
          <w:rFonts w:hint="eastAsia"/>
        </w:rPr>
        <w:t>审查的</w:t>
      </w:r>
      <w:r>
        <w:rPr>
          <w:rFonts w:hint="eastAsia"/>
        </w:rPr>
        <w:t>这项立法</w:t>
      </w:r>
      <w:r w:rsidRPr="007E35C8">
        <w:rPr>
          <w:rFonts w:hint="eastAsia"/>
        </w:rPr>
        <w:t>，</w:t>
      </w:r>
      <w:r>
        <w:rPr>
          <w:rFonts w:hint="eastAsia"/>
        </w:rPr>
        <w:t>但是</w:t>
      </w:r>
      <w:r w:rsidRPr="007E35C8">
        <w:rPr>
          <w:rFonts w:hint="eastAsia"/>
        </w:rPr>
        <w:t>每年仍将</w:t>
      </w:r>
      <w:r>
        <w:rPr>
          <w:rFonts w:hint="eastAsia"/>
        </w:rPr>
        <w:t>该法</w:t>
      </w:r>
      <w:r w:rsidRPr="007E35C8">
        <w:rPr>
          <w:rFonts w:hint="eastAsia"/>
        </w:rPr>
        <w:t>提交议会审议通过。</w:t>
      </w:r>
    </w:p>
  </w:footnote>
  <w:footnote w:id="34">
    <w:p w:rsidR="00F93BBA" w:rsidRPr="007E35C8" w:rsidRDefault="00F93BBA" w:rsidP="00F41B4C">
      <w:pPr>
        <w:pStyle w:val="FootnoteText"/>
      </w:pPr>
      <w:r>
        <w:rPr>
          <w:rStyle w:val="FootnoteReference"/>
        </w:rPr>
        <w:footnoteRef/>
      </w:r>
      <w:r>
        <w:rPr>
          <w:rFonts w:hint="eastAsia"/>
        </w:rPr>
        <w:t xml:space="preserve">  </w:t>
      </w:r>
      <w:r w:rsidRPr="007E35C8">
        <w:rPr>
          <w:rFonts w:hint="eastAsia"/>
        </w:rPr>
        <w:t>马拉维打击</w:t>
      </w:r>
      <w:r>
        <w:rPr>
          <w:rFonts w:hint="eastAsia"/>
        </w:rPr>
        <w:t>贩卖</w:t>
      </w:r>
      <w:r w:rsidRPr="007E35C8">
        <w:rPr>
          <w:rFonts w:hint="eastAsia"/>
        </w:rPr>
        <w:t>儿童网络是一个在儿童权利领域工作的非政府组织网络，其目的是打击在马拉维日益增多的</w:t>
      </w:r>
      <w:r>
        <w:rPr>
          <w:rFonts w:hint="eastAsia"/>
        </w:rPr>
        <w:t>贩卖</w:t>
      </w:r>
      <w:r w:rsidRPr="007E35C8">
        <w:rPr>
          <w:rFonts w:hint="eastAsia"/>
        </w:rPr>
        <w:t>儿童活动，特别是</w:t>
      </w:r>
      <w:r>
        <w:rPr>
          <w:rFonts w:hint="eastAsia"/>
        </w:rPr>
        <w:t>防止贩卖</w:t>
      </w:r>
      <w:r w:rsidRPr="007E35C8">
        <w:rPr>
          <w:rFonts w:hint="eastAsia"/>
        </w:rPr>
        <w:t>儿童，保护受害者和潜在受害者。</w:t>
      </w:r>
    </w:p>
  </w:footnote>
  <w:footnote w:id="35">
    <w:p w:rsidR="00F93BBA" w:rsidRPr="00E724FC" w:rsidRDefault="00F93BBA" w:rsidP="00B82BAE">
      <w:pPr>
        <w:pStyle w:val="FootnoteText"/>
        <w:jc w:val="both"/>
      </w:pPr>
      <w:r>
        <w:rPr>
          <w:rStyle w:val="FootnoteReference"/>
        </w:rPr>
        <w:footnoteRef/>
      </w:r>
      <w:r>
        <w:t xml:space="preserve"> </w:t>
      </w:r>
      <w:r>
        <w:rPr>
          <w:rFonts w:hint="eastAsia"/>
        </w:rPr>
        <w:t xml:space="preserve"> </w:t>
      </w:r>
      <w:r w:rsidRPr="00E724FC">
        <w:rPr>
          <w:rFonts w:hint="eastAsia"/>
        </w:rPr>
        <w:t>Robert Kafakoma</w:t>
      </w:r>
      <w:r w:rsidRPr="00E724FC">
        <w:rPr>
          <w:rFonts w:hint="eastAsia"/>
        </w:rPr>
        <w:t>和</w:t>
      </w:r>
      <w:r w:rsidRPr="00E724FC">
        <w:rPr>
          <w:rFonts w:hint="eastAsia"/>
        </w:rPr>
        <w:t>Mckey Mphepo</w:t>
      </w:r>
      <w:r w:rsidRPr="00E724FC">
        <w:rPr>
          <w:rFonts w:hint="eastAsia"/>
        </w:rPr>
        <w:t>（</w:t>
      </w:r>
      <w:r w:rsidRPr="00E724FC">
        <w:rPr>
          <w:rFonts w:hint="eastAsia"/>
        </w:rPr>
        <w:t>2008</w:t>
      </w:r>
      <w:r w:rsidRPr="00E724FC">
        <w:rPr>
          <w:rFonts w:hint="eastAsia"/>
        </w:rPr>
        <w:t>年），</w:t>
      </w:r>
      <w:r>
        <w:rPr>
          <w:rFonts w:hint="eastAsia"/>
        </w:rPr>
        <w:t>《</w:t>
      </w:r>
      <w:r w:rsidRPr="00E724FC">
        <w:rPr>
          <w:rFonts w:hint="eastAsia"/>
        </w:rPr>
        <w:t>决策职位上的女性和男性</w:t>
      </w:r>
      <w:r>
        <w:rPr>
          <w:rFonts w:hint="eastAsia"/>
        </w:rPr>
        <w:t>》</w:t>
      </w:r>
      <w:r w:rsidRPr="00E724FC">
        <w:rPr>
          <w:rFonts w:hint="eastAsia"/>
        </w:rPr>
        <w:t>，研究报告（未发表）；</w:t>
      </w:r>
      <w:r w:rsidRPr="00E724FC">
        <w:rPr>
          <w:rFonts w:hint="eastAsia"/>
        </w:rPr>
        <w:t>http://www.malawi.gov.mw/</w:t>
      </w:r>
      <w:r>
        <w:rPr>
          <w:rFonts w:hint="eastAsia"/>
        </w:rPr>
        <w:t xml:space="preserve"> </w:t>
      </w:r>
      <w:r w:rsidRPr="00E724FC">
        <w:rPr>
          <w:rFonts w:hint="eastAsia"/>
        </w:rPr>
        <w:t>Home percent20Cabinet.htm</w:t>
      </w:r>
      <w:r w:rsidRPr="00E724FC">
        <w:rPr>
          <w:rFonts w:hint="eastAsia"/>
        </w:rPr>
        <w:t>（</w:t>
      </w:r>
      <w:r w:rsidRPr="00E724FC">
        <w:rPr>
          <w:rFonts w:hint="eastAsia"/>
        </w:rPr>
        <w:t xml:space="preserve"> </w:t>
      </w:r>
      <w:smartTag w:uri="urn:schemas-microsoft-com:office:smarttags" w:element="chsdate">
        <w:smartTagPr>
          <w:attr w:name="IsROCDate" w:val="False"/>
          <w:attr w:name="IsLunarDate" w:val="False"/>
          <w:attr w:name="Day" w:val="1"/>
          <w:attr w:name="Month" w:val="7"/>
          <w:attr w:name="Year" w:val="2008"/>
        </w:smartTagPr>
        <w:r w:rsidRPr="00E724FC">
          <w:rPr>
            <w:rFonts w:hint="eastAsia"/>
          </w:rPr>
          <w:t>2008</w:t>
        </w:r>
        <w:r w:rsidRPr="00E724FC">
          <w:rPr>
            <w:rFonts w:hint="eastAsia"/>
          </w:rPr>
          <w:t>年</w:t>
        </w:r>
        <w:r w:rsidRPr="00E724FC">
          <w:rPr>
            <w:rFonts w:hint="eastAsia"/>
          </w:rPr>
          <w:t>7</w:t>
        </w:r>
        <w:r w:rsidRPr="00E724FC">
          <w:rPr>
            <w:rFonts w:hint="eastAsia"/>
          </w:rPr>
          <w:t>月</w:t>
        </w:r>
        <w:r w:rsidRPr="00E724FC">
          <w:rPr>
            <w:rFonts w:hint="eastAsia"/>
          </w:rPr>
          <w:t>1</w:t>
        </w:r>
        <w:r w:rsidRPr="00E724FC">
          <w:rPr>
            <w:rFonts w:hint="eastAsia"/>
          </w:rPr>
          <w:t>日</w:t>
        </w:r>
      </w:smartTag>
      <w:r w:rsidRPr="00E724FC">
        <w:rPr>
          <w:rFonts w:hint="eastAsia"/>
        </w:rPr>
        <w:t>访问）</w:t>
      </w:r>
      <w:r>
        <w:rPr>
          <w:rFonts w:hint="eastAsia"/>
        </w:rPr>
        <w:t>。</w:t>
      </w:r>
    </w:p>
  </w:footnote>
  <w:footnote w:id="36">
    <w:p w:rsidR="00F93BBA"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37">
    <w:p w:rsidR="00F93BBA" w:rsidRPr="00FD77D2"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38">
    <w:p w:rsidR="00F93BBA" w:rsidRPr="00FF31AE" w:rsidRDefault="00F93BBA" w:rsidP="00F41B4C">
      <w:pPr>
        <w:pStyle w:val="FootnoteText"/>
        <w:rPr>
          <w:rFonts w:hint="eastAsia"/>
        </w:rPr>
      </w:pPr>
      <w:r>
        <w:rPr>
          <w:rStyle w:val="FootnoteReference"/>
        </w:rPr>
        <w:footnoteRef/>
      </w:r>
      <w:r>
        <w:rPr>
          <w:rFonts w:hint="eastAsia"/>
        </w:rPr>
        <w:t xml:space="preserve">  </w:t>
      </w:r>
      <w:r w:rsidRPr="00FF31AE">
        <w:rPr>
          <w:rFonts w:hint="eastAsia"/>
        </w:rPr>
        <w:t>这里</w:t>
      </w:r>
      <w:r>
        <w:rPr>
          <w:rFonts w:hint="eastAsia"/>
        </w:rPr>
        <w:t>引用</w:t>
      </w:r>
      <w:r w:rsidRPr="00FF31AE">
        <w:rPr>
          <w:rFonts w:hint="eastAsia"/>
        </w:rPr>
        <w:t>的是实际</w:t>
      </w:r>
      <w:r>
        <w:rPr>
          <w:rFonts w:hint="eastAsia"/>
        </w:rPr>
        <w:t>走</w:t>
      </w:r>
      <w:r w:rsidRPr="00FF31AE">
        <w:rPr>
          <w:rFonts w:hint="eastAsia"/>
        </w:rPr>
        <w:t>访的机构，并非该部门的所有机构。</w:t>
      </w:r>
    </w:p>
  </w:footnote>
  <w:footnote w:id="39">
    <w:p w:rsidR="00F93BBA" w:rsidRPr="001E7B7C"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第</w:t>
      </w:r>
      <w:r w:rsidRPr="001E7B7C">
        <w:t>15:01</w:t>
      </w:r>
      <w:r>
        <w:rPr>
          <w:rFonts w:hint="eastAsia"/>
        </w:rPr>
        <w:t>章。</w:t>
      </w:r>
    </w:p>
  </w:footnote>
  <w:footnote w:id="40">
    <w:p w:rsidR="00F93BBA" w:rsidRPr="0095191D" w:rsidRDefault="00F93BBA" w:rsidP="00F41B4C">
      <w:pPr>
        <w:pStyle w:val="FootnoteText"/>
        <w:rPr>
          <w:rFonts w:hint="eastAsia"/>
        </w:rPr>
      </w:pPr>
      <w:r>
        <w:rPr>
          <w:rStyle w:val="FootnoteReference"/>
        </w:rPr>
        <w:footnoteRef/>
      </w:r>
      <w:r>
        <w:t xml:space="preserve"> </w:t>
      </w:r>
      <w:r>
        <w:rPr>
          <w:rFonts w:hint="eastAsia"/>
        </w:rPr>
        <w:t xml:space="preserve"> </w:t>
      </w:r>
      <w:r w:rsidRPr="0095191D">
        <w:rPr>
          <w:rFonts w:hint="eastAsia"/>
        </w:rPr>
        <w:t>《公民</w:t>
      </w:r>
      <w:r>
        <w:rPr>
          <w:rFonts w:hint="eastAsia"/>
        </w:rPr>
        <w:t>身份</w:t>
      </w:r>
      <w:r w:rsidRPr="0095191D">
        <w:rPr>
          <w:rFonts w:hint="eastAsia"/>
        </w:rPr>
        <w:t>法》规定，马拉维妇女在与外国男子结婚后将失去马拉维公民权，除非她在结婚一周年时放弃她外籍丈夫的国籍。该法还规定，马拉维妇女与外籍丈夫的子女不能凭借其母亲的马拉维人身份成为马拉维公民。不过，情况类似的马拉维男性却能保留其公民权，并能将它传承</w:t>
      </w:r>
      <w:r>
        <w:rPr>
          <w:rFonts w:hint="eastAsia"/>
        </w:rPr>
        <w:t>给</w:t>
      </w:r>
      <w:r w:rsidRPr="0095191D">
        <w:rPr>
          <w:rFonts w:hint="eastAsia"/>
        </w:rPr>
        <w:t>子女。因此，该法并不符合《消除对妇女歧视公约》，因为</w:t>
      </w:r>
      <w:r>
        <w:rPr>
          <w:rFonts w:hint="eastAsia"/>
        </w:rPr>
        <w:t>《</w:t>
      </w:r>
      <w:r w:rsidRPr="0095191D">
        <w:rPr>
          <w:rFonts w:hint="eastAsia"/>
        </w:rPr>
        <w:t>公约</w:t>
      </w:r>
      <w:r>
        <w:rPr>
          <w:rFonts w:hint="eastAsia"/>
        </w:rPr>
        <w:t>》</w:t>
      </w:r>
      <w:r w:rsidRPr="0095191D">
        <w:rPr>
          <w:rFonts w:hint="eastAsia"/>
        </w:rPr>
        <w:t>规定，妇女应被赋予与男子平等的权利，以取得和保留公民权。</w:t>
      </w:r>
    </w:p>
  </w:footnote>
  <w:footnote w:id="41">
    <w:p w:rsidR="00F93BBA" w:rsidRPr="0063179A" w:rsidRDefault="00F93BBA" w:rsidP="00F41B4C">
      <w:pPr>
        <w:pStyle w:val="FootnoteText"/>
      </w:pPr>
      <w:r>
        <w:rPr>
          <w:rStyle w:val="FootnoteReference"/>
        </w:rPr>
        <w:footnoteRef/>
      </w:r>
      <w:r>
        <w:rPr>
          <w:rFonts w:hint="eastAsia"/>
        </w:rPr>
        <w:t xml:space="preserve">  </w:t>
      </w:r>
      <w:r w:rsidRPr="0063179A">
        <w:rPr>
          <w:rFonts w:hint="eastAsia"/>
        </w:rPr>
        <w:t>见</w:t>
      </w:r>
      <w:r>
        <w:rPr>
          <w:rFonts w:hint="eastAsia"/>
        </w:rPr>
        <w:t>《</w:t>
      </w:r>
      <w:r w:rsidRPr="0063179A">
        <w:rPr>
          <w:rFonts w:hint="eastAsia"/>
        </w:rPr>
        <w:t>增长与发展战略</w:t>
      </w:r>
      <w:r>
        <w:rPr>
          <w:rFonts w:hint="eastAsia"/>
        </w:rPr>
        <w:t>》，</w:t>
      </w:r>
      <w:r w:rsidRPr="0063179A">
        <w:rPr>
          <w:rFonts w:hint="eastAsia"/>
        </w:rPr>
        <w:t>第</w:t>
      </w:r>
      <w:r w:rsidRPr="0063179A">
        <w:rPr>
          <w:rFonts w:hint="eastAsia"/>
        </w:rPr>
        <w:t>50-51</w:t>
      </w:r>
      <w:r w:rsidRPr="0063179A">
        <w:rPr>
          <w:rFonts w:hint="eastAsia"/>
        </w:rPr>
        <w:t>页。</w:t>
      </w:r>
    </w:p>
  </w:footnote>
  <w:footnote w:id="42">
    <w:p w:rsidR="00F93BBA" w:rsidRPr="00942681" w:rsidRDefault="00F93BBA" w:rsidP="00F41B4C">
      <w:pPr>
        <w:pStyle w:val="FootnoteText"/>
      </w:pPr>
      <w:r>
        <w:rPr>
          <w:rStyle w:val="FootnoteReference"/>
        </w:rPr>
        <w:footnoteRef/>
      </w:r>
      <w:r>
        <w:rPr>
          <w:rFonts w:hint="eastAsia"/>
        </w:rPr>
        <w:t xml:space="preserve">  </w:t>
      </w:r>
      <w:r w:rsidRPr="00942681">
        <w:rPr>
          <w:rFonts w:hint="eastAsia"/>
        </w:rPr>
        <w:t>世界银行和马拉维政府（</w:t>
      </w:r>
      <w:r w:rsidRPr="00942681">
        <w:rPr>
          <w:rFonts w:hint="eastAsia"/>
        </w:rPr>
        <w:t>2004</w:t>
      </w:r>
      <w:r w:rsidRPr="00942681">
        <w:rPr>
          <w:rFonts w:hint="eastAsia"/>
        </w:rPr>
        <w:t>年），</w:t>
      </w:r>
      <w:r>
        <w:rPr>
          <w:rFonts w:hint="eastAsia"/>
        </w:rPr>
        <w:t>《</w:t>
      </w:r>
      <w:r w:rsidRPr="00942681">
        <w:rPr>
          <w:rFonts w:hint="eastAsia"/>
        </w:rPr>
        <w:t>马拉维国家性别战略评估</w:t>
      </w:r>
      <w:r>
        <w:rPr>
          <w:rFonts w:hint="eastAsia"/>
        </w:rPr>
        <w:t>》</w:t>
      </w:r>
      <w:r w:rsidRPr="00942681">
        <w:rPr>
          <w:rFonts w:hint="eastAsia"/>
        </w:rPr>
        <w:t>，利隆圭：联合国开发计划署</w:t>
      </w:r>
      <w:r w:rsidRPr="00942681">
        <w:rPr>
          <w:rFonts w:hint="eastAsia"/>
        </w:rPr>
        <w:t>-</w:t>
      </w:r>
      <w:r w:rsidRPr="00942681">
        <w:rPr>
          <w:rFonts w:hint="eastAsia"/>
        </w:rPr>
        <w:t>马拉维，第</w:t>
      </w:r>
      <w:r w:rsidRPr="00942681">
        <w:rPr>
          <w:rFonts w:hint="eastAsia"/>
        </w:rPr>
        <w:t>49</w:t>
      </w:r>
      <w:r w:rsidRPr="00942681">
        <w:rPr>
          <w:rFonts w:hint="eastAsia"/>
        </w:rPr>
        <w:t>页</w:t>
      </w:r>
      <w:r>
        <w:rPr>
          <w:rFonts w:hint="eastAsia"/>
        </w:rPr>
        <w:t>。</w:t>
      </w:r>
    </w:p>
  </w:footnote>
  <w:footnote w:id="43">
    <w:p w:rsidR="00F93BBA"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44">
    <w:p w:rsidR="00F93BBA"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45">
    <w:p w:rsidR="00F93BBA" w:rsidRPr="00140230" w:rsidRDefault="00F93BBA" w:rsidP="00F41B4C">
      <w:pPr>
        <w:pStyle w:val="FootnoteText"/>
      </w:pPr>
      <w:r>
        <w:rPr>
          <w:rStyle w:val="FootnoteReference"/>
        </w:rPr>
        <w:footnoteRef/>
      </w:r>
      <w:r>
        <w:rPr>
          <w:rFonts w:hint="eastAsia"/>
        </w:rPr>
        <w:t xml:space="preserve">  </w:t>
      </w:r>
      <w:r w:rsidRPr="00140230">
        <w:rPr>
          <w:rFonts w:hint="eastAsia"/>
        </w:rPr>
        <w:t>马拉维减</w:t>
      </w:r>
      <w:r>
        <w:rPr>
          <w:rFonts w:hint="eastAsia"/>
        </w:rPr>
        <w:t>贫</w:t>
      </w:r>
      <w:r w:rsidRPr="00140230">
        <w:rPr>
          <w:rFonts w:hint="eastAsia"/>
        </w:rPr>
        <w:t>战略文件</w:t>
      </w:r>
      <w:r>
        <w:rPr>
          <w:rFonts w:hint="eastAsia"/>
        </w:rPr>
        <w:t>，</w:t>
      </w:r>
      <w:r w:rsidRPr="00140230">
        <w:rPr>
          <w:rFonts w:hint="eastAsia"/>
        </w:rPr>
        <w:t>第</w:t>
      </w:r>
      <w:r w:rsidRPr="00140230">
        <w:rPr>
          <w:rFonts w:hint="eastAsia"/>
        </w:rPr>
        <w:t>49</w:t>
      </w:r>
      <w:r w:rsidRPr="00140230">
        <w:rPr>
          <w:rFonts w:hint="eastAsia"/>
        </w:rPr>
        <w:t>页</w:t>
      </w:r>
      <w:r>
        <w:rPr>
          <w:rFonts w:hint="eastAsia"/>
        </w:rPr>
        <w:t>。</w:t>
      </w:r>
    </w:p>
  </w:footnote>
  <w:footnote w:id="46">
    <w:p w:rsidR="00F93BBA"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47">
    <w:p w:rsidR="00F93BBA"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48">
    <w:p w:rsidR="00F93BBA" w:rsidRPr="002A4D57" w:rsidRDefault="00F93BBA" w:rsidP="00F41B4C">
      <w:pPr>
        <w:pStyle w:val="FootnoteText"/>
        <w:rPr>
          <w:rFonts w:hint="eastAsia"/>
        </w:rPr>
      </w:pPr>
      <w:r>
        <w:rPr>
          <w:rStyle w:val="FootnoteReference"/>
        </w:rPr>
        <w:footnoteRef/>
      </w:r>
      <w:r>
        <w:rPr>
          <w:rFonts w:hint="eastAsia"/>
        </w:rPr>
        <w:t xml:space="preserve">  </w:t>
      </w:r>
      <w:r w:rsidRPr="002A4D57">
        <w:rPr>
          <w:rFonts w:hint="eastAsia"/>
        </w:rPr>
        <w:t>马拉维政府，</w:t>
      </w:r>
      <w:r>
        <w:rPr>
          <w:rFonts w:hint="eastAsia"/>
        </w:rPr>
        <w:t>教育管理信息系统</w:t>
      </w:r>
      <w:r w:rsidRPr="002A4D57">
        <w:rPr>
          <w:rFonts w:hint="eastAsia"/>
        </w:rPr>
        <w:t>，</w:t>
      </w:r>
      <w:r w:rsidRPr="002A4D57">
        <w:rPr>
          <w:rFonts w:hint="eastAsia"/>
        </w:rPr>
        <w:t>2006</w:t>
      </w:r>
      <w:r w:rsidRPr="002A4D57">
        <w:rPr>
          <w:rFonts w:hint="eastAsia"/>
        </w:rPr>
        <w:t>年</w:t>
      </w:r>
      <w:r>
        <w:rPr>
          <w:rFonts w:hint="eastAsia"/>
        </w:rPr>
        <w:t>。</w:t>
      </w:r>
    </w:p>
  </w:footnote>
  <w:footnote w:id="49">
    <w:p w:rsidR="00F93BBA"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50">
    <w:p w:rsidR="00F93BBA" w:rsidRPr="00EC4084"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51">
    <w:p w:rsidR="00F93BBA" w:rsidRPr="00EC4084"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同上。</w:t>
      </w:r>
    </w:p>
  </w:footnote>
  <w:footnote w:id="52">
    <w:p w:rsidR="00F93BBA" w:rsidRPr="00DC48BF" w:rsidRDefault="00F93BBA" w:rsidP="00F41B4C">
      <w:pPr>
        <w:pStyle w:val="FootnoteText"/>
        <w:rPr>
          <w:rFonts w:hint="eastAsia"/>
        </w:rPr>
      </w:pPr>
      <w:r>
        <w:rPr>
          <w:rStyle w:val="FootnoteReference"/>
        </w:rPr>
        <w:footnoteRef/>
      </w:r>
      <w:r>
        <w:t xml:space="preserve"> </w:t>
      </w:r>
      <w:r>
        <w:rPr>
          <w:rFonts w:hint="eastAsia"/>
        </w:rPr>
        <w:t xml:space="preserve"> </w:t>
      </w:r>
      <w:r>
        <w:rPr>
          <w:rFonts w:hint="eastAsia"/>
        </w:rPr>
        <w:t>劳资关系法院</w:t>
      </w:r>
      <w:r w:rsidRPr="00DC48BF">
        <w:rPr>
          <w:rFonts w:hint="eastAsia"/>
        </w:rPr>
        <w:t>2003</w:t>
      </w:r>
      <w:r w:rsidRPr="00DC48BF">
        <w:rPr>
          <w:rFonts w:hint="eastAsia"/>
        </w:rPr>
        <w:t>年第</w:t>
      </w:r>
      <w:r w:rsidRPr="00DC48BF">
        <w:rPr>
          <w:rFonts w:hint="eastAsia"/>
        </w:rPr>
        <w:t>70</w:t>
      </w:r>
      <w:r w:rsidRPr="00DC48BF">
        <w:rPr>
          <w:rFonts w:hint="eastAsia"/>
        </w:rPr>
        <w:t>号</w:t>
      </w:r>
      <w:r>
        <w:rPr>
          <w:rFonts w:hint="eastAsia"/>
        </w:rPr>
        <w:t>案例</w:t>
      </w:r>
      <w:r w:rsidRPr="00DC48BF">
        <w:rPr>
          <w:rFonts w:hint="eastAsia"/>
        </w:rPr>
        <w:t>（</w:t>
      </w:r>
      <w:r>
        <w:rPr>
          <w:rFonts w:hint="eastAsia"/>
        </w:rPr>
        <w:t>劳资</w:t>
      </w:r>
      <w:r w:rsidRPr="00DC48BF">
        <w:rPr>
          <w:rFonts w:hint="eastAsia"/>
        </w:rPr>
        <w:t>关系法院），利隆圭登记处（未报告）</w:t>
      </w:r>
      <w:r>
        <w:rPr>
          <w:rFonts w:hint="eastAsia"/>
        </w:rPr>
        <w:t>。</w:t>
      </w:r>
    </w:p>
  </w:footnote>
  <w:footnote w:id="53">
    <w:p w:rsidR="00F93BBA" w:rsidRPr="00DC48BF" w:rsidRDefault="00F93BBA" w:rsidP="00F41B4C">
      <w:pPr>
        <w:pStyle w:val="FootnoteText"/>
        <w:rPr>
          <w:rFonts w:hint="eastAsia"/>
        </w:rPr>
      </w:pPr>
      <w:r>
        <w:rPr>
          <w:rStyle w:val="FootnoteReference"/>
        </w:rPr>
        <w:footnoteRef/>
      </w:r>
      <w:r>
        <w:rPr>
          <w:rFonts w:hint="eastAsia"/>
        </w:rPr>
        <w:t xml:space="preserve">  </w:t>
      </w:r>
      <w:r w:rsidRPr="00DC48BF">
        <w:rPr>
          <w:rFonts w:hint="eastAsia"/>
        </w:rPr>
        <w:t>劳资关系法院首席法官裁决，</w:t>
      </w:r>
      <w:r w:rsidRPr="00DC48BF">
        <w:rPr>
          <w:rFonts w:hint="eastAsia"/>
        </w:rPr>
        <w:t>MCC Mkandawire</w:t>
      </w:r>
      <w:r w:rsidRPr="00DC48BF">
        <w:rPr>
          <w:rFonts w:hint="eastAsia"/>
        </w:rPr>
        <w:t>，第</w:t>
      </w:r>
      <w:r w:rsidRPr="00DC48BF">
        <w:rPr>
          <w:rFonts w:hint="eastAsia"/>
        </w:rPr>
        <w:t>6-10</w:t>
      </w:r>
      <w:r w:rsidRPr="00DC48BF">
        <w:rPr>
          <w:rFonts w:hint="eastAsia"/>
        </w:rPr>
        <w:t>页</w:t>
      </w:r>
      <w:r>
        <w:rPr>
          <w:rFonts w:hint="eastAsia"/>
        </w:rPr>
        <w:t>。</w:t>
      </w:r>
    </w:p>
  </w:footnote>
  <w:footnote w:id="54">
    <w:p w:rsidR="00F93BBA" w:rsidRPr="00DC48BF" w:rsidRDefault="00F93BBA" w:rsidP="00F41B4C">
      <w:pPr>
        <w:pStyle w:val="FootnoteText"/>
      </w:pPr>
      <w:r>
        <w:rPr>
          <w:rStyle w:val="FootnoteReference"/>
        </w:rPr>
        <w:footnoteRef/>
      </w:r>
      <w:r>
        <w:t xml:space="preserve"> </w:t>
      </w:r>
      <w:r>
        <w:rPr>
          <w:rFonts w:hint="eastAsia"/>
        </w:rPr>
        <w:t xml:space="preserve"> </w:t>
      </w:r>
      <w:r w:rsidRPr="00DC48BF">
        <w:rPr>
          <w:rFonts w:hint="eastAsia"/>
        </w:rPr>
        <w:t>Maxton Tsoka</w:t>
      </w:r>
      <w:r w:rsidRPr="00DC48BF">
        <w:rPr>
          <w:rFonts w:hint="eastAsia"/>
        </w:rPr>
        <w:t>和</w:t>
      </w:r>
      <w:r w:rsidRPr="00DC48BF">
        <w:rPr>
          <w:rFonts w:hint="eastAsia"/>
        </w:rPr>
        <w:t>Sidon Konyani</w:t>
      </w:r>
      <w:r w:rsidRPr="00DC48BF">
        <w:rPr>
          <w:rFonts w:hint="eastAsia"/>
        </w:rPr>
        <w:t>，</w:t>
      </w:r>
      <w:r>
        <w:rPr>
          <w:rFonts w:hint="eastAsia"/>
        </w:rPr>
        <w:t>《</w:t>
      </w:r>
      <w:r w:rsidRPr="00DC48BF">
        <w:rPr>
          <w:rFonts w:hint="eastAsia"/>
        </w:rPr>
        <w:t>童工基</w:t>
      </w:r>
      <w:r>
        <w:rPr>
          <w:rFonts w:hint="eastAsia"/>
        </w:rPr>
        <w:t>准数据</w:t>
      </w:r>
      <w:r w:rsidRPr="00DC48BF">
        <w:rPr>
          <w:rFonts w:hint="eastAsia"/>
        </w:rPr>
        <w:t>研究</w:t>
      </w:r>
      <w:r>
        <w:rPr>
          <w:rFonts w:hint="eastAsia"/>
        </w:rPr>
        <w:t>》</w:t>
      </w:r>
      <w:r w:rsidRPr="00DC48BF">
        <w:rPr>
          <w:rFonts w:hint="eastAsia"/>
        </w:rPr>
        <w:t>，社会研究中心，马拉维大学，松巴，</w:t>
      </w:r>
      <w:r w:rsidRPr="00DC48BF">
        <w:rPr>
          <w:rFonts w:hint="eastAsia"/>
        </w:rPr>
        <w:t>2003</w:t>
      </w:r>
      <w:r w:rsidRPr="00DC48BF">
        <w:rPr>
          <w:rFonts w:hint="eastAsia"/>
        </w:rPr>
        <w:t>年</w:t>
      </w:r>
      <w:r w:rsidRPr="00DC48BF">
        <w:rPr>
          <w:rFonts w:hint="eastAsia"/>
        </w:rPr>
        <w:t>2</w:t>
      </w:r>
      <w:r w:rsidRPr="00DC48BF">
        <w:rPr>
          <w:rFonts w:hint="eastAsia"/>
        </w:rPr>
        <w:t>月。</w:t>
      </w:r>
    </w:p>
  </w:footnote>
  <w:footnote w:id="55">
    <w:p w:rsidR="00F93BBA" w:rsidRPr="00F54C4E" w:rsidRDefault="00F93BBA" w:rsidP="00F41B4C">
      <w:pPr>
        <w:pStyle w:val="FootnoteText"/>
        <w:rPr>
          <w:rFonts w:hint="eastAsia"/>
        </w:rPr>
      </w:pPr>
      <w:r>
        <w:rPr>
          <w:rStyle w:val="FootnoteReference"/>
        </w:rPr>
        <w:footnoteRef/>
      </w:r>
      <w:r>
        <w:rPr>
          <w:rFonts w:ascii="Courier New" w:hAnsi="Courier New" w:cs="Courier New" w:hint="eastAsia"/>
        </w:rPr>
        <w:t xml:space="preserve">  </w:t>
      </w:r>
      <w:r>
        <w:rPr>
          <w:rFonts w:ascii="Courier New" w:hAnsi="Courier New" w:cs="Courier New"/>
        </w:rPr>
        <w:t>在</w:t>
      </w:r>
      <w:r w:rsidRPr="00B82BAE">
        <w:t>15</w:t>
      </w:r>
      <w:r w:rsidRPr="00B82BAE">
        <w:rPr>
          <w:rFonts w:hAnsi="Courier New"/>
        </w:rPr>
        <w:t>至</w:t>
      </w:r>
      <w:r w:rsidRPr="00B82BAE">
        <w:t>24</w:t>
      </w:r>
      <w:r>
        <w:rPr>
          <w:rFonts w:ascii="Courier New" w:hAnsi="Courier New" w:cs="Courier New"/>
        </w:rPr>
        <w:t>岁年龄组</w:t>
      </w:r>
      <w:r>
        <w:rPr>
          <w:rFonts w:ascii="Courier New" w:hAnsi="Courier New" w:cs="Courier New" w:hint="eastAsia"/>
        </w:rPr>
        <w:t>。</w:t>
      </w:r>
    </w:p>
  </w:footnote>
  <w:footnote w:id="56">
    <w:p w:rsidR="00F93BBA" w:rsidRPr="00EB1D1A" w:rsidRDefault="00F93BBA" w:rsidP="00F41B4C">
      <w:pPr>
        <w:pStyle w:val="FootnoteText"/>
      </w:pPr>
      <w:r>
        <w:rPr>
          <w:rStyle w:val="FootnoteReference"/>
        </w:rPr>
        <w:footnoteRef/>
      </w:r>
      <w:r>
        <w:rPr>
          <w:rFonts w:hint="eastAsia"/>
        </w:rPr>
        <w:t xml:space="preserve">  </w:t>
      </w:r>
      <w:r w:rsidRPr="00EB1D1A">
        <w:rPr>
          <w:rFonts w:hint="eastAsia"/>
        </w:rPr>
        <w:t>目前不想</w:t>
      </w:r>
      <w:r>
        <w:rPr>
          <w:rFonts w:hint="eastAsia"/>
        </w:rPr>
        <w:t>再生孩子</w:t>
      </w:r>
      <w:r w:rsidRPr="00EB1D1A">
        <w:rPr>
          <w:rFonts w:hint="eastAsia"/>
        </w:rPr>
        <w:t>或想</w:t>
      </w:r>
      <w:r>
        <w:rPr>
          <w:rFonts w:hint="eastAsia"/>
        </w:rPr>
        <w:t>推迟生下一胎</w:t>
      </w:r>
      <w:r w:rsidRPr="00EB1D1A">
        <w:rPr>
          <w:rFonts w:hint="eastAsia"/>
        </w:rPr>
        <w:t>但现在又不使用任何计生方法的已婚妇女百分比。</w:t>
      </w:r>
    </w:p>
  </w:footnote>
  <w:footnote w:id="57">
    <w:p w:rsidR="00F93BBA" w:rsidRPr="00E42EA7" w:rsidRDefault="00F93BBA" w:rsidP="00F41B4C">
      <w:pPr>
        <w:pStyle w:val="FootnoteText"/>
      </w:pPr>
      <w:r>
        <w:rPr>
          <w:rStyle w:val="FootnoteReference"/>
        </w:rPr>
        <w:footnoteRef/>
      </w:r>
      <w:r>
        <w:rPr>
          <w:rFonts w:hint="eastAsia"/>
        </w:rPr>
        <w:t xml:space="preserve">  </w:t>
      </w:r>
      <w:r w:rsidRPr="00E42EA7">
        <w:rPr>
          <w:rFonts w:hint="eastAsia"/>
        </w:rPr>
        <w:t>国家统计局指出，这是指标性的，而非</w:t>
      </w:r>
      <w:r>
        <w:rPr>
          <w:rFonts w:hint="eastAsia"/>
        </w:rPr>
        <w:t>结论</w:t>
      </w:r>
      <w:r w:rsidRPr="00E42EA7">
        <w:rPr>
          <w:rFonts w:hint="eastAsia"/>
        </w:rPr>
        <w:t>性的，因为有关这些问题的数据还没有计算和验证</w:t>
      </w:r>
      <w:r>
        <w:rPr>
          <w:rFonts w:hint="eastAsia"/>
        </w:rPr>
        <w:t>。</w:t>
      </w:r>
    </w:p>
  </w:footnote>
  <w:footnote w:id="58">
    <w:p w:rsidR="00F93BBA" w:rsidRDefault="00F93BBA" w:rsidP="00F41B4C">
      <w:pPr>
        <w:pStyle w:val="FootnoteText"/>
        <w:rPr>
          <w:rFonts w:hint="eastAsia"/>
        </w:rPr>
      </w:pPr>
      <w:r>
        <w:rPr>
          <w:rStyle w:val="FootnoteReference"/>
        </w:rPr>
        <w:footnoteRef/>
      </w:r>
      <w:r>
        <w:rPr>
          <w:rFonts w:ascii="Courier New" w:hAnsi="Courier New" w:cs="Courier New" w:hint="eastAsia"/>
        </w:rPr>
        <w:t xml:space="preserve">  </w:t>
      </w:r>
      <w:r>
        <w:rPr>
          <w:rFonts w:ascii="Courier New" w:hAnsi="Courier New" w:cs="Courier New"/>
        </w:rPr>
        <w:t>参见前面的脚注。</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BA" w:rsidRDefault="00F93BB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93BBA">
                  <w:tblPrEx>
                    <w:tblCellMar>
                      <w:top w:w="0" w:type="dxa"/>
                      <w:bottom w:w="0" w:type="dxa"/>
                    </w:tblCellMar>
                  </w:tblPrEx>
                  <w:trPr>
                    <w:trHeight w:hRule="exact" w:val="864"/>
                  </w:trPr>
                  <w:tc>
                    <w:tcPr>
                      <w:tcW w:w="4838" w:type="dxa"/>
                      <w:tcBorders>
                        <w:bottom w:val="single" w:sz="4" w:space="0" w:color="auto"/>
                      </w:tcBorders>
                      <w:vAlign w:val="bottom"/>
                    </w:tcPr>
                    <w:p w:rsidR="00F93BBA" w:rsidRDefault="00F93BBA">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F93BBA" w:rsidRDefault="00F93BBA">
                      <w:pPr>
                        <w:pStyle w:val="Header"/>
                        <w:pBdr>
                          <w:bottom w:val="none" w:sz="0" w:space="0" w:color="auto"/>
                        </w:pBdr>
                      </w:pPr>
                    </w:p>
                  </w:tc>
                </w:tr>
              </w:tbl>
              <w:p w:rsidR="00F93BBA" w:rsidRDefault="00F93BB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BA" w:rsidRDefault="00F93BB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93BBA">
                  <w:tblPrEx>
                    <w:tblCellMar>
                      <w:top w:w="0" w:type="dxa"/>
                      <w:bottom w:w="0" w:type="dxa"/>
                    </w:tblCellMar>
                  </w:tblPrEx>
                  <w:trPr>
                    <w:trHeight w:hRule="exact" w:val="864"/>
                  </w:trPr>
                  <w:tc>
                    <w:tcPr>
                      <w:tcW w:w="4838" w:type="dxa"/>
                      <w:tcBorders>
                        <w:bottom w:val="single" w:sz="4" w:space="0" w:color="auto"/>
                      </w:tcBorders>
                      <w:vAlign w:val="bottom"/>
                    </w:tcPr>
                    <w:p w:rsidR="00F93BBA" w:rsidRDefault="00F93BBA">
                      <w:pPr>
                        <w:pStyle w:val="Header"/>
                        <w:pBdr>
                          <w:bottom w:val="none" w:sz="0" w:space="0" w:color="auto"/>
                        </w:pBdr>
                      </w:pPr>
                    </w:p>
                  </w:tc>
                  <w:tc>
                    <w:tcPr>
                      <w:tcW w:w="5048" w:type="dxa"/>
                      <w:tcBorders>
                        <w:bottom w:val="single" w:sz="4" w:space="0" w:color="auto"/>
                      </w:tcBorders>
                      <w:vAlign w:val="bottom"/>
                    </w:tcPr>
                    <w:p w:rsidR="00F93BBA" w:rsidRDefault="00F93BBA">
                      <w:pPr>
                        <w:pStyle w:val="Header"/>
                        <w:pBdr>
                          <w:bottom w:val="none" w:sz="0" w:space="0" w:color="auto"/>
                        </w:pBdr>
                        <w:spacing w:after="80"/>
                        <w:jc w:val="right"/>
                        <w:rPr>
                          <w:rFonts w:hint="eastAsia"/>
                          <w:b/>
                        </w:rPr>
                      </w:pPr>
                      <w:r>
                        <w:rPr>
                          <w:b/>
                        </w:rPr>
                        <w:t>CEDAW/C/NLD/4</w:t>
                      </w:r>
                    </w:p>
                  </w:tc>
                </w:tr>
              </w:tbl>
              <w:p w:rsidR="00F93BBA" w:rsidRDefault="00F93BB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F93BB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93BBA" w:rsidRDefault="00F93BB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F93BBA" w:rsidRDefault="00F93BBA">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F93BBA" w:rsidRDefault="00F93BB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F93BBA" w:rsidRDefault="00F93BBA">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MWI</w:t>
          </w:r>
          <w:r>
            <w:rPr>
              <w:position w:val="-4"/>
            </w:rPr>
            <w:t>/</w:t>
          </w:r>
          <w:r>
            <w:rPr>
              <w:rFonts w:hint="eastAsia"/>
              <w:position w:val="-4"/>
            </w:rPr>
            <w:t>6</w:t>
          </w:r>
        </w:p>
      </w:tc>
    </w:tr>
    <w:tr w:rsidR="00F93BBA">
      <w:tblPrEx>
        <w:tblCellMar>
          <w:top w:w="0" w:type="dxa"/>
          <w:bottom w:w="0" w:type="dxa"/>
        </w:tblCellMar>
      </w:tblPrEx>
      <w:trPr>
        <w:trHeight w:hRule="exact" w:val="2880"/>
      </w:trPr>
      <w:tc>
        <w:tcPr>
          <w:tcW w:w="1267" w:type="dxa"/>
          <w:tcBorders>
            <w:left w:val="nil"/>
            <w:bottom w:val="single" w:sz="12" w:space="0" w:color="auto"/>
            <w:right w:val="nil"/>
          </w:tcBorders>
        </w:tcPr>
        <w:p w:rsidR="00F93BBA" w:rsidRDefault="00F93BBA">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F93BBA" w:rsidRDefault="00F93BBA">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F93BBA" w:rsidRDefault="00F93BBA">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F93BBA" w:rsidRDefault="00F93BBA">
          <w:pPr>
            <w:pStyle w:val="Header"/>
            <w:pBdr>
              <w:bottom w:val="none" w:sz="0" w:space="0" w:color="auto"/>
            </w:pBdr>
            <w:spacing w:before="109"/>
          </w:pPr>
        </w:p>
      </w:tc>
      <w:tc>
        <w:tcPr>
          <w:tcW w:w="3079" w:type="dxa"/>
          <w:gridSpan w:val="2"/>
          <w:tcBorders>
            <w:left w:val="nil"/>
            <w:bottom w:val="single" w:sz="12" w:space="0" w:color="auto"/>
            <w:right w:val="nil"/>
          </w:tcBorders>
        </w:tcPr>
        <w:p w:rsidR="00F93BBA" w:rsidRDefault="00F93BBA">
          <w:pPr>
            <w:spacing w:before="240" w:line="240" w:lineRule="exact"/>
          </w:pPr>
          <w:r>
            <w:t>Distr.: General</w:t>
          </w:r>
        </w:p>
        <w:p w:rsidR="00F93BBA" w:rsidRDefault="00F93BBA">
          <w:pPr>
            <w:spacing w:line="240" w:lineRule="exact"/>
            <w:rPr>
              <w:rFonts w:hint="eastAsia"/>
            </w:rPr>
          </w:pPr>
          <w:r>
            <w:rPr>
              <w:rFonts w:hint="eastAsia"/>
            </w:rPr>
            <w:t>20</w:t>
          </w:r>
          <w:r>
            <w:t xml:space="preserve"> </w:t>
          </w:r>
          <w:r>
            <w:rPr>
              <w:rFonts w:hint="eastAsia"/>
            </w:rPr>
            <w:t xml:space="preserve">October </w:t>
          </w:r>
          <w:r>
            <w:t>200</w:t>
          </w:r>
          <w:r>
            <w:rPr>
              <w:rFonts w:hint="eastAsia"/>
            </w:rPr>
            <w:t>8</w:t>
          </w:r>
        </w:p>
        <w:p w:rsidR="00F93BBA" w:rsidRDefault="00F93BBA">
          <w:pPr>
            <w:spacing w:line="240" w:lineRule="exact"/>
          </w:pPr>
        </w:p>
        <w:p w:rsidR="00F93BBA" w:rsidRDefault="00F93BBA">
          <w:pPr>
            <w:spacing w:line="240" w:lineRule="exact"/>
          </w:pPr>
          <w:r>
            <w:t>Chinese</w:t>
          </w:r>
        </w:p>
        <w:p w:rsidR="00F93BBA" w:rsidRDefault="00F93BBA">
          <w:pPr>
            <w:spacing w:line="240" w:lineRule="exact"/>
            <w:rPr>
              <w:rFonts w:hint="eastAsia"/>
            </w:rPr>
          </w:pPr>
          <w:r>
            <w:t xml:space="preserve">Original: </w:t>
          </w:r>
          <w:r>
            <w:rPr>
              <w:rFonts w:hint="eastAsia"/>
            </w:rPr>
            <w:t>English</w:t>
          </w:r>
        </w:p>
        <w:p w:rsidR="00F93BBA" w:rsidRDefault="00F93BBA">
          <w:pPr>
            <w:spacing w:line="240" w:lineRule="exact"/>
            <w:rPr>
              <w:rFonts w:hint="eastAsia"/>
            </w:rPr>
          </w:pPr>
        </w:p>
        <w:p w:rsidR="00F93BBA" w:rsidRDefault="00F93BBA">
          <w:pPr>
            <w:spacing w:line="240" w:lineRule="exact"/>
            <w:rPr>
              <w:rFonts w:hint="eastAsia"/>
              <w:b/>
              <w:u w:val="single"/>
            </w:rPr>
          </w:pPr>
        </w:p>
      </w:tc>
    </w:tr>
  </w:tbl>
  <w:p w:rsidR="00F93BBA" w:rsidRDefault="00F93BBA">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BA" w:rsidRDefault="00F93BBA">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93BBA">
                  <w:tblPrEx>
                    <w:tblCellMar>
                      <w:top w:w="0" w:type="dxa"/>
                      <w:bottom w:w="0" w:type="dxa"/>
                    </w:tblCellMar>
                  </w:tblPrEx>
                  <w:trPr>
                    <w:trHeight w:hRule="exact" w:val="864"/>
                  </w:trPr>
                  <w:tc>
                    <w:tcPr>
                      <w:tcW w:w="4838" w:type="dxa"/>
                      <w:tcBorders>
                        <w:bottom w:val="single" w:sz="4" w:space="0" w:color="auto"/>
                      </w:tcBorders>
                      <w:vAlign w:val="bottom"/>
                    </w:tcPr>
                    <w:p w:rsidR="00F93BBA" w:rsidRDefault="00F93BBA">
                      <w:pPr>
                        <w:pStyle w:val="Header"/>
                        <w:pBdr>
                          <w:bottom w:val="none" w:sz="0" w:space="0" w:color="auto"/>
                        </w:pBdr>
                        <w:spacing w:after="80"/>
                        <w:jc w:val="both"/>
                        <w:rPr>
                          <w:rFonts w:hint="eastAsia"/>
                          <w:b/>
                        </w:rPr>
                      </w:pPr>
                      <w:r>
                        <w:rPr>
                          <w:b/>
                        </w:rPr>
                        <w:t>CEDAW/C</w:t>
                      </w:r>
                      <w:r>
                        <w:rPr>
                          <w:rFonts w:hint="eastAsia"/>
                          <w:b/>
                        </w:rPr>
                        <w:t>/MWI</w:t>
                      </w:r>
                      <w:r>
                        <w:rPr>
                          <w:b/>
                        </w:rPr>
                        <w:t>/</w:t>
                      </w:r>
                      <w:r>
                        <w:rPr>
                          <w:rFonts w:hint="eastAsia"/>
                          <w:b/>
                        </w:rPr>
                        <w:t>6</w:t>
                      </w:r>
                    </w:p>
                  </w:tc>
                  <w:tc>
                    <w:tcPr>
                      <w:tcW w:w="5048" w:type="dxa"/>
                      <w:tcBorders>
                        <w:bottom w:val="single" w:sz="4" w:space="0" w:color="auto"/>
                      </w:tcBorders>
                      <w:vAlign w:val="bottom"/>
                    </w:tcPr>
                    <w:p w:rsidR="00F93BBA" w:rsidRDefault="00F93BBA">
                      <w:pPr>
                        <w:pStyle w:val="Header"/>
                        <w:pBdr>
                          <w:bottom w:val="none" w:sz="0" w:space="0" w:color="auto"/>
                        </w:pBdr>
                      </w:pPr>
                    </w:p>
                  </w:tc>
                </w:tr>
              </w:tbl>
              <w:p w:rsidR="00F93BBA" w:rsidRDefault="00F93BB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BA" w:rsidRDefault="00F93BB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93BBA">
                  <w:tblPrEx>
                    <w:tblCellMar>
                      <w:top w:w="0" w:type="dxa"/>
                      <w:bottom w:w="0" w:type="dxa"/>
                    </w:tblCellMar>
                  </w:tblPrEx>
                  <w:trPr>
                    <w:trHeight w:hRule="exact" w:val="864"/>
                  </w:trPr>
                  <w:tc>
                    <w:tcPr>
                      <w:tcW w:w="4838" w:type="dxa"/>
                      <w:tcBorders>
                        <w:bottom w:val="single" w:sz="4" w:space="0" w:color="auto"/>
                      </w:tcBorders>
                      <w:vAlign w:val="bottom"/>
                    </w:tcPr>
                    <w:p w:rsidR="00F93BBA" w:rsidRDefault="00F93BBA">
                      <w:pPr>
                        <w:pStyle w:val="Header"/>
                        <w:pBdr>
                          <w:bottom w:val="none" w:sz="0" w:space="0" w:color="auto"/>
                        </w:pBdr>
                      </w:pPr>
                    </w:p>
                  </w:tc>
                  <w:tc>
                    <w:tcPr>
                      <w:tcW w:w="5048" w:type="dxa"/>
                      <w:tcBorders>
                        <w:bottom w:val="single" w:sz="4" w:space="0" w:color="auto"/>
                      </w:tcBorders>
                      <w:vAlign w:val="bottom"/>
                    </w:tcPr>
                    <w:p w:rsidR="00F93BBA" w:rsidRDefault="00F93BBA">
                      <w:pPr>
                        <w:pStyle w:val="Header"/>
                        <w:pBdr>
                          <w:bottom w:val="none" w:sz="0" w:space="0" w:color="auto"/>
                        </w:pBdr>
                        <w:spacing w:after="80"/>
                        <w:jc w:val="right"/>
                        <w:rPr>
                          <w:rFonts w:hint="eastAsia"/>
                          <w:b/>
                        </w:rPr>
                      </w:pPr>
                      <w:r>
                        <w:rPr>
                          <w:b/>
                        </w:rPr>
                        <w:t>CEDAW/C</w:t>
                      </w:r>
                      <w:r>
                        <w:rPr>
                          <w:rFonts w:hint="eastAsia"/>
                          <w:b/>
                        </w:rPr>
                        <w:t>/MWI</w:t>
                      </w:r>
                      <w:r>
                        <w:rPr>
                          <w:b/>
                        </w:rPr>
                        <w:t>/</w:t>
                      </w:r>
                      <w:r>
                        <w:rPr>
                          <w:rFonts w:hint="eastAsia"/>
                          <w:b/>
                        </w:rPr>
                        <w:t>6</w:t>
                      </w:r>
                    </w:p>
                  </w:tc>
                </w:tr>
              </w:tbl>
              <w:p w:rsidR="00F93BBA" w:rsidRDefault="00F93BBA"/>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2AF275E"/>
    <w:multiLevelType w:val="hybridMultilevel"/>
    <w:tmpl w:val="D7D82448"/>
    <w:lvl w:ilvl="0" w:tplc="33628154">
      <w:start w:val="1"/>
      <w:numFmt w:val="decimal"/>
      <w:lvlText w:val="%1."/>
      <w:lvlJc w:val="left"/>
      <w:pPr>
        <w:ind w:left="360" w:hanging="360"/>
      </w:pPr>
      <w:rPr>
        <w:rFonts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3FD242A"/>
    <w:multiLevelType w:val="hybridMultilevel"/>
    <w:tmpl w:val="D5E429AE"/>
    <w:lvl w:ilvl="0" w:tplc="0409000F">
      <w:start w:val="20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D0B0235"/>
    <w:multiLevelType w:val="hybridMultilevel"/>
    <w:tmpl w:val="F164222E"/>
    <w:lvl w:ilvl="0" w:tplc="86F836A6">
      <w:start w:val="8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4C57589"/>
    <w:multiLevelType w:val="multilevel"/>
    <w:tmpl w:val="43441BB8"/>
    <w:lvl w:ilvl="0">
      <w:start w:val="1"/>
      <w:numFmt w:val="decimal"/>
      <w:lvlText w:val="%1."/>
      <w:lvlJc w:val="left"/>
      <w:pPr>
        <w:tabs>
          <w:tab w:val="num" w:pos="840"/>
        </w:tabs>
        <w:ind w:left="840" w:hanging="420"/>
      </w:pPr>
      <w:rPr>
        <w:rFonts w:ascii="Times New Roman" w:hAnsi="Times New Roman" w:cs="Times New Roman" w:hint="default"/>
        <w:color w:val="auto"/>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
    <w:nsid w:val="15C71DF8"/>
    <w:multiLevelType w:val="hybridMultilevel"/>
    <w:tmpl w:val="DDCA43AE"/>
    <w:lvl w:ilvl="0" w:tplc="65606B4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11">
    <w:nsid w:val="284221A1"/>
    <w:multiLevelType w:val="hybridMultilevel"/>
    <w:tmpl w:val="A476AD0A"/>
    <w:lvl w:ilvl="0" w:tplc="E78464E2">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2CFA40C6"/>
    <w:multiLevelType w:val="hybridMultilevel"/>
    <w:tmpl w:val="6136EE10"/>
    <w:lvl w:ilvl="0" w:tplc="220205E4">
      <w:start w:val="1"/>
      <w:numFmt w:val="bullet"/>
      <w:lvlText w:val="−"/>
      <w:lvlJc w:val="left"/>
      <w:pPr>
        <w:tabs>
          <w:tab w:val="num" w:pos="780"/>
        </w:tabs>
        <w:ind w:left="780" w:hanging="420"/>
      </w:pPr>
      <w:rPr>
        <w:rFonts w:ascii="Courier" w:hAnsi="Courier" w:cs="Courier"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3A435682"/>
    <w:multiLevelType w:val="hybridMultilevel"/>
    <w:tmpl w:val="3D460EE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1F72E8"/>
    <w:multiLevelType w:val="singleLevel"/>
    <w:tmpl w:val="E15AEEFA"/>
    <w:lvl w:ilvl="0">
      <w:start w:val="2"/>
      <w:numFmt w:val="upperLetter"/>
      <w:pStyle w:val="CharChar8"/>
      <w:lvlText w:val="%1."/>
      <w:lvlJc w:val="left"/>
      <w:pPr>
        <w:tabs>
          <w:tab w:val="num" w:pos="420"/>
        </w:tabs>
        <w:ind w:left="420" w:hanging="420"/>
      </w:pPr>
      <w:rPr>
        <w:rFonts w:hint="default"/>
      </w:rPr>
    </w:lvl>
  </w:abstractNum>
  <w:abstractNum w:abstractNumId="15">
    <w:nsid w:val="41577195"/>
    <w:multiLevelType w:val="hybridMultilevel"/>
    <w:tmpl w:val="689A3638"/>
    <w:lvl w:ilvl="0" w:tplc="61A0B658">
      <w:start w:val="19"/>
      <w:numFmt w:val="bullet"/>
      <w:lvlText w:val=""/>
      <w:lvlJc w:val="left"/>
      <w:pPr>
        <w:ind w:left="1068" w:hanging="360"/>
      </w:pPr>
      <w:rPr>
        <w:rFonts w:ascii="Symbol" w:eastAsia="Times New Roman" w:hAnsi="Symbol" w:hint="default"/>
        <w:color w:val="auto"/>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cs="Wingdings" w:hint="default"/>
      </w:rPr>
    </w:lvl>
    <w:lvl w:ilvl="3" w:tplc="04090001">
      <w:start w:val="1"/>
      <w:numFmt w:val="bullet"/>
      <w:lvlText w:val=""/>
      <w:lvlJc w:val="left"/>
      <w:pPr>
        <w:ind w:left="3228" w:hanging="360"/>
      </w:pPr>
      <w:rPr>
        <w:rFonts w:ascii="Symbol" w:hAnsi="Symbol" w:cs="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cs="Wingdings" w:hint="default"/>
      </w:rPr>
    </w:lvl>
    <w:lvl w:ilvl="6" w:tplc="04090001">
      <w:start w:val="1"/>
      <w:numFmt w:val="bullet"/>
      <w:lvlText w:val=""/>
      <w:lvlJc w:val="left"/>
      <w:pPr>
        <w:ind w:left="5388" w:hanging="360"/>
      </w:pPr>
      <w:rPr>
        <w:rFonts w:ascii="Symbol" w:hAnsi="Symbol" w:cs="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cs="Wingdings" w:hint="default"/>
      </w:rPr>
    </w:lvl>
  </w:abstractNum>
  <w:abstractNum w:abstractNumId="16">
    <w:nsid w:val="42307527"/>
    <w:multiLevelType w:val="hybridMultilevel"/>
    <w:tmpl w:val="4978D8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AB30915"/>
    <w:multiLevelType w:val="hybridMultilevel"/>
    <w:tmpl w:val="52E23E0C"/>
    <w:lvl w:ilvl="0" w:tplc="CFD6BDB6">
      <w:start w:val="1"/>
      <w:numFmt w:val="decimal"/>
      <w:lvlText w:val="%1."/>
      <w:lvlJc w:val="left"/>
      <w:pPr>
        <w:ind w:left="720" w:hanging="360"/>
      </w:pPr>
      <w:rPr>
        <w:rFonts w:hint="default"/>
        <w:b w:val="0"/>
        <w:bCs/>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0">
    <w:nsid w:val="59B36BBA"/>
    <w:multiLevelType w:val="hybridMultilevel"/>
    <w:tmpl w:val="1272E9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A9312D4"/>
    <w:multiLevelType w:val="hybridMultilevel"/>
    <w:tmpl w:val="77126472"/>
    <w:lvl w:ilvl="0" w:tplc="C838810C">
      <w:start w:val="81"/>
      <w:numFmt w:val="decimal"/>
      <w:lvlText w:val="%1."/>
      <w:lvlJc w:val="left"/>
      <w:pPr>
        <w:tabs>
          <w:tab w:val="num" w:pos="360"/>
        </w:tabs>
        <w:ind w:left="360" w:hanging="360"/>
      </w:pPr>
      <w:rPr>
        <w:rFonts w:hint="default"/>
        <w:b w:val="0"/>
        <w:bCs/>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B784186"/>
    <w:multiLevelType w:val="multilevel"/>
    <w:tmpl w:val="B41C128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B9357AE"/>
    <w:multiLevelType w:val="hybridMultilevel"/>
    <w:tmpl w:val="DB76D75A"/>
    <w:lvl w:ilvl="0" w:tplc="957A070A">
      <w:start w:val="1"/>
      <w:numFmt w:val="decimal"/>
      <w:lvlText w:val="%1."/>
      <w:lvlJc w:val="left"/>
      <w:pPr>
        <w:tabs>
          <w:tab w:val="num" w:pos="360"/>
        </w:tabs>
        <w:ind w:left="360" w:hanging="360"/>
      </w:pPr>
      <w:rPr>
        <w:rFonts w:hint="default"/>
        <w:b/>
        <w:i w:val="0"/>
        <w:color w:val="auto"/>
      </w:rPr>
    </w:lvl>
    <w:lvl w:ilvl="1" w:tplc="04090005">
      <w:start w:val="1"/>
      <w:numFmt w:val="bullet"/>
      <w:lvlText w:val=""/>
      <w:lvlJc w:val="left"/>
      <w:pPr>
        <w:tabs>
          <w:tab w:val="num" w:pos="1080"/>
        </w:tabs>
        <w:ind w:left="1080" w:hanging="360"/>
      </w:pPr>
      <w:rPr>
        <w:rFonts w:ascii="Wingdings" w:hAnsi="Wingdings" w:hint="default"/>
      </w:rPr>
    </w:lvl>
    <w:lvl w:ilvl="2" w:tplc="FDC05054">
      <w:start w:val="2"/>
      <w:numFmt w:val="lowerRoman"/>
      <w:lvlText w:val="(%3)"/>
      <w:lvlJc w:val="left"/>
      <w:pPr>
        <w:tabs>
          <w:tab w:val="num" w:pos="2340"/>
        </w:tabs>
        <w:ind w:left="2340" w:hanging="720"/>
      </w:pPr>
      <w:rPr>
        <w:rFonts w:hint="default"/>
      </w:rPr>
    </w:lvl>
    <w:lvl w:ilvl="3" w:tplc="3014D640">
      <w:start w:val="1"/>
      <w:numFmt w:val="lowerRoman"/>
      <w:lvlText w:val="%4)"/>
      <w:lvlJc w:val="left"/>
      <w:pPr>
        <w:tabs>
          <w:tab w:val="num" w:pos="2880"/>
        </w:tabs>
        <w:ind w:left="2880" w:hanging="720"/>
      </w:pPr>
      <w:rPr>
        <w:rFonts w:hint="default"/>
        <w:i/>
      </w:rPr>
    </w:lvl>
    <w:lvl w:ilvl="4" w:tplc="4BD6AE7A">
      <w:start w:val="3"/>
      <w:numFmt w:val="upperLetter"/>
      <w:lvlText w:val="%5."/>
      <w:lvlJc w:val="left"/>
      <w:pPr>
        <w:tabs>
          <w:tab w:val="num" w:pos="3240"/>
        </w:tabs>
        <w:ind w:left="3240" w:hanging="360"/>
      </w:pPr>
      <w:rPr>
        <w:rFonts w:hint="default"/>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60C8164C"/>
    <w:multiLevelType w:val="hybridMultilevel"/>
    <w:tmpl w:val="0BB80BDE"/>
    <w:lvl w:ilvl="0" w:tplc="A69E7F46">
      <w:start w:val="1"/>
      <w:numFmt w:val="bullet"/>
      <w:lvlText w:val=""/>
      <w:lvlJc w:val="left"/>
      <w:pPr>
        <w:tabs>
          <w:tab w:val="num" w:pos="380"/>
        </w:tabs>
        <w:ind w:left="380" w:hanging="380"/>
      </w:pPr>
      <w:rPr>
        <w:rFonts w:ascii="Symbol" w:hAnsi="Symbol" w:hint="default"/>
      </w:rPr>
    </w:lvl>
    <w:lvl w:ilvl="1" w:tplc="04090003" w:tentative="1">
      <w:start w:val="1"/>
      <w:numFmt w:val="bullet"/>
      <w:lvlText w:val="o"/>
      <w:lvlJc w:val="left"/>
      <w:pPr>
        <w:tabs>
          <w:tab w:val="num" w:pos="1100"/>
        </w:tabs>
        <w:ind w:left="1100" w:hanging="360"/>
      </w:pPr>
      <w:rPr>
        <w:rFonts w:ascii="Courier New" w:hAnsi="Courier New" w:cs="Courier New" w:hint="default"/>
      </w:rPr>
    </w:lvl>
    <w:lvl w:ilvl="2" w:tplc="04090005" w:tentative="1">
      <w:start w:val="1"/>
      <w:numFmt w:val="bullet"/>
      <w:lvlText w:val=""/>
      <w:lvlJc w:val="left"/>
      <w:pPr>
        <w:tabs>
          <w:tab w:val="num" w:pos="1820"/>
        </w:tabs>
        <w:ind w:left="1820" w:hanging="360"/>
      </w:pPr>
      <w:rPr>
        <w:rFonts w:ascii="Wingdings" w:hAnsi="Wingdings" w:hint="default"/>
      </w:rPr>
    </w:lvl>
    <w:lvl w:ilvl="3" w:tplc="04090001" w:tentative="1">
      <w:start w:val="1"/>
      <w:numFmt w:val="bullet"/>
      <w:lvlText w:val=""/>
      <w:lvlJc w:val="left"/>
      <w:pPr>
        <w:tabs>
          <w:tab w:val="num" w:pos="2540"/>
        </w:tabs>
        <w:ind w:left="2540" w:hanging="360"/>
      </w:pPr>
      <w:rPr>
        <w:rFonts w:ascii="Symbol" w:hAnsi="Symbol" w:hint="default"/>
      </w:rPr>
    </w:lvl>
    <w:lvl w:ilvl="4" w:tplc="04090003" w:tentative="1">
      <w:start w:val="1"/>
      <w:numFmt w:val="bullet"/>
      <w:lvlText w:val="o"/>
      <w:lvlJc w:val="left"/>
      <w:pPr>
        <w:tabs>
          <w:tab w:val="num" w:pos="3260"/>
        </w:tabs>
        <w:ind w:left="3260" w:hanging="360"/>
      </w:pPr>
      <w:rPr>
        <w:rFonts w:ascii="Courier New" w:hAnsi="Courier New" w:cs="Courier New" w:hint="default"/>
      </w:rPr>
    </w:lvl>
    <w:lvl w:ilvl="5" w:tplc="04090005" w:tentative="1">
      <w:start w:val="1"/>
      <w:numFmt w:val="bullet"/>
      <w:lvlText w:val=""/>
      <w:lvlJc w:val="left"/>
      <w:pPr>
        <w:tabs>
          <w:tab w:val="num" w:pos="3980"/>
        </w:tabs>
        <w:ind w:left="3980" w:hanging="360"/>
      </w:pPr>
      <w:rPr>
        <w:rFonts w:ascii="Wingdings" w:hAnsi="Wingdings" w:hint="default"/>
      </w:rPr>
    </w:lvl>
    <w:lvl w:ilvl="6" w:tplc="04090001" w:tentative="1">
      <w:start w:val="1"/>
      <w:numFmt w:val="bullet"/>
      <w:lvlText w:val=""/>
      <w:lvlJc w:val="left"/>
      <w:pPr>
        <w:tabs>
          <w:tab w:val="num" w:pos="4700"/>
        </w:tabs>
        <w:ind w:left="4700" w:hanging="360"/>
      </w:pPr>
      <w:rPr>
        <w:rFonts w:ascii="Symbol" w:hAnsi="Symbol" w:hint="default"/>
      </w:rPr>
    </w:lvl>
    <w:lvl w:ilvl="7" w:tplc="04090003" w:tentative="1">
      <w:start w:val="1"/>
      <w:numFmt w:val="bullet"/>
      <w:lvlText w:val="o"/>
      <w:lvlJc w:val="left"/>
      <w:pPr>
        <w:tabs>
          <w:tab w:val="num" w:pos="5420"/>
        </w:tabs>
        <w:ind w:left="5420" w:hanging="360"/>
      </w:pPr>
      <w:rPr>
        <w:rFonts w:ascii="Courier New" w:hAnsi="Courier New" w:cs="Courier New" w:hint="default"/>
      </w:rPr>
    </w:lvl>
    <w:lvl w:ilvl="8" w:tplc="04090005" w:tentative="1">
      <w:start w:val="1"/>
      <w:numFmt w:val="bullet"/>
      <w:lvlText w:val=""/>
      <w:lvlJc w:val="left"/>
      <w:pPr>
        <w:tabs>
          <w:tab w:val="num" w:pos="6140"/>
        </w:tabs>
        <w:ind w:left="6140" w:hanging="360"/>
      </w:pPr>
      <w:rPr>
        <w:rFonts w:ascii="Wingdings" w:hAnsi="Wingdings" w:hint="default"/>
      </w:rPr>
    </w:lvl>
  </w:abstractNum>
  <w:abstractNum w:abstractNumId="25">
    <w:nsid w:val="63050B30"/>
    <w:multiLevelType w:val="multilevel"/>
    <w:tmpl w:val="DA4C2928"/>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6">
    <w:nsid w:val="66B45E1B"/>
    <w:multiLevelType w:val="hybridMultilevel"/>
    <w:tmpl w:val="24CAAA32"/>
    <w:lvl w:ilvl="0" w:tplc="D292BF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8">
    <w:nsid w:val="6FB3666B"/>
    <w:multiLevelType w:val="hybridMultilevel"/>
    <w:tmpl w:val="CD16746E"/>
    <w:lvl w:ilvl="0" w:tplc="04090001">
      <w:start w:val="1"/>
      <w:numFmt w:val="bullet"/>
      <w:lvlText w:val=""/>
      <w:lvlJc w:val="left"/>
      <w:pPr>
        <w:ind w:left="720" w:hanging="360"/>
      </w:pPr>
      <w:rPr>
        <w:rFonts w:ascii="Symbol" w:hAnsi="Symbol"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4F5BB3"/>
    <w:multiLevelType w:val="hybridMultilevel"/>
    <w:tmpl w:val="43441BB8"/>
    <w:lvl w:ilvl="0" w:tplc="C226E622">
      <w:start w:val="1"/>
      <w:numFmt w:val="decimal"/>
      <w:lvlText w:val="%1."/>
      <w:lvlJc w:val="left"/>
      <w:pPr>
        <w:tabs>
          <w:tab w:val="num" w:pos="840"/>
        </w:tabs>
        <w:ind w:left="840" w:hanging="420"/>
      </w:pPr>
      <w:rPr>
        <w:rFonts w:ascii="Times New Roman" w:hAnsi="Times New Roman" w:cs="Times New Roman" w:hint="default"/>
        <w:color w:val="auto"/>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
    <w:nsid w:val="7238241D"/>
    <w:multiLevelType w:val="hybridMultilevel"/>
    <w:tmpl w:val="E5AEC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1B4DE0"/>
    <w:multiLevelType w:val="hybridMultilevel"/>
    <w:tmpl w:val="3D460EEC"/>
    <w:lvl w:ilvl="0" w:tplc="68EA63AC">
      <w:start w:val="46"/>
      <w:numFmt w:val="decimal"/>
      <w:lvlText w:val="%1."/>
      <w:lvlJc w:val="left"/>
      <w:pPr>
        <w:tabs>
          <w:tab w:val="num" w:pos="720"/>
        </w:tabs>
        <w:ind w:left="720" w:hanging="360"/>
      </w:pPr>
      <w:rPr>
        <w:rFonts w:hint="default"/>
        <w:b/>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B170319"/>
    <w:multiLevelType w:val="hybridMultilevel"/>
    <w:tmpl w:val="6BF032B4"/>
    <w:lvl w:ilvl="0" w:tplc="FFFFFFFF">
      <w:start w:val="1"/>
      <w:numFmt w:val="decimal"/>
      <w:pStyle w:val="H3"/>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3">
    <w:nsid w:val="7BC172FF"/>
    <w:multiLevelType w:val="hybridMultilevel"/>
    <w:tmpl w:val="DD2C8256"/>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E5F598D"/>
    <w:multiLevelType w:val="hybridMultilevel"/>
    <w:tmpl w:val="FF74C5F8"/>
    <w:lvl w:ilvl="0" w:tplc="5CC43694">
      <w:start w:val="170"/>
      <w:numFmt w:val="decimal"/>
      <w:lvlText w:val="%1."/>
      <w:lvlJc w:val="left"/>
      <w:pPr>
        <w:tabs>
          <w:tab w:val="num" w:pos="780"/>
        </w:tabs>
        <w:ind w:left="780" w:hanging="4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9"/>
  </w:num>
  <w:num w:numId="2">
    <w:abstractNumId w:val="0"/>
  </w:num>
  <w:num w:numId="3">
    <w:abstractNumId w:val="1"/>
  </w:num>
  <w:num w:numId="4">
    <w:abstractNumId w:val="27"/>
  </w:num>
  <w:num w:numId="5">
    <w:abstractNumId w:val="14"/>
  </w:num>
  <w:num w:numId="6">
    <w:abstractNumId w:val="17"/>
  </w:num>
  <w:num w:numId="7">
    <w:abstractNumId w:val="32"/>
  </w:num>
  <w:num w:numId="8">
    <w:abstractNumId w:val="2"/>
  </w:num>
  <w:num w:numId="9">
    <w:abstractNumId w:val="35"/>
  </w:num>
  <w:num w:numId="10">
    <w:abstractNumId w:val="9"/>
  </w:num>
  <w:num w:numId="11">
    <w:abstractNumId w:val="10"/>
  </w:num>
  <w:num w:numId="12">
    <w:abstractNumId w:val="18"/>
  </w:num>
  <w:num w:numId="13">
    <w:abstractNumId w:val="15"/>
  </w:num>
  <w:num w:numId="14">
    <w:abstractNumId w:val="26"/>
  </w:num>
  <w:num w:numId="15">
    <w:abstractNumId w:val="12"/>
  </w:num>
  <w:num w:numId="16">
    <w:abstractNumId w:val="33"/>
  </w:num>
  <w:num w:numId="17">
    <w:abstractNumId w:val="5"/>
  </w:num>
  <w:num w:numId="18">
    <w:abstractNumId w:val="21"/>
  </w:num>
  <w:num w:numId="19">
    <w:abstractNumId w:val="34"/>
  </w:num>
  <w:num w:numId="20">
    <w:abstractNumId w:val="11"/>
  </w:num>
  <w:num w:numId="21">
    <w:abstractNumId w:val="29"/>
  </w:num>
  <w:num w:numId="22">
    <w:abstractNumId w:val="11"/>
  </w:num>
  <w:num w:numId="23">
    <w:abstractNumId w:val="11"/>
  </w:num>
  <w:num w:numId="24">
    <w:abstractNumId w:val="11"/>
  </w:num>
  <w:num w:numId="25">
    <w:abstractNumId w:val="7"/>
  </w:num>
  <w:num w:numId="26">
    <w:abstractNumId w:val="6"/>
  </w:num>
  <w:num w:numId="27">
    <w:abstractNumId w:val="24"/>
  </w:num>
  <w:num w:numId="28">
    <w:abstractNumId w:val="25"/>
  </w:num>
  <w:num w:numId="29">
    <w:abstractNumId w:val="23"/>
  </w:num>
  <w:num w:numId="30">
    <w:abstractNumId w:val="8"/>
  </w:num>
  <w:num w:numId="31">
    <w:abstractNumId w:val="16"/>
  </w:num>
  <w:num w:numId="32">
    <w:abstractNumId w:val="31"/>
  </w:num>
  <w:num w:numId="33">
    <w:abstractNumId w:val="13"/>
  </w:num>
  <w:num w:numId="34">
    <w:abstractNumId w:val="20"/>
  </w:num>
  <w:num w:numId="35">
    <w:abstractNumId w:val="3"/>
  </w:num>
  <w:num w:numId="36">
    <w:abstractNumId w:val="22"/>
  </w:num>
  <w:num w:numId="37">
    <w:abstractNumId w:val="28"/>
  </w:num>
  <w:num w:numId="38">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157"/>
    <w:rsid w:val="00000F98"/>
    <w:rsid w:val="00036728"/>
    <w:rsid w:val="00041D45"/>
    <w:rsid w:val="00050136"/>
    <w:rsid w:val="00064834"/>
    <w:rsid w:val="00084F28"/>
    <w:rsid w:val="000C4739"/>
    <w:rsid w:val="000E5262"/>
    <w:rsid w:val="001233F5"/>
    <w:rsid w:val="00127428"/>
    <w:rsid w:val="00133771"/>
    <w:rsid w:val="00136322"/>
    <w:rsid w:val="00141D26"/>
    <w:rsid w:val="00144467"/>
    <w:rsid w:val="00156BA8"/>
    <w:rsid w:val="00193A1C"/>
    <w:rsid w:val="00197534"/>
    <w:rsid w:val="001A0191"/>
    <w:rsid w:val="001A700D"/>
    <w:rsid w:val="001B78AD"/>
    <w:rsid w:val="001D3B13"/>
    <w:rsid w:val="001E5370"/>
    <w:rsid w:val="001E54BE"/>
    <w:rsid w:val="001F020C"/>
    <w:rsid w:val="00212B1B"/>
    <w:rsid w:val="00224E78"/>
    <w:rsid w:val="0022507A"/>
    <w:rsid w:val="002251B0"/>
    <w:rsid w:val="00252C50"/>
    <w:rsid w:val="00271411"/>
    <w:rsid w:val="0028300F"/>
    <w:rsid w:val="002A1C6C"/>
    <w:rsid w:val="002D39D5"/>
    <w:rsid w:val="002E3919"/>
    <w:rsid w:val="002F234D"/>
    <w:rsid w:val="00315346"/>
    <w:rsid w:val="003160FB"/>
    <w:rsid w:val="003268A2"/>
    <w:rsid w:val="003344C1"/>
    <w:rsid w:val="00344F1C"/>
    <w:rsid w:val="00357714"/>
    <w:rsid w:val="00371864"/>
    <w:rsid w:val="00373FBC"/>
    <w:rsid w:val="0037751F"/>
    <w:rsid w:val="00382479"/>
    <w:rsid w:val="003A4A8E"/>
    <w:rsid w:val="003E2EEC"/>
    <w:rsid w:val="00417634"/>
    <w:rsid w:val="00430DAC"/>
    <w:rsid w:val="00436C98"/>
    <w:rsid w:val="0046219F"/>
    <w:rsid w:val="00483641"/>
    <w:rsid w:val="004928B5"/>
    <w:rsid w:val="004A3676"/>
    <w:rsid w:val="004B7177"/>
    <w:rsid w:val="004C2F0E"/>
    <w:rsid w:val="004E172F"/>
    <w:rsid w:val="004E4056"/>
    <w:rsid w:val="004E7EE8"/>
    <w:rsid w:val="004F07E5"/>
    <w:rsid w:val="004F78D7"/>
    <w:rsid w:val="00504D5C"/>
    <w:rsid w:val="0050502E"/>
    <w:rsid w:val="00506956"/>
    <w:rsid w:val="005108A8"/>
    <w:rsid w:val="00514E2F"/>
    <w:rsid w:val="00520611"/>
    <w:rsid w:val="00524B86"/>
    <w:rsid w:val="00527C62"/>
    <w:rsid w:val="0053435B"/>
    <w:rsid w:val="00554736"/>
    <w:rsid w:val="0056560E"/>
    <w:rsid w:val="00587A74"/>
    <w:rsid w:val="00601FCF"/>
    <w:rsid w:val="0063064C"/>
    <w:rsid w:val="0064394A"/>
    <w:rsid w:val="00647A11"/>
    <w:rsid w:val="006606A4"/>
    <w:rsid w:val="00663785"/>
    <w:rsid w:val="00667883"/>
    <w:rsid w:val="00694686"/>
    <w:rsid w:val="006A4FA5"/>
    <w:rsid w:val="006A5A20"/>
    <w:rsid w:val="006B57D6"/>
    <w:rsid w:val="006C7D6B"/>
    <w:rsid w:val="006D4117"/>
    <w:rsid w:val="006E648C"/>
    <w:rsid w:val="006F5E39"/>
    <w:rsid w:val="007030E1"/>
    <w:rsid w:val="00703E49"/>
    <w:rsid w:val="00705096"/>
    <w:rsid w:val="0073697C"/>
    <w:rsid w:val="007400DF"/>
    <w:rsid w:val="00751A14"/>
    <w:rsid w:val="007B6F9B"/>
    <w:rsid w:val="00822B82"/>
    <w:rsid w:val="00866518"/>
    <w:rsid w:val="008A24FD"/>
    <w:rsid w:val="008E2FFA"/>
    <w:rsid w:val="008E3076"/>
    <w:rsid w:val="008F3477"/>
    <w:rsid w:val="00904E07"/>
    <w:rsid w:val="009153F4"/>
    <w:rsid w:val="009162E0"/>
    <w:rsid w:val="0092354C"/>
    <w:rsid w:val="009364B6"/>
    <w:rsid w:val="009406CD"/>
    <w:rsid w:val="009408E7"/>
    <w:rsid w:val="00941A20"/>
    <w:rsid w:val="0096397D"/>
    <w:rsid w:val="00970E67"/>
    <w:rsid w:val="00971E32"/>
    <w:rsid w:val="009967A4"/>
    <w:rsid w:val="009A0D60"/>
    <w:rsid w:val="009B46B5"/>
    <w:rsid w:val="009C78D4"/>
    <w:rsid w:val="00A03764"/>
    <w:rsid w:val="00A75389"/>
    <w:rsid w:val="00AA44B7"/>
    <w:rsid w:val="00AB4612"/>
    <w:rsid w:val="00AE7EDC"/>
    <w:rsid w:val="00B159CA"/>
    <w:rsid w:val="00B43AFA"/>
    <w:rsid w:val="00B53288"/>
    <w:rsid w:val="00B603A7"/>
    <w:rsid w:val="00B66CC8"/>
    <w:rsid w:val="00B72A1B"/>
    <w:rsid w:val="00B741A2"/>
    <w:rsid w:val="00B7504E"/>
    <w:rsid w:val="00B77AE3"/>
    <w:rsid w:val="00B82BAE"/>
    <w:rsid w:val="00B87AFD"/>
    <w:rsid w:val="00B9457C"/>
    <w:rsid w:val="00BC725C"/>
    <w:rsid w:val="00BD543B"/>
    <w:rsid w:val="00C115CA"/>
    <w:rsid w:val="00C2053C"/>
    <w:rsid w:val="00C81348"/>
    <w:rsid w:val="00CB0AAC"/>
    <w:rsid w:val="00CD59D4"/>
    <w:rsid w:val="00CE66FC"/>
    <w:rsid w:val="00D07CFE"/>
    <w:rsid w:val="00D26619"/>
    <w:rsid w:val="00D46179"/>
    <w:rsid w:val="00D477D9"/>
    <w:rsid w:val="00D5609A"/>
    <w:rsid w:val="00D62D8D"/>
    <w:rsid w:val="00D84688"/>
    <w:rsid w:val="00D9145E"/>
    <w:rsid w:val="00DC448F"/>
    <w:rsid w:val="00DE2CDA"/>
    <w:rsid w:val="00E31944"/>
    <w:rsid w:val="00E43912"/>
    <w:rsid w:val="00E57BF5"/>
    <w:rsid w:val="00E60010"/>
    <w:rsid w:val="00E75735"/>
    <w:rsid w:val="00E812ED"/>
    <w:rsid w:val="00E830D6"/>
    <w:rsid w:val="00EA3F3F"/>
    <w:rsid w:val="00EC274B"/>
    <w:rsid w:val="00F0511D"/>
    <w:rsid w:val="00F05B2D"/>
    <w:rsid w:val="00F05F0D"/>
    <w:rsid w:val="00F32AF9"/>
    <w:rsid w:val="00F3353C"/>
    <w:rsid w:val="00F41B4C"/>
    <w:rsid w:val="00F565C1"/>
    <w:rsid w:val="00F665CC"/>
    <w:rsid w:val="00F66756"/>
    <w:rsid w:val="00F81B31"/>
    <w:rsid w:val="00F93BBA"/>
    <w:rsid w:val="00FB05C0"/>
    <w:rsid w:val="00FC0F4E"/>
    <w:rsid w:val="00FC69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character" w:customStyle="1" w:styleId="CharChar17">
    <w:name w:val=" Char Char17"/>
    <w:locked/>
    <w:rPr>
      <w:rFonts w:eastAsia="SimHei"/>
      <w:kern w:val="2"/>
      <w:sz w:val="28"/>
      <w:lang w:val="en-US" w:eastAsia="zh-CN" w:bidi="ar-SA"/>
    </w:rPr>
  </w:style>
  <w:style w:type="paragraph" w:styleId="NormalIndent">
    <w:name w:val="Normal Indent"/>
    <w:basedOn w:val="Normal"/>
    <w:pPr>
      <w:spacing w:line="240" w:lineRule="auto"/>
      <w:ind w:firstLine="420"/>
    </w:pPr>
    <w:rPr>
      <w:kern w:val="2"/>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w:basedOn w:val="Normal"/>
    <w:semiHidden/>
    <w:pPr>
      <w:jc w:val="left"/>
    </w:pPr>
    <w:rPr>
      <w:rFonts w:eastAsia="仿宋体"/>
      <w:sz w:val="18"/>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table" w:styleId="TableGrid">
    <w:name w:val="Table Grid"/>
    <w:basedOn w:val="TableNormal"/>
    <w:rsid w:val="005206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paragraph" w:customStyle="1" w:styleId="Bullet">
    <w:name w:val="Bullet"/>
    <w:basedOn w:val="Normal"/>
    <w:rsid w:val="00DE2CDA"/>
    <w:pPr>
      <w:numPr>
        <w:numId w:val="20"/>
      </w:numPr>
    </w:pPr>
  </w:style>
  <w:style w:type="paragraph" w:styleId="TableofFigures">
    <w:name w:val="table of figures"/>
    <w:basedOn w:val="Normal"/>
    <w:next w:val="Normal"/>
    <w:semiHidden/>
    <w:rsid w:val="00F41B4C"/>
    <w:pPr>
      <w:widowControl/>
      <w:adjustRightInd/>
      <w:spacing w:line="240" w:lineRule="auto"/>
      <w:jc w:val="left"/>
      <w:textAlignment w:val="auto"/>
    </w:pPr>
    <w:rPr>
      <w:sz w:val="24"/>
      <w:szCs w:val="24"/>
      <w:lang w:val="en-GB" w:eastAsia="en-US"/>
    </w:rPr>
  </w:style>
  <w:style w:type="paragraph" w:customStyle="1" w:styleId="Char1">
    <w:name w:val="Char1"/>
    <w:basedOn w:val="Normal"/>
    <w:rsid w:val="00F41B4C"/>
    <w:pPr>
      <w:widowControl/>
      <w:adjustRightInd/>
      <w:spacing w:after="160" w:line="240" w:lineRule="exact"/>
      <w:jc w:val="left"/>
      <w:textAlignment w:val="auto"/>
    </w:pPr>
    <w:rPr>
      <w:rFonts w:ascii="Arial" w:hAnsi="Arial" w:cs="Arial"/>
      <w:sz w:val="20"/>
      <w:lang w:val="en-GB" w:eastAsia="en-US"/>
    </w:rPr>
  </w:style>
  <w:style w:type="paragraph" w:customStyle="1" w:styleId="ParaNo">
    <w:name w:val="ParaNo."/>
    <w:basedOn w:val="Normal"/>
    <w:rsid w:val="00F41B4C"/>
    <w:pPr>
      <w:widowControl/>
      <w:tabs>
        <w:tab w:val="left" w:pos="737"/>
      </w:tabs>
      <w:adjustRightInd/>
      <w:spacing w:line="240" w:lineRule="auto"/>
      <w:ind w:left="720" w:hanging="360"/>
      <w:jc w:val="left"/>
      <w:textAlignment w:val="auto"/>
    </w:pPr>
    <w:rPr>
      <w:sz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TotalTime>
  <Pages>1</Pages>
  <Words>6554</Words>
  <Characters>37360</Characters>
  <Application>Microsoft Office Word</Application>
  <DocSecurity>4</DocSecurity>
  <Lines>311</Lines>
  <Paragraphs>87</Paragraphs>
  <ScaleCrop>false</ScaleCrop>
  <Company>infoll</Company>
  <LinksUpToDate>false</LinksUpToDate>
  <CharactersWithSpaces>43827</CharactersWithSpaces>
  <SharedDoc>false</SharedDoc>
  <HLinks>
    <vt:vector size="180" baseType="variant">
      <vt:variant>
        <vt:i4>1376312</vt:i4>
      </vt:variant>
      <vt:variant>
        <vt:i4>176</vt:i4>
      </vt:variant>
      <vt:variant>
        <vt:i4>0</vt:i4>
      </vt:variant>
      <vt:variant>
        <vt:i4>5</vt:i4>
      </vt:variant>
      <vt:variant>
        <vt:lpwstr/>
      </vt:variant>
      <vt:variant>
        <vt:lpwstr>_Toc221523961</vt:lpwstr>
      </vt:variant>
      <vt:variant>
        <vt:i4>1376312</vt:i4>
      </vt:variant>
      <vt:variant>
        <vt:i4>170</vt:i4>
      </vt:variant>
      <vt:variant>
        <vt:i4>0</vt:i4>
      </vt:variant>
      <vt:variant>
        <vt:i4>5</vt:i4>
      </vt:variant>
      <vt:variant>
        <vt:lpwstr/>
      </vt:variant>
      <vt:variant>
        <vt:lpwstr>_Toc221523960</vt:lpwstr>
      </vt:variant>
      <vt:variant>
        <vt:i4>1441848</vt:i4>
      </vt:variant>
      <vt:variant>
        <vt:i4>164</vt:i4>
      </vt:variant>
      <vt:variant>
        <vt:i4>0</vt:i4>
      </vt:variant>
      <vt:variant>
        <vt:i4>5</vt:i4>
      </vt:variant>
      <vt:variant>
        <vt:lpwstr/>
      </vt:variant>
      <vt:variant>
        <vt:lpwstr>_Toc221523959</vt:lpwstr>
      </vt:variant>
      <vt:variant>
        <vt:i4>1441848</vt:i4>
      </vt:variant>
      <vt:variant>
        <vt:i4>158</vt:i4>
      </vt:variant>
      <vt:variant>
        <vt:i4>0</vt:i4>
      </vt:variant>
      <vt:variant>
        <vt:i4>5</vt:i4>
      </vt:variant>
      <vt:variant>
        <vt:lpwstr/>
      </vt:variant>
      <vt:variant>
        <vt:lpwstr>_Toc221523958</vt:lpwstr>
      </vt:variant>
      <vt:variant>
        <vt:i4>1441848</vt:i4>
      </vt:variant>
      <vt:variant>
        <vt:i4>152</vt:i4>
      </vt:variant>
      <vt:variant>
        <vt:i4>0</vt:i4>
      </vt:variant>
      <vt:variant>
        <vt:i4>5</vt:i4>
      </vt:variant>
      <vt:variant>
        <vt:lpwstr/>
      </vt:variant>
      <vt:variant>
        <vt:lpwstr>_Toc221523957</vt:lpwstr>
      </vt:variant>
      <vt:variant>
        <vt:i4>1441848</vt:i4>
      </vt:variant>
      <vt:variant>
        <vt:i4>146</vt:i4>
      </vt:variant>
      <vt:variant>
        <vt:i4>0</vt:i4>
      </vt:variant>
      <vt:variant>
        <vt:i4>5</vt:i4>
      </vt:variant>
      <vt:variant>
        <vt:lpwstr/>
      </vt:variant>
      <vt:variant>
        <vt:lpwstr>_Toc221523956</vt:lpwstr>
      </vt:variant>
      <vt:variant>
        <vt:i4>1441848</vt:i4>
      </vt:variant>
      <vt:variant>
        <vt:i4>140</vt:i4>
      </vt:variant>
      <vt:variant>
        <vt:i4>0</vt:i4>
      </vt:variant>
      <vt:variant>
        <vt:i4>5</vt:i4>
      </vt:variant>
      <vt:variant>
        <vt:lpwstr/>
      </vt:variant>
      <vt:variant>
        <vt:lpwstr>_Toc221523955</vt:lpwstr>
      </vt:variant>
      <vt:variant>
        <vt:i4>1441848</vt:i4>
      </vt:variant>
      <vt:variant>
        <vt:i4>134</vt:i4>
      </vt:variant>
      <vt:variant>
        <vt:i4>0</vt:i4>
      </vt:variant>
      <vt:variant>
        <vt:i4>5</vt:i4>
      </vt:variant>
      <vt:variant>
        <vt:lpwstr/>
      </vt:variant>
      <vt:variant>
        <vt:lpwstr>_Toc221523954</vt:lpwstr>
      </vt:variant>
      <vt:variant>
        <vt:i4>1441848</vt:i4>
      </vt:variant>
      <vt:variant>
        <vt:i4>128</vt:i4>
      </vt:variant>
      <vt:variant>
        <vt:i4>0</vt:i4>
      </vt:variant>
      <vt:variant>
        <vt:i4>5</vt:i4>
      </vt:variant>
      <vt:variant>
        <vt:lpwstr/>
      </vt:variant>
      <vt:variant>
        <vt:lpwstr>_Toc221523953</vt:lpwstr>
      </vt:variant>
      <vt:variant>
        <vt:i4>1441848</vt:i4>
      </vt:variant>
      <vt:variant>
        <vt:i4>122</vt:i4>
      </vt:variant>
      <vt:variant>
        <vt:i4>0</vt:i4>
      </vt:variant>
      <vt:variant>
        <vt:i4>5</vt:i4>
      </vt:variant>
      <vt:variant>
        <vt:lpwstr/>
      </vt:variant>
      <vt:variant>
        <vt:lpwstr>_Toc221523952</vt:lpwstr>
      </vt:variant>
      <vt:variant>
        <vt:i4>1441848</vt:i4>
      </vt:variant>
      <vt:variant>
        <vt:i4>116</vt:i4>
      </vt:variant>
      <vt:variant>
        <vt:i4>0</vt:i4>
      </vt:variant>
      <vt:variant>
        <vt:i4>5</vt:i4>
      </vt:variant>
      <vt:variant>
        <vt:lpwstr/>
      </vt:variant>
      <vt:variant>
        <vt:lpwstr>_Toc221523951</vt:lpwstr>
      </vt:variant>
      <vt:variant>
        <vt:i4>1441848</vt:i4>
      </vt:variant>
      <vt:variant>
        <vt:i4>110</vt:i4>
      </vt:variant>
      <vt:variant>
        <vt:i4>0</vt:i4>
      </vt:variant>
      <vt:variant>
        <vt:i4>5</vt:i4>
      </vt:variant>
      <vt:variant>
        <vt:lpwstr/>
      </vt:variant>
      <vt:variant>
        <vt:lpwstr>_Toc221523950</vt:lpwstr>
      </vt:variant>
      <vt:variant>
        <vt:i4>1507384</vt:i4>
      </vt:variant>
      <vt:variant>
        <vt:i4>104</vt:i4>
      </vt:variant>
      <vt:variant>
        <vt:i4>0</vt:i4>
      </vt:variant>
      <vt:variant>
        <vt:i4>5</vt:i4>
      </vt:variant>
      <vt:variant>
        <vt:lpwstr/>
      </vt:variant>
      <vt:variant>
        <vt:lpwstr>_Toc221523949</vt:lpwstr>
      </vt:variant>
      <vt:variant>
        <vt:i4>1507384</vt:i4>
      </vt:variant>
      <vt:variant>
        <vt:i4>98</vt:i4>
      </vt:variant>
      <vt:variant>
        <vt:i4>0</vt:i4>
      </vt:variant>
      <vt:variant>
        <vt:i4>5</vt:i4>
      </vt:variant>
      <vt:variant>
        <vt:lpwstr/>
      </vt:variant>
      <vt:variant>
        <vt:lpwstr>_Toc221523948</vt:lpwstr>
      </vt:variant>
      <vt:variant>
        <vt:i4>1507384</vt:i4>
      </vt:variant>
      <vt:variant>
        <vt:i4>92</vt:i4>
      </vt:variant>
      <vt:variant>
        <vt:i4>0</vt:i4>
      </vt:variant>
      <vt:variant>
        <vt:i4>5</vt:i4>
      </vt:variant>
      <vt:variant>
        <vt:lpwstr/>
      </vt:variant>
      <vt:variant>
        <vt:lpwstr>_Toc221523947</vt:lpwstr>
      </vt:variant>
      <vt:variant>
        <vt:i4>1507384</vt:i4>
      </vt:variant>
      <vt:variant>
        <vt:i4>86</vt:i4>
      </vt:variant>
      <vt:variant>
        <vt:i4>0</vt:i4>
      </vt:variant>
      <vt:variant>
        <vt:i4>5</vt:i4>
      </vt:variant>
      <vt:variant>
        <vt:lpwstr/>
      </vt:variant>
      <vt:variant>
        <vt:lpwstr>_Toc221523946</vt:lpwstr>
      </vt:variant>
      <vt:variant>
        <vt:i4>1507384</vt:i4>
      </vt:variant>
      <vt:variant>
        <vt:i4>80</vt:i4>
      </vt:variant>
      <vt:variant>
        <vt:i4>0</vt:i4>
      </vt:variant>
      <vt:variant>
        <vt:i4>5</vt:i4>
      </vt:variant>
      <vt:variant>
        <vt:lpwstr/>
      </vt:variant>
      <vt:variant>
        <vt:lpwstr>_Toc221523945</vt:lpwstr>
      </vt:variant>
      <vt:variant>
        <vt:i4>1507384</vt:i4>
      </vt:variant>
      <vt:variant>
        <vt:i4>74</vt:i4>
      </vt:variant>
      <vt:variant>
        <vt:i4>0</vt:i4>
      </vt:variant>
      <vt:variant>
        <vt:i4>5</vt:i4>
      </vt:variant>
      <vt:variant>
        <vt:lpwstr/>
      </vt:variant>
      <vt:variant>
        <vt:lpwstr>_Toc221523944</vt:lpwstr>
      </vt:variant>
      <vt:variant>
        <vt:i4>1507384</vt:i4>
      </vt:variant>
      <vt:variant>
        <vt:i4>68</vt:i4>
      </vt:variant>
      <vt:variant>
        <vt:i4>0</vt:i4>
      </vt:variant>
      <vt:variant>
        <vt:i4>5</vt:i4>
      </vt:variant>
      <vt:variant>
        <vt:lpwstr/>
      </vt:variant>
      <vt:variant>
        <vt:lpwstr>_Toc221523943</vt:lpwstr>
      </vt:variant>
      <vt:variant>
        <vt:i4>1507384</vt:i4>
      </vt:variant>
      <vt:variant>
        <vt:i4>62</vt:i4>
      </vt:variant>
      <vt:variant>
        <vt:i4>0</vt:i4>
      </vt:variant>
      <vt:variant>
        <vt:i4>5</vt:i4>
      </vt:variant>
      <vt:variant>
        <vt:lpwstr/>
      </vt:variant>
      <vt:variant>
        <vt:lpwstr>_Toc221523942</vt:lpwstr>
      </vt:variant>
      <vt:variant>
        <vt:i4>1507384</vt:i4>
      </vt:variant>
      <vt:variant>
        <vt:i4>56</vt:i4>
      </vt:variant>
      <vt:variant>
        <vt:i4>0</vt:i4>
      </vt:variant>
      <vt:variant>
        <vt:i4>5</vt:i4>
      </vt:variant>
      <vt:variant>
        <vt:lpwstr/>
      </vt:variant>
      <vt:variant>
        <vt:lpwstr>_Toc221523941</vt:lpwstr>
      </vt:variant>
      <vt:variant>
        <vt:i4>1507384</vt:i4>
      </vt:variant>
      <vt:variant>
        <vt:i4>50</vt:i4>
      </vt:variant>
      <vt:variant>
        <vt:i4>0</vt:i4>
      </vt:variant>
      <vt:variant>
        <vt:i4>5</vt:i4>
      </vt:variant>
      <vt:variant>
        <vt:lpwstr/>
      </vt:variant>
      <vt:variant>
        <vt:lpwstr>_Toc221523940</vt:lpwstr>
      </vt:variant>
      <vt:variant>
        <vt:i4>1048632</vt:i4>
      </vt:variant>
      <vt:variant>
        <vt:i4>44</vt:i4>
      </vt:variant>
      <vt:variant>
        <vt:i4>0</vt:i4>
      </vt:variant>
      <vt:variant>
        <vt:i4>5</vt:i4>
      </vt:variant>
      <vt:variant>
        <vt:lpwstr/>
      </vt:variant>
      <vt:variant>
        <vt:lpwstr>_Toc221523939</vt:lpwstr>
      </vt:variant>
      <vt:variant>
        <vt:i4>1048632</vt:i4>
      </vt:variant>
      <vt:variant>
        <vt:i4>38</vt:i4>
      </vt:variant>
      <vt:variant>
        <vt:i4>0</vt:i4>
      </vt:variant>
      <vt:variant>
        <vt:i4>5</vt:i4>
      </vt:variant>
      <vt:variant>
        <vt:lpwstr/>
      </vt:variant>
      <vt:variant>
        <vt:lpwstr>_Toc221523938</vt:lpwstr>
      </vt:variant>
      <vt:variant>
        <vt:i4>1048632</vt:i4>
      </vt:variant>
      <vt:variant>
        <vt:i4>32</vt:i4>
      </vt:variant>
      <vt:variant>
        <vt:i4>0</vt:i4>
      </vt:variant>
      <vt:variant>
        <vt:i4>5</vt:i4>
      </vt:variant>
      <vt:variant>
        <vt:lpwstr/>
      </vt:variant>
      <vt:variant>
        <vt:lpwstr>_Toc221523937</vt:lpwstr>
      </vt:variant>
      <vt:variant>
        <vt:i4>1048632</vt:i4>
      </vt:variant>
      <vt:variant>
        <vt:i4>26</vt:i4>
      </vt:variant>
      <vt:variant>
        <vt:i4>0</vt:i4>
      </vt:variant>
      <vt:variant>
        <vt:i4>5</vt:i4>
      </vt:variant>
      <vt:variant>
        <vt:lpwstr/>
      </vt:variant>
      <vt:variant>
        <vt:lpwstr>_Toc221523936</vt:lpwstr>
      </vt:variant>
      <vt:variant>
        <vt:i4>1048632</vt:i4>
      </vt:variant>
      <vt:variant>
        <vt:i4>20</vt:i4>
      </vt:variant>
      <vt:variant>
        <vt:i4>0</vt:i4>
      </vt:variant>
      <vt:variant>
        <vt:i4>5</vt:i4>
      </vt:variant>
      <vt:variant>
        <vt:lpwstr/>
      </vt:variant>
      <vt:variant>
        <vt:lpwstr>_Toc221523935</vt:lpwstr>
      </vt:variant>
      <vt:variant>
        <vt:i4>1048632</vt:i4>
      </vt:variant>
      <vt:variant>
        <vt:i4>14</vt:i4>
      </vt:variant>
      <vt:variant>
        <vt:i4>0</vt:i4>
      </vt:variant>
      <vt:variant>
        <vt:i4>5</vt:i4>
      </vt:variant>
      <vt:variant>
        <vt:lpwstr/>
      </vt:variant>
      <vt:variant>
        <vt:lpwstr>_Toc221523934</vt:lpwstr>
      </vt:variant>
      <vt:variant>
        <vt:i4>1048632</vt:i4>
      </vt:variant>
      <vt:variant>
        <vt:i4>8</vt:i4>
      </vt:variant>
      <vt:variant>
        <vt:i4>0</vt:i4>
      </vt:variant>
      <vt:variant>
        <vt:i4>5</vt:i4>
      </vt:variant>
      <vt:variant>
        <vt:lpwstr/>
      </vt:variant>
      <vt:variant>
        <vt:lpwstr>_Toc221523933</vt:lpwstr>
      </vt:variant>
      <vt:variant>
        <vt:i4>1048632</vt:i4>
      </vt:variant>
      <vt:variant>
        <vt:i4>2</vt:i4>
      </vt:variant>
      <vt:variant>
        <vt:i4>0</vt:i4>
      </vt:variant>
      <vt:variant>
        <vt:i4>5</vt:i4>
      </vt:variant>
      <vt:variant>
        <vt:lpwstr/>
      </vt:variant>
      <vt:variant>
        <vt:lpwstr>_Toc221523932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5</cp:revision>
  <cp:lastPrinted>2009-02-11T11:48:00Z</cp:lastPrinted>
  <dcterms:created xsi:type="dcterms:W3CDTF">2009-02-11T11:46:00Z</dcterms:created>
  <dcterms:modified xsi:type="dcterms:W3CDTF">2009-02-11T11:48:00Z</dcterms:modified>
</cp:coreProperties>
</file>