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075B19B" w14:textId="77777777" w:rsidTr="009D5F1A">
        <w:trPr>
          <w:trHeight w:hRule="exact" w:val="851"/>
        </w:trPr>
        <w:tc>
          <w:tcPr>
            <w:tcW w:w="1276" w:type="dxa"/>
            <w:tcBorders>
              <w:bottom w:val="single" w:sz="4" w:space="0" w:color="auto"/>
            </w:tcBorders>
          </w:tcPr>
          <w:p w14:paraId="7A42226F" w14:textId="77777777" w:rsidR="00DC0149" w:rsidRPr="00DB58B5" w:rsidRDefault="00DC0149" w:rsidP="006D07BC"/>
        </w:tc>
        <w:tc>
          <w:tcPr>
            <w:tcW w:w="2268" w:type="dxa"/>
            <w:tcBorders>
              <w:bottom w:val="single" w:sz="4" w:space="0" w:color="auto"/>
            </w:tcBorders>
            <w:vAlign w:val="bottom"/>
          </w:tcPr>
          <w:p w14:paraId="562FE3F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48C336" w14:textId="2995ABA4" w:rsidR="00DC0149" w:rsidRPr="00DB58B5" w:rsidRDefault="006D07BC" w:rsidP="006D07BC">
            <w:pPr>
              <w:jc w:val="right"/>
            </w:pPr>
            <w:r w:rsidRPr="006D07BC">
              <w:rPr>
                <w:sz w:val="40"/>
              </w:rPr>
              <w:t>CERD</w:t>
            </w:r>
            <w:r>
              <w:t>/C/BWA/Q/17-22</w:t>
            </w:r>
          </w:p>
        </w:tc>
      </w:tr>
      <w:tr w:rsidR="00DC0149" w:rsidRPr="00DB58B5" w14:paraId="6FA371AC" w14:textId="77777777" w:rsidTr="009D5F1A">
        <w:trPr>
          <w:trHeight w:hRule="exact" w:val="2835"/>
        </w:trPr>
        <w:tc>
          <w:tcPr>
            <w:tcW w:w="1276" w:type="dxa"/>
            <w:tcBorders>
              <w:top w:val="single" w:sz="4" w:space="0" w:color="auto"/>
              <w:bottom w:val="single" w:sz="12" w:space="0" w:color="auto"/>
            </w:tcBorders>
          </w:tcPr>
          <w:p w14:paraId="2E2B499F" w14:textId="77777777" w:rsidR="00DC0149" w:rsidRPr="00DB58B5" w:rsidRDefault="00DC0149" w:rsidP="009D5F1A">
            <w:pPr>
              <w:spacing w:before="120"/>
              <w:jc w:val="center"/>
            </w:pPr>
            <w:r>
              <w:rPr>
                <w:noProof/>
                <w:lang w:eastAsia="fr-CH"/>
              </w:rPr>
              <w:drawing>
                <wp:inline distT="0" distB="0" distL="0" distR="0" wp14:anchorId="364B9467" wp14:editId="0C890F6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B42916"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0210768" w14:textId="77777777" w:rsidR="00DC0149" w:rsidRDefault="006D07BC" w:rsidP="009D5F1A">
            <w:pPr>
              <w:spacing w:before="240"/>
            </w:pPr>
            <w:r>
              <w:t>Distr. générale</w:t>
            </w:r>
          </w:p>
          <w:p w14:paraId="7230B249" w14:textId="77777777" w:rsidR="006D07BC" w:rsidRDefault="006D07BC" w:rsidP="006D07BC">
            <w:pPr>
              <w:spacing w:line="240" w:lineRule="exact"/>
            </w:pPr>
            <w:r>
              <w:t>28 novembre 2022</w:t>
            </w:r>
          </w:p>
          <w:p w14:paraId="5FD5012E" w14:textId="3C491F3D" w:rsidR="006D07BC" w:rsidRDefault="006D07BC" w:rsidP="006D07BC">
            <w:pPr>
              <w:spacing w:line="240" w:lineRule="exact"/>
            </w:pPr>
            <w:r>
              <w:t>Français</w:t>
            </w:r>
            <w:r>
              <w:br/>
              <w:t>Original</w:t>
            </w:r>
            <w:r w:rsidR="00AA1D7D">
              <w:t> :</w:t>
            </w:r>
            <w:r>
              <w:t xml:space="preserve"> anglais</w:t>
            </w:r>
          </w:p>
          <w:p w14:paraId="1399000B" w14:textId="4DEEDE5A" w:rsidR="006D07BC" w:rsidRPr="00DB58B5" w:rsidRDefault="006D07BC" w:rsidP="006D07BC">
            <w:pPr>
              <w:spacing w:line="240" w:lineRule="exact"/>
            </w:pPr>
            <w:r>
              <w:t>Anglais, espagnol et français seulement</w:t>
            </w:r>
          </w:p>
        </w:tc>
      </w:tr>
    </w:tbl>
    <w:p w14:paraId="6C4CBEDB" w14:textId="77777777" w:rsidR="00623CA8" w:rsidRDefault="00623CA8" w:rsidP="00623CA8">
      <w:pPr>
        <w:spacing w:before="120"/>
        <w:rPr>
          <w:b/>
          <w:sz w:val="24"/>
          <w:szCs w:val="24"/>
        </w:rPr>
      </w:pPr>
      <w:r w:rsidRPr="00C56102">
        <w:rPr>
          <w:b/>
          <w:sz w:val="24"/>
          <w:szCs w:val="24"/>
        </w:rPr>
        <w:t>Comité pour l’élimination de la discrimination raciale</w:t>
      </w:r>
    </w:p>
    <w:p w14:paraId="0C902201" w14:textId="77777777" w:rsidR="00AA1D7D" w:rsidRPr="00B516CB" w:rsidRDefault="00AA1D7D" w:rsidP="00AA1D7D">
      <w:pPr>
        <w:rPr>
          <w:b/>
          <w:bCs/>
          <w:color w:val="000000" w:themeColor="text1"/>
          <w:shd w:val="clear" w:color="000000" w:fill="FFFFFF"/>
          <w:lang w:val="fr-FR"/>
        </w:rPr>
      </w:pPr>
      <w:r w:rsidRPr="00B516CB">
        <w:rPr>
          <w:b/>
          <w:bCs/>
          <w:lang w:val="fr-FR"/>
        </w:rPr>
        <w:t>108</w:t>
      </w:r>
      <w:r w:rsidRPr="00B516CB">
        <w:rPr>
          <w:b/>
          <w:bCs/>
          <w:vertAlign w:val="superscript"/>
          <w:lang w:val="fr-FR"/>
        </w:rPr>
        <w:t>e</w:t>
      </w:r>
      <w:r w:rsidRPr="00B516CB">
        <w:rPr>
          <w:b/>
          <w:bCs/>
          <w:lang w:val="fr-FR"/>
        </w:rPr>
        <w:t xml:space="preserve"> session</w:t>
      </w:r>
    </w:p>
    <w:p w14:paraId="10753B7C" w14:textId="77777777" w:rsidR="00AA1D7D" w:rsidRPr="00B516CB" w:rsidRDefault="00AA1D7D" w:rsidP="00AA1D7D">
      <w:pPr>
        <w:rPr>
          <w:color w:val="000000" w:themeColor="text1"/>
          <w:shd w:val="clear" w:color="000000" w:fill="FFFFFF"/>
          <w:lang w:val="fr-FR"/>
        </w:rPr>
      </w:pPr>
      <w:r w:rsidRPr="00B516CB">
        <w:rPr>
          <w:lang w:val="fr-FR"/>
        </w:rPr>
        <w:t>14 novembre-2 décembre 2022</w:t>
      </w:r>
    </w:p>
    <w:p w14:paraId="7C77C395" w14:textId="77777777" w:rsidR="00AA1D7D" w:rsidRPr="00B516CB" w:rsidRDefault="00AA1D7D" w:rsidP="00AA1D7D">
      <w:pPr>
        <w:rPr>
          <w:color w:val="000000" w:themeColor="text1"/>
          <w:shd w:val="clear" w:color="000000" w:fill="FFFFFF"/>
          <w:lang w:val="fr-FR"/>
        </w:rPr>
      </w:pPr>
      <w:r w:rsidRPr="00B516CB">
        <w:rPr>
          <w:lang w:val="fr-FR"/>
        </w:rPr>
        <w:t>Point 4 de l’ordre du jour</w:t>
      </w:r>
    </w:p>
    <w:p w14:paraId="19972C88" w14:textId="58511925" w:rsidR="00AA1D7D" w:rsidRPr="00B516CB" w:rsidRDefault="00AA1D7D" w:rsidP="00AA1D7D">
      <w:pPr>
        <w:rPr>
          <w:b/>
          <w:bCs/>
          <w:color w:val="000000" w:themeColor="text1"/>
          <w:shd w:val="clear" w:color="000000" w:fill="FFFFFF"/>
          <w:lang w:val="fr-FR"/>
        </w:rPr>
      </w:pPr>
      <w:r w:rsidRPr="00B516CB">
        <w:rPr>
          <w:b/>
          <w:bCs/>
          <w:lang w:val="fr-FR"/>
        </w:rPr>
        <w:t xml:space="preserve">Examen des rapports, observations et renseignements soumis </w:t>
      </w:r>
      <w:r w:rsidR="00AE586F">
        <w:rPr>
          <w:b/>
          <w:bCs/>
          <w:lang w:val="fr-FR"/>
        </w:rPr>
        <w:br/>
      </w:r>
      <w:r w:rsidRPr="00B516CB">
        <w:rPr>
          <w:b/>
          <w:bCs/>
          <w:lang w:val="fr-FR"/>
        </w:rPr>
        <w:t>par les États parties en application de l’article 9 de la Convention</w:t>
      </w:r>
    </w:p>
    <w:p w14:paraId="57942B8E" w14:textId="77777777" w:rsidR="00AA1D7D" w:rsidRPr="00B516CB" w:rsidRDefault="00AA1D7D" w:rsidP="00AE586F">
      <w:pPr>
        <w:pStyle w:val="HChG"/>
        <w:rPr>
          <w:shd w:val="clear" w:color="000000" w:fill="FFFFFF"/>
          <w:lang w:val="fr-FR"/>
        </w:rPr>
      </w:pPr>
      <w:r w:rsidRPr="00B516CB">
        <w:rPr>
          <w:lang w:val="fr-FR"/>
        </w:rPr>
        <w:tab/>
      </w:r>
      <w:r w:rsidRPr="00B516CB">
        <w:rPr>
          <w:lang w:val="fr-FR"/>
        </w:rPr>
        <w:tab/>
        <w:t>Liste de thèmes concernant le rapport du Botswana valant dix-septième à vingt-deuxième rapports périodiques</w:t>
      </w:r>
    </w:p>
    <w:p w14:paraId="6A57D1BB" w14:textId="77777777" w:rsidR="00AA1D7D" w:rsidRPr="00B516CB" w:rsidRDefault="00AA1D7D" w:rsidP="00AA1D7D">
      <w:pPr>
        <w:pStyle w:val="H1G"/>
        <w:rPr>
          <w:shd w:val="clear" w:color="000000" w:fill="FFFFFF"/>
          <w:lang w:val="fr-FR"/>
        </w:rPr>
      </w:pPr>
      <w:r w:rsidRPr="00B516CB">
        <w:rPr>
          <w:lang w:val="fr-FR"/>
        </w:rPr>
        <w:tab/>
      </w:r>
      <w:r w:rsidRPr="00B516CB">
        <w:rPr>
          <w:lang w:val="fr-FR"/>
        </w:rPr>
        <w:tab/>
      </w:r>
      <w:r w:rsidRPr="00B516CB">
        <w:rPr>
          <w:bCs/>
          <w:lang w:val="fr-FR"/>
        </w:rPr>
        <w:t>Note du rapporteur pour le pays</w:t>
      </w:r>
      <w:r w:rsidRPr="00B516CB">
        <w:rPr>
          <w:b w:val="0"/>
          <w:bCs/>
          <w:sz w:val="20"/>
          <w:szCs w:val="16"/>
          <w:shd w:val="clear" w:color="000000" w:fill="FFFFFF"/>
          <w:lang w:val="fr-FR"/>
        </w:rPr>
        <w:footnoteReference w:customMarkFollows="1" w:id="2"/>
        <w:t>*</w:t>
      </w:r>
    </w:p>
    <w:p w14:paraId="4615E965" w14:textId="77777777" w:rsidR="00AA1D7D" w:rsidRPr="00B516CB" w:rsidRDefault="00AA1D7D" w:rsidP="00AA1D7D">
      <w:pPr>
        <w:pStyle w:val="SingleTxtG"/>
        <w:tabs>
          <w:tab w:val="clear" w:pos="1701"/>
          <w:tab w:val="clear" w:pos="2268"/>
          <w:tab w:val="clear" w:pos="2835"/>
        </w:tabs>
        <w:rPr>
          <w:shd w:val="clear" w:color="000000" w:fill="FFFFFF"/>
          <w:lang w:val="fr-FR"/>
        </w:rPr>
      </w:pPr>
      <w:r w:rsidRPr="00B516CB">
        <w:rPr>
          <w:lang w:val="fr-FR"/>
        </w:rPr>
        <w:t>1.</w:t>
      </w:r>
      <w:r w:rsidRPr="00B516CB">
        <w:rPr>
          <w:lang w:val="fr-FR"/>
        </w:rPr>
        <w:tab/>
        <w:t>À sa soixante-seizième session</w:t>
      </w:r>
      <w:r w:rsidRPr="00B516CB">
        <w:rPr>
          <w:rStyle w:val="Appelnotedebasdep"/>
          <w:lang w:val="fr-FR"/>
        </w:rPr>
        <w:footnoteReference w:id="3"/>
      </w:r>
      <w:r w:rsidRPr="00B516CB">
        <w:rPr>
          <w:lang w:val="fr-FR"/>
        </w:rPr>
        <w:t>,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51A7A833" w14:textId="12BACE91" w:rsidR="00AA1D7D" w:rsidRPr="00B516CB" w:rsidRDefault="00AA1D7D" w:rsidP="00AA1D7D">
      <w:pPr>
        <w:pStyle w:val="H23G"/>
        <w:rPr>
          <w:shd w:val="clear" w:color="000000" w:fill="FFFFFF"/>
          <w:lang w:val="fr-FR"/>
        </w:rPr>
      </w:pPr>
      <w:r w:rsidRPr="00B516CB">
        <w:rPr>
          <w:lang w:val="fr-FR"/>
        </w:rPr>
        <w:tab/>
      </w:r>
      <w:r w:rsidRPr="00B516CB">
        <w:rPr>
          <w:lang w:val="fr-FR"/>
        </w:rPr>
        <w:tab/>
      </w:r>
      <w:r w:rsidRPr="00B516CB">
        <w:rPr>
          <w:bCs/>
          <w:lang w:val="fr-FR"/>
        </w:rPr>
        <w:t>La Convention dans le droit interne et le cadre institutionnel et stratégique régissant son application (</w:t>
      </w:r>
      <w:r>
        <w:rPr>
          <w:bCs/>
          <w:lang w:val="fr-FR"/>
        </w:rPr>
        <w:t>art. </w:t>
      </w:r>
      <w:r w:rsidRPr="00B516CB">
        <w:rPr>
          <w:bCs/>
          <w:lang w:val="fr-FR"/>
        </w:rPr>
        <w:t>1</w:t>
      </w:r>
      <w:r w:rsidRPr="00B516CB">
        <w:rPr>
          <w:bCs/>
          <w:vertAlign w:val="superscript"/>
          <w:lang w:val="fr-FR"/>
        </w:rPr>
        <w:t>er</w:t>
      </w:r>
      <w:r w:rsidRPr="00B516CB">
        <w:rPr>
          <w:bCs/>
          <w:lang w:val="fr-FR"/>
        </w:rPr>
        <w:t>, 2, 4, 6 et 7)</w:t>
      </w:r>
    </w:p>
    <w:p w14:paraId="27EC8492" w14:textId="264CE2B8" w:rsidR="00AA1D7D" w:rsidRPr="00B516CB" w:rsidRDefault="00AA1D7D" w:rsidP="00AA1D7D">
      <w:pPr>
        <w:pStyle w:val="SingleTxtG"/>
        <w:rPr>
          <w:lang w:val="fr-FR"/>
        </w:rPr>
      </w:pPr>
      <w:r w:rsidRPr="00B516CB">
        <w:rPr>
          <w:lang w:val="fr-FR"/>
        </w:rPr>
        <w:t>2.</w:t>
      </w:r>
      <w:r w:rsidRPr="00B516CB">
        <w:rPr>
          <w:lang w:val="fr-FR"/>
        </w:rPr>
        <w:tab/>
        <w:t>Exemples d’affaires dans lesquelles les tribunaux nationaux ont invoqué la Convention</w:t>
      </w:r>
      <w:r>
        <w:rPr>
          <w:lang w:val="fr-FR"/>
        </w:rPr>
        <w:t> ;</w:t>
      </w:r>
      <w:r w:rsidRPr="00B516CB">
        <w:rPr>
          <w:lang w:val="fr-FR"/>
        </w:rPr>
        <w:t xml:space="preserve"> informations actualisées sur les mesures visant à mieux faire connaître la Convention à la population et aux juges, avocats, procureurs et autres fonctionnaires chargés de faire appliquer la loi et sur les effets de ces mesures</w:t>
      </w:r>
      <w:r w:rsidRPr="00B516CB">
        <w:rPr>
          <w:rStyle w:val="Appelnotedebasdep"/>
          <w:lang w:val="fr-FR"/>
        </w:rPr>
        <w:footnoteReference w:id="4"/>
      </w:r>
      <w:r w:rsidRPr="00B516CB">
        <w:rPr>
          <w:lang w:val="fr-FR"/>
        </w:rPr>
        <w:t>.</w:t>
      </w:r>
    </w:p>
    <w:p w14:paraId="37A698ED" w14:textId="6B4F763B" w:rsidR="00AA1D7D" w:rsidRPr="00B516CB" w:rsidRDefault="00AA1D7D" w:rsidP="00AA1D7D">
      <w:pPr>
        <w:pStyle w:val="SingleTxtG"/>
        <w:rPr>
          <w:shd w:val="clear" w:color="000000" w:fill="FFFFFF"/>
          <w:lang w:val="fr-FR"/>
        </w:rPr>
      </w:pPr>
      <w:r w:rsidRPr="00B516CB">
        <w:rPr>
          <w:lang w:val="fr-FR"/>
        </w:rPr>
        <w:t>3.</w:t>
      </w:r>
      <w:r w:rsidRPr="00B516CB">
        <w:rPr>
          <w:lang w:val="fr-FR"/>
        </w:rPr>
        <w:tab/>
        <w:t>Renseignements sur la composition ethnique de la population de l’État partie, y</w:t>
      </w:r>
      <w:r w:rsidR="009A1911">
        <w:rPr>
          <w:lang w:val="fr-FR"/>
        </w:rPr>
        <w:t> </w:t>
      </w:r>
      <w:r w:rsidRPr="00B516CB">
        <w:rPr>
          <w:lang w:val="fr-FR"/>
        </w:rPr>
        <w:t>compris en ce qui concerne les non-ressortissants, dont les demandeurs d’asile, les réfugiés, les apatrides et les migrants, et sur les procédures en place pour que les minorités nationales ou ethniques et les peuples autochtones puissent se faire reconnaître en tant que tels dans l’État partie</w:t>
      </w:r>
      <w:r w:rsidRPr="00B516CB">
        <w:rPr>
          <w:rStyle w:val="Appelnotedebasdep"/>
          <w:lang w:val="fr-FR"/>
        </w:rPr>
        <w:footnoteReference w:id="5"/>
      </w:r>
      <w:r w:rsidRPr="00B516CB">
        <w:rPr>
          <w:lang w:val="fr-FR"/>
        </w:rPr>
        <w:t>.</w:t>
      </w:r>
    </w:p>
    <w:p w14:paraId="0D45854E" w14:textId="60633701" w:rsidR="00AA1D7D" w:rsidRPr="00B516CB" w:rsidRDefault="00AA1D7D" w:rsidP="00AA1D7D">
      <w:pPr>
        <w:pStyle w:val="SingleTxtG"/>
        <w:rPr>
          <w:shd w:val="clear" w:color="000000" w:fill="FFFFFF"/>
          <w:lang w:val="fr-FR"/>
        </w:rPr>
      </w:pPr>
      <w:r w:rsidRPr="00B516CB">
        <w:rPr>
          <w:lang w:val="fr-FR"/>
        </w:rPr>
        <w:t>4.</w:t>
      </w:r>
      <w:r w:rsidRPr="00B516CB">
        <w:rPr>
          <w:lang w:val="fr-FR"/>
        </w:rPr>
        <w:tab/>
        <w:t xml:space="preserve">Informations actualisées sur les mesures prises pour revoir les articles 3 et 15 de la Constitution afin qu’ils soient pleinement conformes aux articles premier et 2 de la Convention, et sur toute autre mesure législative, notamment sur la mise en place du service chargé de la révision des lois, y compris de la Constitution. Si ce service a déjà été créé, renseignements sur les conclusions de l’examen qu’il a mené pour donner suite à la recommandation du Comité de prendre pleinement en compte la définition de la discrimination raciale, directe et indirecte, fondée sur tous les motifs visés à l’article premier </w:t>
      </w:r>
      <w:r w:rsidRPr="00B516CB">
        <w:rPr>
          <w:lang w:val="fr-FR"/>
        </w:rPr>
        <w:lastRenderedPageBreak/>
        <w:t>(</w:t>
      </w:r>
      <w:r>
        <w:rPr>
          <w:lang w:val="fr-FR"/>
        </w:rPr>
        <w:t>par. </w:t>
      </w:r>
      <w:r w:rsidRPr="00B516CB">
        <w:rPr>
          <w:lang w:val="fr-FR"/>
        </w:rPr>
        <w:t>1) de la Convention et de faire en sorte que toute différence de traitement soit pleinement conforme aux articles premier et 2 de la Convention</w:t>
      </w:r>
      <w:r w:rsidRPr="00B516CB">
        <w:rPr>
          <w:rStyle w:val="Appelnotedebasdep"/>
          <w:lang w:val="fr-FR"/>
        </w:rPr>
        <w:footnoteReference w:id="6"/>
      </w:r>
      <w:r w:rsidRPr="00B516CB">
        <w:rPr>
          <w:lang w:val="fr-FR"/>
        </w:rPr>
        <w:t>.</w:t>
      </w:r>
    </w:p>
    <w:p w14:paraId="3F17C692" w14:textId="2AF28A96" w:rsidR="00AA1D7D" w:rsidRPr="00B516CB" w:rsidRDefault="00AA1D7D" w:rsidP="00AA1D7D">
      <w:pPr>
        <w:pStyle w:val="SingleTxtG"/>
        <w:rPr>
          <w:shd w:val="clear" w:color="000000" w:fill="FFFFFF"/>
          <w:lang w:val="fr-FR"/>
        </w:rPr>
      </w:pPr>
      <w:r w:rsidRPr="00B516CB">
        <w:rPr>
          <w:lang w:val="fr-FR"/>
        </w:rPr>
        <w:t>5.</w:t>
      </w:r>
      <w:r w:rsidRPr="00B516CB">
        <w:rPr>
          <w:lang w:val="fr-FR"/>
        </w:rPr>
        <w:tab/>
        <w:t>Renseignements détaillés sur l’état d’avancement du projet de loi visant à faire en sorte que le Bureau du Médiateur soit compétent pour s’occuper des droits de l’homme, sur les tâches qui ont été confiées au Bureau du Médiateur, s’agissant en particulier de faciliter l’application de la Convention (conformément à la recommandation générale n</w:t>
      </w:r>
      <w:r w:rsidRPr="00B516CB">
        <w:rPr>
          <w:vertAlign w:val="superscript"/>
          <w:lang w:val="fr-FR"/>
        </w:rPr>
        <w:t>o</w:t>
      </w:r>
      <w:r w:rsidR="00AE586F">
        <w:rPr>
          <w:lang w:val="fr-FR"/>
        </w:rPr>
        <w:t> </w:t>
      </w:r>
      <w:r w:rsidRPr="00B516CB">
        <w:rPr>
          <w:lang w:val="fr-FR"/>
        </w:rPr>
        <w:t>17 (1993) du Comité), et sur le respect par le Bureau des Principes concernant le statut des institutions nationales pour la promotion et la protection des droits de l’homme (Principes de Paris)</w:t>
      </w:r>
      <w:r w:rsidRPr="00B516CB">
        <w:rPr>
          <w:rStyle w:val="Appelnotedebasdep"/>
          <w:lang w:val="fr-FR"/>
        </w:rPr>
        <w:footnoteReference w:id="7"/>
      </w:r>
      <w:r w:rsidRPr="00B516CB">
        <w:rPr>
          <w:lang w:val="fr-FR"/>
        </w:rPr>
        <w:t>.</w:t>
      </w:r>
    </w:p>
    <w:p w14:paraId="0E29A296" w14:textId="77777777" w:rsidR="00AA1D7D" w:rsidRPr="00B516CB" w:rsidRDefault="00AA1D7D" w:rsidP="00AA1D7D">
      <w:pPr>
        <w:pStyle w:val="SingleTxtG"/>
        <w:rPr>
          <w:shd w:val="clear" w:color="000000" w:fill="FFFFFF"/>
          <w:lang w:val="fr-FR"/>
        </w:rPr>
      </w:pPr>
      <w:r w:rsidRPr="00B516CB">
        <w:rPr>
          <w:lang w:val="fr-FR"/>
        </w:rPr>
        <w:t>6.</w:t>
      </w:r>
      <w:r w:rsidRPr="00B516CB">
        <w:rPr>
          <w:lang w:val="fr-FR"/>
        </w:rPr>
        <w:tab/>
        <w:t xml:space="preserve">Informations sur les mesures spéciales prises en faveur des groupes et des individus protégés par la Convention, en particulier les </w:t>
      </w:r>
      <w:proofErr w:type="spellStart"/>
      <w:r w:rsidRPr="00B516CB">
        <w:rPr>
          <w:lang w:val="fr-FR"/>
        </w:rPr>
        <w:t>Basarwa</w:t>
      </w:r>
      <w:proofErr w:type="spellEnd"/>
      <w:r w:rsidRPr="00B516CB">
        <w:rPr>
          <w:lang w:val="fr-FR"/>
        </w:rPr>
        <w:t xml:space="preserve"> et les autres groupes ne parlant pas le tswana tels que les </w:t>
      </w:r>
      <w:proofErr w:type="spellStart"/>
      <w:r w:rsidRPr="00B516CB">
        <w:rPr>
          <w:lang w:val="fr-FR"/>
        </w:rPr>
        <w:t>Kalanga</w:t>
      </w:r>
      <w:proofErr w:type="spellEnd"/>
      <w:r w:rsidRPr="00B516CB">
        <w:rPr>
          <w:lang w:val="fr-FR"/>
        </w:rPr>
        <w:t xml:space="preserve">, les </w:t>
      </w:r>
      <w:proofErr w:type="spellStart"/>
      <w:r w:rsidRPr="00B516CB">
        <w:rPr>
          <w:lang w:val="fr-FR"/>
        </w:rPr>
        <w:t>Basubiya</w:t>
      </w:r>
      <w:proofErr w:type="spellEnd"/>
      <w:r w:rsidRPr="00B516CB">
        <w:rPr>
          <w:lang w:val="fr-FR"/>
        </w:rPr>
        <w:t xml:space="preserve"> et les </w:t>
      </w:r>
      <w:proofErr w:type="spellStart"/>
      <w:r w:rsidRPr="00B516CB">
        <w:rPr>
          <w:lang w:val="fr-FR"/>
        </w:rPr>
        <w:t>Wayeyi</w:t>
      </w:r>
      <w:proofErr w:type="spellEnd"/>
      <w:r w:rsidRPr="00B516CB">
        <w:rPr>
          <w:lang w:val="fr-FR"/>
        </w:rPr>
        <w:t>, et sur les effets de ces mesures</w:t>
      </w:r>
      <w:r w:rsidRPr="00B516CB">
        <w:rPr>
          <w:rStyle w:val="Appelnotedebasdep"/>
          <w:lang w:val="fr-FR"/>
        </w:rPr>
        <w:footnoteReference w:id="8"/>
      </w:r>
      <w:r w:rsidRPr="00B516CB">
        <w:rPr>
          <w:lang w:val="fr-FR"/>
        </w:rPr>
        <w:t>.</w:t>
      </w:r>
    </w:p>
    <w:p w14:paraId="6E4F1C45" w14:textId="6A01F12B" w:rsidR="00AA1D7D" w:rsidRPr="00B516CB" w:rsidRDefault="00AA1D7D" w:rsidP="00AA1D7D">
      <w:pPr>
        <w:pStyle w:val="SingleTxtG"/>
        <w:rPr>
          <w:shd w:val="clear" w:color="000000" w:fill="FFFFFF"/>
          <w:lang w:val="fr-FR"/>
        </w:rPr>
      </w:pPr>
      <w:r w:rsidRPr="00B516CB">
        <w:rPr>
          <w:lang w:val="fr-FR"/>
        </w:rPr>
        <w:t>7.</w:t>
      </w:r>
      <w:r w:rsidRPr="00B516CB">
        <w:rPr>
          <w:lang w:val="fr-FR"/>
        </w:rPr>
        <w:tab/>
        <w:t xml:space="preserve">Renseignements sur le projet de réforme législative globale qui pourrait aboutir à une révision de la Constitution et d’autres dispositions légales qui peuvent avoir pour effet d’entraîner une discrimination ou de perpétuer la discrimination à l’égard des groupes les plus défavorisés, l’objectif étant notamment de garantir la représentation effective de ces groupes, dans des conditions d’égalité, au sein de la </w:t>
      </w:r>
      <w:proofErr w:type="spellStart"/>
      <w:r w:rsidRPr="00B516CB">
        <w:rPr>
          <w:lang w:val="fr-FR"/>
        </w:rPr>
        <w:t>Ntlo</w:t>
      </w:r>
      <w:proofErr w:type="spellEnd"/>
      <w:r w:rsidRPr="00B516CB">
        <w:rPr>
          <w:lang w:val="fr-FR"/>
        </w:rPr>
        <w:t xml:space="preserve"> </w:t>
      </w:r>
      <w:proofErr w:type="spellStart"/>
      <w:r w:rsidRPr="00B516CB">
        <w:rPr>
          <w:lang w:val="fr-FR"/>
        </w:rPr>
        <w:t>ya</w:t>
      </w:r>
      <w:proofErr w:type="spellEnd"/>
      <w:r w:rsidRPr="00B516CB">
        <w:rPr>
          <w:lang w:val="fr-FR"/>
        </w:rPr>
        <w:t xml:space="preserve"> </w:t>
      </w:r>
      <w:proofErr w:type="spellStart"/>
      <w:r w:rsidRPr="00B516CB">
        <w:rPr>
          <w:lang w:val="fr-FR"/>
        </w:rPr>
        <w:t>Dikgosi</w:t>
      </w:r>
      <w:proofErr w:type="spellEnd"/>
      <w:r w:rsidRPr="00B516CB">
        <w:rPr>
          <w:lang w:val="fr-FR"/>
        </w:rPr>
        <w:t xml:space="preserve"> (Chambre des chefs)</w:t>
      </w:r>
      <w:r>
        <w:rPr>
          <w:lang w:val="fr-FR"/>
        </w:rPr>
        <w:t> ;</w:t>
      </w:r>
      <w:r w:rsidRPr="00B516CB">
        <w:rPr>
          <w:lang w:val="fr-FR"/>
        </w:rPr>
        <w:t xml:space="preserve"> informations complémentaires sur le cadre juridique et les politiques visant à appliquer les dispositions de l’article 2 de la Convention, notamment sur les effets de la nouvelle loi relative aux chefferies (</w:t>
      </w:r>
      <w:proofErr w:type="spellStart"/>
      <w:r w:rsidRPr="00B516CB">
        <w:rPr>
          <w:i/>
          <w:iCs/>
          <w:lang w:val="fr-FR"/>
        </w:rPr>
        <w:t>Bogosi</w:t>
      </w:r>
      <w:proofErr w:type="spellEnd"/>
      <w:r w:rsidRPr="00B516CB">
        <w:rPr>
          <w:i/>
          <w:iCs/>
          <w:lang w:val="fr-FR"/>
        </w:rPr>
        <w:t xml:space="preserve"> </w:t>
      </w:r>
      <w:proofErr w:type="spellStart"/>
      <w:r w:rsidRPr="00B516CB">
        <w:rPr>
          <w:i/>
          <w:iCs/>
          <w:lang w:val="fr-FR"/>
        </w:rPr>
        <w:t>Act</w:t>
      </w:r>
      <w:proofErr w:type="spellEnd"/>
      <w:r w:rsidRPr="00B516CB">
        <w:rPr>
          <w:lang w:val="fr-FR"/>
        </w:rPr>
        <w:t>) qui a abrogé l’ancienne (</w:t>
      </w:r>
      <w:proofErr w:type="spellStart"/>
      <w:r w:rsidRPr="00B516CB">
        <w:rPr>
          <w:i/>
          <w:iCs/>
          <w:lang w:val="fr-FR"/>
        </w:rPr>
        <w:t>Chieftainship</w:t>
      </w:r>
      <w:proofErr w:type="spellEnd"/>
      <w:r w:rsidRPr="00B516CB">
        <w:rPr>
          <w:i/>
          <w:iCs/>
          <w:lang w:val="fr-FR"/>
        </w:rPr>
        <w:t xml:space="preserve"> </w:t>
      </w:r>
      <w:proofErr w:type="spellStart"/>
      <w:r w:rsidRPr="00B516CB">
        <w:rPr>
          <w:i/>
          <w:iCs/>
          <w:lang w:val="fr-FR"/>
        </w:rPr>
        <w:t>Act</w:t>
      </w:r>
      <w:proofErr w:type="spellEnd"/>
      <w:r w:rsidRPr="00B516CB">
        <w:rPr>
          <w:lang w:val="fr-FR"/>
        </w:rPr>
        <w:t>)</w:t>
      </w:r>
      <w:r w:rsidRPr="00B516CB">
        <w:rPr>
          <w:rStyle w:val="Appelnotedebasdep"/>
          <w:lang w:val="fr-FR"/>
        </w:rPr>
        <w:footnoteReference w:id="9"/>
      </w:r>
      <w:r w:rsidRPr="00B516CB">
        <w:rPr>
          <w:lang w:val="fr-FR"/>
        </w:rPr>
        <w:t>.</w:t>
      </w:r>
    </w:p>
    <w:p w14:paraId="6BFC83B7" w14:textId="77777777" w:rsidR="00AA1D7D" w:rsidRPr="00B516CB" w:rsidRDefault="00AA1D7D" w:rsidP="00AA1D7D">
      <w:pPr>
        <w:pStyle w:val="SingleTxtG"/>
        <w:rPr>
          <w:shd w:val="clear" w:color="000000" w:fill="FFFFFF"/>
          <w:lang w:val="fr-FR"/>
        </w:rPr>
      </w:pPr>
      <w:r w:rsidRPr="00B516CB">
        <w:rPr>
          <w:lang w:val="fr-FR"/>
        </w:rPr>
        <w:t>8.</w:t>
      </w:r>
      <w:r w:rsidRPr="00B516CB">
        <w:rPr>
          <w:lang w:val="fr-FR"/>
        </w:rPr>
        <w:tab/>
        <w:t>État d’avancement du projet de loi relative à la gestion communautaire des ressources nationales visant à lutter contre la ségrégation des populations défavorisées dans des zones reculées</w:t>
      </w:r>
      <w:r w:rsidRPr="00B516CB">
        <w:rPr>
          <w:rStyle w:val="Appelnotedebasdep"/>
          <w:lang w:val="fr-FR"/>
        </w:rPr>
        <w:footnoteReference w:id="10"/>
      </w:r>
      <w:r w:rsidRPr="00B516CB">
        <w:rPr>
          <w:lang w:val="fr-FR"/>
        </w:rPr>
        <w:t>.</w:t>
      </w:r>
    </w:p>
    <w:p w14:paraId="5155FF09" w14:textId="66C3BA25" w:rsidR="00AA1D7D" w:rsidRPr="00B516CB" w:rsidRDefault="00AA1D7D" w:rsidP="00AA1D7D">
      <w:pPr>
        <w:pStyle w:val="H23G"/>
        <w:rPr>
          <w:shd w:val="clear" w:color="000000" w:fill="FFFFFF"/>
          <w:lang w:val="fr-FR"/>
        </w:rPr>
      </w:pPr>
      <w:r w:rsidRPr="00B516CB">
        <w:rPr>
          <w:lang w:val="fr-FR"/>
        </w:rPr>
        <w:tab/>
      </w:r>
      <w:r w:rsidRPr="00B516CB">
        <w:rPr>
          <w:lang w:val="fr-FR"/>
        </w:rPr>
        <w:tab/>
      </w:r>
      <w:r w:rsidRPr="00B516CB">
        <w:rPr>
          <w:bCs/>
          <w:lang w:val="fr-FR"/>
        </w:rPr>
        <w:t>Discours de haine à caractère raciste, incitation à la haine raciale et crimes de haine (</w:t>
      </w:r>
      <w:r>
        <w:rPr>
          <w:bCs/>
          <w:lang w:val="fr-FR"/>
        </w:rPr>
        <w:t>art. </w:t>
      </w:r>
      <w:r w:rsidRPr="00B516CB">
        <w:rPr>
          <w:bCs/>
          <w:lang w:val="fr-FR"/>
        </w:rPr>
        <w:t>2, 4 et 6)</w:t>
      </w:r>
    </w:p>
    <w:p w14:paraId="6B25EA56" w14:textId="57D53771" w:rsidR="00AA1D7D" w:rsidRPr="00B516CB" w:rsidRDefault="00AA1D7D" w:rsidP="00AA1D7D">
      <w:pPr>
        <w:pStyle w:val="SingleTxtG"/>
        <w:rPr>
          <w:shd w:val="clear" w:color="000000" w:fill="FFFFFF"/>
          <w:lang w:val="fr-FR"/>
        </w:rPr>
      </w:pPr>
      <w:r w:rsidRPr="00B516CB">
        <w:rPr>
          <w:lang w:val="fr-FR"/>
        </w:rPr>
        <w:t>9.</w:t>
      </w:r>
      <w:r w:rsidRPr="00B516CB">
        <w:rPr>
          <w:lang w:val="fr-FR"/>
        </w:rPr>
        <w:tab/>
        <w:t>Renseignements sur les mesures prises pour incriminer la diffusion d’idées fondées sur la supériorité ou la haine raciales ainsi que l’incitation à la haine et à la discrimination raciales et pour réviser l’article 94 (</w:t>
      </w:r>
      <w:r>
        <w:rPr>
          <w:lang w:val="fr-FR"/>
        </w:rPr>
        <w:t>par. </w:t>
      </w:r>
      <w:r w:rsidRPr="00B516CB">
        <w:rPr>
          <w:lang w:val="fr-FR"/>
        </w:rPr>
        <w:t>2) du Code pénal</w:t>
      </w:r>
      <w:r w:rsidRPr="00B516CB">
        <w:rPr>
          <w:rStyle w:val="Appelnotedebasdep"/>
          <w:lang w:val="fr-FR"/>
        </w:rPr>
        <w:footnoteReference w:id="11"/>
      </w:r>
      <w:r w:rsidRPr="00B516CB">
        <w:rPr>
          <w:lang w:val="fr-FR"/>
        </w:rPr>
        <w:t>.</w:t>
      </w:r>
    </w:p>
    <w:p w14:paraId="289BDEED" w14:textId="72A658D5" w:rsidR="00AA1D7D" w:rsidRPr="00B516CB" w:rsidRDefault="00AA1D7D" w:rsidP="00AA1D7D">
      <w:pPr>
        <w:pStyle w:val="SingleTxtG"/>
        <w:rPr>
          <w:shd w:val="clear" w:color="000000" w:fill="FFFFFF"/>
          <w:lang w:val="fr-FR"/>
        </w:rPr>
      </w:pPr>
      <w:r w:rsidRPr="00B516CB">
        <w:rPr>
          <w:lang w:val="fr-FR"/>
        </w:rPr>
        <w:t>10.</w:t>
      </w:r>
      <w:r w:rsidRPr="00B516CB">
        <w:rPr>
          <w:lang w:val="fr-FR"/>
        </w:rPr>
        <w:tab/>
        <w:t>Informations à jour sur des affaires de discrimination raciale que les tribunaux nationaux ont examinées ou des décisions qu’ils ont prises dans de telles affaires, en particulier s’agissant d’infractions visées à l’article 4 de la Convention</w:t>
      </w:r>
      <w:r>
        <w:rPr>
          <w:lang w:val="fr-FR"/>
        </w:rPr>
        <w:t> ;</w:t>
      </w:r>
      <w:r w:rsidRPr="00B516CB">
        <w:rPr>
          <w:lang w:val="fr-FR"/>
        </w:rPr>
        <w:t xml:space="preserve"> données statistiques ventilées par sexe, âge et origine nationale ou ethnique sur les plaintes déposées, les enquêtes menées, les poursuites engagées et les peines prononcées pour des actes proscrits par l’article</w:t>
      </w:r>
      <w:r w:rsidR="00AE586F">
        <w:rPr>
          <w:lang w:val="fr-FR"/>
        </w:rPr>
        <w:t> </w:t>
      </w:r>
      <w:r w:rsidRPr="00B516CB">
        <w:rPr>
          <w:lang w:val="fr-FR"/>
        </w:rPr>
        <w:t>4 de la Convention et sur la réparation accordée aux victimes de ces actes</w:t>
      </w:r>
      <w:r w:rsidRPr="00B516CB">
        <w:rPr>
          <w:rStyle w:val="Appelnotedebasdep"/>
          <w:lang w:val="fr-FR"/>
        </w:rPr>
        <w:footnoteReference w:id="12"/>
      </w:r>
      <w:r w:rsidRPr="00B516CB">
        <w:rPr>
          <w:lang w:val="fr-FR"/>
        </w:rPr>
        <w:t>.</w:t>
      </w:r>
    </w:p>
    <w:p w14:paraId="7EC40355" w14:textId="77777777" w:rsidR="00AA1D7D" w:rsidRPr="00B516CB" w:rsidRDefault="00AA1D7D" w:rsidP="00AA1D7D">
      <w:pPr>
        <w:pStyle w:val="SingleTxtG"/>
        <w:rPr>
          <w:shd w:val="clear" w:color="000000" w:fill="FFFFFF"/>
          <w:lang w:val="fr-FR"/>
        </w:rPr>
      </w:pPr>
      <w:r w:rsidRPr="00B516CB">
        <w:rPr>
          <w:lang w:val="fr-FR"/>
        </w:rPr>
        <w:t>11.</w:t>
      </w:r>
      <w:r w:rsidRPr="00B516CB">
        <w:rPr>
          <w:lang w:val="fr-FR"/>
        </w:rPr>
        <w:tab/>
        <w:t>Renseignements sur les mesures prises pour que la motivation raciale soit considérée comme une circonstance aggravante par les tribunaux, en l’absence de disposition expresse à cet effet</w:t>
      </w:r>
      <w:r w:rsidRPr="00B516CB">
        <w:rPr>
          <w:rStyle w:val="Appelnotedebasdep"/>
          <w:lang w:val="fr-FR"/>
        </w:rPr>
        <w:footnoteReference w:id="13"/>
      </w:r>
      <w:r w:rsidRPr="00B516CB">
        <w:rPr>
          <w:lang w:val="fr-FR"/>
        </w:rPr>
        <w:t>.</w:t>
      </w:r>
    </w:p>
    <w:p w14:paraId="40C0E0E5" w14:textId="23B78054" w:rsidR="00AA1D7D" w:rsidRPr="00B516CB" w:rsidRDefault="00AA1D7D" w:rsidP="00AA1D7D">
      <w:pPr>
        <w:pStyle w:val="H23G"/>
        <w:rPr>
          <w:shd w:val="clear" w:color="000000" w:fill="FFFFFF"/>
          <w:lang w:val="fr-FR"/>
        </w:rPr>
      </w:pPr>
      <w:r w:rsidRPr="00B516CB">
        <w:rPr>
          <w:lang w:val="fr-FR"/>
        </w:rPr>
        <w:tab/>
      </w:r>
      <w:r w:rsidRPr="00B516CB">
        <w:rPr>
          <w:lang w:val="fr-FR"/>
        </w:rPr>
        <w:tab/>
      </w:r>
      <w:r w:rsidRPr="00B516CB">
        <w:rPr>
          <w:bCs/>
          <w:lang w:val="fr-FR"/>
        </w:rPr>
        <w:t>Situation des minorités ethniques et des peuples autochtones (</w:t>
      </w:r>
      <w:r>
        <w:rPr>
          <w:bCs/>
          <w:lang w:val="fr-FR"/>
        </w:rPr>
        <w:t>art. </w:t>
      </w:r>
      <w:r w:rsidRPr="00B516CB">
        <w:rPr>
          <w:bCs/>
          <w:lang w:val="fr-FR"/>
        </w:rPr>
        <w:t>5)</w:t>
      </w:r>
    </w:p>
    <w:p w14:paraId="42808556" w14:textId="50131F87" w:rsidR="00AA1D7D" w:rsidRPr="00B516CB" w:rsidRDefault="00AA1D7D" w:rsidP="00AA1D7D">
      <w:pPr>
        <w:pStyle w:val="SingleTxtG"/>
        <w:rPr>
          <w:shd w:val="clear" w:color="000000" w:fill="FFFFFF"/>
          <w:lang w:val="fr-FR"/>
        </w:rPr>
      </w:pPr>
      <w:r w:rsidRPr="00B516CB">
        <w:rPr>
          <w:lang w:val="fr-FR"/>
        </w:rPr>
        <w:t>12.</w:t>
      </w:r>
      <w:r w:rsidRPr="00B516CB">
        <w:rPr>
          <w:lang w:val="fr-FR"/>
        </w:rPr>
        <w:tab/>
        <w:t xml:space="preserve">Mesures prises pour faire en sorte que les </w:t>
      </w:r>
      <w:proofErr w:type="spellStart"/>
      <w:r w:rsidRPr="00B516CB">
        <w:rPr>
          <w:lang w:val="fr-FR"/>
        </w:rPr>
        <w:t>Basarwa</w:t>
      </w:r>
      <w:proofErr w:type="spellEnd"/>
      <w:r w:rsidRPr="00B516CB">
        <w:rPr>
          <w:lang w:val="fr-FR"/>
        </w:rPr>
        <w:t xml:space="preserve"> ne soient plus dépossédés de leurs terres et pour les protéger contre tous les obstacles qui les empêchent d’y accéder librement, ainsi qu’aux infrastructures et aux services publics dont ils ont besoin</w:t>
      </w:r>
      <w:r>
        <w:rPr>
          <w:lang w:val="fr-FR"/>
        </w:rPr>
        <w:t> ;</w:t>
      </w:r>
      <w:r w:rsidRPr="00B516CB">
        <w:rPr>
          <w:lang w:val="fr-FR"/>
        </w:rPr>
        <w:t xml:space="preserve"> renseignements sur l’application de l’arrêt rendu en 2006 par la Haute Cour dans l’affaire </w:t>
      </w:r>
      <w:r w:rsidRPr="00B516CB">
        <w:rPr>
          <w:i/>
          <w:iCs/>
          <w:lang w:val="fr-FR"/>
        </w:rPr>
        <w:t xml:space="preserve">Roy </w:t>
      </w:r>
      <w:proofErr w:type="spellStart"/>
      <w:r w:rsidRPr="00B516CB">
        <w:rPr>
          <w:i/>
          <w:iCs/>
          <w:lang w:val="fr-FR"/>
        </w:rPr>
        <w:t>Sesana</w:t>
      </w:r>
      <w:proofErr w:type="spellEnd"/>
      <w:r w:rsidRPr="00B516CB">
        <w:rPr>
          <w:i/>
          <w:iCs/>
          <w:lang w:val="fr-FR"/>
        </w:rPr>
        <w:t xml:space="preserve"> and </w:t>
      </w:r>
      <w:proofErr w:type="spellStart"/>
      <w:r w:rsidRPr="00B516CB">
        <w:rPr>
          <w:i/>
          <w:iCs/>
          <w:lang w:val="fr-FR"/>
        </w:rPr>
        <w:t>others</w:t>
      </w:r>
      <w:proofErr w:type="spellEnd"/>
      <w:r w:rsidRPr="00B516CB">
        <w:rPr>
          <w:i/>
          <w:iCs/>
          <w:lang w:val="fr-FR"/>
        </w:rPr>
        <w:t xml:space="preserve"> v. Attorney General</w:t>
      </w:r>
      <w:r w:rsidRPr="00B516CB">
        <w:rPr>
          <w:lang w:val="fr-FR"/>
        </w:rPr>
        <w:t xml:space="preserve"> (</w:t>
      </w:r>
      <w:r w:rsidRPr="00FE0EC9">
        <w:rPr>
          <w:i/>
          <w:iCs/>
          <w:lang w:val="fr-FR"/>
        </w:rPr>
        <w:t xml:space="preserve">Roy </w:t>
      </w:r>
      <w:proofErr w:type="spellStart"/>
      <w:r w:rsidRPr="00FE0EC9">
        <w:rPr>
          <w:i/>
          <w:iCs/>
          <w:lang w:val="fr-FR"/>
        </w:rPr>
        <w:t>Sesana</w:t>
      </w:r>
      <w:proofErr w:type="spellEnd"/>
      <w:r w:rsidRPr="00FE0EC9">
        <w:rPr>
          <w:i/>
          <w:iCs/>
          <w:lang w:val="fr-FR"/>
        </w:rPr>
        <w:t xml:space="preserve"> et consorts c. le Procureur général</w:t>
      </w:r>
      <w:r w:rsidRPr="00B516CB">
        <w:rPr>
          <w:lang w:val="fr-FR"/>
        </w:rPr>
        <w:t>) et dans d’autres affaires en instance concernant le même sujet</w:t>
      </w:r>
      <w:r w:rsidRPr="00B516CB">
        <w:rPr>
          <w:rStyle w:val="Appelnotedebasdep"/>
          <w:lang w:val="fr-FR"/>
        </w:rPr>
        <w:footnoteReference w:id="14"/>
      </w:r>
      <w:r w:rsidRPr="00B516CB">
        <w:rPr>
          <w:lang w:val="fr-FR"/>
        </w:rPr>
        <w:t>.</w:t>
      </w:r>
    </w:p>
    <w:p w14:paraId="57880D68" w14:textId="77777777" w:rsidR="00AA1D7D" w:rsidRPr="00B516CB" w:rsidRDefault="00AA1D7D" w:rsidP="00AA1D7D">
      <w:pPr>
        <w:pStyle w:val="SingleTxtG"/>
        <w:rPr>
          <w:shd w:val="clear" w:color="000000" w:fill="FFFFFF"/>
          <w:lang w:val="fr-FR"/>
        </w:rPr>
      </w:pPr>
      <w:r w:rsidRPr="00B516CB">
        <w:rPr>
          <w:lang w:val="fr-FR"/>
        </w:rPr>
        <w:lastRenderedPageBreak/>
        <w:t>13.</w:t>
      </w:r>
      <w:r w:rsidRPr="00B516CB">
        <w:rPr>
          <w:lang w:val="fr-FR"/>
        </w:rPr>
        <w:tab/>
        <w:t>Renseignements sur les mesures prises pour dispenser un enseignement primaire dans les principales langues maternelles des tribus ne parlant pas le tswana et pour éliminer les obstacles qui empêchent les enfants appartenant à ces tribus de suivre les programmes scolaires en raison de la barrière de la langue</w:t>
      </w:r>
      <w:r w:rsidRPr="00B516CB">
        <w:rPr>
          <w:rStyle w:val="Appelnotedebasdep"/>
          <w:lang w:val="fr-FR"/>
        </w:rPr>
        <w:footnoteReference w:id="15"/>
      </w:r>
      <w:r w:rsidRPr="00B516CB">
        <w:rPr>
          <w:lang w:val="fr-FR"/>
        </w:rPr>
        <w:t>.</w:t>
      </w:r>
    </w:p>
    <w:p w14:paraId="19772E78" w14:textId="77777777" w:rsidR="00AA1D7D" w:rsidRPr="00B516CB" w:rsidRDefault="00AA1D7D" w:rsidP="00AA1D7D">
      <w:pPr>
        <w:pStyle w:val="SingleTxtG"/>
        <w:rPr>
          <w:shd w:val="clear" w:color="000000" w:fill="FFFFFF"/>
          <w:lang w:val="fr-FR"/>
        </w:rPr>
      </w:pPr>
      <w:r w:rsidRPr="00B516CB">
        <w:rPr>
          <w:lang w:val="fr-FR"/>
        </w:rPr>
        <w:t>14.</w:t>
      </w:r>
      <w:r w:rsidRPr="00B516CB">
        <w:rPr>
          <w:lang w:val="fr-FR"/>
        </w:rPr>
        <w:tab/>
        <w:t>Renseignements sur les mesures prises pour permettre aux enfants des tribus non tswana d’être scolarisés près de chez eux, afin qu’ils ne soient plus séparés de leur famille et envoyés dans des écoles éloignées, où ils doivent vivre dans des internats inconfortables, et qu’ils bénéficient de l’égalité d’accès à un enseignement de qualité</w:t>
      </w:r>
      <w:r w:rsidRPr="00B516CB">
        <w:rPr>
          <w:rStyle w:val="Appelnotedebasdep"/>
          <w:lang w:val="fr-FR"/>
        </w:rPr>
        <w:footnoteReference w:id="16"/>
      </w:r>
      <w:r w:rsidRPr="00B516CB">
        <w:rPr>
          <w:lang w:val="fr-FR"/>
        </w:rPr>
        <w:t>.</w:t>
      </w:r>
    </w:p>
    <w:p w14:paraId="0C3E635A" w14:textId="4E56EF65" w:rsidR="00AA1D7D" w:rsidRPr="00B516CB" w:rsidRDefault="00AA1D7D" w:rsidP="00AA1D7D">
      <w:pPr>
        <w:pStyle w:val="SingleTxtG"/>
        <w:rPr>
          <w:shd w:val="clear" w:color="000000" w:fill="FFFFFF"/>
          <w:lang w:val="fr-FR"/>
        </w:rPr>
      </w:pPr>
      <w:r w:rsidRPr="00B516CB">
        <w:rPr>
          <w:lang w:val="fr-FR"/>
        </w:rPr>
        <w:t>15.</w:t>
      </w:r>
      <w:r w:rsidRPr="00B516CB">
        <w:rPr>
          <w:lang w:val="fr-FR"/>
        </w:rPr>
        <w:tab/>
        <w:t>Informations complémentaires actualisées sur les mesures prises pour que tous les groupes ethniques vulnérables, en particulier les communautés ne parlant pas le tswana, puissent jouir des droits énoncés à l’article</w:t>
      </w:r>
      <w:r w:rsidR="00FE0EC9">
        <w:rPr>
          <w:lang w:val="fr-FR"/>
        </w:rPr>
        <w:t xml:space="preserve"> </w:t>
      </w:r>
      <w:r w:rsidRPr="00B516CB">
        <w:rPr>
          <w:lang w:val="fr-FR"/>
        </w:rPr>
        <w:t>5 de la Convention, et sur les effets de ces</w:t>
      </w:r>
      <w:r w:rsidR="00AE586F">
        <w:rPr>
          <w:lang w:val="fr-FR"/>
        </w:rPr>
        <w:t> </w:t>
      </w:r>
      <w:r w:rsidRPr="00B516CB">
        <w:rPr>
          <w:lang w:val="fr-FR"/>
        </w:rPr>
        <w:t>mesures</w:t>
      </w:r>
      <w:r w:rsidRPr="00B516CB">
        <w:rPr>
          <w:rStyle w:val="Appelnotedebasdep"/>
          <w:lang w:val="fr-FR"/>
        </w:rPr>
        <w:footnoteReference w:id="17"/>
      </w:r>
      <w:r w:rsidRPr="00B516CB">
        <w:rPr>
          <w:lang w:val="fr-FR"/>
        </w:rPr>
        <w:t>.</w:t>
      </w:r>
    </w:p>
    <w:p w14:paraId="5076182F" w14:textId="3A80D34A" w:rsidR="00AA1D7D" w:rsidRPr="00B516CB" w:rsidRDefault="00AA1D7D" w:rsidP="00AA1D7D">
      <w:pPr>
        <w:pStyle w:val="H23G"/>
        <w:rPr>
          <w:shd w:val="clear" w:color="000000" w:fill="FFFFFF"/>
          <w:lang w:val="fr-FR"/>
        </w:rPr>
      </w:pPr>
      <w:r w:rsidRPr="00B516CB">
        <w:rPr>
          <w:lang w:val="fr-FR"/>
        </w:rPr>
        <w:tab/>
      </w:r>
      <w:r w:rsidRPr="00B516CB">
        <w:rPr>
          <w:lang w:val="fr-FR"/>
        </w:rPr>
        <w:tab/>
      </w:r>
      <w:r w:rsidRPr="00B516CB">
        <w:rPr>
          <w:bCs/>
          <w:lang w:val="fr-FR"/>
        </w:rPr>
        <w:t>Situation des victimes de la traite (</w:t>
      </w:r>
      <w:r>
        <w:rPr>
          <w:bCs/>
          <w:lang w:val="fr-FR"/>
        </w:rPr>
        <w:t>art. </w:t>
      </w:r>
      <w:r w:rsidRPr="00B516CB">
        <w:rPr>
          <w:bCs/>
          <w:lang w:val="fr-FR"/>
        </w:rPr>
        <w:t>2 à 7)</w:t>
      </w:r>
    </w:p>
    <w:p w14:paraId="5D8AAE85" w14:textId="77777777" w:rsidR="00AA1D7D" w:rsidRPr="00B516CB" w:rsidRDefault="00AA1D7D" w:rsidP="00AA1D7D">
      <w:pPr>
        <w:pStyle w:val="SingleTxtG"/>
        <w:rPr>
          <w:lang w:val="fr-FR"/>
        </w:rPr>
      </w:pPr>
      <w:r w:rsidRPr="00B516CB">
        <w:rPr>
          <w:lang w:val="fr-FR"/>
        </w:rPr>
        <w:t>16.</w:t>
      </w:r>
      <w:r w:rsidRPr="00B516CB">
        <w:rPr>
          <w:lang w:val="fr-FR"/>
        </w:rPr>
        <w:tab/>
        <w:t>Informations actualisées sur l’application de la loi de 2014 relative à la lutte contre la traite des êtres humains, sur les enquêtes menées, les trafiquants poursuivis, les peines prononcées et les réparations accordées, ainsi que sur les mesures visant à renforcer la détection et la prévention des cas de traite et à identifier les victimes afin de les protéger et de les faire bénéficier de services sociaux</w:t>
      </w:r>
      <w:r w:rsidRPr="00B516CB">
        <w:rPr>
          <w:rStyle w:val="Appelnotedebasdep"/>
          <w:lang w:val="fr-FR"/>
        </w:rPr>
        <w:footnoteReference w:id="18"/>
      </w:r>
      <w:r w:rsidRPr="00B516CB">
        <w:rPr>
          <w:lang w:val="fr-FR"/>
        </w:rPr>
        <w:t>.</w:t>
      </w:r>
    </w:p>
    <w:p w14:paraId="2C56104A" w14:textId="76733C61" w:rsidR="00AA1D7D" w:rsidRPr="00B516CB" w:rsidRDefault="00AA1D7D" w:rsidP="00AA1D7D">
      <w:pPr>
        <w:pStyle w:val="H23G"/>
        <w:rPr>
          <w:shd w:val="clear" w:color="000000" w:fill="FFFFFF"/>
          <w:lang w:val="fr-FR"/>
        </w:rPr>
      </w:pPr>
      <w:r w:rsidRPr="00B516CB">
        <w:rPr>
          <w:lang w:val="fr-FR"/>
        </w:rPr>
        <w:tab/>
      </w:r>
      <w:r w:rsidRPr="00B516CB">
        <w:rPr>
          <w:lang w:val="fr-FR"/>
        </w:rPr>
        <w:tab/>
      </w:r>
      <w:r w:rsidRPr="00B516CB">
        <w:rPr>
          <w:bCs/>
          <w:lang w:val="fr-FR"/>
        </w:rPr>
        <w:t>Non-ressortissants, réfugiés, demandeurs d’asile et apatrides (</w:t>
      </w:r>
      <w:r>
        <w:rPr>
          <w:bCs/>
          <w:lang w:val="fr-FR"/>
        </w:rPr>
        <w:t>art. </w:t>
      </w:r>
      <w:r w:rsidRPr="00B516CB">
        <w:rPr>
          <w:bCs/>
          <w:lang w:val="fr-FR"/>
        </w:rPr>
        <w:t>2 et 5)</w:t>
      </w:r>
    </w:p>
    <w:p w14:paraId="7CBBB6E7" w14:textId="77777777" w:rsidR="00AA1D7D" w:rsidRPr="00B516CB" w:rsidRDefault="00AA1D7D" w:rsidP="00AA1D7D">
      <w:pPr>
        <w:pStyle w:val="SingleTxtG"/>
        <w:rPr>
          <w:shd w:val="clear" w:color="000000" w:fill="FFFFFF"/>
          <w:lang w:val="fr-FR"/>
        </w:rPr>
      </w:pPr>
      <w:r w:rsidRPr="00B516CB">
        <w:rPr>
          <w:lang w:val="fr-FR"/>
        </w:rPr>
        <w:t>17.</w:t>
      </w:r>
      <w:r w:rsidRPr="00B516CB">
        <w:rPr>
          <w:lang w:val="fr-FR"/>
        </w:rPr>
        <w:tab/>
        <w:t>Renseignements sur les lois et mécanismes d’application visant à garantir le respect des droits humains fondamentaux des demandeurs d’asile et des réfugiés, notamment leur accès sans discrimination à l’éducation, au marché de l’emploi, au logement et aux soins de santé, sur la prévention de la discrimination raciale et de la stigmatisation, notamment des violences policières qui seraient commises contre des migrants sans papiers, et sur les résultats des enquêtes menées sur ces allégations, ainsi que sur les mesures visant à identifier les apatrides dans le pays</w:t>
      </w:r>
      <w:r w:rsidRPr="00B516CB">
        <w:rPr>
          <w:rStyle w:val="Appelnotedebasdep"/>
          <w:lang w:val="fr-FR"/>
        </w:rPr>
        <w:footnoteReference w:id="19"/>
      </w:r>
      <w:r w:rsidRPr="00B516CB">
        <w:rPr>
          <w:lang w:val="fr-FR"/>
        </w:rPr>
        <w:t>.</w:t>
      </w:r>
    </w:p>
    <w:p w14:paraId="4864BBD2" w14:textId="18DE7640" w:rsidR="00AA1D7D" w:rsidRPr="00B516CB" w:rsidRDefault="00AA1D7D" w:rsidP="00AA1D7D">
      <w:pPr>
        <w:pStyle w:val="H23G"/>
        <w:rPr>
          <w:shd w:val="clear" w:color="000000" w:fill="FFFFFF"/>
          <w:lang w:val="fr-FR"/>
        </w:rPr>
      </w:pPr>
      <w:r w:rsidRPr="00B516CB">
        <w:rPr>
          <w:lang w:val="fr-FR"/>
        </w:rPr>
        <w:tab/>
      </w:r>
      <w:r w:rsidRPr="00B516CB">
        <w:rPr>
          <w:lang w:val="fr-FR"/>
        </w:rPr>
        <w:tab/>
        <w:t>Éducation aux droits de l’homme pour lutter contre les préjugés et l’intolérance (</w:t>
      </w:r>
      <w:r>
        <w:rPr>
          <w:lang w:val="fr-FR"/>
        </w:rPr>
        <w:t>art. </w:t>
      </w:r>
      <w:r w:rsidRPr="00B516CB">
        <w:rPr>
          <w:lang w:val="fr-FR"/>
        </w:rPr>
        <w:t>7)</w:t>
      </w:r>
    </w:p>
    <w:p w14:paraId="5B864386" w14:textId="77777777" w:rsidR="00AA1D7D" w:rsidRPr="00B516CB" w:rsidRDefault="00AA1D7D" w:rsidP="00AA1D7D">
      <w:pPr>
        <w:pStyle w:val="SingleTxtG"/>
        <w:rPr>
          <w:shd w:val="clear" w:color="000000" w:fill="FFFFFF"/>
          <w:lang w:val="fr-FR"/>
        </w:rPr>
      </w:pPr>
      <w:r w:rsidRPr="00B516CB">
        <w:rPr>
          <w:lang w:val="fr-FR"/>
        </w:rPr>
        <w:t>18.</w:t>
      </w:r>
      <w:r w:rsidRPr="00B516CB">
        <w:rPr>
          <w:lang w:val="fr-FR"/>
        </w:rPr>
        <w:tab/>
        <w:t>Informations actualisées sur les initiatives éducatives et les mesures législatives et administratives visant à combattre les préjugés, à accroître la tolérance et à améliorer la coexistence, notamment dans les écoles</w:t>
      </w:r>
      <w:r w:rsidRPr="00B516CB">
        <w:rPr>
          <w:rStyle w:val="Appelnotedebasdep"/>
          <w:lang w:val="fr-FR"/>
        </w:rPr>
        <w:footnoteReference w:id="20"/>
      </w:r>
      <w:r w:rsidRPr="00B516CB">
        <w:rPr>
          <w:lang w:val="fr-FR"/>
        </w:rPr>
        <w:t>.</w:t>
      </w:r>
    </w:p>
    <w:p w14:paraId="04D61C46" w14:textId="0094573E" w:rsidR="00984B29" w:rsidRPr="00AA1D7D" w:rsidRDefault="00AA1D7D" w:rsidP="00AA1D7D">
      <w:pPr>
        <w:pStyle w:val="SingleTxtG"/>
        <w:spacing w:before="240" w:after="0"/>
        <w:jc w:val="center"/>
        <w:rPr>
          <w:u w:val="single"/>
        </w:rPr>
      </w:pPr>
      <w:r>
        <w:rPr>
          <w:u w:val="single"/>
        </w:rPr>
        <w:tab/>
      </w:r>
      <w:r>
        <w:rPr>
          <w:u w:val="single"/>
        </w:rPr>
        <w:tab/>
      </w:r>
      <w:r>
        <w:rPr>
          <w:u w:val="single"/>
        </w:rPr>
        <w:tab/>
      </w:r>
    </w:p>
    <w:sectPr w:rsidR="00984B29" w:rsidRPr="00AA1D7D" w:rsidSect="006D07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FBFA7" w14:textId="77777777" w:rsidR="00384E78" w:rsidRDefault="00384E78" w:rsidP="00F95C08">
      <w:pPr>
        <w:spacing w:line="240" w:lineRule="auto"/>
      </w:pPr>
    </w:p>
  </w:endnote>
  <w:endnote w:type="continuationSeparator" w:id="0">
    <w:p w14:paraId="1D1C6DEF" w14:textId="77777777" w:rsidR="00384E78" w:rsidRPr="00AC3823" w:rsidRDefault="00384E78" w:rsidP="00AC3823">
      <w:pPr>
        <w:pStyle w:val="Pieddepage"/>
      </w:pPr>
    </w:p>
  </w:endnote>
  <w:endnote w:type="continuationNotice" w:id="1">
    <w:p w14:paraId="598856BE" w14:textId="77777777" w:rsidR="00384E78" w:rsidRDefault="00384E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795E9" w14:textId="48F6671C" w:rsidR="006D07BC" w:rsidRPr="006D07BC" w:rsidRDefault="006D07BC" w:rsidP="006D07BC">
    <w:pPr>
      <w:pStyle w:val="Pieddepage"/>
      <w:tabs>
        <w:tab w:val="right" w:pos="9638"/>
      </w:tabs>
    </w:pPr>
    <w:r w:rsidRPr="006D07BC">
      <w:rPr>
        <w:b/>
        <w:sz w:val="18"/>
      </w:rPr>
      <w:fldChar w:fldCharType="begin"/>
    </w:r>
    <w:r w:rsidRPr="006D07BC">
      <w:rPr>
        <w:b/>
        <w:sz w:val="18"/>
      </w:rPr>
      <w:instrText xml:space="preserve"> PAGE  \* MERGEFORMAT </w:instrText>
    </w:r>
    <w:r w:rsidRPr="006D07BC">
      <w:rPr>
        <w:b/>
        <w:sz w:val="18"/>
      </w:rPr>
      <w:fldChar w:fldCharType="separate"/>
    </w:r>
    <w:r w:rsidRPr="006D07BC">
      <w:rPr>
        <w:b/>
        <w:noProof/>
        <w:sz w:val="18"/>
      </w:rPr>
      <w:t>2</w:t>
    </w:r>
    <w:r w:rsidRPr="006D07BC">
      <w:rPr>
        <w:b/>
        <w:sz w:val="18"/>
      </w:rPr>
      <w:fldChar w:fldCharType="end"/>
    </w:r>
    <w:r>
      <w:rPr>
        <w:b/>
        <w:sz w:val="18"/>
      </w:rPr>
      <w:tab/>
    </w:r>
    <w:r>
      <w:t>GE.22-26908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E2E3" w14:textId="596367BB" w:rsidR="006D07BC" w:rsidRPr="006D07BC" w:rsidRDefault="006D07BC" w:rsidP="006D07BC">
    <w:pPr>
      <w:pStyle w:val="Pieddepage"/>
      <w:tabs>
        <w:tab w:val="right" w:pos="9638"/>
      </w:tabs>
      <w:rPr>
        <w:b/>
        <w:sz w:val="18"/>
      </w:rPr>
    </w:pPr>
    <w:r>
      <w:t>GE.22-26908</w:t>
    </w:r>
    <w:r>
      <w:tab/>
    </w:r>
    <w:r w:rsidRPr="006D07BC">
      <w:rPr>
        <w:b/>
        <w:sz w:val="18"/>
      </w:rPr>
      <w:fldChar w:fldCharType="begin"/>
    </w:r>
    <w:r w:rsidRPr="006D07BC">
      <w:rPr>
        <w:b/>
        <w:sz w:val="18"/>
      </w:rPr>
      <w:instrText xml:space="preserve"> PAGE  \* MERGEFORMAT </w:instrText>
    </w:r>
    <w:r w:rsidRPr="006D07BC">
      <w:rPr>
        <w:b/>
        <w:sz w:val="18"/>
      </w:rPr>
      <w:fldChar w:fldCharType="separate"/>
    </w:r>
    <w:r w:rsidRPr="006D07BC">
      <w:rPr>
        <w:b/>
        <w:noProof/>
        <w:sz w:val="18"/>
      </w:rPr>
      <w:t>3</w:t>
    </w:r>
    <w:r w:rsidRPr="006D07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8E9EA" w14:textId="19676EAD" w:rsidR="00984B29" w:rsidRPr="006D07BC" w:rsidRDefault="006D07BC" w:rsidP="006D07B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786B6B5" wp14:editId="3E9C648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22-26908  (F)</w:t>
    </w:r>
    <w:r>
      <w:rPr>
        <w:noProof/>
        <w:sz w:val="20"/>
      </w:rPr>
      <w:drawing>
        <wp:anchor distT="0" distB="0" distL="114300" distR="114300" simplePos="0" relativeHeight="251660288" behindDoc="0" locked="0" layoutInCell="1" allowOverlap="1" wp14:anchorId="7BE81321" wp14:editId="21F025C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270123    270123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1CAE7" w14:textId="77777777" w:rsidR="00384E78" w:rsidRPr="00AC3823" w:rsidRDefault="00384E78" w:rsidP="00AC3823">
      <w:pPr>
        <w:pStyle w:val="Pieddepage"/>
        <w:tabs>
          <w:tab w:val="right" w:pos="2155"/>
        </w:tabs>
        <w:spacing w:after="80" w:line="240" w:lineRule="atLeast"/>
        <w:ind w:left="680"/>
        <w:rPr>
          <w:u w:val="single"/>
        </w:rPr>
      </w:pPr>
      <w:r>
        <w:rPr>
          <w:u w:val="single"/>
        </w:rPr>
        <w:tab/>
      </w:r>
    </w:p>
  </w:footnote>
  <w:footnote w:type="continuationSeparator" w:id="0">
    <w:p w14:paraId="0C4123C6" w14:textId="77777777" w:rsidR="00384E78" w:rsidRPr="00AC3823" w:rsidRDefault="00384E78" w:rsidP="00AC3823">
      <w:pPr>
        <w:pStyle w:val="Pieddepage"/>
        <w:tabs>
          <w:tab w:val="right" w:pos="2155"/>
        </w:tabs>
        <w:spacing w:after="80" w:line="240" w:lineRule="atLeast"/>
        <w:ind w:left="680"/>
        <w:rPr>
          <w:u w:val="single"/>
        </w:rPr>
      </w:pPr>
      <w:r>
        <w:rPr>
          <w:u w:val="single"/>
        </w:rPr>
        <w:tab/>
      </w:r>
    </w:p>
  </w:footnote>
  <w:footnote w:type="continuationNotice" w:id="1">
    <w:p w14:paraId="1824838B" w14:textId="77777777" w:rsidR="00384E78" w:rsidRPr="00AC3823" w:rsidRDefault="00384E78">
      <w:pPr>
        <w:spacing w:line="240" w:lineRule="auto"/>
        <w:rPr>
          <w:sz w:val="2"/>
          <w:szCs w:val="2"/>
        </w:rPr>
      </w:pPr>
    </w:p>
  </w:footnote>
  <w:footnote w:id="2">
    <w:p w14:paraId="48D95C85" w14:textId="20A07817" w:rsidR="00AA1D7D" w:rsidRPr="00B516CB" w:rsidRDefault="00AA1D7D" w:rsidP="00AA1D7D">
      <w:pPr>
        <w:pStyle w:val="Notedebasdepage"/>
        <w:rPr>
          <w:lang w:val="fr-FR"/>
        </w:rPr>
      </w:pPr>
      <w:r w:rsidRPr="00B516CB">
        <w:rPr>
          <w:lang w:val="fr-FR"/>
        </w:rPr>
        <w:tab/>
      </w:r>
      <w:r w:rsidRPr="00AE586F">
        <w:rPr>
          <w:sz w:val="20"/>
          <w:lang w:val="fr-FR"/>
        </w:rPr>
        <w:t>*</w:t>
      </w:r>
      <w:r w:rsidRPr="00B516CB">
        <w:rPr>
          <w:lang w:val="fr-FR"/>
        </w:rPr>
        <w:tab/>
        <w:t>Le présent document a été soumis après la date prévue afin que l’information la plus récente puisse y</w:t>
      </w:r>
      <w:r w:rsidR="009A1911">
        <w:rPr>
          <w:lang w:val="fr-FR"/>
        </w:rPr>
        <w:t> </w:t>
      </w:r>
      <w:r w:rsidRPr="00B516CB">
        <w:rPr>
          <w:lang w:val="fr-FR"/>
        </w:rPr>
        <w:t>figurer.</w:t>
      </w:r>
    </w:p>
  </w:footnote>
  <w:footnote w:id="3">
    <w:p w14:paraId="55BF4949" w14:textId="7D38D1A6"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1" w:history="1">
        <w:r w:rsidRPr="00AE586F">
          <w:rPr>
            <w:rStyle w:val="Lienhypertexte"/>
            <w:lang w:val="fr-FR"/>
          </w:rPr>
          <w:t>A/65/18</w:t>
        </w:r>
      </w:hyperlink>
      <w:r w:rsidRPr="00B516CB">
        <w:rPr>
          <w:lang w:val="fr-FR"/>
        </w:rPr>
        <w:t xml:space="preserve">, </w:t>
      </w:r>
      <w:r>
        <w:rPr>
          <w:lang w:val="fr-FR"/>
        </w:rPr>
        <w:t>par. </w:t>
      </w:r>
      <w:r w:rsidRPr="00B516CB">
        <w:rPr>
          <w:lang w:val="fr-FR"/>
        </w:rPr>
        <w:t>85.</w:t>
      </w:r>
    </w:p>
  </w:footnote>
  <w:footnote w:id="4">
    <w:p w14:paraId="266B4FBC" w14:textId="27B5CD1D"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2"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4, et </w:t>
      </w:r>
      <w:hyperlink r:id="rId3" w:history="1">
        <w:r w:rsidRPr="00AE586F">
          <w:rPr>
            <w:rStyle w:val="Lienhypertexte"/>
            <w:lang w:val="fr-FR"/>
          </w:rPr>
          <w:t>CERD/C/BWA/17-22</w:t>
        </w:r>
      </w:hyperlink>
      <w:r w:rsidRPr="00B516CB">
        <w:rPr>
          <w:lang w:val="fr-FR"/>
        </w:rPr>
        <w:t xml:space="preserve">, </w:t>
      </w:r>
      <w:r>
        <w:rPr>
          <w:lang w:val="fr-FR"/>
        </w:rPr>
        <w:t>par. </w:t>
      </w:r>
      <w:r w:rsidRPr="00B516CB">
        <w:rPr>
          <w:lang w:val="fr-FR"/>
        </w:rPr>
        <w:t>12 et 13.</w:t>
      </w:r>
    </w:p>
  </w:footnote>
  <w:footnote w:id="5">
    <w:p w14:paraId="7DDEAD72" w14:textId="4BACE784"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4"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6, et </w:t>
      </w:r>
      <w:hyperlink r:id="rId5" w:history="1">
        <w:r w:rsidRPr="00AE586F">
          <w:rPr>
            <w:rStyle w:val="Lienhypertexte"/>
            <w:lang w:val="fr-FR"/>
          </w:rPr>
          <w:t>CERD/C/BWA/17-22</w:t>
        </w:r>
      </w:hyperlink>
      <w:r w:rsidRPr="00B516CB">
        <w:rPr>
          <w:lang w:val="fr-FR"/>
        </w:rPr>
        <w:t xml:space="preserve">, </w:t>
      </w:r>
      <w:r>
        <w:rPr>
          <w:lang w:val="fr-FR"/>
        </w:rPr>
        <w:t>par. </w:t>
      </w:r>
      <w:r w:rsidRPr="00B516CB">
        <w:rPr>
          <w:lang w:val="fr-FR"/>
        </w:rPr>
        <w:t>15 à 17.</w:t>
      </w:r>
    </w:p>
  </w:footnote>
  <w:footnote w:id="6">
    <w:p w14:paraId="62B0D98F" w14:textId="10A03B09"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6"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7, et </w:t>
      </w:r>
      <w:hyperlink r:id="rId7" w:history="1">
        <w:r w:rsidRPr="00AE586F">
          <w:rPr>
            <w:rStyle w:val="Lienhypertexte"/>
            <w:lang w:val="fr-FR"/>
          </w:rPr>
          <w:t>CERD/C/BWA/17-22</w:t>
        </w:r>
      </w:hyperlink>
      <w:r w:rsidRPr="00B516CB">
        <w:rPr>
          <w:lang w:val="fr-FR"/>
        </w:rPr>
        <w:t>, p.</w:t>
      </w:r>
      <w:r w:rsidR="009A1911">
        <w:rPr>
          <w:lang w:val="fr-FR"/>
        </w:rPr>
        <w:t> </w:t>
      </w:r>
      <w:r w:rsidRPr="00B516CB">
        <w:rPr>
          <w:lang w:val="fr-FR"/>
        </w:rPr>
        <w:t>5, al.</w:t>
      </w:r>
      <w:r w:rsidR="009A1911">
        <w:rPr>
          <w:lang w:val="fr-FR"/>
        </w:rPr>
        <w:t> </w:t>
      </w:r>
      <w:r w:rsidRPr="00B516CB">
        <w:rPr>
          <w:lang w:val="fr-FR"/>
        </w:rPr>
        <w:t>a) à (e).</w:t>
      </w:r>
    </w:p>
  </w:footnote>
  <w:footnote w:id="7">
    <w:p w14:paraId="35973990" w14:textId="251248B2"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8"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9, et </w:t>
      </w:r>
      <w:hyperlink r:id="rId9" w:history="1">
        <w:r w:rsidRPr="00AE586F">
          <w:rPr>
            <w:rStyle w:val="Lienhypertexte"/>
            <w:lang w:val="fr-FR"/>
          </w:rPr>
          <w:t>CERD/C/BWA/17-22</w:t>
        </w:r>
      </w:hyperlink>
      <w:r w:rsidRPr="00B516CB">
        <w:rPr>
          <w:lang w:val="fr-FR"/>
        </w:rPr>
        <w:t xml:space="preserve">, </w:t>
      </w:r>
      <w:r>
        <w:rPr>
          <w:lang w:val="fr-FR"/>
        </w:rPr>
        <w:t>par. </w:t>
      </w:r>
      <w:r w:rsidRPr="00B516CB">
        <w:rPr>
          <w:lang w:val="fr-FR"/>
        </w:rPr>
        <w:t>29.</w:t>
      </w:r>
    </w:p>
  </w:footnote>
  <w:footnote w:id="8">
    <w:p w14:paraId="05881166" w14:textId="725F220C"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10"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7 e), et </w:t>
      </w:r>
      <w:hyperlink r:id="rId11" w:history="1">
        <w:r w:rsidRPr="00AE586F">
          <w:rPr>
            <w:rStyle w:val="Lienhypertexte"/>
            <w:lang w:val="fr-FR"/>
          </w:rPr>
          <w:t>CERD/C/BWA/17-22</w:t>
        </w:r>
      </w:hyperlink>
      <w:r w:rsidRPr="00B516CB">
        <w:rPr>
          <w:lang w:val="fr-FR"/>
        </w:rPr>
        <w:t xml:space="preserve">, </w:t>
      </w:r>
      <w:r>
        <w:rPr>
          <w:lang w:val="fr-FR"/>
        </w:rPr>
        <w:t>par. </w:t>
      </w:r>
      <w:r w:rsidRPr="00B516CB">
        <w:rPr>
          <w:lang w:val="fr-FR"/>
        </w:rPr>
        <w:t>18 à 23.</w:t>
      </w:r>
    </w:p>
  </w:footnote>
  <w:footnote w:id="9">
    <w:p w14:paraId="50101F7D" w14:textId="2D48C039"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12"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8, et </w:t>
      </w:r>
      <w:hyperlink r:id="rId13" w:history="1">
        <w:r w:rsidRPr="00AE586F">
          <w:rPr>
            <w:rStyle w:val="Lienhypertexte"/>
            <w:lang w:val="fr-FR"/>
          </w:rPr>
          <w:t>CERD/C/BWA/17-22</w:t>
        </w:r>
      </w:hyperlink>
      <w:r w:rsidRPr="00B516CB">
        <w:rPr>
          <w:lang w:val="fr-FR"/>
        </w:rPr>
        <w:t xml:space="preserve">, </w:t>
      </w:r>
      <w:r>
        <w:rPr>
          <w:lang w:val="fr-FR"/>
        </w:rPr>
        <w:t>par. </w:t>
      </w:r>
      <w:r w:rsidRPr="00B516CB">
        <w:rPr>
          <w:lang w:val="fr-FR"/>
        </w:rPr>
        <w:t>24 à 28.</w:t>
      </w:r>
    </w:p>
  </w:footnote>
  <w:footnote w:id="10">
    <w:p w14:paraId="1594E969" w14:textId="55FDD436"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14"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10, et </w:t>
      </w:r>
      <w:hyperlink r:id="rId15" w:history="1">
        <w:r w:rsidRPr="00AE586F">
          <w:rPr>
            <w:rStyle w:val="Lienhypertexte"/>
            <w:lang w:val="fr-FR"/>
          </w:rPr>
          <w:t>CERD/C/BWA/17-22</w:t>
        </w:r>
      </w:hyperlink>
      <w:r w:rsidRPr="00B516CB">
        <w:rPr>
          <w:lang w:val="fr-FR"/>
        </w:rPr>
        <w:t xml:space="preserve">, </w:t>
      </w:r>
      <w:r>
        <w:rPr>
          <w:lang w:val="fr-FR"/>
        </w:rPr>
        <w:t>par. </w:t>
      </w:r>
      <w:r w:rsidRPr="00B516CB">
        <w:rPr>
          <w:lang w:val="fr-FR"/>
        </w:rPr>
        <w:t>30.</w:t>
      </w:r>
    </w:p>
  </w:footnote>
  <w:footnote w:id="11">
    <w:p w14:paraId="0CCB234F" w14:textId="6CD05B34" w:rsidR="00AA1D7D" w:rsidRPr="009A1911" w:rsidRDefault="00AA1D7D" w:rsidP="00AA1D7D">
      <w:pPr>
        <w:pStyle w:val="Notedebasdepage"/>
        <w:rPr>
          <w:spacing w:val="-1"/>
          <w:lang w:val="fr-FR"/>
        </w:rPr>
      </w:pPr>
      <w:r w:rsidRPr="009A1911">
        <w:rPr>
          <w:spacing w:val="-1"/>
          <w:lang w:val="fr-FR"/>
        </w:rPr>
        <w:tab/>
      </w:r>
      <w:r w:rsidRPr="009A1911">
        <w:rPr>
          <w:rStyle w:val="Appelnotedebasdep"/>
          <w:spacing w:val="-1"/>
          <w:lang w:val="fr-FR"/>
        </w:rPr>
        <w:footnoteRef/>
      </w:r>
      <w:r w:rsidRPr="009A1911">
        <w:rPr>
          <w:spacing w:val="-1"/>
          <w:lang w:val="fr-FR"/>
        </w:rPr>
        <w:tab/>
      </w:r>
      <w:hyperlink r:id="rId16" w:history="1">
        <w:r w:rsidRPr="009A1911">
          <w:rPr>
            <w:rStyle w:val="Lienhypertexte"/>
            <w:spacing w:val="-1"/>
            <w:lang w:val="fr-FR"/>
          </w:rPr>
          <w:t>CERD/C/BWA/QPR/17-22</w:t>
        </w:r>
      </w:hyperlink>
      <w:r w:rsidRPr="009A1911">
        <w:rPr>
          <w:spacing w:val="-1"/>
          <w:lang w:val="fr-FR"/>
        </w:rPr>
        <w:t xml:space="preserve">, </w:t>
      </w:r>
      <w:r w:rsidRPr="009A1911">
        <w:rPr>
          <w:spacing w:val="-1"/>
          <w:lang w:val="fr-FR"/>
        </w:rPr>
        <w:t>par. </w:t>
      </w:r>
      <w:r w:rsidRPr="009A1911">
        <w:rPr>
          <w:spacing w:val="-1"/>
          <w:lang w:val="fr-FR"/>
        </w:rPr>
        <w:t xml:space="preserve">11 a) et b), et </w:t>
      </w:r>
      <w:hyperlink r:id="rId17" w:history="1">
        <w:r w:rsidRPr="009A1911">
          <w:rPr>
            <w:rStyle w:val="Lienhypertexte"/>
            <w:spacing w:val="-1"/>
            <w:lang w:val="fr-FR"/>
          </w:rPr>
          <w:t>CERD/C/BWA/17-22</w:t>
        </w:r>
      </w:hyperlink>
      <w:r w:rsidRPr="009A1911">
        <w:rPr>
          <w:spacing w:val="-1"/>
          <w:lang w:val="fr-FR"/>
        </w:rPr>
        <w:t>, p.</w:t>
      </w:r>
      <w:r w:rsidR="009A1911" w:rsidRPr="009A1911">
        <w:rPr>
          <w:spacing w:val="-1"/>
          <w:lang w:val="fr-FR"/>
        </w:rPr>
        <w:t> </w:t>
      </w:r>
      <w:r w:rsidRPr="009A1911">
        <w:rPr>
          <w:spacing w:val="-1"/>
          <w:lang w:val="fr-FR"/>
        </w:rPr>
        <w:t>10, al.</w:t>
      </w:r>
      <w:r w:rsidR="009A1911" w:rsidRPr="009A1911">
        <w:rPr>
          <w:spacing w:val="-1"/>
          <w:lang w:val="fr-FR"/>
        </w:rPr>
        <w:t> </w:t>
      </w:r>
      <w:r w:rsidRPr="009A1911">
        <w:rPr>
          <w:spacing w:val="-1"/>
          <w:lang w:val="fr-FR"/>
        </w:rPr>
        <w:t>a) à c)</w:t>
      </w:r>
      <w:r w:rsidR="009A1911" w:rsidRPr="009A1911">
        <w:rPr>
          <w:spacing w:val="-1"/>
          <w:lang w:val="fr-FR"/>
        </w:rPr>
        <w:t>,</w:t>
      </w:r>
      <w:r w:rsidRPr="009A1911">
        <w:rPr>
          <w:spacing w:val="-1"/>
          <w:lang w:val="fr-FR"/>
        </w:rPr>
        <w:t xml:space="preserve"> et </w:t>
      </w:r>
      <w:r w:rsidRPr="009A1911">
        <w:rPr>
          <w:spacing w:val="-1"/>
          <w:lang w:val="fr-FR"/>
        </w:rPr>
        <w:t>par. </w:t>
      </w:r>
      <w:r w:rsidRPr="009A1911">
        <w:rPr>
          <w:spacing w:val="-1"/>
          <w:lang w:val="fr-FR"/>
        </w:rPr>
        <w:t>37 et 38.</w:t>
      </w:r>
    </w:p>
  </w:footnote>
  <w:footnote w:id="12">
    <w:p w14:paraId="68165015" w14:textId="532467A5"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18"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12, et </w:t>
      </w:r>
      <w:hyperlink r:id="rId19" w:history="1">
        <w:r w:rsidRPr="00AE586F">
          <w:rPr>
            <w:rStyle w:val="Lienhypertexte"/>
            <w:lang w:val="fr-FR"/>
          </w:rPr>
          <w:t>CERD/C/BWA/17-22</w:t>
        </w:r>
      </w:hyperlink>
      <w:r w:rsidRPr="00B516CB">
        <w:rPr>
          <w:lang w:val="fr-FR"/>
        </w:rPr>
        <w:t xml:space="preserve">, </w:t>
      </w:r>
      <w:r>
        <w:rPr>
          <w:lang w:val="fr-FR"/>
        </w:rPr>
        <w:t>par. </w:t>
      </w:r>
      <w:r w:rsidRPr="00B516CB">
        <w:rPr>
          <w:lang w:val="fr-FR"/>
        </w:rPr>
        <w:t>39 à 42.</w:t>
      </w:r>
    </w:p>
  </w:footnote>
  <w:footnote w:id="13">
    <w:p w14:paraId="3B0B3349" w14:textId="633B2E05"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20"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11 d), et </w:t>
      </w:r>
      <w:hyperlink r:id="rId21" w:history="1">
        <w:r w:rsidRPr="00AE586F">
          <w:rPr>
            <w:rStyle w:val="Lienhypertexte"/>
            <w:lang w:val="fr-FR"/>
          </w:rPr>
          <w:t>CERD/C/BWA/17-22</w:t>
        </w:r>
      </w:hyperlink>
      <w:r w:rsidRPr="00B516CB">
        <w:rPr>
          <w:lang w:val="fr-FR"/>
        </w:rPr>
        <w:t xml:space="preserve">, </w:t>
      </w:r>
      <w:r>
        <w:rPr>
          <w:lang w:val="fr-FR"/>
        </w:rPr>
        <w:t>par. </w:t>
      </w:r>
      <w:r w:rsidRPr="00B516CB">
        <w:rPr>
          <w:lang w:val="fr-FR"/>
        </w:rPr>
        <w:t>38 a).</w:t>
      </w:r>
    </w:p>
  </w:footnote>
  <w:footnote w:id="14">
    <w:p w14:paraId="37BB4273" w14:textId="5B0AE7B8"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22"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16, et </w:t>
      </w:r>
      <w:hyperlink r:id="rId23" w:history="1">
        <w:r w:rsidRPr="00AE586F">
          <w:rPr>
            <w:rStyle w:val="Lienhypertexte"/>
            <w:lang w:val="fr-FR"/>
          </w:rPr>
          <w:t>CERD/C/BWA/17-22</w:t>
        </w:r>
      </w:hyperlink>
      <w:r w:rsidRPr="00B516CB">
        <w:rPr>
          <w:lang w:val="fr-FR"/>
        </w:rPr>
        <w:t xml:space="preserve">, </w:t>
      </w:r>
      <w:r>
        <w:rPr>
          <w:lang w:val="fr-FR"/>
        </w:rPr>
        <w:t>par. </w:t>
      </w:r>
      <w:r w:rsidRPr="00B516CB">
        <w:rPr>
          <w:lang w:val="fr-FR"/>
        </w:rPr>
        <w:t>64 à 68.</w:t>
      </w:r>
    </w:p>
  </w:footnote>
  <w:footnote w:id="15">
    <w:p w14:paraId="25F101D5" w14:textId="570B28C6"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24"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18, et </w:t>
      </w:r>
      <w:hyperlink r:id="rId25" w:history="1">
        <w:r w:rsidRPr="00AE586F">
          <w:rPr>
            <w:rStyle w:val="Lienhypertexte"/>
            <w:lang w:val="fr-FR"/>
          </w:rPr>
          <w:t>CERD/C/BWA/17-22</w:t>
        </w:r>
      </w:hyperlink>
      <w:r w:rsidRPr="00B516CB">
        <w:rPr>
          <w:lang w:val="fr-FR"/>
        </w:rPr>
        <w:t xml:space="preserve">, </w:t>
      </w:r>
      <w:r>
        <w:rPr>
          <w:lang w:val="fr-FR"/>
        </w:rPr>
        <w:t>par. </w:t>
      </w:r>
      <w:r w:rsidRPr="00B516CB">
        <w:rPr>
          <w:lang w:val="fr-FR"/>
        </w:rPr>
        <w:t>72 à 79.</w:t>
      </w:r>
    </w:p>
  </w:footnote>
  <w:footnote w:id="16">
    <w:p w14:paraId="29E009DE" w14:textId="7F4795E1"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26" w:history="1">
        <w:r w:rsidRPr="00AE586F">
          <w:rPr>
            <w:rStyle w:val="Lienhypertexte"/>
            <w:lang w:val="fr-FR"/>
          </w:rPr>
          <w:t>A/HRC/40/64/Add.2</w:t>
        </w:r>
      </w:hyperlink>
      <w:r w:rsidRPr="00B516CB">
        <w:rPr>
          <w:lang w:val="fr-FR"/>
        </w:rPr>
        <w:t xml:space="preserve">, </w:t>
      </w:r>
      <w:r>
        <w:rPr>
          <w:lang w:val="fr-FR"/>
        </w:rPr>
        <w:t>par. </w:t>
      </w:r>
      <w:r w:rsidRPr="00B516CB">
        <w:rPr>
          <w:lang w:val="fr-FR"/>
        </w:rPr>
        <w:t>26 et 27.</w:t>
      </w:r>
    </w:p>
  </w:footnote>
  <w:footnote w:id="17">
    <w:p w14:paraId="12E75A0D" w14:textId="00704055"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27"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14, 15 et 17, et </w:t>
      </w:r>
      <w:hyperlink r:id="rId28" w:history="1">
        <w:r w:rsidRPr="00AE586F">
          <w:rPr>
            <w:rStyle w:val="Lienhypertexte"/>
            <w:lang w:val="fr-FR"/>
          </w:rPr>
          <w:t>CERD/C/BWA/17-22</w:t>
        </w:r>
      </w:hyperlink>
      <w:r w:rsidRPr="00B516CB">
        <w:rPr>
          <w:lang w:val="fr-FR"/>
        </w:rPr>
        <w:t xml:space="preserve">, </w:t>
      </w:r>
      <w:r>
        <w:rPr>
          <w:lang w:val="fr-FR"/>
        </w:rPr>
        <w:t>par. </w:t>
      </w:r>
      <w:r w:rsidRPr="00B516CB">
        <w:rPr>
          <w:lang w:val="fr-FR"/>
        </w:rPr>
        <w:t>44 à 98.</w:t>
      </w:r>
    </w:p>
  </w:footnote>
  <w:footnote w:id="18">
    <w:p w14:paraId="50765460" w14:textId="5512DEB8"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29"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19, et </w:t>
      </w:r>
      <w:hyperlink r:id="rId30" w:history="1">
        <w:r w:rsidRPr="00AE586F">
          <w:rPr>
            <w:rStyle w:val="Lienhypertexte"/>
            <w:lang w:val="fr-FR"/>
          </w:rPr>
          <w:t>CERD/C/BWA/17-22</w:t>
        </w:r>
      </w:hyperlink>
      <w:r w:rsidRPr="00B516CB">
        <w:rPr>
          <w:lang w:val="fr-FR"/>
        </w:rPr>
        <w:t xml:space="preserve">, </w:t>
      </w:r>
      <w:r>
        <w:rPr>
          <w:lang w:val="fr-FR"/>
        </w:rPr>
        <w:t>par. </w:t>
      </w:r>
      <w:r w:rsidRPr="00B516CB">
        <w:rPr>
          <w:lang w:val="fr-FR"/>
        </w:rPr>
        <w:t>80 à 93.</w:t>
      </w:r>
      <w:r w:rsidR="00AE586F" w:rsidRPr="00B516CB">
        <w:rPr>
          <w:lang w:val="fr-FR"/>
        </w:rPr>
        <w:t xml:space="preserve"> </w:t>
      </w:r>
    </w:p>
  </w:footnote>
  <w:footnote w:id="19">
    <w:p w14:paraId="668FD4CB" w14:textId="68D5A385"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31"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20, et </w:t>
      </w:r>
      <w:hyperlink r:id="rId32" w:history="1">
        <w:r w:rsidRPr="00AE586F">
          <w:rPr>
            <w:rStyle w:val="Lienhypertexte"/>
            <w:lang w:val="fr-FR"/>
          </w:rPr>
          <w:t>CERD/C/BWA/17-22</w:t>
        </w:r>
      </w:hyperlink>
      <w:r w:rsidRPr="00B516CB">
        <w:rPr>
          <w:lang w:val="fr-FR"/>
        </w:rPr>
        <w:t xml:space="preserve">, </w:t>
      </w:r>
      <w:r>
        <w:rPr>
          <w:lang w:val="fr-FR"/>
        </w:rPr>
        <w:t>par. </w:t>
      </w:r>
      <w:r w:rsidRPr="00B516CB">
        <w:rPr>
          <w:lang w:val="fr-FR"/>
        </w:rPr>
        <w:t>94 à 98.</w:t>
      </w:r>
    </w:p>
  </w:footnote>
  <w:footnote w:id="20">
    <w:p w14:paraId="36E35B7E" w14:textId="78ACCC6D" w:rsidR="00AA1D7D" w:rsidRPr="00B516CB" w:rsidRDefault="00AA1D7D" w:rsidP="00AA1D7D">
      <w:pPr>
        <w:pStyle w:val="Notedebasdepage"/>
        <w:rPr>
          <w:lang w:val="fr-FR"/>
        </w:rPr>
      </w:pPr>
      <w:r w:rsidRPr="00B516CB">
        <w:rPr>
          <w:lang w:val="fr-FR"/>
        </w:rPr>
        <w:tab/>
      </w:r>
      <w:r w:rsidRPr="00B516CB">
        <w:rPr>
          <w:rStyle w:val="Appelnotedebasdep"/>
          <w:lang w:val="fr-FR"/>
        </w:rPr>
        <w:footnoteRef/>
      </w:r>
      <w:r w:rsidRPr="00B516CB">
        <w:rPr>
          <w:lang w:val="fr-FR"/>
        </w:rPr>
        <w:tab/>
      </w:r>
      <w:hyperlink r:id="rId33" w:history="1">
        <w:r w:rsidRPr="00AE586F">
          <w:rPr>
            <w:rStyle w:val="Lienhypertexte"/>
            <w:lang w:val="fr-FR"/>
          </w:rPr>
          <w:t>CERD/C/BWA/QPR/17-22</w:t>
        </w:r>
      </w:hyperlink>
      <w:r w:rsidRPr="00B516CB">
        <w:rPr>
          <w:lang w:val="fr-FR"/>
        </w:rPr>
        <w:t xml:space="preserve">, </w:t>
      </w:r>
      <w:r>
        <w:rPr>
          <w:lang w:val="fr-FR"/>
        </w:rPr>
        <w:t>par. </w:t>
      </w:r>
      <w:r w:rsidRPr="00B516CB">
        <w:rPr>
          <w:lang w:val="fr-FR"/>
        </w:rPr>
        <w:t xml:space="preserve">24 à 26, et </w:t>
      </w:r>
      <w:hyperlink r:id="rId34" w:history="1">
        <w:r w:rsidRPr="00AE586F">
          <w:rPr>
            <w:rStyle w:val="Lienhypertexte"/>
            <w:lang w:val="fr-FR"/>
          </w:rPr>
          <w:t>CERD/C/BWA/17-22</w:t>
        </w:r>
      </w:hyperlink>
      <w:r w:rsidRPr="00B516CB">
        <w:rPr>
          <w:lang w:val="fr-FR"/>
        </w:rPr>
        <w:t xml:space="preserve">, </w:t>
      </w:r>
      <w:r>
        <w:rPr>
          <w:lang w:val="fr-FR"/>
        </w:rPr>
        <w:t>par. </w:t>
      </w:r>
      <w:r w:rsidRPr="00B516CB">
        <w:rPr>
          <w:lang w:val="fr-FR"/>
        </w:rPr>
        <w:t>121 à 135.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07449" w14:textId="34C8AB5C" w:rsidR="006D07BC" w:rsidRPr="006D07BC" w:rsidRDefault="006D07BC">
    <w:pPr>
      <w:pStyle w:val="En-tte"/>
    </w:pPr>
    <w:fldSimple w:instr=" TITLE  \* MERGEFORMAT ">
      <w:r>
        <w:t>CERD/C/BWA/Q/17-22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55C23" w14:textId="18AEE77F" w:rsidR="006D07BC" w:rsidRPr="006D07BC" w:rsidRDefault="006D07BC" w:rsidP="006D07BC">
    <w:pPr>
      <w:pStyle w:val="En-tte"/>
      <w:jc w:val="right"/>
    </w:pPr>
    <w:fldSimple w:instr=" TITLE  \* MERGEFORMAT ">
      <w:r>
        <w:t>CERD/C/BWA/Q/17-22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E78"/>
    <w:rsid w:val="00017F94"/>
    <w:rsid w:val="00023842"/>
    <w:rsid w:val="000334F9"/>
    <w:rsid w:val="0007796D"/>
    <w:rsid w:val="000808EB"/>
    <w:rsid w:val="000B7790"/>
    <w:rsid w:val="00111F2F"/>
    <w:rsid w:val="0014365E"/>
    <w:rsid w:val="00176178"/>
    <w:rsid w:val="001F525A"/>
    <w:rsid w:val="00215BEC"/>
    <w:rsid w:val="00223272"/>
    <w:rsid w:val="0024779E"/>
    <w:rsid w:val="00262657"/>
    <w:rsid w:val="00384E78"/>
    <w:rsid w:val="003E18C1"/>
    <w:rsid w:val="00446FE5"/>
    <w:rsid w:val="00452396"/>
    <w:rsid w:val="004F094E"/>
    <w:rsid w:val="005505B7"/>
    <w:rsid w:val="00573BE5"/>
    <w:rsid w:val="00586ED3"/>
    <w:rsid w:val="00596AA9"/>
    <w:rsid w:val="00623CA8"/>
    <w:rsid w:val="006D07BC"/>
    <w:rsid w:val="006E0451"/>
    <w:rsid w:val="00712E6E"/>
    <w:rsid w:val="0071601D"/>
    <w:rsid w:val="00780585"/>
    <w:rsid w:val="00783E9F"/>
    <w:rsid w:val="007A62E6"/>
    <w:rsid w:val="0080684C"/>
    <w:rsid w:val="00871C75"/>
    <w:rsid w:val="008776DC"/>
    <w:rsid w:val="009705C8"/>
    <w:rsid w:val="00984B29"/>
    <w:rsid w:val="009A1911"/>
    <w:rsid w:val="009D5F1A"/>
    <w:rsid w:val="00A30353"/>
    <w:rsid w:val="00AA1D7D"/>
    <w:rsid w:val="00AC3823"/>
    <w:rsid w:val="00AE323C"/>
    <w:rsid w:val="00AE586F"/>
    <w:rsid w:val="00B00181"/>
    <w:rsid w:val="00B765F7"/>
    <w:rsid w:val="00BA0CA9"/>
    <w:rsid w:val="00BB0B66"/>
    <w:rsid w:val="00BB19C3"/>
    <w:rsid w:val="00C02897"/>
    <w:rsid w:val="00D3439C"/>
    <w:rsid w:val="00DB1831"/>
    <w:rsid w:val="00DC0149"/>
    <w:rsid w:val="00DD3BFD"/>
    <w:rsid w:val="00DF6678"/>
    <w:rsid w:val="00F660DF"/>
    <w:rsid w:val="00F95C08"/>
    <w:rsid w:val="00FE0EC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D3F74"/>
  <w15:docId w15:val="{36DFA90C-D0E6-4E4E-B86F-5D9678C44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E5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BWA/QPR/17-22" TargetMode="External"/><Relationship Id="rId13" Type="http://schemas.openxmlformats.org/officeDocument/2006/relationships/hyperlink" Target="http://undocs.org/fr/CERD/C/BWA/17-22" TargetMode="External"/><Relationship Id="rId18" Type="http://schemas.openxmlformats.org/officeDocument/2006/relationships/hyperlink" Target="http://undocs.org/fr/CERD/C/BWA/QPR/17-22" TargetMode="External"/><Relationship Id="rId26" Type="http://schemas.openxmlformats.org/officeDocument/2006/relationships/hyperlink" Target="http://undocs.org/fr/A/HRC/40/64/Add.2" TargetMode="External"/><Relationship Id="rId3" Type="http://schemas.openxmlformats.org/officeDocument/2006/relationships/hyperlink" Target="http://undocs.org/fr/CERD/C/BWA/17-22" TargetMode="External"/><Relationship Id="rId21" Type="http://schemas.openxmlformats.org/officeDocument/2006/relationships/hyperlink" Target="http://undocs.org/fr/CERD/C/BWA/17-22" TargetMode="External"/><Relationship Id="rId34" Type="http://schemas.openxmlformats.org/officeDocument/2006/relationships/hyperlink" Target="http://undocs.org/fr/CERD/C/BWA/17-22" TargetMode="External"/><Relationship Id="rId7" Type="http://schemas.openxmlformats.org/officeDocument/2006/relationships/hyperlink" Target="http://undocs.org/fr/CERD/C/BWA/17-22" TargetMode="External"/><Relationship Id="rId12" Type="http://schemas.openxmlformats.org/officeDocument/2006/relationships/hyperlink" Target="http://undocs.org/fr/CERD/C/BWA/QPR/17-22" TargetMode="External"/><Relationship Id="rId17" Type="http://schemas.openxmlformats.org/officeDocument/2006/relationships/hyperlink" Target="http://undocs.org/fr/CERD/C/BWA/17-22" TargetMode="External"/><Relationship Id="rId25" Type="http://schemas.openxmlformats.org/officeDocument/2006/relationships/hyperlink" Target="http://undocs.org/fr/CERD/C/BWA/17-22" TargetMode="External"/><Relationship Id="rId33" Type="http://schemas.openxmlformats.org/officeDocument/2006/relationships/hyperlink" Target="http://undocs.org/fr/CERD/C/BWA/QPR/17-22" TargetMode="External"/><Relationship Id="rId2" Type="http://schemas.openxmlformats.org/officeDocument/2006/relationships/hyperlink" Target="http://undocs.org/fr/CERD/C/BWA/QPR/17-22" TargetMode="External"/><Relationship Id="rId16" Type="http://schemas.openxmlformats.org/officeDocument/2006/relationships/hyperlink" Target="http://undocs.org/fr/CERD/C/BWA/QPR/17-22" TargetMode="External"/><Relationship Id="rId20" Type="http://schemas.openxmlformats.org/officeDocument/2006/relationships/hyperlink" Target="http://undocs.org/fr/CERD/C/BWA/QPR/17-22" TargetMode="External"/><Relationship Id="rId29" Type="http://schemas.openxmlformats.org/officeDocument/2006/relationships/hyperlink" Target="http://undocs.org/fr/CERD/C/BWA/QPR/17-22" TargetMode="External"/><Relationship Id="rId1" Type="http://schemas.openxmlformats.org/officeDocument/2006/relationships/hyperlink" Target="http://undocs.org/fr/A/65/18" TargetMode="External"/><Relationship Id="rId6" Type="http://schemas.openxmlformats.org/officeDocument/2006/relationships/hyperlink" Target="http://undocs.org/fr/CERD/C/BWA/QPR/17-22" TargetMode="External"/><Relationship Id="rId11" Type="http://schemas.openxmlformats.org/officeDocument/2006/relationships/hyperlink" Target="http://undocs.org/fr/CERD/C/BWA/17-22" TargetMode="External"/><Relationship Id="rId24" Type="http://schemas.openxmlformats.org/officeDocument/2006/relationships/hyperlink" Target="http://undocs.org/fr/CERD/C/BWA/QPR/17-22" TargetMode="External"/><Relationship Id="rId32" Type="http://schemas.openxmlformats.org/officeDocument/2006/relationships/hyperlink" Target="http://undocs.org/fr/CERD/C/BWA/17-22" TargetMode="External"/><Relationship Id="rId5" Type="http://schemas.openxmlformats.org/officeDocument/2006/relationships/hyperlink" Target="http://undocs.org/fr/CERD/C/BWA/17-22" TargetMode="External"/><Relationship Id="rId15" Type="http://schemas.openxmlformats.org/officeDocument/2006/relationships/hyperlink" Target="http://undocs.org/fr/CERD/C/BWA/17-22" TargetMode="External"/><Relationship Id="rId23" Type="http://schemas.openxmlformats.org/officeDocument/2006/relationships/hyperlink" Target="http://undocs.org/fr/CERD/C/BWA/17-22" TargetMode="External"/><Relationship Id="rId28" Type="http://schemas.openxmlformats.org/officeDocument/2006/relationships/hyperlink" Target="http://undocs.org/fr/CERD/C/BWA/17-22" TargetMode="External"/><Relationship Id="rId10" Type="http://schemas.openxmlformats.org/officeDocument/2006/relationships/hyperlink" Target="http://undocs.org/fr/CERD/C/BWA/QPR/17-22" TargetMode="External"/><Relationship Id="rId19" Type="http://schemas.openxmlformats.org/officeDocument/2006/relationships/hyperlink" Target="http://undocs.org/fr/CERD/C/BWA/17-22" TargetMode="External"/><Relationship Id="rId31" Type="http://schemas.openxmlformats.org/officeDocument/2006/relationships/hyperlink" Target="http://undocs.org/fr/CERD/C/BWA/QPR/17-22" TargetMode="External"/><Relationship Id="rId4" Type="http://schemas.openxmlformats.org/officeDocument/2006/relationships/hyperlink" Target="http://undocs.org/fr/CERD/C/BWA/QPR/17-22" TargetMode="External"/><Relationship Id="rId9" Type="http://schemas.openxmlformats.org/officeDocument/2006/relationships/hyperlink" Target="http://undocs.org/fr/CERD/C/BWA/17-22" TargetMode="External"/><Relationship Id="rId14" Type="http://schemas.openxmlformats.org/officeDocument/2006/relationships/hyperlink" Target="http://undocs.org/fr/CERD/C/BWA/QPR/17-22" TargetMode="External"/><Relationship Id="rId22" Type="http://schemas.openxmlformats.org/officeDocument/2006/relationships/hyperlink" Target="http://undocs.org/fr/CERD/C/BWA/QPR/17-22" TargetMode="External"/><Relationship Id="rId27" Type="http://schemas.openxmlformats.org/officeDocument/2006/relationships/hyperlink" Target="http://undocs.org/fr/CERD/C/BWA/QPR/17-22" TargetMode="External"/><Relationship Id="rId30" Type="http://schemas.openxmlformats.org/officeDocument/2006/relationships/hyperlink" Target="http://undocs.org/fr/CERD/C/BWA/17-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1341</Words>
  <Characters>7176</Characters>
  <Application>Microsoft Office Word</Application>
  <DocSecurity>0</DocSecurity>
  <Lines>121</Lines>
  <Paragraphs>45</Paragraphs>
  <ScaleCrop>false</ScaleCrop>
  <HeadingPairs>
    <vt:vector size="2" baseType="variant">
      <vt:variant>
        <vt:lpstr>Titre</vt:lpstr>
      </vt:variant>
      <vt:variant>
        <vt:i4>1</vt:i4>
      </vt:variant>
    </vt:vector>
  </HeadingPairs>
  <TitlesOfParts>
    <vt:vector size="1" baseType="lpstr">
      <vt:lpstr>CERD/C/BWA/Q/17-22</vt:lpstr>
    </vt:vector>
  </TitlesOfParts>
  <Company>DCM</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CERD/C/BWA/Q/17-22</dc:title>
  <dc:subject/>
  <dc:creator>Nicolas MORIN</dc:creator>
  <cp:keywords/>
  <cp:lastModifiedBy>Nicolas Morin</cp:lastModifiedBy>
  <cp:revision>2</cp:revision>
  <cp:lastPrinted>2014-05-14T10:59:00Z</cp:lastPrinted>
  <dcterms:created xsi:type="dcterms:W3CDTF">2023-01-27T09:54:00Z</dcterms:created>
  <dcterms:modified xsi:type="dcterms:W3CDTF">2023-01-27T09:54:00Z</dcterms:modified>
</cp:coreProperties>
</file>