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B1C5B" w:rsidRPr="000B1C5B" w:rsidTr="00116A11">
        <w:trPr>
          <w:trHeight w:hRule="exact" w:val="851"/>
        </w:trPr>
        <w:tc>
          <w:tcPr>
            <w:tcW w:w="1280" w:type="dxa"/>
            <w:tcBorders>
              <w:bottom w:val="single" w:sz="4" w:space="0" w:color="auto"/>
            </w:tcBorders>
          </w:tcPr>
          <w:p w:rsidR="000B1C5B" w:rsidRPr="000B1C5B" w:rsidRDefault="000B1C5B" w:rsidP="000B1C5B">
            <w:pPr>
              <w:keepNext/>
              <w:keepLines/>
              <w:tabs>
                <w:tab w:val="right" w:pos="851"/>
              </w:tabs>
              <w:suppressAutoHyphens w:val="0"/>
              <w:kinsoku/>
              <w:autoSpaceDE/>
              <w:autoSpaceDN/>
              <w:spacing w:before="360" w:after="240" w:line="320" w:lineRule="exact"/>
              <w:ind w:left="1134" w:right="1134" w:hanging="1134"/>
              <w:outlineLvl w:val="2"/>
              <w:rPr>
                <w:rFonts w:eastAsia="黑体"/>
                <w:sz w:val="24"/>
                <w:szCs w:val="24"/>
                <w:lang w:val="en-US" w:eastAsia="zh-CN"/>
              </w:rPr>
            </w:pPr>
          </w:p>
        </w:tc>
        <w:tc>
          <w:tcPr>
            <w:tcW w:w="2273" w:type="dxa"/>
            <w:tcBorders>
              <w:bottom w:val="single" w:sz="4" w:space="0" w:color="auto"/>
            </w:tcBorders>
            <w:vAlign w:val="bottom"/>
          </w:tcPr>
          <w:p w:rsidR="000B1C5B" w:rsidRPr="000B1C5B" w:rsidRDefault="000B1C5B" w:rsidP="000B1C5B">
            <w:pPr>
              <w:suppressAutoHyphens w:val="0"/>
              <w:kinsoku/>
              <w:autoSpaceDE/>
              <w:autoSpaceDN/>
              <w:spacing w:after="80" w:line="300" w:lineRule="exact"/>
              <w:rPr>
                <w:rFonts w:ascii="Time New Roman" w:eastAsia="黑体" w:hAnsi="Time New Roman" w:hint="eastAsia"/>
                <w:snapToGrid w:val="0"/>
                <w:sz w:val="28"/>
                <w:lang w:val="en-US" w:eastAsia="zh-CN"/>
              </w:rPr>
            </w:pPr>
            <w:r w:rsidRPr="000B1C5B">
              <w:rPr>
                <w:rFonts w:ascii="宋体" w:eastAsia="黑体" w:hAnsi="宋体" w:cs="宋体" w:hint="eastAsia"/>
                <w:snapToGrid w:val="0"/>
                <w:sz w:val="28"/>
                <w:lang w:val="en-US" w:eastAsia="zh-CN"/>
              </w:rPr>
              <w:t>联</w:t>
            </w:r>
            <w:r w:rsidRPr="000B1C5B">
              <w:rPr>
                <w:rFonts w:ascii="Time New Roman" w:eastAsia="黑体" w:hAnsi="Time New Roman" w:hint="eastAsia"/>
                <w:snapToGrid w:val="0"/>
                <w:sz w:val="28"/>
                <w:lang w:val="en-US" w:eastAsia="zh-CN"/>
              </w:rPr>
              <w:t xml:space="preserve"> </w:t>
            </w:r>
            <w:r w:rsidRPr="000B1C5B">
              <w:rPr>
                <w:rFonts w:ascii="宋体" w:eastAsia="黑体" w:hAnsi="宋体" w:cs="宋体" w:hint="eastAsia"/>
                <w:snapToGrid w:val="0"/>
                <w:sz w:val="28"/>
                <w:lang w:val="en-US" w:eastAsia="zh-CN"/>
              </w:rPr>
              <w:t>合</w:t>
            </w:r>
            <w:r w:rsidRPr="000B1C5B">
              <w:rPr>
                <w:rFonts w:ascii="Time New Roman" w:eastAsia="黑体" w:hAnsi="Time New Roman" w:hint="eastAsia"/>
                <w:snapToGrid w:val="0"/>
                <w:sz w:val="28"/>
                <w:lang w:val="en-US" w:eastAsia="zh-CN"/>
              </w:rPr>
              <w:t xml:space="preserve"> </w:t>
            </w:r>
            <w:r w:rsidRPr="000B1C5B">
              <w:rPr>
                <w:rFonts w:ascii="宋体" w:eastAsia="黑体" w:hAnsi="宋体" w:cs="宋体" w:hint="eastAsia"/>
                <w:snapToGrid w:val="0"/>
                <w:sz w:val="28"/>
                <w:lang w:val="en-US" w:eastAsia="zh-CN"/>
              </w:rPr>
              <w:t>国</w:t>
            </w:r>
          </w:p>
        </w:tc>
        <w:tc>
          <w:tcPr>
            <w:tcW w:w="6086" w:type="dxa"/>
            <w:gridSpan w:val="2"/>
            <w:tcBorders>
              <w:bottom w:val="single" w:sz="4" w:space="0" w:color="auto"/>
            </w:tcBorders>
            <w:vAlign w:val="bottom"/>
          </w:tcPr>
          <w:p w:rsidR="000B1C5B" w:rsidRPr="000B1C5B" w:rsidRDefault="000B1C5B" w:rsidP="000B1C5B">
            <w:pPr>
              <w:suppressAutoHyphens w:val="0"/>
              <w:kinsoku/>
              <w:autoSpaceDE/>
              <w:autoSpaceDN/>
              <w:jc w:val="right"/>
              <w:rPr>
                <w:rFonts w:eastAsia="宋体"/>
                <w:snapToGrid w:val="0"/>
                <w:szCs w:val="21"/>
                <w:lang w:val="en-US" w:eastAsia="zh-CN"/>
              </w:rPr>
            </w:pPr>
            <w:r w:rsidRPr="000B1C5B">
              <w:rPr>
                <w:rFonts w:eastAsia="宋体"/>
                <w:snapToGrid w:val="0"/>
                <w:sz w:val="40"/>
                <w:szCs w:val="21"/>
                <w:lang w:val="en-US" w:eastAsia="zh-CN"/>
              </w:rPr>
              <w:t>A</w:t>
            </w:r>
            <w:r w:rsidRPr="000B1C5B">
              <w:rPr>
                <w:rFonts w:eastAsia="宋体"/>
                <w:snapToGrid w:val="0"/>
                <w:szCs w:val="21"/>
                <w:lang w:val="en-US" w:eastAsia="zh-CN"/>
              </w:rPr>
              <w:t>/HRC/40/52/</w:t>
            </w:r>
            <w:proofErr w:type="spellStart"/>
            <w:r w:rsidRPr="000B1C5B">
              <w:rPr>
                <w:rFonts w:eastAsia="宋体"/>
                <w:snapToGrid w:val="0"/>
                <w:szCs w:val="21"/>
                <w:lang w:val="en-US" w:eastAsia="zh-CN"/>
              </w:rPr>
              <w:t>Add.4</w:t>
            </w:r>
            <w:proofErr w:type="spellEnd"/>
          </w:p>
        </w:tc>
      </w:tr>
      <w:tr w:rsidR="000B1C5B" w:rsidRPr="000B1C5B" w:rsidTr="00116A11">
        <w:trPr>
          <w:trHeight w:hRule="exact" w:val="2835"/>
        </w:trPr>
        <w:tc>
          <w:tcPr>
            <w:tcW w:w="1280" w:type="dxa"/>
            <w:tcBorders>
              <w:top w:val="single" w:sz="4" w:space="0" w:color="auto"/>
              <w:bottom w:val="single" w:sz="12" w:space="0" w:color="auto"/>
            </w:tcBorders>
          </w:tcPr>
          <w:p w:rsidR="000B1C5B" w:rsidRPr="000B1C5B" w:rsidRDefault="000B1C5B" w:rsidP="000B1C5B">
            <w:pPr>
              <w:suppressAutoHyphens w:val="0"/>
              <w:kinsoku/>
              <w:autoSpaceDE/>
              <w:autoSpaceDN/>
              <w:spacing w:line="120" w:lineRule="atLeast"/>
              <w:rPr>
                <w:rFonts w:eastAsia="宋体"/>
                <w:snapToGrid w:val="0"/>
                <w:sz w:val="10"/>
                <w:szCs w:val="10"/>
                <w:lang w:val="en-US" w:eastAsia="zh-CN"/>
              </w:rPr>
            </w:pPr>
          </w:p>
          <w:p w:rsidR="000B1C5B" w:rsidRPr="000B1C5B" w:rsidRDefault="000B1C5B" w:rsidP="000B1C5B">
            <w:pPr>
              <w:suppressAutoHyphens w:val="0"/>
              <w:kinsoku/>
              <w:autoSpaceDE/>
              <w:autoSpaceDN/>
              <w:spacing w:line="120" w:lineRule="atLeast"/>
              <w:rPr>
                <w:rFonts w:eastAsia="宋体"/>
                <w:snapToGrid w:val="0"/>
                <w:sz w:val="10"/>
                <w:szCs w:val="10"/>
                <w:lang w:val="en-US" w:eastAsia="zh-CN"/>
              </w:rPr>
            </w:pPr>
            <w:r w:rsidRPr="000B1C5B">
              <w:rPr>
                <w:rFonts w:eastAsia="宋体" w:hint="eastAsia"/>
                <w:noProof/>
                <w:snapToGrid w:val="0"/>
                <w:sz w:val="21"/>
                <w:lang w:val="en-US" w:eastAsia="zh-CN"/>
              </w:rPr>
              <w:drawing>
                <wp:inline distT="0" distB="0" distL="0" distR="0" wp14:anchorId="710B855D" wp14:editId="62084389">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B1C5B" w:rsidRPr="000B1C5B" w:rsidRDefault="000B1C5B" w:rsidP="000B1C5B">
            <w:pPr>
              <w:suppressAutoHyphens w:val="0"/>
              <w:kinsoku/>
              <w:autoSpaceDE/>
              <w:autoSpaceDN/>
              <w:spacing w:before="240" w:line="420" w:lineRule="exact"/>
              <w:rPr>
                <w:rFonts w:ascii="Time New Roman" w:eastAsia="黑体" w:hAnsi="Time New Roman" w:hint="eastAsia"/>
                <w:snapToGrid w:val="0"/>
                <w:sz w:val="40"/>
                <w:szCs w:val="40"/>
                <w:lang w:val="en-US" w:eastAsia="zh-CN"/>
              </w:rPr>
            </w:pPr>
            <w:r w:rsidRPr="000B1C5B">
              <w:rPr>
                <w:rFonts w:ascii="宋体" w:eastAsia="黑体" w:hAnsi="宋体" w:cs="宋体" w:hint="eastAsia"/>
                <w:snapToGrid w:val="0"/>
                <w:sz w:val="40"/>
                <w:szCs w:val="40"/>
                <w:lang w:val="en-US" w:eastAsia="zh-CN"/>
              </w:rPr>
              <w:t>大</w:t>
            </w:r>
            <w:r w:rsidRPr="000B1C5B">
              <w:rPr>
                <w:rFonts w:ascii="Time New Roman" w:eastAsia="黑体" w:hAnsi="Time New Roman" w:hint="eastAsia"/>
                <w:snapToGrid w:val="0"/>
                <w:sz w:val="40"/>
                <w:szCs w:val="40"/>
                <w:lang w:val="en-US" w:eastAsia="zh-CN"/>
              </w:rPr>
              <w:t xml:space="preserve">  </w:t>
            </w:r>
            <w:r w:rsidRPr="000B1C5B">
              <w:rPr>
                <w:rFonts w:ascii="宋体" w:eastAsia="黑体" w:hAnsi="宋体" w:cs="宋体" w:hint="eastAsia"/>
                <w:snapToGrid w:val="0"/>
                <w:sz w:val="40"/>
                <w:szCs w:val="40"/>
                <w:lang w:val="en-US" w:eastAsia="zh-CN"/>
              </w:rPr>
              <w:t>会</w:t>
            </w:r>
          </w:p>
        </w:tc>
        <w:tc>
          <w:tcPr>
            <w:tcW w:w="2819" w:type="dxa"/>
            <w:tcBorders>
              <w:top w:val="single" w:sz="4" w:space="0" w:color="auto"/>
              <w:bottom w:val="single" w:sz="12" w:space="0" w:color="auto"/>
            </w:tcBorders>
          </w:tcPr>
          <w:p w:rsidR="000B1C5B" w:rsidRPr="000B1C5B" w:rsidRDefault="000B1C5B" w:rsidP="000B1C5B">
            <w:pPr>
              <w:suppressAutoHyphens w:val="0"/>
              <w:kinsoku/>
              <w:autoSpaceDE/>
              <w:autoSpaceDN/>
              <w:spacing w:before="240"/>
              <w:rPr>
                <w:rFonts w:eastAsia="宋体"/>
                <w:snapToGrid w:val="0"/>
                <w:lang w:val="en-US" w:eastAsia="zh-CN"/>
              </w:rPr>
            </w:pPr>
            <w:r w:rsidRPr="000B1C5B">
              <w:rPr>
                <w:rFonts w:eastAsia="宋体"/>
                <w:snapToGrid w:val="0"/>
                <w:lang w:val="en-US" w:eastAsia="zh-CN"/>
              </w:rPr>
              <w:t>Distr.: General</w:t>
            </w:r>
          </w:p>
          <w:p w:rsidR="000B1C5B" w:rsidRPr="000B1C5B" w:rsidRDefault="000B1C5B" w:rsidP="000B1C5B">
            <w:pPr>
              <w:suppressAutoHyphens w:val="0"/>
              <w:kinsoku/>
              <w:autoSpaceDE/>
              <w:autoSpaceDN/>
              <w:rPr>
                <w:rFonts w:eastAsia="宋体"/>
                <w:snapToGrid w:val="0"/>
                <w:lang w:val="en-US" w:eastAsia="zh-CN"/>
              </w:rPr>
            </w:pPr>
            <w:r w:rsidRPr="000B1C5B">
              <w:rPr>
                <w:rFonts w:eastAsia="宋体"/>
                <w:snapToGrid w:val="0"/>
                <w:lang w:val="en-US" w:eastAsia="zh-CN"/>
              </w:rPr>
              <w:t>8 May 2019</w:t>
            </w:r>
          </w:p>
          <w:p w:rsidR="000B1C5B" w:rsidRPr="000B1C5B" w:rsidRDefault="000B1C5B" w:rsidP="000B1C5B">
            <w:pPr>
              <w:suppressAutoHyphens w:val="0"/>
              <w:kinsoku/>
              <w:autoSpaceDE/>
              <w:autoSpaceDN/>
              <w:rPr>
                <w:rFonts w:eastAsia="宋体"/>
                <w:snapToGrid w:val="0"/>
                <w:lang w:val="en-US" w:eastAsia="zh-CN"/>
              </w:rPr>
            </w:pPr>
            <w:r w:rsidRPr="000B1C5B">
              <w:rPr>
                <w:rFonts w:eastAsia="宋体"/>
                <w:snapToGrid w:val="0"/>
                <w:lang w:val="en-US" w:eastAsia="zh-CN"/>
              </w:rPr>
              <w:t xml:space="preserve">Chinese </w:t>
            </w:r>
          </w:p>
          <w:p w:rsidR="000B1C5B" w:rsidRPr="000B1C5B" w:rsidRDefault="000B1C5B" w:rsidP="000B1C5B">
            <w:pPr>
              <w:suppressAutoHyphens w:val="0"/>
              <w:kinsoku/>
              <w:autoSpaceDE/>
              <w:autoSpaceDN/>
              <w:rPr>
                <w:rFonts w:eastAsia="宋体"/>
                <w:snapToGrid w:val="0"/>
                <w:sz w:val="21"/>
                <w:lang w:val="en-US" w:eastAsia="zh-CN"/>
              </w:rPr>
            </w:pPr>
            <w:r w:rsidRPr="000B1C5B">
              <w:rPr>
                <w:rFonts w:eastAsia="宋体"/>
                <w:snapToGrid w:val="0"/>
                <w:lang w:val="en-US" w:eastAsia="zh-CN"/>
              </w:rPr>
              <w:t>Original: English</w:t>
            </w:r>
          </w:p>
        </w:tc>
      </w:tr>
    </w:tbl>
    <w:p w:rsidR="000B1C5B" w:rsidRPr="000B1C5B" w:rsidRDefault="000B1C5B" w:rsidP="000B1C5B">
      <w:pPr>
        <w:suppressAutoHyphens w:val="0"/>
        <w:kinsoku/>
        <w:autoSpaceDE/>
        <w:autoSpaceDN/>
        <w:spacing w:before="120" w:line="320" w:lineRule="exact"/>
        <w:rPr>
          <w:rFonts w:eastAsia="黑体"/>
          <w:snapToGrid w:val="0"/>
          <w:sz w:val="24"/>
          <w:szCs w:val="24"/>
          <w:lang w:val="fr-CH" w:eastAsia="zh-CN"/>
        </w:rPr>
      </w:pPr>
      <w:r w:rsidRPr="000B1C5B">
        <w:rPr>
          <w:rFonts w:eastAsia="黑体" w:hint="eastAsia"/>
          <w:snapToGrid w:val="0"/>
          <w:sz w:val="24"/>
          <w:szCs w:val="24"/>
          <w:lang w:val="fr-CH" w:eastAsia="zh-CN"/>
        </w:rPr>
        <w:t>人权理事会</w:t>
      </w:r>
    </w:p>
    <w:p w:rsidR="000B1C5B" w:rsidRPr="000B1C5B" w:rsidRDefault="000B1C5B" w:rsidP="000B1C5B">
      <w:pPr>
        <w:suppressAutoHyphens w:val="0"/>
        <w:kinsoku/>
        <w:autoSpaceDE/>
        <w:autoSpaceDN/>
        <w:spacing w:line="320" w:lineRule="exact"/>
        <w:rPr>
          <w:rFonts w:eastAsia="黑体"/>
          <w:snapToGrid w:val="0"/>
          <w:sz w:val="21"/>
          <w:szCs w:val="21"/>
          <w:lang w:val="fr-CH" w:eastAsia="zh-CN"/>
        </w:rPr>
      </w:pPr>
      <w:r w:rsidRPr="000B1C5B">
        <w:rPr>
          <w:rFonts w:eastAsia="黑体" w:hint="eastAsia"/>
          <w:snapToGrid w:val="0"/>
          <w:sz w:val="21"/>
          <w:szCs w:val="21"/>
          <w:lang w:val="fr-CH" w:eastAsia="zh-CN"/>
        </w:rPr>
        <w:t>第四十届会议</w:t>
      </w:r>
    </w:p>
    <w:p w:rsidR="000B1C5B" w:rsidRPr="000B1C5B" w:rsidRDefault="000B1C5B" w:rsidP="000B1C5B">
      <w:pPr>
        <w:suppressAutoHyphens w:val="0"/>
        <w:kinsoku/>
        <w:autoSpaceDE/>
        <w:autoSpaceDN/>
        <w:spacing w:line="320" w:lineRule="exact"/>
        <w:rPr>
          <w:rFonts w:eastAsia="宋体"/>
          <w:snapToGrid w:val="0"/>
          <w:sz w:val="21"/>
          <w:szCs w:val="21"/>
          <w:lang w:val="fr-CH" w:eastAsia="zh-CN"/>
        </w:rPr>
      </w:pPr>
      <w:r w:rsidRPr="000B1C5B">
        <w:rPr>
          <w:rFonts w:eastAsia="宋体" w:hint="eastAsia"/>
          <w:snapToGrid w:val="0"/>
          <w:sz w:val="21"/>
          <w:szCs w:val="21"/>
          <w:lang w:val="fr-CH" w:eastAsia="zh-CN"/>
        </w:rPr>
        <w:t>2019</w:t>
      </w:r>
      <w:r w:rsidRPr="000B1C5B">
        <w:rPr>
          <w:rFonts w:eastAsia="宋体" w:hint="eastAsia"/>
          <w:snapToGrid w:val="0"/>
          <w:sz w:val="21"/>
          <w:szCs w:val="21"/>
          <w:lang w:val="fr-CH" w:eastAsia="zh-CN"/>
        </w:rPr>
        <w:t>年</w:t>
      </w:r>
      <w:r w:rsidRPr="000B1C5B">
        <w:rPr>
          <w:rFonts w:eastAsia="宋体" w:hint="eastAsia"/>
          <w:snapToGrid w:val="0"/>
          <w:sz w:val="21"/>
          <w:szCs w:val="21"/>
          <w:lang w:val="fr-CH" w:eastAsia="zh-CN"/>
        </w:rPr>
        <w:t>2</w:t>
      </w:r>
      <w:r w:rsidRPr="000B1C5B">
        <w:rPr>
          <w:rFonts w:eastAsia="宋体" w:hint="eastAsia"/>
          <w:snapToGrid w:val="0"/>
          <w:sz w:val="21"/>
          <w:szCs w:val="21"/>
          <w:lang w:val="fr-CH" w:eastAsia="zh-CN"/>
        </w:rPr>
        <w:t>月</w:t>
      </w:r>
      <w:r w:rsidRPr="000B1C5B">
        <w:rPr>
          <w:rFonts w:eastAsia="宋体" w:hint="eastAsia"/>
          <w:snapToGrid w:val="0"/>
          <w:sz w:val="21"/>
          <w:szCs w:val="21"/>
          <w:lang w:val="fr-CH" w:eastAsia="zh-CN"/>
        </w:rPr>
        <w:t>25</w:t>
      </w:r>
      <w:r w:rsidRPr="000B1C5B">
        <w:rPr>
          <w:rFonts w:eastAsia="宋体" w:hint="eastAsia"/>
          <w:snapToGrid w:val="0"/>
          <w:sz w:val="21"/>
          <w:szCs w:val="21"/>
          <w:lang w:val="fr-CH" w:eastAsia="zh-CN"/>
        </w:rPr>
        <w:t>日至</w:t>
      </w:r>
      <w:r w:rsidRPr="000B1C5B">
        <w:rPr>
          <w:rFonts w:eastAsia="宋体" w:hint="eastAsia"/>
          <w:snapToGrid w:val="0"/>
          <w:sz w:val="21"/>
          <w:szCs w:val="21"/>
          <w:lang w:val="fr-CH" w:eastAsia="zh-CN"/>
        </w:rPr>
        <w:t>3</w:t>
      </w:r>
      <w:r w:rsidRPr="000B1C5B">
        <w:rPr>
          <w:rFonts w:eastAsia="宋体" w:hint="eastAsia"/>
          <w:snapToGrid w:val="0"/>
          <w:sz w:val="21"/>
          <w:szCs w:val="21"/>
          <w:lang w:val="fr-CH" w:eastAsia="zh-CN"/>
        </w:rPr>
        <w:t>月</w:t>
      </w:r>
      <w:r w:rsidRPr="000B1C5B">
        <w:rPr>
          <w:rFonts w:eastAsia="宋体" w:hint="eastAsia"/>
          <w:snapToGrid w:val="0"/>
          <w:sz w:val="21"/>
          <w:szCs w:val="21"/>
          <w:lang w:val="fr-CH" w:eastAsia="zh-CN"/>
        </w:rPr>
        <w:t>22</w:t>
      </w:r>
      <w:r w:rsidRPr="000B1C5B">
        <w:rPr>
          <w:rFonts w:eastAsia="宋体" w:hint="eastAsia"/>
          <w:snapToGrid w:val="0"/>
          <w:sz w:val="21"/>
          <w:szCs w:val="21"/>
          <w:lang w:val="fr-CH" w:eastAsia="zh-CN"/>
        </w:rPr>
        <w:t>日</w:t>
      </w:r>
    </w:p>
    <w:p w:rsidR="000B1C5B" w:rsidRPr="000B1C5B" w:rsidRDefault="000B1C5B" w:rsidP="000B1C5B">
      <w:pPr>
        <w:suppressAutoHyphens w:val="0"/>
        <w:kinsoku/>
        <w:autoSpaceDE/>
        <w:autoSpaceDN/>
        <w:spacing w:line="320" w:lineRule="exact"/>
        <w:rPr>
          <w:rFonts w:eastAsia="宋体"/>
          <w:snapToGrid w:val="0"/>
          <w:sz w:val="21"/>
          <w:szCs w:val="21"/>
          <w:lang w:val="fr-CH" w:eastAsia="zh-CN"/>
        </w:rPr>
      </w:pPr>
      <w:r w:rsidRPr="000B1C5B">
        <w:rPr>
          <w:rFonts w:eastAsia="宋体" w:hint="eastAsia"/>
          <w:snapToGrid w:val="0"/>
          <w:sz w:val="21"/>
          <w:szCs w:val="21"/>
          <w:lang w:eastAsia="zh-CN"/>
        </w:rPr>
        <w:t>议程项目</w:t>
      </w:r>
      <w:r w:rsidRPr="000B1C5B">
        <w:rPr>
          <w:rFonts w:eastAsia="宋体"/>
          <w:snapToGrid w:val="0"/>
          <w:sz w:val="21"/>
          <w:szCs w:val="21"/>
          <w:lang w:eastAsia="zh-CN"/>
        </w:rPr>
        <w:t>3</w:t>
      </w:r>
    </w:p>
    <w:p w:rsidR="000B1C5B" w:rsidRPr="000B1C5B" w:rsidRDefault="000B1C5B" w:rsidP="000B1C5B">
      <w:pPr>
        <w:suppressAutoHyphens w:val="0"/>
        <w:kinsoku/>
        <w:autoSpaceDE/>
        <w:autoSpaceDN/>
        <w:spacing w:line="320" w:lineRule="exact"/>
        <w:rPr>
          <w:rFonts w:ascii="Time New Roman" w:eastAsia="黑体" w:hAnsi="Time New Roman" w:hint="eastAsia"/>
          <w:snapToGrid w:val="0"/>
          <w:sz w:val="21"/>
          <w:lang w:val="fr-CH" w:eastAsia="zh-CN"/>
        </w:rPr>
      </w:pPr>
      <w:r w:rsidRPr="000B1C5B">
        <w:rPr>
          <w:rFonts w:eastAsia="黑体" w:hint="eastAsia"/>
          <w:snapToGrid w:val="0"/>
          <w:sz w:val="21"/>
          <w:lang w:val="fr-CH" w:eastAsia="zh-CN"/>
        </w:rPr>
        <w:t>促进和保护</w:t>
      </w:r>
      <w:r w:rsidRPr="000B1C5B">
        <w:rPr>
          <w:rFonts w:ascii="Time New Roman" w:eastAsia="黑体" w:hAnsi="Time New Roman" w:hint="eastAsia"/>
          <w:snapToGrid w:val="0"/>
          <w:sz w:val="21"/>
          <w:lang w:val="fr-CH" w:eastAsia="zh-CN"/>
        </w:rPr>
        <w:t>所有人权</w:t>
      </w:r>
      <w:r w:rsidRPr="000B1C5B">
        <w:rPr>
          <w:rFonts w:ascii="Time New Roman" w:eastAsia="黑体" w:hAnsi="Time New Roman" w:hint="eastAsia"/>
          <w:snapToGrid w:val="0"/>
          <w:spacing w:val="-50"/>
          <w:sz w:val="21"/>
          <w:lang w:val="fr-CH" w:eastAsia="zh-CN"/>
        </w:rPr>
        <w:t>―</w:t>
      </w:r>
      <w:r w:rsidRPr="000B1C5B">
        <w:rPr>
          <w:rFonts w:ascii="Time New Roman" w:eastAsia="黑体" w:hAnsi="Time New Roman" w:hint="eastAsia"/>
          <w:snapToGrid w:val="0"/>
          <w:sz w:val="21"/>
          <w:lang w:val="fr-CH" w:eastAsia="zh-CN"/>
        </w:rPr>
        <w:t>―</w:t>
      </w:r>
      <w:r w:rsidRPr="004D761C">
        <w:rPr>
          <w:rFonts w:ascii="Time New Roman" w:eastAsia="黑体" w:hAnsi="Time New Roman" w:hint="eastAsia"/>
          <w:sz w:val="21"/>
          <w:lang w:val="fr-CH" w:eastAsia="zh-CN"/>
        </w:rPr>
        <w:t>公</w:t>
      </w:r>
      <w:r w:rsidRPr="000B1C5B">
        <w:rPr>
          <w:rFonts w:ascii="Time New Roman" w:eastAsia="黑体" w:hAnsi="Time New Roman" w:hint="eastAsia"/>
          <w:snapToGrid w:val="0"/>
          <w:sz w:val="21"/>
          <w:lang w:val="fr-CH" w:eastAsia="zh-CN"/>
        </w:rPr>
        <w:t>民权利、政治权利、</w:t>
      </w:r>
      <w:r w:rsidRPr="000B1C5B">
        <w:rPr>
          <w:rFonts w:ascii="Time New Roman" w:eastAsia="黑体" w:hAnsi="Time New Roman"/>
          <w:snapToGrid w:val="0"/>
          <w:sz w:val="21"/>
          <w:lang w:val="fr-CH" w:eastAsia="zh-CN"/>
        </w:rPr>
        <w:br/>
      </w:r>
      <w:r w:rsidRPr="000B1C5B">
        <w:rPr>
          <w:rFonts w:ascii="Time New Roman" w:eastAsia="黑体" w:hAnsi="Time New Roman" w:hint="eastAsia"/>
          <w:snapToGrid w:val="0"/>
          <w:sz w:val="21"/>
          <w:lang w:val="fr-CH" w:eastAsia="zh-CN"/>
        </w:rPr>
        <w:t>经济、社会及文化权利，包括发展权</w:t>
      </w:r>
    </w:p>
    <w:p w:rsidR="000B1C5B" w:rsidRPr="000B1C5B" w:rsidRDefault="000B1C5B" w:rsidP="000B1C5B">
      <w:pPr>
        <w:keepNext/>
        <w:keepLines/>
        <w:tabs>
          <w:tab w:val="right" w:pos="851"/>
        </w:tabs>
        <w:suppressAutoHyphens w:val="0"/>
        <w:kinsoku/>
        <w:autoSpaceDE/>
        <w:autoSpaceDN/>
        <w:spacing w:before="360" w:after="240" w:line="400" w:lineRule="exact"/>
        <w:ind w:left="1134" w:right="1134" w:hanging="1134"/>
        <w:outlineLvl w:val="1"/>
        <w:rPr>
          <w:rFonts w:eastAsia="黑体"/>
          <w:sz w:val="28"/>
          <w:szCs w:val="28"/>
          <w:lang w:eastAsia="zh-CN"/>
        </w:rPr>
      </w:pPr>
      <w:r w:rsidRPr="000B1C5B">
        <w:rPr>
          <w:rFonts w:eastAsia="黑体"/>
          <w:sz w:val="28"/>
          <w:szCs w:val="28"/>
          <w:lang w:eastAsia="zh-CN"/>
        </w:rPr>
        <w:tab/>
      </w:r>
      <w:r w:rsidRPr="000B1C5B">
        <w:rPr>
          <w:rFonts w:eastAsia="黑体"/>
          <w:sz w:val="28"/>
          <w:szCs w:val="28"/>
          <w:lang w:eastAsia="zh-CN"/>
        </w:rPr>
        <w:tab/>
      </w:r>
      <w:r w:rsidRPr="000B1C5B">
        <w:rPr>
          <w:rFonts w:eastAsia="黑体" w:hint="eastAsia"/>
          <w:sz w:val="28"/>
          <w:szCs w:val="28"/>
          <w:lang w:eastAsia="zh-CN"/>
        </w:rPr>
        <w:t>对法国的访问</w:t>
      </w:r>
    </w:p>
    <w:p w:rsidR="000B1C5B" w:rsidRPr="000B1C5B" w:rsidRDefault="000B1C5B" w:rsidP="000B1C5B">
      <w:pPr>
        <w:keepNext/>
        <w:keepLines/>
        <w:tabs>
          <w:tab w:val="right" w:pos="851"/>
        </w:tabs>
        <w:suppressAutoHyphens w:val="0"/>
        <w:kinsoku/>
        <w:autoSpaceDE/>
        <w:autoSpaceDN/>
        <w:spacing w:before="360" w:after="240" w:line="320" w:lineRule="exact"/>
        <w:ind w:left="1134" w:right="1134" w:hanging="1134"/>
        <w:outlineLvl w:val="2"/>
        <w:rPr>
          <w:rFonts w:eastAsia="黑体"/>
          <w:bCs/>
          <w:sz w:val="24"/>
          <w:szCs w:val="24"/>
          <w:lang w:eastAsia="zh-CN"/>
        </w:rPr>
      </w:pPr>
      <w:r w:rsidRPr="000B1C5B">
        <w:rPr>
          <w:rFonts w:eastAsia="黑体"/>
          <w:sz w:val="24"/>
          <w:szCs w:val="24"/>
          <w:lang w:eastAsia="zh-CN"/>
        </w:rPr>
        <w:tab/>
      </w:r>
      <w:r w:rsidRPr="000B1C5B">
        <w:rPr>
          <w:rFonts w:eastAsia="黑体"/>
          <w:sz w:val="24"/>
          <w:szCs w:val="24"/>
          <w:lang w:eastAsia="zh-CN"/>
        </w:rPr>
        <w:tab/>
      </w:r>
      <w:r w:rsidRPr="000B1C5B">
        <w:rPr>
          <w:rFonts w:eastAsia="黑体" w:hint="eastAsia"/>
          <w:sz w:val="24"/>
          <w:szCs w:val="24"/>
          <w:lang w:eastAsia="zh-CN"/>
        </w:rPr>
        <w:t>反恐中注意促进与保护人权和基本自由特别报告员的报告</w:t>
      </w:r>
      <w:r w:rsidRPr="000B1C5B">
        <w:rPr>
          <w:rFonts w:eastAsia="黑体"/>
          <w:color w:val="0000FF"/>
          <w:sz w:val="24"/>
          <w:szCs w:val="24"/>
          <w:lang w:eastAsia="zh-CN"/>
        </w:rPr>
        <w:footnoteReference w:customMarkFollows="1" w:id="2"/>
        <w:t>*</w:t>
      </w:r>
      <w:r w:rsidRPr="000B1C5B">
        <w:rPr>
          <w:rFonts w:eastAsia="黑体"/>
          <w:sz w:val="24"/>
          <w:szCs w:val="24"/>
          <w:lang w:eastAsia="zh-CN"/>
        </w:rPr>
        <w:t xml:space="preserve"> </w:t>
      </w:r>
      <w:r w:rsidRPr="000B1C5B">
        <w:rPr>
          <w:rFonts w:eastAsia="黑体"/>
          <w:color w:val="0000FF"/>
          <w:sz w:val="24"/>
          <w:szCs w:val="24"/>
          <w:lang w:eastAsia="zh-CN"/>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0B1C5B" w:rsidRPr="000B1C5B" w:rsidTr="00116A11">
        <w:tc>
          <w:tcPr>
            <w:tcW w:w="9639" w:type="dxa"/>
            <w:tcBorders>
              <w:top w:val="single" w:sz="4" w:space="0" w:color="auto"/>
              <w:left w:val="single" w:sz="4" w:space="0" w:color="auto"/>
              <w:bottom w:val="nil"/>
              <w:right w:val="single" w:sz="4" w:space="0" w:color="auto"/>
            </w:tcBorders>
            <w:noWrap/>
            <w:tcMar>
              <w:left w:w="0" w:type="dxa"/>
              <w:right w:w="0" w:type="dxa"/>
            </w:tcMar>
          </w:tcPr>
          <w:p w:rsidR="000B1C5B" w:rsidRPr="000B1C5B" w:rsidRDefault="000B1C5B" w:rsidP="000B1C5B">
            <w:pPr>
              <w:tabs>
                <w:tab w:val="left" w:pos="255"/>
                <w:tab w:val="left" w:pos="431"/>
              </w:tabs>
              <w:suppressAutoHyphens w:val="0"/>
              <w:kinsoku/>
              <w:autoSpaceDE/>
              <w:autoSpaceDN/>
              <w:spacing w:before="240" w:line="320" w:lineRule="exact"/>
              <w:rPr>
                <w:rFonts w:eastAsia="楷体"/>
                <w:snapToGrid w:val="0"/>
                <w:sz w:val="23"/>
                <w:szCs w:val="23"/>
                <w:lang w:val="es-ES" w:eastAsia="zh-CN"/>
              </w:rPr>
            </w:pPr>
            <w:r w:rsidRPr="000B1C5B">
              <w:rPr>
                <w:rFonts w:eastAsia="楷体_GB2312"/>
                <w:snapToGrid w:val="0"/>
                <w:sz w:val="23"/>
                <w:szCs w:val="23"/>
                <w:lang w:val="es-ES" w:eastAsia="zh-CN"/>
              </w:rPr>
              <w:tab/>
            </w:r>
            <w:r w:rsidRPr="000B1C5B">
              <w:rPr>
                <w:rFonts w:eastAsia="楷体" w:hint="eastAsia"/>
                <w:snapToGrid w:val="0"/>
                <w:sz w:val="23"/>
                <w:szCs w:val="23"/>
                <w:lang w:val="es-ES" w:eastAsia="zh-CN"/>
              </w:rPr>
              <w:t>概</w:t>
            </w:r>
            <w:r w:rsidRPr="000B1C5B">
              <w:rPr>
                <w:rFonts w:eastAsia="楷体" w:hint="eastAsia"/>
                <w:snapToGrid w:val="0"/>
                <w:sz w:val="23"/>
                <w:szCs w:val="23"/>
                <w:lang w:val="es-ES" w:eastAsia="es-ES"/>
              </w:rPr>
              <w:t>要</w:t>
            </w:r>
          </w:p>
        </w:tc>
      </w:tr>
      <w:tr w:rsidR="000B1C5B" w:rsidRPr="000B1C5B" w:rsidTr="00116A11">
        <w:tc>
          <w:tcPr>
            <w:tcW w:w="9639" w:type="dxa"/>
            <w:tcBorders>
              <w:top w:val="nil"/>
              <w:left w:val="single" w:sz="4" w:space="0" w:color="auto"/>
              <w:bottom w:val="nil"/>
              <w:right w:val="single" w:sz="4" w:space="0" w:color="auto"/>
            </w:tcBorders>
            <w:noWrap/>
            <w:tcMar>
              <w:left w:w="0" w:type="dxa"/>
              <w:right w:w="0" w:type="dxa"/>
            </w:tcMar>
          </w:tcPr>
          <w:p w:rsidR="000B1C5B" w:rsidRPr="000B1C5B" w:rsidRDefault="000B1C5B" w:rsidP="000B1C5B">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0B1C5B">
              <w:rPr>
                <w:rFonts w:eastAsia="宋体" w:hint="eastAsia"/>
                <w:snapToGrid w:val="0"/>
                <w:sz w:val="21"/>
                <w:lang w:val="es-ES" w:eastAsia="zh-CN"/>
              </w:rPr>
              <w:tab/>
            </w:r>
            <w:r w:rsidRPr="000B1C5B">
              <w:rPr>
                <w:rFonts w:eastAsia="宋体"/>
                <w:snapToGrid w:val="0"/>
                <w:sz w:val="21"/>
                <w:lang w:eastAsia="zh-CN"/>
              </w:rPr>
              <w:t>反恐中注意促进与保护人权和基本自由特别报告员</w:t>
            </w:r>
            <w:r w:rsidRPr="000B1C5B">
              <w:rPr>
                <w:rFonts w:eastAsia="宋体" w:hint="eastAsia"/>
                <w:snapToGrid w:val="0"/>
                <w:sz w:val="21"/>
                <w:lang w:eastAsia="zh-CN"/>
              </w:rPr>
              <w:t>菲奥诺拉·尼伊兰于</w:t>
            </w:r>
            <w:r w:rsidRPr="000B1C5B">
              <w:rPr>
                <w:rFonts w:eastAsia="宋体"/>
                <w:snapToGrid w:val="0"/>
                <w:sz w:val="21"/>
                <w:lang w:eastAsia="zh-CN"/>
              </w:rPr>
              <w:t>2018</w:t>
            </w:r>
            <w:r w:rsidRPr="000B1C5B">
              <w:rPr>
                <w:rFonts w:eastAsia="宋体" w:hint="eastAsia"/>
                <w:snapToGrid w:val="0"/>
                <w:sz w:val="21"/>
                <w:lang w:eastAsia="zh-CN"/>
              </w:rPr>
              <w:t>年</w:t>
            </w:r>
            <w:r w:rsidRPr="000B1C5B">
              <w:rPr>
                <w:rFonts w:eastAsia="宋体"/>
                <w:snapToGrid w:val="0"/>
                <w:sz w:val="21"/>
                <w:lang w:eastAsia="zh-CN"/>
              </w:rPr>
              <w:t>5</w:t>
            </w:r>
            <w:r w:rsidRPr="000B1C5B">
              <w:rPr>
                <w:rFonts w:eastAsia="宋体" w:hint="eastAsia"/>
                <w:snapToGrid w:val="0"/>
                <w:sz w:val="21"/>
                <w:lang w:eastAsia="zh-CN"/>
              </w:rPr>
              <w:t>月</w:t>
            </w:r>
            <w:r w:rsidRPr="000B1C5B">
              <w:rPr>
                <w:rFonts w:eastAsia="宋体"/>
                <w:snapToGrid w:val="0"/>
                <w:sz w:val="21"/>
                <w:lang w:eastAsia="zh-CN"/>
              </w:rPr>
              <w:t>14</w:t>
            </w:r>
            <w:r w:rsidRPr="000B1C5B">
              <w:rPr>
                <w:rFonts w:eastAsia="宋体" w:hint="eastAsia"/>
                <w:snapToGrid w:val="0"/>
                <w:sz w:val="21"/>
                <w:lang w:eastAsia="zh-CN"/>
              </w:rPr>
              <w:t>日至</w:t>
            </w:r>
            <w:r w:rsidRPr="000B1C5B">
              <w:rPr>
                <w:rFonts w:eastAsia="宋体"/>
                <w:snapToGrid w:val="0"/>
                <w:sz w:val="21"/>
                <w:lang w:eastAsia="zh-CN"/>
              </w:rPr>
              <w:t>23</w:t>
            </w:r>
            <w:r w:rsidRPr="000B1C5B">
              <w:rPr>
                <w:rFonts w:eastAsia="宋体" w:hint="eastAsia"/>
                <w:snapToGrid w:val="0"/>
                <w:sz w:val="21"/>
                <w:lang w:eastAsia="zh-CN"/>
              </w:rPr>
              <w:t>日对法国进行了正式访问，对照该国的国际人权义务对其反恐法律、政策和做法进行评估。她赞扬法国政府在访问期间的建设性参与，并强调指出，她充分了解并敏感地认识到，几十年来法国一直受到暴力问题的困扰，而且当前面临着恐怖主义的挑战，包括从冲突地区返回法国的战斗人员这一问题。</w:t>
            </w:r>
          </w:p>
        </w:tc>
      </w:tr>
      <w:tr w:rsidR="000B1C5B" w:rsidRPr="000B1C5B" w:rsidTr="00116A11">
        <w:tc>
          <w:tcPr>
            <w:tcW w:w="9639" w:type="dxa"/>
            <w:tcBorders>
              <w:top w:val="nil"/>
              <w:left w:val="single" w:sz="4" w:space="0" w:color="auto"/>
              <w:bottom w:val="nil"/>
              <w:right w:val="single" w:sz="4" w:space="0" w:color="auto"/>
            </w:tcBorders>
            <w:noWrap/>
            <w:tcMar>
              <w:left w:w="0" w:type="dxa"/>
              <w:right w:w="0" w:type="dxa"/>
            </w:tcMar>
          </w:tcPr>
          <w:p w:rsidR="000B1C5B" w:rsidRPr="000B1C5B" w:rsidRDefault="000B1C5B" w:rsidP="000B1C5B">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0B1C5B">
              <w:rPr>
                <w:rFonts w:eastAsia="宋体"/>
                <w:snapToGrid w:val="0"/>
                <w:sz w:val="21"/>
                <w:lang w:val="es-ES" w:eastAsia="zh-CN"/>
              </w:rPr>
              <w:tab/>
            </w:r>
            <w:r w:rsidRPr="000B1C5B">
              <w:rPr>
                <w:rFonts w:eastAsia="宋体" w:hint="eastAsia"/>
                <w:snapToGrid w:val="0"/>
                <w:sz w:val="21"/>
                <w:lang w:eastAsia="zh-CN"/>
              </w:rPr>
              <w:t>她还赞扬法国在将人权和国际人道主义法纳入全球反</w:t>
            </w:r>
            <w:proofErr w:type="gramStart"/>
            <w:r w:rsidRPr="000B1C5B">
              <w:rPr>
                <w:rFonts w:eastAsia="宋体" w:hint="eastAsia"/>
                <w:snapToGrid w:val="0"/>
                <w:sz w:val="21"/>
                <w:lang w:eastAsia="zh-CN"/>
              </w:rPr>
              <w:t>恐实践</w:t>
            </w:r>
            <w:proofErr w:type="gramEnd"/>
            <w:r w:rsidRPr="000B1C5B">
              <w:rPr>
                <w:rFonts w:eastAsia="宋体" w:hint="eastAsia"/>
                <w:snapToGrid w:val="0"/>
                <w:sz w:val="21"/>
                <w:lang w:eastAsia="zh-CN"/>
              </w:rPr>
              <w:t>方面发挥着重要作用，并肯定法国在应对全球反</w:t>
            </w:r>
            <w:proofErr w:type="gramStart"/>
            <w:r w:rsidRPr="000B1C5B">
              <w:rPr>
                <w:rFonts w:eastAsia="宋体" w:hint="eastAsia"/>
                <w:snapToGrid w:val="0"/>
                <w:sz w:val="21"/>
                <w:lang w:eastAsia="zh-CN"/>
              </w:rPr>
              <w:t>恐挑战</w:t>
            </w:r>
            <w:proofErr w:type="gramEnd"/>
            <w:r w:rsidRPr="000B1C5B">
              <w:rPr>
                <w:rFonts w:eastAsia="宋体" w:hint="eastAsia"/>
                <w:snapToGrid w:val="0"/>
                <w:sz w:val="21"/>
                <w:lang w:eastAsia="zh-CN"/>
              </w:rPr>
              <w:t>方面持续发挥着区域性和国际性的领导作用。</w:t>
            </w:r>
          </w:p>
        </w:tc>
      </w:tr>
      <w:tr w:rsidR="000B1C5B" w:rsidRPr="000B1C5B" w:rsidTr="00116A11">
        <w:tc>
          <w:tcPr>
            <w:tcW w:w="9639" w:type="dxa"/>
            <w:tcBorders>
              <w:top w:val="nil"/>
              <w:left w:val="single" w:sz="4" w:space="0" w:color="auto"/>
              <w:bottom w:val="nil"/>
              <w:right w:val="single" w:sz="4" w:space="0" w:color="auto"/>
            </w:tcBorders>
            <w:noWrap/>
            <w:tcMar>
              <w:left w:w="0" w:type="dxa"/>
              <w:right w:w="0" w:type="dxa"/>
            </w:tcMar>
          </w:tcPr>
          <w:p w:rsidR="000B1C5B" w:rsidRPr="000B1C5B" w:rsidRDefault="000B1C5B" w:rsidP="000B1C5B">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0B1C5B">
              <w:rPr>
                <w:rFonts w:eastAsia="宋体"/>
                <w:snapToGrid w:val="0"/>
                <w:sz w:val="21"/>
                <w:lang w:val="es-ES" w:eastAsia="zh-CN"/>
              </w:rPr>
              <w:tab/>
            </w:r>
            <w:r w:rsidRPr="000B1C5B">
              <w:rPr>
                <w:rFonts w:eastAsia="宋体" w:hint="eastAsia"/>
                <w:snapToGrid w:val="0"/>
                <w:sz w:val="21"/>
                <w:lang w:eastAsia="zh-CN"/>
              </w:rPr>
              <w:t>法国在立足法治应对恐怖主义方面有着丰富经验，在其国家实践中长期致力于维护人权义务。报告</w:t>
            </w:r>
            <w:proofErr w:type="gramStart"/>
            <w:r w:rsidRPr="000B1C5B">
              <w:rPr>
                <w:rFonts w:eastAsia="宋体" w:hint="eastAsia"/>
                <w:snapToGrid w:val="0"/>
                <w:sz w:val="21"/>
                <w:lang w:eastAsia="zh-CN"/>
              </w:rPr>
              <w:t>员尤其</w:t>
            </w:r>
            <w:proofErr w:type="gramEnd"/>
            <w:r w:rsidRPr="000B1C5B">
              <w:rPr>
                <w:rFonts w:eastAsia="宋体" w:hint="eastAsia"/>
                <w:snapToGrid w:val="0"/>
                <w:sz w:val="21"/>
                <w:lang w:eastAsia="zh-CN"/>
              </w:rPr>
              <w:t>肯定法国在恐怖主义受害者问题上的工作卓有成效而且不断完善，其法律框架支持对受害者提供法律保护和赔偿。法国在开展恐怖主义受害者工作方面做出了典范。</w:t>
            </w:r>
          </w:p>
        </w:tc>
      </w:tr>
      <w:tr w:rsidR="000B1C5B" w:rsidRPr="000B1C5B" w:rsidTr="00116A11">
        <w:tc>
          <w:tcPr>
            <w:tcW w:w="9639" w:type="dxa"/>
            <w:tcBorders>
              <w:top w:val="nil"/>
              <w:left w:val="single" w:sz="4" w:space="0" w:color="auto"/>
              <w:bottom w:val="nil"/>
              <w:right w:val="single" w:sz="4" w:space="0" w:color="auto"/>
            </w:tcBorders>
            <w:noWrap/>
            <w:tcMar>
              <w:left w:w="0" w:type="dxa"/>
              <w:right w:w="0" w:type="dxa"/>
            </w:tcMar>
          </w:tcPr>
          <w:p w:rsidR="000B1C5B" w:rsidRPr="000B1C5B" w:rsidRDefault="000B1C5B" w:rsidP="000B1C5B">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0B1C5B">
              <w:rPr>
                <w:rFonts w:eastAsia="宋体"/>
                <w:snapToGrid w:val="0"/>
                <w:sz w:val="21"/>
                <w:lang w:val="es-ES" w:eastAsia="zh-CN"/>
              </w:rPr>
              <w:tab/>
            </w:r>
            <w:r w:rsidRPr="000B1C5B">
              <w:rPr>
                <w:rFonts w:eastAsia="宋体" w:hint="eastAsia"/>
                <w:snapToGrid w:val="0"/>
                <w:sz w:val="21"/>
                <w:lang w:eastAsia="zh-CN"/>
              </w:rPr>
              <w:t>尽管做出了许多积极评价，但特别报告员还就法国存在的若干人权问题提出了自己的看法和建议，这些问题包括：紧急状态、新的行政措施、与反</w:t>
            </w:r>
            <w:proofErr w:type="gramStart"/>
            <w:r w:rsidRPr="000B1C5B">
              <w:rPr>
                <w:rFonts w:eastAsia="宋体" w:hint="eastAsia"/>
                <w:snapToGrid w:val="0"/>
                <w:sz w:val="21"/>
                <w:lang w:eastAsia="zh-CN"/>
              </w:rPr>
              <w:t>恐措施</w:t>
            </w:r>
            <w:proofErr w:type="gramEnd"/>
            <w:r w:rsidRPr="000B1C5B">
              <w:rPr>
                <w:rFonts w:eastAsia="宋体" w:hint="eastAsia"/>
                <w:snapToGrid w:val="0"/>
                <w:sz w:val="21"/>
                <w:lang w:eastAsia="zh-CN"/>
              </w:rPr>
              <w:t>有关的</w:t>
            </w:r>
            <w:proofErr w:type="gramStart"/>
            <w:r w:rsidRPr="000B1C5B">
              <w:rPr>
                <w:rFonts w:eastAsia="宋体" w:hint="eastAsia"/>
                <w:snapToGrid w:val="0"/>
                <w:sz w:val="21"/>
                <w:lang w:eastAsia="zh-CN"/>
              </w:rPr>
              <w:t>非司法</w:t>
            </w:r>
            <w:proofErr w:type="gramEnd"/>
            <w:r w:rsidRPr="000B1C5B">
              <w:rPr>
                <w:rFonts w:eastAsia="宋体" w:hint="eastAsia"/>
                <w:snapToGrid w:val="0"/>
                <w:sz w:val="21"/>
                <w:lang w:eastAsia="zh-CN"/>
              </w:rPr>
              <w:t>和司法监督、行政措施中的正当程序权利、对表达自由的保护和“为</w:t>
            </w:r>
            <w:r w:rsidRPr="000B1C5B">
              <w:rPr>
                <w:rFonts w:eastAsia="宋体" w:hint="eastAsia"/>
                <w:snapToGrid w:val="0"/>
                <w:sz w:val="21"/>
                <w:lang w:eastAsia="zh-CN"/>
              </w:rPr>
              <w:lastRenderedPageBreak/>
              <w:t>恐怖主义辩护”罪、恐怖主义相关罪行的定义过于宽泛、反</w:t>
            </w:r>
            <w:proofErr w:type="gramStart"/>
            <w:r w:rsidRPr="000B1C5B">
              <w:rPr>
                <w:rFonts w:eastAsia="宋体" w:hint="eastAsia"/>
                <w:snapToGrid w:val="0"/>
                <w:sz w:val="21"/>
                <w:lang w:eastAsia="zh-CN"/>
              </w:rPr>
              <w:t>恐背景</w:t>
            </w:r>
            <w:proofErr w:type="gramEnd"/>
            <w:r w:rsidRPr="000B1C5B">
              <w:rPr>
                <w:rFonts w:eastAsia="宋体" w:hint="eastAsia"/>
                <w:snapToGrid w:val="0"/>
                <w:sz w:val="21"/>
                <w:lang w:eastAsia="zh-CN"/>
              </w:rPr>
              <w:t>下的种族和宗教定性问题。这些问题对特定少数群体享有权利和海外公民应承担的人权义务具有深远影响。特别报告员的建议包括：建立一个完全独立、资源充足的专家监督机构，监督在法国运作的所有</w:t>
            </w:r>
            <w:proofErr w:type="gramStart"/>
            <w:r w:rsidRPr="000B1C5B">
              <w:rPr>
                <w:rFonts w:eastAsia="宋体" w:hint="eastAsia"/>
                <w:snapToGrid w:val="0"/>
                <w:sz w:val="21"/>
                <w:lang w:eastAsia="zh-CN"/>
              </w:rPr>
              <w:t>反恐和国家</w:t>
            </w:r>
            <w:proofErr w:type="gramEnd"/>
            <w:r w:rsidRPr="000B1C5B">
              <w:rPr>
                <w:rFonts w:eastAsia="宋体" w:hint="eastAsia"/>
                <w:snapToGrid w:val="0"/>
                <w:sz w:val="21"/>
                <w:lang w:eastAsia="zh-CN"/>
              </w:rPr>
              <w:t>安全权力部门；审查尚未解决的因紧急状态所致侵犯人权行为，重新获得个人和社区的信任；根据必要性、相称性和无歧视的标准，评估《加强国内安全和打击恐怖主义法》的必要性；加强议会对</w:t>
            </w:r>
            <w:proofErr w:type="gramStart"/>
            <w:r w:rsidRPr="000B1C5B">
              <w:rPr>
                <w:rFonts w:eastAsia="宋体" w:hint="eastAsia"/>
                <w:snapToGrid w:val="0"/>
                <w:sz w:val="21"/>
                <w:lang w:eastAsia="zh-CN"/>
              </w:rPr>
              <w:t>反恐和国家</w:t>
            </w:r>
            <w:proofErr w:type="gramEnd"/>
            <w:r w:rsidRPr="000B1C5B">
              <w:rPr>
                <w:rFonts w:eastAsia="宋体" w:hint="eastAsia"/>
                <w:snapToGrid w:val="0"/>
                <w:sz w:val="21"/>
                <w:lang w:eastAsia="zh-CN"/>
              </w:rPr>
              <w:t>安全权力部门的监督；以一致和透明的方式提供国家安全和反恐数据，以便民间社会进行监督和参与；处理在监测和评估预防暴力极端主义战略方面的漏洞；采取积极措施消除法国穆斯林社区受到的负面、陈规定型和</w:t>
            </w:r>
            <w:proofErr w:type="gramStart"/>
            <w:r w:rsidRPr="000B1C5B">
              <w:rPr>
                <w:rFonts w:eastAsia="宋体" w:hint="eastAsia"/>
                <w:snapToGrid w:val="0"/>
                <w:sz w:val="21"/>
                <w:lang w:eastAsia="zh-CN"/>
              </w:rPr>
              <w:t>污名化</w:t>
            </w:r>
            <w:proofErr w:type="gramEnd"/>
            <w:r w:rsidRPr="000B1C5B">
              <w:rPr>
                <w:rFonts w:eastAsia="宋体" w:hint="eastAsia"/>
                <w:snapToGrid w:val="0"/>
                <w:sz w:val="21"/>
                <w:lang w:eastAsia="zh-CN"/>
              </w:rPr>
              <w:t>影响。</w:t>
            </w:r>
          </w:p>
        </w:tc>
      </w:tr>
      <w:tr w:rsidR="000B1C5B" w:rsidRPr="000B1C5B" w:rsidTr="00116A11">
        <w:tc>
          <w:tcPr>
            <w:tcW w:w="9639" w:type="dxa"/>
            <w:tcBorders>
              <w:top w:val="nil"/>
              <w:left w:val="single" w:sz="4" w:space="0" w:color="auto"/>
              <w:bottom w:val="single" w:sz="4" w:space="0" w:color="auto"/>
              <w:right w:val="single" w:sz="4" w:space="0" w:color="auto"/>
            </w:tcBorders>
            <w:noWrap/>
            <w:tcMar>
              <w:left w:w="0" w:type="dxa"/>
              <w:right w:w="0" w:type="dxa"/>
            </w:tcMar>
          </w:tcPr>
          <w:p w:rsidR="000B1C5B" w:rsidRPr="000B1C5B" w:rsidRDefault="000B1C5B" w:rsidP="000B1C5B">
            <w:pPr>
              <w:tabs>
                <w:tab w:val="left" w:pos="431"/>
                <w:tab w:val="left" w:pos="1134"/>
                <w:tab w:val="left" w:pos="1565"/>
                <w:tab w:val="left" w:pos="1996"/>
                <w:tab w:val="left" w:pos="2427"/>
              </w:tabs>
              <w:suppressAutoHyphens w:val="0"/>
              <w:kinsoku/>
              <w:autoSpaceDE/>
              <w:autoSpaceDN/>
              <w:spacing w:line="320" w:lineRule="atLeast"/>
              <w:rPr>
                <w:rFonts w:ascii="宋体" w:eastAsia="宋体" w:hAnsi="宋体"/>
                <w:snapToGrid w:val="0"/>
                <w:sz w:val="21"/>
                <w:lang w:val="es-ES" w:eastAsia="zh-CN"/>
              </w:rPr>
            </w:pPr>
          </w:p>
        </w:tc>
      </w:tr>
    </w:tbl>
    <w:p w:rsidR="00F6015D" w:rsidRPr="00845AD3" w:rsidRDefault="00F6015D" w:rsidP="003951A7">
      <w:pPr>
        <w:pStyle w:val="HChG"/>
      </w:pPr>
      <w:r w:rsidRPr="00845AD3">
        <w:rPr>
          <w:lang w:eastAsia="zh-CN"/>
        </w:rPr>
        <w:br w:type="page"/>
      </w:r>
      <w:r w:rsidR="003951A7" w:rsidRPr="00845AD3">
        <w:rPr>
          <w:lang w:eastAsia="zh-CN"/>
        </w:rPr>
        <w:tab/>
      </w:r>
      <w:r w:rsidRPr="00845AD3">
        <w:t>Annex</w:t>
      </w:r>
    </w:p>
    <w:p w:rsidR="00F6015D" w:rsidRPr="00845AD3" w:rsidRDefault="00F6015D" w:rsidP="003951A7">
      <w:pPr>
        <w:pStyle w:val="HChG"/>
      </w:pPr>
      <w:r w:rsidRPr="00845AD3">
        <w:tab/>
      </w:r>
      <w:r w:rsidRPr="00845AD3">
        <w:tab/>
        <w:t>Report of the Special Rapporteur on the promotion and protection of human</w:t>
      </w:r>
      <w:bookmarkStart w:id="0" w:name="_GoBack"/>
      <w:bookmarkEnd w:id="0"/>
      <w:r w:rsidRPr="00845AD3">
        <w:t xml:space="preserve"> rights and fundamental freedoms while countering terrorism </w:t>
      </w:r>
      <w:r w:rsidRPr="00845AD3">
        <w:rPr>
          <w:color w:val="000000" w:themeColor="text1"/>
        </w:rPr>
        <w:t>on her visit to France</w:t>
      </w:r>
    </w:p>
    <w:p w:rsidR="00F6015D" w:rsidRPr="00094EC1" w:rsidRDefault="003951A7" w:rsidP="004933EB">
      <w:pPr>
        <w:pStyle w:val="HChG"/>
        <w:rPr>
          <w:lang w:val="en-US"/>
        </w:rPr>
      </w:pPr>
      <w:r w:rsidRPr="004933EB">
        <w:tab/>
        <w:t>I.</w:t>
      </w:r>
      <w:r w:rsidRPr="004933EB">
        <w:tab/>
      </w:r>
      <w:r w:rsidR="00F6015D" w:rsidRPr="004933EB">
        <w:t>Introduction</w:t>
      </w:r>
    </w:p>
    <w:p w:rsidR="00F6015D" w:rsidRPr="00845AD3" w:rsidRDefault="003951A7" w:rsidP="003B256F">
      <w:pPr>
        <w:pStyle w:val="SingleTxtG"/>
      </w:pPr>
      <w:r w:rsidRPr="00845AD3">
        <w:t>1.</w:t>
      </w:r>
      <w:r w:rsidRPr="00845AD3">
        <w:tab/>
      </w:r>
      <w:r w:rsidR="00F6015D" w:rsidRPr="00845AD3">
        <w:t xml:space="preserve">The Special Rapporteur on the promotion and protection of human rights and fundamental freedoms while countering terrorism, </w:t>
      </w:r>
      <w:proofErr w:type="spellStart"/>
      <w:r w:rsidR="00F6015D" w:rsidRPr="00845AD3">
        <w:t>Fionnuala</w:t>
      </w:r>
      <w:proofErr w:type="spellEnd"/>
      <w:r w:rsidR="00F6015D" w:rsidRPr="00845AD3">
        <w:t xml:space="preserve"> </w:t>
      </w:r>
      <w:proofErr w:type="spellStart"/>
      <w:r w:rsidR="00F6015D" w:rsidRPr="00845AD3">
        <w:t>Ní</w:t>
      </w:r>
      <w:proofErr w:type="spellEnd"/>
      <w:r w:rsidR="00F6015D" w:rsidRPr="00845AD3">
        <w:t xml:space="preserve"> </w:t>
      </w:r>
      <w:proofErr w:type="spellStart"/>
      <w:r w:rsidR="00F6015D" w:rsidRPr="00845AD3">
        <w:t>Aoláin</w:t>
      </w:r>
      <w:proofErr w:type="spellEnd"/>
      <w:r w:rsidR="00F6015D" w:rsidRPr="00845AD3">
        <w:t>, conducted an official visit to France from 14 to 23 May 2018 at the invitation of the Government to assess the country</w:t>
      </w:r>
      <w:r w:rsidR="00B57B03" w:rsidRPr="00845AD3">
        <w:t>’</w:t>
      </w:r>
      <w:r w:rsidR="00F6015D" w:rsidRPr="00845AD3">
        <w:t xml:space="preserve">s counter-terrorism laws, policies and practices, measured against its international human rights obligations. </w:t>
      </w:r>
    </w:p>
    <w:p w:rsidR="00F6015D" w:rsidRPr="00845AD3" w:rsidRDefault="003951A7" w:rsidP="003B256F">
      <w:pPr>
        <w:pStyle w:val="SingleTxtG"/>
      </w:pPr>
      <w:r w:rsidRPr="00845AD3">
        <w:t>2.</w:t>
      </w:r>
      <w:r w:rsidRPr="00845AD3">
        <w:tab/>
      </w:r>
      <w:r w:rsidR="00F6015D" w:rsidRPr="00845AD3">
        <w:t>The Special Rapporteur commends the constructive and cooperative way in which the Government facilitated her visit, which enabled a frank and open dialogue. She is particularly grateful for the efforts made by the Human Rights and Humanitarian Affairs Sub-Directorate in ensuring the efficient conduct of the visit and in coordinating the follow-up.</w:t>
      </w:r>
    </w:p>
    <w:p w:rsidR="00F6015D" w:rsidRPr="00845AD3" w:rsidRDefault="003951A7" w:rsidP="0005688D">
      <w:pPr>
        <w:pStyle w:val="SingleTxtG"/>
      </w:pPr>
      <w:r w:rsidRPr="00845AD3">
        <w:t>3.</w:t>
      </w:r>
      <w:r w:rsidRPr="00845AD3">
        <w:tab/>
      </w:r>
      <w:r w:rsidR="00F6015D" w:rsidRPr="00845AD3">
        <w:t>The Special Rapporteur met with the Minister of Justice; the Head of the Human Rights and Humanitarian Affairs Division of the Ministry of Foreign Affairs; the Ambassador for Human Rights, the international dimension of the Holocaust, spoliations and the duty to remember; the Deputy Director of the Cabinet of the Minister for Europe and Foreign Affairs; the National Consultative Commission on Human Rights (</w:t>
      </w:r>
      <w:proofErr w:type="spellStart"/>
      <w:r w:rsidR="00F6015D" w:rsidRPr="00845AD3">
        <w:t>CNCDH</w:t>
      </w:r>
      <w:proofErr w:type="spellEnd"/>
      <w:r w:rsidR="00F6015D" w:rsidRPr="00845AD3">
        <w:t>); the Rapporteur of the National Assembly Oversight Commission for the law of 30 October 2017 on internal security (</w:t>
      </w:r>
      <w:proofErr w:type="spellStart"/>
      <w:r w:rsidR="00F6015D" w:rsidRPr="00845AD3">
        <w:rPr>
          <w:i/>
        </w:rPr>
        <w:t>Loi</w:t>
      </w:r>
      <w:proofErr w:type="spellEnd"/>
      <w:r w:rsidR="00F6015D" w:rsidRPr="00845AD3">
        <w:rPr>
          <w:i/>
        </w:rPr>
        <w:t xml:space="preserve"> </w:t>
      </w:r>
      <w:proofErr w:type="spellStart"/>
      <w:r w:rsidR="00F6015D" w:rsidRPr="00845AD3">
        <w:rPr>
          <w:i/>
        </w:rPr>
        <w:t>renforçant</w:t>
      </w:r>
      <w:proofErr w:type="spellEnd"/>
      <w:r w:rsidR="00F6015D" w:rsidRPr="00845AD3">
        <w:rPr>
          <w:i/>
        </w:rPr>
        <w:t xml:space="preserve"> la </w:t>
      </w:r>
      <w:proofErr w:type="spellStart"/>
      <w:r w:rsidR="00F6015D" w:rsidRPr="00845AD3">
        <w:rPr>
          <w:i/>
        </w:rPr>
        <w:t>sécurité</w:t>
      </w:r>
      <w:proofErr w:type="spellEnd"/>
      <w:r w:rsidR="00F6015D" w:rsidRPr="00845AD3">
        <w:rPr>
          <w:i/>
        </w:rPr>
        <w:t xml:space="preserve"> </w:t>
      </w:r>
      <w:proofErr w:type="spellStart"/>
      <w:r w:rsidR="00F6015D" w:rsidRPr="00845AD3">
        <w:rPr>
          <w:i/>
        </w:rPr>
        <w:t>intérieure</w:t>
      </w:r>
      <w:proofErr w:type="spellEnd"/>
      <w:r w:rsidR="00F6015D" w:rsidRPr="00845AD3">
        <w:rPr>
          <w:i/>
        </w:rPr>
        <w:t xml:space="preserve"> et la </w:t>
      </w:r>
      <w:proofErr w:type="spellStart"/>
      <w:r w:rsidR="00F6015D" w:rsidRPr="00845AD3">
        <w:rPr>
          <w:i/>
        </w:rPr>
        <w:t>lutte</w:t>
      </w:r>
      <w:proofErr w:type="spellEnd"/>
      <w:r w:rsidR="00F6015D" w:rsidRPr="00845AD3">
        <w:rPr>
          <w:i/>
        </w:rPr>
        <w:t xml:space="preserve"> </w:t>
      </w:r>
      <w:proofErr w:type="spellStart"/>
      <w:r w:rsidR="00F6015D" w:rsidRPr="00845AD3">
        <w:rPr>
          <w:i/>
        </w:rPr>
        <w:t>contre</w:t>
      </w:r>
      <w:proofErr w:type="spellEnd"/>
      <w:r w:rsidR="00F6015D" w:rsidRPr="00845AD3">
        <w:rPr>
          <w:i/>
        </w:rPr>
        <w:t xml:space="preserve"> le </w:t>
      </w:r>
      <w:proofErr w:type="spellStart"/>
      <w:r w:rsidR="00F6015D" w:rsidRPr="00845AD3">
        <w:rPr>
          <w:i/>
        </w:rPr>
        <w:t>terrorisme</w:t>
      </w:r>
      <w:proofErr w:type="spellEnd"/>
      <w:r w:rsidR="00F6015D" w:rsidRPr="00845AD3">
        <w:t>); the President of the National Commission for the Control of Intelligence Techniques (</w:t>
      </w:r>
      <w:proofErr w:type="spellStart"/>
      <w:r w:rsidR="00F6015D" w:rsidRPr="00845AD3">
        <w:t>CNCTR</w:t>
      </w:r>
      <w:proofErr w:type="spellEnd"/>
      <w:r w:rsidR="00F6015D" w:rsidRPr="00845AD3">
        <w:t xml:space="preserve">); the Secretary-General of the </w:t>
      </w:r>
      <w:proofErr w:type="spellStart"/>
      <w:r w:rsidR="00F6015D" w:rsidRPr="00845AD3">
        <w:t>Interministerial</w:t>
      </w:r>
      <w:proofErr w:type="spellEnd"/>
      <w:r w:rsidR="00F6015D" w:rsidRPr="00845AD3">
        <w:t xml:space="preserve"> Committee for the Prevention of Radicalization and Crime; the Director of Public Freedoms and Legal Affairs of the Ministry of the Interior (</w:t>
      </w:r>
      <w:proofErr w:type="spellStart"/>
      <w:r w:rsidR="00F6015D" w:rsidRPr="00845AD3">
        <w:t>DLPAJ</w:t>
      </w:r>
      <w:proofErr w:type="spellEnd"/>
      <w:r w:rsidR="00F6015D" w:rsidRPr="00845AD3">
        <w:t>); the Deputy President of the Litigation Section and President of the Specialized Intelligence-Gathering Unit of the Council of State; the Deputy President of the Domestic Section of the Council of State; the Director of the Cabinet of the Prefect of Police of Paris; the Diplomatic Adviser and member of the Cabinet of the Prefect of Police of Paris; the Human Rights Ombudsperson; the Diplomatic Adviser to the Minister of the Armed Forces; the Paris Public Prosecutor; the President of the French National Bar Association; the Director General of Internal Security (</w:t>
      </w:r>
      <w:proofErr w:type="spellStart"/>
      <w:r w:rsidR="00F6015D" w:rsidRPr="00845AD3">
        <w:t>DGSI</w:t>
      </w:r>
      <w:proofErr w:type="spellEnd"/>
      <w:r w:rsidR="00F6015D" w:rsidRPr="00845AD3">
        <w:t>); and the Director General of the National Police (</w:t>
      </w:r>
      <w:proofErr w:type="spellStart"/>
      <w:r w:rsidR="00F6015D" w:rsidRPr="00845AD3">
        <w:t>DGPN</w:t>
      </w:r>
      <w:proofErr w:type="spellEnd"/>
      <w:r w:rsidR="00F6015D" w:rsidRPr="00845AD3">
        <w:t xml:space="preserve">). </w:t>
      </w:r>
    </w:p>
    <w:p w:rsidR="00F6015D" w:rsidRPr="00845AD3" w:rsidRDefault="003951A7" w:rsidP="003B256F">
      <w:pPr>
        <w:pStyle w:val="SingleTxtG"/>
      </w:pPr>
      <w:r w:rsidRPr="00845AD3">
        <w:t>4.</w:t>
      </w:r>
      <w:r w:rsidRPr="00845AD3">
        <w:tab/>
      </w:r>
      <w:r w:rsidR="00F6015D" w:rsidRPr="00845AD3">
        <w:t>The Special Rapporteur visited the Val-d</w:t>
      </w:r>
      <w:r w:rsidR="00B57B03" w:rsidRPr="00845AD3">
        <w:t>’</w:t>
      </w:r>
      <w:r w:rsidR="00F6015D" w:rsidRPr="00845AD3">
        <w:t xml:space="preserve">Oise detention centre in </w:t>
      </w:r>
      <w:proofErr w:type="spellStart"/>
      <w:r w:rsidR="00F6015D" w:rsidRPr="00845AD3">
        <w:t>Osny</w:t>
      </w:r>
      <w:proofErr w:type="spellEnd"/>
      <w:r w:rsidR="00F6015D" w:rsidRPr="00845AD3">
        <w:t xml:space="preserve">, where she met prison officials and experts. She interviewed several prisoners convicted of terrorism offences or identified as having potentially been radicalized in prison. </w:t>
      </w:r>
    </w:p>
    <w:p w:rsidR="00F6015D" w:rsidRPr="00845AD3" w:rsidRDefault="003951A7" w:rsidP="003B256F">
      <w:pPr>
        <w:pStyle w:val="SingleTxtG"/>
      </w:pPr>
      <w:r w:rsidRPr="00845AD3">
        <w:t>5.</w:t>
      </w:r>
      <w:r w:rsidRPr="00845AD3">
        <w:tab/>
      </w:r>
      <w:r w:rsidR="00F6015D" w:rsidRPr="00845AD3">
        <w:t>In addition, she met with lawyers, journalists, human rights defenders and civil society representatives, broadly defined. She met the Founder and Director of the French Association of Victims of Terrorism (</w:t>
      </w:r>
      <w:proofErr w:type="spellStart"/>
      <w:r w:rsidR="00F6015D" w:rsidRPr="00845AD3">
        <w:t>AfVT</w:t>
      </w:r>
      <w:proofErr w:type="spellEnd"/>
      <w:r w:rsidR="00F6015D" w:rsidRPr="00845AD3">
        <w:t>) and representatives of that organization. The Special Rapporteur was particularly grateful to have had the opportunity to meet with victims of terrorism, whose lives have been irrevocably affected by the experiences of injury, trauma and loss.</w:t>
      </w:r>
    </w:p>
    <w:p w:rsidR="00F6015D" w:rsidRPr="004933EB" w:rsidRDefault="001E06F7" w:rsidP="004933EB">
      <w:pPr>
        <w:pStyle w:val="HChG"/>
      </w:pPr>
      <w:r w:rsidRPr="004933EB">
        <w:tab/>
      </w:r>
      <w:r w:rsidR="003951A7" w:rsidRPr="004933EB">
        <w:t>II.</w:t>
      </w:r>
      <w:r w:rsidR="003951A7" w:rsidRPr="004933EB">
        <w:tab/>
      </w:r>
      <w:r w:rsidR="00F6015D" w:rsidRPr="004933EB">
        <w:t>Legal and political context</w:t>
      </w:r>
    </w:p>
    <w:p w:rsidR="00F6015D" w:rsidRPr="00845AD3" w:rsidRDefault="001E06F7" w:rsidP="001E06F7">
      <w:pPr>
        <w:pStyle w:val="H1G"/>
      </w:pPr>
      <w:r w:rsidRPr="00845AD3">
        <w:tab/>
      </w:r>
      <w:r w:rsidR="003951A7" w:rsidRPr="00845AD3">
        <w:t>A.</w:t>
      </w:r>
      <w:r w:rsidR="003951A7" w:rsidRPr="00845AD3">
        <w:tab/>
      </w:r>
      <w:r w:rsidR="00F6015D" w:rsidRPr="00845AD3">
        <w:t>International context</w:t>
      </w:r>
    </w:p>
    <w:p w:rsidR="00F6015D" w:rsidRPr="00845AD3" w:rsidRDefault="003951A7" w:rsidP="00876CD1">
      <w:pPr>
        <w:pStyle w:val="SingleTxtG"/>
      </w:pPr>
      <w:r w:rsidRPr="00845AD3">
        <w:t>6.</w:t>
      </w:r>
      <w:r w:rsidRPr="00845AD3">
        <w:tab/>
      </w:r>
      <w:r w:rsidR="00F6015D" w:rsidRPr="00845AD3">
        <w:t xml:space="preserve">France is a party to multiple core international human rights treaties including the International Covenant on Civil and Political Rights and its two Optional Protocols; the International Covenant on Economic, Social and </w:t>
      </w:r>
      <w:r w:rsidR="00876CD1" w:rsidRPr="00876CD1">
        <w:t>Cultural</w:t>
      </w:r>
      <w:r w:rsidR="00876CD1" w:rsidRPr="00845AD3">
        <w:t xml:space="preserve"> </w:t>
      </w:r>
      <w:r w:rsidR="00F6015D" w:rsidRPr="00845AD3">
        <w:t>Rights and its Optional Protocol; the Convention against Torture and Other Cruel, Inhuman or Degrading Treatment or Punishment and its Optional Protocol; the Convention on the Elimination of All Forms of Discrimination against Women; the Convention on the Rights of the Child and its Optional Protocols; the Convention on the Rights of Persons with Disabilities and its Optional Protocol; the International Convention on the Elimination of All Forms of Racial Discrimination; and the International Convention for the Protection of All Persons from Enforced Disappearance.</w:t>
      </w:r>
    </w:p>
    <w:p w:rsidR="00F6015D" w:rsidRPr="00845AD3" w:rsidRDefault="003951A7" w:rsidP="003B256F">
      <w:pPr>
        <w:pStyle w:val="SingleTxtG"/>
      </w:pPr>
      <w:r w:rsidRPr="00845AD3">
        <w:t>7.</w:t>
      </w:r>
      <w:r w:rsidRPr="00845AD3">
        <w:tab/>
      </w:r>
      <w:r w:rsidR="00F6015D" w:rsidRPr="00845AD3">
        <w:t>As a member State of the Council of Europe and the European Union, France is also bound by relevant regional instruments, including the European Convention on Human Rights</w:t>
      </w:r>
      <w:r w:rsidRPr="00845AD3">
        <w:t xml:space="preserve"> </w:t>
      </w:r>
      <w:r w:rsidR="00F6015D" w:rsidRPr="00845AD3">
        <w:t>and the Charter of Fundamental Freedoms of the European Union.</w:t>
      </w:r>
    </w:p>
    <w:p w:rsidR="00F6015D" w:rsidRPr="00845AD3" w:rsidRDefault="003951A7" w:rsidP="003B256F">
      <w:pPr>
        <w:pStyle w:val="SingleTxtG"/>
      </w:pPr>
      <w:r w:rsidRPr="00845AD3">
        <w:t>8.</w:t>
      </w:r>
      <w:r w:rsidRPr="00845AD3">
        <w:tab/>
      </w:r>
      <w:r w:rsidR="00F6015D" w:rsidRPr="00845AD3">
        <w:t>France has also ratified a range of legal instruments designed to prevent and regulate terrorist acts, including Convention for the Suppression of Unlawful Seizure of Aircraft and its 2010 Protocol, the Convention on Prevention and Punishment of Crimes against Internationally Protected Persons, the International Convention against the Taking of Hostages, the International Convention for Suppression of Terrorist Bombings and the International Convention for Suppression of the Financing of Terrorism.</w:t>
      </w:r>
    </w:p>
    <w:p w:rsidR="00F6015D" w:rsidRPr="00845AD3" w:rsidRDefault="00E9541B" w:rsidP="00E9541B">
      <w:pPr>
        <w:pStyle w:val="H1G"/>
      </w:pPr>
      <w:r w:rsidRPr="00845AD3">
        <w:tab/>
      </w:r>
      <w:r w:rsidR="003951A7" w:rsidRPr="00845AD3">
        <w:t>B.</w:t>
      </w:r>
      <w:r w:rsidR="003951A7" w:rsidRPr="00845AD3">
        <w:tab/>
      </w:r>
      <w:r w:rsidR="00F6015D" w:rsidRPr="00845AD3">
        <w:t>Domestic context</w:t>
      </w:r>
    </w:p>
    <w:p w:rsidR="00F6015D" w:rsidRPr="00845AD3" w:rsidRDefault="003951A7" w:rsidP="003B256F">
      <w:pPr>
        <w:pStyle w:val="SingleTxtG"/>
      </w:pPr>
      <w:r w:rsidRPr="00845AD3">
        <w:t>9.</w:t>
      </w:r>
      <w:r w:rsidRPr="00845AD3">
        <w:tab/>
      </w:r>
      <w:r w:rsidR="00F6015D" w:rsidRPr="00845AD3">
        <w:t>France is an established representative democracy which functions as a semi-presidential republic. It is divided into 18 administrative divisions. The Constitution of the current Fifth Republic, grounded in the 1789 Declaration of the Rights of Man and the Citizen, was adopted in 1958 and has been amended periodically. The Constitution builds upon a commitment to the protection of rights and the separation of powers. France maintains a robust and independent judiciary. The judicial authority is divided between the civil and criminal jurisdiction and the administrative jurisdiction, respectively, with highest authority courts of equal but separate jurisdiction in each domain (the</w:t>
      </w:r>
      <w:r w:rsidR="00F6015D" w:rsidRPr="00845AD3">
        <w:rPr>
          <w:i/>
          <w:iCs/>
        </w:rPr>
        <w:t xml:space="preserve"> </w:t>
      </w:r>
      <w:r w:rsidR="00F6015D" w:rsidRPr="00845AD3">
        <w:rPr>
          <w:iCs/>
        </w:rPr>
        <w:t>Council of State</w:t>
      </w:r>
      <w:r w:rsidR="00F6015D" w:rsidRPr="00845AD3">
        <w:rPr>
          <w:i/>
          <w:iCs/>
        </w:rPr>
        <w:t xml:space="preserve"> </w:t>
      </w:r>
      <w:r w:rsidR="00F6015D" w:rsidRPr="00845AD3">
        <w:t xml:space="preserve">and the </w:t>
      </w:r>
      <w:r w:rsidR="00F6015D" w:rsidRPr="00845AD3">
        <w:rPr>
          <w:iCs/>
        </w:rPr>
        <w:t>Cassation Court</w:t>
      </w:r>
      <w:r w:rsidR="00F6015D" w:rsidRPr="00845AD3">
        <w:t xml:space="preserve">). France also has a Constitutional Court responsible for ruling on the constitutionality of laws through a priori or a posteriori control. The Head of State is elected by universal suffrage for a five-year term and the President appoints the Prime Minister, who forms the Government, presides over the Council of Ministers, promulgates laws and is the Commander of the Armed Forces. In exceptional circumstances, set out under article 16 of the Constitution, the President can exercise exceptional powers but cannot dissolve the National Assembly. </w:t>
      </w:r>
    </w:p>
    <w:p w:rsidR="00F6015D" w:rsidRPr="00845AD3" w:rsidRDefault="00E9541B" w:rsidP="00E9541B">
      <w:pPr>
        <w:pStyle w:val="H1G"/>
      </w:pPr>
      <w:r w:rsidRPr="00845AD3">
        <w:tab/>
      </w:r>
      <w:r w:rsidR="003951A7" w:rsidRPr="00845AD3">
        <w:t>C.</w:t>
      </w:r>
      <w:r w:rsidR="003951A7" w:rsidRPr="00845AD3">
        <w:tab/>
      </w:r>
      <w:r w:rsidR="00F6015D" w:rsidRPr="00845AD3">
        <w:t xml:space="preserve">Terrorism context </w:t>
      </w:r>
    </w:p>
    <w:p w:rsidR="00F6015D" w:rsidRPr="00845AD3" w:rsidRDefault="003951A7" w:rsidP="003B256F">
      <w:pPr>
        <w:pStyle w:val="SingleTxtG"/>
      </w:pPr>
      <w:r w:rsidRPr="00845AD3">
        <w:rPr>
          <w:rFonts w:cstheme="majorBidi"/>
        </w:rPr>
        <w:t>10.</w:t>
      </w:r>
      <w:r w:rsidRPr="00845AD3">
        <w:rPr>
          <w:rFonts w:cstheme="majorBidi"/>
        </w:rPr>
        <w:tab/>
      </w:r>
      <w:r w:rsidR="00F6015D" w:rsidRPr="00845AD3">
        <w:t>The Special Rapporteur is acutely conscious of the ongoing challenges faced by French authorities in securing the safety of the public, particularly as she arrived in France in the immediate aftermath of an attack involving a radicalized individual. Terrorism is, regrettably, not a new experience for the country. France has had sustained engagement with terrorism and counter-terrorism over many decades, including direct attacks on French territory as well as attacks directed at French citizens overseas. Over many decades, acts of violence directed indiscriminately against civilians have been carried out b</w:t>
      </w:r>
      <w:r w:rsidR="00F6015D" w:rsidRPr="00845AD3">
        <w:rPr>
          <w:rFonts w:asciiTheme="majorBidi" w:hAnsiTheme="majorBidi" w:cstheme="majorBidi"/>
        </w:rPr>
        <w:t xml:space="preserve">y Basque-, Breton- and Corsican-affiliated groups, as well as by </w:t>
      </w:r>
      <w:r w:rsidR="00F6015D" w:rsidRPr="00845AD3">
        <w:rPr>
          <w:rFonts w:asciiTheme="majorBidi" w:hAnsiTheme="majorBidi"/>
        </w:rPr>
        <w:t>Algerian</w:t>
      </w:r>
      <w:r w:rsidR="00F6015D" w:rsidRPr="00845AD3">
        <w:rPr>
          <w:rFonts w:asciiTheme="majorBidi" w:hAnsiTheme="majorBidi" w:cstheme="majorBidi"/>
        </w:rPr>
        <w:t xml:space="preserve"> </w:t>
      </w:r>
      <w:proofErr w:type="gramStart"/>
      <w:r w:rsidR="00F6015D" w:rsidRPr="00845AD3">
        <w:rPr>
          <w:rFonts w:asciiTheme="majorBidi" w:hAnsiTheme="majorBidi" w:cstheme="majorBidi"/>
        </w:rPr>
        <w:t>non-</w:t>
      </w:r>
      <w:proofErr w:type="gramEnd"/>
      <w:r w:rsidR="00F6015D" w:rsidRPr="00845AD3">
        <w:rPr>
          <w:rFonts w:asciiTheme="majorBidi" w:hAnsiTheme="majorBidi" w:cstheme="majorBidi"/>
        </w:rPr>
        <w:t xml:space="preserve">State groups, Islamic extremist groups and </w:t>
      </w:r>
      <w:r w:rsidR="00F6015D" w:rsidRPr="00845AD3">
        <w:rPr>
          <w:rFonts w:asciiTheme="majorBidi" w:hAnsiTheme="majorBidi"/>
        </w:rPr>
        <w:t>right-wing</w:t>
      </w:r>
      <w:r w:rsidR="00F6015D" w:rsidRPr="00845AD3">
        <w:rPr>
          <w:rFonts w:asciiTheme="majorBidi" w:hAnsiTheme="majorBidi" w:cstheme="majorBidi"/>
        </w:rPr>
        <w:t xml:space="preserve"> and left-wing extremists. Extreme acts of violence have also occurred, underscoring the long-term nature and complexity of the challenges France has faced, including the </w:t>
      </w:r>
      <w:proofErr w:type="spellStart"/>
      <w:r w:rsidR="00F6015D" w:rsidRPr="00845AD3">
        <w:rPr>
          <w:rFonts w:asciiTheme="majorBidi" w:hAnsiTheme="majorBidi" w:cstheme="majorBidi"/>
        </w:rPr>
        <w:t>Vitry</w:t>
      </w:r>
      <w:proofErr w:type="spellEnd"/>
      <w:r w:rsidR="00F6015D" w:rsidRPr="00845AD3">
        <w:rPr>
          <w:rFonts w:asciiTheme="majorBidi" w:hAnsiTheme="majorBidi" w:cstheme="majorBidi"/>
        </w:rPr>
        <w:t xml:space="preserve">-le-François train bombing of 1961 in which 28 persons were killed and over 100 injured. The regularity of such attacks has not made the costs to individuals, communities and the body politic less felt. </w:t>
      </w:r>
    </w:p>
    <w:p w:rsidR="00F6015D" w:rsidRPr="00845AD3" w:rsidRDefault="003951A7" w:rsidP="003B256F">
      <w:pPr>
        <w:pStyle w:val="SingleTxtG"/>
      </w:pPr>
      <w:r w:rsidRPr="00845AD3">
        <w:t>11.</w:t>
      </w:r>
      <w:r w:rsidRPr="00845AD3">
        <w:tab/>
      </w:r>
      <w:r w:rsidR="00F6015D" w:rsidRPr="00845AD3">
        <w:t xml:space="preserve">Since January 2015, France has experienced substantial acts of violence, including the attack on the office of </w:t>
      </w:r>
      <w:r w:rsidR="00F6015D" w:rsidRPr="00845AD3">
        <w:rPr>
          <w:i/>
        </w:rPr>
        <w:t>Charlie Hebdo</w:t>
      </w:r>
      <w:r w:rsidR="00F6015D" w:rsidRPr="00845AD3">
        <w:t xml:space="preserve"> magazine and the </w:t>
      </w:r>
      <w:proofErr w:type="spellStart"/>
      <w:r w:rsidR="00F6015D" w:rsidRPr="00845AD3">
        <w:t>Hypercacher</w:t>
      </w:r>
      <w:proofErr w:type="spellEnd"/>
      <w:r w:rsidR="00F6015D" w:rsidRPr="00845AD3">
        <w:t xml:space="preserve"> supermarket in Paris; the horrific multiple attacks of November 2015 in Paris when gunmen and suicide bombers attacked a concert hall, a major stadium, restaurants and bars almost simultaneously, leaving 130 persons dead and hundreds wounded; and the horrendous attack in Nice on 14 July 2016. In the same year, violent attacks took place in Valence, Paris, </w:t>
      </w:r>
      <w:proofErr w:type="spellStart"/>
      <w:r w:rsidR="00F6015D" w:rsidRPr="00845AD3">
        <w:t>Magnanville</w:t>
      </w:r>
      <w:proofErr w:type="spellEnd"/>
      <w:r w:rsidR="00F6015D" w:rsidRPr="00845AD3">
        <w:t xml:space="preserve"> and Saint-Étienne-du-</w:t>
      </w:r>
      <w:proofErr w:type="spellStart"/>
      <w:r w:rsidR="00F6015D" w:rsidRPr="00845AD3">
        <w:t>Rouvray</w:t>
      </w:r>
      <w:proofErr w:type="spellEnd"/>
      <w:r w:rsidR="00F6015D" w:rsidRPr="00845AD3">
        <w:t xml:space="preserve">. In March 2018, an attack carried out in a supermarket in </w:t>
      </w:r>
      <w:proofErr w:type="spellStart"/>
      <w:r w:rsidR="00F6015D" w:rsidRPr="00845AD3">
        <w:t>Trèbes</w:t>
      </w:r>
      <w:proofErr w:type="spellEnd"/>
      <w:r w:rsidR="00F6015D" w:rsidRPr="00845AD3">
        <w:t xml:space="preserve"> left four people dead. In December 2018, five people were killed in an attack on a Christmas market in Strasbourg. France feels the costs of these attacks acutely, shows extraordinary solidarity with the victims of terrorism and is profoundly aware of its obligations to protect its population from the indiscriminate harm of terrorism.</w:t>
      </w:r>
    </w:p>
    <w:p w:rsidR="00F6015D" w:rsidRPr="00845AD3" w:rsidRDefault="003951A7" w:rsidP="003B256F">
      <w:pPr>
        <w:pStyle w:val="SingleTxtG"/>
      </w:pPr>
      <w:r w:rsidRPr="00845AD3">
        <w:t>12.</w:t>
      </w:r>
      <w:r w:rsidRPr="00845AD3">
        <w:tab/>
      </w:r>
      <w:r w:rsidR="00F6015D" w:rsidRPr="00845AD3">
        <w:t xml:space="preserve">The Special Rapporteur is mindful of the challenges related to the return of French fighters from conflict zones, including individuals who may have committed terrorist acts and other violations of international law, as well as the continuous threat from violent extremism. France is grappling with the return of other citizens accompanying foreign fighters, including spouses and minors. </w:t>
      </w:r>
    </w:p>
    <w:p w:rsidR="00F6015D" w:rsidRPr="00845AD3" w:rsidRDefault="003951A7" w:rsidP="003B256F">
      <w:pPr>
        <w:pStyle w:val="SingleTxtG"/>
      </w:pPr>
      <w:r w:rsidRPr="00845AD3">
        <w:t>13.</w:t>
      </w:r>
      <w:r w:rsidRPr="00845AD3">
        <w:tab/>
      </w:r>
      <w:r w:rsidR="00F6015D" w:rsidRPr="00845AD3">
        <w:t>Concurrent with the mandate conferred by the Security Council through its terrorism-related resolutions as well as the United Nations Global Counter-Terrorism Strategy, France provides leadership for regional and international coordination regarding the challenge of terrorism. France has played a strong and positive role in advancing the importance of integrating human rights and international humanitarian law obligations into the global fight against terrorism. It has a reservoir of experience in managing terrorism through a rule of law-based approach and a sustained commitment to upholding human rights obligations in its national practices.</w:t>
      </w:r>
    </w:p>
    <w:p w:rsidR="00F6015D" w:rsidRPr="00845AD3" w:rsidRDefault="003951A7" w:rsidP="003B256F">
      <w:pPr>
        <w:pStyle w:val="SingleTxtG"/>
      </w:pPr>
      <w:r w:rsidRPr="00845AD3">
        <w:t>14.</w:t>
      </w:r>
      <w:r w:rsidRPr="00845AD3">
        <w:tab/>
      </w:r>
      <w:r w:rsidR="00F6015D" w:rsidRPr="00845AD3">
        <w:t>Notwithstanding many commendable aspects of French counter-terrorism law and practice, the Special Rapporteur has some observations, concerns and recommendations with regard to various aspects of the French counter-terrorism regulatory regime. These include accountability and the review of measures applied during the formal state of emergency (November 2015–October 2017); the legal status of new administrative measures (the</w:t>
      </w:r>
      <w:r w:rsidRPr="00845AD3">
        <w:t xml:space="preserve"> </w:t>
      </w:r>
      <w:r w:rsidR="00F6015D" w:rsidRPr="00845AD3">
        <w:t xml:space="preserve">Strengthening Internal Security and the Fight against Terrorism (SILT) law of 30 October 2017); the independence and robustness of both non-judicial and judicial oversight related to contemporary counter-terrorism measures; the protection of procedural and substantive due process rights in the context of administrative measures; the cumulative effects of layered and multifaceted administrative and individual measures taken over several years against specific individuals; the effects on the enjoyment and protection of freedom of expression in the context of the crime of </w:t>
      </w:r>
      <w:r w:rsidR="00B57B03" w:rsidRPr="00845AD3">
        <w:t>“</w:t>
      </w:r>
      <w:r w:rsidR="00F6015D" w:rsidRPr="00845AD3">
        <w:t>apology for terrorism</w:t>
      </w:r>
      <w:r w:rsidR="00B57B03" w:rsidRPr="00845AD3">
        <w:t>”</w:t>
      </w:r>
      <w:r w:rsidR="00F6015D" w:rsidRPr="00845AD3">
        <w:t>; the concerns of racial and religious profiling in the anti-terrorism context with consequent effects on the enjoyment of rights for particular groups or minority populations;</w:t>
      </w:r>
      <w:r w:rsidR="00F6015D" w:rsidRPr="00845AD3">
        <w:rPr>
          <w:rStyle w:val="ac"/>
        </w:rPr>
        <w:footnoteReference w:id="4"/>
      </w:r>
      <w:r w:rsidR="00F6015D" w:rsidRPr="00845AD3">
        <w:t xml:space="preserve"> the human rights obligations that accrue to French citizens overseas; and the necessity of undertaking prevention strategies in a human rights-compliant and non-discriminatory manner.</w:t>
      </w:r>
    </w:p>
    <w:p w:rsidR="00F6015D" w:rsidRPr="00845AD3" w:rsidRDefault="00E9541B" w:rsidP="00E9541B">
      <w:pPr>
        <w:pStyle w:val="H1G"/>
      </w:pPr>
      <w:r w:rsidRPr="00845AD3">
        <w:tab/>
      </w:r>
      <w:r w:rsidR="003951A7" w:rsidRPr="00845AD3">
        <w:t>D.</w:t>
      </w:r>
      <w:r w:rsidR="003951A7" w:rsidRPr="00845AD3">
        <w:tab/>
      </w:r>
      <w:r w:rsidR="00F6015D" w:rsidRPr="00845AD3">
        <w:t>Counter-terrorism regulations</w:t>
      </w:r>
    </w:p>
    <w:p w:rsidR="00F6015D" w:rsidRPr="00845AD3" w:rsidRDefault="00F6015D" w:rsidP="00E9541B">
      <w:pPr>
        <w:pStyle w:val="H23G"/>
      </w:pPr>
      <w:r w:rsidRPr="00845AD3">
        <w:tab/>
      </w:r>
      <w:r w:rsidRPr="00845AD3">
        <w:tab/>
        <w:t>Institutional structures</w:t>
      </w:r>
    </w:p>
    <w:p w:rsidR="00F6015D" w:rsidRPr="00845AD3" w:rsidRDefault="003951A7" w:rsidP="003B256F">
      <w:pPr>
        <w:pStyle w:val="SingleTxtG"/>
      </w:pPr>
      <w:r w:rsidRPr="00845AD3">
        <w:t>15.</w:t>
      </w:r>
      <w:r w:rsidRPr="00845AD3">
        <w:tab/>
      </w:r>
      <w:r w:rsidR="00F6015D" w:rsidRPr="00845AD3">
        <w:t xml:space="preserve">Counter-terrorism law and practice are professionalized in France. The executive and the legislative branches are fully seized in the management of terrorism. There is serious public debate and discussion </w:t>
      </w:r>
      <w:r w:rsidR="00C93337" w:rsidRPr="00845AD3">
        <w:t>–</w:t>
      </w:r>
      <w:r w:rsidR="00F6015D" w:rsidRPr="00845AD3">
        <w:t xml:space="preserve"> the hallmarks of a mature democracy </w:t>
      </w:r>
      <w:r w:rsidR="00C93337" w:rsidRPr="00845AD3">
        <w:t>–</w:t>
      </w:r>
      <w:r w:rsidR="00F6015D" w:rsidRPr="00845AD3">
        <w:t xml:space="preserve"> on terrorism regulation and the appropriate balance between the protection of rights and security measures. The French judicial authorities (constitutional, civil, criminal and administrative) have been substantively engaged in the processing, management and review of State counter-terrorism practices. The courts are independent and have produced substantial jurisprudence regarding the exercise of emergency powers. The Special Rapporteur acknowledges the particular stresses and pressures courts experience in situations of exigency and encourages a robust and independent approach by constitutional, criminal and administrative courts to the oversight of security-, counter-terrorism- and emergency-related powers. She commends robust judicial control as an important aspect of exercising emergency powers and an example of good national practice.</w:t>
      </w:r>
    </w:p>
    <w:p w:rsidR="00F6015D" w:rsidRPr="00845AD3" w:rsidRDefault="003951A7" w:rsidP="003B256F">
      <w:pPr>
        <w:pStyle w:val="SingleTxtG"/>
      </w:pPr>
      <w:r w:rsidRPr="00845AD3">
        <w:t>16.</w:t>
      </w:r>
      <w:r w:rsidRPr="00845AD3">
        <w:tab/>
      </w:r>
      <w:r w:rsidR="00F6015D" w:rsidRPr="00845AD3">
        <w:t>Counter-terrorism efforts in France are coordinated at the national level through, inter alia, the establishment of the Central Counter-Terrorism Department of the Prosecution Service, centralized in Paris (law 86-1020, sect. 14), the specialization of judges and prosecutors, and the valuable and highly professional role of the Public Prosecutor in terrorism prosecutions. The Special Rapporteur, appreciating the value of a centralized national approach to terrorism prosecutions, takes note of the vote in the National Assembly on 3 December 2018 in favour of creating a</w:t>
      </w:r>
      <w:r w:rsidRPr="00845AD3">
        <w:t xml:space="preserve"> </w:t>
      </w:r>
      <w:r w:rsidR="00F6015D" w:rsidRPr="00845AD3">
        <w:t>national anti-terrorist prosecution department. The new department embeds the specialized crimes against humanity unit within the broader context of prosecution of terrorist crimes.</w:t>
      </w:r>
      <w:r w:rsidR="00F6015D" w:rsidRPr="00845AD3">
        <w:rPr>
          <w:rStyle w:val="ac"/>
        </w:rPr>
        <w:footnoteReference w:id="5"/>
      </w:r>
      <w:r w:rsidR="00F6015D" w:rsidRPr="00845AD3">
        <w:t xml:space="preserve"> </w:t>
      </w:r>
      <w:bookmarkStart w:id="1" w:name="_Hlk7525955"/>
      <w:r w:rsidR="00F6015D" w:rsidRPr="00845AD3">
        <w:t>The Special Rapporteur underscores the importance of maintaining stable, independent capacity, resources and specialization with regard to crimes against humanity as a critical area of accountability, and is concerned that the merger may hinder this capacity</w:t>
      </w:r>
      <w:bookmarkEnd w:id="1"/>
      <w:r w:rsidR="00F6015D" w:rsidRPr="00845AD3">
        <w:t xml:space="preserve">. In this context, she encourages prosecution authorities to remain open to pursuing substantive criminal charges against members of terrorist organizations for grave violations of human rights and international humanitarian law committed overseas. In general, persons returning from armed conflict zones are charged with the crime of participating in a </w:t>
      </w:r>
      <w:r w:rsidR="00B57B03" w:rsidRPr="00845AD3">
        <w:t>“</w:t>
      </w:r>
      <w:r w:rsidR="00F6015D" w:rsidRPr="00845AD3">
        <w:t>terrorist enterprise</w:t>
      </w:r>
      <w:r w:rsidR="00B57B03" w:rsidRPr="00845AD3">
        <w:t>”</w:t>
      </w:r>
      <w:r w:rsidR="00F6015D" w:rsidRPr="00845AD3">
        <w:t xml:space="preserve"> or </w:t>
      </w:r>
      <w:r w:rsidR="00B57B03" w:rsidRPr="00845AD3">
        <w:t>“</w:t>
      </w:r>
      <w:r w:rsidR="00F6015D" w:rsidRPr="00845AD3">
        <w:t>conspiracy</w:t>
      </w:r>
      <w:r w:rsidR="00B57B03" w:rsidRPr="00845AD3">
        <w:t>”</w:t>
      </w:r>
      <w:r w:rsidR="00F6015D" w:rsidRPr="00845AD3">
        <w:t>. She notes that France also has a legal basis for the prosecution of systematic or gross violations of human rights (such as genocide or crimes against humanity)</w:t>
      </w:r>
      <w:r w:rsidR="00F6015D" w:rsidRPr="00845AD3">
        <w:rPr>
          <w:rStyle w:val="ac"/>
        </w:rPr>
        <w:footnoteReference w:id="6"/>
      </w:r>
      <w:r w:rsidR="00F6015D" w:rsidRPr="00845AD3">
        <w:t xml:space="preserve"> committed in other countries by French nationals or persons habitually residing in France (via the active personality principle). Were France able to pursue such prosecutions,</w:t>
      </w:r>
      <w:r w:rsidRPr="00845AD3">
        <w:t xml:space="preserve"> </w:t>
      </w:r>
      <w:r w:rsidR="00F6015D" w:rsidRPr="00845AD3">
        <w:t xml:space="preserve">it would help close a profound global accountability gap for systematic acts of torture, extrajudicial execution, rape and sexual violence perpetrated in Iraq and the Syrian Arab Republic. </w:t>
      </w:r>
    </w:p>
    <w:p w:rsidR="00F6015D" w:rsidRPr="00845AD3" w:rsidRDefault="003951A7" w:rsidP="004A18AF">
      <w:pPr>
        <w:pStyle w:val="SingleTxtG"/>
      </w:pPr>
      <w:r w:rsidRPr="00845AD3">
        <w:t>17.</w:t>
      </w:r>
      <w:r w:rsidRPr="00845AD3">
        <w:tab/>
      </w:r>
      <w:r w:rsidR="00F6015D" w:rsidRPr="00845AD3">
        <w:t>Specialized intelligence and police units have defined responsibilities in countering terrorism. They include the counter-terrorism unit of the Directorate General of External Security (</w:t>
      </w:r>
      <w:proofErr w:type="spellStart"/>
      <w:r w:rsidR="00F6015D" w:rsidRPr="00845AD3">
        <w:t>DGSE</w:t>
      </w:r>
      <w:proofErr w:type="spellEnd"/>
      <w:r w:rsidR="00F6015D" w:rsidRPr="00845AD3">
        <w:t>), the Directorate General for Internal Security (</w:t>
      </w:r>
      <w:proofErr w:type="spellStart"/>
      <w:r w:rsidR="00F6015D" w:rsidRPr="00845AD3">
        <w:t>DGSI</w:t>
      </w:r>
      <w:proofErr w:type="spellEnd"/>
      <w:r w:rsidR="00F6015D" w:rsidRPr="00845AD3">
        <w:t>), the Directorate for Military Intelligence (DRM), the anti-terrorist coordination unit (</w:t>
      </w:r>
      <w:proofErr w:type="spellStart"/>
      <w:r w:rsidR="00F6015D" w:rsidRPr="00845AD3">
        <w:t>UCLAT</w:t>
      </w:r>
      <w:proofErr w:type="spellEnd"/>
      <w:r w:rsidR="00F6015D" w:rsidRPr="00845AD3">
        <w:t>), the National Intelligence Council (</w:t>
      </w:r>
      <w:proofErr w:type="spellStart"/>
      <w:r w:rsidR="00F6015D" w:rsidRPr="00845AD3">
        <w:t>CNRLT</w:t>
      </w:r>
      <w:proofErr w:type="spellEnd"/>
      <w:r w:rsidR="00F6015D" w:rsidRPr="00845AD3">
        <w:t>) and two operational police units (</w:t>
      </w:r>
      <w:proofErr w:type="spellStart"/>
      <w:r w:rsidR="00F6015D" w:rsidRPr="00845AD3">
        <w:t>GIGN</w:t>
      </w:r>
      <w:proofErr w:type="spellEnd"/>
      <w:r w:rsidRPr="00845AD3">
        <w:t xml:space="preserve"> </w:t>
      </w:r>
      <w:r w:rsidR="00F6015D" w:rsidRPr="00845AD3">
        <w:t xml:space="preserve">and RAID). The Special Rapporteur commends </w:t>
      </w:r>
      <w:proofErr w:type="spellStart"/>
      <w:r w:rsidR="00F6015D" w:rsidRPr="00845AD3">
        <w:t>DGSI</w:t>
      </w:r>
      <w:proofErr w:type="spellEnd"/>
      <w:r w:rsidR="00F6015D" w:rsidRPr="00845AD3" w:rsidDel="00135A32">
        <w:t xml:space="preserve"> </w:t>
      </w:r>
      <w:r w:rsidR="00F6015D" w:rsidRPr="00845AD3">
        <w:t xml:space="preserve">and police for the frankness of the discussions, illustrating positive national practice and openness to human rights-based dialogue. While challenges still remain in coordinating among the multiple security sector agencies, the Special Rapporteur acknowledges the attention paid to the importance of this issue. Coordination remains ongoing, and will deepen as trust and capacity are fostered over time. </w:t>
      </w:r>
    </w:p>
    <w:p w:rsidR="00F6015D" w:rsidRPr="00845AD3" w:rsidRDefault="00F6015D" w:rsidP="00F6015D">
      <w:pPr>
        <w:pStyle w:val="H23G"/>
      </w:pPr>
      <w:r w:rsidRPr="00845AD3">
        <w:tab/>
      </w:r>
      <w:r w:rsidRPr="00845AD3">
        <w:tab/>
        <w:t>Constitutional, legislative and administrative frameworks</w:t>
      </w:r>
    </w:p>
    <w:p w:rsidR="00F6015D" w:rsidRPr="00845AD3" w:rsidRDefault="003951A7" w:rsidP="003B256F">
      <w:pPr>
        <w:pStyle w:val="SingleTxtG"/>
      </w:pPr>
      <w:r w:rsidRPr="00845AD3">
        <w:t>18.</w:t>
      </w:r>
      <w:r w:rsidRPr="00845AD3">
        <w:tab/>
      </w:r>
      <w:r w:rsidR="00F6015D" w:rsidRPr="00845AD3">
        <w:t xml:space="preserve">Article 16 of Constitution permits the President to take legislative measures while assuming emergency powers, and article 36 permits a state of siege to be declared. The distinct </w:t>
      </w:r>
      <w:r w:rsidR="00B57B03" w:rsidRPr="00845AD3">
        <w:t>“</w:t>
      </w:r>
      <w:proofErr w:type="spellStart"/>
      <w:r w:rsidR="00F6015D" w:rsidRPr="00845AD3">
        <w:rPr>
          <w:i/>
        </w:rPr>
        <w:t>état</w:t>
      </w:r>
      <w:proofErr w:type="spellEnd"/>
      <w:r w:rsidR="00F6015D" w:rsidRPr="00845AD3">
        <w:rPr>
          <w:i/>
        </w:rPr>
        <w:t xml:space="preserve"> </w:t>
      </w:r>
      <w:proofErr w:type="spellStart"/>
      <w:r w:rsidR="00F6015D" w:rsidRPr="00845AD3">
        <w:rPr>
          <w:i/>
        </w:rPr>
        <w:t>d</w:t>
      </w:r>
      <w:r w:rsidR="00B57B03" w:rsidRPr="00845AD3">
        <w:rPr>
          <w:i/>
        </w:rPr>
        <w:t>’</w:t>
      </w:r>
      <w:r w:rsidR="00F6015D" w:rsidRPr="00845AD3">
        <w:rPr>
          <w:i/>
        </w:rPr>
        <w:t>urgence</w:t>
      </w:r>
      <w:proofErr w:type="spellEnd"/>
      <w:r w:rsidR="00B57B03" w:rsidRPr="00845AD3">
        <w:t>”</w:t>
      </w:r>
      <w:r w:rsidR="00F6015D" w:rsidRPr="00845AD3">
        <w:t>, which may be imposed in accordance with a 1955 law, gives both prefects and the Ministry of the Interior significant supplementary powers to manage threats to the nation.</w:t>
      </w:r>
      <w:r w:rsidR="00F6015D" w:rsidRPr="00845AD3">
        <w:rPr>
          <w:rStyle w:val="ac"/>
        </w:rPr>
        <w:footnoteReference w:id="7"/>
      </w:r>
      <w:r w:rsidR="00F6015D" w:rsidRPr="00845AD3">
        <w:t xml:space="preserve"> This law has been modified several times in response to changing contexts and new challenges. The </w:t>
      </w:r>
      <w:r w:rsidR="00B57B03" w:rsidRPr="00845AD3">
        <w:t>“</w:t>
      </w:r>
      <w:proofErr w:type="spellStart"/>
      <w:r w:rsidR="00F6015D" w:rsidRPr="00845AD3">
        <w:rPr>
          <w:i/>
        </w:rPr>
        <w:t>état</w:t>
      </w:r>
      <w:proofErr w:type="spellEnd"/>
      <w:r w:rsidR="00F6015D" w:rsidRPr="00845AD3">
        <w:rPr>
          <w:i/>
        </w:rPr>
        <w:t xml:space="preserve"> </w:t>
      </w:r>
      <w:proofErr w:type="spellStart"/>
      <w:r w:rsidR="00F6015D" w:rsidRPr="00845AD3">
        <w:rPr>
          <w:i/>
        </w:rPr>
        <w:t>d</w:t>
      </w:r>
      <w:r w:rsidR="00B57B03" w:rsidRPr="00845AD3">
        <w:rPr>
          <w:i/>
        </w:rPr>
        <w:t>’</w:t>
      </w:r>
      <w:r w:rsidR="00F6015D" w:rsidRPr="00845AD3">
        <w:rPr>
          <w:i/>
        </w:rPr>
        <w:t>urgence</w:t>
      </w:r>
      <w:proofErr w:type="spellEnd"/>
      <w:r w:rsidR="00B57B03" w:rsidRPr="00845AD3">
        <w:t>”</w:t>
      </w:r>
      <w:r w:rsidR="00F6015D" w:rsidRPr="00845AD3">
        <w:t xml:space="preserve"> can be internal or external in nature, and is a response to immediate danger from serious breaches of public order. The law grants sizeable powers to search homes and other premises, subject persons to house arrest, dissolve associations and restrict movement without judicial warrant. The 2015 declaration of emergency was accompanied by formal derogations from</w:t>
      </w:r>
      <w:r w:rsidRPr="00845AD3">
        <w:t xml:space="preserve"> </w:t>
      </w:r>
      <w:r w:rsidR="00F6015D" w:rsidRPr="00845AD3">
        <w:t>the European Convention on Human Rights and the International Covenant on Civil and Political Rights.</w:t>
      </w:r>
    </w:p>
    <w:p w:rsidR="00F6015D" w:rsidRPr="00845AD3" w:rsidRDefault="003951A7" w:rsidP="00E01EF9">
      <w:pPr>
        <w:pStyle w:val="SingleTxtG"/>
      </w:pPr>
      <w:r w:rsidRPr="00845AD3">
        <w:t>19.</w:t>
      </w:r>
      <w:r w:rsidRPr="00845AD3">
        <w:tab/>
      </w:r>
      <w:r w:rsidR="00F6015D" w:rsidRPr="00845AD3">
        <w:t>France</w:t>
      </w:r>
      <w:r w:rsidR="00B57B03" w:rsidRPr="00845AD3">
        <w:t>’</w:t>
      </w:r>
      <w:r w:rsidR="00F6015D" w:rsidRPr="00845AD3">
        <w:t>s counter-terrorism legislation is extensive and has expanded substantially over time. A 1986 law broadened emergency powers in the context of public order challenges.</w:t>
      </w:r>
      <w:r w:rsidR="00F6015D" w:rsidRPr="00845AD3">
        <w:rPr>
          <w:rStyle w:val="ac"/>
        </w:rPr>
        <w:footnoteReference w:id="8"/>
      </w:r>
      <w:r w:rsidR="00F6015D" w:rsidRPr="00845AD3">
        <w:t xml:space="preserve"> The new Criminal Code of 1994 created additional categories, including </w:t>
      </w:r>
      <w:r w:rsidR="00B57B03" w:rsidRPr="00845AD3">
        <w:t>“</w:t>
      </w:r>
      <w:r w:rsidR="00F6015D" w:rsidRPr="00845AD3">
        <w:t>criminal association</w:t>
      </w:r>
      <w:r w:rsidRPr="00845AD3">
        <w:t xml:space="preserve"> </w:t>
      </w:r>
      <w:r w:rsidR="00F6015D" w:rsidRPr="00845AD3">
        <w:t>in connection with a terrorist enterprise</w:t>
      </w:r>
      <w:r w:rsidR="00B57B03" w:rsidRPr="00845AD3">
        <w:t>”</w:t>
      </w:r>
      <w:r w:rsidR="00F6015D" w:rsidRPr="00845AD3">
        <w:t>. In December 2012, parliament adopted law No. 2012-1432 on security and action against terrorism. In November 2014, further counter-terrorism legislation was passed which provided for the use of administrative measures, including travel bans. A law on budgetary programming for the military (2013), two laws on intelligence gathering (2015) and legislation on organized crime, terrorism and financing (2016) have also been passed. Anti-terrorism legislation has been accompanied by penal anti-terrorism regulations which increase sanctions for terrorist acts.</w:t>
      </w:r>
      <w:r w:rsidR="00F6015D" w:rsidRPr="00845AD3">
        <w:rPr>
          <w:rStyle w:val="ac"/>
        </w:rPr>
        <w:footnoteReference w:id="9"/>
      </w:r>
    </w:p>
    <w:p w:rsidR="00F6015D" w:rsidRPr="00845AD3" w:rsidRDefault="003951A7" w:rsidP="003B256F">
      <w:pPr>
        <w:pStyle w:val="SingleTxtG"/>
      </w:pPr>
      <w:r w:rsidRPr="00845AD3">
        <w:t>20.</w:t>
      </w:r>
      <w:r w:rsidRPr="00845AD3">
        <w:tab/>
      </w:r>
      <w:r w:rsidR="00F6015D" w:rsidRPr="00845AD3">
        <w:t xml:space="preserve">The Special Rapporteur particularly acknowledges the exceptional work undertaken and refined by France in respect of victims of terrorism and the legal framework supporting legal protection of and compensation to victims. France provides a model of outstanding positive practice in respect of victims of terrorism. Beginning in the </w:t>
      </w:r>
      <w:proofErr w:type="spellStart"/>
      <w:r w:rsidR="00F6015D" w:rsidRPr="00845AD3">
        <w:t>1980s</w:t>
      </w:r>
      <w:proofErr w:type="spellEnd"/>
      <w:r w:rsidR="00F6015D" w:rsidRPr="00845AD3">
        <w:t>, France has maintained a comprehensive and robust victims</w:t>
      </w:r>
      <w:r w:rsidR="00B57B03" w:rsidRPr="00845AD3">
        <w:t>’</w:t>
      </w:r>
      <w:r w:rsidR="00F6015D" w:rsidRPr="00845AD3">
        <w:t xml:space="preserve"> compensation programme. The Guarantee Fund for Victims of Terrorism and Other Offences is a public service provider with a legal personality. It embodies the principle of national solidarity, supports the legal capacities and autonomy of victims and provides responsive measures to meet the immediate and long-term needs of victims. The robustness of the country</w:t>
      </w:r>
      <w:r w:rsidR="00B57B03" w:rsidRPr="00845AD3">
        <w:t>’</w:t>
      </w:r>
      <w:r w:rsidR="00F6015D" w:rsidRPr="00845AD3">
        <w:t>s system in respect of victims is enabled by a compulsory levy on property insurance policies. The legal structure and implementing institutions are to be commended for their commitment to compensate all victims regardless of nationality, based on the principle of full reparations. Compensation procedures are generally accessible, transparent and victim-centred. France compensates both direct and indirect victims of terrorism and recognizes both pecuniary and non-pecuniary harms. The Special Rapporteur notes the organizational pressures that multiple attacks with multiple victims have posed in recent years, and the specificity of responding to younger, millennial victims who were disproportionately affected by the Paris attacks of 2015. She encourages innovation and new tactics to address contemporary needs. The Government has taken proactive steps to memorialize and honour the victims of terrorism, providing important symbolic affirmation to the families of those who have lost their lives. Civil society organizations are well organized and included in planning and responding to victims</w:t>
      </w:r>
      <w:r w:rsidR="00B57B03" w:rsidRPr="00845AD3">
        <w:t>’</w:t>
      </w:r>
      <w:r w:rsidR="00F6015D" w:rsidRPr="00845AD3">
        <w:t xml:space="preserve"> needs on a regular basis.</w:t>
      </w:r>
    </w:p>
    <w:p w:rsidR="00F6015D" w:rsidRPr="00845AD3" w:rsidRDefault="004A18AF" w:rsidP="004A18AF">
      <w:pPr>
        <w:pStyle w:val="HChG"/>
      </w:pPr>
      <w:r w:rsidRPr="00845AD3">
        <w:tab/>
      </w:r>
      <w:r w:rsidR="003951A7" w:rsidRPr="00845AD3">
        <w:t>III.</w:t>
      </w:r>
      <w:r w:rsidR="003951A7" w:rsidRPr="00845AD3">
        <w:tab/>
      </w:r>
      <w:r w:rsidR="00F6015D" w:rsidRPr="00845AD3">
        <w:t>Key human rights challenges in countering terrorism</w:t>
      </w:r>
    </w:p>
    <w:p w:rsidR="00F6015D" w:rsidRPr="00845AD3" w:rsidRDefault="004A18AF" w:rsidP="004A18AF">
      <w:pPr>
        <w:pStyle w:val="H23G"/>
      </w:pPr>
      <w:r w:rsidRPr="00845AD3">
        <w:tab/>
      </w:r>
      <w:r w:rsidRPr="00845AD3">
        <w:tab/>
      </w:r>
      <w:r w:rsidR="00F6015D" w:rsidRPr="00845AD3">
        <w:t>States of emergency</w:t>
      </w:r>
    </w:p>
    <w:p w:rsidR="00F6015D" w:rsidRPr="00845AD3" w:rsidRDefault="003951A7" w:rsidP="003B256F">
      <w:pPr>
        <w:pStyle w:val="SingleTxtG"/>
      </w:pPr>
      <w:r w:rsidRPr="00845AD3">
        <w:t>21.</w:t>
      </w:r>
      <w:r w:rsidRPr="00845AD3">
        <w:tab/>
      </w:r>
      <w:r w:rsidR="00F6015D" w:rsidRPr="00845AD3">
        <w:t>France declared a state of emergency in November 2015, which was extended six times. The extended emergency was characterized by significant and extensive use of exceptional powers. During the emergency, over two dozen mosques and Muslim associations were closed and over 4,000 administrative searches were conducted, according to official statistics from the Ministry of the Interior.</w:t>
      </w:r>
      <w:r w:rsidR="00F6015D" w:rsidRPr="00845AD3">
        <w:rPr>
          <w:rStyle w:val="ac"/>
        </w:rPr>
        <w:footnoteReference w:id="10"/>
      </w:r>
      <w:r w:rsidR="00F6015D" w:rsidRPr="00845AD3">
        <w:t xml:space="preserve"> Only one tenth of the judicial proceedings for emergency searches were for terrorism-related offenses (61 out of 670).</w:t>
      </w:r>
      <w:r w:rsidR="00F6015D" w:rsidRPr="00845AD3">
        <w:rPr>
          <w:rStyle w:val="ac"/>
        </w:rPr>
        <w:footnoteReference w:id="11"/>
      </w:r>
      <w:r w:rsidR="00F6015D" w:rsidRPr="00845AD3">
        <w:t xml:space="preserve"> In comparison, there were nearly three times as many judicial proceedings for emergency searches using regular criminal procedures (169 out of 670). Over 700 people were placed under house arrest from November 2015 to March 2017.</w:t>
      </w:r>
      <w:r w:rsidR="00F6015D" w:rsidRPr="00845AD3">
        <w:rPr>
          <w:rStyle w:val="ac"/>
        </w:rPr>
        <w:footnoteReference w:id="12"/>
      </w:r>
      <w:r w:rsidR="00F6015D" w:rsidRPr="00845AD3">
        <w:t xml:space="preserve"> While the state of emergency has formally ended, there remain outstanding consequences from the use of these powers, including unresolved legal consequences and necessary remedies for persons whose rights were disproportionately impinged upon during the period of exigency.</w:t>
      </w:r>
      <w:r w:rsidR="00F6015D" w:rsidRPr="00845AD3">
        <w:rPr>
          <w:rStyle w:val="ac"/>
        </w:rPr>
        <w:footnoteReference w:id="13"/>
      </w:r>
      <w:r w:rsidR="00F6015D" w:rsidRPr="00845AD3">
        <w:t xml:space="preserve"> Moreover, the stigma and polarization which resulted from the use of emergency powers demands a positive and proactive response by the Government, not least to enable trust and re-engagement with communities and individuals. This repair work is essential to the prevention of radicalization, affirming inclusion for all sectors of society and supporting the integration of security and rights protection in practice. During consultations, officials underscored the importance of avoiding a permanent emergency and affirmed the necessity of eschewing the indefinite entrenchment of exceptional powers. The Special Rapporteur concurs that long-term emergencies have generally nefarious consequences for the integrity of the rule of law, can lead to substantial expansions of executive powers limiting democratic and judicial control of exceptional powers, undermine accountability, and may disproportionately affect minorities and vulnerable groups (</w:t>
      </w:r>
      <w:r w:rsidR="00F6015D" w:rsidRPr="00845AD3">
        <w:rPr>
          <w:rFonts w:asciiTheme="majorBidi" w:hAnsiTheme="majorBidi" w:cstheme="majorBidi"/>
          <w:color w:val="000000" w:themeColor="text1"/>
          <w:szCs w:val="18"/>
        </w:rPr>
        <w:t>A/HRC/37/52)</w:t>
      </w:r>
      <w:r w:rsidR="00F6015D" w:rsidRPr="00845AD3">
        <w:t>. She acknowledges the sensitivity of government officials to the challenges that accompany the permanent use of emergency powers and highlights that, in practice, one of the most sustained challenges following the exercise of extensive and long-term emergency powers is to avoid the slippage of exceptional regulation into ordinary law.</w:t>
      </w:r>
    </w:p>
    <w:p w:rsidR="00F6015D" w:rsidRPr="00845AD3" w:rsidRDefault="003951A7" w:rsidP="00E02EBE">
      <w:pPr>
        <w:pStyle w:val="SingleTxtG"/>
        <w:jc w:val="lowKashida"/>
      </w:pPr>
      <w:r w:rsidRPr="00845AD3">
        <w:t>22.</w:t>
      </w:r>
      <w:r w:rsidRPr="00845AD3">
        <w:tab/>
      </w:r>
      <w:r w:rsidR="00F6015D" w:rsidRPr="00845AD3">
        <w:t>The SILT law was adopted in October 2017 to avoid the spectre of an unending emergency. It makes some profound changes to the country</w:t>
      </w:r>
      <w:r w:rsidR="00B57B03" w:rsidRPr="00845AD3">
        <w:t>’</w:t>
      </w:r>
      <w:r w:rsidR="00F6015D" w:rsidRPr="00845AD3">
        <w:t>s counter-terrorism framework by providing for the systemic use of administrative measures as the undergirding legal basis for managing and preventing terrorism and the establishment of a posteriori rather than a priori judicial review; review is then taken through administrative rather than criminal law. The law engages a perceptible shift towards the anticipatory prevention of terrorism, going beyond the historic emphasis on prosecuting completed criminal offences.</w:t>
      </w:r>
      <w:r w:rsidR="00F6015D" w:rsidRPr="00845AD3">
        <w:rPr>
          <w:rStyle w:val="ac"/>
        </w:rPr>
        <w:footnoteReference w:id="14"/>
      </w:r>
      <w:r w:rsidR="00F6015D" w:rsidRPr="00845AD3">
        <w:t xml:space="preserve"> The Government</w:t>
      </w:r>
      <w:r w:rsidR="00B57B03" w:rsidRPr="00845AD3">
        <w:t>’</w:t>
      </w:r>
      <w:r w:rsidR="00F6015D" w:rsidRPr="00845AD3">
        <w:t xml:space="preserve">s view is that this shift towards administrative regulation engages ordinary rather than emergency law. </w:t>
      </w:r>
    </w:p>
    <w:p w:rsidR="00F6015D" w:rsidRPr="00845AD3" w:rsidRDefault="003951A7" w:rsidP="003B256F">
      <w:pPr>
        <w:pStyle w:val="SingleTxtG"/>
      </w:pPr>
      <w:r w:rsidRPr="00845AD3">
        <w:t>23.</w:t>
      </w:r>
      <w:r w:rsidRPr="00845AD3">
        <w:tab/>
      </w:r>
      <w:r w:rsidR="00F6015D" w:rsidRPr="00845AD3">
        <w:t xml:space="preserve">The Special Rapporteur gave serious consideration to the status of this law under the prevailing international standards concerning emergency powers. While acknowledging the welcome move from constantly declaring states of emergency, the Special Rapporteur is of the view that the law, situated within the broad array of counter-terrorism powers already available to the State, constitutes a </w:t>
      </w:r>
      <w:r w:rsidR="00F6015D" w:rsidRPr="00845AD3">
        <w:rPr>
          <w:iCs/>
        </w:rPr>
        <w:t>de facto</w:t>
      </w:r>
      <w:r w:rsidR="00F6015D" w:rsidRPr="00845AD3">
        <w:rPr>
          <w:i/>
          <w:iCs/>
        </w:rPr>
        <w:t xml:space="preserve"> </w:t>
      </w:r>
      <w:r w:rsidR="00F6015D" w:rsidRPr="00845AD3">
        <w:t xml:space="preserve">state of qualified emergency in ordinary French law. She expresses her concern at the transposition of exceptional emergency-form powers into the ordinary law and the effect this may have on the protection of rights, as illustrated </w:t>
      </w:r>
      <w:r w:rsidR="00F6015D" w:rsidRPr="00845AD3">
        <w:rPr>
          <w:iCs/>
        </w:rPr>
        <w:t>below</w:t>
      </w:r>
      <w:r w:rsidR="00F6015D" w:rsidRPr="00845AD3">
        <w:t>.</w:t>
      </w:r>
      <w:r w:rsidR="00F6015D" w:rsidRPr="00845AD3">
        <w:rPr>
          <w:rStyle w:val="ac"/>
        </w:rPr>
        <w:footnoteReference w:id="15"/>
      </w:r>
      <w:r w:rsidR="00F6015D" w:rsidRPr="00845AD3">
        <w:t xml:space="preserve"> The Special Rapporteur affirms that France may lawfully enact restrictions to protect public order, but a clear tipping point to exceptionality arises when counter-terrorism measures engage profound, sustained and potentially disproportionate effects on the enjoyment of human rights, as discussed </w:t>
      </w:r>
      <w:r w:rsidR="00F6015D" w:rsidRPr="00845AD3">
        <w:rPr>
          <w:iCs/>
        </w:rPr>
        <w:t>below</w:t>
      </w:r>
      <w:r w:rsidR="00F6015D" w:rsidRPr="00845AD3">
        <w:rPr>
          <w:i/>
          <w:iCs/>
        </w:rPr>
        <w:t>.</w:t>
      </w:r>
      <w:r w:rsidR="00F6015D" w:rsidRPr="00845AD3">
        <w:t xml:space="preserve"> Exceptional legal measures must be both consistently necessary and proportionate. Such laws must also be subject to full and transparent review to address breaches of legality, proportionality and disparate effect. The total effect of such laws from 1955 onwards on the overall protection of rights (complex and cumulative emergency powers) must be continually reviewed, as piecemeal review of certain aspects of counter-terrorism laws is insufficient to address the overall effects that they may have on rights protection. </w:t>
      </w:r>
    </w:p>
    <w:p w:rsidR="00F6015D" w:rsidRPr="00845AD3" w:rsidRDefault="00F6015D" w:rsidP="00F6015D">
      <w:pPr>
        <w:pStyle w:val="H23G"/>
      </w:pPr>
      <w:r w:rsidRPr="00845AD3">
        <w:tab/>
      </w:r>
      <w:r w:rsidRPr="00845AD3">
        <w:tab/>
        <w:t>Administrative counter-terrorism regulation and its human rights effects</w:t>
      </w:r>
    </w:p>
    <w:p w:rsidR="00F6015D" w:rsidRPr="00845AD3" w:rsidRDefault="003951A7" w:rsidP="003B256F">
      <w:pPr>
        <w:pStyle w:val="SingleTxtG"/>
      </w:pPr>
      <w:r w:rsidRPr="00845AD3">
        <w:t>24.</w:t>
      </w:r>
      <w:r w:rsidRPr="00845AD3">
        <w:tab/>
      </w:r>
      <w:r w:rsidR="00F6015D" w:rsidRPr="00845AD3">
        <w:t>The SILT law activates wide-ranging powers premised on elevated public security risks, operated and reviewed through the administrative law system.</w:t>
      </w:r>
      <w:r w:rsidRPr="00845AD3">
        <w:t xml:space="preserve"> </w:t>
      </w:r>
      <w:r w:rsidR="00F6015D" w:rsidRPr="00845AD3">
        <w:t>They include the delimitation of security perimeters and the closing of places of worship (for a maximum of six months), and allow an individual to be placed under house arrest, assigned residency and surveillance measures. These measures engage significant restrictions on liberty, create limitations on private and family life and pose constraints on individual capacity to participate in public life.</w:t>
      </w:r>
      <w:r w:rsidR="00F6015D" w:rsidRPr="00845AD3">
        <w:rPr>
          <w:rStyle w:val="ac"/>
        </w:rPr>
        <w:footnoteReference w:id="16"/>
      </w:r>
      <w:r w:rsidR="00F6015D" w:rsidRPr="00845AD3">
        <w:t xml:space="preserve"> Measures of house arrest and geographical containment pose measurable risks for intrusions on liberty. A newly passed justice law that contains measures concerning house arrest/geographical constraints appears to prevent an individual from attending legal hearings and are of particular concern.</w:t>
      </w:r>
      <w:r w:rsidR="00F6015D" w:rsidRPr="00845AD3">
        <w:rPr>
          <w:rStyle w:val="ac"/>
        </w:rPr>
        <w:footnoteReference w:id="17"/>
      </w:r>
      <w:r w:rsidR="00F6015D" w:rsidRPr="00845AD3">
        <w:t xml:space="preserve"> This concern is not ameliorated by having the individual</w:t>
      </w:r>
      <w:r w:rsidR="00B57B03" w:rsidRPr="00845AD3">
        <w:t>’</w:t>
      </w:r>
      <w:r w:rsidR="00F6015D" w:rsidRPr="00845AD3">
        <w:t>s lawyer attend, as the person concerned is deprived of a fundamental right to a public and participatory hearing. While the circumstances under which individuals may be placed under house arrest are constitutional,</w:t>
      </w:r>
      <w:r w:rsidR="00F6015D" w:rsidRPr="00845AD3">
        <w:rPr>
          <w:rStyle w:val="ac"/>
        </w:rPr>
        <w:footnoteReference w:id="18"/>
      </w:r>
      <w:r w:rsidR="00F6015D" w:rsidRPr="00845AD3">
        <w:t xml:space="preserve"> in the Special Rapporteur</w:t>
      </w:r>
      <w:r w:rsidR="00B57B03" w:rsidRPr="00845AD3">
        <w:t>’</w:t>
      </w:r>
      <w:r w:rsidR="00F6015D" w:rsidRPr="00845AD3">
        <w:t>s view individuals are unable in practice to appeal renewals of house arrest expeditiously.</w:t>
      </w:r>
      <w:r w:rsidR="00F6015D" w:rsidRPr="00845AD3">
        <w:rPr>
          <w:rStyle w:val="ac"/>
        </w:rPr>
        <w:footnoteReference w:id="19"/>
      </w:r>
      <w:r w:rsidR="00F6015D" w:rsidRPr="00845AD3">
        <w:t xml:space="preserve"> The SILT law states that an individual cannot be placed under house arrest for more than three months, subject to a maximum renewal of three months, but if new or additional elements are presented the duration may be extended for an additional six months (art. 3). In practice, it appears that the Council of State rarely questions the new or additional elements presented in the intelligence information which underpins the measure (</w:t>
      </w:r>
      <w:r w:rsidR="00F6015D" w:rsidRPr="00845AD3">
        <w:rPr>
          <w:i/>
        </w:rPr>
        <w:t>notes blanches</w:t>
      </w:r>
      <w:r w:rsidR="00F6015D" w:rsidRPr="00845AD3">
        <w:t>).</w:t>
      </w:r>
      <w:r w:rsidR="00F6015D" w:rsidRPr="00845AD3">
        <w:rPr>
          <w:rStyle w:val="ac"/>
        </w:rPr>
        <w:footnoteReference w:id="20"/>
      </w:r>
      <w:r w:rsidR="00F6015D" w:rsidRPr="00845AD3">
        <w:t xml:space="preserve"> Moreover, the seamless move from emergency to administrative measures means that the cumulative effect of multiple measures applied in sequence to the same individuals has been excessive and disproportionate.</w:t>
      </w:r>
      <w:r w:rsidR="00F6015D" w:rsidRPr="00845AD3">
        <w:rPr>
          <w:rStyle w:val="ac"/>
        </w:rPr>
        <w:footnoteReference w:id="21"/>
      </w:r>
      <w:r w:rsidR="00F6015D" w:rsidRPr="00845AD3">
        <w:t xml:space="preserve"> Sequential and cumulative use of overlapping and sometimes duplicative powers engages violations of the right to fair process as protected by human rights treaties.</w:t>
      </w:r>
      <w:r w:rsidR="00F6015D" w:rsidRPr="00845AD3">
        <w:rPr>
          <w:rStyle w:val="ac"/>
        </w:rPr>
        <w:footnoteReference w:id="22"/>
      </w:r>
      <w:r w:rsidR="00F6015D" w:rsidRPr="00845AD3">
        <w:t xml:space="preserve"> The Special Rapporteur conveys her concern at the restrictions that house arrests place on freedom to work in practice, despite a formal framing that the restriction should enable family and professional life.</w:t>
      </w:r>
      <w:r w:rsidR="00F6015D" w:rsidRPr="00845AD3">
        <w:rPr>
          <w:rStyle w:val="ac"/>
        </w:rPr>
        <w:footnoteReference w:id="23"/>
      </w:r>
      <w:r w:rsidRPr="00845AD3">
        <w:t xml:space="preserve"> </w:t>
      </w:r>
      <w:r w:rsidR="00F6015D" w:rsidRPr="00845AD3">
        <w:t>Freedom to work is guaranteed by international treaties,</w:t>
      </w:r>
      <w:r w:rsidR="00F6015D" w:rsidRPr="00845AD3">
        <w:rPr>
          <w:rStyle w:val="ac"/>
        </w:rPr>
        <w:footnoteReference w:id="24"/>
      </w:r>
      <w:r w:rsidR="00F6015D" w:rsidRPr="00845AD3">
        <w:t xml:space="preserve"> and can be limited by proportionate and non-discriminatory measures. The Special Rapporteur is concerned that the application of these measures taken during the state of emergency and extended by the SILT law is not compliant with these human rights obligations. Unemployment compensation and national assistance are not substitutes for work.</w:t>
      </w:r>
      <w:r w:rsidR="00F6015D" w:rsidRPr="00845AD3">
        <w:rPr>
          <w:rStyle w:val="ac"/>
        </w:rPr>
        <w:footnoteReference w:id="25"/>
      </w:r>
      <w:r w:rsidR="00F6015D" w:rsidRPr="00845AD3">
        <w:t xml:space="preserve"> Disabling an individual</w:t>
      </w:r>
      <w:r w:rsidR="00B57B03" w:rsidRPr="00845AD3">
        <w:t>’</w:t>
      </w:r>
      <w:r w:rsidR="00F6015D" w:rsidRPr="00845AD3">
        <w:t>s capacity to fully engage in society has significant effects on broader terrorism prevention goals, including integration and inclusion.</w:t>
      </w:r>
      <w:r w:rsidR="00F6015D" w:rsidRPr="00845AD3">
        <w:rPr>
          <w:rStyle w:val="ac"/>
        </w:rPr>
        <w:footnoteReference w:id="26"/>
      </w:r>
    </w:p>
    <w:p w:rsidR="00F6015D" w:rsidRPr="00845AD3" w:rsidRDefault="003951A7" w:rsidP="003B256F">
      <w:pPr>
        <w:pStyle w:val="SingleTxtG"/>
      </w:pPr>
      <w:r w:rsidRPr="00845AD3">
        <w:t>25.</w:t>
      </w:r>
      <w:r w:rsidRPr="00845AD3">
        <w:tab/>
      </w:r>
      <w:r w:rsidR="00F6015D" w:rsidRPr="00845AD3">
        <w:t>Searches and seizures are a fundamental component of the SILT law. Police officers may conduct searches and seizures to prevent the commission of terrorist acts where there is a reasonable belief that premises are frequented by a person whose behaviour constitutes a threat of particular gravity for public security/public order.</w:t>
      </w:r>
      <w:r w:rsidR="00F6015D" w:rsidRPr="00845AD3">
        <w:rPr>
          <w:rStyle w:val="ac"/>
        </w:rPr>
        <w:footnoteReference w:id="27"/>
      </w:r>
      <w:r w:rsidR="00F6015D" w:rsidRPr="00845AD3">
        <w:t xml:space="preserve"> The anticipatory dimension of the law engages powers that would otherwise be abrogated by regular criminal procedures, reflecting a continuity with state of emergency powers and posing ongoing infringements on individuals</w:t>
      </w:r>
      <w:r w:rsidR="00B57B03" w:rsidRPr="00845AD3">
        <w:t>’</w:t>
      </w:r>
      <w:r w:rsidR="00F6015D" w:rsidRPr="00845AD3">
        <w:t xml:space="preserve"> property and privacy rights.</w:t>
      </w:r>
      <w:r w:rsidR="00F6015D" w:rsidRPr="00845AD3">
        <w:rPr>
          <w:rStyle w:val="ac"/>
        </w:rPr>
        <w:footnoteReference w:id="28"/>
      </w:r>
      <w:r w:rsidR="00F6015D" w:rsidRPr="00845AD3">
        <w:t xml:space="preserve"> The Special Rapporteur is concerned about potential abuse of personal information seized under article 229 of the Internal Security Code and the SILT law. She is also troubled by the humiliation, defamation, hardship and stigmatization that result from searches and seizures</w:t>
      </w:r>
      <w:r w:rsidR="009043BD">
        <w:t>.</w:t>
      </w:r>
      <w:r w:rsidR="00F6015D" w:rsidRPr="00845AD3">
        <w:t xml:space="preserve"> She expresses disquiet at the use of profiling and the disparate impact regarding searches and seizures.</w:t>
      </w:r>
    </w:p>
    <w:p w:rsidR="00F6015D" w:rsidRPr="00845AD3" w:rsidRDefault="003951A7" w:rsidP="003B256F">
      <w:pPr>
        <w:pStyle w:val="SingleTxtG"/>
      </w:pPr>
      <w:r w:rsidRPr="00845AD3">
        <w:t>26.</w:t>
      </w:r>
      <w:r w:rsidRPr="00845AD3">
        <w:tab/>
      </w:r>
      <w:r w:rsidR="00F6015D" w:rsidRPr="00845AD3">
        <w:t xml:space="preserve">The Special Rapporteur welcomes the refined criminal elements included under the SILT law as well as efforts towards defining terrorist acts. However, she maintains that prevailing definitions such as </w:t>
      </w:r>
      <w:r w:rsidR="00B57B03" w:rsidRPr="00845AD3">
        <w:t>“</w:t>
      </w:r>
      <w:r w:rsidR="00F6015D" w:rsidRPr="00845AD3">
        <w:t>terrorism</w:t>
      </w:r>
      <w:r w:rsidR="00B57B03" w:rsidRPr="00845AD3">
        <w:t>”</w:t>
      </w:r>
      <w:r w:rsidR="00F6015D" w:rsidRPr="00845AD3">
        <w:t xml:space="preserve"> or </w:t>
      </w:r>
      <w:r w:rsidR="00B57B03" w:rsidRPr="00845AD3">
        <w:t>“</w:t>
      </w:r>
      <w:r w:rsidR="00F6015D" w:rsidRPr="00845AD3">
        <w:t>apology for terrorism</w:t>
      </w:r>
      <w:r w:rsidR="00B57B03" w:rsidRPr="00845AD3">
        <w:t>”</w:t>
      </w:r>
      <w:r w:rsidR="00F6015D" w:rsidRPr="00845AD3">
        <w:t xml:space="preserve"> remain overly broad and ambiguous. Her mandate has consistently held that the international legal definition of terrorism remains insufficiently precise, creating ongoing practices of arbitrariness by States and enabling domestic legal lacunae (</w:t>
      </w:r>
      <w:r w:rsidR="00F6015D" w:rsidRPr="00845AD3">
        <w:rPr>
          <w:rFonts w:asciiTheme="majorBidi" w:hAnsiTheme="majorBidi" w:cstheme="majorBidi"/>
          <w:color w:val="000000" w:themeColor="text1"/>
          <w:szCs w:val="18"/>
        </w:rPr>
        <w:t>A/73/361)</w:t>
      </w:r>
      <w:r w:rsidR="00F6015D" w:rsidRPr="00845AD3">
        <w:t>.</w:t>
      </w:r>
      <w:r w:rsidR="00F6015D" w:rsidRPr="00845AD3">
        <w:rPr>
          <w:rStyle w:val="ac"/>
        </w:rPr>
        <w:footnoteReference w:id="29"/>
      </w:r>
      <w:r w:rsidR="00F6015D" w:rsidRPr="00845AD3">
        <w:t xml:space="preserve"> Precision is essential in the use of exceptional counter-terrorism powers, and ambiguity must be remedied to ensure adherence to international human rights obligations.</w:t>
      </w:r>
    </w:p>
    <w:p w:rsidR="00F6015D" w:rsidRPr="00845AD3" w:rsidRDefault="003951A7" w:rsidP="003B256F">
      <w:pPr>
        <w:pStyle w:val="SingleTxtG"/>
      </w:pPr>
      <w:r w:rsidRPr="00845AD3">
        <w:t>27.</w:t>
      </w:r>
      <w:r w:rsidRPr="00845AD3">
        <w:tab/>
      </w:r>
      <w:r w:rsidR="00F6015D" w:rsidRPr="00845AD3">
        <w:t xml:space="preserve">The Special Rapporteur highlights additional effects of administrative measures. These include the reliance by administrative courts on </w:t>
      </w:r>
      <w:r w:rsidR="00F6015D" w:rsidRPr="00845AD3">
        <w:rPr>
          <w:i/>
        </w:rPr>
        <w:t>notes blanches</w:t>
      </w:r>
      <w:r w:rsidR="00F6015D" w:rsidRPr="00845AD3">
        <w:t>. These notes may rely on private electronic data (e.g., pictures on cellular phones/browsing history), informants, frequenting locations associated with terrorism or having (even generic) contact with individuals associated with terrorism. Notes are unsigned, undated and, thus, their origin indeterminate as a legal matter. There is a presumption of veracity regarding information contained in the notes.</w:t>
      </w:r>
      <w:r w:rsidR="00F6015D" w:rsidRPr="00845AD3">
        <w:rPr>
          <w:rStyle w:val="ac"/>
        </w:rPr>
        <w:footnoteReference w:id="30"/>
      </w:r>
      <w:r w:rsidR="00F6015D" w:rsidRPr="00845AD3">
        <w:t xml:space="preserve"> The Special Rapporteur viewed a number of such notes and consulted with a number of legal experts on their use in practice. While she appreciates research and the establishment of patterns of association for individuals or involvement in acts falling under the SILT law, she is concerned that using undated evidence sets a dangerous precedent for administrative abuse. Despite a trend towards sourcing more detailed notes, confirmed by officials to the mandate, the notes continue to lack the legal and factual rigor that a properly comprised evidential source needs to base substantial liberty-depriving consequences upon. In the view of the Special Rapporteur, these notes create undue challenges to the presumption of innocence, function to reverse the burden of proof and lessen defence rights in court. Access to administrative judicial oversight does not remedy these deficiencies, not least because of the inherent challenges for judges to adjudicate such evidence and the perceived burdens of ignoring intelligence information. Finally, </w:t>
      </w:r>
      <w:r w:rsidR="00F6015D" w:rsidRPr="00845AD3">
        <w:rPr>
          <w:color w:val="000000"/>
          <w:shd w:val="clear" w:color="auto" w:fill="FFFFFF"/>
        </w:rPr>
        <w:t>under the SILT law, private persons have been included in the exercise of general public surveillance missions.</w:t>
      </w:r>
      <w:r w:rsidR="00F6015D" w:rsidRPr="00845AD3">
        <w:rPr>
          <w:rStyle w:val="ac"/>
        </w:rPr>
        <w:footnoteReference w:id="31"/>
      </w:r>
      <w:r w:rsidR="00F6015D" w:rsidRPr="00845AD3">
        <w:rPr>
          <w:color w:val="000000"/>
          <w:shd w:val="clear" w:color="auto" w:fill="FFFFFF"/>
        </w:rPr>
        <w:t xml:space="preserve"> While the Special Rapporteur recognizes measures limiting the power of private persons in these surveillance measures, she expresses concern at the potential for private persons to abuse this power.</w:t>
      </w:r>
      <w:r w:rsidRPr="00845AD3">
        <w:rPr>
          <w:color w:val="000000"/>
          <w:shd w:val="clear" w:color="auto" w:fill="FFFFFF"/>
        </w:rPr>
        <w:t xml:space="preserve"> </w:t>
      </w:r>
    </w:p>
    <w:p w:rsidR="00F6015D" w:rsidRPr="00845AD3" w:rsidRDefault="003951A7" w:rsidP="003B256F">
      <w:pPr>
        <w:pStyle w:val="SingleTxtG"/>
      </w:pPr>
      <w:r w:rsidRPr="00845AD3">
        <w:t>28.</w:t>
      </w:r>
      <w:r w:rsidRPr="00845AD3">
        <w:tab/>
      </w:r>
      <w:r w:rsidR="00F6015D" w:rsidRPr="00845AD3">
        <w:t>The Special Rapporteur highlights the potentially disproportionate effects of administrative measures on individual and collective rights occasioned by the SILT law. She is particularly conscious of encroachment on religious freedom implicated by the closure of some mosques,</w:t>
      </w:r>
      <w:r w:rsidR="00F6015D" w:rsidRPr="00845AD3">
        <w:rPr>
          <w:rStyle w:val="ac"/>
        </w:rPr>
        <w:footnoteReference w:id="32"/>
      </w:r>
      <w:r w:rsidR="00F6015D" w:rsidRPr="00845AD3">
        <w:t xml:space="preserve"> allied with the broader social and religious consequences of judicial power over religious exercise, and recalls that any restriction on the right to freedom of religion or belief must strictly comply with the limitation regime stipulated by international human rights law (</w:t>
      </w:r>
      <w:r w:rsidR="00F6015D" w:rsidRPr="00845AD3">
        <w:rPr>
          <w:rFonts w:asciiTheme="majorBidi" w:hAnsiTheme="majorBidi" w:cstheme="majorBidi"/>
          <w:color w:val="000000" w:themeColor="text1"/>
          <w:szCs w:val="18"/>
        </w:rPr>
        <w:t>A/73/362 and A/HRC/31/65)</w:t>
      </w:r>
      <w:r w:rsidR="00F6015D" w:rsidRPr="00845AD3">
        <w:t xml:space="preserve">. She notes that while freedom of religious belief and practice is an individual right, it has distinct collective dimensions in order to be fully realized for many faith traditions. There is a grave danger that broadly constructed and applied closures will institute </w:t>
      </w:r>
      <w:r w:rsidR="00B57B03" w:rsidRPr="00845AD3">
        <w:t>“</w:t>
      </w:r>
      <w:r w:rsidR="00F6015D" w:rsidRPr="00845AD3">
        <w:t>[d]</w:t>
      </w:r>
      <w:proofErr w:type="spellStart"/>
      <w:r w:rsidR="00F6015D" w:rsidRPr="00845AD3">
        <w:t>iscriminatory</w:t>
      </w:r>
      <w:proofErr w:type="spellEnd"/>
      <w:r w:rsidR="00F6015D" w:rsidRPr="00845AD3">
        <w:t xml:space="preserve"> practices that intentionally or unintentionally target individual adherents or groups of persons of a particular faith who are perceived to be predisposed to terrorist or other violent acts</w:t>
      </w:r>
      <w:r w:rsidR="00B57B03" w:rsidRPr="00845AD3">
        <w:t>”</w:t>
      </w:r>
      <w:r w:rsidR="00F6015D" w:rsidRPr="00845AD3">
        <w:t xml:space="preserve"> (A/73/362, para. 3).</w:t>
      </w:r>
      <w:r w:rsidR="00F6015D" w:rsidRPr="00845AD3">
        <w:rPr>
          <w:rStyle w:val="ac"/>
        </w:rPr>
        <w:footnoteReference w:id="33"/>
      </w:r>
      <w:r w:rsidR="00F6015D" w:rsidRPr="00845AD3">
        <w:t xml:space="preserve"> Moreover, the risks of securitizing certain religious practices </w:t>
      </w:r>
      <w:proofErr w:type="gramStart"/>
      <w:r w:rsidR="00F6015D" w:rsidRPr="00845AD3">
        <w:t>is</w:t>
      </w:r>
      <w:proofErr w:type="gramEnd"/>
      <w:r w:rsidR="00F6015D" w:rsidRPr="00845AD3">
        <w:t xml:space="preserve"> immense (</w:t>
      </w:r>
      <w:r w:rsidR="00F6015D" w:rsidRPr="00845AD3">
        <w:rPr>
          <w:rFonts w:asciiTheme="majorBidi" w:hAnsiTheme="majorBidi" w:cstheme="majorBidi"/>
          <w:color w:val="000000" w:themeColor="text1"/>
          <w:szCs w:val="18"/>
        </w:rPr>
        <w:t>A/HRC/7/10/</w:t>
      </w:r>
      <w:proofErr w:type="spellStart"/>
      <w:r w:rsidR="00F6015D" w:rsidRPr="00845AD3">
        <w:rPr>
          <w:rFonts w:asciiTheme="majorBidi" w:hAnsiTheme="majorBidi" w:cstheme="majorBidi"/>
          <w:color w:val="000000" w:themeColor="text1"/>
          <w:szCs w:val="18"/>
        </w:rPr>
        <w:t>Add.3</w:t>
      </w:r>
      <w:proofErr w:type="spellEnd"/>
      <w:r w:rsidR="00F6015D" w:rsidRPr="00845AD3">
        <w:rPr>
          <w:rFonts w:asciiTheme="majorBidi" w:hAnsiTheme="majorBidi" w:cstheme="majorBidi"/>
          <w:color w:val="000000" w:themeColor="text1"/>
          <w:szCs w:val="18"/>
        </w:rPr>
        <w:t>, para. 41)</w:t>
      </w:r>
      <w:r w:rsidR="00F6015D" w:rsidRPr="00845AD3">
        <w:t>. While the SILT law permits the closure of places of worship for a maximum of six months, it is worrisome that seven mosques have been closed since the introduction of the law.</w:t>
      </w:r>
      <w:r w:rsidR="00F6015D" w:rsidRPr="00845AD3">
        <w:rPr>
          <w:rStyle w:val="ac"/>
        </w:rPr>
        <w:footnoteReference w:id="34"/>
      </w:r>
      <w:r w:rsidR="00F6015D" w:rsidRPr="00845AD3">
        <w:t xml:space="preserve"> The factual basis for closure (including </w:t>
      </w:r>
      <w:r w:rsidR="00F6015D" w:rsidRPr="00845AD3">
        <w:rPr>
          <w:i/>
        </w:rPr>
        <w:t>notes</w:t>
      </w:r>
      <w:r w:rsidR="00F6015D" w:rsidRPr="00845AD3">
        <w:t xml:space="preserve"> </w:t>
      </w:r>
      <w:r w:rsidR="00F6015D" w:rsidRPr="00845AD3">
        <w:rPr>
          <w:i/>
        </w:rPr>
        <w:t>blanches</w:t>
      </w:r>
      <w:r w:rsidR="00F6015D" w:rsidRPr="00845AD3">
        <w:t>) makes the burdens to disprove allegations concerning the members of any mosques or prayer rooms onerous. The Special Rapporteur is concerned that the actions of an imam or congregants, related to activities in the mosque or wholly outside, are dispositive to disproportionately affecting the rights of entire congregations. She underscores the exceptionality of collective measures that have sizeable effects on groups whose connections to any wrongdoing might be tenuous. She encourages the State to ensure that, after the closing of a mosque or prayer room, worshippers continue to have an appropriate venue to congregate. The State should restrain from criminalizing prayers in the street outside closed mosques. While the Special Rapporteur recognizes that this may constitute a challenge to public safety, she underscores the necessity of ensuring limited impingement on the freedom of religion and association. She reaffirms the complementary, interdependent and mutually reinforcing relationship between protecting rights, including freedom of religion and belief and security.</w:t>
      </w:r>
    </w:p>
    <w:p w:rsidR="00F6015D" w:rsidRPr="00845AD3" w:rsidRDefault="00F6015D" w:rsidP="004A18AF">
      <w:pPr>
        <w:pStyle w:val="H23G"/>
      </w:pPr>
      <w:r w:rsidRPr="00845AD3">
        <w:tab/>
      </w:r>
      <w:r w:rsidRPr="00845AD3">
        <w:tab/>
        <w:t xml:space="preserve">Criminal measures to regulate terrorism </w:t>
      </w:r>
    </w:p>
    <w:p w:rsidR="00F6015D" w:rsidRPr="00845AD3" w:rsidRDefault="003951A7" w:rsidP="003B256F">
      <w:pPr>
        <w:pStyle w:val="SingleTxtG"/>
      </w:pPr>
      <w:r w:rsidRPr="00845AD3">
        <w:t>29.</w:t>
      </w:r>
      <w:r w:rsidRPr="00845AD3">
        <w:tab/>
      </w:r>
      <w:r w:rsidR="00F6015D" w:rsidRPr="00845AD3">
        <w:t xml:space="preserve">Administrative legal measures are only one aspect of the legal counter-terrorism tools available to France. Ordinary criminal law provides a range of both established and newer offences. The Special Rapporteur highlights the weighty effects of the offence of </w:t>
      </w:r>
      <w:r w:rsidR="00B57B03" w:rsidRPr="00845AD3">
        <w:t>“</w:t>
      </w:r>
      <w:r w:rsidR="00F6015D" w:rsidRPr="00845AD3">
        <w:t>apology for terrorism</w:t>
      </w:r>
      <w:r w:rsidR="00B57B03" w:rsidRPr="00845AD3">
        <w:t>”</w:t>
      </w:r>
      <w:r w:rsidR="00F6015D" w:rsidRPr="00845AD3">
        <w:t xml:space="preserve"> on the right to freedom of expression. This crime constitutes in absolute numbers the criminal measure which is most frequently used in France under the counter-terrorism regime. The equation of apology with </w:t>
      </w:r>
      <w:r w:rsidR="00B57B03" w:rsidRPr="00845AD3">
        <w:t>“</w:t>
      </w:r>
      <w:r w:rsidR="00F6015D" w:rsidRPr="00845AD3">
        <w:t>positive moral judgment</w:t>
      </w:r>
      <w:r w:rsidR="00B57B03" w:rsidRPr="00845AD3">
        <w:t>”</w:t>
      </w:r>
      <w:r w:rsidR="00F6015D" w:rsidRPr="00845AD3">
        <w:t xml:space="preserve"> is of particular concern.</w:t>
      </w:r>
      <w:r w:rsidR="00F6015D" w:rsidRPr="00845AD3">
        <w:rPr>
          <w:rStyle w:val="ac"/>
        </w:rPr>
        <w:footnoteReference w:id="35"/>
      </w:r>
      <w:r w:rsidR="00F6015D" w:rsidRPr="00845AD3">
        <w:t xml:space="preserve"> The Special Rapporteur notes that 85 per cent of cases relating to terrorism fall under </w:t>
      </w:r>
      <w:r w:rsidR="00B57B03" w:rsidRPr="00845AD3">
        <w:t>“</w:t>
      </w:r>
      <w:r w:rsidR="00F6015D" w:rsidRPr="00845AD3">
        <w:t>apology for terrorism</w:t>
      </w:r>
      <w:r w:rsidR="00B57B03" w:rsidRPr="00845AD3">
        <w:t>”</w:t>
      </w:r>
      <w:r w:rsidR="00F6015D" w:rsidRPr="00845AD3">
        <w:t xml:space="preserve"> enforcement.</w:t>
      </w:r>
      <w:r w:rsidR="00F6015D" w:rsidRPr="00845AD3">
        <w:rPr>
          <w:rStyle w:val="ac"/>
        </w:rPr>
        <w:footnoteReference w:id="36"/>
      </w:r>
      <w:r w:rsidR="00F6015D" w:rsidRPr="00845AD3">
        <w:t xml:space="preserve"> She observes that the penalties for </w:t>
      </w:r>
      <w:r w:rsidR="00B57B03" w:rsidRPr="00845AD3">
        <w:t>“</w:t>
      </w:r>
      <w:r w:rsidR="00F6015D" w:rsidRPr="00845AD3">
        <w:t>apology for terrorism</w:t>
      </w:r>
      <w:r w:rsidR="00B57B03" w:rsidRPr="00845AD3">
        <w:t>”</w:t>
      </w:r>
      <w:r w:rsidR="00F6015D" w:rsidRPr="00845AD3">
        <w:t>, which include up to five years in prison and a fine of up to €75,000, including for online activity, appear disproportionate.</w:t>
      </w:r>
      <w:r w:rsidRPr="00845AD3">
        <w:t xml:space="preserve"> </w:t>
      </w:r>
      <w:r w:rsidR="00F6015D" w:rsidRPr="00845AD3">
        <w:t xml:space="preserve">The law is broadly drafted, engaging significant legal uncertainty, enabling discretionary overreach and affecting protection of free expression and the open exchange of ideas in a robust democracy. The Special Rapporteur accepts that there are genuine cases in which exhortation to terrorism must be constrained. Nonetheless, the extent to which this crime captures a broad and indiscriminate range of expression and actors evidences an undue restriction on the freedom of expression as protected by international human rights law. She recommends that authorities be guided by the standards found in the Rabat Plan of Action </w:t>
      </w:r>
      <w:r w:rsidR="00F6015D" w:rsidRPr="00845AD3">
        <w:rPr>
          <w:color w:val="000000" w:themeColor="text1"/>
        </w:rPr>
        <w:t>on the prohibition of advocacy of national, racial or religious hatred that constitutes incitement to discrimination, hostility or violence (</w:t>
      </w:r>
      <w:r w:rsidR="00F6015D" w:rsidRPr="00845AD3">
        <w:rPr>
          <w:rFonts w:asciiTheme="majorBidi" w:hAnsiTheme="majorBidi" w:cstheme="majorBidi"/>
          <w:color w:val="000000" w:themeColor="text1"/>
          <w:szCs w:val="18"/>
        </w:rPr>
        <w:t>A/HRC/22/17/</w:t>
      </w:r>
      <w:proofErr w:type="spellStart"/>
      <w:r w:rsidR="00F6015D" w:rsidRPr="00845AD3">
        <w:rPr>
          <w:rFonts w:asciiTheme="majorBidi" w:hAnsiTheme="majorBidi" w:cstheme="majorBidi"/>
          <w:color w:val="000000" w:themeColor="text1"/>
          <w:szCs w:val="18"/>
        </w:rPr>
        <w:t>Add.4</w:t>
      </w:r>
      <w:proofErr w:type="spellEnd"/>
      <w:r w:rsidR="00F6015D" w:rsidRPr="00845AD3">
        <w:rPr>
          <w:rFonts w:asciiTheme="majorBidi" w:hAnsiTheme="majorBidi" w:cstheme="majorBidi"/>
          <w:color w:val="000000" w:themeColor="text1"/>
          <w:szCs w:val="18"/>
        </w:rPr>
        <w:t>, annex, appendix, para. 29)</w:t>
      </w:r>
      <w:r w:rsidR="00F6015D" w:rsidRPr="00845AD3">
        <w:t>, in particular the six-part threshold test set out therein. The Special Rapporteur is particularly concerned at the evidence that indicates that the law has been used extensively against minors.</w:t>
      </w:r>
      <w:r w:rsidR="00F6015D" w:rsidRPr="00845AD3">
        <w:rPr>
          <w:rStyle w:val="ac"/>
        </w:rPr>
        <w:footnoteReference w:id="37"/>
      </w:r>
    </w:p>
    <w:p w:rsidR="00F6015D" w:rsidRPr="00845AD3" w:rsidRDefault="003951A7" w:rsidP="00766DD1">
      <w:pPr>
        <w:pStyle w:val="SingleTxtG"/>
      </w:pPr>
      <w:r w:rsidRPr="00845AD3">
        <w:t>30.</w:t>
      </w:r>
      <w:r w:rsidRPr="00845AD3">
        <w:tab/>
      </w:r>
      <w:r w:rsidR="00F6015D" w:rsidRPr="00845AD3">
        <w:rPr>
          <w:bCs/>
        </w:rPr>
        <w:t>Membership in and support to terrorist organization is criminalized in France (</w:t>
      </w:r>
      <w:r w:rsidR="00B57B03" w:rsidRPr="00845AD3">
        <w:rPr>
          <w:bCs/>
        </w:rPr>
        <w:t>“</w:t>
      </w:r>
      <w:r w:rsidR="00F6015D" w:rsidRPr="00845AD3">
        <w:rPr>
          <w:bCs/>
        </w:rPr>
        <w:t>criminal association with a terrorist enterprise</w:t>
      </w:r>
      <w:r w:rsidR="00B57B03" w:rsidRPr="00845AD3">
        <w:rPr>
          <w:bCs/>
        </w:rPr>
        <w:t>”</w:t>
      </w:r>
      <w:r w:rsidR="00F6015D" w:rsidRPr="00845AD3">
        <w:rPr>
          <w:bCs/>
        </w:rPr>
        <w:t>).</w:t>
      </w:r>
      <w:r w:rsidR="00F6015D" w:rsidRPr="00845AD3">
        <w:t xml:space="preserve"> </w:t>
      </w:r>
      <w:r w:rsidR="00F6015D" w:rsidRPr="00845AD3">
        <w:rPr>
          <w:color w:val="000000" w:themeColor="text1"/>
        </w:rPr>
        <w:t>The Special Rapporteur warns of expansive interpretations of these provisions and stresses that conduct criminalized as a terrorist offence must be truly terrorist in nature, require specific intent and thus restricted to activities with a genuine link to the operation of terrorist groups and acts (</w:t>
      </w:r>
      <w:r w:rsidR="00F6015D" w:rsidRPr="00845AD3">
        <w:rPr>
          <w:rFonts w:asciiTheme="majorBidi" w:hAnsiTheme="majorBidi" w:cstheme="majorBidi"/>
          <w:color w:val="000000" w:themeColor="text1"/>
          <w:szCs w:val="18"/>
        </w:rPr>
        <w:t>A/70/371, paras. 31–44)</w:t>
      </w:r>
      <w:r w:rsidR="00F6015D" w:rsidRPr="00845AD3">
        <w:rPr>
          <w:color w:val="000000" w:themeColor="text1"/>
        </w:rPr>
        <w:t>. She highlights that construing support to terrorist organizations in an over-broad manner</w:t>
      </w:r>
      <w:r w:rsidR="00F6015D" w:rsidRPr="00845AD3">
        <w:rPr>
          <w:color w:val="000000"/>
        </w:rPr>
        <w:t xml:space="preserve"> may effectively result in criminalizing family and other personal relationships. She notes that the support related to ensuring that a person enjoys </w:t>
      </w:r>
      <w:r w:rsidR="00B57B03" w:rsidRPr="00845AD3">
        <w:t>“</w:t>
      </w:r>
      <w:r w:rsidR="00F6015D" w:rsidRPr="00845AD3">
        <w:t>minimum essential levels</w:t>
      </w:r>
      <w:r w:rsidR="00B57B03" w:rsidRPr="00845AD3">
        <w:t>”</w:t>
      </w:r>
      <w:r w:rsidR="00F6015D" w:rsidRPr="00845AD3">
        <w:t xml:space="preserve"> of economic and social rights, including the rights to food, health and housing, </w:t>
      </w:r>
      <w:r w:rsidR="00F6015D" w:rsidRPr="00845AD3">
        <w:rPr>
          <w:color w:val="000000"/>
        </w:rPr>
        <w:t>should not be criminalized as support to terrorism, recalling the position of the General Assembly that counter-terrorism measures should not impede humanitarian activities and engagement.</w:t>
      </w:r>
      <w:r w:rsidR="00F6015D" w:rsidRPr="00845AD3">
        <w:rPr>
          <w:rStyle w:val="ac"/>
        </w:rPr>
        <w:footnoteReference w:id="38"/>
      </w:r>
      <w:r w:rsidRPr="00845AD3">
        <w:rPr>
          <w:color w:val="000000"/>
        </w:rPr>
        <w:t xml:space="preserve"> </w:t>
      </w:r>
      <w:r w:rsidR="00F6015D" w:rsidRPr="00845AD3">
        <w:rPr>
          <w:color w:val="000000" w:themeColor="text1"/>
        </w:rPr>
        <w:t>The Special Rapporteur</w:t>
      </w:r>
      <w:r w:rsidR="00F6015D" w:rsidRPr="00845AD3">
        <w:rPr>
          <w:color w:val="000000"/>
        </w:rPr>
        <w:t xml:space="preserve"> further asserts that assisting a person in exercising their right to return to their country of nationality should not per se be equated to criminal support to terrorism.</w:t>
      </w:r>
      <w:r w:rsidR="00F6015D" w:rsidRPr="00845AD3">
        <w:rPr>
          <w:rStyle w:val="ac"/>
        </w:rPr>
        <w:footnoteReference w:id="39"/>
      </w:r>
    </w:p>
    <w:p w:rsidR="00F6015D" w:rsidRPr="00845AD3" w:rsidRDefault="003951A7" w:rsidP="003B256F">
      <w:pPr>
        <w:pStyle w:val="SingleTxtG"/>
      </w:pPr>
      <w:r w:rsidRPr="00845AD3">
        <w:t>31.</w:t>
      </w:r>
      <w:r w:rsidRPr="00845AD3">
        <w:tab/>
      </w:r>
      <w:r w:rsidR="00F6015D" w:rsidRPr="00845AD3">
        <w:t>The Special Rapporteur is concerned that there has been a diminution of the meaningful exercise of attorney-client privilege resulting from the use of exceptional powers and the administration of justice in terrorism cases. The shift to administrative measures, the constrained scope for lawyers to meaningfully review the intelligence basis for administrative measures, the shift in the burden of proof and the intensity of resources required to successfully challenge both criminal charges such as membership and administrative measures amount in practice to a diminution of legal access and representation. The Special Rapporteur reminds France of the importance of ensuring full and meaningful legal representation in the context of counter-terrorism measures, criminal prosecution and sentencing.</w:t>
      </w:r>
      <w:r w:rsidR="00F6015D" w:rsidRPr="00845AD3">
        <w:rPr>
          <w:rStyle w:val="ac"/>
        </w:rPr>
        <w:footnoteReference w:id="40"/>
      </w:r>
    </w:p>
    <w:p w:rsidR="00F6015D" w:rsidRPr="00845AD3" w:rsidRDefault="00F6015D" w:rsidP="00F6015D">
      <w:pPr>
        <w:pStyle w:val="H23G"/>
      </w:pPr>
      <w:r w:rsidRPr="00845AD3">
        <w:tab/>
      </w:r>
      <w:r w:rsidRPr="00845AD3">
        <w:tab/>
        <w:t>Remedies and oversight</w:t>
      </w:r>
    </w:p>
    <w:p w:rsidR="00F6015D" w:rsidRPr="00845AD3" w:rsidRDefault="003951A7" w:rsidP="003B256F">
      <w:pPr>
        <w:pStyle w:val="SingleTxtG"/>
      </w:pPr>
      <w:r w:rsidRPr="00845AD3">
        <w:t>32.</w:t>
      </w:r>
      <w:r w:rsidRPr="00845AD3">
        <w:tab/>
      </w:r>
      <w:r w:rsidR="00F6015D" w:rsidRPr="00845AD3">
        <w:t xml:space="preserve">The Special Rapporteur notes that some remedies and review are available in respect of the SILT law and other counter-terrorism legislation. She affirms the importance of vigorous parliamentary review and underscores the value of the parliamentary review process in both chambers. However, existing review capacity is limited and circumscribed. It only applies to a defined number of measures under the SILT law, is primarily focused on engaging the authorities, primarily addresses operational implementation and appears to have little sustained consultation with affected communities and individuals. The Special Rapporteur is concerned that SILT law review has eschewed transparent engagement with civil society and with affected communities and individuals. The statutorily mandated assessment of the effectiveness and operation of the law had not been made publicly available by December 2018. The Special Rapporteur notes serious concerns about the adequacy of existing review and the marginality of human rights to its process to date, and encourages substantive civil society engagement and human rights mainstreaming in the reviews to be completed. </w:t>
      </w:r>
    </w:p>
    <w:p w:rsidR="00F6015D" w:rsidRPr="00845AD3" w:rsidRDefault="003951A7" w:rsidP="003B256F">
      <w:pPr>
        <w:pStyle w:val="SingleTxtG"/>
      </w:pPr>
      <w:r w:rsidRPr="00845AD3">
        <w:t>33.</w:t>
      </w:r>
      <w:r w:rsidRPr="00845AD3">
        <w:tab/>
      </w:r>
      <w:r w:rsidR="00F6015D" w:rsidRPr="00845AD3">
        <w:t>The Special Rapporteur has continually stressed the importance of transparent, independent and human rights-compliant review of exceptional legal powers. France is ideally situated to deliver such oversight given the robustness of its legal process, the vibrancy of its civil society and the sophistication of its constitutional order, and it is disappointing to note that this integrated, rights-based approach has not been pursued. Going forward, given the scope, depth and range of French counter-terrorism law and practice, there is a pressing need for inclusive and independent review where the complementary, interdependent and mutually reinforcing necessity of human rights protection in both law and practice is at the core of the review</w:t>
      </w:r>
      <w:r w:rsidR="00B57B03" w:rsidRPr="00845AD3">
        <w:t>’</w:t>
      </w:r>
      <w:r w:rsidR="00F6015D" w:rsidRPr="00845AD3">
        <w:t xml:space="preserve">s </w:t>
      </w:r>
      <w:r w:rsidR="00F6015D" w:rsidRPr="00845AD3">
        <w:rPr>
          <w:iCs/>
        </w:rPr>
        <w:t>raison d</w:t>
      </w:r>
      <w:r w:rsidR="00B57B03" w:rsidRPr="00845AD3">
        <w:rPr>
          <w:iCs/>
        </w:rPr>
        <w:t>’</w:t>
      </w:r>
      <w:r w:rsidR="00F6015D" w:rsidRPr="00845AD3">
        <w:rPr>
          <w:iCs/>
        </w:rPr>
        <w:t>être</w:t>
      </w:r>
      <w:r w:rsidR="00F6015D" w:rsidRPr="00845AD3">
        <w:t>. Inclusive and independent review will necessarily consult meaningfully with affected individuals and communities, civil society and independent experts.</w:t>
      </w:r>
    </w:p>
    <w:p w:rsidR="00F6015D" w:rsidRPr="00845AD3" w:rsidRDefault="003951A7" w:rsidP="0049413E">
      <w:pPr>
        <w:pStyle w:val="SingleTxtG"/>
      </w:pPr>
      <w:r w:rsidRPr="00845AD3">
        <w:t>34.</w:t>
      </w:r>
      <w:r w:rsidRPr="00845AD3">
        <w:tab/>
      </w:r>
      <w:r w:rsidR="00F6015D" w:rsidRPr="00845AD3">
        <w:t>Human rights- and rule of law-informed oversight of counter-terrorism-related intelligence collection, management, sharing, use and storage is essential. The Advisory Commission for the Control of Intelligence Techniques was created since intelligence-gathering powers were placed on a defined statutory footing</w:t>
      </w:r>
      <w:r w:rsidR="0049413E">
        <w:t>.</w:t>
      </w:r>
      <w:r w:rsidRPr="00845AD3">
        <w:t xml:space="preserve"> </w:t>
      </w:r>
      <w:r w:rsidR="00F6015D" w:rsidRPr="00845AD3">
        <w:t>The establishment of this advisory body is a positive step. However, it does not go far enough in creating an entirely independent, fully legally empowered entity to oversee the data-gathering powers of all intelligence services and entities engaged in data gathering, processing, sharing and retention for counter-terrorism purposes. This is a noticeable gap given the country</w:t>
      </w:r>
      <w:r w:rsidR="00B57B03" w:rsidRPr="00845AD3">
        <w:t>’</w:t>
      </w:r>
      <w:r w:rsidR="00F6015D" w:rsidRPr="00845AD3">
        <w:t>s strong commitment to private life.</w:t>
      </w:r>
      <w:r w:rsidR="00F6015D" w:rsidRPr="00845AD3">
        <w:rPr>
          <w:rStyle w:val="ac"/>
        </w:rPr>
        <w:footnoteReference w:id="41"/>
      </w:r>
      <w:r w:rsidR="00F6015D" w:rsidRPr="00845AD3">
        <w:t xml:space="preserve"> The Commission remains an advisory body even if, in practice, it is reported that its advice is usually acted upon. The Special Rapporteur was unable to verify this assertion. With regard to the Commission, the Special Rapporteur particularly recommends increased judicial representation as well as sufficient technical expertise in its composition, sufficient resources to oversee an increasingly dense regulatory arena, commitment to a priori</w:t>
      </w:r>
      <w:r w:rsidR="00F6015D" w:rsidRPr="00845AD3">
        <w:rPr>
          <w:i/>
        </w:rPr>
        <w:t xml:space="preserve"> </w:t>
      </w:r>
      <w:r w:rsidR="00F6015D" w:rsidRPr="00845AD3">
        <w:t xml:space="preserve">authorization as the regular approach of oversight given the balance and implications of the rights limitations concerned, and greater transparency through the publication of an annual report to detail the number of measures taken. </w:t>
      </w:r>
    </w:p>
    <w:p w:rsidR="00F6015D" w:rsidRPr="00845AD3" w:rsidRDefault="003951A7" w:rsidP="003B256F">
      <w:pPr>
        <w:pStyle w:val="SingleTxtG"/>
      </w:pPr>
      <w:r w:rsidRPr="00845AD3">
        <w:t>35.</w:t>
      </w:r>
      <w:r w:rsidRPr="00845AD3">
        <w:tab/>
      </w:r>
      <w:r w:rsidR="00F6015D" w:rsidRPr="00845AD3">
        <w:t>The Special Rapporteur urges French authorities to ensure compliance with European</w:t>
      </w:r>
      <w:r w:rsidRPr="00845AD3">
        <w:t xml:space="preserve"> </w:t>
      </w:r>
      <w:r w:rsidR="00F6015D" w:rsidRPr="00845AD3">
        <w:t xml:space="preserve">legal obligations in respect of mandatory general data retention and to fully implement European judicial decisions concerning the need to protect electronic communications in a way that does not compromise the </w:t>
      </w:r>
      <w:r w:rsidR="00B57B03" w:rsidRPr="00845AD3">
        <w:t>“</w:t>
      </w:r>
      <w:r w:rsidR="00F6015D" w:rsidRPr="00845AD3">
        <w:t>essence</w:t>
      </w:r>
      <w:r w:rsidR="00B57B03" w:rsidRPr="00845AD3">
        <w:t>”</w:t>
      </w:r>
      <w:r w:rsidR="00F6015D" w:rsidRPr="00845AD3">
        <w:t xml:space="preserve"> of the fundamental right to respect for private life and through measures that are </w:t>
      </w:r>
      <w:r w:rsidR="00B57B03" w:rsidRPr="00845AD3">
        <w:t>“</w:t>
      </w:r>
      <w:r w:rsidR="00F6015D" w:rsidRPr="00845AD3">
        <w:t>strictly proportionate</w:t>
      </w:r>
      <w:r w:rsidR="00B57B03" w:rsidRPr="00845AD3">
        <w:t>”</w:t>
      </w:r>
      <w:r w:rsidR="00F6015D" w:rsidRPr="00845AD3">
        <w:t xml:space="preserve"> to their intended purpose.</w:t>
      </w:r>
      <w:r w:rsidR="00F6015D" w:rsidRPr="00845AD3">
        <w:rPr>
          <w:rStyle w:val="ac"/>
        </w:rPr>
        <w:footnoteReference w:id="42"/>
      </w:r>
      <w:r w:rsidR="00F6015D" w:rsidRPr="00845AD3">
        <w:t xml:space="preserve"> She reminds France that mandatory retention of metadata for an extended period of time and general data retention are contrary to European Union law, with particular reference to the military planning law (2013) and the surveillance law (2015),</w:t>
      </w:r>
      <w:r w:rsidR="00F6015D" w:rsidRPr="00845AD3">
        <w:rPr>
          <w:rStyle w:val="ac"/>
        </w:rPr>
        <w:footnoteReference w:id="43"/>
      </w:r>
      <w:r w:rsidR="00F6015D" w:rsidRPr="00845AD3">
        <w:t xml:space="preserve"> and also flags the country</w:t>
      </w:r>
      <w:r w:rsidR="00B57B03" w:rsidRPr="00845AD3">
        <w:t>’</w:t>
      </w:r>
      <w:r w:rsidR="00F6015D" w:rsidRPr="00845AD3">
        <w:t>s international human rights obligations.</w:t>
      </w:r>
      <w:r w:rsidR="00F6015D" w:rsidRPr="00845AD3">
        <w:rPr>
          <w:rStyle w:val="ac"/>
        </w:rPr>
        <w:footnoteReference w:id="44"/>
      </w:r>
      <w:r w:rsidR="00F6015D" w:rsidRPr="00845AD3">
        <w:t xml:space="preserve"> She affirms that, while progress has been made, further improvements are required to ensure that adequate procedural safeguards and oversight of interception of communications and surveillance are in place. In particular, prior authorization </w:t>
      </w:r>
      <w:r w:rsidR="00C93337" w:rsidRPr="00845AD3">
        <w:t>–</w:t>
      </w:r>
      <w:r w:rsidR="00F6015D" w:rsidRPr="00845AD3">
        <w:t xml:space="preserve"> best ensured with a judicial element </w:t>
      </w:r>
      <w:r w:rsidR="00C93337" w:rsidRPr="00845AD3">
        <w:t>–</w:t>
      </w:r>
      <w:r w:rsidR="00F6015D" w:rsidRPr="00845AD3">
        <w:t xml:space="preserve"> and ongoing independent oversight of surveillance should be the norm, and the right to an effective remedy must be meaningfully incorporated in the context of secret surveillance measures. </w:t>
      </w:r>
    </w:p>
    <w:p w:rsidR="00F6015D" w:rsidRPr="00845AD3" w:rsidRDefault="003951A7" w:rsidP="003B256F">
      <w:pPr>
        <w:pStyle w:val="SingleTxtG"/>
      </w:pPr>
      <w:r w:rsidRPr="00845AD3">
        <w:t>36.</w:t>
      </w:r>
      <w:r w:rsidRPr="00845AD3">
        <w:tab/>
      </w:r>
      <w:r w:rsidR="00F6015D" w:rsidRPr="00845AD3">
        <w:t>The Special Rapporteur notes her concerns regarding cross-border intelligence-sharing. She has already warned against such practices falling short of international human rights norms and standards, in particular the lack of a human rights-compliant legal basis and effective oversight (</w:t>
      </w:r>
      <w:r w:rsidR="00F6015D" w:rsidRPr="00845AD3">
        <w:rPr>
          <w:rFonts w:asciiTheme="majorBidi" w:hAnsiTheme="majorBidi" w:cstheme="majorBidi"/>
          <w:color w:val="000000" w:themeColor="text1"/>
          <w:szCs w:val="18"/>
        </w:rPr>
        <w:t>A/69/397 and A/HRC/13/37)</w:t>
      </w:r>
      <w:r w:rsidR="00F6015D" w:rsidRPr="00845AD3">
        <w:t>. She emphasizes that such practices must be underpinned by a domestic legal basis that is sufficiently foreseeable and accessible and that provides for adequate safeguards against abuse and subject to meaningful oversight by an independent oversight body.</w:t>
      </w:r>
    </w:p>
    <w:p w:rsidR="00F6015D" w:rsidRPr="00845AD3" w:rsidRDefault="003951A7" w:rsidP="0049413E">
      <w:pPr>
        <w:pStyle w:val="SingleTxtG"/>
      </w:pPr>
      <w:r w:rsidRPr="00845AD3">
        <w:t>37.</w:t>
      </w:r>
      <w:r w:rsidRPr="00845AD3">
        <w:tab/>
      </w:r>
      <w:r w:rsidR="00F6015D" w:rsidRPr="00845AD3">
        <w:t xml:space="preserve">Finally, </w:t>
      </w:r>
      <w:r w:rsidR="0049413E">
        <w:t>t</w:t>
      </w:r>
      <w:r w:rsidR="00F6015D" w:rsidRPr="00845AD3">
        <w:t>he Special Rapporteur notes that administrative review is available to persons adversely affected by counter-terrorism-related administrative measures. In practice, the Special Rapporteur is aware that such appeal processes are slow and affected persons are generally not well placed to take legal review measures. The individual subject of such measures is at a significant disadvantage in accessing justice and meaningful remedy. The small number of remedies sought in the context of the high number of administrative measures taken during the state of emergency underscores the remedial lacunae (e.g., comparing the number of house searches undertaken with the subsequent number of proceedings, judicial decisions and incarcerations in this category). For remedies to be meaningful, access to justice has to be direct, accessible and prompt and provide an appropriate remedy to the affected individual. The Special Rapporteur urges France to address the continuing lacunae in access to remedies in respect of harms occasioned during the state of emergency. The passage of time has not narrowed the breaches of trust for affected individuals and/or communities. Effective past-focused remedies are an essential component of limiting polarization, ensuring responsiveness to measures taken in situations of extremis and demonstrating the responsive capacity of the law.</w:t>
      </w:r>
    </w:p>
    <w:p w:rsidR="00F6015D" w:rsidRPr="00845AD3" w:rsidRDefault="00F6015D" w:rsidP="00F6015D">
      <w:pPr>
        <w:pStyle w:val="H23G"/>
      </w:pPr>
      <w:r w:rsidRPr="00845AD3">
        <w:tab/>
      </w:r>
      <w:r w:rsidRPr="00845AD3">
        <w:tab/>
        <w:t>Addressing radicalization in a human rights-compliant manner</w:t>
      </w:r>
    </w:p>
    <w:p w:rsidR="00F6015D" w:rsidRPr="00845AD3" w:rsidRDefault="003951A7" w:rsidP="003B256F">
      <w:pPr>
        <w:pStyle w:val="SingleTxtG"/>
      </w:pPr>
      <w:r w:rsidRPr="00845AD3">
        <w:t>38.</w:t>
      </w:r>
      <w:r w:rsidRPr="00845AD3">
        <w:tab/>
      </w:r>
      <w:r w:rsidR="00F6015D" w:rsidRPr="00845AD3">
        <w:t xml:space="preserve">Like many countries, France faces the challenges of addressing and countering radicalization, including its violent manifestations, and has taken active steps since April 2014 to develop strategic policy in this regard. Heeding the call of the Secretary-General in presenting his Plan of Action to Prevent Violent Extremism, France adopted an initial plan in 2014 identifying 22 measures. A more detailed National Plan to Prevent Radicalization was launched by the Prime Minister in February 2018. The plan mandates 60 measures, 30 of them new, aimed primarily at government departments/administrators across multiple sectors (e.g., education, sport, health, prisons, counter-narrative and business) so that they receive training, counter or identify radicalization, and report and then deal with persons identified as radicalized. </w:t>
      </w:r>
    </w:p>
    <w:p w:rsidR="00F6015D" w:rsidRPr="00845AD3" w:rsidRDefault="003951A7" w:rsidP="003B256F">
      <w:pPr>
        <w:pStyle w:val="SingleTxtG"/>
      </w:pPr>
      <w:r w:rsidRPr="00845AD3">
        <w:t>39.</w:t>
      </w:r>
      <w:r w:rsidRPr="00845AD3">
        <w:tab/>
      </w:r>
      <w:r w:rsidR="00F6015D" w:rsidRPr="00845AD3">
        <w:t xml:space="preserve">The mandate concurs with the view that radicalization and its violent manifestations pose concrete and significant challenges. Radicalization is also a dynamic process. Nuanced, legally based and empirically sound responses to radicalization are sorely needed. The mandate highlights the lack of internationally accepted definitions of concepts such as </w:t>
      </w:r>
      <w:r w:rsidR="00B57B03" w:rsidRPr="00845AD3">
        <w:t>“</w:t>
      </w:r>
      <w:r w:rsidR="00F6015D" w:rsidRPr="00845AD3">
        <w:t>violent extremism</w:t>
      </w:r>
      <w:r w:rsidR="00B57B03" w:rsidRPr="00845AD3">
        <w:t>”</w:t>
      </w:r>
      <w:r w:rsidR="00F6015D" w:rsidRPr="00845AD3">
        <w:t xml:space="preserve"> and </w:t>
      </w:r>
      <w:r w:rsidR="00B57B03" w:rsidRPr="00845AD3">
        <w:t>“</w:t>
      </w:r>
      <w:r w:rsidR="00F6015D" w:rsidRPr="00845AD3">
        <w:t>radicalization</w:t>
      </w:r>
      <w:r w:rsidR="00B57B03" w:rsidRPr="00845AD3">
        <w:t>”</w:t>
      </w:r>
      <w:r w:rsidR="00F6015D" w:rsidRPr="00845AD3">
        <w:t xml:space="preserve"> (</w:t>
      </w:r>
      <w:r w:rsidR="00F6015D" w:rsidRPr="00845AD3">
        <w:rPr>
          <w:rFonts w:asciiTheme="majorBidi" w:hAnsiTheme="majorBidi" w:cstheme="majorBidi"/>
          <w:color w:val="000000" w:themeColor="text1"/>
          <w:szCs w:val="18"/>
        </w:rPr>
        <w:t>A/HRC/31/65)</w:t>
      </w:r>
      <w:r w:rsidR="00F6015D" w:rsidRPr="00845AD3">
        <w:t>. She underlines the importance of a clear distinction between radical thought and ideologies, on one side, and violent extremism or radicalization towards violence on the other. The mandate has concerns regarding the empirical and scientific basis for the identification and management of radicalization in national policies and practices, echoing expert assessments as to the lack of robust peer review, flawed scientific methodology and a consistent failure to assess the implementation of policies to prevent violent extremism in national settings, including human rights impact assessments.</w:t>
      </w:r>
      <w:r w:rsidR="00F6015D" w:rsidRPr="00845AD3">
        <w:rPr>
          <w:rStyle w:val="ac"/>
        </w:rPr>
        <w:footnoteReference w:id="45"/>
      </w:r>
      <w:r w:rsidR="00F6015D" w:rsidRPr="00845AD3">
        <w:t xml:space="preserve"> </w:t>
      </w:r>
    </w:p>
    <w:p w:rsidR="00F6015D" w:rsidRPr="00845AD3" w:rsidRDefault="003951A7" w:rsidP="003B256F">
      <w:pPr>
        <w:pStyle w:val="SingleTxtG"/>
      </w:pPr>
      <w:r w:rsidRPr="00845AD3">
        <w:t>40.</w:t>
      </w:r>
      <w:r w:rsidRPr="00845AD3">
        <w:tab/>
      </w:r>
      <w:r w:rsidR="00F6015D" w:rsidRPr="00845AD3">
        <w:t xml:space="preserve">Many of the proposed measures implement broader legal obligations and are not </w:t>
      </w:r>
      <w:proofErr w:type="spellStart"/>
      <w:r w:rsidR="00F6015D" w:rsidRPr="00845AD3">
        <w:rPr>
          <w:i/>
          <w:iCs/>
        </w:rPr>
        <w:t>stricto</w:t>
      </w:r>
      <w:proofErr w:type="spellEnd"/>
      <w:r w:rsidR="00F6015D" w:rsidRPr="00845AD3">
        <w:rPr>
          <w:i/>
          <w:iCs/>
        </w:rPr>
        <w:t xml:space="preserve"> </w:t>
      </w:r>
      <w:proofErr w:type="spellStart"/>
      <w:r w:rsidR="00F6015D" w:rsidRPr="00845AD3">
        <w:rPr>
          <w:i/>
          <w:iCs/>
        </w:rPr>
        <w:t>sensu</w:t>
      </w:r>
      <w:proofErr w:type="spellEnd"/>
      <w:r w:rsidR="00F6015D" w:rsidRPr="00845AD3">
        <w:t xml:space="preserve"> directed anti-radicalization measures, e.g., updating Passenger Name Recognition (</w:t>
      </w:r>
      <w:proofErr w:type="spellStart"/>
      <w:r w:rsidR="00F6015D" w:rsidRPr="00845AD3">
        <w:t>PNR</w:t>
      </w:r>
      <w:proofErr w:type="spellEnd"/>
      <w:r w:rsidR="00F6015D" w:rsidRPr="00845AD3">
        <w:t>) systems and engaging judicial efficiency by automating judicial records. The conflation of broadly necessary security measures in a policy framework rhetorically focused on prevention has a number of adverse results, not least that the focus on preventing radicalization in constructive, community-supported, bottom-up and inclusive ways may be entirely lost on the target audiences. It may underplay the necessary social and economic integration and empowerment of communities generally recognized as central to the long-term prevention of radicalization.</w:t>
      </w:r>
      <w:r w:rsidR="00F6015D" w:rsidRPr="00845AD3">
        <w:rPr>
          <w:rStyle w:val="ac"/>
        </w:rPr>
        <w:footnoteReference w:id="46"/>
      </w:r>
      <w:r w:rsidR="00F6015D" w:rsidRPr="00845AD3">
        <w:t xml:space="preserve"> </w:t>
      </w:r>
    </w:p>
    <w:p w:rsidR="00F6015D" w:rsidRPr="00845AD3" w:rsidRDefault="003951A7" w:rsidP="003B256F">
      <w:pPr>
        <w:pStyle w:val="SingleTxtG"/>
      </w:pPr>
      <w:r w:rsidRPr="00845AD3">
        <w:t>41.</w:t>
      </w:r>
      <w:r w:rsidRPr="00845AD3">
        <w:tab/>
      </w:r>
      <w:r w:rsidR="00F6015D" w:rsidRPr="00845AD3">
        <w:t xml:space="preserve">A number of measures provide for prevention policies against radicalization, including developing sweeping programmes to detect and manage radicalization in prison (e.g., increasing the number of Muslim prison chaplains in order to curb extremist discourse), monitoring the behaviour of returnees from conflict sites overseas, addressing mental health capacities for dealing with radicalized persons and disseminating a new </w:t>
      </w:r>
      <w:proofErr w:type="spellStart"/>
      <w:r w:rsidR="00F6015D" w:rsidRPr="00845AD3">
        <w:t>interministerial</w:t>
      </w:r>
      <w:proofErr w:type="spellEnd"/>
      <w:r w:rsidR="00F6015D" w:rsidRPr="00845AD3">
        <w:t xml:space="preserve"> guide for the prevention of radicalization to municipalities. The policy envisages involving various State professionals in detecting and reporting radicalization. The Special Rapporteur recommends the development of a clear and human rights-compliant legal framework on the role of professional secrecy and other confidentiality obligations in the context of countering radicalization towards violence.</w:t>
      </w:r>
    </w:p>
    <w:p w:rsidR="00F6015D" w:rsidRPr="00845AD3" w:rsidRDefault="003951A7" w:rsidP="003B256F">
      <w:pPr>
        <w:pStyle w:val="SingleTxtG"/>
      </w:pPr>
      <w:r w:rsidRPr="00845AD3">
        <w:t>42.</w:t>
      </w:r>
      <w:r w:rsidRPr="00845AD3">
        <w:tab/>
      </w:r>
      <w:r w:rsidR="00F6015D" w:rsidRPr="00845AD3">
        <w:t>Despite the new action plan (see para. 38 above), it is not clear what constitutes the legal bases for the categorization of radicalization, how such criteria conform to best practice and, ultimately, how such criteria function to suppress the legitimate and protected arenas of civic expression and religious practice. The national plan does not articulate what remedies may be available to persons inaccurately identified as violently radicalized or where radicalization labels have been inappropriately applied to persons with radical ideas protected by free expression under international law.</w:t>
      </w:r>
    </w:p>
    <w:p w:rsidR="00F6015D" w:rsidRPr="00845AD3" w:rsidRDefault="003951A7" w:rsidP="0049413E">
      <w:pPr>
        <w:pStyle w:val="SingleTxtG"/>
        <w:jc w:val="lowKashida"/>
      </w:pPr>
      <w:r w:rsidRPr="00845AD3">
        <w:t>43.</w:t>
      </w:r>
      <w:r w:rsidRPr="00845AD3">
        <w:tab/>
      </w:r>
      <w:r w:rsidR="00F6015D" w:rsidRPr="00845AD3">
        <w:t>While confirming that reporting and oversight is an important aspect of countering radicalization, the Special Rapporteur is concerned that other central dimensions are not integrated or adequately recognized in the governmental approach.</w:t>
      </w:r>
      <w:r w:rsidR="00F6015D" w:rsidRPr="00845AD3">
        <w:rPr>
          <w:rStyle w:val="ac"/>
        </w:rPr>
        <w:footnoteReference w:id="47"/>
      </w:r>
      <w:r w:rsidR="00F6015D" w:rsidRPr="00845AD3">
        <w:t xml:space="preserve"> The Special Rapporteur notes that there appears to be little emphasis in the counter-radicalization approach on engaging with and supporting a bottom-up as well as a top-down approach to countering radicalization and prioritizing sustained relationships with affected communities as a central plank of counter-radicalization policy. The policy has an unrelenting emphasis on Islamic radicalization without addressing other genres of violent radicalization now also evidencing in France, specifically extreme-right violent radicalization. Moreover, there appears to be a significant risk that the approach to identifying radicalization conflates genuine and protected religious practice with terrorist radicalization, and there appear to be few safeguards against this. The Special Rapporteur recommends that the Government pay close attention to the push-pull factors of radicalization and, in particular, comprehensively address the conditions conducive to radicalization, encompassing not only essential security-based counter-terrorism measures but also addressing the underlying social, economic and cultural conditions that drive individuals to radicalize and join violent extremist groups. Such underlying structural analysis appears missing from the current approach. Given the estimated scale of the radicalization challenge in France (including the number of persons considered radicalized on the </w:t>
      </w:r>
      <w:r w:rsidR="00B57B03" w:rsidRPr="00845AD3">
        <w:t>“</w:t>
      </w:r>
      <w:r w:rsidR="00F6015D" w:rsidRPr="00845AD3">
        <w:t>S list</w:t>
      </w:r>
      <w:r w:rsidR="00B57B03" w:rsidRPr="00845AD3">
        <w:t>”</w:t>
      </w:r>
      <w:r w:rsidR="00F6015D" w:rsidRPr="00845AD3">
        <w:t xml:space="preserve"> (</w:t>
      </w:r>
      <w:r w:rsidR="00B57B03" w:rsidRPr="00845AD3">
        <w:t>“</w:t>
      </w:r>
      <w:r w:rsidR="00F6015D" w:rsidRPr="00845AD3">
        <w:rPr>
          <w:i/>
        </w:rPr>
        <w:t>fiche</w:t>
      </w:r>
      <w:r w:rsidR="00F6015D" w:rsidRPr="00845AD3">
        <w:t xml:space="preserve"> </w:t>
      </w:r>
      <w:r w:rsidR="00F6015D" w:rsidRPr="00845AD3">
        <w:rPr>
          <w:i/>
        </w:rPr>
        <w:t>S</w:t>
      </w:r>
      <w:r w:rsidR="00B57B03" w:rsidRPr="00845AD3">
        <w:t>”</w:t>
      </w:r>
      <w:r w:rsidR="00F6015D" w:rsidRPr="00845AD3">
        <w:t>)), a comprehensive, balanced and human rights-centred approach is essential for both the protection of rights and the security of all.</w:t>
      </w:r>
      <w:r w:rsidR="00F6015D" w:rsidRPr="00845AD3">
        <w:rPr>
          <w:rStyle w:val="ac"/>
        </w:rPr>
        <w:footnoteReference w:id="48"/>
      </w:r>
    </w:p>
    <w:p w:rsidR="00F6015D" w:rsidRPr="00845AD3" w:rsidRDefault="003951A7" w:rsidP="003B256F">
      <w:pPr>
        <w:pStyle w:val="SingleTxtG"/>
      </w:pPr>
      <w:r w:rsidRPr="00845AD3">
        <w:t>44.</w:t>
      </w:r>
      <w:r w:rsidRPr="00845AD3">
        <w:tab/>
      </w:r>
      <w:r w:rsidR="00F6015D" w:rsidRPr="00845AD3">
        <w:t xml:space="preserve">The Special Rapporteur paid a visit to </w:t>
      </w:r>
      <w:proofErr w:type="spellStart"/>
      <w:r w:rsidR="00F6015D" w:rsidRPr="00845AD3">
        <w:t>Osny</w:t>
      </w:r>
      <w:proofErr w:type="spellEnd"/>
      <w:r w:rsidR="00F6015D" w:rsidRPr="00845AD3">
        <w:t xml:space="preserve"> prison. She was given a substantive overview of the radicalization evaluation, separation and assessment regime, inspected that section and met with several convicted prisoners. The prison staff were well informed and reflective on assessment practices being implemented in French prisons to assess and manage radicalized prisoners through multidisciplinary approaches. She heard a sober analysis of the challenges, acknowledgement that the assessment of evidence of outcomes and effectiveness was still to be undertaken and a clear appreciation of the human rights dimensions of managing this incarcerated group, which was welcome. She encourages and supports the prison authorities</w:t>
      </w:r>
      <w:r w:rsidR="00B57B03" w:rsidRPr="00845AD3">
        <w:t>’</w:t>
      </w:r>
      <w:r w:rsidR="00F6015D" w:rsidRPr="00845AD3">
        <w:t xml:space="preserve"> intention to undertake documentation, research and evidence-building of the assessment processes and the measurement of recent strategies. Prison conditions were adequate, religious practice appeared unhampered, and educational and other opportunities appeared meaningfully available. She notes that while conscious of the risk involved in allowing free movement of prisoners, measures that segregate individuals in solitary confinement for prolonged periods of time may raise issues of inhuman and degrading treatment.</w:t>
      </w:r>
      <w:r w:rsidR="00F6015D" w:rsidRPr="00845AD3">
        <w:rPr>
          <w:rStyle w:val="ac"/>
        </w:rPr>
        <w:footnoteReference w:id="49"/>
      </w:r>
    </w:p>
    <w:p w:rsidR="00F6015D" w:rsidRPr="00845AD3" w:rsidRDefault="00F6015D" w:rsidP="00F6015D">
      <w:pPr>
        <w:pStyle w:val="H23G"/>
      </w:pPr>
      <w:r w:rsidRPr="00845AD3">
        <w:tab/>
      </w:r>
      <w:r w:rsidRPr="00845AD3">
        <w:tab/>
        <w:t>Foreign fighters and accompanying family members</w:t>
      </w:r>
    </w:p>
    <w:p w:rsidR="00F6015D" w:rsidRPr="00845AD3" w:rsidRDefault="003951A7" w:rsidP="003B256F">
      <w:pPr>
        <w:pStyle w:val="SingleTxtG"/>
      </w:pPr>
      <w:r w:rsidRPr="00845AD3">
        <w:t>45.</w:t>
      </w:r>
      <w:r w:rsidRPr="00845AD3">
        <w:tab/>
      </w:r>
      <w:r w:rsidR="00F6015D" w:rsidRPr="00845AD3">
        <w:t>France has several preventive measures in place aimed at discouraging persons from leaving French territory and becoming foreign fighters, including a travel ban applicable for six months and renewable for up to two years.</w:t>
      </w:r>
      <w:r w:rsidR="00F6015D" w:rsidRPr="00845AD3">
        <w:rPr>
          <w:rStyle w:val="ac"/>
        </w:rPr>
        <w:footnoteReference w:id="50"/>
      </w:r>
      <w:r w:rsidR="00F6015D" w:rsidRPr="00845AD3">
        <w:t xml:space="preserve"> The prohibition is subject to </w:t>
      </w:r>
      <w:r w:rsidR="00F6015D" w:rsidRPr="00845AD3">
        <w:rPr>
          <w:iCs/>
        </w:rPr>
        <w:t>a posteriori</w:t>
      </w:r>
      <w:r w:rsidR="00F6015D" w:rsidRPr="00845AD3">
        <w:rPr>
          <w:i/>
          <w:iCs/>
        </w:rPr>
        <w:t xml:space="preserve"> </w:t>
      </w:r>
      <w:r w:rsidR="00F6015D" w:rsidRPr="00845AD3">
        <w:t>and not a priori review and is generally based on intelligence information which is not divulged. In parallel with other observations, the Special Rapporteur notes her concern at the cumulative effect on liberty protections when citizens may be subject to limitations of movement, including travel overseas to countries of family origin or for religious practice, family reunification and other justifiable purposes. Limits on freedom of movement on the basis of public order should be strictly necessary and proportionate, factually motivated and, when cumulatively sustained, subject to stringent and ongoing review.</w:t>
      </w:r>
      <w:r w:rsidR="00F6015D" w:rsidRPr="00845AD3">
        <w:rPr>
          <w:rStyle w:val="ac"/>
        </w:rPr>
        <w:footnoteReference w:id="51"/>
      </w:r>
      <w:r w:rsidR="00F6015D" w:rsidRPr="00845AD3">
        <w:t xml:space="preserve"> The Special Rapporteur singles out the use of cumulative </w:t>
      </w:r>
      <w:proofErr w:type="spellStart"/>
      <w:r w:rsidR="00F6015D" w:rsidRPr="00845AD3">
        <w:t>pretrial</w:t>
      </w:r>
      <w:proofErr w:type="spellEnd"/>
      <w:r w:rsidR="00F6015D" w:rsidRPr="00845AD3">
        <w:t xml:space="preserve"> detention applied sequentially for returnees and emphasizes the need for proportionality and reasonableness in the duration of </w:t>
      </w:r>
      <w:proofErr w:type="spellStart"/>
      <w:r w:rsidR="00F6015D" w:rsidRPr="00845AD3">
        <w:t>pretrial</w:t>
      </w:r>
      <w:proofErr w:type="spellEnd"/>
      <w:r w:rsidR="00F6015D" w:rsidRPr="00845AD3">
        <w:t xml:space="preserve"> detention. </w:t>
      </w:r>
    </w:p>
    <w:p w:rsidR="00F6015D" w:rsidRPr="00845AD3" w:rsidRDefault="003951A7" w:rsidP="003B256F">
      <w:pPr>
        <w:pStyle w:val="SingleTxtG"/>
      </w:pPr>
      <w:r w:rsidRPr="00845AD3">
        <w:t>46.</w:t>
      </w:r>
      <w:r w:rsidRPr="00845AD3">
        <w:tab/>
      </w:r>
      <w:r w:rsidR="00F6015D" w:rsidRPr="00845AD3">
        <w:t>It is estimated that approximately 1,700 French nationals have travelled to join armed groups since June 2011, and 280 have returned.</w:t>
      </w:r>
      <w:r w:rsidR="00F6015D" w:rsidRPr="00845AD3">
        <w:rPr>
          <w:rStyle w:val="ac"/>
        </w:rPr>
        <w:footnoteReference w:id="52"/>
      </w:r>
      <w:r w:rsidR="00F6015D" w:rsidRPr="00845AD3">
        <w:t xml:space="preserve"> The Special Rapporteur has information concerning a sizeable number of fighters, their spouses and offspring who have French nationality being held in detention camps or pending trial in territories overseas. In tandem with international humanitarian organizations, she is deeply disturbed by conditions of detention which may constitute torture or inhuman and degrading treatment breaching international human rights norms. She is further concerned about the fairness of trial, the access to meaningful legal representation and the risk of torture or inhuman and degrading treatment, including sexual violence, while in custody or detention overseas. French nationals also risk being sentenced to death in trials that evidence manifest unfairness. Disturbingly, there is information in the public domain that indicates French nationals are being held under the control of armed non-State actor groups.</w:t>
      </w:r>
      <w:r w:rsidR="00F6015D" w:rsidRPr="00845AD3">
        <w:rPr>
          <w:rStyle w:val="ac"/>
        </w:rPr>
        <w:footnoteReference w:id="53"/>
      </w:r>
      <w:r w:rsidR="00F6015D" w:rsidRPr="00845AD3">
        <w:t xml:space="preserve"> The Special Rapporteur recognizes the difficulties France faces in protecting its nationals, including the lack of consular representation in some areas where French nationals are present</w:t>
      </w:r>
      <w:r w:rsidR="00F6015D" w:rsidRPr="00845AD3">
        <w:rPr>
          <w:rStyle w:val="ac"/>
        </w:rPr>
        <w:footnoteReference w:id="54"/>
      </w:r>
      <w:r w:rsidR="00F6015D" w:rsidRPr="00845AD3">
        <w:t xml:space="preserve"> and the shortage of information on the whereabouts of and conditions faced by nationals in armed conflict zones who frequently find themselves in the power of armed groups operating as de facto authorities.</w:t>
      </w:r>
    </w:p>
    <w:p w:rsidR="00F6015D" w:rsidRPr="00845AD3" w:rsidRDefault="003951A7" w:rsidP="003B256F">
      <w:pPr>
        <w:pStyle w:val="SingleTxtG"/>
      </w:pPr>
      <w:r w:rsidRPr="00845AD3">
        <w:t>47.</w:t>
      </w:r>
      <w:r w:rsidRPr="00845AD3">
        <w:tab/>
      </w:r>
      <w:r w:rsidR="00F6015D" w:rsidRPr="00845AD3">
        <w:t>France has taken the view that such citizens shall generally be managed and processed by the Government or armed groups operating as de facto authorities in the case of the north-eastern part of the Syrian Arab Republic. The Special Rapporteur holds the view that the absence of active engagement with the conditions and status of these French nationals constitutes an abrogation of responsibility to citizens, including minors, being held in extremity, many of whom are owed special obligations due to their age, destitution and vulnerability under international law.</w:t>
      </w:r>
      <w:r w:rsidR="00F6015D" w:rsidRPr="00845AD3">
        <w:rPr>
          <w:rStyle w:val="ac"/>
        </w:rPr>
        <w:footnoteReference w:id="55"/>
      </w:r>
      <w:r w:rsidR="00F6015D" w:rsidRPr="00845AD3">
        <w:t xml:space="preserve"> The Special Rapporteur reminds France of the standards established in the 2018 addendum to the guiding principles on foreign terrorist fighters (Madrid Guiding Principles), which affirms the need to address gender, age and the best interest of the child as well as ensuring respect for human rights in addressing the challenge of foreign fighters. The mandate urges France to proactively address through all possible means the deficiencies of courts adjudicating their nationals which do not observe essential rights to fair trial or the humane treatment of prisoners. France should take all available measures to protect nationals facing the death penalty. France is also in a strong position to assist women and children associated with foreign fighters who may be victims of terrorism or trafficking. She affirms the important role that effective consular assistance plays as a preventive tool when faced with a risk of flagrant violations or abuses of human rights, while also noting the circumscribed remedial nature of diplomatic protection proceedings.</w:t>
      </w:r>
      <w:r w:rsidR="00F6015D" w:rsidRPr="00845AD3">
        <w:rPr>
          <w:rStyle w:val="ac"/>
        </w:rPr>
        <w:footnoteReference w:id="56"/>
      </w:r>
    </w:p>
    <w:p w:rsidR="00F6015D" w:rsidRPr="00845AD3" w:rsidRDefault="003951A7" w:rsidP="003B256F">
      <w:pPr>
        <w:pStyle w:val="SingleTxtG"/>
      </w:pPr>
      <w:r w:rsidRPr="00845AD3">
        <w:t>48.</w:t>
      </w:r>
      <w:r w:rsidRPr="00845AD3">
        <w:tab/>
      </w:r>
      <w:r w:rsidR="00F6015D" w:rsidRPr="00845AD3">
        <w:t>She encourages France to provide appropriate prosecution, rehabilitation and reintegration measures as a matter of urgency. Finally, the Special Rapporteur notes the severe stigma and sustained surveillance experienced by France-based family members of fighters or those accompanying them. Many of them are traumatized, marginalized and deeply compromised by the actions of family members. In many cases, these individuals are allies in the fight against terrorism and are strong advocates against radicalization.</w:t>
      </w:r>
    </w:p>
    <w:p w:rsidR="00F6015D" w:rsidRPr="00876CD1" w:rsidRDefault="00F6015D" w:rsidP="00F6015D">
      <w:pPr>
        <w:pStyle w:val="H23G"/>
        <w:ind w:firstLine="0"/>
        <w:rPr>
          <w:lang w:val="fr-CH"/>
        </w:rPr>
      </w:pPr>
      <w:r w:rsidRPr="00876CD1">
        <w:rPr>
          <w:i/>
          <w:lang w:val="fr-CH"/>
        </w:rPr>
        <w:t>La laïcité</w:t>
      </w:r>
      <w:r w:rsidRPr="00876CD1">
        <w:rPr>
          <w:lang w:val="fr-CH"/>
        </w:rPr>
        <w:t xml:space="preserve">, inclusion, discrimination and </w:t>
      </w:r>
      <w:proofErr w:type="spellStart"/>
      <w:r w:rsidRPr="00876CD1">
        <w:rPr>
          <w:lang w:val="fr-CH"/>
        </w:rPr>
        <w:t>equal</w:t>
      </w:r>
      <w:proofErr w:type="spellEnd"/>
      <w:r w:rsidRPr="00876CD1">
        <w:rPr>
          <w:lang w:val="fr-CH"/>
        </w:rPr>
        <w:t xml:space="preserve"> protection</w:t>
      </w:r>
    </w:p>
    <w:p w:rsidR="00F6015D" w:rsidRPr="00845AD3" w:rsidRDefault="003951A7" w:rsidP="003B256F">
      <w:pPr>
        <w:pStyle w:val="SingleTxtG"/>
      </w:pPr>
      <w:r w:rsidRPr="00845AD3">
        <w:t>49.</w:t>
      </w:r>
      <w:r w:rsidRPr="00845AD3">
        <w:tab/>
      </w:r>
      <w:r w:rsidR="00F6015D" w:rsidRPr="00845AD3">
        <w:rPr>
          <w:i/>
        </w:rPr>
        <w:t xml:space="preserve">La </w:t>
      </w:r>
      <w:proofErr w:type="spellStart"/>
      <w:r w:rsidR="00F6015D" w:rsidRPr="00845AD3">
        <w:rPr>
          <w:i/>
        </w:rPr>
        <w:t>laïcité</w:t>
      </w:r>
      <w:proofErr w:type="spellEnd"/>
      <w:r w:rsidR="00F6015D" w:rsidRPr="00845AD3">
        <w:t xml:space="preserve"> is an essential value in France. There exists a constitutional prohibition on discrimination. Discrimination is also legislatively prohibited on multiple grounds, including ethnic origin and religious belief. One complex challenge in assessing the effects of counter-terrorism laws on specific communities, including racial profiling and disparate effect, is the constraint on gathering national data concerning minorities or specified faith groups. Despite the formal barriers to data disaggregation, based on independent reports, the views of policy bodies and multiple interviews, the Special Rapporteur considers that the French Arab and/or Muslim communities have been primarily subject to exceptional measures both during the state of emergency and presently from the SILT law, in tandem with other counter-terrorism measures.</w:t>
      </w:r>
      <w:r w:rsidR="00F6015D" w:rsidRPr="00845AD3">
        <w:rPr>
          <w:rStyle w:val="ac"/>
        </w:rPr>
        <w:footnoteReference w:id="57"/>
      </w:r>
      <w:r w:rsidR="00F6015D" w:rsidRPr="00845AD3">
        <w:t xml:space="preserve"> The Special Rapporteur is deeply concerned that these minority communities are being constructed in political discourse and legal practice as a per se </w:t>
      </w:r>
      <w:r w:rsidR="00B57B03" w:rsidRPr="00845AD3">
        <w:t>“</w:t>
      </w:r>
      <w:r w:rsidR="00F6015D" w:rsidRPr="00845AD3">
        <w:t>suspect group</w:t>
      </w:r>
      <w:r w:rsidR="00B57B03" w:rsidRPr="00845AD3">
        <w:t>”</w:t>
      </w:r>
      <w:r w:rsidR="00F6015D" w:rsidRPr="00845AD3">
        <w:t xml:space="preserve"> through the sustained application of counter-terrorism law. She is further troubled by the danger that the genuine and protected right of persons to freely practise their culture and religion is being constrained by counter-terrorism law and practice.</w:t>
      </w:r>
      <w:r w:rsidR="00F6015D" w:rsidRPr="00845AD3">
        <w:rPr>
          <w:rStyle w:val="ac"/>
        </w:rPr>
        <w:footnoteReference w:id="58"/>
      </w:r>
      <w:r w:rsidR="00F6015D" w:rsidRPr="00845AD3">
        <w:t xml:space="preserve"> The Special Rapporteur is concerned at the increase of anti-Muslim incidents reported in France following terrorist attacks. France experienced 133 anti-Muslim incidents in 2014, 429 in 2015 and 182 in 2016.</w:t>
      </w:r>
      <w:r w:rsidR="00F6015D" w:rsidRPr="00845AD3">
        <w:rPr>
          <w:rStyle w:val="ac"/>
        </w:rPr>
        <w:footnoteReference w:id="59"/>
      </w:r>
    </w:p>
    <w:p w:rsidR="00F6015D" w:rsidRPr="00845AD3" w:rsidRDefault="003951A7" w:rsidP="003B256F">
      <w:pPr>
        <w:pStyle w:val="SingleTxtG"/>
      </w:pPr>
      <w:r w:rsidRPr="00845AD3">
        <w:t>50.</w:t>
      </w:r>
      <w:r w:rsidRPr="00845AD3">
        <w:tab/>
      </w:r>
      <w:r w:rsidR="00F6015D" w:rsidRPr="00845AD3">
        <w:t>The Special Rapporteur is deeply conscious that the sometimes conflation of Islam with terrorism in Government anti-radicalization policy and in the implementation of administrative measures unduly singles out this community,</w:t>
      </w:r>
      <w:r w:rsidR="00F6015D" w:rsidRPr="00845AD3">
        <w:rPr>
          <w:rStyle w:val="ac"/>
        </w:rPr>
        <w:footnoteReference w:id="60"/>
      </w:r>
      <w:r w:rsidR="00F6015D" w:rsidRPr="00845AD3">
        <w:t xml:space="preserve"> alienates it from the State, and creates a form of political and social disenfranchisement that is inconsistent with the State</w:t>
      </w:r>
      <w:r w:rsidR="00B57B03" w:rsidRPr="00845AD3">
        <w:t>’</w:t>
      </w:r>
      <w:r w:rsidR="00F6015D" w:rsidRPr="00845AD3">
        <w:t>s own constitution and laws, let alone obligations under international human rights law. France must work in genuine partnership with all affected communities and take specific steps to prevent this conflation, including by applying best practice on independent oversight, community consultation, prevention and remedy when violations of human rights are established through legal and administrative action.</w:t>
      </w:r>
    </w:p>
    <w:p w:rsidR="00F6015D" w:rsidRPr="00845AD3" w:rsidRDefault="008C4858" w:rsidP="008C4858">
      <w:pPr>
        <w:pStyle w:val="HChG"/>
      </w:pPr>
      <w:r w:rsidRPr="00845AD3">
        <w:tab/>
      </w:r>
      <w:r w:rsidR="003951A7" w:rsidRPr="00845AD3">
        <w:t>IV.</w:t>
      </w:r>
      <w:r w:rsidR="003951A7" w:rsidRPr="00845AD3">
        <w:tab/>
      </w:r>
      <w:r w:rsidR="00F6015D" w:rsidRPr="00845AD3">
        <w:t>Conclusions and recommendations</w:t>
      </w:r>
    </w:p>
    <w:p w:rsidR="00F6015D" w:rsidRPr="00845AD3" w:rsidRDefault="003951A7" w:rsidP="007F0F5D">
      <w:pPr>
        <w:pStyle w:val="SingleTxtG"/>
        <w:rPr>
          <w:b/>
          <w:bCs/>
        </w:rPr>
      </w:pPr>
      <w:r w:rsidRPr="00845AD3">
        <w:t>51.</w:t>
      </w:r>
      <w:r w:rsidRPr="00845AD3">
        <w:tab/>
      </w:r>
      <w:r w:rsidR="00F6015D" w:rsidRPr="00845AD3">
        <w:rPr>
          <w:b/>
          <w:bCs/>
        </w:rPr>
        <w:t>The Special Rapporteur underlines that counter-terrorism action undertaken by the Government of France must be rooted in, and comply with, international law, including human rights, humanitarian and refugee law, and must address not only manifestations of terrorism but conditions conducive to its spread. Effective counter-terrorism measures and the protection of human rights are not conflicting goals, but complementary and mutually reinforcing.</w:t>
      </w:r>
    </w:p>
    <w:p w:rsidR="00F6015D" w:rsidRPr="00845AD3" w:rsidRDefault="003951A7" w:rsidP="003B256F">
      <w:pPr>
        <w:pStyle w:val="SingleTxtG"/>
        <w:rPr>
          <w:b/>
          <w:bCs/>
        </w:rPr>
      </w:pPr>
      <w:r w:rsidRPr="00845AD3">
        <w:t>52.</w:t>
      </w:r>
      <w:r w:rsidRPr="00845AD3">
        <w:rPr>
          <w:b/>
          <w:bCs/>
        </w:rPr>
        <w:tab/>
      </w:r>
      <w:r w:rsidR="00F6015D" w:rsidRPr="00845AD3">
        <w:rPr>
          <w:b/>
          <w:bCs/>
        </w:rPr>
        <w:t xml:space="preserve">The Special Rapporteur recommends that a fully independent, adequately resourced expert oversight body be created to oversee the totality of counter-terrorism and exceptional national security powers operational in France. </w:t>
      </w:r>
      <w:r w:rsidR="00F6015D" w:rsidRPr="00845AD3">
        <w:rPr>
          <w:b/>
          <w:bCs/>
          <w:color w:val="000000" w:themeColor="text1"/>
        </w:rPr>
        <w:t>This body would</w:t>
      </w:r>
      <w:r w:rsidR="00F6015D" w:rsidRPr="00845AD3">
        <w:rPr>
          <w:b/>
          <w:bCs/>
        </w:rPr>
        <w:t xml:space="preserve"> undertake independent review of the overall operation of all counter-terrorism and national security powers, laws and policies in the country. Such oversight should also be tasked to ensure that laws and policies are compatible with international human rights and, as applicable, international humanitarian law. </w:t>
      </w:r>
    </w:p>
    <w:p w:rsidR="00F6015D" w:rsidRPr="00845AD3" w:rsidRDefault="003951A7" w:rsidP="003B256F">
      <w:pPr>
        <w:pStyle w:val="SingleTxtG"/>
        <w:rPr>
          <w:b/>
          <w:bCs/>
        </w:rPr>
      </w:pPr>
      <w:r w:rsidRPr="00845AD3">
        <w:t>53.</w:t>
      </w:r>
      <w:r w:rsidRPr="00845AD3">
        <w:rPr>
          <w:b/>
          <w:bCs/>
        </w:rPr>
        <w:tab/>
      </w:r>
      <w:r w:rsidR="00F6015D" w:rsidRPr="00845AD3">
        <w:rPr>
          <w:b/>
          <w:bCs/>
        </w:rPr>
        <w:t>Given the mandate</w:t>
      </w:r>
      <w:r w:rsidR="00B57B03" w:rsidRPr="00845AD3">
        <w:rPr>
          <w:b/>
          <w:bCs/>
        </w:rPr>
        <w:t>’</w:t>
      </w:r>
      <w:r w:rsidR="00F6015D" w:rsidRPr="00845AD3">
        <w:rPr>
          <w:b/>
          <w:bCs/>
        </w:rPr>
        <w:t xml:space="preserve">s finding that the composite effect of counter-terrorism measures in France constitutes a </w:t>
      </w:r>
      <w:r w:rsidR="00F6015D" w:rsidRPr="00845AD3">
        <w:rPr>
          <w:b/>
          <w:bCs/>
          <w:iCs/>
        </w:rPr>
        <w:t>de facto</w:t>
      </w:r>
      <w:r w:rsidR="00F6015D" w:rsidRPr="00845AD3">
        <w:rPr>
          <w:b/>
          <w:bCs/>
        </w:rPr>
        <w:t xml:space="preserve"> state of qualified emergency, the Special Rapporteur urges root and branch review of the necessity, proportionality and discriminatory effects of such laws. France is, in the first instance, encouraged to use its existing review processes to rebalance its use of exceptional legal norms; to deepen its use of ordinary law, whose strength and fortitude have been proven; and to harness remedies for human rights breaches occasioned by the use </w:t>
      </w:r>
      <w:r w:rsidR="00E62497">
        <w:rPr>
          <w:b/>
          <w:bCs/>
        </w:rPr>
        <w:t xml:space="preserve">of </w:t>
      </w:r>
      <w:r w:rsidR="00F6015D" w:rsidRPr="00845AD3">
        <w:rPr>
          <w:b/>
          <w:bCs/>
        </w:rPr>
        <w:t xml:space="preserve">counter-terrorism powers. </w:t>
      </w:r>
    </w:p>
    <w:p w:rsidR="00F6015D" w:rsidRPr="00845AD3" w:rsidRDefault="003951A7" w:rsidP="003B256F">
      <w:pPr>
        <w:pStyle w:val="SingleTxtG"/>
        <w:rPr>
          <w:b/>
          <w:bCs/>
        </w:rPr>
      </w:pPr>
      <w:r w:rsidRPr="00845AD3">
        <w:t>54.</w:t>
      </w:r>
      <w:r w:rsidRPr="00845AD3">
        <w:rPr>
          <w:b/>
          <w:bCs/>
        </w:rPr>
        <w:tab/>
      </w:r>
      <w:r w:rsidR="00F6015D" w:rsidRPr="00845AD3">
        <w:rPr>
          <w:b/>
          <w:bCs/>
        </w:rPr>
        <w:t>The Special Rapporteur affirms the value of parliamentary oversight. The current role of parliamentary review is limited, and is primarily focused on institutional effectiveness and coordination. It would be useful to augment it to encompass a range of counter-terrorism oversight matters, including assessing and monitoring the effects of new counter-terrorism powers; human rights oversight of the deployment of military personnel in counter-terrorism actions overseas; citizenship stripping for dual nationals or revocation of residence rights related to national security; increased concerns about unlawful profiling where counter-terrorism laws and policies may stigmatize persons of the Muslim faith; and stop and search practices by the police in counter-terrorism contexts that create concerns about racial or ethnic profiling.</w:t>
      </w:r>
    </w:p>
    <w:p w:rsidR="00F6015D" w:rsidRPr="00845AD3" w:rsidRDefault="003951A7" w:rsidP="003B256F">
      <w:pPr>
        <w:pStyle w:val="SingleTxtG"/>
        <w:rPr>
          <w:b/>
          <w:bCs/>
        </w:rPr>
      </w:pPr>
      <w:r w:rsidRPr="00845AD3">
        <w:t>55.</w:t>
      </w:r>
      <w:r w:rsidRPr="00845AD3">
        <w:rPr>
          <w:b/>
          <w:bCs/>
        </w:rPr>
        <w:tab/>
      </w:r>
      <w:r w:rsidR="00F6015D" w:rsidRPr="00845AD3">
        <w:rPr>
          <w:b/>
          <w:bCs/>
        </w:rPr>
        <w:t>The Special Rapporteur encourages the Government to make broadly available and easily accessible national data pertaining to the application, use and consequences of counter-terrorism measures. Such data would include measurement of effects on particular communities and groups. Such accessibility fundamentally enables a much-needed public awareness, and debate, so as to assess the necessity, legitimacy and effectiveness of certain exceptional measures. Accessing such data is essential for civil society and legal process to measure the disparate impact, if any, on certain communities, and it enables the essential work of tracking patterns of use as well as the effectiveness of such measures.</w:t>
      </w:r>
    </w:p>
    <w:p w:rsidR="00F6015D" w:rsidRPr="00845AD3" w:rsidRDefault="003951A7" w:rsidP="003B256F">
      <w:pPr>
        <w:pStyle w:val="SingleTxtG"/>
        <w:rPr>
          <w:b/>
          <w:bCs/>
        </w:rPr>
      </w:pPr>
      <w:r w:rsidRPr="00845AD3">
        <w:t>56.</w:t>
      </w:r>
      <w:r w:rsidRPr="00845AD3">
        <w:rPr>
          <w:b/>
          <w:bCs/>
        </w:rPr>
        <w:tab/>
      </w:r>
      <w:r w:rsidR="00F6015D" w:rsidRPr="00845AD3">
        <w:rPr>
          <w:b/>
          <w:bCs/>
        </w:rPr>
        <w:t>The Special Rapporteur urges the Government to deploy its considerable resources to effect community-involved, bottom-up, transparent and evidence-based prevention strategies to counter the conditions conducive to terrorism, and engage communities and civil society fully in prevention efforts.</w:t>
      </w:r>
    </w:p>
    <w:p w:rsidR="00F6015D" w:rsidRPr="00845AD3" w:rsidRDefault="003951A7" w:rsidP="003B256F">
      <w:pPr>
        <w:pStyle w:val="SingleTxtG"/>
        <w:rPr>
          <w:b/>
          <w:bCs/>
        </w:rPr>
      </w:pPr>
      <w:r w:rsidRPr="00845AD3">
        <w:t>57.</w:t>
      </w:r>
      <w:r w:rsidRPr="00845AD3">
        <w:rPr>
          <w:b/>
          <w:bCs/>
        </w:rPr>
        <w:tab/>
      </w:r>
      <w:r w:rsidR="00F6015D" w:rsidRPr="00845AD3">
        <w:rPr>
          <w:b/>
          <w:bCs/>
        </w:rPr>
        <w:t>The Special Rapporteur stresses that proactive measures must be taken to combat the negative, stereotyped and stigmatizing effects of counter-terrorism and extremism-prevention strategies on the Muslim community in France. France</w:t>
      </w:r>
      <w:r w:rsidR="00B57B03" w:rsidRPr="00845AD3">
        <w:rPr>
          <w:b/>
          <w:bCs/>
        </w:rPr>
        <w:t>’</w:t>
      </w:r>
      <w:r w:rsidR="00F6015D" w:rsidRPr="00845AD3">
        <w:rPr>
          <w:b/>
          <w:bCs/>
        </w:rPr>
        <w:t>s greatest asset in the long-term prevention of terrorism lies in inclusive citizenship and a shared belief by all citizens of their full equality before the law.</w:t>
      </w:r>
    </w:p>
    <w:p w:rsidR="00F6015D" w:rsidRPr="00845AD3" w:rsidRDefault="003951A7" w:rsidP="003B256F">
      <w:pPr>
        <w:pStyle w:val="SingleTxtG"/>
        <w:rPr>
          <w:b/>
          <w:bCs/>
        </w:rPr>
      </w:pPr>
      <w:r w:rsidRPr="00845AD3">
        <w:t>58.</w:t>
      </w:r>
      <w:r w:rsidRPr="00845AD3">
        <w:rPr>
          <w:b/>
          <w:bCs/>
        </w:rPr>
        <w:tab/>
      </w:r>
      <w:r w:rsidR="00F6015D" w:rsidRPr="00845AD3">
        <w:rPr>
          <w:b/>
          <w:bCs/>
        </w:rPr>
        <w:t xml:space="preserve">The Special Rapporteur recommends that fully independent and comprehensive oversight of the work of intelligence entities be implemented. Such oversight should have the resources and technical capacity to enable adequate oversight, taking account of technological developments. </w:t>
      </w:r>
    </w:p>
    <w:p w:rsidR="00F6015D" w:rsidRPr="00845AD3" w:rsidRDefault="003951A7" w:rsidP="003B256F">
      <w:pPr>
        <w:pStyle w:val="SingleTxtG"/>
        <w:rPr>
          <w:b/>
          <w:bCs/>
        </w:rPr>
      </w:pPr>
      <w:r w:rsidRPr="00E62497">
        <w:t>59.</w:t>
      </w:r>
      <w:r w:rsidRPr="00845AD3">
        <w:rPr>
          <w:b/>
          <w:bCs/>
        </w:rPr>
        <w:tab/>
      </w:r>
      <w:r w:rsidR="00F6015D" w:rsidRPr="00845AD3">
        <w:rPr>
          <w:b/>
          <w:bCs/>
        </w:rPr>
        <w:t>The Special Rapporteur urges the Government to proactively protect religious freedom, including the freedoms of distinct religious communities and minority groups. This requires protection of both individual and collective rights to religious worship and places of worship.</w:t>
      </w:r>
    </w:p>
    <w:p w:rsidR="00F6015D" w:rsidRPr="00845AD3" w:rsidRDefault="003951A7" w:rsidP="003B256F">
      <w:pPr>
        <w:pStyle w:val="SingleTxtG"/>
        <w:rPr>
          <w:b/>
          <w:bCs/>
        </w:rPr>
      </w:pPr>
      <w:r w:rsidRPr="00845AD3">
        <w:t>60.</w:t>
      </w:r>
      <w:r w:rsidRPr="00845AD3">
        <w:rPr>
          <w:b/>
          <w:bCs/>
        </w:rPr>
        <w:tab/>
      </w:r>
      <w:r w:rsidR="00F6015D" w:rsidRPr="00845AD3">
        <w:rPr>
          <w:b/>
          <w:bCs/>
        </w:rPr>
        <w:t>The Special Rapporteur is acutely conscious that the composite effect of administrative counter-terrorism measures in France is to significantly shift the regulation of persons</w:t>
      </w:r>
      <w:r w:rsidR="00B57B03" w:rsidRPr="00845AD3">
        <w:rPr>
          <w:b/>
          <w:bCs/>
        </w:rPr>
        <w:t>’</w:t>
      </w:r>
      <w:r w:rsidR="00F6015D" w:rsidRPr="00845AD3">
        <w:rPr>
          <w:b/>
          <w:bCs/>
        </w:rPr>
        <w:t xml:space="preserve"> liberties to the pre-criminal or precautionary space. This represents a potentially serious challenge to the overall balance of security and rights. She urges that the judicial branch play a full </w:t>
      </w:r>
      <w:r w:rsidR="00F6015D" w:rsidRPr="00845AD3">
        <w:rPr>
          <w:b/>
          <w:bCs/>
          <w:iCs/>
        </w:rPr>
        <w:t>a priori</w:t>
      </w:r>
      <w:r w:rsidR="00F6015D" w:rsidRPr="00845AD3">
        <w:rPr>
          <w:b/>
          <w:bCs/>
        </w:rPr>
        <w:t xml:space="preserve"> role, and that oversight to determine the necessity, proportionality and legality of such measures be constantly reviewed and entrenched.</w:t>
      </w:r>
    </w:p>
    <w:p w:rsidR="00F6015D" w:rsidRPr="00845AD3" w:rsidRDefault="003951A7" w:rsidP="003B256F">
      <w:pPr>
        <w:pStyle w:val="SingleTxtG"/>
        <w:rPr>
          <w:b/>
          <w:bCs/>
        </w:rPr>
      </w:pPr>
      <w:r w:rsidRPr="00845AD3">
        <w:t>61.</w:t>
      </w:r>
      <w:r w:rsidRPr="00845AD3">
        <w:rPr>
          <w:b/>
          <w:bCs/>
        </w:rPr>
        <w:tab/>
      </w:r>
      <w:r w:rsidR="00F6015D" w:rsidRPr="00845AD3">
        <w:rPr>
          <w:b/>
          <w:bCs/>
        </w:rPr>
        <w:t>The Government is strongly encouraged to activate positive legal and diplomatic protection for French citizens in conflict zones overseas, particularly children. This includes taking positive steps to support nationality determination and interventions where French nationals face serious human rights violations in detention, including but not limited to torture, extrajudicial execution, sexual violence and the imposition of the death penalty. Meaningful action towards rehabilitating and reintegrating returning foreign fighters and, if applicable, family members is consistent with the spirit of international solidarity and cooperation as required by Security Council resolutions 2178 (2014) and 2396 (2017) and is in the long-term interest of international peace and security.</w:t>
      </w:r>
    </w:p>
    <w:p w:rsidR="00F6015D" w:rsidRPr="00845AD3" w:rsidRDefault="003951A7" w:rsidP="003B256F">
      <w:pPr>
        <w:pStyle w:val="SingleTxtG"/>
        <w:rPr>
          <w:b/>
          <w:bCs/>
        </w:rPr>
      </w:pPr>
      <w:r w:rsidRPr="00845AD3">
        <w:t>62.</w:t>
      </w:r>
      <w:r w:rsidRPr="00845AD3">
        <w:rPr>
          <w:b/>
          <w:bCs/>
        </w:rPr>
        <w:tab/>
      </w:r>
      <w:r w:rsidR="00F6015D" w:rsidRPr="00845AD3">
        <w:rPr>
          <w:b/>
          <w:bCs/>
          <w:color w:val="000000"/>
          <w:shd w:val="clear" w:color="auto" w:fill="FFFFFF"/>
        </w:rPr>
        <w:t xml:space="preserve">The Special Rapporteur urges the Government to prioritize the </w:t>
      </w:r>
      <w:r w:rsidR="00F6015D" w:rsidRPr="00845AD3">
        <w:rPr>
          <w:b/>
          <w:bCs/>
        </w:rPr>
        <w:t>modalities of repatriating children as a matter of priority, including the applicable procedure for the determination of citizenship and adequate rehabilitation and reintegration programmes.</w:t>
      </w:r>
    </w:p>
    <w:p w:rsidR="007268F9" w:rsidRPr="00845AD3" w:rsidRDefault="003B256F" w:rsidP="003B256F">
      <w:pPr>
        <w:pStyle w:val="SingleTxtG"/>
        <w:jc w:val="center"/>
      </w:pPr>
      <w:r w:rsidRPr="00845AD3">
        <w:rPr>
          <w:u w:val="single"/>
        </w:rPr>
        <w:tab/>
      </w:r>
      <w:r w:rsidRPr="00845AD3">
        <w:rPr>
          <w:u w:val="single"/>
        </w:rPr>
        <w:tab/>
      </w:r>
      <w:r w:rsidRPr="00845AD3">
        <w:rPr>
          <w:u w:val="single"/>
        </w:rPr>
        <w:tab/>
      </w:r>
    </w:p>
    <w:sectPr w:rsidR="007268F9" w:rsidRPr="00845AD3"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7D7" w:rsidRPr="00C47B2E" w:rsidRDefault="006C67D7" w:rsidP="00C47B2E">
      <w:pPr>
        <w:pStyle w:val="a5"/>
      </w:pPr>
    </w:p>
  </w:endnote>
  <w:endnote w:type="continuationSeparator" w:id="0">
    <w:p w:rsidR="006C67D7" w:rsidRPr="00C47B2E" w:rsidRDefault="006C67D7" w:rsidP="00C47B2E">
      <w:pPr>
        <w:pStyle w:val="a5"/>
      </w:pPr>
    </w:p>
  </w:endnote>
  <w:endnote w:type="continuationNotice" w:id="1">
    <w:p w:rsidR="006C67D7" w:rsidRPr="00C47B2E" w:rsidRDefault="006C67D7"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5D" w:rsidRDefault="00F6015D" w:rsidP="00653B98">
    <w:pPr>
      <w:pStyle w:val="a5"/>
      <w:tabs>
        <w:tab w:val="right" w:pos="9638"/>
      </w:tabs>
    </w:pPr>
    <w:r w:rsidRPr="00653B98">
      <w:rPr>
        <w:b/>
        <w:bCs/>
        <w:sz w:val="18"/>
      </w:rPr>
      <w:fldChar w:fldCharType="begin"/>
    </w:r>
    <w:r w:rsidRPr="00653B98">
      <w:rPr>
        <w:b/>
        <w:bCs/>
        <w:sz w:val="18"/>
      </w:rPr>
      <w:instrText xml:space="preserve"> PAGE  \* MERGEFORMAT </w:instrText>
    </w:r>
    <w:r w:rsidRPr="00653B98">
      <w:rPr>
        <w:b/>
        <w:bCs/>
        <w:sz w:val="18"/>
      </w:rPr>
      <w:fldChar w:fldCharType="separate"/>
    </w:r>
    <w:r w:rsidR="00354652">
      <w:rPr>
        <w:b/>
        <w:bCs/>
        <w:noProof/>
        <w:sz w:val="18"/>
      </w:rPr>
      <w:t>4</w:t>
    </w:r>
    <w:r w:rsidRPr="00653B98">
      <w:rPr>
        <w:b/>
        <w:bCs/>
        <w:sz w:val="18"/>
      </w:rPr>
      <w:fldChar w:fldCharType="end"/>
    </w:r>
    <w:r>
      <w:tab/>
    </w:r>
    <w:proofErr w:type="spellStart"/>
    <w:r w:rsidR="000B1C5B" w:rsidRPr="000B1C5B">
      <w:rPr>
        <w:rFonts w:eastAsia="宋体"/>
        <w:snapToGrid w:val="0"/>
        <w:lang w:val="en-US" w:eastAsia="zh-CN"/>
      </w:rPr>
      <w:t>GE.19</w:t>
    </w:r>
    <w:proofErr w:type="spellEnd"/>
    <w:r w:rsidR="000B1C5B" w:rsidRPr="000B1C5B">
      <w:rPr>
        <w:rFonts w:eastAsia="宋体"/>
        <w:snapToGrid w:val="0"/>
        <w:lang w:val="en-US" w:eastAsia="zh-CN"/>
      </w:rPr>
      <w:t>-07571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5D" w:rsidRDefault="000B1C5B" w:rsidP="00653B98">
    <w:pPr>
      <w:pStyle w:val="a5"/>
      <w:tabs>
        <w:tab w:val="right" w:pos="9638"/>
      </w:tabs>
    </w:pPr>
    <w:r w:rsidRPr="00A57184">
      <w:rPr>
        <w:rStyle w:val="ad"/>
        <w:b w:val="0"/>
        <w:snapToGrid w:val="0"/>
        <w:sz w:val="16"/>
      </w:rPr>
      <w:t>GE.19-07571</w:t>
    </w:r>
    <w:r w:rsidR="00F6015D">
      <w:tab/>
    </w:r>
    <w:r w:rsidR="00F6015D" w:rsidRPr="00653B98">
      <w:rPr>
        <w:b/>
        <w:bCs/>
        <w:sz w:val="18"/>
      </w:rPr>
      <w:fldChar w:fldCharType="begin"/>
    </w:r>
    <w:r w:rsidR="00F6015D" w:rsidRPr="00653B98">
      <w:rPr>
        <w:b/>
        <w:bCs/>
        <w:sz w:val="18"/>
      </w:rPr>
      <w:instrText xml:space="preserve"> PAGE  \* MERGEFORMAT </w:instrText>
    </w:r>
    <w:r w:rsidR="00F6015D" w:rsidRPr="00653B98">
      <w:rPr>
        <w:b/>
        <w:bCs/>
        <w:sz w:val="18"/>
      </w:rPr>
      <w:fldChar w:fldCharType="separate"/>
    </w:r>
    <w:r w:rsidR="00354652">
      <w:rPr>
        <w:b/>
        <w:bCs/>
        <w:noProof/>
        <w:sz w:val="18"/>
      </w:rPr>
      <w:t>3</w:t>
    </w:r>
    <w:r w:rsidR="00F6015D" w:rsidRPr="00653B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C5B" w:rsidRPr="008B4347" w:rsidRDefault="000B1C5B" w:rsidP="004F7841">
    <w:pPr>
      <w:pStyle w:val="a5"/>
      <w:tabs>
        <w:tab w:val="left" w:pos="1701"/>
        <w:tab w:val="left" w:pos="2552"/>
        <w:tab w:val="left" w:pos="8448"/>
      </w:tabs>
      <w:spacing w:before="360"/>
      <w:rPr>
        <w:rFonts w:eastAsiaTheme="minorEastAsia"/>
        <w:b/>
        <w:sz w:val="21"/>
        <w:lang w:eastAsia="zh-CN"/>
      </w:rPr>
    </w:pPr>
    <w:r>
      <w:rPr>
        <w:sz w:val="20"/>
        <w:lang w:eastAsia="zh-CN"/>
      </w:rPr>
      <w:t>GE.19-07571</w:t>
    </w:r>
    <w:r w:rsidRPr="00EE277A">
      <w:rPr>
        <w:sz w:val="20"/>
        <w:lang w:eastAsia="zh-CN"/>
      </w:rPr>
      <w:t xml:space="preserve"> (C)</w:t>
    </w:r>
    <w:r>
      <w:rPr>
        <w:sz w:val="20"/>
        <w:lang w:eastAsia="zh-CN"/>
      </w:rPr>
      <w:tab/>
      <w:t>090519</w:t>
    </w:r>
    <w:r>
      <w:rPr>
        <w:sz w:val="20"/>
        <w:lang w:eastAsia="zh-CN"/>
      </w:rPr>
      <w:tab/>
    </w:r>
    <w:r w:rsidR="004F7841">
      <w:rPr>
        <w:sz w:val="20"/>
        <w:lang w:eastAsia="zh-CN"/>
      </w:rPr>
      <w:t>17</w:t>
    </w:r>
    <w:r>
      <w:rPr>
        <w:sz w:val="20"/>
        <w:lang w:eastAsia="zh-CN"/>
      </w:rPr>
      <w:t>0619</w:t>
    </w:r>
  </w:p>
  <w:p w:rsidR="003941B0" w:rsidRPr="000B1C5B" w:rsidRDefault="000B1C5B" w:rsidP="000B1C5B">
    <w:pPr>
      <w:pStyle w:val="a5"/>
      <w:tabs>
        <w:tab w:val="right" w:pos="8450"/>
      </w:tabs>
      <w:rPr>
        <w:rFonts w:eastAsiaTheme="minorEastAsia"/>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eastAsia="zh-CN"/>
      </w:rPr>
      <w:drawing>
        <wp:anchor distT="0" distB="0" distL="114300" distR="114300" simplePos="0" relativeHeight="251658240" behindDoc="0" locked="0" layoutInCell="1" allowOverlap="1" wp14:anchorId="658266DA" wp14:editId="56B0B520">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0/52/Add.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2/Add.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54217719" wp14:editId="22E2D83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7D7" w:rsidRPr="00C47B2E" w:rsidRDefault="006C67D7" w:rsidP="00C47B2E">
      <w:pPr>
        <w:tabs>
          <w:tab w:val="right" w:pos="2155"/>
        </w:tabs>
        <w:spacing w:after="80" w:line="240" w:lineRule="auto"/>
        <w:ind w:left="680"/>
      </w:pPr>
      <w:r>
        <w:rPr>
          <w:u w:val="single"/>
        </w:rPr>
        <w:tab/>
      </w:r>
    </w:p>
  </w:footnote>
  <w:footnote w:type="continuationSeparator" w:id="0">
    <w:p w:rsidR="006C67D7" w:rsidRPr="00C47B2E" w:rsidRDefault="006C67D7" w:rsidP="005E716E">
      <w:pPr>
        <w:tabs>
          <w:tab w:val="right" w:pos="2155"/>
        </w:tabs>
        <w:spacing w:after="80" w:line="240" w:lineRule="auto"/>
        <w:ind w:left="680"/>
      </w:pPr>
      <w:r>
        <w:rPr>
          <w:u w:val="single"/>
        </w:rPr>
        <w:tab/>
      </w:r>
    </w:p>
  </w:footnote>
  <w:footnote w:type="continuationNotice" w:id="1">
    <w:p w:rsidR="006C67D7" w:rsidRPr="00C47B2E" w:rsidRDefault="006C67D7" w:rsidP="00C47B2E">
      <w:pPr>
        <w:pStyle w:val="a5"/>
      </w:pPr>
    </w:p>
  </w:footnote>
  <w:footnote w:id="2">
    <w:p w:rsidR="000B1C5B" w:rsidRPr="00586B8D" w:rsidRDefault="000B1C5B" w:rsidP="000B1C5B">
      <w:pPr>
        <w:pStyle w:val="a8"/>
        <w:keepLines/>
        <w:tabs>
          <w:tab w:val="clear" w:pos="1021"/>
          <w:tab w:val="right" w:pos="1020"/>
        </w:tabs>
        <w:suppressAutoHyphens w:val="0"/>
        <w:kinsoku/>
        <w:autoSpaceDE/>
        <w:autoSpaceDN/>
        <w:spacing w:after="120" w:line="240" w:lineRule="exact"/>
        <w:jc w:val="both"/>
        <w:rPr>
          <w:lang w:eastAsia="zh-CN"/>
        </w:rPr>
      </w:pPr>
      <w:r w:rsidRPr="00586B8D">
        <w:rPr>
          <w:rStyle w:val="ac"/>
          <w:vertAlign w:val="baseline"/>
          <w:lang w:eastAsia="zh-CN"/>
        </w:rPr>
        <w:tab/>
      </w:r>
      <w:r w:rsidRPr="000B1C5B">
        <w:rPr>
          <w:rStyle w:val="ac"/>
          <w:rFonts w:eastAsia="宋体"/>
          <w:snapToGrid w:val="0"/>
          <w:color w:val="0000FF"/>
          <w:sz w:val="21"/>
          <w:vertAlign w:val="baseline"/>
          <w:lang w:val="en-US" w:eastAsia="zh-CN"/>
        </w:rPr>
        <w:t>*</w:t>
      </w:r>
      <w:r w:rsidRPr="000B1C5B">
        <w:rPr>
          <w:rStyle w:val="ac"/>
          <w:rFonts w:eastAsia="宋体"/>
          <w:snapToGrid w:val="0"/>
          <w:color w:val="0000FF"/>
          <w:sz w:val="21"/>
          <w:vertAlign w:val="baseline"/>
          <w:lang w:val="en-US" w:eastAsia="zh-CN"/>
        </w:rPr>
        <w:tab/>
      </w:r>
      <w:r w:rsidRPr="00586B8D">
        <w:rPr>
          <w:rFonts w:hint="eastAsia"/>
          <w:lang w:eastAsia="zh-CN"/>
        </w:rPr>
        <w:t>本报告逾期提交，以反映最新情况。</w:t>
      </w:r>
    </w:p>
  </w:footnote>
  <w:footnote w:id="3">
    <w:p w:rsidR="000B1C5B" w:rsidRPr="00586B8D" w:rsidRDefault="000B1C5B" w:rsidP="000B1C5B">
      <w:pPr>
        <w:pStyle w:val="a8"/>
        <w:keepLines/>
        <w:tabs>
          <w:tab w:val="clear" w:pos="1021"/>
          <w:tab w:val="right" w:pos="1020"/>
        </w:tabs>
        <w:suppressAutoHyphens w:val="0"/>
        <w:kinsoku/>
        <w:autoSpaceDE/>
        <w:autoSpaceDN/>
        <w:spacing w:after="120" w:line="240" w:lineRule="exact"/>
        <w:jc w:val="both"/>
        <w:rPr>
          <w:lang w:eastAsia="zh-CN"/>
        </w:rPr>
      </w:pPr>
      <w:r w:rsidRPr="000B1C5B">
        <w:rPr>
          <w:rStyle w:val="ac"/>
          <w:rFonts w:eastAsia="宋体"/>
          <w:snapToGrid w:val="0"/>
          <w:color w:val="0000FF"/>
          <w:sz w:val="21"/>
          <w:vertAlign w:val="baseline"/>
          <w:lang w:val="en-US" w:eastAsia="zh-CN"/>
        </w:rPr>
        <w:tab/>
        <w:t>**</w:t>
      </w:r>
      <w:r w:rsidRPr="000B1C5B">
        <w:rPr>
          <w:rStyle w:val="ac"/>
          <w:rFonts w:eastAsia="宋体"/>
          <w:snapToGrid w:val="0"/>
          <w:color w:val="0000FF"/>
          <w:sz w:val="21"/>
          <w:vertAlign w:val="baseline"/>
          <w:lang w:val="en-US" w:eastAsia="zh-CN"/>
        </w:rPr>
        <w:tab/>
      </w:r>
      <w:r w:rsidRPr="00586B8D">
        <w:rPr>
          <w:rFonts w:hint="eastAsia"/>
          <w:lang w:eastAsia="zh-CN"/>
        </w:rPr>
        <w:t>本报告概要以所有正式语文分发。报告正文附于概要之后，仅以提交语文和法文分发。</w:t>
      </w:r>
    </w:p>
  </w:footnote>
  <w:footnote w:id="4">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lang w:eastAsia="zh-CN"/>
        </w:rPr>
        <w:tab/>
      </w:r>
      <w:r w:rsidRPr="00FF7A66">
        <w:rPr>
          <w:rStyle w:val="ac"/>
        </w:rPr>
        <w:footnoteRef/>
      </w:r>
      <w:r>
        <w:rPr>
          <w:rFonts w:asciiTheme="majorBidi" w:hAnsiTheme="majorBidi" w:cstheme="majorBidi"/>
          <w:color w:val="000000" w:themeColor="text1"/>
          <w:szCs w:val="18"/>
        </w:rPr>
        <w:tab/>
        <w:t xml:space="preserve">The Special Rapporteur </w:t>
      </w:r>
      <w:r w:rsidRPr="00CE2F4B">
        <w:rPr>
          <w:rFonts w:asciiTheme="majorBidi" w:hAnsiTheme="majorBidi" w:cstheme="majorBidi"/>
          <w:color w:val="000000" w:themeColor="text1"/>
          <w:szCs w:val="18"/>
        </w:rPr>
        <w:t>notes that France takes the position that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under domestic law</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the </w:t>
      </w:r>
      <w:r w:rsidRPr="00CE2F4B">
        <w:rPr>
          <w:rFonts w:asciiTheme="majorBidi" w:eastAsia="Times New Roman" w:hAnsiTheme="majorBidi" w:cstheme="majorBidi"/>
          <w:color w:val="000000" w:themeColor="text1"/>
          <w:szCs w:val="18"/>
          <w:lang w:bidi="he-IL"/>
        </w:rPr>
        <w:t xml:space="preserve">France polity contains no minorities, national or otherwise, and no communities, except </w:t>
      </w:r>
      <w:r w:rsidR="00B57B03">
        <w:rPr>
          <w:rFonts w:asciiTheme="majorBidi" w:eastAsia="Times New Roman" w:hAnsiTheme="majorBidi" w:cstheme="majorBidi"/>
          <w:color w:val="000000" w:themeColor="text1"/>
          <w:szCs w:val="18"/>
          <w:lang w:bidi="he-IL"/>
        </w:rPr>
        <w:t>“</w:t>
      </w:r>
      <w:r>
        <w:rPr>
          <w:rFonts w:asciiTheme="majorBidi" w:eastAsia="Times New Roman" w:hAnsiTheme="majorBidi" w:cstheme="majorBidi"/>
          <w:color w:val="000000" w:themeColor="text1"/>
          <w:szCs w:val="18"/>
          <w:lang w:bidi="he-IL"/>
        </w:rPr>
        <w:t>national and geographical communities</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w:t>
      </w:r>
      <w:r w:rsidR="003951A7">
        <w:rPr>
          <w:rFonts w:asciiTheme="majorBidi" w:eastAsia="Times New Roman" w:hAnsiTheme="majorBidi" w:cstheme="majorBidi"/>
          <w:color w:val="000000" w:themeColor="text1"/>
          <w:szCs w:val="18"/>
          <w:lang w:bidi="he-IL"/>
        </w:rPr>
        <w:t xml:space="preserve"> </w:t>
      </w:r>
      <w:r>
        <w:rPr>
          <w:rFonts w:asciiTheme="majorBidi" w:eastAsia="Times New Roman" w:hAnsiTheme="majorBidi" w:cstheme="majorBidi"/>
          <w:color w:val="000000" w:themeColor="text1"/>
          <w:szCs w:val="18"/>
          <w:lang w:bidi="he-IL"/>
        </w:rPr>
        <w:t>She</w:t>
      </w:r>
      <w:r w:rsidRPr="00CE2F4B">
        <w:rPr>
          <w:rFonts w:asciiTheme="majorBidi" w:eastAsia="Times New Roman" w:hAnsiTheme="majorBidi" w:cstheme="majorBidi"/>
          <w:color w:val="000000" w:themeColor="text1"/>
          <w:szCs w:val="18"/>
          <w:lang w:bidi="he-IL"/>
        </w:rPr>
        <w:t xml:space="preserve"> applies relevant international </w:t>
      </w:r>
      <w:r>
        <w:rPr>
          <w:rFonts w:asciiTheme="majorBidi" w:eastAsia="Times New Roman" w:hAnsiTheme="majorBidi" w:cstheme="majorBidi"/>
          <w:color w:val="000000" w:themeColor="text1"/>
          <w:szCs w:val="18"/>
          <w:lang w:bidi="he-IL"/>
        </w:rPr>
        <w:t>standards</w:t>
      </w:r>
      <w:r w:rsidRPr="00CE2F4B">
        <w:rPr>
          <w:rFonts w:asciiTheme="majorBidi" w:eastAsia="Times New Roman" w:hAnsiTheme="majorBidi" w:cstheme="majorBidi"/>
          <w:color w:val="000000" w:themeColor="text1"/>
          <w:szCs w:val="18"/>
          <w:lang w:bidi="he-IL"/>
        </w:rPr>
        <w:t xml:space="preserve"> in her assessment</w:t>
      </w:r>
      <w:r>
        <w:rPr>
          <w:rFonts w:asciiTheme="majorBidi" w:eastAsia="Times New Roman" w:hAnsiTheme="majorBidi" w:cstheme="majorBidi"/>
          <w:color w:val="000000" w:themeColor="text1"/>
          <w:szCs w:val="18"/>
          <w:lang w:bidi="he-IL"/>
        </w:rPr>
        <w:t xml:space="preserve"> of minority status</w:t>
      </w:r>
      <w:r w:rsidRPr="00CE2F4B">
        <w:rPr>
          <w:rFonts w:asciiTheme="majorBidi" w:eastAsia="Times New Roman" w:hAnsiTheme="majorBidi" w:cstheme="majorBidi"/>
          <w:color w:val="000000" w:themeColor="text1"/>
          <w:szCs w:val="18"/>
          <w:lang w:bidi="he-IL"/>
        </w:rPr>
        <w:t xml:space="preserve"> and </w:t>
      </w:r>
      <w:r>
        <w:rPr>
          <w:rFonts w:asciiTheme="majorBidi" w:eastAsia="Times New Roman" w:hAnsiTheme="majorBidi" w:cstheme="majorBidi"/>
          <w:color w:val="000000" w:themeColor="text1"/>
          <w:szCs w:val="18"/>
          <w:lang w:bidi="he-IL"/>
        </w:rPr>
        <w:t xml:space="preserve">notes </w:t>
      </w:r>
      <w:r w:rsidRPr="00CE2F4B">
        <w:rPr>
          <w:rFonts w:asciiTheme="majorBidi" w:eastAsia="Times New Roman" w:hAnsiTheme="majorBidi" w:cstheme="majorBidi"/>
          <w:color w:val="000000" w:themeColor="text1"/>
          <w:szCs w:val="18"/>
          <w:lang w:bidi="he-IL"/>
        </w:rPr>
        <w:t xml:space="preserve">to that </w:t>
      </w:r>
      <w:r>
        <w:rPr>
          <w:rFonts w:asciiTheme="majorBidi" w:eastAsia="Times New Roman" w:hAnsiTheme="majorBidi" w:cstheme="majorBidi"/>
          <w:color w:val="000000" w:themeColor="text1"/>
          <w:szCs w:val="18"/>
          <w:lang w:bidi="he-IL"/>
        </w:rPr>
        <w:t>end that established</w:t>
      </w:r>
      <w:r w:rsidRPr="00CE2F4B">
        <w:rPr>
          <w:rFonts w:asciiTheme="majorBidi" w:eastAsia="Times New Roman" w:hAnsiTheme="majorBidi" w:cstheme="majorBidi"/>
          <w:color w:val="000000" w:themeColor="text1"/>
          <w:szCs w:val="18"/>
          <w:lang w:bidi="he-IL"/>
        </w:rPr>
        <w:t xml:space="preserve"> international entities have applied the terms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minority</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 and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community</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 to France.</w:t>
      </w:r>
      <w:r w:rsidR="003951A7">
        <w:rPr>
          <w:rFonts w:asciiTheme="majorBidi" w:eastAsia="Times New Roman" w:hAnsiTheme="majorBidi" w:cstheme="majorBidi"/>
          <w:color w:val="000000" w:themeColor="text1"/>
          <w:szCs w:val="18"/>
          <w:lang w:bidi="he-IL"/>
        </w:rPr>
        <w:t xml:space="preserve"> </w:t>
      </w:r>
      <w:r w:rsidRPr="00CE2F4B">
        <w:rPr>
          <w:rFonts w:asciiTheme="majorBidi" w:eastAsia="Times New Roman" w:hAnsiTheme="majorBidi" w:cstheme="majorBidi"/>
          <w:color w:val="000000" w:themeColor="text1"/>
          <w:szCs w:val="18"/>
          <w:lang w:bidi="he-IL"/>
        </w:rPr>
        <w:t>Th</w:t>
      </w:r>
      <w:r>
        <w:rPr>
          <w:rFonts w:asciiTheme="majorBidi" w:eastAsia="Times New Roman" w:hAnsiTheme="majorBidi" w:cstheme="majorBidi"/>
          <w:color w:val="000000" w:themeColor="text1"/>
          <w:szCs w:val="18"/>
          <w:lang w:bidi="he-IL"/>
        </w:rPr>
        <w:t>ey</w:t>
      </w:r>
      <w:r w:rsidRPr="00CE2F4B">
        <w:rPr>
          <w:rFonts w:asciiTheme="majorBidi" w:eastAsia="Times New Roman" w:hAnsiTheme="majorBidi" w:cstheme="majorBidi"/>
          <w:color w:val="000000" w:themeColor="text1"/>
          <w:szCs w:val="18"/>
          <w:lang w:bidi="he-IL"/>
        </w:rPr>
        <w:t xml:space="preserve"> include the Independent Expert on </w:t>
      </w:r>
      <w:r>
        <w:rPr>
          <w:rFonts w:asciiTheme="majorBidi" w:eastAsia="Times New Roman" w:hAnsiTheme="majorBidi" w:cstheme="majorBidi"/>
          <w:color w:val="000000" w:themeColor="text1"/>
          <w:szCs w:val="18"/>
          <w:lang w:bidi="he-IL"/>
        </w:rPr>
        <w:t>m</w:t>
      </w:r>
      <w:r w:rsidRPr="00CE2F4B">
        <w:rPr>
          <w:rFonts w:asciiTheme="majorBidi" w:eastAsia="Times New Roman" w:hAnsiTheme="majorBidi" w:cstheme="majorBidi"/>
          <w:color w:val="000000" w:themeColor="text1"/>
          <w:szCs w:val="18"/>
          <w:lang w:bidi="he-IL"/>
        </w:rPr>
        <w:t xml:space="preserve">inority </w:t>
      </w:r>
      <w:r>
        <w:rPr>
          <w:rFonts w:asciiTheme="majorBidi" w:eastAsia="Times New Roman" w:hAnsiTheme="majorBidi" w:cstheme="majorBidi"/>
          <w:color w:val="000000" w:themeColor="text1"/>
          <w:szCs w:val="18"/>
          <w:lang w:bidi="he-IL"/>
        </w:rPr>
        <w:t>i</w:t>
      </w:r>
      <w:r w:rsidRPr="00CE2F4B">
        <w:rPr>
          <w:rFonts w:asciiTheme="majorBidi" w:eastAsia="Times New Roman" w:hAnsiTheme="majorBidi" w:cstheme="majorBidi"/>
          <w:color w:val="000000" w:themeColor="text1"/>
          <w:szCs w:val="18"/>
          <w:lang w:bidi="he-IL"/>
        </w:rPr>
        <w:t xml:space="preserve">ssues (2008) and </w:t>
      </w:r>
      <w:r>
        <w:rPr>
          <w:rFonts w:asciiTheme="majorBidi" w:eastAsia="Times New Roman" w:hAnsiTheme="majorBidi" w:cstheme="majorBidi"/>
          <w:color w:val="000000" w:themeColor="text1"/>
          <w:szCs w:val="18"/>
          <w:lang w:bidi="he-IL"/>
        </w:rPr>
        <w:t>the Special Rapporteur</w:t>
      </w:r>
      <w:r w:rsidRPr="00CE2F4B">
        <w:rPr>
          <w:rFonts w:asciiTheme="majorBidi" w:eastAsia="Times New Roman" w:hAnsiTheme="majorBidi" w:cstheme="majorBidi"/>
          <w:color w:val="000000" w:themeColor="text1"/>
          <w:szCs w:val="18"/>
          <w:lang w:bidi="he-IL"/>
        </w:rPr>
        <w:t xml:space="preserve"> on </w:t>
      </w:r>
      <w:r>
        <w:rPr>
          <w:rFonts w:asciiTheme="majorBidi" w:eastAsia="Times New Roman" w:hAnsiTheme="majorBidi" w:cstheme="majorBidi"/>
          <w:color w:val="000000" w:themeColor="text1"/>
          <w:szCs w:val="18"/>
          <w:lang w:bidi="he-IL"/>
        </w:rPr>
        <w:t>f</w:t>
      </w:r>
      <w:r w:rsidRPr="00CE2F4B">
        <w:rPr>
          <w:rFonts w:asciiTheme="majorBidi" w:eastAsia="Times New Roman" w:hAnsiTheme="majorBidi" w:cstheme="majorBidi"/>
          <w:color w:val="000000" w:themeColor="text1"/>
          <w:szCs w:val="18"/>
          <w:lang w:bidi="he-IL"/>
        </w:rPr>
        <w:t xml:space="preserve">reedom of </w:t>
      </w:r>
      <w:r>
        <w:rPr>
          <w:rFonts w:asciiTheme="majorBidi" w:eastAsia="Times New Roman" w:hAnsiTheme="majorBidi" w:cstheme="majorBidi"/>
          <w:color w:val="000000" w:themeColor="text1"/>
          <w:szCs w:val="18"/>
          <w:lang w:bidi="he-IL"/>
        </w:rPr>
        <w:t>r</w:t>
      </w:r>
      <w:r w:rsidRPr="00CE2F4B">
        <w:rPr>
          <w:rFonts w:asciiTheme="majorBidi" w:eastAsia="Times New Roman" w:hAnsiTheme="majorBidi" w:cstheme="majorBidi"/>
          <w:color w:val="000000" w:themeColor="text1"/>
          <w:szCs w:val="18"/>
          <w:lang w:bidi="he-IL"/>
        </w:rPr>
        <w:t>eligion</w:t>
      </w:r>
      <w:r>
        <w:rPr>
          <w:rFonts w:asciiTheme="majorBidi" w:eastAsia="Times New Roman" w:hAnsiTheme="majorBidi" w:cstheme="majorBidi"/>
          <w:color w:val="000000" w:themeColor="text1"/>
          <w:szCs w:val="18"/>
          <w:lang w:bidi="he-IL"/>
        </w:rPr>
        <w:t xml:space="preserve"> or belief</w:t>
      </w:r>
      <w:r w:rsidRPr="00CE2F4B">
        <w:rPr>
          <w:rFonts w:asciiTheme="majorBidi" w:eastAsia="Times New Roman" w:hAnsiTheme="majorBidi" w:cstheme="majorBidi"/>
          <w:color w:val="000000" w:themeColor="text1"/>
          <w:szCs w:val="18"/>
          <w:lang w:bidi="he-IL"/>
        </w:rPr>
        <w:t xml:space="preserve"> (2018).</w:t>
      </w:r>
      <w:r w:rsidR="003951A7">
        <w:rPr>
          <w:rFonts w:asciiTheme="majorBidi" w:eastAsia="Times New Roman" w:hAnsiTheme="majorBidi" w:cstheme="majorBidi"/>
          <w:color w:val="000000" w:themeColor="text1"/>
          <w:szCs w:val="18"/>
          <w:lang w:bidi="he-IL"/>
        </w:rPr>
        <w:t xml:space="preserve"> </w:t>
      </w:r>
      <w:r>
        <w:rPr>
          <w:rFonts w:asciiTheme="majorBidi" w:eastAsia="Times New Roman" w:hAnsiTheme="majorBidi" w:cstheme="majorBidi"/>
          <w:color w:val="000000" w:themeColor="text1"/>
          <w:szCs w:val="18"/>
          <w:lang w:bidi="he-IL"/>
        </w:rPr>
        <w:t>Her</w:t>
      </w:r>
      <w:r w:rsidRPr="00CE2F4B">
        <w:rPr>
          <w:rFonts w:asciiTheme="majorBidi" w:eastAsia="Times New Roman" w:hAnsiTheme="majorBidi" w:cstheme="majorBidi"/>
          <w:color w:val="000000" w:themeColor="text1"/>
          <w:szCs w:val="18"/>
          <w:lang w:bidi="he-IL"/>
        </w:rPr>
        <w:t xml:space="preserve"> use</w:t>
      </w:r>
      <w:r>
        <w:rPr>
          <w:rFonts w:asciiTheme="majorBidi" w:eastAsia="Times New Roman" w:hAnsiTheme="majorBidi" w:cstheme="majorBidi"/>
          <w:color w:val="000000" w:themeColor="text1"/>
          <w:szCs w:val="18"/>
          <w:lang w:bidi="he-IL"/>
        </w:rPr>
        <w:t xml:space="preserve"> of</w:t>
      </w:r>
      <w:r w:rsidRPr="00CE2F4B">
        <w:rPr>
          <w:rFonts w:asciiTheme="majorBidi" w:eastAsia="Times New Roman" w:hAnsiTheme="majorBidi" w:cstheme="majorBidi"/>
          <w:color w:val="000000" w:themeColor="text1"/>
          <w:szCs w:val="18"/>
          <w:lang w:bidi="he-IL"/>
        </w:rPr>
        <w:t xml:space="preserve"> the term </w:t>
      </w:r>
      <w:r>
        <w:rPr>
          <w:rFonts w:asciiTheme="majorBidi" w:eastAsia="Times New Roman" w:hAnsiTheme="majorBidi" w:cstheme="majorBidi"/>
          <w:color w:val="000000" w:themeColor="text1"/>
          <w:szCs w:val="18"/>
          <w:lang w:bidi="he-IL"/>
        </w:rPr>
        <w:t xml:space="preserve">is </w:t>
      </w:r>
      <w:r w:rsidRPr="00CE2F4B">
        <w:rPr>
          <w:rFonts w:asciiTheme="majorBidi" w:eastAsia="Times New Roman" w:hAnsiTheme="majorBidi" w:cstheme="majorBidi"/>
          <w:color w:val="000000" w:themeColor="text1"/>
          <w:szCs w:val="18"/>
          <w:lang w:bidi="he-IL"/>
        </w:rPr>
        <w:t xml:space="preserve">consistent with </w:t>
      </w:r>
      <w:r>
        <w:rPr>
          <w:rFonts w:asciiTheme="majorBidi" w:eastAsia="Times New Roman" w:hAnsiTheme="majorBidi" w:cstheme="majorBidi"/>
          <w:color w:val="000000" w:themeColor="text1"/>
          <w:szCs w:val="18"/>
          <w:lang w:bidi="he-IL"/>
        </w:rPr>
        <w:t>the Committee on the Elimination of Racial Discrimination</w:t>
      </w:r>
      <w:r w:rsidRPr="00CE2F4B">
        <w:rPr>
          <w:rFonts w:asciiTheme="majorBidi" w:eastAsia="Times New Roman" w:hAnsiTheme="majorBidi" w:cstheme="majorBidi"/>
          <w:color w:val="000000" w:themeColor="text1"/>
          <w:szCs w:val="18"/>
          <w:lang w:bidi="he-IL"/>
        </w:rPr>
        <w:t xml:space="preserve"> (2010)</w:t>
      </w:r>
      <w:r>
        <w:rPr>
          <w:rFonts w:asciiTheme="majorBidi" w:eastAsia="Times New Roman" w:hAnsiTheme="majorBidi" w:cstheme="majorBidi"/>
          <w:color w:val="000000" w:themeColor="text1"/>
          <w:szCs w:val="18"/>
          <w:lang w:bidi="he-IL"/>
        </w:rPr>
        <w:t>, which</w:t>
      </w:r>
      <w:r w:rsidRPr="00CE2F4B">
        <w:rPr>
          <w:rFonts w:asciiTheme="majorBidi" w:eastAsia="Times New Roman" w:hAnsiTheme="majorBidi" w:cstheme="majorBidi"/>
          <w:color w:val="000000" w:themeColor="text1"/>
          <w:szCs w:val="18"/>
          <w:lang w:bidi="he-IL"/>
        </w:rPr>
        <w:t xml:space="preserve"> </w:t>
      </w:r>
      <w:r>
        <w:rPr>
          <w:rFonts w:asciiTheme="majorBidi" w:eastAsia="Times New Roman" w:hAnsiTheme="majorBidi" w:cstheme="majorBidi"/>
          <w:color w:val="000000" w:themeColor="text1"/>
          <w:szCs w:val="18"/>
          <w:lang w:bidi="he-IL"/>
        </w:rPr>
        <w:t xml:space="preserve">has </w:t>
      </w:r>
      <w:r w:rsidRPr="00CE2F4B">
        <w:rPr>
          <w:rFonts w:asciiTheme="majorBidi" w:eastAsia="Times New Roman" w:hAnsiTheme="majorBidi" w:cstheme="majorBidi"/>
          <w:color w:val="000000" w:themeColor="text1"/>
          <w:szCs w:val="18"/>
          <w:lang w:bidi="he-IL"/>
        </w:rPr>
        <w:t>refer</w:t>
      </w:r>
      <w:r>
        <w:rPr>
          <w:rFonts w:asciiTheme="majorBidi" w:eastAsia="Times New Roman" w:hAnsiTheme="majorBidi" w:cstheme="majorBidi"/>
          <w:color w:val="000000" w:themeColor="text1"/>
          <w:szCs w:val="18"/>
          <w:lang w:bidi="he-IL"/>
        </w:rPr>
        <w:t>red</w:t>
      </w:r>
      <w:r w:rsidRPr="00CE2F4B">
        <w:rPr>
          <w:rFonts w:asciiTheme="majorBidi" w:eastAsia="Times New Roman" w:hAnsiTheme="majorBidi" w:cstheme="majorBidi"/>
          <w:color w:val="000000" w:themeColor="text1"/>
          <w:szCs w:val="18"/>
          <w:lang w:bidi="he-IL"/>
        </w:rPr>
        <w:t xml:space="preserve"> to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persons of immigrant origin or from ethnic groups, within the meaning of the </w:t>
      </w:r>
      <w:r>
        <w:rPr>
          <w:rFonts w:asciiTheme="majorBidi" w:eastAsia="Times New Roman" w:hAnsiTheme="majorBidi" w:cstheme="majorBidi"/>
          <w:color w:val="000000" w:themeColor="text1"/>
          <w:szCs w:val="18"/>
          <w:lang w:bidi="he-IL"/>
        </w:rPr>
        <w:t>C</w:t>
      </w:r>
      <w:r w:rsidRPr="00CE2F4B">
        <w:rPr>
          <w:rFonts w:asciiTheme="majorBidi" w:eastAsia="Times New Roman" w:hAnsiTheme="majorBidi" w:cstheme="majorBidi"/>
          <w:color w:val="000000" w:themeColor="text1"/>
          <w:szCs w:val="18"/>
          <w:lang w:bidi="he-IL"/>
        </w:rPr>
        <w:t>onvention</w:t>
      </w:r>
      <w:r w:rsidR="00B57B03">
        <w:rPr>
          <w:rFonts w:asciiTheme="majorBidi" w:eastAsia="Times New Roman" w:hAnsiTheme="majorBidi" w:cstheme="majorBidi"/>
          <w:color w:val="000000" w:themeColor="text1"/>
          <w:szCs w:val="18"/>
          <w:lang w:bidi="he-IL"/>
        </w:rPr>
        <w:t>”</w:t>
      </w:r>
      <w:r>
        <w:rPr>
          <w:rFonts w:asciiTheme="majorBidi" w:eastAsia="Times New Roman" w:hAnsiTheme="majorBidi" w:cstheme="majorBidi"/>
          <w:color w:val="000000" w:themeColor="text1"/>
          <w:szCs w:val="18"/>
          <w:lang w:bidi="he-IL"/>
        </w:rPr>
        <w:t xml:space="preserve"> (</w:t>
      </w:r>
      <w:proofErr w:type="spellStart"/>
      <w:r>
        <w:rPr>
          <w:rFonts w:asciiTheme="majorBidi" w:eastAsia="Times New Roman" w:hAnsiTheme="majorBidi" w:cstheme="majorBidi"/>
          <w:color w:val="000000" w:themeColor="text1"/>
          <w:szCs w:val="18"/>
          <w:lang w:bidi="he-IL"/>
        </w:rPr>
        <w:t>CERD</w:t>
      </w:r>
      <w:proofErr w:type="spellEnd"/>
      <w:r>
        <w:rPr>
          <w:rFonts w:asciiTheme="majorBidi" w:eastAsia="Times New Roman" w:hAnsiTheme="majorBidi" w:cstheme="majorBidi"/>
          <w:color w:val="000000" w:themeColor="text1"/>
          <w:szCs w:val="18"/>
          <w:lang w:bidi="he-IL"/>
        </w:rPr>
        <w:t>/C/FRA/CO/17-19, para. 13)</w:t>
      </w:r>
      <w:r w:rsidRPr="00CE2F4B">
        <w:rPr>
          <w:rFonts w:asciiTheme="majorBidi" w:eastAsia="Times New Roman" w:hAnsiTheme="majorBidi" w:cstheme="majorBidi"/>
          <w:color w:val="000000" w:themeColor="text1"/>
          <w:szCs w:val="18"/>
          <w:lang w:bidi="he-IL"/>
        </w:rPr>
        <w:t>.</w:t>
      </w:r>
    </w:p>
  </w:footnote>
  <w:footnote w:id="5">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Pr>
          <w:rFonts w:asciiTheme="majorBidi" w:hAnsiTheme="majorBidi" w:cstheme="majorBidi"/>
          <w:color w:val="000000" w:themeColor="text1"/>
          <w:szCs w:val="18"/>
        </w:rPr>
        <w:tab/>
        <w:t xml:space="preserve">See </w:t>
      </w:r>
      <w:hyperlink r:id="rId1" w:history="1">
        <w:r w:rsidRPr="00307A3F">
          <w:rPr>
            <w:rStyle w:val="af1"/>
            <w:rFonts w:asciiTheme="majorBidi" w:hAnsiTheme="majorBidi" w:cstheme="majorBidi"/>
            <w:szCs w:val="18"/>
          </w:rPr>
          <w:t>www.assemblee-nationale.fr/15/amendements/1349/CION_LOIS/CL999.pdf</w:t>
        </w:r>
      </w:hyperlink>
      <w:r>
        <w:rPr>
          <w:rStyle w:val="af1"/>
          <w:rFonts w:asciiTheme="majorBidi" w:hAnsiTheme="majorBidi" w:cstheme="majorBidi"/>
          <w:color w:val="000000" w:themeColor="text1"/>
          <w:szCs w:val="18"/>
        </w:rPr>
        <w:t>.</w:t>
      </w:r>
    </w:p>
  </w:footnote>
  <w:footnote w:id="6">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Penal Code, </w:t>
      </w:r>
      <w:r w:rsidRPr="00307A3F">
        <w:rPr>
          <w:rFonts w:asciiTheme="majorBidi" w:hAnsiTheme="majorBidi" w:cstheme="majorBidi"/>
          <w:color w:val="000000" w:themeColor="text1"/>
          <w:szCs w:val="18"/>
          <w:lang w:val="en-US"/>
        </w:rPr>
        <w:t>art. 689-11.</w:t>
      </w:r>
      <w:r w:rsidR="003951A7">
        <w:rPr>
          <w:rFonts w:asciiTheme="majorBidi" w:hAnsiTheme="majorBidi" w:cstheme="majorBidi"/>
          <w:color w:val="000000" w:themeColor="text1"/>
          <w:szCs w:val="18"/>
          <w:lang w:val="en-US"/>
        </w:rPr>
        <w:t xml:space="preserve"> </w:t>
      </w:r>
    </w:p>
  </w:footnote>
  <w:footnote w:id="7">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Previous</w:t>
      </w:r>
      <w:r w:rsidRPr="00CE2F4B">
        <w:rPr>
          <w:rFonts w:asciiTheme="majorBidi" w:hAnsiTheme="majorBidi" w:cstheme="majorBidi"/>
          <w:color w:val="000000" w:themeColor="text1"/>
          <w:szCs w:val="18"/>
        </w:rPr>
        <w:t xml:space="preserve"> state</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of emergency </w:t>
      </w:r>
      <w:r>
        <w:rPr>
          <w:rFonts w:asciiTheme="majorBidi" w:hAnsiTheme="majorBidi" w:cstheme="majorBidi"/>
          <w:color w:val="000000" w:themeColor="text1"/>
          <w:szCs w:val="18"/>
        </w:rPr>
        <w:t>were</w:t>
      </w:r>
      <w:r w:rsidRPr="00CE2F4B">
        <w:rPr>
          <w:rFonts w:asciiTheme="majorBidi" w:hAnsiTheme="majorBidi" w:cstheme="majorBidi"/>
          <w:color w:val="000000" w:themeColor="text1"/>
          <w:szCs w:val="18"/>
        </w:rPr>
        <w:t xml:space="preserve"> declared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2005 to contain extensive urban violence; in 1985</w:t>
      </w:r>
      <w:r>
        <w:rPr>
          <w:rFonts w:asciiTheme="majorBidi" w:hAnsiTheme="majorBidi" w:cstheme="majorBidi"/>
          <w:color w:val="000000" w:themeColor="text1"/>
          <w:szCs w:val="18"/>
        </w:rPr>
        <w:t xml:space="preserve"> in</w:t>
      </w:r>
      <w:r w:rsidRPr="00CE2F4B">
        <w:rPr>
          <w:rFonts w:asciiTheme="majorBidi" w:hAnsiTheme="majorBidi" w:cstheme="majorBidi"/>
          <w:color w:val="000000" w:themeColor="text1"/>
          <w:szCs w:val="18"/>
        </w:rPr>
        <w:t xml:space="preserve"> New Cal</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 xml:space="preserve">donia and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 xml:space="preserve">1987 </w:t>
      </w:r>
      <w:r>
        <w:rPr>
          <w:rFonts w:asciiTheme="majorBidi" w:hAnsiTheme="majorBidi" w:cstheme="majorBidi"/>
          <w:color w:val="000000" w:themeColor="text1"/>
          <w:szCs w:val="18"/>
        </w:rPr>
        <w:t>in</w:t>
      </w:r>
      <w:r w:rsidRPr="00CE2F4B">
        <w:rPr>
          <w:rFonts w:asciiTheme="majorBidi" w:hAnsiTheme="majorBidi" w:cstheme="majorBidi"/>
          <w:color w:val="000000" w:themeColor="text1"/>
          <w:szCs w:val="18"/>
        </w:rPr>
        <w:t xml:space="preserve"> French Polynesia;</w:t>
      </w:r>
      <w:r>
        <w:rPr>
          <w:rFonts w:asciiTheme="majorBidi" w:hAnsiTheme="majorBidi" w:cstheme="majorBidi"/>
          <w:color w:val="000000" w:themeColor="text1"/>
          <w:szCs w:val="18"/>
        </w:rPr>
        <w:t xml:space="preserve"> in </w:t>
      </w:r>
      <w:r w:rsidRPr="00CE2F4B">
        <w:rPr>
          <w:rFonts w:asciiTheme="majorBidi" w:hAnsiTheme="majorBidi" w:cstheme="majorBidi"/>
          <w:color w:val="000000" w:themeColor="text1"/>
          <w:szCs w:val="18"/>
        </w:rPr>
        <w:t xml:space="preserve">1961 in the context of the Algerian war; and </w:t>
      </w:r>
      <w:r>
        <w:rPr>
          <w:rFonts w:asciiTheme="majorBidi" w:hAnsiTheme="majorBidi" w:cstheme="majorBidi"/>
          <w:color w:val="000000" w:themeColor="text1"/>
          <w:szCs w:val="18"/>
        </w:rPr>
        <w:t xml:space="preserve">in </w:t>
      </w:r>
      <w:r w:rsidRPr="00CE2F4B">
        <w:rPr>
          <w:rFonts w:asciiTheme="majorBidi" w:hAnsiTheme="majorBidi" w:cstheme="majorBidi"/>
          <w:color w:val="000000" w:themeColor="text1"/>
          <w:szCs w:val="18"/>
        </w:rPr>
        <w:t xml:space="preserve">1958 in Algeria proper. </w:t>
      </w:r>
      <w:r w:rsidRPr="00CE2F4B">
        <w:rPr>
          <w:rFonts w:asciiTheme="majorBidi" w:eastAsia="Times New Roman" w:hAnsiTheme="majorBidi" w:cstheme="majorBidi"/>
          <w:color w:val="000000" w:themeColor="text1"/>
          <w:szCs w:val="18"/>
          <w:lang w:bidi="he-IL"/>
        </w:rPr>
        <w:t xml:space="preserve">The </w:t>
      </w:r>
      <w:r>
        <w:rPr>
          <w:rFonts w:asciiTheme="majorBidi" w:eastAsia="Times New Roman" w:hAnsiTheme="majorBidi" w:cstheme="majorBidi"/>
          <w:color w:val="000000" w:themeColor="text1"/>
          <w:szCs w:val="18"/>
          <w:lang w:bidi="he-IL"/>
        </w:rPr>
        <w:t>Special Rapporteur</w:t>
      </w:r>
      <w:r w:rsidRPr="00CE2F4B">
        <w:rPr>
          <w:rFonts w:asciiTheme="majorBidi" w:eastAsia="Times New Roman" w:hAnsiTheme="majorBidi" w:cstheme="majorBidi"/>
          <w:color w:val="000000" w:themeColor="text1"/>
          <w:szCs w:val="18"/>
          <w:lang w:bidi="he-IL"/>
        </w:rPr>
        <w:t xml:space="preserve"> clarifies that her usage of the term</w:t>
      </w:r>
      <w:r>
        <w:rPr>
          <w:rFonts w:asciiTheme="majorBidi" w:eastAsia="Times New Roman" w:hAnsiTheme="majorBidi" w:cstheme="majorBidi"/>
          <w:color w:val="000000" w:themeColor="text1"/>
          <w:szCs w:val="18"/>
          <w:lang w:bidi="he-IL"/>
        </w:rPr>
        <w:t>s</w:t>
      </w:r>
      <w:r w:rsidRPr="00CE2F4B">
        <w:rPr>
          <w:rFonts w:asciiTheme="majorBidi" w:eastAsia="Times New Roman" w:hAnsiTheme="majorBidi" w:cstheme="majorBidi"/>
          <w:color w:val="000000" w:themeColor="text1"/>
          <w:szCs w:val="18"/>
          <w:lang w:bidi="he-IL"/>
        </w:rPr>
        <w:t xml:space="preserve">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emergency</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exceptional</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w:t>
      </w:r>
      <w:r w:rsidRPr="00CE2F4B">
        <w:rPr>
          <w:rFonts w:asciiTheme="majorBidi" w:hAnsiTheme="majorBidi" w:cstheme="majorBidi"/>
          <w:color w:val="000000" w:themeColor="text1"/>
          <w:szCs w:val="18"/>
        </w:rPr>
        <w:t xml:space="preserve"> </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permanent emergency</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w:t>
      </w:r>
      <w:r w:rsidRPr="00CE2F4B">
        <w:rPr>
          <w:rFonts w:asciiTheme="majorBidi" w:eastAsia="Times New Roman" w:hAnsiTheme="majorBidi" w:cstheme="majorBidi"/>
          <w:color w:val="000000" w:themeColor="text1"/>
          <w:szCs w:val="18"/>
          <w:lang w:bidi="he-IL"/>
        </w:rPr>
        <w:t xml:space="preserve"> </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de facto emergency</w:t>
      </w:r>
      <w:r w:rsidR="00B57B03">
        <w:rPr>
          <w:rFonts w:asciiTheme="majorBidi" w:eastAsia="Times New Roman" w:hAnsiTheme="majorBidi" w:cstheme="majorBidi"/>
          <w:color w:val="000000" w:themeColor="text1"/>
          <w:szCs w:val="18"/>
          <w:lang w:bidi="he-IL"/>
        </w:rPr>
        <w:t>”</w:t>
      </w:r>
      <w:r w:rsidRPr="00CE2F4B">
        <w:rPr>
          <w:rFonts w:asciiTheme="majorBidi" w:eastAsia="Times New Roman" w:hAnsiTheme="majorBidi" w:cstheme="majorBidi"/>
          <w:color w:val="000000" w:themeColor="text1"/>
          <w:szCs w:val="18"/>
          <w:lang w:bidi="he-IL"/>
        </w:rPr>
        <w:t xml:space="preserve"> are based on the extensive and detailed thematic </w:t>
      </w:r>
      <w:r>
        <w:rPr>
          <w:rFonts w:asciiTheme="majorBidi" w:eastAsia="Times New Roman" w:hAnsiTheme="majorBidi" w:cstheme="majorBidi"/>
          <w:color w:val="000000" w:themeColor="text1"/>
          <w:szCs w:val="18"/>
          <w:lang w:bidi="he-IL"/>
        </w:rPr>
        <w:t>r</w:t>
      </w:r>
      <w:r w:rsidRPr="00CE2F4B">
        <w:rPr>
          <w:rFonts w:asciiTheme="majorBidi" w:eastAsia="Times New Roman" w:hAnsiTheme="majorBidi" w:cstheme="majorBidi"/>
          <w:color w:val="000000" w:themeColor="text1"/>
          <w:szCs w:val="18"/>
          <w:lang w:bidi="he-IL"/>
        </w:rPr>
        <w:t>eport provided to the Human Rights Council in 2017 (A/HRC/37/52).</w:t>
      </w:r>
    </w:p>
  </w:footnote>
  <w:footnote w:id="8">
    <w:p w:rsidR="00F6015D" w:rsidRPr="00CE2F4B" w:rsidRDefault="00F6015D" w:rsidP="00E02EBE">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 xml:space="preserve">The criminal law has been the </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home</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of anti-terrorism legislation since 1986. The 1986 law had three important consequences</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 automati</w:t>
      </w:r>
      <w:r>
        <w:rPr>
          <w:rFonts w:asciiTheme="majorBidi" w:hAnsiTheme="majorBidi" w:cstheme="majorBidi"/>
          <w:color w:val="000000" w:themeColor="text1"/>
          <w:szCs w:val="18"/>
        </w:rPr>
        <w:t>cally placing</w:t>
      </w:r>
      <w:r w:rsidRPr="00CE2F4B">
        <w:rPr>
          <w:rFonts w:asciiTheme="majorBidi" w:hAnsiTheme="majorBidi" w:cstheme="majorBidi"/>
          <w:color w:val="000000" w:themeColor="text1"/>
          <w:szCs w:val="18"/>
        </w:rPr>
        <w:t xml:space="preserve"> terrorist infractions in the criminal sphere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(b</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emergence of a new procedural regime to compl</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ment the legislative framework</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w:t>
      </w:r>
      <w:r>
        <w:rPr>
          <w:rFonts w:asciiTheme="majorBidi" w:hAnsiTheme="majorBidi" w:cstheme="majorBidi"/>
          <w:color w:val="000000" w:themeColor="text1"/>
          <w:szCs w:val="18"/>
        </w:rPr>
        <w:t xml:space="preserve"> (c</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progressive centralization of procedural mechanisms to regulate terrorism.</w:t>
      </w:r>
    </w:p>
  </w:footnote>
  <w:footnote w:id="9">
    <w:p w:rsidR="00F6015D" w:rsidRPr="00307A3F" w:rsidRDefault="00F6015D" w:rsidP="00E02EBE">
      <w:pPr>
        <w:pStyle w:val="a8"/>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en-US"/>
        </w:rPr>
        <w:tab/>
      </w:r>
      <w:r w:rsidRPr="00FF7A66">
        <w:rPr>
          <w:rStyle w:val="ac"/>
        </w:rPr>
        <w:footnoteRef/>
      </w:r>
      <w:r w:rsidRPr="00307A3F">
        <w:rPr>
          <w:rFonts w:asciiTheme="majorBidi" w:hAnsiTheme="majorBidi" w:cstheme="majorBidi"/>
          <w:color w:val="000000" w:themeColor="text1"/>
          <w:szCs w:val="18"/>
          <w:lang w:val="en-US"/>
        </w:rPr>
        <w:tab/>
        <w:t>Laws of 22 July</w:t>
      </w:r>
      <w:r w:rsidR="00E02EBE">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1992, 16 December</w:t>
      </w:r>
      <w:r w:rsidR="00E02EBE">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1992 and 18 February</w:t>
      </w:r>
      <w:r w:rsidR="00E02EBE">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1995.</w:t>
      </w:r>
    </w:p>
  </w:footnote>
  <w:footnote w:id="10">
    <w:p w:rsidR="00F6015D" w:rsidRDefault="00F6015D" w:rsidP="003951A7">
      <w:pPr>
        <w:pStyle w:val="a8"/>
      </w:pPr>
      <w:r>
        <w:tab/>
      </w:r>
      <w:r w:rsidRPr="00FF7A66">
        <w:rPr>
          <w:rStyle w:val="ac"/>
        </w:rPr>
        <w:footnoteRef/>
      </w:r>
      <w:r>
        <w:t xml:space="preserve"> </w:t>
      </w:r>
      <w:r>
        <w:tab/>
      </w:r>
      <w:r>
        <w:rPr>
          <w:rFonts w:asciiTheme="majorBidi" w:hAnsiTheme="majorBidi" w:cstheme="majorBidi"/>
          <w:color w:val="000000" w:themeColor="text1"/>
          <w:szCs w:val="18"/>
        </w:rPr>
        <w:t xml:space="preserve">See </w:t>
      </w:r>
      <w:hyperlink r:id="rId2" w:history="1">
        <w:r w:rsidRPr="00307A3F">
          <w:rPr>
            <w:rStyle w:val="af1"/>
            <w:rFonts w:asciiTheme="majorBidi" w:hAnsiTheme="majorBidi" w:cstheme="majorBidi"/>
            <w:szCs w:val="18"/>
          </w:rPr>
          <w:t>www.interieur.gouv.fr/Actualites/L-actu-du-Ministere/Bilan-de-l-etat-d-urgence</w:t>
        </w:r>
      </w:hyperlink>
      <w:r w:rsidRPr="00D15739">
        <w:rPr>
          <w:rStyle w:val="af1"/>
          <w:rFonts w:asciiTheme="majorBidi" w:hAnsiTheme="majorBidi" w:cstheme="majorBidi"/>
          <w:color w:val="000000" w:themeColor="text1"/>
          <w:szCs w:val="18"/>
        </w:rPr>
        <w:t xml:space="preserve">; </w:t>
      </w:r>
      <w:r>
        <w:rPr>
          <w:rStyle w:val="af1"/>
          <w:rFonts w:asciiTheme="majorBidi" w:hAnsiTheme="majorBidi" w:cstheme="majorBidi"/>
          <w:color w:val="000000" w:themeColor="text1"/>
          <w:szCs w:val="18"/>
        </w:rPr>
        <w:t xml:space="preserve">and </w:t>
      </w:r>
      <w:hyperlink r:id="rId3" w:history="1">
        <w:r w:rsidRPr="00307A3F">
          <w:rPr>
            <w:rStyle w:val="af1"/>
            <w:rFonts w:asciiTheme="majorBidi" w:hAnsiTheme="majorBidi" w:cstheme="majorBidi"/>
            <w:szCs w:val="18"/>
          </w:rPr>
          <w:t>www.lejdd.fr/Societe/32-attentats-dejoues-4457-perquisitions-752-assignations-a-residence-letat-durgence-en-chiffres-3480650</w:t>
        </w:r>
      </w:hyperlink>
      <w:r>
        <w:rPr>
          <w:rStyle w:val="af1"/>
          <w:rFonts w:asciiTheme="majorBidi" w:hAnsiTheme="majorBidi" w:cstheme="majorBidi"/>
          <w:color w:val="000000" w:themeColor="text1"/>
          <w:szCs w:val="18"/>
        </w:rPr>
        <w:t>.</w:t>
      </w:r>
    </w:p>
  </w:footnote>
  <w:footnote w:id="11">
    <w:p w:rsidR="00F6015D" w:rsidRPr="00BF4225" w:rsidRDefault="00F6015D" w:rsidP="006A4DA4">
      <w:pPr>
        <w:pStyle w:val="a8"/>
        <w:rPr>
          <w:rFonts w:asciiTheme="majorBidi" w:eastAsia="Times New Roman" w:hAnsiTheme="majorBidi" w:cstheme="majorBidi"/>
          <w:color w:val="000000" w:themeColor="text1"/>
          <w:szCs w:val="18"/>
        </w:rPr>
      </w:pPr>
      <w:r w:rsidRPr="00BF4225">
        <w:rPr>
          <w:rFonts w:asciiTheme="majorBidi" w:hAnsiTheme="majorBidi" w:cstheme="majorBidi"/>
          <w:color w:val="000000" w:themeColor="text1"/>
          <w:szCs w:val="18"/>
        </w:rPr>
        <w:tab/>
      </w:r>
      <w:r w:rsidRPr="00FF7A66">
        <w:rPr>
          <w:rStyle w:val="ac"/>
        </w:rPr>
        <w:footnoteRef/>
      </w:r>
      <w:r w:rsidRPr="00BF4225">
        <w:rPr>
          <w:rFonts w:asciiTheme="majorBidi" w:hAnsiTheme="majorBidi" w:cstheme="majorBidi"/>
          <w:color w:val="000000" w:themeColor="text1"/>
          <w:szCs w:val="18"/>
        </w:rPr>
        <w:t xml:space="preserve"> </w:t>
      </w:r>
      <w:r w:rsidRPr="00BF4225">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4" w:history="1">
        <w:r w:rsidRPr="00307A3F">
          <w:rPr>
            <w:rStyle w:val="af1"/>
            <w:rFonts w:asciiTheme="majorBidi" w:hAnsiTheme="majorBidi" w:cstheme="majorBidi"/>
            <w:szCs w:val="18"/>
          </w:rPr>
          <w:t>www2.assemblee-nationale.fr/documents/notice/14/rap-info/i4281/%28index%29/depots</w:t>
        </w:r>
      </w:hyperlink>
      <w:r w:rsidRPr="00BF4225">
        <w:rPr>
          <w:rFonts w:asciiTheme="majorBidi" w:hAnsiTheme="majorBidi" w:cstheme="majorBidi"/>
          <w:color w:val="000000" w:themeColor="text1"/>
          <w:szCs w:val="18"/>
          <w:shd w:val="clear" w:color="auto" w:fill="FFFFFF"/>
        </w:rPr>
        <w:t>.</w:t>
      </w:r>
    </w:p>
  </w:footnote>
  <w:footnote w:id="12">
    <w:p w:rsidR="00F6015D" w:rsidRPr="00930814" w:rsidRDefault="00F6015D" w:rsidP="006A4DA4">
      <w:pPr>
        <w:pStyle w:val="a8"/>
        <w:rPr>
          <w:rFonts w:asciiTheme="majorBidi" w:eastAsia="Times New Roman" w:hAnsiTheme="majorBidi" w:cstheme="majorBidi"/>
          <w:color w:val="000000" w:themeColor="text1"/>
          <w:szCs w:val="18"/>
        </w:rPr>
      </w:pPr>
      <w:r w:rsidRPr="00BF4225">
        <w:rPr>
          <w:rFonts w:asciiTheme="majorBidi" w:hAnsiTheme="majorBidi" w:cstheme="majorBidi"/>
          <w:color w:val="000000" w:themeColor="text1"/>
          <w:szCs w:val="18"/>
        </w:rPr>
        <w:tab/>
      </w:r>
      <w:r w:rsidRPr="00FF7A66">
        <w:rPr>
          <w:rStyle w:val="ac"/>
        </w:rPr>
        <w:footnoteRef/>
      </w:r>
      <w:r w:rsidRPr="00BF4225">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5" w:history="1">
        <w:r w:rsidRPr="00307A3F">
          <w:rPr>
            <w:rStyle w:val="af1"/>
            <w:rFonts w:asciiTheme="majorBidi" w:hAnsiTheme="majorBidi" w:cstheme="majorBidi"/>
            <w:szCs w:val="18"/>
          </w:rPr>
          <w:t>www.interieur.gouv.fr/Actualites/L-actu-du-Ministere/Bilan-de-l-etat-d-urgence</w:t>
        </w:r>
      </w:hyperlink>
      <w:r>
        <w:rPr>
          <w:rFonts w:asciiTheme="majorBidi" w:hAnsiTheme="majorBidi" w:cstheme="majorBidi"/>
          <w:szCs w:val="18"/>
        </w:rPr>
        <w:t>.</w:t>
      </w:r>
    </w:p>
  </w:footnote>
  <w:footnote w:id="13">
    <w:p w:rsidR="00F6015D" w:rsidRPr="00CE2F4B" w:rsidRDefault="00F6015D" w:rsidP="003951A7">
      <w:pPr>
        <w:pStyle w:val="a8"/>
        <w:rPr>
          <w:rFonts w:asciiTheme="majorBidi" w:hAnsiTheme="majorBidi" w:cstheme="majorBidi"/>
          <w:color w:val="000000" w:themeColor="text1"/>
          <w:szCs w:val="18"/>
        </w:rPr>
      </w:pPr>
      <w:r w:rsidRPr="00930814">
        <w:rPr>
          <w:rFonts w:asciiTheme="majorBidi" w:hAnsiTheme="majorBidi" w:cstheme="majorBidi"/>
          <w:color w:val="000000" w:themeColor="text1"/>
          <w:szCs w:val="18"/>
        </w:rPr>
        <w:tab/>
      </w:r>
      <w:r w:rsidRPr="00FF7A66">
        <w:rPr>
          <w:rStyle w:val="ac"/>
        </w:rPr>
        <w:footnoteRef/>
      </w:r>
      <w:r w:rsidRPr="00930814">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6" w:history="1">
        <w:r w:rsidRPr="00307A3F">
          <w:rPr>
            <w:rStyle w:val="af1"/>
            <w:rFonts w:asciiTheme="majorBidi" w:hAnsiTheme="majorBidi" w:cstheme="majorBidi"/>
            <w:szCs w:val="18"/>
          </w:rPr>
          <w:t>https://</w:t>
        </w:r>
        <w:proofErr w:type="spellStart"/>
        <w:r w:rsidRPr="00307A3F">
          <w:rPr>
            <w:rStyle w:val="af1"/>
            <w:rFonts w:asciiTheme="majorBidi" w:hAnsiTheme="majorBidi" w:cstheme="majorBidi"/>
            <w:szCs w:val="18"/>
          </w:rPr>
          <w:t>antiterrorisme</w:t>
        </w:r>
        <w:proofErr w:type="spellEnd"/>
        <w:r w:rsidRPr="00307A3F">
          <w:rPr>
            <w:rStyle w:val="af1"/>
            <w:rFonts w:asciiTheme="majorBidi" w:hAnsiTheme="majorBidi" w:cstheme="majorBidi"/>
            <w:szCs w:val="18"/>
          </w:rPr>
          <w:t>-droits-</w:t>
        </w:r>
        <w:proofErr w:type="spellStart"/>
        <w:r w:rsidRPr="00307A3F">
          <w:rPr>
            <w:rStyle w:val="af1"/>
            <w:rFonts w:asciiTheme="majorBidi" w:hAnsiTheme="majorBidi" w:cstheme="majorBidi"/>
            <w:szCs w:val="18"/>
          </w:rPr>
          <w:t>libertes.org</w:t>
        </w:r>
        <w:proofErr w:type="spellEnd"/>
        <w:r w:rsidRPr="00307A3F">
          <w:rPr>
            <w:rStyle w:val="af1"/>
            <w:rFonts w:asciiTheme="majorBidi" w:hAnsiTheme="majorBidi" w:cstheme="majorBidi"/>
            <w:szCs w:val="18"/>
          </w:rPr>
          <w:t>/</w:t>
        </w:r>
        <w:proofErr w:type="spellStart"/>
        <w:r w:rsidRPr="00307A3F">
          <w:rPr>
            <w:rStyle w:val="af1"/>
            <w:rFonts w:asciiTheme="majorBidi" w:hAnsiTheme="majorBidi" w:cstheme="majorBidi"/>
            <w:szCs w:val="18"/>
          </w:rPr>
          <w:t>spip.php?article53</w:t>
        </w:r>
        <w:proofErr w:type="spellEnd"/>
      </w:hyperlink>
      <w:r>
        <w:rPr>
          <w:rFonts w:asciiTheme="majorBidi" w:hAnsiTheme="majorBidi" w:cstheme="majorBidi"/>
          <w:color w:val="000000" w:themeColor="text1"/>
          <w:szCs w:val="18"/>
        </w:rPr>
        <w:t>.</w:t>
      </w:r>
      <w:r w:rsidR="003951A7">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The Special Rapporteur notes</w:t>
      </w:r>
      <w:r w:rsidRPr="00930814">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930814">
        <w:rPr>
          <w:rFonts w:asciiTheme="majorBidi" w:hAnsiTheme="majorBidi" w:cstheme="majorBidi"/>
          <w:color w:val="000000" w:themeColor="text1"/>
          <w:szCs w:val="18"/>
        </w:rPr>
        <w:t xml:space="preserve">reports and recommendations of </w:t>
      </w:r>
      <w:r w:rsidRPr="00930814">
        <w:rPr>
          <w:rFonts w:asciiTheme="majorBidi" w:eastAsia="Times New Roman" w:hAnsiTheme="majorBidi" w:cstheme="majorBidi"/>
          <w:szCs w:val="18"/>
          <w:lang w:bidi="he-IL"/>
        </w:rPr>
        <w:t xml:space="preserve">the </w:t>
      </w:r>
      <w:r>
        <w:rPr>
          <w:rFonts w:asciiTheme="majorBidi" w:eastAsia="Times New Roman" w:hAnsiTheme="majorBidi" w:cstheme="majorBidi"/>
          <w:szCs w:val="18"/>
          <w:lang w:bidi="he-IL"/>
        </w:rPr>
        <w:t>Human Rights Ombudsperson</w:t>
      </w:r>
      <w:r w:rsidRPr="00930814">
        <w:rPr>
          <w:rFonts w:asciiTheme="majorBidi" w:eastAsia="Times New Roman" w:hAnsiTheme="majorBidi" w:cstheme="majorBidi"/>
          <w:szCs w:val="18"/>
          <w:lang w:bidi="he-IL"/>
        </w:rPr>
        <w:t xml:space="preserve"> in respect of a range of </w:t>
      </w:r>
      <w:r>
        <w:rPr>
          <w:rFonts w:asciiTheme="majorBidi" w:eastAsia="Times New Roman" w:hAnsiTheme="majorBidi" w:cstheme="majorBidi"/>
          <w:szCs w:val="18"/>
          <w:lang w:bidi="he-IL"/>
        </w:rPr>
        <w:t>rights infringements</w:t>
      </w:r>
      <w:r w:rsidRPr="00930814">
        <w:rPr>
          <w:rFonts w:asciiTheme="majorBidi" w:eastAsia="Times New Roman" w:hAnsiTheme="majorBidi" w:cstheme="majorBidi"/>
          <w:szCs w:val="18"/>
          <w:lang w:bidi="he-IL"/>
        </w:rPr>
        <w:t xml:space="preserve"> during the state of emergency</w:t>
      </w:r>
      <w:r>
        <w:rPr>
          <w:rFonts w:asciiTheme="majorBidi" w:eastAsia="Times New Roman" w:hAnsiTheme="majorBidi" w:cstheme="majorBidi"/>
          <w:szCs w:val="18"/>
          <w:lang w:bidi="he-IL"/>
        </w:rPr>
        <w:t xml:space="preserve"> (see</w:t>
      </w:r>
      <w:r w:rsidRPr="00930814">
        <w:rPr>
          <w:rFonts w:asciiTheme="majorBidi" w:eastAsia="Times New Roman" w:hAnsiTheme="majorBidi" w:cstheme="majorBidi"/>
          <w:szCs w:val="18"/>
          <w:lang w:bidi="he-IL"/>
        </w:rPr>
        <w:t xml:space="preserve"> </w:t>
      </w:r>
      <w:hyperlink r:id="rId7" w:history="1">
        <w:proofErr w:type="spellStart"/>
        <w:r w:rsidRPr="00307A3F">
          <w:rPr>
            <w:rStyle w:val="af1"/>
            <w:rFonts w:asciiTheme="majorBidi" w:eastAsia="Times New Roman" w:hAnsiTheme="majorBidi" w:cstheme="majorBidi"/>
            <w:szCs w:val="18"/>
            <w:lang w:bidi="he-IL"/>
          </w:rPr>
          <w:t>www.defenseurdesdroits.fr</w:t>
        </w:r>
        <w:proofErr w:type="spellEnd"/>
        <w:r w:rsidRPr="00307A3F">
          <w:rPr>
            <w:rStyle w:val="af1"/>
            <w:rFonts w:asciiTheme="majorBidi" w:eastAsia="Times New Roman" w:hAnsiTheme="majorBidi" w:cstheme="majorBidi"/>
            <w:szCs w:val="18"/>
            <w:lang w:bidi="he-IL"/>
          </w:rPr>
          <w:t>/</w:t>
        </w:r>
        <w:proofErr w:type="spellStart"/>
        <w:r w:rsidRPr="00307A3F">
          <w:rPr>
            <w:rStyle w:val="af1"/>
            <w:rFonts w:asciiTheme="majorBidi" w:eastAsia="Times New Roman" w:hAnsiTheme="majorBidi" w:cstheme="majorBidi"/>
            <w:szCs w:val="18"/>
            <w:lang w:bidi="he-IL"/>
          </w:rPr>
          <w:t>fr</w:t>
        </w:r>
        <w:proofErr w:type="spellEnd"/>
        <w:r w:rsidRPr="00307A3F">
          <w:rPr>
            <w:rStyle w:val="af1"/>
            <w:rFonts w:asciiTheme="majorBidi" w:eastAsia="Times New Roman" w:hAnsiTheme="majorBidi" w:cstheme="majorBidi"/>
            <w:szCs w:val="18"/>
            <w:lang w:bidi="he-IL"/>
          </w:rPr>
          <w:t>/mots-</w:t>
        </w:r>
        <w:proofErr w:type="spellStart"/>
        <w:r w:rsidRPr="00307A3F">
          <w:rPr>
            <w:rStyle w:val="af1"/>
            <w:rFonts w:asciiTheme="majorBidi" w:eastAsia="Times New Roman" w:hAnsiTheme="majorBidi" w:cstheme="majorBidi"/>
            <w:szCs w:val="18"/>
            <w:lang w:bidi="he-IL"/>
          </w:rPr>
          <w:t>cles</w:t>
        </w:r>
        <w:proofErr w:type="spellEnd"/>
        <w:r w:rsidRPr="00307A3F">
          <w:rPr>
            <w:rStyle w:val="af1"/>
            <w:rFonts w:asciiTheme="majorBidi" w:eastAsia="Times New Roman" w:hAnsiTheme="majorBidi" w:cstheme="majorBidi"/>
            <w:szCs w:val="18"/>
            <w:lang w:bidi="he-IL"/>
          </w:rPr>
          <w:t>/</w:t>
        </w:r>
        <w:proofErr w:type="spellStart"/>
        <w:r w:rsidRPr="00307A3F">
          <w:rPr>
            <w:rStyle w:val="af1"/>
            <w:rFonts w:asciiTheme="majorBidi" w:eastAsia="Times New Roman" w:hAnsiTheme="majorBidi" w:cstheme="majorBidi"/>
            <w:szCs w:val="18"/>
            <w:lang w:bidi="he-IL"/>
          </w:rPr>
          <w:t>etat-durgence</w:t>
        </w:r>
        <w:proofErr w:type="spellEnd"/>
      </w:hyperlink>
      <w:r>
        <w:rPr>
          <w:rStyle w:val="af1"/>
          <w:rFonts w:asciiTheme="majorBidi" w:eastAsia="Times New Roman" w:hAnsiTheme="majorBidi" w:cstheme="majorBidi"/>
          <w:color w:val="000000" w:themeColor="text1"/>
          <w:szCs w:val="18"/>
          <w:lang w:bidi="he-IL"/>
        </w:rPr>
        <w:t>)</w:t>
      </w:r>
      <w:r w:rsidRPr="006F1782">
        <w:rPr>
          <w:rFonts w:asciiTheme="majorBidi" w:eastAsia="Times New Roman" w:hAnsiTheme="majorBidi" w:cstheme="majorBidi"/>
          <w:color w:val="000000" w:themeColor="text1"/>
          <w:szCs w:val="18"/>
          <w:lang w:bidi="he-IL"/>
        </w:rPr>
        <w:t xml:space="preserve">, </w:t>
      </w:r>
      <w:r>
        <w:rPr>
          <w:rFonts w:asciiTheme="majorBidi" w:eastAsia="Times New Roman" w:hAnsiTheme="majorBidi" w:cstheme="majorBidi"/>
          <w:szCs w:val="18"/>
          <w:lang w:bidi="he-IL"/>
        </w:rPr>
        <w:t>particularly those related to minors and the need for access to adequate compensation for damages.</w:t>
      </w:r>
    </w:p>
  </w:footnote>
  <w:footnote w:id="14">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This anticipatory track in French counter-terrorism law has antecedents</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including legislative measures concerning surveillance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ee</w:t>
      </w:r>
      <w:r>
        <w:rPr>
          <w:rFonts w:asciiTheme="majorBidi" w:hAnsiTheme="majorBidi" w:cstheme="majorBidi"/>
          <w:color w:val="000000" w:themeColor="text1"/>
          <w:szCs w:val="18"/>
        </w:rPr>
        <w:t>, for example, the law of 21 January 1995 on the use of video surveillance; and</w:t>
      </w:r>
      <w:r w:rsidRPr="00CE2F4B">
        <w:rPr>
          <w:rFonts w:asciiTheme="majorBidi" w:hAnsiTheme="majorBidi" w:cstheme="majorBidi"/>
          <w:color w:val="000000" w:themeColor="text1"/>
          <w:szCs w:val="18"/>
        </w:rPr>
        <w:t xml:space="preserve"> anticipatory </w:t>
      </w:r>
      <w:r>
        <w:rPr>
          <w:rFonts w:asciiTheme="majorBidi" w:hAnsiTheme="majorBidi" w:cstheme="majorBidi"/>
          <w:color w:val="000000" w:themeColor="text1"/>
          <w:szCs w:val="18"/>
        </w:rPr>
        <w:t xml:space="preserve">regulation of </w:t>
      </w:r>
      <w:r w:rsidRPr="00CE2F4B">
        <w:rPr>
          <w:rFonts w:asciiTheme="majorBidi" w:hAnsiTheme="majorBidi" w:cstheme="majorBidi"/>
          <w:color w:val="000000" w:themeColor="text1"/>
          <w:szCs w:val="18"/>
        </w:rPr>
        <w:t>terrorism</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including incitement (article 421-2-4 of the Penal Code).</w:t>
      </w:r>
    </w:p>
  </w:footnote>
  <w:footnote w:id="15">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recognizes that portions of the SILT law have been deemed constitutional</w:t>
      </w:r>
      <w:r>
        <w:rPr>
          <w:rFonts w:asciiTheme="majorBidi" w:hAnsiTheme="majorBidi" w:cstheme="majorBidi"/>
          <w:color w:val="000000" w:themeColor="text1"/>
          <w:szCs w:val="18"/>
        </w:rPr>
        <w:t>. She notes that the standard of review applied in the present report is that of the full corpus of international human rights law.</w:t>
      </w:r>
    </w:p>
  </w:footnote>
  <w:footnote w:id="16">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notes the danger that exceptional administrative measures designed for the scourge of terrorism will be applied in other contexts, including but not limited to public demonstrations, including environmental protests. She encourages the French </w:t>
      </w:r>
      <w:r>
        <w:rPr>
          <w:rFonts w:asciiTheme="majorBidi" w:hAnsiTheme="majorBidi" w:cstheme="majorBidi"/>
          <w:color w:val="000000" w:themeColor="text1"/>
          <w:szCs w:val="18"/>
        </w:rPr>
        <w:t>G</w:t>
      </w:r>
      <w:r w:rsidRPr="00CE2F4B">
        <w:rPr>
          <w:rFonts w:asciiTheme="majorBidi" w:hAnsiTheme="majorBidi" w:cstheme="majorBidi"/>
          <w:color w:val="000000" w:themeColor="text1"/>
          <w:szCs w:val="18"/>
        </w:rPr>
        <w:t>overnment and judicial authorities to guard against such slippage.</w:t>
      </w:r>
    </w:p>
  </w:footnote>
  <w:footnote w:id="17">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See </w:t>
      </w:r>
      <w:hyperlink r:id="rId8" w:history="1">
        <w:r w:rsidRPr="00307A3F">
          <w:rPr>
            <w:rStyle w:val="af1"/>
            <w:rFonts w:asciiTheme="majorBidi" w:hAnsiTheme="majorBidi" w:cstheme="majorBidi"/>
            <w:szCs w:val="18"/>
          </w:rPr>
          <w:t>www.assemblee-nationale.fr/15/amendements/1349/CION_LOIS/CL1088.asp</w:t>
        </w:r>
      </w:hyperlink>
      <w:r>
        <w:rPr>
          <w:rStyle w:val="af1"/>
          <w:rFonts w:asciiTheme="majorBidi" w:hAnsiTheme="majorBidi" w:cstheme="majorBidi"/>
          <w:color w:val="000000" w:themeColor="text1"/>
          <w:szCs w:val="18"/>
        </w:rPr>
        <w:t>.</w:t>
      </w:r>
    </w:p>
  </w:footnote>
  <w:footnote w:id="18">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Constitutional Council, decision No. </w:t>
      </w:r>
      <w:r w:rsidRPr="00CE2F4B">
        <w:rPr>
          <w:rFonts w:asciiTheme="majorBidi" w:hAnsiTheme="majorBidi" w:cstheme="majorBidi"/>
          <w:color w:val="000000" w:themeColor="text1"/>
          <w:szCs w:val="18"/>
        </w:rPr>
        <w:t xml:space="preserve">2017-695 </w:t>
      </w:r>
      <w:proofErr w:type="spellStart"/>
      <w:r w:rsidRPr="00CE2F4B">
        <w:rPr>
          <w:rFonts w:asciiTheme="majorBidi" w:hAnsiTheme="majorBidi" w:cstheme="majorBidi"/>
          <w:color w:val="000000" w:themeColor="text1"/>
          <w:szCs w:val="18"/>
        </w:rPr>
        <w:t>QPC</w:t>
      </w:r>
      <w:proofErr w:type="spellEnd"/>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29 March </w:t>
      </w:r>
      <w:r w:rsidRPr="00CE2F4B">
        <w:rPr>
          <w:rFonts w:asciiTheme="majorBidi" w:hAnsiTheme="majorBidi" w:cstheme="majorBidi"/>
          <w:color w:val="000000" w:themeColor="text1"/>
          <w:szCs w:val="18"/>
        </w:rPr>
        <w:t>2018 (</w:t>
      </w:r>
      <w:r>
        <w:rPr>
          <w:rFonts w:asciiTheme="majorBidi" w:hAnsiTheme="majorBidi" w:cstheme="majorBidi"/>
          <w:color w:val="000000" w:themeColor="text1"/>
          <w:szCs w:val="18"/>
        </w:rPr>
        <w:t>finding</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rt</w:t>
      </w:r>
      <w:r>
        <w:rPr>
          <w:rFonts w:asciiTheme="majorBidi" w:hAnsiTheme="majorBidi" w:cstheme="majorBidi"/>
          <w:color w:val="000000" w:themeColor="text1"/>
          <w:szCs w:val="18"/>
        </w:rPr>
        <w:t>icle</w:t>
      </w:r>
      <w:r w:rsidRPr="00CE2F4B">
        <w:rPr>
          <w:rFonts w:asciiTheme="majorBidi" w:hAnsiTheme="majorBidi" w:cstheme="majorBidi"/>
          <w:color w:val="000000" w:themeColor="text1"/>
          <w:szCs w:val="18"/>
        </w:rPr>
        <w:t xml:space="preserve"> </w:t>
      </w:r>
      <w:proofErr w:type="spellStart"/>
      <w:r w:rsidRPr="00CE2F4B">
        <w:rPr>
          <w:rFonts w:asciiTheme="majorBidi" w:hAnsiTheme="majorBidi" w:cstheme="majorBidi"/>
          <w:color w:val="000000" w:themeColor="text1"/>
          <w:szCs w:val="18"/>
        </w:rPr>
        <w:t>L</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228</w:t>
      </w:r>
      <w:proofErr w:type="spellEnd"/>
      <w:r w:rsidRPr="00CE2F4B">
        <w:rPr>
          <w:rFonts w:asciiTheme="majorBidi" w:hAnsiTheme="majorBidi" w:cstheme="majorBidi"/>
          <w:color w:val="000000" w:themeColor="text1"/>
          <w:szCs w:val="18"/>
        </w:rPr>
        <w:t xml:space="preserve">-1 of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Internal Security Code constitutional)</w:t>
      </w:r>
      <w:r>
        <w:rPr>
          <w:rFonts w:asciiTheme="majorBidi" w:hAnsiTheme="majorBidi" w:cstheme="majorBidi"/>
          <w:color w:val="000000" w:themeColor="text1"/>
          <w:szCs w:val="18"/>
        </w:rPr>
        <w:t>.</w:t>
      </w:r>
    </w:p>
  </w:footnote>
  <w:footnote w:id="19">
    <w:p w:rsidR="00F6015D" w:rsidRPr="00307A3F" w:rsidRDefault="00F6015D" w:rsidP="003951A7">
      <w:pPr>
        <w:pStyle w:val="a8"/>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Ibid.,</w:t>
      </w:r>
      <w:r w:rsidRPr="00CE2F4B">
        <w:rPr>
          <w:rFonts w:asciiTheme="majorBidi" w:hAnsiTheme="majorBidi" w:cstheme="majorBidi"/>
          <w:color w:val="000000" w:themeColor="text1"/>
          <w:szCs w:val="18"/>
        </w:rPr>
        <w:t xml:space="preserve"> para.</w:t>
      </w:r>
      <w:r>
        <w:rPr>
          <w:rFonts w:asciiTheme="majorBidi" w:hAnsiTheme="majorBidi" w:cstheme="majorBidi"/>
          <w:color w:val="000000" w:themeColor="text1"/>
          <w:szCs w:val="18"/>
        </w:rPr>
        <w:t xml:space="preserve"> </w:t>
      </w:r>
      <w:r w:rsidRPr="00307A3F">
        <w:rPr>
          <w:rFonts w:asciiTheme="majorBidi" w:hAnsiTheme="majorBidi" w:cstheme="majorBidi"/>
          <w:color w:val="000000" w:themeColor="text1"/>
          <w:szCs w:val="18"/>
          <w:lang w:val="en-US"/>
        </w:rPr>
        <w:t>53.</w:t>
      </w:r>
      <w:r w:rsidR="003951A7">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The Special Rapporteur acknowledges and welcomes proposed legal reforms.</w:t>
      </w:r>
    </w:p>
  </w:footnote>
  <w:footnote w:id="20">
    <w:p w:rsidR="00F6015D" w:rsidRPr="00307A3F" w:rsidRDefault="00F6015D" w:rsidP="003951A7">
      <w:pPr>
        <w:pStyle w:val="a8"/>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ac"/>
        </w:rPr>
        <w:footnoteRef/>
      </w:r>
      <w:r w:rsidRPr="00307A3F">
        <w:rPr>
          <w:rFonts w:asciiTheme="majorBidi" w:hAnsiTheme="majorBidi" w:cstheme="majorBidi"/>
          <w:color w:val="000000" w:themeColor="text1"/>
          <w:szCs w:val="18"/>
          <w:lang w:val="en-US"/>
        </w:rPr>
        <w:tab/>
        <w:t>Council of State, decision No. 421791 of 16 July 2018; see also National Consultative Commission on Human Rights opinion of 17 July 2006.</w:t>
      </w:r>
    </w:p>
  </w:footnote>
  <w:footnote w:id="21">
    <w:p w:rsidR="00F6015D" w:rsidRPr="00CE2F4B" w:rsidRDefault="00F6015D" w:rsidP="003951A7">
      <w:pPr>
        <w:pStyle w:val="a8"/>
      </w:pPr>
      <w:r w:rsidRPr="00CE2F4B">
        <w:tab/>
      </w:r>
      <w:r w:rsidRPr="00FF7A66">
        <w:rPr>
          <w:rStyle w:val="ac"/>
        </w:rPr>
        <w:footnoteRef/>
      </w:r>
      <w:r>
        <w:tab/>
      </w:r>
      <w:r w:rsidRPr="00CE2F4B">
        <w:t xml:space="preserve">Amnesty International, </w:t>
      </w:r>
      <w:r w:rsidRPr="00307A3F">
        <w:rPr>
          <w:i/>
        </w:rPr>
        <w:t>Punished with Trial: The Use of Administrative Control Measures in the Context of Counter-Terrorism in France</w:t>
      </w:r>
      <w:r w:rsidRPr="00CE2F4B">
        <w:t xml:space="preserve"> (2018)</w:t>
      </w:r>
      <w:r>
        <w:t>.</w:t>
      </w:r>
    </w:p>
  </w:footnote>
  <w:footnote w:id="22">
    <w:p w:rsidR="00F6015D" w:rsidRPr="00307A3F" w:rsidRDefault="00F6015D" w:rsidP="003951A7">
      <w:pPr>
        <w:pStyle w:val="a8"/>
        <w:rPr>
          <w:rFonts w:asciiTheme="majorBidi" w:hAnsiTheme="majorBidi" w:cstheme="majorBidi"/>
          <w:color w:val="000000" w:themeColor="text1"/>
          <w:szCs w:val="18"/>
          <w:lang w:val="en-US"/>
        </w:rPr>
      </w:pPr>
      <w:r w:rsidRPr="00307A3F">
        <w:rPr>
          <w:rFonts w:asciiTheme="majorBidi" w:hAnsiTheme="majorBidi" w:cstheme="majorBidi"/>
          <w:color w:val="000000" w:themeColor="text1"/>
          <w:szCs w:val="18"/>
          <w:lang w:val="en-US"/>
        </w:rPr>
        <w:tab/>
      </w:r>
      <w:r w:rsidRPr="00FF7A66">
        <w:rPr>
          <w:rStyle w:val="ac"/>
        </w:rPr>
        <w:footnoteRef/>
      </w:r>
      <w:r w:rsidRPr="00307A3F">
        <w:rPr>
          <w:rFonts w:asciiTheme="majorBidi" w:hAnsiTheme="majorBidi" w:cstheme="majorBidi"/>
          <w:color w:val="000000" w:themeColor="text1"/>
          <w:szCs w:val="18"/>
          <w:lang w:val="en-US"/>
        </w:rPr>
        <w:tab/>
        <w:t>European Convention on Human Rights, art. 5;</w:t>
      </w:r>
      <w:r w:rsidR="003951A7">
        <w:rPr>
          <w:rFonts w:asciiTheme="majorBidi" w:hAnsiTheme="majorBidi" w:cstheme="majorBidi"/>
          <w:color w:val="000000" w:themeColor="text1"/>
          <w:szCs w:val="18"/>
          <w:lang w:val="en-US"/>
        </w:rPr>
        <w:t xml:space="preserve"> </w:t>
      </w:r>
      <w:r w:rsidRPr="00307A3F">
        <w:rPr>
          <w:rFonts w:asciiTheme="majorBidi" w:hAnsiTheme="majorBidi" w:cstheme="majorBidi"/>
          <w:color w:val="000000" w:themeColor="text1"/>
          <w:szCs w:val="18"/>
          <w:lang w:val="en-US"/>
        </w:rPr>
        <w:t>and International Covenant on Civil and Political Rights, art. 9.</w:t>
      </w:r>
    </w:p>
  </w:footnote>
  <w:footnote w:id="23">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Internal Security Code, </w:t>
      </w:r>
      <w:r w:rsidRPr="00307A3F">
        <w:rPr>
          <w:rFonts w:asciiTheme="majorBidi" w:hAnsiTheme="majorBidi" w:cstheme="majorBidi"/>
          <w:color w:val="000000" w:themeColor="text1"/>
          <w:szCs w:val="18"/>
          <w:lang w:val="en-US"/>
        </w:rPr>
        <w:t xml:space="preserve">art. </w:t>
      </w:r>
      <w:proofErr w:type="spellStart"/>
      <w:r w:rsidRPr="00307A3F">
        <w:rPr>
          <w:rFonts w:asciiTheme="majorBidi" w:hAnsiTheme="majorBidi" w:cstheme="majorBidi"/>
          <w:color w:val="000000" w:themeColor="text1"/>
          <w:szCs w:val="18"/>
          <w:lang w:val="en-US"/>
        </w:rPr>
        <w:t>L.228</w:t>
      </w:r>
      <w:proofErr w:type="spellEnd"/>
      <w:r w:rsidRPr="00307A3F">
        <w:rPr>
          <w:rFonts w:asciiTheme="majorBidi" w:hAnsiTheme="majorBidi" w:cstheme="majorBidi"/>
          <w:color w:val="000000" w:themeColor="text1"/>
          <w:szCs w:val="18"/>
          <w:lang w:val="en-US"/>
        </w:rPr>
        <w:t>-2.</w:t>
      </w:r>
    </w:p>
  </w:footnote>
  <w:footnote w:id="24">
    <w:p w:rsidR="00F6015D" w:rsidRPr="00CE2F4B" w:rsidRDefault="00F6015D" w:rsidP="003951A7">
      <w:pPr>
        <w:pStyle w:val="a8"/>
        <w:rPr>
          <w:rFonts w:asciiTheme="majorBidi" w:hAnsiTheme="majorBidi" w:cstheme="majorBidi"/>
          <w:color w:val="000000" w:themeColor="text1"/>
          <w:szCs w:val="18"/>
        </w:rPr>
      </w:pPr>
      <w:r w:rsidRPr="00307A3F">
        <w:rPr>
          <w:rFonts w:asciiTheme="majorBidi" w:hAnsiTheme="majorBidi" w:cstheme="majorBidi"/>
          <w:color w:val="000000" w:themeColor="text1"/>
          <w:szCs w:val="18"/>
          <w:lang w:val="en-US"/>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International Covenant on Economic, Social and Cultural Rights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w:t>
      </w:r>
      <w:r w:rsidRPr="00CE2F4B">
        <w:rPr>
          <w:rFonts w:asciiTheme="majorBidi" w:hAnsiTheme="majorBidi" w:cstheme="majorBidi"/>
          <w:color w:val="000000" w:themeColor="text1"/>
          <w:szCs w:val="18"/>
        </w:rPr>
        <w:t xml:space="preserve"> 6</w:t>
      </w:r>
      <w:r>
        <w:rPr>
          <w:rFonts w:asciiTheme="majorBidi" w:hAnsiTheme="majorBidi" w:cstheme="majorBidi"/>
          <w:color w:val="000000" w:themeColor="text1"/>
          <w:szCs w:val="18"/>
        </w:rPr>
        <w:t>.</w:t>
      </w:r>
    </w:p>
  </w:footnote>
  <w:footnote w:id="25">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Council of State,</w:t>
      </w:r>
      <w:r w:rsidRPr="00CE2F4B">
        <w:rPr>
          <w:rFonts w:asciiTheme="majorBidi" w:hAnsiTheme="majorBidi" w:cstheme="majorBidi"/>
          <w:color w:val="000000" w:themeColor="text1"/>
          <w:szCs w:val="18"/>
        </w:rPr>
        <w:t xml:space="preserve"> decision</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No. 398960</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28 </w:t>
      </w:r>
      <w:r w:rsidRPr="00CE2F4B">
        <w:rPr>
          <w:rFonts w:asciiTheme="majorBidi" w:hAnsiTheme="majorBidi" w:cstheme="majorBidi"/>
          <w:color w:val="000000" w:themeColor="text1"/>
          <w:szCs w:val="18"/>
        </w:rPr>
        <w:t xml:space="preserve">April 2016 (holding that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applicant</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s professional life was not impinged upon by house arrest because of the availability of unemployment compensation and national assistance); 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409677</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25 April </w:t>
      </w:r>
      <w:r w:rsidRPr="00CE2F4B">
        <w:rPr>
          <w:rFonts w:asciiTheme="majorBidi" w:hAnsiTheme="majorBidi" w:cstheme="majorBidi"/>
          <w:color w:val="000000" w:themeColor="text1"/>
          <w:szCs w:val="18"/>
        </w:rPr>
        <w:t xml:space="preserve">2017; </w:t>
      </w:r>
      <w:r>
        <w:rPr>
          <w:rFonts w:asciiTheme="majorBidi" w:hAnsiTheme="majorBidi" w:cstheme="majorBidi"/>
          <w:color w:val="000000" w:themeColor="text1"/>
          <w:szCs w:val="18"/>
        </w:rPr>
        <w:t xml:space="preserve">and </w:t>
      </w:r>
      <w:r w:rsidRPr="00CE2F4B">
        <w:rPr>
          <w:rFonts w:asciiTheme="majorBidi" w:hAnsiTheme="majorBidi" w:cstheme="majorBidi"/>
          <w:color w:val="000000" w:themeColor="text1"/>
          <w:szCs w:val="18"/>
        </w:rPr>
        <w:t>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413369</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25 August </w:t>
      </w:r>
      <w:r w:rsidRPr="00CE2F4B">
        <w:rPr>
          <w:rFonts w:asciiTheme="majorBidi" w:hAnsiTheme="majorBidi" w:cstheme="majorBidi"/>
          <w:color w:val="000000" w:themeColor="text1"/>
          <w:szCs w:val="18"/>
        </w:rPr>
        <w:t>2017.</w:t>
      </w:r>
    </w:p>
  </w:footnote>
  <w:footnote w:id="26">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ab/>
        <w:t>Secretary-General</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s Plan of Action to Prevent Violent Extremism (</w:t>
      </w:r>
      <w:r>
        <w:rPr>
          <w:rFonts w:asciiTheme="majorBidi" w:hAnsiTheme="majorBidi" w:cstheme="majorBidi"/>
          <w:color w:val="000000" w:themeColor="text1"/>
          <w:szCs w:val="18"/>
        </w:rPr>
        <w:t>A/70/674</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paras</w:t>
      </w:r>
      <w:r w:rsidR="009043BD">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3, 4, 9, 25 and 26. </w:t>
      </w:r>
    </w:p>
  </w:footnote>
  <w:footnote w:id="27">
    <w:p w:rsidR="00F6015D" w:rsidRDefault="00F6015D" w:rsidP="003951A7">
      <w:pPr>
        <w:pStyle w:val="a8"/>
      </w:pPr>
      <w:r>
        <w:tab/>
      </w:r>
      <w:r w:rsidRPr="00FF7A66">
        <w:rPr>
          <w:rStyle w:val="ac"/>
        </w:rPr>
        <w:footnoteRef/>
      </w:r>
      <w:r>
        <w:t xml:space="preserve"> </w:t>
      </w:r>
      <w:r>
        <w:tab/>
        <w:t xml:space="preserve">The Special Rapporteur notes that in its </w:t>
      </w:r>
      <w:r>
        <w:rPr>
          <w:rFonts w:asciiTheme="majorBidi" w:hAnsiTheme="majorBidi" w:cstheme="majorBidi"/>
          <w:color w:val="000000" w:themeColor="text1"/>
          <w:szCs w:val="18"/>
        </w:rPr>
        <w:t xml:space="preserve">decision </w:t>
      </w:r>
      <w:r w:rsidRPr="00307A3F">
        <w:rPr>
          <w:lang w:val="en-US"/>
        </w:rPr>
        <w:t xml:space="preserve">No. 2017-695 </w:t>
      </w:r>
      <w:proofErr w:type="spellStart"/>
      <w:r w:rsidRPr="00307A3F">
        <w:rPr>
          <w:lang w:val="en-US"/>
        </w:rPr>
        <w:t>QPC</w:t>
      </w:r>
      <w:proofErr w:type="spellEnd"/>
      <w:r w:rsidRPr="00307A3F">
        <w:rPr>
          <w:lang w:val="en-US"/>
        </w:rPr>
        <w:t xml:space="preserve">, the Constitutional Council defines the conditions for seizure of documents and objects. </w:t>
      </w:r>
    </w:p>
  </w:footnote>
  <w:footnote w:id="28">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Constitutional Council</w:t>
      </w:r>
      <w:r w:rsidRPr="00CE2F4B">
        <w:rPr>
          <w:rFonts w:asciiTheme="majorBidi" w:hAnsiTheme="majorBidi" w:cstheme="majorBidi"/>
          <w:color w:val="000000" w:themeColor="text1"/>
          <w:szCs w:val="18"/>
        </w:rPr>
        <w:t xml:space="preserve"> </w:t>
      </w:r>
      <w:proofErr w:type="gramStart"/>
      <w:r w:rsidRPr="00CE2F4B">
        <w:rPr>
          <w:rFonts w:asciiTheme="majorBidi" w:hAnsiTheme="majorBidi" w:cstheme="majorBidi"/>
          <w:color w:val="000000" w:themeColor="text1"/>
          <w:szCs w:val="18"/>
        </w:rPr>
        <w:t>decision</w:t>
      </w:r>
      <w:proofErr w:type="gramEnd"/>
      <w:r w:rsidRPr="00CE2F4B">
        <w:rPr>
          <w:rFonts w:asciiTheme="majorBidi" w:hAnsiTheme="majorBidi" w:cstheme="majorBidi"/>
          <w:color w:val="000000" w:themeColor="text1"/>
          <w:szCs w:val="18"/>
        </w:rPr>
        <w:t xml:space="preserve"> No.</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 xml:space="preserve">2017-695 </w:t>
      </w:r>
      <w:proofErr w:type="spellStart"/>
      <w:r w:rsidRPr="00CE2F4B">
        <w:rPr>
          <w:rFonts w:asciiTheme="majorBidi" w:hAnsiTheme="majorBidi" w:cstheme="majorBidi"/>
          <w:color w:val="000000" w:themeColor="text1"/>
          <w:szCs w:val="18"/>
        </w:rPr>
        <w:t>QPC</w:t>
      </w:r>
      <w:proofErr w:type="spellEnd"/>
      <w:r w:rsidRPr="00CE2F4B">
        <w:rPr>
          <w:rFonts w:asciiTheme="majorBidi" w:hAnsiTheme="majorBidi" w:cstheme="majorBidi"/>
          <w:color w:val="000000" w:themeColor="text1"/>
          <w:szCs w:val="18"/>
        </w:rPr>
        <w:t>, para</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69</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70.</w:t>
      </w:r>
    </w:p>
  </w:footnote>
  <w:footnote w:id="29">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otwithstanding</w:t>
      </w:r>
      <w:r w:rsidR="003951A7">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 xml:space="preserve">Security Council </w:t>
      </w:r>
      <w:r>
        <w:rPr>
          <w:rFonts w:asciiTheme="majorBidi" w:hAnsiTheme="majorBidi" w:cstheme="majorBidi"/>
          <w:color w:val="000000" w:themeColor="text1"/>
          <w:szCs w:val="18"/>
        </w:rPr>
        <w:t>r</w:t>
      </w:r>
      <w:r w:rsidRPr="00CE2F4B">
        <w:rPr>
          <w:rFonts w:asciiTheme="majorBidi" w:hAnsiTheme="majorBidi" w:cstheme="majorBidi"/>
          <w:color w:val="000000" w:themeColor="text1"/>
          <w:szCs w:val="18"/>
        </w:rPr>
        <w:t>esolution 1566</w:t>
      </w:r>
      <w:r>
        <w:rPr>
          <w:rFonts w:asciiTheme="majorBidi" w:hAnsiTheme="majorBidi" w:cstheme="majorBidi"/>
          <w:color w:val="000000" w:themeColor="text1"/>
          <w:szCs w:val="18"/>
        </w:rPr>
        <w:t xml:space="preserve"> (2004)</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General Assembly r</w:t>
      </w:r>
      <w:r w:rsidRPr="00CE2F4B">
        <w:rPr>
          <w:rFonts w:asciiTheme="majorBidi" w:hAnsiTheme="majorBidi" w:cstheme="majorBidi"/>
          <w:color w:val="000000" w:themeColor="text1"/>
          <w:szCs w:val="18"/>
        </w:rPr>
        <w:t xml:space="preserve">esolution 46/90 and the 1999 </w:t>
      </w:r>
      <w:r>
        <w:rPr>
          <w:rFonts w:asciiTheme="majorBidi" w:hAnsiTheme="majorBidi" w:cstheme="majorBidi"/>
          <w:color w:val="000000" w:themeColor="text1"/>
          <w:szCs w:val="18"/>
        </w:rPr>
        <w:t xml:space="preserve">International </w:t>
      </w:r>
      <w:r w:rsidRPr="00CE2F4B">
        <w:rPr>
          <w:rFonts w:asciiTheme="majorBidi" w:hAnsiTheme="majorBidi" w:cstheme="majorBidi"/>
          <w:color w:val="000000" w:themeColor="text1"/>
          <w:szCs w:val="18"/>
        </w:rPr>
        <w:t xml:space="preserve">Convention </w:t>
      </w:r>
      <w:r>
        <w:rPr>
          <w:rFonts w:asciiTheme="majorBidi" w:hAnsiTheme="majorBidi" w:cstheme="majorBidi"/>
          <w:color w:val="000000" w:themeColor="text1"/>
          <w:szCs w:val="18"/>
        </w:rPr>
        <w:t>for the Suppression of the Financing of</w:t>
      </w:r>
      <w:r w:rsidRPr="00CE2F4B">
        <w:rPr>
          <w:rFonts w:asciiTheme="majorBidi" w:hAnsiTheme="majorBidi" w:cstheme="majorBidi"/>
          <w:color w:val="000000" w:themeColor="text1"/>
          <w:szCs w:val="18"/>
        </w:rPr>
        <w:t xml:space="preserve"> Terrorism</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which only partially resolve the international legal lacunae.</w:t>
      </w:r>
    </w:p>
  </w:footnote>
  <w:footnote w:id="30">
    <w:p w:rsidR="00F6015D" w:rsidRPr="00CE2F4B" w:rsidRDefault="00F6015D" w:rsidP="003951A7">
      <w:pPr>
        <w:pStyle w:val="a8"/>
        <w:rPr>
          <w:rFonts w:asciiTheme="majorBidi" w:hAnsiTheme="majorBidi" w:cstheme="majorBidi"/>
          <w:color w:val="000000" w:themeColor="text1"/>
          <w:szCs w:val="18"/>
          <w:lang w:val="fr-FR"/>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lang w:val="fr-FR"/>
        </w:rPr>
        <w:tab/>
      </w:r>
      <w:r>
        <w:rPr>
          <w:rFonts w:asciiTheme="majorBidi" w:hAnsiTheme="majorBidi" w:cstheme="majorBidi"/>
          <w:color w:val="000000" w:themeColor="text1"/>
          <w:szCs w:val="18"/>
          <w:lang w:val="fr-FR"/>
        </w:rPr>
        <w:t xml:space="preserve">Stéphanie </w:t>
      </w:r>
      <w:proofErr w:type="spellStart"/>
      <w:r>
        <w:rPr>
          <w:rFonts w:asciiTheme="majorBidi" w:hAnsiTheme="majorBidi" w:cstheme="majorBidi"/>
          <w:color w:val="000000" w:themeColor="text1"/>
          <w:szCs w:val="18"/>
          <w:lang w:val="fr-FR"/>
        </w:rPr>
        <w:t>Hennette</w:t>
      </w:r>
      <w:proofErr w:type="spellEnd"/>
      <w:r>
        <w:rPr>
          <w:rFonts w:asciiTheme="majorBidi" w:hAnsiTheme="majorBidi" w:cstheme="majorBidi"/>
          <w:color w:val="000000" w:themeColor="text1"/>
          <w:szCs w:val="18"/>
          <w:lang w:val="fr-FR"/>
        </w:rPr>
        <w:t xml:space="preserve">-Vauchez, </w:t>
      </w:r>
      <w:r w:rsidRPr="00307A3F">
        <w:rPr>
          <w:rFonts w:asciiTheme="majorBidi" w:hAnsiTheme="majorBidi" w:cstheme="majorBidi"/>
          <w:i/>
          <w:color w:val="000000" w:themeColor="text1"/>
          <w:szCs w:val="18"/>
          <w:lang w:val="fr-FR"/>
        </w:rPr>
        <w:t xml:space="preserve">Ce qui reste(ra) toujours de </w:t>
      </w:r>
      <w:r>
        <w:rPr>
          <w:rFonts w:asciiTheme="majorBidi" w:hAnsiTheme="majorBidi" w:cstheme="majorBidi"/>
          <w:i/>
          <w:color w:val="000000" w:themeColor="text1"/>
          <w:szCs w:val="18"/>
          <w:lang w:val="fr-FR"/>
        </w:rPr>
        <w:t>l</w:t>
      </w:r>
      <w:r w:rsidR="00B57B03">
        <w:rPr>
          <w:rFonts w:asciiTheme="majorBidi" w:hAnsiTheme="majorBidi" w:cstheme="majorBidi"/>
          <w:i/>
          <w:color w:val="000000" w:themeColor="text1"/>
          <w:szCs w:val="18"/>
          <w:lang w:val="fr-FR"/>
        </w:rPr>
        <w:t>’</w:t>
      </w:r>
      <w:r w:rsidRPr="00307A3F">
        <w:rPr>
          <w:rFonts w:asciiTheme="majorBidi" w:hAnsiTheme="majorBidi" w:cstheme="majorBidi"/>
          <w:i/>
          <w:color w:val="000000" w:themeColor="text1"/>
          <w:szCs w:val="18"/>
          <w:lang w:val="fr-FR"/>
        </w:rPr>
        <w:t>urgence</w:t>
      </w:r>
      <w:r>
        <w:rPr>
          <w:rFonts w:asciiTheme="majorBidi" w:hAnsiTheme="majorBidi" w:cstheme="majorBidi"/>
          <w:color w:val="000000" w:themeColor="text1"/>
          <w:szCs w:val="18"/>
          <w:lang w:val="fr-FR"/>
        </w:rPr>
        <w:t xml:space="preserve"> (</w:t>
      </w:r>
      <w:proofErr w:type="spellStart"/>
      <w:r>
        <w:rPr>
          <w:rFonts w:asciiTheme="majorBidi" w:hAnsiTheme="majorBidi" w:cstheme="majorBidi"/>
          <w:color w:val="000000" w:themeColor="text1"/>
          <w:szCs w:val="18"/>
          <w:lang w:val="fr-FR"/>
        </w:rPr>
        <w:t>University</w:t>
      </w:r>
      <w:proofErr w:type="spellEnd"/>
      <w:r>
        <w:rPr>
          <w:rFonts w:asciiTheme="majorBidi" w:hAnsiTheme="majorBidi" w:cstheme="majorBidi"/>
          <w:color w:val="000000" w:themeColor="text1"/>
          <w:szCs w:val="18"/>
          <w:lang w:val="fr-FR"/>
        </w:rPr>
        <w:t xml:space="preserve"> of Paris, Nanterre, 2018).</w:t>
      </w:r>
    </w:p>
  </w:footnote>
  <w:footnote w:id="31">
    <w:p w:rsidR="00F6015D" w:rsidRPr="00CE2F4B" w:rsidRDefault="00F6015D" w:rsidP="00766DD1">
      <w:pPr>
        <w:pStyle w:val="a8"/>
        <w:rPr>
          <w:rFonts w:asciiTheme="majorBidi" w:hAnsiTheme="majorBidi" w:cstheme="majorBidi"/>
          <w:color w:val="000000" w:themeColor="text1"/>
          <w:szCs w:val="18"/>
          <w:u w:val="single"/>
        </w:rPr>
      </w:pPr>
      <w:r w:rsidRPr="00CE2F4B">
        <w:rPr>
          <w:rFonts w:asciiTheme="majorBidi" w:hAnsiTheme="majorBidi" w:cstheme="majorBidi"/>
          <w:color w:val="000000" w:themeColor="text1"/>
          <w:szCs w:val="18"/>
          <w:lang w:val="fr-FR"/>
        </w:rPr>
        <w:tab/>
      </w:r>
      <w:r w:rsidRPr="00FF7A66">
        <w:rPr>
          <w:rStyle w:val="ac"/>
        </w:rPr>
        <w:footnoteRef/>
      </w:r>
      <w:r w:rsidRPr="00CE2F4B">
        <w:rPr>
          <w:rFonts w:asciiTheme="majorBidi" w:hAnsiTheme="majorBidi" w:cstheme="majorBidi"/>
          <w:color w:val="000000" w:themeColor="text1"/>
          <w:szCs w:val="18"/>
        </w:rPr>
        <w:tab/>
      </w:r>
      <w:hyperlink r:id="rId9" w:tgtFrame="_blank" w:history="1">
        <w:r w:rsidRPr="00CE2F4B">
          <w:rPr>
            <w:rStyle w:val="af1"/>
            <w:rFonts w:asciiTheme="majorBidi" w:hAnsiTheme="majorBidi" w:cstheme="majorBidi"/>
            <w:color w:val="000000" w:themeColor="text1"/>
            <w:szCs w:val="18"/>
          </w:rPr>
          <w:t>Constitutional Court, decision No.</w:t>
        </w:r>
        <w:r>
          <w:rPr>
            <w:rStyle w:val="af1"/>
            <w:rFonts w:asciiTheme="majorBidi" w:hAnsiTheme="majorBidi" w:cstheme="majorBidi"/>
            <w:color w:val="000000" w:themeColor="text1"/>
            <w:szCs w:val="18"/>
          </w:rPr>
          <w:t xml:space="preserve"> </w:t>
        </w:r>
        <w:r w:rsidRPr="00CE2F4B">
          <w:rPr>
            <w:rStyle w:val="af1"/>
            <w:rFonts w:asciiTheme="majorBidi" w:hAnsiTheme="majorBidi" w:cstheme="majorBidi"/>
            <w:color w:val="000000" w:themeColor="text1"/>
            <w:szCs w:val="18"/>
          </w:rPr>
          <w:t xml:space="preserve">2017-695 </w:t>
        </w:r>
        <w:proofErr w:type="spellStart"/>
        <w:r w:rsidRPr="00CE2F4B">
          <w:rPr>
            <w:rStyle w:val="af1"/>
            <w:rFonts w:asciiTheme="majorBidi" w:hAnsiTheme="majorBidi" w:cstheme="majorBidi"/>
            <w:color w:val="000000" w:themeColor="text1"/>
            <w:szCs w:val="18"/>
          </w:rPr>
          <w:t>QPC</w:t>
        </w:r>
        <w:proofErr w:type="spellEnd"/>
        <w:r w:rsidRPr="00CE2F4B">
          <w:rPr>
            <w:rStyle w:val="af1"/>
            <w:rFonts w:asciiTheme="majorBidi" w:hAnsiTheme="majorBidi" w:cstheme="majorBidi"/>
            <w:color w:val="000000" w:themeColor="text1"/>
            <w:szCs w:val="18"/>
          </w:rPr>
          <w:t>, para.</w:t>
        </w:r>
        <w:r>
          <w:rPr>
            <w:rStyle w:val="af1"/>
            <w:rFonts w:asciiTheme="majorBidi" w:hAnsiTheme="majorBidi" w:cstheme="majorBidi"/>
            <w:color w:val="000000" w:themeColor="text1"/>
            <w:szCs w:val="18"/>
          </w:rPr>
          <w:t xml:space="preserve"> </w:t>
        </w:r>
        <w:r w:rsidRPr="00CE2F4B">
          <w:rPr>
            <w:rStyle w:val="af1"/>
            <w:rFonts w:asciiTheme="majorBidi" w:hAnsiTheme="majorBidi" w:cstheme="majorBidi"/>
            <w:color w:val="000000" w:themeColor="text1"/>
            <w:szCs w:val="18"/>
          </w:rPr>
          <w:t>27</w:t>
        </w:r>
      </w:hyperlink>
      <w:r>
        <w:rPr>
          <w:rStyle w:val="af1"/>
          <w:rFonts w:asciiTheme="majorBidi" w:hAnsiTheme="majorBidi" w:cstheme="majorBidi"/>
          <w:color w:val="000000" w:themeColor="text1"/>
          <w:szCs w:val="18"/>
        </w:rPr>
        <w:t>.</w:t>
      </w:r>
    </w:p>
  </w:footnote>
  <w:footnote w:id="32">
    <w:p w:rsidR="00F6015D" w:rsidRPr="00CE2F4B" w:rsidRDefault="00F6015D" w:rsidP="003951A7">
      <w:pPr>
        <w:pStyle w:val="a8"/>
      </w:pPr>
      <w:r>
        <w:tab/>
      </w:r>
      <w:r w:rsidRPr="00FF7A66">
        <w:rPr>
          <w:rStyle w:val="ac"/>
        </w:rPr>
        <w:footnoteRef/>
      </w:r>
      <w:r w:rsidRPr="00CE2F4B">
        <w:t xml:space="preserve"> </w:t>
      </w:r>
      <w:r w:rsidRPr="00CE2F4B">
        <w:tab/>
      </w:r>
      <w:r w:rsidRPr="00307A3F">
        <w:rPr>
          <w:lang w:val="en-US"/>
        </w:rPr>
        <w:t xml:space="preserve">Article </w:t>
      </w:r>
      <w:proofErr w:type="spellStart"/>
      <w:r w:rsidRPr="00307A3F">
        <w:rPr>
          <w:lang w:val="en-US"/>
        </w:rPr>
        <w:t>L.227</w:t>
      </w:r>
      <w:proofErr w:type="spellEnd"/>
      <w:r w:rsidRPr="00307A3F">
        <w:rPr>
          <w:lang w:val="en-US"/>
        </w:rPr>
        <w:t>-1 of the Internal Security Code is directed to the closure of places of worship</w:t>
      </w:r>
      <w:r>
        <w:rPr>
          <w:lang w:val="en-US"/>
        </w:rPr>
        <w:t>, and i</w:t>
      </w:r>
      <w:r w:rsidRPr="00307A3F">
        <w:rPr>
          <w:lang w:val="en-US"/>
        </w:rPr>
        <w:t>n practice</w:t>
      </w:r>
      <w:r>
        <w:rPr>
          <w:lang w:val="en-US"/>
        </w:rPr>
        <w:t xml:space="preserve"> primarily to</w:t>
      </w:r>
      <w:r w:rsidRPr="00307A3F">
        <w:rPr>
          <w:lang w:val="en-US"/>
        </w:rPr>
        <w:t xml:space="preserve"> mosques </w:t>
      </w:r>
      <w:r>
        <w:rPr>
          <w:lang w:val="en-US"/>
        </w:rPr>
        <w:t>and</w:t>
      </w:r>
      <w:r w:rsidRPr="00307A3F">
        <w:rPr>
          <w:lang w:val="en-US"/>
        </w:rPr>
        <w:t xml:space="preserve"> prayer rooms.</w:t>
      </w:r>
    </w:p>
  </w:footnote>
  <w:footnote w:id="33">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The Special Rapporteur </w:t>
      </w:r>
      <w:r w:rsidRPr="00CE2F4B">
        <w:rPr>
          <w:rFonts w:asciiTheme="majorBidi" w:hAnsiTheme="majorBidi" w:cstheme="majorBidi"/>
          <w:color w:val="000000" w:themeColor="text1"/>
          <w:szCs w:val="18"/>
        </w:rPr>
        <w:t>notes that 51 mosques/prayer rooms have been closed since 2012</w:t>
      </w:r>
      <w:r>
        <w:rPr>
          <w:rFonts w:asciiTheme="majorBidi" w:hAnsiTheme="majorBidi" w:cstheme="majorBidi"/>
          <w:color w:val="000000" w:themeColor="text1"/>
          <w:szCs w:val="18"/>
        </w:rPr>
        <w:t xml:space="preserve"> and</w:t>
      </w:r>
      <w:r w:rsidRPr="00CE2F4B">
        <w:rPr>
          <w:rFonts w:asciiTheme="majorBidi" w:hAnsiTheme="majorBidi" w:cstheme="majorBidi"/>
          <w:color w:val="000000" w:themeColor="text1"/>
          <w:szCs w:val="18"/>
        </w:rPr>
        <w:t xml:space="preserve"> that even short-term closures have substantial effects, including stigma, on communities of faith.</w:t>
      </w:r>
    </w:p>
  </w:footnote>
  <w:footnote w:id="34">
    <w:p w:rsidR="00F6015D" w:rsidRPr="00307A3F" w:rsidRDefault="00F6015D" w:rsidP="003951A7">
      <w:pPr>
        <w:pStyle w:val="a8"/>
        <w:rPr>
          <w:rFonts w:asciiTheme="majorBidi" w:hAnsiTheme="majorBidi" w:cstheme="majorBidi"/>
          <w:color w:val="000000" w:themeColor="text1"/>
          <w:szCs w:val="18"/>
          <w:lang w:val="en-US"/>
        </w:rPr>
      </w:pPr>
      <w:r w:rsidRPr="00CE2F4B">
        <w:rPr>
          <w:rFonts w:asciiTheme="majorBidi" w:hAnsiTheme="majorBidi" w:cstheme="majorBidi"/>
          <w:color w:val="000000" w:themeColor="text1"/>
          <w:szCs w:val="18"/>
          <w:lang w:val="en-US"/>
        </w:rPr>
        <w:tab/>
      </w:r>
      <w:r w:rsidRPr="00FF7A66">
        <w:rPr>
          <w:rStyle w:val="ac"/>
        </w:rPr>
        <w:footnoteRef/>
      </w:r>
      <w:r w:rsidRPr="00307A3F">
        <w:rPr>
          <w:rFonts w:asciiTheme="majorBidi" w:hAnsiTheme="majorBidi" w:cstheme="majorBidi"/>
          <w:color w:val="000000" w:themeColor="text1"/>
          <w:szCs w:val="18"/>
          <w:lang w:val="en-US"/>
        </w:rPr>
        <w:tab/>
        <w:t xml:space="preserve">Note on parliamentary monitoring of the SILT law, 3 December 2018, para. 3. </w:t>
      </w:r>
      <w:r w:rsidRPr="008422B8">
        <w:rPr>
          <w:rFonts w:asciiTheme="majorBidi" w:hAnsiTheme="majorBidi" w:cstheme="majorBidi"/>
          <w:color w:val="000000" w:themeColor="text1"/>
          <w:szCs w:val="18"/>
          <w:lang w:val="en-US"/>
        </w:rPr>
        <w:t xml:space="preserve">Available at </w:t>
      </w:r>
      <w:hyperlink r:id="rId10" w:history="1">
        <w:proofErr w:type="spellStart"/>
        <w:r w:rsidRPr="008422B8">
          <w:rPr>
            <w:rStyle w:val="af1"/>
            <w:rFonts w:asciiTheme="majorBidi" w:hAnsiTheme="majorBidi" w:cstheme="majorBidi"/>
            <w:szCs w:val="18"/>
            <w:lang w:val="en-US"/>
          </w:rPr>
          <w:t>www.assemblée-natinale.fr</w:t>
        </w:r>
        <w:proofErr w:type="spellEnd"/>
      </w:hyperlink>
      <w:r w:rsidRPr="008422B8">
        <w:rPr>
          <w:rFonts w:asciiTheme="majorBidi" w:hAnsiTheme="majorBidi" w:cstheme="majorBidi"/>
          <w:color w:val="000000" w:themeColor="text1"/>
          <w:szCs w:val="18"/>
          <w:lang w:val="en-US"/>
        </w:rPr>
        <w:t xml:space="preserve">. </w:t>
      </w:r>
    </w:p>
  </w:footnote>
  <w:footnote w:id="35">
    <w:p w:rsidR="00F6015D" w:rsidRPr="00CE2F4B" w:rsidRDefault="00F6015D" w:rsidP="004A18AF">
      <w:pPr>
        <w:pStyle w:val="a8"/>
        <w:rPr>
          <w:rFonts w:asciiTheme="majorBidi" w:eastAsia="Times New Roman" w:hAnsiTheme="majorBidi" w:cstheme="majorBidi"/>
          <w:color w:val="000000" w:themeColor="text1"/>
          <w:szCs w:val="18"/>
          <w:u w:val="single"/>
          <w:lang w:bidi="he-IL"/>
        </w:rPr>
      </w:pPr>
      <w:r w:rsidRPr="00307A3F">
        <w:rPr>
          <w:rFonts w:asciiTheme="majorBidi" w:hAnsiTheme="majorBidi" w:cstheme="majorBidi"/>
          <w:color w:val="000000" w:themeColor="text1"/>
          <w:szCs w:val="18"/>
          <w:lang w:val="en-US"/>
        </w:rPr>
        <w:tab/>
      </w:r>
      <w:r w:rsidRPr="00FF7A66">
        <w:rPr>
          <w:rStyle w:val="ac"/>
        </w:rPr>
        <w:footnoteRef/>
      </w:r>
      <w:r w:rsidRPr="00CE2F4B">
        <w:rPr>
          <w:rFonts w:asciiTheme="majorBidi" w:hAnsiTheme="majorBidi" w:cstheme="majorBidi"/>
          <w:color w:val="000000" w:themeColor="text1"/>
          <w:szCs w:val="18"/>
        </w:rPr>
        <w:tab/>
        <w:t xml:space="preserve">Ministry of Justice circular </w:t>
      </w:r>
      <w:r>
        <w:rPr>
          <w:rFonts w:asciiTheme="majorBidi" w:hAnsiTheme="majorBidi" w:cstheme="majorBidi"/>
          <w:color w:val="000000" w:themeColor="text1"/>
          <w:szCs w:val="18"/>
        </w:rPr>
        <w:t>of 12 January</w:t>
      </w:r>
      <w:r w:rsidR="00766DD1">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 xml:space="preserve">2015. The </w:t>
      </w:r>
      <w:r>
        <w:rPr>
          <w:rFonts w:asciiTheme="majorBidi" w:hAnsiTheme="majorBidi" w:cstheme="majorBidi"/>
          <w:color w:val="000000" w:themeColor="text1"/>
          <w:szCs w:val="18"/>
        </w:rPr>
        <w:t>l</w:t>
      </w:r>
      <w:r w:rsidRPr="00CE2F4B">
        <w:rPr>
          <w:rFonts w:asciiTheme="majorBidi" w:hAnsiTheme="majorBidi" w:cstheme="majorBidi"/>
          <w:color w:val="000000" w:themeColor="text1"/>
          <w:szCs w:val="18"/>
        </w:rPr>
        <w:t xml:space="preserve">aw </w:t>
      </w:r>
      <w:r>
        <w:rPr>
          <w:rFonts w:asciiTheme="majorBidi" w:hAnsiTheme="majorBidi" w:cstheme="majorBidi"/>
          <w:color w:val="000000" w:themeColor="text1"/>
          <w:szCs w:val="18"/>
        </w:rPr>
        <w:t>was</w:t>
      </w:r>
      <w:r w:rsidRPr="00CE2F4B">
        <w:rPr>
          <w:rFonts w:asciiTheme="majorBidi" w:hAnsiTheme="majorBidi" w:cstheme="majorBidi"/>
          <w:color w:val="000000" w:themeColor="text1"/>
          <w:szCs w:val="18"/>
        </w:rPr>
        <w:t xml:space="preserve"> up</w:t>
      </w:r>
      <w:r>
        <w:rPr>
          <w:rFonts w:asciiTheme="majorBidi" w:hAnsiTheme="majorBidi" w:cstheme="majorBidi"/>
          <w:color w:val="000000" w:themeColor="text1"/>
          <w:szCs w:val="18"/>
        </w:rPr>
        <w:t>h</w:t>
      </w:r>
      <w:r w:rsidRPr="00CE2F4B">
        <w:rPr>
          <w:rFonts w:asciiTheme="majorBidi" w:hAnsiTheme="majorBidi" w:cstheme="majorBidi"/>
          <w:color w:val="000000" w:themeColor="text1"/>
          <w:szCs w:val="18"/>
        </w:rPr>
        <w:t>eld by the Constitutional Court</w:t>
      </w:r>
      <w:r>
        <w:rPr>
          <w:rFonts w:asciiTheme="majorBidi" w:hAnsiTheme="majorBidi" w:cstheme="majorBidi"/>
          <w:color w:val="000000" w:themeColor="text1"/>
          <w:szCs w:val="18"/>
        </w:rPr>
        <w:t xml:space="preserve"> in</w:t>
      </w:r>
      <w:r w:rsidR="003951A7">
        <w:rPr>
          <w:rFonts w:asciiTheme="majorBidi" w:hAnsiTheme="majorBidi" w:cstheme="majorBidi"/>
          <w:color w:val="000000" w:themeColor="text1"/>
          <w:szCs w:val="18"/>
        </w:rPr>
        <w:t xml:space="preserve"> </w:t>
      </w:r>
      <w:r w:rsidRPr="00CE2F4B">
        <w:rPr>
          <w:rFonts w:asciiTheme="majorBidi" w:eastAsia="Times New Roman" w:hAnsiTheme="majorBidi" w:cstheme="majorBidi"/>
          <w:color w:val="000000" w:themeColor="text1"/>
          <w:szCs w:val="18"/>
          <w:lang w:bidi="he-IL"/>
        </w:rPr>
        <w:t>decision No.</w:t>
      </w:r>
      <w:r>
        <w:rPr>
          <w:rFonts w:asciiTheme="majorBidi" w:eastAsia="Times New Roman" w:hAnsiTheme="majorBidi" w:cstheme="majorBidi"/>
          <w:color w:val="000000" w:themeColor="text1"/>
          <w:szCs w:val="18"/>
          <w:lang w:bidi="he-IL"/>
        </w:rPr>
        <w:t xml:space="preserve"> </w:t>
      </w:r>
      <w:r w:rsidRPr="00CE2F4B">
        <w:rPr>
          <w:rFonts w:asciiTheme="majorBidi" w:eastAsia="Times New Roman" w:hAnsiTheme="majorBidi" w:cstheme="majorBidi"/>
          <w:color w:val="000000" w:themeColor="text1"/>
          <w:szCs w:val="18"/>
          <w:lang w:bidi="he-IL"/>
        </w:rPr>
        <w:t xml:space="preserve">2018-706 </w:t>
      </w:r>
      <w:proofErr w:type="spellStart"/>
      <w:r w:rsidRPr="00CE2F4B">
        <w:rPr>
          <w:rFonts w:asciiTheme="majorBidi" w:eastAsia="Times New Roman" w:hAnsiTheme="majorBidi" w:cstheme="majorBidi"/>
          <w:color w:val="000000" w:themeColor="text1"/>
          <w:szCs w:val="18"/>
          <w:lang w:bidi="he-IL"/>
        </w:rPr>
        <w:t>QPC</w:t>
      </w:r>
      <w:proofErr w:type="spellEnd"/>
      <w:r w:rsidRPr="00CE2F4B">
        <w:rPr>
          <w:rFonts w:asciiTheme="majorBidi" w:eastAsia="Times New Roman" w:hAnsiTheme="majorBidi" w:cstheme="majorBidi"/>
          <w:color w:val="000000" w:themeColor="text1"/>
          <w:szCs w:val="18"/>
          <w:lang w:bidi="he-IL"/>
        </w:rPr>
        <w:t>.</w:t>
      </w:r>
    </w:p>
  </w:footnote>
  <w:footnote w:id="36">
    <w:p w:rsidR="00F6015D" w:rsidRPr="00CE2F4B" w:rsidRDefault="00F6015D" w:rsidP="00766DD1">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proofErr w:type="spellStart"/>
      <w:r w:rsidRPr="00CE2F4B">
        <w:rPr>
          <w:rFonts w:asciiTheme="majorBidi" w:hAnsiTheme="majorBidi" w:cstheme="majorBidi"/>
          <w:color w:val="000000" w:themeColor="text1"/>
          <w:szCs w:val="18"/>
        </w:rPr>
        <w:t>Nadim</w:t>
      </w:r>
      <w:proofErr w:type="spellEnd"/>
      <w:r w:rsidRPr="00CE2F4B">
        <w:rPr>
          <w:rFonts w:asciiTheme="majorBidi" w:hAnsiTheme="majorBidi" w:cstheme="majorBidi"/>
          <w:color w:val="000000" w:themeColor="text1"/>
          <w:szCs w:val="18"/>
        </w:rPr>
        <w:t xml:space="preserve"> </w:t>
      </w:r>
      <w:proofErr w:type="spellStart"/>
      <w:r w:rsidRPr="00CE2F4B">
        <w:rPr>
          <w:rFonts w:asciiTheme="majorBidi" w:hAnsiTheme="majorBidi" w:cstheme="majorBidi"/>
          <w:color w:val="000000" w:themeColor="text1"/>
          <w:szCs w:val="18"/>
        </w:rPr>
        <w:t>Houry</w:t>
      </w:r>
      <w:proofErr w:type="spellEnd"/>
      <w:r w:rsidRPr="00CE2F4B">
        <w:rPr>
          <w:rFonts w:asciiTheme="majorBidi" w:hAnsiTheme="majorBidi" w:cstheme="majorBidi"/>
          <w:color w:val="000000" w:themeColor="text1"/>
          <w:szCs w:val="18"/>
        </w:rPr>
        <w:t>,</w:t>
      </w:r>
      <w:r w:rsidR="00766DD1">
        <w:rPr>
          <w:rFonts w:asciiTheme="majorBidi" w:hAnsiTheme="majorBidi" w:cstheme="majorBidi"/>
          <w:color w:val="000000" w:themeColor="text1"/>
          <w:szCs w:val="18"/>
        </w:rPr>
        <w:t xml:space="preserve"> “</w:t>
      </w:r>
      <w:r w:rsidRPr="00307A3F">
        <w:rPr>
          <w:rFonts w:asciiTheme="majorBidi" w:hAnsiTheme="majorBidi" w:cstheme="majorBidi"/>
          <w:iCs/>
          <w:color w:val="000000" w:themeColor="text1"/>
          <w:szCs w:val="18"/>
        </w:rPr>
        <w:t>France</w:t>
      </w:r>
      <w:r w:rsidR="00B57B03">
        <w:rPr>
          <w:rFonts w:asciiTheme="majorBidi" w:hAnsiTheme="majorBidi" w:cstheme="majorBidi"/>
          <w:iCs/>
          <w:color w:val="000000" w:themeColor="text1"/>
          <w:szCs w:val="18"/>
        </w:rPr>
        <w:t>’</w:t>
      </w:r>
      <w:r w:rsidRPr="00307A3F">
        <w:rPr>
          <w:rFonts w:asciiTheme="majorBidi" w:hAnsiTheme="majorBidi" w:cstheme="majorBidi"/>
          <w:iCs/>
          <w:color w:val="000000" w:themeColor="text1"/>
          <w:szCs w:val="18"/>
        </w:rPr>
        <w:t xml:space="preserve">s </w:t>
      </w:r>
      <w:r w:rsidRPr="00F31F08">
        <w:rPr>
          <w:rFonts w:asciiTheme="majorBidi" w:hAnsiTheme="majorBidi" w:cstheme="majorBidi"/>
          <w:iCs/>
          <w:color w:val="000000" w:themeColor="text1"/>
          <w:szCs w:val="18"/>
        </w:rPr>
        <w:t>creeping terrorism laws restricting free speech</w:t>
      </w:r>
      <w:r w:rsidR="00B57B03">
        <w:rPr>
          <w:rFonts w:asciiTheme="majorBidi" w:hAnsiTheme="majorBidi" w:cstheme="majorBidi"/>
          <w:iCs/>
          <w:color w:val="000000" w:themeColor="text1"/>
          <w:szCs w:val="18"/>
        </w:rPr>
        <w:t>”</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 xml:space="preserve"> Just Security, 30 May 2018. </w:t>
      </w:r>
    </w:p>
  </w:footnote>
  <w:footnote w:id="37">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In 2016, 20</w:t>
      </w:r>
      <w:r>
        <w:rPr>
          <w:rFonts w:asciiTheme="majorBidi" w:hAnsiTheme="majorBidi" w:cstheme="majorBidi"/>
          <w:color w:val="000000" w:themeColor="text1"/>
          <w:szCs w:val="18"/>
        </w:rPr>
        <w:t xml:space="preserve"> per cent</w:t>
      </w:r>
      <w:r w:rsidRPr="00CE2F4B">
        <w:rPr>
          <w:rFonts w:asciiTheme="majorBidi" w:hAnsiTheme="majorBidi" w:cstheme="majorBidi"/>
          <w:color w:val="000000" w:themeColor="text1"/>
          <w:szCs w:val="18"/>
        </w:rPr>
        <w:t xml:space="preserve"> of the 840 people accused of </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apology </w:t>
      </w:r>
      <w:r>
        <w:rPr>
          <w:rFonts w:asciiTheme="majorBidi" w:hAnsiTheme="majorBidi" w:cstheme="majorBidi"/>
          <w:color w:val="000000" w:themeColor="text1"/>
          <w:szCs w:val="18"/>
        </w:rPr>
        <w:t>for</w:t>
      </w:r>
      <w:r w:rsidRPr="00CE2F4B">
        <w:rPr>
          <w:rFonts w:asciiTheme="majorBidi" w:hAnsiTheme="majorBidi" w:cstheme="majorBidi"/>
          <w:color w:val="000000" w:themeColor="text1"/>
          <w:szCs w:val="18"/>
        </w:rPr>
        <w:t xml:space="preserve"> terrorism</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were minors.</w:t>
      </w:r>
    </w:p>
  </w:footnote>
  <w:footnote w:id="38">
    <w:p w:rsidR="00F6015D" w:rsidRPr="00CE2F4B" w:rsidRDefault="00F6015D" w:rsidP="003951A7">
      <w:pPr>
        <w:pStyle w:val="a8"/>
        <w:rPr>
          <w:lang w:bidi="he-IL"/>
        </w:rPr>
      </w:pPr>
      <w:r>
        <w:tab/>
      </w:r>
      <w:r w:rsidRPr="00FF7A66">
        <w:rPr>
          <w:rStyle w:val="ac"/>
        </w:rPr>
        <w:footnoteRef/>
      </w:r>
      <w:r>
        <w:tab/>
      </w:r>
      <w:r>
        <w:rPr>
          <w:shd w:val="clear" w:color="auto" w:fill="FFFFFF"/>
          <w:lang w:bidi="he-IL"/>
        </w:rPr>
        <w:t>Resolution</w:t>
      </w:r>
      <w:r w:rsidR="0049413E">
        <w:rPr>
          <w:shd w:val="clear" w:color="auto" w:fill="FFFFFF"/>
          <w:lang w:bidi="he-IL"/>
        </w:rPr>
        <w:t xml:space="preserve"> </w:t>
      </w:r>
      <w:r w:rsidRPr="00CE2F4B">
        <w:rPr>
          <w:shd w:val="clear" w:color="auto" w:fill="FFFFFF"/>
          <w:lang w:bidi="he-IL"/>
        </w:rPr>
        <w:t>72/284, para.</w:t>
      </w:r>
      <w:r>
        <w:rPr>
          <w:shd w:val="clear" w:color="auto" w:fill="FFFFFF"/>
          <w:lang w:bidi="he-IL"/>
        </w:rPr>
        <w:t xml:space="preserve"> </w:t>
      </w:r>
      <w:r w:rsidRPr="00CE2F4B">
        <w:rPr>
          <w:shd w:val="clear" w:color="auto" w:fill="FFFFFF"/>
          <w:lang w:bidi="he-IL"/>
        </w:rPr>
        <w:t>79</w:t>
      </w:r>
      <w:r>
        <w:rPr>
          <w:shd w:val="clear" w:color="auto" w:fill="FFFFFF"/>
          <w:lang w:bidi="he-IL"/>
        </w:rPr>
        <w:t xml:space="preserve">. </w:t>
      </w:r>
      <w:r w:rsidRPr="00CE2F4B">
        <w:rPr>
          <w:shd w:val="clear" w:color="auto" w:fill="FFFFFF"/>
          <w:lang w:bidi="he-IL"/>
        </w:rPr>
        <w:t xml:space="preserve">See Committee on Economic, Social and Cultural Rights, </w:t>
      </w:r>
      <w:r>
        <w:rPr>
          <w:iCs/>
          <w:shd w:val="clear" w:color="auto" w:fill="FFFFFF"/>
          <w:lang w:bidi="he-IL"/>
        </w:rPr>
        <w:t>g</w:t>
      </w:r>
      <w:r w:rsidRPr="00307A3F">
        <w:rPr>
          <w:iCs/>
          <w:shd w:val="clear" w:color="auto" w:fill="FFFFFF"/>
          <w:lang w:bidi="he-IL"/>
        </w:rPr>
        <w:t xml:space="preserve">eneral </w:t>
      </w:r>
      <w:r>
        <w:rPr>
          <w:iCs/>
          <w:shd w:val="clear" w:color="auto" w:fill="FFFFFF"/>
          <w:lang w:bidi="he-IL"/>
        </w:rPr>
        <w:t>c</w:t>
      </w:r>
      <w:r w:rsidRPr="00307A3F">
        <w:rPr>
          <w:iCs/>
          <w:shd w:val="clear" w:color="auto" w:fill="FFFFFF"/>
          <w:lang w:bidi="he-IL"/>
        </w:rPr>
        <w:t>omment No.</w:t>
      </w:r>
      <w:r>
        <w:rPr>
          <w:iCs/>
          <w:shd w:val="clear" w:color="auto" w:fill="FFFFFF"/>
          <w:lang w:bidi="he-IL"/>
        </w:rPr>
        <w:t xml:space="preserve"> </w:t>
      </w:r>
      <w:r w:rsidRPr="00307A3F">
        <w:rPr>
          <w:iCs/>
          <w:shd w:val="clear" w:color="auto" w:fill="FFFFFF"/>
          <w:lang w:bidi="he-IL"/>
        </w:rPr>
        <w:t>3</w:t>
      </w:r>
      <w:r>
        <w:rPr>
          <w:shd w:val="clear" w:color="auto" w:fill="FFFFFF"/>
          <w:lang w:bidi="he-IL"/>
        </w:rPr>
        <w:t xml:space="preserve"> (1990) on</w:t>
      </w:r>
      <w:r w:rsidR="003951A7">
        <w:rPr>
          <w:shd w:val="clear" w:color="auto" w:fill="FFFFFF"/>
          <w:lang w:bidi="he-IL"/>
        </w:rPr>
        <w:t xml:space="preserve"> </w:t>
      </w:r>
      <w:r>
        <w:rPr>
          <w:shd w:val="clear" w:color="auto" w:fill="FFFFFF"/>
          <w:lang w:bidi="he-IL"/>
        </w:rPr>
        <w:t>t</w:t>
      </w:r>
      <w:r w:rsidRPr="00CE2F4B">
        <w:rPr>
          <w:shd w:val="clear" w:color="auto" w:fill="FFFFFF"/>
          <w:lang w:bidi="he-IL"/>
        </w:rPr>
        <w:t xml:space="preserve">he </w:t>
      </w:r>
      <w:r>
        <w:rPr>
          <w:shd w:val="clear" w:color="auto" w:fill="FFFFFF"/>
          <w:lang w:bidi="he-IL"/>
        </w:rPr>
        <w:t>n</w:t>
      </w:r>
      <w:r w:rsidRPr="00CE2F4B">
        <w:rPr>
          <w:shd w:val="clear" w:color="auto" w:fill="FFFFFF"/>
          <w:lang w:bidi="he-IL"/>
        </w:rPr>
        <w:t xml:space="preserve">ature of States </w:t>
      </w:r>
      <w:r>
        <w:rPr>
          <w:shd w:val="clear" w:color="auto" w:fill="FFFFFF"/>
          <w:lang w:bidi="he-IL"/>
        </w:rPr>
        <w:t>p</w:t>
      </w:r>
      <w:r w:rsidRPr="00CE2F4B">
        <w:rPr>
          <w:shd w:val="clear" w:color="auto" w:fill="FFFFFF"/>
          <w:lang w:bidi="he-IL"/>
        </w:rPr>
        <w:t>arties</w:t>
      </w:r>
      <w:r w:rsidR="00B57B03">
        <w:rPr>
          <w:shd w:val="clear" w:color="auto" w:fill="FFFFFF"/>
          <w:lang w:bidi="he-IL"/>
        </w:rPr>
        <w:t>’</w:t>
      </w:r>
      <w:r w:rsidRPr="00CE2F4B">
        <w:rPr>
          <w:shd w:val="clear" w:color="auto" w:fill="FFFFFF"/>
          <w:lang w:bidi="he-IL"/>
        </w:rPr>
        <w:t xml:space="preserve"> </w:t>
      </w:r>
      <w:r>
        <w:rPr>
          <w:shd w:val="clear" w:color="auto" w:fill="FFFFFF"/>
          <w:lang w:bidi="he-IL"/>
        </w:rPr>
        <w:t>o</w:t>
      </w:r>
      <w:r w:rsidRPr="00CE2F4B">
        <w:rPr>
          <w:shd w:val="clear" w:color="auto" w:fill="FFFFFF"/>
          <w:lang w:bidi="he-IL"/>
        </w:rPr>
        <w:t>bligations</w:t>
      </w:r>
      <w:r w:rsidRPr="00CE2F4B">
        <w:rPr>
          <w:shd w:val="clear" w:color="auto" w:fill="F9F9F9"/>
        </w:rPr>
        <w:t>.</w:t>
      </w:r>
    </w:p>
  </w:footnote>
  <w:footnote w:id="39">
    <w:p w:rsidR="00F6015D" w:rsidRPr="00CE2F4B" w:rsidRDefault="00F6015D" w:rsidP="003951A7">
      <w:pPr>
        <w:pStyle w:val="a8"/>
      </w:pPr>
      <w:r w:rsidRPr="00CE2F4B">
        <w:tab/>
      </w:r>
      <w:r w:rsidRPr="00FF7A66">
        <w:rPr>
          <w:rStyle w:val="ac"/>
        </w:rPr>
        <w:footnoteRef/>
      </w:r>
      <w:r>
        <w:tab/>
      </w:r>
      <w:r w:rsidRPr="00CE2F4B">
        <w:t xml:space="preserve">French </w:t>
      </w:r>
      <w:r>
        <w:t>l</w:t>
      </w:r>
      <w:r w:rsidRPr="00CE2F4B">
        <w:t>aw does not criminali</w:t>
      </w:r>
      <w:r>
        <w:t>z</w:t>
      </w:r>
      <w:r w:rsidRPr="00CE2F4B">
        <w:t>e return to France</w:t>
      </w:r>
      <w:r>
        <w:t>.</w:t>
      </w:r>
      <w:r w:rsidRPr="00CE2F4B">
        <w:t xml:space="preserve"> </w:t>
      </w:r>
      <w:r>
        <w:t>S</w:t>
      </w:r>
      <w:r w:rsidRPr="00CE2F4B">
        <w:t xml:space="preserve">ee article 421-1 </w:t>
      </w:r>
      <w:r>
        <w:t>of the Penal</w:t>
      </w:r>
      <w:r w:rsidRPr="00CE2F4B">
        <w:t xml:space="preserve"> Code</w:t>
      </w:r>
      <w:r>
        <w:t>.</w:t>
      </w:r>
    </w:p>
  </w:footnote>
  <w:footnote w:id="40">
    <w:p w:rsidR="00F6015D" w:rsidRPr="00CE2F4B" w:rsidRDefault="00F6015D" w:rsidP="0049413E">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Basic Principles o</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 xml:space="preserve"> the </w:t>
      </w:r>
      <w:r>
        <w:rPr>
          <w:rFonts w:asciiTheme="majorBidi" w:hAnsiTheme="majorBidi" w:cstheme="majorBidi"/>
          <w:color w:val="000000" w:themeColor="text1"/>
          <w:szCs w:val="18"/>
        </w:rPr>
        <w:t>Role of Lawyers.</w:t>
      </w:r>
    </w:p>
  </w:footnote>
  <w:footnote w:id="41">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Civil Code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arts.</w:t>
      </w:r>
      <w:r w:rsidRPr="00CE2F4B">
        <w:rPr>
          <w:rFonts w:asciiTheme="majorBidi" w:hAnsiTheme="majorBidi" w:cstheme="majorBidi"/>
          <w:color w:val="000000" w:themeColor="text1"/>
          <w:szCs w:val="18"/>
        </w:rPr>
        <w:t xml:space="preserve"> 9 and 226</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setting</w:t>
      </w:r>
      <w:r w:rsidRPr="00CE2F4B">
        <w:rPr>
          <w:rFonts w:asciiTheme="majorBidi" w:hAnsiTheme="majorBidi" w:cstheme="majorBidi"/>
          <w:color w:val="000000" w:themeColor="text1"/>
          <w:szCs w:val="18"/>
        </w:rPr>
        <w:t xml:space="preserve"> penalties for violation of privacy; </w:t>
      </w:r>
      <w:r>
        <w:rPr>
          <w:rFonts w:asciiTheme="majorBidi" w:hAnsiTheme="majorBidi" w:cstheme="majorBidi"/>
          <w:color w:val="000000" w:themeColor="text1"/>
          <w:szCs w:val="18"/>
        </w:rPr>
        <w:t>and a</w:t>
      </w:r>
      <w:r w:rsidRPr="00CE2F4B">
        <w:rPr>
          <w:rFonts w:asciiTheme="majorBidi" w:hAnsiTheme="majorBidi" w:cstheme="majorBidi"/>
          <w:color w:val="000000" w:themeColor="text1"/>
          <w:szCs w:val="18"/>
        </w:rPr>
        <w:t xml:space="preserve">rticle 1 </w:t>
      </w:r>
      <w:r>
        <w:rPr>
          <w:rFonts w:asciiTheme="majorBidi" w:hAnsiTheme="majorBidi" w:cstheme="majorBidi"/>
          <w:color w:val="000000" w:themeColor="text1"/>
          <w:szCs w:val="18"/>
        </w:rPr>
        <w:t>of A</w:t>
      </w:r>
      <w:r w:rsidRPr="00CE2F4B">
        <w:rPr>
          <w:rFonts w:asciiTheme="majorBidi" w:hAnsiTheme="majorBidi" w:cstheme="majorBidi"/>
          <w:color w:val="000000" w:themeColor="text1"/>
          <w:szCs w:val="18"/>
        </w:rPr>
        <w:t>ct No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78-17 on information technology, data files and civil liberties (1978).</w:t>
      </w:r>
    </w:p>
  </w:footnote>
  <w:footnote w:id="42">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European Court of Justice, </w:t>
      </w:r>
      <w:r>
        <w:rPr>
          <w:rFonts w:asciiTheme="majorBidi" w:hAnsiTheme="majorBidi" w:cstheme="majorBidi"/>
          <w:color w:val="000000" w:themeColor="text1"/>
        </w:rPr>
        <w:t>j</w:t>
      </w:r>
      <w:r w:rsidRPr="00CE2F4B">
        <w:rPr>
          <w:rFonts w:asciiTheme="majorBidi" w:hAnsiTheme="majorBidi" w:cstheme="majorBidi"/>
          <w:color w:val="000000" w:themeColor="text1"/>
        </w:rPr>
        <w:t xml:space="preserve">oined </w:t>
      </w:r>
      <w:r>
        <w:rPr>
          <w:rFonts w:asciiTheme="majorBidi" w:hAnsiTheme="majorBidi" w:cstheme="majorBidi"/>
          <w:color w:val="000000" w:themeColor="text1"/>
        </w:rPr>
        <w:t>c</w:t>
      </w:r>
      <w:r w:rsidRPr="00CE2F4B">
        <w:rPr>
          <w:rFonts w:asciiTheme="majorBidi" w:hAnsiTheme="majorBidi" w:cstheme="majorBidi"/>
          <w:color w:val="000000" w:themeColor="text1"/>
        </w:rPr>
        <w:t xml:space="preserve">ases </w:t>
      </w:r>
      <w:proofErr w:type="spellStart"/>
      <w:r w:rsidRPr="00CE2F4B">
        <w:rPr>
          <w:rFonts w:asciiTheme="majorBidi" w:hAnsiTheme="majorBidi" w:cstheme="majorBidi"/>
          <w:i/>
          <w:color w:val="000000" w:themeColor="text1"/>
        </w:rPr>
        <w:t>Tele2</w:t>
      </w:r>
      <w:proofErr w:type="spellEnd"/>
      <w:r w:rsidRPr="00CE2F4B">
        <w:rPr>
          <w:rFonts w:asciiTheme="majorBidi" w:hAnsiTheme="majorBidi" w:cstheme="majorBidi"/>
          <w:i/>
          <w:color w:val="000000" w:themeColor="text1"/>
        </w:rPr>
        <w:t xml:space="preserve"> </w:t>
      </w:r>
      <w:proofErr w:type="spellStart"/>
      <w:r w:rsidRPr="00CE2F4B">
        <w:rPr>
          <w:rFonts w:asciiTheme="majorBidi" w:hAnsiTheme="majorBidi" w:cstheme="majorBidi"/>
          <w:i/>
          <w:color w:val="000000" w:themeColor="text1"/>
        </w:rPr>
        <w:t>Sverige</w:t>
      </w:r>
      <w:proofErr w:type="spellEnd"/>
      <w:r w:rsidRPr="00CE2F4B">
        <w:rPr>
          <w:rFonts w:asciiTheme="majorBidi" w:hAnsiTheme="majorBidi" w:cstheme="majorBidi"/>
          <w:i/>
          <w:color w:val="000000" w:themeColor="text1"/>
        </w:rPr>
        <w:t xml:space="preserve"> AB v</w:t>
      </w:r>
      <w:r>
        <w:rPr>
          <w:rFonts w:asciiTheme="majorBidi" w:hAnsiTheme="majorBidi" w:cstheme="majorBidi"/>
          <w:i/>
          <w:color w:val="000000" w:themeColor="text1"/>
        </w:rPr>
        <w:t>.</w:t>
      </w:r>
      <w:r w:rsidRPr="00CE2F4B">
        <w:rPr>
          <w:rFonts w:asciiTheme="majorBidi" w:hAnsiTheme="majorBidi" w:cstheme="majorBidi"/>
          <w:i/>
          <w:color w:val="000000" w:themeColor="text1"/>
        </w:rPr>
        <w:t xml:space="preserve"> Post-</w:t>
      </w:r>
      <w:proofErr w:type="spellStart"/>
      <w:r w:rsidRPr="00CE2F4B">
        <w:rPr>
          <w:rFonts w:asciiTheme="majorBidi" w:hAnsiTheme="majorBidi" w:cstheme="majorBidi"/>
          <w:i/>
          <w:color w:val="000000" w:themeColor="text1"/>
        </w:rPr>
        <w:t>och</w:t>
      </w:r>
      <w:proofErr w:type="spellEnd"/>
      <w:r w:rsidRPr="00CE2F4B">
        <w:rPr>
          <w:rFonts w:asciiTheme="majorBidi" w:hAnsiTheme="majorBidi" w:cstheme="majorBidi"/>
          <w:i/>
          <w:color w:val="000000" w:themeColor="text1"/>
        </w:rPr>
        <w:t xml:space="preserve"> </w:t>
      </w:r>
      <w:proofErr w:type="spellStart"/>
      <w:r w:rsidRPr="00CE2F4B">
        <w:rPr>
          <w:rFonts w:asciiTheme="majorBidi" w:hAnsiTheme="majorBidi" w:cstheme="majorBidi"/>
          <w:i/>
          <w:color w:val="000000" w:themeColor="text1"/>
        </w:rPr>
        <w:t>telestyrelsen</w:t>
      </w:r>
      <w:proofErr w:type="spellEnd"/>
      <w:r w:rsidRPr="00CE2F4B">
        <w:rPr>
          <w:rFonts w:asciiTheme="majorBidi" w:hAnsiTheme="majorBidi" w:cstheme="majorBidi"/>
          <w:color w:val="000000" w:themeColor="text1"/>
        </w:rPr>
        <w:t xml:space="preserve"> </w:t>
      </w:r>
      <w:r>
        <w:rPr>
          <w:rFonts w:asciiTheme="majorBidi" w:hAnsiTheme="majorBidi" w:cstheme="majorBidi"/>
          <w:color w:val="000000" w:themeColor="text1"/>
        </w:rPr>
        <w:t>(</w:t>
      </w:r>
      <w:r w:rsidRPr="00CE2F4B">
        <w:rPr>
          <w:rFonts w:asciiTheme="majorBidi" w:hAnsiTheme="majorBidi" w:cstheme="majorBidi"/>
          <w:color w:val="000000" w:themeColor="text1"/>
        </w:rPr>
        <w:t>C-203/15</w:t>
      </w:r>
      <w:r>
        <w:rPr>
          <w:rFonts w:asciiTheme="majorBidi" w:hAnsiTheme="majorBidi" w:cstheme="majorBidi"/>
          <w:color w:val="000000" w:themeColor="text1"/>
        </w:rPr>
        <w:t xml:space="preserve">) </w:t>
      </w:r>
      <w:r w:rsidRPr="00CE2F4B">
        <w:rPr>
          <w:rFonts w:asciiTheme="majorBidi" w:hAnsiTheme="majorBidi" w:cstheme="majorBidi"/>
          <w:color w:val="000000" w:themeColor="text1"/>
        </w:rPr>
        <w:t xml:space="preserve">and </w:t>
      </w:r>
      <w:r w:rsidRPr="00CE2F4B">
        <w:rPr>
          <w:rFonts w:asciiTheme="majorBidi" w:hAnsiTheme="majorBidi" w:cstheme="majorBidi"/>
          <w:i/>
          <w:color w:val="000000" w:themeColor="text1"/>
        </w:rPr>
        <w:t>Secretary of State for the Home Department v</w:t>
      </w:r>
      <w:r>
        <w:rPr>
          <w:rFonts w:asciiTheme="majorBidi" w:hAnsiTheme="majorBidi" w:cstheme="majorBidi"/>
          <w:i/>
          <w:color w:val="000000" w:themeColor="text1"/>
        </w:rPr>
        <w:t>.</w:t>
      </w:r>
      <w:r w:rsidRPr="00CE2F4B">
        <w:rPr>
          <w:rFonts w:asciiTheme="majorBidi" w:hAnsiTheme="majorBidi" w:cstheme="majorBidi"/>
          <w:i/>
          <w:color w:val="000000" w:themeColor="text1"/>
        </w:rPr>
        <w:t xml:space="preserve"> Tom Watson and </w:t>
      </w:r>
      <w:r>
        <w:rPr>
          <w:rFonts w:asciiTheme="majorBidi" w:hAnsiTheme="majorBidi" w:cstheme="majorBidi"/>
          <w:i/>
          <w:color w:val="000000" w:themeColor="text1"/>
        </w:rPr>
        <w:t>o</w:t>
      </w:r>
      <w:r w:rsidRPr="00CE2F4B">
        <w:rPr>
          <w:rFonts w:asciiTheme="majorBidi" w:hAnsiTheme="majorBidi" w:cstheme="majorBidi"/>
          <w:i/>
          <w:color w:val="000000" w:themeColor="text1"/>
        </w:rPr>
        <w:t>thers</w:t>
      </w:r>
      <w:r>
        <w:rPr>
          <w:rFonts w:asciiTheme="majorBidi" w:hAnsiTheme="majorBidi" w:cstheme="majorBidi"/>
          <w:i/>
          <w:color w:val="000000" w:themeColor="text1"/>
        </w:rPr>
        <w:t xml:space="preserve"> </w:t>
      </w:r>
      <w:r w:rsidRPr="00307A3F">
        <w:rPr>
          <w:rFonts w:asciiTheme="majorBidi" w:hAnsiTheme="majorBidi" w:cstheme="majorBidi"/>
          <w:color w:val="000000" w:themeColor="text1"/>
        </w:rPr>
        <w:t>(</w:t>
      </w:r>
      <w:r w:rsidRPr="00CE2F4B">
        <w:rPr>
          <w:rFonts w:asciiTheme="majorBidi" w:hAnsiTheme="majorBidi" w:cstheme="majorBidi"/>
          <w:color w:val="000000" w:themeColor="text1"/>
        </w:rPr>
        <w:t>C-698/15</w:t>
      </w:r>
      <w:r>
        <w:rPr>
          <w:rFonts w:asciiTheme="majorBidi" w:hAnsiTheme="majorBidi" w:cstheme="majorBidi"/>
          <w:color w:val="000000" w:themeColor="text1"/>
        </w:rPr>
        <w:t>)</w:t>
      </w:r>
      <w:r w:rsidRPr="00CE2F4B">
        <w:rPr>
          <w:rFonts w:asciiTheme="majorBidi" w:hAnsiTheme="majorBidi" w:cstheme="majorBidi"/>
          <w:i/>
          <w:color w:val="000000" w:themeColor="text1"/>
        </w:rPr>
        <w:t>.</w:t>
      </w:r>
      <w:r w:rsidRPr="00CE2F4B">
        <w:rPr>
          <w:rFonts w:asciiTheme="majorBidi" w:hAnsiTheme="majorBidi" w:cstheme="majorBidi"/>
          <w:color w:val="000000" w:themeColor="text1"/>
          <w:szCs w:val="18"/>
        </w:rPr>
        <w:t xml:space="preserve"> </w:t>
      </w:r>
    </w:p>
  </w:footnote>
  <w:footnote w:id="43">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European Court of Justice, j</w:t>
      </w:r>
      <w:r w:rsidRPr="00CE2F4B">
        <w:rPr>
          <w:rFonts w:asciiTheme="majorBidi" w:hAnsiTheme="majorBidi" w:cstheme="majorBidi"/>
          <w:color w:val="000000" w:themeColor="text1"/>
          <w:szCs w:val="18"/>
        </w:rPr>
        <w:t xml:space="preserve">oined </w:t>
      </w:r>
      <w:r>
        <w:rPr>
          <w:rFonts w:asciiTheme="majorBidi" w:hAnsiTheme="majorBidi" w:cstheme="majorBidi"/>
          <w:color w:val="000000" w:themeColor="text1"/>
          <w:szCs w:val="18"/>
        </w:rPr>
        <w:t>c</w:t>
      </w:r>
      <w:r w:rsidRPr="00CE2F4B">
        <w:rPr>
          <w:rFonts w:asciiTheme="majorBidi" w:hAnsiTheme="majorBidi" w:cstheme="majorBidi"/>
          <w:color w:val="000000" w:themeColor="text1"/>
          <w:szCs w:val="18"/>
        </w:rPr>
        <w:t xml:space="preserve">ases </w:t>
      </w:r>
      <w:r w:rsidRPr="00CE2F4B">
        <w:rPr>
          <w:rFonts w:asciiTheme="majorBidi" w:hAnsiTheme="majorBidi" w:cstheme="majorBidi"/>
          <w:i/>
          <w:color w:val="000000" w:themeColor="text1"/>
          <w:szCs w:val="18"/>
        </w:rPr>
        <w:t xml:space="preserve">Digital Rights Ireland </w:t>
      </w:r>
      <w:r>
        <w:rPr>
          <w:rFonts w:asciiTheme="majorBidi" w:hAnsiTheme="majorBidi" w:cstheme="majorBidi"/>
          <w:i/>
          <w:color w:val="000000" w:themeColor="text1"/>
          <w:szCs w:val="18"/>
        </w:rPr>
        <w:t xml:space="preserve">Ltd. </w:t>
      </w:r>
      <w:proofErr w:type="gramStart"/>
      <w:r>
        <w:rPr>
          <w:rFonts w:asciiTheme="majorBidi" w:hAnsiTheme="majorBidi" w:cstheme="majorBidi"/>
          <w:i/>
          <w:color w:val="000000" w:themeColor="text1"/>
          <w:szCs w:val="18"/>
        </w:rPr>
        <w:t>v.</w:t>
      </w:r>
      <w:proofErr w:type="gramEnd"/>
      <w:r>
        <w:rPr>
          <w:rFonts w:asciiTheme="majorBidi" w:hAnsiTheme="majorBidi" w:cstheme="majorBidi"/>
          <w:i/>
          <w:color w:val="000000" w:themeColor="text1"/>
          <w:szCs w:val="18"/>
        </w:rPr>
        <w:t xml:space="preserve"> Minister for Communications, Marine and Natural Resources and others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C-293/12</w:t>
      </w:r>
      <w:r>
        <w:rPr>
          <w:rFonts w:asciiTheme="majorBidi" w:hAnsiTheme="majorBidi" w:cstheme="majorBidi"/>
          <w:color w:val="000000" w:themeColor="text1"/>
          <w:szCs w:val="18"/>
        </w:rPr>
        <w:t xml:space="preserve">) </w:t>
      </w:r>
      <w:r w:rsidRPr="00307A3F">
        <w:rPr>
          <w:rFonts w:asciiTheme="majorBidi" w:hAnsiTheme="majorBidi" w:cstheme="majorBidi"/>
          <w:color w:val="000000" w:themeColor="text1"/>
          <w:szCs w:val="18"/>
        </w:rPr>
        <w:t>and</w:t>
      </w:r>
      <w:r w:rsidRPr="00CE2F4B">
        <w:rPr>
          <w:rFonts w:asciiTheme="majorBidi" w:hAnsiTheme="majorBidi" w:cstheme="majorBidi"/>
          <w:i/>
          <w:color w:val="000000" w:themeColor="text1"/>
          <w:szCs w:val="18"/>
        </w:rPr>
        <w:t xml:space="preserve"> </w:t>
      </w:r>
      <w:r>
        <w:rPr>
          <w:rFonts w:asciiTheme="majorBidi" w:hAnsiTheme="majorBidi" w:cstheme="majorBidi"/>
          <w:i/>
          <w:color w:val="000000" w:themeColor="text1"/>
          <w:szCs w:val="18"/>
        </w:rPr>
        <w:t>K</w:t>
      </w:r>
      <w:proofErr w:type="spellStart"/>
      <w:r>
        <w:rPr>
          <w:rFonts w:asciiTheme="majorBidi" w:hAnsiTheme="majorBidi" w:cstheme="majorBidi"/>
          <w:i/>
          <w:color w:val="000000" w:themeColor="text1"/>
          <w:szCs w:val="18"/>
          <w:lang w:val="en-US"/>
        </w:rPr>
        <w:t>ärntner</w:t>
      </w:r>
      <w:proofErr w:type="spellEnd"/>
      <w:r>
        <w:rPr>
          <w:rFonts w:asciiTheme="majorBidi" w:hAnsiTheme="majorBidi" w:cstheme="majorBidi"/>
          <w:i/>
          <w:color w:val="000000" w:themeColor="text1"/>
          <w:szCs w:val="18"/>
          <w:lang w:val="en-US"/>
        </w:rPr>
        <w:t xml:space="preserve"> </w:t>
      </w:r>
      <w:proofErr w:type="spellStart"/>
      <w:r>
        <w:rPr>
          <w:rFonts w:asciiTheme="majorBidi" w:hAnsiTheme="majorBidi" w:cstheme="majorBidi"/>
          <w:i/>
          <w:color w:val="000000" w:themeColor="text1"/>
          <w:szCs w:val="18"/>
          <w:lang w:val="en-US"/>
        </w:rPr>
        <w:t>Landesregierung</w:t>
      </w:r>
      <w:proofErr w:type="spellEnd"/>
      <w:r w:rsidR="003951A7">
        <w:rPr>
          <w:rFonts w:asciiTheme="majorBidi" w:hAnsiTheme="majorBidi" w:cstheme="majorBidi"/>
          <w:i/>
          <w:color w:val="000000" w:themeColor="text1"/>
          <w:szCs w:val="18"/>
          <w:lang w:val="en-US"/>
        </w:rPr>
        <w:t xml:space="preserve"> </w:t>
      </w:r>
      <w:r w:rsidRPr="00CE2F4B">
        <w:rPr>
          <w:rFonts w:asciiTheme="majorBidi" w:hAnsiTheme="majorBidi" w:cstheme="majorBidi"/>
          <w:i/>
          <w:color w:val="000000" w:themeColor="text1"/>
          <w:szCs w:val="18"/>
        </w:rPr>
        <w:t xml:space="preserve">and </w:t>
      </w:r>
      <w:r>
        <w:rPr>
          <w:rFonts w:asciiTheme="majorBidi" w:hAnsiTheme="majorBidi" w:cstheme="majorBidi"/>
          <w:i/>
          <w:color w:val="000000" w:themeColor="text1"/>
          <w:szCs w:val="18"/>
        </w:rPr>
        <w:t>o</w:t>
      </w:r>
      <w:r w:rsidRPr="00CE2F4B">
        <w:rPr>
          <w:rFonts w:asciiTheme="majorBidi" w:hAnsiTheme="majorBidi" w:cstheme="majorBidi"/>
          <w:i/>
          <w:color w:val="000000" w:themeColor="text1"/>
          <w:szCs w:val="18"/>
        </w:rPr>
        <w:t>thers</w:t>
      </w:r>
      <w:r>
        <w:rPr>
          <w:rFonts w:asciiTheme="majorBidi" w:hAnsiTheme="majorBidi" w:cstheme="majorBidi"/>
          <w:i/>
          <w:color w:val="000000" w:themeColor="text1"/>
          <w:szCs w:val="18"/>
        </w:rPr>
        <w:t xml:space="preserve"> </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C/549/12</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Judgment of </w:t>
      </w:r>
      <w:r w:rsidRPr="00CE2F4B">
        <w:rPr>
          <w:rFonts w:asciiTheme="majorBidi" w:hAnsiTheme="majorBidi" w:cstheme="majorBidi"/>
          <w:color w:val="000000" w:themeColor="text1"/>
          <w:szCs w:val="18"/>
        </w:rPr>
        <w:t xml:space="preserve">8 April 2014; </w:t>
      </w:r>
      <w:r>
        <w:rPr>
          <w:rFonts w:asciiTheme="majorBidi" w:hAnsiTheme="majorBidi" w:cstheme="majorBidi"/>
          <w:color w:val="000000" w:themeColor="text1"/>
          <w:szCs w:val="18"/>
        </w:rPr>
        <w:t>law</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2013-1168 </w:t>
      </w:r>
      <w:r>
        <w:rPr>
          <w:rFonts w:asciiTheme="majorBidi" w:hAnsiTheme="majorBidi" w:cstheme="majorBidi"/>
          <w:color w:val="000000" w:themeColor="text1"/>
          <w:szCs w:val="18"/>
        </w:rPr>
        <w:t>of</w:t>
      </w:r>
      <w:r w:rsidR="003951A7">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18</w:t>
      </w:r>
      <w:r>
        <w:rPr>
          <w:rFonts w:asciiTheme="majorBidi" w:hAnsiTheme="majorBidi" w:cstheme="majorBidi"/>
          <w:color w:val="000000" w:themeColor="text1"/>
          <w:szCs w:val="18"/>
        </w:rPr>
        <w:t xml:space="preserve"> December </w:t>
      </w:r>
      <w:r w:rsidRPr="00CE2F4B">
        <w:rPr>
          <w:rFonts w:asciiTheme="majorBidi" w:hAnsiTheme="majorBidi" w:cstheme="majorBidi"/>
          <w:color w:val="000000" w:themeColor="text1"/>
          <w:szCs w:val="18"/>
        </w:rPr>
        <w:t>2013</w:t>
      </w:r>
      <w:r>
        <w:rPr>
          <w:rFonts w:asciiTheme="majorBidi" w:hAnsiTheme="majorBidi" w:cstheme="majorBidi"/>
          <w:color w:val="000000" w:themeColor="text1"/>
          <w:szCs w:val="18"/>
        </w:rPr>
        <w:t>; and law</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o</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2015-912</w:t>
      </w:r>
      <w:r>
        <w:rPr>
          <w:rFonts w:asciiTheme="majorBidi" w:hAnsiTheme="majorBidi" w:cstheme="majorBidi"/>
          <w:color w:val="000000" w:themeColor="text1"/>
          <w:szCs w:val="18"/>
        </w:rPr>
        <w:t xml:space="preserve"> of</w:t>
      </w:r>
      <w:r w:rsidRPr="00CE2F4B">
        <w:rPr>
          <w:rFonts w:asciiTheme="majorBidi" w:hAnsiTheme="majorBidi" w:cstheme="majorBidi"/>
          <w:color w:val="000000" w:themeColor="text1"/>
          <w:szCs w:val="18"/>
        </w:rPr>
        <w:t xml:space="preserve"> 19</w:t>
      </w:r>
      <w:r>
        <w:rPr>
          <w:rFonts w:asciiTheme="majorBidi" w:hAnsiTheme="majorBidi" w:cstheme="majorBidi"/>
          <w:color w:val="000000" w:themeColor="text1"/>
          <w:szCs w:val="18"/>
        </w:rPr>
        <w:t xml:space="preserve"> March </w:t>
      </w:r>
      <w:r w:rsidRPr="00CE2F4B">
        <w:rPr>
          <w:rFonts w:asciiTheme="majorBidi" w:hAnsiTheme="majorBidi" w:cstheme="majorBidi"/>
          <w:color w:val="000000" w:themeColor="text1"/>
          <w:szCs w:val="18"/>
        </w:rPr>
        <w:t>2015.</w:t>
      </w:r>
    </w:p>
  </w:footnote>
  <w:footnote w:id="44">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Council of Europe</w:t>
      </w:r>
      <w:r w:rsidRPr="00CE2F4B">
        <w:rPr>
          <w:rFonts w:asciiTheme="majorBidi" w:hAnsiTheme="majorBidi" w:cstheme="majorBidi"/>
          <w:color w:val="000000" w:themeColor="text1"/>
          <w:szCs w:val="18"/>
        </w:rPr>
        <w:t xml:space="preserve"> Commissioner for Human Rights, </w:t>
      </w:r>
      <w:r w:rsidRPr="00307A3F">
        <w:rPr>
          <w:rFonts w:asciiTheme="majorBidi" w:hAnsiTheme="majorBidi" w:cstheme="majorBidi"/>
          <w:i/>
          <w:color w:val="000000" w:themeColor="text1"/>
          <w:szCs w:val="18"/>
        </w:rPr>
        <w:t xml:space="preserve">The </w:t>
      </w:r>
      <w:r>
        <w:rPr>
          <w:rFonts w:asciiTheme="majorBidi" w:hAnsiTheme="majorBidi" w:cstheme="majorBidi"/>
          <w:i/>
          <w:color w:val="000000" w:themeColor="text1"/>
          <w:szCs w:val="18"/>
        </w:rPr>
        <w:t>R</w:t>
      </w:r>
      <w:r w:rsidRPr="00307A3F">
        <w:rPr>
          <w:rFonts w:asciiTheme="majorBidi" w:hAnsiTheme="majorBidi" w:cstheme="majorBidi"/>
          <w:i/>
          <w:color w:val="000000" w:themeColor="text1"/>
          <w:szCs w:val="18"/>
        </w:rPr>
        <w:t xml:space="preserve">ule of </w:t>
      </w:r>
      <w:r>
        <w:rPr>
          <w:rFonts w:asciiTheme="majorBidi" w:hAnsiTheme="majorBidi" w:cstheme="majorBidi"/>
          <w:i/>
          <w:color w:val="000000" w:themeColor="text1"/>
          <w:szCs w:val="18"/>
        </w:rPr>
        <w:t>L</w:t>
      </w:r>
      <w:r w:rsidRPr="00307A3F">
        <w:rPr>
          <w:rFonts w:asciiTheme="majorBidi" w:hAnsiTheme="majorBidi" w:cstheme="majorBidi"/>
          <w:i/>
          <w:color w:val="000000" w:themeColor="text1"/>
          <w:szCs w:val="18"/>
        </w:rPr>
        <w:t xml:space="preserve">aw on the Internet and in the </w:t>
      </w:r>
      <w:r>
        <w:rPr>
          <w:rFonts w:asciiTheme="majorBidi" w:hAnsiTheme="majorBidi" w:cstheme="majorBidi"/>
          <w:i/>
          <w:color w:val="000000" w:themeColor="text1"/>
          <w:szCs w:val="18"/>
        </w:rPr>
        <w:t>W</w:t>
      </w:r>
      <w:r w:rsidRPr="00307A3F">
        <w:rPr>
          <w:rFonts w:asciiTheme="majorBidi" w:hAnsiTheme="majorBidi" w:cstheme="majorBidi"/>
          <w:i/>
          <w:color w:val="000000" w:themeColor="text1"/>
          <w:szCs w:val="18"/>
        </w:rPr>
        <w:t xml:space="preserve">ider </w:t>
      </w:r>
      <w:r>
        <w:rPr>
          <w:rFonts w:asciiTheme="majorBidi" w:hAnsiTheme="majorBidi" w:cstheme="majorBidi"/>
          <w:i/>
          <w:color w:val="000000" w:themeColor="text1"/>
          <w:szCs w:val="18"/>
        </w:rPr>
        <w:t>D</w:t>
      </w:r>
      <w:r w:rsidRPr="00307A3F">
        <w:rPr>
          <w:rFonts w:asciiTheme="majorBidi" w:hAnsiTheme="majorBidi" w:cstheme="majorBidi"/>
          <w:i/>
          <w:color w:val="000000" w:themeColor="text1"/>
          <w:szCs w:val="18"/>
        </w:rPr>
        <w:t xml:space="preserve">igital </w:t>
      </w:r>
      <w:r>
        <w:rPr>
          <w:rFonts w:asciiTheme="majorBidi" w:hAnsiTheme="majorBidi" w:cstheme="majorBidi"/>
          <w:i/>
          <w:color w:val="000000" w:themeColor="text1"/>
          <w:szCs w:val="18"/>
        </w:rPr>
        <w:t>W</w:t>
      </w:r>
      <w:r w:rsidRPr="00307A3F">
        <w:rPr>
          <w:rFonts w:asciiTheme="majorBidi" w:hAnsiTheme="majorBidi" w:cstheme="majorBidi"/>
          <w:i/>
          <w:color w:val="000000" w:themeColor="text1"/>
          <w:szCs w:val="18"/>
        </w:rPr>
        <w:t>orld</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Issue paper (2014), </w:t>
      </w:r>
      <w:r>
        <w:rPr>
          <w:rFonts w:asciiTheme="majorBidi" w:hAnsiTheme="majorBidi" w:cstheme="majorBidi"/>
          <w:color w:val="000000" w:themeColor="text1"/>
          <w:szCs w:val="18"/>
        </w:rPr>
        <w:t>p.</w:t>
      </w:r>
      <w:r w:rsidRPr="00CE2F4B">
        <w:rPr>
          <w:rFonts w:asciiTheme="majorBidi" w:hAnsiTheme="majorBidi" w:cstheme="majorBidi"/>
          <w:color w:val="000000" w:themeColor="text1"/>
          <w:szCs w:val="18"/>
        </w:rPr>
        <w:t xml:space="preserve"> 22; </w:t>
      </w:r>
      <w:proofErr w:type="spellStart"/>
      <w:r w:rsidRPr="00CE2F4B">
        <w:rPr>
          <w:rFonts w:asciiTheme="majorBidi" w:hAnsiTheme="majorBidi" w:cstheme="majorBidi"/>
          <w:color w:val="000000" w:themeColor="text1"/>
          <w:szCs w:val="18"/>
        </w:rPr>
        <w:t>CCPR</w:t>
      </w:r>
      <w:proofErr w:type="spellEnd"/>
      <w:r w:rsidRPr="00CE2F4B">
        <w:rPr>
          <w:rFonts w:asciiTheme="majorBidi" w:hAnsiTheme="majorBidi" w:cstheme="majorBidi"/>
          <w:color w:val="000000" w:themeColor="text1"/>
          <w:szCs w:val="18"/>
        </w:rPr>
        <w:t>/C/FRA/CO/5, para</w:t>
      </w:r>
      <w:r>
        <w:rPr>
          <w:rFonts w:asciiTheme="majorBidi" w:hAnsiTheme="majorBidi" w:cstheme="majorBidi"/>
          <w:color w:val="000000" w:themeColor="text1"/>
          <w:szCs w:val="18"/>
        </w:rPr>
        <w:t xml:space="preserve">. </w:t>
      </w:r>
      <w:r w:rsidRPr="00CE2F4B">
        <w:rPr>
          <w:rFonts w:asciiTheme="majorBidi" w:hAnsiTheme="majorBidi" w:cstheme="majorBidi"/>
          <w:color w:val="000000" w:themeColor="text1"/>
          <w:szCs w:val="18"/>
        </w:rPr>
        <w:t>12</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 13 pending complaints befor</w:t>
      </w:r>
      <w:r>
        <w:rPr>
          <w:rFonts w:asciiTheme="majorBidi" w:hAnsiTheme="majorBidi" w:cstheme="majorBidi"/>
          <w:color w:val="000000" w:themeColor="text1"/>
          <w:szCs w:val="18"/>
        </w:rPr>
        <w:t>e</w:t>
      </w:r>
      <w:r w:rsidRPr="00CE2F4B">
        <w:rPr>
          <w:rFonts w:asciiTheme="majorBidi" w:hAnsiTheme="majorBidi" w:cstheme="majorBidi"/>
          <w:color w:val="000000" w:themeColor="text1"/>
          <w:szCs w:val="18"/>
        </w:rPr>
        <w:t xml:space="preserve"> the </w:t>
      </w:r>
      <w:r>
        <w:rPr>
          <w:rFonts w:asciiTheme="majorBidi" w:hAnsiTheme="majorBidi" w:cstheme="majorBidi"/>
          <w:color w:val="000000" w:themeColor="text1"/>
          <w:szCs w:val="18"/>
        </w:rPr>
        <w:t>European Court of Human Rights</w:t>
      </w:r>
      <w:r w:rsidRPr="00CE2F4B">
        <w:rPr>
          <w:rFonts w:asciiTheme="majorBidi" w:hAnsiTheme="majorBidi" w:cstheme="majorBidi"/>
          <w:color w:val="000000" w:themeColor="text1"/>
          <w:szCs w:val="18"/>
        </w:rPr>
        <w:t>.</w:t>
      </w:r>
      <w:r w:rsidR="003951A7">
        <w:rPr>
          <w:rFonts w:asciiTheme="majorBidi" w:hAnsiTheme="majorBidi" w:cstheme="majorBidi"/>
          <w:color w:val="000000" w:themeColor="text1"/>
          <w:szCs w:val="18"/>
        </w:rPr>
        <w:t xml:space="preserve"> </w:t>
      </w:r>
    </w:p>
  </w:footnote>
  <w:footnote w:id="45">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 xml:space="preserve">Sergio Bianchi, </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Radicalisation: </w:t>
      </w:r>
      <w:r>
        <w:rPr>
          <w:rFonts w:asciiTheme="majorBidi" w:hAnsiTheme="majorBidi" w:cstheme="majorBidi"/>
          <w:color w:val="000000" w:themeColor="text1"/>
          <w:szCs w:val="18"/>
        </w:rPr>
        <w:t>n</w:t>
      </w:r>
      <w:r w:rsidRPr="00CE2F4B">
        <w:rPr>
          <w:rFonts w:asciiTheme="majorBidi" w:hAnsiTheme="majorBidi" w:cstheme="majorBidi"/>
          <w:color w:val="000000" w:themeColor="text1"/>
          <w:szCs w:val="18"/>
        </w:rPr>
        <w:t xml:space="preserve">o </w:t>
      </w:r>
      <w:r>
        <w:rPr>
          <w:rFonts w:asciiTheme="majorBidi" w:hAnsiTheme="majorBidi" w:cstheme="majorBidi"/>
          <w:color w:val="000000" w:themeColor="text1"/>
          <w:szCs w:val="18"/>
        </w:rPr>
        <w:t>p</w:t>
      </w:r>
      <w:r w:rsidRPr="00CE2F4B">
        <w:rPr>
          <w:rFonts w:asciiTheme="majorBidi" w:hAnsiTheme="majorBidi" w:cstheme="majorBidi"/>
          <w:color w:val="000000" w:themeColor="text1"/>
          <w:szCs w:val="18"/>
        </w:rPr>
        <w:t xml:space="preserve">revention without </w:t>
      </w:r>
      <w:proofErr w:type="spellStart"/>
      <w:r>
        <w:rPr>
          <w:rFonts w:asciiTheme="majorBidi" w:hAnsiTheme="majorBidi" w:cstheme="majorBidi"/>
          <w:color w:val="000000" w:themeColor="text1"/>
          <w:szCs w:val="18"/>
        </w:rPr>
        <w:t>j</w:t>
      </w:r>
      <w:r w:rsidRPr="00CE2F4B">
        <w:rPr>
          <w:rFonts w:asciiTheme="majorBidi" w:hAnsiTheme="majorBidi" w:cstheme="majorBidi"/>
          <w:color w:val="000000" w:themeColor="text1"/>
          <w:szCs w:val="18"/>
        </w:rPr>
        <w:t>uridicalisation</w:t>
      </w:r>
      <w:proofErr w:type="spellEnd"/>
      <w:r w:rsidR="00B57B03">
        <w:rPr>
          <w:rFonts w:asciiTheme="majorBidi" w:hAnsiTheme="majorBidi" w:cstheme="majorBidi"/>
          <w:color w:val="000000" w:themeColor="text1"/>
          <w:szCs w:val="18"/>
        </w:rPr>
        <w: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Security Paper</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February </w:t>
      </w:r>
      <w:r w:rsidRPr="00CE2F4B">
        <w:rPr>
          <w:rFonts w:asciiTheme="majorBidi" w:hAnsiTheme="majorBidi" w:cstheme="majorBidi"/>
          <w:color w:val="000000" w:themeColor="text1"/>
          <w:szCs w:val="18"/>
        </w:rPr>
        <w:t>2018. Controversial underpinning</w:t>
      </w:r>
      <w:r>
        <w:rPr>
          <w:rFonts w:asciiTheme="majorBidi" w:hAnsiTheme="majorBidi" w:cstheme="majorBidi"/>
          <w:color w:val="000000" w:themeColor="text1"/>
          <w:szCs w:val="18"/>
        </w:rPr>
        <w:t>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of </w:t>
      </w:r>
      <w:r w:rsidRPr="00CE2F4B">
        <w:rPr>
          <w:rFonts w:asciiTheme="majorBidi" w:hAnsiTheme="majorBidi" w:cstheme="majorBidi"/>
          <w:color w:val="000000" w:themeColor="text1"/>
          <w:szCs w:val="18"/>
        </w:rPr>
        <w:t>these policies include psychological manipulation, predictive profiling of suspects, technological surveillance, broad use of administrative practices and public-private partnerships. Pre-crime identification policies dominate</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associated with measurement scales such as </w:t>
      </w:r>
      <w:r>
        <w:rPr>
          <w:rFonts w:asciiTheme="majorBidi" w:hAnsiTheme="majorBidi" w:cstheme="majorBidi"/>
          <w:color w:val="000000" w:themeColor="text1"/>
          <w:szCs w:val="18"/>
        </w:rPr>
        <w:t>Violent Extremist Risk Assessment 2 Revised (</w:t>
      </w:r>
      <w:r w:rsidRPr="00CE2F4B">
        <w:rPr>
          <w:rFonts w:asciiTheme="majorBidi" w:hAnsiTheme="majorBidi" w:cstheme="majorBidi"/>
          <w:color w:val="000000" w:themeColor="text1"/>
          <w:szCs w:val="18"/>
        </w:rPr>
        <w:t>VERA</w:t>
      </w:r>
      <w:r>
        <w:rPr>
          <w:rFonts w:asciiTheme="majorBidi" w:hAnsiTheme="majorBidi" w:cstheme="majorBidi"/>
          <w:color w:val="000000" w:themeColor="text1"/>
          <w:szCs w:val="18"/>
        </w:rPr>
        <w:t>-</w:t>
      </w:r>
      <w:proofErr w:type="spellStart"/>
      <w:r w:rsidRPr="00CE2F4B">
        <w:rPr>
          <w:rFonts w:asciiTheme="majorBidi" w:hAnsiTheme="majorBidi" w:cstheme="majorBidi"/>
          <w:color w:val="000000" w:themeColor="text1"/>
          <w:szCs w:val="18"/>
        </w:rPr>
        <w:t>2R</w:t>
      </w:r>
      <w:proofErr w:type="spellEnd"/>
      <w:r>
        <w:rPr>
          <w:rFonts w:asciiTheme="majorBidi" w:hAnsiTheme="majorBidi" w:cstheme="majorBidi"/>
          <w:color w:val="000000" w:themeColor="text1"/>
          <w:szCs w:val="18"/>
        </w:rPr>
        <w:t>) and</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Extremist Risk Guidelines (</w:t>
      </w:r>
      <w:proofErr w:type="spellStart"/>
      <w:r w:rsidRPr="00CE2F4B">
        <w:rPr>
          <w:rFonts w:asciiTheme="majorBidi" w:hAnsiTheme="majorBidi" w:cstheme="majorBidi"/>
          <w:color w:val="000000" w:themeColor="text1"/>
          <w:szCs w:val="18"/>
        </w:rPr>
        <w:t>ERG22</w:t>
      </w:r>
      <w:proofErr w:type="spellEnd"/>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and checklists including Europol</w:t>
      </w:r>
      <w:r w:rsidR="00B57B03">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s </w:t>
      </w:r>
      <w:r>
        <w:rPr>
          <w:rFonts w:asciiTheme="majorBidi" w:hAnsiTheme="majorBidi" w:cstheme="majorBidi"/>
          <w:color w:val="000000" w:themeColor="text1"/>
          <w:szCs w:val="18"/>
        </w:rPr>
        <w:t>Foreign Terrorist Fighters</w:t>
      </w:r>
      <w:r w:rsidRPr="00CE2F4B">
        <w:rPr>
          <w:rFonts w:asciiTheme="majorBidi" w:hAnsiTheme="majorBidi" w:cstheme="majorBidi"/>
          <w:color w:val="000000" w:themeColor="text1"/>
          <w:szCs w:val="18"/>
        </w:rPr>
        <w:t xml:space="preserve"> Risk Indicators Guide. Concerns about these psychometric systems</w:t>
      </w:r>
      <w:r>
        <w:rPr>
          <w:rFonts w:asciiTheme="majorBidi" w:hAnsiTheme="majorBidi" w:cstheme="majorBidi"/>
          <w:color w:val="000000" w:themeColor="text1"/>
          <w:szCs w:val="18"/>
        </w:rPr>
        <w:t xml:space="preserve"> include,</w:t>
      </w:r>
      <w:r w:rsidRPr="00CE2F4B">
        <w:rPr>
          <w:rFonts w:asciiTheme="majorBidi" w:hAnsiTheme="majorBidi" w:cstheme="majorBidi"/>
          <w:color w:val="000000" w:themeColor="text1"/>
          <w:szCs w:val="18"/>
        </w:rPr>
        <w:t xml:space="preserve"> </w:t>
      </w:r>
      <w:r w:rsidRPr="006200AA">
        <w:rPr>
          <w:rFonts w:asciiTheme="majorBidi" w:hAnsiTheme="majorBidi" w:cstheme="majorBidi"/>
          <w:color w:val="000000" w:themeColor="text1"/>
          <w:szCs w:val="18"/>
        </w:rPr>
        <w:t>i</w:t>
      </w:r>
      <w:r w:rsidRPr="00307A3F">
        <w:rPr>
          <w:rFonts w:asciiTheme="majorBidi" w:hAnsiTheme="majorBidi" w:cstheme="majorBidi"/>
          <w:iCs/>
          <w:color w:val="000000" w:themeColor="text1"/>
          <w:szCs w:val="18"/>
        </w:rPr>
        <w:t>nter alia</w:t>
      </w:r>
      <w:r>
        <w:rPr>
          <w:rFonts w:asciiTheme="majorBidi" w:hAnsiTheme="majorBidi" w:cstheme="majorBidi"/>
          <w:iCs/>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their mixing of</w:t>
      </w:r>
      <w:r w:rsidRPr="00CE2F4B">
        <w:rPr>
          <w:rFonts w:asciiTheme="majorBidi" w:hAnsiTheme="majorBidi" w:cstheme="majorBidi"/>
          <w:color w:val="000000" w:themeColor="text1"/>
          <w:szCs w:val="18"/>
        </w:rPr>
        <w:t xml:space="preserve"> structured forensic analysis models traditionally focused on mental illness and deviance </w:t>
      </w:r>
      <w:r>
        <w:rPr>
          <w:rFonts w:asciiTheme="majorBidi" w:hAnsiTheme="majorBidi" w:cstheme="majorBidi"/>
          <w:color w:val="000000" w:themeColor="text1"/>
          <w:szCs w:val="18"/>
        </w:rPr>
        <w:t>from</w:t>
      </w:r>
      <w:r w:rsidRPr="00CE2F4B">
        <w:rPr>
          <w:rFonts w:asciiTheme="majorBidi" w:hAnsiTheme="majorBidi" w:cstheme="majorBidi"/>
          <w:color w:val="000000" w:themeColor="text1"/>
          <w:szCs w:val="18"/>
        </w:rPr>
        <w:t xml:space="preserve"> other models of intelligence analysis containing strong ideological and political connotations.</w:t>
      </w:r>
    </w:p>
  </w:footnote>
  <w:footnote w:id="46">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U</w:t>
      </w:r>
      <w:r>
        <w:rPr>
          <w:rFonts w:asciiTheme="majorBidi" w:hAnsiTheme="majorBidi" w:cstheme="majorBidi"/>
          <w:color w:val="000000" w:themeColor="text1"/>
          <w:szCs w:val="18"/>
        </w:rPr>
        <w:t xml:space="preserve">nited </w:t>
      </w:r>
      <w:r w:rsidRPr="00CE2F4B">
        <w:rPr>
          <w:rFonts w:asciiTheme="majorBidi" w:hAnsiTheme="majorBidi" w:cstheme="majorBidi"/>
          <w:color w:val="000000" w:themeColor="text1"/>
          <w:szCs w:val="18"/>
        </w:rPr>
        <w:t>N</w:t>
      </w:r>
      <w:r>
        <w:rPr>
          <w:rFonts w:asciiTheme="majorBidi" w:hAnsiTheme="majorBidi" w:cstheme="majorBidi"/>
          <w:color w:val="000000" w:themeColor="text1"/>
          <w:szCs w:val="18"/>
        </w:rPr>
        <w:t xml:space="preserve">ations </w:t>
      </w:r>
      <w:r w:rsidRPr="00CE2F4B">
        <w:rPr>
          <w:rFonts w:asciiTheme="majorBidi" w:hAnsiTheme="majorBidi" w:cstheme="majorBidi"/>
          <w:color w:val="000000" w:themeColor="text1"/>
          <w:szCs w:val="18"/>
        </w:rPr>
        <w:t>D</w:t>
      </w:r>
      <w:r>
        <w:rPr>
          <w:rFonts w:asciiTheme="majorBidi" w:hAnsiTheme="majorBidi" w:cstheme="majorBidi"/>
          <w:color w:val="000000" w:themeColor="text1"/>
          <w:szCs w:val="18"/>
        </w:rPr>
        <w:t xml:space="preserve">evelopment </w:t>
      </w:r>
      <w:r w:rsidRPr="00CE2F4B">
        <w:rPr>
          <w:rFonts w:asciiTheme="majorBidi" w:hAnsiTheme="majorBidi" w:cstheme="majorBidi"/>
          <w:color w:val="000000" w:themeColor="text1"/>
          <w:szCs w:val="18"/>
        </w:rPr>
        <w:t>P</w:t>
      </w:r>
      <w:r>
        <w:rPr>
          <w:rFonts w:asciiTheme="majorBidi" w:hAnsiTheme="majorBidi" w:cstheme="majorBidi"/>
          <w:color w:val="000000" w:themeColor="text1"/>
          <w:szCs w:val="18"/>
        </w:rPr>
        <w:t>rogramme</w:t>
      </w:r>
      <w:r w:rsidRPr="00CE2F4B">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Journey to Extremism in Africa</w:t>
      </w:r>
      <w:r w:rsidRPr="00CE2F4B">
        <w:rPr>
          <w:rFonts w:asciiTheme="majorBidi" w:hAnsiTheme="majorBidi" w:cstheme="majorBidi"/>
          <w:color w:val="000000" w:themeColor="text1"/>
          <w:szCs w:val="18"/>
        </w:rPr>
        <w:t xml:space="preserve"> (201</w:t>
      </w:r>
      <w:r>
        <w:rPr>
          <w:rFonts w:asciiTheme="majorBidi" w:hAnsiTheme="majorBidi" w:cstheme="majorBidi"/>
          <w:color w:val="000000" w:themeColor="text1"/>
          <w:szCs w:val="18"/>
        </w:rPr>
        <w:t>7</w:t>
      </w:r>
      <w:r w:rsidRPr="00CE2F4B">
        <w:rPr>
          <w:rFonts w:asciiTheme="majorBidi" w:hAnsiTheme="majorBidi" w:cstheme="majorBidi"/>
          <w:color w:val="000000" w:themeColor="text1"/>
          <w:szCs w:val="18"/>
        </w:rPr>
        <w:t>)</w:t>
      </w:r>
      <w:r>
        <w:rPr>
          <w:rFonts w:asciiTheme="majorBidi" w:hAnsiTheme="majorBidi" w:cstheme="majorBidi"/>
          <w:color w:val="000000" w:themeColor="text1"/>
          <w:szCs w:val="18"/>
        </w:rPr>
        <w:t>.</w:t>
      </w:r>
    </w:p>
  </w:footnote>
  <w:footnote w:id="47">
    <w:p w:rsidR="00F6015D" w:rsidRPr="00CE2F4B" w:rsidRDefault="00F6015D" w:rsidP="003951A7">
      <w:pPr>
        <w:pStyle w:val="a8"/>
        <w:rPr>
          <w:rFonts w:asciiTheme="majorBidi" w:hAnsiTheme="majorBidi" w:cstheme="majorBidi"/>
          <w:color w:val="000000" w:themeColor="text1"/>
          <w:szCs w:val="18"/>
          <w:lang w:val="fr-FR"/>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 xml:space="preserve">By contrast, the innovative interdisciplinary and courageous research and policy thinking being carried out by the Association </w:t>
      </w:r>
      <w:proofErr w:type="spellStart"/>
      <w:r>
        <w:rPr>
          <w:rFonts w:asciiTheme="majorBidi" w:hAnsiTheme="majorBidi" w:cstheme="majorBidi"/>
          <w:color w:val="000000" w:themeColor="text1"/>
          <w:szCs w:val="18"/>
        </w:rPr>
        <w:t>f</w:t>
      </w:r>
      <w:r w:rsidRPr="00CE2F4B">
        <w:rPr>
          <w:rFonts w:asciiTheme="majorBidi" w:hAnsiTheme="majorBidi" w:cstheme="majorBidi"/>
          <w:color w:val="000000" w:themeColor="text1"/>
          <w:szCs w:val="18"/>
        </w:rPr>
        <w:t>rançaise</w:t>
      </w:r>
      <w:proofErr w:type="spellEnd"/>
      <w:r w:rsidRPr="00CE2F4B">
        <w:rPr>
          <w:rFonts w:asciiTheme="majorBidi" w:hAnsiTheme="majorBidi" w:cstheme="majorBidi"/>
          <w:color w:val="000000" w:themeColor="text1"/>
          <w:szCs w:val="18"/>
        </w:rPr>
        <w:t xml:space="preserve"> des </w:t>
      </w:r>
      <w:proofErr w:type="spellStart"/>
      <w:r>
        <w:rPr>
          <w:rFonts w:asciiTheme="majorBidi" w:hAnsiTheme="majorBidi" w:cstheme="majorBidi"/>
          <w:color w:val="000000" w:themeColor="text1"/>
          <w:szCs w:val="18"/>
        </w:rPr>
        <w:t>v</w:t>
      </w:r>
      <w:r w:rsidRPr="00CE2F4B">
        <w:rPr>
          <w:rFonts w:asciiTheme="majorBidi" w:hAnsiTheme="majorBidi" w:cstheme="majorBidi"/>
          <w:color w:val="000000" w:themeColor="text1"/>
          <w:szCs w:val="18"/>
        </w:rPr>
        <w:t>ictimes</w:t>
      </w:r>
      <w:proofErr w:type="spellEnd"/>
      <w:r w:rsidRPr="00CE2F4B">
        <w:rPr>
          <w:rFonts w:asciiTheme="majorBidi" w:hAnsiTheme="majorBidi" w:cstheme="majorBidi"/>
          <w:color w:val="000000" w:themeColor="text1"/>
          <w:szCs w:val="18"/>
        </w:rPr>
        <w:t xml:space="preserve"> du </w:t>
      </w:r>
      <w:proofErr w:type="spellStart"/>
      <w:r>
        <w:rPr>
          <w:rFonts w:asciiTheme="majorBidi" w:hAnsiTheme="majorBidi" w:cstheme="majorBidi"/>
          <w:color w:val="000000" w:themeColor="text1"/>
          <w:szCs w:val="18"/>
        </w:rPr>
        <w:t>t</w:t>
      </w:r>
      <w:r w:rsidRPr="00CE2F4B">
        <w:rPr>
          <w:rFonts w:asciiTheme="majorBidi" w:hAnsiTheme="majorBidi" w:cstheme="majorBidi"/>
          <w:color w:val="000000" w:themeColor="text1"/>
          <w:szCs w:val="18"/>
        </w:rPr>
        <w:t>errorisme</w:t>
      </w:r>
      <w:proofErr w:type="spellEnd"/>
      <w:r w:rsidR="003951A7">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and</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the </w:t>
      </w:r>
      <w:r w:rsidRPr="00CE2F4B">
        <w:rPr>
          <w:rFonts w:asciiTheme="majorBidi" w:hAnsiTheme="majorBidi" w:cstheme="majorBidi"/>
          <w:color w:val="000000" w:themeColor="text1"/>
          <w:szCs w:val="18"/>
        </w:rPr>
        <w:t xml:space="preserve">Association </w:t>
      </w:r>
      <w:r>
        <w:rPr>
          <w:rFonts w:asciiTheme="majorBidi" w:hAnsiTheme="majorBidi" w:cstheme="majorBidi"/>
          <w:color w:val="000000" w:themeColor="text1"/>
          <w:szCs w:val="18"/>
        </w:rPr>
        <w:t>d</w:t>
      </w:r>
      <w:r w:rsidRPr="00CE2F4B">
        <w:rPr>
          <w:rFonts w:asciiTheme="majorBidi" w:hAnsiTheme="majorBidi" w:cstheme="majorBidi"/>
          <w:color w:val="000000" w:themeColor="text1"/>
          <w:szCs w:val="18"/>
        </w:rPr>
        <w:t xml:space="preserve">ialogues </w:t>
      </w:r>
      <w:proofErr w:type="spellStart"/>
      <w:r>
        <w:rPr>
          <w:rFonts w:asciiTheme="majorBidi" w:hAnsiTheme="majorBidi" w:cstheme="majorBidi"/>
          <w:color w:val="000000" w:themeColor="text1"/>
          <w:szCs w:val="18"/>
        </w:rPr>
        <w:t>c</w:t>
      </w:r>
      <w:r w:rsidRPr="00CE2F4B">
        <w:rPr>
          <w:rFonts w:asciiTheme="majorBidi" w:hAnsiTheme="majorBidi" w:cstheme="majorBidi"/>
          <w:color w:val="000000" w:themeColor="text1"/>
          <w:szCs w:val="18"/>
        </w:rPr>
        <w:t>itoyens</w:t>
      </w:r>
      <w:proofErr w:type="spellEnd"/>
      <w:r w:rsidRPr="00CE2F4B">
        <w:rPr>
          <w:rFonts w:asciiTheme="majorBidi" w:hAnsiTheme="majorBidi" w:cstheme="majorBidi"/>
          <w:color w:val="000000" w:themeColor="text1"/>
          <w:szCs w:val="18"/>
        </w:rPr>
        <w:t xml:space="preserve"> attests to innovative approaches to detection, evaluation, inclusion and management. </w:t>
      </w:r>
      <w:proofErr w:type="spellStart"/>
      <w:r w:rsidRPr="00307A3F">
        <w:rPr>
          <w:rFonts w:asciiTheme="majorBidi" w:hAnsiTheme="majorBidi" w:cstheme="majorBidi"/>
          <w:color w:val="000000" w:themeColor="text1"/>
          <w:szCs w:val="18"/>
          <w:lang w:val="fr-FR"/>
        </w:rPr>
        <w:t>See</w:t>
      </w:r>
      <w:proofErr w:type="spellEnd"/>
      <w:r w:rsidRPr="00307A3F">
        <w:rPr>
          <w:rFonts w:asciiTheme="majorBidi" w:hAnsiTheme="majorBidi" w:cstheme="majorBidi"/>
          <w:color w:val="000000" w:themeColor="text1"/>
          <w:szCs w:val="18"/>
          <w:lang w:val="fr-FR"/>
        </w:rPr>
        <w:t xml:space="preserve"> </w:t>
      </w:r>
      <w:r w:rsidRPr="006A6CBE">
        <w:rPr>
          <w:rFonts w:asciiTheme="majorBidi" w:hAnsiTheme="majorBidi" w:cstheme="majorBidi"/>
          <w:i/>
          <w:iCs/>
          <w:color w:val="000000" w:themeColor="text1"/>
          <w:szCs w:val="18"/>
          <w:lang w:val="fr-FR"/>
        </w:rPr>
        <w:t>Détection et prise en charge de la radicalisation religieuse des personnes détenues en mili</w:t>
      </w:r>
      <w:r w:rsidRPr="00FF7E5A">
        <w:rPr>
          <w:rFonts w:asciiTheme="majorBidi" w:hAnsiTheme="majorBidi" w:cstheme="majorBidi"/>
          <w:i/>
          <w:iCs/>
          <w:color w:val="000000" w:themeColor="text1"/>
          <w:szCs w:val="18"/>
          <w:lang w:val="fr-FR"/>
        </w:rPr>
        <w:t>eu carc</w:t>
      </w:r>
      <w:r w:rsidRPr="00307A3F">
        <w:rPr>
          <w:rFonts w:asciiTheme="majorBidi" w:hAnsiTheme="majorBidi" w:cstheme="majorBidi"/>
          <w:i/>
          <w:iCs/>
          <w:color w:val="000000" w:themeColor="text1"/>
          <w:szCs w:val="18"/>
          <w:lang w:val="fr-FR"/>
        </w:rPr>
        <w:t>é</w:t>
      </w:r>
      <w:r w:rsidRPr="00FF7E5A">
        <w:rPr>
          <w:rFonts w:asciiTheme="majorBidi" w:hAnsiTheme="majorBidi" w:cstheme="majorBidi"/>
          <w:i/>
          <w:iCs/>
          <w:color w:val="000000" w:themeColor="text1"/>
          <w:szCs w:val="18"/>
          <w:lang w:val="fr-FR"/>
        </w:rPr>
        <w:t>ral</w:t>
      </w:r>
      <w:r w:rsidRPr="00CE2F4B">
        <w:rPr>
          <w:rFonts w:asciiTheme="majorBidi" w:hAnsiTheme="majorBidi" w:cstheme="majorBidi"/>
          <w:color w:val="000000" w:themeColor="text1"/>
          <w:szCs w:val="18"/>
          <w:lang w:val="fr-FR"/>
        </w:rPr>
        <w:t xml:space="preserve"> (2018).</w:t>
      </w:r>
    </w:p>
  </w:footnote>
  <w:footnote w:id="48">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lang w:val="fr-FR"/>
        </w:rPr>
        <w:tab/>
      </w:r>
      <w:r w:rsidRPr="00FF7A66">
        <w:rPr>
          <w:rStyle w:val="ac"/>
        </w:rPr>
        <w:footnoteRef/>
      </w:r>
      <w:r w:rsidRPr="00660559">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According to the news outlet </w:t>
      </w:r>
      <w:proofErr w:type="spellStart"/>
      <w:r>
        <w:rPr>
          <w:rFonts w:asciiTheme="majorBidi" w:hAnsiTheme="majorBidi" w:cstheme="majorBidi"/>
          <w:color w:val="000000" w:themeColor="text1"/>
          <w:szCs w:val="18"/>
        </w:rPr>
        <w:t>BFMTV</w:t>
      </w:r>
      <w:proofErr w:type="spellEnd"/>
      <w:r>
        <w:rPr>
          <w:rFonts w:asciiTheme="majorBidi" w:hAnsiTheme="majorBidi" w:cstheme="majorBidi"/>
          <w:color w:val="000000" w:themeColor="text1"/>
          <w:szCs w:val="18"/>
        </w:rPr>
        <w:t>, it was estimated that some 20,000</w:t>
      </w:r>
      <w:r w:rsidRPr="00660559">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names</w:t>
      </w:r>
      <w:r w:rsidRPr="00660559">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were </w:t>
      </w:r>
      <w:r w:rsidRPr="00660559">
        <w:rPr>
          <w:rFonts w:asciiTheme="majorBidi" w:hAnsiTheme="majorBidi" w:cstheme="majorBidi"/>
          <w:color w:val="000000" w:themeColor="text1"/>
          <w:szCs w:val="18"/>
        </w:rPr>
        <w:t xml:space="preserve">on </w:t>
      </w:r>
      <w:r>
        <w:rPr>
          <w:rFonts w:asciiTheme="majorBidi" w:hAnsiTheme="majorBidi" w:cstheme="majorBidi"/>
          <w:color w:val="000000" w:themeColor="text1"/>
          <w:szCs w:val="18"/>
        </w:rPr>
        <w:t>the</w:t>
      </w:r>
      <w:r w:rsidRPr="00660559">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fiche</w:t>
      </w:r>
      <w:r w:rsidRPr="00660559">
        <w:rPr>
          <w:rFonts w:asciiTheme="majorBidi" w:hAnsiTheme="majorBidi" w:cstheme="majorBidi"/>
          <w:color w:val="000000" w:themeColor="text1"/>
          <w:szCs w:val="18"/>
        </w:rPr>
        <w:t xml:space="preserve"> </w:t>
      </w:r>
      <w:r w:rsidRPr="00307A3F">
        <w:rPr>
          <w:rFonts w:asciiTheme="majorBidi" w:hAnsiTheme="majorBidi" w:cstheme="majorBidi"/>
          <w:i/>
          <w:color w:val="000000" w:themeColor="text1"/>
          <w:szCs w:val="18"/>
        </w:rPr>
        <w:t>S</w:t>
      </w:r>
      <w:r>
        <w:rPr>
          <w:rFonts w:asciiTheme="majorBidi" w:hAnsiTheme="majorBidi" w:cstheme="majorBidi"/>
          <w:color w:val="000000" w:themeColor="text1"/>
          <w:szCs w:val="18"/>
        </w:rPr>
        <w:t xml:space="preserve"> as of 2015</w:t>
      </w:r>
      <w:r w:rsidRPr="00CE2F4B">
        <w:fldChar w:fldCharType="begin"/>
      </w:r>
      <w:r w:rsidRPr="00660559">
        <w:rPr>
          <w:rFonts w:asciiTheme="majorBidi" w:hAnsiTheme="majorBidi" w:cstheme="majorBidi"/>
          <w:color w:val="000000" w:themeColor="text1"/>
          <w:szCs w:val="18"/>
        </w:rPr>
        <w:instrText xml:space="preserve">"http://www.bfmtv.com/societe/attentat-en-isere-l-auteur-presume-etait-fiche-s-en-quoi-ca-consiste-897653.html" </w:instrText>
      </w:r>
      <w:r w:rsidRPr="00CE2F4B">
        <w:fldChar w:fldCharType="separate"/>
      </w:r>
      <w:r w:rsidRPr="00660559">
        <w:rPr>
          <w:rStyle w:val="af1"/>
          <w:rFonts w:asciiTheme="majorBidi" w:hAnsiTheme="majorBidi" w:cstheme="majorBidi"/>
          <w:i/>
          <w:color w:val="000000" w:themeColor="text1"/>
          <w:szCs w:val="18"/>
        </w:rPr>
        <w:t>"Attentat en Isère - L'auteur présumé était fiché « S »: en quoi ça consiste?"</w:t>
      </w:r>
      <w:r w:rsidRPr="00CE2F4B">
        <w:rPr>
          <w:rStyle w:val="af1"/>
          <w:rFonts w:asciiTheme="majorBidi" w:hAnsiTheme="majorBidi" w:cstheme="majorBidi"/>
          <w:i/>
          <w:iCs/>
          <w:color w:val="000000" w:themeColor="text1"/>
          <w:szCs w:val="18"/>
        </w:rPr>
        <w:fldChar w:fldCharType="end"/>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The Special Rapporteur</w:t>
      </w:r>
      <w:r w:rsidRPr="00CE2F4B">
        <w:rPr>
          <w:rFonts w:asciiTheme="majorBidi" w:hAnsiTheme="majorBidi" w:cstheme="majorBidi"/>
          <w:color w:val="000000" w:themeColor="text1"/>
          <w:szCs w:val="18"/>
        </w:rPr>
        <w:t xml:space="preserve"> notes that various categories of persons may be identified on the </w:t>
      </w:r>
      <w:r w:rsidRPr="00307A3F">
        <w:rPr>
          <w:rFonts w:asciiTheme="majorBidi" w:hAnsiTheme="majorBidi" w:cstheme="majorBidi"/>
          <w:i/>
          <w:iCs/>
          <w:color w:val="000000" w:themeColor="text1"/>
          <w:szCs w:val="18"/>
        </w:rPr>
        <w:t>fiche</w:t>
      </w:r>
      <w:r w:rsidRPr="00CE2F4B">
        <w:rPr>
          <w:rFonts w:asciiTheme="majorBidi" w:hAnsiTheme="majorBidi" w:cstheme="majorBidi"/>
          <w:color w:val="000000" w:themeColor="text1"/>
          <w:szCs w:val="18"/>
        </w:rPr>
        <w:t xml:space="preserve"> </w:t>
      </w:r>
      <w:r w:rsidRPr="00307A3F">
        <w:rPr>
          <w:rFonts w:asciiTheme="majorBidi" w:hAnsiTheme="majorBidi" w:cstheme="majorBidi"/>
          <w:i/>
          <w:iCs/>
          <w:color w:val="000000" w:themeColor="text1"/>
          <w:szCs w:val="18"/>
        </w:rPr>
        <w:t>S</w:t>
      </w:r>
      <w:r w:rsidRPr="00CE2F4B">
        <w:rPr>
          <w:rFonts w:asciiTheme="majorBidi" w:hAnsiTheme="majorBidi" w:cstheme="majorBidi"/>
          <w:color w:val="000000" w:themeColor="text1"/>
          <w:szCs w:val="18"/>
        </w:rPr>
        <w:t xml:space="preserve"> (including extreme-right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and extreme-left</w:t>
      </w:r>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affiliated individuals), but addresses specific complexities </w:t>
      </w:r>
      <w:r>
        <w:rPr>
          <w:rFonts w:asciiTheme="majorBidi" w:hAnsiTheme="majorBidi" w:cstheme="majorBidi"/>
          <w:color w:val="000000" w:themeColor="text1"/>
          <w:szCs w:val="18"/>
        </w:rPr>
        <w:t>with regard to</w:t>
      </w:r>
      <w:r w:rsidRPr="00CE2F4B">
        <w:rPr>
          <w:rFonts w:asciiTheme="majorBidi" w:hAnsiTheme="majorBidi" w:cstheme="majorBidi"/>
          <w:color w:val="000000" w:themeColor="text1"/>
          <w:szCs w:val="18"/>
        </w:rPr>
        <w:t xml:space="preserve"> the number of persons identified as Islamic radicals.</w:t>
      </w:r>
    </w:p>
  </w:footnote>
  <w:footnote w:id="49">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United Nations</w:t>
      </w:r>
      <w:r w:rsidRPr="00CE2F4B">
        <w:rPr>
          <w:rFonts w:asciiTheme="majorBidi" w:hAnsiTheme="majorBidi" w:cstheme="majorBidi"/>
          <w:color w:val="000000" w:themeColor="text1"/>
          <w:szCs w:val="18"/>
        </w:rPr>
        <w:t xml:space="preserve"> Standard Minimum Rules for the Treatment of Prisoners (</w:t>
      </w:r>
      <w:r>
        <w:rPr>
          <w:rFonts w:asciiTheme="majorBidi" w:hAnsiTheme="majorBidi" w:cstheme="majorBidi"/>
          <w:color w:val="000000" w:themeColor="text1"/>
          <w:szCs w:val="18"/>
        </w:rPr>
        <w:t xml:space="preserve">the Nelson </w:t>
      </w:r>
      <w:r w:rsidRPr="00CE2F4B">
        <w:rPr>
          <w:rFonts w:asciiTheme="majorBidi" w:hAnsiTheme="majorBidi" w:cstheme="majorBidi"/>
          <w:color w:val="000000" w:themeColor="text1"/>
          <w:szCs w:val="18"/>
        </w:rPr>
        <w:t xml:space="preserve">Mandela </w:t>
      </w:r>
      <w:r>
        <w:rPr>
          <w:rFonts w:asciiTheme="majorBidi" w:hAnsiTheme="majorBidi" w:cstheme="majorBidi"/>
          <w:color w:val="000000" w:themeColor="text1"/>
          <w:szCs w:val="18"/>
        </w:rPr>
        <w:t>Rules)</w:t>
      </w:r>
      <w:r w:rsidRPr="00CE2F4B">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paras. 44 and 45.</w:t>
      </w:r>
    </w:p>
  </w:footnote>
  <w:footnote w:id="50">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r>
      <w:r w:rsidRPr="00CE2F4B">
        <w:rPr>
          <w:rFonts w:asciiTheme="majorBidi" w:hAnsiTheme="majorBidi" w:cstheme="majorBidi"/>
          <w:color w:val="000000" w:themeColor="text1"/>
          <w:szCs w:val="18"/>
          <w:shd w:val="clear" w:color="auto" w:fill="FFFFFF"/>
        </w:rPr>
        <w:t>L</w:t>
      </w:r>
      <w:r>
        <w:rPr>
          <w:rFonts w:asciiTheme="majorBidi" w:hAnsiTheme="majorBidi" w:cstheme="majorBidi"/>
          <w:color w:val="000000" w:themeColor="text1"/>
          <w:szCs w:val="18"/>
          <w:shd w:val="clear" w:color="auto" w:fill="FFFFFF"/>
        </w:rPr>
        <w:t>aw</w:t>
      </w:r>
      <w:r w:rsidRPr="00CE2F4B">
        <w:rPr>
          <w:rFonts w:asciiTheme="majorBidi" w:hAnsiTheme="majorBidi" w:cstheme="majorBidi"/>
          <w:color w:val="000000" w:themeColor="text1"/>
          <w:szCs w:val="18"/>
          <w:shd w:val="clear" w:color="auto" w:fill="FFFFFF"/>
        </w:rPr>
        <w:t xml:space="preserve"> 2014-1353</w:t>
      </w:r>
      <w:r>
        <w:rPr>
          <w:rFonts w:asciiTheme="majorBidi" w:hAnsiTheme="majorBidi" w:cstheme="majorBidi"/>
          <w:color w:val="000000" w:themeColor="text1"/>
          <w:szCs w:val="18"/>
          <w:shd w:val="clear" w:color="auto" w:fill="FFFFFF"/>
        </w:rPr>
        <w:t>.</w:t>
      </w:r>
    </w:p>
  </w:footnote>
  <w:footnote w:id="51">
    <w:p w:rsidR="00F6015D" w:rsidRPr="0098294E"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98294E">
        <w:rPr>
          <w:rFonts w:asciiTheme="majorBidi" w:hAnsiTheme="majorBidi" w:cstheme="majorBidi"/>
          <w:color w:val="000000" w:themeColor="text1"/>
          <w:szCs w:val="18"/>
        </w:rPr>
        <w:tab/>
        <w:t>Here the position of returnees not charged with terrorism enterprise but subject to sustained house arrest is noted.</w:t>
      </w:r>
    </w:p>
  </w:footnote>
  <w:footnote w:id="52">
    <w:p w:rsidR="00F6015D" w:rsidRPr="0098294E" w:rsidRDefault="00F6015D" w:rsidP="003951A7">
      <w:pPr>
        <w:pStyle w:val="a8"/>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ac"/>
        </w:rPr>
        <w:footnoteRef/>
      </w:r>
      <w:r>
        <w:rPr>
          <w:rFonts w:asciiTheme="majorBidi" w:hAnsiTheme="majorBidi" w:cstheme="majorBidi"/>
          <w:color w:val="000000" w:themeColor="text1"/>
          <w:szCs w:val="18"/>
        </w:rPr>
        <w:tab/>
        <w:t xml:space="preserve">European Parliament, </w:t>
      </w:r>
      <w:r w:rsidRPr="00307A3F">
        <w:rPr>
          <w:rFonts w:asciiTheme="majorBidi" w:hAnsiTheme="majorBidi" w:cstheme="majorBidi"/>
          <w:i/>
          <w:color w:val="000000" w:themeColor="text1"/>
          <w:szCs w:val="18"/>
        </w:rPr>
        <w:t>The Return of Foreign Fight</w:t>
      </w:r>
      <w:r>
        <w:rPr>
          <w:rFonts w:asciiTheme="majorBidi" w:hAnsiTheme="majorBidi" w:cstheme="majorBidi"/>
          <w:i/>
          <w:color w:val="000000" w:themeColor="text1"/>
          <w:szCs w:val="18"/>
        </w:rPr>
        <w:t>er</w:t>
      </w:r>
      <w:r w:rsidRPr="00307A3F">
        <w:rPr>
          <w:rFonts w:asciiTheme="majorBidi" w:hAnsiTheme="majorBidi" w:cstheme="majorBidi"/>
          <w:i/>
          <w:color w:val="000000" w:themeColor="text1"/>
          <w:szCs w:val="18"/>
        </w:rPr>
        <w:t>s to EU Soil: Ex-Post Evaluation</w:t>
      </w:r>
      <w:r>
        <w:rPr>
          <w:rFonts w:asciiTheme="majorBidi" w:hAnsiTheme="majorBidi" w:cstheme="majorBidi"/>
          <w:i/>
          <w:color w:val="000000" w:themeColor="text1"/>
          <w:szCs w:val="18"/>
        </w:rPr>
        <w:t xml:space="preserve"> </w:t>
      </w:r>
      <w:r>
        <w:rPr>
          <w:rFonts w:asciiTheme="majorBidi" w:hAnsiTheme="majorBidi" w:cstheme="majorBidi"/>
          <w:color w:val="000000" w:themeColor="text1"/>
          <w:szCs w:val="18"/>
        </w:rPr>
        <w:t>(2018</w:t>
      </w:r>
      <w:r w:rsidRPr="00E62497">
        <w:rPr>
          <w:rFonts w:asciiTheme="majorBidi" w:hAnsiTheme="majorBidi" w:cstheme="majorBidi"/>
          <w:iCs/>
          <w:color w:val="000000" w:themeColor="text1"/>
          <w:szCs w:val="18"/>
        </w:rPr>
        <w:t xml:space="preserve">); </w:t>
      </w:r>
      <w:r>
        <w:rPr>
          <w:rFonts w:asciiTheme="majorBidi" w:hAnsiTheme="majorBidi" w:cstheme="majorBidi"/>
          <w:color w:val="000000" w:themeColor="text1"/>
          <w:szCs w:val="18"/>
        </w:rPr>
        <w:t xml:space="preserve">United Nations Counter-Terrorism Committee Executive Directorate, </w:t>
      </w:r>
      <w:r>
        <w:rPr>
          <w:rFonts w:asciiTheme="majorBidi" w:hAnsiTheme="majorBidi" w:cstheme="majorBidi"/>
          <w:i/>
          <w:color w:val="000000" w:themeColor="text1"/>
          <w:szCs w:val="18"/>
        </w:rPr>
        <w:t>The Challenge of Returning and Relocating Foreign Terrorist Fighters: Research Perspectives</w:t>
      </w:r>
      <w:r>
        <w:rPr>
          <w:rFonts w:asciiTheme="majorBidi" w:hAnsiTheme="majorBidi" w:cstheme="majorBidi"/>
          <w:color w:val="000000" w:themeColor="text1"/>
          <w:szCs w:val="18"/>
        </w:rPr>
        <w:t xml:space="preserve"> (2018);</w:t>
      </w:r>
      <w:r w:rsidR="003951A7">
        <w:rPr>
          <w:rFonts w:asciiTheme="majorBidi" w:hAnsiTheme="majorBidi" w:cstheme="majorBidi"/>
          <w:i/>
          <w:color w:val="000000" w:themeColor="text1"/>
          <w:szCs w:val="18"/>
        </w:rPr>
        <w:t xml:space="preserve"> </w:t>
      </w:r>
      <w:r>
        <w:rPr>
          <w:rFonts w:asciiTheme="majorBidi" w:hAnsiTheme="majorBidi" w:cstheme="majorBidi"/>
          <w:szCs w:val="18"/>
        </w:rPr>
        <w:t xml:space="preserve">and Richard Barrett, </w:t>
      </w:r>
      <w:r>
        <w:rPr>
          <w:rFonts w:asciiTheme="majorBidi" w:hAnsiTheme="majorBidi" w:cstheme="majorBidi"/>
          <w:i/>
          <w:szCs w:val="18"/>
        </w:rPr>
        <w:t xml:space="preserve">Beyond the Caliphate: Foreign Fighters and the Threat of Returnees </w:t>
      </w:r>
      <w:r>
        <w:rPr>
          <w:rFonts w:asciiTheme="majorBidi" w:hAnsiTheme="majorBidi" w:cstheme="majorBidi"/>
          <w:szCs w:val="18"/>
        </w:rPr>
        <w:t xml:space="preserve">(The </w:t>
      </w:r>
      <w:proofErr w:type="spellStart"/>
      <w:r>
        <w:rPr>
          <w:rFonts w:asciiTheme="majorBidi" w:hAnsiTheme="majorBidi" w:cstheme="majorBidi"/>
          <w:szCs w:val="18"/>
        </w:rPr>
        <w:t>Soufan</w:t>
      </w:r>
      <w:proofErr w:type="spellEnd"/>
      <w:r>
        <w:rPr>
          <w:rFonts w:asciiTheme="majorBidi" w:hAnsiTheme="majorBidi" w:cstheme="majorBidi"/>
          <w:szCs w:val="18"/>
        </w:rPr>
        <w:t xml:space="preserve"> </w:t>
      </w:r>
      <w:proofErr w:type="spellStart"/>
      <w:r>
        <w:rPr>
          <w:rFonts w:asciiTheme="majorBidi" w:hAnsiTheme="majorBidi" w:cstheme="majorBidi"/>
          <w:szCs w:val="18"/>
        </w:rPr>
        <w:t>Center</w:t>
      </w:r>
      <w:proofErr w:type="spellEnd"/>
      <w:r>
        <w:rPr>
          <w:rFonts w:asciiTheme="majorBidi" w:hAnsiTheme="majorBidi" w:cstheme="majorBidi"/>
          <w:szCs w:val="18"/>
        </w:rPr>
        <w:t>, 2017).</w:t>
      </w:r>
    </w:p>
  </w:footnote>
  <w:footnote w:id="53">
    <w:p w:rsidR="00F6015D" w:rsidRPr="0098294E" w:rsidRDefault="00F6015D" w:rsidP="00E62497">
      <w:pPr>
        <w:pStyle w:val="a8"/>
        <w:rPr>
          <w:rFonts w:asciiTheme="majorBidi" w:eastAsia="Times New Roman" w:hAnsiTheme="majorBidi" w:cstheme="majorBidi"/>
          <w:color w:val="000000" w:themeColor="text1"/>
          <w:szCs w:val="18"/>
          <w:lang w:bidi="he-IL"/>
        </w:rPr>
      </w:pPr>
      <w:r w:rsidRPr="0098294E">
        <w:rPr>
          <w:rFonts w:asciiTheme="majorBidi" w:hAnsiTheme="majorBidi" w:cstheme="majorBidi"/>
          <w:color w:val="000000" w:themeColor="text1"/>
          <w:szCs w:val="18"/>
        </w:rPr>
        <w:tab/>
      </w:r>
      <w:r w:rsidR="003951A7">
        <w:rPr>
          <w:rFonts w:asciiTheme="majorBidi" w:hAnsiTheme="majorBidi" w:cstheme="majorBidi"/>
          <w:color w:val="000000" w:themeColor="text1"/>
          <w:szCs w:val="18"/>
        </w:rPr>
        <w:t xml:space="preserve"> </w:t>
      </w:r>
      <w:r w:rsidRPr="00FF7A66">
        <w:rPr>
          <w:rStyle w:val="ac"/>
        </w:rPr>
        <w:footnoteRef/>
      </w:r>
      <w:r>
        <w:rPr>
          <w:rFonts w:asciiTheme="majorBidi" w:hAnsiTheme="majorBidi" w:cstheme="majorBidi"/>
          <w:color w:val="000000" w:themeColor="text1"/>
          <w:szCs w:val="18"/>
        </w:rPr>
        <w:tab/>
      </w:r>
      <w:r w:rsidRPr="0098294E">
        <w:rPr>
          <w:rFonts w:asciiTheme="majorBidi" w:eastAsia="Times New Roman" w:hAnsiTheme="majorBidi" w:cstheme="majorBidi"/>
          <w:color w:val="000000" w:themeColor="text1"/>
          <w:szCs w:val="18"/>
          <w:shd w:val="clear" w:color="auto" w:fill="FFFFFF"/>
          <w:lang w:bidi="he-IL"/>
        </w:rPr>
        <w:t>Sharon Weill,</w:t>
      </w:r>
      <w:r w:rsidR="00E62497">
        <w:rPr>
          <w:rFonts w:asciiTheme="majorBidi" w:eastAsia="Times New Roman" w:hAnsiTheme="majorBidi" w:cstheme="majorBidi"/>
          <w:color w:val="000000" w:themeColor="text1"/>
          <w:szCs w:val="18"/>
          <w:shd w:val="clear" w:color="auto" w:fill="FFFFFF"/>
          <w:lang w:bidi="he-IL"/>
        </w:rPr>
        <w:t xml:space="preserve"> “</w:t>
      </w:r>
      <w:r w:rsidRPr="00307A3F">
        <w:rPr>
          <w:rFonts w:asciiTheme="majorBidi" w:eastAsia="Times New Roman" w:hAnsiTheme="majorBidi" w:cstheme="majorBidi"/>
          <w:iCs/>
          <w:color w:val="000000" w:themeColor="text1"/>
          <w:szCs w:val="18"/>
          <w:lang w:bidi="he-IL"/>
        </w:rPr>
        <w:t xml:space="preserve">Terror in </w:t>
      </w:r>
      <w:r>
        <w:rPr>
          <w:rFonts w:asciiTheme="majorBidi" w:eastAsia="Times New Roman" w:hAnsiTheme="majorBidi" w:cstheme="majorBidi"/>
          <w:iCs/>
          <w:color w:val="000000" w:themeColor="text1"/>
          <w:szCs w:val="18"/>
          <w:lang w:bidi="he-IL"/>
        </w:rPr>
        <w:t>c</w:t>
      </w:r>
      <w:r w:rsidRPr="00307A3F">
        <w:rPr>
          <w:rFonts w:asciiTheme="majorBidi" w:eastAsia="Times New Roman" w:hAnsiTheme="majorBidi" w:cstheme="majorBidi"/>
          <w:iCs/>
          <w:color w:val="000000" w:themeColor="text1"/>
          <w:szCs w:val="18"/>
          <w:lang w:bidi="he-IL"/>
        </w:rPr>
        <w:t xml:space="preserve">ourts: French </w:t>
      </w:r>
      <w:r>
        <w:rPr>
          <w:rFonts w:asciiTheme="majorBidi" w:eastAsia="Times New Roman" w:hAnsiTheme="majorBidi" w:cstheme="majorBidi"/>
          <w:iCs/>
          <w:color w:val="000000" w:themeColor="text1"/>
          <w:szCs w:val="18"/>
          <w:lang w:bidi="he-IL"/>
        </w:rPr>
        <w:t>c</w:t>
      </w:r>
      <w:r w:rsidRPr="00307A3F">
        <w:rPr>
          <w:rFonts w:asciiTheme="majorBidi" w:eastAsia="Times New Roman" w:hAnsiTheme="majorBidi" w:cstheme="majorBidi"/>
          <w:iCs/>
          <w:color w:val="000000" w:themeColor="text1"/>
          <w:szCs w:val="18"/>
          <w:lang w:bidi="he-IL"/>
        </w:rPr>
        <w:t>ounter-</w:t>
      </w:r>
      <w:r>
        <w:rPr>
          <w:rFonts w:asciiTheme="majorBidi" w:eastAsia="Times New Roman" w:hAnsiTheme="majorBidi" w:cstheme="majorBidi"/>
          <w:iCs/>
          <w:color w:val="000000" w:themeColor="text1"/>
          <w:szCs w:val="18"/>
          <w:lang w:bidi="he-IL"/>
        </w:rPr>
        <w:t>t</w:t>
      </w:r>
      <w:r w:rsidRPr="00307A3F">
        <w:rPr>
          <w:rFonts w:asciiTheme="majorBidi" w:eastAsia="Times New Roman" w:hAnsiTheme="majorBidi" w:cstheme="majorBidi"/>
          <w:iCs/>
          <w:color w:val="000000" w:themeColor="text1"/>
          <w:szCs w:val="18"/>
          <w:lang w:bidi="he-IL"/>
        </w:rPr>
        <w:t xml:space="preserve">errorism </w:t>
      </w:r>
      <w:r>
        <w:rPr>
          <w:rFonts w:asciiTheme="majorBidi" w:eastAsia="Times New Roman" w:hAnsiTheme="majorBidi" w:cstheme="majorBidi"/>
          <w:iCs/>
          <w:color w:val="000000" w:themeColor="text1"/>
          <w:szCs w:val="18"/>
          <w:lang w:bidi="he-IL"/>
        </w:rPr>
        <w:t>l</w:t>
      </w:r>
      <w:r w:rsidRPr="00307A3F">
        <w:rPr>
          <w:rFonts w:asciiTheme="majorBidi" w:eastAsia="Times New Roman" w:hAnsiTheme="majorBidi" w:cstheme="majorBidi"/>
          <w:iCs/>
          <w:color w:val="000000" w:themeColor="text1"/>
          <w:szCs w:val="18"/>
          <w:lang w:bidi="he-IL"/>
        </w:rPr>
        <w:t xml:space="preserve">aw and </w:t>
      </w:r>
      <w:r>
        <w:rPr>
          <w:rFonts w:asciiTheme="majorBidi" w:eastAsia="Times New Roman" w:hAnsiTheme="majorBidi" w:cstheme="majorBidi"/>
          <w:iCs/>
          <w:color w:val="000000" w:themeColor="text1"/>
          <w:szCs w:val="18"/>
          <w:lang w:bidi="he-IL"/>
        </w:rPr>
        <w:t>p</w:t>
      </w:r>
      <w:r w:rsidRPr="00307A3F">
        <w:rPr>
          <w:rFonts w:asciiTheme="majorBidi" w:eastAsia="Times New Roman" w:hAnsiTheme="majorBidi" w:cstheme="majorBidi"/>
          <w:iCs/>
          <w:color w:val="000000" w:themeColor="text1"/>
          <w:szCs w:val="18"/>
          <w:lang w:bidi="he-IL"/>
        </w:rPr>
        <w:t>ractice</w:t>
      </w:r>
      <w:r>
        <w:rPr>
          <w:rFonts w:asciiTheme="majorBidi" w:eastAsia="Times New Roman" w:hAnsiTheme="majorBidi" w:cstheme="majorBidi"/>
          <w:iCs/>
          <w:color w:val="000000" w:themeColor="text1"/>
          <w:szCs w:val="18"/>
          <w:lang w:bidi="he-IL"/>
        </w:rPr>
        <w:t>: a</w:t>
      </w:r>
      <w:r w:rsidRPr="00307A3F">
        <w:rPr>
          <w:rFonts w:asciiTheme="majorBidi" w:eastAsia="Times New Roman" w:hAnsiTheme="majorBidi" w:cstheme="majorBidi"/>
          <w:iCs/>
          <w:color w:val="000000" w:themeColor="text1"/>
          <w:szCs w:val="18"/>
          <w:lang w:bidi="he-IL"/>
        </w:rPr>
        <w:t xml:space="preserve">dministrative and </w:t>
      </w:r>
      <w:r>
        <w:rPr>
          <w:rFonts w:asciiTheme="majorBidi" w:eastAsia="Times New Roman" w:hAnsiTheme="majorBidi" w:cstheme="majorBidi"/>
          <w:iCs/>
          <w:color w:val="000000" w:themeColor="text1"/>
          <w:szCs w:val="18"/>
          <w:lang w:bidi="he-IL"/>
        </w:rPr>
        <w:t>c</w:t>
      </w:r>
      <w:r w:rsidRPr="00307A3F">
        <w:rPr>
          <w:rFonts w:asciiTheme="majorBidi" w:eastAsia="Times New Roman" w:hAnsiTheme="majorBidi" w:cstheme="majorBidi"/>
          <w:iCs/>
          <w:color w:val="000000" w:themeColor="text1"/>
          <w:szCs w:val="18"/>
          <w:lang w:bidi="he-IL"/>
        </w:rPr>
        <w:t xml:space="preserve">riminal </w:t>
      </w:r>
      <w:r>
        <w:rPr>
          <w:rFonts w:asciiTheme="majorBidi" w:eastAsia="Times New Roman" w:hAnsiTheme="majorBidi" w:cstheme="majorBidi"/>
          <w:iCs/>
          <w:color w:val="000000" w:themeColor="text1"/>
          <w:szCs w:val="18"/>
          <w:lang w:bidi="he-IL"/>
        </w:rPr>
        <w:t>a</w:t>
      </w:r>
      <w:r w:rsidRPr="00307A3F">
        <w:rPr>
          <w:rFonts w:asciiTheme="majorBidi" w:eastAsia="Times New Roman" w:hAnsiTheme="majorBidi" w:cstheme="majorBidi"/>
          <w:iCs/>
          <w:color w:val="000000" w:themeColor="text1"/>
          <w:szCs w:val="18"/>
          <w:lang w:bidi="he-IL"/>
        </w:rPr>
        <w:t>venues</w:t>
      </w:r>
      <w:r w:rsidR="00B57B03">
        <w:rPr>
          <w:rFonts w:asciiTheme="majorBidi" w:eastAsia="Times New Roman" w:hAnsiTheme="majorBidi" w:cstheme="majorBidi"/>
          <w:iCs/>
          <w:color w:val="000000" w:themeColor="text1"/>
          <w:szCs w:val="18"/>
          <w:lang w:bidi="he-IL"/>
        </w:rPr>
        <w:t>”</w:t>
      </w:r>
      <w:r w:rsidRPr="0098294E">
        <w:rPr>
          <w:rFonts w:asciiTheme="majorBidi" w:eastAsia="Times New Roman" w:hAnsiTheme="majorBidi" w:cstheme="majorBidi"/>
          <w:color w:val="000000" w:themeColor="text1"/>
          <w:szCs w:val="18"/>
          <w:shd w:val="clear" w:color="auto" w:fill="FFFFFF"/>
          <w:lang w:bidi="he-IL"/>
        </w:rPr>
        <w:t> (2018).</w:t>
      </w:r>
    </w:p>
  </w:footnote>
  <w:footnote w:id="54">
    <w:p w:rsidR="00F6015D" w:rsidRPr="0098294E" w:rsidRDefault="00F6015D" w:rsidP="003951A7">
      <w:pPr>
        <w:pStyle w:val="a8"/>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ac"/>
        </w:rPr>
        <w:footnoteRef/>
      </w:r>
      <w:r w:rsidRPr="0098294E">
        <w:rPr>
          <w:rFonts w:asciiTheme="majorBidi" w:hAnsiTheme="majorBidi" w:cstheme="majorBidi"/>
          <w:color w:val="000000" w:themeColor="text1"/>
          <w:szCs w:val="18"/>
        </w:rPr>
        <w:tab/>
      </w:r>
      <w:r w:rsidRPr="006B5925">
        <w:rPr>
          <w:rFonts w:asciiTheme="majorBidi" w:hAnsiTheme="majorBidi" w:cstheme="majorBidi"/>
          <w:color w:val="000000" w:themeColor="text1"/>
          <w:szCs w:val="18"/>
        </w:rPr>
        <w:t>AL FRA 10/2018</w:t>
      </w:r>
      <w:r>
        <w:rPr>
          <w:rFonts w:asciiTheme="majorBidi" w:hAnsiTheme="majorBidi" w:cstheme="majorBidi"/>
          <w:color w:val="000000" w:themeColor="text1"/>
          <w:szCs w:val="18"/>
        </w:rPr>
        <w:t>,</w:t>
      </w:r>
      <w:r w:rsidRPr="006B5925">
        <w:rPr>
          <w:rFonts w:asciiTheme="majorBidi" w:hAnsiTheme="majorBidi" w:cstheme="majorBidi"/>
          <w:color w:val="000000" w:themeColor="text1"/>
          <w:szCs w:val="18"/>
        </w:rPr>
        <w:t xml:space="preserve"> sent on 8</w:t>
      </w:r>
      <w:r>
        <w:rPr>
          <w:rFonts w:asciiTheme="majorBidi" w:hAnsiTheme="majorBidi" w:cstheme="majorBidi"/>
          <w:color w:val="000000" w:themeColor="text1"/>
          <w:szCs w:val="18"/>
        </w:rPr>
        <w:t xml:space="preserve"> October </w:t>
      </w:r>
      <w:r w:rsidRPr="006B5925">
        <w:rPr>
          <w:rFonts w:asciiTheme="majorBidi" w:hAnsiTheme="majorBidi" w:cstheme="majorBidi"/>
          <w:color w:val="000000" w:themeColor="text1"/>
          <w:szCs w:val="18"/>
        </w:rPr>
        <w:t>2018</w:t>
      </w:r>
      <w:r w:rsidRPr="0098294E">
        <w:rPr>
          <w:rFonts w:asciiTheme="majorBidi" w:hAnsiTheme="majorBidi" w:cstheme="majorBidi"/>
          <w:color w:val="000000" w:themeColor="text1"/>
          <w:szCs w:val="18"/>
        </w:rPr>
        <w:t>.</w:t>
      </w:r>
    </w:p>
  </w:footnote>
  <w:footnote w:id="55">
    <w:p w:rsidR="00F6015D" w:rsidRPr="0098294E" w:rsidRDefault="00F6015D" w:rsidP="003951A7">
      <w:pPr>
        <w:pStyle w:val="a8"/>
        <w:rPr>
          <w:rFonts w:asciiTheme="majorBidi" w:hAnsiTheme="majorBidi" w:cstheme="majorBidi"/>
          <w:color w:val="000000" w:themeColor="text1"/>
          <w:szCs w:val="18"/>
        </w:rPr>
      </w:pPr>
      <w:r w:rsidRPr="0098294E">
        <w:rPr>
          <w:rFonts w:asciiTheme="majorBidi" w:hAnsiTheme="majorBidi" w:cstheme="majorBidi"/>
          <w:color w:val="000000" w:themeColor="text1"/>
          <w:szCs w:val="18"/>
        </w:rPr>
        <w:tab/>
      </w:r>
      <w:r w:rsidRPr="00FF7A66">
        <w:rPr>
          <w:rStyle w:val="ac"/>
        </w:rPr>
        <w:footnoteRef/>
      </w:r>
      <w:r w:rsidRPr="0098294E">
        <w:rPr>
          <w:rFonts w:asciiTheme="majorBidi" w:hAnsiTheme="majorBidi" w:cstheme="majorBidi"/>
          <w:color w:val="000000" w:themeColor="text1"/>
          <w:szCs w:val="18"/>
        </w:rPr>
        <w:tab/>
      </w:r>
      <w:r>
        <w:rPr>
          <w:rFonts w:asciiTheme="majorBidi" w:hAnsiTheme="majorBidi" w:cstheme="majorBidi"/>
          <w:color w:val="000000" w:themeColor="text1"/>
          <w:szCs w:val="18"/>
        </w:rPr>
        <w:t>Convention on the Rights of the Child</w:t>
      </w:r>
      <w:r w:rsidRPr="0098294E">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arts.</w:t>
      </w:r>
      <w:r w:rsidRPr="0098294E">
        <w:rPr>
          <w:rFonts w:asciiTheme="majorBidi" w:hAnsiTheme="majorBidi" w:cstheme="majorBidi"/>
          <w:color w:val="000000" w:themeColor="text1"/>
          <w:szCs w:val="18"/>
        </w:rPr>
        <w:t xml:space="preserve"> 3 </w:t>
      </w:r>
      <w:r>
        <w:rPr>
          <w:rFonts w:asciiTheme="majorBidi" w:hAnsiTheme="majorBidi" w:cstheme="majorBidi"/>
          <w:color w:val="000000" w:themeColor="text1"/>
          <w:szCs w:val="18"/>
        </w:rPr>
        <w:t>and</w:t>
      </w:r>
      <w:r w:rsidRPr="0098294E">
        <w:rPr>
          <w:rFonts w:asciiTheme="majorBidi" w:hAnsiTheme="majorBidi" w:cstheme="majorBidi"/>
          <w:color w:val="000000" w:themeColor="text1"/>
          <w:szCs w:val="18"/>
        </w:rPr>
        <w:t xml:space="preserve"> 5</w:t>
      </w:r>
      <w:r>
        <w:rPr>
          <w:rFonts w:asciiTheme="majorBidi" w:hAnsiTheme="majorBidi" w:cstheme="majorBidi"/>
          <w:color w:val="000000" w:themeColor="text1"/>
          <w:szCs w:val="18"/>
        </w:rPr>
        <w:t xml:space="preserve">; </w:t>
      </w:r>
      <w:r w:rsidRPr="00307A3F">
        <w:rPr>
          <w:rFonts w:asciiTheme="majorBidi" w:eastAsia="Times New Roman" w:hAnsiTheme="majorBidi" w:cstheme="majorBidi"/>
          <w:iCs/>
          <w:color w:val="000000" w:themeColor="text1"/>
          <w:szCs w:val="18"/>
          <w:lang w:bidi="he-IL"/>
        </w:rPr>
        <w:t>Optional Protocol to the Convention on the Rights of the Child on the involvement of children in armed conflic</w:t>
      </w:r>
      <w:r>
        <w:rPr>
          <w:rFonts w:asciiTheme="majorBidi" w:eastAsia="Times New Roman" w:hAnsiTheme="majorBidi" w:cstheme="majorBidi"/>
          <w:color w:val="000000" w:themeColor="text1"/>
          <w:szCs w:val="18"/>
          <w:lang w:bidi="he-IL"/>
        </w:rPr>
        <w:t>t</w:t>
      </w:r>
      <w:r>
        <w:rPr>
          <w:rFonts w:asciiTheme="majorBidi" w:hAnsiTheme="majorBidi" w:cstheme="majorBidi"/>
          <w:color w:val="000000" w:themeColor="text1"/>
          <w:szCs w:val="18"/>
        </w:rPr>
        <w:t>; and</w:t>
      </w:r>
      <w:r w:rsidR="003951A7">
        <w:rPr>
          <w:rFonts w:asciiTheme="majorBidi" w:hAnsiTheme="majorBidi" w:cstheme="majorBidi"/>
          <w:color w:val="000000" w:themeColor="text1"/>
          <w:szCs w:val="18"/>
        </w:rPr>
        <w:t xml:space="preserve"> </w:t>
      </w:r>
      <w:r w:rsidRPr="00127FE5">
        <w:rPr>
          <w:rFonts w:asciiTheme="majorBidi" w:eastAsia="Times New Roman" w:hAnsiTheme="majorBidi" w:cstheme="majorBidi"/>
          <w:color w:val="000000" w:themeColor="text1"/>
          <w:szCs w:val="18"/>
          <w:shd w:val="clear" w:color="auto" w:fill="FFFFFF"/>
          <w:lang w:bidi="he-IL"/>
        </w:rPr>
        <w:t>CRC/C/VAT/CO/2, para. 8</w:t>
      </w:r>
      <w:r>
        <w:rPr>
          <w:rFonts w:asciiTheme="majorBidi" w:eastAsia="Times New Roman" w:hAnsiTheme="majorBidi" w:cstheme="majorBidi"/>
          <w:color w:val="000000" w:themeColor="text1"/>
          <w:szCs w:val="18"/>
          <w:shd w:val="clear" w:color="auto" w:fill="FFFFFF"/>
          <w:lang w:bidi="he-IL"/>
        </w:rPr>
        <w:t xml:space="preserve"> </w:t>
      </w:r>
      <w:r>
        <w:rPr>
          <w:rFonts w:asciiTheme="majorBidi" w:hAnsiTheme="majorBidi" w:cstheme="majorBidi"/>
          <w:color w:val="000000" w:themeColor="text1"/>
          <w:szCs w:val="18"/>
        </w:rPr>
        <w:t>re</w:t>
      </w:r>
      <w:r w:rsidRPr="0098294E">
        <w:rPr>
          <w:rFonts w:asciiTheme="majorBidi" w:hAnsiTheme="majorBidi" w:cstheme="majorBidi"/>
          <w:color w:val="000000" w:themeColor="text1"/>
          <w:szCs w:val="18"/>
        </w:rPr>
        <w:t xml:space="preserve"> extraterritorial application</w:t>
      </w:r>
      <w:r w:rsidRPr="00127FE5">
        <w:rPr>
          <w:rFonts w:asciiTheme="majorBidi" w:eastAsia="Times New Roman" w:hAnsiTheme="majorBidi" w:cstheme="majorBidi"/>
          <w:color w:val="000000" w:themeColor="text1"/>
          <w:szCs w:val="18"/>
          <w:shd w:val="clear" w:color="auto" w:fill="FFFFFF"/>
          <w:lang w:bidi="he-IL"/>
        </w:rPr>
        <w:t>.</w:t>
      </w:r>
    </w:p>
  </w:footnote>
  <w:footnote w:id="56">
    <w:p w:rsidR="00F6015D" w:rsidRPr="00CE2F4B" w:rsidRDefault="00F6015D" w:rsidP="003951A7">
      <w:pPr>
        <w:pStyle w:val="a8"/>
        <w:rPr>
          <w:rFonts w:asciiTheme="majorBidi" w:hAnsiTheme="majorBidi" w:cstheme="majorBidi"/>
          <w:color w:val="000000" w:themeColor="text1"/>
          <w:szCs w:val="18"/>
        </w:rPr>
      </w:pPr>
      <w:r w:rsidRPr="00CE2F4B">
        <w:rPr>
          <w:rFonts w:asciiTheme="majorBidi" w:hAnsiTheme="majorBidi" w:cstheme="majorBidi"/>
          <w:color w:val="000000" w:themeColor="text1"/>
          <w:szCs w:val="18"/>
        </w:rPr>
        <w:tab/>
      </w:r>
      <w:r w:rsidRPr="00FF7A66">
        <w:rPr>
          <w:rStyle w:val="ac"/>
        </w:rPr>
        <w:footnoteRef/>
      </w:r>
      <w:r w:rsidRPr="00CE2F4B">
        <w:rPr>
          <w:rFonts w:asciiTheme="majorBidi" w:hAnsiTheme="majorBidi" w:cstheme="majorBidi"/>
          <w:color w:val="000000" w:themeColor="text1"/>
          <w:szCs w:val="18"/>
        </w:rPr>
        <w:tab/>
        <w:t xml:space="preserve">International Law Commission, </w:t>
      </w:r>
      <w:r>
        <w:rPr>
          <w:rFonts w:asciiTheme="majorBidi" w:hAnsiTheme="majorBidi" w:cstheme="majorBidi"/>
          <w:color w:val="000000" w:themeColor="text1"/>
          <w:szCs w:val="18"/>
        </w:rPr>
        <w:t>d</w:t>
      </w:r>
      <w:r w:rsidRPr="00CE2F4B">
        <w:rPr>
          <w:rFonts w:asciiTheme="majorBidi" w:hAnsiTheme="majorBidi" w:cstheme="majorBidi"/>
          <w:color w:val="000000" w:themeColor="text1"/>
          <w:szCs w:val="18"/>
        </w:rPr>
        <w:t xml:space="preserve">raft </w:t>
      </w:r>
      <w:r>
        <w:rPr>
          <w:rFonts w:asciiTheme="majorBidi" w:hAnsiTheme="majorBidi" w:cstheme="majorBidi"/>
          <w:color w:val="000000" w:themeColor="text1"/>
          <w:szCs w:val="18"/>
        </w:rPr>
        <w:t>a</w:t>
      </w:r>
      <w:r w:rsidRPr="00CE2F4B">
        <w:rPr>
          <w:rFonts w:asciiTheme="majorBidi" w:hAnsiTheme="majorBidi" w:cstheme="majorBidi"/>
          <w:color w:val="000000" w:themeColor="text1"/>
          <w:szCs w:val="18"/>
        </w:rPr>
        <w:t xml:space="preserve">rticles on diplomatic protection, </w:t>
      </w:r>
      <w:r>
        <w:rPr>
          <w:rFonts w:asciiTheme="majorBidi" w:hAnsiTheme="majorBidi" w:cstheme="majorBidi"/>
          <w:color w:val="000000" w:themeColor="text1"/>
          <w:szCs w:val="18"/>
        </w:rPr>
        <w:t>art. 1 (</w:t>
      </w:r>
      <w:r w:rsidRPr="00CE2F4B">
        <w:rPr>
          <w:rFonts w:asciiTheme="majorBidi" w:hAnsiTheme="majorBidi" w:cstheme="majorBidi"/>
          <w:color w:val="000000" w:themeColor="text1"/>
          <w:szCs w:val="18"/>
        </w:rPr>
        <w:t>A/61/10</w:t>
      </w:r>
      <w:r>
        <w:rPr>
          <w:rFonts w:asciiTheme="majorBidi" w:hAnsiTheme="majorBidi" w:cstheme="majorBidi"/>
          <w:color w:val="000000" w:themeColor="text1"/>
          <w:szCs w:val="18"/>
        </w:rPr>
        <w:t xml:space="preserve">, chap. </w:t>
      </w:r>
      <w:proofErr w:type="spellStart"/>
      <w:r>
        <w:rPr>
          <w:rFonts w:asciiTheme="majorBidi" w:hAnsiTheme="majorBidi" w:cstheme="majorBidi"/>
          <w:color w:val="000000" w:themeColor="text1"/>
          <w:szCs w:val="18"/>
        </w:rPr>
        <w:t>IV.E.1</w:t>
      </w:r>
      <w:proofErr w:type="spellEnd"/>
      <w:r>
        <w:rPr>
          <w:rFonts w:asciiTheme="majorBidi" w:hAnsiTheme="majorBidi" w:cstheme="majorBidi"/>
          <w:color w:val="000000" w:themeColor="text1"/>
          <w:szCs w:val="18"/>
        </w:rPr>
        <w:t>)</w:t>
      </w:r>
      <w:r w:rsidRPr="00CE2F4B">
        <w:rPr>
          <w:rFonts w:asciiTheme="majorBidi" w:hAnsiTheme="majorBidi" w:cstheme="majorBidi"/>
          <w:color w:val="000000" w:themeColor="text1"/>
          <w:szCs w:val="18"/>
        </w:rPr>
        <w:t xml:space="preserve">. </w:t>
      </w:r>
    </w:p>
  </w:footnote>
  <w:footnote w:id="57">
    <w:p w:rsidR="00F6015D" w:rsidRPr="00645351" w:rsidRDefault="00ED3E83" w:rsidP="008C4858">
      <w:pPr>
        <w:pStyle w:val="a8"/>
      </w:pPr>
      <w:r w:rsidRPr="000B1C5B">
        <w:tab/>
      </w:r>
      <w:r w:rsidR="00F6015D" w:rsidRPr="00FF7A66">
        <w:rPr>
          <w:rStyle w:val="ac"/>
        </w:rPr>
        <w:footnoteRef/>
      </w:r>
      <w:r w:rsidR="00F6015D" w:rsidRPr="004F7841">
        <w:rPr>
          <w:lang w:val="fr-CH"/>
        </w:rPr>
        <w:tab/>
      </w:r>
      <w:r w:rsidR="00F6015D" w:rsidRPr="004F7841">
        <w:rPr>
          <w:szCs w:val="18"/>
          <w:lang w:val="fr-CH"/>
        </w:rPr>
        <w:t xml:space="preserve">Amnesty International. </w:t>
      </w:r>
      <w:proofErr w:type="spellStart"/>
      <w:r w:rsidR="00F6015D" w:rsidRPr="004F7841">
        <w:rPr>
          <w:i/>
          <w:szCs w:val="18"/>
          <w:lang w:val="fr-CH"/>
        </w:rPr>
        <w:t>Punished</w:t>
      </w:r>
      <w:proofErr w:type="spellEnd"/>
      <w:r w:rsidR="00F6015D" w:rsidRPr="004F7841">
        <w:rPr>
          <w:i/>
          <w:szCs w:val="18"/>
          <w:lang w:val="fr-CH"/>
        </w:rPr>
        <w:t xml:space="preserve"> </w:t>
      </w:r>
      <w:proofErr w:type="spellStart"/>
      <w:r w:rsidR="00F6015D" w:rsidRPr="004F7841">
        <w:rPr>
          <w:i/>
          <w:szCs w:val="18"/>
          <w:lang w:val="fr-CH"/>
        </w:rPr>
        <w:t>with</w:t>
      </w:r>
      <w:proofErr w:type="spellEnd"/>
      <w:r w:rsidR="00F6015D" w:rsidRPr="004F7841">
        <w:rPr>
          <w:i/>
          <w:szCs w:val="18"/>
          <w:lang w:val="fr-CH"/>
        </w:rPr>
        <w:t xml:space="preserve"> Trial</w:t>
      </w:r>
      <w:r w:rsidR="00F6015D" w:rsidRPr="004F7841">
        <w:rPr>
          <w:szCs w:val="18"/>
          <w:lang w:val="fr-CH"/>
        </w:rPr>
        <w:t>,</w:t>
      </w:r>
      <w:r w:rsidR="003951A7" w:rsidRPr="004F7841">
        <w:rPr>
          <w:szCs w:val="18"/>
          <w:lang w:val="fr-CH"/>
        </w:rPr>
        <w:t xml:space="preserve"> </w:t>
      </w:r>
      <w:r w:rsidR="00F6015D" w:rsidRPr="004F7841">
        <w:rPr>
          <w:szCs w:val="18"/>
          <w:lang w:val="fr-CH"/>
        </w:rPr>
        <w:t>pp. 29–</w:t>
      </w:r>
      <w:proofErr w:type="gramStart"/>
      <w:r w:rsidR="00F6015D" w:rsidRPr="004F7841">
        <w:rPr>
          <w:szCs w:val="18"/>
          <w:lang w:val="fr-CH"/>
        </w:rPr>
        <w:t>30;</w:t>
      </w:r>
      <w:proofErr w:type="gramEnd"/>
      <w:r w:rsidR="00F6015D" w:rsidRPr="004F7841">
        <w:rPr>
          <w:szCs w:val="18"/>
          <w:lang w:val="fr-CH"/>
        </w:rPr>
        <w:t xml:space="preserve"> </w:t>
      </w:r>
      <w:proofErr w:type="spellStart"/>
      <w:r w:rsidR="00F6015D" w:rsidRPr="004F7841">
        <w:rPr>
          <w:rFonts w:asciiTheme="majorBidi" w:hAnsiTheme="majorBidi" w:cstheme="majorBidi"/>
          <w:color w:val="000000" w:themeColor="text1"/>
          <w:szCs w:val="18"/>
          <w:lang w:val="fr-CH"/>
        </w:rPr>
        <w:t>Hennette</w:t>
      </w:r>
      <w:proofErr w:type="spellEnd"/>
      <w:r w:rsidR="00F6015D" w:rsidRPr="004F7841">
        <w:rPr>
          <w:rFonts w:asciiTheme="majorBidi" w:hAnsiTheme="majorBidi" w:cstheme="majorBidi"/>
          <w:color w:val="000000" w:themeColor="text1"/>
          <w:szCs w:val="18"/>
          <w:lang w:val="fr-CH"/>
        </w:rPr>
        <w:t xml:space="preserve">-Vauchez, </w:t>
      </w:r>
      <w:r w:rsidR="00F6015D" w:rsidRPr="004F7841">
        <w:rPr>
          <w:rFonts w:asciiTheme="majorBidi" w:hAnsiTheme="majorBidi" w:cstheme="majorBidi"/>
          <w:i/>
          <w:color w:val="000000" w:themeColor="text1"/>
          <w:szCs w:val="18"/>
          <w:lang w:val="fr-CH"/>
        </w:rPr>
        <w:t>Ce qui reste(ra) toujours de l</w:t>
      </w:r>
      <w:r w:rsidR="00B57B03" w:rsidRPr="004F7841">
        <w:rPr>
          <w:rFonts w:asciiTheme="majorBidi" w:hAnsiTheme="majorBidi" w:cstheme="majorBidi"/>
          <w:i/>
          <w:color w:val="000000" w:themeColor="text1"/>
          <w:szCs w:val="18"/>
          <w:lang w:val="fr-CH"/>
        </w:rPr>
        <w:t>’</w:t>
      </w:r>
      <w:r w:rsidR="00F6015D" w:rsidRPr="004F7841">
        <w:rPr>
          <w:rFonts w:asciiTheme="majorBidi" w:hAnsiTheme="majorBidi" w:cstheme="majorBidi"/>
          <w:i/>
          <w:color w:val="000000" w:themeColor="text1"/>
          <w:szCs w:val="18"/>
          <w:lang w:val="fr-CH"/>
        </w:rPr>
        <w:t>urgence</w:t>
      </w:r>
      <w:r w:rsidR="00F6015D" w:rsidRPr="004F7841">
        <w:rPr>
          <w:szCs w:val="18"/>
          <w:lang w:val="fr-CH"/>
        </w:rPr>
        <w:t xml:space="preserve">; and </w:t>
      </w:r>
      <w:r w:rsidR="00F6015D" w:rsidRPr="004F7841">
        <w:rPr>
          <w:rFonts w:eastAsia="Times New Roman"/>
          <w:szCs w:val="18"/>
          <w:lang w:val="fr-CH" w:bidi="he-IL"/>
        </w:rPr>
        <w:t xml:space="preserve">CAT/C/FRA/CO/7, paras. </w:t>
      </w:r>
      <w:r w:rsidR="00F6015D" w:rsidRPr="00307A3F">
        <w:rPr>
          <w:rFonts w:eastAsia="Times New Roman"/>
          <w:szCs w:val="18"/>
          <w:lang w:bidi="he-IL"/>
        </w:rPr>
        <w:t>12</w:t>
      </w:r>
      <w:r w:rsidR="00F6015D">
        <w:rPr>
          <w:rFonts w:eastAsia="Times New Roman"/>
          <w:szCs w:val="18"/>
          <w:lang w:bidi="he-IL"/>
        </w:rPr>
        <w:t>–</w:t>
      </w:r>
      <w:r w:rsidR="00F6015D" w:rsidRPr="00307A3F">
        <w:rPr>
          <w:rFonts w:eastAsia="Times New Roman"/>
          <w:szCs w:val="18"/>
          <w:lang w:bidi="he-IL"/>
        </w:rPr>
        <w:t xml:space="preserve">13. </w:t>
      </w:r>
      <w:r w:rsidR="00F6015D" w:rsidRPr="00307A3F">
        <w:rPr>
          <w:szCs w:val="18"/>
        </w:rPr>
        <w:t xml:space="preserve">The </w:t>
      </w:r>
      <w:r w:rsidR="00F6015D">
        <w:rPr>
          <w:szCs w:val="18"/>
        </w:rPr>
        <w:t>Special Rapporteur</w:t>
      </w:r>
      <w:r w:rsidR="00F6015D" w:rsidRPr="00307A3F">
        <w:rPr>
          <w:szCs w:val="18"/>
        </w:rPr>
        <w:t xml:space="preserve"> notes </w:t>
      </w:r>
      <w:r w:rsidR="00F6015D">
        <w:rPr>
          <w:szCs w:val="18"/>
        </w:rPr>
        <w:t xml:space="preserve">that </w:t>
      </w:r>
      <w:r w:rsidR="00F6015D" w:rsidRPr="00307A3F">
        <w:rPr>
          <w:szCs w:val="18"/>
        </w:rPr>
        <w:t xml:space="preserve">a lack of systematic national data collection constitutes a significant impediment to addressing </w:t>
      </w:r>
      <w:r w:rsidR="00F6015D">
        <w:rPr>
          <w:szCs w:val="18"/>
        </w:rPr>
        <w:t xml:space="preserve">the </w:t>
      </w:r>
      <w:r w:rsidR="00F6015D" w:rsidRPr="00307A3F">
        <w:rPr>
          <w:szCs w:val="18"/>
        </w:rPr>
        <w:t>scale of effects on specific groups/communities.</w:t>
      </w:r>
      <w:r w:rsidR="003951A7">
        <w:rPr>
          <w:szCs w:val="18"/>
        </w:rPr>
        <w:t xml:space="preserve"> </w:t>
      </w:r>
      <w:r w:rsidR="00F6015D" w:rsidRPr="00307A3F">
        <w:rPr>
          <w:szCs w:val="18"/>
        </w:rPr>
        <w:t>However, data collection is possible on distinct effects, evidenced by the positive capacity to garner data on anti-Semitism</w:t>
      </w:r>
      <w:r w:rsidR="00F6015D">
        <w:rPr>
          <w:szCs w:val="18"/>
        </w:rPr>
        <w:t>,</w:t>
      </w:r>
      <w:r w:rsidR="00F6015D" w:rsidRPr="00307A3F">
        <w:rPr>
          <w:szCs w:val="18"/>
        </w:rPr>
        <w:t xml:space="preserve"> including criminal acts</w:t>
      </w:r>
      <w:r w:rsidR="00F6015D">
        <w:rPr>
          <w:szCs w:val="18"/>
        </w:rPr>
        <w:t>. See</w:t>
      </w:r>
      <w:r w:rsidR="00F6015D">
        <w:t xml:space="preserve"> </w:t>
      </w:r>
      <w:hyperlink r:id="rId11" w:history="1">
        <w:r w:rsidR="008C4858" w:rsidRPr="00D30AF3">
          <w:rPr>
            <w:rStyle w:val="af1"/>
            <w:rFonts w:asciiTheme="majorBidi" w:hAnsiTheme="majorBidi" w:cstheme="majorBidi"/>
            <w:szCs w:val="18"/>
          </w:rPr>
          <w:t>https://fra.europa.eu/sites/default/files/fra_uploads/fra-2018-antisemitism-update-2007-2017_en.pdf.</w:t>
        </w:r>
      </w:hyperlink>
    </w:p>
  </w:footnote>
  <w:footnote w:id="58">
    <w:p w:rsidR="00F6015D" w:rsidRPr="00930814" w:rsidRDefault="00F6015D" w:rsidP="003951A7">
      <w:pPr>
        <w:pStyle w:val="a8"/>
        <w:rPr>
          <w:rFonts w:asciiTheme="majorBidi" w:hAnsiTheme="majorBidi" w:cstheme="majorBidi"/>
          <w:color w:val="000000" w:themeColor="text1"/>
          <w:szCs w:val="18"/>
        </w:rPr>
      </w:pPr>
      <w:r w:rsidRPr="00930814">
        <w:rPr>
          <w:rFonts w:asciiTheme="majorBidi" w:hAnsiTheme="majorBidi" w:cstheme="majorBidi"/>
          <w:color w:val="000000" w:themeColor="text1"/>
          <w:szCs w:val="18"/>
        </w:rPr>
        <w:tab/>
      </w:r>
      <w:r w:rsidRPr="00FF7A66">
        <w:rPr>
          <w:rStyle w:val="ac"/>
        </w:rPr>
        <w:footnoteRef/>
      </w:r>
      <w:r w:rsidRPr="00930814">
        <w:rPr>
          <w:rFonts w:asciiTheme="majorBidi" w:hAnsiTheme="majorBidi" w:cstheme="majorBidi"/>
          <w:color w:val="000000" w:themeColor="text1"/>
          <w:szCs w:val="18"/>
        </w:rPr>
        <w:tab/>
        <w:t>Noting the 2004 French law bann</w:t>
      </w:r>
      <w:r>
        <w:rPr>
          <w:rFonts w:asciiTheme="majorBidi" w:hAnsiTheme="majorBidi" w:cstheme="majorBidi"/>
          <w:color w:val="000000" w:themeColor="text1"/>
          <w:szCs w:val="18"/>
        </w:rPr>
        <w:t>ing</w:t>
      </w:r>
      <w:r w:rsidRPr="00930814">
        <w:rPr>
          <w:rFonts w:asciiTheme="majorBidi" w:hAnsiTheme="majorBidi" w:cstheme="majorBidi"/>
          <w:color w:val="000000" w:themeColor="text1"/>
          <w:szCs w:val="18"/>
        </w:rPr>
        <w:t xml:space="preserve"> bur</w:t>
      </w:r>
      <w:r>
        <w:rPr>
          <w:rFonts w:asciiTheme="majorBidi" w:hAnsiTheme="majorBidi" w:cstheme="majorBidi"/>
          <w:color w:val="000000" w:themeColor="text1"/>
          <w:szCs w:val="18"/>
        </w:rPr>
        <w:t>k</w:t>
      </w:r>
      <w:r w:rsidRPr="00930814">
        <w:rPr>
          <w:rFonts w:asciiTheme="majorBidi" w:hAnsiTheme="majorBidi" w:cstheme="majorBidi"/>
          <w:color w:val="000000" w:themeColor="text1"/>
          <w:szCs w:val="18"/>
        </w:rPr>
        <w:t>as</w:t>
      </w:r>
      <w:r>
        <w:rPr>
          <w:rFonts w:asciiTheme="majorBidi" w:hAnsiTheme="majorBidi" w:cstheme="majorBidi"/>
          <w:color w:val="000000" w:themeColor="text1"/>
          <w:szCs w:val="18"/>
        </w:rPr>
        <w:t>/</w:t>
      </w:r>
      <w:proofErr w:type="spellStart"/>
      <w:r w:rsidRPr="00930814">
        <w:rPr>
          <w:rFonts w:asciiTheme="majorBidi" w:hAnsiTheme="majorBidi" w:cstheme="majorBidi"/>
          <w:color w:val="000000" w:themeColor="text1"/>
          <w:szCs w:val="18"/>
        </w:rPr>
        <w:t>niqabs</w:t>
      </w:r>
      <w:proofErr w:type="spellEnd"/>
      <w:r>
        <w:rPr>
          <w:rFonts w:asciiTheme="majorBidi" w:hAnsiTheme="majorBidi" w:cstheme="majorBidi"/>
          <w:color w:val="000000" w:themeColor="text1"/>
          <w:szCs w:val="18"/>
        </w:rPr>
        <w:t xml:space="preserve"> in public. The </w:t>
      </w:r>
      <w:r w:rsidRPr="00930814">
        <w:rPr>
          <w:rFonts w:asciiTheme="majorBidi" w:hAnsiTheme="majorBidi" w:cstheme="majorBidi"/>
          <w:color w:val="000000" w:themeColor="text1"/>
          <w:szCs w:val="18"/>
        </w:rPr>
        <w:t xml:space="preserve">Human Rights Committee </w:t>
      </w:r>
      <w:r>
        <w:rPr>
          <w:rFonts w:asciiTheme="majorBidi" w:hAnsiTheme="majorBidi" w:cstheme="majorBidi"/>
          <w:color w:val="000000" w:themeColor="text1"/>
          <w:szCs w:val="18"/>
        </w:rPr>
        <w:t>has held</w:t>
      </w:r>
      <w:r w:rsidRPr="00930814">
        <w:rPr>
          <w:rFonts w:asciiTheme="majorBidi" w:hAnsiTheme="majorBidi" w:cstheme="majorBidi"/>
          <w:color w:val="000000" w:themeColor="text1"/>
          <w:szCs w:val="18"/>
        </w:rPr>
        <w:t xml:space="preserve"> that </w:t>
      </w:r>
      <w:r>
        <w:rPr>
          <w:rFonts w:asciiTheme="majorBidi" w:hAnsiTheme="majorBidi" w:cstheme="majorBidi"/>
          <w:color w:val="000000" w:themeColor="text1"/>
          <w:szCs w:val="18"/>
        </w:rPr>
        <w:t xml:space="preserve">the </w:t>
      </w:r>
      <w:r w:rsidRPr="00930814">
        <w:rPr>
          <w:rFonts w:asciiTheme="majorBidi" w:hAnsiTheme="majorBidi" w:cstheme="majorBidi"/>
          <w:color w:val="000000" w:themeColor="text1"/>
          <w:szCs w:val="18"/>
        </w:rPr>
        <w:t>French law violate</w:t>
      </w:r>
      <w:r>
        <w:rPr>
          <w:rFonts w:asciiTheme="majorBidi" w:hAnsiTheme="majorBidi" w:cstheme="majorBidi"/>
          <w:color w:val="000000" w:themeColor="text1"/>
          <w:szCs w:val="18"/>
        </w:rPr>
        <w:t>s</w:t>
      </w:r>
      <w:r w:rsidRPr="00930814">
        <w:rPr>
          <w:rFonts w:asciiTheme="majorBidi" w:hAnsiTheme="majorBidi" w:cstheme="majorBidi"/>
          <w:color w:val="000000" w:themeColor="text1"/>
          <w:szCs w:val="18"/>
        </w:rPr>
        <w:t xml:space="preserve"> articles 18 and 26 of the </w:t>
      </w:r>
      <w:r>
        <w:rPr>
          <w:rFonts w:asciiTheme="majorBidi" w:hAnsiTheme="majorBidi" w:cstheme="majorBidi"/>
          <w:color w:val="000000" w:themeColor="text1"/>
          <w:szCs w:val="18"/>
        </w:rPr>
        <w:t>International Covenant on Civil and Political Rights.</w:t>
      </w:r>
      <w:r w:rsidRPr="00930814">
        <w:rPr>
          <w:rFonts w:asciiTheme="majorBidi" w:hAnsiTheme="majorBidi" w:cstheme="majorBidi"/>
          <w:i/>
          <w:iCs/>
          <w:color w:val="000000" w:themeColor="text1"/>
          <w:szCs w:val="18"/>
        </w:rPr>
        <w:t xml:space="preserve"> </w:t>
      </w:r>
      <w:proofErr w:type="spellStart"/>
      <w:r w:rsidRPr="00307A3F">
        <w:rPr>
          <w:rFonts w:asciiTheme="majorBidi" w:hAnsiTheme="majorBidi" w:cstheme="majorBidi"/>
          <w:i/>
          <w:color w:val="000000" w:themeColor="text1"/>
          <w:szCs w:val="18"/>
        </w:rPr>
        <w:t>Yaker</w:t>
      </w:r>
      <w:proofErr w:type="spellEnd"/>
      <w:r w:rsidRPr="00307A3F">
        <w:rPr>
          <w:rFonts w:asciiTheme="majorBidi" w:hAnsiTheme="majorBidi" w:cstheme="majorBidi"/>
          <w:i/>
          <w:color w:val="000000" w:themeColor="text1"/>
          <w:szCs w:val="18"/>
        </w:rPr>
        <w:t xml:space="preserve"> v. France</w:t>
      </w:r>
      <w:r>
        <w:rPr>
          <w:rFonts w:asciiTheme="majorBidi" w:hAnsiTheme="majorBidi" w:cstheme="majorBidi"/>
          <w:color w:val="000000" w:themeColor="text1"/>
          <w:szCs w:val="18"/>
        </w:rPr>
        <w:t xml:space="preserve"> </w:t>
      </w:r>
      <w:r w:rsidRPr="00930814">
        <w:rPr>
          <w:rFonts w:asciiTheme="majorBidi" w:hAnsiTheme="majorBidi" w:cstheme="majorBidi"/>
          <w:color w:val="000000" w:themeColor="text1"/>
          <w:szCs w:val="18"/>
        </w:rPr>
        <w:t>(</w:t>
      </w:r>
      <w:proofErr w:type="spellStart"/>
      <w:r>
        <w:rPr>
          <w:rFonts w:asciiTheme="majorBidi" w:hAnsiTheme="majorBidi" w:cstheme="majorBidi"/>
          <w:color w:val="000000" w:themeColor="text1"/>
          <w:szCs w:val="18"/>
        </w:rPr>
        <w:t>CCPR</w:t>
      </w:r>
      <w:proofErr w:type="spellEnd"/>
      <w:r>
        <w:rPr>
          <w:rFonts w:asciiTheme="majorBidi" w:hAnsiTheme="majorBidi" w:cstheme="majorBidi"/>
          <w:color w:val="000000" w:themeColor="text1"/>
          <w:szCs w:val="18"/>
        </w:rPr>
        <w:t>/D/123/D/2747/2016</w:t>
      </w:r>
      <w:r w:rsidRPr="00930814">
        <w:rPr>
          <w:rFonts w:asciiTheme="majorBidi" w:hAnsiTheme="majorBidi" w:cstheme="majorBidi"/>
          <w:color w:val="000000" w:themeColor="text1"/>
          <w:szCs w:val="18"/>
        </w:rPr>
        <w:t>)</w:t>
      </w:r>
      <w:r>
        <w:rPr>
          <w:rFonts w:asciiTheme="majorBidi" w:hAnsiTheme="majorBidi" w:cstheme="majorBidi"/>
          <w:color w:val="000000" w:themeColor="text1"/>
          <w:szCs w:val="18"/>
        </w:rPr>
        <w:t>, decision adopted on 17 July 2018</w:t>
      </w:r>
      <w:r w:rsidRPr="00930814">
        <w:rPr>
          <w:rFonts w:asciiTheme="majorBidi" w:hAnsiTheme="majorBidi" w:cstheme="majorBidi"/>
          <w:color w:val="000000" w:themeColor="text1"/>
          <w:szCs w:val="18"/>
        </w:rPr>
        <w:t xml:space="preserve">; </w:t>
      </w:r>
      <w:r>
        <w:rPr>
          <w:rFonts w:asciiTheme="majorBidi" w:hAnsiTheme="majorBidi" w:cstheme="majorBidi"/>
          <w:color w:val="000000" w:themeColor="text1"/>
          <w:szCs w:val="18"/>
        </w:rPr>
        <w:t xml:space="preserve">and </w:t>
      </w:r>
      <w:proofErr w:type="spellStart"/>
      <w:r w:rsidRPr="00307A3F">
        <w:rPr>
          <w:rFonts w:asciiTheme="majorBidi" w:hAnsiTheme="majorBidi" w:cstheme="majorBidi"/>
          <w:i/>
          <w:color w:val="000000" w:themeColor="text1"/>
          <w:szCs w:val="18"/>
        </w:rPr>
        <w:t>Hebbadi</w:t>
      </w:r>
      <w:proofErr w:type="spellEnd"/>
      <w:r w:rsidRPr="00307A3F">
        <w:rPr>
          <w:rFonts w:asciiTheme="majorBidi" w:hAnsiTheme="majorBidi" w:cstheme="majorBidi"/>
          <w:i/>
          <w:color w:val="000000" w:themeColor="text1"/>
          <w:szCs w:val="18"/>
        </w:rPr>
        <w:t xml:space="preserve"> v. France</w:t>
      </w:r>
      <w:r w:rsidRPr="00930814">
        <w:rPr>
          <w:rFonts w:asciiTheme="majorBidi" w:hAnsiTheme="majorBidi" w:cstheme="majorBidi"/>
          <w:color w:val="000000" w:themeColor="text1"/>
          <w:szCs w:val="18"/>
        </w:rPr>
        <w:t xml:space="preserve"> (</w:t>
      </w:r>
      <w:proofErr w:type="spellStart"/>
      <w:r>
        <w:rPr>
          <w:rFonts w:asciiTheme="majorBidi" w:hAnsiTheme="majorBidi" w:cstheme="majorBidi"/>
          <w:color w:val="000000" w:themeColor="text1"/>
          <w:szCs w:val="18"/>
        </w:rPr>
        <w:t>CCPR</w:t>
      </w:r>
      <w:proofErr w:type="spellEnd"/>
      <w:r>
        <w:rPr>
          <w:rFonts w:asciiTheme="majorBidi" w:hAnsiTheme="majorBidi" w:cstheme="majorBidi"/>
          <w:color w:val="000000" w:themeColor="text1"/>
          <w:szCs w:val="18"/>
        </w:rPr>
        <w:t>/C/123/D/2807/2016</w:t>
      </w:r>
      <w:r w:rsidRPr="00930814">
        <w:rPr>
          <w:rFonts w:asciiTheme="majorBidi" w:hAnsiTheme="majorBidi" w:cstheme="majorBidi"/>
          <w:color w:val="000000" w:themeColor="text1"/>
          <w:szCs w:val="18"/>
        </w:rPr>
        <w:t>)</w:t>
      </w:r>
      <w:r>
        <w:rPr>
          <w:rFonts w:asciiTheme="majorBidi" w:hAnsiTheme="majorBidi" w:cstheme="majorBidi"/>
          <w:color w:val="000000" w:themeColor="text1"/>
          <w:szCs w:val="18"/>
        </w:rPr>
        <w:t>, decision adopted on 17 July 2018</w:t>
      </w:r>
      <w:r w:rsidRPr="00930814">
        <w:rPr>
          <w:rFonts w:asciiTheme="majorBidi" w:hAnsiTheme="majorBidi" w:cstheme="majorBidi"/>
          <w:color w:val="000000" w:themeColor="text1"/>
          <w:szCs w:val="18"/>
        </w:rPr>
        <w:t>.</w:t>
      </w:r>
    </w:p>
  </w:footnote>
  <w:footnote w:id="59">
    <w:p w:rsidR="00F6015D" w:rsidRPr="00307A3F" w:rsidRDefault="00F6015D" w:rsidP="003951A7">
      <w:pPr>
        <w:pStyle w:val="a8"/>
        <w:rPr>
          <w:rFonts w:asciiTheme="majorBidi" w:hAnsiTheme="majorBidi" w:cstheme="majorBidi"/>
          <w:color w:val="000000" w:themeColor="text1"/>
          <w:szCs w:val="18"/>
          <w:lang w:val="fr-FR"/>
        </w:rPr>
      </w:pPr>
      <w:r w:rsidRPr="00930814">
        <w:rPr>
          <w:rFonts w:asciiTheme="majorBidi" w:hAnsiTheme="majorBidi" w:cstheme="majorBidi"/>
          <w:color w:val="000000" w:themeColor="text1"/>
          <w:szCs w:val="18"/>
        </w:rPr>
        <w:tab/>
      </w:r>
      <w:r w:rsidRPr="00FF7A66">
        <w:rPr>
          <w:rStyle w:val="ac"/>
        </w:rPr>
        <w:footnoteRef/>
      </w:r>
      <w:r w:rsidRPr="00307A3F">
        <w:rPr>
          <w:rFonts w:asciiTheme="majorBidi" w:hAnsiTheme="majorBidi" w:cstheme="majorBidi"/>
          <w:color w:val="000000" w:themeColor="text1"/>
          <w:szCs w:val="18"/>
          <w:lang w:val="fr-FR"/>
        </w:rPr>
        <w:tab/>
      </w:r>
      <w:proofErr w:type="spellStart"/>
      <w:r w:rsidRPr="009F764C">
        <w:rPr>
          <w:rFonts w:asciiTheme="majorBidi" w:hAnsiTheme="majorBidi" w:cstheme="majorBidi"/>
          <w:color w:val="000000" w:themeColor="text1"/>
          <w:szCs w:val="18"/>
          <w:lang w:val="fr-FR"/>
        </w:rPr>
        <w:t>Hennette</w:t>
      </w:r>
      <w:proofErr w:type="spellEnd"/>
      <w:r w:rsidRPr="009F764C">
        <w:rPr>
          <w:rFonts w:asciiTheme="majorBidi" w:hAnsiTheme="majorBidi" w:cstheme="majorBidi"/>
          <w:color w:val="000000" w:themeColor="text1"/>
          <w:szCs w:val="18"/>
          <w:lang w:val="fr-FR"/>
        </w:rPr>
        <w:t xml:space="preserve">-Vauchez, </w:t>
      </w:r>
      <w:r w:rsidRPr="009F764C">
        <w:rPr>
          <w:rFonts w:asciiTheme="majorBidi" w:hAnsiTheme="majorBidi" w:cstheme="majorBidi"/>
          <w:i/>
          <w:color w:val="000000" w:themeColor="text1"/>
          <w:szCs w:val="18"/>
          <w:lang w:val="fr-FR"/>
        </w:rPr>
        <w:t>Ce qui reste(ra) toujours de l</w:t>
      </w:r>
      <w:r w:rsidR="00B57B03">
        <w:rPr>
          <w:rFonts w:asciiTheme="majorBidi" w:hAnsiTheme="majorBidi" w:cstheme="majorBidi"/>
          <w:i/>
          <w:color w:val="000000" w:themeColor="text1"/>
          <w:szCs w:val="18"/>
          <w:lang w:val="fr-FR"/>
        </w:rPr>
        <w:t>’</w:t>
      </w:r>
      <w:r w:rsidRPr="009F764C">
        <w:rPr>
          <w:rFonts w:asciiTheme="majorBidi" w:hAnsiTheme="majorBidi" w:cstheme="majorBidi"/>
          <w:i/>
          <w:color w:val="000000" w:themeColor="text1"/>
          <w:szCs w:val="18"/>
          <w:lang w:val="fr-FR"/>
        </w:rPr>
        <w:t>urgence</w:t>
      </w:r>
      <w:r>
        <w:rPr>
          <w:rFonts w:asciiTheme="majorBidi" w:hAnsiTheme="majorBidi" w:cstheme="majorBidi"/>
          <w:color w:val="000000" w:themeColor="text1"/>
          <w:szCs w:val="18"/>
          <w:lang w:val="fr-FR"/>
        </w:rPr>
        <w:t>.</w:t>
      </w:r>
    </w:p>
  </w:footnote>
  <w:footnote w:id="60">
    <w:p w:rsidR="00F6015D" w:rsidRPr="002C33F7" w:rsidRDefault="00F6015D" w:rsidP="003951A7">
      <w:pPr>
        <w:pStyle w:val="a8"/>
        <w:rPr>
          <w:rFonts w:asciiTheme="majorBidi" w:hAnsiTheme="majorBidi" w:cstheme="majorBidi"/>
          <w:iCs/>
          <w:color w:val="000000" w:themeColor="text1"/>
          <w:szCs w:val="18"/>
        </w:rPr>
      </w:pPr>
      <w:r w:rsidRPr="00307A3F">
        <w:rPr>
          <w:rFonts w:asciiTheme="majorBidi" w:hAnsiTheme="majorBidi" w:cstheme="majorBidi"/>
          <w:color w:val="000000" w:themeColor="text1"/>
          <w:szCs w:val="18"/>
          <w:lang w:val="fr-FR"/>
        </w:rPr>
        <w:tab/>
      </w:r>
      <w:r w:rsidRPr="00FF7A66">
        <w:rPr>
          <w:rStyle w:val="ac"/>
        </w:rPr>
        <w:footnoteRef/>
      </w:r>
      <w:r w:rsidRPr="00CE2F4B">
        <w:rPr>
          <w:rFonts w:asciiTheme="majorBidi" w:hAnsiTheme="majorBidi" w:cstheme="majorBidi"/>
          <w:color w:val="000000" w:themeColor="text1"/>
          <w:szCs w:val="18"/>
        </w:rPr>
        <w:tab/>
      </w:r>
      <w:r>
        <w:rPr>
          <w:rFonts w:asciiTheme="majorBidi" w:hAnsiTheme="majorBidi" w:cstheme="majorBidi"/>
          <w:color w:val="000000" w:themeColor="text1"/>
          <w:szCs w:val="18"/>
        </w:rPr>
        <w:t xml:space="preserve">National Consultative Commission on Human Rights, </w:t>
      </w:r>
      <w:r>
        <w:rPr>
          <w:rFonts w:asciiTheme="majorBidi" w:hAnsiTheme="majorBidi" w:cstheme="majorBidi"/>
          <w:i/>
          <w:color w:val="000000" w:themeColor="text1"/>
          <w:szCs w:val="18"/>
        </w:rPr>
        <w:t xml:space="preserve">Statement of Opinion on the Prevention of </w:t>
      </w:r>
      <w:r w:rsidRPr="008B30E1">
        <w:rPr>
          <w:rFonts w:asciiTheme="majorBidi" w:hAnsiTheme="majorBidi" w:cstheme="majorBidi"/>
          <w:i/>
          <w:color w:val="000000" w:themeColor="text1"/>
          <w:szCs w:val="18"/>
        </w:rPr>
        <w:t>Radicalisation</w:t>
      </w:r>
      <w:r>
        <w:rPr>
          <w:rFonts w:asciiTheme="majorBidi" w:hAnsiTheme="majorBidi" w:cstheme="majorBidi"/>
          <w:color w:val="000000" w:themeColor="text1"/>
          <w:szCs w:val="18"/>
        </w:rPr>
        <w:t xml:space="preserve"> (2017). See, for example, section 3,</w:t>
      </w:r>
      <w:r>
        <w:rPr>
          <w:rFonts w:asciiTheme="majorBidi" w:hAnsiTheme="majorBidi" w:cstheme="majorBidi"/>
          <w:iCs/>
          <w:color w:val="000000" w:themeColor="text1"/>
          <w:szCs w:val="18"/>
        </w:rPr>
        <w:t xml:space="preserve"> National Plan to Prevent Radicalization (23 February 2018) (media kit).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5D" w:rsidRDefault="00F6015D" w:rsidP="00653B98">
    <w:pPr>
      <w:pStyle w:val="a3"/>
    </w:pPr>
    <w:r>
      <w:t>A/HRC/40/52/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15D" w:rsidRDefault="00F6015D" w:rsidP="00653B98">
    <w:pPr>
      <w:pStyle w:val="a3"/>
      <w:jc w:val="right"/>
    </w:pPr>
    <w:r>
      <w:t>A/HRC/40/52/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8149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95370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C0070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AA3EE4"/>
    <w:multiLevelType w:val="hybridMultilevel"/>
    <w:tmpl w:val="9B3CFCEA"/>
    <w:lvl w:ilvl="0" w:tplc="64242922">
      <w:start w:val="1"/>
      <w:numFmt w:val="decimal"/>
      <w:lvlText w:val="%1."/>
      <w:lvlJc w:val="left"/>
      <w:pPr>
        <w:ind w:left="720" w:hanging="47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1" w:tplc="5E3C90EA">
      <w:start w:val="1"/>
      <w:numFmt w:val="lowerLetter"/>
      <w:lvlText w:val="%2."/>
      <w:lvlJc w:val="left"/>
      <w:pPr>
        <w:ind w:left="144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tplc="DFF8EA92">
      <w:start w:val="1"/>
      <w:numFmt w:val="lowerRoman"/>
      <w:lvlText w:val="%3."/>
      <w:lvlJc w:val="left"/>
      <w:pPr>
        <w:ind w:left="2160" w:hanging="3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tplc="A40038C4">
      <w:start w:val="1"/>
      <w:numFmt w:val="decimal"/>
      <w:lvlText w:val="%4."/>
      <w:lvlJc w:val="left"/>
      <w:pPr>
        <w:ind w:left="28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tplc="295E5A86">
      <w:start w:val="1"/>
      <w:numFmt w:val="lowerLetter"/>
      <w:lvlText w:val="%5."/>
      <w:lvlJc w:val="left"/>
      <w:pPr>
        <w:ind w:left="360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tplc="3E8E2634">
      <w:start w:val="1"/>
      <w:numFmt w:val="lowerRoman"/>
      <w:lvlText w:val="%6."/>
      <w:lvlJc w:val="left"/>
      <w:pPr>
        <w:ind w:left="4320" w:hanging="3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tplc="20107C7E">
      <w:start w:val="1"/>
      <w:numFmt w:val="decimal"/>
      <w:lvlText w:val="%7."/>
      <w:lvlJc w:val="left"/>
      <w:pPr>
        <w:ind w:left="504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tplc="5456D2B0">
      <w:start w:val="1"/>
      <w:numFmt w:val="lowerLetter"/>
      <w:lvlText w:val="%8."/>
      <w:lvlJc w:val="left"/>
      <w:pPr>
        <w:ind w:left="576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tplc="281068B2">
      <w:start w:val="1"/>
      <w:numFmt w:val="lowerRoman"/>
      <w:lvlText w:val="%9."/>
      <w:lvlJc w:val="left"/>
      <w:pPr>
        <w:ind w:left="6480" w:hanging="3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0B5DDF"/>
    <w:multiLevelType w:val="hybridMultilevel"/>
    <w:tmpl w:val="283A9148"/>
    <w:lvl w:ilvl="0" w:tplc="CE6CAD48">
      <w:start w:val="1"/>
      <w:numFmt w:val="upperLetter"/>
      <w:lvlText w:val="%1."/>
      <w:lvlJc w:val="left"/>
      <w:pPr>
        <w:ind w:left="1563"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86411E"/>
    <w:multiLevelType w:val="hybridMultilevel"/>
    <w:tmpl w:val="CEE81418"/>
    <w:lvl w:ilvl="0" w:tplc="E7AC6BD4">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1096C98"/>
    <w:multiLevelType w:val="multilevel"/>
    <w:tmpl w:val="85A2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3045E1"/>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341EE8"/>
    <w:multiLevelType w:val="hybridMultilevel"/>
    <w:tmpl w:val="D38C2C6C"/>
    <w:lvl w:ilvl="0" w:tplc="D0C0E78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5F1F30"/>
    <w:multiLevelType w:val="hybridMultilevel"/>
    <w:tmpl w:val="982C5B36"/>
    <w:lvl w:ilvl="0" w:tplc="B0808C3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12"/>
  </w:num>
  <w:num w:numId="5">
    <w:abstractNumId w:val="13"/>
  </w:num>
  <w:num w:numId="6">
    <w:abstractNumId w:val="18"/>
  </w:num>
  <w:num w:numId="7">
    <w:abstractNumId w:val="5"/>
  </w:num>
  <w:num w:numId="8">
    <w:abstractNumId w:val="2"/>
  </w:num>
  <w:num w:numId="9">
    <w:abstractNumId w:val="16"/>
  </w:num>
  <w:num w:numId="10">
    <w:abstractNumId w:val="2"/>
  </w:num>
  <w:num w:numId="11">
    <w:abstractNumId w:val="16"/>
  </w:num>
  <w:num w:numId="12">
    <w:abstractNumId w:val="6"/>
  </w:num>
  <w:num w:numId="13">
    <w:abstractNumId w:val="15"/>
  </w:num>
  <w:num w:numId="14">
    <w:abstractNumId w:val="1"/>
  </w:num>
  <w:num w:numId="15">
    <w:abstractNumId w:val="11"/>
  </w:num>
  <w:num w:numId="16">
    <w:abstractNumId w:val="8"/>
  </w:num>
  <w:num w:numId="17">
    <w:abstractNumId w:val="4"/>
  </w:num>
  <w:num w:numId="18">
    <w:abstractNumId w:val="19"/>
  </w:num>
  <w:num w:numId="19">
    <w:abstractNumId w:val="10"/>
  </w:num>
  <w:num w:numId="20">
    <w:abstractNumId w:val="17"/>
  </w:num>
  <w:num w:numId="21">
    <w:abstractNumId w:val="1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attachedTemplate r:id="rId1"/>
  <w:defaultTabStop w:val="567"/>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6CE"/>
    <w:rsid w:val="000465C0"/>
    <w:rsid w:val="00046E92"/>
    <w:rsid w:val="000516CE"/>
    <w:rsid w:val="0005688D"/>
    <w:rsid w:val="00063C90"/>
    <w:rsid w:val="00072607"/>
    <w:rsid w:val="00094EC1"/>
    <w:rsid w:val="000B1C5B"/>
    <w:rsid w:val="00101B98"/>
    <w:rsid w:val="001E06F7"/>
    <w:rsid w:val="00247E2C"/>
    <w:rsid w:val="002A32CB"/>
    <w:rsid w:val="002D6C53"/>
    <w:rsid w:val="002F5595"/>
    <w:rsid w:val="00334F6A"/>
    <w:rsid w:val="00342AC8"/>
    <w:rsid w:val="00354652"/>
    <w:rsid w:val="003941B0"/>
    <w:rsid w:val="003951A7"/>
    <w:rsid w:val="003B256F"/>
    <w:rsid w:val="003B4550"/>
    <w:rsid w:val="0040017C"/>
    <w:rsid w:val="00461253"/>
    <w:rsid w:val="00474312"/>
    <w:rsid w:val="004933EB"/>
    <w:rsid w:val="0049413E"/>
    <w:rsid w:val="004A18AF"/>
    <w:rsid w:val="004A2814"/>
    <w:rsid w:val="004C0622"/>
    <w:rsid w:val="004D10F9"/>
    <w:rsid w:val="004D761C"/>
    <w:rsid w:val="004F7841"/>
    <w:rsid w:val="005042C2"/>
    <w:rsid w:val="005231F7"/>
    <w:rsid w:val="00533E58"/>
    <w:rsid w:val="005E2BC7"/>
    <w:rsid w:val="005E716E"/>
    <w:rsid w:val="005F008A"/>
    <w:rsid w:val="00640535"/>
    <w:rsid w:val="00653B98"/>
    <w:rsid w:val="00671529"/>
    <w:rsid w:val="006A4DA4"/>
    <w:rsid w:val="006C67D7"/>
    <w:rsid w:val="0070489D"/>
    <w:rsid w:val="007268F9"/>
    <w:rsid w:val="00766DD1"/>
    <w:rsid w:val="007C52B0"/>
    <w:rsid w:val="007F0F5D"/>
    <w:rsid w:val="007F7AE3"/>
    <w:rsid w:val="00806F62"/>
    <w:rsid w:val="008422B8"/>
    <w:rsid w:val="00845AD3"/>
    <w:rsid w:val="00861B4E"/>
    <w:rsid w:val="008667CD"/>
    <w:rsid w:val="00876CD1"/>
    <w:rsid w:val="008C4858"/>
    <w:rsid w:val="009043BD"/>
    <w:rsid w:val="00927854"/>
    <w:rsid w:val="009411B4"/>
    <w:rsid w:val="00993E8B"/>
    <w:rsid w:val="009D0139"/>
    <w:rsid w:val="009D717D"/>
    <w:rsid w:val="009F5CDC"/>
    <w:rsid w:val="00A40616"/>
    <w:rsid w:val="00A775CF"/>
    <w:rsid w:val="00AE3473"/>
    <w:rsid w:val="00B06045"/>
    <w:rsid w:val="00B52EF4"/>
    <w:rsid w:val="00B54149"/>
    <w:rsid w:val="00B57B03"/>
    <w:rsid w:val="00BE061C"/>
    <w:rsid w:val="00C03015"/>
    <w:rsid w:val="00C0358D"/>
    <w:rsid w:val="00C35A27"/>
    <w:rsid w:val="00C47B2E"/>
    <w:rsid w:val="00C93337"/>
    <w:rsid w:val="00CA1B04"/>
    <w:rsid w:val="00E01EF9"/>
    <w:rsid w:val="00E02C2B"/>
    <w:rsid w:val="00E02EBE"/>
    <w:rsid w:val="00E52109"/>
    <w:rsid w:val="00E62497"/>
    <w:rsid w:val="00E75317"/>
    <w:rsid w:val="00E9541B"/>
    <w:rsid w:val="00EC6163"/>
    <w:rsid w:val="00ED3E83"/>
    <w:rsid w:val="00ED6C48"/>
    <w:rsid w:val="00EE0CAE"/>
    <w:rsid w:val="00F474D3"/>
    <w:rsid w:val="00F51616"/>
    <w:rsid w:val="00F6015D"/>
    <w:rsid w:val="00F65F5D"/>
    <w:rsid w:val="00F82A66"/>
    <w:rsid w:val="00F86A3A"/>
    <w:rsid w:val="00FF7340"/>
    <w:rsid w:val="00FF7A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251B05"/>
  <w15:docId w15:val="{D2CE1314-8263-4917-B016-F39F1E40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rsid w:val="004A2814"/>
    <w:pPr>
      <w:spacing w:line="240" w:lineRule="auto"/>
      <w:outlineLvl w:val="1"/>
    </w:pPr>
  </w:style>
  <w:style w:type="paragraph" w:styleId="3">
    <w:name w:val="heading 3"/>
    <w:basedOn w:val="a"/>
    <w:next w:val="a"/>
    <w:link w:val="30"/>
    <w:rsid w:val="004A2814"/>
    <w:pPr>
      <w:spacing w:line="240" w:lineRule="auto"/>
      <w:outlineLvl w:val="2"/>
    </w:pPr>
  </w:style>
  <w:style w:type="paragraph" w:styleId="4">
    <w:name w:val="heading 4"/>
    <w:basedOn w:val="a"/>
    <w:next w:val="a"/>
    <w:link w:val="40"/>
    <w:rsid w:val="004A2814"/>
    <w:pPr>
      <w:spacing w:line="240" w:lineRule="auto"/>
      <w:outlineLvl w:val="3"/>
    </w:pPr>
  </w:style>
  <w:style w:type="paragraph" w:styleId="5">
    <w:name w:val="heading 5"/>
    <w:basedOn w:val="a"/>
    <w:next w:val="a"/>
    <w:link w:val="50"/>
    <w:rsid w:val="004A2814"/>
    <w:pPr>
      <w:spacing w:line="240" w:lineRule="auto"/>
      <w:outlineLvl w:val="4"/>
    </w:pPr>
  </w:style>
  <w:style w:type="paragraph" w:styleId="6">
    <w:name w:val="heading 6"/>
    <w:basedOn w:val="a"/>
    <w:next w:val="a"/>
    <w:link w:val="60"/>
    <w:rsid w:val="004A2814"/>
    <w:pPr>
      <w:spacing w:line="240" w:lineRule="auto"/>
      <w:outlineLvl w:val="5"/>
    </w:pPr>
  </w:style>
  <w:style w:type="paragraph" w:styleId="7">
    <w:name w:val="heading 7"/>
    <w:basedOn w:val="a"/>
    <w:next w:val="a"/>
    <w:link w:val="70"/>
    <w:rsid w:val="004A2814"/>
    <w:pPr>
      <w:spacing w:line="240" w:lineRule="auto"/>
      <w:outlineLvl w:val="6"/>
    </w:pPr>
  </w:style>
  <w:style w:type="paragraph" w:styleId="8">
    <w:name w:val="heading 8"/>
    <w:basedOn w:val="a"/>
    <w:next w:val="a"/>
    <w:link w:val="80"/>
    <w:rsid w:val="004A2814"/>
    <w:pPr>
      <w:spacing w:line="240" w:lineRule="auto"/>
      <w:outlineLvl w:val="7"/>
    </w:pPr>
  </w:style>
  <w:style w:type="paragraph" w:styleId="9">
    <w:name w:val="heading 9"/>
    <w:basedOn w:val="a"/>
    <w:next w:val="a"/>
    <w:link w:val="90"/>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4A2814"/>
    <w:pPr>
      <w:pBdr>
        <w:bottom w:val="single" w:sz="4" w:space="4" w:color="auto"/>
      </w:pBdr>
      <w:spacing w:line="240" w:lineRule="auto"/>
    </w:pPr>
    <w:rPr>
      <w:b/>
      <w:sz w:val="18"/>
    </w:rPr>
  </w:style>
  <w:style w:type="character" w:customStyle="1" w:styleId="a4">
    <w:name w:val="页眉 字符"/>
    <w:aliases w:val="6_G 字符"/>
    <w:basedOn w:val="a0"/>
    <w:link w:val="a3"/>
    <w:rsid w:val="003B4550"/>
    <w:rPr>
      <w:rFonts w:ascii="Times New Roman" w:eastAsiaTheme="minorHAnsi" w:hAnsi="Times New Roman" w:cs="Times New Roman"/>
      <w:b/>
      <w:sz w:val="18"/>
      <w:szCs w:val="20"/>
      <w:lang w:eastAsia="en-US"/>
    </w:rPr>
  </w:style>
  <w:style w:type="paragraph" w:styleId="a5">
    <w:name w:val="footer"/>
    <w:aliases w:val="3_G"/>
    <w:basedOn w:val="a"/>
    <w:link w:val="a6"/>
    <w:qFormat/>
    <w:rsid w:val="004A2814"/>
    <w:pPr>
      <w:spacing w:line="240" w:lineRule="auto"/>
    </w:pPr>
    <w:rPr>
      <w:sz w:val="16"/>
    </w:rPr>
  </w:style>
  <w:style w:type="character" w:customStyle="1" w:styleId="a6">
    <w:name w:val="页脚 字符"/>
    <w:aliases w:val="3_G 字符"/>
    <w:basedOn w:val="a0"/>
    <w:link w:val="a5"/>
    <w:rsid w:val="00247E2C"/>
    <w:rPr>
      <w:rFonts w:ascii="Times New Roman" w:eastAsiaTheme="minorHAnsi" w:hAnsi="Times New Roman" w:cs="Times New Roman"/>
      <w:sz w:val="16"/>
      <w:szCs w:val="20"/>
      <w:lang w:eastAsia="en-US"/>
    </w:rPr>
  </w:style>
  <w:style w:type="paragraph" w:customStyle="1" w:styleId="HMG">
    <w:name w:val="_ H __M_G"/>
    <w:basedOn w:val="a"/>
    <w:next w:val="a"/>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a"/>
    <w:link w:val="SingleTxtGChar"/>
    <w:qFormat/>
    <w:rsid w:val="004A2814"/>
    <w:pPr>
      <w:spacing w:after="120"/>
      <w:ind w:left="1134" w:right="1134"/>
      <w:jc w:val="both"/>
    </w:pPr>
  </w:style>
  <w:style w:type="paragraph" w:customStyle="1" w:styleId="SLG">
    <w:name w:val="__S_L_G"/>
    <w:basedOn w:val="a"/>
    <w:next w:val="a"/>
    <w:rsid w:val="004A2814"/>
    <w:pPr>
      <w:keepNext/>
      <w:keepLines/>
      <w:spacing w:before="240" w:after="240" w:line="580" w:lineRule="exact"/>
      <w:ind w:left="1134" w:right="1134"/>
    </w:pPr>
    <w:rPr>
      <w:b/>
      <w:sz w:val="56"/>
    </w:rPr>
  </w:style>
  <w:style w:type="paragraph" w:customStyle="1" w:styleId="SMG">
    <w:name w:val="__S_M_G"/>
    <w:basedOn w:val="a"/>
    <w:next w:val="a"/>
    <w:rsid w:val="004A2814"/>
    <w:pPr>
      <w:keepNext/>
      <w:keepLines/>
      <w:spacing w:before="240" w:after="240" w:line="420" w:lineRule="exact"/>
      <w:ind w:left="1134" w:right="1134"/>
    </w:pPr>
    <w:rPr>
      <w:b/>
      <w:sz w:val="40"/>
    </w:rPr>
  </w:style>
  <w:style w:type="paragraph" w:customStyle="1" w:styleId="SSG">
    <w:name w:val="__S_S_G"/>
    <w:basedOn w:val="a"/>
    <w:next w:val="a"/>
    <w:rsid w:val="004A2814"/>
    <w:pPr>
      <w:keepNext/>
      <w:keepLines/>
      <w:spacing w:before="240" w:after="240" w:line="300" w:lineRule="exact"/>
      <w:ind w:left="1134" w:right="1134"/>
    </w:pPr>
    <w:rPr>
      <w:b/>
      <w:sz w:val="28"/>
    </w:rPr>
  </w:style>
  <w:style w:type="paragraph" w:customStyle="1" w:styleId="XLargeG">
    <w:name w:val="__XLarge_G"/>
    <w:basedOn w:val="a"/>
    <w:next w:val="a"/>
    <w:rsid w:val="004A2814"/>
    <w:pPr>
      <w:keepNext/>
      <w:keepLines/>
      <w:spacing w:before="240" w:after="240" w:line="420" w:lineRule="exact"/>
      <w:ind w:left="1134" w:right="1134"/>
    </w:pPr>
    <w:rPr>
      <w:b/>
      <w:sz w:val="40"/>
    </w:rPr>
  </w:style>
  <w:style w:type="paragraph" w:customStyle="1" w:styleId="Bullet1G">
    <w:name w:val="_Bullet 1_G"/>
    <w:basedOn w:val="a"/>
    <w:qFormat/>
    <w:rsid w:val="004A2814"/>
    <w:pPr>
      <w:numPr>
        <w:numId w:val="10"/>
      </w:numPr>
      <w:spacing w:after="120"/>
      <w:ind w:right="1134"/>
      <w:jc w:val="both"/>
    </w:pPr>
  </w:style>
  <w:style w:type="paragraph" w:customStyle="1" w:styleId="Bullet2G">
    <w:name w:val="_Bullet 2_G"/>
    <w:basedOn w:val="a"/>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4A2814"/>
    <w:rPr>
      <w:rFonts w:ascii="Times New Roman" w:hAnsi="Times New Roman"/>
      <w:sz w:val="18"/>
      <w:vertAlign w:val="superscript"/>
    </w:rPr>
  </w:style>
  <w:style w:type="paragraph" w:styleId="a8">
    <w:name w:val="footnote text"/>
    <w:aliases w:val="5_G"/>
    <w:basedOn w:val="a"/>
    <w:link w:val="a9"/>
    <w:qFormat/>
    <w:rsid w:val="004A2814"/>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7268F9"/>
    <w:rPr>
      <w:rFonts w:ascii="Times New Roman" w:eastAsiaTheme="minorHAnsi" w:hAnsi="Times New Roman" w:cs="Times New Roman"/>
      <w:sz w:val="18"/>
      <w:szCs w:val="20"/>
      <w:lang w:eastAsia="en-US"/>
    </w:rPr>
  </w:style>
  <w:style w:type="paragraph" w:styleId="aa">
    <w:name w:val="endnote text"/>
    <w:aliases w:val="2_G"/>
    <w:basedOn w:val="a8"/>
    <w:link w:val="ab"/>
    <w:qFormat/>
    <w:rsid w:val="004A2814"/>
  </w:style>
  <w:style w:type="character" w:customStyle="1" w:styleId="ab">
    <w:name w:val="尾注文本 字符"/>
    <w:aliases w:val="2_G 字符"/>
    <w:basedOn w:val="a0"/>
    <w:link w:val="aa"/>
    <w:rsid w:val="007268F9"/>
    <w:rPr>
      <w:rFonts w:ascii="Times New Roman" w:eastAsiaTheme="minorHAnsi" w:hAnsi="Times New Roman" w:cs="Times New Roman"/>
      <w:sz w:val="18"/>
      <w:szCs w:val="20"/>
      <w:lang w:eastAsia="en-US"/>
    </w:rPr>
  </w:style>
  <w:style w:type="character" w:styleId="ac">
    <w:name w:val="footnote reference"/>
    <w:basedOn w:val="a0"/>
    <w:unhideWhenUsed/>
    <w:qFormat/>
    <w:rsid w:val="00FF7A66"/>
    <w:rPr>
      <w:vertAlign w:val="superscript"/>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rsid w:val="003B4550"/>
    <w:rPr>
      <w:rFonts w:ascii="Times New Roman" w:eastAsiaTheme="minorHAnsi" w:hAnsi="Times New Roman" w:cs="Times New Roman"/>
      <w:sz w:val="20"/>
      <w:szCs w:val="20"/>
      <w:lang w:eastAsia="en-US"/>
    </w:rPr>
  </w:style>
  <w:style w:type="character" w:customStyle="1" w:styleId="30">
    <w:name w:val="标题 3 字符"/>
    <w:basedOn w:val="a0"/>
    <w:link w:val="3"/>
    <w:rsid w:val="003B4550"/>
    <w:rPr>
      <w:rFonts w:ascii="Times New Roman" w:eastAsiaTheme="minorHAnsi" w:hAnsi="Times New Roman" w:cs="Times New Roman"/>
      <w:sz w:val="20"/>
      <w:szCs w:val="20"/>
      <w:lang w:eastAsia="en-US"/>
    </w:rPr>
  </w:style>
  <w:style w:type="character" w:customStyle="1" w:styleId="40">
    <w:name w:val="标题 4 字符"/>
    <w:basedOn w:val="a0"/>
    <w:link w:val="4"/>
    <w:rsid w:val="003B4550"/>
    <w:rPr>
      <w:rFonts w:ascii="Times New Roman" w:eastAsiaTheme="minorHAnsi" w:hAnsi="Times New Roman" w:cs="Times New Roman"/>
      <w:sz w:val="20"/>
      <w:szCs w:val="20"/>
      <w:lang w:eastAsia="en-US"/>
    </w:rPr>
  </w:style>
  <w:style w:type="character" w:customStyle="1" w:styleId="50">
    <w:name w:val="标题 5 字符"/>
    <w:basedOn w:val="a0"/>
    <w:link w:val="5"/>
    <w:rsid w:val="003B4550"/>
    <w:rPr>
      <w:rFonts w:ascii="Times New Roman" w:eastAsiaTheme="minorHAnsi" w:hAnsi="Times New Roman" w:cs="Times New Roman"/>
      <w:sz w:val="20"/>
      <w:szCs w:val="20"/>
      <w:lang w:eastAsia="en-US"/>
    </w:rPr>
  </w:style>
  <w:style w:type="character" w:customStyle="1" w:styleId="60">
    <w:name w:val="标题 6 字符"/>
    <w:basedOn w:val="a0"/>
    <w:link w:val="6"/>
    <w:rsid w:val="003B4550"/>
    <w:rPr>
      <w:rFonts w:ascii="Times New Roman" w:eastAsiaTheme="minorHAnsi" w:hAnsi="Times New Roman" w:cs="Times New Roman"/>
      <w:sz w:val="20"/>
      <w:szCs w:val="20"/>
      <w:lang w:eastAsia="en-US"/>
    </w:rPr>
  </w:style>
  <w:style w:type="character" w:customStyle="1" w:styleId="70">
    <w:name w:val="标题 7 字符"/>
    <w:basedOn w:val="a0"/>
    <w:link w:val="7"/>
    <w:rsid w:val="003B4550"/>
    <w:rPr>
      <w:rFonts w:ascii="Times New Roman" w:eastAsiaTheme="minorHAnsi" w:hAnsi="Times New Roman" w:cs="Times New Roman"/>
      <w:sz w:val="20"/>
      <w:szCs w:val="20"/>
      <w:lang w:eastAsia="en-US"/>
    </w:rPr>
  </w:style>
  <w:style w:type="character" w:customStyle="1" w:styleId="80">
    <w:name w:val="标题 8 字符"/>
    <w:basedOn w:val="a0"/>
    <w:link w:val="8"/>
    <w:rsid w:val="003B4550"/>
    <w:rPr>
      <w:rFonts w:ascii="Times New Roman" w:eastAsiaTheme="minorHAnsi" w:hAnsi="Times New Roman" w:cs="Times New Roman"/>
      <w:sz w:val="20"/>
      <w:szCs w:val="20"/>
      <w:lang w:eastAsia="en-US"/>
    </w:rPr>
  </w:style>
  <w:style w:type="character" w:customStyle="1" w:styleId="90">
    <w:name w:val="标题 9 字符"/>
    <w:basedOn w:val="a0"/>
    <w:link w:val="9"/>
    <w:rsid w:val="003B4550"/>
    <w:rPr>
      <w:rFonts w:ascii="Times New Roman" w:eastAsiaTheme="minorHAnsi" w:hAnsi="Times New Roman" w:cs="Times New Roman"/>
      <w:sz w:val="20"/>
      <w:szCs w:val="20"/>
      <w:lang w:eastAsia="en-US"/>
    </w:rPr>
  </w:style>
  <w:style w:type="character" w:styleId="ad">
    <w:name w:val="page number"/>
    <w:aliases w:val="7_G"/>
    <w:qFormat/>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uiPriority w:val="99"/>
    <w:semiHidden/>
    <w:rsid w:val="00E52109"/>
    <w:rPr>
      <w:rFonts w:ascii="Tahoma" w:eastAsia="Times New Roman" w:hAnsi="Tahoma" w:cs="Tahoma"/>
      <w:sz w:val="16"/>
      <w:szCs w:val="16"/>
      <w:lang w:eastAsia="en-US"/>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F6015D"/>
    <w:rPr>
      <w:rFonts w:ascii="Times New Roman" w:eastAsiaTheme="minorHAnsi" w:hAnsi="Times New Roman" w:cs="Times New Roman"/>
      <w:sz w:val="20"/>
      <w:szCs w:val="20"/>
      <w:lang w:eastAsia="en-US"/>
    </w:rPr>
  </w:style>
  <w:style w:type="paragraph" w:styleId="af4">
    <w:name w:val="Normal (Web)"/>
    <w:basedOn w:val="a"/>
    <w:uiPriority w:val="99"/>
    <w:unhideWhenUsed/>
    <w:rsid w:val="00F6015D"/>
    <w:pPr>
      <w:suppressAutoHyphens w:val="0"/>
      <w:kinsoku/>
      <w:overflowPunct/>
      <w:autoSpaceDE/>
      <w:autoSpaceDN/>
      <w:adjustRightInd/>
      <w:snapToGrid/>
      <w:spacing w:before="100" w:beforeAutospacing="1" w:after="100" w:afterAutospacing="1" w:line="240" w:lineRule="auto"/>
    </w:pPr>
    <w:rPr>
      <w:rFonts w:eastAsia="宋体"/>
      <w:sz w:val="24"/>
      <w:szCs w:val="24"/>
      <w:lang w:val="en-US" w:eastAsia="zh-CN"/>
    </w:rPr>
  </w:style>
  <w:style w:type="paragraph" w:customStyle="1" w:styleId="Default">
    <w:name w:val="Default"/>
    <w:rsid w:val="00F6015D"/>
    <w:pPr>
      <w:widowControl w:val="0"/>
      <w:autoSpaceDE w:val="0"/>
      <w:autoSpaceDN w:val="0"/>
      <w:adjustRightInd w:val="0"/>
      <w:spacing w:after="0" w:line="240" w:lineRule="auto"/>
    </w:pPr>
    <w:rPr>
      <w:rFonts w:ascii="Times New Roman" w:hAnsi="Times New Roman" w:cs="Times New Roman"/>
      <w:color w:val="000000"/>
      <w:sz w:val="24"/>
      <w:szCs w:val="24"/>
      <w:lang w:val="es-ES" w:eastAsia="es-ES"/>
    </w:rPr>
  </w:style>
  <w:style w:type="character" w:styleId="af5">
    <w:name w:val="Emphasis"/>
    <w:uiPriority w:val="20"/>
    <w:qFormat/>
    <w:rsid w:val="00F6015D"/>
    <w:rPr>
      <w:i/>
      <w:iCs/>
    </w:rPr>
  </w:style>
  <w:style w:type="paragraph" w:styleId="af6">
    <w:name w:val="Revision"/>
    <w:hidden/>
    <w:uiPriority w:val="99"/>
    <w:semiHidden/>
    <w:rsid w:val="00F6015D"/>
    <w:pPr>
      <w:spacing w:after="0" w:line="240" w:lineRule="auto"/>
    </w:pPr>
    <w:rPr>
      <w:rFonts w:ascii="Times New Roman" w:eastAsia="Calibri" w:hAnsi="Times New Roman" w:cs="Times New Roman"/>
      <w:sz w:val="20"/>
      <w:szCs w:val="20"/>
      <w:lang w:eastAsia="en-US"/>
    </w:rPr>
  </w:style>
  <w:style w:type="paragraph" w:styleId="af7">
    <w:name w:val="No Spacing"/>
    <w:rsid w:val="00F6015D"/>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n-US" w:eastAsia="tr-TR"/>
    </w:rPr>
  </w:style>
  <w:style w:type="character" w:customStyle="1" w:styleId="UnresolvedMention1">
    <w:name w:val="Unresolved Mention1"/>
    <w:basedOn w:val="a0"/>
    <w:uiPriority w:val="99"/>
    <w:semiHidden/>
    <w:unhideWhenUsed/>
    <w:rsid w:val="00ED3E83"/>
    <w:rPr>
      <w:color w:val="605E5C"/>
      <w:shd w:val="clear" w:color="auto" w:fill="E1DFDD"/>
    </w:rPr>
  </w:style>
  <w:style w:type="paragraph" w:customStyle="1" w:styleId="Bullet1GC">
    <w:name w:val="_Bullet 1_GC"/>
    <w:basedOn w:val="a"/>
    <w:qFormat/>
    <w:rsid w:val="000B1C5B"/>
    <w:pPr>
      <w:numPr>
        <w:numId w:val="22"/>
      </w:numPr>
      <w:suppressAutoHyphens w:val="0"/>
      <w:kinsoku/>
      <w:autoSpaceDE/>
      <w:autoSpaceDN/>
      <w:spacing w:after="120" w:line="320" w:lineRule="exact"/>
      <w:ind w:right="1134"/>
    </w:pPr>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assemblee-nationale.fr/15/amendements/1349/CION_LOIS/CL1088.asp" TargetMode="External"/><Relationship Id="rId3" Type="http://schemas.openxmlformats.org/officeDocument/2006/relationships/hyperlink" Target="http://www.lejdd.fr/Societe/32-attentats-dejoues-4457-perquisitions-752-assignations-a-residence-letat-durgence-en-chiffres-3480650" TargetMode="External"/><Relationship Id="rId7" Type="http://schemas.openxmlformats.org/officeDocument/2006/relationships/hyperlink" Target="http://www.defenseurdesdroits.fr/fr/mots-cles/etat-durgence" TargetMode="External"/><Relationship Id="rId2" Type="http://schemas.openxmlformats.org/officeDocument/2006/relationships/hyperlink" Target="http://www.interieur.gouv.fr/Actualites/L-actu-du-Ministere/Bilan-de-l-etat-d-urgence" TargetMode="External"/><Relationship Id="rId1" Type="http://schemas.openxmlformats.org/officeDocument/2006/relationships/hyperlink" Target="http://www.assemblee-nationale.fr/15/amendements/1349/CION_LOIS/CL999.pdf" TargetMode="External"/><Relationship Id="rId6" Type="http://schemas.openxmlformats.org/officeDocument/2006/relationships/hyperlink" Target="https://antiterrorisme-droits-libertes.org/spip.php?article53" TargetMode="External"/><Relationship Id="rId11" Type="http://schemas.openxmlformats.org/officeDocument/2006/relationships/hyperlink" Target="https://fra.europa.eu/sites/default/files/fra_uploads/fra-2018-antisemitism-update-2007-2017_en.pdf." TargetMode="External"/><Relationship Id="rId5" Type="http://schemas.openxmlformats.org/officeDocument/2006/relationships/hyperlink" Target="http://www.interieur.gouv.fr/Actualites/L-actu-du-Ministere/Bilan-de-l-etat-d-urgence" TargetMode="External"/><Relationship Id="rId10" Type="http://schemas.openxmlformats.org/officeDocument/2006/relationships/hyperlink" Target="http://www.assembl&#233;e-natinale.fr" TargetMode="External"/><Relationship Id="rId4" Type="http://schemas.openxmlformats.org/officeDocument/2006/relationships/hyperlink" Target="http://www2.assemblee-nationale.fr/documents/notice/14/rap-info/i4281/%28index%29/depots" TargetMode="External"/><Relationship Id="rId9" Type="http://schemas.openxmlformats.org/officeDocument/2006/relationships/hyperlink" Target="https://www.conseil-constitutionnel.fr/decision/2018/2017695QP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6FC17-B9E4-4D1D-A9D1-21970FCB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9860</Words>
  <Characters>54751</Characters>
  <Application>Microsoft Office Word</Application>
  <DocSecurity>0</DocSecurity>
  <Lines>809</Lines>
  <Paragraphs>100</Paragraphs>
  <ScaleCrop>false</ScaleCrop>
  <HeadingPairs>
    <vt:vector size="2" baseType="variant">
      <vt:variant>
        <vt:lpstr>Title</vt:lpstr>
      </vt:variant>
      <vt:variant>
        <vt:i4>1</vt:i4>
      </vt:variant>
    </vt:vector>
  </HeadingPairs>
  <TitlesOfParts>
    <vt:vector size="1" baseType="lpstr">
      <vt:lpstr>A/HRC/40/52/Add.4</vt:lpstr>
    </vt:vector>
  </TitlesOfParts>
  <Company>DCM</Company>
  <LinksUpToDate>false</LinksUpToDate>
  <CharactersWithSpaces>63715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A/HRC/40/52/Add.4</dc:title>
  <dc:subject>1907571</dc:subject>
  <dc:creator>yang</dc:creator>
  <cp:keywords/>
  <dc:description/>
  <cp:lastModifiedBy>Xiaoqing Yang</cp:lastModifiedBy>
  <cp:revision>2</cp:revision>
  <cp:lastPrinted>2019-05-20T13:33:00Z</cp:lastPrinted>
  <dcterms:created xsi:type="dcterms:W3CDTF">2019-06-17T15:01:00Z</dcterms:created>
  <dcterms:modified xsi:type="dcterms:W3CDTF">2019-06-17T15:01:00Z</dcterms:modified>
</cp:coreProperties>
</file>