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A6A" w:rsidRDefault="00867A6A" w:rsidP="00867A6A">
      <w:pPr>
        <w:spacing w:line="60" w:lineRule="exact"/>
        <w:rPr>
          <w:sz w:val="6"/>
        </w:rPr>
        <w:sectPr w:rsidR="00867A6A" w:rsidSect="00867A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67A6A" w:rsidRDefault="00867A6A" w:rsidP="00867A6A">
      <w:pPr>
        <w:spacing w:line="60" w:lineRule="exact"/>
        <w:rPr>
          <w:sz w:val="6"/>
        </w:rPr>
      </w:pPr>
    </w:p>
    <w:p w:rsidR="006E29A7" w:rsidRDefault="006E29A7" w:rsidP="006E29A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6E29A7" w:rsidRPr="00DB4EB6" w:rsidRDefault="006E29A7" w:rsidP="006E29A7">
      <w:pPr>
        <w:pStyle w:val="SingleTxt"/>
        <w:spacing w:after="60"/>
        <w:ind w:left="0"/>
        <w:rPr>
          <w:rFonts w:ascii="SimHei" w:eastAsia="SimHei" w:hint="eastAsia"/>
          <w:color w:val="FF0000"/>
        </w:rPr>
      </w:pPr>
      <w:r w:rsidRPr="00DB4EB6">
        <w:rPr>
          <w:rFonts w:ascii="SimHei" w:eastAsia="SimHei" w:hint="eastAsia"/>
          <w:color w:val="FF0000"/>
        </w:rPr>
        <w:t>第四十三届会议</w:t>
      </w:r>
    </w:p>
    <w:p w:rsidR="006E29A7" w:rsidRDefault="006E29A7" w:rsidP="006E29A7">
      <w:pPr>
        <w:pStyle w:val="SingleTxt"/>
        <w:spacing w:after="60"/>
        <w:ind w:left="0"/>
        <w:rPr>
          <w:rFonts w:hint="eastAsia"/>
        </w:rPr>
      </w:pPr>
      <w:r>
        <w:rPr>
          <w:rFonts w:hint="eastAsia"/>
        </w:rPr>
        <w:t>2009年1月19日至2月6日</w:t>
      </w:r>
    </w:p>
    <w:p w:rsidR="006E29A7" w:rsidRPr="00751185" w:rsidRDefault="006E29A7" w:rsidP="006E29A7">
      <w:pPr>
        <w:pStyle w:val="SingleTxt"/>
        <w:spacing w:after="0" w:line="120" w:lineRule="exact"/>
        <w:ind w:right="0"/>
        <w:rPr>
          <w:rFonts w:hint="eastAsia"/>
          <w:sz w:val="10"/>
        </w:rPr>
      </w:pP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6E29A7" w:rsidRPr="00751185" w:rsidRDefault="006E29A7" w:rsidP="006E29A7">
      <w:pPr>
        <w:pStyle w:val="SingleTxt"/>
        <w:spacing w:after="0" w:line="120" w:lineRule="exact"/>
        <w:ind w:right="0"/>
        <w:rPr>
          <w:rFonts w:hint="eastAsia"/>
          <w:sz w:val="10"/>
        </w:rPr>
      </w:pP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阿拉伯利比亚民众国</w:t>
      </w:r>
    </w:p>
    <w:p w:rsidR="006E29A7" w:rsidRPr="00751185" w:rsidRDefault="006E29A7" w:rsidP="006E29A7">
      <w:pPr>
        <w:pStyle w:val="SingleTxt"/>
        <w:spacing w:after="0" w:line="120" w:lineRule="exact"/>
        <w:ind w:right="0"/>
        <w:rPr>
          <w:rFonts w:hint="eastAsia"/>
          <w:sz w:val="10"/>
        </w:rPr>
      </w:pP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SingleTxt"/>
        <w:rPr>
          <w:rFonts w:hint="eastAsia"/>
        </w:rPr>
      </w:pPr>
      <w:r>
        <w:rPr>
          <w:rFonts w:hint="eastAsia"/>
        </w:rPr>
        <w:t>1.</w:t>
      </w:r>
      <w:r>
        <w:rPr>
          <w:rFonts w:hint="eastAsia"/>
        </w:rPr>
        <w:tab/>
        <w:t>2009年1月29日，委员会第877次和第878次会议审议了阿拉伯利比亚民众国第二次定期报告和第三次至第五次合并定期报告(CEDAW/C/LBY/2 和CEDAW/C/LBY/5)。委员会的议题和问题清单见CEDAW/C/LB</w:t>
      </w:r>
      <w:r w:rsidR="00A05BC5">
        <w:t>Y</w:t>
      </w:r>
      <w:r>
        <w:rPr>
          <w:rFonts w:hint="eastAsia"/>
        </w:rPr>
        <w:t>/Q/2，阿拉伯利比亚民众国的答复见CEDAW/C/LB</w:t>
      </w:r>
      <w:r w:rsidR="00A05BC5">
        <w:t>Y</w:t>
      </w:r>
      <w:r>
        <w:rPr>
          <w:rFonts w:hint="eastAsia"/>
        </w:rPr>
        <w:t>/Q/2/Add.1。</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SingleTxt"/>
        <w:rPr>
          <w:rFonts w:hint="eastAsia"/>
        </w:rPr>
      </w:pPr>
      <w:r>
        <w:rPr>
          <w:rFonts w:hint="eastAsia"/>
        </w:rPr>
        <w:t>2.</w:t>
      </w:r>
      <w:r>
        <w:rPr>
          <w:rFonts w:hint="eastAsia"/>
        </w:rPr>
        <w:tab/>
        <w:t>委员会感谢缔约国提交第二次定期报告和第三次至第五次合并定期报告，但感到遗憾的是，缔约国没有遵循定期报告编写导则，也没有提供关于《公约》所涉各个领域，特别是教育、卫生和就业领域的按性别分列的数据，尽管委员会注意到缔约国在建设性对话期间提供了一些按性别分列的数据。委员会还赞赏阿拉伯利比亚民众国对会前工作组提出的议题和问题清单的书面答复，但对没有就所提问题提供具体资料感到遗憾。委员会还对第三次至第五次合并定期报告提交过迟表示遗憾，并提醒缔约国需要及时履行报告义务，因为延迟提交报告会给《公约》的执行工作造成负面影响。委员会鼓励缔约国在编写下一次定期报告时，向联合国人权事务高级专员办事处等部门寻求技术援助。</w:t>
      </w:r>
    </w:p>
    <w:p w:rsidR="006E29A7" w:rsidRDefault="006E29A7" w:rsidP="006E29A7">
      <w:pPr>
        <w:pStyle w:val="SingleTxt"/>
        <w:rPr>
          <w:rFonts w:hint="eastAsia"/>
        </w:rPr>
      </w:pPr>
      <w:r>
        <w:rPr>
          <w:rFonts w:hint="eastAsia"/>
        </w:rPr>
        <w:t>3.</w:t>
      </w:r>
      <w:r>
        <w:rPr>
          <w:rFonts w:hint="eastAsia"/>
        </w:rPr>
        <w:tab/>
        <w:t>委员会赞扬缔约国派遣由总人民大会妇女事务秘书率领的高级别代表团，成员包括总人民计划委员会、总人民社会事务委员会、总人民司法委员会、总人民公安委员会、总人民外交事务委员会、总人民对外联络委员会以及总人民大会秘书处的代表。</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积极方面</w:t>
      </w: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SingleTxt"/>
        <w:rPr>
          <w:rFonts w:hint="eastAsia"/>
        </w:rPr>
      </w:pPr>
      <w:r>
        <w:rPr>
          <w:rFonts w:hint="eastAsia"/>
        </w:rPr>
        <w:t>4.</w:t>
      </w:r>
      <w:r>
        <w:rPr>
          <w:rFonts w:hint="eastAsia"/>
        </w:rPr>
        <w:tab/>
        <w:t>委员会赞扬缔约国于2004年加入《消除对妇女一切形式歧视公约任择议定书》。</w:t>
      </w:r>
    </w:p>
    <w:p w:rsidR="006E29A7" w:rsidRDefault="006E29A7" w:rsidP="006E29A7">
      <w:pPr>
        <w:pStyle w:val="SingleTxt"/>
        <w:rPr>
          <w:rFonts w:hint="eastAsia"/>
        </w:rPr>
      </w:pPr>
      <w:r>
        <w:rPr>
          <w:rFonts w:hint="eastAsia"/>
        </w:rPr>
        <w:t>5.</w:t>
      </w:r>
      <w:r>
        <w:rPr>
          <w:rFonts w:hint="eastAsia"/>
        </w:rPr>
        <w:tab/>
        <w:t>委员会满意地注意到缔约国在教育、卫生和社会保障等领域实现男女平等方面取得的进展。在这方面，委员会对总人民大会于1997年3月批准了《阿拉伯利比亚社会妇女权利和义务宪章》特别表示欢迎。</w:t>
      </w:r>
    </w:p>
    <w:p w:rsidR="006E29A7" w:rsidRDefault="006E29A7" w:rsidP="006E29A7">
      <w:pPr>
        <w:pStyle w:val="SingleTxt"/>
        <w:rPr>
          <w:rFonts w:hint="eastAsia"/>
        </w:rPr>
      </w:pPr>
      <w:r>
        <w:rPr>
          <w:rFonts w:hint="eastAsia"/>
        </w:rPr>
        <w:t>6.</w:t>
      </w:r>
      <w:r>
        <w:rPr>
          <w:rFonts w:hint="eastAsia"/>
        </w:rPr>
        <w:tab/>
        <w:t xml:space="preserve">委员会注意到，1984年关于婚姻和离婚的第10号法令经1993年第9号法令修正，禁止在没有得到首任妻子书面同意和法院批准的情况下实行一夫多妻。这是向废除一夫多妻迈进了一步。委员会还注意到，该法第37条废除所有按照不服从丈夫(nushuz)的原则作出的裁决，这些裁决应视为无效。 </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6E29A7" w:rsidRPr="00751185" w:rsidRDefault="006E29A7" w:rsidP="006E29A7">
      <w:pPr>
        <w:pStyle w:val="SingleTxt"/>
        <w:spacing w:after="0" w:line="120" w:lineRule="exact"/>
        <w:ind w:right="0"/>
        <w:rPr>
          <w:rFonts w:hint="eastAsia"/>
          <w:sz w:val="10"/>
        </w:rPr>
      </w:pPr>
    </w:p>
    <w:p w:rsidR="006E29A7" w:rsidRPr="00DB4EB6" w:rsidRDefault="006E29A7" w:rsidP="006E29A7">
      <w:pPr>
        <w:pStyle w:val="SingleTxt"/>
        <w:rPr>
          <w:rFonts w:ascii="SimHei" w:eastAsia="SimHei" w:hint="eastAsia"/>
          <w:color w:val="FF0000"/>
        </w:rPr>
      </w:pPr>
      <w:r>
        <w:rPr>
          <w:rFonts w:hint="eastAsia"/>
        </w:rPr>
        <w:t>7.</w:t>
      </w:r>
      <w:r>
        <w:rPr>
          <w:rFonts w:hint="eastAsia"/>
        </w:rPr>
        <w:tab/>
      </w:r>
      <w:r w:rsidRPr="00DB4EB6">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总人民大会</w:t>
      </w:r>
    </w:p>
    <w:p w:rsidR="006E29A7" w:rsidRPr="00751185" w:rsidRDefault="006E29A7" w:rsidP="006E29A7">
      <w:pPr>
        <w:pStyle w:val="SingleTxt"/>
        <w:spacing w:after="0" w:line="120" w:lineRule="exact"/>
        <w:ind w:right="0"/>
        <w:rPr>
          <w:rFonts w:hint="eastAsia"/>
          <w:sz w:val="10"/>
        </w:rPr>
      </w:pPr>
    </w:p>
    <w:p w:rsidR="006E29A7" w:rsidRPr="00DB4EB6" w:rsidRDefault="006E29A7" w:rsidP="006E29A7">
      <w:pPr>
        <w:pStyle w:val="SingleTxt"/>
        <w:rPr>
          <w:rFonts w:ascii="SimHei" w:eastAsia="SimHei" w:hint="eastAsia"/>
          <w:color w:val="FF0000"/>
        </w:rPr>
      </w:pPr>
      <w:r>
        <w:rPr>
          <w:rFonts w:hint="eastAsia"/>
        </w:rPr>
        <w:t>8.</w:t>
      </w:r>
      <w:r>
        <w:rPr>
          <w:rFonts w:hint="eastAsia"/>
        </w:rPr>
        <w:tab/>
      </w:r>
      <w:r w:rsidRPr="00DB4EB6">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《公约》的法律地位和歧视的定义 </w:t>
      </w: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SingleTxt"/>
        <w:rPr>
          <w:rFonts w:hint="eastAsia"/>
        </w:rPr>
      </w:pPr>
      <w:r>
        <w:rPr>
          <w:rFonts w:hint="eastAsia"/>
        </w:rPr>
        <w:t>9.</w:t>
      </w:r>
      <w:r>
        <w:rPr>
          <w:rFonts w:hint="eastAsia"/>
        </w:rPr>
        <w:tab/>
        <w:t>委员会注意到缔约国重申阿拉伯利比亚民众国所有现行法律都体现了男女平等的原则，但仍对未能明确《公约》在该国国内制度中的地位表示关切。委员会还感到关切的是，该国国内立法中没有符合《公约》第1条和第2条b款的禁止歧视妇女的规定。委员会提请注意，缺乏此类禁止歧视妇女(包括在公共和私人领域中的直接和间接歧视)的具体规定，对缔约国全面适用《公约》形成了阻碍。</w:t>
      </w:r>
    </w:p>
    <w:p w:rsidR="006E29A7" w:rsidRPr="00DB4EB6" w:rsidRDefault="006E29A7" w:rsidP="006E29A7">
      <w:pPr>
        <w:pStyle w:val="SingleTxt"/>
        <w:rPr>
          <w:rFonts w:ascii="SimHei" w:eastAsia="SimHei" w:hint="eastAsia"/>
          <w:color w:val="FF0000"/>
        </w:rPr>
      </w:pPr>
      <w:r>
        <w:rPr>
          <w:rFonts w:hint="eastAsia"/>
        </w:rPr>
        <w:t>10.</w:t>
      </w:r>
      <w:r>
        <w:rPr>
          <w:rFonts w:hint="eastAsia"/>
        </w:rPr>
        <w:tab/>
      </w:r>
      <w:r w:rsidRPr="00DB4EB6">
        <w:rPr>
          <w:rFonts w:ascii="SimHei" w:eastAsia="SimHei" w:hint="eastAsia"/>
          <w:color w:val="FF0000"/>
        </w:rPr>
        <w:t>委员会回顾，利比亚代表团承认《公约》高于其国内法律，因此呼吁缔约国采取紧急措施，按照《公约》第1条在国内立法中列入禁止歧视妇女(包括直接和间接歧视)的规定，并按照《公约》第2条b款酌情列入对此类歧视的制裁规定。</w:t>
      </w:r>
    </w:p>
    <w:p w:rsidR="006E29A7" w:rsidRDefault="006E29A7" w:rsidP="006E29A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《公约》及其《任择议定书》的知名度</w:t>
      </w:r>
    </w:p>
    <w:p w:rsidR="006E29A7" w:rsidRPr="00751185" w:rsidRDefault="006E29A7" w:rsidP="006E29A7">
      <w:pPr>
        <w:pStyle w:val="SingleTxt"/>
        <w:spacing w:after="0" w:line="120" w:lineRule="exact"/>
        <w:ind w:right="0"/>
        <w:rPr>
          <w:rFonts w:hint="eastAsia"/>
          <w:sz w:val="10"/>
        </w:rPr>
      </w:pPr>
    </w:p>
    <w:p w:rsidR="006E29A7" w:rsidRDefault="006E29A7" w:rsidP="006E29A7">
      <w:pPr>
        <w:pStyle w:val="SingleTxt"/>
        <w:rPr>
          <w:rFonts w:hint="eastAsia"/>
        </w:rPr>
      </w:pPr>
      <w:r>
        <w:rPr>
          <w:rFonts w:hint="eastAsia"/>
        </w:rPr>
        <w:t>11.</w:t>
      </w:r>
      <w:r>
        <w:rPr>
          <w:rFonts w:hint="eastAsia"/>
        </w:rPr>
        <w:tab/>
        <w:t>委员会赞赏缔约国努力传播和提高对《公约》各项规定的认识，但是仍感到关切的是，在阿拉伯利比亚民众国，《公约》、《任择议定书》和委员会的一般性建议并不广为人知。委员会还感到关切的是，国内法院未曾援引过《公约》的规定。</w:t>
      </w:r>
    </w:p>
    <w:p w:rsidR="006E29A7" w:rsidRPr="00BE5BF5" w:rsidRDefault="006E29A7" w:rsidP="006E29A7">
      <w:pPr>
        <w:pStyle w:val="SingleTxt"/>
      </w:pPr>
      <w:r>
        <w:rPr>
          <w:rFonts w:hint="eastAsia"/>
        </w:rPr>
        <w:t>12.</w:t>
      </w:r>
      <w:r>
        <w:rPr>
          <w:rFonts w:hint="eastAsia"/>
        </w:rPr>
        <w:tab/>
      </w:r>
      <w:r w:rsidRPr="00DB4EB6">
        <w:rPr>
          <w:rFonts w:ascii="SimHei" w:eastAsia="SimHei" w:hint="eastAsia"/>
          <w:color w:val="FF0000"/>
        </w:rPr>
        <w:t>委员会建议，针对所有法律专业人员、包括法官、律师、检察官、执法人员以及广大公众，开展关于《公约》，包括《任择议定书》和判例法以及关于妇女权利的教育方案。委员会敦促缔约国采取特别措施，包括综合普法方案，提高妇女对自身权利的认识，以便她们能够行使这些权利。委员会请缔约国在下一次定期报告中汇报这方面的进展情况，包括法院援引或适用《公约》规定的案件。</w:t>
      </w:r>
    </w:p>
    <w:p w:rsidR="006E29A7" w:rsidRPr="00F965CA" w:rsidRDefault="006E29A7" w:rsidP="006E29A7">
      <w:pPr>
        <w:pStyle w:val="SingleTxt"/>
        <w:rPr>
          <w:rFonts w:ascii="SimHei" w:eastAsia="SimHei" w:hint="eastAsia"/>
          <w:color w:val="FF0000"/>
        </w:rPr>
      </w:pPr>
      <w:r w:rsidRPr="00F965CA">
        <w:rPr>
          <w:rFonts w:ascii="SimHei" w:eastAsia="SimHei" w:hint="eastAsia"/>
          <w:color w:val="FF0000"/>
        </w:rPr>
        <w:t>保留</w:t>
      </w:r>
    </w:p>
    <w:p w:rsidR="006E29A7" w:rsidRDefault="006E29A7" w:rsidP="006E29A7">
      <w:pPr>
        <w:pStyle w:val="SingleTxt"/>
        <w:rPr>
          <w:rFonts w:hint="eastAsia"/>
        </w:rPr>
      </w:pPr>
      <w:r>
        <w:rPr>
          <w:rFonts w:hint="eastAsia"/>
        </w:rPr>
        <w:t>13.</w:t>
      </w:r>
      <w:r>
        <w:rPr>
          <w:rFonts w:hint="eastAsia"/>
        </w:rPr>
        <w:tab/>
        <w:t>委员会欢迎阿拉伯利比亚民众国于1995年撤销其对《公约》的一般性保留，但感到关切的是，缔约国仍在继承权方面对第2条持有保留，并对关于结婚和离婚的第16条c款和d款持有保留，因为委员会认为，这些保留违反公约的目的和宗旨。在这方面，委员会注意到，缔约国没有对《公民及政治权利国际公约》作出任何保留，而该公约同样要求在这两个领域实现男女平等。</w:t>
      </w:r>
    </w:p>
    <w:p w:rsidR="006E29A7" w:rsidRDefault="006E29A7" w:rsidP="006E29A7">
      <w:pPr>
        <w:pStyle w:val="SingleTxt"/>
        <w:rPr>
          <w:rFonts w:hint="eastAsia"/>
        </w:rPr>
      </w:pPr>
      <w:r>
        <w:rPr>
          <w:rFonts w:hint="eastAsia"/>
        </w:rPr>
        <w:t>14.</w:t>
      </w:r>
      <w:r>
        <w:rPr>
          <w:rFonts w:hint="eastAsia"/>
        </w:rPr>
        <w:tab/>
      </w:r>
      <w:r w:rsidRPr="00F965CA">
        <w:rPr>
          <w:rFonts w:ascii="SimHei" w:eastAsia="SimHei" w:hint="eastAsia"/>
          <w:color w:val="FF0000"/>
        </w:rPr>
        <w:t>委员会强烈鼓励缔约国采取一切必要步骤，包括就撤销其对《公约》的所有保留开展社会各阶层都参与的公开辩论，以确保阿拉伯利比亚民众国妇女能够充分受益于《公约》的所有规定。</w:t>
      </w:r>
    </w:p>
    <w:p w:rsidR="006E29A7" w:rsidRPr="00F965CA" w:rsidRDefault="006E29A7" w:rsidP="006E29A7">
      <w:pPr>
        <w:pStyle w:val="SingleTxt"/>
        <w:rPr>
          <w:rFonts w:ascii="SimHei" w:eastAsia="SimHei" w:hint="eastAsia"/>
          <w:color w:val="FF0000"/>
        </w:rPr>
      </w:pPr>
      <w:r w:rsidRPr="00F965CA">
        <w:rPr>
          <w:rFonts w:ascii="SimHei" w:eastAsia="SimHei" w:hint="eastAsia"/>
          <w:color w:val="FF0000"/>
        </w:rPr>
        <w:t>提高妇女地位国家机构</w:t>
      </w:r>
    </w:p>
    <w:p w:rsidR="006E29A7" w:rsidRDefault="006E29A7" w:rsidP="006E29A7">
      <w:pPr>
        <w:pStyle w:val="SingleTxt"/>
        <w:rPr>
          <w:rFonts w:hint="eastAsia"/>
        </w:rPr>
      </w:pPr>
      <w:r>
        <w:rPr>
          <w:rFonts w:hint="eastAsia"/>
        </w:rPr>
        <w:t>15.</w:t>
      </w:r>
      <w:r>
        <w:rPr>
          <w:rFonts w:hint="eastAsia"/>
        </w:rPr>
        <w:tab/>
        <w:t xml:space="preserve">委员会对通过了《阿拉伯利比亚社会妇女权利和义务宪章》给予肯定，但对没有一个提高妇女地位国家机构来监督《宪章》和《公约》的执行并促进其中规定的妇女权利感到关切。委员会还感到遗憾的是，缔约国没有根据《北京行动纲要》拟定方案和行动计划。 </w:t>
      </w:r>
    </w:p>
    <w:p w:rsidR="006E29A7" w:rsidRDefault="006E29A7" w:rsidP="006E29A7">
      <w:pPr>
        <w:pStyle w:val="SingleTxt"/>
        <w:rPr>
          <w:rFonts w:hint="eastAsia"/>
        </w:rPr>
      </w:pPr>
      <w:r>
        <w:rPr>
          <w:rFonts w:hint="eastAsia"/>
        </w:rPr>
        <w:t>16.</w:t>
      </w:r>
      <w:r>
        <w:rPr>
          <w:rFonts w:hint="eastAsia"/>
        </w:rPr>
        <w:tab/>
      </w:r>
      <w:r w:rsidRPr="00F965CA">
        <w:rPr>
          <w:rFonts w:ascii="SimHei" w:eastAsia="SimHei" w:hint="eastAsia"/>
          <w:color w:val="FF0000"/>
        </w:rPr>
        <w:t>委员会呼吁缔约国建立一个体制化机制，承认对妇女歧视的特殊性，并专门负责促进法律上和事实上的平等，并负责监测男女实质性平等原则的实际实现，以期在各级促进妇女的人权和两性平等。委员会呼吁缔约国在最高政治级别赋予这一机制以必要的权力以及人力和财政资源，以便通过在所有领域协调和监测性别平等主流化，有效促进《公约》的执行和妇女在各个领域对其人权的享受，从而确保妇女在所有领域均享有人权。委员会鼓励缔约国在各政府机构设立两性平等问题协调中心，向它们提供充分的性别培训，并让它们与国家机构建立联系。此外，委员会还鼓励缔约国利用代表团提到的将于2009年7月25日推出阿拉伯利比亚民众国2009至2019年妇女战略的机会，根据本结论意见制定方案和行动计划。</w:t>
      </w:r>
      <w:r>
        <w:rPr>
          <w:rFonts w:hint="eastAsia"/>
        </w:rPr>
        <w:t xml:space="preserve"> </w:t>
      </w:r>
    </w:p>
    <w:p w:rsidR="006E29A7" w:rsidRPr="00F965CA" w:rsidRDefault="006E29A7" w:rsidP="006E29A7">
      <w:pPr>
        <w:pStyle w:val="SingleTxt"/>
        <w:rPr>
          <w:rFonts w:ascii="SimHei" w:eastAsia="SimHei" w:hint="eastAsia"/>
          <w:color w:val="FF0000"/>
        </w:rPr>
      </w:pPr>
      <w:r w:rsidRPr="00F965CA">
        <w:rPr>
          <w:rFonts w:ascii="SimHei" w:eastAsia="SimHei" w:hint="eastAsia"/>
          <w:color w:val="FF0000"/>
        </w:rPr>
        <w:t>歧视性法律</w:t>
      </w:r>
    </w:p>
    <w:p w:rsidR="006E29A7" w:rsidRDefault="006E29A7" w:rsidP="006E29A7">
      <w:pPr>
        <w:pStyle w:val="SingleTxt"/>
        <w:rPr>
          <w:rFonts w:hint="eastAsia"/>
        </w:rPr>
      </w:pPr>
      <w:r>
        <w:rPr>
          <w:rFonts w:hint="eastAsia"/>
        </w:rPr>
        <w:t>17.</w:t>
      </w:r>
      <w:r>
        <w:rPr>
          <w:rFonts w:hint="eastAsia"/>
        </w:rPr>
        <w:tab/>
        <w:t>委员会欢迎缔约国代表团确认，将对关于国籍法各项规定的1980年第18号法令加以修订，以符合《公约》第9条的规定，但委员会仍然对嫁给非利比亚国民的利比亚妇女在其子女国籍问题上没有获得与男子平等的权利感到关切。委员会还对关于儿童监护问题的法律感到关切，该法不允许妇女未经孩子父亲同意携子女出国旅行。委员会感到关切的是，有关个人身份，特别是有关结婚</w:t>
      </w:r>
      <w:r w:rsidR="00A05BC5">
        <w:rPr>
          <w:rFonts w:hint="eastAsia"/>
        </w:rPr>
        <w:t>(</w:t>
      </w:r>
      <w:r>
        <w:rPr>
          <w:rFonts w:hint="eastAsia"/>
        </w:rPr>
        <w:t>包括一夫多妻</w:t>
      </w:r>
      <w:r w:rsidR="00A05BC5">
        <w:rPr>
          <w:rFonts w:hint="eastAsia"/>
        </w:rPr>
        <w:t>)</w:t>
      </w:r>
      <w:r>
        <w:rPr>
          <w:rFonts w:hint="eastAsia"/>
        </w:rPr>
        <w:t xml:space="preserve">、离婚、继承的法律规定没有规定男女平等权利。 </w:t>
      </w:r>
    </w:p>
    <w:p w:rsidR="006E29A7" w:rsidRPr="00F965CA" w:rsidRDefault="006E29A7" w:rsidP="006E29A7">
      <w:pPr>
        <w:pStyle w:val="SingleTxt"/>
        <w:rPr>
          <w:rFonts w:ascii="SimHei" w:eastAsia="SimHei" w:hint="eastAsia"/>
          <w:color w:val="FF0000"/>
        </w:rPr>
      </w:pPr>
      <w:r>
        <w:rPr>
          <w:rFonts w:hint="eastAsia"/>
        </w:rPr>
        <w:t>18.</w:t>
      </w:r>
      <w:r>
        <w:rPr>
          <w:rFonts w:hint="eastAsia"/>
        </w:rPr>
        <w:tab/>
      </w:r>
      <w:r w:rsidRPr="00F965CA">
        <w:rPr>
          <w:rFonts w:ascii="SimHei" w:eastAsia="SimHei" w:hint="eastAsia"/>
          <w:color w:val="FF0000"/>
        </w:rPr>
        <w:t xml:space="preserve">委员会鼓励缔约国加速修订1980年第18号法令，以使其符合《公约》第9条的规定。此外，委员会还呼吁缔约国继续努力迅速修订其儿童监护法，以确保妇女在携子女出国旅行问题上享有与男子同样的权利。委员会建议缔约国实行立法改革，在结婚、离婚和继承问题上为妇女规定平等的权利。委员会呼吁缔约国根据委员会关于婚姻和家庭关系平等的第21号一般性建议，结束一夫多妻制。 </w:t>
      </w:r>
    </w:p>
    <w:p w:rsidR="006E29A7" w:rsidRDefault="006E29A7" w:rsidP="006E29A7">
      <w:pPr>
        <w:pStyle w:val="SingleTxt"/>
        <w:rPr>
          <w:rFonts w:hint="eastAsia"/>
        </w:rPr>
      </w:pPr>
      <w:r w:rsidRPr="00F965CA">
        <w:rPr>
          <w:rFonts w:ascii="SimHei" w:eastAsia="SimHei" w:hint="eastAsia"/>
          <w:color w:val="FF0000"/>
        </w:rPr>
        <w:t>暂行特别措施</w:t>
      </w:r>
    </w:p>
    <w:p w:rsidR="006E29A7" w:rsidRDefault="006E29A7" w:rsidP="006E29A7">
      <w:pPr>
        <w:pStyle w:val="SingleTxt"/>
        <w:rPr>
          <w:rFonts w:hint="eastAsia"/>
        </w:rPr>
      </w:pPr>
      <w:r>
        <w:rPr>
          <w:rFonts w:hint="eastAsia"/>
        </w:rPr>
        <w:t>19.</w:t>
      </w:r>
      <w:r>
        <w:rPr>
          <w:rFonts w:hint="eastAsia"/>
        </w:rPr>
        <w:tab/>
        <w:t>委员会感到关切的是，缔约国似乎对暂行特别措施以及按照直接适用的《公约》第4条第1款实施这些措施的理由缺乏明确的理解，特别是在劳动以及参与政治和公共生活方面缺乏这种理解。委员会还担心，没有将这些措施作为加速在公约各个领域实现男女事实上的平等的必要工具而加以系统实施。</w:t>
      </w:r>
    </w:p>
    <w:p w:rsidR="006E29A7" w:rsidRDefault="006E29A7" w:rsidP="006E29A7">
      <w:pPr>
        <w:pStyle w:val="SingleTxt"/>
        <w:rPr>
          <w:rFonts w:hint="eastAsia"/>
        </w:rPr>
      </w:pPr>
      <w:r>
        <w:rPr>
          <w:rFonts w:hint="eastAsia"/>
        </w:rPr>
        <w:t>20.</w:t>
      </w:r>
      <w:r>
        <w:rPr>
          <w:rFonts w:hint="eastAsia"/>
        </w:rPr>
        <w:tab/>
      </w:r>
      <w:r w:rsidRPr="00F965CA">
        <w:rPr>
          <w:rFonts w:ascii="SimHei" w:eastAsia="SimHei" w:hint="eastAsia"/>
          <w:color w:val="FF0000"/>
        </w:rPr>
        <w:t>委员会鼓励缔约国为根据《公约》第4条第1款和委员会第25号一般性建议实施暂行特别措施制定具体立法，以便在妇女任职人数不足或处境不利的领域加速实现妇女与男子事实上的平等。委员会建议缔约国提高公众对第4条第1款的直接适用以及暂行特别措施对于加速实现两性平等的重要性的认识。</w:t>
      </w:r>
      <w:r>
        <w:rPr>
          <w:rFonts w:hint="eastAsia"/>
        </w:rPr>
        <w:t xml:space="preserve"> </w:t>
      </w:r>
    </w:p>
    <w:p w:rsidR="006E29A7" w:rsidRPr="00F965CA" w:rsidRDefault="006E29A7" w:rsidP="006E29A7">
      <w:pPr>
        <w:pStyle w:val="SingleTxt"/>
        <w:rPr>
          <w:rFonts w:ascii="SimHei" w:eastAsia="SimHei" w:hint="eastAsia"/>
          <w:color w:val="FF0000"/>
        </w:rPr>
      </w:pPr>
      <w:r w:rsidRPr="00F965CA">
        <w:rPr>
          <w:rFonts w:ascii="SimHei" w:eastAsia="SimHei" w:hint="eastAsia"/>
          <w:color w:val="FF0000"/>
        </w:rPr>
        <w:t>陈规定型观念、文化习俗</w:t>
      </w:r>
    </w:p>
    <w:p w:rsidR="006E29A7" w:rsidRDefault="006E29A7" w:rsidP="006E29A7">
      <w:pPr>
        <w:pStyle w:val="SingleTxt"/>
        <w:rPr>
          <w:rFonts w:hint="eastAsia"/>
        </w:rPr>
      </w:pPr>
      <w:r>
        <w:rPr>
          <w:rFonts w:hint="eastAsia"/>
        </w:rPr>
        <w:t>21.</w:t>
      </w:r>
      <w:r>
        <w:rPr>
          <w:rFonts w:hint="eastAsia"/>
        </w:rPr>
        <w:tab/>
        <w:t>委员会对缔约国没有制定一项促进利比亚妇女人权和消除男女角色定型观念的国家战略感到关切。委员会仍然对传统上根深蒂固的关于男女在家庭和整个社会中角色和责任的定型观念持续存在感到关切。妇女对教育的选择、她们在劳动力市场的处境和她们很少参与政治和公共生活均部分反映了这种定型观念。</w:t>
      </w:r>
    </w:p>
    <w:p w:rsidR="006E29A7" w:rsidRDefault="006E29A7" w:rsidP="006E29A7">
      <w:pPr>
        <w:pStyle w:val="SingleTxt"/>
        <w:rPr>
          <w:rFonts w:hint="eastAsia"/>
        </w:rPr>
      </w:pPr>
      <w:r>
        <w:rPr>
          <w:rFonts w:hint="eastAsia"/>
        </w:rPr>
        <w:t>22.</w:t>
      </w:r>
      <w:r>
        <w:rPr>
          <w:rFonts w:hint="eastAsia"/>
        </w:rPr>
        <w:tab/>
      </w:r>
      <w:r w:rsidRPr="00F965CA">
        <w:rPr>
          <w:rFonts w:ascii="SimHei" w:eastAsia="SimHei" w:hint="eastAsia"/>
          <w:color w:val="FF0000"/>
        </w:rPr>
        <w:t>委员会敦促该缔约国通过一项国家战略计划，特别是要改变广为接受的男女定型角色，从而促进男女之间平等分担家庭责任，以及男女在私人和公共领域的平等地位和责任。委员会建议同时针对妇女和男子开展提高认识运动，并鼓励媒体宣传妇女的积极形象。</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暴力侵害妇女行为</w:t>
      </w:r>
    </w:p>
    <w:p w:rsidR="006E29A7" w:rsidRDefault="006E29A7" w:rsidP="006E29A7">
      <w:pPr>
        <w:pStyle w:val="SingleTxt"/>
        <w:rPr>
          <w:rFonts w:hint="eastAsia"/>
        </w:rPr>
      </w:pPr>
      <w:r>
        <w:rPr>
          <w:rFonts w:hint="eastAsia"/>
        </w:rPr>
        <w:t>23.</w:t>
      </w:r>
      <w:r>
        <w:rPr>
          <w:rFonts w:hint="eastAsia"/>
        </w:rPr>
        <w:tab/>
        <w:t>委员会注意到1984年第10号法令第17条规定丈夫不应对妻子造成身心伤害，并赞扬缔约国在全国各地设立了20个妇女法庭处理暴力侵害妇女行为。但委员会关切缔约国尚未按照人权事务委员会2007年10月30日通过的结论意见中的建议，就保护妇女免遭暴力侵害，特别是免遭家庭暴力侵害通过一项综合法律。委员会还关切妇女和女孩未被定罪即被禁闭在所谓的社会康复设施内，无从就被禁闭一事诉诸法院，她们有些人是基于性别的暴力和家庭暴力的受害者，而缔约国却声称这样做是为了保护她们。此外，委员会对以下做法感到震惊：鼓励被强奸的妇女与强奸者结婚，以免遭社会耻辱和边缘化，如果妇女怀孕，则确保传宗接代，从而使犯罪人不受惩罚。委员会认为，强奸者与受害者结婚可能导致受害者再度受害。委员会对报告中没有提供统计数字说明不同形式暴力伤害妇女和女孩行为的程度表示关切。委员会还表示关切的是，维持将婚外性关系定为犯罪的第70</w:t>
      </w:r>
      <w:r w:rsidR="00A05BC5">
        <w:rPr>
          <w:rFonts w:hint="eastAsia"/>
        </w:rPr>
        <w:t>(</w:t>
      </w:r>
      <w:r>
        <w:rPr>
          <w:rFonts w:hint="eastAsia"/>
        </w:rPr>
        <w:t>1973</w:t>
      </w:r>
      <w:r w:rsidR="00A05BC5">
        <w:rPr>
          <w:rFonts w:hint="eastAsia"/>
        </w:rPr>
        <w:t>)</w:t>
      </w:r>
      <w:r>
        <w:rPr>
          <w:rFonts w:hint="eastAsia"/>
        </w:rPr>
        <w:t>号法律对妇女的影响可能会特别严重。</w:t>
      </w:r>
    </w:p>
    <w:p w:rsidR="006E29A7" w:rsidRDefault="006E29A7" w:rsidP="006E29A7">
      <w:pPr>
        <w:pStyle w:val="SingleTxt"/>
        <w:rPr>
          <w:rFonts w:ascii="SimHei" w:eastAsia="SimHei" w:hint="eastAsia"/>
          <w:color w:val="FF0000"/>
        </w:rPr>
      </w:pPr>
      <w:r>
        <w:rPr>
          <w:rFonts w:hint="eastAsia"/>
        </w:rPr>
        <w:t>24.</w:t>
      </w:r>
      <w:r>
        <w:rPr>
          <w:rFonts w:hint="eastAsia"/>
        </w:rPr>
        <w:tab/>
      </w:r>
      <w:r w:rsidRPr="00B61974">
        <w:rPr>
          <w:rFonts w:ascii="SimHei" w:eastAsia="SimHei" w:hint="eastAsia"/>
          <w:color w:val="FF0000"/>
        </w:rPr>
        <w:t>委员会敦请缔约国实施秘书长关于研究侵害妇女的一切形式暴力行为的报告(A/61/122和Add.1和Add.1/Corr.1)以及暴力侵害妇女行为及其因果问题特别报告员的报告(A/HRC/4/34/Add.1)中所指明的建议，并监测其影响。此外，委员会吁请缔约国就暴力伤害妇女行为、包括家庭暴力行为制定立法。委员会建议缔约国通过并实施打击暴力伤害妇女行为的国家战略，包括搜集按性别分列的、关于一切形式暴力的数据，对暴力伤害妇女和女孩行为，包括在家庭内发生的这种行为的程度进行研究。委员会还敦请缔约国复审允许在违背妇女和女孩意愿的情况下、将其禁闭于所谓的康复设施内的法律规定。此外，委员会吁请缔约国确保对犯罪人正式提出起诉，并确保受害者得以康复。委员会建议向司法人员、执法官员、法律和保健从业人员及一般公众提供培训和提高认识方案，同时考虑到委员会关于暴力伤害妇女行为的第19号一般性建议。委员会鼓励缔约国利用2008年发起的消除暴力伤害妇女行为多年运动。</w:t>
      </w:r>
      <w:r>
        <w:rPr>
          <w:rFonts w:ascii="SimHei" w:eastAsia="SimHei" w:hint="eastAsia"/>
          <w:color w:val="FF0000"/>
        </w:rPr>
        <w:t>委员会还要求缔约国考虑废除</w:t>
      </w:r>
      <w:r w:rsidRPr="003C7678">
        <w:rPr>
          <w:rFonts w:ascii="SimHei" w:eastAsia="SimHei" w:hint="eastAsia"/>
          <w:color w:val="FF0000"/>
        </w:rPr>
        <w:t>第70</w:t>
      </w:r>
      <w:r w:rsidR="00A05BC5">
        <w:rPr>
          <w:rFonts w:ascii="SimHei" w:eastAsia="SimHei" w:hint="eastAsia"/>
          <w:color w:val="FF0000"/>
        </w:rPr>
        <w:t>(</w:t>
      </w:r>
      <w:r w:rsidRPr="003C7678">
        <w:rPr>
          <w:rFonts w:ascii="SimHei" w:eastAsia="SimHei" w:hint="eastAsia"/>
          <w:color w:val="FF0000"/>
        </w:rPr>
        <w:t>1973</w:t>
      </w:r>
      <w:r w:rsidR="00A05BC5">
        <w:rPr>
          <w:rFonts w:ascii="SimHei" w:eastAsia="SimHei" w:hint="eastAsia"/>
          <w:color w:val="FF0000"/>
        </w:rPr>
        <w:t>)</w:t>
      </w:r>
      <w:r w:rsidRPr="003C7678">
        <w:rPr>
          <w:rFonts w:ascii="SimHei" w:eastAsia="SimHei" w:hint="eastAsia"/>
          <w:color w:val="FF0000"/>
        </w:rPr>
        <w:t>号法律</w:t>
      </w:r>
      <w:r>
        <w:rPr>
          <w:rFonts w:ascii="SimHei" w:eastAsia="SimHei" w:hint="eastAsia"/>
          <w:color w:val="FF0000"/>
        </w:rPr>
        <w:t>。</w:t>
      </w:r>
    </w:p>
    <w:p w:rsidR="006E29A7" w:rsidRPr="003B5334" w:rsidRDefault="006E29A7" w:rsidP="006E29A7">
      <w:pPr>
        <w:pStyle w:val="SingleTxt"/>
        <w:rPr>
          <w:rFonts w:ascii="SimHei" w:eastAsia="SimHei" w:hint="eastAsia"/>
          <w:color w:val="FF0000"/>
        </w:rPr>
      </w:pPr>
      <w:r w:rsidRPr="003B5334">
        <w:rPr>
          <w:rFonts w:ascii="SimHei" w:eastAsia="SimHei" w:hint="eastAsia"/>
          <w:color w:val="FF0000"/>
        </w:rPr>
        <w:t>妇女弱势群体</w:t>
      </w:r>
    </w:p>
    <w:p w:rsidR="006E29A7" w:rsidRDefault="006E29A7" w:rsidP="006E29A7">
      <w:pPr>
        <w:pStyle w:val="SingleTxt"/>
        <w:rPr>
          <w:rFonts w:hint="eastAsia"/>
        </w:rPr>
      </w:pPr>
      <w:r>
        <w:rPr>
          <w:rFonts w:hint="eastAsia"/>
        </w:rPr>
        <w:t>25.</w:t>
      </w:r>
      <w:r>
        <w:rPr>
          <w:rFonts w:hint="eastAsia"/>
        </w:rPr>
        <w:tab/>
        <w:t>委员会满意地注意到缔约国2004年批准了《</w:t>
      </w:r>
      <w:r w:rsidRPr="00B62E42">
        <w:rPr>
          <w:rFonts w:hint="eastAsia"/>
        </w:rPr>
        <w:t>保护所有移徙工人及其家庭成员权利国际公约</w:t>
      </w:r>
      <w:r>
        <w:rPr>
          <w:rFonts w:hint="eastAsia"/>
        </w:rPr>
        <w:t>》，但表示关切的是，据报告，</w:t>
      </w:r>
      <w:r w:rsidRPr="00B62E42">
        <w:rPr>
          <w:rFonts w:hint="eastAsia"/>
        </w:rPr>
        <w:t>无证移徙者</w:t>
      </w:r>
      <w:r>
        <w:rPr>
          <w:rFonts w:hint="eastAsia"/>
        </w:rPr>
        <w:t>，包括妇女和儿童，受到虐待。委员会还关切地注意到，缔约国的报告没有载列阿拉伯利比亚民众国移徙妇女的状况。</w:t>
      </w:r>
    </w:p>
    <w:p w:rsidR="006E29A7" w:rsidRPr="00B62E42" w:rsidRDefault="006E29A7" w:rsidP="006E29A7">
      <w:pPr>
        <w:pStyle w:val="SingleTxt"/>
        <w:rPr>
          <w:rFonts w:hint="eastAsia"/>
        </w:rPr>
      </w:pPr>
      <w:r>
        <w:rPr>
          <w:rFonts w:hint="eastAsia"/>
        </w:rPr>
        <w:t>26.</w:t>
      </w:r>
      <w:r>
        <w:rPr>
          <w:rFonts w:hint="eastAsia"/>
        </w:rPr>
        <w:tab/>
      </w:r>
      <w:r w:rsidRPr="003B5334">
        <w:rPr>
          <w:rFonts w:ascii="SimHei" w:eastAsia="SimHei" w:hint="eastAsia"/>
          <w:color w:val="FF0000"/>
        </w:rPr>
        <w:t>委员会建议缔约国执行《保护所有移徙工人及其家庭成员权利国际公约》的规定。委员会还建议缔约国考虑批准1951年《关于难民地位的公约》。委员会请缔约国在下次定期报告中提供关于移徙妇女的详细资料</w:t>
      </w:r>
      <w:r>
        <w:rPr>
          <w:rFonts w:hint="eastAsia"/>
        </w:rPr>
        <w:t>。</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贩运和利用妇女卖淫营利</w:t>
      </w:r>
    </w:p>
    <w:p w:rsidR="006E29A7" w:rsidRDefault="006E29A7" w:rsidP="006E29A7">
      <w:pPr>
        <w:pStyle w:val="SingleTxt"/>
        <w:rPr>
          <w:rFonts w:hint="eastAsia"/>
        </w:rPr>
      </w:pPr>
      <w:r>
        <w:rPr>
          <w:rFonts w:hint="eastAsia"/>
        </w:rPr>
        <w:t>27.</w:t>
      </w:r>
      <w:r>
        <w:rPr>
          <w:rFonts w:hint="eastAsia"/>
        </w:rPr>
        <w:tab/>
        <w:t>委员会欢迎缔约国批准《关于预防、禁止和惩治贩运人口特别是妇女和儿童行为的补充议定书》。委员会注意到《刑法》将一切形式的贩运妇女行为定为犯罪，利比亚国民即使在国外实施此项犯罪，也将被判刑。但委员会关切缺少关于贩运妇女和儿童行为的程度的资料，也没有防止和消除贩运妇女以及保护受害者的综合法律和计划。委员会关切缺乏关于卖淫的信息，以及没有保护卖淫受害者的综合战略。</w:t>
      </w:r>
    </w:p>
    <w:p w:rsidR="006E29A7" w:rsidRDefault="006E29A7" w:rsidP="006E29A7">
      <w:pPr>
        <w:pStyle w:val="SingleTxt"/>
        <w:rPr>
          <w:rFonts w:hint="eastAsia"/>
        </w:rPr>
      </w:pPr>
      <w:r>
        <w:rPr>
          <w:rFonts w:hint="eastAsia"/>
        </w:rPr>
        <w:t>28.</w:t>
      </w:r>
      <w:r>
        <w:rPr>
          <w:rFonts w:hint="eastAsia"/>
        </w:rPr>
        <w:tab/>
      </w:r>
      <w:r w:rsidRPr="00B61974">
        <w:rPr>
          <w:rFonts w:ascii="SimHei" w:eastAsia="SimHei" w:hint="eastAsia"/>
          <w:color w:val="FF0000"/>
        </w:rPr>
        <w:t>委员会建议缔约国采取措施，通过制定和实施综合战略，打击一切形式贩运妇女和女孩行为，进一步努力同原籍国和过境国开展区域、国际和双边层次的合作，以便更有效地消除贩运现象的起因，并通过交流情况，改善预防工作。委员会鼓励缔约国从警察和国际来源搜集、分析数据，起诉和惩处贩运者，确保被贩运妇女和女孩的权利得到保护。委员会建议缔约国确保被贩运的妇女和女孩得到适当支助和保护，以作证揭露贩运者。委员会</w:t>
      </w:r>
      <w:r>
        <w:rPr>
          <w:rFonts w:ascii="SimHei" w:eastAsia="SimHei" w:hint="eastAsia"/>
          <w:color w:val="FF0000"/>
        </w:rPr>
        <w:t>敦促</w:t>
      </w:r>
      <w:r w:rsidRPr="00B61974">
        <w:rPr>
          <w:rFonts w:ascii="SimHei" w:eastAsia="SimHei" w:hint="eastAsia"/>
          <w:color w:val="FF0000"/>
        </w:rPr>
        <w:t>缔约国从其作为过境国的角度，分析贩运妇女和女孩的起因和程度。委员会吁请缔约国采取一切适当措施，取缔利用妇女卖淫营利的行为，包括确保对利用妇女卖淫营利者进行有效起诉和惩处，从而抑制男性的需求。委员会请缔约国在下一次报告中提供综合信息和数据，说明利用妇女卖淫营利和贩运妇女和女孩的情况，并说明为防止和打击这种活动所采取的措施。</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政治参与和参与公共生活</w:t>
      </w:r>
    </w:p>
    <w:p w:rsidR="006E29A7" w:rsidRDefault="006E29A7" w:rsidP="006E29A7">
      <w:pPr>
        <w:pStyle w:val="SingleTxt"/>
        <w:rPr>
          <w:rFonts w:hint="eastAsia"/>
        </w:rPr>
      </w:pPr>
      <w:r>
        <w:rPr>
          <w:rFonts w:hint="eastAsia"/>
        </w:rPr>
        <w:t>29.</w:t>
      </w:r>
      <w:r>
        <w:rPr>
          <w:rFonts w:hint="eastAsia"/>
        </w:rPr>
        <w:tab/>
        <w:t>委员会满意地注意到，妇女参加总人民大会的比例已经上升到32%，欢迎利比亚代表团提供信息，说明妇女参与基层人民大会及在这些机构中任职的情况。但委员会依然感到关切的是，妇女在政治和公共生活中的任职人数，尤其是在决策机构(包括政府行政部门、议会和外交团)中的任职人数依然过低。</w:t>
      </w:r>
    </w:p>
    <w:p w:rsidR="006E29A7" w:rsidRDefault="006E29A7" w:rsidP="006E29A7">
      <w:pPr>
        <w:pStyle w:val="SingleTxt"/>
        <w:rPr>
          <w:rFonts w:hint="eastAsia"/>
        </w:rPr>
      </w:pPr>
      <w:r>
        <w:rPr>
          <w:rFonts w:hint="eastAsia"/>
        </w:rPr>
        <w:t>30.</w:t>
      </w:r>
      <w:r>
        <w:rPr>
          <w:rFonts w:hint="eastAsia"/>
        </w:rPr>
        <w:tab/>
      </w:r>
      <w:r w:rsidRPr="00B61974">
        <w:rPr>
          <w:rFonts w:ascii="SimHei" w:eastAsia="SimHei" w:hint="eastAsia"/>
          <w:color w:val="FF0000"/>
        </w:rPr>
        <w:t>委员会敦请缔约国按照委员会第23号和第25号一般性建议，采取一切适当措施，包括《公约》第4条第1款所述的暂行特别措施，并制定具体目标，加快增加妇女在政府行政部门、议会和外交团的任职人数。在采用此类措施推动妇女参加政治生活方面，还应当制定时间表或提高配额方面的基准。委员会建议缔约国继续开展提高认识活动，宣传妇女参与各级决策工作的重要性。</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教育</w:t>
      </w:r>
    </w:p>
    <w:p w:rsidR="006E29A7" w:rsidRPr="00A05BC5" w:rsidRDefault="006E29A7" w:rsidP="006E29A7">
      <w:pPr>
        <w:pStyle w:val="SingleTxt"/>
        <w:rPr>
          <w:rFonts w:hint="eastAsia"/>
        </w:rPr>
      </w:pPr>
      <w:r w:rsidRPr="00A05BC5">
        <w:rPr>
          <w:rFonts w:hint="eastAsia"/>
        </w:rPr>
        <w:t>31.</w:t>
      </w:r>
      <w:r w:rsidRPr="00A05BC5">
        <w:rPr>
          <w:rFonts w:hint="eastAsia"/>
        </w:rPr>
        <w:tab/>
        <w:t>委员会赞扬缔约国女性毕业生比例很高，但遗憾地指出，报告没有提供充分资料，说明城乡地区的妇女获得《公约》第10条所述一切领域教育机会的情况。</w:t>
      </w:r>
    </w:p>
    <w:p w:rsidR="006E29A7" w:rsidRPr="00B61974" w:rsidRDefault="006E29A7" w:rsidP="006E29A7">
      <w:pPr>
        <w:pStyle w:val="SingleTxt"/>
        <w:rPr>
          <w:rFonts w:ascii="SimHei" w:eastAsia="SimHei" w:hint="eastAsia"/>
          <w:color w:val="FF0000"/>
        </w:rPr>
      </w:pPr>
      <w:r>
        <w:rPr>
          <w:rFonts w:ascii="SimHei" w:eastAsia="SimHei" w:hint="eastAsia"/>
          <w:color w:val="FF0000"/>
        </w:rPr>
        <w:t>32</w:t>
      </w:r>
      <w:r w:rsidRPr="00B61974">
        <w:rPr>
          <w:rFonts w:ascii="SimHei" w:eastAsia="SimHei" w:hint="eastAsia"/>
          <w:color w:val="FF0000"/>
        </w:rPr>
        <w:t>.</w:t>
      </w:r>
      <w:r w:rsidRPr="00B61974">
        <w:rPr>
          <w:rFonts w:ascii="SimHei" w:eastAsia="SimHei" w:hint="eastAsia"/>
          <w:color w:val="FF0000"/>
        </w:rPr>
        <w:tab/>
        <w:t>委员会请缔约国在下一次定期报告中，就《公约》第10条所述一切问题，包括妇女和女孩获得职业教育的机会、接受大中小学教育和技术教育的机会、获得奖学金和其他助学金的机会、参加进修教育方案的机会，提供按性别和城乡地区分列的数据以及关于辍学率的统计数字。</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就业</w:t>
      </w:r>
    </w:p>
    <w:p w:rsidR="006E29A7" w:rsidRPr="00A05BC5" w:rsidRDefault="006E29A7" w:rsidP="006E29A7">
      <w:pPr>
        <w:pStyle w:val="SingleTxt"/>
        <w:rPr>
          <w:rFonts w:hint="eastAsia"/>
        </w:rPr>
      </w:pPr>
      <w:r w:rsidRPr="00A05BC5">
        <w:rPr>
          <w:rFonts w:hint="eastAsia"/>
        </w:rPr>
        <w:t>33.</w:t>
      </w:r>
      <w:r w:rsidRPr="00A05BC5">
        <w:rPr>
          <w:rFonts w:hint="eastAsia"/>
        </w:rPr>
        <w:tab/>
        <w:t>委员会感到遗憾的是，缔约国的报告未能就利比亚妇女在就业方面的境况提供详细的综合资料。</w:t>
      </w:r>
    </w:p>
    <w:p w:rsidR="006E29A7" w:rsidRPr="00B61974" w:rsidRDefault="006E29A7" w:rsidP="006E29A7">
      <w:pPr>
        <w:pStyle w:val="SingleTxt"/>
        <w:rPr>
          <w:rFonts w:ascii="SimHei" w:eastAsia="SimHei" w:hint="eastAsia"/>
          <w:color w:val="FF0000"/>
        </w:rPr>
      </w:pPr>
      <w:r>
        <w:rPr>
          <w:rFonts w:ascii="SimHei" w:eastAsia="SimHei" w:hint="eastAsia"/>
          <w:color w:val="FF0000"/>
        </w:rPr>
        <w:t>34</w:t>
      </w:r>
      <w:r w:rsidRPr="00B61974">
        <w:rPr>
          <w:rFonts w:ascii="SimHei" w:eastAsia="SimHei" w:hint="eastAsia"/>
          <w:color w:val="FF0000"/>
        </w:rPr>
        <w:t>.</w:t>
      </w:r>
      <w:r w:rsidRPr="00B61974">
        <w:rPr>
          <w:rFonts w:ascii="SimHei" w:eastAsia="SimHei" w:hint="eastAsia"/>
          <w:color w:val="FF0000"/>
        </w:rPr>
        <w:tab/>
        <w:t>委员会请缔约国在下一次定期报告中，就《公约》第11条所述所有问题，包括妇女享受同工同酬的权利、享受社会保障和产假的权利提供按性别分列的数据。委员会还请缔约国提供信息，说明城乡地区非正规经济部门中妇女的境况。</w:t>
      </w:r>
    </w:p>
    <w:p w:rsidR="006E29A7" w:rsidRPr="00B61974" w:rsidRDefault="006E29A7" w:rsidP="006E29A7">
      <w:pPr>
        <w:pStyle w:val="SingleTxt"/>
        <w:rPr>
          <w:rFonts w:ascii="SimHei" w:eastAsia="SimHei" w:hint="eastAsia"/>
          <w:color w:val="FF0000"/>
        </w:rPr>
      </w:pPr>
      <w:r w:rsidRPr="00B61974">
        <w:rPr>
          <w:rFonts w:ascii="SimHei" w:eastAsia="SimHei" w:hint="eastAsia"/>
          <w:color w:val="FF0000"/>
        </w:rPr>
        <w:t>保健</w:t>
      </w:r>
    </w:p>
    <w:p w:rsidR="006E29A7" w:rsidRPr="00A05BC5" w:rsidRDefault="006E29A7" w:rsidP="006E29A7">
      <w:pPr>
        <w:pStyle w:val="SingleTxt"/>
        <w:rPr>
          <w:rFonts w:hint="eastAsia"/>
        </w:rPr>
      </w:pPr>
      <w:r w:rsidRPr="00A05BC5">
        <w:rPr>
          <w:rFonts w:hint="eastAsia"/>
        </w:rPr>
        <w:t>35.</w:t>
      </w:r>
      <w:r w:rsidRPr="00A05BC5">
        <w:rPr>
          <w:rFonts w:hint="eastAsia"/>
        </w:rPr>
        <w:tab/>
        <w:t>委员会欢迎缔约国提供关于免费保健服务的资料，但遗憾地指出，报告没有提供充分和详细的资料说明妇女获得保健服务的机会。</w:t>
      </w:r>
    </w:p>
    <w:p w:rsidR="006E29A7" w:rsidRPr="00B61974" w:rsidRDefault="006E29A7" w:rsidP="006E29A7">
      <w:pPr>
        <w:pStyle w:val="SingleTxt"/>
        <w:rPr>
          <w:rFonts w:ascii="SimHei" w:eastAsia="SimHei" w:hint="eastAsia"/>
          <w:color w:val="FF0000"/>
        </w:rPr>
      </w:pPr>
      <w:r>
        <w:rPr>
          <w:rFonts w:ascii="SimHei" w:eastAsia="SimHei" w:hint="eastAsia"/>
          <w:color w:val="FF0000"/>
        </w:rPr>
        <w:t>36</w:t>
      </w:r>
      <w:r w:rsidRPr="00B61974">
        <w:rPr>
          <w:rFonts w:ascii="SimHei" w:eastAsia="SimHei" w:hint="eastAsia"/>
          <w:color w:val="FF0000"/>
        </w:rPr>
        <w:t>.</w:t>
      </w:r>
      <w:r w:rsidRPr="00B61974">
        <w:rPr>
          <w:rFonts w:ascii="SimHei" w:eastAsia="SimHei" w:hint="eastAsia"/>
          <w:color w:val="FF0000"/>
        </w:rPr>
        <w:tab/>
        <w:t>委员会请该缔约国在下一次定期报告中提供资料，包括就《公约》第12条所述所有方面提供按性别分列的统计数字。这些方面有：城乡地区的计划生育、怀孕和产后期间的适当服务。</w:t>
      </w:r>
    </w:p>
    <w:p w:rsidR="006E29A7" w:rsidRPr="0066670B" w:rsidRDefault="006E29A7" w:rsidP="006E29A7">
      <w:pPr>
        <w:pStyle w:val="SingleTxt"/>
        <w:rPr>
          <w:rFonts w:ascii="SimHei" w:eastAsia="SimHei" w:hint="eastAsia"/>
          <w:color w:val="FF0000"/>
        </w:rPr>
      </w:pPr>
      <w:r w:rsidRPr="0066670B">
        <w:rPr>
          <w:rFonts w:ascii="SimHei" w:eastAsia="SimHei" w:hint="eastAsia"/>
          <w:color w:val="FF0000"/>
        </w:rPr>
        <w:t xml:space="preserve">家庭关系 </w:t>
      </w:r>
    </w:p>
    <w:p w:rsidR="006E29A7" w:rsidRDefault="006E29A7" w:rsidP="006E29A7">
      <w:pPr>
        <w:pStyle w:val="SingleTxt"/>
        <w:spacing w:after="180" w:line="330" w:lineRule="exact"/>
        <w:rPr>
          <w:rFonts w:hint="eastAsia"/>
        </w:rPr>
      </w:pPr>
      <w:r>
        <w:rPr>
          <w:rFonts w:hint="eastAsia"/>
        </w:rPr>
        <w:t>37.</w:t>
      </w:r>
      <w:r>
        <w:rPr>
          <w:rFonts w:hint="eastAsia"/>
        </w:rPr>
        <w:tab/>
        <w:t xml:space="preserve">委员会注意到，1994年第10号法令第8条a款规定，监护人不得违反妇女意愿强迫其结婚，但委员会关切的是，男性监护妇女的观念似乎得到普遍接受，并限制了妇女行使《公约》规定的权利，特别是在关系到法律和事实上的个人地位问题时。 </w:t>
      </w:r>
    </w:p>
    <w:p w:rsidR="006E29A7" w:rsidRPr="0009195A" w:rsidRDefault="006E29A7" w:rsidP="006E29A7">
      <w:pPr>
        <w:pStyle w:val="SingleTxt"/>
        <w:spacing w:after="180" w:line="330" w:lineRule="exact"/>
        <w:rPr>
          <w:rFonts w:ascii="SimHei" w:eastAsia="SimHei" w:hint="eastAsia"/>
          <w:color w:val="FF0000"/>
        </w:rPr>
      </w:pPr>
      <w:r>
        <w:rPr>
          <w:rFonts w:ascii="SimHei" w:eastAsia="SimHei" w:hint="eastAsia"/>
          <w:color w:val="FF0000"/>
        </w:rPr>
        <w:t>38</w:t>
      </w:r>
      <w:r w:rsidRPr="0009195A">
        <w:rPr>
          <w:rFonts w:ascii="SimHei" w:eastAsia="SimHei" w:hint="eastAsia"/>
          <w:color w:val="FF0000"/>
        </w:rPr>
        <w:t>.</w:t>
      </w:r>
      <w:r w:rsidRPr="0009195A">
        <w:rPr>
          <w:rFonts w:ascii="SimHei" w:eastAsia="SimHei" w:hint="eastAsia"/>
          <w:color w:val="FF0000"/>
        </w:rPr>
        <w:tab/>
        <w:t xml:space="preserve">委员会呼吁缔约国采取步骤，包括设计和实施提高认识的宣传运动，以消除男性在法律上和事实上监护权妇女的做法。委员会鼓励缔约国就男性监护权观念以及这种观念如何影响到《公约》在阿拉伯利比亚民众国的落实开展社会对话，以期消除这种做法。 </w:t>
      </w:r>
    </w:p>
    <w:p w:rsidR="006E29A7" w:rsidRDefault="006E29A7" w:rsidP="006E29A7">
      <w:pPr>
        <w:pStyle w:val="SingleTxt"/>
        <w:spacing w:after="180" w:line="330" w:lineRule="exact"/>
        <w:rPr>
          <w:rFonts w:hint="eastAsia"/>
        </w:rPr>
      </w:pPr>
      <w:r w:rsidRPr="0066670B">
        <w:rPr>
          <w:rFonts w:ascii="SimHei" w:eastAsia="SimHei" w:hint="eastAsia"/>
          <w:color w:val="FF0000"/>
        </w:rPr>
        <w:t>国家人权机构</w:t>
      </w:r>
      <w:r>
        <w:rPr>
          <w:rFonts w:hint="eastAsia"/>
        </w:rPr>
        <w:t xml:space="preserve"> </w:t>
      </w:r>
    </w:p>
    <w:p w:rsidR="006E29A7" w:rsidRDefault="006E29A7" w:rsidP="006E29A7">
      <w:pPr>
        <w:pStyle w:val="SingleTxt"/>
        <w:spacing w:after="180" w:line="330" w:lineRule="exact"/>
        <w:rPr>
          <w:rFonts w:hint="eastAsia"/>
        </w:rPr>
      </w:pPr>
      <w:r>
        <w:rPr>
          <w:rFonts w:hint="eastAsia"/>
        </w:rPr>
        <w:t>39.</w:t>
      </w:r>
      <w:r>
        <w:rPr>
          <w:rFonts w:hint="eastAsia"/>
        </w:rPr>
        <w:tab/>
        <w:t>委员会感到遗憾的是，尚未采取步骤根据有关促进和保护人权的国家机构地位的原则</w:t>
      </w:r>
      <w:r w:rsidR="00A05BC5">
        <w:rPr>
          <w:rFonts w:hint="eastAsia"/>
        </w:rPr>
        <w:t>(</w:t>
      </w:r>
      <w:r>
        <w:rPr>
          <w:rFonts w:hint="eastAsia"/>
        </w:rPr>
        <w:t>见大会第48/134号决议，附件</w:t>
      </w:r>
      <w:r w:rsidR="00A05BC5">
        <w:rPr>
          <w:rFonts w:hint="eastAsia"/>
        </w:rPr>
        <w:t>)</w:t>
      </w:r>
      <w:r>
        <w:rPr>
          <w:rFonts w:hint="eastAsia"/>
        </w:rPr>
        <w:t xml:space="preserve">在保护和促进妇女人权的领域中建立一个独立的、职权宽泛的国家人权机构。 </w:t>
      </w:r>
    </w:p>
    <w:p w:rsidR="006E29A7" w:rsidRDefault="006E29A7" w:rsidP="006E29A7">
      <w:pPr>
        <w:pStyle w:val="SingleTxt"/>
        <w:spacing w:after="180" w:line="330" w:lineRule="exact"/>
        <w:rPr>
          <w:rFonts w:hint="eastAsia"/>
        </w:rPr>
      </w:pPr>
      <w:r>
        <w:rPr>
          <w:rFonts w:ascii="SimHei" w:eastAsia="SimHei" w:hint="eastAsia"/>
          <w:color w:val="FF0000"/>
        </w:rPr>
        <w:t>40</w:t>
      </w:r>
      <w:r w:rsidRPr="0009195A">
        <w:rPr>
          <w:rFonts w:ascii="SimHei" w:eastAsia="SimHei" w:hint="eastAsia"/>
          <w:color w:val="FF0000"/>
        </w:rPr>
        <w:t>.</w:t>
      </w:r>
      <w:r w:rsidRPr="0009195A">
        <w:rPr>
          <w:rFonts w:ascii="SimHei" w:eastAsia="SimHei" w:hint="eastAsia"/>
          <w:color w:val="FF0000"/>
        </w:rPr>
        <w:tab/>
        <w:t>委员会建议缔约国按照这些原则在明确的时间框架内建立一个独立的国家人权机构，其职能将包括处理与男女平等有关的问题。</w:t>
      </w:r>
      <w:r>
        <w:rPr>
          <w:rFonts w:hint="eastAsia"/>
        </w:rPr>
        <w:t xml:space="preserve"> </w:t>
      </w:r>
    </w:p>
    <w:p w:rsidR="006E29A7" w:rsidRDefault="006E29A7" w:rsidP="006E29A7">
      <w:pPr>
        <w:pStyle w:val="SingleTxt"/>
        <w:spacing w:after="180" w:line="330" w:lineRule="exact"/>
        <w:rPr>
          <w:rFonts w:hint="eastAsia"/>
        </w:rPr>
      </w:pPr>
      <w:r w:rsidRPr="0066670B">
        <w:rPr>
          <w:rFonts w:ascii="SimHei" w:eastAsia="SimHei" w:hint="eastAsia"/>
          <w:color w:val="FF0000"/>
        </w:rPr>
        <w:t>非政府组织</w:t>
      </w:r>
      <w:r>
        <w:rPr>
          <w:rFonts w:hint="eastAsia"/>
        </w:rPr>
        <w:t xml:space="preserve"> </w:t>
      </w:r>
    </w:p>
    <w:p w:rsidR="006E29A7" w:rsidRDefault="006E29A7" w:rsidP="006E29A7">
      <w:pPr>
        <w:pStyle w:val="SingleTxt"/>
        <w:spacing w:after="180" w:line="330" w:lineRule="exact"/>
        <w:rPr>
          <w:rFonts w:hint="eastAsia"/>
        </w:rPr>
      </w:pPr>
      <w:r>
        <w:rPr>
          <w:rFonts w:hint="eastAsia"/>
        </w:rPr>
        <w:t>41.</w:t>
      </w:r>
      <w:r>
        <w:rPr>
          <w:rFonts w:hint="eastAsia"/>
        </w:rPr>
        <w:tab/>
        <w:t xml:space="preserve">委员会关切的是缔约国主管部门在执行《公约》过程中与民间社会、特别是与妇女非政府组织合作的水平。委员会特别关切的是，妇女非政府组织在历次报告编写过程中参与不足，明显的例证就是利比亚非政府组织未向委员会提交备选报告，也未参与历次报告的审议。 </w:t>
      </w:r>
    </w:p>
    <w:p w:rsidR="006E29A7" w:rsidRDefault="006E29A7" w:rsidP="006E29A7">
      <w:pPr>
        <w:pStyle w:val="SingleTxt"/>
        <w:spacing w:after="180" w:line="330" w:lineRule="exact"/>
        <w:rPr>
          <w:rFonts w:hint="eastAsia"/>
        </w:rPr>
      </w:pPr>
      <w:r>
        <w:rPr>
          <w:rFonts w:ascii="SimHei" w:eastAsia="SimHei" w:hint="eastAsia"/>
          <w:color w:val="FF0000"/>
        </w:rPr>
        <w:t>42</w:t>
      </w:r>
      <w:r w:rsidRPr="0009195A">
        <w:rPr>
          <w:rFonts w:ascii="SimHei" w:eastAsia="SimHei" w:hint="eastAsia"/>
          <w:color w:val="FF0000"/>
        </w:rPr>
        <w:t>.</w:t>
      </w:r>
      <w:r w:rsidRPr="0009195A">
        <w:rPr>
          <w:rFonts w:ascii="SimHei" w:eastAsia="SimHei" w:hint="eastAsia"/>
          <w:color w:val="FF0000"/>
        </w:rPr>
        <w:tab/>
        <w:t>委员会敦促缔约国在执行《公约》的过程中与民间社会、特别是与妇女非政府组织更有效地和有系统地合作。委员会还建议缔约国在编写下一次定期报告的各个阶段都与非政府组织开展协商。</w:t>
      </w:r>
      <w:r>
        <w:rPr>
          <w:rFonts w:hint="eastAsia"/>
        </w:rPr>
        <w:t xml:space="preserve"> </w:t>
      </w:r>
    </w:p>
    <w:p w:rsidR="006E29A7" w:rsidRDefault="006E29A7" w:rsidP="006E29A7">
      <w:pPr>
        <w:pStyle w:val="SingleTxt"/>
        <w:spacing w:after="180" w:line="330" w:lineRule="exact"/>
        <w:rPr>
          <w:rFonts w:hint="eastAsia"/>
        </w:rPr>
      </w:pPr>
      <w:r w:rsidRPr="0066670B">
        <w:rPr>
          <w:rFonts w:ascii="SimHei" w:eastAsia="SimHei" w:hint="eastAsia"/>
          <w:color w:val="FF0000"/>
        </w:rPr>
        <w:t>数据收集和分析</w:t>
      </w:r>
      <w:r>
        <w:rPr>
          <w:rFonts w:hint="eastAsia"/>
        </w:rPr>
        <w:t xml:space="preserve"> </w:t>
      </w:r>
    </w:p>
    <w:p w:rsidR="006E29A7" w:rsidRDefault="006E29A7" w:rsidP="006E29A7">
      <w:pPr>
        <w:pStyle w:val="SingleTxt"/>
        <w:spacing w:after="180" w:line="330" w:lineRule="exact"/>
        <w:rPr>
          <w:rFonts w:hint="eastAsia"/>
        </w:rPr>
      </w:pPr>
      <w:r>
        <w:rPr>
          <w:rFonts w:hint="eastAsia"/>
        </w:rPr>
        <w:t>43.</w:t>
      </w:r>
      <w:r>
        <w:rPr>
          <w:rFonts w:hint="eastAsia"/>
        </w:rPr>
        <w:tab/>
        <w:t xml:space="preserve">委员会感到遗憾的是，报告没有就《公约》涵盖的所有领域提供足够的、按性别分列的统计数据，也没有提供资料说明为实现男女平等而采取的措施所产生的影响和取得的成果，委员会因而难以评估缔约国执行《公约》的进展情况。 </w:t>
      </w:r>
    </w:p>
    <w:p w:rsidR="006E29A7" w:rsidRDefault="006E29A7" w:rsidP="006E29A7">
      <w:pPr>
        <w:pStyle w:val="SingleTxt"/>
        <w:spacing w:after="180" w:line="330" w:lineRule="exact"/>
        <w:rPr>
          <w:rFonts w:hint="eastAsia"/>
        </w:rPr>
      </w:pPr>
      <w:r>
        <w:rPr>
          <w:rFonts w:ascii="SimHei" w:eastAsia="SimHei" w:hint="eastAsia"/>
          <w:color w:val="FF0000"/>
        </w:rPr>
        <w:t>44</w:t>
      </w:r>
      <w:r w:rsidRPr="0009195A">
        <w:rPr>
          <w:rFonts w:ascii="SimHei" w:eastAsia="SimHei" w:hint="eastAsia"/>
          <w:color w:val="FF0000"/>
        </w:rPr>
        <w:t>.</w:t>
      </w:r>
      <w:r w:rsidRPr="0009195A">
        <w:rPr>
          <w:rFonts w:ascii="SimHei" w:eastAsia="SimHei" w:hint="eastAsia"/>
          <w:color w:val="FF0000"/>
        </w:rPr>
        <w:tab/>
        <w:t>委员会呼吁缔约国建立一个全面的数据收集系统，包括可衡量的指标，以评估妇女状况的趋势和随着时间推移实现妇女事实上平等所取得的进展。委员会请缔约国在必要时寻求区域和国际援助，以开展这种数据收集和分析工作。委员会请缔约国在下一次报告中列入按性别和按城乡分列的统计数据和分析结果，显示所采取措施的影响和取得的成果，以便更全面地说明妇女在《公约》所涵盖各个领域中的状况，特别是在教育、卫生和就业方面的情况。委员会请缔约国特别注意收集关于最脆弱妇女群体、包括农村和移民妇女的数据。</w:t>
      </w:r>
      <w:r>
        <w:rPr>
          <w:rFonts w:hint="eastAsia"/>
        </w:rPr>
        <w:t xml:space="preserve"> </w:t>
      </w:r>
    </w:p>
    <w:p w:rsidR="006E29A7" w:rsidRDefault="006E29A7" w:rsidP="006E29A7">
      <w:pPr>
        <w:pStyle w:val="SingleTxt"/>
        <w:spacing w:after="180" w:line="330" w:lineRule="exact"/>
      </w:pPr>
      <w:r w:rsidRPr="0066670B">
        <w:rPr>
          <w:rFonts w:ascii="SimHei" w:eastAsia="SimHei" w:hint="eastAsia"/>
          <w:color w:val="FF0000"/>
        </w:rPr>
        <w:t>《北京宣言和行动纲要》</w:t>
      </w:r>
    </w:p>
    <w:p w:rsidR="006E29A7" w:rsidRDefault="006E29A7" w:rsidP="006E29A7">
      <w:pPr>
        <w:pStyle w:val="SingleTxt"/>
        <w:spacing w:after="180" w:line="330" w:lineRule="exact"/>
        <w:rPr>
          <w:rFonts w:hint="eastAsia"/>
        </w:rPr>
      </w:pPr>
      <w:r>
        <w:rPr>
          <w:rFonts w:ascii="SimHei" w:eastAsia="SimHei" w:hint="eastAsia"/>
          <w:color w:val="FF0000"/>
        </w:rPr>
        <w:t>45</w:t>
      </w:r>
      <w:r w:rsidRPr="0009195A">
        <w:rPr>
          <w:rFonts w:ascii="SimHei" w:eastAsia="SimHei" w:hint="eastAsia"/>
          <w:color w:val="FF0000"/>
        </w:rPr>
        <w:t>.</w:t>
      </w:r>
      <w:r w:rsidRPr="0009195A">
        <w:rPr>
          <w:rFonts w:ascii="SimHei" w:eastAsia="SimHei" w:hint="eastAsia"/>
          <w:color w:val="FF0000"/>
        </w:rPr>
        <w:tab/>
        <w:t>委员会促请缔约国在履行《公约》义务时，充分利用加强《公约》各项规定的《北京宣言和行动纲要》，并请缔约国在下一次定期报告中提供有关资料。</w:t>
      </w:r>
    </w:p>
    <w:p w:rsidR="006E29A7" w:rsidRDefault="006E29A7" w:rsidP="006E29A7">
      <w:pPr>
        <w:pStyle w:val="SingleTxt"/>
        <w:spacing w:after="180" w:line="330" w:lineRule="exact"/>
      </w:pPr>
      <w:r w:rsidRPr="0066670B">
        <w:rPr>
          <w:rFonts w:ascii="SimHei" w:eastAsia="SimHei" w:hint="eastAsia"/>
          <w:color w:val="FF0000"/>
        </w:rPr>
        <w:t>千年发展目标</w:t>
      </w:r>
    </w:p>
    <w:p w:rsidR="006E29A7" w:rsidRDefault="006E29A7" w:rsidP="006E29A7">
      <w:pPr>
        <w:pStyle w:val="SingleTxt"/>
        <w:spacing w:after="180" w:line="330" w:lineRule="exact"/>
        <w:rPr>
          <w:rFonts w:hint="eastAsia"/>
        </w:rPr>
      </w:pPr>
      <w:r>
        <w:rPr>
          <w:rFonts w:ascii="SimHei" w:eastAsia="SimHei" w:hint="eastAsia"/>
          <w:color w:val="FF0000"/>
        </w:rPr>
        <w:t>46</w:t>
      </w:r>
      <w:r w:rsidRPr="0009195A">
        <w:rPr>
          <w:rFonts w:ascii="SimHei" w:eastAsia="SimHei" w:hint="eastAsia"/>
          <w:color w:val="FF0000"/>
        </w:rPr>
        <w:t>.</w:t>
      </w:r>
      <w:r w:rsidRPr="0009195A">
        <w:rPr>
          <w:rFonts w:ascii="SimHei" w:eastAsia="SimHei" w:hint="eastAsia"/>
          <w:color w:val="FF0000"/>
        </w:rPr>
        <w:tab/>
        <w:t>委员会强调，充分和有效地执行《公约》对实现千年发展目标不可或缺。委员会要求在实现千年发展目标的一切工作中纳入性别观点，明确体现《公约》各项规定，并请缔约国在下一次定期报告中提供有关资料。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rPr>
        <w:t xml:space="preserve"> </w:t>
      </w:r>
    </w:p>
    <w:p w:rsidR="006E29A7" w:rsidRPr="0066670B" w:rsidRDefault="006E29A7" w:rsidP="006E29A7">
      <w:pPr>
        <w:pStyle w:val="SingleTxt"/>
        <w:spacing w:after="180" w:line="330" w:lineRule="exact"/>
        <w:rPr>
          <w:rFonts w:ascii="SimHei" w:eastAsia="SimHei"/>
          <w:color w:val="FF0000"/>
        </w:rPr>
      </w:pPr>
      <w:r w:rsidRPr="0066670B">
        <w:rPr>
          <w:rFonts w:ascii="SimHei" w:eastAsia="SimHei" w:hint="eastAsia"/>
          <w:color w:val="FF0000"/>
        </w:rPr>
        <w:t>其他条约的批准</w:t>
      </w:r>
    </w:p>
    <w:p w:rsidR="006E29A7" w:rsidRDefault="006E29A7" w:rsidP="006E29A7">
      <w:pPr>
        <w:pStyle w:val="SingleTxt"/>
        <w:spacing w:after="180" w:line="330" w:lineRule="exact"/>
      </w:pPr>
      <w:r>
        <w:rPr>
          <w:rFonts w:ascii="SimHei" w:eastAsia="SimHei" w:hint="eastAsia"/>
          <w:color w:val="FF0000"/>
        </w:rPr>
        <w:t>47</w:t>
      </w:r>
      <w:r w:rsidRPr="0009195A">
        <w:rPr>
          <w:rFonts w:ascii="SimHei" w:eastAsia="SimHei" w:hint="eastAsia"/>
          <w:color w:val="FF0000"/>
        </w:rPr>
        <w:t>.</w:t>
      </w:r>
      <w:r w:rsidRPr="0009195A">
        <w:rPr>
          <w:rFonts w:ascii="SimHei" w:eastAsia="SimHei" w:hint="eastAsia"/>
          <w:color w:val="FF0000"/>
        </w:rPr>
        <w:tab/>
      </w:r>
      <w:r>
        <w:rPr>
          <w:rFonts w:ascii="SimHei" w:eastAsia="SimHei" w:hint="eastAsia"/>
          <w:color w:val="FF0000"/>
        </w:rPr>
        <w:t>委员会指出，各国</w:t>
      </w:r>
      <w:r w:rsidRPr="0009195A">
        <w:rPr>
          <w:rFonts w:ascii="SimHei" w:eastAsia="SimHei" w:hint="eastAsia"/>
          <w:color w:val="FF0000"/>
        </w:rPr>
        <w:t>加入九项主要国际人权文书</w:t>
      </w:r>
      <w:r w:rsidRPr="004922D3">
        <w:rPr>
          <w:rStyle w:val="FootnoteReference"/>
          <w:rFonts w:ascii="SimHei" w:eastAsia="SimHei"/>
        </w:rPr>
        <w:footnoteReference w:id="1"/>
      </w:r>
      <w:r w:rsidRPr="0009195A">
        <w:rPr>
          <w:rFonts w:ascii="SimHei" w:eastAsia="SimHei" w:hint="eastAsia"/>
          <w:color w:val="FF0000"/>
        </w:rPr>
        <w:t xml:space="preserve"> 有助于促进妇女在生活的各个方面享受人权和基本自由。因此，委员会鼓励阿拉伯利比亚民众国政府考虑批准它尚未成为缔约国的条约，即《保护所有人免遭强迫失踪国际公约》和《残疾人权利公约》。</w:t>
      </w:r>
    </w:p>
    <w:p w:rsidR="006E29A7" w:rsidRPr="0066670B" w:rsidRDefault="006E29A7" w:rsidP="006E29A7">
      <w:pPr>
        <w:pStyle w:val="SingleTxt"/>
        <w:spacing w:after="180" w:line="330" w:lineRule="exact"/>
        <w:rPr>
          <w:rFonts w:ascii="SimHei" w:eastAsia="SimHei"/>
          <w:color w:val="FF0000"/>
        </w:rPr>
      </w:pPr>
      <w:r>
        <w:rPr>
          <w:rFonts w:ascii="SimHei" w:eastAsia="SimHei"/>
          <w:color w:val="FF0000"/>
        </w:rPr>
        <w:br w:type="page"/>
      </w:r>
      <w:r w:rsidRPr="0066670B">
        <w:rPr>
          <w:rFonts w:ascii="SimHei" w:eastAsia="SimHei" w:hint="eastAsia"/>
          <w:color w:val="FF0000"/>
        </w:rPr>
        <w:t>结论意见的传播</w:t>
      </w:r>
    </w:p>
    <w:p w:rsidR="006E29A7" w:rsidRPr="0009195A" w:rsidRDefault="006E29A7" w:rsidP="006E29A7">
      <w:pPr>
        <w:pStyle w:val="SingleTxt"/>
        <w:spacing w:after="180" w:line="330" w:lineRule="exact"/>
        <w:rPr>
          <w:rFonts w:ascii="SimHei" w:eastAsia="SimHei" w:hint="eastAsia"/>
          <w:color w:val="FF0000"/>
        </w:rPr>
      </w:pPr>
      <w:r>
        <w:rPr>
          <w:rFonts w:ascii="SimHei" w:eastAsia="SimHei" w:hint="eastAsia"/>
          <w:color w:val="FF0000"/>
        </w:rPr>
        <w:t>48</w:t>
      </w:r>
      <w:r w:rsidRPr="0009195A">
        <w:rPr>
          <w:rFonts w:ascii="SimHei" w:eastAsia="SimHei" w:hint="eastAsia"/>
          <w:color w:val="FF0000"/>
        </w:rPr>
        <w:t>.</w:t>
      </w:r>
      <w:r w:rsidRPr="0009195A">
        <w:rPr>
          <w:rFonts w:ascii="SimHei" w:eastAsia="SimHei" w:hint="eastAsia"/>
          <w:color w:val="FF0000"/>
        </w:rPr>
        <w:tab/>
        <w:t>委员会请阿拉伯利比亚民众国在国内广为传播本结论意见，使人民，包括政府官员、政界人士、总人民大会成员以及妇女组织和人权组织，了解为确保妇女在法律上和事实上的平等而采取的步骤以及在这方面应进一步采取的步骤。委员会请缔约国继续加强宣传《公约》及其任择议定书、委员会各项一般性建议、《北京宣言和行动纲要》以及题为“2000年妇女：二十一世纪两性平等、发展与和平”的大会第二十三届特别会议成果，特别是向妇女组织和人权组织开展宣传。</w:t>
      </w:r>
    </w:p>
    <w:p w:rsidR="006E29A7" w:rsidRPr="0066670B" w:rsidRDefault="006E29A7" w:rsidP="006E29A7">
      <w:pPr>
        <w:pStyle w:val="SingleTxt"/>
        <w:spacing w:after="180" w:line="330" w:lineRule="exact"/>
        <w:rPr>
          <w:rFonts w:ascii="SimHei" w:eastAsia="SimHei" w:hint="eastAsia"/>
          <w:color w:val="FF0000"/>
        </w:rPr>
      </w:pPr>
      <w:r w:rsidRPr="0066670B">
        <w:rPr>
          <w:rFonts w:ascii="SimHei" w:eastAsia="SimHei" w:hint="eastAsia"/>
          <w:color w:val="FF0000"/>
        </w:rPr>
        <w:t>第20条第</w:t>
      </w:r>
      <w:r>
        <w:rPr>
          <w:rFonts w:ascii="SimHei" w:eastAsia="SimHei" w:hint="eastAsia"/>
          <w:color w:val="FF0000"/>
        </w:rPr>
        <w:t>1</w:t>
      </w:r>
      <w:r w:rsidRPr="0066670B">
        <w:rPr>
          <w:rFonts w:ascii="SimHei" w:eastAsia="SimHei" w:hint="eastAsia"/>
          <w:color w:val="FF0000"/>
        </w:rPr>
        <w:t>款</w:t>
      </w:r>
    </w:p>
    <w:p w:rsidR="006E29A7" w:rsidRDefault="006E29A7" w:rsidP="006E29A7">
      <w:pPr>
        <w:pStyle w:val="SingleTxt"/>
        <w:spacing w:after="180" w:line="330" w:lineRule="exact"/>
      </w:pPr>
      <w:r>
        <w:rPr>
          <w:rFonts w:ascii="SimHei" w:eastAsia="SimHei" w:hint="eastAsia"/>
          <w:color w:val="FF0000"/>
        </w:rPr>
        <w:t>49</w:t>
      </w:r>
      <w:r w:rsidRPr="0009195A">
        <w:rPr>
          <w:rFonts w:ascii="SimHei" w:eastAsia="SimHei" w:hint="eastAsia"/>
          <w:color w:val="FF0000"/>
        </w:rPr>
        <w:t>.</w:t>
      </w:r>
      <w:r w:rsidRPr="0009195A">
        <w:rPr>
          <w:rFonts w:ascii="SimHei" w:eastAsia="SimHei" w:hint="eastAsia"/>
          <w:color w:val="FF0000"/>
        </w:rPr>
        <w:tab/>
        <w:t>委员会鼓励缔约国尽快接受对关于委员会会议时间的《公约》第20条第1款的修正。</w:t>
      </w:r>
    </w:p>
    <w:p w:rsidR="006E29A7" w:rsidRPr="0066670B" w:rsidRDefault="006E29A7" w:rsidP="006E29A7">
      <w:pPr>
        <w:pStyle w:val="SingleTxt"/>
        <w:spacing w:after="180" w:line="330" w:lineRule="exact"/>
        <w:rPr>
          <w:rFonts w:ascii="SimHei" w:eastAsia="SimHei"/>
          <w:color w:val="FF0000"/>
        </w:rPr>
      </w:pPr>
      <w:r w:rsidRPr="0066670B">
        <w:rPr>
          <w:rFonts w:ascii="SimHei" w:eastAsia="SimHei" w:hint="eastAsia"/>
          <w:color w:val="FF0000"/>
        </w:rPr>
        <w:t>结论意见的后续行动</w:t>
      </w:r>
    </w:p>
    <w:p w:rsidR="006E29A7" w:rsidRDefault="006E29A7" w:rsidP="006E29A7">
      <w:pPr>
        <w:pStyle w:val="SingleTxt"/>
        <w:spacing w:after="180" w:line="330" w:lineRule="exact"/>
        <w:rPr>
          <w:rFonts w:hint="eastAsia"/>
        </w:rPr>
      </w:pPr>
      <w:r>
        <w:rPr>
          <w:rFonts w:ascii="SimHei" w:eastAsia="SimHei" w:hint="eastAsia"/>
          <w:color w:val="FF0000"/>
        </w:rPr>
        <w:t>50</w:t>
      </w:r>
      <w:r w:rsidRPr="0009195A">
        <w:rPr>
          <w:rFonts w:ascii="SimHei" w:eastAsia="SimHei" w:hint="eastAsia"/>
          <w:color w:val="FF0000"/>
        </w:rPr>
        <w:t>.</w:t>
      </w:r>
      <w:r w:rsidRPr="0009195A">
        <w:rPr>
          <w:rFonts w:ascii="SimHei" w:eastAsia="SimHei" w:hint="eastAsia"/>
          <w:color w:val="FF0000"/>
        </w:rPr>
        <w:tab/>
        <w:t>委员会请缔约国在两年内提供书面资料，说明为执行上文第20和第3</w:t>
      </w:r>
      <w:r w:rsidR="00A05BC5">
        <w:rPr>
          <w:rFonts w:ascii="SimHei" w:eastAsia="SimHei"/>
          <w:color w:val="FF0000"/>
        </w:rPr>
        <w:t>8</w:t>
      </w:r>
      <w:r w:rsidRPr="0009195A">
        <w:rPr>
          <w:rFonts w:ascii="SimHei" w:eastAsia="SimHei" w:hint="eastAsia"/>
          <w:color w:val="FF0000"/>
        </w:rPr>
        <w:t>段所载各项建议而采取的步骤。委员会还请缔约国考虑在必要和适当时为执行上述建议寻求技术合作和援助，包括咨询服务。</w:t>
      </w:r>
    </w:p>
    <w:p w:rsidR="006E29A7" w:rsidRPr="0066670B" w:rsidRDefault="006E29A7" w:rsidP="006E29A7">
      <w:pPr>
        <w:pStyle w:val="SingleTxt"/>
        <w:spacing w:after="180" w:line="330" w:lineRule="exact"/>
        <w:rPr>
          <w:rFonts w:ascii="SimHei" w:eastAsia="SimHei"/>
          <w:color w:val="FF0000"/>
        </w:rPr>
      </w:pPr>
      <w:r w:rsidRPr="0066670B">
        <w:rPr>
          <w:rFonts w:ascii="SimHei" w:eastAsia="SimHei" w:hint="eastAsia"/>
          <w:color w:val="FF0000"/>
        </w:rPr>
        <w:t>下一次报告的日期</w:t>
      </w:r>
    </w:p>
    <w:p w:rsidR="006E29A7" w:rsidRPr="0009195A" w:rsidRDefault="006E29A7" w:rsidP="006E29A7">
      <w:pPr>
        <w:pStyle w:val="SingleTxt"/>
        <w:spacing w:after="180" w:line="330" w:lineRule="exact"/>
        <w:rPr>
          <w:rFonts w:ascii="SimHei" w:eastAsia="SimHei" w:hint="eastAsia"/>
          <w:color w:val="FF0000"/>
        </w:rPr>
      </w:pPr>
      <w:r>
        <w:rPr>
          <w:rFonts w:ascii="SimHei" w:eastAsia="SimHei" w:hint="eastAsia"/>
          <w:color w:val="FF0000"/>
        </w:rPr>
        <w:t>51</w:t>
      </w:r>
      <w:r w:rsidRPr="0009195A">
        <w:rPr>
          <w:rFonts w:ascii="SimHei" w:eastAsia="SimHei" w:hint="eastAsia"/>
          <w:color w:val="FF0000"/>
        </w:rPr>
        <w:t>.</w:t>
      </w:r>
      <w:r w:rsidRPr="0009195A">
        <w:rPr>
          <w:rFonts w:ascii="SimHei" w:eastAsia="SimHei" w:hint="eastAsia"/>
          <w:color w:val="FF0000"/>
        </w:rPr>
        <w:tab/>
        <w:t>委员会请缔约国在根据《公约》第18条提交的下一次定期报告中答复本结论意见所提出的各项关切。委员会请缔约国于2014年提交第六次和第七次合并定期报告。</w:t>
      </w:r>
    </w:p>
    <w:p w:rsidR="006E29A7" w:rsidRPr="00CB224D" w:rsidRDefault="006E29A7" w:rsidP="006E29A7">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867A6A" w:rsidRDefault="00EA31C3" w:rsidP="00867A6A">
      <w:pPr>
        <w:pStyle w:val="SingleTxt"/>
        <w:rPr>
          <w:rFonts w:hint="eastAsia"/>
        </w:rPr>
      </w:pPr>
    </w:p>
    <w:sectPr w:rsidR="00EA31C3" w:rsidRPr="00867A6A" w:rsidSect="00867A6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0T13:43:00Z" w:initials="Start">
    <w:p w:rsidR="001B1638" w:rsidRDefault="001B163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NO&gt;&gt;N0922783C&lt;&lt;ODS JOB NO&gt;&gt;</w:t>
      </w:r>
    </w:p>
    <w:p w:rsidR="001B1638" w:rsidRDefault="001B1638">
      <w:pPr>
        <w:pStyle w:val="CommentText"/>
      </w:pPr>
      <w:r>
        <w:t>&lt;&lt;ODS DOC SYMBOL1&gt;&gt;CEDAW/C/LBY/CO/5&lt;&lt;ODS DOC SYMBOL1&gt;&gt;</w:t>
      </w:r>
    </w:p>
    <w:p w:rsidR="001B1638" w:rsidRDefault="001B16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C73" w:rsidRDefault="00B82C73">
      <w:r>
        <w:separator/>
      </w:r>
    </w:p>
  </w:endnote>
  <w:endnote w:type="continuationSeparator" w:id="0">
    <w:p w:rsidR="00B82C73" w:rsidRDefault="00B82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1638" w:rsidTr="00867A6A">
      <w:tblPrEx>
        <w:tblCellMar>
          <w:top w:w="0" w:type="dxa"/>
          <w:bottom w:w="0" w:type="dxa"/>
        </w:tblCellMar>
      </w:tblPrEx>
      <w:tc>
        <w:tcPr>
          <w:tcW w:w="5033" w:type="dxa"/>
          <w:shd w:val="clear" w:color="auto" w:fill="auto"/>
        </w:tcPr>
        <w:p w:rsidR="001B1638" w:rsidRPr="00867A6A" w:rsidRDefault="001B1638" w:rsidP="00867A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09-22783 (C)</w:t>
          </w:r>
          <w:r>
            <w:rPr>
              <w:b w:val="0"/>
              <w:w w:val="103"/>
              <w:sz w:val="14"/>
            </w:rPr>
            <w:fldChar w:fldCharType="end"/>
          </w:r>
        </w:p>
      </w:tc>
      <w:tc>
        <w:tcPr>
          <w:tcW w:w="5033" w:type="dxa"/>
          <w:shd w:val="clear" w:color="auto" w:fill="auto"/>
        </w:tcPr>
        <w:p w:rsidR="001B1638" w:rsidRPr="00867A6A" w:rsidRDefault="001B1638" w:rsidP="00867A6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C2057">
            <w:rPr>
              <w:w w:val="103"/>
              <w:sz w:val="17"/>
            </w:rPr>
            <w:t>8</w:t>
          </w:r>
          <w:r>
            <w:rPr>
              <w:w w:val="103"/>
              <w:sz w:val="17"/>
            </w:rPr>
            <w:fldChar w:fldCharType="end"/>
          </w:r>
        </w:p>
      </w:tc>
    </w:tr>
  </w:tbl>
  <w:p w:rsidR="001B1638" w:rsidRPr="00867A6A" w:rsidRDefault="001B1638" w:rsidP="00867A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1638" w:rsidTr="00867A6A">
      <w:tblPrEx>
        <w:tblCellMar>
          <w:top w:w="0" w:type="dxa"/>
          <w:bottom w:w="0" w:type="dxa"/>
        </w:tblCellMar>
      </w:tblPrEx>
      <w:tc>
        <w:tcPr>
          <w:tcW w:w="5033" w:type="dxa"/>
          <w:shd w:val="clear" w:color="auto" w:fill="auto"/>
        </w:tcPr>
        <w:p w:rsidR="001B1638" w:rsidRPr="00867A6A" w:rsidRDefault="001B1638" w:rsidP="00867A6A">
          <w:pPr>
            <w:pStyle w:val="Footer"/>
            <w:jc w:val="right"/>
          </w:pPr>
          <w:r>
            <w:fldChar w:fldCharType="begin"/>
          </w:r>
          <w:r>
            <w:instrText xml:space="preserve"> PAGE  \* MERGEFORMAT </w:instrText>
          </w:r>
          <w:r>
            <w:fldChar w:fldCharType="separate"/>
          </w:r>
          <w:r w:rsidR="00CC2057">
            <w:t>9</w:t>
          </w:r>
          <w:r>
            <w:fldChar w:fldCharType="end"/>
          </w:r>
        </w:p>
      </w:tc>
      <w:tc>
        <w:tcPr>
          <w:tcW w:w="5033" w:type="dxa"/>
          <w:shd w:val="clear" w:color="auto" w:fill="auto"/>
        </w:tcPr>
        <w:p w:rsidR="001B1638" w:rsidRPr="00867A6A" w:rsidRDefault="001B1638" w:rsidP="00867A6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09-22783 (C)</w:t>
          </w:r>
          <w:r>
            <w:rPr>
              <w:b w:val="0"/>
              <w:w w:val="103"/>
              <w:sz w:val="14"/>
            </w:rPr>
            <w:fldChar w:fldCharType="end"/>
          </w:r>
        </w:p>
      </w:tc>
    </w:tr>
  </w:tbl>
  <w:p w:rsidR="001B1638" w:rsidRPr="00867A6A" w:rsidRDefault="001B1638" w:rsidP="00867A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638" w:rsidRDefault="001B1638" w:rsidP="00867A6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09-22783 (C)</w:t>
    </w:r>
    <w:r>
      <w:rPr>
        <w:b w:val="0"/>
        <w:sz w:val="21"/>
      </w:rPr>
      <w:fldChar w:fldCharType="end"/>
    </w:r>
    <w:r>
      <w:rPr>
        <w:b w:val="0"/>
        <w:sz w:val="21"/>
      </w:rPr>
      <w:t xml:space="preserve">    200209    </w:t>
    </w:r>
    <w:r>
      <w:rPr>
        <w:rFonts w:hint="eastAsia"/>
        <w:b w:val="0"/>
        <w:sz w:val="21"/>
      </w:rPr>
      <w:t>0303</w:t>
    </w:r>
    <w:r>
      <w:rPr>
        <w:b w:val="0"/>
        <w:sz w:val="21"/>
      </w:rPr>
      <w:t>09</w:t>
    </w:r>
  </w:p>
  <w:p w:rsidR="001B1638" w:rsidRPr="00867A6A" w:rsidRDefault="001B1638" w:rsidP="00867A6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*0922783*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C73" w:rsidRPr="004922D3" w:rsidRDefault="00B82C73" w:rsidP="004922D3">
      <w:pPr>
        <w:pStyle w:val="Footer"/>
        <w:spacing w:after="80"/>
        <w:ind w:left="792"/>
        <w:rPr>
          <w:sz w:val="16"/>
        </w:rPr>
      </w:pPr>
      <w:r w:rsidRPr="004922D3">
        <w:rPr>
          <w:sz w:val="16"/>
        </w:rPr>
        <w:t>__________________</w:t>
      </w:r>
    </w:p>
  </w:footnote>
  <w:footnote w:type="continuationSeparator" w:id="0">
    <w:p w:rsidR="00B82C73" w:rsidRPr="004922D3" w:rsidRDefault="00B82C73" w:rsidP="004922D3">
      <w:pPr>
        <w:pStyle w:val="Footer"/>
        <w:spacing w:after="80"/>
        <w:ind w:left="792"/>
        <w:rPr>
          <w:sz w:val="16"/>
        </w:rPr>
      </w:pPr>
      <w:r w:rsidRPr="004922D3">
        <w:rPr>
          <w:sz w:val="16"/>
        </w:rPr>
        <w:t>__________________</w:t>
      </w:r>
    </w:p>
  </w:footnote>
  <w:footnote w:id="1">
    <w:p w:rsidR="001B1638" w:rsidRDefault="001B1638" w:rsidP="004922D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1638" w:rsidTr="00867A6A">
      <w:tblPrEx>
        <w:tblCellMar>
          <w:top w:w="0" w:type="dxa"/>
          <w:bottom w:w="0" w:type="dxa"/>
        </w:tblCellMar>
      </w:tblPrEx>
      <w:trPr>
        <w:trHeight w:hRule="exact" w:val="864"/>
      </w:trPr>
      <w:tc>
        <w:tcPr>
          <w:tcW w:w="4838" w:type="dxa"/>
          <w:shd w:val="clear" w:color="auto" w:fill="auto"/>
          <w:vAlign w:val="bottom"/>
        </w:tcPr>
        <w:p w:rsidR="001B1638" w:rsidRPr="00867A6A" w:rsidRDefault="001B1638" w:rsidP="00867A6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CEDAW/C/LBY/CO/5</w:t>
          </w:r>
          <w:r>
            <w:rPr>
              <w:b/>
              <w:sz w:val="17"/>
            </w:rPr>
            <w:fldChar w:fldCharType="end"/>
          </w:r>
        </w:p>
      </w:tc>
      <w:tc>
        <w:tcPr>
          <w:tcW w:w="5033" w:type="dxa"/>
          <w:shd w:val="clear" w:color="auto" w:fill="auto"/>
          <w:vAlign w:val="bottom"/>
        </w:tcPr>
        <w:p w:rsidR="001B1638" w:rsidRDefault="001B1638" w:rsidP="00867A6A">
          <w:pPr>
            <w:pStyle w:val="Header"/>
          </w:pPr>
        </w:p>
      </w:tc>
    </w:tr>
  </w:tbl>
  <w:p w:rsidR="001B1638" w:rsidRPr="00867A6A" w:rsidRDefault="001B1638" w:rsidP="00867A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1638" w:rsidTr="00867A6A">
      <w:tblPrEx>
        <w:tblCellMar>
          <w:top w:w="0" w:type="dxa"/>
          <w:bottom w:w="0" w:type="dxa"/>
        </w:tblCellMar>
      </w:tblPrEx>
      <w:trPr>
        <w:trHeight w:hRule="exact" w:val="864"/>
      </w:trPr>
      <w:tc>
        <w:tcPr>
          <w:tcW w:w="4838" w:type="dxa"/>
          <w:shd w:val="clear" w:color="auto" w:fill="auto"/>
          <w:vAlign w:val="bottom"/>
        </w:tcPr>
        <w:p w:rsidR="001B1638" w:rsidRDefault="001B1638" w:rsidP="00867A6A">
          <w:pPr>
            <w:pStyle w:val="Header"/>
          </w:pPr>
        </w:p>
      </w:tc>
      <w:tc>
        <w:tcPr>
          <w:tcW w:w="5033" w:type="dxa"/>
          <w:shd w:val="clear" w:color="auto" w:fill="auto"/>
          <w:vAlign w:val="bottom"/>
        </w:tcPr>
        <w:p w:rsidR="001B1638" w:rsidRPr="00867A6A" w:rsidRDefault="001B1638" w:rsidP="00867A6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CEDAW/C/LBY/CO/5</w:t>
          </w:r>
          <w:r>
            <w:rPr>
              <w:b/>
              <w:sz w:val="17"/>
            </w:rPr>
            <w:fldChar w:fldCharType="end"/>
          </w:r>
        </w:p>
      </w:tc>
    </w:tr>
  </w:tbl>
  <w:p w:rsidR="001B1638" w:rsidRPr="00867A6A" w:rsidRDefault="001B1638" w:rsidP="00867A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B1638" w:rsidTr="00867A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1638" w:rsidRDefault="001B1638" w:rsidP="00867A6A">
          <w:pPr>
            <w:pStyle w:val="Header"/>
            <w:spacing w:after="120"/>
          </w:pPr>
        </w:p>
      </w:tc>
      <w:tc>
        <w:tcPr>
          <w:tcW w:w="1872" w:type="dxa"/>
          <w:tcBorders>
            <w:bottom w:val="single" w:sz="4" w:space="0" w:color="auto"/>
          </w:tcBorders>
          <w:shd w:val="clear" w:color="auto" w:fill="auto"/>
          <w:vAlign w:val="bottom"/>
        </w:tcPr>
        <w:p w:rsidR="001B1638" w:rsidRPr="00867A6A" w:rsidRDefault="001B1638" w:rsidP="00867A6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B1638" w:rsidRDefault="001B1638" w:rsidP="00867A6A">
          <w:pPr>
            <w:pStyle w:val="Header"/>
            <w:spacing w:after="120"/>
          </w:pPr>
        </w:p>
      </w:tc>
      <w:tc>
        <w:tcPr>
          <w:tcW w:w="6523" w:type="dxa"/>
          <w:gridSpan w:val="3"/>
          <w:tcBorders>
            <w:bottom w:val="single" w:sz="4" w:space="0" w:color="auto"/>
          </w:tcBorders>
          <w:shd w:val="clear" w:color="auto" w:fill="auto"/>
          <w:vAlign w:val="bottom"/>
        </w:tcPr>
        <w:p w:rsidR="001B1638" w:rsidRPr="00A05BC5" w:rsidRDefault="001B1638" w:rsidP="00A05BC5">
          <w:pPr>
            <w:spacing w:after="80" w:line="240" w:lineRule="auto"/>
            <w:jc w:val="right"/>
            <w:rPr>
              <w:rFonts w:ascii="Times New Roman"/>
              <w:position w:val="-4"/>
            </w:rPr>
          </w:pPr>
          <w:r>
            <w:rPr>
              <w:rFonts w:ascii="Times New Roman"/>
              <w:position w:val="-4"/>
              <w:sz w:val="40"/>
            </w:rPr>
            <w:t>CEDAW</w:t>
          </w:r>
          <w:r>
            <w:rPr>
              <w:rFonts w:ascii="Times New Roman"/>
              <w:position w:val="-4"/>
            </w:rPr>
            <w:t>/C/LBY/CO/5</w:t>
          </w:r>
        </w:p>
      </w:tc>
    </w:tr>
    <w:tr w:rsidR="001B1638" w:rsidRPr="00867A6A" w:rsidTr="00867A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1638" w:rsidRDefault="001B1638" w:rsidP="00867A6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B1638" w:rsidRPr="00867A6A" w:rsidRDefault="001B1638" w:rsidP="00867A6A">
          <w:pPr>
            <w:pStyle w:val="Header"/>
            <w:spacing w:before="109"/>
            <w:ind w:left="-72"/>
          </w:pPr>
        </w:p>
      </w:tc>
      <w:tc>
        <w:tcPr>
          <w:tcW w:w="5227" w:type="dxa"/>
          <w:gridSpan w:val="3"/>
          <w:tcBorders>
            <w:top w:val="single" w:sz="4" w:space="0" w:color="auto"/>
            <w:bottom w:val="single" w:sz="12" w:space="0" w:color="auto"/>
          </w:tcBorders>
          <w:shd w:val="clear" w:color="auto" w:fill="auto"/>
        </w:tcPr>
        <w:p w:rsidR="001B1638" w:rsidRPr="00867A6A" w:rsidRDefault="001B1638" w:rsidP="00867A6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B1638" w:rsidRPr="00867A6A" w:rsidRDefault="001B1638" w:rsidP="00867A6A">
          <w:pPr>
            <w:pStyle w:val="Header"/>
            <w:spacing w:before="109"/>
          </w:pPr>
        </w:p>
      </w:tc>
      <w:tc>
        <w:tcPr>
          <w:tcW w:w="3180" w:type="dxa"/>
          <w:gridSpan w:val="2"/>
          <w:tcBorders>
            <w:top w:val="single" w:sz="4" w:space="0" w:color="auto"/>
            <w:bottom w:val="single" w:sz="12" w:space="0" w:color="auto"/>
          </w:tcBorders>
          <w:shd w:val="clear" w:color="auto" w:fill="auto"/>
        </w:tcPr>
        <w:p w:rsidR="001B1638" w:rsidRDefault="001B1638" w:rsidP="00867A6A">
          <w:pPr>
            <w:spacing w:before="240" w:line="240" w:lineRule="exact"/>
            <w:rPr>
              <w:rFonts w:ascii="Times New Roman"/>
            </w:rPr>
          </w:pPr>
          <w:r>
            <w:rPr>
              <w:rFonts w:ascii="Times New Roman"/>
            </w:rPr>
            <w:t>Distr.: General</w:t>
          </w:r>
        </w:p>
        <w:p w:rsidR="001B1638" w:rsidRDefault="001B1638" w:rsidP="00867A6A">
          <w:pPr>
            <w:spacing w:line="240" w:lineRule="exact"/>
            <w:rPr>
              <w:rFonts w:ascii="Times New Roman"/>
            </w:rPr>
          </w:pPr>
          <w:r>
            <w:rPr>
              <w:rFonts w:ascii="Times New Roman"/>
            </w:rPr>
            <w:t>6 February 2009</w:t>
          </w:r>
        </w:p>
        <w:p w:rsidR="001B1638" w:rsidRDefault="001B1638" w:rsidP="00867A6A">
          <w:pPr>
            <w:spacing w:line="240" w:lineRule="exact"/>
            <w:rPr>
              <w:rFonts w:ascii="Times New Roman"/>
            </w:rPr>
          </w:pPr>
          <w:r>
            <w:rPr>
              <w:rFonts w:ascii="Times New Roman"/>
            </w:rPr>
            <w:t>Chinese</w:t>
          </w:r>
        </w:p>
        <w:p w:rsidR="001B1638" w:rsidRPr="00867A6A" w:rsidRDefault="001B1638" w:rsidP="00867A6A">
          <w:pPr>
            <w:spacing w:line="240" w:lineRule="exact"/>
            <w:rPr>
              <w:rFonts w:ascii="Times New Roman"/>
            </w:rPr>
          </w:pPr>
          <w:r>
            <w:rPr>
              <w:rFonts w:ascii="Times New Roman"/>
            </w:rPr>
            <w:t>Original: English</w:t>
          </w:r>
        </w:p>
      </w:tc>
    </w:tr>
  </w:tbl>
  <w:p w:rsidR="001B1638" w:rsidRPr="00867A6A" w:rsidRDefault="001B1638" w:rsidP="00867A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783*"/>
    <w:docVar w:name="CreationDt" w:val="20/02/2009 10:04:44"/>
    <w:docVar w:name="DocCategory" w:val="Doc"/>
    <w:docVar w:name="DocType" w:val="Final"/>
    <w:docVar w:name="FooterJN" w:val="09-22783 (C)"/>
    <w:docVar w:name="jobn" w:val="09-22783 (C)"/>
    <w:docVar w:name="jobnDT" w:val="09-22783 (C)   200209"/>
    <w:docVar w:name="jobnDTDT" w:val="09-22783 (C)   200209   200209"/>
    <w:docVar w:name="JobNo" w:val="0922783C"/>
    <w:docVar w:name="OandT" w:val="LIU"/>
    <w:docVar w:name="sss1" w:val="CEDAW/C/LBY/CO/5"/>
    <w:docVar w:name="sss2" w:val="-"/>
    <w:docVar w:name="Symbol1" w:val="CEDAW/C/LBY/CO/5"/>
    <w:docVar w:name="Symbol2" w:val="-"/>
  </w:docVars>
  <w:rsids>
    <w:rsidRoot w:val="00964BF3"/>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1638"/>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D01AD"/>
    <w:rsid w:val="003E4565"/>
    <w:rsid w:val="003E748F"/>
    <w:rsid w:val="003E7612"/>
    <w:rsid w:val="003F4F12"/>
    <w:rsid w:val="00414423"/>
    <w:rsid w:val="004411AD"/>
    <w:rsid w:val="004424EF"/>
    <w:rsid w:val="00453BB0"/>
    <w:rsid w:val="00460162"/>
    <w:rsid w:val="004620A8"/>
    <w:rsid w:val="00466BB5"/>
    <w:rsid w:val="004700CF"/>
    <w:rsid w:val="00487444"/>
    <w:rsid w:val="004922D3"/>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3AD"/>
    <w:rsid w:val="0065377D"/>
    <w:rsid w:val="00666F57"/>
    <w:rsid w:val="006740A7"/>
    <w:rsid w:val="00691524"/>
    <w:rsid w:val="006A654B"/>
    <w:rsid w:val="006E2924"/>
    <w:rsid w:val="006E29A7"/>
    <w:rsid w:val="006E7A26"/>
    <w:rsid w:val="006F2B3D"/>
    <w:rsid w:val="007052CC"/>
    <w:rsid w:val="007319E0"/>
    <w:rsid w:val="00737B00"/>
    <w:rsid w:val="0075155C"/>
    <w:rsid w:val="00753381"/>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67A6A"/>
    <w:rsid w:val="00883DB0"/>
    <w:rsid w:val="00884C8F"/>
    <w:rsid w:val="00896D38"/>
    <w:rsid w:val="008C3296"/>
    <w:rsid w:val="008E2D03"/>
    <w:rsid w:val="008F2BB5"/>
    <w:rsid w:val="008F425D"/>
    <w:rsid w:val="008F5472"/>
    <w:rsid w:val="008F5D0F"/>
    <w:rsid w:val="009122E0"/>
    <w:rsid w:val="00913351"/>
    <w:rsid w:val="0096193C"/>
    <w:rsid w:val="00964BF3"/>
    <w:rsid w:val="009769E1"/>
    <w:rsid w:val="00977E0D"/>
    <w:rsid w:val="00986C04"/>
    <w:rsid w:val="009A2F76"/>
    <w:rsid w:val="009D2AC2"/>
    <w:rsid w:val="009E1774"/>
    <w:rsid w:val="009E2668"/>
    <w:rsid w:val="009E40A3"/>
    <w:rsid w:val="009E5C8C"/>
    <w:rsid w:val="009F10B1"/>
    <w:rsid w:val="009F47E3"/>
    <w:rsid w:val="009F6938"/>
    <w:rsid w:val="00A0537D"/>
    <w:rsid w:val="00A05BC5"/>
    <w:rsid w:val="00A069AD"/>
    <w:rsid w:val="00A17A85"/>
    <w:rsid w:val="00A20856"/>
    <w:rsid w:val="00A24399"/>
    <w:rsid w:val="00A24CA5"/>
    <w:rsid w:val="00A33D6D"/>
    <w:rsid w:val="00A3576E"/>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82C73"/>
    <w:rsid w:val="00BA255A"/>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B6E1B"/>
    <w:rsid w:val="00CC2057"/>
    <w:rsid w:val="00CC3E8B"/>
    <w:rsid w:val="00CC4E84"/>
    <w:rsid w:val="00CD5641"/>
    <w:rsid w:val="00CE64AC"/>
    <w:rsid w:val="00CF7718"/>
    <w:rsid w:val="00D177F1"/>
    <w:rsid w:val="00D179F5"/>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F5DD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130</TotalTime>
  <Pages>1</Pages>
  <Words>1167</Words>
  <Characters>6656</Characters>
  <Application>Microsoft Office Word</Application>
  <DocSecurity>4</DocSecurity>
  <Lines>55</Lines>
  <Paragraphs>15</Paragraphs>
  <ScaleCrop>false</ScaleCrop>
  <Company>United Nations</Company>
  <LinksUpToDate>false</LinksUpToDate>
  <CharactersWithSpaces>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22</cp:revision>
  <cp:lastPrinted>2009-02-20T12:52:00Z</cp:lastPrinted>
  <dcterms:created xsi:type="dcterms:W3CDTF">2009-02-20T08:25:00Z</dcterms:created>
  <dcterms:modified xsi:type="dcterms:W3CDTF">2009-02-20T12:53:00Z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0922783</vt:lpwstr>
  </property>
  <property fmtid="{D5CDD505-2E9C-101B-9397-08002B2CF9AE}" pid="3" name="Symbol2">
    <vt:lpwstr/>
  </property>
  <property fmtid="{D5CDD505-2E9C-101B-9397-08002B2CF9AE}" pid="4" name="Translator">
    <vt:lpwstr/>
  </property>
  <property fmtid="{D5CDD505-2E9C-101B-9397-08002B2CF9AE}" pid="5" name="Symbol1">
    <vt:lpwstr>CEDAW/C/LBY/CO/5</vt:lpwstr>
  </property>
  <property fmtid="{D5CDD505-2E9C-101B-9397-08002B2CF9AE}" pid="6" name="sss1">
    <vt:lpwstr>CEDAW/C/LBY/CO/5</vt:lpwstr>
  </property>
  <property fmtid="{D5CDD505-2E9C-101B-9397-08002B2CF9AE}" pid="7" name="Comment">
    <vt:lpwstr/>
  </property>
  <property fmtid="{D5CDD505-2E9C-101B-9397-08002B2CF9AE}" pid="8" name="DraftPages">
    <vt:lpwstr> 9</vt:lpwstr>
  </property>
  <property fmtid="{D5CDD505-2E9C-101B-9397-08002B2CF9AE}" pid="9" name="Operator">
    <vt:lpwstr>LIU</vt:lpwstr>
  </property>
</Properties>
</file>