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B089E28" w14:textId="77777777" w:rsidTr="009D5F1A">
        <w:trPr>
          <w:trHeight w:hRule="exact" w:val="851"/>
        </w:trPr>
        <w:tc>
          <w:tcPr>
            <w:tcW w:w="1276" w:type="dxa"/>
            <w:tcBorders>
              <w:bottom w:val="single" w:sz="4" w:space="0" w:color="auto"/>
            </w:tcBorders>
          </w:tcPr>
          <w:p w14:paraId="7A49DE74" w14:textId="77777777" w:rsidR="00DC0149" w:rsidRPr="00DB58B5" w:rsidRDefault="00DC0149" w:rsidP="00E01431"/>
        </w:tc>
        <w:tc>
          <w:tcPr>
            <w:tcW w:w="2268" w:type="dxa"/>
            <w:tcBorders>
              <w:bottom w:val="single" w:sz="4" w:space="0" w:color="auto"/>
            </w:tcBorders>
            <w:vAlign w:val="bottom"/>
          </w:tcPr>
          <w:p w14:paraId="7EE7FFF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52F834" w14:textId="1F41B4D3" w:rsidR="00DC0149" w:rsidRPr="00DB58B5" w:rsidRDefault="00E01431" w:rsidP="00E01431">
            <w:pPr>
              <w:jc w:val="right"/>
            </w:pPr>
            <w:r w:rsidRPr="00E01431">
              <w:rPr>
                <w:sz w:val="40"/>
              </w:rPr>
              <w:t>CERD</w:t>
            </w:r>
            <w:r>
              <w:t>/C/KAZ/Q/8-10</w:t>
            </w:r>
          </w:p>
        </w:tc>
      </w:tr>
      <w:tr w:rsidR="00DC0149" w:rsidRPr="00DB58B5" w14:paraId="5F7B3598" w14:textId="77777777" w:rsidTr="009D5F1A">
        <w:trPr>
          <w:trHeight w:hRule="exact" w:val="2835"/>
        </w:trPr>
        <w:tc>
          <w:tcPr>
            <w:tcW w:w="1276" w:type="dxa"/>
            <w:tcBorders>
              <w:top w:val="single" w:sz="4" w:space="0" w:color="auto"/>
              <w:bottom w:val="single" w:sz="12" w:space="0" w:color="auto"/>
            </w:tcBorders>
          </w:tcPr>
          <w:p w14:paraId="14A85860" w14:textId="77777777" w:rsidR="00DC0149" w:rsidRPr="00DB58B5" w:rsidRDefault="00DC0149" w:rsidP="009D5F1A">
            <w:pPr>
              <w:spacing w:before="120"/>
              <w:jc w:val="center"/>
            </w:pPr>
            <w:r>
              <w:rPr>
                <w:noProof/>
                <w:lang w:eastAsia="fr-CH"/>
              </w:rPr>
              <w:drawing>
                <wp:inline distT="0" distB="0" distL="0" distR="0" wp14:anchorId="64364AEE" wp14:editId="11E580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53077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6ED2695" w14:textId="77777777" w:rsidR="00DC0149" w:rsidRDefault="00E01431" w:rsidP="009D5F1A">
            <w:pPr>
              <w:spacing w:before="240"/>
            </w:pPr>
            <w:r>
              <w:t>Distr. générale</w:t>
            </w:r>
          </w:p>
          <w:p w14:paraId="2A479586" w14:textId="77777777" w:rsidR="00E01431" w:rsidRDefault="00E01431" w:rsidP="00E01431">
            <w:pPr>
              <w:spacing w:line="240" w:lineRule="exact"/>
            </w:pPr>
            <w:r>
              <w:t>16 février 2022</w:t>
            </w:r>
          </w:p>
          <w:p w14:paraId="00D80702" w14:textId="77777777" w:rsidR="00E01431" w:rsidRDefault="00E01431" w:rsidP="00E01431">
            <w:pPr>
              <w:spacing w:line="240" w:lineRule="exact"/>
            </w:pPr>
            <w:r>
              <w:t>Français</w:t>
            </w:r>
          </w:p>
          <w:p w14:paraId="752714A5" w14:textId="77777777" w:rsidR="00E01431" w:rsidRDefault="00E01431" w:rsidP="00E01431">
            <w:pPr>
              <w:spacing w:line="240" w:lineRule="exact"/>
            </w:pPr>
            <w:r>
              <w:t>Original : anglais</w:t>
            </w:r>
          </w:p>
          <w:p w14:paraId="2151F044" w14:textId="6E794EB6" w:rsidR="00E01431" w:rsidRPr="00DB58B5" w:rsidRDefault="00E01431" w:rsidP="00E01431">
            <w:pPr>
              <w:spacing w:line="240" w:lineRule="exact"/>
            </w:pPr>
            <w:r>
              <w:t>Anglais, espagnol, français et russe seulement</w:t>
            </w:r>
          </w:p>
        </w:tc>
      </w:tr>
    </w:tbl>
    <w:p w14:paraId="14C400B5" w14:textId="77777777" w:rsidR="00623CA8" w:rsidRDefault="00623CA8" w:rsidP="00623CA8">
      <w:pPr>
        <w:spacing w:before="120"/>
        <w:rPr>
          <w:b/>
          <w:sz w:val="24"/>
          <w:szCs w:val="24"/>
        </w:rPr>
      </w:pPr>
      <w:r w:rsidRPr="00C56102">
        <w:rPr>
          <w:b/>
          <w:sz w:val="24"/>
          <w:szCs w:val="24"/>
        </w:rPr>
        <w:t>Comité pour l’élimination de la discrimination raciale</w:t>
      </w:r>
    </w:p>
    <w:p w14:paraId="1137B65D" w14:textId="77777777" w:rsidR="00E01431" w:rsidRPr="004C19A3" w:rsidRDefault="00E01431" w:rsidP="00E01431">
      <w:pPr>
        <w:rPr>
          <w:b/>
          <w:lang w:val="fr-FR"/>
        </w:rPr>
      </w:pPr>
      <w:r>
        <w:rPr>
          <w:b/>
          <w:bCs/>
          <w:lang w:val="fr-FR"/>
        </w:rPr>
        <w:t>106</w:t>
      </w:r>
      <w:r>
        <w:rPr>
          <w:b/>
          <w:bCs/>
          <w:vertAlign w:val="superscript"/>
          <w:lang w:val="fr-FR"/>
        </w:rPr>
        <w:t>e</w:t>
      </w:r>
      <w:r>
        <w:rPr>
          <w:b/>
          <w:bCs/>
          <w:lang w:val="fr-FR"/>
        </w:rPr>
        <w:t xml:space="preserve"> session</w:t>
      </w:r>
    </w:p>
    <w:p w14:paraId="215BCBC1" w14:textId="77777777" w:rsidR="00E01431" w:rsidRPr="004C19A3" w:rsidRDefault="00E01431" w:rsidP="00E01431">
      <w:pPr>
        <w:rPr>
          <w:lang w:val="fr-FR"/>
        </w:rPr>
      </w:pPr>
      <w:r>
        <w:rPr>
          <w:lang w:val="fr-FR"/>
        </w:rPr>
        <w:t>11-29 avril 2022</w:t>
      </w:r>
    </w:p>
    <w:p w14:paraId="59A466E8" w14:textId="77777777" w:rsidR="00E01431" w:rsidRPr="004C19A3" w:rsidRDefault="00E01431" w:rsidP="00E01431">
      <w:pPr>
        <w:rPr>
          <w:lang w:val="fr-FR"/>
        </w:rPr>
      </w:pPr>
      <w:r>
        <w:rPr>
          <w:lang w:val="fr-FR"/>
        </w:rPr>
        <w:t>Point 6 de l’ordre du jour provisoire</w:t>
      </w:r>
    </w:p>
    <w:p w14:paraId="130CAA2D" w14:textId="2B739358" w:rsidR="00E01431" w:rsidRPr="004C19A3" w:rsidRDefault="00E01431" w:rsidP="00E01431">
      <w:pPr>
        <w:rPr>
          <w:b/>
          <w:bCs/>
          <w:lang w:val="fr-FR"/>
        </w:rPr>
      </w:pPr>
      <w:r>
        <w:rPr>
          <w:b/>
          <w:bCs/>
          <w:lang w:val="fr-FR"/>
        </w:rPr>
        <w:t xml:space="preserve">Examen des rapports, observations et renseignements soumis </w:t>
      </w:r>
      <w:r>
        <w:rPr>
          <w:b/>
          <w:bCs/>
          <w:lang w:val="fr-FR"/>
        </w:rPr>
        <w:br/>
      </w:r>
      <w:r>
        <w:rPr>
          <w:b/>
          <w:bCs/>
          <w:lang w:val="fr-FR"/>
        </w:rPr>
        <w:t>par les États parties en application de l’article 9 de la Convention</w:t>
      </w:r>
    </w:p>
    <w:p w14:paraId="67E9364B" w14:textId="77777777" w:rsidR="00E01431" w:rsidRPr="004C19A3" w:rsidRDefault="00E01431" w:rsidP="00E01431">
      <w:pPr>
        <w:pStyle w:val="HChG"/>
        <w:rPr>
          <w:lang w:val="fr-FR"/>
        </w:rPr>
      </w:pPr>
      <w:r>
        <w:rPr>
          <w:lang w:val="fr-FR"/>
        </w:rPr>
        <w:tab/>
      </w:r>
      <w:r>
        <w:rPr>
          <w:lang w:val="fr-FR"/>
        </w:rPr>
        <w:tab/>
        <w:t>Liste de thèmes concernant le rapport du Kazakhstan valant huitième à dixième rapports périodiques</w:t>
      </w:r>
    </w:p>
    <w:p w14:paraId="78D4D30E" w14:textId="77777777" w:rsidR="00E01431" w:rsidRDefault="00E01431" w:rsidP="00E01431">
      <w:pPr>
        <w:pStyle w:val="H1G"/>
      </w:pPr>
      <w:r>
        <w:rPr>
          <w:lang w:val="fr-FR"/>
        </w:rPr>
        <w:tab/>
      </w:r>
      <w:r>
        <w:rPr>
          <w:lang w:val="fr-FR"/>
        </w:rPr>
        <w:tab/>
        <w:t>Note du rapporteur de pays</w:t>
      </w:r>
    </w:p>
    <w:p w14:paraId="17B1AAF0" w14:textId="7ED74897" w:rsidR="00E01431" w:rsidRPr="00016909" w:rsidRDefault="00E01431" w:rsidP="00E01431">
      <w:pPr>
        <w:pStyle w:val="SingleTxtG"/>
      </w:pPr>
      <w:r>
        <w:rPr>
          <w:lang w:val="fr-FR"/>
        </w:rPr>
        <w:t>1.</w:t>
      </w:r>
      <w:r>
        <w:rPr>
          <w:lang w:val="fr-FR"/>
        </w:rPr>
        <w:tab/>
      </w:r>
      <w:r>
        <w:rPr>
          <w:lang w:val="fr-FR"/>
        </w:rPr>
        <w:t>À sa soixante-seizième session</w:t>
      </w:r>
      <w:r w:rsidRPr="00676213">
        <w:rPr>
          <w:rStyle w:val="Appelnotedebasdep"/>
        </w:rPr>
        <w:footnoteReference w:id="2"/>
      </w:r>
      <w:r>
        <w:rPr>
          <w:lang w:val="fr-FR"/>
        </w:rPr>
        <w:t>,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15F76D91" w14:textId="4D51D5BD" w:rsidR="00E01431" w:rsidRPr="004C19A3" w:rsidRDefault="00E01431" w:rsidP="00E01431">
      <w:pPr>
        <w:pStyle w:val="H23G"/>
        <w:rPr>
          <w:lang w:val="fr-FR"/>
        </w:rPr>
      </w:pPr>
      <w:r>
        <w:rPr>
          <w:lang w:val="fr-FR"/>
        </w:rPr>
        <w:tab/>
      </w:r>
      <w:r>
        <w:rPr>
          <w:lang w:val="fr-FR"/>
        </w:rPr>
        <w:tab/>
        <w:t xml:space="preserve">La Convention dans le droit interne et le cadre institutionnel </w:t>
      </w:r>
      <w:r>
        <w:rPr>
          <w:lang w:val="fr-FR"/>
        </w:rPr>
        <w:br/>
      </w:r>
      <w:r>
        <w:rPr>
          <w:lang w:val="fr-FR"/>
        </w:rPr>
        <w:t>et stratégique régissant sa mise en œuvre (art. 1</w:t>
      </w:r>
      <w:r>
        <w:rPr>
          <w:vertAlign w:val="superscript"/>
          <w:lang w:val="fr-FR"/>
        </w:rPr>
        <w:t>er</w:t>
      </w:r>
      <w:r>
        <w:rPr>
          <w:lang w:val="fr-FR"/>
        </w:rPr>
        <w:t>, 2 et 6)</w:t>
      </w:r>
    </w:p>
    <w:p w14:paraId="503305E1" w14:textId="48770CC7" w:rsidR="00E01431" w:rsidRPr="004C19A3" w:rsidRDefault="00E01431" w:rsidP="00E01431">
      <w:pPr>
        <w:pStyle w:val="SingleTxtG"/>
        <w:rPr>
          <w:lang w:val="fr-FR"/>
        </w:rPr>
      </w:pPr>
      <w:r>
        <w:rPr>
          <w:lang w:val="fr-FR"/>
        </w:rPr>
        <w:t>2.</w:t>
      </w:r>
      <w:r>
        <w:rPr>
          <w:lang w:val="fr-FR"/>
        </w:rPr>
        <w:tab/>
      </w:r>
      <w:r>
        <w:rPr>
          <w:lang w:val="fr-FR"/>
        </w:rPr>
        <w:t>Informations sur les mesures prises pour recueillir et publier des données statistiques fiables sur la situation sociale et économique des membres de groupes ethniques minoritaires, des migrants et des réfugiés ; statistiques sur la composition ethnique de la population carcérale</w:t>
      </w:r>
      <w:r w:rsidRPr="00676213">
        <w:rPr>
          <w:rStyle w:val="Appelnotedebasdep"/>
        </w:rPr>
        <w:footnoteReference w:id="3"/>
      </w:r>
      <w:r>
        <w:rPr>
          <w:lang w:val="fr-FR"/>
        </w:rPr>
        <w:t>.</w:t>
      </w:r>
    </w:p>
    <w:p w14:paraId="5075570A" w14:textId="786C348F" w:rsidR="00E01431" w:rsidRPr="004C19A3" w:rsidRDefault="00E01431" w:rsidP="00E01431">
      <w:pPr>
        <w:pStyle w:val="SingleTxtG"/>
        <w:rPr>
          <w:lang w:val="fr-FR"/>
        </w:rPr>
      </w:pPr>
      <w:r>
        <w:rPr>
          <w:lang w:val="fr-FR"/>
        </w:rPr>
        <w:t>3.</w:t>
      </w:r>
      <w:r>
        <w:rPr>
          <w:lang w:val="fr-FR"/>
        </w:rPr>
        <w:tab/>
      </w:r>
      <w:r>
        <w:rPr>
          <w:lang w:val="fr-FR"/>
        </w:rPr>
        <w:t>Informations sur les efforts faits en vue de l’adoption d’une vaste loi antidiscrimination, qui comprenne une définition de la discrimination directe et indirecte ; mesures prises pour informer le public, en particulier les minorités, mais aussi les avocats, les magistrats et les autres agents chargés de l’application des lois, de l’interdiction de la discrimination raciale et des recours dont disposent les victimes</w:t>
      </w:r>
      <w:r w:rsidRPr="00676213">
        <w:rPr>
          <w:rStyle w:val="Appelnotedebasdep"/>
        </w:rPr>
        <w:footnoteReference w:id="4"/>
      </w:r>
      <w:r>
        <w:rPr>
          <w:lang w:val="fr-FR"/>
        </w:rPr>
        <w:t xml:space="preserve">. </w:t>
      </w:r>
    </w:p>
    <w:p w14:paraId="4098ED5B" w14:textId="5F6FE23E" w:rsidR="00E01431" w:rsidRPr="004C19A3" w:rsidRDefault="00E01431" w:rsidP="00E01431">
      <w:pPr>
        <w:pStyle w:val="SingleTxtG"/>
        <w:rPr>
          <w:lang w:val="fr-FR"/>
        </w:rPr>
      </w:pPr>
      <w:r>
        <w:rPr>
          <w:lang w:val="fr-FR"/>
        </w:rPr>
        <w:t>4.</w:t>
      </w:r>
      <w:r>
        <w:rPr>
          <w:lang w:val="fr-FR"/>
        </w:rPr>
        <w:tab/>
      </w:r>
      <w:r>
        <w:rPr>
          <w:lang w:val="fr-FR"/>
        </w:rPr>
        <w:t>Informations actualisées sur les mesures prises pour modifier la législation de manière à prévoir la possibilité d’adopter des mesures spéciales, conformément à l’article 1</w:t>
      </w:r>
      <w:r w:rsidRPr="00E32080">
        <w:rPr>
          <w:vertAlign w:val="superscript"/>
          <w:lang w:val="fr-FR"/>
        </w:rPr>
        <w:t>er</w:t>
      </w:r>
      <w:r>
        <w:rPr>
          <w:lang w:val="fr-FR"/>
        </w:rPr>
        <w:t xml:space="preserve"> (par. 4) et à l’article 2 (par. 2) de la Convention</w:t>
      </w:r>
      <w:r w:rsidRPr="00676213">
        <w:rPr>
          <w:rStyle w:val="Appelnotedebasdep"/>
        </w:rPr>
        <w:footnoteReference w:id="5"/>
      </w:r>
      <w:r>
        <w:rPr>
          <w:lang w:val="fr-FR"/>
        </w:rPr>
        <w:t>.</w:t>
      </w:r>
    </w:p>
    <w:p w14:paraId="45D683EA" w14:textId="1873213E" w:rsidR="00E01431" w:rsidRPr="004C19A3" w:rsidRDefault="00E01431" w:rsidP="00E01431">
      <w:pPr>
        <w:pStyle w:val="SingleTxtG"/>
        <w:rPr>
          <w:lang w:val="fr-FR"/>
        </w:rPr>
      </w:pPr>
      <w:r>
        <w:rPr>
          <w:lang w:val="fr-FR"/>
        </w:rPr>
        <w:t>5.</w:t>
      </w:r>
      <w:r>
        <w:rPr>
          <w:lang w:val="fr-FR"/>
        </w:rPr>
        <w:tab/>
      </w:r>
      <w:r>
        <w:rPr>
          <w:lang w:val="fr-FR"/>
        </w:rPr>
        <w:t xml:space="preserve">Informations actualisées sur les mesures prises pour renforcer le mandat du Commissaire aux droits de l’homme de sorte que celui-ci puisse agir efficacement en faveur de la promotion des droits de l’homme et de la lutte contre la discrimination raciale, pour accroître les ressources financières et humaines allouées au Commissaire, pour faire en sorte qu’il ait la confiance du public et jouisse d’une indépendance totale, et pour mettre </w:t>
      </w:r>
      <w:r>
        <w:rPr>
          <w:lang w:val="fr-FR"/>
        </w:rPr>
        <w:lastRenderedPageBreak/>
        <w:t>régulièrement à la disposition du public des rapports sur son action contre la discrimination raciale</w:t>
      </w:r>
      <w:r w:rsidRPr="00676213">
        <w:rPr>
          <w:rStyle w:val="Appelnotedebasdep"/>
        </w:rPr>
        <w:footnoteReference w:id="6"/>
      </w:r>
      <w:r>
        <w:rPr>
          <w:lang w:val="fr-FR"/>
        </w:rPr>
        <w:t>.</w:t>
      </w:r>
    </w:p>
    <w:p w14:paraId="518F8944" w14:textId="7749488D" w:rsidR="00E01431" w:rsidRPr="004C19A3" w:rsidRDefault="00E01431" w:rsidP="00E01431">
      <w:pPr>
        <w:pStyle w:val="SingleTxtG"/>
        <w:rPr>
          <w:rFonts w:eastAsia="Times New Roman"/>
          <w:lang w:val="fr-FR"/>
        </w:rPr>
      </w:pPr>
      <w:r>
        <w:rPr>
          <w:lang w:val="fr-FR"/>
        </w:rPr>
        <w:t>6.</w:t>
      </w:r>
      <w:r>
        <w:rPr>
          <w:lang w:val="fr-FR"/>
        </w:rPr>
        <w:tab/>
      </w:r>
      <w:r>
        <w:rPr>
          <w:lang w:val="fr-FR"/>
        </w:rPr>
        <w:t>Informations sur les mesures prises pour que tout acte de discrimination raciale fasse l’objet d’une enquête effective et que les victimes disposent de recours ; informations actualisées sur l’application de la Convention au niveau national ; analyse des raisons pour lesquelles le Commissaire aux droits de l’homme n’a établi l’existence d’actes de discrimination que dans un faible nombre de cas</w:t>
      </w:r>
      <w:r w:rsidRPr="00676213">
        <w:rPr>
          <w:rStyle w:val="Appelnotedebasdep"/>
        </w:rPr>
        <w:footnoteReference w:id="7"/>
      </w:r>
      <w:r>
        <w:rPr>
          <w:lang w:val="fr-FR"/>
        </w:rPr>
        <w:t>.</w:t>
      </w:r>
    </w:p>
    <w:p w14:paraId="0A91C6B4" w14:textId="74362AA1" w:rsidR="00E01431" w:rsidRPr="004C19A3" w:rsidRDefault="00E01431" w:rsidP="00E01431">
      <w:pPr>
        <w:pStyle w:val="SingleTxtG"/>
        <w:rPr>
          <w:lang w:val="fr-FR"/>
        </w:rPr>
      </w:pPr>
      <w:r>
        <w:rPr>
          <w:lang w:val="fr-FR"/>
        </w:rPr>
        <w:t>7.</w:t>
      </w:r>
      <w:r>
        <w:rPr>
          <w:lang w:val="fr-FR"/>
        </w:rPr>
        <w:tab/>
      </w:r>
      <w:r>
        <w:rPr>
          <w:lang w:val="fr-FR"/>
        </w:rPr>
        <w:t>Mesures prises pour renforcer le système d’aide juridictionnelle et proposer une assistance aux individus et aux associations en vue de faciliter les poursuites en justice dans les affaires de discrimination raciale</w:t>
      </w:r>
      <w:r w:rsidRPr="00676213">
        <w:rPr>
          <w:rStyle w:val="Appelnotedebasdep"/>
        </w:rPr>
        <w:footnoteReference w:id="8"/>
      </w:r>
      <w:r>
        <w:rPr>
          <w:lang w:val="fr-FR"/>
        </w:rPr>
        <w:t>.</w:t>
      </w:r>
    </w:p>
    <w:p w14:paraId="1580A86E" w14:textId="36F37BB9" w:rsidR="00E01431" w:rsidRPr="004C19A3" w:rsidRDefault="00E01431" w:rsidP="00E01431">
      <w:pPr>
        <w:pStyle w:val="H23G"/>
        <w:rPr>
          <w:lang w:val="fr-FR"/>
        </w:rPr>
      </w:pPr>
      <w:r>
        <w:rPr>
          <w:lang w:val="fr-FR"/>
        </w:rPr>
        <w:tab/>
      </w:r>
      <w:r>
        <w:rPr>
          <w:lang w:val="fr-FR"/>
        </w:rPr>
        <w:tab/>
        <w:t xml:space="preserve">Discours et crimes de haine à caractère raciste et liberté </w:t>
      </w:r>
      <w:r>
        <w:rPr>
          <w:lang w:val="fr-FR"/>
        </w:rPr>
        <w:br/>
      </w:r>
      <w:r>
        <w:rPr>
          <w:lang w:val="fr-FR"/>
        </w:rPr>
        <w:t>d’expression (art. 4 et 7)</w:t>
      </w:r>
    </w:p>
    <w:p w14:paraId="03CA50EB" w14:textId="79FAB527" w:rsidR="00E01431" w:rsidRPr="004C19A3" w:rsidRDefault="00E01431" w:rsidP="00E01431">
      <w:pPr>
        <w:pStyle w:val="SingleTxtG"/>
        <w:rPr>
          <w:lang w:val="fr-FR"/>
        </w:rPr>
      </w:pPr>
      <w:r>
        <w:rPr>
          <w:lang w:val="fr-FR"/>
        </w:rPr>
        <w:t>8.</w:t>
      </w:r>
      <w:r>
        <w:rPr>
          <w:lang w:val="fr-FR"/>
        </w:rPr>
        <w:tab/>
      </w:r>
      <w:r>
        <w:rPr>
          <w:lang w:val="fr-FR"/>
        </w:rPr>
        <w:t>Informations actualisées sur les mesures prises pour combattre les discours de haine à caractère raciste, enquêter sur les actes de cette nature, en poursuivre les auteurs et punir ceux-ci, ainsi que sur les mesures prises pour promouvoir la tolérance, le dialogue interculturel et le respect de la diversité, en mettant l’accent sur le rôle des journalistes et des agents publics</w:t>
      </w:r>
      <w:r w:rsidRPr="00676213">
        <w:rPr>
          <w:rStyle w:val="Appelnotedebasdep"/>
        </w:rPr>
        <w:footnoteReference w:id="9"/>
      </w:r>
      <w:r>
        <w:rPr>
          <w:lang w:val="fr-FR"/>
        </w:rPr>
        <w:t>.</w:t>
      </w:r>
    </w:p>
    <w:p w14:paraId="038EE964" w14:textId="0B6AFCD9" w:rsidR="00E01431" w:rsidRPr="004C19A3" w:rsidRDefault="00E01431" w:rsidP="00E01431">
      <w:pPr>
        <w:pStyle w:val="SingleTxtG"/>
        <w:rPr>
          <w:lang w:val="fr-FR"/>
        </w:rPr>
      </w:pPr>
      <w:r>
        <w:rPr>
          <w:lang w:val="fr-FR"/>
        </w:rPr>
        <w:t>9.</w:t>
      </w:r>
      <w:r>
        <w:rPr>
          <w:lang w:val="fr-FR"/>
        </w:rPr>
        <w:tab/>
      </w:r>
      <w:r>
        <w:rPr>
          <w:lang w:val="fr-FR"/>
        </w:rPr>
        <w:t>Informations actualisées sur les mesures prises pour que la législation contre l’incitation à la violence et les organisations extrémistes soit pleinement conforme à l’article 4 (al.</w:t>
      </w:r>
      <w:r>
        <w:rPr>
          <w:lang w:val="fr-FR"/>
        </w:rPr>
        <w:t> </w:t>
      </w:r>
      <w:r>
        <w:rPr>
          <w:lang w:val="fr-FR"/>
        </w:rPr>
        <w:t>a) et b)) et à l’article</w:t>
      </w:r>
      <w:r>
        <w:rPr>
          <w:lang w:val="fr-FR"/>
        </w:rPr>
        <w:t> </w:t>
      </w:r>
      <w:r>
        <w:rPr>
          <w:lang w:val="fr-FR"/>
        </w:rPr>
        <w:t>1</w:t>
      </w:r>
      <w:r w:rsidRPr="00E32080">
        <w:rPr>
          <w:vertAlign w:val="superscript"/>
          <w:lang w:val="fr-FR"/>
        </w:rPr>
        <w:t>er</w:t>
      </w:r>
      <w:r>
        <w:rPr>
          <w:lang w:val="fr-FR"/>
        </w:rPr>
        <w:t xml:space="preserve"> de la Convention</w:t>
      </w:r>
      <w:r w:rsidRPr="00676213">
        <w:rPr>
          <w:rStyle w:val="Appelnotedebasdep"/>
        </w:rPr>
        <w:footnoteReference w:id="10"/>
      </w:r>
      <w:r>
        <w:rPr>
          <w:lang w:val="fr-FR"/>
        </w:rPr>
        <w:t>.</w:t>
      </w:r>
    </w:p>
    <w:p w14:paraId="1C9C66A4" w14:textId="5C2081C9" w:rsidR="00E01431" w:rsidRPr="004C19A3" w:rsidRDefault="00E01431" w:rsidP="00E01431">
      <w:pPr>
        <w:pStyle w:val="SingleTxtG"/>
        <w:rPr>
          <w:lang w:val="fr-FR"/>
        </w:rPr>
      </w:pPr>
      <w:r>
        <w:rPr>
          <w:lang w:val="fr-FR"/>
        </w:rPr>
        <w:t>10.</w:t>
      </w:r>
      <w:r>
        <w:rPr>
          <w:lang w:val="fr-FR"/>
        </w:rPr>
        <w:tab/>
      </w:r>
      <w:r>
        <w:rPr>
          <w:lang w:val="fr-FR"/>
        </w:rPr>
        <w:t>Informations sur les mesures prises pour définir clairement les infractions pénales, en particulier les infractions décrites à l’article 174 du Code pénal, de manière à garantir qu’il n’en découle pas une interférence injustifiée ou disproportionnée avec la liberté d’expression, notamment avec celle des membres des groupes minoritaires</w:t>
      </w:r>
      <w:r w:rsidRPr="00676213">
        <w:rPr>
          <w:rStyle w:val="Appelnotedebasdep"/>
        </w:rPr>
        <w:footnoteReference w:id="11"/>
      </w:r>
      <w:r>
        <w:rPr>
          <w:lang w:val="fr-FR"/>
        </w:rPr>
        <w:t>.</w:t>
      </w:r>
    </w:p>
    <w:p w14:paraId="371A55BB" w14:textId="395167FE" w:rsidR="00E01431" w:rsidRPr="004C19A3" w:rsidRDefault="00E01431" w:rsidP="00E01431">
      <w:pPr>
        <w:pStyle w:val="SingleTxtG"/>
        <w:rPr>
          <w:lang w:val="fr-FR"/>
        </w:rPr>
      </w:pPr>
      <w:r>
        <w:rPr>
          <w:lang w:val="fr-FR"/>
        </w:rPr>
        <w:t>11.</w:t>
      </w:r>
      <w:r>
        <w:rPr>
          <w:lang w:val="fr-FR"/>
        </w:rPr>
        <w:tab/>
      </w:r>
      <w:r>
        <w:rPr>
          <w:lang w:val="fr-FR"/>
        </w:rPr>
        <w:t>Informations sur les mesures prises pour enquêter sur les actes d’incitation à la violence et les discours de haine dont les membres de la minorité doungane auraient été la cible dans le contexte des violences survenues les 7 et 8</w:t>
      </w:r>
      <w:r>
        <w:rPr>
          <w:lang w:val="fr-FR"/>
        </w:rPr>
        <w:t> </w:t>
      </w:r>
      <w:r>
        <w:rPr>
          <w:lang w:val="fr-FR"/>
        </w:rPr>
        <w:t>février 2020 dans le district de Kordaï ; mesures prises pour garantir aux Dounganes qui font l’objet d’enquêtes et de poursuites pénales un procès équitable</w:t>
      </w:r>
      <w:r w:rsidRPr="00676213">
        <w:rPr>
          <w:rStyle w:val="Appelnotedebasdep"/>
        </w:rPr>
        <w:footnoteReference w:id="12"/>
      </w:r>
      <w:r>
        <w:rPr>
          <w:lang w:val="fr-FR"/>
        </w:rPr>
        <w:t>.</w:t>
      </w:r>
    </w:p>
    <w:p w14:paraId="0857AA99" w14:textId="7E49AAD1" w:rsidR="00E01431" w:rsidRPr="004C19A3" w:rsidRDefault="00E01431" w:rsidP="00E01431">
      <w:pPr>
        <w:pStyle w:val="H23G"/>
        <w:rPr>
          <w:lang w:val="fr-FR"/>
        </w:rPr>
      </w:pPr>
      <w:r>
        <w:rPr>
          <w:lang w:val="fr-FR"/>
        </w:rPr>
        <w:tab/>
      </w:r>
      <w:r>
        <w:rPr>
          <w:lang w:val="fr-FR"/>
        </w:rPr>
        <w:tab/>
        <w:t>Situation des groupes ethniques minoritaires (art.</w:t>
      </w:r>
      <w:r>
        <w:rPr>
          <w:lang w:val="fr-FR"/>
        </w:rPr>
        <w:t> </w:t>
      </w:r>
      <w:r>
        <w:rPr>
          <w:lang w:val="fr-FR"/>
        </w:rPr>
        <w:t>5)</w:t>
      </w:r>
    </w:p>
    <w:p w14:paraId="263863E2" w14:textId="31B21BD8" w:rsidR="00E01431" w:rsidRPr="004C19A3" w:rsidRDefault="00E01431" w:rsidP="00E01431">
      <w:pPr>
        <w:pStyle w:val="SingleTxtG"/>
        <w:rPr>
          <w:lang w:val="fr-FR"/>
        </w:rPr>
      </w:pPr>
      <w:r>
        <w:rPr>
          <w:lang w:val="fr-FR"/>
        </w:rPr>
        <w:t>12.</w:t>
      </w:r>
      <w:r>
        <w:rPr>
          <w:lang w:val="fr-FR"/>
        </w:rPr>
        <w:tab/>
      </w:r>
      <w:r>
        <w:rPr>
          <w:lang w:val="fr-FR"/>
        </w:rPr>
        <w:t>Données ventilées sur la représentation des groupes ethniques minoritaires dans les instances politiques, les organes de décision et la fonction publique, à tous les niveaux, et informations sur les mesures prises pour faciliter et accroître cette représentation</w:t>
      </w:r>
      <w:r w:rsidRPr="00676213">
        <w:rPr>
          <w:rStyle w:val="Appelnotedebasdep"/>
        </w:rPr>
        <w:footnoteReference w:id="13"/>
      </w:r>
      <w:r>
        <w:rPr>
          <w:lang w:val="fr-FR"/>
        </w:rPr>
        <w:t xml:space="preserve">. </w:t>
      </w:r>
    </w:p>
    <w:p w14:paraId="5C5CA6B2" w14:textId="09B4CB1D" w:rsidR="00E01431" w:rsidRPr="004C19A3" w:rsidRDefault="00E01431" w:rsidP="00E01431">
      <w:pPr>
        <w:pStyle w:val="SingleTxtG"/>
        <w:rPr>
          <w:lang w:val="fr-FR"/>
        </w:rPr>
      </w:pPr>
      <w:r>
        <w:rPr>
          <w:lang w:val="fr-FR"/>
        </w:rPr>
        <w:t>13.</w:t>
      </w:r>
      <w:r>
        <w:rPr>
          <w:lang w:val="fr-FR"/>
        </w:rPr>
        <w:tab/>
      </w:r>
      <w:r>
        <w:rPr>
          <w:lang w:val="fr-FR"/>
        </w:rPr>
        <w:t>Informations actualisées sur les mesures prises pour améliorer l’accès des enfants issus de minorités ethniques à un enseignement de leur langue maternelle et dans leur langue maternelle, sur les mesures spéciales visant à améliorer l’accès des élèves de tous les groupes ethniques, sans discrimination, à l’enseignement supérieur, et sur les résultats de ces mesures</w:t>
      </w:r>
      <w:r w:rsidRPr="00676213">
        <w:rPr>
          <w:rStyle w:val="Appelnotedebasdep"/>
        </w:rPr>
        <w:footnoteReference w:id="14"/>
      </w:r>
      <w:r>
        <w:rPr>
          <w:lang w:val="fr-FR"/>
        </w:rPr>
        <w:t>.</w:t>
      </w:r>
    </w:p>
    <w:p w14:paraId="6973F372" w14:textId="00E5B5E8" w:rsidR="00E01431" w:rsidRPr="004C19A3" w:rsidRDefault="00E01431" w:rsidP="00E01431">
      <w:pPr>
        <w:pStyle w:val="SingleTxtG"/>
        <w:rPr>
          <w:lang w:val="fr-FR"/>
        </w:rPr>
      </w:pPr>
      <w:r>
        <w:rPr>
          <w:lang w:val="fr-FR"/>
        </w:rPr>
        <w:lastRenderedPageBreak/>
        <w:t>14.</w:t>
      </w:r>
      <w:r>
        <w:rPr>
          <w:lang w:val="fr-FR"/>
        </w:rPr>
        <w:tab/>
      </w:r>
      <w:r>
        <w:rPr>
          <w:lang w:val="fr-FR"/>
        </w:rPr>
        <w:t>Informations actualisées sur les mesures prises pour modifier le Code du travail afin d’interdire expressément la discrimination fondée sur la couleur</w:t>
      </w:r>
      <w:r w:rsidRPr="00676213">
        <w:rPr>
          <w:rStyle w:val="Appelnotedebasdep"/>
        </w:rPr>
        <w:footnoteReference w:id="15"/>
      </w:r>
      <w:r>
        <w:rPr>
          <w:lang w:val="fr-FR"/>
        </w:rPr>
        <w:t>.</w:t>
      </w:r>
    </w:p>
    <w:p w14:paraId="204F5520" w14:textId="50DA8343" w:rsidR="00E01431" w:rsidRPr="004C19A3" w:rsidRDefault="00E01431" w:rsidP="00E01431">
      <w:pPr>
        <w:pStyle w:val="H23G"/>
        <w:rPr>
          <w:lang w:val="fr-FR"/>
        </w:rPr>
      </w:pPr>
      <w:r>
        <w:rPr>
          <w:lang w:val="fr-FR"/>
        </w:rPr>
        <w:tab/>
      </w:r>
      <w:r>
        <w:rPr>
          <w:lang w:val="fr-FR"/>
        </w:rPr>
        <w:tab/>
        <w:t xml:space="preserve">Situation des migrants, des demandeurs d’asile, des réfugiés </w:t>
      </w:r>
      <w:r>
        <w:rPr>
          <w:lang w:val="fr-FR"/>
        </w:rPr>
        <w:br/>
      </w:r>
      <w:r>
        <w:rPr>
          <w:lang w:val="fr-FR"/>
        </w:rPr>
        <w:t>et des apatrides (art.</w:t>
      </w:r>
      <w:r>
        <w:rPr>
          <w:lang w:val="fr-FR"/>
        </w:rPr>
        <w:t> </w:t>
      </w:r>
      <w:r>
        <w:rPr>
          <w:lang w:val="fr-FR"/>
        </w:rPr>
        <w:t>2 et 5)</w:t>
      </w:r>
    </w:p>
    <w:p w14:paraId="1E817801" w14:textId="78D869B7" w:rsidR="00E01431" w:rsidRPr="004C19A3" w:rsidRDefault="00E01431" w:rsidP="00E01431">
      <w:pPr>
        <w:pStyle w:val="SingleTxtG"/>
        <w:rPr>
          <w:lang w:val="fr-FR"/>
        </w:rPr>
      </w:pPr>
      <w:r>
        <w:rPr>
          <w:lang w:val="fr-FR"/>
        </w:rPr>
        <w:t>15.</w:t>
      </w:r>
      <w:r>
        <w:rPr>
          <w:lang w:val="fr-FR"/>
        </w:rPr>
        <w:tab/>
      </w:r>
      <w:r>
        <w:rPr>
          <w:lang w:val="fr-FR"/>
        </w:rPr>
        <w:t>Informations sur les mesures prises pour modifier la loi de 2011 sur les migrations et d’autres lois connexes afin que les conditions requises pour devenir entrepreneur individuel ne soient pas trop restrictives et ne soient pas discriminatoires, conformément à l’article 1</w:t>
      </w:r>
      <w:r w:rsidRPr="00E32080">
        <w:rPr>
          <w:vertAlign w:val="superscript"/>
          <w:lang w:val="fr-FR"/>
        </w:rPr>
        <w:t>er</w:t>
      </w:r>
      <w:r>
        <w:rPr>
          <w:lang w:val="fr-FR"/>
        </w:rPr>
        <w:t xml:space="preserve"> (par.</w:t>
      </w:r>
      <w:r>
        <w:rPr>
          <w:lang w:val="fr-FR"/>
        </w:rPr>
        <w:t> </w:t>
      </w:r>
      <w:r>
        <w:rPr>
          <w:lang w:val="fr-FR"/>
        </w:rPr>
        <w:t>1) de la Convention</w:t>
      </w:r>
      <w:r w:rsidRPr="00676213">
        <w:rPr>
          <w:rStyle w:val="Appelnotedebasdep"/>
        </w:rPr>
        <w:footnoteReference w:id="16"/>
      </w:r>
      <w:r>
        <w:rPr>
          <w:lang w:val="fr-FR"/>
        </w:rPr>
        <w:t>.</w:t>
      </w:r>
    </w:p>
    <w:p w14:paraId="67E58DDC" w14:textId="676CD4CE" w:rsidR="00E01431" w:rsidRPr="004C19A3" w:rsidRDefault="00E01431" w:rsidP="00E01431">
      <w:pPr>
        <w:pStyle w:val="SingleTxtG"/>
        <w:rPr>
          <w:lang w:val="fr-FR"/>
        </w:rPr>
      </w:pPr>
      <w:r>
        <w:rPr>
          <w:lang w:val="fr-FR"/>
        </w:rPr>
        <w:t>16.</w:t>
      </w:r>
      <w:r>
        <w:rPr>
          <w:lang w:val="fr-FR"/>
        </w:rPr>
        <w:tab/>
      </w:r>
      <w:r>
        <w:rPr>
          <w:lang w:val="fr-FR"/>
        </w:rPr>
        <w:t>Informations actualisées sur les mesures prises pour que les travailleurs migrants et les membres de leur famille aient accès, dans des conditions d’égalité, à l’éducation et aux soins de santé ; données ventilées sur toutes les catégories de travailleurs migrants et sur l’exercice de leurs droits ; informations sur le renforcement des mesures visant à prévenir les actes de violence, d’extorsion et de traite touchant les travailleurs migrants, et à poursuivre et punir les auteurs de tels actes</w:t>
      </w:r>
      <w:r w:rsidRPr="00676213">
        <w:rPr>
          <w:rStyle w:val="Appelnotedebasdep"/>
        </w:rPr>
        <w:footnoteReference w:id="17"/>
      </w:r>
      <w:r>
        <w:rPr>
          <w:lang w:val="fr-FR"/>
        </w:rPr>
        <w:t>.</w:t>
      </w:r>
    </w:p>
    <w:p w14:paraId="6C802668" w14:textId="01677B2B" w:rsidR="00E01431" w:rsidRPr="004C19A3" w:rsidRDefault="00E01431" w:rsidP="00E01431">
      <w:pPr>
        <w:pStyle w:val="SingleTxtG"/>
        <w:rPr>
          <w:lang w:val="fr-FR"/>
        </w:rPr>
      </w:pPr>
      <w:r>
        <w:rPr>
          <w:lang w:val="fr-FR"/>
        </w:rPr>
        <w:t>17.</w:t>
      </w:r>
      <w:r>
        <w:rPr>
          <w:lang w:val="fr-FR"/>
        </w:rPr>
        <w:tab/>
      </w:r>
      <w:r>
        <w:rPr>
          <w:lang w:val="fr-FR"/>
        </w:rPr>
        <w:t>Informations sur les mesures prises pour établir une procédure d’orientation à l’intention des services de la police des migrations et des services des gardes-frontières de tous les postes frontière, notamment les aéroports internationaux et les zones de transit, conformément aux règles et normes internationales, en particulier au principe de non</w:t>
      </w:r>
      <w:r w:rsidR="00A979DC">
        <w:rPr>
          <w:lang w:val="fr-FR"/>
        </w:rPr>
        <w:noBreakHyphen/>
      </w:r>
      <w:r>
        <w:rPr>
          <w:lang w:val="fr-FR"/>
        </w:rPr>
        <w:t>refoulement</w:t>
      </w:r>
      <w:r w:rsidRPr="00676213">
        <w:rPr>
          <w:rStyle w:val="Appelnotedebasdep"/>
        </w:rPr>
        <w:footnoteReference w:id="18"/>
      </w:r>
      <w:r>
        <w:rPr>
          <w:lang w:val="fr-FR"/>
        </w:rPr>
        <w:t>.</w:t>
      </w:r>
    </w:p>
    <w:p w14:paraId="0B4E5CCB" w14:textId="23C7CEFF" w:rsidR="00E01431" w:rsidRPr="004C19A3" w:rsidRDefault="00E01431" w:rsidP="00E01431">
      <w:pPr>
        <w:pStyle w:val="SingleTxtG"/>
        <w:rPr>
          <w:lang w:val="fr-FR"/>
        </w:rPr>
      </w:pPr>
      <w:r>
        <w:rPr>
          <w:lang w:val="fr-FR"/>
        </w:rPr>
        <w:t>18.</w:t>
      </w:r>
      <w:r>
        <w:rPr>
          <w:lang w:val="fr-FR"/>
        </w:rPr>
        <w:tab/>
      </w:r>
      <w:r>
        <w:rPr>
          <w:lang w:val="fr-FR"/>
        </w:rPr>
        <w:t>Mesures prises pour que toutes les personnes qui ne sont pas officiellement reconnues comme des réfugiés mais ne peuvent pas retourner dans leur pays d’origine parce que des raisons impérieuses s’y opposent puissent rester dans le pays jusqu’à ce que leur retour soit sans danger et puissent exercer leurs droits économiques, sociaux et culturels sans discrimination</w:t>
      </w:r>
      <w:r w:rsidRPr="00676213">
        <w:rPr>
          <w:rStyle w:val="Appelnotedebasdep"/>
        </w:rPr>
        <w:footnoteReference w:id="19"/>
      </w:r>
      <w:r>
        <w:rPr>
          <w:lang w:val="fr-FR"/>
        </w:rPr>
        <w:t>.</w:t>
      </w:r>
    </w:p>
    <w:p w14:paraId="584A98B5" w14:textId="62B3BF8F" w:rsidR="00E01431" w:rsidRPr="004C19A3" w:rsidRDefault="00E01431" w:rsidP="00E01431">
      <w:pPr>
        <w:pStyle w:val="SingleTxtG"/>
        <w:rPr>
          <w:lang w:val="fr-FR"/>
        </w:rPr>
      </w:pPr>
      <w:r>
        <w:rPr>
          <w:lang w:val="fr-FR"/>
        </w:rPr>
        <w:t>19.</w:t>
      </w:r>
      <w:r>
        <w:rPr>
          <w:lang w:val="fr-FR"/>
        </w:rPr>
        <w:tab/>
      </w:r>
      <w:r>
        <w:rPr>
          <w:lang w:val="fr-FR"/>
        </w:rPr>
        <w:t>Informations sur les mesures prises pour prévenir l’apatridie et protéger les personnes de l’apatridie, notamment sur la procédure de détermination du statut d’apatride ; statistiques sur les apatrides et les personnes menacées d’apatridie, y compris sur leur appartenance ethnique ; informations sur les mesures prises pour remédier au problème de l’apatridie à la naissance</w:t>
      </w:r>
      <w:r w:rsidRPr="00676213">
        <w:rPr>
          <w:rStyle w:val="Appelnotedebasdep"/>
        </w:rPr>
        <w:footnoteReference w:id="20"/>
      </w:r>
      <w:r>
        <w:rPr>
          <w:lang w:val="fr-FR"/>
        </w:rPr>
        <w:t>.</w:t>
      </w:r>
    </w:p>
    <w:p w14:paraId="40D1441A" w14:textId="6910D705" w:rsidR="00E01431" w:rsidRPr="004C19A3" w:rsidRDefault="00E01431" w:rsidP="00E01431">
      <w:pPr>
        <w:pStyle w:val="SingleTxtG"/>
        <w:rPr>
          <w:lang w:val="fr-FR"/>
        </w:rPr>
      </w:pPr>
      <w:r>
        <w:rPr>
          <w:lang w:val="fr-FR"/>
        </w:rPr>
        <w:t>20.</w:t>
      </w:r>
      <w:r>
        <w:rPr>
          <w:lang w:val="fr-FR"/>
        </w:rPr>
        <w:tab/>
      </w:r>
      <w:r>
        <w:rPr>
          <w:lang w:val="fr-FR"/>
        </w:rPr>
        <w:t>Statistiques sur l’acquisition de la nationalité kazakhstanaise ; mesures prises pour assurer la délivrance de documents d’identité valables ; statistiques sur le nombre de personnes qui n’ont pas de tels documents</w:t>
      </w:r>
      <w:r w:rsidRPr="00676213">
        <w:rPr>
          <w:rStyle w:val="Appelnotedebasdep"/>
        </w:rPr>
        <w:footnoteReference w:id="21"/>
      </w:r>
      <w:r>
        <w:rPr>
          <w:lang w:val="fr-FR"/>
        </w:rPr>
        <w:t xml:space="preserve">. </w:t>
      </w:r>
    </w:p>
    <w:p w14:paraId="372E65F3" w14:textId="615F0A21" w:rsidR="00E01431" w:rsidRDefault="00E01431" w:rsidP="00E01431">
      <w:pPr>
        <w:pStyle w:val="SingleTxtG"/>
        <w:rPr>
          <w:lang w:val="fr-FR"/>
        </w:rPr>
      </w:pPr>
      <w:r>
        <w:rPr>
          <w:lang w:val="fr-FR"/>
        </w:rPr>
        <w:t>21.</w:t>
      </w:r>
      <w:r>
        <w:rPr>
          <w:lang w:val="fr-FR"/>
        </w:rPr>
        <w:tab/>
      </w:r>
      <w:r>
        <w:rPr>
          <w:lang w:val="fr-FR"/>
        </w:rPr>
        <w:t xml:space="preserve">Informations actualisées sur la capacité des Roms d’exercer leurs droits économiques, sociaux et culturels sans faire l’objet de préjugés ni de stéréotypes ; </w:t>
      </w:r>
      <w:r w:rsidRPr="00052D0F">
        <w:rPr>
          <w:lang w:val="fr-FR"/>
        </w:rPr>
        <w:t>mesures prises pour assurer aux Roms victimes de discrimination des recours, notamment devant des tribunaux ou organes internes, et fournir aux Roms susceptibles d</w:t>
      </w:r>
      <w:r>
        <w:rPr>
          <w:lang w:val="fr-FR"/>
        </w:rPr>
        <w:t>’</w:t>
      </w:r>
      <w:r w:rsidRPr="00052D0F">
        <w:rPr>
          <w:lang w:val="fr-FR"/>
        </w:rPr>
        <w:t>être victimes de discrimination des renseignements sur l</w:t>
      </w:r>
      <w:r>
        <w:rPr>
          <w:lang w:val="fr-FR"/>
        </w:rPr>
        <w:t>’</w:t>
      </w:r>
      <w:r w:rsidRPr="00052D0F">
        <w:rPr>
          <w:lang w:val="fr-FR"/>
        </w:rPr>
        <w:t>accès à ces recours</w:t>
      </w:r>
      <w:r w:rsidRPr="00676213">
        <w:rPr>
          <w:rStyle w:val="Appelnotedebasdep"/>
        </w:rPr>
        <w:footnoteReference w:id="22"/>
      </w:r>
      <w:r>
        <w:rPr>
          <w:lang w:val="fr-FR"/>
        </w:rPr>
        <w:t>.</w:t>
      </w:r>
    </w:p>
    <w:p w14:paraId="16147027" w14:textId="3A079814" w:rsidR="00E01431" w:rsidRPr="00E01431" w:rsidRDefault="00E01431" w:rsidP="00E0143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01431" w:rsidRPr="00E01431" w:rsidSect="00E014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07380" w14:textId="77777777" w:rsidR="008331C1" w:rsidRDefault="008331C1" w:rsidP="00F95C08">
      <w:pPr>
        <w:spacing w:line="240" w:lineRule="auto"/>
      </w:pPr>
    </w:p>
  </w:endnote>
  <w:endnote w:type="continuationSeparator" w:id="0">
    <w:p w14:paraId="79DED792" w14:textId="77777777" w:rsidR="008331C1" w:rsidRPr="00AC3823" w:rsidRDefault="008331C1" w:rsidP="00AC3823">
      <w:pPr>
        <w:pStyle w:val="Pieddepage"/>
      </w:pPr>
    </w:p>
  </w:endnote>
  <w:endnote w:type="continuationNotice" w:id="1">
    <w:p w14:paraId="3E337260" w14:textId="77777777" w:rsidR="008331C1" w:rsidRDefault="008331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F105" w14:textId="68EF7BC3" w:rsidR="00E01431" w:rsidRPr="00E01431" w:rsidRDefault="00E01431" w:rsidP="00E01431">
    <w:pPr>
      <w:pStyle w:val="Pieddepage"/>
      <w:tabs>
        <w:tab w:val="right" w:pos="9638"/>
      </w:tabs>
    </w:pPr>
    <w:r w:rsidRPr="00E01431">
      <w:rPr>
        <w:b/>
        <w:sz w:val="18"/>
      </w:rPr>
      <w:fldChar w:fldCharType="begin"/>
    </w:r>
    <w:r w:rsidRPr="00E01431">
      <w:rPr>
        <w:b/>
        <w:sz w:val="18"/>
      </w:rPr>
      <w:instrText xml:space="preserve"> PAGE  \* MERGEFORMAT </w:instrText>
    </w:r>
    <w:r w:rsidRPr="00E01431">
      <w:rPr>
        <w:b/>
        <w:sz w:val="18"/>
      </w:rPr>
      <w:fldChar w:fldCharType="separate"/>
    </w:r>
    <w:r w:rsidRPr="00E01431">
      <w:rPr>
        <w:b/>
        <w:noProof/>
        <w:sz w:val="18"/>
      </w:rPr>
      <w:t>2</w:t>
    </w:r>
    <w:r w:rsidRPr="00E01431">
      <w:rPr>
        <w:b/>
        <w:sz w:val="18"/>
      </w:rPr>
      <w:fldChar w:fldCharType="end"/>
    </w:r>
    <w:r>
      <w:rPr>
        <w:b/>
        <w:sz w:val="18"/>
      </w:rPr>
      <w:tab/>
    </w:r>
    <w:r>
      <w:t>GE.22-02130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EA33" w14:textId="33BEFED9" w:rsidR="00E01431" w:rsidRPr="00E01431" w:rsidRDefault="00E01431" w:rsidP="00E01431">
    <w:pPr>
      <w:pStyle w:val="Pieddepage"/>
      <w:tabs>
        <w:tab w:val="right" w:pos="9638"/>
      </w:tabs>
      <w:rPr>
        <w:b/>
        <w:sz w:val="18"/>
      </w:rPr>
    </w:pPr>
    <w:r>
      <w:t>GE.22-02130</w:t>
    </w:r>
    <w:r>
      <w:tab/>
    </w:r>
    <w:r w:rsidRPr="00E01431">
      <w:rPr>
        <w:b/>
        <w:sz w:val="18"/>
      </w:rPr>
      <w:fldChar w:fldCharType="begin"/>
    </w:r>
    <w:r w:rsidRPr="00E01431">
      <w:rPr>
        <w:b/>
        <w:sz w:val="18"/>
      </w:rPr>
      <w:instrText xml:space="preserve"> PAGE  \* MERGEFORMAT </w:instrText>
    </w:r>
    <w:r w:rsidRPr="00E01431">
      <w:rPr>
        <w:b/>
        <w:sz w:val="18"/>
      </w:rPr>
      <w:fldChar w:fldCharType="separate"/>
    </w:r>
    <w:r w:rsidRPr="00E01431">
      <w:rPr>
        <w:b/>
        <w:noProof/>
        <w:sz w:val="18"/>
      </w:rPr>
      <w:t>3</w:t>
    </w:r>
    <w:r w:rsidRPr="00E014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A7A90" w14:textId="6BE861D2" w:rsidR="00984B29" w:rsidRPr="00E01431" w:rsidRDefault="00E01431" w:rsidP="00E0143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0297549" wp14:editId="50E4FCF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22-02130  (F)</w:t>
    </w:r>
    <w:r>
      <w:rPr>
        <w:noProof/>
        <w:sz w:val="20"/>
      </w:rPr>
      <w:drawing>
        <wp:anchor distT="0" distB="0" distL="114300" distR="114300" simplePos="0" relativeHeight="251660288" behindDoc="0" locked="0" layoutInCell="1" allowOverlap="1" wp14:anchorId="3A8CECF3" wp14:editId="4C18A89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020322    020322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BFBDD" w14:textId="77777777" w:rsidR="008331C1" w:rsidRPr="00AC3823" w:rsidRDefault="008331C1" w:rsidP="00AC3823">
      <w:pPr>
        <w:pStyle w:val="Pieddepage"/>
        <w:tabs>
          <w:tab w:val="right" w:pos="2155"/>
        </w:tabs>
        <w:spacing w:after="80" w:line="240" w:lineRule="atLeast"/>
        <w:ind w:left="680"/>
        <w:rPr>
          <w:u w:val="single"/>
        </w:rPr>
      </w:pPr>
      <w:r>
        <w:rPr>
          <w:u w:val="single"/>
        </w:rPr>
        <w:tab/>
      </w:r>
    </w:p>
  </w:footnote>
  <w:footnote w:type="continuationSeparator" w:id="0">
    <w:p w14:paraId="64924AE2" w14:textId="77777777" w:rsidR="008331C1" w:rsidRPr="00AC3823" w:rsidRDefault="008331C1" w:rsidP="00AC3823">
      <w:pPr>
        <w:pStyle w:val="Pieddepage"/>
        <w:tabs>
          <w:tab w:val="right" w:pos="2155"/>
        </w:tabs>
        <w:spacing w:after="80" w:line="240" w:lineRule="atLeast"/>
        <w:ind w:left="680"/>
        <w:rPr>
          <w:u w:val="single"/>
        </w:rPr>
      </w:pPr>
      <w:r>
        <w:rPr>
          <w:u w:val="single"/>
        </w:rPr>
        <w:tab/>
      </w:r>
    </w:p>
  </w:footnote>
  <w:footnote w:type="continuationNotice" w:id="1">
    <w:p w14:paraId="189ABB2C" w14:textId="77777777" w:rsidR="008331C1" w:rsidRPr="00AC3823" w:rsidRDefault="008331C1">
      <w:pPr>
        <w:spacing w:line="240" w:lineRule="auto"/>
        <w:rPr>
          <w:sz w:val="2"/>
          <w:szCs w:val="2"/>
        </w:rPr>
      </w:pPr>
    </w:p>
  </w:footnote>
  <w:footnote w:id="2">
    <w:p w14:paraId="5A41BFEF" w14:textId="34F1F5D4"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1" w:history="1">
        <w:r w:rsidRPr="003B5DFC">
          <w:rPr>
            <w:rStyle w:val="Lienhypertexte"/>
            <w:lang w:val="fr-FR"/>
          </w:rPr>
          <w:t>A/65/18</w:t>
        </w:r>
      </w:hyperlink>
      <w:r>
        <w:rPr>
          <w:lang w:val="fr-FR"/>
        </w:rPr>
        <w:t>, par.</w:t>
      </w:r>
      <w:r w:rsidR="003B5DFC">
        <w:rPr>
          <w:lang w:val="fr-FR"/>
        </w:rPr>
        <w:t> </w:t>
      </w:r>
      <w:r>
        <w:rPr>
          <w:lang w:val="fr-FR"/>
        </w:rPr>
        <w:t xml:space="preserve">85. </w:t>
      </w:r>
    </w:p>
  </w:footnote>
  <w:footnote w:id="3">
    <w:p w14:paraId="276D0C9E" w14:textId="03EF5531" w:rsidR="00E01431" w:rsidRPr="004C19A3" w:rsidRDefault="00E01431" w:rsidP="00E01431">
      <w:pPr>
        <w:pStyle w:val="Notedebasdepage"/>
        <w:rPr>
          <w:lang w:val="fr-FR"/>
        </w:rPr>
      </w:pPr>
      <w:r w:rsidRPr="00AA1D48">
        <w:rPr>
          <w:lang w:val="fr-FR"/>
        </w:rPr>
        <w:tab/>
      </w:r>
      <w:r w:rsidRPr="00676213">
        <w:rPr>
          <w:rStyle w:val="Appelnotedebasdep"/>
        </w:rPr>
        <w:footnoteRef/>
      </w:r>
      <w:r>
        <w:rPr>
          <w:lang w:val="fr-FR"/>
        </w:rPr>
        <w:tab/>
      </w:r>
      <w:hyperlink r:id="rId2" w:history="1">
        <w:r w:rsidRPr="003B5DFC">
          <w:rPr>
            <w:rStyle w:val="Lienhypertexte"/>
            <w:lang w:val="fr-FR"/>
          </w:rPr>
          <w:t>CERD/C/KAZ/CO/6-7</w:t>
        </w:r>
      </w:hyperlink>
      <w:r>
        <w:rPr>
          <w:lang w:val="fr-FR"/>
        </w:rPr>
        <w:t>, par.</w:t>
      </w:r>
      <w:r w:rsidR="003B5DFC">
        <w:rPr>
          <w:lang w:val="fr-FR"/>
        </w:rPr>
        <w:t> </w:t>
      </w:r>
      <w:r>
        <w:rPr>
          <w:lang w:val="fr-FR"/>
        </w:rPr>
        <w:t xml:space="preserve">7 ; </w:t>
      </w:r>
      <w:hyperlink r:id="rId3" w:history="1">
        <w:r w:rsidRPr="003B5DFC">
          <w:rPr>
            <w:rStyle w:val="Lienhypertexte"/>
            <w:lang w:val="fr-FR"/>
          </w:rPr>
          <w:t>CERD/C/KAZ/8-10</w:t>
        </w:r>
      </w:hyperlink>
      <w:r>
        <w:rPr>
          <w:lang w:val="fr-FR"/>
        </w:rPr>
        <w:t>, par.</w:t>
      </w:r>
      <w:r w:rsidR="003B5DFC">
        <w:rPr>
          <w:lang w:val="fr-FR"/>
        </w:rPr>
        <w:t> </w:t>
      </w:r>
      <w:r>
        <w:rPr>
          <w:lang w:val="fr-FR"/>
        </w:rPr>
        <w:t>14, et annexe, par.</w:t>
      </w:r>
      <w:r w:rsidR="003B5DFC">
        <w:rPr>
          <w:lang w:val="fr-FR"/>
        </w:rPr>
        <w:t> </w:t>
      </w:r>
      <w:r>
        <w:rPr>
          <w:lang w:val="fr-FR"/>
        </w:rPr>
        <w:t xml:space="preserve">13 à 20. </w:t>
      </w:r>
    </w:p>
  </w:footnote>
  <w:footnote w:id="4">
    <w:p w14:paraId="1D89C63E" w14:textId="2139CD2C"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4" w:history="1">
        <w:r w:rsidRPr="003B5DFC">
          <w:rPr>
            <w:rStyle w:val="Lienhypertexte"/>
            <w:lang w:val="fr-FR"/>
          </w:rPr>
          <w:t>CERD/C/KAZ/CO/6-7</w:t>
        </w:r>
      </w:hyperlink>
      <w:r>
        <w:rPr>
          <w:lang w:val="fr-FR"/>
        </w:rPr>
        <w:t>, par.</w:t>
      </w:r>
      <w:r w:rsidR="003B5DFC">
        <w:rPr>
          <w:lang w:val="fr-FR"/>
        </w:rPr>
        <w:t> </w:t>
      </w:r>
      <w:r>
        <w:rPr>
          <w:lang w:val="fr-FR"/>
        </w:rPr>
        <w:t xml:space="preserve">6 ; </w:t>
      </w:r>
      <w:hyperlink r:id="rId5" w:history="1">
        <w:r w:rsidRPr="003B5DFC">
          <w:rPr>
            <w:rStyle w:val="Lienhypertexte"/>
            <w:lang w:val="fr-FR"/>
          </w:rPr>
          <w:t>CERD/C/KAZ/8-10</w:t>
        </w:r>
      </w:hyperlink>
      <w:r>
        <w:rPr>
          <w:lang w:val="fr-FR"/>
        </w:rPr>
        <w:t>, annexe, par.</w:t>
      </w:r>
      <w:r w:rsidR="003B5DFC">
        <w:rPr>
          <w:lang w:val="fr-FR"/>
        </w:rPr>
        <w:t> </w:t>
      </w:r>
      <w:r>
        <w:rPr>
          <w:lang w:val="fr-FR"/>
        </w:rPr>
        <w:t xml:space="preserve">1 à 12. </w:t>
      </w:r>
    </w:p>
  </w:footnote>
  <w:footnote w:id="5">
    <w:p w14:paraId="4986FEE1" w14:textId="75E979CB"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6" w:history="1">
        <w:r w:rsidRPr="003B5DFC">
          <w:rPr>
            <w:rStyle w:val="Lienhypertexte"/>
            <w:lang w:val="fr-FR"/>
          </w:rPr>
          <w:t>CERD/C/KAZ/CO/6-7</w:t>
        </w:r>
      </w:hyperlink>
      <w:r>
        <w:rPr>
          <w:lang w:val="fr-FR"/>
        </w:rPr>
        <w:t>, par.</w:t>
      </w:r>
      <w:r w:rsidR="003B5DFC">
        <w:rPr>
          <w:lang w:val="fr-FR"/>
        </w:rPr>
        <w:t> </w:t>
      </w:r>
      <w:r>
        <w:rPr>
          <w:lang w:val="fr-FR"/>
        </w:rPr>
        <w:t xml:space="preserve">8 et 9 ; </w:t>
      </w:r>
      <w:hyperlink r:id="rId7" w:history="1">
        <w:r w:rsidRPr="003B5DFC">
          <w:rPr>
            <w:rStyle w:val="Lienhypertexte"/>
            <w:lang w:val="fr-FR"/>
          </w:rPr>
          <w:t>CERD/C/KAZ/8-10</w:t>
        </w:r>
      </w:hyperlink>
      <w:r>
        <w:rPr>
          <w:lang w:val="fr-FR"/>
        </w:rPr>
        <w:t>, par.</w:t>
      </w:r>
      <w:r w:rsidR="003B5DFC">
        <w:rPr>
          <w:lang w:val="fr-FR"/>
        </w:rPr>
        <w:t> </w:t>
      </w:r>
      <w:r>
        <w:rPr>
          <w:lang w:val="fr-FR"/>
        </w:rPr>
        <w:t>51, et annexe, par.</w:t>
      </w:r>
      <w:r w:rsidR="003B5DFC">
        <w:rPr>
          <w:lang w:val="fr-FR"/>
        </w:rPr>
        <w:t> </w:t>
      </w:r>
      <w:r>
        <w:rPr>
          <w:lang w:val="fr-FR"/>
        </w:rPr>
        <w:t xml:space="preserve">21 à 38. </w:t>
      </w:r>
    </w:p>
  </w:footnote>
  <w:footnote w:id="6">
    <w:p w14:paraId="5AECED15" w14:textId="18DF195F"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8" w:history="1">
        <w:r w:rsidRPr="003B5DFC">
          <w:rPr>
            <w:rStyle w:val="Lienhypertexte"/>
            <w:lang w:val="fr-FR"/>
          </w:rPr>
          <w:t>CERD/C/KAZ/CO/6-7</w:t>
        </w:r>
      </w:hyperlink>
      <w:r>
        <w:rPr>
          <w:lang w:val="fr-FR"/>
        </w:rPr>
        <w:t xml:space="preserve">, par. 10 ; </w:t>
      </w:r>
      <w:hyperlink r:id="rId9" w:history="1">
        <w:r w:rsidRPr="003B5DFC">
          <w:rPr>
            <w:rStyle w:val="Lienhypertexte"/>
            <w:lang w:val="fr-FR"/>
          </w:rPr>
          <w:t>CERD/C/KAZ/8-10</w:t>
        </w:r>
      </w:hyperlink>
      <w:r>
        <w:rPr>
          <w:lang w:val="fr-FR"/>
        </w:rPr>
        <w:t xml:space="preserve">, annexe, par. 45 à 48. </w:t>
      </w:r>
    </w:p>
  </w:footnote>
  <w:footnote w:id="7">
    <w:p w14:paraId="4E501552" w14:textId="2716A655"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10" w:history="1">
        <w:r w:rsidRPr="003B5DFC">
          <w:rPr>
            <w:rStyle w:val="Lienhypertexte"/>
            <w:lang w:val="fr-FR"/>
          </w:rPr>
          <w:t>CERD/C/KAZ/CO/6-7</w:t>
        </w:r>
      </w:hyperlink>
      <w:r>
        <w:rPr>
          <w:lang w:val="fr-FR"/>
        </w:rPr>
        <w:t xml:space="preserve">, par. 21 ; </w:t>
      </w:r>
      <w:hyperlink r:id="rId11" w:history="1">
        <w:r w:rsidRPr="003B5DFC">
          <w:rPr>
            <w:rStyle w:val="Lienhypertexte"/>
            <w:lang w:val="fr-FR"/>
          </w:rPr>
          <w:t>CERD/C/KAZ/8-10</w:t>
        </w:r>
      </w:hyperlink>
      <w:r>
        <w:rPr>
          <w:lang w:val="fr-FR"/>
        </w:rPr>
        <w:t>, par. 69 à 79, et annexe, par. 1 à 12 et 160 à</w:t>
      </w:r>
      <w:r w:rsidR="003B5DFC">
        <w:rPr>
          <w:lang w:val="fr-FR"/>
        </w:rPr>
        <w:t> </w:t>
      </w:r>
      <w:r>
        <w:rPr>
          <w:lang w:val="fr-FR"/>
        </w:rPr>
        <w:t>166.</w:t>
      </w:r>
    </w:p>
  </w:footnote>
  <w:footnote w:id="8">
    <w:p w14:paraId="714ECAB2" w14:textId="122D79AE"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12" w:history="1">
        <w:r w:rsidRPr="003B5DFC">
          <w:rPr>
            <w:rStyle w:val="Lienhypertexte"/>
            <w:lang w:val="fr-FR"/>
          </w:rPr>
          <w:t>CERD/C/KAZ/CO/6-7</w:t>
        </w:r>
      </w:hyperlink>
      <w:r>
        <w:rPr>
          <w:lang w:val="fr-FR"/>
        </w:rPr>
        <w:t xml:space="preserve">, par. 21 ; </w:t>
      </w:r>
      <w:hyperlink r:id="rId13" w:history="1">
        <w:r w:rsidRPr="003B5DFC">
          <w:rPr>
            <w:rStyle w:val="Lienhypertexte"/>
            <w:lang w:val="fr-FR"/>
          </w:rPr>
          <w:t>CERD/C/KAZ/8-10</w:t>
        </w:r>
      </w:hyperlink>
      <w:r>
        <w:rPr>
          <w:lang w:val="fr-FR"/>
        </w:rPr>
        <w:t>, par. 69 à 79, et annexe, par. 7 à 12 et 160 à</w:t>
      </w:r>
      <w:r w:rsidR="003B5DFC">
        <w:rPr>
          <w:lang w:val="fr-FR"/>
        </w:rPr>
        <w:t> </w:t>
      </w:r>
      <w:r>
        <w:rPr>
          <w:lang w:val="fr-FR"/>
        </w:rPr>
        <w:t xml:space="preserve">166. </w:t>
      </w:r>
    </w:p>
  </w:footnote>
  <w:footnote w:id="9">
    <w:p w14:paraId="76C2FBAF" w14:textId="63BAA1CB"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14" w:history="1">
        <w:r w:rsidRPr="003B5DFC">
          <w:rPr>
            <w:rStyle w:val="Lienhypertexte"/>
            <w:lang w:val="fr-FR"/>
          </w:rPr>
          <w:t>CERD/C/KAZ/CO/6-7</w:t>
        </w:r>
      </w:hyperlink>
      <w:r>
        <w:rPr>
          <w:lang w:val="fr-FR"/>
        </w:rPr>
        <w:t xml:space="preserve">, par. 11 ; </w:t>
      </w:r>
      <w:hyperlink r:id="rId15" w:history="1">
        <w:r w:rsidRPr="003B5DFC">
          <w:rPr>
            <w:rStyle w:val="Lienhypertexte"/>
            <w:lang w:val="fr-FR"/>
          </w:rPr>
          <w:t>CERD/C/KAZ/8-10</w:t>
        </w:r>
      </w:hyperlink>
      <w:r>
        <w:rPr>
          <w:lang w:val="fr-FR"/>
        </w:rPr>
        <w:t xml:space="preserve">, annexe, par. 49 à 58. </w:t>
      </w:r>
    </w:p>
  </w:footnote>
  <w:footnote w:id="10">
    <w:p w14:paraId="313E4D81" w14:textId="7303FCBF" w:rsidR="00E01431" w:rsidRPr="004C19A3" w:rsidRDefault="00E01431" w:rsidP="00E01431">
      <w:pPr>
        <w:pStyle w:val="Notedebasdepage"/>
        <w:rPr>
          <w:lang w:val="fr-FR"/>
        </w:rPr>
      </w:pPr>
      <w:r w:rsidRPr="00AA1D48">
        <w:rPr>
          <w:lang w:val="fr-FR"/>
        </w:rPr>
        <w:tab/>
      </w:r>
      <w:r w:rsidRPr="00676213">
        <w:rPr>
          <w:rStyle w:val="Appelnotedebasdep"/>
        </w:rPr>
        <w:footnoteRef/>
      </w:r>
      <w:r>
        <w:rPr>
          <w:lang w:val="fr-FR"/>
        </w:rPr>
        <w:tab/>
      </w:r>
      <w:hyperlink r:id="rId16" w:history="1">
        <w:r w:rsidRPr="003B5DFC">
          <w:rPr>
            <w:rStyle w:val="Lienhypertexte"/>
            <w:lang w:val="fr-FR"/>
          </w:rPr>
          <w:t>CERD/C/KAZ/CO/6-7</w:t>
        </w:r>
      </w:hyperlink>
      <w:r>
        <w:rPr>
          <w:lang w:val="fr-FR"/>
        </w:rPr>
        <w:t xml:space="preserve">, par. 12 ; </w:t>
      </w:r>
      <w:hyperlink r:id="rId17" w:history="1">
        <w:r w:rsidRPr="003B5DFC">
          <w:rPr>
            <w:rStyle w:val="Lienhypertexte"/>
            <w:lang w:val="fr-FR"/>
          </w:rPr>
          <w:t>CERD/C/KAZ/8-10</w:t>
        </w:r>
      </w:hyperlink>
      <w:r>
        <w:rPr>
          <w:lang w:val="fr-FR"/>
        </w:rPr>
        <w:t xml:space="preserve">, annexe, par. 59 à 70. </w:t>
      </w:r>
    </w:p>
  </w:footnote>
  <w:footnote w:id="11">
    <w:p w14:paraId="3E301B1D" w14:textId="627A45C6" w:rsidR="00E01431" w:rsidRPr="004C19A3" w:rsidRDefault="00E01431" w:rsidP="00E01431">
      <w:pPr>
        <w:pStyle w:val="Notedebasdepage"/>
        <w:rPr>
          <w:lang w:val="fr-FR"/>
        </w:rPr>
      </w:pPr>
      <w:r w:rsidRPr="00AA1D48">
        <w:rPr>
          <w:lang w:val="fr-FR"/>
        </w:rPr>
        <w:tab/>
      </w:r>
      <w:r w:rsidRPr="00676213">
        <w:rPr>
          <w:rStyle w:val="Appelnotedebasdep"/>
        </w:rPr>
        <w:footnoteRef/>
      </w:r>
      <w:r>
        <w:rPr>
          <w:lang w:val="fr-FR"/>
        </w:rPr>
        <w:tab/>
      </w:r>
      <w:hyperlink r:id="rId18" w:history="1">
        <w:r w:rsidRPr="003B5DFC">
          <w:rPr>
            <w:rStyle w:val="Lienhypertexte"/>
            <w:lang w:val="fr-FR"/>
          </w:rPr>
          <w:t>CERD/C/KAZ/CO/6-7</w:t>
        </w:r>
      </w:hyperlink>
      <w:r>
        <w:rPr>
          <w:lang w:val="fr-FR"/>
        </w:rPr>
        <w:t xml:space="preserve">, par. 13 ; </w:t>
      </w:r>
      <w:hyperlink r:id="rId19" w:history="1">
        <w:r w:rsidRPr="003B5DFC">
          <w:rPr>
            <w:rStyle w:val="Lienhypertexte"/>
            <w:lang w:val="fr-FR"/>
          </w:rPr>
          <w:t>CERD/C/KAZ/8-10</w:t>
        </w:r>
      </w:hyperlink>
      <w:r>
        <w:rPr>
          <w:lang w:val="fr-FR"/>
        </w:rPr>
        <w:t xml:space="preserve">, annexe, par. 64 à 76. </w:t>
      </w:r>
    </w:p>
  </w:footnote>
  <w:footnote w:id="12">
    <w:p w14:paraId="568D0BCA" w14:textId="652931C1" w:rsidR="00E01431" w:rsidRPr="004C19A3" w:rsidRDefault="00E01431" w:rsidP="00E01431">
      <w:pPr>
        <w:pStyle w:val="Notedebasdepage"/>
        <w:rPr>
          <w:lang w:val="fr-FR"/>
        </w:rPr>
      </w:pPr>
      <w:r>
        <w:rPr>
          <w:lang w:val="fr-FR"/>
        </w:rPr>
        <w:tab/>
      </w:r>
      <w:r w:rsidRPr="00676213">
        <w:rPr>
          <w:rStyle w:val="Appelnotedebasdep"/>
        </w:rPr>
        <w:footnoteRef/>
      </w:r>
      <w:r>
        <w:rPr>
          <w:lang w:val="fr-FR"/>
        </w:rPr>
        <w:tab/>
        <w:t xml:space="preserve">Voir </w:t>
      </w:r>
      <w:hyperlink r:id="rId20" w:history="1">
        <w:r w:rsidRPr="003B5DFC">
          <w:rPr>
            <w:rStyle w:val="Lienhypertexte"/>
            <w:lang w:val="fr-FR"/>
          </w:rPr>
          <w:t>https://tbinternet.ohchr.org/Treaties/CERD/Shared%20Documents/KAZ/INT_CERD_ALE_KAZ_9502_E.pdf</w:t>
        </w:r>
      </w:hyperlink>
      <w:r>
        <w:rPr>
          <w:lang w:val="fr-FR"/>
        </w:rPr>
        <w:t>.</w:t>
      </w:r>
    </w:p>
  </w:footnote>
  <w:footnote w:id="13">
    <w:p w14:paraId="7C0A1F91" w14:textId="36E0AF3F"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21" w:history="1">
        <w:r w:rsidRPr="003B5DFC">
          <w:rPr>
            <w:rStyle w:val="Lienhypertexte"/>
            <w:lang w:val="fr-FR"/>
          </w:rPr>
          <w:t>CERD/C/KAZ/CO/6-7</w:t>
        </w:r>
      </w:hyperlink>
      <w:r>
        <w:rPr>
          <w:lang w:val="fr-FR"/>
        </w:rPr>
        <w:t xml:space="preserve">, par. 9 ; </w:t>
      </w:r>
      <w:hyperlink r:id="rId22" w:history="1">
        <w:r w:rsidRPr="003B5DFC">
          <w:rPr>
            <w:rStyle w:val="Lienhypertexte"/>
            <w:lang w:val="fr-FR"/>
          </w:rPr>
          <w:t>CERD/C/KAZ/8-10</w:t>
        </w:r>
      </w:hyperlink>
      <w:r>
        <w:rPr>
          <w:lang w:val="fr-FR"/>
        </w:rPr>
        <w:t>, par.</w:t>
      </w:r>
      <w:r w:rsidR="003B5DFC">
        <w:rPr>
          <w:lang w:val="fr-FR"/>
        </w:rPr>
        <w:t> </w:t>
      </w:r>
      <w:r>
        <w:rPr>
          <w:lang w:val="fr-FR"/>
        </w:rPr>
        <w:t>88 et 89, et annexe, par.</w:t>
      </w:r>
      <w:r w:rsidR="003B5DFC">
        <w:rPr>
          <w:lang w:val="fr-FR"/>
        </w:rPr>
        <w:t> </w:t>
      </w:r>
      <w:r>
        <w:rPr>
          <w:lang w:val="fr-FR"/>
        </w:rPr>
        <w:t xml:space="preserve">17 à 20 et 39 à 44. </w:t>
      </w:r>
    </w:p>
  </w:footnote>
  <w:footnote w:id="14">
    <w:p w14:paraId="2B6A000D" w14:textId="1BE72A85"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23" w:history="1">
        <w:r w:rsidRPr="003B5DFC">
          <w:rPr>
            <w:rStyle w:val="Lienhypertexte"/>
            <w:lang w:val="fr-FR"/>
          </w:rPr>
          <w:t>CERD/C/KAZ/CO/6-7</w:t>
        </w:r>
      </w:hyperlink>
      <w:r>
        <w:rPr>
          <w:lang w:val="fr-FR"/>
        </w:rPr>
        <w:t xml:space="preserve">, par. 17 ; </w:t>
      </w:r>
      <w:hyperlink r:id="rId24" w:history="1">
        <w:r w:rsidRPr="003B5DFC">
          <w:rPr>
            <w:rStyle w:val="Lienhypertexte"/>
            <w:lang w:val="fr-FR"/>
          </w:rPr>
          <w:t>CERD/C/KAZ/8-10</w:t>
        </w:r>
      </w:hyperlink>
      <w:r>
        <w:rPr>
          <w:lang w:val="fr-FR"/>
        </w:rPr>
        <w:t>, par.</w:t>
      </w:r>
      <w:r w:rsidR="003B5DFC">
        <w:rPr>
          <w:lang w:val="fr-FR"/>
        </w:rPr>
        <w:t> </w:t>
      </w:r>
      <w:r>
        <w:rPr>
          <w:lang w:val="fr-FR"/>
        </w:rPr>
        <w:t>201 et 202, et annexe, par.</w:t>
      </w:r>
      <w:r w:rsidR="003B5DFC">
        <w:rPr>
          <w:lang w:val="fr-FR"/>
        </w:rPr>
        <w:t> </w:t>
      </w:r>
      <w:r>
        <w:rPr>
          <w:lang w:val="fr-FR"/>
        </w:rPr>
        <w:t xml:space="preserve">121 à 152. </w:t>
      </w:r>
    </w:p>
  </w:footnote>
  <w:footnote w:id="15">
    <w:p w14:paraId="1C90CEAA" w14:textId="33C38ED7" w:rsidR="00E01431" w:rsidRPr="004C19A3" w:rsidRDefault="00E01431" w:rsidP="00E01431">
      <w:pPr>
        <w:pStyle w:val="Notedebasdepage"/>
        <w:rPr>
          <w:lang w:val="fr-FR"/>
        </w:rPr>
      </w:pPr>
      <w:r w:rsidRPr="00AA1D48">
        <w:rPr>
          <w:lang w:val="fr-FR"/>
        </w:rPr>
        <w:tab/>
      </w:r>
      <w:r w:rsidRPr="00676213">
        <w:rPr>
          <w:rStyle w:val="Appelnotedebasdep"/>
        </w:rPr>
        <w:footnoteRef/>
      </w:r>
      <w:r>
        <w:rPr>
          <w:lang w:val="fr-FR"/>
        </w:rPr>
        <w:tab/>
      </w:r>
      <w:hyperlink r:id="rId25" w:history="1">
        <w:r w:rsidRPr="003B5DFC">
          <w:rPr>
            <w:rStyle w:val="Lienhypertexte"/>
            <w:lang w:val="fr-FR"/>
          </w:rPr>
          <w:t>CERD/C/KAZ/CO/6-7</w:t>
        </w:r>
      </w:hyperlink>
      <w:r>
        <w:rPr>
          <w:lang w:val="fr-FR"/>
        </w:rPr>
        <w:t xml:space="preserve">, par. 14 ; </w:t>
      </w:r>
      <w:hyperlink r:id="rId26" w:history="1">
        <w:r w:rsidRPr="003B5DFC">
          <w:rPr>
            <w:rStyle w:val="Lienhypertexte"/>
            <w:lang w:val="fr-FR"/>
          </w:rPr>
          <w:t>CERD/C/KAZ/8-10</w:t>
        </w:r>
      </w:hyperlink>
      <w:r>
        <w:rPr>
          <w:lang w:val="fr-FR"/>
        </w:rPr>
        <w:t xml:space="preserve">, annexe, par. 77 à 82. </w:t>
      </w:r>
    </w:p>
  </w:footnote>
  <w:footnote w:id="16">
    <w:p w14:paraId="7A54FE5C" w14:textId="60EAD815" w:rsidR="00E01431" w:rsidRPr="004C19A3" w:rsidRDefault="00E01431" w:rsidP="00E01431">
      <w:pPr>
        <w:pStyle w:val="Notedebasdepage"/>
        <w:rPr>
          <w:lang w:val="fr-FR"/>
        </w:rPr>
      </w:pPr>
      <w:r w:rsidRPr="00AA1D48">
        <w:rPr>
          <w:lang w:val="fr-FR"/>
        </w:rPr>
        <w:tab/>
      </w:r>
      <w:r w:rsidRPr="00676213">
        <w:rPr>
          <w:rStyle w:val="Appelnotedebasdep"/>
        </w:rPr>
        <w:footnoteRef/>
      </w:r>
      <w:r>
        <w:rPr>
          <w:lang w:val="fr-FR"/>
        </w:rPr>
        <w:tab/>
      </w:r>
      <w:hyperlink r:id="rId27" w:history="1">
        <w:r w:rsidRPr="003B5DFC">
          <w:rPr>
            <w:rStyle w:val="Lienhypertexte"/>
            <w:lang w:val="fr-FR"/>
          </w:rPr>
          <w:t>CERD/C/KAZ/CO/6-7</w:t>
        </w:r>
      </w:hyperlink>
      <w:r>
        <w:rPr>
          <w:lang w:val="fr-FR"/>
        </w:rPr>
        <w:t xml:space="preserve">, par. 15 ; </w:t>
      </w:r>
      <w:hyperlink r:id="rId28" w:history="1">
        <w:r w:rsidRPr="003B5DFC">
          <w:rPr>
            <w:rStyle w:val="Lienhypertexte"/>
            <w:lang w:val="fr-FR"/>
          </w:rPr>
          <w:t>CERD/C/KAZ/8-10</w:t>
        </w:r>
      </w:hyperlink>
      <w:r>
        <w:rPr>
          <w:lang w:val="fr-FR"/>
        </w:rPr>
        <w:t xml:space="preserve">, annexe, par. 83 à 103. </w:t>
      </w:r>
    </w:p>
  </w:footnote>
  <w:footnote w:id="17">
    <w:p w14:paraId="29AF0EE0" w14:textId="5237148C"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29" w:history="1">
        <w:r w:rsidRPr="003B5DFC">
          <w:rPr>
            <w:rStyle w:val="Lienhypertexte"/>
            <w:lang w:val="fr-FR"/>
          </w:rPr>
          <w:t>CERD/C/KAZ/CO/6-7</w:t>
        </w:r>
      </w:hyperlink>
      <w:r>
        <w:rPr>
          <w:lang w:val="fr-FR"/>
        </w:rPr>
        <w:t xml:space="preserve">, par. 16 ; </w:t>
      </w:r>
      <w:hyperlink r:id="rId30" w:history="1">
        <w:r w:rsidRPr="003B5DFC">
          <w:rPr>
            <w:rStyle w:val="Lienhypertexte"/>
            <w:lang w:val="fr-FR"/>
          </w:rPr>
          <w:t>CERD/C/KAZ/8-10</w:t>
        </w:r>
      </w:hyperlink>
      <w:r>
        <w:rPr>
          <w:lang w:val="fr-FR"/>
        </w:rPr>
        <w:t>, annexe, par. 88, 104 à 120, 127 et 128.</w:t>
      </w:r>
    </w:p>
  </w:footnote>
  <w:footnote w:id="18">
    <w:p w14:paraId="3BDA802A" w14:textId="5542C52A"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31" w:history="1">
        <w:r w:rsidRPr="003B5DFC">
          <w:rPr>
            <w:rStyle w:val="Lienhypertexte"/>
            <w:lang w:val="fr-FR"/>
          </w:rPr>
          <w:t>CERD/C/KAZ/CO/6-7</w:t>
        </w:r>
      </w:hyperlink>
      <w:r>
        <w:rPr>
          <w:lang w:val="fr-FR"/>
        </w:rPr>
        <w:t xml:space="preserve">, par. 18 ; </w:t>
      </w:r>
      <w:hyperlink r:id="rId32" w:history="1">
        <w:r w:rsidRPr="003B5DFC">
          <w:rPr>
            <w:rStyle w:val="Lienhypertexte"/>
            <w:lang w:val="fr-FR"/>
          </w:rPr>
          <w:t>CERD/C/KAZ/8-10</w:t>
        </w:r>
      </w:hyperlink>
      <w:r>
        <w:rPr>
          <w:lang w:val="fr-FR"/>
        </w:rPr>
        <w:t xml:space="preserve">, annexe, par. 153 à 155. </w:t>
      </w:r>
    </w:p>
  </w:footnote>
  <w:footnote w:id="19">
    <w:p w14:paraId="4873AE76" w14:textId="77777777" w:rsidR="00E01431" w:rsidRPr="004C19A3" w:rsidRDefault="00E01431" w:rsidP="00E01431">
      <w:pPr>
        <w:pStyle w:val="Notedebasdepage"/>
        <w:rPr>
          <w:lang w:val="fr-FR"/>
        </w:rPr>
      </w:pPr>
      <w:r>
        <w:rPr>
          <w:lang w:val="fr-FR"/>
        </w:rPr>
        <w:tab/>
      </w:r>
      <w:r w:rsidRPr="00676213">
        <w:rPr>
          <w:rStyle w:val="Appelnotedebasdep"/>
        </w:rPr>
        <w:footnoteRef/>
      </w:r>
      <w:r>
        <w:rPr>
          <w:lang w:val="fr-FR"/>
        </w:rPr>
        <w:tab/>
        <w:t xml:space="preserve">Communication soumise par le Haut-Commissariat des Nations Unies pour les réfugiés dans le cadre de l’Examen périodique universel concernant le Kazakhstan (troisième cycle), p. 3. </w:t>
      </w:r>
    </w:p>
  </w:footnote>
  <w:footnote w:id="20">
    <w:p w14:paraId="18F8D197" w14:textId="25ECA928"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33" w:history="1">
        <w:r w:rsidRPr="00A1275A">
          <w:rPr>
            <w:rStyle w:val="Lienhypertexte"/>
            <w:lang w:val="fr-FR"/>
          </w:rPr>
          <w:t>CERD/C/KAZ/CO/6-7</w:t>
        </w:r>
      </w:hyperlink>
      <w:r>
        <w:rPr>
          <w:lang w:val="fr-FR"/>
        </w:rPr>
        <w:t xml:space="preserve">, par. 19 ; </w:t>
      </w:r>
      <w:hyperlink r:id="rId34" w:history="1">
        <w:r w:rsidRPr="00A1275A">
          <w:rPr>
            <w:rStyle w:val="Lienhypertexte"/>
            <w:lang w:val="fr-FR"/>
          </w:rPr>
          <w:t>CERD/C/KAZ/8-10</w:t>
        </w:r>
      </w:hyperlink>
      <w:r>
        <w:rPr>
          <w:lang w:val="fr-FR"/>
        </w:rPr>
        <w:t>, annexe, par.</w:t>
      </w:r>
      <w:r w:rsidR="00A1275A">
        <w:rPr>
          <w:lang w:val="fr-FR"/>
        </w:rPr>
        <w:t> </w:t>
      </w:r>
      <w:r>
        <w:rPr>
          <w:lang w:val="fr-FR"/>
        </w:rPr>
        <w:t xml:space="preserve">156. </w:t>
      </w:r>
    </w:p>
  </w:footnote>
  <w:footnote w:id="21">
    <w:p w14:paraId="1C8D56D7" w14:textId="77777777" w:rsidR="00E01431" w:rsidRPr="004C19A3" w:rsidRDefault="00E01431" w:rsidP="00E01431">
      <w:pPr>
        <w:pStyle w:val="Notedebasdepage"/>
        <w:rPr>
          <w:lang w:val="fr-FR"/>
        </w:rPr>
      </w:pPr>
      <w:r>
        <w:rPr>
          <w:lang w:val="fr-FR"/>
        </w:rPr>
        <w:tab/>
      </w:r>
      <w:r w:rsidRPr="00676213">
        <w:rPr>
          <w:rStyle w:val="Appelnotedebasdep"/>
        </w:rPr>
        <w:footnoteRef/>
      </w:r>
      <w:r>
        <w:rPr>
          <w:lang w:val="fr-FR"/>
        </w:rPr>
        <w:tab/>
        <w:t xml:space="preserve">Ibid. </w:t>
      </w:r>
    </w:p>
  </w:footnote>
  <w:footnote w:id="22">
    <w:p w14:paraId="7549266E" w14:textId="4F2F8A02" w:rsidR="00E01431" w:rsidRPr="004C19A3" w:rsidRDefault="00E01431" w:rsidP="00E01431">
      <w:pPr>
        <w:pStyle w:val="Notedebasdepage"/>
        <w:rPr>
          <w:lang w:val="fr-FR"/>
        </w:rPr>
      </w:pPr>
      <w:r>
        <w:rPr>
          <w:lang w:val="fr-FR"/>
        </w:rPr>
        <w:tab/>
      </w:r>
      <w:r w:rsidRPr="00676213">
        <w:rPr>
          <w:rStyle w:val="Appelnotedebasdep"/>
        </w:rPr>
        <w:footnoteRef/>
      </w:r>
      <w:r>
        <w:rPr>
          <w:lang w:val="fr-FR"/>
        </w:rPr>
        <w:tab/>
      </w:r>
      <w:hyperlink r:id="rId35" w:history="1">
        <w:r w:rsidRPr="00A1275A">
          <w:rPr>
            <w:rStyle w:val="Lienhypertexte"/>
            <w:lang w:val="fr-FR"/>
          </w:rPr>
          <w:t>CERD/C/KAZ/CO/6-7</w:t>
        </w:r>
      </w:hyperlink>
      <w:r>
        <w:rPr>
          <w:lang w:val="fr-FR"/>
        </w:rPr>
        <w:t xml:space="preserve">, par. 20 ; </w:t>
      </w:r>
      <w:hyperlink r:id="rId36" w:history="1">
        <w:r w:rsidRPr="00A1275A">
          <w:rPr>
            <w:rStyle w:val="Lienhypertexte"/>
            <w:lang w:val="fr-FR"/>
          </w:rPr>
          <w:t>CERD/C/KAZ/8-10</w:t>
        </w:r>
      </w:hyperlink>
      <w:r>
        <w:rPr>
          <w:lang w:val="fr-FR"/>
        </w:rPr>
        <w:t>, annexe, par.</w:t>
      </w:r>
      <w:r w:rsidR="00A1275A">
        <w:rPr>
          <w:lang w:val="fr-FR"/>
        </w:rPr>
        <w:t> </w:t>
      </w:r>
      <w:r>
        <w:rPr>
          <w:lang w:val="fr-FR"/>
        </w:rPr>
        <w:t xml:space="preserve">157 à 159.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C37B1" w14:textId="1D96A740" w:rsidR="00E01431" w:rsidRPr="00E01431" w:rsidRDefault="00E01431">
    <w:pPr>
      <w:pStyle w:val="En-tte"/>
    </w:pPr>
    <w:fldSimple w:instr=" TITLE  \* MERGEFORMAT ">
      <w:r w:rsidR="00A979DC">
        <w:t>CERD/C/KAZ/Q/8-10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F6E60" w14:textId="53695D59" w:rsidR="00E01431" w:rsidRPr="00E01431" w:rsidRDefault="00E01431" w:rsidP="00E01431">
    <w:pPr>
      <w:pStyle w:val="En-tte"/>
      <w:jc w:val="right"/>
    </w:pPr>
    <w:fldSimple w:instr=" TITLE  \* MERGEFORMAT ">
      <w:r w:rsidR="00A979DC">
        <w:t>CERD/C/KAZ/Q/8-10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C1"/>
    <w:rsid w:val="00017F94"/>
    <w:rsid w:val="00023842"/>
    <w:rsid w:val="000334F9"/>
    <w:rsid w:val="0007796D"/>
    <w:rsid w:val="000B7790"/>
    <w:rsid w:val="00111F2F"/>
    <w:rsid w:val="0014365E"/>
    <w:rsid w:val="00176178"/>
    <w:rsid w:val="001F525A"/>
    <w:rsid w:val="00215BEC"/>
    <w:rsid w:val="00223272"/>
    <w:rsid w:val="0024779E"/>
    <w:rsid w:val="00262657"/>
    <w:rsid w:val="003B5DFC"/>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331C1"/>
    <w:rsid w:val="00871C75"/>
    <w:rsid w:val="008776DC"/>
    <w:rsid w:val="009705C8"/>
    <w:rsid w:val="00984B29"/>
    <w:rsid w:val="009D5F1A"/>
    <w:rsid w:val="00A1275A"/>
    <w:rsid w:val="00A30353"/>
    <w:rsid w:val="00A979DC"/>
    <w:rsid w:val="00AC3823"/>
    <w:rsid w:val="00AE323C"/>
    <w:rsid w:val="00B00181"/>
    <w:rsid w:val="00B765F7"/>
    <w:rsid w:val="00BA0CA9"/>
    <w:rsid w:val="00BB0B66"/>
    <w:rsid w:val="00BB19C3"/>
    <w:rsid w:val="00C02897"/>
    <w:rsid w:val="00D3439C"/>
    <w:rsid w:val="00DB1831"/>
    <w:rsid w:val="00DC0149"/>
    <w:rsid w:val="00DD3BFD"/>
    <w:rsid w:val="00DF6678"/>
    <w:rsid w:val="00E01431"/>
    <w:rsid w:val="00E1582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4730F6"/>
  <w15:docId w15:val="{99AF264A-5854-4D52-9DC3-14C2C18B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B5D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RD/C/KAZ/CO/6-7" TargetMode="External"/><Relationship Id="rId13" Type="http://schemas.openxmlformats.org/officeDocument/2006/relationships/hyperlink" Target="https://undocs.org/fr/CERD/C/KAZ/8-10" TargetMode="External"/><Relationship Id="rId18" Type="http://schemas.openxmlformats.org/officeDocument/2006/relationships/hyperlink" Target="https://undocs.org/fr/CERD/C/KAZ/CO/6-7" TargetMode="External"/><Relationship Id="rId26" Type="http://schemas.openxmlformats.org/officeDocument/2006/relationships/hyperlink" Target="https://undocs.org/fr/CERD/C/KAZ/8-10" TargetMode="External"/><Relationship Id="rId3" Type="http://schemas.openxmlformats.org/officeDocument/2006/relationships/hyperlink" Target="https://undocs.org/fr/CERD/C/KAZ/8-10" TargetMode="External"/><Relationship Id="rId21" Type="http://schemas.openxmlformats.org/officeDocument/2006/relationships/hyperlink" Target="https://undocs.org/fr/CERD/C/KAZ/CO/6-7" TargetMode="External"/><Relationship Id="rId34" Type="http://schemas.openxmlformats.org/officeDocument/2006/relationships/hyperlink" Target="https://undocs.org/fr/CERD/C/KAZ/8-10" TargetMode="External"/><Relationship Id="rId7" Type="http://schemas.openxmlformats.org/officeDocument/2006/relationships/hyperlink" Target="https://undocs.org/fr/CERD/C/KAZ/8-10" TargetMode="External"/><Relationship Id="rId12" Type="http://schemas.openxmlformats.org/officeDocument/2006/relationships/hyperlink" Target="https://undocs.org/fr/CERD/C/KAZ/CO/6-7" TargetMode="External"/><Relationship Id="rId17" Type="http://schemas.openxmlformats.org/officeDocument/2006/relationships/hyperlink" Target="https://undocs.org/fr/CERD/C/KAZ/8-10" TargetMode="External"/><Relationship Id="rId25" Type="http://schemas.openxmlformats.org/officeDocument/2006/relationships/hyperlink" Target="https://undocs.org/fr/CERD/C/KAZ/CO/6-7" TargetMode="External"/><Relationship Id="rId33" Type="http://schemas.openxmlformats.org/officeDocument/2006/relationships/hyperlink" Target="https://undocs.org/fr/CERD/C/KAZ/CO/6-7" TargetMode="External"/><Relationship Id="rId2" Type="http://schemas.openxmlformats.org/officeDocument/2006/relationships/hyperlink" Target="https://undocs.org/fr/CERD/C/KAZ/CO/6-7" TargetMode="External"/><Relationship Id="rId16" Type="http://schemas.openxmlformats.org/officeDocument/2006/relationships/hyperlink" Target="https://undocs.org/fr/CERD/C/KAZ/CO/6-7" TargetMode="External"/><Relationship Id="rId20" Type="http://schemas.openxmlformats.org/officeDocument/2006/relationships/hyperlink" Target="https://tbinternet.ohchr.org/Treaties/CERD/Shared%20Documents/KAZ/INT_CERD_ALE_KAZ_9502_E.pdf" TargetMode="External"/><Relationship Id="rId29" Type="http://schemas.openxmlformats.org/officeDocument/2006/relationships/hyperlink" Target="https://undocs.org/fr/CERD/C/KAZ/CO/6-7" TargetMode="External"/><Relationship Id="rId1" Type="http://schemas.openxmlformats.org/officeDocument/2006/relationships/hyperlink" Target="https://undocs.org/fr/A/65/18" TargetMode="External"/><Relationship Id="rId6" Type="http://schemas.openxmlformats.org/officeDocument/2006/relationships/hyperlink" Target="https://undocs.org/fr/CERD/C/KAZ/CO/6-7" TargetMode="External"/><Relationship Id="rId11" Type="http://schemas.openxmlformats.org/officeDocument/2006/relationships/hyperlink" Target="https://undocs.org/fr/CERD/C/KAZ/8-10" TargetMode="External"/><Relationship Id="rId24" Type="http://schemas.openxmlformats.org/officeDocument/2006/relationships/hyperlink" Target="https://undocs.org/fr/CERD/C/KAZ/8-10" TargetMode="External"/><Relationship Id="rId32" Type="http://schemas.openxmlformats.org/officeDocument/2006/relationships/hyperlink" Target="https://undocs.org/fr/CERD/C/KAZ/8-10" TargetMode="External"/><Relationship Id="rId5" Type="http://schemas.openxmlformats.org/officeDocument/2006/relationships/hyperlink" Target="https://undocs.org/fr/CERD/C/KAZ/8-10" TargetMode="External"/><Relationship Id="rId15" Type="http://schemas.openxmlformats.org/officeDocument/2006/relationships/hyperlink" Target="https://undocs.org/fr/CERD/C/KAZ/8-10" TargetMode="External"/><Relationship Id="rId23" Type="http://schemas.openxmlformats.org/officeDocument/2006/relationships/hyperlink" Target="https://undocs.org/fr/CERD/C/KAZ/CO/6-7" TargetMode="External"/><Relationship Id="rId28" Type="http://schemas.openxmlformats.org/officeDocument/2006/relationships/hyperlink" Target="https://undocs.org/fr/CERD/C/KAZ/8-10" TargetMode="External"/><Relationship Id="rId36" Type="http://schemas.openxmlformats.org/officeDocument/2006/relationships/hyperlink" Target="https://undocs.org/fr/CERD/C/KAZ/8-10" TargetMode="External"/><Relationship Id="rId10" Type="http://schemas.openxmlformats.org/officeDocument/2006/relationships/hyperlink" Target="https://undocs.org/fr/CERD/C/KAZ/CO/6-7" TargetMode="External"/><Relationship Id="rId19" Type="http://schemas.openxmlformats.org/officeDocument/2006/relationships/hyperlink" Target="https://undocs.org/fr/CERD/C/KAZ/8-10" TargetMode="External"/><Relationship Id="rId31" Type="http://schemas.openxmlformats.org/officeDocument/2006/relationships/hyperlink" Target="https://undocs.org/fr/CERD/C/KAZ/CO/6-7" TargetMode="External"/><Relationship Id="rId4" Type="http://schemas.openxmlformats.org/officeDocument/2006/relationships/hyperlink" Target="https://undocs.org/fr/CERD/C/KAZ/CO/6-7" TargetMode="External"/><Relationship Id="rId9" Type="http://schemas.openxmlformats.org/officeDocument/2006/relationships/hyperlink" Target="https://undocs.org/fr/CERD/C/KAZ/8-10" TargetMode="External"/><Relationship Id="rId14" Type="http://schemas.openxmlformats.org/officeDocument/2006/relationships/hyperlink" Target="https://undocs.org/fr/CERD/C/KAZ/CO/6-7" TargetMode="External"/><Relationship Id="rId22" Type="http://schemas.openxmlformats.org/officeDocument/2006/relationships/hyperlink" Target="https://undocs.org/fr/CERD/C/KAZ/8-10" TargetMode="External"/><Relationship Id="rId27" Type="http://schemas.openxmlformats.org/officeDocument/2006/relationships/hyperlink" Target="https://undocs.org/fr/CERD/C/KAZ/CO/6-7" TargetMode="External"/><Relationship Id="rId30" Type="http://schemas.openxmlformats.org/officeDocument/2006/relationships/hyperlink" Target="https://undocs.org/fr/CERD/C/KAZ/8-10" TargetMode="External"/><Relationship Id="rId35" Type="http://schemas.openxmlformats.org/officeDocument/2006/relationships/hyperlink" Target="https://undocs.org/fr/CERD/C/KAZ/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3</Pages>
  <Words>1041</Words>
  <Characters>7289</Characters>
  <Application>Microsoft Office Word</Application>
  <DocSecurity>0</DocSecurity>
  <Lines>485</Lines>
  <Paragraphs>177</Paragraphs>
  <ScaleCrop>false</ScaleCrop>
  <HeadingPairs>
    <vt:vector size="2" baseType="variant">
      <vt:variant>
        <vt:lpstr>Titre</vt:lpstr>
      </vt:variant>
      <vt:variant>
        <vt:i4>1</vt:i4>
      </vt:variant>
    </vt:vector>
  </HeadingPairs>
  <TitlesOfParts>
    <vt:vector size="1" baseType="lpstr">
      <vt:lpstr>CERD/C/KAZ/Q/8-10</vt:lpstr>
    </vt:vector>
  </TitlesOfParts>
  <Company>DCM</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CERD/C/KAZ/Q/8-10</dc:title>
  <dc:subject/>
  <dc:creator>Christine CHAUTAGNAT</dc:creator>
  <cp:keywords/>
  <cp:lastModifiedBy>Christine Chautagnat</cp:lastModifiedBy>
  <cp:revision>2</cp:revision>
  <cp:lastPrinted>2022-03-02T10:06:00Z</cp:lastPrinted>
  <dcterms:created xsi:type="dcterms:W3CDTF">2022-03-02T10:14:00Z</dcterms:created>
  <dcterms:modified xsi:type="dcterms:W3CDTF">2022-03-02T10:14:00Z</dcterms:modified>
</cp:coreProperties>
</file>