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44412</w:t>
                  </w:r>
                  <w:r>
                    <w:rPr>
                      <w:lang w:val="en-US"/>
                    </w:rPr>
                    <w:fldChar w:fldCharType="end"/>
                  </w:r>
                  <w:r>
                    <w:rPr>
                      <w:lang w:val="en-US"/>
                    </w:rPr>
                    <w:t xml:space="preserve">   (R)</w:t>
                  </w:r>
                  <w:r>
                    <w:rPr>
                      <w:lang w:val="en-US"/>
                    </w:rPr>
                    <w:tab/>
                    <w:t>291203    060104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5405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CERD/C/431/Add.8</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16 October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r>
        <w:t>КОМИТЕТ</w:t>
      </w:r>
      <w:r>
        <w:rPr>
          <w:lang w:val="en-US"/>
        </w:rPr>
        <w:t xml:space="preserve"> </w:t>
      </w:r>
      <w:r>
        <w:t>ПО</w:t>
      </w:r>
      <w:r>
        <w:rPr>
          <w:lang w:val="en-US"/>
        </w:rPr>
        <w:t xml:space="preserve"> </w:t>
      </w:r>
      <w:r>
        <w:t>ЛИКВИДАЦИИ</w:t>
      </w:r>
    </w:p>
    <w:p w:rsidR="00000000" w:rsidRDefault="00000000">
      <w:pPr>
        <w:tabs>
          <w:tab w:val="left" w:pos="0"/>
          <w:tab w:val="left" w:pos="7086"/>
        </w:tabs>
        <w:suppressAutoHyphens/>
      </w:pPr>
      <w:r>
        <w:t>РАСОВОЙ ДИСКРИМИНАЦИИ</w:t>
      </w:r>
    </w:p>
    <w:p w:rsidR="00000000" w:rsidRDefault="00000000">
      <w:pPr>
        <w:pStyle w:val="FootnoteText"/>
        <w:tabs>
          <w:tab w:val="left" w:pos="0"/>
          <w:tab w:val="left" w:pos="7086"/>
        </w:tabs>
        <w:suppressAutoHyphens/>
        <w:spacing w:line="288" w:lineRule="auto"/>
      </w:pPr>
    </w:p>
    <w:p w:rsidR="00000000" w:rsidRDefault="00000000">
      <w:pPr>
        <w:pStyle w:val="FootnoteText"/>
        <w:tabs>
          <w:tab w:val="left" w:pos="0"/>
          <w:tab w:val="left" w:pos="7086"/>
        </w:tabs>
        <w:suppressAutoHyphens/>
        <w:spacing w:line="288" w:lineRule="auto"/>
      </w:pPr>
    </w:p>
    <w:p w:rsidR="00000000" w:rsidRDefault="00000000">
      <w:pPr>
        <w:pStyle w:val="FootnoteText"/>
        <w:tabs>
          <w:tab w:val="left" w:pos="0"/>
          <w:tab w:val="left" w:pos="7086"/>
        </w:tabs>
        <w:suppressAutoHyphens/>
        <w:spacing w:line="288" w:lineRule="auto"/>
      </w:pPr>
    </w:p>
    <w:p w:rsidR="00000000" w:rsidRDefault="00000000">
      <w:pPr>
        <w:pStyle w:val="BodyText"/>
        <w:rPr>
          <w:sz w:val="24"/>
        </w:rPr>
      </w:pPr>
      <w:r>
        <w:rPr>
          <w:sz w:val="24"/>
        </w:rPr>
        <w:t>ДОКЛАДЫ, ПРЕДСТАВЛЯЕМЫЕ ГОСУДАРСТВАМИ-УЧАСТНИКАМИ В СООТВЕТСТВИИ СО СТАТЬЕЙ 9 КОНВЕНЦИИ</w:t>
      </w:r>
    </w:p>
    <w:p w:rsidR="00000000" w:rsidRDefault="00000000">
      <w:pPr>
        <w:pStyle w:val="BodyText"/>
        <w:rPr>
          <w:sz w:val="24"/>
        </w:rPr>
      </w:pPr>
    </w:p>
    <w:p w:rsidR="00000000" w:rsidRDefault="00000000">
      <w:pPr>
        <w:pStyle w:val="BodyText"/>
        <w:rPr>
          <w:sz w:val="24"/>
          <w:u w:val="single"/>
        </w:rPr>
      </w:pPr>
      <w:r>
        <w:rPr>
          <w:sz w:val="24"/>
          <w:u w:val="single"/>
        </w:rPr>
        <w:t>Семнадцатые периодические доклады государств-участников</w:t>
      </w:r>
      <w:r>
        <w:rPr>
          <w:sz w:val="24"/>
        </w:rPr>
        <w:t>,</w:t>
      </w:r>
    </w:p>
    <w:p w:rsidR="00000000" w:rsidRDefault="00000000">
      <w:pPr>
        <w:pStyle w:val="BodyText"/>
        <w:rPr>
          <w:sz w:val="24"/>
          <w:u w:val="single"/>
        </w:rPr>
      </w:pPr>
      <w:r>
        <w:rPr>
          <w:sz w:val="24"/>
          <w:u w:val="single"/>
        </w:rPr>
        <w:t>подлежащие представлению в 2002 году</w:t>
      </w:r>
    </w:p>
    <w:p w:rsidR="00000000" w:rsidRDefault="00000000">
      <w:pPr>
        <w:pStyle w:val="BodyText"/>
        <w:rPr>
          <w:sz w:val="24"/>
        </w:rPr>
      </w:pPr>
    </w:p>
    <w:p w:rsidR="00000000" w:rsidRDefault="00000000">
      <w:pPr>
        <w:pStyle w:val="BodyText"/>
        <w:rPr>
          <w:sz w:val="24"/>
          <w:u w:val="single"/>
        </w:rPr>
      </w:pPr>
      <w:r>
        <w:rPr>
          <w:sz w:val="24"/>
          <w:u w:val="single"/>
        </w:rPr>
        <w:t>Добавление</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Бразилия*</w:t>
      </w:r>
    </w:p>
    <w:p w:rsidR="00000000" w:rsidRDefault="00000000">
      <w:pPr>
        <w:pStyle w:val="BodyText"/>
        <w:jc w:val="left"/>
        <w:rPr>
          <w:b w:val="0"/>
          <w:bCs w:val="0"/>
          <w:sz w:val="24"/>
        </w:rPr>
      </w:pPr>
    </w:p>
    <w:p w:rsidR="00000000" w:rsidRDefault="00000000">
      <w:pPr>
        <w:pStyle w:val="BodyText"/>
        <w:jc w:val="right"/>
        <w:rPr>
          <w:b w:val="0"/>
          <w:bCs w:val="0"/>
          <w:sz w:val="24"/>
        </w:rPr>
      </w:pPr>
      <w:r>
        <w:rPr>
          <w:b w:val="0"/>
          <w:bCs w:val="0"/>
          <w:sz w:val="24"/>
        </w:rPr>
        <w:t>[27 июня 2003 года]</w:t>
      </w:r>
    </w:p>
    <w:p w:rsidR="00000000" w:rsidRDefault="00000000">
      <w:pPr>
        <w:pStyle w:val="BodyText"/>
        <w:jc w:val="left"/>
        <w:rPr>
          <w:b w:val="0"/>
          <w:bCs w:val="0"/>
          <w:sz w:val="24"/>
        </w:rPr>
      </w:pPr>
    </w:p>
    <w:p w:rsidR="00000000" w:rsidRDefault="00000000">
      <w:pPr>
        <w:pStyle w:val="BodyText"/>
        <w:jc w:val="left"/>
        <w:rPr>
          <w:b w:val="0"/>
          <w:bCs w:val="0"/>
          <w:sz w:val="24"/>
        </w:rPr>
      </w:pPr>
    </w:p>
    <w:p w:rsidR="00000000" w:rsidRDefault="00000000">
      <w:pPr>
        <w:pStyle w:val="BodyText"/>
        <w:jc w:val="left"/>
        <w:rPr>
          <w:b w:val="0"/>
          <w:bCs w:val="0"/>
          <w:sz w:val="24"/>
        </w:rPr>
      </w:pPr>
      <w:r>
        <w:rPr>
          <w:b w:val="0"/>
          <w:bCs w:val="0"/>
          <w:sz w:val="24"/>
        </w:rPr>
        <w:t>_____________________</w:t>
      </w:r>
    </w:p>
    <w:p w:rsidR="00000000" w:rsidRDefault="00000000">
      <w:pPr>
        <w:pStyle w:val="BodyText"/>
        <w:spacing w:line="240" w:lineRule="auto"/>
        <w:jc w:val="left"/>
        <w:rPr>
          <w:b w:val="0"/>
          <w:bCs w:val="0"/>
          <w:sz w:val="24"/>
        </w:rPr>
      </w:pPr>
      <w:r>
        <w:rPr>
          <w:b w:val="0"/>
          <w:bCs w:val="0"/>
          <w:sz w:val="24"/>
        </w:rPr>
        <w:t>*</w:t>
      </w:r>
      <w:r>
        <w:rPr>
          <w:b w:val="0"/>
          <w:bCs w:val="0"/>
          <w:sz w:val="24"/>
        </w:rPr>
        <w:tab/>
        <w:t xml:space="preserve">В настоящем документе содержатся четырнадцатый, пятнадцатый, шестнадцатый и семнадцатый периодические доклады Бразилии, подлежавшие представлению соответственно 4 января 1996, 1998, 2000 и 2002 годов, и изложенные в одном документе.  Десятый, одиннадцатый, двенадцатый и тринадцатый периодические доклады Бразилии (изложены в одном документе) и краткие отчеты о заседаниях Комитета, на которых они рассматривались, см. в документах </w:t>
      </w:r>
      <w:r>
        <w:rPr>
          <w:b w:val="0"/>
          <w:bCs w:val="0"/>
          <w:sz w:val="24"/>
          <w:lang w:val="en-US"/>
        </w:rPr>
        <w:t>CERD</w:t>
      </w:r>
      <w:r>
        <w:rPr>
          <w:b w:val="0"/>
          <w:bCs w:val="0"/>
          <w:sz w:val="24"/>
        </w:rPr>
        <w:t>/</w:t>
      </w:r>
      <w:r>
        <w:rPr>
          <w:b w:val="0"/>
          <w:bCs w:val="0"/>
          <w:sz w:val="24"/>
          <w:lang w:val="en-US"/>
        </w:rPr>
        <w:t>C</w:t>
      </w:r>
      <w:r>
        <w:rPr>
          <w:b w:val="0"/>
          <w:bCs w:val="0"/>
          <w:sz w:val="24"/>
        </w:rPr>
        <w:t>/263/</w:t>
      </w:r>
      <w:r>
        <w:rPr>
          <w:b w:val="0"/>
          <w:bCs w:val="0"/>
          <w:sz w:val="24"/>
          <w:lang w:val="en-US"/>
        </w:rPr>
        <w:t>Add</w:t>
      </w:r>
      <w:r>
        <w:rPr>
          <w:b w:val="0"/>
          <w:bCs w:val="0"/>
          <w:sz w:val="24"/>
        </w:rPr>
        <w:t xml:space="preserve">.10 и </w:t>
      </w:r>
      <w:r>
        <w:rPr>
          <w:b w:val="0"/>
          <w:bCs w:val="0"/>
          <w:sz w:val="24"/>
          <w:lang w:val="en-US"/>
        </w:rPr>
        <w:t>CERD</w:t>
      </w:r>
      <w:r>
        <w:rPr>
          <w:b w:val="0"/>
          <w:bCs w:val="0"/>
          <w:sz w:val="24"/>
        </w:rPr>
        <w:t>/</w:t>
      </w:r>
      <w:r>
        <w:rPr>
          <w:b w:val="0"/>
          <w:bCs w:val="0"/>
          <w:sz w:val="24"/>
          <w:lang w:val="en-US"/>
        </w:rPr>
        <w:t>C</w:t>
      </w:r>
      <w:r>
        <w:rPr>
          <w:b w:val="0"/>
          <w:bCs w:val="0"/>
          <w:sz w:val="24"/>
        </w:rPr>
        <w:t>/</w:t>
      </w:r>
      <w:r>
        <w:rPr>
          <w:b w:val="0"/>
          <w:bCs w:val="0"/>
          <w:sz w:val="24"/>
          <w:lang w:val="en-US"/>
        </w:rPr>
        <w:t>SR</w:t>
      </w:r>
      <w:r>
        <w:rPr>
          <w:b w:val="0"/>
          <w:bCs w:val="0"/>
          <w:sz w:val="24"/>
        </w:rPr>
        <w:t>.1157, 1158, 1159.</w:t>
      </w:r>
    </w:p>
    <w:p w:rsidR="00000000" w:rsidRDefault="00000000">
      <w:pPr>
        <w:pStyle w:val="BodyText"/>
        <w:spacing w:line="240" w:lineRule="auto"/>
        <w:jc w:val="left"/>
        <w:rPr>
          <w:b w:val="0"/>
          <w:bCs w:val="0"/>
          <w:sz w:val="24"/>
        </w:rPr>
      </w:pPr>
    </w:p>
    <w:p w:rsidR="00000000" w:rsidRDefault="00000000">
      <w:pPr>
        <w:pStyle w:val="BodyText"/>
        <w:spacing w:before="240" w:line="240" w:lineRule="auto"/>
        <w:jc w:val="left"/>
        <w:rPr>
          <w:b w:val="0"/>
          <w:bCs w:val="0"/>
          <w:sz w:val="24"/>
        </w:rPr>
      </w:pPr>
      <w:r>
        <w:rPr>
          <w:b w:val="0"/>
          <w:bCs w:val="0"/>
          <w:sz w:val="24"/>
        </w:rPr>
        <w:tab/>
        <w:t>Информация, представленная Бразилией в соответствии со сводными руководящими принципами в отношении первой части докладов государств-участников, содержится в базовом документе (</w:t>
      </w:r>
      <w:r>
        <w:rPr>
          <w:b w:val="0"/>
          <w:bCs w:val="0"/>
          <w:sz w:val="24"/>
          <w:lang w:val="en-US"/>
        </w:rPr>
        <w:t>HRI</w:t>
      </w:r>
      <w:r>
        <w:rPr>
          <w:b w:val="0"/>
          <w:bCs w:val="0"/>
          <w:sz w:val="24"/>
        </w:rPr>
        <w:t>/</w:t>
      </w:r>
      <w:r>
        <w:rPr>
          <w:b w:val="0"/>
          <w:bCs w:val="0"/>
          <w:sz w:val="24"/>
          <w:lang w:val="en-US"/>
        </w:rPr>
        <w:t>CORE</w:t>
      </w:r>
      <w:r>
        <w:rPr>
          <w:b w:val="0"/>
          <w:bCs w:val="0"/>
          <w:sz w:val="24"/>
        </w:rPr>
        <w:t>/1/</w:t>
      </w:r>
      <w:r>
        <w:rPr>
          <w:b w:val="0"/>
          <w:bCs w:val="0"/>
          <w:sz w:val="24"/>
          <w:lang w:val="en-US"/>
        </w:rPr>
        <w:t>Add</w:t>
      </w:r>
      <w:r>
        <w:rPr>
          <w:b w:val="0"/>
          <w:bCs w:val="0"/>
          <w:sz w:val="24"/>
        </w:rPr>
        <w:t>.53).</w:t>
      </w:r>
    </w:p>
    <w:p w:rsidR="00000000" w:rsidRDefault="00000000">
      <w:pPr>
        <w:pStyle w:val="16"/>
        <w:tabs>
          <w:tab w:val="clear" w:pos="567"/>
          <w:tab w:val="clear" w:pos="6237"/>
          <w:tab w:val="left" w:pos="561"/>
          <w:tab w:val="left" w:pos="1134"/>
          <w:tab w:val="left" w:pos="1701"/>
          <w:tab w:val="left" w:pos="2268"/>
          <w:tab w:val="right" w:leader="dot" w:pos="7172"/>
          <w:tab w:val="center" w:pos="8039"/>
          <w:tab w:val="center" w:pos="9122"/>
        </w:tabs>
      </w:pPr>
      <w:r>
        <w:br w:type="page"/>
        <w:t>СОДЕРЖАНИЕ</w:t>
      </w:r>
    </w:p>
    <w:p w:rsidR="00000000" w:rsidRDefault="00000000">
      <w:pPr>
        <w:pStyle w:val="16"/>
      </w:pPr>
    </w:p>
    <w:p w:rsidR="00000000" w:rsidRDefault="00000000">
      <w:pPr>
        <w:pStyle w:val="16"/>
        <w:tabs>
          <w:tab w:val="clear" w:pos="6237"/>
          <w:tab w:val="left" w:pos="567"/>
          <w:tab w:val="left" w:pos="1134"/>
          <w:tab w:val="left" w:pos="1701"/>
          <w:tab w:val="left" w:pos="2268"/>
          <w:tab w:val="center" w:pos="8039"/>
          <w:tab w:val="center" w:pos="9122"/>
        </w:tabs>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left" w:pos="567"/>
          <w:tab w:val="left" w:pos="1134"/>
          <w:tab w:val="left" w:pos="1701"/>
          <w:tab w:val="left" w:pos="2268"/>
          <w:tab w:val="center" w:pos="8039"/>
          <w:tab w:val="center" w:pos="9122"/>
        </w:tabs>
        <w:jc w:val="left"/>
      </w:pPr>
    </w:p>
    <w:p w:rsidR="00000000" w:rsidRDefault="00000000">
      <w:pPr>
        <w:pStyle w:val="16"/>
        <w:tabs>
          <w:tab w:val="clear" w:pos="1134"/>
          <w:tab w:val="clear" w:pos="1701"/>
          <w:tab w:val="clear" w:pos="2268"/>
          <w:tab w:val="clear" w:pos="6237"/>
          <w:tab w:val="decimal" w:pos="567"/>
          <w:tab w:val="left" w:pos="851"/>
          <w:tab w:val="right" w:leader="dot" w:pos="7172"/>
          <w:tab w:val="center" w:pos="8039"/>
          <w:tab w:val="center" w:pos="9122"/>
        </w:tabs>
        <w:jc w:val="left"/>
      </w:pPr>
      <w:r>
        <w:t>Введение</w:t>
      </w:r>
      <w:r>
        <w:tab/>
      </w:r>
      <w:r>
        <w:tab/>
        <w:t>1 - 24</w:t>
      </w:r>
      <w:r>
        <w:tab/>
        <w:t>6</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rPr>
          <w:lang w:val="en-US"/>
        </w:rPr>
        <w:t>I</w:t>
      </w:r>
      <w:r>
        <w:t>.</w:t>
      </w:r>
      <w:r>
        <w:tab/>
        <w:t>ОБЩИЕ СВЕДЕНИЯ</w:t>
      </w:r>
      <w:r>
        <w:tab/>
      </w:r>
      <w:r>
        <w:tab/>
        <w:t xml:space="preserve"> 25 - 212</w:t>
      </w:r>
      <w:r>
        <w:tab/>
        <w:t>12</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А.</w:t>
      </w:r>
      <w:r>
        <w:tab/>
        <w:t>Защита прав человека на национальном уровне</w:t>
      </w:r>
      <w:r>
        <w:tab/>
      </w:r>
      <w:r>
        <w:tab/>
        <w:t>25 - 30</w:t>
      </w:r>
      <w:r>
        <w:tab/>
        <w:t>12</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В.</w:t>
      </w:r>
      <w:r>
        <w:tab/>
        <w:t>Федеральная конституция, федеральное</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r>
      <w:r>
        <w:tab/>
        <w:t>законодательство и конституции штатов</w:t>
      </w:r>
      <w:r>
        <w:tab/>
      </w:r>
      <w:r>
        <w:tab/>
        <w:t>31 - 49</w:t>
      </w:r>
      <w:r>
        <w:tab/>
        <w:t>14</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rPr>
          <w:lang w:val="en-US"/>
        </w:rPr>
        <w:t>II</w:t>
      </w:r>
      <w:r>
        <w:t>.</w:t>
      </w:r>
      <w:r>
        <w:tab/>
        <w:t>ОСУЩЕСТВЛЕНИЕ СТАТЕЙ 2-7 КОНВЕНЦИИ</w:t>
      </w:r>
      <w:r>
        <w:tab/>
      </w:r>
      <w:r>
        <w:tab/>
        <w:t>50 - 212</w:t>
      </w:r>
      <w:r>
        <w:tab/>
        <w:t>21</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2</w:t>
      </w:r>
      <w:r>
        <w:tab/>
      </w:r>
      <w:r>
        <w:tab/>
        <w:t>50 - 64</w:t>
      </w:r>
      <w:r>
        <w:tab/>
        <w:t>21</w:t>
      </w: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3</w:t>
      </w:r>
      <w:r>
        <w:tab/>
      </w:r>
      <w:r>
        <w:tab/>
        <w:t>65 - 67</w:t>
      </w:r>
      <w:r>
        <w:tab/>
        <w:t>25</w:t>
      </w: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4</w:t>
      </w:r>
      <w:r>
        <w:tab/>
      </w:r>
      <w:r>
        <w:tab/>
        <w:t>68 - 89</w:t>
      </w:r>
      <w:r>
        <w:tab/>
        <w:t>26</w:t>
      </w: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5</w:t>
      </w:r>
      <w:r>
        <w:tab/>
      </w:r>
      <w:r>
        <w:tab/>
        <w:t>90 - 165</w:t>
      </w:r>
      <w:r>
        <w:tab/>
        <w:t>32</w:t>
      </w: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6</w:t>
      </w:r>
      <w:r>
        <w:tab/>
      </w:r>
      <w:r>
        <w:tab/>
        <w:t>166 - 174</w:t>
      </w:r>
      <w:r>
        <w:tab/>
        <w:t>50</w:t>
      </w:r>
    </w:p>
    <w:p w:rsidR="00000000" w:rsidRDefault="00000000">
      <w:pPr>
        <w:pStyle w:val="16"/>
        <w:tabs>
          <w:tab w:val="clear" w:pos="2268"/>
          <w:tab w:val="clear" w:pos="6237"/>
          <w:tab w:val="decimal" w:pos="567"/>
          <w:tab w:val="left" w:pos="1134"/>
          <w:tab w:val="left" w:pos="1701"/>
          <w:tab w:val="left" w:pos="1985"/>
          <w:tab w:val="right" w:leader="dot" w:pos="7172"/>
          <w:tab w:val="center" w:pos="8039"/>
          <w:tab w:val="center" w:pos="9122"/>
        </w:tabs>
        <w:jc w:val="left"/>
      </w:pPr>
      <w:r>
        <w:tab/>
      </w:r>
      <w:r>
        <w:tab/>
        <w:t>Статья 7</w:t>
      </w:r>
      <w:r>
        <w:tab/>
      </w:r>
      <w:r>
        <w:tab/>
        <w:t>175 - 212</w:t>
      </w:r>
      <w:r>
        <w:tab/>
        <w:t>53</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rPr>
          <w:lang w:val="en-US"/>
        </w:rPr>
        <w:t>III</w:t>
      </w:r>
      <w:r>
        <w:t>.</w:t>
      </w:r>
      <w:r>
        <w:tab/>
        <w:t>ОБЩИЕ ЗАМЕЧАНИЯ ПО ВОПРОСУ О РАСИЗМЕ</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И ДИСКРИМИНАЦИИ В УСЛОВИЯХ</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r>
        <w:tab/>
      </w:r>
      <w:r>
        <w:tab/>
        <w:t>БРАЗИЛЬСКОГО ОБЩЕСТВА</w:t>
      </w:r>
      <w:r>
        <w:tab/>
      </w:r>
      <w:r>
        <w:tab/>
        <w:t>213 - 253</w:t>
      </w:r>
      <w:r>
        <w:tab/>
      </w:r>
      <w:r>
        <w:rPr>
          <w:lang w:val="en-US"/>
        </w:rPr>
        <w:t>64</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t>IV.</w:t>
      </w:r>
      <w:r>
        <w:tab/>
        <w:t>К ИСТОРИИ ВОПРОСА О РАСИЗМЕ И</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ДИСКРИМИНАЦИИ В БРАЗИЛИИ</w:t>
      </w:r>
      <w:r>
        <w:tab/>
      </w:r>
      <w:r>
        <w:tab/>
        <w:t>254 - 273</w:t>
      </w:r>
      <w:r>
        <w:tab/>
        <w:t>83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V</w:t>
      </w:r>
      <w:r>
        <w:t>.</w:t>
      </w:r>
      <w:r>
        <w:tab/>
        <w:t>ПОДГОТОВКА БРАЗИЛИИ К ВСЕМИРНОЙ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КОНФЕРЕНЦИИ ПО БОРЬБЕ ПРОТИВ РАСИЗМА</w:t>
      </w:r>
      <w:r>
        <w:tab/>
      </w:r>
      <w:r>
        <w:tab/>
        <w:t>274 - 301</w:t>
      </w:r>
      <w:r>
        <w:tab/>
        <w:t>88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VI</w:t>
      </w:r>
      <w:r>
        <w:t>.</w:t>
      </w:r>
      <w:r>
        <w:tab/>
        <w:t>ПОЗИТИВНЫЕ ДЕЙСТВИЯ</w:t>
      </w:r>
      <w:r>
        <w:tab/>
      </w:r>
      <w:r>
        <w:tab/>
        <w:t>302 - 328</w:t>
      </w:r>
      <w:r>
        <w:tab/>
        <w:t>104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VII</w:t>
      </w:r>
      <w:r>
        <w:t>.</w:t>
      </w:r>
      <w:r>
        <w:tab/>
        <w:t>НАЦИОНАЛЬНАЯ ПРОГРАММА ПО ПРАВАМ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ЧЕЛОВЕКА И ВОПРОСЫ РАСИЗМА</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И ДИСКРИМИНАЦИИ</w:t>
      </w:r>
      <w:r>
        <w:tab/>
      </w:r>
      <w:r>
        <w:tab/>
        <w:t>329 - 353</w:t>
      </w:r>
      <w:r>
        <w:tab/>
      </w:r>
      <w:r>
        <w:rPr>
          <w:lang w:val="en-US"/>
        </w:rPr>
        <w:t>114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6"/>
        <w:tabs>
          <w:tab w:val="clear" w:pos="567"/>
          <w:tab w:val="clear" w:pos="6237"/>
          <w:tab w:val="left" w:pos="561"/>
          <w:tab w:val="left" w:pos="1134"/>
          <w:tab w:val="left" w:pos="1701"/>
          <w:tab w:val="left" w:pos="2268"/>
          <w:tab w:val="right" w:leader="dot" w:pos="7172"/>
          <w:tab w:val="center" w:pos="8039"/>
          <w:tab w:val="center" w:pos="9122"/>
        </w:tabs>
      </w:pPr>
      <w:r>
        <w:br w:type="page"/>
        <w:t>СОДЕРЖАНИЕ</w:t>
      </w:r>
      <w:r>
        <w:rPr>
          <w:lang w:val="en-US"/>
        </w:rPr>
        <w:t xml:space="preserve"> </w:t>
      </w:r>
      <w:r>
        <w:t>(</w:t>
      </w:r>
      <w:r>
        <w:rPr>
          <w:u w:val="single"/>
        </w:rPr>
        <w:t>продолжение</w:t>
      </w:r>
      <w:r>
        <w:t>)</w:t>
      </w:r>
    </w:p>
    <w:p w:rsidR="00000000" w:rsidRDefault="00000000">
      <w:pPr>
        <w:pStyle w:val="16"/>
      </w:pPr>
    </w:p>
    <w:p w:rsidR="00000000" w:rsidRDefault="00000000">
      <w:pPr>
        <w:pStyle w:val="16"/>
        <w:tabs>
          <w:tab w:val="clear" w:pos="6237"/>
          <w:tab w:val="left" w:pos="567"/>
          <w:tab w:val="left" w:pos="1134"/>
          <w:tab w:val="left" w:pos="1701"/>
          <w:tab w:val="left" w:pos="2268"/>
          <w:tab w:val="center" w:pos="8039"/>
          <w:tab w:val="center" w:pos="9122"/>
        </w:tabs>
        <w:jc w:val="left"/>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VIII</w:t>
      </w:r>
      <w:r>
        <w:t>.</w:t>
      </w:r>
      <w:r>
        <w:tab/>
        <w:t>НАЦИОНАЛЬНАЯ ПРОГРАММА ПОЗИТИВНЫХ</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ДЕЙСТВИЙ</w:t>
      </w:r>
      <w:r>
        <w:tab/>
      </w:r>
      <w:r>
        <w:tab/>
        <w:t>354 - 385</w:t>
      </w:r>
      <w:r>
        <w:tab/>
      </w:r>
      <w:r>
        <w:rPr>
          <w:lang w:val="en-US"/>
        </w:rPr>
        <w:t>134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Краткая оценка политики позитивных действий,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недавно принятой Бразилией</w:t>
      </w:r>
      <w:r>
        <w:tab/>
      </w:r>
      <w:r>
        <w:tab/>
        <w:t>360 - 376</w:t>
      </w:r>
      <w:r>
        <w:tab/>
        <w:t>136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Перспективы дальнейшего развития политики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позитивных действий в Бразилии</w:t>
      </w:r>
      <w:r>
        <w:tab/>
      </w:r>
      <w:r>
        <w:tab/>
        <w:t>377 - 385</w:t>
      </w:r>
      <w:r>
        <w:tab/>
        <w:t>141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IX</w:t>
      </w:r>
      <w:r>
        <w:t>.</w:t>
      </w:r>
      <w:r>
        <w:tab/>
        <w:t>ДИСКРИМИНАЦИОННАЯ ПРАКТИКА</w:t>
      </w:r>
      <w:r>
        <w:tab/>
      </w:r>
      <w:r>
        <w:tab/>
        <w:t>386 - 461</w:t>
      </w:r>
      <w:r>
        <w:tab/>
        <w:t>148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Х.</w:t>
      </w:r>
      <w:r>
        <w:tab/>
        <w:t>ВЫВОДЫ, КОММЕНТАРИИ И ПРЕДЛОЖЕНИЯ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КОМИТЕТА ПО ЛИКВИДАЦИИ РАСОВОЙ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ДИСКРИМИНАЦИИ ПРАВИТЕЛЬСТВУ БРАЗИЛИИ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 ОТНОШЕНИИ ДЕСЯТОГО, ОДИННАДЦАТОГО,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ДВЕНАДЦАТОГО И ТРИНАДЦАТОГО</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ПЕРИОДИЧЕСКИХ ДОКЛАДОВ</w:t>
      </w:r>
      <w:r>
        <w:tab/>
      </w:r>
      <w:r>
        <w:tab/>
        <w:t>462 - 567</w:t>
      </w:r>
      <w:r>
        <w:tab/>
      </w:r>
      <w:r>
        <w:rPr>
          <w:lang w:val="en-US"/>
        </w:rPr>
        <w:t>166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pPr>
      <w:r>
        <w:t>Приложения*</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t>I.</w:t>
      </w:r>
      <w:r>
        <w:tab/>
        <w:t>ИСТОЧНИКИ И ССЫЛКИ</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rPr>
          <w:lang w:val="en-US"/>
        </w:rPr>
        <w:t>II</w:t>
      </w:r>
      <w:r>
        <w:t>.</w:t>
      </w:r>
      <w:r>
        <w:tab/>
        <w:t>СУДЕБНЫЕ РЕШЕНИЯ, ПРИНЯТЫЕ ПО ДЕЛАМ О РАСОВОЙ</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ДИСКРИМИНАЦИИ В СООТВЕТСТВИИ С ПОЛОЖЕНИЯМИ</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tab/>
      </w:r>
      <w:r>
        <w:tab/>
        <w:t>ЗАКОНА № 7716/89 И ЗАКОНА № 9459/97</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_______________________</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lang w:val="en-US"/>
        </w:rPr>
      </w:pPr>
      <w:r>
        <w:rPr>
          <w:b/>
          <w:bCs/>
        </w:rPr>
        <w:t>*</w:t>
      </w:r>
      <w:r>
        <w:tab/>
        <w:t>С приложениями можно ознакомиться в архиве секретариата.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000000" w:rsidRDefault="00000000">
      <w:pPr>
        <w:pStyle w:val="16"/>
      </w:pPr>
      <w:r>
        <w:br w:type="page"/>
        <w:t>СОКРАЩЕНИЯ</w:t>
      </w:r>
    </w:p>
    <w:p w:rsidR="00000000" w:rsidRDefault="00000000">
      <w:pPr>
        <w:pStyle w:val="16"/>
      </w:pPr>
    </w:p>
    <w:p w:rsidR="00000000" w:rsidRDefault="00000000">
      <w:pPr>
        <w:pStyle w:val="FootnoteText"/>
        <w:tabs>
          <w:tab w:val="clear" w:pos="567"/>
          <w:tab w:val="clear" w:pos="1134"/>
          <w:tab w:val="clear" w:pos="1701"/>
          <w:tab w:val="left" w:pos="561"/>
          <w:tab w:val="left" w:pos="1309"/>
          <w:tab w:val="left" w:pos="1683"/>
        </w:tabs>
        <w:spacing w:line="288" w:lineRule="auto"/>
      </w:pPr>
      <w:r>
        <w:t>НБЭСР</w:t>
      </w:r>
      <w:r>
        <w:tab/>
      </w:r>
      <w:r>
        <w:tab/>
        <w:t>Национальный банк экономического и социального развития</w:t>
      </w:r>
    </w:p>
    <w:p w:rsidR="00000000" w:rsidRDefault="00000000">
      <w:pPr>
        <w:pStyle w:val="FootnoteText"/>
        <w:tabs>
          <w:tab w:val="clear" w:pos="567"/>
          <w:tab w:val="clear" w:pos="1134"/>
          <w:tab w:val="clear" w:pos="1701"/>
          <w:tab w:val="left" w:pos="561"/>
          <w:tab w:val="left" w:pos="1309"/>
          <w:tab w:val="left" w:pos="1683"/>
        </w:tabs>
        <w:spacing w:line="288" w:lineRule="auto"/>
      </w:pPr>
    </w:p>
    <w:p w:rsidR="00000000" w:rsidRDefault="00000000">
      <w:pPr>
        <w:pStyle w:val="FootnoteText"/>
        <w:tabs>
          <w:tab w:val="clear" w:pos="567"/>
          <w:tab w:val="clear" w:pos="1134"/>
          <w:tab w:val="clear" w:pos="1701"/>
          <w:tab w:val="left" w:pos="561"/>
          <w:tab w:val="left" w:pos="1309"/>
          <w:tab w:val="left" w:pos="1683"/>
        </w:tabs>
        <w:spacing w:line="288" w:lineRule="auto"/>
      </w:pPr>
      <w:r>
        <w:t>ППЛ</w:t>
      </w:r>
      <w:r>
        <w:tab/>
      </w:r>
      <w:r>
        <w:tab/>
      </w:r>
      <w:r>
        <w:tab/>
        <w:t>Постоянно предоставляемые льготы</w:t>
      </w:r>
    </w:p>
    <w:p w:rsidR="00000000" w:rsidRDefault="00000000">
      <w:pPr>
        <w:pStyle w:val="FootnoteText"/>
        <w:tabs>
          <w:tab w:val="clear" w:pos="567"/>
          <w:tab w:val="clear" w:pos="1134"/>
          <w:tab w:val="clear" w:pos="1701"/>
          <w:tab w:val="left" w:pos="56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КИМИ</w:t>
      </w:r>
      <w:r>
        <w:tab/>
      </w:r>
      <w:r>
        <w:tab/>
        <w:t>Миссионерский совет коренных народов</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КОДЕФАТ</w:t>
      </w:r>
      <w:r>
        <w:tab/>
      </w:r>
      <w:r>
        <w:tab/>
        <w:t>Консультативный совет Фонда поддержки трудящихся</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КОНАРЕ</w:t>
      </w:r>
      <w:r>
        <w:tab/>
      </w:r>
      <w:r>
        <w:tab/>
        <w:t>Национальный комитет по делам беженцев</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ФАТ</w:t>
      </w:r>
      <w:r>
        <w:tab/>
      </w:r>
      <w:r>
        <w:tab/>
        <w:t>Фонд помощи трудящимся</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ФУНАИ</w:t>
      </w:r>
      <w:r>
        <w:tab/>
      </w:r>
      <w:r>
        <w:tab/>
        <w:t>Национальный фонд индейцев</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ФУНАСА</w:t>
      </w:r>
      <w:r>
        <w:tab/>
      </w:r>
      <w:r>
        <w:tab/>
        <w:t>Национальный фонд здравоохранения</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ВВП</w:t>
      </w:r>
      <w:r>
        <w:tab/>
      </w:r>
      <w:r>
        <w:tab/>
        <w:t>Валовой внутренний продукт</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ind w:left="1683" w:hanging="1683"/>
      </w:pPr>
      <w:r>
        <w:t>ГРАДИ</w:t>
      </w:r>
      <w:r>
        <w:tab/>
      </w:r>
      <w:r>
        <w:tab/>
        <w:t>Группа по искоренению и анализу причин преступлений на почве нетерпимости</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ГТЕДЕО</w:t>
      </w:r>
      <w:r>
        <w:tab/>
      </w:r>
      <w:r>
        <w:tab/>
        <w:t>Рабочая группа по искоренению дискриминации в области занятости</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МРГ</w:t>
      </w:r>
      <w:r>
        <w:tab/>
      </w:r>
      <w:r>
        <w:tab/>
        <w:t>Межминистерская рабочая группа по вопросам чернокожего населения</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pPr>
      <w:r>
        <w:t>ИРЧП</w:t>
      </w:r>
      <w:r>
        <w:tab/>
      </w:r>
      <w:r>
        <w:tab/>
        <w:t>Индекс развития человеческого потенциала</w:t>
      </w:r>
    </w:p>
    <w:p w:rsidR="00000000" w:rsidRDefault="00000000">
      <w:pPr>
        <w:pStyle w:val="FootnoteText"/>
        <w:tabs>
          <w:tab w:val="clear" w:pos="567"/>
          <w:tab w:val="clear" w:pos="1134"/>
          <w:tab w:val="clear" w:pos="1701"/>
          <w:tab w:val="left" w:pos="1309"/>
          <w:tab w:val="left" w:pos="1683"/>
        </w:tabs>
        <w:spacing w:line="288" w:lineRule="auto"/>
      </w:pPr>
    </w:p>
    <w:p w:rsidR="00000000" w:rsidRDefault="00000000">
      <w:pPr>
        <w:pStyle w:val="FootnoteText"/>
        <w:tabs>
          <w:tab w:val="clear" w:pos="567"/>
          <w:tab w:val="clear" w:pos="1134"/>
          <w:tab w:val="clear" w:pos="1701"/>
          <w:tab w:val="left" w:pos="1309"/>
          <w:tab w:val="left" w:pos="1683"/>
        </w:tabs>
        <w:spacing w:line="288" w:lineRule="auto"/>
        <w:ind w:left="1683" w:hanging="1683"/>
      </w:pPr>
      <w:r>
        <w:t>БИОСПР</w:t>
      </w:r>
      <w:r>
        <w:tab/>
      </w:r>
      <w:r>
        <w:tab/>
        <w:t>Бразильский институт по вопросам окружающей среды и возобновляемых природных ресурсов</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БИГС</w:t>
      </w:r>
      <w:r>
        <w:tab/>
      </w:r>
      <w:r>
        <w:tab/>
        <w:t>Бразильский институт географии и статистики</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МОТ</w:t>
      </w:r>
      <w:r>
        <w:tab/>
      </w:r>
      <w:r>
        <w:tab/>
        <w:t>Международная организация труда</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ИНКРА</w:t>
      </w:r>
      <w:r>
        <w:tab/>
      </w:r>
      <w:r>
        <w:tab/>
        <w:t>Национальный институт освоения земель и аграрной реформы</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ИНСПИР</w:t>
      </w:r>
      <w:r>
        <w:tab/>
      </w:r>
      <w:r>
        <w:tab/>
        <w:t>Межамериканский профсоюзный институт за расовое равенство</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ИПЭИ</w:t>
      </w:r>
      <w:r>
        <w:tab/>
      </w:r>
      <w:r>
        <w:tab/>
        <w:t>Институт прикладных экономических исследований</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МЭР</w:t>
      </w:r>
      <w:r>
        <w:tab/>
      </w:r>
      <w:r>
        <w:tab/>
        <w:t>Министерство экономического развития</w:t>
      </w:r>
    </w:p>
    <w:p w:rsidR="00000000" w:rsidRDefault="00000000">
      <w:pPr>
        <w:pStyle w:val="FootnoteText"/>
        <w:tabs>
          <w:tab w:val="clear" w:pos="567"/>
          <w:tab w:val="clear" w:pos="1134"/>
          <w:tab w:val="clear" w:pos="1701"/>
          <w:tab w:val="left" w:pos="1309"/>
          <w:tab w:val="left" w:pos="1683"/>
        </w:tabs>
        <w:spacing w:line="288" w:lineRule="auto"/>
        <w:ind w:left="1309" w:hanging="1309"/>
      </w:pPr>
    </w:p>
    <w:p w:rsidR="00000000" w:rsidRDefault="00000000">
      <w:pPr>
        <w:pStyle w:val="FootnoteText"/>
        <w:tabs>
          <w:tab w:val="clear" w:pos="567"/>
          <w:tab w:val="clear" w:pos="1134"/>
          <w:tab w:val="clear" w:pos="1701"/>
          <w:tab w:val="left" w:pos="1309"/>
          <w:tab w:val="left" w:pos="1683"/>
        </w:tabs>
        <w:spacing w:line="288" w:lineRule="auto"/>
        <w:ind w:left="1309" w:hanging="1309"/>
      </w:pPr>
      <w:r>
        <w:t>НПО</w:t>
      </w:r>
      <w:r>
        <w:tab/>
      </w:r>
      <w:r>
        <w:tab/>
        <w:t>Неправительственные организации</w:t>
      </w:r>
    </w:p>
    <w:p w:rsidR="00000000" w:rsidRDefault="00000000"/>
    <w:p w:rsidR="00000000" w:rsidRDefault="00000000">
      <w:r>
        <w:t>ОАГ</w:t>
      </w:r>
      <w:r>
        <w:tab/>
      </w:r>
      <w:r>
        <w:tab/>
      </w:r>
      <w:r>
        <w:tab/>
        <w:t>Организация американских государств</w:t>
      </w:r>
    </w:p>
    <w:p w:rsidR="00000000" w:rsidRDefault="00000000"/>
    <w:p w:rsidR="00000000" w:rsidRDefault="00000000">
      <w:pPr>
        <w:ind w:left="1701" w:hanging="1701"/>
      </w:pPr>
      <w:r>
        <w:t>ОГООИ</w:t>
      </w:r>
      <w:r>
        <w:tab/>
      </w:r>
      <w:r>
        <w:tab/>
        <w:t>Организация гражданского общества, представляющая общественные интересы</w:t>
      </w:r>
    </w:p>
    <w:p w:rsidR="00000000" w:rsidRDefault="00000000">
      <w:pPr>
        <w:ind w:left="1701" w:hanging="1701"/>
      </w:pPr>
    </w:p>
    <w:p w:rsidR="00000000" w:rsidRDefault="00000000">
      <w:r>
        <w:t>ГКП</w:t>
      </w:r>
      <w:r>
        <w:tab/>
      </w:r>
      <w:r>
        <w:tab/>
      </w:r>
      <w:r>
        <w:tab/>
        <w:t>Государственные квалификационные планы</w:t>
      </w:r>
    </w:p>
    <w:p w:rsidR="00000000" w:rsidRDefault="00000000"/>
    <w:p w:rsidR="00000000" w:rsidRDefault="00000000">
      <w:r>
        <w:t>ПЛАНФОР</w:t>
      </w:r>
      <w:r>
        <w:tab/>
        <w:t>Национальный план профессиональной подготовки</w:t>
      </w:r>
    </w:p>
    <w:p w:rsidR="00000000" w:rsidRDefault="00000000"/>
    <w:p w:rsidR="00000000" w:rsidRDefault="00000000">
      <w:pPr>
        <w:ind w:left="1701" w:hanging="1701"/>
      </w:pPr>
      <w:r>
        <w:t>ОВОДХ</w:t>
      </w:r>
      <w:r>
        <w:tab/>
      </w:r>
      <w:r>
        <w:tab/>
        <w:t>Общенациональное выборочное обследование домашних хозяйств (БИГС)</w:t>
      </w:r>
    </w:p>
    <w:p w:rsidR="00000000" w:rsidRDefault="00000000">
      <w:pPr>
        <w:ind w:left="1701" w:hanging="1701"/>
      </w:pPr>
    </w:p>
    <w:p w:rsidR="00000000" w:rsidRDefault="00000000">
      <w:pPr>
        <w:ind w:left="1701" w:hanging="1701"/>
      </w:pPr>
      <w:r>
        <w:t>НППЧ</w:t>
      </w:r>
      <w:r>
        <w:tab/>
      </w:r>
      <w:r>
        <w:tab/>
        <w:t>Национальная программа по правам человека (1996 год)</w:t>
      </w:r>
    </w:p>
    <w:p w:rsidR="00000000" w:rsidRDefault="00000000">
      <w:pPr>
        <w:ind w:left="1701" w:hanging="1701"/>
      </w:pPr>
    </w:p>
    <w:p w:rsidR="00000000" w:rsidRDefault="00000000">
      <w:pPr>
        <w:ind w:left="1701" w:hanging="1701"/>
      </w:pPr>
      <w:r>
        <w:t xml:space="preserve">НППЧ </w:t>
      </w:r>
      <w:r>
        <w:rPr>
          <w:lang w:val="en-US"/>
        </w:rPr>
        <w:t>II</w:t>
      </w:r>
      <w:r>
        <w:tab/>
      </w:r>
      <w:r>
        <w:tab/>
        <w:t>Новая Национальная программа по правам человека (2002 год)</w:t>
      </w:r>
    </w:p>
    <w:p w:rsidR="00000000" w:rsidRDefault="00000000">
      <w:pPr>
        <w:ind w:left="1701" w:hanging="1701"/>
      </w:pPr>
    </w:p>
    <w:p w:rsidR="00000000" w:rsidRDefault="00000000">
      <w:pPr>
        <w:ind w:left="1701" w:hanging="1701"/>
      </w:pPr>
      <w:r>
        <w:t>ПРОДЖЕР</w:t>
      </w:r>
      <w:r>
        <w:tab/>
        <w:t>Программа создания рабочих мест и стимулирования доходов</w:t>
      </w:r>
    </w:p>
    <w:p w:rsidR="00000000" w:rsidRDefault="00000000">
      <w:pPr>
        <w:ind w:left="1701" w:hanging="1701"/>
      </w:pPr>
    </w:p>
    <w:p w:rsidR="00000000" w:rsidRDefault="00000000">
      <w:pPr>
        <w:ind w:left="1701" w:hanging="1701"/>
      </w:pPr>
      <w:r>
        <w:t>ПРОНАФ</w:t>
      </w:r>
      <w:r>
        <w:tab/>
      </w:r>
      <w:r>
        <w:tab/>
        <w:t>Национальная программа развития семейных фермерских хозяйств</w:t>
      </w:r>
    </w:p>
    <w:p w:rsidR="00000000" w:rsidRDefault="00000000">
      <w:pPr>
        <w:ind w:left="1701" w:hanging="1701"/>
      </w:pPr>
    </w:p>
    <w:p w:rsidR="00000000" w:rsidRDefault="00000000">
      <w:pPr>
        <w:ind w:left="1701" w:hanging="1701"/>
      </w:pPr>
      <w:r>
        <w:t>ПМД</w:t>
      </w:r>
      <w:r>
        <w:tab/>
      </w:r>
      <w:r>
        <w:tab/>
      </w:r>
      <w:r>
        <w:tab/>
        <w:t>Пожизненный месячный доход</w:t>
      </w:r>
    </w:p>
    <w:p w:rsidR="00000000" w:rsidRDefault="00000000">
      <w:pPr>
        <w:ind w:left="1701" w:hanging="1701"/>
      </w:pPr>
    </w:p>
    <w:p w:rsidR="00000000" w:rsidRDefault="00000000">
      <w:pPr>
        <w:ind w:left="1701" w:hanging="1701"/>
      </w:pPr>
      <w:r>
        <w:t>ВИС</w:t>
      </w:r>
      <w:r>
        <w:tab/>
      </w:r>
      <w:r>
        <w:tab/>
      </w:r>
      <w:r>
        <w:tab/>
        <w:t>Верховный избирательный суд</w:t>
      </w:r>
    </w:p>
    <w:p w:rsidR="00000000" w:rsidRDefault="00000000">
      <w:pPr>
        <w:ind w:left="1701" w:hanging="1701"/>
      </w:pPr>
    </w:p>
    <w:p w:rsidR="00000000" w:rsidRDefault="00000000">
      <w:pPr>
        <w:ind w:left="1701" w:hanging="1701"/>
      </w:pPr>
      <w:r>
        <w:t>УНЕМАТ</w:t>
      </w:r>
      <w:r>
        <w:tab/>
      </w:r>
      <w:r>
        <w:tab/>
        <w:t>Университет штата Мату-Гроссу</w:t>
      </w:r>
    </w:p>
    <w:p w:rsidR="00000000" w:rsidRDefault="00000000">
      <w:pPr>
        <w:ind w:left="1701" w:hanging="1701"/>
      </w:pPr>
    </w:p>
    <w:p w:rsidR="00000000" w:rsidRDefault="00000000">
      <w:pPr>
        <w:ind w:left="1701" w:hanging="1701"/>
      </w:pPr>
      <w:r>
        <w:t>ПРООН</w:t>
      </w:r>
      <w:r>
        <w:tab/>
      </w:r>
      <w:r>
        <w:tab/>
        <w:t>Программа развития Организации Объединенных Наций</w:t>
      </w:r>
    </w:p>
    <w:p w:rsidR="00000000" w:rsidRDefault="00000000">
      <w:pPr>
        <w:ind w:left="1701" w:hanging="1701"/>
        <w:rPr>
          <w:lang w:val="en-US"/>
        </w:rPr>
      </w:pPr>
    </w:p>
    <w:p w:rsidR="00000000" w:rsidRDefault="00000000"/>
    <w:p w:rsidR="00000000" w:rsidRDefault="00000000"/>
    <w:p w:rsidR="00000000" w:rsidRDefault="00000000">
      <w:pPr>
        <w:keepNext/>
        <w:jc w:val="center"/>
        <w:rPr>
          <w:b/>
          <w:bCs/>
        </w:rPr>
      </w:pPr>
      <w:r>
        <w:rPr>
          <w:b/>
          <w:bCs/>
        </w:rPr>
        <w:t>Введение</w:t>
      </w:r>
    </w:p>
    <w:p w:rsidR="00000000" w:rsidRDefault="00000000">
      <w:pPr>
        <w:keepNext/>
        <w:jc w:val="center"/>
        <w:rPr>
          <w:b/>
          <w:bCs/>
        </w:rPr>
      </w:pPr>
    </w:p>
    <w:p w:rsidR="00000000" w:rsidRDefault="00000000">
      <w:pPr>
        <w:keepNext/>
      </w:pPr>
      <w:r>
        <w:t>1.</w:t>
      </w:r>
      <w:r>
        <w:tab/>
        <w:t>настоящий доклад не содержит подробных сведений о населении и территории Бразилии, политической структуре этой страны или о нормах и руководящих принципах, регулирующих вопросы защиты прав человека в целом.  Однако такая информация находится в процессе обновления и будет затем направлена в Управление Верховного комиссара по правам человека в качестве приложения к базовому документу (</w:t>
      </w:r>
      <w:r>
        <w:rPr>
          <w:lang w:val="en-US"/>
        </w:rPr>
        <w:t>HRI</w:t>
      </w:r>
      <w:r>
        <w:t>/</w:t>
      </w:r>
      <w:r>
        <w:rPr>
          <w:lang w:val="en-US"/>
        </w:rPr>
        <w:t>CORE</w:t>
      </w:r>
      <w:r>
        <w:t>/1/</w:t>
      </w:r>
      <w:r>
        <w:rPr>
          <w:lang w:val="en-US"/>
        </w:rPr>
        <w:t>Add</w:t>
      </w:r>
      <w:r>
        <w:t>.53), представленному в сентябре 1994 года.</w:t>
      </w:r>
    </w:p>
    <w:p w:rsidR="00000000" w:rsidRDefault="00000000"/>
    <w:p w:rsidR="00000000" w:rsidRDefault="00000000">
      <w:r>
        <w:t>2.</w:t>
      </w:r>
      <w:r>
        <w:tab/>
        <w:t>Важной характерной чертой бразильской нации является удивительная этническая и культурная гибкость, сформировавшаяся в результате слияния ее различных составных компонентов.  Процесс образования нашей нации создал условия, позволяющие людям извлекать уроки из существующих различий и плюрализма, которые являются плодом слияния широкого спектра народов в единую нацию, обладающую самобытностью и имеющую америндные, европейские, африканские и азиатские корни.</w:t>
      </w:r>
    </w:p>
    <w:p w:rsidR="00000000" w:rsidRDefault="00000000"/>
    <w:p w:rsidR="00000000" w:rsidRDefault="00000000">
      <w:r>
        <w:t>3.</w:t>
      </w:r>
      <w:r>
        <w:tab/>
        <w:t>Тем не менее построение общества на основе культурного и этнического многообразия не выработало у Бразилии иммунитета от таких бед, как расизм и расовая нетерпимость.</w:t>
      </w:r>
    </w:p>
    <w:p w:rsidR="00000000" w:rsidRDefault="00000000"/>
    <w:p w:rsidR="00000000" w:rsidRDefault="00000000">
      <w:r>
        <w:t>4.</w:t>
      </w:r>
      <w:r>
        <w:tab/>
        <w:t>Многие десятилетия широкое распространение имел миф о нации, образовавшейся на основе гармоничного и совершенного слияния трех рас, обеспечивающего создание "расовой демократии" в стране.  В течение долгого времени бразильское государство и общество, находясь под влиянием этого мифа, оказались не в состоянии создать эффективные механизмы для широкой интеграции в общество выходцев из Африки, коренных народов и представителей других групп, подвергающихся дискриминации.</w:t>
      </w:r>
    </w:p>
    <w:p w:rsidR="00000000" w:rsidRDefault="00000000"/>
    <w:p w:rsidR="00000000" w:rsidRDefault="00000000">
      <w:r>
        <w:t>5.</w:t>
      </w:r>
      <w:r>
        <w:tab/>
        <w:t>В настоящем докладе отражены последствия этого процесса, которые свидетельствуют не только о существовании расизма в Бразилии, но и о его кумулятивном действии, вызывающем экономическое и социальное неравенство.  Статистические данные, представленные в настоящем документе, говорят о том, что расовые особенности и происхождение оказывают серьезное влияние на формирование социального и экономического неравенства в Бразилии.</w:t>
      </w:r>
    </w:p>
    <w:p w:rsidR="00000000" w:rsidRDefault="00000000"/>
    <w:p w:rsidR="00000000" w:rsidRDefault="00000000">
      <w:r>
        <w:t>6.</w:t>
      </w:r>
      <w:r>
        <w:tab/>
        <w:t>В ответ на возникшее в результате этого неравенство бразильское государство попыталось адаптировать правовую структуру, созданную в целях ликвидации расизма и дискриминации, руководствуясь положениями, изложенными в Международной конвенции о ликвидации всех форм расовой дискриминации.</w:t>
      </w:r>
    </w:p>
    <w:p w:rsidR="00000000" w:rsidRDefault="00000000"/>
    <w:p w:rsidR="00000000" w:rsidRDefault="00000000">
      <w:r>
        <w:t>7.</w:t>
      </w:r>
      <w:r>
        <w:tab/>
        <w:t>В Федеральной конституции 1988 года понятие расизма было переклассифицировано из разряда мелкого правонарушения в тяжкое уголовное преступление, не допускающее поручительства или освобождения под залог, не имеющее срока исковой давности и предусматривающее наказание в виде тюремного заключения.  В законодательной области этот вопрос претерпел существенные изменения, начиная с первых положений, принятых в 1951 году, и предусматривавших наказание за преступление в форме расизма (Закон №</w:t>
      </w:r>
      <w:r>
        <w:rPr>
          <w:lang w:val="en-US"/>
        </w:rPr>
        <w:t> </w:t>
      </w:r>
      <w:r>
        <w:t xml:space="preserve">1390), и кончая нормами, закрепленными в Законе № 7716 от 1989 года с соответствующими поправками, внесенными Законом № 9459 от 1997 года.  </w:t>
      </w:r>
    </w:p>
    <w:p w:rsidR="00000000" w:rsidRDefault="00000000"/>
    <w:p w:rsidR="00000000" w:rsidRDefault="00000000">
      <w:r>
        <w:t>8.</w:t>
      </w:r>
      <w:r>
        <w:tab/>
        <w:t xml:space="preserve">К этому правовому основанию, которое во многих отношениях можно считать прогрессивным, следует добавить ведущуюся в Бразилии дискуссию, которая принимает все более активные формы и которая посвящена вопросам расизма и путям борьбы с этим явлением.  Напрашивающийся на основании этого вывод заключается в том, что так называемая универсальная государственная политика, хотя и не является совершенной, служит средством обеспечения прав отдельных лиц и групп, находящихся в неравном социальном и экономическом положении.  Вместе с тем универсальная политика оказывается недостаточной для изменения исторически сложившихся условий, закрепляющих неравенство между белыми и чернокожими жителями Бразилии. </w:t>
      </w:r>
    </w:p>
    <w:p w:rsidR="00000000" w:rsidRDefault="00000000"/>
    <w:p w:rsidR="00000000" w:rsidRDefault="00000000">
      <w:r>
        <w:t>9.</w:t>
      </w:r>
      <w:r>
        <w:tab/>
        <w:t xml:space="preserve">Бразильское государство исполнено решимости избежать дальнейшего обострения существующего неравенства и стремится поощрять действия, направленные на расширение формального равенства между отдельными лицами, которое уже закреплено в  конституционной системе и обычном праве и на обеспечение того, чтобы его реализация на практике в полной мере содействовала охране интересов, развитию и защите групп лиц, подвергающихся дискриминации и находящихся в неблагоприятном положении.  </w:t>
      </w:r>
    </w:p>
    <w:p w:rsidR="00000000" w:rsidRDefault="00000000"/>
    <w:p w:rsidR="00000000" w:rsidRDefault="00000000">
      <w:r>
        <w:t>10.</w:t>
      </w:r>
      <w:r>
        <w:tab/>
        <w:t>В последние годы предпринимались серьезные попытки повысить осведомленность общества и правительства в вопросах расизма.  К их числу можно отнести создание в 1995 году Межминистерской группы по оказанию содействия чернокожему населению;  пересмотр учебников, имеющий целью ликвидацию существующих стереотипов и включение в школьную программу курса, посвященного вопросам многообразия;  проведение в рамках Института прикладных экономических исследований (ИПЭИ) исследования по вопросам эволюции расизма и его воздействия на социальные показатели Бразилии;  осуществление правительством Бразилии программы выдачи постоянных титулов на земли, занимаемые сохранившимися общинами беглых рабов (киломбо);  включение вопроса о расизме в приоритетные направления работы правительства, что нашло отражение в Национальном плане по правам человека и в Национальной программе позитивных действий.</w:t>
      </w:r>
    </w:p>
    <w:p w:rsidR="00000000" w:rsidRDefault="00000000"/>
    <w:p w:rsidR="00000000" w:rsidRDefault="00000000">
      <w:r>
        <w:t>11.</w:t>
      </w:r>
      <w:r>
        <w:tab/>
        <w:t>Подготовительный этап к Всемирной конференции по борьбе против расизма, расовой дискриминации, ксенофобии и связанной с ними нетерпимости представляет собой важнейший шаг с точки зрения рассмотрения и изучения этого вопроса в Бразилии.  Исследования, проведенные ИПЭИ, материалы которых использовались для подготовки к Конференции, показали, что, несмотря на изменение социальных показателей за последнее десятилетие, разрыв между белым и чернокожим населением не уменьшился.  По данным ИПЭИ, из числа бразильцев, подпадающих под категорию лиц, живущих в условиях крайней нищеты, 69% приходится на чернокожее население.  В основе расового характера бразильской нищеты лежит неравенство.  Эти исследования подтвердили негативное воздействие вызванной расизмом виктимизации на значительную долю населения, несмотря на все усилия по преодолению расового неравенства и полноценному развитию экономического потенциала Бразилии.</w:t>
      </w:r>
    </w:p>
    <w:p w:rsidR="00000000" w:rsidRDefault="00000000"/>
    <w:p w:rsidR="00000000" w:rsidRDefault="00000000">
      <w:r>
        <w:t>12.</w:t>
      </w:r>
      <w:r>
        <w:tab/>
        <w:t>Подготовительные мероприятия к Конференции в Дурбане открыли широкую возможность для проведения дискуссий в обществе и правительстве, предоставив стране уникальный шанс обсудить и осмыслить масштабы расовой проблемы и различные формы дискриминации, существующие в нашем обществе.  Бразильское государство играло активную роль на этапе подготовки проведения Конференции.</w:t>
      </w:r>
    </w:p>
    <w:p w:rsidR="00000000" w:rsidRDefault="00000000"/>
    <w:p w:rsidR="00000000" w:rsidRDefault="00000000">
      <w:r>
        <w:t>13.</w:t>
      </w:r>
      <w:r>
        <w:tab/>
        <w:t>Был создан Национальный комитет под председательством тогдашнего Государственного секретаря по правам человека г-на Жильберто Сабойя, в работе которого приняли участие видные представители гражданского общества и тех слоев населения, которые исторически подвергались расовым притеснениям и дискриминации.  Были налажены партнерские связи между правительством и гражданским обществом (в частности, с организациями, представляющими интересы чернокожего и коренного населения, женщин, гомосексуалистов и лесбиянок, и с организациями, выступающими за религиозную свободу).  Результатом этого партнерства стала разработка на основе консенсуса ряда предложений по формированию государственной политики, направленной на эффективное преодоление расизма в нашем обществе.  Эти предложения представлялись и отстаивались бразильской делегацией в Дурбане и явились вкладом в подготовку заключительных документов, принятых на Конференции (Декларации и Программы действий).  Бразилия была представлена на Конференции официальной и неофициальной делегациями в количестве более 200 человек.</w:t>
      </w:r>
    </w:p>
    <w:p w:rsidR="00000000" w:rsidRDefault="00000000"/>
    <w:p w:rsidR="00000000" w:rsidRDefault="00000000">
      <w:r>
        <w:t>14.</w:t>
      </w:r>
      <w:r>
        <w:tab/>
        <w:t xml:space="preserve">По мнению Бразилии, Дурбанская декларация и Программа действий представляют собой прочную основу для разработки национальной и международной политики, направленной на борьбу против расизма, расовой дискриминации, ксенофобии и связанной с ними нетерпимости.  </w:t>
      </w:r>
    </w:p>
    <w:p w:rsidR="00000000" w:rsidRDefault="00000000"/>
    <w:p w:rsidR="00000000" w:rsidRDefault="00000000">
      <w:r>
        <w:t>15.</w:t>
      </w:r>
      <w:r>
        <w:tab/>
        <w:t xml:space="preserve">В соответствии с основными положениями этих документов Бразилия решила принять конкретные меры.  Так, 4 октября 2001 года, т.е. менее чем через месяц после завершения Всемирной конференции, был создан Национальный совет по борьбе с дискриминацией, который функционирует на постоянной основе и в состав которого входит равное число представителей правительства и гражданского общества (11 членов правительства и 11 представителей гражданского общества).  </w:t>
      </w:r>
    </w:p>
    <w:p w:rsidR="00000000" w:rsidRDefault="00000000"/>
    <w:p w:rsidR="00000000" w:rsidRDefault="00000000">
      <w:r>
        <w:t>16.</w:t>
      </w:r>
      <w:r>
        <w:tab/>
        <w:t>Этот Совет работает под эгидой министерства юстиции, и его основной целью является разработка и осуществление национальной политики по борьбе против дискриминации.  Он также создан для реализации положений, закрепленных в статье 14 Международной конвенции о ликвидации всех форм расовой дискриминации, и уполномочен правительством получать жалобы о нарушении прав, изложенных в Конвенции.  Бразилия сделала добровольное заявление, предусмотренное в этой статье, о признании компетенции Комитета по ликвидации расовой дискриминации принимать и рассматривать жалобы о нарушении таких прав.  Признавая полномочия Комитета, правительство тем самым откликнулось на законное требование различных слоев бразильского общества, обеспечивая выполнение рекомендаций, изложенных в статье 75 Дурбанской программы действий, и подчеркивает свою приверженность делу защиты и поощрения прав человека в целом и делу борьбы против дискриминации и расизма в частности.</w:t>
      </w:r>
    </w:p>
    <w:p w:rsidR="00000000" w:rsidRDefault="00000000"/>
    <w:p w:rsidR="00000000" w:rsidRDefault="00000000">
      <w:r>
        <w:t>17.</w:t>
      </w:r>
      <w:r>
        <w:tab/>
        <w:t>Другой мерой, принятой правительством Бразилии, была реализация Национальной программы позитивных действий, направленной на активное претворение в жизнь принципов многообразия и плюрализма при заполнении вакансий в органах федеральной администрации и при заключении контрактов на обслуживание государственных учреждений.  Задача состоит в том, чтобы на основе этой Программы реализовать цели обеспечения процентного соотношения представителей всех слоев общества, афробразильцев, женщин и инвалидов.  Таким образом, эта политика носит всеобъемлющий характер и благоприятствует многообразию и обеспечению представленности различных социальных и расовых групп при осуществлении необходимых для бразильского государства и общества функций.  В данной Программе уточняется и широко трактуется понятие равенства, закрепленное в Конституции Бразилии, с учетом имевших место социальных и политических изменений, и, что важно, оно увязывается с новыми аспектами прав и гражданства, характерными для демократических обществ.</w:t>
      </w:r>
    </w:p>
    <w:p w:rsidR="00000000" w:rsidRDefault="00000000"/>
    <w:p w:rsidR="00000000" w:rsidRDefault="00000000">
      <w:r>
        <w:t>18.</w:t>
      </w:r>
      <w:r>
        <w:tab/>
        <w:t>Бразильское государство убеждено, что, осуществляя Национальную программу позитивных действий, оно делает новые шаги в деле преодоления инерции государственного сектора перед лицом расовой ситуации в Бразилии.  Основной целью является создание условий, позволяющих всем бразильцам без какой</w:t>
      </w:r>
      <w:r>
        <w:noBreakHyphen/>
        <w:t>либо дискриминации пользоваться гарантиями равных возможностей, изложенными в Конституции Бразилии.</w:t>
      </w:r>
    </w:p>
    <w:p w:rsidR="00000000" w:rsidRDefault="00000000"/>
    <w:p w:rsidR="00000000" w:rsidRDefault="00000000">
      <w:r>
        <w:t>19.</w:t>
      </w:r>
      <w:r>
        <w:tab/>
        <w:t>Среди прочих мер, принятых федеральным правительством в результате внутренней дискуссии по расовому вопросу, и с учетом принципов, закрепленных в Дурбанской программе действий, можно отметить следующие:</w:t>
      </w:r>
    </w:p>
    <w:p w:rsidR="00000000" w:rsidRDefault="00000000"/>
    <w:p w:rsidR="00000000" w:rsidRDefault="00000000">
      <w:pPr>
        <w:tabs>
          <w:tab w:val="clear" w:pos="1134"/>
          <w:tab w:val="left" w:pos="1122"/>
        </w:tabs>
      </w:pPr>
      <w:r>
        <w:tab/>
        <w:t>а)</w:t>
      </w:r>
      <w:r>
        <w:tab/>
        <w:t>введение 13 мая 2002 года новой Национальной программы по правам человека (НППЧ </w:t>
      </w:r>
      <w:r>
        <w:rPr>
          <w:lang w:val="en-US"/>
        </w:rPr>
        <w:t>II</w:t>
      </w:r>
      <w:r>
        <w:t>).  Начатая через шесть лет после принятия ее первого варианта, эта Программа предусматривает целый ряд мероприятий, направленных на ликвидацию расизма и сегрегации в отношении подвергаемых дискриминации слоев общества и поощрение равенства и полной интеграции в общество афробразильцев, гомосексуалистов и лесбиянок, женщин, престарелых, детей и подростков, коренных жителей, инвалидов и иностранцев.  Повестка дня государственной политики, определенная в НППЧ </w:t>
      </w:r>
      <w:r>
        <w:rPr>
          <w:lang w:val="en-US"/>
        </w:rPr>
        <w:t>II</w:t>
      </w:r>
      <w:r>
        <w:t xml:space="preserve"> в результате интенсивного диалога между правительством и организациями гражданского общества, предусматривает проведение 518 мероприятий в сфере гражданских, политических, экономических, социальных и культурных прав, призванных обеспечить бразильцам более благоприятные условия жизни и полное уважение их основных прав;</w:t>
      </w:r>
    </w:p>
    <w:p w:rsidR="00000000" w:rsidRDefault="00000000">
      <w:pPr>
        <w:ind w:left="1134" w:hanging="567"/>
      </w:pPr>
    </w:p>
    <w:p w:rsidR="00000000" w:rsidRDefault="00000000">
      <w:pPr>
        <w:tabs>
          <w:tab w:val="clear" w:pos="1134"/>
          <w:tab w:val="left" w:pos="1122"/>
        </w:tabs>
      </w:pPr>
      <w:r>
        <w:tab/>
        <w:t>b)</w:t>
      </w:r>
      <w:r>
        <w:tab/>
        <w:t>разработку Государственным секретариатом по правам человека, министерствами юстиции и сельскохозяйственного развития, Институтом Риу</w:t>
      </w:r>
      <w:r>
        <w:noBreakHyphen/>
        <w:t>Бранку и Бразильской академией иностранных дел программ позитивных действий.  Программа министерства сельскохозяйственного развития предусматривает, что к концу 2002 года как минимум 20% руководящих постов в этом министерстве, а также в Национальном институте освоения земель и аграрной реформы (ИНКРА) должно быть заполнено афробразильцами.  Начиная с 2003 года минимальный процент таких лиц должен увеличиться до 30%.  Кроме того, 30% бюджета министерства сельскохозяйственного развития, выделенного на программы аграрной реформы, должно быть направлено в сельские общины, где проживает преимущественно чернокожее население.  Со своей стороны, в Программе позитивных действий, разработанной министерством юстиции и Государственным секретариатом по правам человека, предусматривается, что к концу 2002 года будет осуществлен целевой набор афробразильцев на посты руководителей и советников, а также для работы по контракту во внешних службах (афробразильцы - 20%, женщины - 20%, инвалиды - 5%).  Что касается Программы позитивных действий Института Риу-Бранку, то в ней предусмотрено выделение стипендий афробразильцам для обучения дипломатической работе, что дает им возможность подготовиться к вступительным экзаменам, необходимым для последующего приобретения профессии дипломата.  Эта Программа также учитывает гендерные аспекты.  С помощью программы Института Риу-Бранку министерство иностранных дел намерено расширить число кандидатов для прохождения экзаменов, поддерживая тем самым традицию высокого качества подготовки выпускников этого института.  Также ожидается, что одним из результатов выполнения данной Программы будет вклад в дело расширения репрезентативности нашего дипломатического корпуса за счет появления в нем представителей различных слоев бразильского общества.  Реализация этой программы продолжалась и в 2003 году;</w:t>
      </w:r>
    </w:p>
    <w:p w:rsidR="00000000" w:rsidRDefault="00000000"/>
    <w:p w:rsidR="00000000" w:rsidRDefault="00000000">
      <w:pPr>
        <w:tabs>
          <w:tab w:val="clear" w:pos="1134"/>
          <w:tab w:val="left" w:pos="1122"/>
        </w:tabs>
      </w:pPr>
      <w:r>
        <w:tab/>
        <w:t>с)</w:t>
      </w:r>
      <w:r>
        <w:tab/>
        <w:t>назначение чернокожего профессора и представителя коренного населения Бразилии в Национальный совет по вопросам образования;</w:t>
      </w:r>
    </w:p>
    <w:p w:rsidR="00000000" w:rsidRDefault="00000000"/>
    <w:p w:rsidR="00000000" w:rsidRDefault="00000000">
      <w:r>
        <w:tab/>
      </w:r>
      <w:r>
        <w:rPr>
          <w:lang w:val="en-US"/>
        </w:rPr>
        <w:t>d</w:t>
      </w:r>
      <w:r>
        <w:t>)</w:t>
      </w:r>
      <w:r>
        <w:tab/>
        <w:t>осуществление Национального плана повышения квалификации трудящихся, разработанного министерством труда и предназначенного преимущественно для чернокожего населения.</w:t>
      </w:r>
    </w:p>
    <w:p w:rsidR="00000000" w:rsidRDefault="00000000"/>
    <w:p w:rsidR="00000000" w:rsidRDefault="00000000">
      <w:r>
        <w:t>20.</w:t>
      </w:r>
      <w:r>
        <w:tab/>
        <w:t>Реализация вышеупомянутых мер позволила Бразилии стать одной из первых стран, выполнивших конкретные рекомендации Всемирной конференции в Южной Африке и превративших борьбу против расизма, расовой дискриминации, ксенофобии и нетерпимости в официальную государственную политику.  Правительство Бразилии считает крайне важным, чтобы установки и цели, определенные в Дурбане, рассматривались международными учреждениями и международным сообществом в качестве приоритетной задачи.  Оно также считает важным вновь подтвердить обязательства, принятые в Дурбане.</w:t>
      </w:r>
    </w:p>
    <w:p w:rsidR="00000000" w:rsidRDefault="00000000"/>
    <w:p w:rsidR="00000000" w:rsidRDefault="00000000">
      <w:r>
        <w:t>21.</w:t>
      </w:r>
      <w:r>
        <w:tab/>
        <w:t>Со своей стороны значительная часть населения Бразилии продемонстрировала растущую осведомленность в отношении важных аспектов расового вопроса.  Последние предварительные результаты переписи за 2000 год, опубликованные в первой половине 2002 года Бразильским институтом географии и статистики (БИГС), свидетельствуют об увеличении числа бразильцев, которые считают себя чернокожими.  Сравнение результатов переписей за 1991 и 2000 годы показывает, что по всей стране возросло процентное соотношение лиц, считающих себя чернокожими (с 5% в 1991 году до 6,2% в 2000 году), в то время как число лиц, относящих себя к категории метисов, уменьшилось (с 42,6% в 1991 году до 39,1% в 2000 году), что может свидетельствовать об изменении критериев, которыми пользуются бразильцы для определения своей расовой принадлежности.</w:t>
      </w:r>
    </w:p>
    <w:p w:rsidR="00000000" w:rsidRDefault="00000000"/>
    <w:p w:rsidR="00000000" w:rsidRDefault="00000000">
      <w:r>
        <w:t>22.</w:t>
      </w:r>
      <w:r>
        <w:tab/>
        <w:t>Правительство Бразилии полностью открыто для диалога с членами Комитета по ликвидации расовой дискриминации, поскольку оно считает этот орган мощным инструментом для подготовки и совершенствования всеобъемлющей программы действий по борьбе против расизма и дискриминации во всех их формах и связанной с ним нетерпимости.</w:t>
      </w:r>
    </w:p>
    <w:p w:rsidR="00000000" w:rsidRDefault="00000000"/>
    <w:p w:rsidR="00000000" w:rsidRDefault="00000000">
      <w:r>
        <w:t>23.</w:t>
      </w:r>
      <w:r>
        <w:tab/>
        <w:t>Принимая меры на национальном уровне, правительство Бразилии стремится не только адекватным образом отреагировать на обеспокоенность, выраженную Комитетом (</w:t>
      </w:r>
      <w:r>
        <w:rPr>
          <w:lang w:val="en-US"/>
        </w:rPr>
        <w:t>CERD</w:t>
      </w:r>
      <w:r>
        <w:t>/</w:t>
      </w:r>
      <w:r>
        <w:rPr>
          <w:lang w:val="en-US"/>
        </w:rPr>
        <w:t>C</w:t>
      </w:r>
      <w:r>
        <w:t>/304/</w:t>
      </w:r>
      <w:r>
        <w:rPr>
          <w:lang w:val="en-US"/>
        </w:rPr>
        <w:t>Add</w:t>
      </w:r>
      <w:r>
        <w:t>.11), но и обеспечить последовательность выполнения рекомендаций, изложенных в этом документе.  Настоящий доклад подготовлен именно в таком духе и имеет целью продолжить диалог с Комитетом.</w:t>
      </w:r>
    </w:p>
    <w:p w:rsidR="00000000" w:rsidRDefault="00000000"/>
    <w:p w:rsidR="00000000" w:rsidRDefault="00000000">
      <w:r>
        <w:t>24.</w:t>
      </w:r>
      <w:r>
        <w:tab/>
        <w:t>По мнению Бразилии, Комитет предоставляет возможность для осуществления совместных действий, которые необходимы государству и обществу для исправления перекосов, вызванных расизмом и дискриминацией во всех их формах.</w:t>
      </w:r>
    </w:p>
    <w:p w:rsidR="00000000" w:rsidRDefault="00000000"/>
    <w:p w:rsidR="00000000" w:rsidRDefault="00000000">
      <w:pPr>
        <w:pStyle w:val="10"/>
        <w:rPr>
          <w:bCs/>
        </w:rPr>
      </w:pPr>
      <w:r>
        <w:rPr>
          <w:bCs/>
        </w:rPr>
        <w:t>I.</w:t>
      </w:r>
      <w:r>
        <w:rPr>
          <w:bCs/>
        </w:rPr>
        <w:tab/>
        <w:t>ОБЩИЕ СВЕДЕНИЯ</w:t>
      </w:r>
    </w:p>
    <w:p w:rsidR="00000000" w:rsidRDefault="00000000">
      <w:pPr>
        <w:pStyle w:val="10"/>
        <w:rPr>
          <w:bCs/>
        </w:rPr>
      </w:pPr>
    </w:p>
    <w:p w:rsidR="00000000" w:rsidRDefault="00000000">
      <w:pPr>
        <w:jc w:val="center"/>
        <w:rPr>
          <w:b/>
          <w:bCs/>
        </w:rPr>
      </w:pPr>
      <w:r>
        <w:rPr>
          <w:b/>
          <w:bCs/>
        </w:rPr>
        <w:t>А.</w:t>
      </w:r>
      <w:r>
        <w:rPr>
          <w:b/>
          <w:bCs/>
        </w:rPr>
        <w:tab/>
        <w:t>Защита прав человека на национальном уровне</w:t>
      </w:r>
    </w:p>
    <w:p w:rsidR="00000000" w:rsidRDefault="00000000">
      <w:pPr>
        <w:jc w:val="center"/>
        <w:rPr>
          <w:b/>
          <w:bCs/>
        </w:rPr>
      </w:pPr>
    </w:p>
    <w:p w:rsidR="00000000" w:rsidRDefault="00000000">
      <w:r>
        <w:t>25.</w:t>
      </w:r>
      <w:r>
        <w:tab/>
        <w:t xml:space="preserve">Рискуя вновь повторить некоторые сведения, уже представленные Комитету в докладе 1996 года (документ </w:t>
      </w:r>
      <w:r>
        <w:rPr>
          <w:lang w:val="en-US"/>
        </w:rPr>
        <w:t>CERD</w:t>
      </w:r>
      <w:r>
        <w:t>/</w:t>
      </w:r>
      <w:r>
        <w:rPr>
          <w:lang w:val="en-US"/>
        </w:rPr>
        <w:t>C</w:t>
      </w:r>
      <w:r>
        <w:t>/263/</w:t>
      </w:r>
      <w:r>
        <w:rPr>
          <w:lang w:val="en-US"/>
        </w:rPr>
        <w:t>Add</w:t>
      </w:r>
      <w:r>
        <w:t>.10, объединяющий десятый, одиннадцатый, двенадцатый и тринадцатый периодические доклады) в отношении правовой структуры, обеспечивающей гарантии сохранения, поощрения и защиты прав, закрепленных в Международной конвенции о ликвидации всех форм расовой дискриминации, правительство Бразилии тем не менее хотело бы затронуть эти аспекты в более широком и глубоком плане.  При этом оно руководствуется желанием ответить на замечание, высказанное Комитетом в пункте 2 А) выводов и рекомендаций (</w:t>
      </w:r>
      <w:r>
        <w:rPr>
          <w:lang w:val="en-US"/>
        </w:rPr>
        <w:t>CERD</w:t>
      </w:r>
      <w:r>
        <w:t>/</w:t>
      </w:r>
      <w:r>
        <w:rPr>
          <w:lang w:val="en-US"/>
        </w:rPr>
        <w:t>C</w:t>
      </w:r>
      <w:r>
        <w:t>/304/</w:t>
      </w:r>
      <w:r>
        <w:rPr>
          <w:lang w:val="en-US"/>
        </w:rPr>
        <w:t>Add</w:t>
      </w:r>
      <w:r>
        <w:t>.11) от 27 сентября 1996 года.</w:t>
      </w:r>
    </w:p>
    <w:p w:rsidR="00000000" w:rsidRDefault="00000000"/>
    <w:p w:rsidR="00000000" w:rsidRDefault="00000000">
      <w:r>
        <w:t>26.</w:t>
      </w:r>
      <w:r>
        <w:tab/>
        <w:t>Комитет выразил свое удовлетворение "откровенным докладом [Бразилии] и пояснениями, данными делегацией".  Вместе с тем Комитет "выразил сожаление по поводу того, что в представленном докладе содержится мало конкретных сведений о применении Конвенции на практике";  Комитет также принял к сведению готовность Бразилии "сообщить [Комитету] более обширную информацию о мерах, принятых в целях осуществления Конвенции".</w:t>
      </w:r>
    </w:p>
    <w:p w:rsidR="00000000" w:rsidRDefault="00000000"/>
    <w:p w:rsidR="00000000" w:rsidRDefault="00000000">
      <w:r>
        <w:t>27.</w:t>
      </w:r>
      <w:r>
        <w:tab/>
        <w:t>Что касается интеграции Бразилии во всеобщую и региональную систему сохранения, поощрения и защиты прав человека, то стоит отметить, что правительство Бразилии признает легитимность не только международной заинтересованности вопросами прав человека, но и необходимость поддержания диалога с неправительственными организациями.</w:t>
      </w:r>
    </w:p>
    <w:p w:rsidR="00000000" w:rsidRDefault="00000000"/>
    <w:p w:rsidR="00000000" w:rsidRDefault="00000000">
      <w:r>
        <w:t>28.</w:t>
      </w:r>
      <w:r>
        <w:tab/>
        <w:t>По мнению Бразилии, международные договоры в области защиты прав человека имеют двойное назначение:  они консолидируют минимальные международные критерии защиты человеческого достоинства и обеспечивают присутствие международного органа по защите прав человека там, где национальные учреждения не могут выполнять свои обязанности или пренебрегают ими.</w:t>
      </w:r>
    </w:p>
    <w:p w:rsidR="00000000" w:rsidRDefault="00000000"/>
    <w:p w:rsidR="00000000" w:rsidRDefault="00000000">
      <w:r>
        <w:t>29.</w:t>
      </w:r>
      <w:r>
        <w:tab/>
        <w:t>Следуя этой позиции, Бразилия приняла важные меры для ратификации международных договоров, призванных обеспечить защиту прав человека.  В числе международных соглашений в области прав человека, ратифицированных Бразилией, следует отметить следующие:</w:t>
      </w:r>
    </w:p>
    <w:p w:rsidR="00000000" w:rsidRDefault="00000000"/>
    <w:p w:rsidR="00000000" w:rsidRDefault="00000000">
      <w:pPr>
        <w:ind w:left="1134" w:hanging="1134"/>
      </w:pPr>
      <w:r>
        <w:tab/>
        <w:t>а)</w:t>
      </w:r>
      <w:r>
        <w:tab/>
        <w:t>Конвенцию о ликвидации всех форм дискриминации в отношении женщин, ратифицированную 1 февраля 1984 года;</w:t>
      </w:r>
    </w:p>
    <w:p w:rsidR="00000000" w:rsidRDefault="00000000"/>
    <w:p w:rsidR="00000000" w:rsidRDefault="00000000">
      <w:pPr>
        <w:ind w:left="1134" w:hanging="1134"/>
      </w:pPr>
      <w:r>
        <w:tab/>
        <w:t>b)</w:t>
      </w:r>
      <w:r>
        <w:tab/>
        <w:t>Межамериканскую конвенцию о предотвращении пыток и наказании за их применение, ратифицированную 20 июля 1989 года;</w:t>
      </w:r>
    </w:p>
    <w:p w:rsidR="00000000" w:rsidRDefault="00000000"/>
    <w:p w:rsidR="00000000" w:rsidRDefault="00000000">
      <w:pPr>
        <w:ind w:left="1134" w:hanging="1134"/>
      </w:pPr>
      <w:r>
        <w:tab/>
        <w:t>с)</w:t>
      </w:r>
      <w:r>
        <w:tab/>
        <w:t>Конвенцию против пыток и других жестоких, бесчеловечных или унижающих достоинство видов обращения и наказания, ратифицированную 28 сентября 1989 года;</w:t>
      </w:r>
    </w:p>
    <w:p w:rsidR="00000000" w:rsidRDefault="00000000"/>
    <w:p w:rsidR="00000000" w:rsidRDefault="00000000">
      <w:r>
        <w:tab/>
        <w:t>d)</w:t>
      </w:r>
      <w:r>
        <w:tab/>
        <w:t>Конвенцию о правах ребенка, ратифицированную 24 сентября 1990 года;</w:t>
      </w:r>
    </w:p>
    <w:p w:rsidR="00000000" w:rsidRDefault="00000000"/>
    <w:p w:rsidR="00000000" w:rsidRDefault="00000000">
      <w:pPr>
        <w:ind w:left="1134" w:hanging="1134"/>
      </w:pPr>
      <w:r>
        <w:tab/>
        <w:t>е)</w:t>
      </w:r>
      <w:r>
        <w:tab/>
        <w:t>Международный пакт о гражданских и политических правах, ратифицированный 24 января 1992 года;</w:t>
      </w:r>
    </w:p>
    <w:p w:rsidR="00000000" w:rsidRDefault="00000000"/>
    <w:p w:rsidR="00000000" w:rsidRDefault="00000000">
      <w:pPr>
        <w:ind w:left="1134" w:hanging="1134"/>
      </w:pPr>
      <w:r>
        <w:tab/>
      </w:r>
      <w:r>
        <w:rPr>
          <w:lang w:val="en-US"/>
        </w:rPr>
        <w:t>f</w:t>
      </w:r>
      <w:r>
        <w:t>)</w:t>
      </w:r>
      <w:r>
        <w:tab/>
        <w:t>Международный пакт об экономических, социальных и культурных правах, ратифицированный 24 января 1992 года;</w:t>
      </w:r>
    </w:p>
    <w:p w:rsidR="00000000" w:rsidRDefault="00000000">
      <w:pPr>
        <w:ind w:left="1134" w:hanging="1134"/>
      </w:pPr>
    </w:p>
    <w:p w:rsidR="00000000" w:rsidRDefault="00000000">
      <w:pPr>
        <w:ind w:left="1134" w:hanging="1134"/>
      </w:pPr>
      <w:r>
        <w:tab/>
      </w:r>
      <w:r>
        <w:rPr>
          <w:lang w:val="en-US"/>
        </w:rPr>
        <w:t>g</w:t>
      </w:r>
      <w:r>
        <w:t>)</w:t>
      </w:r>
      <w:r>
        <w:tab/>
        <w:t>Американскую конвенцию о правах человека ("Пакт Сан-Хосе"), ратифицированную 25 сентября 1992 года;</w:t>
      </w:r>
    </w:p>
    <w:p w:rsidR="00000000" w:rsidRDefault="00000000">
      <w:pPr>
        <w:ind w:left="1134" w:hanging="1134"/>
      </w:pPr>
    </w:p>
    <w:p w:rsidR="00000000" w:rsidRDefault="00000000">
      <w:pPr>
        <w:ind w:left="1134" w:hanging="1134"/>
      </w:pPr>
      <w:r>
        <w:tab/>
      </w:r>
      <w:r>
        <w:rPr>
          <w:lang w:val="en-US"/>
        </w:rPr>
        <w:t>h</w:t>
      </w:r>
      <w:r>
        <w:t>)</w:t>
      </w:r>
      <w:r>
        <w:tab/>
        <w:t>Межамериканскую конвенцию о предотвращении и искоренении насилия в отношении женщин и наказании за него ("Беленская конвенция"), ратифицированную 27 ноября 1995 года;</w:t>
      </w:r>
    </w:p>
    <w:p w:rsidR="00000000" w:rsidRDefault="00000000">
      <w:pPr>
        <w:ind w:left="1134" w:hanging="1134"/>
      </w:pPr>
    </w:p>
    <w:p w:rsidR="00000000" w:rsidRDefault="00000000">
      <w:pPr>
        <w:ind w:left="1134" w:hanging="1134"/>
      </w:pPr>
      <w:r>
        <w:tab/>
      </w:r>
      <w:r>
        <w:rPr>
          <w:lang w:val="en-US"/>
        </w:rPr>
        <w:t>i</w:t>
      </w:r>
      <w:r>
        <w:t>)</w:t>
      </w:r>
      <w:r>
        <w:tab/>
        <w:t>Протокол к Американской конвенции о правах человека, направленный на отмену смертной казни, ратифицированный 13 августа 1996 года;</w:t>
      </w:r>
    </w:p>
    <w:p w:rsidR="00000000" w:rsidRDefault="00000000">
      <w:pPr>
        <w:ind w:left="1134" w:hanging="1134"/>
      </w:pPr>
    </w:p>
    <w:p w:rsidR="00000000" w:rsidRDefault="00000000">
      <w:pPr>
        <w:ind w:left="1134" w:hanging="1134"/>
      </w:pPr>
      <w:r>
        <w:tab/>
      </w:r>
      <w:r>
        <w:rPr>
          <w:lang w:val="en-US"/>
        </w:rPr>
        <w:t>j</w:t>
      </w:r>
      <w:r>
        <w:t>)</w:t>
      </w:r>
      <w:r>
        <w:tab/>
        <w:t>Дополнительный протокол к Американской конвенции о правах человека в области экономических, социальных и культурных прав ("Сан-Сальвадорский протокол"), ратифицированный 21 августа 1996 года;</w:t>
      </w:r>
    </w:p>
    <w:p w:rsidR="00000000" w:rsidRDefault="00000000">
      <w:pPr>
        <w:ind w:left="1134" w:hanging="1134"/>
      </w:pPr>
    </w:p>
    <w:p w:rsidR="00000000" w:rsidRDefault="00000000">
      <w:pPr>
        <w:ind w:left="1134" w:hanging="1134"/>
      </w:pPr>
      <w:r>
        <w:tab/>
      </w:r>
      <w:r>
        <w:rPr>
          <w:lang w:val="en-US"/>
        </w:rPr>
        <w:t>k</w:t>
      </w:r>
      <w:r>
        <w:t>)</w:t>
      </w:r>
      <w:r>
        <w:tab/>
        <w:t>Римский статут Международного уголовного суда, ратифицированный 21 июня 2002 года;  и</w:t>
      </w:r>
    </w:p>
    <w:p w:rsidR="00000000" w:rsidRDefault="00000000">
      <w:pPr>
        <w:ind w:left="1134" w:hanging="1134"/>
      </w:pPr>
    </w:p>
    <w:p w:rsidR="00000000" w:rsidRDefault="00000000">
      <w:pPr>
        <w:ind w:left="1134" w:hanging="1134"/>
      </w:pPr>
      <w:r>
        <w:tab/>
      </w:r>
      <w:r>
        <w:rPr>
          <w:lang w:val="en-US"/>
        </w:rPr>
        <w:t>l</w:t>
      </w:r>
      <w:r>
        <w:t>)</w:t>
      </w:r>
      <w:r>
        <w:tab/>
        <w:t>Факультативный протокол к Конвенции о ликвидации всех форм дискриминации в отношении женщин, ратифицированный 28 июля 2002 года.</w:t>
      </w:r>
    </w:p>
    <w:p w:rsidR="00000000" w:rsidRDefault="00000000">
      <w:pPr>
        <w:ind w:left="1134" w:hanging="1134"/>
      </w:pPr>
    </w:p>
    <w:p w:rsidR="00000000" w:rsidRDefault="00000000">
      <w:r>
        <w:t>30.</w:t>
      </w:r>
      <w:r>
        <w:tab/>
        <w:t>В следующем разделе дан анализ нормативной сферы и судебных решений, которые касаются положений, призванных способствовать достижению равенства и борьбе против расовой дискриминации.  При этом, по мере возможности, будет демонстрироваться связь между действующими в Бразилии нормативными актами и правами, изложенными в Конвенции о ликвидации всех форм расовой дискриминации.</w:t>
      </w:r>
    </w:p>
    <w:p w:rsidR="00000000" w:rsidRDefault="00000000"/>
    <w:p w:rsidR="00000000" w:rsidRDefault="00000000">
      <w:pPr>
        <w:jc w:val="center"/>
        <w:rPr>
          <w:b/>
          <w:bCs/>
        </w:rPr>
      </w:pPr>
      <w:r>
        <w:rPr>
          <w:b/>
          <w:bCs/>
        </w:rPr>
        <w:t>В.</w:t>
      </w:r>
      <w:r>
        <w:rPr>
          <w:b/>
          <w:bCs/>
        </w:rPr>
        <w:tab/>
        <w:t>Федеральная конституция, федеральное законодательство и конституции</w:t>
      </w:r>
      <w:r>
        <w:rPr>
          <w:b/>
          <w:bCs/>
          <w:lang w:val="en-US"/>
        </w:rPr>
        <w:t> </w:t>
      </w:r>
      <w:r>
        <w:rPr>
          <w:b/>
          <w:bCs/>
        </w:rPr>
        <w:t>штатов</w:t>
      </w:r>
    </w:p>
    <w:p w:rsidR="00000000" w:rsidRDefault="00000000">
      <w:pPr>
        <w:jc w:val="center"/>
        <w:rPr>
          <w:b/>
          <w:bCs/>
        </w:rPr>
      </w:pPr>
    </w:p>
    <w:p w:rsidR="00000000" w:rsidRDefault="00000000">
      <w:r>
        <w:t>31.</w:t>
      </w:r>
      <w:r>
        <w:tab/>
        <w:t>Бразильская конституция 1988 года представляет собой правовую веху в области демократических преобразований и институлизации прав человека в Бразилии.  В тексте Конституции 1988 года правам и гарантиям придается особое значение, что делает этот документ наиболее передовым, всеобъемлющим и подробным за всю историю страны.</w:t>
      </w:r>
    </w:p>
    <w:p w:rsidR="00000000" w:rsidRDefault="00000000"/>
    <w:p w:rsidR="00000000" w:rsidRDefault="00000000">
      <w:r>
        <w:t>32.</w:t>
      </w:r>
      <w:r>
        <w:tab/>
        <w:t xml:space="preserve">В пункте III статьи 1 Конституции 1988 года указывается, что человеческое достоинство является главной ценностью, на которой основывается вся правовая система Бразилии, а ее критерии формируют наше отношение к принятой в 1988 году Конституции.  Человеческое достоинство и основные права и гарантии имеют кардинальное значение для всей конституционной сферы и служат критерием для толкования всех норм, связанных с правовым порядком государства. </w:t>
      </w:r>
    </w:p>
    <w:p w:rsidR="00000000" w:rsidRDefault="00000000"/>
    <w:p w:rsidR="00000000" w:rsidRDefault="00000000">
      <w:r>
        <w:t>33.</w:t>
      </w:r>
      <w:r>
        <w:tab/>
        <w:t>В этом контексте, в рамках положений пунктов </w:t>
      </w:r>
      <w:r>
        <w:rPr>
          <w:lang w:val="en-US"/>
        </w:rPr>
        <w:t>I</w:t>
      </w:r>
      <w:r>
        <w:noBreakHyphen/>
      </w:r>
      <w:r>
        <w:rPr>
          <w:lang w:val="en-US"/>
        </w:rPr>
        <w:t>X</w:t>
      </w:r>
      <w:r>
        <w:t xml:space="preserve"> статьи 4, Конституция 1988 года вносит важные новшества в сферу международных отношений.  С одной стороны, эти конституционные положения воспроизводят старые имперские понятия, касающиеся национальной независимости и невмешательства, а также республиканские идеалы защиты мира, а, с другой стороны, Конституция 1988 года является новаторской в том плане, что она отстаивает интернационалистскую ориентацию, которой еще не знала конституционная история Бразилии.  Эта тенденция выражается в принципах превалирования прав человека, самоопределения народов, неприятия терроризма и расизма, а также укрепления сотрудничества между народами в интересах всего человечества, как это изложено в пунктах II, III, </w:t>
      </w:r>
      <w:r>
        <w:rPr>
          <w:lang w:val="en-US"/>
        </w:rPr>
        <w:t>VIII</w:t>
      </w:r>
      <w:r>
        <w:t xml:space="preserve"> и </w:t>
      </w:r>
      <w:r>
        <w:rPr>
          <w:lang w:val="en-US"/>
        </w:rPr>
        <w:t>IX</w:t>
      </w:r>
      <w:r>
        <w:t xml:space="preserve"> статьи 4 Конституции.</w:t>
      </w:r>
    </w:p>
    <w:p w:rsidR="00000000" w:rsidRDefault="00000000"/>
    <w:p w:rsidR="00000000" w:rsidRDefault="00000000">
      <w:r>
        <w:t>34.</w:t>
      </w:r>
      <w:r>
        <w:tab/>
        <w:t>Отказавшись от системного подхода, принятого в предыдущих конституциях, Конституция 1988 года впервые провозглашает примат прав человека в качестве парадигмы, которая должна отстаиваться международным сообществом.  Этот принцип предусматривает открытие доступа к внутреннему правовому порядку для международной системы защиты прав человека.  Для бразильского государства превалирование прав человека является принципом, которым Бразилия руководствуется в международной сфере, и она, соответственно, признает идею того, что права человека являются вопросом законной обеспокоенности и интереса международного сообщества.  Права человека в этом понимании нашли свое отражение в Конституции 1988 года как вопрос глобального значения.</w:t>
      </w:r>
    </w:p>
    <w:p w:rsidR="00000000" w:rsidRDefault="00000000"/>
    <w:p w:rsidR="00000000" w:rsidRDefault="00000000">
      <w:r>
        <w:t>35.</w:t>
      </w:r>
      <w:r>
        <w:tab/>
        <w:t>В конце содержащейся в Конституции 1988 года обширной декларации прав (пункты I-</w:t>
      </w:r>
      <w:r>
        <w:rPr>
          <w:lang w:val="en-US"/>
        </w:rPr>
        <w:t>LXXXVII</w:t>
      </w:r>
      <w:r>
        <w:t xml:space="preserve"> статьи 5) впервые провозглашается, что права и гарантии, изложенные в Конституции, "не исключают других прав и гарантий, вытекающих из правовой системы и принципов, принятых на основе Конституции или международных договоров, участником которых является Федеративная Республика Бразилия" (пункт 2 статьи 5).  Таким образом, Конституция 1988 года является новаторской в том плане, что в число гарантируемых прав включены права, содержащиеся в международных договорах, подписанных Бразилией.  Благодаря этому положению Конституция устанавливает особую и четкую градацию международных прав, независимо от их иерархического положения в самой конституционной структуре.</w:t>
      </w:r>
    </w:p>
    <w:p w:rsidR="00000000" w:rsidRDefault="00000000"/>
    <w:p w:rsidR="00000000" w:rsidRDefault="00000000">
      <w:r>
        <w:t>36.</w:t>
      </w:r>
      <w:r>
        <w:tab/>
        <w:t>В пункте 1 статьи 5 Конституции 1988 года также закреплен принцип прямого применения положений, определяющих основополагающие права и гарантии.</w:t>
      </w:r>
    </w:p>
    <w:p w:rsidR="00000000" w:rsidRDefault="00000000"/>
    <w:p w:rsidR="00000000" w:rsidRDefault="00000000">
      <w:r>
        <w:t>37.</w:t>
      </w:r>
      <w:r>
        <w:tab/>
        <w:t xml:space="preserve">Что касается принципа равенства, то в начале статьи 5 Конституции 1988 года провозглашается, что все люди равны перед законом без каких-либо различий.  Право на равенство и запрещение дискриминации подкрепляются всем текстом этого конституционного положения.  В пунктах </w:t>
      </w:r>
      <w:r>
        <w:rPr>
          <w:lang w:val="en-US"/>
        </w:rPr>
        <w:t>XLI</w:t>
      </w:r>
      <w:r>
        <w:t xml:space="preserve"> и </w:t>
      </w:r>
      <w:r>
        <w:rPr>
          <w:lang w:val="en-US"/>
        </w:rPr>
        <w:t>XLII</w:t>
      </w:r>
      <w:r>
        <w:t xml:space="preserve"> статьи 5 определяется, что "законом карается любая дискриминация, посягающая на основополагающие права и свободы", и добавляется, что "акты расизма являются тяжким уголовным преступлением, караемым, в соответствии с законодательством, тюремным заключением, не допускающим освобождения под залог или поручительство и не имеющим срока исковой давности".  В области социальных прав Конституция запрещает различия в зарплате, должностных функциях и критериях найма по признаку пола, возраста, цвета кожи и гражданского состояния (пункт ХХХ статьи 7).</w:t>
      </w:r>
    </w:p>
    <w:p w:rsidR="00000000" w:rsidRDefault="00000000"/>
    <w:p w:rsidR="00000000" w:rsidRDefault="00000000">
      <w:r>
        <w:t>38.</w:t>
      </w:r>
      <w:r>
        <w:tab/>
        <w:t>Таким образом, стремление поставить дискриминацию под запрет на основе положений бразильского законодательства воплотилось в жизнь.  Тем не менее, хотя борьба против дискриминации и носит характер чрезвычайной меры, направленной на достижение равноправия, сама по себе она является недостаточной.  Конституция 1988 года содержит идею необходимости сочетания запрета на дискриминацию с компенсационной политикой, ускоряющей процесс достижения равенства в правах.  Для обеспечения равноправия недостаточно лишь запретить дискриминацию путем принятия жесткого законодательства.  Не менее важным является и разработка стимулирующих стратегий, способных содействовать интеграции в общество социально уязвимых групп.</w:t>
      </w:r>
    </w:p>
    <w:p w:rsidR="00000000" w:rsidRDefault="00000000"/>
    <w:p w:rsidR="00000000" w:rsidRDefault="00000000">
      <w:r>
        <w:t>39.</w:t>
      </w:r>
      <w:r>
        <w:tab/>
        <w:t xml:space="preserve">В этом смысле упоминания заслуживает пункт ХХ статьи 7 Конституции 1988 года, касающийся защиты рынка труда для женщин с помощью специальных стимулов, а также статья 37 главы </w:t>
      </w:r>
      <w:r>
        <w:rPr>
          <w:lang w:val="en-US"/>
        </w:rPr>
        <w:t>VII</w:t>
      </w:r>
      <w:r>
        <w:t>, в которой указывается, что доля государственных должностей и постов для инвалидов должна устанавливаться законом.  К этому следует добавить Закон 1995 года (Закон № 9100/95), известный как "Закон о квотах", в котором требуется, чтобы по меньшей мере 20% постов на муниципальных выборах отводилось женщинам.  К этому также следует добавить Национальную программу по правам человека, с ее компенсационной политикой, целью которой является развитие позитивных действий, направленных на оказание содействия социально уязвимым группам.</w:t>
      </w:r>
    </w:p>
    <w:p w:rsidR="00000000" w:rsidRDefault="00000000"/>
    <w:p w:rsidR="00000000" w:rsidRDefault="00000000">
      <w:r>
        <w:t>40.</w:t>
      </w:r>
      <w:r>
        <w:tab/>
        <w:t>Как подчеркивалось во введении к настоящему докладу, 13 мая 2002 года правительство Бразилии решило приступить к реализации Национальной программы позитивных действий, призванной активно содействовать принципам многообразия и плюрализма при заполнении вакансий в органах федеральной администрации и при заключении контрактов на обслуживание правительственных учреждений внешними организациями.  Одна из целей этой Программы состоит в достижении определенного процентного соотношения таких постов, занимаемых афробразильцами, женщинами и инвалидами.</w:t>
      </w:r>
    </w:p>
    <w:p w:rsidR="00000000" w:rsidRDefault="00000000"/>
    <w:p w:rsidR="00000000" w:rsidRDefault="00000000">
      <w:r>
        <w:t>41.</w:t>
      </w:r>
      <w:r>
        <w:tab/>
        <w:t>В отношении коренного населения стоит упомянуть, что в Конституции 1988 года имеется глава, где конкретно рассматриваются права коренных народов.  В ней признаются права коренных народов на социальную организацию, обычаи, языки, верование и традиции, а также их исконные права на земли, которые они исторически населяют.  В обязанность государства входит демаркация границ земель коренных народов, защита и уважение всей их собственности, находящейся на этих землях (статья 231 Конституции).  Земли коренных народов не подлежат отчуждению, не могут продаваться, а права коренных народов на эти земли являются неотъемлемыми.</w:t>
      </w:r>
    </w:p>
    <w:p w:rsidR="00000000" w:rsidRDefault="00000000"/>
    <w:p w:rsidR="00000000" w:rsidRDefault="00000000">
      <w:r>
        <w:t>42.</w:t>
      </w:r>
      <w:r>
        <w:tab/>
        <w:t>Что касается федерального законодательства, то, в первую очередь, следует отметить принятие Закона № 7716/89 во исполнение пункта </w:t>
      </w:r>
      <w:r>
        <w:rPr>
          <w:lang w:val="en-US"/>
        </w:rPr>
        <w:t>XLII</w:t>
      </w:r>
      <w:r>
        <w:t xml:space="preserve"> статьи 5 Конституции 1988 года, который классифицирует акты расизма как "преступление, не имеющее срока исковой давности, предусматривающее наказание в виде тюремного заключения и не допускающее освобождения под залог или поручительство".</w:t>
      </w:r>
    </w:p>
    <w:p w:rsidR="00000000" w:rsidRDefault="00000000"/>
    <w:p w:rsidR="00000000" w:rsidRDefault="00000000">
      <w:r>
        <w:t>43.</w:t>
      </w:r>
      <w:r>
        <w:tab/>
        <w:t>До принятия Конституции 1988 года расизм рассматривался как мисдиминор, т.е. мелкое преступление, предусматривающее согласно Закону № 1390/51 тюремное заключение (сроком до одного года) и штраф.</w:t>
      </w:r>
    </w:p>
    <w:p w:rsidR="00000000" w:rsidRDefault="00000000"/>
    <w:p w:rsidR="00000000" w:rsidRDefault="00000000">
      <w:r>
        <w:t>44.</w:t>
      </w:r>
      <w:r>
        <w:tab/>
        <w:t>Только после принятия Федеральной конституции 1988 года расизм был переведен из разряда мелких преступлений в категорию фелонии - тяжкого преступления, не имеющего срока исковой давности, предусматривающего наказание в виде тюремного заключения и исключающего освобождение под залог или поручительство.  В данном случае применяется Закон № 7716 от 5 января 1989 года, в котором дается определение преступлений, обусловленных расовой принадлежностью или цветом кожи.  В отличие от Закона № 1390/51, предусматривавшего тюремное заключение сроком до одного года и/или штраф, нарушение Закона № 7716/89 влечет за собой тюремное заключение на срок от одного года до пяти лет.</w:t>
      </w:r>
    </w:p>
    <w:p w:rsidR="00000000" w:rsidRDefault="00000000"/>
    <w:p w:rsidR="00000000" w:rsidRDefault="00000000">
      <w:r>
        <w:t>45.</w:t>
      </w:r>
      <w:r>
        <w:tab/>
        <w:t>Внимания заслуживает и Закон № 9459 от 13 мая 1997 года, который предусматривает наказания за преступления, обусловленные дискриминацией или расовой принадлежностью и цветом кожи, а также этнической, религиозной или национальной принадлежностью.  Законом № 9459/97 были внесены изменения в Закон № 7716 от 1989 года, расширившие сферу его применения, которая первоначально ограничивалась борьбой против деяний, мотивированных расовой принадлежностью или цветом кожи.  Как упоминалось выше, Закон 9459/97 также предусматривает наказание за преступления, обусловленные дискриминацией или этнической, религиозной или национальной принадлежностью.</w:t>
      </w:r>
    </w:p>
    <w:p w:rsidR="00000000" w:rsidRDefault="00000000"/>
    <w:p w:rsidR="00000000" w:rsidRDefault="00000000">
      <w:r>
        <w:t>46.</w:t>
      </w:r>
      <w:r>
        <w:tab/>
        <w:t>Ввиду их значения Законы № 9459/97 и № 7716/89 будут подробно анализироваться в рамках всего настоящего доклада, а полные тексты этих Законов содержатся в приложениях к настоящему докладу</w:t>
      </w:r>
      <w:r>
        <w:rPr>
          <w:rStyle w:val="FootnoteReference"/>
        </w:rPr>
        <w:footnoteReference w:customMarkFollows="1" w:id="1"/>
        <w:t>*</w:t>
      </w:r>
      <w:r>
        <w:t>.</w:t>
      </w:r>
    </w:p>
    <w:p w:rsidR="00000000" w:rsidRDefault="00000000"/>
    <w:p w:rsidR="00000000" w:rsidRDefault="00000000">
      <w:r>
        <w:t>47.</w:t>
      </w:r>
      <w:r>
        <w:tab/>
        <w:t xml:space="preserve">Что касается конституций штатов федерации, то следует отметить, что Бразилия сохраняет свой федеративный статус с момента провозглашения Республики в 1889 году.  В Конституции 1988 года вновь вводится понятие федеративного договора, и в статье 1 упоминается тот факт, что Федеративная Республика Бразилия строится на основе нерушимого союза штатов, муниципий и Федерального округа.  В статье 18 Конституции подтверждается, что политико-административная организация Федеративной Республики Бразилии строится на основе союза, объединяющего штаты, Федеральный округ и муниципии, причем все они являются автономными в рамках положений Конституции.  Со своей стороны, пункт 4 статьи 60 включает в качестве обязательного положение о федеративном характере государства и исключает возможность принятия каких-либо поправок к Конституции, которые могли бы привести к отмене этого пункта.  </w:t>
      </w:r>
    </w:p>
    <w:p w:rsidR="00000000" w:rsidRDefault="00000000"/>
    <w:p w:rsidR="00000000" w:rsidRDefault="00000000">
      <w:r>
        <w:t>48.</w:t>
      </w:r>
      <w:r>
        <w:tab/>
        <w:t xml:space="preserve">В федеративной структуре Бразилии штаты сохраняют за собой автономию, а также способность к самоорганизации для разработки собственных конституций с учетом соблюдения принципов Федеральной конституции.  Все двадцать шесть штатов Бразильской Федерации, а также федеральный округ играют важную роль в борьбе против расовой дискриминации, в одних случаях укрепляя положения Федеральной конституции, а в других </w:t>
      </w:r>
      <w:r>
        <w:noBreakHyphen/>
        <w:t xml:space="preserve"> расширяя сферу действия конституционных положений в рамках соответствующей сферы деятельности штата.  Совершенствуя правовые механизмы борьбы против дискриминации, конституции штатов стали важным дополнительным инструментом защиты равноправия и средством борьбы против расовой дискриминации.</w:t>
      </w:r>
    </w:p>
    <w:p w:rsidR="00000000" w:rsidRDefault="00000000"/>
    <w:p w:rsidR="00000000" w:rsidRDefault="00000000">
      <w:r>
        <w:t>49.</w:t>
      </w:r>
      <w:r>
        <w:tab/>
        <w:t>Рассмотрение и изучение текстов конституций штатов свидетельствует о том внимании, которое уделяется вопросам искоренения расовой дискриминации, в том числе путем:</w:t>
      </w:r>
    </w:p>
    <w:p w:rsidR="00000000" w:rsidRDefault="00000000"/>
    <w:p w:rsidR="00000000" w:rsidRDefault="00000000">
      <w:r>
        <w:tab/>
        <w:t>а)</w:t>
      </w:r>
      <w:r>
        <w:tab/>
        <w:t xml:space="preserve">принятия положения о том, что ни одно лицо не может быть подвергнуто дискриминации, ему не может быть причинен ущерб и оно не может быть наделено особыми привилегиями в силу расовой принадлежности, цвета кожи, пола, гражданского состояния, вида занятости, рождения, возраста, вероисповедания, сексуальной ориентации, политических или философских убеждений, физической или умственной отсталости, а также любой другой характерной особенности или обстоятельств (конституции штатов Мату-Гросу (статья 10, </w:t>
      </w:r>
      <w:r>
        <w:rPr>
          <w:lang w:val="en-US"/>
        </w:rPr>
        <w:t>III</w:t>
      </w:r>
      <w:r>
        <w:t xml:space="preserve">), Рио-де-Жанейро (статья 9), Риу-Гранди ду Норти (статья 6) и Санта-Катарина (статья 4, </w:t>
      </w:r>
      <w:r>
        <w:rPr>
          <w:lang w:val="en-US"/>
        </w:rPr>
        <w:t>IV</w:t>
      </w:r>
      <w:r>
        <w:t>));</w:t>
      </w:r>
    </w:p>
    <w:p w:rsidR="00000000" w:rsidRDefault="00000000"/>
    <w:p w:rsidR="00000000" w:rsidRDefault="00000000">
      <w:r>
        <w:tab/>
      </w:r>
      <w:r>
        <w:rPr>
          <w:lang w:val="en-US"/>
        </w:rPr>
        <w:t>b</w:t>
      </w:r>
      <w:r>
        <w:t>)</w:t>
      </w:r>
      <w:r>
        <w:tab/>
        <w:t xml:space="preserve">введения административных, экономических и финансовых санкций в отношении любого лица, практикующего любой вид дискриминации, помимо соответствующих уголовных санкций (конституции штатов Эспириту-Санту (статья 3), Рио-де-Жанейро (статья 9) и Санта-Катарина (статья 4, </w:t>
      </w:r>
      <w:r>
        <w:rPr>
          <w:lang w:val="en-US"/>
        </w:rPr>
        <w:t>IV</w:t>
      </w:r>
      <w:r>
        <w:t>));</w:t>
      </w:r>
    </w:p>
    <w:p w:rsidR="00000000" w:rsidRDefault="00000000"/>
    <w:p w:rsidR="00000000" w:rsidRDefault="00000000">
      <w:r>
        <w:tab/>
        <w:t>с)</w:t>
      </w:r>
      <w:r>
        <w:tab/>
        <w:t xml:space="preserve">запрещения дискриминации в сфере образования, обеспечивая:  </w:t>
      </w:r>
      <w:r>
        <w:rPr>
          <w:lang w:val="en-US"/>
        </w:rPr>
        <w:t>i</w:t>
      </w:r>
      <w:r>
        <w:t>)</w:t>
      </w:r>
      <w:r>
        <w:rPr>
          <w:lang w:val="en-US"/>
        </w:rPr>
        <w:t>  </w:t>
      </w:r>
      <w:r>
        <w:t xml:space="preserve">право постоянного доступа в школу любого лица при запрете любых различий по признаку рождения, расовой принадлежности и принадлежности к тому или иному социальному классу;  </w:t>
      </w:r>
      <w:r>
        <w:rPr>
          <w:lang w:val="en-US"/>
        </w:rPr>
        <w:t>ii</w:t>
      </w:r>
      <w:r>
        <w:t xml:space="preserve">)  исключение из содержания учебников любых материалов дискриминационной направленности в отношении чернокожих, женщин и представителей коренных народов, с тем чтобы учебный процесс происходил в обстановке, свободной от каких бы то ни было предубеждений;  и  </w:t>
      </w:r>
      <w:r>
        <w:rPr>
          <w:lang w:val="en-US"/>
        </w:rPr>
        <w:t>iii</w:t>
      </w:r>
      <w:r>
        <w:t>)</w:t>
      </w:r>
      <w:r>
        <w:rPr>
          <w:lang w:val="en-US"/>
        </w:rPr>
        <w:t>  </w:t>
      </w:r>
      <w:r>
        <w:t xml:space="preserve">введение в учебную программу по истории материалов, касающихся культурного и этнического становления Бразилии (конституции штатов Акри (статьи 190, </w:t>
      </w:r>
      <w:r>
        <w:rPr>
          <w:lang w:val="en-US"/>
        </w:rPr>
        <w:t>I</w:t>
      </w:r>
      <w:r>
        <w:t xml:space="preserve"> и </w:t>
      </w:r>
      <w:r>
        <w:rPr>
          <w:lang w:val="en-US"/>
        </w:rPr>
        <w:t>II</w:t>
      </w:r>
      <w:r>
        <w:t xml:space="preserve">;  199, </w:t>
      </w:r>
      <w:r>
        <w:rPr>
          <w:lang w:val="en-US"/>
        </w:rPr>
        <w:t>VI</w:t>
      </w:r>
      <w:r>
        <w:t xml:space="preserve">;  201, параграф 2;  210), Алагоас (статьи 198, </w:t>
      </w:r>
      <w:r>
        <w:rPr>
          <w:lang w:val="en-US"/>
        </w:rPr>
        <w:t>IX</w:t>
      </w:r>
      <w:r>
        <w:t xml:space="preserve"> и </w:t>
      </w:r>
      <w:r>
        <w:rPr>
          <w:lang w:val="en-US"/>
        </w:rPr>
        <w:t>XII</w:t>
      </w:r>
      <w:r>
        <w:t xml:space="preserve"> и 253), Амапа (статья 280, </w:t>
      </w:r>
      <w:r>
        <w:rPr>
          <w:lang w:val="en-US"/>
        </w:rPr>
        <w:t>I</w:t>
      </w:r>
      <w:r>
        <w:t xml:space="preserve"> и </w:t>
      </w:r>
      <w:r>
        <w:rPr>
          <w:lang w:val="en-US"/>
        </w:rPr>
        <w:t>II</w:t>
      </w:r>
      <w:r>
        <w:t>), Гояс (статья 156, VII), Мараньян (статья 262), Мату Гросу-ду-Сул (статья 189), Пара (статья 273, I), Парана (статья 178, I), Рио-де-Жанейро (статья 303), Рондония (статья 191, III), Сан-Паулу (статья 237, VIII) и Основной закон Федерального округа (статья 276, IV));  iv)  включение в школьные и университетские программы материалов, посвященных борьбе женщин и чернокожих, а также представителей коренных народов, с примерами из мировой истории и истории Бразилии (Основной закон Федерального округа (пункт 3 статьи 235));  v)  информирование о социальных, культурных, экономических и других особенностях общества и поощрение языкового плюрализма в школах в том объеме, в котором это отвечает потребностям различных заинтересованных групп или этнической среды (Конституция штата Риу-Гранди-ду-Сул (заглавие и пункт 2 статьи 9));  vi)  включение в учебные программы школ штата, а также в программы подготовительных и учебных курсов в рамках гражданской и военной службы материалов, признающих участие чернокожих в историческом формировании бразильского общества (Конституция штата Баия (статья 288));</w:t>
      </w:r>
    </w:p>
    <w:p w:rsidR="00000000" w:rsidRDefault="00000000"/>
    <w:p w:rsidR="00000000" w:rsidRDefault="00000000">
      <w:r>
        <w:tab/>
        <w:t>d)</w:t>
      </w:r>
      <w:r>
        <w:tab/>
        <w:t>запрещения конкурентных торгов, а также культурных и спортивных обменов со странами, проводящими политику расовой дискриминации (Конституция штата Баия (статья 287));</w:t>
      </w:r>
    </w:p>
    <w:p w:rsidR="00000000" w:rsidRDefault="00000000"/>
    <w:p w:rsidR="00000000" w:rsidRDefault="00000000">
      <w:r>
        <w:tab/>
        <w:t>е)</w:t>
      </w:r>
      <w:r>
        <w:tab/>
        <w:t>защиты и поощрения форм культурного самовыражения различных слоев общества групп, групп коренного населения и афробразильцев и других групп, внесших вклад в формирование бразильского общества и развитие всего человечества (конституции штатов Эспириту-Санту (статья 181, III), Гояс (пункт 2 статьи 163), Мату-Гросу (статья 251, VI), Мату-Гросу-ду-Сул (статья 202, VI), Пара (пункт 1 b) статьи 286), Парайба (пункт 1 статьи 214), Пернамбуку (статьи 197 и 199), Рио-де-Жанейро (статья 319), Риу-Гранди-ду-Норти (статья 220) и Основной закон Федерального округа (пункт 2 статьи 246));</w:t>
      </w:r>
    </w:p>
    <w:p w:rsidR="00000000" w:rsidRDefault="00000000"/>
    <w:p w:rsidR="00000000" w:rsidRDefault="00000000">
      <w:r>
        <w:tab/>
        <w:t>f)</w:t>
      </w:r>
      <w:r>
        <w:tab/>
        <w:t>принятия компенсационных мер для преодоления имеющегося неравенства путем предоставления преимуществ подвергающимся дискриминации лицам для обеспечения доступа к рынку труда, образованию, здравоохранению и другим социальным правам (Конституция штата Пара (статья 336));</w:t>
      </w:r>
    </w:p>
    <w:p w:rsidR="00000000" w:rsidRDefault="00000000"/>
    <w:p w:rsidR="00000000" w:rsidRDefault="00000000">
      <w:pPr>
        <w:tabs>
          <w:tab w:val="left" w:pos="567"/>
        </w:tabs>
      </w:pPr>
      <w:r>
        <w:tab/>
        <w:t>g)</w:t>
      </w:r>
      <w:r>
        <w:tab/>
        <w:t>включения требования о том, чтобы хотя бы один чернокожий фигурировал в любой финансируемой государством рекламе, в которой участвуют более двух человек и которая рассчитана на широкую общественность</w:t>
      </w:r>
      <w:r>
        <w:rPr>
          <w:lang w:val="en-US"/>
        </w:rPr>
        <w:t xml:space="preserve"> |</w:t>
      </w:r>
      <w:r>
        <w:t>(Констуция штата Баия, статья 289);</w:t>
      </w:r>
    </w:p>
    <w:p w:rsidR="00000000" w:rsidRDefault="00000000">
      <w:pPr>
        <w:tabs>
          <w:tab w:val="left" w:pos="567"/>
        </w:tabs>
      </w:pPr>
    </w:p>
    <w:p w:rsidR="00000000" w:rsidRDefault="00000000">
      <w:pPr>
        <w:tabs>
          <w:tab w:val="left" w:pos="567"/>
        </w:tabs>
      </w:pPr>
      <w:r>
        <w:tab/>
        <w:t>h)</w:t>
      </w:r>
      <w:r>
        <w:tab/>
        <w:t>обеспечения наличия в организационной структуре прокуратуры представителей групп, подвергающихся социальной дискриминации (Конституция штата Сеара (статья 133, III));</w:t>
      </w:r>
    </w:p>
    <w:p w:rsidR="00000000" w:rsidRDefault="00000000">
      <w:pPr>
        <w:tabs>
          <w:tab w:val="left" w:pos="567"/>
        </w:tabs>
      </w:pPr>
    </w:p>
    <w:p w:rsidR="00000000" w:rsidRDefault="00000000">
      <w:pPr>
        <w:tabs>
          <w:tab w:val="left" w:pos="567"/>
        </w:tabs>
      </w:pPr>
      <w:r>
        <w:tab/>
        <w:t>i)</w:t>
      </w:r>
      <w:r>
        <w:tab/>
        <w:t>выдачи постоянных титулов на земли, занимаемые сохранившимися общинами беглых рабов (киломбо) (конституции штатов Гояс (Закон о переходных конституционных положениях, статья 16), Мараньян (статья 229), Пара (Общие конституционные положения (статья 332)), а также официальной регистрации в качестве исторических объектов мест, занимаемых общинами киломбо и сомбаки, зон, делимитированных традиционными постройками коренных народов, и районов, имеющих значение для культурной истории Бразилии - Конституция штата Пара (пункт 2 статьи 186);</w:t>
      </w:r>
    </w:p>
    <w:p w:rsidR="00000000" w:rsidRDefault="00000000">
      <w:pPr>
        <w:tabs>
          <w:tab w:val="left" w:pos="567"/>
        </w:tabs>
      </w:pPr>
    </w:p>
    <w:p w:rsidR="00000000" w:rsidRDefault="00000000">
      <w:pPr>
        <w:tabs>
          <w:tab w:val="left" w:pos="567"/>
        </w:tabs>
      </w:pPr>
      <w:r>
        <w:tab/>
        <w:t>j)</w:t>
      </w:r>
      <w:r>
        <w:tab/>
        <w:t>дублирования положений Федеральной конституции, провозглашающих:  i)  содействие обеспечению благосостояния всех граждан без какой бы то ни было дискриминации или различий, что является основополагающей целью государства, запрещающего, таким образом, проведение каких-либо различий среди бразильцев или создание преимуществ (конституции штатов Алагоас (статья 2), Амазонас (статья 19, III), Минас-Жерайс (статья 5), Пиауи (статья 3) и Риу-Гранди-ду-Сул (статья 1));  ii)  непосредственное осуществление всех индивидуальных и коллективных прав и гарантий, изложенных в Федеральной конституции и содержащихся в международных договорах, участником которых является Бразилия (конституции штатов Мату-Гросу (статья 10, III) и Санта-Катарина (статья 4));  iii)  запрещение различий в заработной плате и критериях трудоустройства по признаку пола, возраста, цвета кожи и гражданского состояния (конституции штатов Гояс (статья 95, XVIII), Мараньян (пункт 3 статьи 21, XVI), Пара (статья 31, XVII), Парана (статья 34, XVI), Рио-де-Жанейро (пункт 3 статьи 9), Риу-Гранди-ду-Сул (статья 29, XVI), Санта-Катарина (статья 27, XVIII) и Сержипи (статья 29, XV)).</w:t>
      </w:r>
    </w:p>
    <w:p w:rsidR="00000000" w:rsidRDefault="00000000">
      <w:pPr>
        <w:tabs>
          <w:tab w:val="left" w:pos="567"/>
        </w:tabs>
      </w:pPr>
    </w:p>
    <w:p w:rsidR="00000000" w:rsidRDefault="00000000">
      <w:r>
        <w:t>И наконец, необходимо ответить, что штаты Минас-Жерайс, Пернамбуку, Риу-Гранди-ду</w:t>
      </w:r>
      <w:r>
        <w:noBreakHyphen/>
        <w:t xml:space="preserve">Сул, Санта-Катарина и Сан-Паулу приняли программы штатов по правам человека, в которых содержатся цели, направленные на повышение значимости таких понятий, как равноправие, плюрализм и терпимость, наряду с усилиями по борьбе со всеми формами дискриминации. </w:t>
      </w:r>
    </w:p>
    <w:p w:rsidR="00000000" w:rsidRDefault="00000000"/>
    <w:p w:rsidR="00000000" w:rsidRDefault="00000000">
      <w:pPr>
        <w:jc w:val="center"/>
        <w:rPr>
          <w:b/>
          <w:bCs/>
        </w:rPr>
      </w:pPr>
      <w:r>
        <w:rPr>
          <w:b/>
          <w:bCs/>
        </w:rPr>
        <w:t>II.</w:t>
      </w:r>
      <w:r>
        <w:rPr>
          <w:b/>
          <w:bCs/>
        </w:rPr>
        <w:tab/>
        <w:t>ОСУЩЕСТВЛЕНИЕ СТАТЕЙ 2-7 КОНВЕНЦИИ</w:t>
      </w:r>
    </w:p>
    <w:p w:rsidR="00000000" w:rsidRDefault="00000000">
      <w:pPr>
        <w:jc w:val="center"/>
        <w:rPr>
          <w:b/>
          <w:bCs/>
        </w:rPr>
      </w:pPr>
    </w:p>
    <w:p w:rsidR="00000000" w:rsidRDefault="00000000">
      <w:pPr>
        <w:jc w:val="center"/>
      </w:pPr>
      <w:r>
        <w:rPr>
          <w:b/>
          <w:bCs/>
        </w:rPr>
        <w:t>Статья 2</w:t>
      </w:r>
    </w:p>
    <w:p w:rsidR="00000000" w:rsidRDefault="00000000"/>
    <w:p w:rsidR="00000000" w:rsidRDefault="00000000">
      <w:r>
        <w:t>50.</w:t>
      </w:r>
      <w:r>
        <w:tab/>
        <w:t>Бразильская конституция 1988 года явилась правовой вехой в процессе перехода к демократии и институционализации прав человека в Бразилии.  Такая ценность, как человеческое достоинство, рассматривается в ней в качестве основы демократического государства, построенного на принципах верховенства закона.</w:t>
      </w:r>
    </w:p>
    <w:p w:rsidR="00000000" w:rsidRDefault="00000000"/>
    <w:p w:rsidR="00000000" w:rsidRDefault="00000000">
      <w:r>
        <w:t>51.</w:t>
      </w:r>
      <w:r>
        <w:tab/>
        <w:t>В соответствии с пунктами I и IV статьи 3 Конституции основополагающей целью Федеративной Республики Бразилии является построение свободного справедливого и солидарного общества, а также содействие обеспечению благосостояния всех граждан без каких бы то ни было различий по признаку происхождения, расы, пола, цвета кожи, возраста или любых иных форм дискриминации.</w:t>
      </w:r>
    </w:p>
    <w:p w:rsidR="00000000" w:rsidRDefault="00000000"/>
    <w:p w:rsidR="00000000" w:rsidRDefault="00000000">
      <w:r>
        <w:t>52.</w:t>
      </w:r>
      <w:r>
        <w:tab/>
        <w:t>В своих отношениях на международной арене Федеративная Республика Бразилия должна руководствоваться принципами верховенства прав человека и неприятия терроризма и расизма (пункты II и VIII статьи 4).</w:t>
      </w:r>
    </w:p>
    <w:p w:rsidR="00000000" w:rsidRDefault="00000000"/>
    <w:p w:rsidR="00000000" w:rsidRDefault="00000000">
      <w:r>
        <w:t>53.</w:t>
      </w:r>
      <w:r>
        <w:tab/>
        <w:t>С учетом этих ценностей, а также основополагающих принципов Федеральной конституции 1988 года надлежит рассматривать права и гарантии, закрепленные в статье 5 Конституции.</w:t>
      </w:r>
    </w:p>
    <w:p w:rsidR="00000000" w:rsidRDefault="00000000"/>
    <w:p w:rsidR="00000000" w:rsidRDefault="00000000">
      <w:r>
        <w:t>54.</w:t>
      </w:r>
      <w:r>
        <w:tab/>
        <w:t>Обширный список прав и гарантий в пунктах I-LXXVII статьи 5, начиная с ее заголовка, закрепляет принцип формального равноправия, обеспечивающий равенство всех людей перед законом без каких бы то ни было различий.</w:t>
      </w:r>
    </w:p>
    <w:p w:rsidR="00000000" w:rsidRDefault="00000000"/>
    <w:p w:rsidR="00000000" w:rsidRDefault="00000000">
      <w:r>
        <w:t>55.</w:t>
      </w:r>
      <w:r>
        <w:tab/>
        <w:t>Право на равенство и запрещение дискриминации являются ценностями, нашедшими свое подкрепление в пункте XLI статьи 5, которая провозглашает, что "законом карается любая дискриминация, посягающая на основополагающие права и гарантии".  К этому необходимо добавить пункт XLII той же статьи, в котором говорится, что "акты расизма относятся к числу преступлений, не допускающих освобождения под залог или поручительство, не имеющих срока исковой давности и караемых лишением свободы в соответствии с применимыми положениями законодательства".  Пункт ХLII статьи 5 Конституции 1988 года получил свое развитие в Законе № 7716 от 5 января 1989 года, где определяются преступления, связанные с дискриминацией по признаку расы и цвета кожи.</w:t>
      </w:r>
    </w:p>
    <w:p w:rsidR="00000000" w:rsidRDefault="00000000"/>
    <w:p w:rsidR="00000000" w:rsidRDefault="00000000">
      <w:r>
        <w:t>56.</w:t>
      </w:r>
      <w:r>
        <w:tab/>
        <w:t>До принятия Конституции 1988 года расизм рассматривался как мисдиминор, т.е. мелкое преступление, предусматривающее, согласно Закону № 1390/51, тюремное заключение (сроком до одного года) и штраф.  Только после принятия Федеральной конституции 1988 года расизм был переведен из разряда мелких преступлений в категорию фелонии, - тяжкого  преступления, не имеющего срока исковой давности, предусматривающего наказание в виде тюремного заключения и исключающего освобождение под залог или поручительство.  В отличие от Закона № 1390/51, предусматривавшего тюремное заключение сроком до одного года и/или штраф, нарушение Закона № 7716/89 влечет за собой тюремное заключение на срок от одного до пяти лет.</w:t>
      </w:r>
    </w:p>
    <w:p w:rsidR="00000000" w:rsidRDefault="00000000"/>
    <w:p w:rsidR="00000000" w:rsidRDefault="00000000">
      <w:r>
        <w:t>57.</w:t>
      </w:r>
      <w:r>
        <w:tab/>
        <w:t>Что касается преступлений, связанных с дискриминацией по признаку расы или цвета кожи, то Закон № 7716/89 ограничивается в основном криминализацией случаев создания препятствий или лишения доступа к услугам, рабочим местам, должностям, а также доступа в государственные или частные учреждения по признаку расы или цвета кожи.  В нем также перечислены деяния, связанные с осуществлением, побуждением, или подстрекательством к дискриминации или предубеждению по признаку расы или цвета кожи, причем такие деяния предусматривают более строгое наказание, если они были совершены с использованием средств массовой информации или любых видов публикаций (параграф 2 статьи 20 Закона № 7716/89).</w:t>
      </w:r>
    </w:p>
    <w:p w:rsidR="00000000" w:rsidRDefault="00000000"/>
    <w:p w:rsidR="00000000" w:rsidRDefault="00000000">
      <w:r>
        <w:t>58.</w:t>
      </w:r>
      <w:r>
        <w:tab/>
        <w:t>Несмотря на то, что Закон № 7716/89, криминализируя деяния, связанные с дискриминацией на почве расы или цвета кожи, является определенным шагом вперед, один из его недостатков заключается в том, что он не включает в себя преступления, связанные с диффамацией дискриминационного характера.  Хотя деяния, связанные с диффамацией на почве расовой дискриминации (очернительство, клевета, оскорбление словом) не нашли должного отражения в Законе № 7716/89, они в конечном итоге юридически были отнесены не к категории проявлений расизма, а к диффамации в общем смысле этого слова (например, оскорбление, письменная клевета).  Однако если расизм карается тюремным заключением сроком от одного года до пяти лет, то за письменную клевету предусматривается наказание в виде тюремного заключения сроком на шесть месяцев.  Кроме того, преступления, связанные с диффамацией, преследуются в рамках частных уголовных исков (исковая давность которых истекает через шесть месяцев), в то время как преступления, связанные с актами расизма, преследуются посредством возбуждения государственных уголовных исков.  Что касается сроков давности, то, если на преступления, связанные с расизмом, он не распространяется, срок давности для преступлений, связанных с диффамацией, истекает в короткий промежуток времени (два года в случае пасквиля или устной клеветы).</w:t>
      </w:r>
    </w:p>
    <w:p w:rsidR="00000000" w:rsidRDefault="00000000"/>
    <w:p w:rsidR="00000000" w:rsidRDefault="00000000">
      <w:r>
        <w:t>59.</w:t>
      </w:r>
      <w:r>
        <w:tab/>
        <w:t xml:space="preserve">Чтобы заполнить пробел, созданный Законом № 7716/89, а также конкретизировать его направленность и расширить сферу действия, 13 мая 1997 года был принят Закон № 9459, который устанавливает наказания за преступления, связанные с дискриминацией и предубеждением по признаку расы, цвета кожи, а также этнической, религиозной и национальной принадлежности.  Таким образом, этот Закон вносит изменения в Закон № 7716/89, расширив сферу его охвата, которая первоначально ограничивалась борьбой с актами дискриминации на почве расовой принадлежности или цвета кожи.  Как упоминалось выше, Закон № 9459/97 также предусматривает наказание за преступления, связанные с дискриминацией или предубеждением по признаку этнической, религиозной и национальной принадлежности.  Помимо этого, к статье 140 Закона № 9459/97 об Уголовном кодексе был добавлен пункт, в котором дается определение такого преступления, как письменная клевета.  В соответствии с этим законом, если в клеветническом заявлении содержатся элементы, относящиеся к расе, цвету кожи, этнической и религиозной принадлежности или происхождению, то назначается наказание в виде тюремного заключения сроком от одного года до трех лет и штраф.  Таким образом, в этом Законе предпринимается попытка провести различие между обычной клеветой и клеветой, основанной на дискриминации (по признаку расы, цвета кожи, а также этнической и религиозной и принадлежности или происхождения), причем последняя предусматривает более суровое наказание.  Итак, Закон № 9459/97 направлен не только на то, чтобы восполнить пробел, созданный Законом № 7716/89 в отношении преступлений, связанных с диффамацией, но и является попыткой установить наказания за преступления, связанные с дискриминацией или предубеждением по признаку этнической и религиозной принадлежности или происхождения.  </w:t>
      </w:r>
    </w:p>
    <w:p w:rsidR="00000000" w:rsidRDefault="00000000"/>
    <w:p w:rsidR="00000000" w:rsidRDefault="00000000">
      <w:r>
        <w:t>60.</w:t>
      </w:r>
      <w:r>
        <w:tab/>
        <w:t>Помимо Законов № 7716/89 и № 9459/97, в Бразилии были приняты и другие законодательные меры по борьбе против расовой дискриминации, которые заслуживают упоминания.  В том числе:</w:t>
      </w:r>
    </w:p>
    <w:p w:rsidR="00000000" w:rsidRDefault="00000000"/>
    <w:p w:rsidR="00000000" w:rsidRDefault="00000000">
      <w:r>
        <w:tab/>
        <w:t>а)</w:t>
      </w:r>
      <w:r>
        <w:tab/>
        <w:t>Закон № 2889/56, в котором дается определение и предусматривается наказание за преступление геноцида;</w:t>
      </w:r>
    </w:p>
    <w:p w:rsidR="00000000" w:rsidRDefault="00000000"/>
    <w:p w:rsidR="00000000" w:rsidRDefault="00000000">
      <w:r>
        <w:tab/>
        <w:t>b)</w:t>
      </w:r>
      <w:r>
        <w:tab/>
        <w:t>Закон № 4117/62 о Кодексе телекоммуникаций Бразилии, запрещает использование средств информации для проведения кампаний, пропагандирующих дискриминацию по признаку классовой принадлежности, цвета кожи, расы или религии;</w:t>
      </w:r>
    </w:p>
    <w:p w:rsidR="00000000" w:rsidRDefault="00000000"/>
    <w:p w:rsidR="00000000" w:rsidRDefault="00000000">
      <w:r>
        <w:tab/>
        <w:t>с)</w:t>
      </w:r>
      <w:r>
        <w:tab/>
        <w:t>Закон № 5250/67, регулирующий вопросы свободы мысли и запрещающий распространение любыми средствами расовых предрассудков;</w:t>
      </w:r>
    </w:p>
    <w:p w:rsidR="00000000" w:rsidRDefault="00000000"/>
    <w:p w:rsidR="00000000" w:rsidRDefault="00000000">
      <w:r>
        <w:tab/>
        <w:t>d)</w:t>
      </w:r>
      <w:r>
        <w:tab/>
        <w:t>Закон № 6620/78, в котором перечисляются преступления против национальной безопасности и предусматриваются наказания за разжигание ненависти и подстрекательство к расовой дискриминации;</w:t>
      </w:r>
    </w:p>
    <w:p w:rsidR="00000000" w:rsidRDefault="00000000"/>
    <w:p w:rsidR="00000000" w:rsidRDefault="00000000">
      <w:r>
        <w:tab/>
        <w:t>е)</w:t>
      </w:r>
      <w:r>
        <w:tab/>
        <w:t>Закон № 7210/84, вводящий Закон об исполнении решений по уголовным делам, запрещает проведение различий по признаку расовой, социальной, религиозной и политической принадлежности при применении Закона об исполнении решений по уголовным делам;</w:t>
      </w:r>
    </w:p>
    <w:p w:rsidR="00000000" w:rsidRDefault="00000000"/>
    <w:p w:rsidR="00000000" w:rsidRDefault="00000000">
      <w:r>
        <w:tab/>
        <w:t>f)</w:t>
      </w:r>
      <w:r>
        <w:tab/>
        <w:t>Закон № 8072/90, в котором дается определение тяжких преступлений, включая геноцид;</w:t>
      </w:r>
    </w:p>
    <w:p w:rsidR="00000000" w:rsidRDefault="00000000"/>
    <w:p w:rsidR="00000000" w:rsidRDefault="00000000">
      <w:r>
        <w:tab/>
        <w:t>g)</w:t>
      </w:r>
      <w:r>
        <w:tab/>
        <w:t>Закон № 8078/90 о защите потребителей, запрещающий любую рекламу, которая носит обманный и дискриминационный характер или подстрекает к насилию;</w:t>
      </w:r>
    </w:p>
    <w:p w:rsidR="00000000" w:rsidRDefault="00000000"/>
    <w:p w:rsidR="00000000" w:rsidRDefault="00000000">
      <w:r>
        <w:tab/>
        <w:t>h)</w:t>
      </w:r>
      <w:r>
        <w:tab/>
        <w:t>Закон № 8081/90, в котором перечисляются преступления и соответствующие наказания за деяния, связанные с дискриминацией или предрассудками по признаку расы, цвета кожи, религии, этнической принадлежности, или деяния, совершенные посредством любого рода рекламы;</w:t>
      </w:r>
    </w:p>
    <w:p w:rsidR="00000000" w:rsidRDefault="00000000"/>
    <w:p w:rsidR="00000000" w:rsidRDefault="00000000">
      <w:r>
        <w:tab/>
        <w:t>i)</w:t>
      </w:r>
      <w:r>
        <w:tab/>
        <w:t>Закон № 8069/90 о детях и подростках, запрещающий любую форму дискриминации в отношении детей и подростков;</w:t>
      </w:r>
    </w:p>
    <w:p w:rsidR="00000000" w:rsidRDefault="00000000"/>
    <w:p w:rsidR="00000000" w:rsidRDefault="00000000">
      <w:r>
        <w:tab/>
        <w:t>j)</w:t>
      </w:r>
      <w:r>
        <w:tab/>
        <w:t>Закон № 9029/95, запрещающий дискриминацию при приеме на работу или при прохождении службы;</w:t>
      </w:r>
    </w:p>
    <w:p w:rsidR="00000000" w:rsidRDefault="00000000"/>
    <w:p w:rsidR="00000000" w:rsidRDefault="00000000">
      <w:r>
        <w:rPr>
          <w:lang w:val="en-US"/>
        </w:rPr>
        <w:tab/>
        <w:t>k</w:t>
      </w:r>
      <w:r>
        <w:t>)</w:t>
      </w:r>
      <w:r>
        <w:tab/>
        <w:t>Закон № 9455/97, который при определении преступления в виде пыток и назначении наказания за него рассматривает в качестве пытки принуждение работника с использованием насилия или угрозы, вызывающее физические или психические страдания, на основе расовой или религиозной дискриминации.</w:t>
      </w:r>
    </w:p>
    <w:p w:rsidR="00000000" w:rsidRDefault="00000000"/>
    <w:p w:rsidR="00000000" w:rsidRDefault="00000000">
      <w:r>
        <w:t>61.</w:t>
      </w:r>
      <w:r>
        <w:tab/>
        <w:t>Помимо этого, следует упомянуть о проекте закона, в настоящее время рассматриваемого Национальным конгрессом, в котором речь идет о гражданских исках в связи с выполнением или невыполнением обязательств с целью сохранения чести и достоинства расовых, этнических и религиозных групп.</w:t>
      </w:r>
    </w:p>
    <w:p w:rsidR="00000000" w:rsidRDefault="00000000"/>
    <w:p w:rsidR="00000000" w:rsidRDefault="00000000">
      <w:r>
        <w:t>62.</w:t>
      </w:r>
      <w:r>
        <w:tab/>
        <w:t>Кроме того, упоминания заслуживает и Национальная программа по правам человека, одобренная Указом № 1904 от 13 мая 1996 года.  Национальная программа по правам человека является важнейшим документом, в соответствии с которым вопросы прав человека вводятся в ранг национальной государственной политики.  Эта Программа  подробно рассматривается в настоящем докладе.</w:t>
      </w:r>
    </w:p>
    <w:p w:rsidR="00000000" w:rsidRDefault="00000000"/>
    <w:p w:rsidR="00000000" w:rsidRDefault="00000000">
      <w:r>
        <w:t>63.</w:t>
      </w:r>
      <w:r>
        <w:tab/>
        <w:t>Кроме того, 13 мая 2002 года президент Республики с разрешения Национального конгресса подписал факультативное заявление, предусмотренное в статье 14 Международной конвенции о ликвидации всех форм расовой дискриминации, признавая полномочия Комитета по ликвидации расовой дискриминации получать и рассматривать жалобы о нарушениях прав человека в Бразилии.</w:t>
      </w:r>
    </w:p>
    <w:p w:rsidR="00000000" w:rsidRDefault="00000000"/>
    <w:p w:rsidR="00000000" w:rsidRDefault="00000000">
      <w:r>
        <w:t>64.</w:t>
      </w:r>
      <w:r>
        <w:tab/>
        <w:t>Используя эту широкую нормативную базу, охватывающую Федеральную конституцию, обычное законодательство и конституции штатов, Бразилия стремится выполнить взятые на себя обязательства, перечисленные в подпунктах а)-е) статьи 2 Конвенции.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65.</w:t>
      </w:r>
      <w:r>
        <w:tab/>
        <w:t xml:space="preserve">В пункте </w:t>
      </w:r>
      <w:r>
        <w:rPr>
          <w:lang w:val="en-US"/>
        </w:rPr>
        <w:t>VII</w:t>
      </w:r>
      <w:r>
        <w:t xml:space="preserve"> статьи 4 Конституции Бразилии 1988 года провозглашается, что в международных отношениях Бразилия руководствуется принципом неприятия терроризма и расизма, результатом чего явилось осуждение системы апартеида в Южной Африке, просуществовавшего до начала 90-х годов.  Во время существования апартеида в этой стране Бразилия, следуя резолюции 566 (1985) Совета Безопасности, издала Указ № 91524 от 9 августа 1985 года, запретив любые культурные, художественный и спортивные обмены, а также торговлю нефтью и оружием с Южной Африкой. </w:t>
      </w:r>
    </w:p>
    <w:p w:rsidR="00000000" w:rsidRDefault="00000000"/>
    <w:p w:rsidR="00000000" w:rsidRDefault="00000000">
      <w:r>
        <w:t>66.</w:t>
      </w:r>
      <w:r>
        <w:tab/>
        <w:t xml:space="preserve">Конституция штата Баия также строго запрещает культурные и спортивные обмены с участием своих официальных делегаций со странами, проводящими государственную политику расовой дискриминации.  Кроме того, она запрещает участие, даже косвенное, компаний, размещенных в этих странах, в любых конкурентных торгах, в которых прямо или косвенно представлена государственная администрация (пункты </w:t>
      </w:r>
      <w:r>
        <w:rPr>
          <w:lang w:val="en-US"/>
        </w:rPr>
        <w:t>I</w:t>
      </w:r>
      <w:r>
        <w:t xml:space="preserve"> и </w:t>
      </w:r>
      <w:r>
        <w:rPr>
          <w:lang w:val="en-US"/>
        </w:rPr>
        <w:t>II</w:t>
      </w:r>
      <w:r>
        <w:t xml:space="preserve"> статьи 287).  Со своей стороны Конституция штата Амазонас считает важным подготовку и трансляцию учебных и культурных программ и проведение кампаний, осуждающих расизм, предрассудки, дискриминацию и зависимость (пункт </w:t>
      </w:r>
      <w:r>
        <w:rPr>
          <w:lang w:val="en-US"/>
        </w:rPr>
        <w:t>V</w:t>
      </w:r>
      <w:r>
        <w:t xml:space="preserve"> статьи 224).</w:t>
      </w:r>
    </w:p>
    <w:p w:rsidR="00000000" w:rsidRDefault="00000000"/>
    <w:p w:rsidR="00000000" w:rsidRDefault="00000000">
      <w:r>
        <w:t>67.</w:t>
      </w:r>
      <w:r>
        <w:tab/>
        <w:t>Несмотря на то, что в современном мире целым рядом государств были приняты международные нормы, направленные на борьбу против расовой сегрегации и апартеида, мы наблюдаем возникновение новых форм расизма, таких, как неонацизм, ксенофобия и этническое насилие.</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68.</w:t>
      </w:r>
      <w:r>
        <w:tab/>
        <w:t>Правовая система Бразилии запрещает распространение идей дискриминационного характера, что нашло отражение в большом числе конкретных законов, включая законы, регулирующие свободу печати и средств коммуникации, а также законы о защите потребителей от рекламных материалов оскорбительного характера.</w:t>
      </w:r>
    </w:p>
    <w:p w:rsidR="00000000" w:rsidRDefault="00000000"/>
    <w:p w:rsidR="00000000" w:rsidRDefault="00000000">
      <w:r>
        <w:t>69.</w:t>
      </w:r>
      <w:r>
        <w:tab/>
        <w:t>Закон № 2889 от 1956 года, определяющий преступление геноцида и наказание за него, также предусматривает наказание для тех, кто открыто и публично подстрекает других лиц к совершению этого преступления в любой его форме.  В этом Законе имеется специальное положение, допускающее увеличение срока наказания по приговору суда на одну треть в том случае, если подстрекательство имело место через прессу (пункт 2 статьи 3) или осуществлялось государственным должностным лицом или гражданским служащим (статья 4).</w:t>
      </w:r>
    </w:p>
    <w:p w:rsidR="00000000" w:rsidRDefault="00000000"/>
    <w:p w:rsidR="00000000" w:rsidRDefault="00000000">
      <w:r>
        <w:t>70.</w:t>
      </w:r>
      <w:r>
        <w:tab/>
        <w:t>Со своей стороны Кодекс телекоммуникаций Бразилии (Закон № 4117 от 1962 года) рассматривает в качестве преступного деяния (пункт е) статьи 53) проведение кампаний, поощряющих дискриминацию по признаку классовой принадлежности, цвета кожи, расы и религии при осуществлении права на свободу теле- и радиовещания.</w:t>
      </w:r>
    </w:p>
    <w:p w:rsidR="00000000" w:rsidRDefault="00000000"/>
    <w:p w:rsidR="00000000" w:rsidRDefault="00000000">
      <w:r>
        <w:t>71.</w:t>
      </w:r>
      <w:r>
        <w:tab/>
        <w:t>Закон о печати (Закон № 5250/67) рассматривает в качестве преступного деяния пропаганду войны, подстрекательство к подрыву политического или социального порядка и к возбуждению расовых и классовых предрассудков при осуществлении права на свободу выражения мысли и информации.  Совершение этого деяния влечет за собой тюремное наказание на срок от одного года до четырех лет в соответствии с положениями статьи 14.</w:t>
      </w:r>
    </w:p>
    <w:p w:rsidR="00000000" w:rsidRDefault="00000000"/>
    <w:p w:rsidR="00000000" w:rsidRDefault="00000000">
      <w:r>
        <w:t>72.</w:t>
      </w:r>
      <w:r>
        <w:tab/>
        <w:t>Закон № 7716/89, в котором дается определение преступлений, связанных с предубеждением на почве расы и цвета кожи, содержит соответствующие положения, включенные в него на основании Закона № 9459 от 13 мая 1997 года и гласящие следующее:</w:t>
      </w:r>
    </w:p>
    <w:p w:rsidR="00000000" w:rsidRDefault="00000000"/>
    <w:p w:rsidR="00000000" w:rsidRDefault="00000000">
      <w:pPr>
        <w:ind w:left="1134" w:hanging="567"/>
      </w:pPr>
      <w:r>
        <w:t>-</w:t>
      </w:r>
      <w:r>
        <w:tab/>
        <w:t>практика, побуждение или подстрекательство к дискриминации или предубеждению по признаку расы, цвета кожи, этнического, религиозного или национального происхождения предусматривают наказание в виде тюремного заключения на срок от одного года до трех лет и штраф (статья 20, вводная часть);</w:t>
      </w:r>
    </w:p>
    <w:p w:rsidR="00000000" w:rsidRDefault="00000000"/>
    <w:p w:rsidR="00000000" w:rsidRDefault="00000000">
      <w:pPr>
        <w:ind w:left="1134" w:hanging="1134"/>
      </w:pPr>
      <w:r>
        <w:tab/>
        <w:t>-</w:t>
      </w:r>
      <w:r>
        <w:tab/>
        <w:t>производство, маркетинг, рассылка и распространение символики, эмблем, украшений, значков и других пропагандистских материалов с использованием свастики или греческого креста для целей пропаганды нацизма предусматривают наказание в виде тюремного заключения на срок от двух до пяти лет и штрафа (пункт 1 статьи 20);</w:t>
      </w:r>
    </w:p>
    <w:p w:rsidR="00000000" w:rsidRDefault="00000000">
      <w:pPr>
        <w:ind w:left="1134" w:hanging="1134"/>
      </w:pPr>
    </w:p>
    <w:p w:rsidR="00000000" w:rsidRDefault="00000000">
      <w:pPr>
        <w:ind w:left="1134" w:hanging="1134"/>
      </w:pPr>
      <w:r>
        <w:tab/>
        <w:t>-</w:t>
      </w:r>
      <w:r>
        <w:tab/>
        <w:t>если одно из преступлений, перечисленных выше, совершается с использованием средств социальной коммуникации или публикаций любого вида, в качестве наказания предусматривается тюремное заключение на срок от двух до пяти лет и штраф (пункт 2 статьи 20).</w:t>
      </w:r>
    </w:p>
    <w:p w:rsidR="00000000" w:rsidRDefault="00000000">
      <w:pPr>
        <w:ind w:left="1134" w:hanging="1134"/>
      </w:pPr>
    </w:p>
    <w:p w:rsidR="00000000" w:rsidRDefault="00000000">
      <w:r>
        <w:t>73.</w:t>
      </w:r>
      <w:r>
        <w:tab/>
        <w:t>В бразильском законодательстве также есть положения, ограничивающие распространение идей дискриминационного характера в отношениях с потребителями.  Закон № 8078/90, учреждающий Кодекс защиты потребителей, дает определение случаев использования рекламных материалов оскорбительного характера как материалов, являющихся дискриминационными по своей сути, которые подстрекают к насилию, эксплуатируют чувство страха или суеверия, используют слабую осведомленность или неопытность детей, пренебрегают ценностями окружающей среды или способны заставить потребителя изменить свое поведение, которое может стать вредным или опасным для его здоровья или безопасности (пункт 2 статьи 37 Кодекса защиты потребителей).</w:t>
      </w:r>
    </w:p>
    <w:p w:rsidR="00000000" w:rsidRDefault="00000000"/>
    <w:p w:rsidR="00000000" w:rsidRDefault="00000000">
      <w:r>
        <w:t>74.</w:t>
      </w:r>
      <w:r>
        <w:tab/>
        <w:t>Кодекс защиты потребителей предусматривает три типа санкций для рекламодателя, а в случае халатности или мошенничества - агентства или посредника, ответственного за выпуск и трансляцию такого типа рекламы:</w:t>
      </w:r>
    </w:p>
    <w:p w:rsidR="00000000" w:rsidRDefault="00000000"/>
    <w:p w:rsidR="00000000" w:rsidRDefault="00000000">
      <w:r>
        <w:tab/>
        <w:t>a)</w:t>
      </w:r>
      <w:r>
        <w:tab/>
        <w:t>санкции гражданского характера:  компенсация, когда рекламодатель несет материальную ответственность, а агентство или посредник - индивидуальную;</w:t>
      </w:r>
    </w:p>
    <w:p w:rsidR="00000000" w:rsidRDefault="00000000"/>
    <w:p w:rsidR="00000000" w:rsidRDefault="00000000">
      <w:r>
        <w:tab/>
        <w:t>b)</w:t>
      </w:r>
      <w:r>
        <w:tab/>
        <w:t>санкции административного характера:  рекламное опровержение в случаях использования рекламодателем материалов оскорбительного характера неизменно дается за счет самого рекламодателя и распространяется в той же форме и в том же объеме и, предпочтительно, через того же посредника, в том же месте, в тех же пределах и в то же время таким образом, чтобы устранить ущерб, причиненный такими рекламными материалами (пункт 1 статьи 60);</w:t>
      </w:r>
    </w:p>
    <w:p w:rsidR="00000000" w:rsidRDefault="00000000"/>
    <w:p w:rsidR="00000000" w:rsidRDefault="00000000">
      <w:r>
        <w:tab/>
        <w:t>c)</w:t>
      </w:r>
      <w:r>
        <w:tab/>
        <w:t>уголовные санкции:  наказание в виде тюремного заключения сроком от трех месяцев до одного года и штрафа для лица, производящего или распространяющего рекламные материалы, которые такое лицо признает или должно признавать в качестве оскорбительных (статья 67), и наказание в виде тюремного заключения сроком от шести месяцев до двух лет для лица, производящего или распространяющего рекламные материалы, которые такое лицо признает или должно признавать как способные заставить потребителя изменить свои поведение, которое может стать вредными или опасным для его здоровья или безопасности (статья 68).</w:t>
      </w:r>
    </w:p>
    <w:p w:rsidR="00000000" w:rsidRDefault="00000000"/>
    <w:p w:rsidR="00000000" w:rsidRDefault="00000000">
      <w:r>
        <w:t>75.</w:t>
      </w:r>
      <w:r>
        <w:tab/>
        <w:t>Федеральная конституция обеспечивает широкую свободу ассоциаций при условии, что их деятельность осуществляется законными средствами (пункт Х</w:t>
      </w:r>
      <w:r>
        <w:rPr>
          <w:lang w:val="en-US"/>
        </w:rPr>
        <w:t>VII</w:t>
      </w:r>
      <w:r>
        <w:t xml:space="preserve"> статьи 5).  Таким образом, организации, преследующие расистские цели, такие, как неонацистские группы, ставящие перед собой задачу введения расовой сегрегации, как это уже упоминалось в комментариях по статье 2, запрещены бразильским законодательством.</w:t>
      </w:r>
    </w:p>
    <w:p w:rsidR="00000000" w:rsidRDefault="00000000"/>
    <w:p w:rsidR="00000000" w:rsidRDefault="00000000">
      <w:r>
        <w:t>76.</w:t>
      </w:r>
      <w:r>
        <w:tab/>
        <w:t>Упоминания заслуживают и политические партии.  Конституция гарантирует партиям, как и всем видам ассоциаций, свободу формирования, слияния, объединения и роспуска при условии, что они преследуют законные цели.  Статья 17 Федеральной конституции предусматривает, что политические партии должны обеспечивать суверенитет нации, ее демократический режим, многопартийную систему и основные права человека.</w:t>
      </w:r>
    </w:p>
    <w:p w:rsidR="00000000" w:rsidRDefault="00000000"/>
    <w:p w:rsidR="00000000" w:rsidRDefault="00000000">
      <w:r>
        <w:t>77.</w:t>
      </w:r>
      <w:r>
        <w:tab/>
        <w:t xml:space="preserve">Бразильское законодательство квалифицирует как особо тяжкое правонарушение случаи подстрекательства к расовой дискриминации со стороны государственных должностных лиц.  Закон № 9455 от 7 апреля 1997 года, в котором дается определение преступления в виде пытки, устанавливает, что принуждение работника с помощью насилия или угрозы, вызывающие физические или психические страдания, на почве расовой или религиозной дискриминации, представляет собой одну из форм такого преступления (пункт I с) статьи 1);  при этом в Законе содержатся особые положения об увеличении срока наказания (от одной шестой до одной трети) в случаях, когда такое преступление совершается государственным должностным лицом (пункт 4 </w:t>
      </w:r>
      <w:r>
        <w:rPr>
          <w:lang w:val="en-US"/>
        </w:rPr>
        <w:t>I</w:t>
      </w:r>
      <w:r>
        <w:t xml:space="preserve"> </w:t>
      </w:r>
      <w:r>
        <w:rPr>
          <w:lang w:val="en-US"/>
        </w:rPr>
        <w:t>c</w:t>
      </w:r>
      <w:r>
        <w:t xml:space="preserve">татьи 1).  Со своей стороны Закон № 7716/89 в статьях 16-18 предусматривает особые санкции для государственных должностных лиц, признанных виновными в совершении одного из преступлений, определенных в Законе:  смещение с государственного поста или должности (объявляется в момент вынесения приговора при наличии веских оснований, при условии, что такие санкции не вступают в силу автоматически).  </w:t>
      </w:r>
    </w:p>
    <w:p w:rsidR="00000000" w:rsidRDefault="00000000"/>
    <w:p w:rsidR="00000000" w:rsidRDefault="00000000">
      <w:r>
        <w:t>78.</w:t>
      </w:r>
      <w:r>
        <w:tab/>
        <w:t>Единственным законом, который строго запрещает подстрекательство к дискриминации или ее поощрение, согласно пункту с) статьи 4 Конвенции, является Закон № 2889 от 1 октября 1956 года.  В статье 4 этого Закона содержатся специальные положения об увеличении срока наказания на одну треть в случаях, перечисленных в статьях 1, 2 и 3, когда преступление совершается государственным должностных лицом или гражданским служащим;  в статье 3 определяется преступление, связанное с прямым публичным подстрекательством к геноциду.</w:t>
      </w:r>
    </w:p>
    <w:p w:rsidR="00000000" w:rsidRDefault="00000000">
      <w:pPr>
        <w:rPr>
          <w:lang w:val="en-US"/>
        </w:rPr>
      </w:pPr>
    </w:p>
    <w:p w:rsidR="00000000" w:rsidRDefault="00000000">
      <w:r>
        <w:t>79.</w:t>
      </w:r>
      <w:r>
        <w:tab/>
        <w:t>Несмотря на обширное национальное законодательство, осуждающее любую пропаганду и организации, использующие идеи или теории, основанные на концепции расового превосходства, в Бразилии появились неонацистские группы, выступающие за дискриминацию евреев, чернокожих, выходцев из северо-восточного региона, гомосексуалистов и лесбиянок.  Эти группы занимаются распространением брошюр, значков и журналов соответствующего содержания.  В качестве средства коммуникации они используют и Интернет.  Компьютерная сеть стала для неонацистского движения наиболее безопасным способом обмена предрассудками между группами единомышленников.</w:t>
      </w:r>
    </w:p>
    <w:p w:rsidR="00000000" w:rsidRDefault="00000000"/>
    <w:p w:rsidR="00000000" w:rsidRDefault="00000000">
      <w:r>
        <w:t>80.</w:t>
      </w:r>
      <w:r>
        <w:tab/>
        <w:t>Пункт 3 статьи 20 раздела </w:t>
      </w:r>
      <w:r>
        <w:rPr>
          <w:lang w:val="en-US"/>
        </w:rPr>
        <w:t>II</w:t>
      </w:r>
      <w:r>
        <w:t xml:space="preserve"> Закона № 7716/89 с соответствующими положениями, добавленными на основании Закона № 9459/97, предоставляет судебным органам право закрывать радио- и телепередачи в случаях совершения преступления в виде осуществления, побуждения или подстрекательства к дискриминации или предубеждению по признаку расы, цвета кожи, этнической, религиозной или национальной принадлежности, с использованием средств социальной коммуникации и публикаций любого рода.  Однако эти законы не содержат положений в отношении преступлений, совершаемых с использованием Интернета.  В любом случае, опираясь на общие превентивные полномочия, предусмотренные статьями 798 и 799 Гражданско-процессуального кодекса, а также статьей 3 Уголовно-процессуального кодекса (допускающей широкое толкование, применение по аналогии и использование общих принципов права), судебные органы могут принять решение о запрете сайтов, имеющих дискриминационную направленность.</w:t>
      </w:r>
    </w:p>
    <w:p w:rsidR="00000000" w:rsidRDefault="00000000"/>
    <w:p w:rsidR="00000000" w:rsidRDefault="00000000">
      <w:r>
        <w:t>81.</w:t>
      </w:r>
      <w:r>
        <w:tab/>
        <w:t xml:space="preserve">Лица, ответственные за расистские сайты, отнюдь не всегда прячутся за анонимностью, которую предоставляет им компьютерная сеть.  Иногда они выступают в открытую, будучи заинтересованы в вербовке последователей и поиске единомышленников для проведения своих кампаний.  Эти группы используют следующие уловки для усложнения процедуры возбуждения уголовного преследования:  а)  они создают сайты за пределами территории Бразилии, в основном в Соединенных Штатах и Канаде, где закон допускает подобное выражение взглядов;  </w:t>
      </w:r>
      <w:r>
        <w:rPr>
          <w:lang w:val="en-US"/>
        </w:rPr>
        <w:t>b</w:t>
      </w:r>
      <w:r>
        <w:t>)</w:t>
      </w:r>
      <w:r>
        <w:rPr>
          <w:lang w:val="en-US"/>
        </w:rPr>
        <w:t>  </w:t>
      </w:r>
      <w:r>
        <w:t>они помещают расистские материалы на сайтах, находящихся в Бразилии, используя при этом английский язык;  с)  они создают нейтральные сайты в Бразилии, связанные с заграничными сайтами на португальском и испанском языках, причем расистский характер некоторых сайтов прячется под маской учебного семинара или дискуссионной группы.</w:t>
      </w:r>
    </w:p>
    <w:p w:rsidR="00000000" w:rsidRDefault="00000000"/>
    <w:p w:rsidR="00000000" w:rsidRDefault="00000000">
      <w:r>
        <w:t>82.</w:t>
      </w:r>
      <w:r>
        <w:tab/>
        <w:t>Неонацистские группы также совершают преступления в форме угроз.  В качестве примера можно привести группу "Френте анти-кауш", сайт которой был выявлен еще в 1999 году гражданской полицией Сан-Паулу с помощью двух задержанных членов этой группы.  Данная страница Интернета, которая использовалась для выступлений против гомосексуалистов и для ведения антисемитской пропаганды, уже находилась под запретом.  Группа направила по почте письмо в редакции газет и полицейские участки, расположенные в центре Сан-Паулу, в котором авторы выражали сожаление по поводу ареста двух вышеупомянутых членов этой группы, предлагали полиции установить личности ее участников, а также угрожали произвести серию взрывов в марте 2000 года.  В Бразилии существуют и другие группы, постоянно посылающие анонимные письма общинам и организациям, занимающимся вопросами прав человека, с угрозами в адрес чернокожих, евреев, выходцев из северо-восточного региона и гомосексуалистов.</w:t>
      </w:r>
    </w:p>
    <w:p w:rsidR="00000000" w:rsidRDefault="00000000"/>
    <w:p w:rsidR="00000000" w:rsidRDefault="00000000">
      <w:r>
        <w:t>83.</w:t>
      </w:r>
      <w:r>
        <w:tab/>
        <w:t>Помимо распространения брошюр, создания сайтов Интернета и рассылки угроз, эти группы также практикуют этническое насилие, принимающее форму противостояния уличных группировок, драк в барах и ночных клубах, убийств, нападений, избиений и изнасилований.</w:t>
      </w:r>
    </w:p>
    <w:p w:rsidR="00000000" w:rsidRDefault="00000000"/>
    <w:p w:rsidR="00000000" w:rsidRDefault="00000000">
      <w:r>
        <w:t>84.</w:t>
      </w:r>
      <w:r>
        <w:tab/>
        <w:t>Таким образом, проявления расизма в стране являются не изолированными действиями, а частью растущего и все более организованного движения.  Оно проявляет себя в форме изготовления и размещения разного рода вывесок, публикации и распространения журналов, рассылки анонимных писем с угрозами, телефонных звонков перед нападениями, изготовления и продажи взрывчатых веществ, празднования особых дат, таких, как дни рождения Гитлера и его сообщников, а также событий второй мировой войны.  Имеются также полученные федеральной полицией сведения о том, что эти группы получают финансовую помощь из-за границы.</w:t>
      </w:r>
    </w:p>
    <w:p w:rsidR="00000000" w:rsidRDefault="00000000"/>
    <w:p w:rsidR="00000000" w:rsidRDefault="00000000">
      <w:r>
        <w:t>85.</w:t>
      </w:r>
      <w:r>
        <w:tab/>
        <w:t>Служба "</w:t>
      </w:r>
      <w:r>
        <w:rPr>
          <w:lang w:val="en-US"/>
        </w:rPr>
        <w:t>SOS</w:t>
      </w:r>
      <w:r>
        <w:t xml:space="preserve"> расизм", созданная Законодательной ассамблеей Сан-Паулу для получения жалоб на расовую дискриминацию, в 1998 году обнаружила в Интернете четыре расистских сайта.  Один из них принадлежит некоему Национал-социалистическому союзу Сан-Паулу, подвергавшему нападкам северо-восточную общину.  Возглавляемая 27-летним студентом факультета языка и литературы Университета Сан-Паулу Андре Шмодтом Амаралом Гургелем, эта организация ведет кампанию за высылку из Сан-Паулу всех выходцев с северо-востока.  В ноябре 1999 года суд Сан-Паулу приговорил его к двум годам общественно-полезных работ, признав его виновным в распространении через Интернет расистских идей, направленных против мигрантов с северо-востока.  Была обнаружена и другая организация - Национальный фронт борьбы за порядок и прогресс, - которая также имеет свой сайт в Интернете, пропагандирующий расистские идеи.  В августе 1998 года правозащитные организации обратились в прокуратуру и специальное подразделение по борьбе с расовыми преступлениями Сан-Паулу с требованием принять надлежащие меры по проверке деятельности этих организаций.  (</w:t>
      </w:r>
      <w:r>
        <w:rPr>
          <w:i/>
          <w:iCs/>
          <w:lang w:val="en-US"/>
        </w:rPr>
        <w:t>O</w:t>
      </w:r>
      <w:r>
        <w:rPr>
          <w:i/>
          <w:iCs/>
        </w:rPr>
        <w:t xml:space="preserve"> </w:t>
      </w:r>
      <w:r>
        <w:rPr>
          <w:i/>
          <w:iCs/>
          <w:lang w:val="en-US"/>
        </w:rPr>
        <w:t>Estado</w:t>
      </w:r>
      <w:r>
        <w:rPr>
          <w:i/>
          <w:iCs/>
        </w:rPr>
        <w:t xml:space="preserve"> </w:t>
      </w:r>
      <w:r>
        <w:rPr>
          <w:i/>
          <w:iCs/>
          <w:lang w:val="en-US"/>
        </w:rPr>
        <w:t>de</w:t>
      </w:r>
      <w:r>
        <w:rPr>
          <w:i/>
          <w:iCs/>
        </w:rPr>
        <w:t xml:space="preserve"> </w:t>
      </w:r>
      <w:r>
        <w:rPr>
          <w:i/>
          <w:iCs/>
          <w:lang w:val="en-US"/>
        </w:rPr>
        <w:t>S</w:t>
      </w:r>
      <w:r>
        <w:rPr>
          <w:i/>
          <w:iCs/>
        </w:rPr>
        <w:t xml:space="preserve">. </w:t>
      </w:r>
      <w:r>
        <w:rPr>
          <w:i/>
          <w:iCs/>
          <w:lang w:val="en-US"/>
        </w:rPr>
        <w:t>Paulo</w:t>
      </w:r>
      <w:r>
        <w:rPr>
          <w:i/>
          <w:iCs/>
        </w:rPr>
        <w:t xml:space="preserve">, </w:t>
      </w:r>
      <w:r>
        <w:t>15, 25, 27 и 28 августа 1998 года)</w:t>
      </w:r>
    </w:p>
    <w:p w:rsidR="00000000" w:rsidRDefault="00000000"/>
    <w:p w:rsidR="00000000" w:rsidRDefault="00000000">
      <w:r>
        <w:t>86.</w:t>
      </w:r>
      <w:r>
        <w:tab/>
        <w:t>В ноябре 1999 года гражданская полиция Сан-Паулу установила личность ответственного за вебсайт "Евреи в Бразилии" - 16-летнего жителя Белу-Оризонте.  На этой странице Интернета публиковались расистские высказывания в отношении евреев и содержался призыв к "националистам" принять участие в кампании против евреев, которые на этой странице Интернета объявлялись "врагами Бразилии".  Было возбуждено расследование</w:t>
      </w:r>
      <w:r>
        <w:rPr>
          <w:rStyle w:val="FootnoteReference"/>
        </w:rPr>
        <w:footnoteReference w:id="2"/>
      </w:r>
      <w:r>
        <w:t>.</w:t>
      </w:r>
    </w:p>
    <w:p w:rsidR="00000000" w:rsidRDefault="00000000"/>
    <w:p w:rsidR="00000000" w:rsidRDefault="00000000">
      <w:r>
        <w:t>87.</w:t>
      </w:r>
      <w:r>
        <w:tab/>
        <w:t>В феврале 2000 года были арестованы 18 членов группы, известной как "</w:t>
      </w:r>
      <w:r>
        <w:rPr>
          <w:lang w:val="en-US"/>
        </w:rPr>
        <w:t>ABC</w:t>
      </w:r>
      <w:r>
        <w:t xml:space="preserve"> бритоголовых", которым было предъявлено обвинение в том, что утром 6 февраля в сквере Сан-Паулу они забили насмерть 35-летнего дрессировщика собак Эдсона Нериша да Силву. На Эдсона и его друга напали, когда они шли по скверу.  Эдсона избили и убили, как предполагалось, по причине его гомосексуальности.  За этим преступлением последовал арест, предъявление обвинений, судебный процесс с участием присяжных заседателей и признание этих лиц виновными.  По итогам этого происшествия в марте 2000 года департамент полиции Сан-Паулу создал Группу по искоренению и анализу причин преступлений на почве нетерпимости (ГРАДИ), основная задача которой заключается в выявлении отдельных лиц и групп, совершающих преступления на почве расизма, а также сексуальных или религиозных предрассудков, и в анализе причин таких преступлений.</w:t>
      </w:r>
    </w:p>
    <w:p w:rsidR="00000000" w:rsidRDefault="00000000"/>
    <w:p w:rsidR="00000000" w:rsidRDefault="00000000">
      <w:r>
        <w:t>88.</w:t>
      </w:r>
      <w:r>
        <w:tab/>
        <w:t xml:space="preserve">В апреле 2000 года Верховный суд приговорил Зигфрида Элвангера, владельца издательской компании "Ревизан" в Порту-Алегри, штат Риу-Гранди-ду-Сул, к двум годам тюремного заключения за расизм после публикации ряда изданий, призывающих к принятию расистских мер против евреев.  Владелец издательства подвергался уголовному преследованию с 1989 года.  В ноябре 1997 года по решению председательствующего судьи 26 Уголовного суда Рио-де-Жанейро в издательской компании "Иррадьясан эдиториал" были конфискованы книги, проповедующие нацизм, после их демонстрации на восьмой двухгодичной книжной выставке. </w:t>
      </w:r>
    </w:p>
    <w:p w:rsidR="00000000" w:rsidRDefault="00000000"/>
    <w:p w:rsidR="00000000" w:rsidRDefault="00000000">
      <w:r>
        <w:t>89.</w:t>
      </w:r>
      <w:r>
        <w:tab/>
        <w:t>И наконец, в 1999 году 13-й Суд государственного казначейства штата Сан-Паулу создал правовой прецедент для возбуждения гражданского иска по предложению штата Сан-Паулу, когда было принято постановление немедленно убрать всю уличную рекламу в рамках кампании против контроля за оружием, которая была признана расистской в силу того, что в роли "преступника" в ней выступал чернокожий фигурант.</w:t>
      </w:r>
    </w:p>
    <w:p w:rsidR="00000000" w:rsidRDefault="00000000"/>
    <w:p w:rsidR="00000000" w:rsidRDefault="00000000">
      <w:pPr>
        <w:keepNext/>
        <w:jc w:val="center"/>
        <w:rPr>
          <w:b/>
          <w:bCs/>
        </w:rPr>
      </w:pPr>
      <w:r>
        <w:rPr>
          <w:b/>
          <w:bCs/>
        </w:rPr>
        <w:t>Статья 5</w:t>
      </w:r>
    </w:p>
    <w:p w:rsidR="00000000" w:rsidRDefault="00000000">
      <w:pPr>
        <w:pStyle w:val="16"/>
        <w:keepNext/>
      </w:pPr>
    </w:p>
    <w:p w:rsidR="00000000" w:rsidRDefault="00000000">
      <w:r>
        <w:t>90.</w:t>
      </w:r>
      <w:r>
        <w:tab/>
        <w:t>Федеральная конституция предоставляет равные права перед законом всем лицам без каких</w:t>
      </w:r>
      <w:r>
        <w:noBreakHyphen/>
        <w:t>либо ограничений и обязует судебные власти оценивать вред или угрозы, связанные с осуществлением или неосуществлением какого</w:t>
      </w:r>
      <w:r>
        <w:noBreakHyphen/>
        <w:t>либо из прав (пункт </w:t>
      </w:r>
      <w:r>
        <w:rPr>
          <w:lang w:val="en-US"/>
        </w:rPr>
        <w:t>XXXV</w:t>
      </w:r>
      <w:r>
        <w:t xml:space="preserve"> статьи 5).</w:t>
      </w:r>
    </w:p>
    <w:p w:rsidR="00000000" w:rsidRDefault="00000000"/>
    <w:p w:rsidR="00000000" w:rsidRDefault="00000000">
      <w:r>
        <w:t>91.</w:t>
      </w:r>
      <w:r>
        <w:tab/>
        <w:t>Судебные, а также законодательные и исполнительные органы являются независимыми и автономными.  Запрещается создание специальных трибуналов (пункт </w:t>
      </w:r>
      <w:r>
        <w:rPr>
          <w:lang w:val="en-US"/>
        </w:rPr>
        <w:t>XXXVII</w:t>
      </w:r>
      <w:r>
        <w:t xml:space="preserve"> статьи 5), поскольку никто не может быть подвергнут судебному преследованию или объявлен виновным по решению иного органа, чем суд, и никто не может быть лишен свободы или собственности без должной законной процедуры (пункт </w:t>
      </w:r>
      <w:r>
        <w:rPr>
          <w:lang w:val="en-US"/>
        </w:rPr>
        <w:t>LIV</w:t>
      </w:r>
      <w:r>
        <w:t xml:space="preserve"> статьи 5).</w:t>
      </w:r>
    </w:p>
    <w:p w:rsidR="00000000" w:rsidRDefault="00000000"/>
    <w:p w:rsidR="00000000" w:rsidRDefault="00000000">
      <w:r>
        <w:t>92.</w:t>
      </w:r>
      <w:r>
        <w:tab/>
        <w:t>Обвиняемому гарантируется право на полную правовую защиту, на состязательный процесс и на все соответствующие средства правовой защиты (пункт </w:t>
      </w:r>
      <w:r>
        <w:rPr>
          <w:lang w:val="en-US"/>
        </w:rPr>
        <w:t>LV</w:t>
      </w:r>
      <w:r>
        <w:t xml:space="preserve"> статьи 5), вследствие чего подсудимый может быть признан виновным лишь после принятия окончательного, не подлежащего обжалованию решения (для передачи в </w:t>
      </w:r>
      <w:r>
        <w:rPr>
          <w:i/>
          <w:iCs/>
          <w:lang w:val="en-US"/>
        </w:rPr>
        <w:t>rem</w:t>
      </w:r>
      <w:r>
        <w:rPr>
          <w:i/>
          <w:iCs/>
        </w:rPr>
        <w:t xml:space="preserve"> </w:t>
      </w:r>
      <w:r>
        <w:rPr>
          <w:i/>
          <w:iCs/>
          <w:lang w:val="en-US"/>
        </w:rPr>
        <w:t>judicatam</w:t>
      </w:r>
      <w:r>
        <w:t>) (пункт </w:t>
      </w:r>
      <w:r>
        <w:rPr>
          <w:lang w:val="en-US"/>
        </w:rPr>
        <w:t>LVII</w:t>
      </w:r>
      <w:r>
        <w:t xml:space="preserve"> статьи 5).</w:t>
      </w:r>
    </w:p>
    <w:p w:rsidR="00000000" w:rsidRDefault="00000000"/>
    <w:p w:rsidR="00000000" w:rsidRDefault="00000000">
      <w:r>
        <w:t>93.</w:t>
      </w:r>
      <w:r>
        <w:tab/>
        <w:t>Гарантируются права лиц, содержащихся под стражей, в том числе право хранить молчание, право на помощь со стороны членов семьи и обязательное право на услуги адвоката (пункт </w:t>
      </w:r>
      <w:r>
        <w:rPr>
          <w:lang w:val="en-US"/>
        </w:rPr>
        <w:t>LXIII</w:t>
      </w:r>
      <w:r>
        <w:t xml:space="preserve"> статьи 5).  Государство обязано бесплатно предоставлять полную юридическую помощь лицам, которые могут подтвердить, что не имеют средств, чтобы оплатить услуги адвоката (пункт </w:t>
      </w:r>
      <w:r>
        <w:rPr>
          <w:lang w:val="en-US"/>
        </w:rPr>
        <w:t>LXXIV</w:t>
      </w:r>
      <w:r>
        <w:t xml:space="preserve"> статьи 5).</w:t>
      </w:r>
    </w:p>
    <w:p w:rsidR="00000000" w:rsidRDefault="00000000"/>
    <w:p w:rsidR="00000000" w:rsidRDefault="00000000">
      <w:r>
        <w:t>94.</w:t>
      </w:r>
      <w:r>
        <w:tab/>
        <w:t>Все судебные слушания и процедурные действия в целом носят открытый характер и происходят в соответствующем трибунале или суде в заранее назначенный день и час.  Публичность процедурных действий может быть ограничена лишь в том случае, когда это требуется по соображениям охраны тайны личной жизни или интересов общества (пункт L</w:t>
      </w:r>
      <w:r>
        <w:rPr>
          <w:lang w:val="en-US"/>
        </w:rPr>
        <w:t>X</w:t>
      </w:r>
      <w:r>
        <w:t xml:space="preserve"> статьи 5).</w:t>
      </w:r>
    </w:p>
    <w:p w:rsidR="00000000" w:rsidRDefault="00000000"/>
    <w:p w:rsidR="00000000" w:rsidRDefault="00000000">
      <w:pPr>
        <w:rPr>
          <w:i/>
          <w:iCs/>
        </w:rPr>
      </w:pPr>
      <w:r>
        <w:br w:type="page"/>
        <w:t>95.</w:t>
      </w:r>
      <w:r>
        <w:tab/>
        <w:t>Все судебные решения подлежат обжалованию в суде более высокой инстанции, и только после пересмотра такого решения может быть вынесено окончательное решение (статья 58 и последующие статьи Уголовно-процессуального кодекса).  Эта процедура основана на принципе юрисдикции двойного уровня.  Хотя этот принцип напрямую не упоминается в Федеральной конституции, он является продуктом самой конституционной системы, устанавливающей право судов рассматривать основания для предъявления исков, представленные им в соответствии с принципом "уровня апелляции".</w:t>
      </w:r>
    </w:p>
    <w:p w:rsidR="00000000" w:rsidRDefault="00000000">
      <w:pPr>
        <w:rPr>
          <w:i/>
          <w:iCs/>
        </w:rPr>
      </w:pPr>
    </w:p>
    <w:p w:rsidR="00000000" w:rsidRDefault="00000000">
      <w:r>
        <w:t>96.</w:t>
      </w:r>
      <w:r>
        <w:tab/>
        <w:t>В случаях, когда обвиняемый не говорит на языке суда, председательствующий судья назначает переводчика для его заслушивания, причем участвующие стороны дополнительных расходов не несут (статья 193 Уголовно-процессуального кодекса).  В комментариях к статье 6 настоящей Конвенции подробно излагаются другие права и гарантии, содержащиеся в бразильском законодательстве, которые обеспечивают право на равенство перед судами.</w:t>
      </w:r>
    </w:p>
    <w:p w:rsidR="00000000" w:rsidRDefault="00000000"/>
    <w:p w:rsidR="00000000" w:rsidRDefault="00000000">
      <w:r>
        <w:t>97.</w:t>
      </w:r>
      <w:r>
        <w:tab/>
        <w:t xml:space="preserve">Вводная часть статьи 5 Федеральной конституции гарантирует бразильцам и постоянно проживающим в стране иностранцам неотъемлемое право на жизнь и личную безопасность, а положения пункта </w:t>
      </w:r>
      <w:r>
        <w:rPr>
          <w:lang w:val="en-US"/>
        </w:rPr>
        <w:t>XLVII</w:t>
      </w:r>
      <w:r>
        <w:t xml:space="preserve"> этой же статьи запрещают применение смертной казни, за исключением периода официально объявленной войны.  Эта статья также гарантирует заключенным физическую и психологическую целостность (пункт </w:t>
      </w:r>
      <w:r>
        <w:rPr>
          <w:lang w:val="en-US"/>
        </w:rPr>
        <w:t>XLIX</w:t>
      </w:r>
      <w:r>
        <w:t xml:space="preserve"> статьи 5).</w:t>
      </w:r>
    </w:p>
    <w:p w:rsidR="00000000" w:rsidRDefault="00000000"/>
    <w:p w:rsidR="00000000" w:rsidRDefault="00000000">
      <w:r>
        <w:t>98.</w:t>
      </w:r>
      <w:r>
        <w:tab/>
        <w:t xml:space="preserve">В заголовке </w:t>
      </w:r>
      <w:r>
        <w:rPr>
          <w:lang w:val="en-US"/>
        </w:rPr>
        <w:t>I</w:t>
      </w:r>
      <w:r>
        <w:t xml:space="preserve"> специальной части (главы </w:t>
      </w:r>
      <w:r>
        <w:rPr>
          <w:lang w:val="en-US"/>
        </w:rPr>
        <w:t>I</w:t>
      </w:r>
      <w:r>
        <w:t xml:space="preserve"> и </w:t>
      </w:r>
      <w:r>
        <w:rPr>
          <w:lang w:val="en-US"/>
        </w:rPr>
        <w:t>II</w:t>
      </w:r>
      <w:r>
        <w:t xml:space="preserve"> соответственно) Уголовного кодекса перечисляются преступления, связанные с посягательством на жизнь и нанесением телесных повреждений.  В восьми статьях (121-129) рассматриваются такие преступления, как убийство, побуждение и подстрекательство к самоубийству или содействие его совершению;  детоубийство;  аборт и нанесение телесных повреждений.</w:t>
      </w:r>
    </w:p>
    <w:p w:rsidR="00000000" w:rsidRDefault="00000000"/>
    <w:p w:rsidR="00000000" w:rsidRDefault="00000000">
      <w:r>
        <w:t>99.</w:t>
      </w:r>
      <w:r>
        <w:tab/>
        <w:t>Помимо традиционной защиты от физического насилия, бразильская правовая система предусматривает наказание за насилие в отношении представителей этнических, расовых и религиозных сообществ.  Законом № 2889 от 1 октября 1956 года, дающим определение и предусматривающим наказание за преступление геноцида, наказанию подлежат лица, которые в стремлении полностью или частично уничтожить национальную этническую, расовую или религиозную группу, прибегают, например, к убийству членов этой группы;  причиняют серьезный вред физической или психической целостности членов такой группы;  намеренно создают для этой группы условия жизни, способные привести к ее полному или частичному физическому истреблению;  принимают меры к предотвращению рождаемости внутри группы или насильственно передают детей из одной группы в другую.  Более суровый приговор выносится в тех случаях, когда преступление совершается руководящим должностным лицом или гражданским служащим (статья 4).  В статье 6 Закона № 2898/56 указывается, что преступления, определяемые в этом законе, не могут рассматриваться как политические преступления, предусматривающие экстрадицию.</w:t>
      </w:r>
    </w:p>
    <w:p w:rsidR="00000000" w:rsidRDefault="00000000"/>
    <w:p w:rsidR="00000000" w:rsidRDefault="00000000">
      <w:r>
        <w:t>100.</w:t>
      </w:r>
      <w:r>
        <w:tab/>
        <w:t>Что касается геноцида, то в этой связи необходимо упомянуть статью 208 Военно-уголовного кодекса, в которой деяние, связанное с "убийством членов национальной, этнической и религиозной группы или лиц, принадлежащих к конкретной расе, с целью уничтожения такой группы полностью или частично", рассматривается как преступление, караемое тюремным заключением на срок от 15 до 30 лет.</w:t>
      </w:r>
    </w:p>
    <w:p w:rsidR="00000000" w:rsidRDefault="00000000"/>
    <w:p w:rsidR="00000000" w:rsidRDefault="00000000">
      <w:r>
        <w:t>101.</w:t>
      </w:r>
      <w:r>
        <w:tab/>
        <w:t xml:space="preserve">Бразильская правовая система квалифицирует преступление геноцида как особо тяжкое и не допускающее амнистии, помилования или снятия наказания, а также освобождения под залог или честное слово (статья 2 Закона № 8772/90);  таким образом, отбытие всего срока тюремного заключения является обязательным (пункт 1 упомянутой выше статьи 2).  </w:t>
      </w:r>
    </w:p>
    <w:p w:rsidR="00000000" w:rsidRDefault="00000000"/>
    <w:p w:rsidR="00000000" w:rsidRDefault="00000000">
      <w:r>
        <w:t>102.</w:t>
      </w:r>
      <w:r>
        <w:tab/>
        <w:t>Одним из принципов демократического государства Бразилии является суверенитет народа, гарантируемый всеобщим избирательным правом при прямом и тайном голосовании, когда каждый имеет равный голос, а также системой плебисцитов, референдумов и народных инициатив.</w:t>
      </w:r>
    </w:p>
    <w:p w:rsidR="00000000" w:rsidRDefault="00000000"/>
    <w:p w:rsidR="00000000" w:rsidRDefault="00000000">
      <w:r>
        <w:t>103.</w:t>
      </w:r>
      <w:r>
        <w:tab/>
        <w:t>Федеральная конституция гарантирует регистрацию в качестве избирателей и право голоса лицам старше 18 лет, а также факультативную регистрацию в качестве избирателей и право на участие в голосовании для неграмотных, пожилых лиц в возрасте старше 70 лет, и лиц от 16 до 18 лет (пункты I и II части 1 статьи 14).  Иностранцы не могут участвовать в голосовании, также как и бразильцы, проходящие обязательную военную службу.</w:t>
      </w:r>
    </w:p>
    <w:p w:rsidR="00000000" w:rsidRDefault="00000000"/>
    <w:p w:rsidR="00000000" w:rsidRDefault="00000000">
      <w:r>
        <w:t>104.</w:t>
      </w:r>
      <w:r>
        <w:tab/>
        <w:t>Возможность стать кандидатом в выборный орган зависит от выполнения ряда конституционных требований, а именно:  данное лицо должно быть гражданином Бразилии, обладать всеми политическими правами, быть зарегистрированным в качестве избирателя, постоянно проживать на территории соответствующего избирательного округа и являться членом политической партии.</w:t>
      </w:r>
    </w:p>
    <w:p w:rsidR="00000000" w:rsidRDefault="00000000"/>
    <w:p w:rsidR="00000000" w:rsidRDefault="00000000">
      <w:r>
        <w:t>105.</w:t>
      </w:r>
      <w:r>
        <w:tab/>
        <w:t>Другое условие для избрания заключается в удовлетворении минимальным возрастным требованиям:  35 лет для президента и вице-президента Республики и сенаторов;  30 лет для губернаторов и вице-губернаторов штатов и Федерального округа;  21 год для федерального депутата, депутата штата или округа, мэра и заместителя мэра и мирового судьи, а 18 лет для члена городского совета.  Незарегистрированные и неграмотные лица не могут являться кандидатами в выборный орган.</w:t>
      </w:r>
    </w:p>
    <w:p w:rsidR="00000000" w:rsidRDefault="00000000"/>
    <w:p w:rsidR="00000000" w:rsidRDefault="00000000">
      <w:r>
        <w:t>106.</w:t>
      </w:r>
      <w:r>
        <w:tab/>
        <w:t>В соответствии с Конституционной поправкой № 16 от 4 июня 1997 года повторное избрание на один последующий срок допускается для президента Республики, губернаторов штатов, включая Федеральный округ, мэров, а также тех, кто явился их преемником или сменил руководителя во время срока его полномочий.</w:t>
      </w:r>
    </w:p>
    <w:p w:rsidR="00000000" w:rsidRDefault="00000000"/>
    <w:p w:rsidR="00000000" w:rsidRDefault="00000000">
      <w:r>
        <w:t>107.</w:t>
      </w:r>
      <w:r>
        <w:tab/>
        <w:t>Государственная администрация руководствуется принципами законности, беспристрастности, этики, гласности и эффективности (вводная часть статьи 37 Федеральной конституции).  Все бразильцы, на равных условиях, имеют право занимать государственные гражданские и военные должности при соблюдении правил приема на государственную службу, заключающихся в сдаче государственного экзамена и представлении дипломов о профессиональном и высшем образовании;  исключение делается для различных комиссий, назначение в которые и освобождение от обязанностей производится на свободной основе (пункты I и II статьи 37).</w:t>
      </w:r>
    </w:p>
    <w:p w:rsidR="00000000" w:rsidRDefault="00000000"/>
    <w:p w:rsidR="00000000" w:rsidRDefault="00000000">
      <w:r>
        <w:t>108.</w:t>
      </w:r>
      <w:r>
        <w:tab/>
        <w:t xml:space="preserve">Пункт ХV статьи 5 Федеральной конституции гарантирует всем лицам в мирное время свободное передвижение по всей национальной территории, куда они могут въезжать, находиться там или покидать ее вместе со своей собственностью и имуществом на условиях, определенных законом.  Эта конституционная норма лимитируется теми ограничениями, которые устанавливают положения обычного права в отношении въезда, выезда и внутреннего перемещения лиц, собственности и имущества.  Это же конституционное положение ограничивается в соответствии со статьей 136 и другими статьями Великой хартии, регулирующими вопрос об осадном положении и обороне.  При объявлении войны или в ответ на иностранную вооруженную агрессию может быть объявлено осадное положение, включая введение ограничительных мер, например запрет покидать определенные районы (пункт I статьи 139). </w:t>
      </w:r>
    </w:p>
    <w:p w:rsidR="00000000" w:rsidRDefault="00000000">
      <w:pPr>
        <w:rPr>
          <w:lang w:val="en-US"/>
        </w:rPr>
      </w:pPr>
    </w:p>
    <w:p w:rsidR="00000000" w:rsidRDefault="00000000">
      <w:r>
        <w:t>109.</w:t>
      </w:r>
      <w:r>
        <w:tab/>
        <w:t>Право на выбор постоянного места жительства без особого разрешения гарантируется не только гражданам и натурализованным лицам, но и иностранцам.  Закон № 4898/65 рассматривает действия, ограничивающие право на свободу передвижения, зафиксированное в Федеральной конституции, как превышение власти (подпункт а) статьи 3).</w:t>
      </w:r>
    </w:p>
    <w:p w:rsidR="00000000" w:rsidRDefault="00000000"/>
    <w:p w:rsidR="00000000" w:rsidRDefault="00000000">
      <w:r>
        <w:t>110.</w:t>
      </w:r>
      <w:r>
        <w:tab/>
        <w:t xml:space="preserve">В Бразилии не существует ограничений на свободу передвижения по ее территории, за исключением резервации коренных народов.  Для доступа в эти районы необходимо разрешение правительства.  Цель этой меры заключается в том, чтобы защитить коренные народы от принудительного насаждения другой культуры.  Бразильцы имеют право беспрепятственно въезжать на национальную территорию и покидать ее в любое время.  </w:t>
      </w:r>
    </w:p>
    <w:p w:rsidR="00000000" w:rsidRDefault="00000000"/>
    <w:p w:rsidR="00000000" w:rsidRDefault="00000000">
      <w:r>
        <w:t>111.</w:t>
      </w:r>
      <w:r>
        <w:tab/>
        <w:t>В соответствии с Федеральной конституцией все граждане равны перед законом;  и бразильцам, и иностранцам гарантируются одинаковые права (вступительная часть статьи 5).</w:t>
      </w:r>
    </w:p>
    <w:p w:rsidR="00000000" w:rsidRDefault="00000000"/>
    <w:p w:rsidR="00000000" w:rsidRDefault="00000000">
      <w:r>
        <w:t>112.</w:t>
      </w:r>
      <w:r>
        <w:tab/>
        <w:t xml:space="preserve">Союзное государство принимает законы в отношении эмиграции и иммиграции, въезда и выезда из страны, а также высылки иностранцев.  В Конституции четко указано, что ни один иностранец, совершивший преступление политического характера, или преступление, связанное со свободой выражения мысли, не может быть подвергнут экстрадиции.  Высылка иностранцев в иных случаях зависит от запроса страны происхождения и может быть разрешена лишь после рассмотрения дела Верховным судом.  </w:t>
      </w:r>
    </w:p>
    <w:p w:rsidR="00000000" w:rsidRDefault="00000000"/>
    <w:p w:rsidR="00000000" w:rsidRDefault="00000000">
      <w:r>
        <w:t>113.</w:t>
      </w:r>
      <w:r>
        <w:tab/>
        <w:t>Закон № 6815/80 устанавливает правовой статус иностранцев в Бразилии, а также рассматривает вопросы нарушений, с которыми они сталкиваются.  Для въезда иностранцев в страну необходима виза;  исключения из этого правила допускаются на основе принципа взаимности, закрепленного в международном соглашении.  Виза выдается физическим лицам и может распространяться на их иждивенцев.  Лица, въезжающие на бразильскую территорию без разрешения, подлежат высылке.  Иностранцу, намеревающемуся постоянно проживать в стране, выдается постоянная виза.</w:t>
      </w:r>
    </w:p>
    <w:p w:rsidR="00000000" w:rsidRDefault="00000000"/>
    <w:p w:rsidR="00000000" w:rsidRDefault="00000000">
      <w:r>
        <w:t>114.</w:t>
      </w:r>
      <w:r>
        <w:tab/>
        <w:t>В соответствии с бразильской иммиграционной политикой целью иммиграции в страну является обеспечение различных секторов национальной экономики квалифицированной рабочей силой для повышения производительности труда, внедрения технологий и увеличения финансовых резервов отдельных секторов.</w:t>
      </w:r>
    </w:p>
    <w:p w:rsidR="00000000" w:rsidRDefault="00000000"/>
    <w:p w:rsidR="00000000" w:rsidRDefault="00000000">
      <w:r>
        <w:t>115.</w:t>
      </w:r>
      <w:r>
        <w:tab/>
        <w:t xml:space="preserve">Конституция Бразилии разрешает предоставление политического убежища в соответствии с положениями пункта Х статьи 4.  Национальная программа по правам человека 1996 года среди прочих мер, относящихся к иностранцам, беженцам и мигрантам в Бразилию, предусматривала краткосрочное предоставление безопасного убежища в случае одобрения проекта закона о статусе беженцев, который вступил в силу 22 июля 1997 года под номером 9474.  Этот закон запрещает просить политическое убежище в Бразилии террористам, наркоторговцам, военным преступникам и лицам, виновным в совершении других тяжких преступлений.  В соответствии с Национальной программой по правам человека 1996 года был также сформирован Национальный комитет по делам беженцев (КОНАРЕ), состоящий из представителей пяти министерств, федеральной полиции и неправительственных организаций, занимающихся оказанием помощи беженцам и их защитой.  В законе также указывается, что даже в случаях отказа в предоставлении убежища, при наличии непосредственной угрозы жизни, бразильское правительство не может выслать иностранца на его родину или в страну постоянного проживания, за исключением ряда случаев, уже упомянутых выше, а именно при совершении тяжких преступлений, военных преступлений, участия в торговле наркотиками и терроризме.  Среди других прав иностранцев стоит упомянуть право на получение специального удостоверения личности, трудовой книжки и проездных документов.  </w:t>
      </w:r>
    </w:p>
    <w:p w:rsidR="00000000" w:rsidRDefault="00000000"/>
    <w:p w:rsidR="00000000" w:rsidRDefault="00000000">
      <w:r>
        <w:t>116.</w:t>
      </w:r>
      <w:r>
        <w:tab/>
        <w:t xml:space="preserve">Будучи обеспокоено положением иностранцев, нелегально проживающих в стране,  федеральное правительство 7 сентября 1998 года объявило о принятии целого пакета мер, включая амнистию, позволяющих таким иностранцам легализовать свое положение на национальной территории путем перерегистрации до 7 декабря 1998 года.  </w:t>
      </w:r>
    </w:p>
    <w:p w:rsidR="00000000" w:rsidRDefault="00000000"/>
    <w:p w:rsidR="00000000" w:rsidRDefault="00000000">
      <w:r>
        <w:t>117.</w:t>
      </w:r>
      <w:r>
        <w:tab/>
        <w:t>Важно подчеркнуть, что в настоящее время на рассмотрении Национального конгресса находится законопроект 1813/91, который определяет правовой статус иностранцев и иммигрантов, живущих в крайне неблагоприятных условиях, включая лиц, занимающихся рабским трудом.</w:t>
      </w:r>
    </w:p>
    <w:p w:rsidR="00000000" w:rsidRDefault="00000000"/>
    <w:p w:rsidR="00000000" w:rsidRDefault="00000000">
      <w:r>
        <w:t>118.</w:t>
      </w:r>
      <w:r>
        <w:tab/>
        <w:t xml:space="preserve">Федеральная конституция гарантирует право на гражданство, в связи с чем Бразилия руководствуется принципом </w:t>
      </w:r>
      <w:r>
        <w:rPr>
          <w:lang w:val="en-US"/>
        </w:rPr>
        <w:t>jus</w:t>
      </w:r>
      <w:r>
        <w:t xml:space="preserve"> </w:t>
      </w:r>
      <w:r>
        <w:rPr>
          <w:lang w:val="en-US"/>
        </w:rPr>
        <w:t>solis</w:t>
      </w:r>
      <w:r>
        <w:t xml:space="preserve"> с некоторыми исключениями.  Таким образом, гражданство предоставляется лицам, родившимся на бразильской территории, даже в том случае, если их родители являются иностранцами, при условии что родители не представляют в Бразилии свою собственную страну в официальном качестве, в каковом случае действует принцип </w:t>
      </w:r>
      <w:r>
        <w:rPr>
          <w:lang w:val="en-US"/>
        </w:rPr>
        <w:t>jus</w:t>
      </w:r>
      <w:r>
        <w:t xml:space="preserve"> </w:t>
      </w:r>
      <w:r>
        <w:rPr>
          <w:lang w:val="en-US"/>
        </w:rPr>
        <w:t>sanguinis</w:t>
      </w:r>
      <w:r>
        <w:t>.</w:t>
      </w:r>
    </w:p>
    <w:p w:rsidR="00000000" w:rsidRDefault="00000000"/>
    <w:p w:rsidR="00000000" w:rsidRDefault="00000000">
      <w:r>
        <w:t>119.</w:t>
      </w:r>
      <w:r>
        <w:tab/>
        <w:t xml:space="preserve">Конституционной поправкой № 3 от 7 июня 1994 года были внесены изменения в статью 12 Федеральной конституции.  В соответствии с содержащимся в ней определением исключением из принципа </w:t>
      </w:r>
      <w:r>
        <w:rPr>
          <w:lang w:val="en-US"/>
        </w:rPr>
        <w:t>jus</w:t>
      </w:r>
      <w:r>
        <w:t xml:space="preserve"> </w:t>
      </w:r>
      <w:r>
        <w:rPr>
          <w:lang w:val="en-US"/>
        </w:rPr>
        <w:t>solis</w:t>
      </w:r>
      <w:r>
        <w:t xml:space="preserve"> являются следующие лица:  лица, родившиеся за границей, оба родителя которых являются бразильцами, при условии что родители представляли Бразилию в официальном качестве;  лица, родившиеся за границей, оба родителя которых являются бразильцами, при условии что они возвратились на постоянное место жительство в Федеративную Республику Бразилию и в любое время решили стать гражданами Бразилии.</w:t>
      </w:r>
    </w:p>
    <w:p w:rsidR="00000000" w:rsidRDefault="00000000"/>
    <w:p w:rsidR="00000000" w:rsidRDefault="00000000">
      <w:r>
        <w:t>120.</w:t>
      </w:r>
      <w:r>
        <w:tab/>
        <w:t>Иностранцы могут быть натурализованы.  Выходцам из португалоязычных стран необходимо прожить в Бразилии лишь 12 месяцев подряд и иметь хороший моральный облик.  Иностранцы других национальностей должны постоянно прожить в Федеративной Республике Бразилии 15 лет подряд и не иметь уголовных судимостей.</w:t>
      </w:r>
    </w:p>
    <w:p w:rsidR="00000000" w:rsidRDefault="00000000"/>
    <w:p w:rsidR="00000000" w:rsidRDefault="00000000">
      <w:r>
        <w:t>121.</w:t>
      </w:r>
      <w:r>
        <w:tab/>
        <w:t>Исключение делается для граждан Португалии, постоянно проживающих в Бразилии.  В случаях существования принципа взаимности по отношению к бразильцам на португальцев могут распространяться права бразильских граждан, за исключением особых случаев, перечисленных в Конституции (пункт 1 статьи 12).</w:t>
      </w:r>
    </w:p>
    <w:p w:rsidR="00000000" w:rsidRDefault="00000000"/>
    <w:p w:rsidR="00000000" w:rsidRDefault="00000000">
      <w:r>
        <w:t>122.</w:t>
      </w:r>
      <w:r>
        <w:tab/>
        <w:t>В этой же поправке к Конституции указываются два случая, когда второе гражданство может быть получено без утраты бразильского гражданства:  случай, когда иностранное законодательство признает первоначальное гражданство;  и когда бразильцам, проживающим в другом государстве, требуется натурализация в силу правовых норм этого государства как условие, необходимое для дальнейшего проживания на его территории или для пользования гражданскими правами (пункт 4 раздела </w:t>
      </w:r>
      <w:r>
        <w:rPr>
          <w:lang w:val="en-US"/>
        </w:rPr>
        <w:t>II</w:t>
      </w:r>
      <w:r>
        <w:t xml:space="preserve"> статьи 12).</w:t>
      </w:r>
    </w:p>
    <w:p w:rsidR="00000000" w:rsidRDefault="00000000"/>
    <w:p w:rsidR="00000000" w:rsidRDefault="00000000">
      <w:r>
        <w:t>123.</w:t>
      </w:r>
      <w:r>
        <w:tab/>
        <w:t>Поскольку семья является основой общества, она пользуется защитой со стороны государства (вводное положение статьи 226 Федеральной конституции).  Брак является гражданским актом, и его регистрация производится бесплатно (пункт 1 статьи 226).  Однако не только брак находится под особой защитой государства.  Устойчивый союз между мужчиной и женщиной в форме семьи также получил признание в целях его защиты со стороны государства (пункт 3 статьи 226), причем под семьей понимается любая сообщность, состоящая из родителей и их детей (пункт 4 статьи 226).</w:t>
      </w:r>
    </w:p>
    <w:p w:rsidR="00000000" w:rsidRDefault="00000000"/>
    <w:p w:rsidR="00000000" w:rsidRDefault="00000000">
      <w:r>
        <w:t>124.</w:t>
      </w:r>
      <w:r>
        <w:tab/>
        <w:t>Права и обязанности, вытекающие из супружеского союза, в равной степени распределяются между мужчиной и женщиной, причем супружеская пара свободна принимать решения по всем аспектам планирования семьи (пункты 5 и 7 статьи 226).  Право на расторжение супружеского союза и брака закреплено в пункте 6 статьи 226 Федеральной конституции и в Законе № 6515 от 26 декабря 1997 года.</w:t>
      </w:r>
    </w:p>
    <w:p w:rsidR="00000000" w:rsidRDefault="00000000"/>
    <w:p w:rsidR="00000000" w:rsidRDefault="00000000">
      <w:r>
        <w:t>125.</w:t>
      </w:r>
      <w:r>
        <w:tab/>
        <w:t>Свобода выбора супруга или партнера также охраняется уголовным законодательством.  Статьей 14 Закона № 7716/89 предусматривается тюремное заключение на срок от двух до четырех лет для лиц, которые любыми средствами пытаются помешать или воспрепятствовать заключению брака, созданию семьи или социальному сожительству в силу предрассудков по признаку расы, этнической принадлежности, цвета кожи, религии или национальности.</w:t>
      </w:r>
    </w:p>
    <w:p w:rsidR="00000000" w:rsidRDefault="00000000"/>
    <w:p w:rsidR="00000000" w:rsidRDefault="00000000">
      <w:r>
        <w:t>126.</w:t>
      </w:r>
      <w:r>
        <w:tab/>
        <w:t xml:space="preserve">В пункте XXII статьи 5 Федеральной конституции провозглашается право на собственность в качестве индивидуального права.  Однако это право более не может рассматриваться как индивидуальное или как регулируемое частным правом, поскольку в пункте XXIII той же статьи отмечается, что собственность должна выполнять социальную функцию.  Положения Конституции подтверждают требование о реализации социальной функции собственности в том плане, что они разрешают, например, экспроприацию городской и сельской собственности, которая не несет социальной функции.  </w:t>
      </w:r>
    </w:p>
    <w:p w:rsidR="00000000" w:rsidRDefault="00000000"/>
    <w:p w:rsidR="00000000" w:rsidRDefault="00000000">
      <w:r>
        <w:t>127.</w:t>
      </w:r>
      <w:r>
        <w:tab/>
        <w:t xml:space="preserve">Городская собственность выполняет социальную функцию, когда она отвечает требованиям муниципальных положений, содержащихся в генеральном плане городского развития, который представляет собой основной инструмент политики городского развития и планирования.  Если собственность не выполняет социальной функции, она может быть в принудительном порядке поделена или изменена по закону, который предусматривает такие действия в отношении городской собственности или земли, которая не осваивается или не используется, или же ее экпроприацию, компенсируемую посредством государственных долговых обязательств (пункт 4 статьи 182 Федеральной конституции). </w:t>
      </w:r>
    </w:p>
    <w:p w:rsidR="00000000" w:rsidRDefault="00000000"/>
    <w:p w:rsidR="00000000" w:rsidRDefault="00000000">
      <w:r>
        <w:t>128.</w:t>
      </w:r>
      <w:r>
        <w:tab/>
        <w:t>Социальная функция сельской собственности считается выполненной, если она одновременно отвечает следующим требованиям:  рациональному и надлежащему использованию;  адекватному использованию имеющихся в пределах этой собственности природных ресурсов, а также обеспечению охраны окружающей среды;  положениям, регулирующим трудовые отношения;  землепользованию, содействующему благосостоянию землевладельцев и трудящихся (статья 186 Федеральной конституции).  При наличии социального интереса федеральная власть может экспроприировать для целей аграрной реформы сельские земли, которые не выполняют своей социальной функции, выплатив при этом предварительную и справедливую компенсацию в форме аграрных долговых обязательств.  Следует отметить, что экспроприации не подлежит собственность малого и среднего размера при условии, что хозяин не владеет другой собственностью (статья 185 Федеральной конституции).</w:t>
      </w:r>
    </w:p>
    <w:p w:rsidR="00000000" w:rsidRDefault="00000000"/>
    <w:p w:rsidR="00000000" w:rsidRDefault="00000000">
      <w:r>
        <w:t>129.</w:t>
      </w:r>
      <w:r>
        <w:tab/>
        <w:t>Единственное существующее ограничение в законодательстве, касающееся приобретения собственности социальной группой, относится к компаниям, занимающимся изданием газет и телерадиовещанием.  Только граждане Бразилии и натурализованные лица, проживающие в стране более десяти лет, имеют право владеть такими компаниями (вводная часть статьи 222 Федеральной конституции).</w:t>
      </w:r>
    </w:p>
    <w:p w:rsidR="00000000" w:rsidRDefault="00000000"/>
    <w:p w:rsidR="00000000" w:rsidRDefault="00000000">
      <w:r>
        <w:t>130.</w:t>
      </w:r>
      <w:r>
        <w:tab/>
        <w:t>Пункт 1 статьи 10 Закона о введении Гражданского кодекса Бразилии вместе с дополнениями на основе Закона № 9047/95 гласит, что порядок получения собственности в наследство иностранцами, проживающими в стране, регулируется бразильским законодательством в пользу супруга/супруги и детей, имеющих бразильское гражданство, или их представителей, при условии что на них не распространяется частный закон о наследовании.  Благодаря этому изменению данное положение было приведено в соответствие с пунктом XXXI статьи 5 Федеральной конституции.</w:t>
      </w:r>
    </w:p>
    <w:p w:rsidR="00000000" w:rsidRDefault="00000000"/>
    <w:p w:rsidR="00000000" w:rsidRDefault="00000000">
      <w:r>
        <w:t>131.</w:t>
      </w:r>
      <w:r>
        <w:tab/>
        <w:t>Свобода является общим принципом, в то время как свобода совести и свобода религии являются свободами, вытекающими из этого принципа.  Федеральная конституция гарантирует свободу вероисповедания и, соответственно, обеспечивает защиту мест отправления религиозных обрядов (пункт </w:t>
      </w:r>
      <w:r>
        <w:rPr>
          <w:lang w:val="en-US"/>
        </w:rPr>
        <w:t>VI</w:t>
      </w:r>
      <w:r>
        <w:t xml:space="preserve"> статьи 5).</w:t>
      </w:r>
    </w:p>
    <w:p w:rsidR="00000000" w:rsidRDefault="00000000"/>
    <w:p w:rsidR="00000000" w:rsidRDefault="00000000">
      <w:r>
        <w:t>132.</w:t>
      </w:r>
      <w:r>
        <w:tab/>
        <w:t>Согласно положениям статьи 3</w:t>
      </w:r>
      <w:r>
        <w:rPr>
          <w:lang w:val="en-US"/>
        </w:rPr>
        <w:t> d</w:t>
      </w:r>
      <w:r>
        <w:t>) Закона № 4898/65 ограничения на свободу религии и отправления религиозных обрядов рассматриваются как превышение власти.  В статье 208 Уголовного кодекса указывается, что ограничение права на отправление религиозных обрядов, а также создание препятствий для их совершения наказывается тюремным заключением на срок от одного месяца до одного года или штрафом. При этом существует возможность увеличения срока наказания на одну треть в случаях, когда подобные деяния сопровождаются насилием, несмотря на то, что насильственные действия предусматривают отдельное наказание.</w:t>
      </w:r>
    </w:p>
    <w:p w:rsidR="00000000" w:rsidRDefault="00000000"/>
    <w:p w:rsidR="00000000" w:rsidRDefault="00000000">
      <w:r>
        <w:t>133.</w:t>
      </w:r>
      <w:r>
        <w:tab/>
        <w:t>Кроме того, согласно конституции Бразилии никто не может быть лишен каких</w:t>
      </w:r>
      <w:r>
        <w:noBreakHyphen/>
        <w:t>либо прав на основании религиозных убеждений, а также философских или политических взглядов, за исключением случаев, когда такие права используются  для того, чтобы избежать одинаковых для всех правовых обязанностей или для отказа от несения альтернативной службы в соответствии с Законом № 8239 от 4 октября 1991 года.</w:t>
      </w:r>
    </w:p>
    <w:p w:rsidR="00000000" w:rsidRDefault="00000000"/>
    <w:p w:rsidR="00000000" w:rsidRDefault="00000000">
      <w:r>
        <w:t>134.</w:t>
      </w:r>
      <w:r>
        <w:tab/>
        <w:t>Альтернативная служба означает выполнение административных, социальных, гуманитарных или иных работ вместо прохождения военной службы.  Она может осуществляться в военных подразделениях, в частях, занимающихся подготовкой резервистов для вооруженных сил, или в организациях, которые находятся в ведении гражданских министерств, при наличии соглашений между такими министерствами и оборонными министерствами, а также при наличии взаимного интереса в использовании квалификации данного лица.</w:t>
      </w:r>
    </w:p>
    <w:p w:rsidR="00000000" w:rsidRDefault="00000000"/>
    <w:p w:rsidR="00000000" w:rsidRDefault="00000000">
      <w:r>
        <w:t>135.</w:t>
      </w:r>
      <w:r>
        <w:tab/>
        <w:t>По истечении срока такой службы выдается свидетельство о прохождении альтернативной службы вместо обязательной военной службы, которое имеет ту же правовую силу, что и свидетельство резервистов.  В случае отказа по личным мотивам или невозможности выполнять альтернативную службу по причинам личного характера такое свидетельство выдается лишь по истечении двух лет с момента окончания срока, определенного для такой службы.  Эта ситуация может быть урегулирована путем выполнения указанных обязательств.</w:t>
      </w:r>
    </w:p>
    <w:p w:rsidR="00000000" w:rsidRDefault="00000000"/>
    <w:p w:rsidR="00000000" w:rsidRDefault="00000000">
      <w:r>
        <w:t>136.</w:t>
      </w:r>
      <w:r>
        <w:tab/>
        <w:t>Гарантируется право на свободное выражение мысли, хотя Конституция запрещает ее "анонимное" выражение (пункт </w:t>
      </w:r>
      <w:r>
        <w:rPr>
          <w:lang w:val="en-US"/>
        </w:rPr>
        <w:t>IV</w:t>
      </w:r>
      <w:r>
        <w:t xml:space="preserve"> статьи 5).  Также гарантируется свобода интеллектуальной, художественной, научной и информационной деятельности, включая свободу от цензуры (пункт IХ статьи 5 и вводная часть статьи 220 Федеральной конституции).  Конституция запрещает все формы политической, идеологической и художественной цензуры (пункт 2 статьи 220).  Она лишь предусматривает в качестве федерального закона нормативные документы, необходимые для:  а)  проведения публичных развлекательных мероприятий и показов, в отношении которых государственные учреждения обязаны представить информацию относительно их характера, возрастных категорий лиц, на которые они не рассчитаны, а также времени и места, неприемлемых для их проведения;  b)  определения правовых средств, позволяющих отдельным лицам и семьям оградить себя от радио- и телепрограмм или сеток вещания, которые противоречат принципам передач образовательного, художественного, культурного и информационного плана;  с)  поощрения развития национальной и региональной культуры и содействия независимым постановщикам, занимающимся  распространением такой культуры;  d)  обеспечения региональных разграничений с точки зрения культурных, художественных и журналистских передач на основе установленного законом процентного соотношения и уважения этических и социальных ценностей отдельных лиц и семей.</w:t>
      </w:r>
    </w:p>
    <w:p w:rsidR="00000000" w:rsidRDefault="00000000"/>
    <w:p w:rsidR="00000000" w:rsidRDefault="00000000">
      <w:r>
        <w:t>137.</w:t>
      </w:r>
      <w:r>
        <w:tab/>
        <w:t>Гарантируется полная свобода ассоциаций при условии, что их цели носят законный характер и что они не имеют полувоенного характера (пункт Х</w:t>
      </w:r>
      <w:r>
        <w:rPr>
          <w:lang w:val="en-US"/>
        </w:rPr>
        <w:t>VIII</w:t>
      </w:r>
      <w:r>
        <w:t xml:space="preserve"> статьи 5 Федеральной конституции).  Для создания ассоциаций не требуется разрешения, а вмешательство государств в их деятельность запрещено.  Роспуск ассоциаций или принудительная приостановка их деятельности может осуществляться только на основе судебного решения, в отношении которого, как и в первом случае, требуется принятие окончательного и не подлежащего обжалованию решения (для передачи в </w:t>
      </w:r>
      <w:r>
        <w:rPr>
          <w:lang w:val="en-US"/>
        </w:rPr>
        <w:t>rem</w:t>
      </w:r>
      <w:r>
        <w:t xml:space="preserve"> </w:t>
      </w:r>
      <w:r>
        <w:rPr>
          <w:lang w:val="en-US"/>
        </w:rPr>
        <w:t>judicatam</w:t>
      </w:r>
      <w:r>
        <w:t>) (пункт ХIХ статьи 5 Федеральной конституции).</w:t>
      </w:r>
    </w:p>
    <w:p w:rsidR="00000000" w:rsidRDefault="00000000"/>
    <w:p w:rsidR="00000000" w:rsidRDefault="00000000">
      <w:r>
        <w:t>138.</w:t>
      </w:r>
      <w:r>
        <w:tab/>
        <w:t>Произвольное вмешательство в осуществление права на свободу ассоциаций влечет за собой применение следующих санкций:</w:t>
      </w:r>
    </w:p>
    <w:p w:rsidR="00000000" w:rsidRDefault="00000000"/>
    <w:p w:rsidR="00000000" w:rsidRDefault="00000000">
      <w:pPr>
        <w:ind w:left="1134" w:hanging="1134"/>
      </w:pPr>
      <w:r>
        <w:tab/>
        <w:t>-</w:t>
      </w:r>
      <w:r>
        <w:tab/>
        <w:t xml:space="preserve">санкций уголовного характера, в тех случаях, когда такое деяние представляет собой превышение полномочий (статья 3, </w:t>
      </w:r>
      <w:r>
        <w:rPr>
          <w:lang w:val="en-US"/>
        </w:rPr>
        <w:t>f</w:t>
      </w:r>
      <w:r>
        <w:t>, Закона № 4898/65);</w:t>
      </w:r>
    </w:p>
    <w:p w:rsidR="00000000" w:rsidRDefault="00000000">
      <w:pPr>
        <w:ind w:left="1134" w:hanging="1134"/>
      </w:pPr>
    </w:p>
    <w:p w:rsidR="00000000" w:rsidRDefault="00000000">
      <w:pPr>
        <w:ind w:left="1134" w:hanging="1134"/>
      </w:pPr>
      <w:r>
        <w:tab/>
        <w:t>-</w:t>
      </w:r>
      <w:r>
        <w:tab/>
        <w:t>санкций политико-административного характера, когда такое деяние квалифицируется как превышение полномочий в соответствии с Законом № 1079/50, если нарушителем является президент Республики, министр штата, председатель Верховного суда, Генеральный прокурор Республики, губернатор штата или государственный секретарь (пункт</w:t>
      </w:r>
      <w:r>
        <w:rPr>
          <w:lang w:val="en-US"/>
        </w:rPr>
        <w:t> III</w:t>
      </w:r>
      <w:r>
        <w:t xml:space="preserve"> статьи 4);</w:t>
      </w:r>
    </w:p>
    <w:p w:rsidR="00000000" w:rsidRDefault="00000000">
      <w:pPr>
        <w:ind w:left="1134" w:hanging="1134"/>
      </w:pPr>
    </w:p>
    <w:p w:rsidR="00000000" w:rsidRDefault="00000000">
      <w:pPr>
        <w:ind w:left="1134" w:hanging="1134"/>
      </w:pPr>
      <w:r>
        <w:tab/>
        <w:t>-</w:t>
      </w:r>
      <w:r>
        <w:tab/>
        <w:t>санкций гражданского характера, которые предоставляют пострадавшим право на получение компенсации за материальный и моральный ущерб.</w:t>
      </w:r>
    </w:p>
    <w:p w:rsidR="00000000" w:rsidRDefault="00000000">
      <w:pPr>
        <w:ind w:left="1134" w:hanging="1134"/>
      </w:pPr>
    </w:p>
    <w:p w:rsidR="00000000" w:rsidRDefault="00000000">
      <w:pPr>
        <w:tabs>
          <w:tab w:val="clear" w:pos="1134"/>
          <w:tab w:val="left" w:pos="1122"/>
        </w:tabs>
      </w:pPr>
      <w:r>
        <w:t>139.</w:t>
      </w:r>
      <w:r>
        <w:tab/>
        <w:t>Статья 6 Федеральной конституции, согласно соответствующему тексту Конституционной поправки № 26, провозглашает следующие социальные права:  на образование, здоровье, занятость, жилище, досуг, безопасность, социальное обеспечение, защиту матери и ребенка и социальную помощь для неимущих.</w:t>
      </w:r>
    </w:p>
    <w:p w:rsidR="00000000" w:rsidRDefault="00000000">
      <w:pPr>
        <w:tabs>
          <w:tab w:val="clear" w:pos="1134"/>
          <w:tab w:val="left" w:pos="1122"/>
        </w:tabs>
      </w:pPr>
    </w:p>
    <w:p w:rsidR="00000000" w:rsidRDefault="00000000">
      <w:pPr>
        <w:tabs>
          <w:tab w:val="clear" w:pos="1134"/>
          <w:tab w:val="left" w:pos="1122"/>
        </w:tabs>
      </w:pPr>
      <w:r>
        <w:t>140.</w:t>
      </w:r>
      <w:r>
        <w:tab/>
        <w:t>Что касается занятости, то в статье 7 Федеральной конституции закреплены права городских и сельских работников.  Наибольшего внимания заслуживает следующее:</w:t>
      </w:r>
    </w:p>
    <w:p w:rsidR="00000000" w:rsidRDefault="00000000">
      <w:pPr>
        <w:tabs>
          <w:tab w:val="clear" w:pos="1134"/>
          <w:tab w:val="left" w:pos="1122"/>
        </w:tabs>
      </w:pPr>
    </w:p>
    <w:p w:rsidR="00000000" w:rsidRDefault="00000000">
      <w:pPr>
        <w:tabs>
          <w:tab w:val="clear" w:pos="1134"/>
          <w:tab w:val="left" w:pos="1122"/>
        </w:tabs>
        <w:ind w:left="1122" w:hanging="1122"/>
      </w:pPr>
      <w:r>
        <w:tab/>
        <w:t>-</w:t>
      </w:r>
      <w:r>
        <w:tab/>
        <w:t>гарантия защиты занятости от произвольных увольнений или увольнений без уважительных причин, в каковом случае предусматривается выплата выходного пособия;</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страхование на случай безработицы при вынужденной безработице;</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единая национальная минимальная заработная плата, устанавливаемая законом и способная удовлетворить, согласно положениям пункта </w:t>
      </w:r>
      <w:r>
        <w:rPr>
          <w:lang w:val="en-US"/>
        </w:rPr>
        <w:t>IV</w:t>
      </w:r>
      <w:r>
        <w:t xml:space="preserve"> статьи 7, основные каждодневные потребности работников и их семей в том, что касается расходов на жилище, питание, образование, здравоохранение, досуг, одежду, гигиену, транспорт и социальное страхование;  эта заработная плата периодически корректируется в целях поддержания ее покупательной способности, причем ее размер не может использоваться в качестве какого-либо индекса;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запрещение проведения различий в оплате труда в контексте выполнения служебных обязанностей и при определении критериев найма по признаку пола, возраста, цвета кожи или гражданского состояния (пункт </w:t>
      </w:r>
      <w:r>
        <w:rPr>
          <w:lang w:val="en-US"/>
        </w:rPr>
        <w:t>XXX</w:t>
      </w:r>
      <w:r>
        <w:t xml:space="preserve"> статьи 7);</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запрещение любой дискриминации в отношении заработной платы и критериев найма для работников-инвалидов (пункт </w:t>
      </w:r>
      <w:r>
        <w:rPr>
          <w:lang w:val="en-US"/>
        </w:rPr>
        <w:t>XXXI</w:t>
      </w:r>
      <w:r>
        <w:t xml:space="preserve"> статьи 7);</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 xml:space="preserve">запрещение проведения различий между работниками физического труда, техническими работниками и работниками умственного труда или между соответствующими специалистами (пункт </w:t>
      </w:r>
      <w:r>
        <w:rPr>
          <w:lang w:val="en-US"/>
        </w:rPr>
        <w:t>XXXII</w:t>
      </w:r>
      <w:r>
        <w:t xml:space="preserve"> статьи 7);</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 xml:space="preserve">обеспечение равных прав для работников, имеющих постоянный контракт и временными работниками (пункт </w:t>
      </w:r>
      <w:r>
        <w:rPr>
          <w:lang w:val="en-US"/>
        </w:rPr>
        <w:t>XXXIV</w:t>
      </w:r>
      <w:r>
        <w:t xml:space="preserve"> статьи 7), при этом домашней прислуге гарантируются следующие права:  право на минимальную зарплату, запрет на уменьшение размера зарплаты, право на премию в конце года в размере одной зарплаты, оплачиваемый еженедельный выходной день, оплачиваемый ежегодный отпуск, отпуск по беременности и родам, отпуск в связи с отцовством, предварительное уведомление об увольнении, выплата пенсий по старости и пользование системой социального обеспечения (отдельный пункт статьи 7).</w:t>
      </w:r>
    </w:p>
    <w:p w:rsidR="00000000" w:rsidRDefault="00000000">
      <w:pPr>
        <w:tabs>
          <w:tab w:val="clear" w:pos="1134"/>
          <w:tab w:val="left" w:pos="1122"/>
        </w:tabs>
        <w:ind w:left="1122" w:hanging="1122"/>
      </w:pPr>
    </w:p>
    <w:p w:rsidR="00000000" w:rsidRDefault="00000000">
      <w:pPr>
        <w:tabs>
          <w:tab w:val="clear" w:pos="1134"/>
        </w:tabs>
      </w:pPr>
      <w:r>
        <w:t>141.</w:t>
      </w:r>
      <w:r>
        <w:tab/>
        <w:t>В законодательной сфере Закон № 7716/89 охватывает преступления, связанные с предубеждениями по признаку расы или цвета кожи и предусматривающие наказание в виде тюремного заключения сроком от двух до пяти лет.  В соответствии с положениями этого закона преступлением считаются деяния, связанные с созданием препятствий или лишением доступа должным образом квалифицированного лица к занятию любых постов, прямо или косвенно связанных с административной работой, а также с работой по выполнению государственных концессионных услуг (статья 3).  Под эту же категорию подпадает деяние, связанное с создание препятствий или лишением доступа к получению работы на частных предприятиях (статья 4).  В соответствии с этим законом преступлением также считается создание препятствий или лишение доступа к службе в любом подразделении вооруженных сил, которое карается тюремным заключением на срок от двух до четырех лет (статья 13).</w:t>
      </w:r>
    </w:p>
    <w:p w:rsidR="00000000" w:rsidRDefault="00000000">
      <w:pPr>
        <w:tabs>
          <w:tab w:val="clear" w:pos="1134"/>
        </w:tabs>
      </w:pPr>
    </w:p>
    <w:p w:rsidR="00000000" w:rsidRDefault="00000000">
      <w:pPr>
        <w:tabs>
          <w:tab w:val="clear" w:pos="1134"/>
        </w:tabs>
      </w:pPr>
      <w:r>
        <w:t>142.</w:t>
      </w:r>
      <w:r>
        <w:tab/>
        <w:t>Аналогичным образом Закон № 9029 от 13 апреля 1995 года обеспечивает защиту лиц наемного труда путем запрета на введение любой дискриминационной и ограничительной практики в отношении доступа к занятости или запрета уже существующей практики по признаку пола, происхождения, расы, цвета кожи, гражданского состояния, семейного положения или возраста, за исключением случаев, связанных с защитой несовершеннолетних, как это указывается в пункте </w:t>
      </w:r>
      <w:r>
        <w:rPr>
          <w:lang w:val="en-US"/>
        </w:rPr>
        <w:t>XXXIII</w:t>
      </w:r>
      <w:r>
        <w:t xml:space="preserve"> статьи 7 Федеральной конституции.  Среди прочих положений этот Закон устанавливает, что прекращение трудовых отношений по причине дискриминационных действий дает затронутому работнику право на повторный найм и на полную компенсацию со времени его увольнения путем выплаты всех причитающихся ему вознаграждений с процентами и поправками на инфляцию.</w:t>
      </w:r>
    </w:p>
    <w:p w:rsidR="00000000" w:rsidRDefault="00000000"/>
    <w:p w:rsidR="00000000" w:rsidRDefault="00000000">
      <w:r>
        <w:t>143.</w:t>
      </w:r>
      <w:r>
        <w:tab/>
        <w:t>Законы № 7716/89 и 9029/95 серьезно расширяют бразильское законодательство с учетом того, что ранее существовавший Закон № 5473/68 предусматривал лишь небольшой срок тюремного заключения для лиц, прямо или косвенно виновных в дискриминации в отношении распределения постов, подлежащих заполнению на основе конкурентного отбора кандидатов как на частных предприятиях, так и на государственной службе.</w:t>
      </w:r>
    </w:p>
    <w:p w:rsidR="00000000" w:rsidRDefault="00000000"/>
    <w:p w:rsidR="00000000" w:rsidRDefault="00000000">
      <w:r>
        <w:t>144.</w:t>
      </w:r>
      <w:r>
        <w:tab/>
        <w:t>Свобода на организацию профсоюзов представляет собой один из видов свободы ассоциации, означающий, что государство не может вмешиваться или вторгаться в сферу деятельности профсоюзов (пункт I статьи 8 Федеральной конституции), а его единственной обязанностью является регистрация профсоюза компетентным органом.  В соответствии с пунктом ХХ статьи 5 и пунктом V статьи 8 Федеральной конституции никто не обязан вступать в члены профсоюза или же быть его членом.</w:t>
      </w:r>
    </w:p>
    <w:p w:rsidR="00000000" w:rsidRDefault="00000000"/>
    <w:p w:rsidR="00000000" w:rsidRDefault="00000000">
      <w:r>
        <w:t>145.</w:t>
      </w:r>
      <w:r>
        <w:tab/>
        <w:t>Федеральной конституцией запрещается создание более одного профсоюза для представления одной и той же экономической или профессиональной категории в рамках одной территориальной единицы, причем размер каждой такой единицы определяется заинтересованными работниками и работодателями, однако этот размер по территориальному охвату не должен быть меньше одной муниципии (пункт II статьи 8).</w:t>
      </w:r>
    </w:p>
    <w:p w:rsidR="00000000" w:rsidRDefault="00000000"/>
    <w:p w:rsidR="00000000" w:rsidRDefault="00000000">
      <w:r>
        <w:t>146.</w:t>
      </w:r>
      <w:r>
        <w:tab/>
        <w:t>Профсоюзы наделены правовыми полномочиями по защите коллективных и индивидуальных прав работников соответствующей профессиональной категории в правовой и административной области (пункт III статьи 8 Федеральной конституции).  При этом следует отметить, что профсоюзы обязаны участвовать в переговорах по заключению коллективных договоров (пункт VI статьи 8 Федеральной конституции).</w:t>
      </w:r>
    </w:p>
    <w:p w:rsidR="00000000" w:rsidRDefault="00000000"/>
    <w:p w:rsidR="00000000" w:rsidRDefault="00000000">
      <w:r>
        <w:t>147.</w:t>
      </w:r>
      <w:r>
        <w:tab/>
        <w:t>Гарантия свободы профсоюзов состоит в том, что члены профсоюзов не могут быть уволены со своих должностей с момента их регистрации кандидатами на посты профсоюзных руководителей или представителей, и в случае их избрания, даже в качестве заместителей, они не подлежат увольнению в течение года после окончания срока их полномочий, если только они не совершили серьезных нарушений закона (пункт VIII статьи 8 Федеральной конституции).  Выборы этих представителей производятся в компаниях, насчитывающих более 200 сотрудников, с тем чтобы обеспечивать прямые переговоры с администрацией (статья 11 Федеральной конституции).</w:t>
      </w:r>
    </w:p>
    <w:p w:rsidR="00000000" w:rsidRDefault="00000000"/>
    <w:p w:rsidR="00000000" w:rsidRDefault="00000000">
      <w:r>
        <w:t>148.</w:t>
      </w:r>
      <w:r>
        <w:tab/>
        <w:t>Следует также упомянуть о праве государственных служащих на свободную профсоюзную организацию (пункт VI статьи 37 Федеральной конституции).</w:t>
      </w:r>
    </w:p>
    <w:p w:rsidR="00000000" w:rsidRDefault="00000000"/>
    <w:p w:rsidR="00000000" w:rsidRDefault="00000000">
      <w:r>
        <w:t>149.</w:t>
      </w:r>
      <w:r>
        <w:tab/>
        <w:t>В пункте IХ статьи 23 Федеральной конституции провозглашается, что союзная власть, штаты, Федеральный округ и муниципии имеют равную правовую компетенцию в вопросах реализации программ жилищного строительства, улучшения жилищных условий и обеспечения основных санитарных норм.  Конституционной поправкой № 26 от 14 февраля 2000 года право на жилище было включено в список социальных прав, закрепленных в статье 6 Федеральной конституции.</w:t>
      </w:r>
    </w:p>
    <w:p w:rsidR="00000000" w:rsidRDefault="00000000"/>
    <w:p w:rsidR="00000000" w:rsidRDefault="00000000">
      <w:r>
        <w:t>150.</w:t>
      </w:r>
      <w:r>
        <w:tab/>
        <w:t>Конституционное средство обеспечения благосостояния жителей муниципий заключается в приобретении городских площадей на основе права приобретательной давности (узукапии).  Лицо, занимающее городскую территорию площадью до 250 кв. метров в течение пяти лет подряд без факта опротестования и использующее эту территорию для себя и своей семьи, а также не владеющее другой городской или сельской собственностью, может воспользоваться этим положением для приобретения права собственности на такой участок (статья 183).  В сфере сельскохозяйственной политики Конституция также предусматривает возможность приобретения сельскохозяйственных земель на основе права приобретательной давности (узукапии).  Лицо, которое не владеет собственностью в сельской местности или городе и занимает под свои нужды участок земли не более 50 га в сельской местности в течение пяти лет подряд, без факта опротестования, плодотворно используя его для своей семьи и проживая на нем, может воспользоваться этим для получения права собственности на данную землю (статья 191).</w:t>
      </w:r>
    </w:p>
    <w:p w:rsidR="00000000" w:rsidRDefault="00000000"/>
    <w:p w:rsidR="00000000" w:rsidRDefault="00000000">
      <w:r>
        <w:t>151.</w:t>
      </w:r>
      <w:r>
        <w:tab/>
        <w:t>Система социального обеспечения представляет собой комплекс мер, принимаемых государственными властями и обществом в целом, цель которых состоит в том, чтобы гарантировать населению права в области здравоохранения, социального обеспечения и помощи (статья 194 Федеральной конституции).  Эта система прямо или косвенно финансируется обществом в целом в соответствии с положениями закона при использовании ресурсов из союзного бюджета, бюджета штатов, Федерального округа и муниципий, а также взносов на социальные нужды (статья 195).</w:t>
      </w:r>
    </w:p>
    <w:p w:rsidR="00000000" w:rsidRDefault="00000000"/>
    <w:p w:rsidR="00000000" w:rsidRDefault="00000000">
      <w:r>
        <w:t>152.</w:t>
      </w:r>
      <w:r>
        <w:tab/>
        <w:t>Правительство наделено правом обеспечивать создание системы социального обеспечения, которая должна отвечать следующим критериям (отдельный пункт статьи 194):</w:t>
      </w:r>
    </w:p>
    <w:p w:rsidR="00000000" w:rsidRDefault="00000000"/>
    <w:p w:rsidR="00000000" w:rsidRDefault="00000000">
      <w:r>
        <w:tab/>
        <w:t>-</w:t>
      </w:r>
      <w:r>
        <w:tab/>
        <w:t>иметь всеобщий охват и обеспечивать все необходимые виды услуг;</w:t>
      </w:r>
    </w:p>
    <w:p w:rsidR="00000000" w:rsidRDefault="00000000"/>
    <w:p w:rsidR="00000000" w:rsidRDefault="00000000">
      <w:pPr>
        <w:ind w:left="1134" w:hanging="1134"/>
      </w:pPr>
      <w:r>
        <w:tab/>
        <w:t>-</w:t>
      </w:r>
      <w:r>
        <w:tab/>
        <w:t>предоставлять единообразные и равноценные преимущества и услуги городскому и сельскому населению;</w:t>
      </w:r>
    </w:p>
    <w:p w:rsidR="00000000" w:rsidRDefault="00000000"/>
    <w:p w:rsidR="00000000" w:rsidRDefault="00000000">
      <w:r>
        <w:tab/>
        <w:t>-</w:t>
      </w:r>
      <w:r>
        <w:tab/>
        <w:t>обеспечивать выборный и распределительный характер пособий и услуг;</w:t>
      </w:r>
    </w:p>
    <w:p w:rsidR="00000000" w:rsidRDefault="00000000"/>
    <w:p w:rsidR="00000000" w:rsidRDefault="00000000">
      <w:r>
        <w:tab/>
        <w:t>-</w:t>
      </w:r>
      <w:r>
        <w:tab/>
        <w:t>препятствовать снижению размеров пособий;</w:t>
      </w:r>
    </w:p>
    <w:p w:rsidR="00000000" w:rsidRDefault="00000000"/>
    <w:p w:rsidR="00000000" w:rsidRDefault="00000000">
      <w:r>
        <w:tab/>
        <w:t>-</w:t>
      </w:r>
      <w:r>
        <w:tab/>
        <w:t>обеспечивать справедливое участие в расходах;</w:t>
      </w:r>
    </w:p>
    <w:p w:rsidR="00000000" w:rsidRDefault="00000000"/>
    <w:p w:rsidR="00000000" w:rsidRDefault="00000000">
      <w:r>
        <w:tab/>
        <w:t>-</w:t>
      </w:r>
      <w:r>
        <w:tab/>
        <w:t>поддерживать диверсификацию финансовой основы;</w:t>
      </w:r>
    </w:p>
    <w:p w:rsidR="00000000" w:rsidRDefault="00000000"/>
    <w:p w:rsidR="00000000" w:rsidRDefault="00000000">
      <w:pPr>
        <w:ind w:left="1134" w:hanging="1134"/>
      </w:pPr>
      <w:r>
        <w:tab/>
        <w:t>-</w:t>
      </w:r>
      <w:r>
        <w:tab/>
        <w:t>обеспечивать демократическое и децентрализованное управление через четырехсторонний орган с участием работников, предпринимателей, пенсионеров и представителей правительства.</w:t>
      </w:r>
    </w:p>
    <w:p w:rsidR="00000000" w:rsidRDefault="00000000"/>
    <w:p w:rsidR="00000000" w:rsidRDefault="00000000">
      <w:r>
        <w:t>153.</w:t>
      </w:r>
      <w:r>
        <w:tab/>
        <w:t>Право на здоровье включает в себя всеобщий и равный доступ к мероприятиям и услугам, направленным на укрепление, охрану и восстановление здоровья (статья 196 Федеральной конституции).</w:t>
      </w:r>
    </w:p>
    <w:p w:rsidR="00000000" w:rsidRDefault="00000000"/>
    <w:p w:rsidR="00000000" w:rsidRDefault="00000000">
      <w:r>
        <w:t>154.</w:t>
      </w:r>
      <w:r>
        <w:tab/>
        <w:t>Система социального обеспечения, которая финансируется за счет взносов и является обязательной, должна покрывать расходы в случае заболеваний, инвалидности, старости и смерти;  обеспечивать охрану материнства, при особой заботе о беременных женщинах;  защищать работников, вынужденно оставшихся без работы;  обеспечивать выплату пособий и оказание помощи иждивенцам низкооплачиваемых работников;  а также выплату содержания и пенсий супругам, сожителям и иждивенцам без различий по признаку пола (статья 210 Федеральной конституции).</w:t>
      </w:r>
    </w:p>
    <w:p w:rsidR="00000000" w:rsidRDefault="00000000"/>
    <w:p w:rsidR="00000000" w:rsidRDefault="00000000">
      <w:r>
        <w:t>155.</w:t>
      </w:r>
      <w:r>
        <w:tab/>
        <w:t>Социальная помощь должна оказываться всем нуждающимся независимо от взносов того или иного лица в систему социального обеспечения, целью которой является охрана семьи, материнства, а также детей, подростков и престарелых;  помощь нуждающимся детям и подросткам;  содействие в получении доступа к рынку труда;  лечение и реабилитация инвалидов и их интеграция в жизнь общества;  гарантированные ежемесячные пособия в размере одного минимального оклада для инвалидов и престарелых, которые могут подтвердить отсутствие средств к существованию, а также неспособность их семей оказывать им поддержку согласно закону (статья 203 Федеральной конституции).</w:t>
      </w:r>
    </w:p>
    <w:p w:rsidR="00000000" w:rsidRDefault="00000000"/>
    <w:p w:rsidR="00000000" w:rsidRDefault="00000000">
      <w:r>
        <w:t>156.</w:t>
      </w:r>
      <w:r>
        <w:tab/>
        <w:t>Среди прав, перечисленных в статье 6 Конституции, одним из наиболее важных является право на образование.  Это право является всеобщим и налагает обязанности на государство и семью при поддержке и содействии всего общества.  Целью образования является предоставление отдельным лицам возможности в максимальной степени развить свой потенциал, подготовиться к выполнению гражданских обязанностей и получить квалификацию для трудовой деятельности (статья 205 Федеральной конституции).</w:t>
      </w:r>
    </w:p>
    <w:p w:rsidR="00000000" w:rsidRDefault="00000000"/>
    <w:p w:rsidR="00000000" w:rsidRDefault="00000000">
      <w:r>
        <w:t>157.</w:t>
      </w:r>
      <w:r>
        <w:tab/>
        <w:t>В основе системы образования лежат следующие принципы:  а)  равные условия, касающиеся доступа в школы и обучения в них;  b)  свобода обучения, преподавания, исследовательской работы и выражения мысли, свобода искусства и применения знаний;  с)  плюрализм академических знаний и концепций, а также одновременное существование государственных и частных учебных заведений;  d)  бесплатное публичное образование в государственных школах;  е)  признание ценности профессии учителя;  преподавателям согласно закону гарантируется продвижение по службе в качестве учителей публичных школ, включая назначение им минимальной зарплаты, и трудоустройство на основе государственных приемных экзаменов и представления дипломов об окончании высших и специальных учебных заведений;  f)  демократическое управление государственной системой образования в соответствии с положениями закона;  g)  гарантированные стандарты качества.</w:t>
      </w:r>
    </w:p>
    <w:p w:rsidR="00000000" w:rsidRDefault="00000000"/>
    <w:p w:rsidR="00000000" w:rsidRDefault="00000000">
      <w:r>
        <w:t>158.</w:t>
      </w:r>
      <w:r>
        <w:tab/>
        <w:t>Обязанности государства в области образования заключаются в обеспечении:  а)  обязательного и бесплатного начального образования, включая гарантии его бесплатного предоставления лицам, не имевшим доступа к нему в соответствующем возрасте;  b)  постепенного перехода ко всеобщему бесплатному среднему образованию;  с)  специального школьного образования для инвалидов, предпочтительно в рамках обычной школьной системы;  d)  ухода за детьми в возрасте до шести лет в детских садах и дошкольных учреждениях;  е)  доступа к высшим уровням образования, исследовательской работы и художественного творчества на основе индивидуальных способностей каждого;  f)  регулярных вечерних курсов, учитывающих условия жизни студентов;  g)  помощи учащимся начальных школ на основе дополнительных программ, направленных на обеспечение школьным оборудованием, транспортом, питанием и медицинской помощью.</w:t>
      </w:r>
    </w:p>
    <w:p w:rsidR="00000000" w:rsidRDefault="00000000"/>
    <w:p w:rsidR="00000000" w:rsidRDefault="00000000">
      <w:r>
        <w:t>159.</w:t>
      </w:r>
      <w:r>
        <w:tab/>
        <w:t>Федеральная конституция предусматривает минимальный процент доходов от налогов, включая суммы, поступающие на счета штатов, которые каждая федеральная единица обязана отчислять на цели образования.  Федеральная власть вносит 18% ежегодно, в то время как штаты, Федеральный округ и муниципии отчисляют 25% доходов.  Следует отметить, что часть доходов от собранных налогов, переведенных федеральной властью штатам, Федеральному округу и муниципиям или штатами соответствующим муниципиям, не учитывается для целей вышеназванных расчетов при определении доходов государства.  Необходимо отметить, что отказ от отчисления минимальных процентных долей на содержание и развитие системы образования может служить поводом для вмешательства федеральных властей в деятельность штатов, согласно статье 34 Федеральной конституции.</w:t>
      </w:r>
    </w:p>
    <w:p w:rsidR="00000000" w:rsidRDefault="00000000"/>
    <w:p w:rsidR="00000000" w:rsidRDefault="00000000">
      <w:r>
        <w:t>160.</w:t>
      </w:r>
      <w:r>
        <w:tab/>
        <w:t>Полное осуществление культурных прав, а также доступ к источникам бразильской культуры должны обеспечиваться государством, которое в равной степени поддерживает и поощряет распространение достижений культуры (вводная часть статьи 215 Федеральной конституции), а также охраняет культурную самобытность народа, групп коренного населения, афробразильцев и иных групп, внесших соответствующий вклад в бразильскую культуру (пункт 12 статьи 215).</w:t>
      </w:r>
    </w:p>
    <w:p w:rsidR="00000000" w:rsidRDefault="00000000"/>
    <w:p w:rsidR="00000000" w:rsidRDefault="00000000">
      <w:r>
        <w:t>161.</w:t>
      </w:r>
      <w:r>
        <w:tab/>
        <w:t>Осуществление права на участие в культурной жизни гарантируется введением в учебную программу начальной школы курса изучения культурного многообразия, позволяющего обеспечить уважение к культурным и художественным ценностям (вводная часть статьи 210 Федеральной конституции).</w:t>
      </w:r>
    </w:p>
    <w:p w:rsidR="00000000" w:rsidRDefault="00000000"/>
    <w:p w:rsidR="00000000" w:rsidRDefault="00000000">
      <w:r>
        <w:t>162.</w:t>
      </w:r>
      <w:r>
        <w:tab/>
        <w:t>Выдвигая в качестве одного из своих основных принципов достоинство человека (пункт III статьи 1 Федеральной конституции), оказывая содействие благополучию всех граждан без различий по признаку происхождения, расы, пола, цвета кожи, возраста и иных форма дискриминации, что является одной из основополагающих целей государства (пункт IV статьи 3), строя международные отношения на принципе неприятия расизма (пункт VIII статьи 4) и, наконец, возводя расизм в ранг преступлений, не предусматривающих освобождения под залог или поручительство и не имеющих срока исковой давности (пункт XLII статьи 5), бразильское государство не допускает дискриминации в отношении доступа в общественные места или доступа к услугам.</w:t>
      </w:r>
    </w:p>
    <w:p w:rsidR="00000000" w:rsidRDefault="00000000"/>
    <w:p w:rsidR="00000000" w:rsidRDefault="00000000">
      <w:r>
        <w:t>163.</w:t>
      </w:r>
      <w:r>
        <w:tab/>
        <w:t>До принятия Закона № 7716/89 от 5 января 1989 года в стране действовал Закон Афонсо Ариноша (Закон № 1390 от 3 июля 1951 года), согласно которому отказ государственного или частного заведения в обслуживании, доступе или приеме какого</w:t>
      </w:r>
      <w:r>
        <w:noBreakHyphen/>
        <w:t>либо лица по признаку его расы или цвета кожи квалифицируется как уголовное преступление.  Уголовным преступлением, наказуемым лишением свободы (частная форма заключения, которая является наиболее мягкой в шкале наказаний), считалось создание любых препятствий для получения работы в государственных или частных компаниях по расовым мотивам.</w:t>
      </w:r>
    </w:p>
    <w:p w:rsidR="00000000" w:rsidRDefault="00000000"/>
    <w:p w:rsidR="00000000" w:rsidRDefault="00000000">
      <w:r>
        <w:t>164.</w:t>
      </w:r>
      <w:r>
        <w:tab/>
        <w:t>С принятием Закона № 7716/89 подобные действия были переведены в категорию тяжкого преступления, предусматривающего одиночное заключение (частная форма тюремного заключения, которая является наиболее суровой в шкале наказаний).  В статье 5, а также в статьях 7</w:t>
      </w:r>
      <w:r>
        <w:noBreakHyphen/>
        <w:t>12 этого Закона приводятся примеры подобных деяний, большинство из которых влечет за собой тюремное заключение сроком на три года;  единственным исключением является статья 7, в которой деяние, имеющее целью запрещение доступа или отказа в размещении в отелях, пансионах, гостиницах или других аналогичных заведениях, влечет за собой тюремное заключение сроком от трех до пяти лет.</w:t>
      </w:r>
    </w:p>
    <w:p w:rsidR="00000000" w:rsidRDefault="00000000"/>
    <w:p w:rsidR="00000000" w:rsidRDefault="00000000">
      <w:r>
        <w:t>165.</w:t>
      </w:r>
      <w:r>
        <w:tab/>
        <w:t xml:space="preserve">Необходимо упомянуть и о законодательстве штатов в данной области.  Так, в шести штатах приняты законы, запрещающие дискриминацию в отношении доступа к общественным местам и другим заведениям, таким, как бары, рестораны, отели и прочие общественные места, и предусматривающие административное наказание в виде штрафа, а также обязательное развешивание вывесок с указанием о запрете дискриминации в отношении доступа к общественным лифтам и зданиям.  В этой связи упоминания заслуживают следующие законодательные акты:  а)  Закон штата Алагоас № 4528 от 8 июля 1996 года, согласно которому лица, практикующие дискриминацию при пользовании лифтами, подвергаются наказанию в виде штрафа, размер которого может быть удвоен в случае повторного нарушения;  b)  Закон штата Эспириту-Санту № 5260 от 3 сентября 1996 года, запрещающий любую дискриминацию в отношении пользования лифтами в любых государственных или частных коммерческих и производственных зданиях, а также в жилых домах многосемейного или общего проживания в этом штате, по признаку расы, пола, цвета кожи, происхождения, социального положения, возраста, инвалидности или болезней, не передаваемых в результате случайного контакта;  с)  Закон муниципии Жоана-Пессуа, столицы штата Парайба, № 1568 от 10 июля 1996 года, который предусматривает выплату штрафа в размере 50 UFIRs (примерно 30 долл. США) и в случае повторного правонарушения предусматривает аннулирование лицензии на эксплуатацию любого коммерческого заведения или заведения сферы обслуживания, которое практикует расовую дискриминацию;  d)  Закон муниципии Порту-Алегри, столицы штата Риу-Гранди-ду-Сул, № 5857 от 9 января 1987 года, в котором предусматривается изъятие эксплуатационной лицензии по решению суда в случае дискриминации со стороны коммерческого учреждения, клуба или развлекательного заведения, а также выплата штрафа, размер которого удваивается в случае повторного правонарушения, в отношении жилых комплексов, где практикуется дискриминация по признаку расы или цвета кожи;  е)  Закон муниципии Сан-Паулу, столицы штата Сан-Паулу, № 10040 от 8 сентября 1986 года, предусматривающий изъятие после соответствующей административной процедуры эксплуатационной лицензии у коммерческих заведений, прибегающих к дискриминации, которая не совместима с принципом равенства;  и f)  Закон муниципии Сан-Паулу № 11995 от 16 января 1996 года, запрещающий любую дискриминацию в пользовании лифтами во всех зданиях, каковая наказывается штрафом, сумма которого удваивается в случае повторного правонарушения.  И наконец, особого упоминания заслуживает штат Рио-де-Жанейро, где существует наиболее всеобъемлющее и строгое законодательство в данной области, предусматривающее различные наказания для гражданских служащих и частных лиц или заведений, практикующих расовую дискриминацию.  Для гражданских служащих статья 3 Закона № 1814 от 14 апреля 1991 года предусматривает следующее наказание:  штраф;  временное отстранение от должности;  увольнение;  приостановка выплат в пенсионный фонд или лишение доступа к нему;  смещение с полномочного поста или оплачиваемой должности.  В отношении второй категории статья 4 того же Закона предусматривает следующие наказания:  штраф;  временная приостановка права на участие в конкурентных торгах, объявляемых учреждениями и организациями, прямо или косвенно связанными с государственной администрацией или ассоциированными фондами;  запрет на участие отдельного лица или организации в конкурентных торгах или заключение сделок с вышеупомянутыми учреждениями и организациями;  принятие рекомендации о приостановке действия или изъятия лицензий на соответствующую деятельность или эксплуатационных лицензий учреждения.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166.</w:t>
      </w:r>
      <w:r>
        <w:tab/>
        <w:t>Как упоминалось выше, Конституция Бразилии обеспечивает широкую защиту равноправия и запрещает дискриминацию.  В Конституции 1988 года среди перечисляемых в ней прав провозглашается право на защиту, обеспечивающую свободный доступ в судебные органы.  В соответствии с положениями пункта XXXV статьи 5 Конституции органы судебной власти участвуют в рассмотрении случаев нарушения прав или угрозы их нарушения.</w:t>
      </w:r>
    </w:p>
    <w:p w:rsidR="00000000" w:rsidRDefault="00000000"/>
    <w:p w:rsidR="00000000" w:rsidRDefault="00000000">
      <w:r>
        <w:t>167.</w:t>
      </w:r>
      <w:r>
        <w:tab/>
        <w:t>В пункте LV статьи 5 Конституции 1988 года провозглашается, что истцам по судебным или административным делам, а также лицам, обвиняемым в совершении преступлений, должно быть гарантировано право на всеобъемлющую защиту в ходе судебного процесса в рамках состязательной системы рассмотрения споров с использованием средств правовой защиты и привлечением средств и ресурсов, предоставляемых такой системой.  В соответствии с Конституцией бразильское государство обеспечивает полную и бесплатную правовую помощь лицам, которые могут подтвердить отсутствие у них средств для оплаты собственной защиты.</w:t>
      </w:r>
    </w:p>
    <w:p w:rsidR="00000000" w:rsidRDefault="00000000"/>
    <w:p w:rsidR="00000000" w:rsidRDefault="00000000">
      <w:r>
        <w:t>168.</w:t>
      </w:r>
      <w:r>
        <w:tab/>
        <w:t>Правовая система Бразилии предусматривает соответствующие правовые механизмы для исправления и ликвидации последствий незаконной деятельности и превышения власти.  Среди конституционных гарантий упоминания заслуживают следующие:  а)  средство правовой защиты хабеас корпус предоставляется в тех случаях, когда какое</w:t>
      </w:r>
      <w:r>
        <w:noBreakHyphen/>
        <w:t xml:space="preserve">либо лицо явилось жертвой насилия или принуждения или когда ему угрожает такая опасность, в том числе в отношении его свободы передвижения, вследствие противозаконных действий или превышения власти (пункт LXVIII статьи 5);  b)  судебный приказ должностному лицу о выполнении требований истца (индивидуальный или коллективный), который издается для прямой и эффективной защиты прав, не охватываемых положениями о хабеас корпус или хабеас дата, когда сторона, виновная в совершении противозаконных действий или превышении власти, является государственным должностным лицом или агентом корпоративного юридического лица, выполняющего правительственные функции (пункты LXIX и LXX статьи 5);  с)  хабеас дата используется для получения информации о личности петиционера, которая содержится в архивах или базах данных правительственных или государственных учреждений, а также для исправления данных, в тех случаях, когда петиционер отказывается от конфиденциальной процедуры, будь то судебной или административной (пункт LXII статьи 5);  d)  судебный запрет издается в случае, когда отсутствие нормативных положений не дает возможности использования конституционных прав и свобод, а также прерогатив, присущих национальности, суверенитету и гражданству (пункт LXI статьи 5);  е)  любой гражданин рассматривается как законная сторона, имеющая право подать судебный иск от имени народа с целью объявления незаконным акта, наносящего ущерб государственной собственности или собственности образования, в котором участвует государство, административной этике, окружающей среде, национальному, историческому и культурному наследию, причем автор иска должен быть освобожден, за исключением случаев доказанной недобросовестности, от уплаты судебных издержек и от бремени, связанного с проигрышем процесса;  f)  правовой гражданский иск от имени народа с целью защиты коллективных и общих прав. </w:t>
      </w:r>
    </w:p>
    <w:p w:rsidR="00000000" w:rsidRDefault="00000000"/>
    <w:p w:rsidR="00000000" w:rsidRDefault="00000000">
      <w:r>
        <w:t>169.</w:t>
      </w:r>
      <w:r>
        <w:tab/>
        <w:t>Что касается гражданских исков, возбуждаемых от имени народа, то необходимо отметить, что, хотя это положение и не включено в главу Федеральной конституции, посвященную основным правам и гарантиям, оно представляет собой одну из важнейших гарантий реализации провозглашенных Конституцией прав.  Согласно Закону № 7347 от 24 июля 1985 года для установления ответственности может быть использован процедурный механизм, выносящий решение о выполнении или невыполнении определенных действий в отношении компенсации морального и материального ущерба, причиненного окружающей среде, потребителю, собственности и правам, имеющим художественную, эстетическую, историческую, туристическую и ландшафтную ценность, представляющим любой другой общий или коллективный интерес, а также в отношении нарушений экономического порядка.</w:t>
      </w:r>
    </w:p>
    <w:p w:rsidR="00000000" w:rsidRDefault="00000000"/>
    <w:p w:rsidR="00000000" w:rsidRDefault="00000000">
      <w:r>
        <w:t>170.</w:t>
      </w:r>
      <w:r>
        <w:tab/>
        <w:t>Все судебные решения должны быть обоснованы, в противном случае они могут быть объявлены недействительными (пункт </w:t>
      </w:r>
      <w:r>
        <w:rPr>
          <w:lang w:val="en-US"/>
        </w:rPr>
        <w:t>IX</w:t>
      </w:r>
      <w:r>
        <w:t xml:space="preserve"> статьи 93 Федеральной конституции).  Решения суда также могут быть обжалованы в суде более высокой инстанции.  Конституция гарантирует всем право направлять петиции в правительство по вопросам защиты прав или в связи с незаконными действиями и превышением власти (подпункт а) пункта </w:t>
      </w:r>
      <w:r>
        <w:rPr>
          <w:lang w:val="en-US"/>
        </w:rPr>
        <w:t>XXXIV</w:t>
      </w:r>
      <w:r>
        <w:t xml:space="preserve"> статьи 5), а также получать от правительственных органов документы, необходимые для защиты прав человека, и разъяснения в отношении ситуаций, представляющих личный интерес (подпункт </w:t>
      </w:r>
      <w:r>
        <w:rPr>
          <w:lang w:val="en-US"/>
        </w:rPr>
        <w:t>b</w:t>
      </w:r>
      <w:r>
        <w:t xml:space="preserve">) пункта  </w:t>
      </w:r>
      <w:r>
        <w:rPr>
          <w:lang w:val="en-US"/>
        </w:rPr>
        <w:t>XXXIV</w:t>
      </w:r>
      <w:r>
        <w:t xml:space="preserve"> статьи 5).</w:t>
      </w:r>
    </w:p>
    <w:p w:rsidR="00000000" w:rsidRDefault="00000000"/>
    <w:p w:rsidR="00000000" w:rsidRDefault="00000000">
      <w:r>
        <w:t>171.</w:t>
      </w:r>
      <w:r>
        <w:tab/>
        <w:t>Что касается расовой дискриминации, то, как об этом уже говорилось, Конституция определяет расизм как преступление не имеющее срока давности, предусматривающее наказание в виде тюремного заключения и исключающее освобождение под залог или поручительство.  В отношении справедливого возмещения или компенсации ущерба, причиненного жертвам расовой дискриминации, пункт Х статьи 5 Конституции Бразилии провозглашает неприкосновенность личной и частной жизни, а также чести и достоинства, гарантируя пострадавшим право на возмещение материального и морального ущерба, причиненного в результате нарушения таких прав.</w:t>
      </w:r>
    </w:p>
    <w:p w:rsidR="00000000" w:rsidRDefault="00000000"/>
    <w:p w:rsidR="00000000" w:rsidRDefault="00000000">
      <w:r>
        <w:t>172.</w:t>
      </w:r>
      <w:r>
        <w:tab/>
        <w:t xml:space="preserve">В вопросе о расовой дискриминации бразильское законодательство является достаточно непоследовательным.  С одной стороны, существует правовая система, которая предусматривает применение норм, содержащихся в Конституции, конвенциях и законах (особенно в Законах № 7716/89 и 9459/97) и предусматривающих наказание за расовую дискриминацию и выплату компенсации за моральный ущерб.  С другой стороны, существуют решения, которые не предусматривают наказания за расовую дискриминацию по причине отсутствия или недостаточности доказательств или даже по причине умышленного обмана, что рассматривается как субъективный элемент преступления.  В последнем случае требуется доказать факт "расовой ненависти", что является весьма трудной задачей.  Кроме того, имеются и случаи, которые жертвы квалифицируют как преступления, совершенные по расовым мотивам (в соответствии с положениями Закона № 7716/89), которые затем квалифицируются как устные оскорбления согласно положениям Закона № 9459/97.  (Этим Законом в Уголовный кодекс была добавлена статья 140, в которой дается определение такому преступлению как устное оскорбление.)  Необходимо повторить, что в соответствии с Законом № 9459/97, если в устном оскорблении используются элементы, связанные с расой, цветом кожи, этнической принадлежностью, религией или происхождением, то виновный наказывается тюремным заключением на срок от одного года до трех лет и штрафом. </w:t>
      </w:r>
    </w:p>
    <w:p w:rsidR="00000000" w:rsidRDefault="00000000"/>
    <w:p w:rsidR="00000000" w:rsidRDefault="00000000">
      <w:r>
        <w:t>173.</w:t>
      </w:r>
      <w:r>
        <w:tab/>
        <w:t>Таким образом, закон предполагает проведение различий между обычным оскорблением и оскорблением, основанным на дискриминации (по признаку расы, цвета кожи, этнической принадлежности, религии или происхождения), причем последний вид оскорбления предусматривает более строгое наказание.  Вместе с тем даже такое суровое наказание за подобное оскорбление является более мягким по сравнению с наказанием в случае преступлений, перечисленных в Законе № 7716/89.  Кроме того, в связи с преступлениями в виде оскорбления возбуждается иск в рамках частного уголовного права, причем на подачу жалобы отводится всего шесть месяцев, в то время как в связи с преступлением по расовым мотивам возбуждается иск в рамках публичного уголовного права.  Поэтому когда такое деяние переквалифицируется из расизма в обычное оскорбление, жертва вынуждена подавать жалобу в остающийся короткий шестимесячный промежуток времени, а это значит, что иногда преступление остается безнаказанным.</w:t>
      </w:r>
    </w:p>
    <w:p w:rsidR="00000000" w:rsidRDefault="00000000"/>
    <w:p w:rsidR="00000000" w:rsidRDefault="00000000">
      <w:r>
        <w:t>174.</w:t>
      </w:r>
      <w:r>
        <w:tab/>
        <w:t xml:space="preserve">Ниже дано резюме конкретных дел, иллюстрирующее недавние судебные решения, касающиеся случаев расовой дискриминации.  Следует отметить, что подборка этих дел осуществлялась, исходя из качественных, а не количественных критериев.  Задача состоит в том, чтобы перечислить все судебные решения по этому вопросу.  Представленные дела распределены по трем группам:  а)  судебные решения, предусматривающие наказание за расовую дискриминацию в соответствии с положениями Законов № 7716/89 и 9459/97;  </w:t>
      </w:r>
      <w:r>
        <w:rPr>
          <w:lang w:val="en-US"/>
        </w:rPr>
        <w:t>b</w:t>
      </w:r>
      <w:r>
        <w:t>)  судебные решения, предусматривающие выплату компенсации за моральный ущерб в связи с расовой дискриминацией;  и с)  судебные решения, не предусматривающие наказания за расовую дискриминацию ввиду недостаточности улик или отсутствия факта клеветы, когда она рассматривается как субъективный элемент преступления.</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175.</w:t>
      </w:r>
      <w:r>
        <w:tab/>
        <w:t>Согласно статье 205 Конституции Бразилии образование является правом каждого человека, налагающим обязанности на государство и семью.  По Конституции, основная цель системы образования заключается в предоставлении каждому индивидууму возможности в полной мере раскрыть свой потенциал, подготовиться к выполнению гражданских обязанностей и получить специальность.</w:t>
      </w:r>
    </w:p>
    <w:p w:rsidR="00000000" w:rsidRDefault="00000000"/>
    <w:p w:rsidR="00000000" w:rsidRDefault="00000000">
      <w:r>
        <w:t>176.</w:t>
      </w:r>
      <w:r>
        <w:tab/>
        <w:t>В Конституции провозглашаются обязанности государства в области образования, заключающиеся в предоставлении гарантий обязательного и бесплатного начального образования;  постепенном переходе ко всеобщему бесплатному среднему образованию;  организации специального образования для инвалидов, предпочтительно в рамках обычной школьной системы;  развитии сети детских садов и дошкольных учреждений для детей в возрасте до шести лет;  обеспечении доступа к высшему образованию, исследовательской работы и художественного творчества на основе индивидуальных способностей каждого;  организации регулярных вечерних курсов с учетом обстоятельств каждого учащегося;  оказании помощи учащимся начальных школ посредством разработки дополнительных программ, предусматривающих обеспечение школьным оборудованием, транспортом, питанием и медицинской помощью.</w:t>
      </w:r>
    </w:p>
    <w:p w:rsidR="00000000" w:rsidRDefault="00000000"/>
    <w:p w:rsidR="00000000" w:rsidRDefault="00000000">
      <w:r>
        <w:t>177.</w:t>
      </w:r>
      <w:r>
        <w:tab/>
        <w:t>В соответствии с пунктом 1 статьи 208 Конституции Бразилии доступ к обязательному бесплатному образованию является субъективным публичным правом.  Компетентные власти несут ответственность за невыполнение правительством его функций в области предоставления обязательного образования или за нарушения, допущенные в этой области.</w:t>
      </w:r>
    </w:p>
    <w:p w:rsidR="00000000" w:rsidRDefault="00000000"/>
    <w:p w:rsidR="00000000" w:rsidRDefault="00000000">
      <w:r>
        <w:t>178.</w:t>
      </w:r>
      <w:r>
        <w:tab/>
        <w:t xml:space="preserve">Система начального образования функционирует на основе директив, определяющих минимальную учебную программу, призванную обеспечить общее начальное образование и уважительное отношение к национальным и региональным культурным и художественным ценностям (статья 210 Конституции Бразилии).  Для обеспечения адекватных ресурсов, необходимых для развития и функционирования системы образования, статья 212 Конституции 1988 года предусматривает ежегодные отчисления для системы образования со стороны федеральных властей в объеме не менее 18%, а также отчисления со стороны штатов, Федерального округа и муниципий в размере не менее 25% от налоговых поступлений, включая суммы, поступающие от перечислений.  </w:t>
      </w:r>
    </w:p>
    <w:p w:rsidR="00000000" w:rsidRDefault="00000000"/>
    <w:p w:rsidR="00000000" w:rsidRDefault="00000000">
      <w:r>
        <w:t>179.</w:t>
      </w:r>
      <w:r>
        <w:tab/>
        <w:t>Конституция Бразилии содержит особый раздел, посвященный культуре.  Статья 215 Конституции обязует государство обеспечивать всем гражданам полное осуществление их культурных прав, а также доступ к источникам национальной культуры, оказывая поддержку и поощряя оценку и распространение различных форм культурного самовыражения.</w:t>
      </w:r>
    </w:p>
    <w:p w:rsidR="00000000" w:rsidRDefault="00000000"/>
    <w:p w:rsidR="00000000" w:rsidRDefault="00000000">
      <w:r>
        <w:t>180.</w:t>
      </w:r>
      <w:r>
        <w:tab/>
        <w:t>Государство должно обеспечивать защиту культурного самовыражения населения, коренных групп и афробразильцев, а также других групп, внесших вклад в развитие бразильской культуры.  В соответствии с Конституцией законодательство должно определять стимулы для развития культуры и охраны культурных ценностей, а также для информирования общественности в этой области.</w:t>
      </w:r>
    </w:p>
    <w:p w:rsidR="00000000" w:rsidRDefault="00000000"/>
    <w:p w:rsidR="00000000" w:rsidRDefault="00000000">
      <w:pPr>
        <w:rPr>
          <w:b/>
          <w:bCs/>
        </w:rPr>
      </w:pPr>
      <w:r>
        <w:t>181.</w:t>
      </w:r>
      <w:r>
        <w:tab/>
        <w:t xml:space="preserve">В соответствии с Федеральной конституцией власти штатов должны предпринимать усилия в своих соответствующих регионах для проведения антидискриминационной политики в области образования.  В связи с этим упоминания заслуживают положения конституций следующих штатов:  Акри (статьи 198, </w:t>
      </w:r>
      <w:r>
        <w:rPr>
          <w:lang w:val="en-US"/>
        </w:rPr>
        <w:t>IX</w:t>
      </w:r>
      <w:r>
        <w:t xml:space="preserve">  и </w:t>
      </w:r>
      <w:r>
        <w:rPr>
          <w:lang w:val="en-US"/>
        </w:rPr>
        <w:t>XII</w:t>
      </w:r>
      <w:r>
        <w:t xml:space="preserve">, 253), Амапа  (статья 280, </w:t>
      </w:r>
      <w:r>
        <w:rPr>
          <w:lang w:val="en-US"/>
        </w:rPr>
        <w:t>I</w:t>
      </w:r>
      <w:r>
        <w:t xml:space="preserve"> и </w:t>
      </w:r>
      <w:r>
        <w:rPr>
          <w:lang w:val="en-US"/>
        </w:rPr>
        <w:t>II</w:t>
      </w:r>
      <w:r>
        <w:t xml:space="preserve">), Гояс (статья 156, </w:t>
      </w:r>
      <w:r>
        <w:rPr>
          <w:lang w:val="en-US"/>
        </w:rPr>
        <w:t>II</w:t>
      </w:r>
      <w:r>
        <w:t xml:space="preserve">), Мараньян  (статья 262), Мату-Гросу-ду-Сул (статья 189), Пара  (статья 273, </w:t>
      </w:r>
      <w:r>
        <w:rPr>
          <w:lang w:val="en-US"/>
        </w:rPr>
        <w:t>I</w:t>
      </w:r>
      <w:r>
        <w:t xml:space="preserve">), Парана  (статья 178, </w:t>
      </w:r>
      <w:r>
        <w:rPr>
          <w:lang w:val="en-US"/>
        </w:rPr>
        <w:t>I</w:t>
      </w:r>
      <w:r>
        <w:t xml:space="preserve">), Рио-де-Жанейро  (статья 303), Рондония (статья 191, </w:t>
      </w:r>
      <w:r>
        <w:rPr>
          <w:lang w:val="en-US"/>
        </w:rPr>
        <w:t>III</w:t>
      </w:r>
      <w:r>
        <w:t xml:space="preserve">), Сан-Паулу  (статья 237, </w:t>
      </w:r>
      <w:r>
        <w:rPr>
          <w:lang w:val="en-US"/>
        </w:rPr>
        <w:t>VII</w:t>
      </w:r>
      <w:r>
        <w:t>) и Основной закон Федерального округа (статья 235), все из которых провозглашают право всех граждан на поступление и обучение в школах без каких-либо различий по признаку происхождения, расы или принадлежности к социальному классу, одновременно требуя изымать учебные пособия, содержащие материалы дискриминационного характера в отношении чернокожих, женщин и представителей коренных народов, с тем чтобы обеспечить преподавание учебных дисциплин без каких-либо предрассудков.  В этих конституциях также предусматривается включение в учебные программы материалов, посвященных культурной и этнической истории Бразилии.  Особого упоминания в этой связи заслуживает Основной закон Федерального округа, который предусматривает включение в учебные программы школ и университетов материалов о борьбе женщин, чернокожих и коренных народов на протяжении всей истории человечества и истории Бразилии, а также Конституция штата Баия, требующая включения в программы школ штата, учебных и специальных курсов для гражданских служащих и военнослужащих материалов, освещающих участие чернокожего населения в историческом развитии бразильского общества.</w:t>
      </w:r>
    </w:p>
    <w:p w:rsidR="00000000" w:rsidRDefault="00000000"/>
    <w:p w:rsidR="00000000" w:rsidRDefault="00000000">
      <w:r>
        <w:t>182.</w:t>
      </w:r>
      <w:r>
        <w:tab/>
        <w:t>К этому также следует добавить статью 209 Конституции штата Риу-Гранди-ду-Сул, которая поощряет языковое многообразие в школах в том объеме в который это отвечает широкому спросу заинтересованных сторон или различных этнических групп.  И, наконец, следует упомянуть Конституцию штата Пара (статья 336), требующую принятия корректирующих мер в качестве средства преодоления существующего неравенства и создания системы льгот для подвергаемых дискриминации лиц, в рамках которой основное внимание уделяется доступу этих лиц к рынку труда, образованию, здравоохранению, а также осуществлению ими своих социальных прав.</w:t>
      </w:r>
    </w:p>
    <w:p w:rsidR="00000000" w:rsidRDefault="00000000"/>
    <w:p w:rsidR="00000000" w:rsidRDefault="00000000">
      <w:r>
        <w:rPr>
          <w:b/>
          <w:bCs/>
          <w:i/>
          <w:iCs/>
        </w:rPr>
        <w:t>Киломбо</w:t>
      </w:r>
      <w:r>
        <w:rPr>
          <w:b/>
          <w:bCs/>
        </w:rPr>
        <w:t xml:space="preserve"> (общины беглых рабов)</w:t>
      </w:r>
    </w:p>
    <w:p w:rsidR="00000000" w:rsidRDefault="00000000"/>
    <w:p w:rsidR="00000000" w:rsidRDefault="00000000">
      <w:r>
        <w:t>183.</w:t>
      </w:r>
      <w:r>
        <w:tab/>
        <w:t>Как уже говорилось выше, в статье 215 Конституции 1988 года указывается, что государство должно гарантировать возможность осуществления культурных прав, обеспечивать доступ к источникам национальной культуры, а также поддерживать и поощрять восприятие и распространение различных достижений культуры.  В пункте 1 той же статьи провозглашается, что государство "должно обеспечивать защиту культурного самовыражения населения, групп коренных народов и афробразильцев, а также иных групп, участвующих в процессе формирования национальной культуры".  В связи с этим статья 216 признает, что наследие Бразилии включает в себя "достояние материальной и нематериальной культуры в форме отдельных элементов или в целом, которое имеет отношение к национальной принадлежности, развитию и истории различных групп, формирующих бразильское общество".  Пункт 5 статьи 216 постановляет, что "все документы и памятники, напоминающие о прежних общинах беглых рабов, должны охраняться как национальное наследие".</w:t>
      </w:r>
    </w:p>
    <w:p w:rsidR="00000000" w:rsidRDefault="00000000"/>
    <w:p w:rsidR="00000000" w:rsidRDefault="00000000">
      <w:r>
        <w:t>184.</w:t>
      </w:r>
      <w:r>
        <w:tab/>
        <w:t>На протяжении всей истории рабства в Бразилии беглые рабы формировали общины, известные под названием "киломбо".  Одной из самых крупных и известных общин является Пальмарес Киломбо, находящаяся между штатами Алагоас и Пернамбуку, куда в ХVII веке стекались тысячи людей.  Основным их лидером был Зумби.  Многие общины киломбо были уничтожены белыми поселенцами.  Другим же удалось выжить и сохранить уникальную социальную организацию и культурную самобытность.</w:t>
      </w:r>
    </w:p>
    <w:p w:rsidR="00000000" w:rsidRDefault="00000000"/>
    <w:p w:rsidR="00000000" w:rsidRDefault="00000000">
      <w:r>
        <w:t>185.</w:t>
      </w:r>
      <w:r>
        <w:tab/>
        <w:t>Статья 68 Закона о временных конституционных положениях Конституции 1988 года гласит, что в соответствии со статьями 215 и 216 "окончательное право владения остается за членами общин беглых рабов, проживающими на своих землях, и государство должно выдать им соответствующие титулы на право земельной собственности".</w:t>
      </w:r>
    </w:p>
    <w:p w:rsidR="00000000" w:rsidRDefault="00000000"/>
    <w:p w:rsidR="00000000" w:rsidRDefault="00000000">
      <w:r>
        <w:t>186.</w:t>
      </w:r>
      <w:r>
        <w:tab/>
        <w:t>По информации Культурного фонда Пальмарес в рамках министерства культуры, в марте 2000 года (</w:t>
      </w:r>
      <w:r>
        <w:rPr>
          <w:lang w:val="en-US"/>
        </w:rPr>
        <w:t>Folha</w:t>
      </w:r>
      <w:r>
        <w:t xml:space="preserve"> </w:t>
      </w:r>
      <w:r>
        <w:rPr>
          <w:lang w:val="en-US"/>
        </w:rPr>
        <w:t>de</w:t>
      </w:r>
      <w:r>
        <w:t xml:space="preserve"> </w:t>
      </w:r>
      <w:r>
        <w:rPr>
          <w:lang w:val="en-US"/>
        </w:rPr>
        <w:t>S</w:t>
      </w:r>
      <w:r>
        <w:t>ã</w:t>
      </w:r>
      <w:r>
        <w:rPr>
          <w:lang w:val="en-US"/>
        </w:rPr>
        <w:t>o</w:t>
      </w:r>
      <w:r>
        <w:t xml:space="preserve"> </w:t>
      </w:r>
      <w:r>
        <w:rPr>
          <w:lang w:val="en-US"/>
        </w:rPr>
        <w:t>Paulo</w:t>
      </w:r>
      <w:r>
        <w:t>, 12 марта 2000 года) в стране насчитывалось 724 территории, принадлежавшие общинам беглых рабов, на которых проживало 80 000 человек.  Распределение этих территорий по территории Бразилии показано на приводимой ниже таблице 1.</w:t>
      </w:r>
    </w:p>
    <w:p w:rsidR="00000000" w:rsidRDefault="00000000"/>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Распределение общин беглых рабов по территории Бразилии на основе данных, полученных от штатов и регионов (2000 год)</w:t>
      </w:r>
    </w:p>
    <w:p w:rsidR="00000000" w:rsidRDefault="00000000">
      <w:pPr>
        <w:jc w:val="center"/>
      </w:pPr>
    </w:p>
    <w:tbl>
      <w:tblPr>
        <w:tblW w:w="4286" w:type="pct"/>
        <w:jc w:val="center"/>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4"/>
        <w:gridCol w:w="4059"/>
      </w:tblGrid>
      <w:tr w:rsidR="00000000">
        <w:tblPrEx>
          <w:tblCellMar>
            <w:top w:w="0" w:type="dxa"/>
            <w:bottom w:w="0" w:type="dxa"/>
          </w:tblCellMar>
        </w:tblPrEx>
        <w:trPr>
          <w:tblHeader/>
          <w:jc w:val="center"/>
        </w:trPr>
        <w:tc>
          <w:tcPr>
            <w:tcW w:w="2526" w:type="pct"/>
          </w:tcPr>
          <w:p w:rsidR="00000000" w:rsidRDefault="00000000">
            <w:pPr>
              <w:jc w:val="center"/>
              <w:rPr>
                <w:b/>
                <w:bCs/>
              </w:rPr>
            </w:pPr>
            <w:r>
              <w:rPr>
                <w:b/>
                <w:bCs/>
              </w:rPr>
              <w:t>Штат</w:t>
            </w:r>
          </w:p>
        </w:tc>
        <w:tc>
          <w:tcPr>
            <w:tcW w:w="2474" w:type="pct"/>
          </w:tcPr>
          <w:p w:rsidR="00000000" w:rsidRDefault="00000000">
            <w:pPr>
              <w:jc w:val="center"/>
              <w:rPr>
                <w:b/>
                <w:bCs/>
              </w:rPr>
            </w:pPr>
            <w:r>
              <w:rPr>
                <w:b/>
                <w:bCs/>
              </w:rPr>
              <w:t>Число участков</w:t>
            </w:r>
          </w:p>
        </w:tc>
      </w:tr>
      <w:tr w:rsidR="00000000">
        <w:tblPrEx>
          <w:tblCellMar>
            <w:top w:w="0" w:type="dxa"/>
            <w:bottom w:w="0" w:type="dxa"/>
          </w:tblCellMar>
        </w:tblPrEx>
        <w:trPr>
          <w:jc w:val="center"/>
        </w:trPr>
        <w:tc>
          <w:tcPr>
            <w:tcW w:w="2526" w:type="pct"/>
          </w:tcPr>
          <w:p w:rsidR="00000000" w:rsidRDefault="00000000">
            <w:r>
              <w:t>Акри</w:t>
            </w:r>
          </w:p>
        </w:tc>
        <w:tc>
          <w:tcPr>
            <w:tcW w:w="2474" w:type="pct"/>
          </w:tcPr>
          <w:p w:rsidR="00000000" w:rsidRDefault="00000000">
            <w:pPr>
              <w:jc w:val="center"/>
            </w:pPr>
            <w:r>
              <w:t>-</w:t>
            </w:r>
          </w:p>
        </w:tc>
      </w:tr>
      <w:tr w:rsidR="00000000">
        <w:tblPrEx>
          <w:tblCellMar>
            <w:top w:w="0" w:type="dxa"/>
            <w:bottom w:w="0" w:type="dxa"/>
          </w:tblCellMar>
        </w:tblPrEx>
        <w:trPr>
          <w:jc w:val="center"/>
        </w:trPr>
        <w:tc>
          <w:tcPr>
            <w:tcW w:w="2526" w:type="pct"/>
          </w:tcPr>
          <w:p w:rsidR="00000000" w:rsidRDefault="00000000">
            <w:r>
              <w:t>Амазонас</w:t>
            </w:r>
          </w:p>
        </w:tc>
        <w:tc>
          <w:tcPr>
            <w:tcW w:w="2474" w:type="pct"/>
          </w:tcPr>
          <w:p w:rsidR="00000000" w:rsidRDefault="00000000">
            <w:pPr>
              <w:jc w:val="center"/>
            </w:pPr>
            <w:r>
              <w:t>1</w:t>
            </w:r>
          </w:p>
        </w:tc>
      </w:tr>
      <w:tr w:rsidR="00000000">
        <w:tblPrEx>
          <w:tblCellMar>
            <w:top w:w="0" w:type="dxa"/>
            <w:bottom w:w="0" w:type="dxa"/>
          </w:tblCellMar>
        </w:tblPrEx>
        <w:trPr>
          <w:jc w:val="center"/>
        </w:trPr>
        <w:tc>
          <w:tcPr>
            <w:tcW w:w="2526" w:type="pct"/>
          </w:tcPr>
          <w:p w:rsidR="00000000" w:rsidRDefault="00000000">
            <w:r>
              <w:t>Амапа</w:t>
            </w:r>
          </w:p>
        </w:tc>
        <w:tc>
          <w:tcPr>
            <w:tcW w:w="2474" w:type="pct"/>
          </w:tcPr>
          <w:p w:rsidR="00000000" w:rsidRDefault="00000000">
            <w:pPr>
              <w:jc w:val="center"/>
            </w:pPr>
            <w:r>
              <w:t>1</w:t>
            </w:r>
          </w:p>
        </w:tc>
      </w:tr>
      <w:tr w:rsidR="00000000">
        <w:tblPrEx>
          <w:tblCellMar>
            <w:top w:w="0" w:type="dxa"/>
            <w:bottom w:w="0" w:type="dxa"/>
          </w:tblCellMar>
        </w:tblPrEx>
        <w:trPr>
          <w:jc w:val="center"/>
        </w:trPr>
        <w:tc>
          <w:tcPr>
            <w:tcW w:w="2526" w:type="pct"/>
          </w:tcPr>
          <w:p w:rsidR="00000000" w:rsidRDefault="00000000">
            <w:r>
              <w:t>Пара</w:t>
            </w:r>
          </w:p>
        </w:tc>
        <w:tc>
          <w:tcPr>
            <w:tcW w:w="2474" w:type="pct"/>
          </w:tcPr>
          <w:p w:rsidR="00000000" w:rsidRDefault="00000000">
            <w:pPr>
              <w:jc w:val="center"/>
            </w:pPr>
            <w:r>
              <w:t>36</w:t>
            </w:r>
          </w:p>
        </w:tc>
      </w:tr>
      <w:tr w:rsidR="00000000">
        <w:tblPrEx>
          <w:tblCellMar>
            <w:top w:w="0" w:type="dxa"/>
            <w:bottom w:w="0" w:type="dxa"/>
          </w:tblCellMar>
        </w:tblPrEx>
        <w:trPr>
          <w:jc w:val="center"/>
        </w:trPr>
        <w:tc>
          <w:tcPr>
            <w:tcW w:w="2526" w:type="pct"/>
          </w:tcPr>
          <w:p w:rsidR="00000000" w:rsidRDefault="00000000">
            <w:r>
              <w:t>Рондония</w:t>
            </w:r>
          </w:p>
        </w:tc>
        <w:tc>
          <w:tcPr>
            <w:tcW w:w="2474" w:type="pct"/>
          </w:tcPr>
          <w:p w:rsidR="00000000" w:rsidRDefault="00000000">
            <w:pPr>
              <w:jc w:val="center"/>
            </w:pPr>
            <w:r>
              <w:t>2</w:t>
            </w:r>
          </w:p>
        </w:tc>
      </w:tr>
      <w:tr w:rsidR="00000000">
        <w:tblPrEx>
          <w:tblCellMar>
            <w:top w:w="0" w:type="dxa"/>
            <w:bottom w:w="0" w:type="dxa"/>
          </w:tblCellMar>
        </w:tblPrEx>
        <w:trPr>
          <w:jc w:val="center"/>
        </w:trPr>
        <w:tc>
          <w:tcPr>
            <w:tcW w:w="2526" w:type="pct"/>
          </w:tcPr>
          <w:p w:rsidR="00000000" w:rsidRDefault="00000000">
            <w:r>
              <w:t>Рорайма</w:t>
            </w:r>
          </w:p>
        </w:tc>
        <w:tc>
          <w:tcPr>
            <w:tcW w:w="2474" w:type="pct"/>
          </w:tcPr>
          <w:p w:rsidR="00000000" w:rsidRDefault="00000000">
            <w:pPr>
              <w:jc w:val="center"/>
            </w:pPr>
            <w:r>
              <w:t>-</w:t>
            </w:r>
          </w:p>
        </w:tc>
      </w:tr>
      <w:tr w:rsidR="00000000">
        <w:tblPrEx>
          <w:tblCellMar>
            <w:top w:w="0" w:type="dxa"/>
            <w:bottom w:w="0" w:type="dxa"/>
          </w:tblCellMar>
        </w:tblPrEx>
        <w:trPr>
          <w:jc w:val="center"/>
        </w:trPr>
        <w:tc>
          <w:tcPr>
            <w:tcW w:w="2526" w:type="pct"/>
          </w:tcPr>
          <w:p w:rsidR="00000000" w:rsidRDefault="00000000">
            <w:r>
              <w:t>Токантис</w:t>
            </w:r>
          </w:p>
        </w:tc>
        <w:tc>
          <w:tcPr>
            <w:tcW w:w="2474" w:type="pct"/>
          </w:tcPr>
          <w:p w:rsidR="00000000" w:rsidRDefault="00000000">
            <w:pPr>
              <w:jc w:val="center"/>
            </w:pPr>
            <w:r>
              <w:t>1</w:t>
            </w:r>
          </w:p>
        </w:tc>
      </w:tr>
      <w:tr w:rsidR="00000000">
        <w:tblPrEx>
          <w:tblCellMar>
            <w:top w:w="0" w:type="dxa"/>
            <w:bottom w:w="0" w:type="dxa"/>
          </w:tblCellMar>
        </w:tblPrEx>
        <w:trPr>
          <w:jc w:val="center"/>
        </w:trPr>
        <w:tc>
          <w:tcPr>
            <w:tcW w:w="2526" w:type="pct"/>
          </w:tcPr>
          <w:p w:rsidR="00000000" w:rsidRDefault="00000000">
            <w:r>
              <w:t>Алагоас</w:t>
            </w:r>
          </w:p>
        </w:tc>
        <w:tc>
          <w:tcPr>
            <w:tcW w:w="2474" w:type="pct"/>
          </w:tcPr>
          <w:p w:rsidR="00000000" w:rsidRDefault="00000000">
            <w:pPr>
              <w:jc w:val="center"/>
            </w:pPr>
            <w:r>
              <w:t>10</w:t>
            </w:r>
          </w:p>
        </w:tc>
      </w:tr>
      <w:tr w:rsidR="00000000">
        <w:tblPrEx>
          <w:tblCellMar>
            <w:top w:w="0" w:type="dxa"/>
            <w:bottom w:w="0" w:type="dxa"/>
          </w:tblCellMar>
        </w:tblPrEx>
        <w:trPr>
          <w:jc w:val="center"/>
        </w:trPr>
        <w:tc>
          <w:tcPr>
            <w:tcW w:w="2526" w:type="pct"/>
          </w:tcPr>
          <w:p w:rsidR="00000000" w:rsidRDefault="00000000">
            <w:r>
              <w:t>Баия</w:t>
            </w:r>
          </w:p>
        </w:tc>
        <w:tc>
          <w:tcPr>
            <w:tcW w:w="2474" w:type="pct"/>
          </w:tcPr>
          <w:p w:rsidR="00000000" w:rsidRDefault="00000000">
            <w:pPr>
              <w:jc w:val="center"/>
            </w:pPr>
            <w:r>
              <w:t>245</w:t>
            </w:r>
          </w:p>
        </w:tc>
      </w:tr>
      <w:tr w:rsidR="00000000">
        <w:tblPrEx>
          <w:tblCellMar>
            <w:top w:w="0" w:type="dxa"/>
            <w:bottom w:w="0" w:type="dxa"/>
          </w:tblCellMar>
        </w:tblPrEx>
        <w:trPr>
          <w:jc w:val="center"/>
        </w:trPr>
        <w:tc>
          <w:tcPr>
            <w:tcW w:w="2526" w:type="pct"/>
          </w:tcPr>
          <w:p w:rsidR="00000000" w:rsidRDefault="00000000">
            <w:r>
              <w:t>Сеара</w:t>
            </w:r>
          </w:p>
        </w:tc>
        <w:tc>
          <w:tcPr>
            <w:tcW w:w="2474" w:type="pct"/>
          </w:tcPr>
          <w:p w:rsidR="00000000" w:rsidRDefault="00000000">
            <w:pPr>
              <w:jc w:val="center"/>
            </w:pPr>
            <w:r>
              <w:t>5</w:t>
            </w:r>
          </w:p>
        </w:tc>
      </w:tr>
      <w:tr w:rsidR="00000000">
        <w:tblPrEx>
          <w:tblCellMar>
            <w:top w:w="0" w:type="dxa"/>
            <w:bottom w:w="0" w:type="dxa"/>
          </w:tblCellMar>
        </w:tblPrEx>
        <w:trPr>
          <w:jc w:val="center"/>
        </w:trPr>
        <w:tc>
          <w:tcPr>
            <w:tcW w:w="2526" w:type="pct"/>
          </w:tcPr>
          <w:p w:rsidR="00000000" w:rsidRDefault="00000000">
            <w:r>
              <w:t>Мараньян</w:t>
            </w:r>
          </w:p>
        </w:tc>
        <w:tc>
          <w:tcPr>
            <w:tcW w:w="2474" w:type="pct"/>
          </w:tcPr>
          <w:p w:rsidR="00000000" w:rsidRDefault="00000000">
            <w:pPr>
              <w:jc w:val="center"/>
            </w:pPr>
            <w:r>
              <w:t>172</w:t>
            </w:r>
          </w:p>
        </w:tc>
      </w:tr>
      <w:tr w:rsidR="00000000">
        <w:tblPrEx>
          <w:tblCellMar>
            <w:top w:w="0" w:type="dxa"/>
            <w:bottom w:w="0" w:type="dxa"/>
          </w:tblCellMar>
        </w:tblPrEx>
        <w:trPr>
          <w:jc w:val="center"/>
        </w:trPr>
        <w:tc>
          <w:tcPr>
            <w:tcW w:w="2526" w:type="pct"/>
          </w:tcPr>
          <w:p w:rsidR="00000000" w:rsidRDefault="00000000">
            <w:r>
              <w:t>Парайба</w:t>
            </w:r>
          </w:p>
        </w:tc>
        <w:tc>
          <w:tcPr>
            <w:tcW w:w="2474" w:type="pct"/>
          </w:tcPr>
          <w:p w:rsidR="00000000" w:rsidRDefault="00000000">
            <w:pPr>
              <w:jc w:val="center"/>
            </w:pPr>
            <w:r>
              <w:t>13</w:t>
            </w:r>
          </w:p>
        </w:tc>
      </w:tr>
      <w:tr w:rsidR="00000000">
        <w:tblPrEx>
          <w:tblCellMar>
            <w:top w:w="0" w:type="dxa"/>
            <w:bottom w:w="0" w:type="dxa"/>
          </w:tblCellMar>
        </w:tblPrEx>
        <w:trPr>
          <w:jc w:val="center"/>
        </w:trPr>
        <w:tc>
          <w:tcPr>
            <w:tcW w:w="2526" w:type="pct"/>
          </w:tcPr>
          <w:p w:rsidR="00000000" w:rsidRDefault="00000000">
            <w:r>
              <w:t>Пернамбуку</w:t>
            </w:r>
          </w:p>
        </w:tc>
        <w:tc>
          <w:tcPr>
            <w:tcW w:w="2474" w:type="pct"/>
          </w:tcPr>
          <w:p w:rsidR="00000000" w:rsidRDefault="00000000">
            <w:pPr>
              <w:jc w:val="center"/>
            </w:pPr>
            <w:r>
              <w:t>15</w:t>
            </w:r>
          </w:p>
        </w:tc>
      </w:tr>
      <w:tr w:rsidR="00000000">
        <w:tblPrEx>
          <w:tblCellMar>
            <w:top w:w="0" w:type="dxa"/>
            <w:bottom w:w="0" w:type="dxa"/>
          </w:tblCellMar>
        </w:tblPrEx>
        <w:trPr>
          <w:jc w:val="center"/>
        </w:trPr>
        <w:tc>
          <w:tcPr>
            <w:tcW w:w="2526" w:type="pct"/>
          </w:tcPr>
          <w:p w:rsidR="00000000" w:rsidRDefault="00000000">
            <w:r>
              <w:t>Пиауи</w:t>
            </w:r>
          </w:p>
        </w:tc>
        <w:tc>
          <w:tcPr>
            <w:tcW w:w="2474" w:type="pct"/>
          </w:tcPr>
          <w:p w:rsidR="00000000" w:rsidRDefault="00000000">
            <w:pPr>
              <w:jc w:val="center"/>
            </w:pPr>
            <w:r>
              <w:t>25</w:t>
            </w:r>
          </w:p>
        </w:tc>
      </w:tr>
      <w:tr w:rsidR="00000000">
        <w:tblPrEx>
          <w:tblCellMar>
            <w:top w:w="0" w:type="dxa"/>
            <w:bottom w:w="0" w:type="dxa"/>
          </w:tblCellMar>
        </w:tblPrEx>
        <w:trPr>
          <w:jc w:val="center"/>
        </w:trPr>
        <w:tc>
          <w:tcPr>
            <w:tcW w:w="2526" w:type="pct"/>
          </w:tcPr>
          <w:p w:rsidR="00000000" w:rsidRDefault="00000000">
            <w:r>
              <w:t>Риу-Гранди-ду-Норти</w:t>
            </w:r>
          </w:p>
        </w:tc>
        <w:tc>
          <w:tcPr>
            <w:tcW w:w="2474" w:type="pct"/>
          </w:tcPr>
          <w:p w:rsidR="00000000" w:rsidRDefault="00000000">
            <w:pPr>
              <w:jc w:val="center"/>
            </w:pPr>
            <w:r>
              <w:t>15</w:t>
            </w:r>
          </w:p>
        </w:tc>
      </w:tr>
      <w:tr w:rsidR="00000000">
        <w:tblPrEx>
          <w:tblCellMar>
            <w:top w:w="0" w:type="dxa"/>
            <w:bottom w:w="0" w:type="dxa"/>
          </w:tblCellMar>
        </w:tblPrEx>
        <w:trPr>
          <w:jc w:val="center"/>
        </w:trPr>
        <w:tc>
          <w:tcPr>
            <w:tcW w:w="2526" w:type="pct"/>
          </w:tcPr>
          <w:p w:rsidR="00000000" w:rsidRDefault="00000000">
            <w:r>
              <w:t>Сержипи</w:t>
            </w:r>
          </w:p>
        </w:tc>
        <w:tc>
          <w:tcPr>
            <w:tcW w:w="2474" w:type="pct"/>
          </w:tcPr>
          <w:p w:rsidR="00000000" w:rsidRDefault="00000000">
            <w:pPr>
              <w:jc w:val="center"/>
            </w:pPr>
            <w:r>
              <w:t>23</w:t>
            </w:r>
          </w:p>
        </w:tc>
      </w:tr>
      <w:tr w:rsidR="00000000">
        <w:tblPrEx>
          <w:tblCellMar>
            <w:top w:w="0" w:type="dxa"/>
            <w:bottom w:w="0" w:type="dxa"/>
          </w:tblCellMar>
        </w:tblPrEx>
        <w:trPr>
          <w:jc w:val="center"/>
        </w:trPr>
        <w:tc>
          <w:tcPr>
            <w:tcW w:w="2526" w:type="pct"/>
          </w:tcPr>
          <w:p w:rsidR="00000000" w:rsidRDefault="00000000">
            <w:r>
              <w:t>Северо-восточный регион</w:t>
            </w:r>
          </w:p>
        </w:tc>
        <w:tc>
          <w:tcPr>
            <w:tcW w:w="2474" w:type="pct"/>
          </w:tcPr>
          <w:p w:rsidR="00000000" w:rsidRDefault="00000000">
            <w:pPr>
              <w:jc w:val="center"/>
            </w:pPr>
            <w:r>
              <w:t>523</w:t>
            </w:r>
          </w:p>
        </w:tc>
      </w:tr>
      <w:tr w:rsidR="00000000">
        <w:tblPrEx>
          <w:tblCellMar>
            <w:top w:w="0" w:type="dxa"/>
            <w:bottom w:w="0" w:type="dxa"/>
          </w:tblCellMar>
        </w:tblPrEx>
        <w:trPr>
          <w:jc w:val="center"/>
        </w:trPr>
        <w:tc>
          <w:tcPr>
            <w:tcW w:w="2526" w:type="pct"/>
          </w:tcPr>
          <w:p w:rsidR="00000000" w:rsidRDefault="00000000">
            <w:r>
              <w:t>Эспириту-Санту</w:t>
            </w:r>
          </w:p>
        </w:tc>
        <w:tc>
          <w:tcPr>
            <w:tcW w:w="2474" w:type="pct"/>
          </w:tcPr>
          <w:p w:rsidR="00000000" w:rsidRDefault="00000000">
            <w:pPr>
              <w:jc w:val="center"/>
            </w:pPr>
            <w:r>
              <w:t>15</w:t>
            </w:r>
          </w:p>
        </w:tc>
      </w:tr>
      <w:tr w:rsidR="00000000">
        <w:tblPrEx>
          <w:tblCellMar>
            <w:top w:w="0" w:type="dxa"/>
            <w:bottom w:w="0" w:type="dxa"/>
          </w:tblCellMar>
        </w:tblPrEx>
        <w:trPr>
          <w:jc w:val="center"/>
        </w:trPr>
        <w:tc>
          <w:tcPr>
            <w:tcW w:w="2526" w:type="pct"/>
          </w:tcPr>
          <w:p w:rsidR="00000000" w:rsidRDefault="00000000">
            <w:r>
              <w:t>Минас-Жерайс</w:t>
            </w:r>
          </w:p>
        </w:tc>
        <w:tc>
          <w:tcPr>
            <w:tcW w:w="2474" w:type="pct"/>
          </w:tcPr>
          <w:p w:rsidR="00000000" w:rsidRDefault="00000000">
            <w:pPr>
              <w:jc w:val="center"/>
            </w:pPr>
            <w:r>
              <w:t>69</w:t>
            </w:r>
          </w:p>
        </w:tc>
      </w:tr>
      <w:tr w:rsidR="00000000">
        <w:tblPrEx>
          <w:tblCellMar>
            <w:top w:w="0" w:type="dxa"/>
            <w:bottom w:w="0" w:type="dxa"/>
          </w:tblCellMar>
        </w:tblPrEx>
        <w:trPr>
          <w:jc w:val="center"/>
        </w:trPr>
        <w:tc>
          <w:tcPr>
            <w:tcW w:w="2526" w:type="pct"/>
          </w:tcPr>
          <w:p w:rsidR="00000000" w:rsidRDefault="00000000">
            <w:r>
              <w:t>Рио-де-Жанейро</w:t>
            </w:r>
          </w:p>
        </w:tc>
        <w:tc>
          <w:tcPr>
            <w:tcW w:w="2474" w:type="pct"/>
          </w:tcPr>
          <w:p w:rsidR="00000000" w:rsidRDefault="00000000">
            <w:pPr>
              <w:jc w:val="center"/>
            </w:pPr>
            <w:r>
              <w:t>14</w:t>
            </w:r>
          </w:p>
        </w:tc>
      </w:tr>
      <w:tr w:rsidR="00000000">
        <w:tblPrEx>
          <w:tblCellMar>
            <w:top w:w="0" w:type="dxa"/>
            <w:bottom w:w="0" w:type="dxa"/>
          </w:tblCellMar>
        </w:tblPrEx>
        <w:trPr>
          <w:jc w:val="center"/>
        </w:trPr>
        <w:tc>
          <w:tcPr>
            <w:tcW w:w="2526" w:type="pct"/>
          </w:tcPr>
          <w:p w:rsidR="00000000" w:rsidRDefault="00000000">
            <w:r>
              <w:t>Сан-Паулу</w:t>
            </w:r>
          </w:p>
        </w:tc>
        <w:tc>
          <w:tcPr>
            <w:tcW w:w="2474" w:type="pct"/>
          </w:tcPr>
          <w:p w:rsidR="00000000" w:rsidRDefault="00000000">
            <w:pPr>
              <w:jc w:val="center"/>
            </w:pPr>
            <w:r>
              <w:t>33</w:t>
            </w:r>
          </w:p>
        </w:tc>
      </w:tr>
      <w:tr w:rsidR="00000000">
        <w:tblPrEx>
          <w:tblCellMar>
            <w:top w:w="0" w:type="dxa"/>
            <w:bottom w:w="0" w:type="dxa"/>
          </w:tblCellMar>
        </w:tblPrEx>
        <w:trPr>
          <w:jc w:val="center"/>
        </w:trPr>
        <w:tc>
          <w:tcPr>
            <w:tcW w:w="2526" w:type="pct"/>
          </w:tcPr>
          <w:p w:rsidR="00000000" w:rsidRDefault="00000000">
            <w:r>
              <w:t>Юго-восточный регион</w:t>
            </w:r>
          </w:p>
        </w:tc>
        <w:tc>
          <w:tcPr>
            <w:tcW w:w="2474" w:type="pct"/>
          </w:tcPr>
          <w:p w:rsidR="00000000" w:rsidRDefault="00000000">
            <w:pPr>
              <w:jc w:val="center"/>
            </w:pPr>
            <w:r>
              <w:t>131</w:t>
            </w:r>
          </w:p>
        </w:tc>
      </w:tr>
      <w:tr w:rsidR="00000000">
        <w:tblPrEx>
          <w:tblCellMar>
            <w:top w:w="0" w:type="dxa"/>
            <w:bottom w:w="0" w:type="dxa"/>
          </w:tblCellMar>
        </w:tblPrEx>
        <w:trPr>
          <w:jc w:val="center"/>
        </w:trPr>
        <w:tc>
          <w:tcPr>
            <w:tcW w:w="2526" w:type="pct"/>
          </w:tcPr>
          <w:p w:rsidR="00000000" w:rsidRDefault="00000000">
            <w:r>
              <w:t>Парана</w:t>
            </w:r>
          </w:p>
        </w:tc>
        <w:tc>
          <w:tcPr>
            <w:tcW w:w="2474" w:type="pct"/>
          </w:tcPr>
          <w:p w:rsidR="00000000" w:rsidRDefault="00000000">
            <w:pPr>
              <w:jc w:val="center"/>
            </w:pPr>
            <w:r>
              <w:t>1</w:t>
            </w:r>
          </w:p>
        </w:tc>
      </w:tr>
      <w:tr w:rsidR="00000000">
        <w:tblPrEx>
          <w:tblCellMar>
            <w:top w:w="0" w:type="dxa"/>
            <w:bottom w:w="0" w:type="dxa"/>
          </w:tblCellMar>
        </w:tblPrEx>
        <w:trPr>
          <w:jc w:val="center"/>
        </w:trPr>
        <w:tc>
          <w:tcPr>
            <w:tcW w:w="2526" w:type="pct"/>
          </w:tcPr>
          <w:p w:rsidR="00000000" w:rsidRDefault="00000000">
            <w:r>
              <w:t>Риу-Гранди-ду-Сул</w:t>
            </w:r>
          </w:p>
        </w:tc>
        <w:tc>
          <w:tcPr>
            <w:tcW w:w="2474" w:type="pct"/>
          </w:tcPr>
          <w:p w:rsidR="00000000" w:rsidRDefault="00000000">
            <w:pPr>
              <w:jc w:val="center"/>
            </w:pPr>
            <w:r>
              <w:t>9</w:t>
            </w:r>
          </w:p>
        </w:tc>
      </w:tr>
      <w:tr w:rsidR="00000000">
        <w:tblPrEx>
          <w:tblCellMar>
            <w:top w:w="0" w:type="dxa"/>
            <w:bottom w:w="0" w:type="dxa"/>
          </w:tblCellMar>
        </w:tblPrEx>
        <w:trPr>
          <w:jc w:val="center"/>
        </w:trPr>
        <w:tc>
          <w:tcPr>
            <w:tcW w:w="2526" w:type="pct"/>
          </w:tcPr>
          <w:p w:rsidR="00000000" w:rsidRDefault="00000000">
            <w:r>
              <w:t>Санта-Катарина</w:t>
            </w:r>
          </w:p>
        </w:tc>
        <w:tc>
          <w:tcPr>
            <w:tcW w:w="2474" w:type="pct"/>
          </w:tcPr>
          <w:p w:rsidR="00000000" w:rsidRDefault="00000000">
            <w:pPr>
              <w:jc w:val="center"/>
            </w:pPr>
            <w:r>
              <w:t>4</w:t>
            </w:r>
          </w:p>
        </w:tc>
      </w:tr>
      <w:tr w:rsidR="00000000">
        <w:tblPrEx>
          <w:tblCellMar>
            <w:top w:w="0" w:type="dxa"/>
            <w:bottom w:w="0" w:type="dxa"/>
          </w:tblCellMar>
        </w:tblPrEx>
        <w:trPr>
          <w:jc w:val="center"/>
        </w:trPr>
        <w:tc>
          <w:tcPr>
            <w:tcW w:w="2526" w:type="pct"/>
          </w:tcPr>
          <w:p w:rsidR="00000000" w:rsidRDefault="00000000">
            <w:r>
              <w:t>Южный регион</w:t>
            </w:r>
          </w:p>
        </w:tc>
        <w:tc>
          <w:tcPr>
            <w:tcW w:w="2474" w:type="pct"/>
          </w:tcPr>
          <w:p w:rsidR="00000000" w:rsidRDefault="00000000">
            <w:pPr>
              <w:jc w:val="center"/>
            </w:pPr>
            <w:r>
              <w:t>14</w:t>
            </w:r>
          </w:p>
        </w:tc>
      </w:tr>
      <w:tr w:rsidR="00000000">
        <w:tblPrEx>
          <w:tblCellMar>
            <w:top w:w="0" w:type="dxa"/>
            <w:bottom w:w="0" w:type="dxa"/>
          </w:tblCellMar>
        </w:tblPrEx>
        <w:trPr>
          <w:jc w:val="center"/>
        </w:trPr>
        <w:tc>
          <w:tcPr>
            <w:tcW w:w="2526" w:type="pct"/>
          </w:tcPr>
          <w:p w:rsidR="00000000" w:rsidRDefault="00000000">
            <w:r>
              <w:t>Федеральный округ</w:t>
            </w:r>
          </w:p>
        </w:tc>
        <w:tc>
          <w:tcPr>
            <w:tcW w:w="2474" w:type="pct"/>
          </w:tcPr>
          <w:p w:rsidR="00000000" w:rsidRDefault="00000000">
            <w:pPr>
              <w:jc w:val="center"/>
            </w:pPr>
            <w:r>
              <w:t>-</w:t>
            </w:r>
          </w:p>
        </w:tc>
      </w:tr>
      <w:tr w:rsidR="00000000">
        <w:tblPrEx>
          <w:tblCellMar>
            <w:top w:w="0" w:type="dxa"/>
            <w:bottom w:w="0" w:type="dxa"/>
          </w:tblCellMar>
        </w:tblPrEx>
        <w:trPr>
          <w:jc w:val="center"/>
        </w:trPr>
        <w:tc>
          <w:tcPr>
            <w:tcW w:w="2526" w:type="pct"/>
          </w:tcPr>
          <w:p w:rsidR="00000000" w:rsidRDefault="00000000">
            <w:r>
              <w:t>Гояс</w:t>
            </w:r>
          </w:p>
        </w:tc>
        <w:tc>
          <w:tcPr>
            <w:tcW w:w="2474" w:type="pct"/>
          </w:tcPr>
          <w:p w:rsidR="00000000" w:rsidRDefault="00000000">
            <w:pPr>
              <w:jc w:val="center"/>
            </w:pPr>
            <w:r>
              <w:t>7</w:t>
            </w:r>
          </w:p>
        </w:tc>
      </w:tr>
      <w:tr w:rsidR="00000000">
        <w:tblPrEx>
          <w:tblCellMar>
            <w:top w:w="0" w:type="dxa"/>
            <w:bottom w:w="0" w:type="dxa"/>
          </w:tblCellMar>
        </w:tblPrEx>
        <w:trPr>
          <w:jc w:val="center"/>
        </w:trPr>
        <w:tc>
          <w:tcPr>
            <w:tcW w:w="2526" w:type="pct"/>
          </w:tcPr>
          <w:p w:rsidR="00000000" w:rsidRDefault="00000000">
            <w:r>
              <w:t>Мату-Гросу</w:t>
            </w:r>
          </w:p>
        </w:tc>
        <w:tc>
          <w:tcPr>
            <w:tcW w:w="2474" w:type="pct"/>
          </w:tcPr>
          <w:p w:rsidR="00000000" w:rsidRDefault="00000000">
            <w:pPr>
              <w:jc w:val="center"/>
            </w:pPr>
            <w:r>
              <w:t>2</w:t>
            </w:r>
          </w:p>
        </w:tc>
      </w:tr>
      <w:tr w:rsidR="00000000">
        <w:tblPrEx>
          <w:tblCellMar>
            <w:top w:w="0" w:type="dxa"/>
            <w:bottom w:w="0" w:type="dxa"/>
          </w:tblCellMar>
        </w:tblPrEx>
        <w:trPr>
          <w:jc w:val="center"/>
        </w:trPr>
        <w:tc>
          <w:tcPr>
            <w:tcW w:w="2526" w:type="pct"/>
          </w:tcPr>
          <w:p w:rsidR="00000000" w:rsidRDefault="00000000">
            <w:r>
              <w:t>Мату-Гросу-ду-Сул</w:t>
            </w:r>
          </w:p>
        </w:tc>
        <w:tc>
          <w:tcPr>
            <w:tcW w:w="2474" w:type="pct"/>
          </w:tcPr>
          <w:p w:rsidR="00000000" w:rsidRDefault="00000000">
            <w:pPr>
              <w:jc w:val="center"/>
            </w:pPr>
            <w:r>
              <w:t>6</w:t>
            </w:r>
          </w:p>
        </w:tc>
      </w:tr>
      <w:tr w:rsidR="00000000">
        <w:tblPrEx>
          <w:tblCellMar>
            <w:top w:w="0" w:type="dxa"/>
            <w:bottom w:w="0" w:type="dxa"/>
          </w:tblCellMar>
        </w:tblPrEx>
        <w:trPr>
          <w:jc w:val="center"/>
        </w:trPr>
        <w:tc>
          <w:tcPr>
            <w:tcW w:w="2526" w:type="pct"/>
          </w:tcPr>
          <w:p w:rsidR="00000000" w:rsidRDefault="00000000">
            <w:r>
              <w:t>Центрально-западный регион</w:t>
            </w:r>
          </w:p>
        </w:tc>
        <w:tc>
          <w:tcPr>
            <w:tcW w:w="2474" w:type="pct"/>
          </w:tcPr>
          <w:p w:rsidR="00000000" w:rsidRDefault="00000000">
            <w:pPr>
              <w:jc w:val="center"/>
            </w:pPr>
            <w:r>
              <w:t>15</w:t>
            </w:r>
          </w:p>
        </w:tc>
      </w:tr>
      <w:tr w:rsidR="00000000">
        <w:tblPrEx>
          <w:tblCellMar>
            <w:top w:w="0" w:type="dxa"/>
            <w:bottom w:w="0" w:type="dxa"/>
          </w:tblCellMar>
        </w:tblPrEx>
        <w:trPr>
          <w:jc w:val="center"/>
        </w:trPr>
        <w:tc>
          <w:tcPr>
            <w:tcW w:w="2526" w:type="pct"/>
          </w:tcPr>
          <w:p w:rsidR="00000000" w:rsidRDefault="00000000">
            <w:r>
              <w:t>Всего по Бразилии</w:t>
            </w:r>
          </w:p>
        </w:tc>
        <w:tc>
          <w:tcPr>
            <w:tcW w:w="2474" w:type="pct"/>
          </w:tcPr>
          <w:p w:rsidR="00000000" w:rsidRDefault="00000000">
            <w:pPr>
              <w:jc w:val="center"/>
            </w:pPr>
            <w:r>
              <w:t>724</w:t>
            </w:r>
          </w:p>
        </w:tc>
      </w:tr>
    </w:tbl>
    <w:p w:rsidR="00000000" w:rsidRDefault="00000000">
      <w:pPr>
        <w:rPr>
          <w:i/>
          <w:iCs/>
          <w:lang w:val="en-US"/>
        </w:rPr>
      </w:pPr>
    </w:p>
    <w:p w:rsidR="00000000" w:rsidRDefault="00000000">
      <w:pPr>
        <w:rPr>
          <w:lang w:val="en-US"/>
        </w:rPr>
      </w:pPr>
      <w:r>
        <w:rPr>
          <w:i/>
          <w:iCs/>
          <w:u w:val="single"/>
        </w:rPr>
        <w:t>Источник</w:t>
      </w:r>
      <w:r>
        <w:rPr>
          <w:i/>
          <w:iCs/>
          <w:lang w:val="en-US"/>
        </w:rPr>
        <w:t xml:space="preserve">:  </w:t>
      </w:r>
      <w:r>
        <w:rPr>
          <w:lang w:val="en-US"/>
        </w:rPr>
        <w:t>Fundação Cultural Palmares</w:t>
      </w:r>
      <w:r>
        <w:rPr>
          <w:i/>
          <w:iCs/>
          <w:lang w:val="en-US"/>
        </w:rPr>
        <w:t xml:space="preserve"> (Folha de São Paulo, 12 </w:t>
      </w:r>
      <w:r>
        <w:rPr>
          <w:i/>
          <w:iCs/>
        </w:rPr>
        <w:t>марта</w:t>
      </w:r>
      <w:r>
        <w:rPr>
          <w:i/>
          <w:iCs/>
          <w:lang w:val="en-US"/>
        </w:rPr>
        <w:t xml:space="preserve"> 2000 </w:t>
      </w:r>
      <w:r>
        <w:rPr>
          <w:i/>
          <w:iCs/>
        </w:rPr>
        <w:t>года</w:t>
      </w:r>
      <w:r>
        <w:rPr>
          <w:i/>
          <w:iCs/>
          <w:lang w:val="en-US"/>
        </w:rPr>
        <w:t>).</w:t>
      </w:r>
      <w:r>
        <w:rPr>
          <w:lang w:val="en-US"/>
        </w:rPr>
        <w:t xml:space="preserve"> </w:t>
      </w:r>
    </w:p>
    <w:p w:rsidR="00000000" w:rsidRDefault="00000000">
      <w:pPr>
        <w:rPr>
          <w:lang w:val="en-US"/>
        </w:rPr>
      </w:pPr>
    </w:p>
    <w:p w:rsidR="00000000" w:rsidRDefault="00000000">
      <w:r>
        <w:t>187.</w:t>
      </w:r>
      <w:r>
        <w:tab/>
        <w:t xml:space="preserve">Выявление этих общин началось в 1995 году.  Община Боа-Виста в муниципии Оришимина, расположенной в северной части штата Пара, была первой общиной, получившей в 1995 году постоянный титул на землю.  Из 724 остающихся территорий проживания общин беглых рабов только 31 получила надлежащее признание и только 5 были предоставлены постоянные титулы на землю.  В декабре 1999 года Культурному фонду Пальмарес была поручена задача признания и выдачи бессрочных титулов на оставшиеся земли, принадлежащие общинам беглых рабов.  </w:t>
      </w:r>
    </w:p>
    <w:p w:rsidR="00000000" w:rsidRDefault="00000000"/>
    <w:p w:rsidR="00000000" w:rsidRDefault="00000000">
      <w:r>
        <w:t>188.</w:t>
      </w:r>
      <w:r>
        <w:tab/>
        <w:t>Сан-Паулу является единственным штатом Бразилии, у которого есть программа выявления и развития этих общин, осуществляемая рабочей группой, сформированной правительством в 1997 году со штаб-квартирой в Институте использования земель штата Сан-Паулу (ИТЕСП).  В состав этой группы входят многочисленные представители гражданского общества, а также государственных органов, занимающихся этим вопросом, включая секретариаты штата, Генеральную прокуратуру штата, Совет по защите исторического, археологического и художественного наследия и по вопросам туризма, Совет развития чернокожей общины Сан-Паулу, Форум штата по вопросам общин чернокожих и Подкомиссия для чернокожих членов Комиссии по правам человека при Бразильской ассоциации адвокатов.  Согласно данным Фонда ИТЕСП, в 1999 году в девяти муниципиях штата Сан-Пауло насчитывалось 23 общины беглых рабов, которые размещались на площади в 43 769 га (108 156 акров) и в которых проживало 725 семей.  Из всех выявленных территорий только семь получили официальное признание, и им были выданы земельные титулы.</w:t>
      </w:r>
    </w:p>
    <w:p w:rsidR="00000000" w:rsidRDefault="00000000"/>
    <w:p w:rsidR="00000000" w:rsidRDefault="00000000">
      <w:r>
        <w:t>189.</w:t>
      </w:r>
      <w:r>
        <w:tab/>
        <w:t>В Конституции Бразилии коренным народам посвящена целая глава, где официально признаны социальная организация, обычаи, верования и традиции коренных народов, равно как и их исконные права на земли, которые они исторически занимают.  При этом центральная власть наделяется полномочиями и обязанностями в отношении демаркации, защиты и уважения всей их земельной собственности (статья 231 Федеральной конституции).</w:t>
      </w:r>
    </w:p>
    <w:p w:rsidR="00000000" w:rsidRDefault="00000000"/>
    <w:p w:rsidR="00000000" w:rsidRDefault="00000000">
      <w:r>
        <w:t>190.</w:t>
      </w:r>
      <w:r>
        <w:tab/>
        <w:t>В соответствии с положениями пункта 4 статьи 231 Конституции земли, исторически занимаемые коренными народами, на которых они постоянно проживают, не могут быть отчуждены и переданы в другое пользование, а их права на эти земли носят бессрочный  характер.</w:t>
      </w:r>
    </w:p>
    <w:p w:rsidR="00000000" w:rsidRDefault="00000000"/>
    <w:p w:rsidR="00000000" w:rsidRDefault="00000000">
      <w:r>
        <w:t>191.</w:t>
      </w:r>
      <w:r>
        <w:tab/>
        <w:t>Группы коренных народов не могут быть переселены с их земель, за исключением согласованных</w:t>
      </w:r>
      <w:r>
        <w:rPr>
          <w:i/>
          <w:iCs/>
        </w:rPr>
        <w:t xml:space="preserve"> </w:t>
      </w:r>
      <w:r>
        <w:t>с Национальным конгрессом случаев, когда населению угрожают стихийные бедствия или эпидемии, или когда такие действия диктуются интересами национального суверенитета.  Соответствующие меры принимаются лишь после рассмотрения этого вопроса Национальным конгрессом при условии, что в любом из перечисленных выше случаев такие земли подлежат немедленному возврату после исчезновения угрозы (пункт 5 статьи 231 Федеральной конституции).</w:t>
      </w:r>
    </w:p>
    <w:p w:rsidR="00000000" w:rsidRDefault="00000000"/>
    <w:p w:rsidR="00000000" w:rsidRDefault="00000000">
      <w:r>
        <w:t>192.</w:t>
      </w:r>
      <w:r>
        <w:tab/>
        <w:t xml:space="preserve">В соответствии с пунктом 6 статьи 231 Конституции Бразилии любые действия, направленные на захват, присвоение земель или установление контроля над землями, упомянутыми в статье 231, равно как и эксплуатация природных ресурсов, рек и озер, находящихся на этих землях, объявляются ничтожными и не имеющими юридической силы, за исключением случаев, когда такие действия рассматриваются центральной властью как отвечающие государственным интересам.  В вышеуказанных случаях не предусматривается право на компенсацию или возбуждение судебного иска против федеральных властей в силу признания ничтожности и отсутствия юридической силы соответствующих действий, исключением из которых может быть лишь присвоение земель с целью их последующей добросовестной мелиорации, как это предусмотрено законом.   </w:t>
      </w:r>
    </w:p>
    <w:p w:rsidR="00000000" w:rsidRDefault="00000000"/>
    <w:p w:rsidR="00000000" w:rsidRDefault="00000000">
      <w:r>
        <w:t>193.</w:t>
      </w:r>
      <w:r>
        <w:tab/>
        <w:t>Статьей 232 Федеральной конституции провозглашается, что коренные народы, их общины и организации имеют в соответствии с законом правовой статус, позволяющий им возбуждать судебные иски в целях защиты своих прав и интересов, притом, что во всех процедурных действиях по таким искам участвует Государственная прокуратура.</w:t>
      </w:r>
    </w:p>
    <w:p w:rsidR="00000000" w:rsidRDefault="00000000"/>
    <w:p w:rsidR="00000000" w:rsidRDefault="00000000">
      <w:r>
        <w:t>194.</w:t>
      </w:r>
      <w:r>
        <w:tab/>
        <w:t>Вопрос о коренных народах рассматривается не только во вводной части пункта </w:t>
      </w:r>
      <w:r>
        <w:rPr>
          <w:lang w:val="en-US"/>
        </w:rPr>
        <w:t>VIII</w:t>
      </w:r>
      <w:r>
        <w:t xml:space="preserve"> главы </w:t>
      </w:r>
      <w:r>
        <w:rPr>
          <w:lang w:val="en-US"/>
        </w:rPr>
        <w:t>VIII</w:t>
      </w:r>
      <w:r>
        <w:t xml:space="preserve"> Федеральной конституции.  Он регулируется и другими положениями Конституции.  Что касается компетенции, то центральные власти обладают исключительными правовыми полномочиями и обязанностями по разработке законодательства в отношении коренных народов, как это предусматривается пунктом </w:t>
      </w:r>
      <w:r>
        <w:rPr>
          <w:lang w:val="en-US"/>
        </w:rPr>
        <w:t>XIV</w:t>
      </w:r>
      <w:r>
        <w:t xml:space="preserve"> статьи 22.  Споры, касающиеся прав коренных народов, должны рассматриваться федеральными судами (пункт </w:t>
      </w:r>
      <w:r>
        <w:rPr>
          <w:lang w:val="en-US"/>
        </w:rPr>
        <w:t>XI</w:t>
      </w:r>
      <w:r>
        <w:t xml:space="preserve"> статьи 109).</w:t>
      </w:r>
    </w:p>
    <w:p w:rsidR="00000000" w:rsidRDefault="00000000"/>
    <w:p w:rsidR="00000000" w:rsidRDefault="00000000">
      <w:r>
        <w:t>195.</w:t>
      </w:r>
      <w:r>
        <w:tab/>
        <w:t xml:space="preserve">В числе институциональных функций Государственной прокуратуры стоит упомянуть об обязанности обеспечивать юридическую защиту прав и интересов коренного населения (пункт </w:t>
      </w:r>
      <w:r>
        <w:rPr>
          <w:lang w:val="en-US"/>
        </w:rPr>
        <w:t>V</w:t>
      </w:r>
      <w:r>
        <w:t xml:space="preserve"> статьи 129 Федеральной конституции).</w:t>
      </w:r>
    </w:p>
    <w:p w:rsidR="00000000" w:rsidRDefault="00000000"/>
    <w:p w:rsidR="00000000" w:rsidRDefault="00000000">
      <w:r>
        <w:t>196.</w:t>
      </w:r>
      <w:r>
        <w:tab/>
        <w:t xml:space="preserve">Что касается субконституционной системы, то в пункте 6 статьи </w:t>
      </w:r>
      <w:r>
        <w:rPr>
          <w:lang w:val="en-US"/>
        </w:rPr>
        <w:t>III</w:t>
      </w:r>
      <w:r>
        <w:t xml:space="preserve"> Гражданского кодекса Бразилии указывается, что коренные народы не всегда правоспособны исполнять определенные правовые действия.  Вместе с тем это субконституционное положение противоречит вышеуказанной статье 232 Федеральной конституции, которая узаконивает возможность возбуждения судебных исков представителями коренных народов в целях защиты своих интересов и прав.</w:t>
      </w:r>
    </w:p>
    <w:p w:rsidR="00000000" w:rsidRDefault="00000000"/>
    <w:p w:rsidR="00000000" w:rsidRDefault="00000000">
      <w:r>
        <w:t>197.</w:t>
      </w:r>
      <w:r>
        <w:tab/>
        <w:t>Статья 4 проекта исправлений к Гражданскому кодексу, находящегося в настоящее время на рассмотрении Национального конгресса, постановляет, что правоспособность коренных народов должна определяться и регулироваться специальным законодательством.</w:t>
      </w:r>
    </w:p>
    <w:p w:rsidR="00000000" w:rsidRDefault="00000000"/>
    <w:p w:rsidR="00000000" w:rsidRDefault="00000000">
      <w:r>
        <w:t>198.</w:t>
      </w:r>
      <w:r>
        <w:tab/>
        <w:t>Указом № 3156 от 27 августа 1990 года определены условия предоставления медицинской помощи коренным народам в рамках единой системы здравоохранения.</w:t>
      </w:r>
    </w:p>
    <w:p w:rsidR="00000000" w:rsidRDefault="00000000"/>
    <w:p w:rsidR="00000000" w:rsidRDefault="00000000">
      <w:r>
        <w:t>199.</w:t>
      </w:r>
      <w:r>
        <w:tab/>
        <w:t>В июне 2002 года федеральный сенат находился на заключительной стадии рассмотрения Конвенции Международной организации труда № 169 о коренных народах и народах, ведущих племенной образ жизни в независимых странах.  Ожидается, что в ближайшем будущем это Конвенция будет ратифицирована, согласно рекомендации Комитета по ликвидации расовой дискриминации (</w:t>
      </w:r>
      <w:r>
        <w:rPr>
          <w:lang w:val="fr-CH"/>
        </w:rPr>
        <w:t>CERD</w:t>
      </w:r>
      <w:r>
        <w:t>/</w:t>
      </w:r>
      <w:r>
        <w:rPr>
          <w:lang w:val="fr-CH"/>
        </w:rPr>
        <w:t>C</w:t>
      </w:r>
      <w:r>
        <w:t>/49/</w:t>
      </w:r>
      <w:r>
        <w:rPr>
          <w:lang w:val="fr-CH"/>
        </w:rPr>
        <w:t>Misc</w:t>
      </w:r>
      <w:r>
        <w:t>.9), содержащейся в замечаниях по десятому докладу, представленному Бразилией.  Тем не менее следует отметить, что Бразилия признала права коренных народов на свои земли еще в 1966 году, ратифицировав Конвенцию № 107 МОТ о коренном и другом населении, ведущем племенной образ жизни.</w:t>
      </w:r>
    </w:p>
    <w:p w:rsidR="00000000" w:rsidRDefault="00000000"/>
    <w:p w:rsidR="00000000" w:rsidRDefault="00000000">
      <w:r>
        <w:t>200.</w:t>
      </w:r>
      <w:r>
        <w:tab/>
        <w:t>Подготовка Бразилии к Всемирной конференции по борьбе против расизма, расовой дискриминации, ксенофобии и связанной с ними нетерпимости, состоявшейся в Дурбане, Южная Африка, в 2001 году, способствовала тому, что в стране серьезное внимание было уделено правам коренных народов и сформировано более современное восприятие этого вопросам в рамках гражданского общества.  Правительство Бразилии активно участвовало в переговорах по принятию Международной декларации прав коренных народов и в рамках Организации американских государств - схожей Межамериканской декларации, которая гарантирует права коренных народов.  Бразилия принимала участие в тех и других переговорах, выдвигая конструктивные предложения по защите коренных народов.  В этом контексте министерство иностранных дел Бразилии стремится к расширению диалога не только с правительственными органами, отвечающими за эти вопросы, но и с представителями гражданского общества и руководителями общин коренных народов.</w:t>
      </w:r>
    </w:p>
    <w:p w:rsidR="00000000" w:rsidRDefault="00000000"/>
    <w:p w:rsidR="00000000" w:rsidRDefault="00000000">
      <w:pPr>
        <w:rPr>
          <w:b/>
          <w:bCs/>
        </w:rPr>
      </w:pPr>
      <w:r>
        <w:rPr>
          <w:b/>
          <w:bCs/>
        </w:rPr>
        <w:t>Основные факторы, трудности и действия правительства</w:t>
      </w:r>
    </w:p>
    <w:p w:rsidR="00000000" w:rsidRDefault="00000000">
      <w:pPr>
        <w:rPr>
          <w:b/>
          <w:bCs/>
        </w:rPr>
      </w:pPr>
    </w:p>
    <w:p w:rsidR="00000000" w:rsidRDefault="00000000">
      <w:r>
        <w:t>201.</w:t>
      </w:r>
      <w:r>
        <w:tab/>
        <w:t>Согласно Общенациональному выборочному обследованию домашних хозяйств (ОВОДХ), проведенному БИГС в 1996 году, коренное население составляло 251 422 человека, или примерно 0,2% от общей численности населения страны за этот год, составившей, по оценочным данным, 154 360 589 человек.  Большинство из 200 групп коренных народов сосредоточено в северном и центрально-западном регионах страны.</w:t>
      </w:r>
    </w:p>
    <w:p w:rsidR="00000000" w:rsidRDefault="00000000"/>
    <w:p w:rsidR="00000000" w:rsidRDefault="00000000">
      <w:r>
        <w:t>202.</w:t>
      </w:r>
      <w:r>
        <w:tab/>
        <w:t>Однако данные, представленные Национальным фондом индейцев (ФУНАИ), говорят о том, что численность индейцев составляет 325 652 человека.  Более 50% коренного населения страны сосредоточено в штатах Амазонас, где проживают 89 529 коренных жителей, Мату-Гросу-ду-Сул (45 259 коренных жителей) и Рорайма (37 025 человек).</w:t>
      </w:r>
    </w:p>
    <w:p w:rsidR="00000000" w:rsidRDefault="00000000"/>
    <w:p w:rsidR="00000000" w:rsidRDefault="00000000">
      <w:r>
        <w:t>203.</w:t>
      </w:r>
      <w:r>
        <w:tab/>
        <w:t>В соответствии с Конституцией Бразилии 1988 года государство обязано осуществлять охрану мест проживания общин коренного населения, обеспечивая выявление этих общин и демаркацию границ занимаемых ими земель, тем самым сохраняя целостность самих территорий и проживающих на них коренных народов.  На земли коренных народов приходится 929 209 кв. км (358 769 кв. миль) национальной территории, т.е. 10,8% всей территории страны.  Согласно ФУНАИ, в Бразилии зарегистрирована в общей сложности 561 территория проживания коренных народов, причем 315 из этих территорий площадью в 738 344 кв. км (285 076 кв. миль) были демаркированы, утверждены и зарегистрированы.  Кроме того, 54 территории были лишь делимитированы, 23 - выявлены и 169 территорий еще предстоит выявить.  Из общего числа территорий проживания коренных народов 383 находятся в штатах Амазонии (</w:t>
      </w:r>
      <w:r>
        <w:rPr>
          <w:lang w:val="en-US"/>
        </w:rPr>
        <w:t>Amaz</w:t>
      </w:r>
      <w:r>
        <w:t>ô</w:t>
      </w:r>
      <w:r>
        <w:rPr>
          <w:lang w:val="en-US"/>
        </w:rPr>
        <w:t>nia</w:t>
      </w:r>
      <w:r>
        <w:t xml:space="preserve"> </w:t>
      </w:r>
      <w:r>
        <w:rPr>
          <w:lang w:val="en-US"/>
        </w:rPr>
        <w:t>Legal</w:t>
      </w:r>
      <w:r>
        <w:t>).</w:t>
      </w:r>
    </w:p>
    <w:p w:rsidR="00000000" w:rsidRDefault="00000000"/>
    <w:p w:rsidR="00000000" w:rsidRDefault="00000000">
      <w:r>
        <w:t>204.</w:t>
      </w:r>
      <w:r>
        <w:tab/>
        <w:t>В рамках совместного проекта правительства Бразилии, международного сообщества, неправительственных организаций и организаций коренного населения, известного как Всеобъемлющий проект по охране коренных народов и их земель в штатах Амазонии, были предприняты усилия по развитию и юридической регистрации 151 из 383 территорий проживания коренных народов в штатах Амазонии.  Согласно ФУНАИ, подобным образом была произведена демаркация 39 земель.</w:t>
      </w:r>
    </w:p>
    <w:p w:rsidR="00000000" w:rsidRDefault="00000000"/>
    <w:p w:rsidR="00000000" w:rsidRDefault="00000000">
      <w:r>
        <w:t>205.</w:t>
      </w:r>
      <w:r>
        <w:tab/>
        <w:t xml:space="preserve">В докладе за 1997 год Миссионерского совета коренных народов (КИМИ) по вопросам, связанным с насилием в отношении коренных народов, был перечислен ряд нарушений прав коренных народов, выразившихся в нападениях как на самих людей, так и на их собственность.  Представители коренных народов стали жертвами по меньшей мере 23 нападений, в ходе которых погибли 26 человек;  еще 13 человек стали жертвами покушений на убийство;  было отмечено 15 случаев угрозы смертью в отношении 2 800 человек;  116 лицам были нанесены телесные повреждения;  почти 400 представителей коренных народов стали жертвами принуждения;  и еще 170 человек были незаконно изгнаны со своих исконных территорий.  Помимо этого, имели место и другие многочисленные случаи, включая гибель людей от болезней, бытовое насилие, лишение свободы частными лицами, изнасилования, пытки и даже порабощение.  </w:t>
      </w:r>
    </w:p>
    <w:p w:rsidR="00000000" w:rsidRDefault="00000000"/>
    <w:p w:rsidR="00000000" w:rsidRDefault="00000000">
      <w:r>
        <w:t>206.</w:t>
      </w:r>
      <w:r>
        <w:tab/>
        <w:t xml:space="preserve">Что касается насилия в отношении индейцев, то особого упоминания заслуживает дело Гальдину от 20 апреля 1997 года.  Гальдину Жезуш душ Сантуш, индеец из племени Паташу, спал на автобусной остановке в городе Бразилиа.  Пять юнцов, выходцев из средних слоев общества, облили Гальдину спиртом напитком и подожгли.  Гальдину, приехавший в Бразилиа, чтобы подать петицию об ускорении процедуры признания прав Паташу на их земли, скончался в результате полученных ожогов.  Хотя прокуратура и обвинила этих молодчиков в убийстве, в августе 1997 года председательствующий судья нижней палаты суда, рассматривавшей это дело, квалифицировал это преступление как оскорбление действием, повлекшим за собой смерть.  </w:t>
      </w:r>
    </w:p>
    <w:p w:rsidR="00000000" w:rsidRDefault="00000000"/>
    <w:p w:rsidR="00000000" w:rsidRDefault="00000000">
      <w:r>
        <w:t>207.</w:t>
      </w:r>
      <w:r>
        <w:tab/>
        <w:t xml:space="preserve">Помимо насилия в отношении коренных народов, следует упомянуть и о случаях нападения на собственность коренных народов, включая более 1 700 дел, когда оспаривалась правильность демаркации земель коренных народов;  более 40 дел о незаконной эксплуатации, кражах и грабеже лесоматериалов и десятки других дел, возбужденных в связи с акциями на землях коренных народов, включая браконьерскую охоту и рыбную ловлю, незаконную вырубку лесов, добычу полезных ископаемых, а также захват земель.  Согласно докладу КИМИ, если в 1995 году было отмечено 1,4 случая нападения на собственность коренного населения на каждую единицу земель коренных народов, то в 1996 году этот средний показатель вырос до 3,3 случаев на единицу земель коренных народов.  В ходе нападений было затронуто 113 общин коренного населения и пострадало, по меньшей мере, 90 человек.  </w:t>
      </w:r>
    </w:p>
    <w:p w:rsidR="00000000" w:rsidRDefault="00000000"/>
    <w:p w:rsidR="00000000" w:rsidRDefault="00000000">
      <w:r>
        <w:t>208.</w:t>
      </w:r>
      <w:r>
        <w:tab/>
        <w:t xml:space="preserve">Также важно отметить определенный прогресс, достигнутый после принятия в 1996 году Национальной программы по правам человека, которая предусматривает целый ряд мер, направленных на обеспечение полной защиты коренного населения.  К их числу можно отнести следующее:  объединение деятельности ФУНАИ и Департамента инфекционных заболеваний министерства здравоохранения в целях разработки совместных программ, направленных на профилактику некоторых болезней коренного населения (первые мероприятия проводились в племени Кайапуш штата Амапа);  </w:t>
      </w:r>
      <w:r>
        <w:tab/>
        <w:t>вопрос о 22% земель, принадлежащих коренным народам, который рассматривался напрямую федеральным правительством и в результате чего 36 территорй было зарегистрировано, 11 признано в качестве земель коренных народов, на 56 территориях была произведена демаркация, 13 территорий было делимитировано и четыре территории были выявлены в качестве земель, где проживают коренные народы (в общей сложности 120 территорий, составляющих 44% всех земель коренных народов, которые признаны таковыми федеральными властями);  осуществление Указа № 1775 от 8 января 1996 года и Административного постановления № 14, устанавливающих новый подход к административной демаркации земель коренных народов для избежания случаев оспаривания конституционности ранее демаркированных районов, представляющих существенный интерес;  необходимо отметить и процесс освобождения захваченных земель племени Яномами, который осуществлялся ФУНАИ при поддержке федеральной полиции и вооруженных сил, мобилизовавших для проведения этой операции в феврале 1998 года более 1 000 человек, что позволило вывезти из районов проживания коренных народов в штате Рорайма находившихся там горнорабочих, конфисковать рабочую технику и арестовать свыше 100 человек.</w:t>
      </w:r>
    </w:p>
    <w:p w:rsidR="00000000" w:rsidRDefault="00000000"/>
    <w:p w:rsidR="00000000" w:rsidRDefault="00000000">
      <w:r>
        <w:t>209.</w:t>
      </w:r>
      <w:r>
        <w:tab/>
        <w:t>Меры, принятые благодаря тому вниманию, которое было уделено проблеме коренных народов, можно также продемонстрировать на примере многочисленных законодательных инициатив.  В разделе </w:t>
      </w:r>
      <w:r>
        <w:rPr>
          <w:lang w:val="en-US"/>
        </w:rPr>
        <w:t>XIV</w:t>
      </w:r>
      <w:r>
        <w:t xml:space="preserve"> законопроекта об Уголовном кодексе 1998 года (преступления против демократического государства), в настоящее время рассматриваемого бразильским конгрессом, целая глава посвящена вопросу о преступлениях против общин коренных народов (глава </w:t>
      </w:r>
      <w:r>
        <w:rPr>
          <w:lang w:val="en-US"/>
        </w:rPr>
        <w:t>V</w:t>
      </w:r>
      <w:r>
        <w:t>).  В пяти статьях законопроекта об Уголовном кодексе дается расширенное определение преступлений и перечисляются новые инструменты, помимо уже существующих, которые позволяют обеспечить защиту коренного населения.  Так, статья 4 законопроекта об Уголовном кодексе 1998 года рассматривает вопрос о вторжении на земли коренных народов, квалифицируя его следующим образом:  "Вторжение насильственным путем с использованием серьезных угроз или обмана, осуществляемое двумя и более лицами, на демаркированные земли коренных народов или в резервации в целях их отторжения (</w:t>
      </w:r>
      <w:r>
        <w:rPr>
          <w:lang w:val="en-US"/>
        </w:rPr>
        <w:t>disseisin</w:t>
      </w:r>
      <w:r>
        <w:t>), наказывается тюремным заключением на срок от двух до пяти лет и штрафом в дополнение к наказанию за акт насилия".</w:t>
      </w:r>
    </w:p>
    <w:p w:rsidR="00000000" w:rsidRDefault="00000000"/>
    <w:p w:rsidR="00000000" w:rsidRDefault="00000000">
      <w:r>
        <w:t>210.</w:t>
      </w:r>
      <w:r>
        <w:tab/>
        <w:t xml:space="preserve">Также стоит упомянуть статью 402, которая в качестве преступления квалифицирует незаконное возделывание земель коренных народов или проведение на них изыскательских работ.  "Возделывание земель или проведение изыскательских работ в отношении природных ресурсов без соответствующего разрешения на демаркированных землях коренных народов или в резервациях или же хранение на этих землях оборудования и техники, предназначенных для такой деятельности, наказываются тюремным заключением на срок от двух до пяти лет и штрафом.  Отдельный пункт.  Лица, эксплуатирующие любыми средствами ресурсы почв, рек и озер на демаркированных землях коренных народов или в резервациях или же склоняющие местных жителей к использованию или продаже подобных ресурсов, несут аналогичное наказание".  Со своей стороны, статья 403 содержит положения о действиях, являющихся оскорбительными по отношению к обычаям, относя к числу подлежащих преследованию "публичное высмеивание индейцев по признаку их происхождения, языка, обычаев, верований или культуры;  высмеивание или осквернение предмета, связанного с верованиями, обычаями или культурной традицией коренных народов;  создание препятствий на пути проведения традиционной деятельности индейцев или ее срыв;  использование изображений индейцев, даже с их согласия, для их представления в оскорбительном виде влекут за собой наказание в виде тюремного заключения на срок от одного до девяти месяцев и штрафа.  Отдельный пункт.  Наказание может быть увеличено на одну шестую срока, если подобное деяние совершается с использованием государственных средств массовой информации".  </w:t>
      </w:r>
    </w:p>
    <w:p w:rsidR="00000000" w:rsidRDefault="00000000"/>
    <w:p w:rsidR="00000000" w:rsidRDefault="00000000">
      <w:r>
        <w:t>211.</w:t>
      </w:r>
      <w:r>
        <w:tab/>
        <w:t xml:space="preserve">Статья 404 рассматривает деяния, связанные с развращением несовершеннолетних, и квалифицирует в качестве преступления следующие действия:  "Склонение или подстрекательство члена племенной общины или представителя коренных народов, который не является членом такой общины, к приобретению или потреблению спиртных напитков наказывается тюремным заключением на срок от одного года до четырех лет.  Отдельный пункт.  Лица, продающие, раздающие, поставляющие и распределяющие спиртные напитки среди представителей коренных народов, которые не являются членами племенной общины, несут аналогичное наказание".  И наконец, статья 405 предусматривает увеличение сроков наказания в отношении преступлений, перечисленных в вышеназванных статьях:  "Сроки наказания, предусмотренные в этой главе, могут быть увеличены на одну треть, если виновное лицо являлось сотрудником государственной или частной организации, занимающейся оказанием помощи коренным народам".  </w:t>
      </w:r>
    </w:p>
    <w:p w:rsidR="00000000" w:rsidRDefault="00000000"/>
    <w:p w:rsidR="00000000" w:rsidRDefault="00000000">
      <w:r>
        <w:t>212.</w:t>
      </w:r>
      <w:r>
        <w:tab/>
        <w:t xml:space="preserve">Штаты, входящие в состав Федеративной Республики Бразилия, также принимают меры по расширению защиты коренного населения.  Среди них можно назвать конкретные меры, принятые в штате Сан-Паулу, с тем, чтобы гарантировать коренным народам раздельное школьное обучение (для сохранения их обычаев) с помощью семинаров и программ обучения коренных народов непосредственно в деревнях для учащихся 1-4 классов и в школах штата для учащихся 5-8 классов, и в этой связи обеспечить подготовку 59 преподавателей для работы в деревнях;  организовать обучение языку гуарани в четырех языковых центрах, а также ввести систему оценок и обучение португальскому языку для учащихся 1-4 классов;  содействовать распространению информации о коренных народах и их правах, в основном через средства массовой информации и в школах как средство борьбы против дискриминации и насилия в отношении коренных народов и их культуры;  и наконец, сотрудничать с федеральным правительством в деле оказания чрезвычайной помощи наиболее уязвимым общинам коренного населения штата путем реализации Проекта оказания чрезвычайной помощи коренным народам, в рамках которого осуществляется распределение продовольствия и проведение чрезвычайных программ в области здравоохранения.  </w:t>
      </w:r>
    </w:p>
    <w:p w:rsidR="00000000" w:rsidRDefault="00000000"/>
    <w:p w:rsidR="00000000" w:rsidRDefault="00000000">
      <w:pPr>
        <w:pStyle w:val="10"/>
        <w:rPr>
          <w:bCs/>
        </w:rPr>
      </w:pPr>
      <w:r>
        <w:rPr>
          <w:bCs/>
        </w:rPr>
        <w:t>III.</w:t>
      </w:r>
      <w:r>
        <w:rPr>
          <w:bCs/>
        </w:rPr>
        <w:tab/>
        <w:t>ОБЩИЕ ЗАМЕЧАНИЯ ПО ВОПРОСУ О РАСИЗМЕ И ДИСКРИМИНАЦИИ</w:t>
      </w:r>
    </w:p>
    <w:p w:rsidR="00000000" w:rsidRDefault="00000000">
      <w:pPr>
        <w:pStyle w:val="10"/>
        <w:rPr>
          <w:bCs/>
        </w:rPr>
      </w:pPr>
      <w:r>
        <w:rPr>
          <w:bCs/>
        </w:rPr>
        <w:t>В УСЛОВИЯХ БРАЗИЛЬСКОГО ОБЩЕСТВА</w:t>
      </w:r>
    </w:p>
    <w:p w:rsidR="00000000" w:rsidRDefault="00000000">
      <w:pPr>
        <w:pStyle w:val="10"/>
        <w:rPr>
          <w:bCs/>
        </w:rPr>
      </w:pPr>
    </w:p>
    <w:p w:rsidR="00000000" w:rsidRDefault="00000000">
      <w:r>
        <w:t>213.</w:t>
      </w:r>
      <w:r>
        <w:tab/>
        <w:t>Все международные договоры, устанавливая конкретные задачи в области прав человека, имеют общую цель, заключающуюся в обеспечении принципа равенства и налагающую на государства, которые являются сторонами таких договоров, обязанность обеспечивать свободное и полное осуществление прав человека без какой-либо дискриминации.</w:t>
      </w:r>
    </w:p>
    <w:p w:rsidR="00000000" w:rsidRDefault="00000000"/>
    <w:p w:rsidR="00000000" w:rsidRDefault="00000000">
      <w:r>
        <w:t>214.</w:t>
      </w:r>
      <w:r>
        <w:tab/>
        <w:t>Необходимо отметить, что в соответствии с Национальной программой по правам человека исполнительная власть обладает юридическими полномочиями и обязанностями в отношении содействия широкому распространению информации о международных договорах, ратифицированных Бразилией, посредством публикации, дебатов, семинаров и учебных курсов, подготавливаемых правительством в сотрудничестве с организациями, представляющими гражданское общество.</w:t>
      </w:r>
    </w:p>
    <w:p w:rsidR="00000000" w:rsidRDefault="00000000"/>
    <w:p w:rsidR="00000000" w:rsidRDefault="00000000">
      <w:r>
        <w:t>215.</w:t>
      </w:r>
      <w:r>
        <w:tab/>
        <w:t>Помимо ратификации международных договоров, важно упомянуть, что, приняв Законодательный указ № 89 от 3 декабря 1998 года, Бразилия тем самым признала юрисдикцию Международного суда по правам человека и сделала заявление о полном признании юрисдикции этого органа согласно положениям статьи 62 Американской конвенции.  В 2002 году Бразилия также присоединилась к системе получения сообщений от отдельных лиц, как это предусмотрено статьей 14 Конвенции о ликвидации всех форм расовой дискриминации, и в июле 2002 года заявила о признании механизмов получения индивидуальных сообщений согласно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216.</w:t>
      </w:r>
      <w:r>
        <w:tab/>
        <w:t xml:space="preserve">Правительство Бразилии хотело бы обратить внимание на следующие законы, которые имеют отношение к усилиям по борьбе против расизма и дискриминации:  </w:t>
      </w:r>
    </w:p>
    <w:p w:rsidR="00000000" w:rsidRDefault="00000000"/>
    <w:p w:rsidR="00000000" w:rsidRDefault="00000000">
      <w:r>
        <w:tab/>
        <w:t>а)</w:t>
      </w:r>
      <w:r>
        <w:tab/>
        <w:t>Закон № 7716/89 от 5 января 1989 года, в котором перечисляются преступления, связанные с предрассудками по признаку расы и цвета кожи, а расизм квалифицируется как преступление, не предусматривающее освобождения под залог или поручительство и не имеющее срок исковой давности (до принятия Конституции 1988 года расизм рассматривался как мелкое правонарушение);</w:t>
      </w:r>
    </w:p>
    <w:p w:rsidR="00000000" w:rsidRDefault="00000000"/>
    <w:p w:rsidR="00000000" w:rsidRDefault="00000000">
      <w:r>
        <w:tab/>
      </w:r>
      <w:r>
        <w:rPr>
          <w:lang w:val="en-US"/>
        </w:rPr>
        <w:t>b</w:t>
      </w:r>
      <w:r>
        <w:t>)</w:t>
      </w:r>
      <w:r>
        <w:tab/>
        <w:t>Закон № 8069 от 13 июля 1990 года, в котором содержатся положения о статусе детей и подростков и который считается одним из наиболее передовых законов в данной области, поскольку он предусматривает всестороннюю защиту детей и подростков;</w:t>
      </w:r>
    </w:p>
    <w:p w:rsidR="00000000" w:rsidRDefault="00000000"/>
    <w:p w:rsidR="00000000" w:rsidRDefault="00000000">
      <w:r>
        <w:tab/>
        <w:t>с)</w:t>
      </w:r>
      <w:r>
        <w:tab/>
        <w:t>Закон № 9029 от 13 апреля 1995 года, запрещающий требовать справки о беременности или стерилизации, а также осуществлять другие дискриминационные действия при официальном приеме на работу или для дальнейшего прохождения службы;</w:t>
      </w:r>
    </w:p>
    <w:p w:rsidR="00000000" w:rsidRDefault="00000000"/>
    <w:p w:rsidR="00000000" w:rsidRDefault="00000000">
      <w:r>
        <w:tab/>
      </w:r>
      <w:r>
        <w:rPr>
          <w:lang w:val="en-US"/>
        </w:rPr>
        <w:t>d</w:t>
      </w:r>
      <w:r>
        <w:t>)</w:t>
      </w:r>
      <w:r>
        <w:tab/>
        <w:t>Закон № 9140 от 4 декабря 1995 года, который признает погибшими лиц, исчезнувших в результате их участия или предполагаемого участия в политической деятельности в период со 2 сентября 1961 года по 15 августа 1979 года, возлагая тем самым ответственность за смерть этих лиц на государство и предоставляя компенсацию семьям погибших;</w:t>
      </w:r>
    </w:p>
    <w:p w:rsidR="00000000" w:rsidRDefault="00000000"/>
    <w:p w:rsidR="00000000" w:rsidRDefault="00000000">
      <w:r>
        <w:tab/>
        <w:t>е)</w:t>
      </w:r>
      <w:r>
        <w:tab/>
        <w:t>Закон № 9263 от 2 января 1996 года, который регламентирует применение статьи 226 Федеральной конституции, посвященной планированию семьи;</w:t>
      </w:r>
    </w:p>
    <w:p w:rsidR="00000000" w:rsidRDefault="00000000"/>
    <w:p w:rsidR="00000000" w:rsidRDefault="00000000">
      <w:r>
        <w:tab/>
      </w:r>
      <w:r>
        <w:rPr>
          <w:lang w:val="en-US"/>
        </w:rPr>
        <w:t>f</w:t>
      </w:r>
      <w:r>
        <w:t>)</w:t>
      </w:r>
      <w:r>
        <w:tab/>
        <w:t>Закон № 9265 от 12 февраля 1996 года, который регламентирует применение пункта </w:t>
      </w:r>
      <w:r>
        <w:rPr>
          <w:lang w:val="en-US"/>
        </w:rPr>
        <w:t>LXXVII</w:t>
      </w:r>
      <w:r>
        <w:t xml:space="preserve"> статьи 5 Федеральной конституции, содержащей положения о том, что действия, необходимые для приобретения гражданства, являются бесплатными;</w:t>
      </w:r>
    </w:p>
    <w:p w:rsidR="00000000" w:rsidRDefault="00000000"/>
    <w:p w:rsidR="00000000" w:rsidRDefault="00000000">
      <w:r>
        <w:tab/>
      </w:r>
      <w:r>
        <w:rPr>
          <w:lang w:val="en-US"/>
        </w:rPr>
        <w:t>g</w:t>
      </w:r>
      <w:r>
        <w:t>)</w:t>
      </w:r>
      <w:r>
        <w:tab/>
        <w:t>Указ № 1904 от 13 мая 1996 года, учреждающий Национальную программу по правам человека, которая впервые придает правам человека статус публичной правительственной политики и содержит предложения относительно действий правительства по защите и поощрению гражданских и политических прав в Бразилии;</w:t>
      </w:r>
    </w:p>
    <w:p w:rsidR="00000000" w:rsidRDefault="00000000"/>
    <w:p w:rsidR="00000000" w:rsidRDefault="00000000">
      <w:r>
        <w:tab/>
      </w:r>
      <w:r>
        <w:rPr>
          <w:lang w:val="en-US"/>
        </w:rPr>
        <w:t>h</w:t>
      </w:r>
      <w:r>
        <w:t>)</w:t>
      </w:r>
      <w:r>
        <w:tab/>
        <w:t>Закон № 9299 от 7 августа 1997 года, который постановляет, что гражданские суды берут на себя обязанности военных судов по уголовному преследованию преступлений, связанных с преднамеренными покушениями на жизнь людей, совершенными военной полицией;</w:t>
      </w:r>
    </w:p>
    <w:p w:rsidR="00000000" w:rsidRDefault="00000000"/>
    <w:p w:rsidR="00000000" w:rsidRDefault="00000000">
      <w:r>
        <w:tab/>
      </w:r>
      <w:r>
        <w:rPr>
          <w:lang w:val="en-US"/>
        </w:rPr>
        <w:t>i</w:t>
      </w:r>
      <w:r>
        <w:t>)</w:t>
      </w:r>
      <w:r>
        <w:tab/>
        <w:t>Закон № 9455 от 7 апреля 1997 года, который дает определение и устанавливает наказание за преступления в форме пыток, не предусматривающие освобождения под залог или поручительство, помилования или амнистии;  наказанию подлежат подстрекатели, исполнители и те лица, которые были способны предотвратить подобные преступления;</w:t>
      </w:r>
    </w:p>
    <w:p w:rsidR="00000000" w:rsidRDefault="00000000"/>
    <w:p w:rsidR="00000000" w:rsidRDefault="00000000">
      <w:r>
        <w:tab/>
      </w:r>
      <w:r>
        <w:rPr>
          <w:lang w:val="en-US"/>
        </w:rPr>
        <w:t>j</w:t>
      </w:r>
      <w:r>
        <w:t>)</w:t>
      </w:r>
      <w:r>
        <w:tab/>
        <w:t>Закон № 9799 от 26 мая 1999 года, регулирующий порядок доступа женщин к рынку труда в рамках Сводного трудового законодательства;</w:t>
      </w:r>
    </w:p>
    <w:p w:rsidR="00000000" w:rsidRDefault="00000000"/>
    <w:p w:rsidR="00000000" w:rsidRDefault="00000000">
      <w:r>
        <w:tab/>
      </w:r>
      <w:r>
        <w:rPr>
          <w:lang w:val="en-US"/>
        </w:rPr>
        <w:t>k</w:t>
      </w:r>
      <w:r>
        <w:t>)</w:t>
      </w:r>
      <w:r>
        <w:tab/>
        <w:t>Закон № 9807 от 13 июля 1999 года, регулирующий порядок подготовки и осуществления специальных программ защиты жертв и свидетелей, которые подвергаются угрозам, и Федеральной программы помощи жертвам и свидетелям, находящимся под угрозой;</w:t>
      </w:r>
    </w:p>
    <w:p w:rsidR="00000000" w:rsidRDefault="00000000"/>
    <w:p w:rsidR="00000000" w:rsidRDefault="00000000">
      <w:r>
        <w:tab/>
      </w:r>
      <w:r>
        <w:rPr>
          <w:lang w:val="en-US"/>
        </w:rPr>
        <w:t>l</w:t>
      </w:r>
      <w:r>
        <w:t>)</w:t>
      </w:r>
      <w:r>
        <w:tab/>
        <w:t>Закон № 10224 от 15 мая 2001 года, касающийся преступлений, связанных с сексуальными домогательствами;</w:t>
      </w:r>
    </w:p>
    <w:p w:rsidR="00000000" w:rsidRDefault="00000000"/>
    <w:p w:rsidR="00000000" w:rsidRDefault="00000000">
      <w:r>
        <w:tab/>
      </w:r>
      <w:r>
        <w:rPr>
          <w:lang w:val="en-US"/>
        </w:rPr>
        <w:t>m</w:t>
      </w:r>
      <w:r>
        <w:t>)</w:t>
      </w:r>
      <w:r>
        <w:tab/>
        <w:t>Указ № 4228 от 13 мая 2002 года, который в рамках федеральной государственной администрации учреждает Национальный план позитивных действий;</w:t>
      </w:r>
    </w:p>
    <w:p w:rsidR="00000000" w:rsidRDefault="00000000"/>
    <w:p w:rsidR="00000000" w:rsidRDefault="00000000">
      <w:r>
        <w:tab/>
      </w:r>
      <w:r>
        <w:rPr>
          <w:lang w:val="en-US"/>
        </w:rPr>
        <w:t>n</w:t>
      </w:r>
      <w:r>
        <w:t>)</w:t>
      </w:r>
      <w:r>
        <w:tab/>
        <w:t>Указ от 13 мая 2002 года, учреждающий вторую Национальную программу по правам человека, целью которой является поощрение экономических, социальных и культурных прав.</w:t>
      </w:r>
    </w:p>
    <w:p w:rsidR="00000000" w:rsidRDefault="00000000"/>
    <w:p w:rsidR="00000000" w:rsidRDefault="00000000">
      <w:r>
        <w:t>217.</w:t>
      </w:r>
      <w:r>
        <w:tab/>
        <w:t>Подробный анализ данных, которые были собраны БИГС и представлены в обобщенном виде выше, обновляет информацию, содержащуюся в базовом документе Бразилии, и свидетельствует о том, что согласно переписи населения, проведенной БИГС, в 1996 году в стране проживало 157 079 573 человека.  По предварительным данным переписи 2000 года, опубликованным в первой половине 2002 года, в настоящее время в стране насчитывается почти 169 590 000 жителей.  Согласно той же информации, белое население является преобладающим в стране:  53,8% опрошенных относили себя к категории белых, 39% считали себя метисами, 6,2% </w:t>
      </w:r>
      <w:r>
        <w:noBreakHyphen/>
        <w:t> чернокожими, 0,5% причисляли себя к выходцами из Азии и 0,4% отнесли себя к группе представителей коренных народов.</w:t>
      </w:r>
    </w:p>
    <w:p w:rsidR="00000000" w:rsidRDefault="00000000"/>
    <w:p w:rsidR="00000000" w:rsidRDefault="00000000">
      <w:r>
        <w:t>218.</w:t>
      </w:r>
      <w:r>
        <w:tab/>
        <w:t xml:space="preserve">Как говорилось во введении к настоящему документу, по сравнению с результатами переписи за 1991 год возросло число лиц, относящих себя к чернокожим (6,2% в 2000 году по сравнению с 5% в 1991 году), и уменьшилось число лиц, считающих себя метисами (39,1% в 2000 году по сравнению с 42,6% в 1991 году).  Предварительные исследования показывают, что эти результаты являются следствием повышения осведомленности чернокожей части бразильского населения в вопросах своей расовой принадлежности.  Это также свидетельствует о значительных изменениях в критериях, которыми пользуются бразильцы для определения своей расовой принадлежности.  </w:t>
      </w:r>
    </w:p>
    <w:p w:rsidR="00000000" w:rsidRDefault="00000000"/>
    <w:p w:rsidR="00000000" w:rsidRDefault="00000000">
      <w:r>
        <w:t>219.</w:t>
      </w:r>
      <w:r>
        <w:tab/>
        <w:t>В состав Бразилии входят 26 штатов, один Федеральный округ и 5 500 муниципий.  Штаты сгруппированы в пять основных регионов:  северный, северо-восточный, юго</w:t>
      </w:r>
      <w:r>
        <w:noBreakHyphen/>
        <w:t xml:space="preserve">восточный, южный и центрально-западный.  В соответствии с </w:t>
      </w:r>
      <w:r>
        <w:rPr>
          <w:i/>
          <w:iCs/>
        </w:rPr>
        <w:t>Докладом ПРООН о развитии человека за 2000 год</w:t>
      </w:r>
      <w:r>
        <w:t>, в 1998 году индекс развития человеческого потенциала (ИРЧП) составил 0,747.  В 1970 году в Бразилии ИРЧП составлял 0,494.  Согласно данным ИПЭИ, в 1998 году валовой внутренний продукт Бразилии достиг 775 млрд. долл. США.  Расчетный доход на душу населения в 1998 году составил 4 802 долл. США.  В 1997 году численность экономически активного населения составила 75 213 283 человека.</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Процентный состав населения Бразилии за 1998 год, в разбивке</w:t>
      </w:r>
    </w:p>
    <w:p w:rsidR="00000000" w:rsidRDefault="00000000">
      <w:pPr>
        <w:jc w:val="center"/>
        <w:rPr>
          <w:b/>
          <w:bCs/>
        </w:rPr>
      </w:pPr>
      <w:r>
        <w:rPr>
          <w:b/>
          <w:bCs/>
        </w:rPr>
        <w:t>по цвету кожи или расе, по основным регионам</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13"/>
        <w:gridCol w:w="1747"/>
        <w:gridCol w:w="1870"/>
        <w:gridCol w:w="1870"/>
        <w:gridCol w:w="2170"/>
      </w:tblGrid>
      <w:tr w:rsidR="00000000">
        <w:tblPrEx>
          <w:tblCellMar>
            <w:top w:w="0" w:type="dxa"/>
            <w:bottom w:w="0" w:type="dxa"/>
          </w:tblCellMar>
        </w:tblPrEx>
        <w:tc>
          <w:tcPr>
            <w:tcW w:w="1914" w:type="dxa"/>
            <w:tcBorders>
              <w:top w:val="single" w:sz="4" w:space="0" w:color="auto"/>
              <w:bottom w:val="single" w:sz="4" w:space="0" w:color="auto"/>
              <w:right w:val="single" w:sz="4" w:space="0" w:color="auto"/>
            </w:tcBorders>
            <w:vAlign w:val="center"/>
          </w:tcPr>
          <w:p w:rsidR="00000000" w:rsidRDefault="00000000">
            <w:pPr>
              <w:spacing w:line="240" w:lineRule="auto"/>
              <w:jc w:val="center"/>
            </w:pPr>
          </w:p>
        </w:tc>
        <w:tc>
          <w:tcPr>
            <w:tcW w:w="17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Белые</w:t>
            </w:r>
          </w:p>
        </w:tc>
        <w:tc>
          <w:tcPr>
            <w:tcW w:w="18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Чернокожие</w:t>
            </w:r>
          </w:p>
        </w:tc>
        <w:tc>
          <w:tcPr>
            <w:tcW w:w="18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Метисы</w:t>
            </w:r>
          </w:p>
        </w:tc>
        <w:tc>
          <w:tcPr>
            <w:tcW w:w="2170" w:type="dxa"/>
            <w:tcBorders>
              <w:top w:val="single" w:sz="4" w:space="0" w:color="auto"/>
              <w:left w:val="single" w:sz="4" w:space="0" w:color="auto"/>
              <w:bottom w:val="single" w:sz="4" w:space="0" w:color="auto"/>
            </w:tcBorders>
            <w:vAlign w:val="center"/>
          </w:tcPr>
          <w:p w:rsidR="00000000" w:rsidRDefault="00000000">
            <w:pPr>
              <w:spacing w:line="240" w:lineRule="auto"/>
              <w:jc w:val="center"/>
            </w:pPr>
            <w:r>
              <w:t>Выходцы из Азии или представители</w:t>
            </w:r>
          </w:p>
          <w:p w:rsidR="00000000" w:rsidRDefault="00000000">
            <w:pPr>
              <w:spacing w:line="240" w:lineRule="auto"/>
              <w:jc w:val="center"/>
            </w:pPr>
            <w:r>
              <w:t>коренных народов</w:t>
            </w:r>
          </w:p>
        </w:tc>
      </w:tr>
      <w:tr w:rsidR="00000000">
        <w:tblPrEx>
          <w:tblCellMar>
            <w:top w:w="0" w:type="dxa"/>
            <w:bottom w:w="0" w:type="dxa"/>
          </w:tblCellMar>
        </w:tblPrEx>
        <w:tc>
          <w:tcPr>
            <w:tcW w:w="1914" w:type="dxa"/>
            <w:tcBorders>
              <w:top w:val="single" w:sz="4" w:space="0" w:color="auto"/>
              <w:right w:val="single" w:sz="4" w:space="0" w:color="auto"/>
            </w:tcBorders>
          </w:tcPr>
          <w:p w:rsidR="00000000" w:rsidRDefault="00000000">
            <w:pPr>
              <w:spacing w:line="240" w:lineRule="auto"/>
            </w:pPr>
            <w:r>
              <w:t>Северный</w:t>
            </w:r>
            <w:r>
              <w:rPr>
                <w:b/>
                <w:bCs/>
              </w:rPr>
              <w:t>*</w:t>
            </w:r>
          </w:p>
        </w:tc>
        <w:tc>
          <w:tcPr>
            <w:tcW w:w="1747" w:type="dxa"/>
            <w:tcBorders>
              <w:top w:val="single" w:sz="4" w:space="0" w:color="auto"/>
              <w:left w:val="single" w:sz="4" w:space="0" w:color="auto"/>
              <w:right w:val="single" w:sz="4" w:space="0" w:color="auto"/>
            </w:tcBorders>
          </w:tcPr>
          <w:p w:rsidR="00000000" w:rsidRDefault="00000000">
            <w:pPr>
              <w:spacing w:line="240" w:lineRule="auto"/>
              <w:jc w:val="center"/>
            </w:pPr>
            <w:r>
              <w:t>29,1</w:t>
            </w:r>
          </w:p>
        </w:tc>
        <w:tc>
          <w:tcPr>
            <w:tcW w:w="1870" w:type="dxa"/>
            <w:tcBorders>
              <w:top w:val="single" w:sz="4" w:space="0" w:color="auto"/>
              <w:left w:val="single" w:sz="4" w:space="0" w:color="auto"/>
              <w:right w:val="single" w:sz="4" w:space="0" w:color="auto"/>
            </w:tcBorders>
          </w:tcPr>
          <w:p w:rsidR="00000000" w:rsidRDefault="00000000">
            <w:pPr>
              <w:spacing w:line="240" w:lineRule="auto"/>
              <w:jc w:val="center"/>
            </w:pPr>
            <w:r>
              <w:t>2,2</w:t>
            </w:r>
          </w:p>
        </w:tc>
        <w:tc>
          <w:tcPr>
            <w:tcW w:w="1870" w:type="dxa"/>
            <w:tcBorders>
              <w:top w:val="single" w:sz="4" w:space="0" w:color="auto"/>
              <w:left w:val="single" w:sz="4" w:space="0" w:color="auto"/>
              <w:right w:val="single" w:sz="4" w:space="0" w:color="auto"/>
            </w:tcBorders>
          </w:tcPr>
          <w:p w:rsidR="00000000" w:rsidRDefault="00000000">
            <w:pPr>
              <w:spacing w:line="240" w:lineRule="auto"/>
              <w:jc w:val="center"/>
            </w:pPr>
            <w:r>
              <w:t>68,1</w:t>
            </w:r>
          </w:p>
        </w:tc>
        <w:tc>
          <w:tcPr>
            <w:tcW w:w="2170" w:type="dxa"/>
            <w:tcBorders>
              <w:top w:val="single" w:sz="4" w:space="0" w:color="auto"/>
              <w:left w:val="single" w:sz="4" w:space="0" w:color="auto"/>
            </w:tcBorders>
          </w:tcPr>
          <w:p w:rsidR="00000000" w:rsidRDefault="00000000">
            <w:pPr>
              <w:spacing w:line="240" w:lineRule="auto"/>
              <w:jc w:val="center"/>
            </w:pPr>
            <w:r>
              <w:t>0,7</w:t>
            </w:r>
          </w:p>
        </w:tc>
      </w:tr>
      <w:tr w:rsidR="00000000">
        <w:tblPrEx>
          <w:tblCellMar>
            <w:top w:w="0" w:type="dxa"/>
            <w:bottom w:w="0" w:type="dxa"/>
          </w:tblCellMar>
        </w:tblPrEx>
        <w:tc>
          <w:tcPr>
            <w:tcW w:w="1914" w:type="dxa"/>
            <w:tcBorders>
              <w:right w:val="single" w:sz="4" w:space="0" w:color="auto"/>
            </w:tcBorders>
          </w:tcPr>
          <w:p w:rsidR="00000000" w:rsidRDefault="00000000">
            <w:pPr>
              <w:spacing w:line="240" w:lineRule="auto"/>
            </w:pPr>
            <w:r>
              <w:t>Северо-восточный</w:t>
            </w:r>
          </w:p>
        </w:tc>
        <w:tc>
          <w:tcPr>
            <w:tcW w:w="1747" w:type="dxa"/>
            <w:tcBorders>
              <w:left w:val="single" w:sz="4" w:space="0" w:color="auto"/>
              <w:right w:val="single" w:sz="4" w:space="0" w:color="auto"/>
            </w:tcBorders>
          </w:tcPr>
          <w:p w:rsidR="00000000" w:rsidRDefault="00000000">
            <w:pPr>
              <w:spacing w:line="240" w:lineRule="auto"/>
              <w:jc w:val="center"/>
            </w:pPr>
            <w:r>
              <w:t>29,7</w:t>
            </w:r>
          </w:p>
        </w:tc>
        <w:tc>
          <w:tcPr>
            <w:tcW w:w="1870" w:type="dxa"/>
            <w:tcBorders>
              <w:left w:val="single" w:sz="4" w:space="0" w:color="auto"/>
              <w:right w:val="single" w:sz="4" w:space="0" w:color="auto"/>
            </w:tcBorders>
          </w:tcPr>
          <w:p w:rsidR="00000000" w:rsidRDefault="00000000">
            <w:pPr>
              <w:spacing w:line="240" w:lineRule="auto"/>
              <w:jc w:val="center"/>
            </w:pPr>
            <w:r>
              <w:t>5,7</w:t>
            </w:r>
          </w:p>
        </w:tc>
        <w:tc>
          <w:tcPr>
            <w:tcW w:w="1870" w:type="dxa"/>
            <w:tcBorders>
              <w:left w:val="single" w:sz="4" w:space="0" w:color="auto"/>
              <w:right w:val="single" w:sz="4" w:space="0" w:color="auto"/>
            </w:tcBorders>
          </w:tcPr>
          <w:p w:rsidR="00000000" w:rsidRDefault="00000000">
            <w:pPr>
              <w:spacing w:line="240" w:lineRule="auto"/>
              <w:jc w:val="center"/>
            </w:pPr>
            <w:r>
              <w:t>64,3</w:t>
            </w:r>
          </w:p>
        </w:tc>
        <w:tc>
          <w:tcPr>
            <w:tcW w:w="2170" w:type="dxa"/>
            <w:tcBorders>
              <w:left w:val="single" w:sz="4" w:space="0" w:color="auto"/>
            </w:tcBorders>
          </w:tcPr>
          <w:p w:rsidR="00000000" w:rsidRDefault="00000000">
            <w:pPr>
              <w:spacing w:line="240" w:lineRule="auto"/>
              <w:jc w:val="center"/>
            </w:pPr>
            <w:r>
              <w:t>0,2</w:t>
            </w:r>
          </w:p>
        </w:tc>
      </w:tr>
      <w:tr w:rsidR="00000000">
        <w:tblPrEx>
          <w:tblCellMar>
            <w:top w:w="0" w:type="dxa"/>
            <w:bottom w:w="0" w:type="dxa"/>
          </w:tblCellMar>
        </w:tblPrEx>
        <w:tc>
          <w:tcPr>
            <w:tcW w:w="1914" w:type="dxa"/>
            <w:tcBorders>
              <w:right w:val="single" w:sz="4" w:space="0" w:color="auto"/>
            </w:tcBorders>
          </w:tcPr>
          <w:p w:rsidR="00000000" w:rsidRDefault="00000000">
            <w:pPr>
              <w:spacing w:line="240" w:lineRule="auto"/>
            </w:pPr>
            <w:r>
              <w:t>Юго-восточный</w:t>
            </w:r>
          </w:p>
        </w:tc>
        <w:tc>
          <w:tcPr>
            <w:tcW w:w="1747" w:type="dxa"/>
            <w:tcBorders>
              <w:left w:val="single" w:sz="4" w:space="0" w:color="auto"/>
              <w:right w:val="single" w:sz="4" w:space="0" w:color="auto"/>
            </w:tcBorders>
          </w:tcPr>
          <w:p w:rsidR="00000000" w:rsidRDefault="00000000">
            <w:pPr>
              <w:spacing w:line="240" w:lineRule="auto"/>
              <w:jc w:val="center"/>
            </w:pPr>
            <w:r>
              <w:t>64,0</w:t>
            </w:r>
          </w:p>
        </w:tc>
        <w:tc>
          <w:tcPr>
            <w:tcW w:w="1870" w:type="dxa"/>
            <w:tcBorders>
              <w:left w:val="single" w:sz="4" w:space="0" w:color="auto"/>
              <w:right w:val="single" w:sz="4" w:space="0" w:color="auto"/>
            </w:tcBorders>
          </w:tcPr>
          <w:p w:rsidR="00000000" w:rsidRDefault="00000000">
            <w:pPr>
              <w:spacing w:line="240" w:lineRule="auto"/>
              <w:jc w:val="center"/>
            </w:pPr>
            <w:r>
              <w:t>7,3</w:t>
            </w:r>
          </w:p>
        </w:tc>
        <w:tc>
          <w:tcPr>
            <w:tcW w:w="1870" w:type="dxa"/>
            <w:tcBorders>
              <w:left w:val="single" w:sz="4" w:space="0" w:color="auto"/>
              <w:right w:val="single" w:sz="4" w:space="0" w:color="auto"/>
            </w:tcBorders>
          </w:tcPr>
          <w:p w:rsidR="00000000" w:rsidRDefault="00000000">
            <w:pPr>
              <w:spacing w:line="240" w:lineRule="auto"/>
              <w:jc w:val="center"/>
            </w:pPr>
            <w:r>
              <w:t>27,5</w:t>
            </w:r>
          </w:p>
        </w:tc>
        <w:tc>
          <w:tcPr>
            <w:tcW w:w="2170" w:type="dxa"/>
            <w:tcBorders>
              <w:left w:val="single" w:sz="4" w:space="0" w:color="auto"/>
            </w:tcBorders>
          </w:tcPr>
          <w:p w:rsidR="00000000" w:rsidRDefault="00000000">
            <w:pPr>
              <w:spacing w:line="240" w:lineRule="auto"/>
              <w:jc w:val="center"/>
            </w:pPr>
            <w:r>
              <w:t>1,1</w:t>
            </w:r>
          </w:p>
        </w:tc>
      </w:tr>
      <w:tr w:rsidR="00000000">
        <w:tblPrEx>
          <w:tblCellMar>
            <w:top w:w="0" w:type="dxa"/>
            <w:bottom w:w="0" w:type="dxa"/>
          </w:tblCellMar>
        </w:tblPrEx>
        <w:tc>
          <w:tcPr>
            <w:tcW w:w="1914" w:type="dxa"/>
            <w:tcBorders>
              <w:right w:val="single" w:sz="4" w:space="0" w:color="auto"/>
            </w:tcBorders>
          </w:tcPr>
          <w:p w:rsidR="00000000" w:rsidRDefault="00000000">
            <w:pPr>
              <w:spacing w:line="240" w:lineRule="auto"/>
            </w:pPr>
            <w:r>
              <w:t>Южный</w:t>
            </w:r>
          </w:p>
        </w:tc>
        <w:tc>
          <w:tcPr>
            <w:tcW w:w="1747" w:type="dxa"/>
            <w:tcBorders>
              <w:left w:val="single" w:sz="4" w:space="0" w:color="auto"/>
              <w:right w:val="single" w:sz="4" w:space="0" w:color="auto"/>
            </w:tcBorders>
          </w:tcPr>
          <w:p w:rsidR="00000000" w:rsidRDefault="00000000">
            <w:pPr>
              <w:spacing w:line="240" w:lineRule="auto"/>
              <w:jc w:val="center"/>
            </w:pPr>
            <w:r>
              <w:t>82,9</w:t>
            </w:r>
          </w:p>
        </w:tc>
        <w:tc>
          <w:tcPr>
            <w:tcW w:w="1870" w:type="dxa"/>
            <w:tcBorders>
              <w:left w:val="single" w:sz="4" w:space="0" w:color="auto"/>
              <w:right w:val="single" w:sz="4" w:space="0" w:color="auto"/>
            </w:tcBorders>
          </w:tcPr>
          <w:p w:rsidR="00000000" w:rsidRDefault="00000000">
            <w:pPr>
              <w:spacing w:line="240" w:lineRule="auto"/>
              <w:jc w:val="center"/>
            </w:pPr>
            <w:r>
              <w:t>3,0</w:t>
            </w:r>
          </w:p>
        </w:tc>
        <w:tc>
          <w:tcPr>
            <w:tcW w:w="1870" w:type="dxa"/>
            <w:tcBorders>
              <w:left w:val="single" w:sz="4" w:space="0" w:color="auto"/>
              <w:right w:val="single" w:sz="4" w:space="0" w:color="auto"/>
            </w:tcBorders>
          </w:tcPr>
          <w:p w:rsidR="00000000" w:rsidRDefault="00000000">
            <w:pPr>
              <w:spacing w:line="240" w:lineRule="auto"/>
              <w:jc w:val="center"/>
            </w:pPr>
            <w:r>
              <w:t>13,5</w:t>
            </w:r>
          </w:p>
        </w:tc>
        <w:tc>
          <w:tcPr>
            <w:tcW w:w="2170" w:type="dxa"/>
            <w:tcBorders>
              <w:left w:val="single" w:sz="4" w:space="0" w:color="auto"/>
            </w:tcBorders>
          </w:tcPr>
          <w:p w:rsidR="00000000" w:rsidRDefault="00000000">
            <w:pPr>
              <w:spacing w:line="240" w:lineRule="auto"/>
              <w:jc w:val="center"/>
            </w:pPr>
            <w:r>
              <w:t>0,6</w:t>
            </w:r>
          </w:p>
        </w:tc>
      </w:tr>
      <w:tr w:rsidR="00000000">
        <w:tblPrEx>
          <w:tblCellMar>
            <w:top w:w="0" w:type="dxa"/>
            <w:bottom w:w="0" w:type="dxa"/>
          </w:tblCellMar>
        </w:tblPrEx>
        <w:tc>
          <w:tcPr>
            <w:tcW w:w="1914" w:type="dxa"/>
            <w:tcBorders>
              <w:bottom w:val="single" w:sz="4" w:space="0" w:color="auto"/>
              <w:right w:val="single" w:sz="4" w:space="0" w:color="auto"/>
            </w:tcBorders>
          </w:tcPr>
          <w:p w:rsidR="00000000" w:rsidRDefault="00000000">
            <w:pPr>
              <w:spacing w:line="240" w:lineRule="auto"/>
            </w:pPr>
            <w:r>
              <w:t>Цетрально-западный</w:t>
            </w:r>
          </w:p>
        </w:tc>
        <w:tc>
          <w:tcPr>
            <w:tcW w:w="1747" w:type="dxa"/>
            <w:tcBorders>
              <w:left w:val="single" w:sz="4" w:space="0" w:color="auto"/>
              <w:bottom w:val="single" w:sz="4" w:space="0" w:color="auto"/>
              <w:right w:val="single" w:sz="4" w:space="0" w:color="auto"/>
            </w:tcBorders>
          </w:tcPr>
          <w:p w:rsidR="00000000" w:rsidRDefault="00000000">
            <w:pPr>
              <w:spacing w:line="240" w:lineRule="auto"/>
              <w:jc w:val="center"/>
            </w:pPr>
            <w:r>
              <w:t>46,9</w:t>
            </w:r>
          </w:p>
        </w:tc>
        <w:tc>
          <w:tcPr>
            <w:tcW w:w="1870" w:type="dxa"/>
            <w:tcBorders>
              <w:left w:val="single" w:sz="4" w:space="0" w:color="auto"/>
              <w:bottom w:val="single" w:sz="4" w:space="0" w:color="auto"/>
              <w:right w:val="single" w:sz="4" w:space="0" w:color="auto"/>
            </w:tcBorders>
          </w:tcPr>
          <w:p w:rsidR="00000000" w:rsidRDefault="00000000">
            <w:pPr>
              <w:spacing w:line="240" w:lineRule="auto"/>
              <w:jc w:val="center"/>
            </w:pPr>
            <w:r>
              <w:t>3,7</w:t>
            </w:r>
          </w:p>
        </w:tc>
        <w:tc>
          <w:tcPr>
            <w:tcW w:w="1870" w:type="dxa"/>
            <w:tcBorders>
              <w:left w:val="single" w:sz="4" w:space="0" w:color="auto"/>
              <w:bottom w:val="single" w:sz="4" w:space="0" w:color="auto"/>
              <w:right w:val="single" w:sz="4" w:space="0" w:color="auto"/>
            </w:tcBorders>
          </w:tcPr>
          <w:p w:rsidR="00000000" w:rsidRDefault="00000000">
            <w:pPr>
              <w:spacing w:line="240" w:lineRule="auto"/>
              <w:jc w:val="center"/>
            </w:pPr>
            <w:r>
              <w:t>48,3</w:t>
            </w:r>
          </w:p>
        </w:tc>
        <w:tc>
          <w:tcPr>
            <w:tcW w:w="2170" w:type="dxa"/>
            <w:tcBorders>
              <w:left w:val="single" w:sz="4" w:space="0" w:color="auto"/>
              <w:bottom w:val="single" w:sz="4" w:space="0" w:color="auto"/>
            </w:tcBorders>
          </w:tcPr>
          <w:p w:rsidR="00000000" w:rsidRDefault="00000000">
            <w:pPr>
              <w:spacing w:line="240" w:lineRule="auto"/>
              <w:jc w:val="center"/>
            </w:pPr>
            <w:r>
              <w:t>1,1</w:t>
            </w:r>
          </w:p>
        </w:tc>
      </w:tr>
      <w:tr w:rsidR="00000000">
        <w:tblPrEx>
          <w:tblCellMar>
            <w:top w:w="0" w:type="dxa"/>
            <w:bottom w:w="0" w:type="dxa"/>
          </w:tblCellMar>
        </w:tblPrEx>
        <w:tc>
          <w:tcPr>
            <w:tcW w:w="1914" w:type="dxa"/>
            <w:tcBorders>
              <w:top w:val="single" w:sz="4" w:space="0" w:color="auto"/>
              <w:bottom w:val="single" w:sz="4" w:space="0" w:color="auto"/>
              <w:right w:val="single" w:sz="4" w:space="0" w:color="auto"/>
            </w:tcBorders>
          </w:tcPr>
          <w:p w:rsidR="00000000" w:rsidRDefault="00000000">
            <w:pPr>
              <w:spacing w:line="240" w:lineRule="auto"/>
            </w:pPr>
            <w:r>
              <w:t>Всего по Бразилии</w:t>
            </w:r>
          </w:p>
        </w:tc>
        <w:tc>
          <w:tcPr>
            <w:tcW w:w="174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54,0</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5,7</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39,5</w:t>
            </w:r>
          </w:p>
        </w:tc>
        <w:tc>
          <w:tcPr>
            <w:tcW w:w="2170" w:type="dxa"/>
            <w:tcBorders>
              <w:top w:val="single" w:sz="4" w:space="0" w:color="auto"/>
              <w:left w:val="single" w:sz="4" w:space="0" w:color="auto"/>
              <w:bottom w:val="single" w:sz="4" w:space="0" w:color="auto"/>
            </w:tcBorders>
          </w:tcPr>
          <w:p w:rsidR="00000000" w:rsidRDefault="00000000">
            <w:pPr>
              <w:spacing w:line="240" w:lineRule="auto"/>
              <w:jc w:val="center"/>
            </w:pPr>
            <w:r>
              <w:t>0,8</w:t>
            </w:r>
          </w:p>
        </w:tc>
      </w:tr>
    </w:tbl>
    <w:p w:rsidR="00000000" w:rsidRDefault="00000000">
      <w:pPr>
        <w:spacing w:line="240" w:lineRule="auto"/>
      </w:pPr>
    </w:p>
    <w:p w:rsidR="00000000" w:rsidRDefault="00000000">
      <w:pPr>
        <w:spacing w:line="240" w:lineRule="auto"/>
        <w:rPr>
          <w:i/>
          <w:iCs/>
        </w:rPr>
      </w:pPr>
      <w:r>
        <w:rPr>
          <w:i/>
          <w:iCs/>
          <w:u w:val="single"/>
        </w:rPr>
        <w:t>Источник</w:t>
      </w:r>
      <w:r>
        <w:rPr>
          <w:i/>
          <w:iCs/>
        </w:rPr>
        <w:t xml:space="preserve">:  </w:t>
      </w:r>
      <w:r>
        <w:t>ОВОДХ, 1998 год</w:t>
      </w:r>
      <w:r>
        <w:rPr>
          <w:i/>
          <w:iCs/>
        </w:rPr>
        <w:t xml:space="preserve">, Сводные социальные показатели, </w:t>
      </w:r>
      <w:r>
        <w:t>1991 год</w:t>
      </w:r>
      <w:r>
        <w:rPr>
          <w:i/>
          <w:iCs/>
        </w:rPr>
        <w:t>.</w:t>
      </w:r>
    </w:p>
    <w:p w:rsidR="00000000" w:rsidRDefault="00000000">
      <w:pPr>
        <w:spacing w:line="240" w:lineRule="auto"/>
        <w:rPr>
          <w:i/>
          <w:iCs/>
        </w:rPr>
      </w:pPr>
    </w:p>
    <w:p w:rsidR="00000000" w:rsidRDefault="00000000">
      <w:pPr>
        <w:spacing w:line="240" w:lineRule="auto"/>
      </w:pPr>
      <w:r>
        <w:rPr>
          <w:b/>
          <w:bCs/>
          <w:i/>
          <w:iCs/>
        </w:rPr>
        <w:t>*</w:t>
      </w:r>
      <w:r>
        <w:rPr>
          <w:b/>
          <w:bCs/>
          <w:i/>
          <w:iCs/>
        </w:rPr>
        <w:tab/>
      </w:r>
      <w:r>
        <w:t>Данные не включают в себя информацию о сельском населении штатов Рондония, Акри, Амазонас, Рорайма, Пара и Амапа.</w:t>
      </w:r>
    </w:p>
    <w:p w:rsidR="00000000" w:rsidRDefault="00000000"/>
    <w:p w:rsidR="00000000" w:rsidRDefault="00000000">
      <w:r>
        <w:t>220.</w:t>
      </w:r>
      <w:r>
        <w:tab/>
        <w:t xml:space="preserve">Информация о цвете кожи каждого жителя была получена в рамках ОВОДХ и при проведении БИГС переписи населения, которая обычно проходит каждые десять лет.  В ходе ОВОДХ в 1976 году среди бразильцев, по их собственным оценкам, было зарегистрировано более 135 различных оттенков кожи.  По результатам анализа обширного списка БИГС выделил пять основных расовых категорий (или цветов кожи), в соответствии с которыми классифицировались данные о составе населения:  белые, метисы, чернокожие, индейцы и выходцы из Азии.  Под метисами подразумеваются все граждане, которые не являются белыми, чернокожими, выходцами из Азии или индейцами.  Индейцы не имели своего собственного определения вплоть до переписи населения 1991 года.  Начиная с 1987 года ОВОДХ положило начало процессу систематического сбора информации о цвете кожи на основе заявлений, сделанных самими респондентами в ходе конфиденциальных обследований.  Таким образом, каждый человек сам определяет свой цвет кожи при проведении обследований БИГС на основе пяти возможных вариантов.  Вместе с тем обследование по вопросу о расовых предрассудках, проведенное </w:t>
      </w:r>
      <w:r>
        <w:rPr>
          <w:i/>
          <w:iCs/>
          <w:lang w:val="en-US"/>
        </w:rPr>
        <w:t>Folha</w:t>
      </w:r>
      <w:r>
        <w:rPr>
          <w:i/>
          <w:iCs/>
        </w:rPr>
        <w:t xml:space="preserve"> </w:t>
      </w:r>
      <w:r>
        <w:rPr>
          <w:i/>
          <w:iCs/>
          <w:lang w:val="en-US"/>
        </w:rPr>
        <w:t>de</w:t>
      </w:r>
      <w:r>
        <w:rPr>
          <w:i/>
          <w:iCs/>
        </w:rPr>
        <w:t xml:space="preserve"> </w:t>
      </w:r>
      <w:r>
        <w:rPr>
          <w:i/>
          <w:iCs/>
          <w:lang w:val="en-US"/>
        </w:rPr>
        <w:t>S</w:t>
      </w:r>
      <w:r>
        <w:rPr>
          <w:i/>
          <w:iCs/>
        </w:rPr>
        <w:t>.</w:t>
      </w:r>
      <w:r>
        <w:rPr>
          <w:i/>
          <w:iCs/>
          <w:lang w:val="en-US"/>
        </w:rPr>
        <w:t> Paulo</w:t>
      </w:r>
      <w:r>
        <w:rPr>
          <w:i/>
          <w:iCs/>
        </w:rPr>
        <w:t xml:space="preserve"> </w:t>
      </w:r>
      <w:r>
        <w:t>в 1995 году, выявило незначительный процент респондентов, которые автоматически причисляли себя к метисам (6%).  Большинство же причисляли себя к категории чернокожих граждан, чья кожа имеет светло- или темно-коричневый оттенок (43%).</w:t>
      </w:r>
    </w:p>
    <w:p w:rsidR="00000000" w:rsidRDefault="00000000"/>
    <w:p w:rsidR="00000000" w:rsidRDefault="00000000">
      <w:r>
        <w:t>221.</w:t>
      </w:r>
      <w:r>
        <w:tab/>
        <w:t>Как указывалось выше, предварительные выводы, полученные на основе первоначальных результатов переписи 2000 года, которые были опубликованы в середине 2002 года, как представляется, свидетельствуют об изменении существующей тенденции.  БИГС в настоящее время рассматривает вопрос о внесении изменений в методологию, используемую им при классификации рас, которая будет сводить людей с черным и коричневым цветом кожи, а также метисов в одну категорию чернокожих.</w:t>
      </w:r>
    </w:p>
    <w:p w:rsidR="00000000" w:rsidRDefault="00000000"/>
    <w:p w:rsidR="00000000" w:rsidRDefault="00000000">
      <w:r>
        <w:t>222.</w:t>
      </w:r>
      <w:r>
        <w:tab/>
        <w:t>В ходе президентской кампании 2002 года Институт "</w:t>
      </w:r>
      <w:r>
        <w:rPr>
          <w:lang w:val="en-US"/>
        </w:rPr>
        <w:t>Vox</w:t>
      </w:r>
      <w:r>
        <w:t xml:space="preserve"> </w:t>
      </w:r>
      <w:r>
        <w:rPr>
          <w:lang w:val="en-US"/>
        </w:rPr>
        <w:t>Populi</w:t>
      </w:r>
      <w:r>
        <w:t>" по просьбе ИПЭИ начал представлять свои статистические обследования в разбивке по расовой принадлежности в целях выявления профиля бразильского электората и тенденций в ходе голосования.  Подобный критерий был впервые использован институтом по изучению общественного мнения в Бразилии.</w:t>
      </w:r>
    </w:p>
    <w:p w:rsidR="00000000" w:rsidRDefault="00000000"/>
    <w:p w:rsidR="00000000" w:rsidRDefault="00000000">
      <w:r>
        <w:t>223.</w:t>
      </w:r>
      <w:r>
        <w:tab/>
        <w:t>Трудности, связанные с классификацией данных на основе цвета кожи, не являются новыми для Бразилии.  Организации гражданского общества, участвующие в борьбе против расовой дискриминации, обратились с просьбой о представлении данных в разбивке по этим критериям ввиду важности более точной оценки различных путей проявления дискриминации, а также ввиду необходимости более точного выявления этнических и расовых отличий среди различных слоев общества.</w:t>
      </w:r>
    </w:p>
    <w:p w:rsidR="00000000" w:rsidRDefault="00000000"/>
    <w:p w:rsidR="00000000" w:rsidRDefault="00000000">
      <w:r>
        <w:t>224.</w:t>
      </w:r>
      <w:r>
        <w:tab/>
        <w:t>Таким образом, хотя между различными исследовательскими организациями и нет консенсуса в отношении критериев, используемых для классификации информации о цвете кожи, существует возможность выявления различий в условиях жизни различных групп населения Бразилии.  В 1996 году ОВОДХ показало, что в области обеспечения элементарными санитарными удобствами в Бразилии чернокожее население находится в менее благоприятном положении, чем белое.  Приводимые ниже данные по домашним хозяйствам даются в разбивке по цвету кожи глав хозяйств:  белые, чернокожие и метисы.</w:t>
      </w:r>
    </w:p>
    <w:p w:rsidR="00000000" w:rsidRDefault="00000000"/>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Доступ к водоснабжению и канализации населения основных регионов Бразилии,</w:t>
      </w:r>
    </w:p>
    <w:p w:rsidR="00000000" w:rsidRDefault="00000000">
      <w:pPr>
        <w:jc w:val="center"/>
        <w:rPr>
          <w:b/>
          <w:bCs/>
        </w:rPr>
      </w:pPr>
      <w:r>
        <w:rPr>
          <w:b/>
          <w:bCs/>
        </w:rPr>
        <w:t>в разбивке по цвету кожи или расе, 1996 год (в процентах)</w:t>
      </w:r>
    </w:p>
    <w:p w:rsidR="00000000" w:rsidRDefault="00000000">
      <w:pPr>
        <w:jc w:val="center"/>
        <w:rPr>
          <w:b/>
          <w:bCs/>
        </w:rPr>
      </w:pPr>
    </w:p>
    <w:tbl>
      <w:tblPr>
        <w:tblW w:w="0" w:type="auto"/>
        <w:tblInd w:w="8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10"/>
        <w:gridCol w:w="1595"/>
        <w:gridCol w:w="1595"/>
        <w:gridCol w:w="1595"/>
        <w:gridCol w:w="1483"/>
      </w:tblGrid>
      <w:tr w:rsidR="00000000">
        <w:tblPrEx>
          <w:tblCellMar>
            <w:top w:w="0" w:type="dxa"/>
            <w:bottom w:w="0" w:type="dxa"/>
          </w:tblCellMar>
        </w:tblPrEx>
        <w:tc>
          <w:tcPr>
            <w:tcW w:w="3110" w:type="dxa"/>
            <w:tcBorders>
              <w:top w:val="single" w:sz="4" w:space="0" w:color="auto"/>
              <w:bottom w:val="nil"/>
            </w:tcBorders>
          </w:tcPr>
          <w:p w:rsidR="00000000" w:rsidRDefault="00000000">
            <w:pPr>
              <w:spacing w:line="216" w:lineRule="auto"/>
              <w:rPr>
                <w:b/>
                <w:bCs/>
              </w:rPr>
            </w:pPr>
          </w:p>
        </w:tc>
        <w:tc>
          <w:tcPr>
            <w:tcW w:w="3190" w:type="dxa"/>
            <w:gridSpan w:val="2"/>
            <w:tcBorders>
              <w:top w:val="single" w:sz="4" w:space="0" w:color="auto"/>
              <w:bottom w:val="single" w:sz="4" w:space="0" w:color="auto"/>
            </w:tcBorders>
          </w:tcPr>
          <w:p w:rsidR="00000000" w:rsidRDefault="00000000">
            <w:pPr>
              <w:spacing w:line="216" w:lineRule="auto"/>
              <w:jc w:val="center"/>
              <w:rPr>
                <w:b/>
                <w:bCs/>
              </w:rPr>
            </w:pPr>
            <w:r>
              <w:rPr>
                <w:b/>
                <w:bCs/>
              </w:rPr>
              <w:t>Питьевая вода</w:t>
            </w:r>
          </w:p>
        </w:tc>
        <w:tc>
          <w:tcPr>
            <w:tcW w:w="3078" w:type="dxa"/>
            <w:gridSpan w:val="2"/>
            <w:tcBorders>
              <w:top w:val="single" w:sz="4" w:space="0" w:color="auto"/>
              <w:bottom w:val="single" w:sz="4" w:space="0" w:color="auto"/>
            </w:tcBorders>
          </w:tcPr>
          <w:p w:rsidR="00000000" w:rsidRDefault="00000000">
            <w:pPr>
              <w:spacing w:line="216" w:lineRule="auto"/>
              <w:jc w:val="center"/>
              <w:rPr>
                <w:b/>
                <w:bCs/>
              </w:rPr>
            </w:pPr>
            <w:r>
              <w:rPr>
                <w:b/>
                <w:bCs/>
              </w:rPr>
              <w:t>Канализация</w:t>
            </w:r>
          </w:p>
        </w:tc>
      </w:tr>
      <w:tr w:rsidR="00000000">
        <w:tblPrEx>
          <w:tblCellMar>
            <w:top w:w="0" w:type="dxa"/>
            <w:bottom w:w="0" w:type="dxa"/>
          </w:tblCellMar>
        </w:tblPrEx>
        <w:trPr>
          <w:cantSplit/>
        </w:trPr>
        <w:tc>
          <w:tcPr>
            <w:tcW w:w="3110" w:type="dxa"/>
            <w:tcBorders>
              <w:top w:val="nil"/>
              <w:bottom w:val="single" w:sz="4" w:space="0" w:color="auto"/>
            </w:tcBorders>
            <w:vAlign w:val="center"/>
          </w:tcPr>
          <w:p w:rsidR="00000000" w:rsidRDefault="00000000">
            <w:pPr>
              <w:spacing w:line="216" w:lineRule="auto"/>
              <w:rPr>
                <w:b/>
                <w:bCs/>
              </w:rPr>
            </w:pPr>
            <w:r>
              <w:rPr>
                <w:b/>
                <w:bCs/>
              </w:rPr>
              <w:t>Регион</w:t>
            </w:r>
          </w:p>
        </w:tc>
        <w:tc>
          <w:tcPr>
            <w:tcW w:w="1595" w:type="dxa"/>
            <w:tcBorders>
              <w:top w:val="single" w:sz="4" w:space="0" w:color="auto"/>
              <w:bottom w:val="single" w:sz="4" w:space="0" w:color="auto"/>
            </w:tcBorders>
            <w:vAlign w:val="center"/>
          </w:tcPr>
          <w:p w:rsidR="00000000" w:rsidRDefault="00000000">
            <w:pPr>
              <w:spacing w:line="216" w:lineRule="auto"/>
              <w:jc w:val="center"/>
              <w:rPr>
                <w:b/>
                <w:bCs/>
              </w:rPr>
            </w:pPr>
            <w:r>
              <w:rPr>
                <w:b/>
                <w:bCs/>
              </w:rPr>
              <w:t>Чернокожие и метисы</w:t>
            </w:r>
          </w:p>
        </w:tc>
        <w:tc>
          <w:tcPr>
            <w:tcW w:w="1595" w:type="dxa"/>
            <w:tcBorders>
              <w:top w:val="single" w:sz="4" w:space="0" w:color="auto"/>
              <w:bottom w:val="single" w:sz="4" w:space="0" w:color="auto"/>
            </w:tcBorders>
            <w:vAlign w:val="center"/>
          </w:tcPr>
          <w:p w:rsidR="00000000" w:rsidRDefault="00000000">
            <w:pPr>
              <w:spacing w:line="216" w:lineRule="auto"/>
              <w:jc w:val="center"/>
              <w:rPr>
                <w:b/>
                <w:bCs/>
              </w:rPr>
            </w:pPr>
            <w:r>
              <w:rPr>
                <w:b/>
                <w:bCs/>
              </w:rPr>
              <w:t>Белые</w:t>
            </w:r>
          </w:p>
        </w:tc>
        <w:tc>
          <w:tcPr>
            <w:tcW w:w="1595" w:type="dxa"/>
            <w:tcBorders>
              <w:top w:val="single" w:sz="4" w:space="0" w:color="auto"/>
              <w:bottom w:val="single" w:sz="4" w:space="0" w:color="auto"/>
            </w:tcBorders>
            <w:vAlign w:val="center"/>
          </w:tcPr>
          <w:p w:rsidR="00000000" w:rsidRDefault="00000000">
            <w:pPr>
              <w:spacing w:line="216" w:lineRule="auto"/>
              <w:jc w:val="center"/>
              <w:rPr>
                <w:b/>
                <w:bCs/>
              </w:rPr>
            </w:pPr>
            <w:r>
              <w:rPr>
                <w:b/>
                <w:bCs/>
              </w:rPr>
              <w:t>Чернокожие и метисы</w:t>
            </w:r>
          </w:p>
        </w:tc>
        <w:tc>
          <w:tcPr>
            <w:tcW w:w="1483" w:type="dxa"/>
            <w:tcBorders>
              <w:top w:val="single" w:sz="4" w:space="0" w:color="auto"/>
              <w:bottom w:val="single" w:sz="4" w:space="0" w:color="auto"/>
            </w:tcBorders>
            <w:vAlign w:val="center"/>
          </w:tcPr>
          <w:p w:rsidR="00000000" w:rsidRDefault="00000000">
            <w:pPr>
              <w:spacing w:line="216" w:lineRule="auto"/>
              <w:jc w:val="center"/>
              <w:rPr>
                <w:b/>
                <w:bCs/>
              </w:rPr>
            </w:pPr>
            <w:r>
              <w:rPr>
                <w:b/>
                <w:bCs/>
              </w:rPr>
              <w:t>Белые</w:t>
            </w:r>
          </w:p>
        </w:tc>
      </w:tr>
      <w:tr w:rsidR="00000000">
        <w:tblPrEx>
          <w:tblCellMar>
            <w:top w:w="0" w:type="dxa"/>
            <w:bottom w:w="0" w:type="dxa"/>
          </w:tblCellMar>
        </w:tblPrEx>
        <w:trPr>
          <w:cantSplit/>
        </w:trPr>
        <w:tc>
          <w:tcPr>
            <w:tcW w:w="3110" w:type="dxa"/>
            <w:tcBorders>
              <w:top w:val="single" w:sz="4" w:space="0" w:color="auto"/>
            </w:tcBorders>
          </w:tcPr>
          <w:p w:rsidR="00000000" w:rsidRDefault="00000000">
            <w:pPr>
              <w:spacing w:line="240" w:lineRule="auto"/>
            </w:pPr>
            <w:r>
              <w:t>Северный</w:t>
            </w:r>
          </w:p>
        </w:tc>
        <w:tc>
          <w:tcPr>
            <w:tcW w:w="1595" w:type="dxa"/>
            <w:tcBorders>
              <w:top w:val="single" w:sz="4" w:space="0" w:color="auto"/>
            </w:tcBorders>
          </w:tcPr>
          <w:p w:rsidR="00000000" w:rsidRDefault="00000000">
            <w:pPr>
              <w:spacing w:line="240" w:lineRule="auto"/>
              <w:jc w:val="center"/>
            </w:pPr>
            <w:r>
              <w:t>54,8</w:t>
            </w:r>
          </w:p>
        </w:tc>
        <w:tc>
          <w:tcPr>
            <w:tcW w:w="1595" w:type="dxa"/>
            <w:tcBorders>
              <w:top w:val="single" w:sz="4" w:space="0" w:color="auto"/>
            </w:tcBorders>
          </w:tcPr>
          <w:p w:rsidR="00000000" w:rsidRDefault="00000000">
            <w:pPr>
              <w:spacing w:line="240" w:lineRule="auto"/>
              <w:jc w:val="center"/>
            </w:pPr>
            <w:r>
              <w:t>63,0</w:t>
            </w:r>
          </w:p>
        </w:tc>
        <w:tc>
          <w:tcPr>
            <w:tcW w:w="1595" w:type="dxa"/>
            <w:tcBorders>
              <w:top w:val="single" w:sz="4" w:space="0" w:color="auto"/>
            </w:tcBorders>
          </w:tcPr>
          <w:p w:rsidR="00000000" w:rsidRDefault="00000000">
            <w:pPr>
              <w:spacing w:line="240" w:lineRule="auto"/>
              <w:jc w:val="center"/>
            </w:pPr>
            <w:r>
              <w:t>41,6</w:t>
            </w:r>
          </w:p>
        </w:tc>
        <w:tc>
          <w:tcPr>
            <w:tcW w:w="1483" w:type="dxa"/>
            <w:tcBorders>
              <w:top w:val="single" w:sz="4" w:space="0" w:color="auto"/>
            </w:tcBorders>
          </w:tcPr>
          <w:p w:rsidR="00000000" w:rsidRDefault="00000000">
            <w:pPr>
              <w:spacing w:line="240" w:lineRule="auto"/>
              <w:jc w:val="center"/>
            </w:pPr>
            <w:r>
              <w:t>56,5</w:t>
            </w:r>
          </w:p>
        </w:tc>
      </w:tr>
      <w:tr w:rsidR="00000000">
        <w:tblPrEx>
          <w:tblCellMar>
            <w:top w:w="0" w:type="dxa"/>
            <w:bottom w:w="0" w:type="dxa"/>
          </w:tblCellMar>
        </w:tblPrEx>
        <w:trPr>
          <w:cantSplit/>
        </w:trPr>
        <w:tc>
          <w:tcPr>
            <w:tcW w:w="3110" w:type="dxa"/>
          </w:tcPr>
          <w:p w:rsidR="00000000" w:rsidRDefault="00000000">
            <w:pPr>
              <w:spacing w:line="240" w:lineRule="auto"/>
            </w:pPr>
            <w:r>
              <w:t>Северо-восточный</w:t>
            </w:r>
          </w:p>
        </w:tc>
        <w:tc>
          <w:tcPr>
            <w:tcW w:w="1595" w:type="dxa"/>
          </w:tcPr>
          <w:p w:rsidR="00000000" w:rsidRDefault="00000000">
            <w:pPr>
              <w:spacing w:line="240" w:lineRule="auto"/>
              <w:jc w:val="center"/>
            </w:pPr>
            <w:r>
              <w:t>52,6</w:t>
            </w:r>
          </w:p>
        </w:tc>
        <w:tc>
          <w:tcPr>
            <w:tcW w:w="1595" w:type="dxa"/>
          </w:tcPr>
          <w:p w:rsidR="00000000" w:rsidRDefault="00000000">
            <w:pPr>
              <w:spacing w:line="240" w:lineRule="auto"/>
              <w:jc w:val="center"/>
            </w:pPr>
            <w:r>
              <w:t>64,2</w:t>
            </w:r>
          </w:p>
        </w:tc>
        <w:tc>
          <w:tcPr>
            <w:tcW w:w="1595" w:type="dxa"/>
          </w:tcPr>
          <w:p w:rsidR="00000000" w:rsidRDefault="00000000">
            <w:pPr>
              <w:spacing w:line="240" w:lineRule="auto"/>
              <w:jc w:val="center"/>
            </w:pPr>
            <w:r>
              <w:t>33,5</w:t>
            </w:r>
          </w:p>
        </w:tc>
        <w:tc>
          <w:tcPr>
            <w:tcW w:w="1483" w:type="dxa"/>
          </w:tcPr>
          <w:p w:rsidR="00000000" w:rsidRDefault="00000000">
            <w:pPr>
              <w:spacing w:line="240" w:lineRule="auto"/>
              <w:jc w:val="center"/>
            </w:pPr>
            <w:r>
              <w:t>47,0</w:t>
            </w:r>
          </w:p>
        </w:tc>
      </w:tr>
      <w:tr w:rsidR="00000000">
        <w:tblPrEx>
          <w:tblCellMar>
            <w:top w:w="0" w:type="dxa"/>
            <w:bottom w:w="0" w:type="dxa"/>
          </w:tblCellMar>
        </w:tblPrEx>
        <w:trPr>
          <w:cantSplit/>
        </w:trPr>
        <w:tc>
          <w:tcPr>
            <w:tcW w:w="3110" w:type="dxa"/>
          </w:tcPr>
          <w:p w:rsidR="00000000" w:rsidRDefault="00000000">
            <w:pPr>
              <w:spacing w:line="240" w:lineRule="auto"/>
            </w:pPr>
            <w:r>
              <w:t>Юго-восточный</w:t>
            </w:r>
          </w:p>
        </w:tc>
        <w:tc>
          <w:tcPr>
            <w:tcW w:w="1595" w:type="dxa"/>
          </w:tcPr>
          <w:p w:rsidR="00000000" w:rsidRDefault="00000000">
            <w:pPr>
              <w:spacing w:line="240" w:lineRule="auto"/>
              <w:jc w:val="center"/>
            </w:pPr>
            <w:r>
              <w:t>52,6</w:t>
            </w:r>
          </w:p>
        </w:tc>
        <w:tc>
          <w:tcPr>
            <w:tcW w:w="1595" w:type="dxa"/>
          </w:tcPr>
          <w:p w:rsidR="00000000" w:rsidRDefault="00000000">
            <w:pPr>
              <w:spacing w:line="240" w:lineRule="auto"/>
              <w:jc w:val="center"/>
            </w:pPr>
            <w:r>
              <w:t>89,1</w:t>
            </w:r>
          </w:p>
        </w:tc>
        <w:tc>
          <w:tcPr>
            <w:tcW w:w="1595" w:type="dxa"/>
          </w:tcPr>
          <w:p w:rsidR="00000000" w:rsidRDefault="00000000">
            <w:pPr>
              <w:spacing w:line="240" w:lineRule="auto"/>
              <w:jc w:val="center"/>
            </w:pPr>
            <w:r>
              <w:t>74,8</w:t>
            </w:r>
          </w:p>
        </w:tc>
        <w:tc>
          <w:tcPr>
            <w:tcW w:w="1483" w:type="dxa"/>
          </w:tcPr>
          <w:p w:rsidR="00000000" w:rsidRDefault="00000000">
            <w:pPr>
              <w:spacing w:line="240" w:lineRule="auto"/>
              <w:jc w:val="center"/>
            </w:pPr>
            <w:r>
              <w:t>86,8</w:t>
            </w:r>
          </w:p>
        </w:tc>
      </w:tr>
      <w:tr w:rsidR="00000000">
        <w:tblPrEx>
          <w:tblCellMar>
            <w:top w:w="0" w:type="dxa"/>
            <w:bottom w:w="0" w:type="dxa"/>
          </w:tblCellMar>
        </w:tblPrEx>
        <w:trPr>
          <w:cantSplit/>
        </w:trPr>
        <w:tc>
          <w:tcPr>
            <w:tcW w:w="3110" w:type="dxa"/>
          </w:tcPr>
          <w:p w:rsidR="00000000" w:rsidRDefault="00000000">
            <w:pPr>
              <w:spacing w:line="240" w:lineRule="auto"/>
            </w:pPr>
            <w:r>
              <w:t>Южный</w:t>
            </w:r>
          </w:p>
        </w:tc>
        <w:tc>
          <w:tcPr>
            <w:tcW w:w="1595" w:type="dxa"/>
          </w:tcPr>
          <w:p w:rsidR="00000000" w:rsidRDefault="00000000">
            <w:pPr>
              <w:spacing w:line="240" w:lineRule="auto"/>
              <w:jc w:val="center"/>
            </w:pPr>
            <w:r>
              <w:t>52,6</w:t>
            </w:r>
          </w:p>
        </w:tc>
        <w:tc>
          <w:tcPr>
            <w:tcW w:w="1595" w:type="dxa"/>
          </w:tcPr>
          <w:p w:rsidR="00000000" w:rsidRDefault="00000000">
            <w:pPr>
              <w:spacing w:line="240" w:lineRule="auto"/>
              <w:jc w:val="center"/>
            </w:pPr>
            <w:r>
              <w:t>77,0</w:t>
            </w:r>
          </w:p>
        </w:tc>
        <w:tc>
          <w:tcPr>
            <w:tcW w:w="1595" w:type="dxa"/>
          </w:tcPr>
          <w:p w:rsidR="00000000" w:rsidRDefault="00000000">
            <w:pPr>
              <w:spacing w:line="240" w:lineRule="auto"/>
              <w:jc w:val="center"/>
            </w:pPr>
            <w:r>
              <w:t>50,0</w:t>
            </w:r>
          </w:p>
        </w:tc>
        <w:tc>
          <w:tcPr>
            <w:tcW w:w="1483" w:type="dxa"/>
          </w:tcPr>
          <w:p w:rsidR="00000000" w:rsidRDefault="00000000">
            <w:pPr>
              <w:spacing w:line="240" w:lineRule="auto"/>
              <w:jc w:val="center"/>
            </w:pPr>
            <w:r>
              <w:t>69,2</w:t>
            </w:r>
          </w:p>
        </w:tc>
      </w:tr>
      <w:tr w:rsidR="00000000">
        <w:tblPrEx>
          <w:tblCellMar>
            <w:top w:w="0" w:type="dxa"/>
            <w:bottom w:w="0" w:type="dxa"/>
          </w:tblCellMar>
        </w:tblPrEx>
        <w:trPr>
          <w:cantSplit/>
        </w:trPr>
        <w:tc>
          <w:tcPr>
            <w:tcW w:w="3110" w:type="dxa"/>
          </w:tcPr>
          <w:p w:rsidR="00000000" w:rsidRDefault="00000000">
            <w:pPr>
              <w:spacing w:line="240" w:lineRule="auto"/>
            </w:pPr>
            <w:r>
              <w:t>Центрально-западный</w:t>
            </w:r>
          </w:p>
        </w:tc>
        <w:tc>
          <w:tcPr>
            <w:tcW w:w="1595" w:type="dxa"/>
          </w:tcPr>
          <w:p w:rsidR="00000000" w:rsidRDefault="00000000">
            <w:pPr>
              <w:spacing w:line="240" w:lineRule="auto"/>
              <w:jc w:val="center"/>
            </w:pPr>
            <w:r>
              <w:t>76.8</w:t>
            </w:r>
          </w:p>
        </w:tc>
        <w:tc>
          <w:tcPr>
            <w:tcW w:w="1595" w:type="dxa"/>
          </w:tcPr>
          <w:p w:rsidR="00000000" w:rsidRDefault="00000000">
            <w:pPr>
              <w:spacing w:line="240" w:lineRule="auto"/>
              <w:jc w:val="center"/>
            </w:pPr>
            <w:r>
              <w:t>72,0</w:t>
            </w:r>
          </w:p>
        </w:tc>
        <w:tc>
          <w:tcPr>
            <w:tcW w:w="1595" w:type="dxa"/>
          </w:tcPr>
          <w:p w:rsidR="00000000" w:rsidRDefault="00000000">
            <w:pPr>
              <w:spacing w:line="240" w:lineRule="auto"/>
              <w:jc w:val="center"/>
            </w:pPr>
            <w:r>
              <w:t>35,1</w:t>
            </w:r>
          </w:p>
        </w:tc>
        <w:tc>
          <w:tcPr>
            <w:tcW w:w="1483" w:type="dxa"/>
          </w:tcPr>
          <w:p w:rsidR="00000000" w:rsidRDefault="00000000">
            <w:pPr>
              <w:spacing w:line="240" w:lineRule="auto"/>
              <w:jc w:val="center"/>
            </w:pPr>
            <w:r>
              <w:t>43,6</w:t>
            </w:r>
          </w:p>
        </w:tc>
      </w:tr>
      <w:tr w:rsidR="00000000">
        <w:tblPrEx>
          <w:tblCellMar>
            <w:top w:w="0" w:type="dxa"/>
            <w:bottom w:w="0" w:type="dxa"/>
          </w:tblCellMar>
        </w:tblPrEx>
        <w:trPr>
          <w:cantSplit/>
        </w:trPr>
        <w:tc>
          <w:tcPr>
            <w:tcW w:w="3110" w:type="dxa"/>
          </w:tcPr>
          <w:p w:rsidR="00000000" w:rsidRDefault="00000000">
            <w:pPr>
              <w:spacing w:line="240" w:lineRule="auto"/>
            </w:pPr>
            <w:r>
              <w:t>Всего по Бразилии</w:t>
            </w:r>
          </w:p>
        </w:tc>
        <w:tc>
          <w:tcPr>
            <w:tcW w:w="1595" w:type="dxa"/>
          </w:tcPr>
          <w:p w:rsidR="00000000" w:rsidRDefault="00000000">
            <w:pPr>
              <w:spacing w:line="240" w:lineRule="auto"/>
              <w:jc w:val="center"/>
            </w:pPr>
            <w:r>
              <w:t>64,7</w:t>
            </w:r>
          </w:p>
        </w:tc>
        <w:tc>
          <w:tcPr>
            <w:tcW w:w="1595" w:type="dxa"/>
          </w:tcPr>
          <w:p w:rsidR="00000000" w:rsidRDefault="00000000">
            <w:pPr>
              <w:spacing w:line="240" w:lineRule="auto"/>
              <w:jc w:val="center"/>
            </w:pPr>
            <w:r>
              <w:t>81,0</w:t>
            </w:r>
          </w:p>
        </w:tc>
        <w:tc>
          <w:tcPr>
            <w:tcW w:w="1595" w:type="dxa"/>
          </w:tcPr>
          <w:p w:rsidR="00000000" w:rsidRDefault="00000000">
            <w:pPr>
              <w:spacing w:line="240" w:lineRule="auto"/>
              <w:jc w:val="center"/>
            </w:pPr>
            <w:r>
              <w:t>49,7</w:t>
            </w:r>
          </w:p>
        </w:tc>
        <w:tc>
          <w:tcPr>
            <w:tcW w:w="1483" w:type="dxa"/>
          </w:tcPr>
          <w:p w:rsidR="00000000" w:rsidRDefault="00000000">
            <w:pPr>
              <w:spacing w:line="240" w:lineRule="auto"/>
              <w:jc w:val="center"/>
            </w:pPr>
            <w:r>
              <w:t>73,6</w:t>
            </w:r>
          </w:p>
        </w:tc>
      </w:tr>
    </w:tbl>
    <w:p w:rsidR="00000000" w:rsidRDefault="00000000">
      <w:pPr>
        <w:rPr>
          <w:b/>
          <w:bCs/>
          <w:i/>
          <w:iCs/>
          <w:sz w:val="20"/>
        </w:rPr>
      </w:pPr>
    </w:p>
    <w:p w:rsidR="00000000" w:rsidRDefault="00000000">
      <w:pPr>
        <w:spacing w:line="240" w:lineRule="auto"/>
      </w:pPr>
      <w:r>
        <w:rPr>
          <w:i/>
          <w:iCs/>
        </w:rPr>
        <w:tab/>
      </w:r>
      <w:r>
        <w:rPr>
          <w:i/>
          <w:iCs/>
          <w:u w:val="single"/>
        </w:rPr>
        <w:t>Источник</w:t>
      </w:r>
      <w:r>
        <w:t>:  БИГС, ОВОДХ, 1996 год</w:t>
      </w:r>
    </w:p>
    <w:p w:rsidR="00000000" w:rsidRDefault="00000000">
      <w:pPr>
        <w:spacing w:line="240" w:lineRule="auto"/>
      </w:pPr>
    </w:p>
    <w:p w:rsidR="00000000" w:rsidRDefault="00000000">
      <w:pPr>
        <w:spacing w:line="240" w:lineRule="auto"/>
        <w:rPr>
          <w:sz w:val="20"/>
        </w:rPr>
      </w:pPr>
      <w:r>
        <w:rPr>
          <w:i/>
          <w:iCs/>
        </w:rPr>
        <w:tab/>
      </w:r>
      <w:r>
        <w:rPr>
          <w:i/>
          <w:iCs/>
          <w:u w:val="single"/>
        </w:rPr>
        <w:t>Примечание</w:t>
      </w:r>
      <w:r>
        <w:t>:  Без учета данных по сельскому населению штатов Рондония, Акри, Амазонас, Рорайма, Пара и Амапа.</w:t>
      </w:r>
    </w:p>
    <w:p w:rsidR="00000000" w:rsidRDefault="00000000">
      <w:pPr>
        <w:rPr>
          <w:sz w:val="20"/>
        </w:rPr>
      </w:pPr>
    </w:p>
    <w:p w:rsidR="00000000" w:rsidRDefault="00000000">
      <w:pPr>
        <w:rPr>
          <w:sz w:val="20"/>
        </w:rPr>
      </w:pPr>
    </w:p>
    <w:p w:rsidR="00000000" w:rsidRDefault="00000000">
      <w:r>
        <w:t>225.</w:t>
      </w:r>
      <w:r>
        <w:tab/>
        <w:t>Жилищные показатели являются еще одной областью, где можно обнаружить свидетельства неравенства в жилищных условиях бразильского населения в зависимости от цвета кожи.  БИГС квалифицируют жилищные условия, используя два основных показателя и один промежуточный:  адекватные, частично адекватные и неадекватные.  Эти показатели включают в себя следующие критерии:  качество строительства (пол, стены, крыша);  используемые материалы (древесина, кирпич, облицовочная плитка, цинк и т.д.);  коммунальная инфраструктура (канализация, сантехника, водопровод, вывоз мусора и электроснабжение), а также плотность заселения жилищ.</w:t>
      </w:r>
    </w:p>
    <w:p w:rsidR="00000000" w:rsidRDefault="00000000"/>
    <w:p w:rsidR="00000000" w:rsidRDefault="00000000">
      <w:r>
        <w:t>226.</w:t>
      </w:r>
      <w:r>
        <w:tab/>
        <w:t>Согласно этим критериям жилище считается адекватным, если при его строительстве используются такие материалы, как обработанная древесина, ковровое покрытие, кирпич, облицовочная плитка и бетонные блоки для мощения.  Неадекватным является жилище, построенное из уже бывших в употреблении лесоматериалов, земли, необожженного кирпича или имеющее глинобитные стены.</w:t>
      </w:r>
    </w:p>
    <w:p w:rsidR="00000000" w:rsidRDefault="00000000"/>
    <w:p w:rsidR="00000000" w:rsidRDefault="00000000">
      <w:r>
        <w:t>227.</w:t>
      </w:r>
      <w:r>
        <w:tab/>
        <w:t>Что касается наличия коммунальных услуг, то жилище считается адекватным, когда в нем есть электропроводка, система сбора мусора и водопровод, ванная комната в каждом домашнем хозяйстве для исключительного использования его членами, а также общая система канализации или септик.  В жилищах, относимых к категории неадекватных, существует общая ванная комната для нескольких домашних хозяйств, колодец, находящийся на территории жилища или за его пределами, колонка или общая цистерна с водой;  мусор сжигается, закапывается, сбрасывается в реки или выносится на помойку, а электроэнергия либо подается от генераторов, либо вовсе отсутствует, в каковом случае для освещения используют фонари или свечи.</w:t>
      </w:r>
    </w:p>
    <w:p w:rsidR="00000000" w:rsidRDefault="00000000"/>
    <w:p w:rsidR="00000000" w:rsidRDefault="00000000">
      <w:r>
        <w:t>228.</w:t>
      </w:r>
      <w:r>
        <w:tab/>
        <w:t>И наконец, что касается плотности заселения, то жилища, где на одну жилую комнату приходится трое и более жильцов, считаются неадекватными (см. БИГС</w:t>
      </w:r>
      <w:r>
        <w:rPr>
          <w:lang w:val="en-US"/>
        </w:rPr>
        <w:t xml:space="preserve"> , </w:t>
      </w:r>
      <w:r>
        <w:rPr>
          <w:i/>
          <w:iCs/>
          <w:lang w:val="en-US"/>
        </w:rPr>
        <w:t>Pesquisa sobre padrões de vida,</w:t>
      </w:r>
      <w:r>
        <w:rPr>
          <w:lang w:val="en-US"/>
        </w:rPr>
        <w:t xml:space="preserve"> 1996/1997, </w:t>
      </w:r>
      <w:r>
        <w:t>стр</w:t>
      </w:r>
      <w:r>
        <w:rPr>
          <w:lang w:val="en-US"/>
        </w:rPr>
        <w:t xml:space="preserve">. 14).  </w:t>
      </w:r>
      <w:r>
        <w:t>В обследовании на предмет соблюдения жилищных норм, проведенном в двух регионах Бразилии - юго-восточном и северо-восточном, - БИГС была собрана следующая информация о домашних хозяйствах.</w:t>
      </w:r>
    </w:p>
    <w:p w:rsidR="00000000" w:rsidRDefault="00000000"/>
    <w:p w:rsidR="00000000" w:rsidRDefault="00000000">
      <w:pPr>
        <w:jc w:val="center"/>
        <w:rPr>
          <w:b/>
          <w:bCs/>
        </w:rPr>
      </w:pPr>
      <w:r>
        <w:rPr>
          <w:b/>
          <w:bCs/>
        </w:rPr>
        <w:t>Таблица 4</w:t>
      </w:r>
    </w:p>
    <w:p w:rsidR="00000000" w:rsidRDefault="00000000">
      <w:pPr>
        <w:jc w:val="center"/>
        <w:rPr>
          <w:b/>
          <w:bCs/>
        </w:rPr>
      </w:pPr>
    </w:p>
    <w:p w:rsidR="00000000" w:rsidRDefault="00000000">
      <w:pPr>
        <w:jc w:val="center"/>
        <w:rPr>
          <w:b/>
          <w:bCs/>
        </w:rPr>
      </w:pPr>
      <w:r>
        <w:rPr>
          <w:b/>
          <w:bCs/>
        </w:rPr>
        <w:t>Доля домашних хозяйств в разбивке по степени адекватности и с учетом информации о цвете кожи, сообщенной главой домашнего хозяйства,</w:t>
      </w:r>
    </w:p>
    <w:p w:rsidR="00000000" w:rsidRDefault="00000000">
      <w:pPr>
        <w:jc w:val="center"/>
        <w:rPr>
          <w:b/>
          <w:bCs/>
        </w:rPr>
      </w:pPr>
      <w:r>
        <w:rPr>
          <w:b/>
          <w:bCs/>
        </w:rPr>
        <w:t xml:space="preserve">март 1996 года </w:t>
      </w:r>
      <w:r>
        <w:rPr>
          <w:b/>
          <w:bCs/>
        </w:rPr>
        <w:noBreakHyphen/>
        <w:t xml:space="preserve"> март 1997 года (в процентах)</w:t>
      </w:r>
    </w:p>
    <w:p w:rsidR="00000000" w:rsidRDefault="00000000">
      <w:pPr>
        <w:jc w:val="center"/>
        <w:rPr>
          <w:b/>
          <w:bCs/>
        </w:rPr>
      </w:pPr>
    </w:p>
    <w:tbl>
      <w:tblPr>
        <w:tblW w:w="0" w:type="auto"/>
        <w:jc w:val="center"/>
        <w:tblInd w:w="566" w:type="dxa"/>
        <w:tblBorders>
          <w:top w:val="single" w:sz="4" w:space="0" w:color="auto"/>
          <w:bottom w:val="single" w:sz="4" w:space="0" w:color="auto"/>
        </w:tblBorders>
        <w:tblLook w:val="0000" w:firstRow="0" w:lastRow="0" w:firstColumn="0" w:lastColumn="0" w:noHBand="0" w:noVBand="0"/>
      </w:tblPr>
      <w:tblGrid>
        <w:gridCol w:w="3282"/>
        <w:gridCol w:w="2360"/>
        <w:gridCol w:w="2589"/>
      </w:tblGrid>
      <w:tr w:rsidR="00000000">
        <w:tblPrEx>
          <w:tblCellMar>
            <w:top w:w="0" w:type="dxa"/>
            <w:bottom w:w="0" w:type="dxa"/>
          </w:tblCellMar>
        </w:tblPrEx>
        <w:trPr>
          <w:jc w:val="center"/>
        </w:trPr>
        <w:tc>
          <w:tcPr>
            <w:tcW w:w="32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23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Белые</w:t>
            </w:r>
          </w:p>
        </w:tc>
        <w:tc>
          <w:tcPr>
            <w:tcW w:w="258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Чернокожие/Метисы</w:t>
            </w:r>
          </w:p>
        </w:tc>
      </w:tr>
      <w:tr w:rsidR="00000000">
        <w:tblPrEx>
          <w:tblCellMar>
            <w:top w:w="0" w:type="dxa"/>
            <w:bottom w:w="0" w:type="dxa"/>
          </w:tblCellMar>
        </w:tblPrEx>
        <w:trPr>
          <w:jc w:val="center"/>
        </w:trPr>
        <w:tc>
          <w:tcPr>
            <w:tcW w:w="3282" w:type="dxa"/>
            <w:tcBorders>
              <w:top w:val="single" w:sz="4" w:space="0" w:color="auto"/>
              <w:left w:val="single" w:sz="4" w:space="0" w:color="auto"/>
              <w:right w:val="single" w:sz="4" w:space="0" w:color="auto"/>
            </w:tcBorders>
          </w:tcPr>
          <w:p w:rsidR="00000000" w:rsidRDefault="00000000">
            <w:r>
              <w:t>Адекватное жилище</w:t>
            </w:r>
          </w:p>
        </w:tc>
        <w:tc>
          <w:tcPr>
            <w:tcW w:w="2360" w:type="dxa"/>
            <w:tcBorders>
              <w:top w:val="single" w:sz="4" w:space="0" w:color="auto"/>
              <w:left w:val="single" w:sz="4" w:space="0" w:color="auto"/>
              <w:right w:val="single" w:sz="4" w:space="0" w:color="auto"/>
            </w:tcBorders>
          </w:tcPr>
          <w:p w:rsidR="00000000" w:rsidRDefault="00000000">
            <w:pPr>
              <w:jc w:val="center"/>
            </w:pPr>
            <w:r>
              <w:t>54</w:t>
            </w:r>
          </w:p>
        </w:tc>
        <w:tc>
          <w:tcPr>
            <w:tcW w:w="2589" w:type="dxa"/>
            <w:tcBorders>
              <w:top w:val="single" w:sz="4" w:space="0" w:color="auto"/>
              <w:left w:val="single" w:sz="4" w:space="0" w:color="auto"/>
              <w:right w:val="single" w:sz="4" w:space="0" w:color="auto"/>
            </w:tcBorders>
          </w:tcPr>
          <w:p w:rsidR="00000000" w:rsidRDefault="00000000">
            <w:pPr>
              <w:jc w:val="center"/>
            </w:pPr>
            <w:r>
              <w:t>36</w:t>
            </w:r>
          </w:p>
        </w:tc>
      </w:tr>
      <w:tr w:rsidR="00000000">
        <w:tblPrEx>
          <w:tblCellMar>
            <w:top w:w="0" w:type="dxa"/>
            <w:bottom w:w="0" w:type="dxa"/>
          </w:tblCellMar>
        </w:tblPrEx>
        <w:trPr>
          <w:jc w:val="center"/>
        </w:trPr>
        <w:tc>
          <w:tcPr>
            <w:tcW w:w="3282" w:type="dxa"/>
            <w:tcBorders>
              <w:left w:val="single" w:sz="4" w:space="0" w:color="auto"/>
              <w:right w:val="single" w:sz="4" w:space="0" w:color="auto"/>
            </w:tcBorders>
          </w:tcPr>
          <w:p w:rsidR="00000000" w:rsidRDefault="00000000">
            <w:r>
              <w:t>Частично адекватное жилище</w:t>
            </w:r>
          </w:p>
        </w:tc>
        <w:tc>
          <w:tcPr>
            <w:tcW w:w="2360" w:type="dxa"/>
            <w:tcBorders>
              <w:left w:val="single" w:sz="4" w:space="0" w:color="auto"/>
              <w:right w:val="single" w:sz="4" w:space="0" w:color="auto"/>
            </w:tcBorders>
          </w:tcPr>
          <w:p w:rsidR="00000000" w:rsidRDefault="00000000">
            <w:pPr>
              <w:jc w:val="center"/>
            </w:pPr>
            <w:r>
              <w:t>34</w:t>
            </w:r>
          </w:p>
        </w:tc>
        <w:tc>
          <w:tcPr>
            <w:tcW w:w="2589" w:type="dxa"/>
            <w:tcBorders>
              <w:left w:val="single" w:sz="4" w:space="0" w:color="auto"/>
              <w:right w:val="single" w:sz="4" w:space="0" w:color="auto"/>
            </w:tcBorders>
          </w:tcPr>
          <w:p w:rsidR="00000000" w:rsidRDefault="00000000">
            <w:pPr>
              <w:jc w:val="center"/>
            </w:pPr>
            <w:r>
              <w:t>42</w:t>
            </w:r>
          </w:p>
        </w:tc>
      </w:tr>
      <w:tr w:rsidR="00000000">
        <w:tblPrEx>
          <w:tblCellMar>
            <w:top w:w="0" w:type="dxa"/>
            <w:bottom w:w="0" w:type="dxa"/>
          </w:tblCellMar>
        </w:tblPrEx>
        <w:trPr>
          <w:jc w:val="center"/>
        </w:trPr>
        <w:tc>
          <w:tcPr>
            <w:tcW w:w="3282" w:type="dxa"/>
            <w:tcBorders>
              <w:left w:val="single" w:sz="4" w:space="0" w:color="auto"/>
              <w:bottom w:val="single" w:sz="4" w:space="0" w:color="auto"/>
              <w:right w:val="single" w:sz="4" w:space="0" w:color="auto"/>
            </w:tcBorders>
          </w:tcPr>
          <w:p w:rsidR="00000000" w:rsidRDefault="00000000">
            <w:r>
              <w:t>Неадекватное жилище</w:t>
            </w:r>
          </w:p>
        </w:tc>
        <w:tc>
          <w:tcPr>
            <w:tcW w:w="2360" w:type="dxa"/>
            <w:tcBorders>
              <w:left w:val="single" w:sz="4" w:space="0" w:color="auto"/>
              <w:bottom w:val="single" w:sz="4" w:space="0" w:color="auto"/>
              <w:right w:val="single" w:sz="4" w:space="0" w:color="auto"/>
            </w:tcBorders>
          </w:tcPr>
          <w:p w:rsidR="00000000" w:rsidRDefault="00000000">
            <w:pPr>
              <w:jc w:val="center"/>
            </w:pPr>
            <w:r>
              <w:t>12</w:t>
            </w:r>
          </w:p>
        </w:tc>
        <w:tc>
          <w:tcPr>
            <w:tcW w:w="2589" w:type="dxa"/>
            <w:tcBorders>
              <w:left w:val="single" w:sz="4" w:space="0" w:color="auto"/>
              <w:bottom w:val="single" w:sz="4" w:space="0" w:color="auto"/>
              <w:right w:val="single" w:sz="4" w:space="0" w:color="auto"/>
            </w:tcBorders>
          </w:tcPr>
          <w:p w:rsidR="00000000" w:rsidRDefault="00000000">
            <w:pPr>
              <w:jc w:val="center"/>
            </w:pPr>
            <w:r>
              <w:t>32</w:t>
            </w:r>
          </w:p>
        </w:tc>
      </w:tr>
    </w:tbl>
    <w:p w:rsidR="00000000" w:rsidRDefault="00000000"/>
    <w:p w:rsidR="00000000" w:rsidRDefault="00000000">
      <w:pPr>
        <w:rPr>
          <w:i/>
          <w:iCs/>
          <w:lang w:val="en-US"/>
        </w:rPr>
      </w:pPr>
      <w:r>
        <w:rPr>
          <w:i/>
          <w:iCs/>
        </w:rPr>
        <w:tab/>
      </w:r>
      <w:r>
        <w:rPr>
          <w:i/>
          <w:iCs/>
          <w:u w:val="single"/>
        </w:rPr>
        <w:t>Источник</w:t>
      </w:r>
      <w:r>
        <w:rPr>
          <w:i/>
          <w:iCs/>
          <w:lang w:val="en-US"/>
        </w:rPr>
        <w:t>:</w:t>
      </w:r>
      <w:r>
        <w:rPr>
          <w:lang w:val="en-US"/>
        </w:rPr>
        <w:t xml:space="preserve">  </w:t>
      </w:r>
      <w:r>
        <w:rPr>
          <w:i/>
          <w:iCs/>
          <w:lang w:val="en-US"/>
        </w:rPr>
        <w:t>Pesquisa sobre padrões de vida,</w:t>
      </w:r>
      <w:r>
        <w:rPr>
          <w:lang w:val="en-US"/>
        </w:rPr>
        <w:t xml:space="preserve"> 1996</w:t>
      </w:r>
      <w:r>
        <w:rPr>
          <w:lang w:val="en-US"/>
        </w:rPr>
        <w:noBreakHyphen/>
        <w:t xml:space="preserve">1997, </w:t>
      </w:r>
      <w:r>
        <w:t>БИГС</w:t>
      </w:r>
      <w:r>
        <w:rPr>
          <w:lang w:val="en-US"/>
        </w:rPr>
        <w:t xml:space="preserve"> (1996b).</w:t>
      </w:r>
    </w:p>
    <w:p w:rsidR="00000000" w:rsidRDefault="00000000">
      <w:pPr>
        <w:rPr>
          <w:i/>
          <w:iCs/>
          <w:lang w:val="en-US"/>
        </w:rPr>
      </w:pPr>
    </w:p>
    <w:p w:rsidR="00000000" w:rsidRDefault="00000000">
      <w:r>
        <w:t>229.</w:t>
      </w:r>
      <w:r>
        <w:tab/>
        <w:t>Как показывает таблица, процентная доля домашних хозяйств, главой которых является белый бразилец и которые имеют адекватные жилищные условия, в два раза превышает долю домашних хозяйств, возглавляемых чернокожими или метисами.  С другой стороны, гораздо большая доля домашних хозяйств (32%), возглавляемых чернокожими или метисами, имеет неадекватные жилищные условия по сравнению с хозяйствами, возглавляемыми белыми гражданами (12%).  Даже в отношении частично адекватных жилищ более крупная доля приходится на чернокожих и метисов, выступающих в роли глав домашних хозяйств, по сравнению с домашними хозяйствами, которые ведут белые бразильцы.</w:t>
      </w:r>
    </w:p>
    <w:p w:rsidR="00000000" w:rsidRDefault="00000000"/>
    <w:p w:rsidR="00000000" w:rsidRDefault="00000000">
      <w:r>
        <w:t>230.</w:t>
      </w:r>
      <w:r>
        <w:tab/>
        <w:t>Данные о младенческой смертности также свидетельствуют о том, что среди чернокожих и метисов этот показатель выше.  Из каждой тысячи чернокожих детей или детей метисов 62 умирают в возрасте до одного года, в то время как национальный уровень младенческой смертности среди белых составляет 37 промилле.  В приводимой ниже таблице представлены уровни младенческой смертности по основным регионам Бразилии:</w:t>
      </w:r>
    </w:p>
    <w:p w:rsidR="00000000" w:rsidRDefault="00000000"/>
    <w:p w:rsidR="00000000" w:rsidRDefault="00000000">
      <w:pPr>
        <w:jc w:val="center"/>
        <w:rPr>
          <w:b/>
          <w:bCs/>
        </w:rPr>
      </w:pPr>
      <w:r>
        <w:rPr>
          <w:b/>
          <w:bCs/>
        </w:rPr>
        <w:t>Таблица 5</w:t>
      </w:r>
    </w:p>
    <w:p w:rsidR="00000000" w:rsidRDefault="00000000">
      <w:pPr>
        <w:jc w:val="center"/>
        <w:rPr>
          <w:b/>
          <w:bCs/>
        </w:rPr>
      </w:pPr>
    </w:p>
    <w:p w:rsidR="00000000" w:rsidRDefault="00000000">
      <w:pPr>
        <w:jc w:val="center"/>
        <w:rPr>
          <w:b/>
          <w:bCs/>
        </w:rPr>
      </w:pPr>
      <w:r>
        <w:rPr>
          <w:b/>
          <w:bCs/>
        </w:rPr>
        <w:t>Уровни младенческой смертности в разбивке по цвету кожи и расе в основных регионах Бразилии, 1996 год</w:t>
      </w:r>
    </w:p>
    <w:p w:rsidR="00000000" w:rsidRDefault="00000000">
      <w:pPr>
        <w:jc w:val="center"/>
        <w:rPr>
          <w:b/>
          <w:bCs/>
        </w:rPr>
      </w:pPr>
    </w:p>
    <w:tbl>
      <w:tblPr>
        <w:tblW w:w="0" w:type="auto"/>
        <w:jc w:val="center"/>
        <w:tblInd w:w="1060" w:type="dxa"/>
        <w:tblBorders>
          <w:top w:val="single" w:sz="4" w:space="0" w:color="auto"/>
          <w:bottom w:val="single" w:sz="4" w:space="0" w:color="auto"/>
        </w:tblBorders>
        <w:tblLook w:val="0000" w:firstRow="0" w:lastRow="0" w:firstColumn="0" w:lastColumn="0" w:noHBand="0" w:noVBand="0"/>
      </w:tblPr>
      <w:tblGrid>
        <w:gridCol w:w="2601"/>
        <w:gridCol w:w="2704"/>
        <w:gridCol w:w="2492"/>
      </w:tblGrid>
      <w:tr w:rsidR="00000000">
        <w:tblPrEx>
          <w:tblCellMar>
            <w:top w:w="0" w:type="dxa"/>
            <w:bottom w:w="0" w:type="dxa"/>
          </w:tblCellMar>
        </w:tblPrEx>
        <w:trPr>
          <w:tblHeader/>
          <w:jc w:val="center"/>
        </w:trPr>
        <w:tc>
          <w:tcPr>
            <w:tcW w:w="2601"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Регион</w:t>
            </w:r>
          </w:p>
        </w:tc>
        <w:tc>
          <w:tcPr>
            <w:tcW w:w="270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 и метисы</w:t>
            </w:r>
          </w:p>
        </w:tc>
        <w:tc>
          <w:tcPr>
            <w:tcW w:w="24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Белые</w:t>
            </w:r>
          </w:p>
        </w:tc>
      </w:tr>
      <w:tr w:rsidR="00000000">
        <w:tblPrEx>
          <w:tblCellMar>
            <w:top w:w="0" w:type="dxa"/>
            <w:bottom w:w="0" w:type="dxa"/>
          </w:tblCellMar>
        </w:tblPrEx>
        <w:trPr>
          <w:jc w:val="center"/>
        </w:trPr>
        <w:tc>
          <w:tcPr>
            <w:tcW w:w="2601" w:type="dxa"/>
            <w:tcBorders>
              <w:top w:val="single" w:sz="4" w:space="0" w:color="auto"/>
              <w:left w:val="single" w:sz="4" w:space="0" w:color="auto"/>
              <w:bottom w:val="nil"/>
              <w:right w:val="single" w:sz="4" w:space="0" w:color="auto"/>
            </w:tcBorders>
          </w:tcPr>
          <w:p w:rsidR="00000000" w:rsidRDefault="00000000">
            <w:r>
              <w:t>Северный</w:t>
            </w:r>
          </w:p>
        </w:tc>
        <w:tc>
          <w:tcPr>
            <w:tcW w:w="2704" w:type="dxa"/>
            <w:tcBorders>
              <w:top w:val="single" w:sz="4" w:space="0" w:color="auto"/>
              <w:left w:val="single" w:sz="4" w:space="0" w:color="auto"/>
              <w:bottom w:val="nil"/>
              <w:right w:val="single" w:sz="4" w:space="0" w:color="auto"/>
            </w:tcBorders>
          </w:tcPr>
          <w:p w:rsidR="00000000" w:rsidRDefault="00000000">
            <w:pPr>
              <w:tabs>
                <w:tab w:val="clear" w:pos="1701"/>
              </w:tabs>
              <w:jc w:val="center"/>
              <w:rPr>
                <w:lang w:val="en-US"/>
              </w:rPr>
            </w:pPr>
            <w:r>
              <w:rPr>
                <w:lang w:val="en-US"/>
              </w:rPr>
              <w:t>-</w:t>
            </w:r>
          </w:p>
        </w:tc>
        <w:tc>
          <w:tcPr>
            <w:tcW w:w="2492" w:type="dxa"/>
            <w:tcBorders>
              <w:top w:val="single" w:sz="4" w:space="0" w:color="auto"/>
              <w:left w:val="single" w:sz="4" w:space="0" w:color="auto"/>
              <w:bottom w:val="nil"/>
              <w:right w:val="single" w:sz="4" w:space="0" w:color="auto"/>
            </w:tcBorders>
          </w:tcPr>
          <w:p w:rsidR="00000000" w:rsidRDefault="00000000">
            <w:pPr>
              <w:tabs>
                <w:tab w:val="clear" w:pos="1701"/>
              </w:tabs>
              <w:jc w:val="center"/>
              <w:rPr>
                <w:lang w:val="en-US"/>
              </w:rPr>
            </w:pPr>
            <w:r>
              <w:rPr>
                <w:lang w:val="en-US"/>
              </w:rPr>
              <w:t>-</w:t>
            </w:r>
          </w:p>
        </w:tc>
      </w:tr>
      <w:tr w:rsidR="00000000">
        <w:tblPrEx>
          <w:tblCellMar>
            <w:top w:w="0" w:type="dxa"/>
            <w:bottom w:w="0" w:type="dxa"/>
          </w:tblCellMar>
        </w:tblPrEx>
        <w:trPr>
          <w:jc w:val="center"/>
        </w:trPr>
        <w:tc>
          <w:tcPr>
            <w:tcW w:w="2601" w:type="dxa"/>
            <w:tcBorders>
              <w:top w:val="nil"/>
              <w:left w:val="single" w:sz="4" w:space="0" w:color="auto"/>
              <w:bottom w:val="nil"/>
              <w:right w:val="single" w:sz="4" w:space="0" w:color="auto"/>
            </w:tcBorders>
          </w:tcPr>
          <w:p w:rsidR="00000000" w:rsidRDefault="00000000">
            <w:r>
              <w:t>Северо-восточный</w:t>
            </w:r>
          </w:p>
        </w:tc>
        <w:tc>
          <w:tcPr>
            <w:tcW w:w="2704" w:type="dxa"/>
            <w:tcBorders>
              <w:top w:val="nil"/>
              <w:left w:val="single" w:sz="4" w:space="0" w:color="auto"/>
              <w:bottom w:val="nil"/>
              <w:right w:val="single" w:sz="4" w:space="0" w:color="auto"/>
            </w:tcBorders>
          </w:tcPr>
          <w:p w:rsidR="00000000" w:rsidRDefault="00000000">
            <w:pPr>
              <w:tabs>
                <w:tab w:val="clear" w:pos="1701"/>
              </w:tabs>
              <w:jc w:val="center"/>
              <w:rPr>
                <w:lang w:val="en-US"/>
              </w:rPr>
            </w:pPr>
            <w:r>
              <w:rPr>
                <w:lang w:val="en-US"/>
              </w:rPr>
              <w:t>96,3</w:t>
            </w:r>
          </w:p>
        </w:tc>
        <w:tc>
          <w:tcPr>
            <w:tcW w:w="2492" w:type="dxa"/>
            <w:tcBorders>
              <w:top w:val="nil"/>
              <w:left w:val="single" w:sz="4" w:space="0" w:color="auto"/>
              <w:bottom w:val="nil"/>
              <w:right w:val="single" w:sz="4" w:space="0" w:color="auto"/>
            </w:tcBorders>
          </w:tcPr>
          <w:p w:rsidR="00000000" w:rsidRDefault="00000000">
            <w:pPr>
              <w:tabs>
                <w:tab w:val="clear" w:pos="1701"/>
              </w:tabs>
              <w:jc w:val="center"/>
              <w:rPr>
                <w:lang w:val="en-US"/>
              </w:rPr>
            </w:pPr>
            <w:r>
              <w:rPr>
                <w:lang w:val="en-US"/>
              </w:rPr>
              <w:t>68,0</w:t>
            </w:r>
          </w:p>
        </w:tc>
      </w:tr>
      <w:tr w:rsidR="00000000">
        <w:tblPrEx>
          <w:tblCellMar>
            <w:top w:w="0" w:type="dxa"/>
            <w:bottom w:w="0" w:type="dxa"/>
          </w:tblCellMar>
        </w:tblPrEx>
        <w:trPr>
          <w:jc w:val="center"/>
        </w:trPr>
        <w:tc>
          <w:tcPr>
            <w:tcW w:w="2601" w:type="dxa"/>
            <w:tcBorders>
              <w:top w:val="nil"/>
              <w:left w:val="single" w:sz="4" w:space="0" w:color="auto"/>
              <w:right w:val="single" w:sz="4" w:space="0" w:color="auto"/>
            </w:tcBorders>
          </w:tcPr>
          <w:p w:rsidR="00000000" w:rsidRDefault="00000000">
            <w:r>
              <w:t>Юго-восточный</w:t>
            </w:r>
          </w:p>
        </w:tc>
        <w:tc>
          <w:tcPr>
            <w:tcW w:w="2704" w:type="dxa"/>
            <w:tcBorders>
              <w:top w:val="nil"/>
              <w:left w:val="single" w:sz="4" w:space="0" w:color="auto"/>
              <w:right w:val="single" w:sz="4" w:space="0" w:color="auto"/>
            </w:tcBorders>
          </w:tcPr>
          <w:p w:rsidR="00000000" w:rsidRDefault="00000000">
            <w:pPr>
              <w:tabs>
                <w:tab w:val="clear" w:pos="1701"/>
              </w:tabs>
              <w:jc w:val="center"/>
              <w:rPr>
                <w:lang w:val="en-US"/>
              </w:rPr>
            </w:pPr>
            <w:r>
              <w:rPr>
                <w:lang w:val="en-US"/>
              </w:rPr>
              <w:t>43,1</w:t>
            </w:r>
          </w:p>
        </w:tc>
        <w:tc>
          <w:tcPr>
            <w:tcW w:w="2492" w:type="dxa"/>
            <w:tcBorders>
              <w:top w:val="nil"/>
              <w:left w:val="single" w:sz="4" w:space="0" w:color="auto"/>
              <w:right w:val="single" w:sz="4" w:space="0" w:color="auto"/>
            </w:tcBorders>
          </w:tcPr>
          <w:p w:rsidR="00000000" w:rsidRDefault="00000000">
            <w:pPr>
              <w:tabs>
                <w:tab w:val="clear" w:pos="1701"/>
              </w:tabs>
              <w:jc w:val="center"/>
              <w:rPr>
                <w:lang w:val="en-US"/>
              </w:rPr>
            </w:pPr>
            <w:r>
              <w:rPr>
                <w:lang w:val="en-US"/>
              </w:rPr>
              <w:t>25,1</w:t>
            </w:r>
          </w:p>
        </w:tc>
      </w:tr>
      <w:tr w:rsidR="00000000">
        <w:tblPrEx>
          <w:tblCellMar>
            <w:top w:w="0" w:type="dxa"/>
            <w:bottom w:w="0" w:type="dxa"/>
          </w:tblCellMar>
        </w:tblPrEx>
        <w:trPr>
          <w:jc w:val="center"/>
        </w:trPr>
        <w:tc>
          <w:tcPr>
            <w:tcW w:w="2601" w:type="dxa"/>
            <w:tcBorders>
              <w:left w:val="single" w:sz="4" w:space="0" w:color="auto"/>
              <w:right w:val="single" w:sz="4" w:space="0" w:color="auto"/>
            </w:tcBorders>
          </w:tcPr>
          <w:p w:rsidR="00000000" w:rsidRDefault="00000000">
            <w:r>
              <w:t>Южный</w:t>
            </w:r>
          </w:p>
        </w:tc>
        <w:tc>
          <w:tcPr>
            <w:tcW w:w="2704" w:type="dxa"/>
            <w:tcBorders>
              <w:left w:val="single" w:sz="4" w:space="0" w:color="auto"/>
              <w:right w:val="single" w:sz="4" w:space="0" w:color="auto"/>
            </w:tcBorders>
          </w:tcPr>
          <w:p w:rsidR="00000000" w:rsidRDefault="00000000">
            <w:pPr>
              <w:tabs>
                <w:tab w:val="clear" w:pos="1701"/>
              </w:tabs>
              <w:jc w:val="center"/>
              <w:rPr>
                <w:lang w:val="en-US"/>
              </w:rPr>
            </w:pPr>
            <w:r>
              <w:rPr>
                <w:lang w:val="en-US"/>
              </w:rPr>
              <w:t>38,9</w:t>
            </w:r>
          </w:p>
        </w:tc>
        <w:tc>
          <w:tcPr>
            <w:tcW w:w="2492" w:type="dxa"/>
            <w:tcBorders>
              <w:left w:val="single" w:sz="4" w:space="0" w:color="auto"/>
              <w:right w:val="single" w:sz="4" w:space="0" w:color="auto"/>
            </w:tcBorders>
          </w:tcPr>
          <w:p w:rsidR="00000000" w:rsidRDefault="00000000">
            <w:pPr>
              <w:tabs>
                <w:tab w:val="clear" w:pos="1701"/>
              </w:tabs>
              <w:jc w:val="center"/>
              <w:rPr>
                <w:lang w:val="en-US"/>
              </w:rPr>
            </w:pPr>
            <w:r>
              <w:rPr>
                <w:lang w:val="en-US"/>
              </w:rPr>
              <w:t>28,3</w:t>
            </w:r>
          </w:p>
        </w:tc>
      </w:tr>
      <w:tr w:rsidR="00000000">
        <w:tblPrEx>
          <w:tblCellMar>
            <w:top w:w="0" w:type="dxa"/>
            <w:bottom w:w="0" w:type="dxa"/>
          </w:tblCellMar>
        </w:tblPrEx>
        <w:trPr>
          <w:jc w:val="center"/>
        </w:trPr>
        <w:tc>
          <w:tcPr>
            <w:tcW w:w="2601" w:type="dxa"/>
            <w:tcBorders>
              <w:left w:val="single" w:sz="4" w:space="0" w:color="auto"/>
              <w:bottom w:val="single" w:sz="4" w:space="0" w:color="auto"/>
              <w:right w:val="single" w:sz="4" w:space="0" w:color="auto"/>
            </w:tcBorders>
          </w:tcPr>
          <w:p w:rsidR="00000000" w:rsidRDefault="00000000">
            <w:r>
              <w:t>Центрально-западный</w:t>
            </w:r>
          </w:p>
        </w:tc>
        <w:tc>
          <w:tcPr>
            <w:tcW w:w="2704" w:type="dxa"/>
            <w:tcBorders>
              <w:left w:val="single" w:sz="4" w:space="0" w:color="auto"/>
              <w:bottom w:val="single" w:sz="4" w:space="0" w:color="auto"/>
              <w:right w:val="single" w:sz="4" w:space="0" w:color="auto"/>
            </w:tcBorders>
          </w:tcPr>
          <w:p w:rsidR="00000000" w:rsidRDefault="00000000">
            <w:pPr>
              <w:tabs>
                <w:tab w:val="clear" w:pos="1701"/>
              </w:tabs>
              <w:jc w:val="center"/>
              <w:rPr>
                <w:lang w:val="en-US"/>
              </w:rPr>
            </w:pPr>
            <w:r>
              <w:rPr>
                <w:lang w:val="en-US"/>
              </w:rPr>
              <w:t>42,0</w:t>
            </w:r>
          </w:p>
        </w:tc>
        <w:tc>
          <w:tcPr>
            <w:tcW w:w="2492" w:type="dxa"/>
            <w:tcBorders>
              <w:left w:val="single" w:sz="4" w:space="0" w:color="auto"/>
              <w:bottom w:val="single" w:sz="4" w:space="0" w:color="auto"/>
              <w:right w:val="single" w:sz="4" w:space="0" w:color="auto"/>
            </w:tcBorders>
          </w:tcPr>
          <w:p w:rsidR="00000000" w:rsidRDefault="00000000">
            <w:pPr>
              <w:tabs>
                <w:tab w:val="clear" w:pos="1701"/>
              </w:tabs>
              <w:jc w:val="center"/>
              <w:rPr>
                <w:lang w:val="en-US"/>
              </w:rPr>
            </w:pPr>
            <w:r>
              <w:rPr>
                <w:lang w:val="en-US"/>
              </w:rPr>
              <w:t>27,9</w:t>
            </w:r>
          </w:p>
        </w:tc>
      </w:tr>
      <w:tr w:rsidR="00000000">
        <w:tblPrEx>
          <w:tblCellMar>
            <w:top w:w="0" w:type="dxa"/>
            <w:bottom w:w="0" w:type="dxa"/>
          </w:tblCellMar>
        </w:tblPrEx>
        <w:trPr>
          <w:jc w:val="center"/>
        </w:trPr>
        <w:tc>
          <w:tcPr>
            <w:tcW w:w="2601" w:type="dxa"/>
            <w:tcBorders>
              <w:top w:val="single" w:sz="4" w:space="0" w:color="auto"/>
              <w:left w:val="single" w:sz="4" w:space="0" w:color="auto"/>
              <w:bottom w:val="single" w:sz="4" w:space="0" w:color="auto"/>
              <w:right w:val="single" w:sz="4" w:space="0" w:color="auto"/>
            </w:tcBorders>
          </w:tcPr>
          <w:p w:rsidR="00000000" w:rsidRDefault="00000000">
            <w:r>
              <w:t>Всего по Бразилии</w:t>
            </w:r>
          </w:p>
        </w:tc>
        <w:tc>
          <w:tcPr>
            <w:tcW w:w="270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jc w:val="center"/>
            </w:pPr>
            <w:r>
              <w:t>62,3</w:t>
            </w:r>
          </w:p>
        </w:tc>
        <w:tc>
          <w:tcPr>
            <w:tcW w:w="2492"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jc w:val="center"/>
            </w:pPr>
            <w:r>
              <w:t>37,3</w:t>
            </w:r>
          </w:p>
        </w:tc>
      </w:tr>
    </w:tbl>
    <w:p w:rsidR="00000000" w:rsidRDefault="00000000"/>
    <w:p w:rsidR="00000000" w:rsidRDefault="00000000">
      <w:pPr>
        <w:rPr>
          <w:i/>
          <w:iCs/>
        </w:rPr>
      </w:pPr>
      <w:r>
        <w:rPr>
          <w:i/>
          <w:iCs/>
        </w:rPr>
        <w:tab/>
      </w:r>
      <w:r>
        <w:rPr>
          <w:i/>
          <w:iCs/>
          <w:u w:val="single"/>
        </w:rPr>
        <w:t>Источник</w:t>
      </w:r>
      <w:r>
        <w:rPr>
          <w:i/>
          <w:iCs/>
        </w:rPr>
        <w:t xml:space="preserve">:  </w:t>
      </w:r>
      <w:r>
        <w:t>БИГС, ОВОДХ 1996 год</w:t>
      </w:r>
      <w:r>
        <w:rPr>
          <w:i/>
          <w:iCs/>
        </w:rPr>
        <w:t>.</w:t>
      </w:r>
    </w:p>
    <w:p w:rsidR="00000000" w:rsidRDefault="00000000">
      <w:pPr>
        <w:rPr>
          <w:i/>
          <w:iCs/>
        </w:rPr>
      </w:pPr>
    </w:p>
    <w:p w:rsidR="00000000" w:rsidRDefault="00000000">
      <w:r>
        <w:t>231.</w:t>
      </w:r>
      <w:r>
        <w:tab/>
        <w:t>В 1977 году коэффициент младенческой смертности составлял 87 человек на 1 000 живорождений, причем среди белого населения этот показатель составлял 76, а среди чернокожих и метисов - 96.  В 1987 году были отмечены улучшения с точки зрения коэффициента младенческой смертности среди граждан с темным цветом кожи.  Общенациональный уровень снизился до 58, среди белого населения - до 43, а среди чернокожих и метисов - до 72 человек.</w:t>
      </w:r>
    </w:p>
    <w:p w:rsidR="00000000" w:rsidRDefault="00000000"/>
    <w:p w:rsidR="00000000" w:rsidRDefault="00000000">
      <w:r>
        <w:t>232.</w:t>
      </w:r>
      <w:r>
        <w:tab/>
        <w:t xml:space="preserve">Несмотря на то, что коэффициент младенческой смертности устойчиво снижался, неравенство в уровнях смертности среди цветного населения сохранялось.  В 1996 году на каждую 1 000 живорождений отмечалось 37,5 смертей среди детей в возрасте до одного года.  В 1998 году, согласно БИГС, коэффициент младенческой смертности в Бразилии составлял 36,1 (см. </w:t>
      </w:r>
      <w:r>
        <w:rPr>
          <w:lang w:val="en-US"/>
        </w:rPr>
        <w:t xml:space="preserve">Sintese dos Indicadores Sociais, 1999).  </w:t>
      </w:r>
      <w:r>
        <w:t>Следующие данные (таблица 6 ниже) также указывают на то, что во всех регионах Бразилии среди чернокожих и метисов отмечается большее количество неграмотных, чем среди белого населения.</w:t>
      </w:r>
    </w:p>
    <w:p w:rsidR="00000000" w:rsidRDefault="00000000"/>
    <w:p w:rsidR="00000000" w:rsidRDefault="00000000">
      <w:pPr>
        <w:jc w:val="center"/>
        <w:rPr>
          <w:b/>
          <w:bCs/>
        </w:rPr>
      </w:pPr>
      <w:r>
        <w:rPr>
          <w:b/>
          <w:bCs/>
        </w:rPr>
        <w:t>Таблица 6</w:t>
      </w:r>
    </w:p>
    <w:p w:rsidR="00000000" w:rsidRDefault="00000000">
      <w:pPr>
        <w:jc w:val="center"/>
        <w:rPr>
          <w:b/>
          <w:bCs/>
        </w:rPr>
      </w:pPr>
    </w:p>
    <w:p w:rsidR="00000000" w:rsidRDefault="00000000">
      <w:pPr>
        <w:jc w:val="center"/>
        <w:rPr>
          <w:b/>
          <w:bCs/>
        </w:rPr>
      </w:pPr>
      <w:r>
        <w:rPr>
          <w:b/>
          <w:bCs/>
        </w:rPr>
        <w:t xml:space="preserve">Коэффициент неграмотности среди лиц старше 15 лет в разбивке по расе </w:t>
      </w:r>
    </w:p>
    <w:p w:rsidR="00000000" w:rsidRDefault="00000000">
      <w:pPr>
        <w:jc w:val="center"/>
        <w:rPr>
          <w:b/>
          <w:bCs/>
        </w:rPr>
      </w:pPr>
      <w:r>
        <w:rPr>
          <w:b/>
          <w:bCs/>
        </w:rPr>
        <w:t>в основных регионах Бразилии, 1997 год</w:t>
      </w:r>
    </w:p>
    <w:p w:rsidR="00000000" w:rsidRDefault="00000000">
      <w:pPr>
        <w:jc w:val="center"/>
        <w:rPr>
          <w:b/>
          <w:bCs/>
        </w:rPr>
      </w:pPr>
    </w:p>
    <w:tbl>
      <w:tblPr>
        <w:tblW w:w="9107" w:type="dxa"/>
        <w:jc w:val="center"/>
        <w:tblInd w:w="496" w:type="dxa"/>
        <w:tblBorders>
          <w:top w:val="single" w:sz="4" w:space="0" w:color="auto"/>
          <w:bottom w:val="single" w:sz="4" w:space="0" w:color="auto"/>
        </w:tblBorders>
        <w:tblLayout w:type="fixed"/>
        <w:tblLook w:val="0000" w:firstRow="0" w:lastRow="0" w:firstColumn="0" w:lastColumn="0" w:noHBand="0" w:noVBand="0"/>
      </w:tblPr>
      <w:tblGrid>
        <w:gridCol w:w="2791"/>
        <w:gridCol w:w="1633"/>
        <w:gridCol w:w="1624"/>
        <w:gridCol w:w="1651"/>
        <w:gridCol w:w="1408"/>
      </w:tblGrid>
      <w:tr w:rsidR="00000000">
        <w:tblPrEx>
          <w:tblCellMar>
            <w:top w:w="0" w:type="dxa"/>
            <w:bottom w:w="0" w:type="dxa"/>
          </w:tblCellMar>
        </w:tblPrEx>
        <w:trPr>
          <w:jc w:val="center"/>
        </w:trPr>
        <w:tc>
          <w:tcPr>
            <w:tcW w:w="2791"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Регион</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vertAlign w:val="superscript"/>
              </w:rPr>
            </w:pPr>
            <w:r>
              <w:rPr>
                <w:b/>
                <w:bCs/>
              </w:rPr>
              <w:t>Всего</w:t>
            </w:r>
            <w:r>
              <w:rPr>
                <w:b/>
                <w:bCs/>
                <w:vertAlign w:val="superscript"/>
              </w:rPr>
              <w:t>а</w:t>
            </w:r>
          </w:p>
        </w:tc>
        <w:tc>
          <w:tcPr>
            <w:tcW w:w="162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Белые</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w:t>
            </w:r>
          </w:p>
        </w:tc>
        <w:tc>
          <w:tcPr>
            <w:tcW w:w="140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Метисы</w:t>
            </w:r>
          </w:p>
        </w:tc>
      </w:tr>
      <w:tr w:rsidR="00000000">
        <w:tblPrEx>
          <w:tblCellMar>
            <w:top w:w="0" w:type="dxa"/>
            <w:bottom w:w="0" w:type="dxa"/>
          </w:tblCellMar>
        </w:tblPrEx>
        <w:trPr>
          <w:jc w:val="center"/>
        </w:trPr>
        <w:tc>
          <w:tcPr>
            <w:tcW w:w="2791" w:type="dxa"/>
            <w:tcBorders>
              <w:top w:val="single" w:sz="4" w:space="0" w:color="auto"/>
              <w:left w:val="single" w:sz="4" w:space="0" w:color="auto"/>
              <w:right w:val="single" w:sz="4" w:space="0" w:color="auto"/>
            </w:tcBorders>
          </w:tcPr>
          <w:p w:rsidR="00000000" w:rsidRDefault="00000000">
            <w:pPr>
              <w:rPr>
                <w:b/>
                <w:bCs/>
                <w:vertAlign w:val="superscript"/>
              </w:rPr>
            </w:pPr>
            <w:r>
              <w:t>Северный</w:t>
            </w:r>
            <w:r>
              <w:rPr>
                <w:b/>
                <w:bCs/>
                <w:vertAlign w:val="superscript"/>
                <w:lang w:val="en-US"/>
              </w:rPr>
              <w:t>b</w:t>
            </w:r>
          </w:p>
        </w:tc>
        <w:tc>
          <w:tcPr>
            <w:tcW w:w="1633" w:type="dxa"/>
            <w:tcBorders>
              <w:top w:val="single" w:sz="4" w:space="0" w:color="auto"/>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11,8</w:t>
            </w:r>
          </w:p>
        </w:tc>
        <w:tc>
          <w:tcPr>
            <w:tcW w:w="1624" w:type="dxa"/>
            <w:tcBorders>
              <w:top w:val="single" w:sz="4" w:space="0" w:color="auto"/>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7,5</w:t>
            </w:r>
          </w:p>
        </w:tc>
        <w:tc>
          <w:tcPr>
            <w:tcW w:w="1651" w:type="dxa"/>
            <w:tcBorders>
              <w:top w:val="single" w:sz="4" w:space="0" w:color="auto"/>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22,6</w:t>
            </w:r>
          </w:p>
        </w:tc>
        <w:tc>
          <w:tcPr>
            <w:tcW w:w="1408" w:type="dxa"/>
            <w:tcBorders>
              <w:top w:val="single" w:sz="4" w:space="0" w:color="auto"/>
              <w:left w:val="single" w:sz="4" w:space="0" w:color="auto"/>
              <w:right w:val="single" w:sz="4" w:space="0" w:color="auto"/>
            </w:tcBorders>
          </w:tcPr>
          <w:p w:rsidR="00000000" w:rsidRDefault="00000000">
            <w:pPr>
              <w:tabs>
                <w:tab w:val="clear" w:pos="1134"/>
                <w:tab w:val="clear" w:pos="1701"/>
              </w:tabs>
              <w:ind w:right="372"/>
              <w:jc w:val="right"/>
              <w:rPr>
                <w:lang w:val="en-US"/>
              </w:rPr>
            </w:pPr>
            <w:r>
              <w:rPr>
                <w:lang w:val="en-US"/>
              </w:rPr>
              <w:t>13,2</w:t>
            </w:r>
          </w:p>
        </w:tc>
      </w:tr>
      <w:tr w:rsidR="00000000">
        <w:tblPrEx>
          <w:tblCellMar>
            <w:top w:w="0" w:type="dxa"/>
            <w:bottom w:w="0" w:type="dxa"/>
          </w:tblCellMar>
        </w:tblPrEx>
        <w:trPr>
          <w:jc w:val="center"/>
        </w:trPr>
        <w:tc>
          <w:tcPr>
            <w:tcW w:w="2791" w:type="dxa"/>
            <w:tcBorders>
              <w:left w:val="single" w:sz="4" w:space="0" w:color="auto"/>
              <w:right w:val="single" w:sz="4" w:space="0" w:color="auto"/>
            </w:tcBorders>
          </w:tcPr>
          <w:p w:rsidR="00000000" w:rsidRDefault="00000000">
            <w:r>
              <w:t>Северо-восточный</w:t>
            </w:r>
          </w:p>
        </w:tc>
        <w:tc>
          <w:tcPr>
            <w:tcW w:w="1633"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27,5</w:t>
            </w:r>
          </w:p>
        </w:tc>
        <w:tc>
          <w:tcPr>
            <w:tcW w:w="1624"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20,3</w:t>
            </w:r>
          </w:p>
        </w:tc>
        <w:tc>
          <w:tcPr>
            <w:tcW w:w="1651"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36,2</w:t>
            </w:r>
          </w:p>
        </w:tc>
        <w:tc>
          <w:tcPr>
            <w:tcW w:w="1408" w:type="dxa"/>
            <w:tcBorders>
              <w:left w:val="single" w:sz="4" w:space="0" w:color="auto"/>
              <w:right w:val="single" w:sz="4" w:space="0" w:color="auto"/>
            </w:tcBorders>
          </w:tcPr>
          <w:p w:rsidR="00000000" w:rsidRDefault="00000000">
            <w:pPr>
              <w:tabs>
                <w:tab w:val="clear" w:pos="1134"/>
                <w:tab w:val="clear" w:pos="1701"/>
              </w:tabs>
              <w:ind w:right="372"/>
              <w:jc w:val="right"/>
              <w:rPr>
                <w:lang w:val="en-US"/>
              </w:rPr>
            </w:pPr>
            <w:r>
              <w:rPr>
                <w:lang w:val="en-US"/>
              </w:rPr>
              <w:t>30,1</w:t>
            </w:r>
          </w:p>
        </w:tc>
      </w:tr>
      <w:tr w:rsidR="00000000">
        <w:tblPrEx>
          <w:tblCellMar>
            <w:top w:w="0" w:type="dxa"/>
            <w:bottom w:w="0" w:type="dxa"/>
          </w:tblCellMar>
        </w:tblPrEx>
        <w:trPr>
          <w:jc w:val="center"/>
        </w:trPr>
        <w:tc>
          <w:tcPr>
            <w:tcW w:w="2791" w:type="dxa"/>
            <w:tcBorders>
              <w:left w:val="single" w:sz="4" w:space="0" w:color="auto"/>
              <w:right w:val="single" w:sz="4" w:space="0" w:color="auto"/>
            </w:tcBorders>
          </w:tcPr>
          <w:p w:rsidR="00000000" w:rsidRDefault="00000000">
            <w:r>
              <w:t>Юго-восточный</w:t>
            </w:r>
          </w:p>
        </w:tc>
        <w:tc>
          <w:tcPr>
            <w:tcW w:w="1633"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8,1</w:t>
            </w:r>
          </w:p>
        </w:tc>
        <w:tc>
          <w:tcPr>
            <w:tcW w:w="1624"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5,9</w:t>
            </w:r>
          </w:p>
        </w:tc>
        <w:tc>
          <w:tcPr>
            <w:tcW w:w="1651"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15,1</w:t>
            </w:r>
          </w:p>
        </w:tc>
        <w:tc>
          <w:tcPr>
            <w:tcW w:w="1408" w:type="dxa"/>
            <w:tcBorders>
              <w:left w:val="single" w:sz="4" w:space="0" w:color="auto"/>
              <w:right w:val="single" w:sz="4" w:space="0" w:color="auto"/>
            </w:tcBorders>
          </w:tcPr>
          <w:p w:rsidR="00000000" w:rsidRDefault="00000000">
            <w:pPr>
              <w:tabs>
                <w:tab w:val="clear" w:pos="567"/>
                <w:tab w:val="clear" w:pos="1134"/>
                <w:tab w:val="clear" w:pos="1701"/>
              </w:tabs>
              <w:ind w:right="372"/>
              <w:jc w:val="right"/>
              <w:rPr>
                <w:lang w:val="en-US"/>
              </w:rPr>
            </w:pPr>
            <w:r>
              <w:rPr>
                <w:lang w:val="en-US"/>
              </w:rPr>
              <w:t>11,7</w:t>
            </w:r>
          </w:p>
        </w:tc>
      </w:tr>
      <w:tr w:rsidR="00000000">
        <w:tblPrEx>
          <w:tblCellMar>
            <w:top w:w="0" w:type="dxa"/>
            <w:bottom w:w="0" w:type="dxa"/>
          </w:tblCellMar>
        </w:tblPrEx>
        <w:trPr>
          <w:jc w:val="center"/>
        </w:trPr>
        <w:tc>
          <w:tcPr>
            <w:tcW w:w="2791" w:type="dxa"/>
            <w:tcBorders>
              <w:left w:val="single" w:sz="4" w:space="0" w:color="auto"/>
              <w:right w:val="single" w:sz="4" w:space="0" w:color="auto"/>
            </w:tcBorders>
          </w:tcPr>
          <w:p w:rsidR="00000000" w:rsidRDefault="00000000">
            <w:r>
              <w:t>Южный</w:t>
            </w:r>
          </w:p>
        </w:tc>
        <w:tc>
          <w:tcPr>
            <w:tcW w:w="1633"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8,1</w:t>
            </w:r>
          </w:p>
        </w:tc>
        <w:tc>
          <w:tcPr>
            <w:tcW w:w="1624"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6,8</w:t>
            </w:r>
          </w:p>
        </w:tc>
        <w:tc>
          <w:tcPr>
            <w:tcW w:w="1651" w:type="dxa"/>
            <w:tcBorders>
              <w:left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15,1</w:t>
            </w:r>
          </w:p>
        </w:tc>
        <w:tc>
          <w:tcPr>
            <w:tcW w:w="1408" w:type="dxa"/>
            <w:tcBorders>
              <w:left w:val="single" w:sz="4" w:space="0" w:color="auto"/>
              <w:right w:val="single" w:sz="4" w:space="0" w:color="auto"/>
            </w:tcBorders>
          </w:tcPr>
          <w:p w:rsidR="00000000" w:rsidRDefault="00000000">
            <w:pPr>
              <w:tabs>
                <w:tab w:val="clear" w:pos="567"/>
                <w:tab w:val="clear" w:pos="1134"/>
                <w:tab w:val="clear" w:pos="1701"/>
              </w:tabs>
              <w:ind w:right="372"/>
              <w:jc w:val="right"/>
              <w:rPr>
                <w:lang w:val="en-US"/>
              </w:rPr>
            </w:pPr>
            <w:r>
              <w:rPr>
                <w:lang w:val="en-US"/>
              </w:rPr>
              <w:t>14,9</w:t>
            </w:r>
          </w:p>
        </w:tc>
      </w:tr>
      <w:tr w:rsidR="00000000">
        <w:tblPrEx>
          <w:tblCellMar>
            <w:top w:w="0" w:type="dxa"/>
            <w:bottom w:w="0" w:type="dxa"/>
          </w:tblCellMar>
        </w:tblPrEx>
        <w:trPr>
          <w:jc w:val="center"/>
        </w:trPr>
        <w:tc>
          <w:tcPr>
            <w:tcW w:w="2791" w:type="dxa"/>
            <w:tcBorders>
              <w:left w:val="single" w:sz="4" w:space="0" w:color="auto"/>
              <w:bottom w:val="single" w:sz="4" w:space="0" w:color="auto"/>
              <w:right w:val="single" w:sz="4" w:space="0" w:color="auto"/>
            </w:tcBorders>
          </w:tcPr>
          <w:p w:rsidR="00000000" w:rsidRDefault="00000000">
            <w:r>
              <w:t>Центрально-западный</w:t>
            </w:r>
          </w:p>
        </w:tc>
        <w:tc>
          <w:tcPr>
            <w:tcW w:w="1633" w:type="dxa"/>
            <w:tcBorders>
              <w:left w:val="single" w:sz="4" w:space="0" w:color="auto"/>
              <w:bottom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11,1</w:t>
            </w:r>
          </w:p>
        </w:tc>
        <w:tc>
          <w:tcPr>
            <w:tcW w:w="1624" w:type="dxa"/>
            <w:tcBorders>
              <w:left w:val="single" w:sz="4" w:space="0" w:color="auto"/>
              <w:bottom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7,7</w:t>
            </w:r>
          </w:p>
        </w:tc>
        <w:tc>
          <w:tcPr>
            <w:tcW w:w="1651" w:type="dxa"/>
            <w:tcBorders>
              <w:left w:val="single" w:sz="4" w:space="0" w:color="auto"/>
              <w:bottom w:val="single" w:sz="4" w:space="0" w:color="auto"/>
              <w:right w:val="single" w:sz="4" w:space="0" w:color="auto"/>
            </w:tcBorders>
          </w:tcPr>
          <w:p w:rsidR="00000000" w:rsidRDefault="00000000">
            <w:pPr>
              <w:tabs>
                <w:tab w:val="clear" w:pos="1134"/>
                <w:tab w:val="clear" w:pos="1701"/>
              </w:tabs>
              <w:ind w:right="470"/>
              <w:jc w:val="right"/>
              <w:rPr>
                <w:lang w:val="en-US"/>
              </w:rPr>
            </w:pPr>
            <w:r>
              <w:rPr>
                <w:lang w:val="en-US"/>
              </w:rPr>
              <w:t>21,6</w:t>
            </w:r>
          </w:p>
        </w:tc>
        <w:tc>
          <w:tcPr>
            <w:tcW w:w="1408"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s>
              <w:ind w:right="372"/>
              <w:jc w:val="right"/>
              <w:rPr>
                <w:lang w:val="en-US"/>
              </w:rPr>
            </w:pPr>
            <w:r>
              <w:rPr>
                <w:lang w:val="en-US"/>
              </w:rPr>
              <w:t>13,4</w:t>
            </w:r>
          </w:p>
        </w:tc>
      </w:tr>
      <w:tr w:rsidR="00000000">
        <w:tblPrEx>
          <w:tblCellMar>
            <w:top w:w="0" w:type="dxa"/>
            <w:bottom w:w="0" w:type="dxa"/>
          </w:tblCellMar>
        </w:tblPrEx>
        <w:trPr>
          <w:jc w:val="center"/>
        </w:trPr>
        <w:tc>
          <w:tcPr>
            <w:tcW w:w="2791" w:type="dxa"/>
            <w:tcBorders>
              <w:top w:val="single" w:sz="4" w:space="0" w:color="auto"/>
              <w:left w:val="single" w:sz="4" w:space="0" w:color="auto"/>
              <w:bottom w:val="single" w:sz="4" w:space="0" w:color="auto"/>
              <w:right w:val="single" w:sz="4" w:space="0" w:color="auto"/>
            </w:tcBorders>
          </w:tcPr>
          <w:p w:rsidR="00000000" w:rsidRDefault="00000000">
            <w:r>
              <w:t>Всего по Бразилии</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ind w:right="470"/>
              <w:jc w:val="right"/>
            </w:pPr>
            <w:r>
              <w:t>13,8</w:t>
            </w:r>
          </w:p>
        </w:tc>
        <w:tc>
          <w:tcPr>
            <w:tcW w:w="162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ind w:right="470"/>
              <w:jc w:val="right"/>
            </w:pPr>
            <w:r>
              <w:t>8,4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ind w:right="470"/>
              <w:jc w:val="right"/>
            </w:pPr>
            <w:r>
              <w:t>21,6</w:t>
            </w:r>
          </w:p>
        </w:tc>
        <w:tc>
          <w:tcPr>
            <w:tcW w:w="140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s>
              <w:ind w:right="372"/>
              <w:jc w:val="right"/>
            </w:pPr>
            <w:r>
              <w:t>20,7</w:t>
            </w:r>
          </w:p>
        </w:tc>
      </w:tr>
    </w:tbl>
    <w:p w:rsidR="00000000" w:rsidRDefault="00000000">
      <w:pPr>
        <w:spacing w:line="240" w:lineRule="auto"/>
        <w:rPr>
          <w:i/>
          <w:iCs/>
        </w:rPr>
      </w:pPr>
    </w:p>
    <w:p w:rsidR="00000000" w:rsidRDefault="00000000">
      <w:pPr>
        <w:spacing w:line="240" w:lineRule="auto"/>
        <w:rPr>
          <w:i/>
          <w:iCs/>
          <w:lang w:val="en-US"/>
        </w:rPr>
      </w:pPr>
      <w:r>
        <w:rPr>
          <w:i/>
          <w:iCs/>
        </w:rPr>
        <w:tab/>
      </w:r>
      <w:r>
        <w:rPr>
          <w:i/>
          <w:iCs/>
          <w:u w:val="single"/>
        </w:rPr>
        <w:t>Источник</w:t>
      </w:r>
      <w:r>
        <w:rPr>
          <w:i/>
          <w:iCs/>
          <w:lang w:val="en-US"/>
        </w:rPr>
        <w:t xml:space="preserve">: </w:t>
      </w:r>
      <w:r>
        <w:rPr>
          <w:lang w:val="en-US"/>
        </w:rPr>
        <w:t xml:space="preserve"> </w:t>
      </w:r>
      <w:r>
        <w:t>ОВОДХ</w:t>
      </w:r>
      <w:r>
        <w:rPr>
          <w:lang w:val="en-US"/>
        </w:rPr>
        <w:t>, 1998, (</w:t>
      </w:r>
      <w:r>
        <w:t>БИГС</w:t>
      </w:r>
      <w:r>
        <w:rPr>
          <w:lang w:val="en-US"/>
        </w:rPr>
        <w:t>,</w:t>
      </w:r>
      <w:r>
        <w:rPr>
          <w:i/>
          <w:iCs/>
          <w:lang w:val="en-US"/>
        </w:rPr>
        <w:t xml:space="preserve"> Sintese de Indicadores Sociais, </w:t>
      </w:r>
      <w:r>
        <w:rPr>
          <w:lang w:val="en-US"/>
        </w:rPr>
        <w:t>1999 </w:t>
      </w:r>
      <w:r>
        <w:t>год</w:t>
      </w:r>
      <w:r>
        <w:rPr>
          <w:lang w:val="en-US"/>
        </w:rPr>
        <w:t>).</w:t>
      </w:r>
    </w:p>
    <w:p w:rsidR="00000000" w:rsidRDefault="00000000">
      <w:pPr>
        <w:spacing w:line="240" w:lineRule="auto"/>
        <w:rPr>
          <w:i/>
          <w:iCs/>
          <w:lang w:val="en-US"/>
        </w:rPr>
      </w:pPr>
    </w:p>
    <w:p w:rsidR="00000000" w:rsidRDefault="00000000">
      <w:pPr>
        <w:spacing w:line="240" w:lineRule="auto"/>
      </w:pPr>
      <w:r>
        <w:rPr>
          <w:b/>
          <w:bCs/>
          <w:vertAlign w:val="superscript"/>
        </w:rPr>
        <w:tab/>
        <w:t>а</w:t>
      </w:r>
      <w:r>
        <w:rPr>
          <w:b/>
          <w:bCs/>
          <w:vertAlign w:val="superscript"/>
        </w:rPr>
        <w:tab/>
      </w:r>
      <w:r>
        <w:t>Включая выходцев из Азии и представителей коренных народов.</w:t>
      </w:r>
    </w:p>
    <w:p w:rsidR="00000000" w:rsidRDefault="00000000">
      <w:pPr>
        <w:spacing w:line="240" w:lineRule="auto"/>
      </w:pPr>
      <w:r>
        <w:rPr>
          <w:b/>
          <w:bCs/>
          <w:vertAlign w:val="superscript"/>
        </w:rPr>
        <w:tab/>
      </w:r>
      <w:r>
        <w:rPr>
          <w:b/>
          <w:bCs/>
          <w:vertAlign w:val="superscript"/>
          <w:lang w:val="en-US"/>
        </w:rPr>
        <w:t>b</w:t>
      </w:r>
      <w:r>
        <w:rPr>
          <w:b/>
          <w:bCs/>
        </w:rPr>
        <w:tab/>
      </w:r>
      <w:r>
        <w:t>Без учета данных по сельскому населению.</w:t>
      </w:r>
    </w:p>
    <w:p w:rsidR="00000000" w:rsidRDefault="00000000"/>
    <w:p w:rsidR="00000000" w:rsidRDefault="00000000">
      <w:r>
        <w:t>233.</w:t>
      </w:r>
      <w:r>
        <w:tab/>
        <w:t>Во всех регионах Бразилии число неграмотных среди чернокожих выше, чем среди белых.  Количество неграмотных среди метисов несколько ниже, чем среди чернокожих, но тем не менее уровень неграмотности в этой группе населения также является достаточно высоким, если сравнивать его с показателями в отношении белого населения.</w:t>
      </w:r>
    </w:p>
    <w:p w:rsidR="00000000" w:rsidRDefault="00000000"/>
    <w:p w:rsidR="00000000" w:rsidRDefault="00000000">
      <w:r>
        <w:t>234.</w:t>
      </w:r>
      <w:r>
        <w:tab/>
        <w:t>На национальном уровне процент неграмотных среди чернокожего населения и метисов превышает среднестатистический уровень (13,8%), в то время как среди белого населения этот показатель ниже среднего, составляя 8,4%.</w:t>
      </w:r>
    </w:p>
    <w:p w:rsidR="00000000" w:rsidRDefault="00000000"/>
    <w:p w:rsidR="00000000" w:rsidRDefault="00000000">
      <w:pPr>
        <w:rPr>
          <w:i/>
          <w:iCs/>
          <w:lang w:val="en-US"/>
        </w:rPr>
      </w:pPr>
      <w:r>
        <w:t>235.</w:t>
      </w:r>
      <w:r>
        <w:tab/>
        <w:t xml:space="preserve">Аналогичное неравенство наблюдается и в отношении уровней функциональной неграмотности.  Следует отметить, что БИГС использует тот же методологический подход, что и ЮНЕСКО, а именно:  "навыки чтения, письма, счета, а также элементарные знания в области естественных наук должны быть на уровне четырех классов школы", т.е. начальной школы (см. </w:t>
      </w:r>
      <w:r>
        <w:rPr>
          <w:i/>
          <w:iCs/>
          <w:lang w:val="en-US"/>
        </w:rPr>
        <w:t>Sintese dos Indicadores Sociais,</w:t>
      </w:r>
      <w:r>
        <w:rPr>
          <w:lang w:val="en-US"/>
        </w:rPr>
        <w:t xml:space="preserve"> 1999 </w:t>
      </w:r>
      <w:r>
        <w:t>год</w:t>
      </w:r>
      <w:r>
        <w:rPr>
          <w:lang w:val="en-US"/>
        </w:rPr>
        <w:t>)</w:t>
      </w:r>
      <w:r>
        <w:rPr>
          <w:i/>
          <w:iCs/>
          <w:lang w:val="en-US"/>
        </w:rPr>
        <w:t>.</w:t>
      </w:r>
    </w:p>
    <w:p w:rsidR="00000000" w:rsidRDefault="00000000">
      <w:pPr>
        <w:rPr>
          <w:i/>
          <w:iCs/>
          <w:lang w:val="en-US"/>
        </w:rPr>
      </w:pPr>
    </w:p>
    <w:p w:rsidR="00000000" w:rsidRDefault="00000000">
      <w:pPr>
        <w:jc w:val="center"/>
        <w:rPr>
          <w:b/>
          <w:bCs/>
        </w:rPr>
      </w:pPr>
      <w:r>
        <w:rPr>
          <w:b/>
          <w:bCs/>
        </w:rPr>
        <w:br w:type="page"/>
        <w:t>Таблица 7</w:t>
      </w:r>
    </w:p>
    <w:p w:rsidR="00000000" w:rsidRDefault="00000000">
      <w:pPr>
        <w:jc w:val="center"/>
        <w:rPr>
          <w:b/>
          <w:bCs/>
        </w:rPr>
      </w:pPr>
    </w:p>
    <w:p w:rsidR="00000000" w:rsidRDefault="00000000">
      <w:pPr>
        <w:jc w:val="center"/>
        <w:rPr>
          <w:b/>
          <w:bCs/>
        </w:rPr>
      </w:pPr>
      <w:r>
        <w:rPr>
          <w:b/>
          <w:bCs/>
        </w:rPr>
        <w:t>Уровень функциональной неграмотности среди лиц старше 15 лет в разбивке</w:t>
      </w:r>
    </w:p>
    <w:p w:rsidR="00000000" w:rsidRDefault="00000000">
      <w:pPr>
        <w:jc w:val="center"/>
        <w:rPr>
          <w:b/>
          <w:bCs/>
        </w:rPr>
      </w:pPr>
      <w:r>
        <w:rPr>
          <w:b/>
          <w:bCs/>
        </w:rPr>
        <w:t>по признаку расы или цвета кожи в основных регионах Бразилии, 1998 год</w:t>
      </w:r>
    </w:p>
    <w:p w:rsidR="00000000" w:rsidRDefault="00000000">
      <w:pPr>
        <w:jc w:val="center"/>
        <w:rPr>
          <w:b/>
          <w:bCs/>
        </w:rPr>
      </w:pPr>
    </w:p>
    <w:tbl>
      <w:tblPr>
        <w:tblW w:w="0" w:type="auto"/>
        <w:jc w:val="center"/>
        <w:tblInd w:w="374" w:type="dxa"/>
        <w:tblLook w:val="0000" w:firstRow="0" w:lastRow="0" w:firstColumn="0" w:lastColumn="0" w:noHBand="0" w:noVBand="0"/>
      </w:tblPr>
      <w:tblGrid>
        <w:gridCol w:w="2492"/>
        <w:gridCol w:w="1729"/>
        <w:gridCol w:w="1683"/>
        <w:gridCol w:w="1599"/>
        <w:gridCol w:w="1596"/>
      </w:tblGrid>
      <w:tr w:rsidR="00000000">
        <w:tblPrEx>
          <w:tblCellMar>
            <w:top w:w="0" w:type="dxa"/>
            <w:bottom w:w="0" w:type="dxa"/>
          </w:tblCellMar>
        </w:tblPrEx>
        <w:trPr>
          <w:jc w:val="center"/>
        </w:trPr>
        <w:tc>
          <w:tcPr>
            <w:tcW w:w="24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vertAlign w:val="superscript"/>
              </w:rPr>
            </w:pPr>
            <w:r>
              <w:rPr>
                <w:b/>
                <w:bCs/>
              </w:rPr>
              <w:t>Всего</w:t>
            </w:r>
            <w:r>
              <w:rPr>
                <w:b/>
                <w:bCs/>
                <w:vertAlign w:val="superscript"/>
              </w:rPr>
              <w:t>a</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Белые</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Метисы</w:t>
            </w:r>
          </w:p>
        </w:tc>
      </w:tr>
      <w:tr w:rsidR="00000000">
        <w:tblPrEx>
          <w:tblCellMar>
            <w:top w:w="0" w:type="dxa"/>
            <w:bottom w:w="0" w:type="dxa"/>
          </w:tblCellMar>
        </w:tblPrEx>
        <w:trPr>
          <w:jc w:val="center"/>
        </w:trPr>
        <w:tc>
          <w:tcPr>
            <w:tcW w:w="2492" w:type="dxa"/>
            <w:tcBorders>
              <w:top w:val="single" w:sz="4" w:space="0" w:color="auto"/>
              <w:left w:val="single" w:sz="4" w:space="0" w:color="auto"/>
              <w:right w:val="single" w:sz="4" w:space="0" w:color="auto"/>
            </w:tcBorders>
          </w:tcPr>
          <w:p w:rsidR="00000000" w:rsidRDefault="00000000">
            <w:pPr>
              <w:rPr>
                <w:b/>
                <w:bCs/>
                <w:vertAlign w:val="superscript"/>
              </w:rPr>
            </w:pPr>
            <w:r>
              <w:t>Северный</w:t>
            </w:r>
            <w:r>
              <w:rPr>
                <w:b/>
                <w:bCs/>
                <w:vertAlign w:val="superscript"/>
              </w:rPr>
              <w:t>b</w:t>
            </w:r>
          </w:p>
        </w:tc>
        <w:tc>
          <w:tcPr>
            <w:tcW w:w="1729" w:type="dxa"/>
            <w:tcBorders>
              <w:top w:val="single" w:sz="4" w:space="0" w:color="auto"/>
              <w:left w:val="single" w:sz="4" w:space="0" w:color="auto"/>
              <w:right w:val="single" w:sz="4" w:space="0" w:color="auto"/>
            </w:tcBorders>
          </w:tcPr>
          <w:p w:rsidR="00000000" w:rsidRDefault="00000000">
            <w:pPr>
              <w:jc w:val="center"/>
              <w:rPr>
                <w:lang w:val="en-US"/>
              </w:rPr>
            </w:pPr>
            <w:r>
              <w:t>30</w:t>
            </w:r>
            <w:r>
              <w:rPr>
                <w:lang w:val="en-US"/>
              </w:rPr>
              <w:t>,5</w:t>
            </w:r>
          </w:p>
        </w:tc>
        <w:tc>
          <w:tcPr>
            <w:tcW w:w="1683" w:type="dxa"/>
            <w:tcBorders>
              <w:top w:val="single" w:sz="4" w:space="0" w:color="auto"/>
              <w:left w:val="single" w:sz="4" w:space="0" w:color="auto"/>
              <w:right w:val="single" w:sz="4" w:space="0" w:color="auto"/>
            </w:tcBorders>
          </w:tcPr>
          <w:p w:rsidR="00000000" w:rsidRDefault="00000000">
            <w:pPr>
              <w:jc w:val="center"/>
              <w:rPr>
                <w:lang w:val="en-US"/>
              </w:rPr>
            </w:pPr>
            <w:r>
              <w:rPr>
                <w:lang w:val="en-US"/>
              </w:rPr>
              <w:t>23,3</w:t>
            </w:r>
          </w:p>
        </w:tc>
        <w:tc>
          <w:tcPr>
            <w:tcW w:w="1599" w:type="dxa"/>
            <w:tcBorders>
              <w:top w:val="single" w:sz="4" w:space="0" w:color="auto"/>
              <w:left w:val="single" w:sz="4" w:space="0" w:color="auto"/>
              <w:right w:val="single" w:sz="4" w:space="0" w:color="auto"/>
            </w:tcBorders>
          </w:tcPr>
          <w:p w:rsidR="00000000" w:rsidRDefault="00000000">
            <w:pPr>
              <w:jc w:val="center"/>
              <w:rPr>
                <w:lang w:val="en-US"/>
              </w:rPr>
            </w:pPr>
            <w:r>
              <w:rPr>
                <w:lang w:val="en-US"/>
              </w:rPr>
              <w:t>47,4</w:t>
            </w:r>
          </w:p>
        </w:tc>
        <w:tc>
          <w:tcPr>
            <w:tcW w:w="1596" w:type="dxa"/>
            <w:tcBorders>
              <w:top w:val="single" w:sz="4" w:space="0" w:color="auto"/>
              <w:left w:val="single" w:sz="4" w:space="0" w:color="auto"/>
              <w:right w:val="single" w:sz="4" w:space="0" w:color="auto"/>
            </w:tcBorders>
          </w:tcPr>
          <w:p w:rsidR="00000000" w:rsidRDefault="00000000">
            <w:pPr>
              <w:jc w:val="center"/>
              <w:rPr>
                <w:lang w:val="en-US"/>
              </w:rPr>
            </w:pPr>
            <w:r>
              <w:rPr>
                <w:lang w:val="en-US"/>
              </w:rPr>
              <w:t>32,9</w:t>
            </w:r>
          </w:p>
        </w:tc>
      </w:tr>
      <w:tr w:rsidR="00000000">
        <w:tblPrEx>
          <w:tblCellMar>
            <w:top w:w="0" w:type="dxa"/>
            <w:bottom w:w="0" w:type="dxa"/>
          </w:tblCellMar>
        </w:tblPrEx>
        <w:trPr>
          <w:jc w:val="center"/>
        </w:trPr>
        <w:tc>
          <w:tcPr>
            <w:tcW w:w="2492" w:type="dxa"/>
            <w:tcBorders>
              <w:left w:val="single" w:sz="4" w:space="0" w:color="auto"/>
              <w:right w:val="single" w:sz="4" w:space="0" w:color="auto"/>
            </w:tcBorders>
          </w:tcPr>
          <w:p w:rsidR="00000000" w:rsidRDefault="00000000">
            <w:r>
              <w:t>Северо-восточный</w:t>
            </w:r>
          </w:p>
        </w:tc>
        <w:tc>
          <w:tcPr>
            <w:tcW w:w="1729" w:type="dxa"/>
            <w:tcBorders>
              <w:left w:val="single" w:sz="4" w:space="0" w:color="auto"/>
              <w:right w:val="single" w:sz="4" w:space="0" w:color="auto"/>
            </w:tcBorders>
          </w:tcPr>
          <w:p w:rsidR="00000000" w:rsidRDefault="00000000">
            <w:pPr>
              <w:jc w:val="center"/>
              <w:rPr>
                <w:lang w:val="en-US"/>
              </w:rPr>
            </w:pPr>
            <w:r>
              <w:rPr>
                <w:lang w:val="en-US"/>
              </w:rPr>
              <w:t>47,8</w:t>
            </w:r>
          </w:p>
        </w:tc>
        <w:tc>
          <w:tcPr>
            <w:tcW w:w="1683" w:type="dxa"/>
            <w:tcBorders>
              <w:left w:val="single" w:sz="4" w:space="0" w:color="auto"/>
              <w:right w:val="single" w:sz="4" w:space="0" w:color="auto"/>
            </w:tcBorders>
          </w:tcPr>
          <w:p w:rsidR="00000000" w:rsidRDefault="00000000">
            <w:pPr>
              <w:jc w:val="center"/>
              <w:rPr>
                <w:lang w:val="en-US"/>
              </w:rPr>
            </w:pPr>
            <w:r>
              <w:rPr>
                <w:lang w:val="en-US"/>
              </w:rPr>
              <w:t>38,0</w:t>
            </w:r>
          </w:p>
        </w:tc>
        <w:tc>
          <w:tcPr>
            <w:tcW w:w="1599" w:type="dxa"/>
            <w:tcBorders>
              <w:left w:val="single" w:sz="4" w:space="0" w:color="auto"/>
              <w:right w:val="single" w:sz="4" w:space="0" w:color="auto"/>
            </w:tcBorders>
          </w:tcPr>
          <w:p w:rsidR="00000000" w:rsidRDefault="00000000">
            <w:pPr>
              <w:jc w:val="center"/>
              <w:rPr>
                <w:lang w:val="en-US"/>
              </w:rPr>
            </w:pPr>
            <w:r>
              <w:rPr>
                <w:lang w:val="en-US"/>
              </w:rPr>
              <w:t>57,7</w:t>
            </w:r>
          </w:p>
        </w:tc>
        <w:tc>
          <w:tcPr>
            <w:tcW w:w="1596" w:type="dxa"/>
            <w:tcBorders>
              <w:left w:val="single" w:sz="4" w:space="0" w:color="auto"/>
              <w:right w:val="single" w:sz="4" w:space="0" w:color="auto"/>
            </w:tcBorders>
          </w:tcPr>
          <w:p w:rsidR="00000000" w:rsidRDefault="00000000">
            <w:pPr>
              <w:jc w:val="center"/>
              <w:rPr>
                <w:lang w:val="en-US"/>
              </w:rPr>
            </w:pPr>
            <w:r>
              <w:rPr>
                <w:lang w:val="en-US"/>
              </w:rPr>
              <w:t>51,5</w:t>
            </w:r>
          </w:p>
        </w:tc>
      </w:tr>
      <w:tr w:rsidR="00000000">
        <w:tblPrEx>
          <w:tblCellMar>
            <w:top w:w="0" w:type="dxa"/>
            <w:bottom w:w="0" w:type="dxa"/>
          </w:tblCellMar>
        </w:tblPrEx>
        <w:trPr>
          <w:jc w:val="center"/>
        </w:trPr>
        <w:tc>
          <w:tcPr>
            <w:tcW w:w="2492" w:type="dxa"/>
            <w:tcBorders>
              <w:left w:val="single" w:sz="4" w:space="0" w:color="auto"/>
              <w:right w:val="single" w:sz="4" w:space="0" w:color="auto"/>
            </w:tcBorders>
          </w:tcPr>
          <w:p w:rsidR="00000000" w:rsidRDefault="00000000">
            <w:r>
              <w:t>Юго-восточный</w:t>
            </w:r>
          </w:p>
        </w:tc>
        <w:tc>
          <w:tcPr>
            <w:tcW w:w="1729" w:type="dxa"/>
            <w:tcBorders>
              <w:left w:val="single" w:sz="4" w:space="0" w:color="auto"/>
              <w:right w:val="single" w:sz="4" w:space="0" w:color="auto"/>
            </w:tcBorders>
          </w:tcPr>
          <w:p w:rsidR="00000000" w:rsidRDefault="00000000">
            <w:pPr>
              <w:jc w:val="center"/>
              <w:rPr>
                <w:lang w:val="en-US"/>
              </w:rPr>
            </w:pPr>
            <w:r>
              <w:rPr>
                <w:lang w:val="en-US"/>
              </w:rPr>
              <w:t>23,1</w:t>
            </w:r>
          </w:p>
        </w:tc>
        <w:tc>
          <w:tcPr>
            <w:tcW w:w="1683" w:type="dxa"/>
            <w:tcBorders>
              <w:left w:val="single" w:sz="4" w:space="0" w:color="auto"/>
              <w:right w:val="single" w:sz="4" w:space="0" w:color="auto"/>
            </w:tcBorders>
          </w:tcPr>
          <w:p w:rsidR="00000000" w:rsidRDefault="00000000">
            <w:pPr>
              <w:jc w:val="center"/>
              <w:rPr>
                <w:lang w:val="en-US"/>
              </w:rPr>
            </w:pPr>
            <w:r>
              <w:rPr>
                <w:lang w:val="en-US"/>
              </w:rPr>
              <w:t>19,2</w:t>
            </w:r>
          </w:p>
        </w:tc>
        <w:tc>
          <w:tcPr>
            <w:tcW w:w="1599" w:type="dxa"/>
            <w:tcBorders>
              <w:left w:val="single" w:sz="4" w:space="0" w:color="auto"/>
              <w:right w:val="single" w:sz="4" w:space="0" w:color="auto"/>
            </w:tcBorders>
          </w:tcPr>
          <w:p w:rsidR="00000000" w:rsidRDefault="00000000">
            <w:pPr>
              <w:jc w:val="center"/>
              <w:rPr>
                <w:lang w:val="en-US"/>
              </w:rPr>
            </w:pPr>
            <w:r>
              <w:rPr>
                <w:lang w:val="en-US"/>
              </w:rPr>
              <w:t>35,0</w:t>
            </w:r>
          </w:p>
        </w:tc>
        <w:tc>
          <w:tcPr>
            <w:tcW w:w="1596" w:type="dxa"/>
            <w:tcBorders>
              <w:left w:val="single" w:sz="4" w:space="0" w:color="auto"/>
              <w:right w:val="single" w:sz="4" w:space="0" w:color="auto"/>
            </w:tcBorders>
          </w:tcPr>
          <w:p w:rsidR="00000000" w:rsidRDefault="00000000">
            <w:pPr>
              <w:jc w:val="center"/>
              <w:rPr>
                <w:lang w:val="en-US"/>
              </w:rPr>
            </w:pPr>
            <w:r>
              <w:rPr>
                <w:lang w:val="en-US"/>
              </w:rPr>
              <w:t>30,0</w:t>
            </w:r>
          </w:p>
        </w:tc>
      </w:tr>
      <w:tr w:rsidR="00000000">
        <w:tblPrEx>
          <w:tblCellMar>
            <w:top w:w="0" w:type="dxa"/>
            <w:bottom w:w="0" w:type="dxa"/>
          </w:tblCellMar>
        </w:tblPrEx>
        <w:trPr>
          <w:jc w:val="center"/>
        </w:trPr>
        <w:tc>
          <w:tcPr>
            <w:tcW w:w="2492" w:type="dxa"/>
            <w:tcBorders>
              <w:left w:val="single" w:sz="4" w:space="0" w:color="auto"/>
              <w:right w:val="single" w:sz="4" w:space="0" w:color="auto"/>
            </w:tcBorders>
          </w:tcPr>
          <w:p w:rsidR="00000000" w:rsidRDefault="00000000">
            <w:r>
              <w:t>Южный</w:t>
            </w:r>
          </w:p>
        </w:tc>
        <w:tc>
          <w:tcPr>
            <w:tcW w:w="1729" w:type="dxa"/>
            <w:tcBorders>
              <w:left w:val="single" w:sz="4" w:space="0" w:color="auto"/>
              <w:right w:val="single" w:sz="4" w:space="0" w:color="auto"/>
            </w:tcBorders>
          </w:tcPr>
          <w:p w:rsidR="00000000" w:rsidRDefault="00000000">
            <w:pPr>
              <w:jc w:val="center"/>
              <w:rPr>
                <w:lang w:val="en-US"/>
              </w:rPr>
            </w:pPr>
            <w:r>
              <w:rPr>
                <w:lang w:val="en-US"/>
              </w:rPr>
              <w:t>23,2</w:t>
            </w:r>
          </w:p>
        </w:tc>
        <w:tc>
          <w:tcPr>
            <w:tcW w:w="1683" w:type="dxa"/>
            <w:tcBorders>
              <w:left w:val="single" w:sz="4" w:space="0" w:color="auto"/>
              <w:right w:val="single" w:sz="4" w:space="0" w:color="auto"/>
            </w:tcBorders>
          </w:tcPr>
          <w:p w:rsidR="00000000" w:rsidRDefault="00000000">
            <w:pPr>
              <w:jc w:val="center"/>
              <w:rPr>
                <w:lang w:val="en-US"/>
              </w:rPr>
            </w:pPr>
            <w:r>
              <w:rPr>
                <w:lang w:val="en-US"/>
              </w:rPr>
              <w:t>20,8</w:t>
            </w:r>
          </w:p>
        </w:tc>
        <w:tc>
          <w:tcPr>
            <w:tcW w:w="1599" w:type="dxa"/>
            <w:tcBorders>
              <w:left w:val="single" w:sz="4" w:space="0" w:color="auto"/>
              <w:right w:val="single" w:sz="4" w:space="0" w:color="auto"/>
            </w:tcBorders>
          </w:tcPr>
          <w:p w:rsidR="00000000" w:rsidRDefault="00000000">
            <w:pPr>
              <w:jc w:val="center"/>
              <w:rPr>
                <w:lang w:val="en-US"/>
              </w:rPr>
            </w:pPr>
            <w:r>
              <w:rPr>
                <w:lang w:val="en-US"/>
              </w:rPr>
              <w:t>34,5</w:t>
            </w:r>
          </w:p>
        </w:tc>
        <w:tc>
          <w:tcPr>
            <w:tcW w:w="1596" w:type="dxa"/>
            <w:tcBorders>
              <w:left w:val="single" w:sz="4" w:space="0" w:color="auto"/>
              <w:right w:val="single" w:sz="4" w:space="0" w:color="auto"/>
            </w:tcBorders>
          </w:tcPr>
          <w:p w:rsidR="00000000" w:rsidRDefault="00000000">
            <w:pPr>
              <w:jc w:val="center"/>
              <w:rPr>
                <w:lang w:val="en-US"/>
              </w:rPr>
            </w:pPr>
            <w:r>
              <w:rPr>
                <w:lang w:val="en-US"/>
              </w:rPr>
              <w:t>36,9</w:t>
            </w:r>
          </w:p>
        </w:tc>
      </w:tr>
      <w:tr w:rsidR="00000000">
        <w:tblPrEx>
          <w:tblCellMar>
            <w:top w:w="0" w:type="dxa"/>
            <w:bottom w:w="0" w:type="dxa"/>
          </w:tblCellMar>
        </w:tblPrEx>
        <w:trPr>
          <w:jc w:val="center"/>
        </w:trPr>
        <w:tc>
          <w:tcPr>
            <w:tcW w:w="2492" w:type="dxa"/>
            <w:tcBorders>
              <w:left w:val="single" w:sz="4" w:space="0" w:color="auto"/>
              <w:bottom w:val="single" w:sz="4" w:space="0" w:color="auto"/>
              <w:right w:val="single" w:sz="4" w:space="0" w:color="auto"/>
            </w:tcBorders>
          </w:tcPr>
          <w:p w:rsidR="00000000" w:rsidRDefault="00000000">
            <w:r>
              <w:t>Центрально-западный</w:t>
            </w:r>
          </w:p>
        </w:tc>
        <w:tc>
          <w:tcPr>
            <w:tcW w:w="1729"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27,3</w:t>
            </w:r>
          </w:p>
        </w:tc>
        <w:tc>
          <w:tcPr>
            <w:tcW w:w="1683"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21,9</w:t>
            </w:r>
          </w:p>
        </w:tc>
        <w:tc>
          <w:tcPr>
            <w:tcW w:w="1599"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37,3</w:t>
            </w:r>
          </w:p>
        </w:tc>
        <w:tc>
          <w:tcPr>
            <w:tcW w:w="1596" w:type="dxa"/>
            <w:tcBorders>
              <w:left w:val="single" w:sz="4" w:space="0" w:color="auto"/>
              <w:bottom w:val="single" w:sz="4" w:space="0" w:color="auto"/>
              <w:right w:val="single" w:sz="4" w:space="0" w:color="auto"/>
            </w:tcBorders>
          </w:tcPr>
          <w:p w:rsidR="00000000" w:rsidRDefault="00000000">
            <w:pPr>
              <w:jc w:val="center"/>
              <w:rPr>
                <w:lang w:val="en-US"/>
              </w:rPr>
            </w:pPr>
            <w:r>
              <w:rPr>
                <w:lang w:val="en-US"/>
              </w:rPr>
              <w:t>31,7</w:t>
            </w:r>
          </w:p>
        </w:tc>
      </w:tr>
      <w:tr w:rsidR="00000000">
        <w:tblPrEx>
          <w:tblCellMar>
            <w:top w:w="0" w:type="dxa"/>
            <w:bottom w:w="0" w:type="dxa"/>
          </w:tblCellMar>
        </w:tblPrEx>
        <w:trPr>
          <w:jc w:val="center"/>
        </w:trPr>
        <w:tc>
          <w:tcPr>
            <w:tcW w:w="2492" w:type="dxa"/>
            <w:tcBorders>
              <w:top w:val="single" w:sz="4" w:space="0" w:color="auto"/>
              <w:left w:val="single" w:sz="4" w:space="0" w:color="auto"/>
              <w:bottom w:val="single" w:sz="4" w:space="0" w:color="auto"/>
              <w:right w:val="single" w:sz="4" w:space="0" w:color="auto"/>
            </w:tcBorders>
          </w:tcPr>
          <w:p w:rsidR="00000000" w:rsidRDefault="00000000">
            <w:r>
              <w:t>Всего по Бразилии</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US"/>
              </w:rPr>
            </w:pPr>
            <w:r>
              <w:rPr>
                <w:lang w:val="en-US"/>
              </w:rPr>
              <w:t>30,5</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US"/>
              </w:rPr>
            </w:pPr>
            <w:r>
              <w:rPr>
                <w:lang w:val="en-US"/>
              </w:rPr>
              <w:t>22,7</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US"/>
              </w:rPr>
            </w:pPr>
            <w:r>
              <w:rPr>
                <w:lang w:val="en-US"/>
              </w:rPr>
              <w:t>41,8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US"/>
              </w:rPr>
            </w:pPr>
            <w:r>
              <w:rPr>
                <w:lang w:val="en-US"/>
              </w:rPr>
              <w:t>40,7</w:t>
            </w:r>
          </w:p>
        </w:tc>
      </w:tr>
    </w:tbl>
    <w:p w:rsidR="00000000" w:rsidRDefault="00000000">
      <w:pPr>
        <w:jc w:val="center"/>
        <w:rPr>
          <w:b/>
          <w:bCs/>
          <w:lang w:val="en-US"/>
        </w:rPr>
      </w:pPr>
    </w:p>
    <w:p w:rsidR="00000000" w:rsidRDefault="00000000">
      <w:pPr>
        <w:rPr>
          <w:lang w:val="en-US"/>
        </w:rPr>
      </w:pPr>
      <w:r>
        <w:rPr>
          <w:lang w:val="en-US"/>
        </w:rPr>
        <w:tab/>
      </w:r>
      <w:r>
        <w:rPr>
          <w:i/>
          <w:iCs/>
          <w:u w:val="single"/>
        </w:rPr>
        <w:t>Источник</w:t>
      </w:r>
      <w:r>
        <w:rPr>
          <w:i/>
          <w:iCs/>
          <w:lang w:val="en-US"/>
        </w:rPr>
        <w:t xml:space="preserve">:  </w:t>
      </w:r>
      <w:r>
        <w:t>ОВОДХ</w:t>
      </w:r>
      <w:r>
        <w:rPr>
          <w:lang w:val="en-US"/>
        </w:rPr>
        <w:t xml:space="preserve">, 1998 </w:t>
      </w:r>
      <w:r>
        <w:t>год</w:t>
      </w:r>
      <w:r>
        <w:rPr>
          <w:lang w:val="en-US"/>
        </w:rPr>
        <w:t xml:space="preserve"> </w:t>
      </w:r>
      <w:r>
        <w:rPr>
          <w:i/>
          <w:iCs/>
          <w:lang w:val="en-US"/>
        </w:rPr>
        <w:t>(</w:t>
      </w:r>
      <w:r>
        <w:rPr>
          <w:i/>
          <w:iCs/>
        </w:rPr>
        <w:t>БИГС</w:t>
      </w:r>
      <w:r>
        <w:rPr>
          <w:i/>
          <w:iCs/>
          <w:lang w:val="en-US"/>
        </w:rPr>
        <w:t xml:space="preserve">, Sintese de Indicadores Sociais, </w:t>
      </w:r>
      <w:r>
        <w:rPr>
          <w:lang w:val="en-US"/>
        </w:rPr>
        <w:t>1999 </w:t>
      </w:r>
      <w:r>
        <w:t>год</w:t>
      </w:r>
      <w:r>
        <w:rPr>
          <w:lang w:val="en-US"/>
        </w:rPr>
        <w:t>).</w:t>
      </w:r>
    </w:p>
    <w:p w:rsidR="00000000" w:rsidRDefault="00000000">
      <w:pPr>
        <w:rPr>
          <w:i/>
          <w:iCs/>
          <w:lang w:val="en-US"/>
        </w:rPr>
      </w:pPr>
    </w:p>
    <w:p w:rsidR="00000000" w:rsidRDefault="00000000">
      <w:r>
        <w:rPr>
          <w:lang w:val="en-US"/>
        </w:rPr>
        <w:tab/>
      </w:r>
      <w:r>
        <w:rPr>
          <w:b/>
          <w:bCs/>
          <w:vertAlign w:val="superscript"/>
        </w:rPr>
        <w:t>a</w:t>
      </w:r>
      <w:r>
        <w:tab/>
        <w:t>Включая выходцев из Азии и представителей коренных народов</w:t>
      </w:r>
    </w:p>
    <w:p w:rsidR="00000000" w:rsidRDefault="00000000">
      <w:r>
        <w:tab/>
      </w:r>
      <w:r>
        <w:rPr>
          <w:b/>
          <w:bCs/>
          <w:vertAlign w:val="superscript"/>
        </w:rPr>
        <w:t>b</w:t>
      </w:r>
      <w:r>
        <w:tab/>
        <w:t>Без учета данных по сельскому населению</w:t>
      </w:r>
    </w:p>
    <w:p w:rsidR="00000000" w:rsidRDefault="00000000"/>
    <w:p w:rsidR="00000000" w:rsidRDefault="00000000">
      <w:r>
        <w:t>236.</w:t>
      </w:r>
      <w:r>
        <w:tab/>
        <w:t>Что касается функциональной неграмотности, то ее уровень среди белого населения ниже, чем в среднем по стране, а среди чернокожего населения и метисов намного выше.  Во всех регионах Бразилии чернокожие и метисы в большей степени затронуты функциональной неграмотностью, чем белые.</w:t>
      </w:r>
    </w:p>
    <w:p w:rsidR="00000000" w:rsidRDefault="00000000"/>
    <w:p w:rsidR="00000000" w:rsidRDefault="00000000">
      <w:r>
        <w:t>237.</w:t>
      </w:r>
      <w:r>
        <w:tab/>
        <w:t>Схожее неравенство наблюдается и в отношении среднего количества лет школьного обучения в обследуемых группах (таблица 8 ниже).  Основываясь на данных ОВОДХ за 1998 год, БИГС установил, что чернокожие и метисы в возрасте старше 10 лет обучаются в школе в среднем 4,4 и 4,5 года соответственно, что ниже среднего национального показателя, равного 5,6.  Белые граждане в среднем учатся в школе 6,5 лет, что превышает средний показатель по стране.  Такое положение наблюдается во всех регионах Бразилии, т.е. чернокожие и метисы учатся в школе меньшее количество лет, в то время как показатели в отношении белых граждан во всех случаях выше средних региональных показателей.  Как это подтверждает приводимая ниже таблица, ни в одном регионе Бразилии среднее количество лет, проведенных в школе чернокожими и метисами, не превышает среднего регионального или национального уровня.</w:t>
      </w:r>
    </w:p>
    <w:p w:rsidR="00000000" w:rsidRDefault="00000000"/>
    <w:p w:rsidR="00000000" w:rsidRDefault="00000000">
      <w:pPr>
        <w:jc w:val="center"/>
        <w:rPr>
          <w:b/>
          <w:bCs/>
        </w:rPr>
      </w:pPr>
      <w:r>
        <w:rPr>
          <w:b/>
          <w:bCs/>
        </w:rPr>
        <w:br w:type="page"/>
        <w:t>Таблица 8</w:t>
      </w:r>
    </w:p>
    <w:p w:rsidR="00000000" w:rsidRDefault="00000000">
      <w:pPr>
        <w:jc w:val="center"/>
        <w:rPr>
          <w:b/>
          <w:bCs/>
        </w:rPr>
      </w:pPr>
    </w:p>
    <w:p w:rsidR="00000000" w:rsidRDefault="00000000">
      <w:pPr>
        <w:jc w:val="center"/>
        <w:rPr>
          <w:b/>
          <w:bCs/>
        </w:rPr>
      </w:pPr>
      <w:r>
        <w:rPr>
          <w:b/>
          <w:bCs/>
        </w:rPr>
        <w:t>Среднее количество лет школьного обучения лиц старше 10 лет в основных регионах Бразилии в разбивке по признаку расы, 1998 год</w:t>
      </w:r>
    </w:p>
    <w:p w:rsidR="00000000" w:rsidRDefault="00000000">
      <w:pPr>
        <w:jc w:val="center"/>
        <w:rPr>
          <w:b/>
          <w:bCs/>
        </w:rPr>
      </w:pPr>
    </w:p>
    <w:tbl>
      <w:tblPr>
        <w:tblW w:w="0" w:type="auto"/>
        <w:tblInd w:w="108" w:type="dxa"/>
        <w:tblLook w:val="0000" w:firstRow="0" w:lastRow="0" w:firstColumn="0" w:lastColumn="0" w:noHBand="0" w:noVBand="0"/>
      </w:tblPr>
      <w:tblGrid>
        <w:gridCol w:w="2992"/>
        <w:gridCol w:w="1683"/>
        <w:gridCol w:w="1683"/>
        <w:gridCol w:w="1683"/>
        <w:gridCol w:w="1309"/>
      </w:tblGrid>
      <w:tr w:rsidR="00000000">
        <w:tblPrEx>
          <w:tblCellMar>
            <w:top w:w="0" w:type="dxa"/>
            <w:bottom w:w="0" w:type="dxa"/>
          </w:tblCellMar>
        </w:tblPrEx>
        <w:tc>
          <w:tcPr>
            <w:tcW w:w="29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vertAlign w:val="superscript"/>
              </w:rPr>
            </w:pPr>
            <w:r>
              <w:rPr>
                <w:b/>
                <w:bCs/>
              </w:rPr>
              <w:t>Всего</w:t>
            </w:r>
            <w:r>
              <w:rPr>
                <w:b/>
                <w:bCs/>
                <w:vertAlign w:val="superscript"/>
              </w:rPr>
              <w:t>а</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Белые</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Метисы</w:t>
            </w:r>
          </w:p>
        </w:tc>
      </w:tr>
      <w:tr w:rsidR="00000000">
        <w:tblPrEx>
          <w:tblCellMar>
            <w:top w:w="0" w:type="dxa"/>
            <w:bottom w:w="0" w:type="dxa"/>
          </w:tblCellMar>
        </w:tblPrEx>
        <w:tc>
          <w:tcPr>
            <w:tcW w:w="2992" w:type="dxa"/>
            <w:tcBorders>
              <w:top w:val="single" w:sz="4" w:space="0" w:color="auto"/>
              <w:left w:val="single" w:sz="4" w:space="0" w:color="auto"/>
              <w:right w:val="single" w:sz="4" w:space="0" w:color="auto"/>
            </w:tcBorders>
          </w:tcPr>
          <w:p w:rsidR="00000000" w:rsidRDefault="00000000">
            <w:pPr>
              <w:rPr>
                <w:b/>
                <w:bCs/>
                <w:vertAlign w:val="superscript"/>
              </w:rPr>
            </w:pPr>
            <w:r>
              <w:t>Северный</w:t>
            </w:r>
            <w:r>
              <w:rPr>
                <w:b/>
                <w:bCs/>
                <w:vertAlign w:val="superscript"/>
                <w:lang w:val="en-US"/>
              </w:rPr>
              <w:t>b</w:t>
            </w:r>
          </w:p>
        </w:tc>
        <w:tc>
          <w:tcPr>
            <w:tcW w:w="1683" w:type="dxa"/>
            <w:tcBorders>
              <w:top w:val="single" w:sz="4" w:space="0" w:color="auto"/>
              <w:left w:val="single" w:sz="4" w:space="0" w:color="auto"/>
              <w:right w:val="single" w:sz="4" w:space="0" w:color="auto"/>
            </w:tcBorders>
          </w:tcPr>
          <w:p w:rsidR="00000000" w:rsidRDefault="00000000">
            <w:pPr>
              <w:ind w:right="640"/>
              <w:jc w:val="right"/>
              <w:rPr>
                <w:lang w:val="en-US"/>
              </w:rPr>
            </w:pPr>
            <w:r>
              <w:rPr>
                <w:lang w:val="en-US"/>
              </w:rPr>
              <w:t>5,5</w:t>
            </w:r>
          </w:p>
        </w:tc>
        <w:tc>
          <w:tcPr>
            <w:tcW w:w="1683" w:type="dxa"/>
            <w:tcBorders>
              <w:top w:val="single" w:sz="4" w:space="0" w:color="auto"/>
              <w:left w:val="single" w:sz="4" w:space="0" w:color="auto"/>
              <w:right w:val="single" w:sz="4" w:space="0" w:color="auto"/>
            </w:tcBorders>
          </w:tcPr>
          <w:p w:rsidR="00000000" w:rsidRDefault="00000000">
            <w:pPr>
              <w:ind w:right="640"/>
              <w:jc w:val="right"/>
              <w:rPr>
                <w:lang w:val="en-US"/>
              </w:rPr>
            </w:pPr>
            <w:r>
              <w:rPr>
                <w:lang w:val="en-US"/>
              </w:rPr>
              <w:t>6,4</w:t>
            </w:r>
          </w:p>
        </w:tc>
        <w:tc>
          <w:tcPr>
            <w:tcW w:w="1683" w:type="dxa"/>
            <w:tcBorders>
              <w:top w:val="single" w:sz="4" w:space="0" w:color="auto"/>
              <w:left w:val="single" w:sz="4" w:space="0" w:color="auto"/>
              <w:right w:val="single" w:sz="4" w:space="0" w:color="auto"/>
            </w:tcBorders>
          </w:tcPr>
          <w:p w:rsidR="00000000" w:rsidRDefault="00000000">
            <w:pPr>
              <w:ind w:right="640"/>
              <w:jc w:val="right"/>
              <w:rPr>
                <w:lang w:val="en-US"/>
              </w:rPr>
            </w:pPr>
            <w:r>
              <w:rPr>
                <w:lang w:val="en-US"/>
              </w:rPr>
              <w:t>4,5</w:t>
            </w:r>
          </w:p>
        </w:tc>
        <w:tc>
          <w:tcPr>
            <w:tcW w:w="1309" w:type="dxa"/>
            <w:tcBorders>
              <w:top w:val="single" w:sz="4" w:space="0" w:color="auto"/>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5,1</w:t>
            </w:r>
          </w:p>
        </w:tc>
      </w:tr>
      <w:tr w:rsidR="00000000">
        <w:tblPrEx>
          <w:tblCellMar>
            <w:top w:w="0" w:type="dxa"/>
            <w:bottom w:w="0" w:type="dxa"/>
          </w:tblCellMar>
        </w:tblPrEx>
        <w:tc>
          <w:tcPr>
            <w:tcW w:w="2992" w:type="dxa"/>
            <w:tcBorders>
              <w:left w:val="single" w:sz="4" w:space="0" w:color="auto"/>
              <w:right w:val="single" w:sz="4" w:space="0" w:color="auto"/>
            </w:tcBorders>
          </w:tcPr>
          <w:p w:rsidR="00000000" w:rsidRDefault="00000000">
            <w:r>
              <w:t>Северо-восточный</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4,1</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5,3</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3,4</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3,7</w:t>
            </w:r>
          </w:p>
        </w:tc>
      </w:tr>
      <w:tr w:rsidR="00000000">
        <w:tblPrEx>
          <w:tblCellMar>
            <w:top w:w="0" w:type="dxa"/>
            <w:bottom w:w="0" w:type="dxa"/>
          </w:tblCellMar>
        </w:tblPrEx>
        <w:tc>
          <w:tcPr>
            <w:tcW w:w="2992" w:type="dxa"/>
            <w:tcBorders>
              <w:left w:val="single" w:sz="4" w:space="0" w:color="auto"/>
              <w:right w:val="single" w:sz="4" w:space="0" w:color="auto"/>
            </w:tcBorders>
          </w:tcPr>
          <w:p w:rsidR="00000000" w:rsidRDefault="00000000">
            <w:r>
              <w:t>Юго-восточный</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6,4</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7,0</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4,9</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5,2</w:t>
            </w:r>
          </w:p>
        </w:tc>
      </w:tr>
      <w:tr w:rsidR="00000000">
        <w:tblPrEx>
          <w:tblCellMar>
            <w:top w:w="0" w:type="dxa"/>
            <w:bottom w:w="0" w:type="dxa"/>
          </w:tblCellMar>
        </w:tblPrEx>
        <w:tc>
          <w:tcPr>
            <w:tcW w:w="2992" w:type="dxa"/>
            <w:tcBorders>
              <w:left w:val="single" w:sz="4" w:space="0" w:color="auto"/>
              <w:right w:val="single" w:sz="4" w:space="0" w:color="auto"/>
            </w:tcBorders>
          </w:tcPr>
          <w:p w:rsidR="00000000" w:rsidRDefault="00000000">
            <w:r>
              <w:t>Южный</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6,1</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6,4</w:t>
            </w:r>
          </w:p>
        </w:tc>
        <w:tc>
          <w:tcPr>
            <w:tcW w:w="1683" w:type="dxa"/>
            <w:tcBorders>
              <w:left w:val="single" w:sz="4" w:space="0" w:color="auto"/>
              <w:right w:val="single" w:sz="4" w:space="0" w:color="auto"/>
            </w:tcBorders>
          </w:tcPr>
          <w:p w:rsidR="00000000" w:rsidRDefault="00000000">
            <w:pPr>
              <w:ind w:right="640"/>
              <w:jc w:val="right"/>
              <w:rPr>
                <w:lang w:val="en-US"/>
              </w:rPr>
            </w:pPr>
            <w:r>
              <w:rPr>
                <w:lang w:val="en-US"/>
              </w:rPr>
              <w:t>5,0</w:t>
            </w:r>
          </w:p>
        </w:tc>
        <w:tc>
          <w:tcPr>
            <w:tcW w:w="1309" w:type="dxa"/>
            <w:tcBorders>
              <w:left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4,7</w:t>
            </w:r>
          </w:p>
        </w:tc>
      </w:tr>
      <w:tr w:rsidR="00000000">
        <w:tblPrEx>
          <w:tblCellMar>
            <w:top w:w="0" w:type="dxa"/>
            <w:bottom w:w="0" w:type="dxa"/>
          </w:tblCellMar>
        </w:tblPrEx>
        <w:tc>
          <w:tcPr>
            <w:tcW w:w="2992" w:type="dxa"/>
            <w:tcBorders>
              <w:left w:val="single" w:sz="4" w:space="0" w:color="auto"/>
              <w:bottom w:val="single" w:sz="4" w:space="0" w:color="auto"/>
              <w:right w:val="single" w:sz="4" w:space="0" w:color="auto"/>
            </w:tcBorders>
          </w:tcPr>
          <w:p w:rsidR="00000000" w:rsidRDefault="00000000">
            <w:r>
              <w:t>Центрально-западный</w:t>
            </w:r>
          </w:p>
        </w:tc>
        <w:tc>
          <w:tcPr>
            <w:tcW w:w="1683" w:type="dxa"/>
            <w:tcBorders>
              <w:left w:val="single" w:sz="4" w:space="0" w:color="auto"/>
              <w:bottom w:val="single" w:sz="4" w:space="0" w:color="auto"/>
              <w:right w:val="single" w:sz="4" w:space="0" w:color="auto"/>
            </w:tcBorders>
          </w:tcPr>
          <w:p w:rsidR="00000000" w:rsidRDefault="00000000">
            <w:pPr>
              <w:ind w:right="640"/>
              <w:jc w:val="right"/>
              <w:rPr>
                <w:lang w:val="en-US"/>
              </w:rPr>
            </w:pPr>
            <w:r>
              <w:rPr>
                <w:lang w:val="en-US"/>
              </w:rPr>
              <w:t>5,8</w:t>
            </w:r>
          </w:p>
        </w:tc>
        <w:tc>
          <w:tcPr>
            <w:tcW w:w="1683" w:type="dxa"/>
            <w:tcBorders>
              <w:left w:val="single" w:sz="4" w:space="0" w:color="auto"/>
              <w:bottom w:val="single" w:sz="4" w:space="0" w:color="auto"/>
              <w:right w:val="single" w:sz="4" w:space="0" w:color="auto"/>
            </w:tcBorders>
          </w:tcPr>
          <w:p w:rsidR="00000000" w:rsidRDefault="00000000">
            <w:pPr>
              <w:ind w:right="640"/>
              <w:jc w:val="right"/>
              <w:rPr>
                <w:lang w:val="en-US"/>
              </w:rPr>
            </w:pPr>
            <w:r>
              <w:rPr>
                <w:lang w:val="en-US"/>
              </w:rPr>
              <w:t>6,7</w:t>
            </w:r>
          </w:p>
        </w:tc>
        <w:tc>
          <w:tcPr>
            <w:tcW w:w="1683" w:type="dxa"/>
            <w:tcBorders>
              <w:left w:val="single" w:sz="4" w:space="0" w:color="auto"/>
              <w:bottom w:val="single" w:sz="4" w:space="0" w:color="auto"/>
              <w:right w:val="single" w:sz="4" w:space="0" w:color="auto"/>
            </w:tcBorders>
          </w:tcPr>
          <w:p w:rsidR="00000000" w:rsidRDefault="00000000">
            <w:pPr>
              <w:ind w:right="640"/>
              <w:jc w:val="right"/>
              <w:rPr>
                <w:lang w:val="en-US"/>
              </w:rPr>
            </w:pPr>
            <w:r>
              <w:rPr>
                <w:lang w:val="en-US"/>
              </w:rPr>
              <w:t>4,8</w:t>
            </w:r>
          </w:p>
        </w:tc>
        <w:tc>
          <w:tcPr>
            <w:tcW w:w="1309" w:type="dxa"/>
            <w:tcBorders>
              <w:left w:val="single" w:sz="4" w:space="0" w:color="auto"/>
              <w:bottom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5,1</w:t>
            </w:r>
          </w:p>
        </w:tc>
      </w:tr>
      <w:tr w:rsidR="00000000">
        <w:tblPrEx>
          <w:tblCellMar>
            <w:top w:w="0" w:type="dxa"/>
            <w:bottom w:w="0" w:type="dxa"/>
          </w:tblCellMar>
        </w:tblPrEx>
        <w:tc>
          <w:tcPr>
            <w:tcW w:w="2992" w:type="dxa"/>
            <w:tcBorders>
              <w:top w:val="single" w:sz="4" w:space="0" w:color="auto"/>
              <w:left w:val="single" w:sz="4" w:space="0" w:color="auto"/>
              <w:bottom w:val="single" w:sz="4" w:space="0" w:color="auto"/>
              <w:right w:val="single" w:sz="4" w:space="0" w:color="auto"/>
            </w:tcBorders>
          </w:tcPr>
          <w:p w:rsidR="00000000" w:rsidRDefault="00000000">
            <w:r>
              <w:t>Всего по Бразилии</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ind w:right="640"/>
              <w:jc w:val="right"/>
              <w:rPr>
                <w:lang w:val="en-US"/>
              </w:rPr>
            </w:pPr>
            <w:r>
              <w:rPr>
                <w:lang w:val="en-US"/>
              </w:rPr>
              <w:t>5,6</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ind w:right="640"/>
              <w:jc w:val="right"/>
              <w:rPr>
                <w:lang w:val="en-US"/>
              </w:rPr>
            </w:pPr>
            <w:r>
              <w:rPr>
                <w:lang w:val="en-US"/>
              </w:rPr>
              <w:t>6,5</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ind w:right="640"/>
              <w:jc w:val="right"/>
              <w:rPr>
                <w:lang w:val="en-US"/>
              </w:rPr>
            </w:pPr>
            <w:r>
              <w:rPr>
                <w:lang w:val="en-US"/>
              </w:rPr>
              <w:t>4,4</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left" w:pos="827"/>
              </w:tabs>
              <w:ind w:right="266"/>
              <w:jc w:val="right"/>
              <w:rPr>
                <w:lang w:val="en-US"/>
              </w:rPr>
            </w:pPr>
            <w:r>
              <w:rPr>
                <w:lang w:val="en-US"/>
              </w:rPr>
              <w:t>4,5</w:t>
            </w:r>
          </w:p>
        </w:tc>
      </w:tr>
    </w:tbl>
    <w:p w:rsidR="00000000" w:rsidRDefault="00000000">
      <w:pPr>
        <w:spacing w:line="240" w:lineRule="auto"/>
        <w:rPr>
          <w:lang w:val="en-US"/>
        </w:rPr>
      </w:pPr>
    </w:p>
    <w:p w:rsidR="00000000" w:rsidRDefault="00000000">
      <w:pPr>
        <w:spacing w:line="240" w:lineRule="auto"/>
        <w:rPr>
          <w:i/>
          <w:iCs/>
          <w:lang w:val="en-US"/>
        </w:rPr>
      </w:pPr>
      <w:r>
        <w:rPr>
          <w:i/>
          <w:iCs/>
        </w:rPr>
        <w:tab/>
      </w:r>
      <w:r>
        <w:rPr>
          <w:i/>
          <w:iCs/>
          <w:u w:val="single"/>
        </w:rPr>
        <w:t>Источник</w:t>
      </w:r>
      <w:r>
        <w:rPr>
          <w:i/>
          <w:iCs/>
          <w:lang w:val="en-US"/>
        </w:rPr>
        <w:t xml:space="preserve">:  </w:t>
      </w:r>
      <w:r>
        <w:t>ОВОДХ</w:t>
      </w:r>
      <w:r>
        <w:rPr>
          <w:lang w:val="en-US"/>
        </w:rPr>
        <w:t xml:space="preserve">, 1998 </w:t>
      </w:r>
      <w:r>
        <w:t>год</w:t>
      </w:r>
      <w:r>
        <w:rPr>
          <w:lang w:val="en-US"/>
        </w:rPr>
        <w:t xml:space="preserve"> (</w:t>
      </w:r>
      <w:r>
        <w:rPr>
          <w:i/>
          <w:iCs/>
        </w:rPr>
        <w:t>БИГС</w:t>
      </w:r>
      <w:r>
        <w:rPr>
          <w:i/>
          <w:iCs/>
          <w:lang w:val="en-US"/>
        </w:rPr>
        <w:t>, Sintese de Indicadores Sociais,</w:t>
      </w:r>
      <w:r>
        <w:rPr>
          <w:lang w:val="en-US"/>
        </w:rPr>
        <w:t xml:space="preserve"> 1999 </w:t>
      </w:r>
      <w:r>
        <w:t>год</w:t>
      </w:r>
      <w:r>
        <w:rPr>
          <w:lang w:val="en-US"/>
        </w:rPr>
        <w:t>)</w:t>
      </w:r>
      <w:r>
        <w:rPr>
          <w:i/>
          <w:iCs/>
          <w:lang w:val="en-US"/>
        </w:rPr>
        <w:t>.</w:t>
      </w:r>
    </w:p>
    <w:p w:rsidR="00000000" w:rsidRDefault="00000000">
      <w:pPr>
        <w:spacing w:line="240" w:lineRule="auto"/>
        <w:rPr>
          <w:i/>
          <w:iCs/>
          <w:lang w:val="en-US"/>
        </w:rPr>
      </w:pPr>
    </w:p>
    <w:p w:rsidR="00000000" w:rsidRDefault="00000000">
      <w:pPr>
        <w:spacing w:line="240" w:lineRule="auto"/>
      </w:pPr>
      <w:r>
        <w:rPr>
          <w:b/>
          <w:bCs/>
          <w:vertAlign w:val="superscript"/>
        </w:rPr>
        <w:tab/>
        <w:t>а</w:t>
      </w:r>
      <w:r>
        <w:rPr>
          <w:b/>
          <w:bCs/>
          <w:vertAlign w:val="superscript"/>
        </w:rPr>
        <w:tab/>
      </w:r>
      <w:r>
        <w:t>Включая выходцев из Азии и представителей коренных народов.</w:t>
      </w:r>
    </w:p>
    <w:p w:rsidR="00000000" w:rsidRDefault="00000000">
      <w:pPr>
        <w:spacing w:line="240" w:lineRule="auto"/>
      </w:pPr>
    </w:p>
    <w:p w:rsidR="00000000" w:rsidRDefault="00000000">
      <w:pPr>
        <w:spacing w:line="240" w:lineRule="auto"/>
      </w:pPr>
      <w:r>
        <w:rPr>
          <w:b/>
          <w:bCs/>
          <w:vertAlign w:val="superscript"/>
        </w:rPr>
        <w:tab/>
      </w:r>
      <w:r>
        <w:rPr>
          <w:b/>
          <w:bCs/>
          <w:vertAlign w:val="superscript"/>
          <w:lang w:val="en-US"/>
        </w:rPr>
        <w:t>b</w:t>
      </w:r>
      <w:r>
        <w:rPr>
          <w:b/>
          <w:bCs/>
          <w:vertAlign w:val="superscript"/>
        </w:rPr>
        <w:tab/>
      </w:r>
      <w:r>
        <w:t>Без учета данных по сельскому населению штатов Рондония, Акри, Амазонас, Рорайма, Пара и Амапа.</w:t>
      </w:r>
    </w:p>
    <w:p w:rsidR="00000000" w:rsidRDefault="00000000"/>
    <w:p w:rsidR="00000000" w:rsidRDefault="00000000">
      <w:r>
        <w:t>238.</w:t>
      </w:r>
      <w:r>
        <w:tab/>
        <w:t>На приводимой ниже диаграмме показано неравенство в доступе к образованию в разбивке по возрастным группам.</w:t>
      </w:r>
    </w:p>
    <w:p w:rsidR="00000000" w:rsidRDefault="00000000"/>
    <w:p w:rsidR="00000000" w:rsidRDefault="00000000">
      <w:pPr>
        <w:jc w:val="center"/>
        <w:rPr>
          <w:b/>
          <w:bCs/>
        </w:rPr>
      </w:pPr>
      <w:r>
        <w:rPr>
          <w:b/>
          <w:bCs/>
        </w:rPr>
        <w:br w:type="page"/>
        <w:t>Диаграмма 1</w:t>
      </w:r>
    </w:p>
    <w:p w:rsidR="00000000" w:rsidRDefault="00000000">
      <w:pPr>
        <w:jc w:val="center"/>
        <w:rPr>
          <w:b/>
          <w:bCs/>
          <w:u w:val="single"/>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0"/>
      </w:tblGrid>
      <w:tr w:rsidR="00000000">
        <w:tblPrEx>
          <w:tblCellMar>
            <w:top w:w="0" w:type="dxa"/>
            <w:bottom w:w="0" w:type="dxa"/>
          </w:tblCellMar>
        </w:tblPrEx>
        <w:tc>
          <w:tcPr>
            <w:tcW w:w="7480" w:type="dxa"/>
          </w:tcPr>
          <w:p w:rsidR="00000000" w:rsidRDefault="00000000">
            <w:pPr>
              <w:jc w:val="center"/>
              <w:rPr>
                <w:b/>
                <w:bCs/>
              </w:rPr>
            </w:pPr>
            <w:r>
              <w:rPr>
                <w:b/>
                <w:bCs/>
              </w:rPr>
              <w:t>Показатели, доступа к образованию в разбивке по цвету кожи и возрастной группе за период с марта 1996 года по март 1997 года</w:t>
            </w:r>
          </w:p>
        </w:tc>
      </w:tr>
    </w:tbl>
    <w:p w:rsidR="00000000" w:rsidRDefault="00000000">
      <w:r>
        <w:rPr>
          <w:noProof/>
          <w:sz w:val="20"/>
          <w:lang w:eastAsia="ru-RU"/>
        </w:rPr>
        <w:pict>
          <v:shape id="_x0000_s1032" type="#_x0000_t202" style="position:absolute;margin-left:18.7pt;margin-top:213.85pt;width:74.8pt;height:19.05pt;z-index:5;mso-position-horizontal-relative:text;mso-position-vertical-relative:text" stroked="f">
            <v:textbox inset="0,0,0,0">
              <w:txbxContent>
                <w:p w:rsidR="00000000" w:rsidRDefault="00000000">
                  <w:pPr>
                    <w:jc w:val="right"/>
                    <w:rPr>
                      <w:sz w:val="20"/>
                    </w:rPr>
                  </w:pPr>
                  <w:r>
                    <w:rPr>
                      <w:sz w:val="20"/>
                    </w:rPr>
                    <w:t>25 лет и старше</w:t>
                  </w:r>
                </w:p>
              </w:txbxContent>
            </v:textbox>
          </v:shape>
        </w:pict>
      </w:r>
      <w:r>
        <w:rPr>
          <w:noProof/>
          <w:sz w:val="20"/>
          <w:lang w:eastAsia="ru-RU"/>
        </w:rPr>
        <w:pict>
          <v:shape id="_x0000_s1033" type="#_x0000_t202" style="position:absolute;margin-left:18.7pt;margin-top:175.75pt;width:74.8pt;height:19.05pt;z-index:6;mso-position-horizontal-relative:text;mso-position-vertical-relative:text" stroked="f">
            <v:textbox inset="0,0,0,0">
              <w:txbxContent>
                <w:p w:rsidR="00000000" w:rsidRDefault="00000000">
                  <w:pPr>
                    <w:jc w:val="right"/>
                    <w:rPr>
                      <w:sz w:val="20"/>
                    </w:rPr>
                  </w:pPr>
                  <w:r>
                    <w:rPr>
                      <w:sz w:val="20"/>
                    </w:rPr>
                    <w:t>18-24 лет</w:t>
                  </w:r>
                </w:p>
              </w:txbxContent>
            </v:textbox>
          </v:shape>
        </w:pict>
      </w:r>
      <w:r>
        <w:rPr>
          <w:noProof/>
          <w:sz w:val="20"/>
          <w:lang w:eastAsia="ru-RU"/>
        </w:rPr>
        <w:pict>
          <v:shape id="_x0000_s1030" type="#_x0000_t202" style="position:absolute;margin-left:18.7pt;margin-top:137.65pt;width:74.8pt;height:19.05pt;z-index:3;mso-position-horizontal-relative:text;mso-position-vertical-relative:text" stroked="f">
            <v:textbox inset="0,0,0,0">
              <w:txbxContent>
                <w:p w:rsidR="00000000" w:rsidRDefault="00000000">
                  <w:pPr>
                    <w:jc w:val="right"/>
                    <w:rPr>
                      <w:sz w:val="20"/>
                    </w:rPr>
                  </w:pPr>
                  <w:r>
                    <w:rPr>
                      <w:sz w:val="20"/>
                    </w:rPr>
                    <w:t>15-17 лет</w:t>
                  </w:r>
                </w:p>
              </w:txbxContent>
            </v:textbox>
          </v:shape>
        </w:pict>
      </w:r>
      <w:r>
        <w:rPr>
          <w:noProof/>
          <w:sz w:val="20"/>
          <w:lang w:eastAsia="ru-RU"/>
        </w:rPr>
        <w:pict>
          <v:shape id="_x0000_s1031" type="#_x0000_t202" style="position:absolute;margin-left:18.7pt;margin-top:105.9pt;width:74.8pt;height:19.05pt;z-index:4;mso-position-horizontal-relative:text;mso-position-vertical-relative:text" stroked="f">
            <v:textbox inset="0,0,0,0">
              <w:txbxContent>
                <w:p w:rsidR="00000000" w:rsidRDefault="00000000">
                  <w:pPr>
                    <w:jc w:val="right"/>
                    <w:rPr>
                      <w:sz w:val="20"/>
                    </w:rPr>
                  </w:pPr>
                  <w:r>
                    <w:rPr>
                      <w:sz w:val="20"/>
                    </w:rPr>
                    <w:t>10-14 лет</w:t>
                  </w:r>
                </w:p>
              </w:txbxContent>
            </v:textbox>
          </v:shape>
        </w:pict>
      </w:r>
      <w:r>
        <w:rPr>
          <w:noProof/>
          <w:sz w:val="20"/>
          <w:lang w:eastAsia="ru-RU"/>
        </w:rPr>
        <w:pict>
          <v:shape id="_x0000_s1035" type="#_x0000_t202" style="position:absolute;margin-left:18.7pt;margin-top:67.8pt;width:74.8pt;height:19.05pt;z-index:8;mso-position-horizontal-relative:text;mso-position-vertical-relative:text" stroked="f">
            <v:textbox inset="0,0,0,0">
              <w:txbxContent>
                <w:p w:rsidR="00000000" w:rsidRDefault="00000000">
                  <w:pPr>
                    <w:jc w:val="right"/>
                    <w:rPr>
                      <w:sz w:val="20"/>
                    </w:rPr>
                  </w:pPr>
                  <w:r>
                    <w:rPr>
                      <w:sz w:val="20"/>
                    </w:rPr>
                    <w:t>7-9 лет</w:t>
                  </w:r>
                </w:p>
              </w:txbxContent>
            </v:textbox>
          </v:shape>
        </w:pict>
      </w:r>
      <w:r>
        <w:rPr>
          <w:noProof/>
          <w:sz w:val="20"/>
          <w:lang w:eastAsia="ru-RU"/>
        </w:rPr>
        <w:pict>
          <v:shape id="_x0000_s1029" type="#_x0000_t202" style="position:absolute;margin-left:280.5pt;margin-top:269.6pt;width:102.85pt;height:38.1pt;z-index:2;mso-position-horizontal-relative:text;mso-position-vertical-relative:text">
            <v:textbox inset="0,0,0,0">
              <w:txbxContent>
                <w:p w:rsidR="00000000" w:rsidRDefault="00000000">
                  <w:pPr>
                    <w:rPr>
                      <w:sz w:val="10"/>
                    </w:rPr>
                  </w:pPr>
                </w:p>
                <w:p w:rsidR="00000000" w:rsidRDefault="00000000">
                  <w:pPr>
                    <w:ind w:left="187"/>
                    <w:rPr>
                      <w:sz w:val="20"/>
                    </w:rPr>
                  </w:pPr>
                  <w:r>
                    <w:rPr>
                      <w:sz w:val="20"/>
                    </w:rPr>
                    <w:t>Чернокожие/метисы</w:t>
                  </w:r>
                </w:p>
                <w:p w:rsidR="00000000" w:rsidRDefault="00000000">
                  <w:pPr>
                    <w:ind w:left="187"/>
                    <w:rPr>
                      <w:sz w:val="20"/>
                    </w:rPr>
                  </w:pPr>
                  <w:r>
                    <w:rPr>
                      <w:sz w:val="20"/>
                    </w:rPr>
                    <w:t>Белые</w:t>
                  </w:r>
                </w:p>
              </w:txbxContent>
            </v:textbox>
          </v:shape>
        </w:pict>
      </w:r>
      <w:r>
        <w:rPr>
          <w:noProof/>
          <w:sz w:val="20"/>
          <w:lang w:eastAsia="ru-RU"/>
        </w:rPr>
        <w:pict>
          <v:shape id="_x0000_s1034" type="#_x0000_t202" style="position:absolute;margin-left:18.7pt;margin-top:34.8pt;width:74.8pt;height:19.05pt;z-index:7;mso-position-horizontal-relative:text;mso-position-vertical-relative:text" stroked="f">
            <v:textbox style="mso-next-textbox:#_x0000_s1034" inset="0,0,0,0">
              <w:txbxContent>
                <w:p w:rsidR="00000000" w:rsidRDefault="00000000">
                  <w:pPr>
                    <w:jc w:val="right"/>
                    <w:rPr>
                      <w:sz w:val="20"/>
                    </w:rPr>
                  </w:pPr>
                  <w:r>
                    <w:rPr>
                      <w:sz w:val="20"/>
                    </w:rPr>
                    <w:t>0-6 лет</w:t>
                  </w:r>
                </w:p>
              </w:txbxContent>
            </v:textbox>
          </v:shape>
        </w:pict>
      </w:r>
      <w:r>
        <w:object w:dxaOrig="8040" w:dyaOrig="6389">
          <v:shape id="_x0000_i1026" type="#_x0000_t75" style="width:402.75pt;height:319.5pt" o:ole="" fillcolor="window">
            <v:imagedata r:id="rId9" o:title=""/>
          </v:shape>
          <o:OLEObject Type="Embed" ProgID="Excel.Chart.8" ShapeID="_x0000_i1026" DrawAspect="Content" ObjectID="_1444054054" r:id="rId10"/>
        </w:object>
      </w:r>
    </w:p>
    <w:p w:rsidR="00000000" w:rsidRDefault="00000000"/>
    <w:p w:rsidR="00000000" w:rsidRDefault="00000000">
      <w:pPr>
        <w:rPr>
          <w:i/>
          <w:iCs/>
        </w:rPr>
      </w:pPr>
      <w:r>
        <w:rPr>
          <w:i/>
          <w:iCs/>
        </w:rPr>
        <w:tab/>
      </w:r>
      <w:r>
        <w:rPr>
          <w:i/>
          <w:iCs/>
          <w:u w:val="single"/>
        </w:rPr>
        <w:t>Источник</w:t>
      </w:r>
      <w:r>
        <w:rPr>
          <w:i/>
          <w:iCs/>
        </w:rPr>
        <w:t xml:space="preserve">:  </w:t>
      </w:r>
      <w:r>
        <w:rPr>
          <w:i/>
          <w:iCs/>
          <w:lang w:val="en-US"/>
        </w:rPr>
        <w:t>Pesquisa</w:t>
      </w:r>
      <w:r>
        <w:rPr>
          <w:i/>
          <w:iCs/>
        </w:rPr>
        <w:t xml:space="preserve"> </w:t>
      </w:r>
      <w:r>
        <w:rPr>
          <w:i/>
          <w:iCs/>
          <w:lang w:val="en-US"/>
        </w:rPr>
        <w:t>sobre</w:t>
      </w:r>
      <w:r>
        <w:rPr>
          <w:i/>
          <w:iCs/>
        </w:rPr>
        <w:t xml:space="preserve"> </w:t>
      </w:r>
      <w:r>
        <w:rPr>
          <w:i/>
          <w:iCs/>
          <w:lang w:val="en-US"/>
        </w:rPr>
        <w:t>padr</w:t>
      </w:r>
      <w:r>
        <w:rPr>
          <w:i/>
          <w:iCs/>
        </w:rPr>
        <w:t>õ</w:t>
      </w:r>
      <w:r>
        <w:rPr>
          <w:i/>
          <w:iCs/>
          <w:lang w:val="en-US"/>
        </w:rPr>
        <w:t>es</w:t>
      </w:r>
      <w:r>
        <w:rPr>
          <w:i/>
          <w:iCs/>
        </w:rPr>
        <w:t xml:space="preserve"> </w:t>
      </w:r>
      <w:r>
        <w:rPr>
          <w:i/>
          <w:iCs/>
          <w:lang w:val="en-US"/>
        </w:rPr>
        <w:t>de</w:t>
      </w:r>
      <w:r>
        <w:rPr>
          <w:i/>
          <w:iCs/>
        </w:rPr>
        <w:t xml:space="preserve"> </w:t>
      </w:r>
      <w:r>
        <w:rPr>
          <w:i/>
          <w:iCs/>
          <w:lang w:val="en-US"/>
        </w:rPr>
        <w:t>vida</w:t>
      </w:r>
      <w:r>
        <w:rPr>
          <w:i/>
          <w:iCs/>
        </w:rPr>
        <w:t xml:space="preserve">, </w:t>
      </w:r>
      <w:r>
        <w:t>1996/1997 год, БИГС (1996</w:t>
      </w:r>
      <w:r>
        <w:rPr>
          <w:lang w:val="en-US"/>
        </w:rPr>
        <w:t>b</w:t>
      </w:r>
      <w:r>
        <w:t>).</w:t>
      </w:r>
    </w:p>
    <w:p w:rsidR="00000000" w:rsidRDefault="00000000">
      <w:pPr>
        <w:rPr>
          <w:i/>
          <w:iCs/>
        </w:rPr>
      </w:pPr>
    </w:p>
    <w:p w:rsidR="00000000" w:rsidRDefault="00000000">
      <w:r>
        <w:t>239.</w:t>
      </w:r>
      <w:r>
        <w:tab/>
        <w:t>Данные, представленные в диаграмме 1 выше, показывают, что в обследуемых группах существует неравенство в доступе к образованию по каждой возрастной группе.  Однако наибольшее различие наблюдается в группе детей от 0 до 6 лет, а также в группе подростков 15</w:t>
      </w:r>
      <w:r>
        <w:noBreakHyphen/>
        <w:t>17 лет.</w:t>
      </w:r>
    </w:p>
    <w:p w:rsidR="00000000" w:rsidRDefault="00000000"/>
    <w:p w:rsidR="00000000" w:rsidRDefault="00000000">
      <w:r>
        <w:t>240.</w:t>
      </w:r>
      <w:r>
        <w:tab/>
        <w:t xml:space="preserve">Обследование, проведенное Федеральным университетом Флуминенсе, результаты которого были опубликованы в </w:t>
      </w:r>
      <w:r>
        <w:rPr>
          <w:i/>
          <w:iCs/>
          <w:lang w:val="en-US"/>
        </w:rPr>
        <w:t>Folha</w:t>
      </w:r>
      <w:r>
        <w:rPr>
          <w:i/>
          <w:iCs/>
        </w:rPr>
        <w:t xml:space="preserve"> </w:t>
      </w:r>
      <w:r>
        <w:rPr>
          <w:i/>
          <w:iCs/>
          <w:lang w:val="en-US"/>
        </w:rPr>
        <w:t>de</w:t>
      </w:r>
      <w:r>
        <w:rPr>
          <w:i/>
          <w:iCs/>
        </w:rPr>
        <w:t xml:space="preserve"> </w:t>
      </w:r>
      <w:r>
        <w:rPr>
          <w:i/>
          <w:iCs/>
          <w:lang w:val="en-US"/>
        </w:rPr>
        <w:t>S</w:t>
      </w:r>
      <w:r>
        <w:rPr>
          <w:i/>
          <w:iCs/>
        </w:rPr>
        <w:t xml:space="preserve">. </w:t>
      </w:r>
      <w:r>
        <w:rPr>
          <w:i/>
          <w:iCs/>
          <w:lang w:val="en-US"/>
        </w:rPr>
        <w:t>Paulo</w:t>
      </w:r>
      <w:r>
        <w:t xml:space="preserve"> 20 февраля 2000 года, показало, что, согласно классификации БИГС, число чернокожих студентов и студентов-метисов, получивших доступ к высшему образованию в 1998 году, возросло почти на 70% за период с 1992 по 1998 год.  Если в 1992 году в высших учебных заведениях обучались всего лишь 77 607 чернокожих студентов, то в 1998 году их число увеличилось до 131 763 человек.  Вместе с тем это же обследование свидетельствует о том, что доля чернокожих, обучающихся в системе высшего образования, была ниже их общей представленности в населении в целом.  Другими словами, если, по данным ОВОДХ за 1998 год, чернокожие составляли 5,6% всего населения, то среди студентов высших учебных заведений их доля не превышала 2%.  Положение метисов можно назвать еще более проблематичным, поскольку в том же году они составляли 41% всего населения, но при этом только 12% из них получали высшее образование.</w:t>
      </w:r>
    </w:p>
    <w:p w:rsidR="00000000" w:rsidRDefault="00000000"/>
    <w:p w:rsidR="00000000" w:rsidRDefault="00000000">
      <w:pPr>
        <w:rPr>
          <w:b/>
          <w:bCs/>
        </w:rPr>
      </w:pPr>
      <w:r>
        <w:rPr>
          <w:b/>
          <w:bCs/>
        </w:rPr>
        <w:t>Экономические условия и рынок рабочей силы</w:t>
      </w:r>
    </w:p>
    <w:p w:rsidR="00000000" w:rsidRDefault="00000000"/>
    <w:p w:rsidR="00000000" w:rsidRDefault="00000000">
      <w:r>
        <w:t>241.</w:t>
      </w:r>
      <w:r>
        <w:tab/>
        <w:t>Обследование, проведенное Межамериканским профсоюзным институтом расового равенства (ИНСПИР) в районах шести крупнейших городов Бразилии, показало, что доля чернокожих трудящихся составляет 41,7% от численности экономически активного населения.  Согласно этому обследованию, данная процентная доля приближается к численности чернокожего населения, проживающего в этих районах, которая, составляет 43,7%.  Были изучены следующие районы.  Сан</w:t>
      </w:r>
      <w:r>
        <w:noBreakHyphen/>
        <w:t>Паулу, Белу</w:t>
      </w:r>
      <w:r>
        <w:noBreakHyphen/>
        <w:t>Оризонти, Порту</w:t>
      </w:r>
      <w:r>
        <w:noBreakHyphen/>
        <w:t>Алегри, Ресифи, Салвадор и федеральный округ.  Согласно принятой классификации, чернокожие и метисы были отнесены к чернокожему населению, а белые и выходцы из Азии - к белому или нечернокожему населению.</w:t>
      </w:r>
    </w:p>
    <w:p w:rsidR="00000000" w:rsidRDefault="00000000"/>
    <w:p w:rsidR="00000000" w:rsidRDefault="00000000">
      <w:pPr>
        <w:jc w:val="center"/>
        <w:rPr>
          <w:b/>
          <w:bCs/>
        </w:rPr>
      </w:pPr>
      <w:r>
        <w:rPr>
          <w:b/>
          <w:bCs/>
        </w:rPr>
        <w:t>Таблица 9</w:t>
      </w:r>
    </w:p>
    <w:p w:rsidR="00000000" w:rsidRDefault="00000000">
      <w:pPr>
        <w:jc w:val="center"/>
        <w:rPr>
          <w:b/>
          <w:bCs/>
        </w:rPr>
      </w:pPr>
    </w:p>
    <w:p w:rsidR="00000000" w:rsidRDefault="00000000">
      <w:pPr>
        <w:jc w:val="center"/>
        <w:rPr>
          <w:b/>
          <w:bCs/>
        </w:rPr>
      </w:pPr>
      <w:r>
        <w:rPr>
          <w:b/>
          <w:bCs/>
        </w:rPr>
        <w:t>Оценочная численность чернокожего населения по отношению к общей численности населения и экономически активного населения (районы крупных городов, 1998 год)</w:t>
      </w:r>
    </w:p>
    <w:p w:rsidR="00000000" w:rsidRDefault="00000000">
      <w:pPr>
        <w:jc w:val="center"/>
        <w:rPr>
          <w:b/>
          <w:bCs/>
        </w:rPr>
      </w:pPr>
    </w:p>
    <w:tbl>
      <w:tblPr>
        <w:tblW w:w="0" w:type="auto"/>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6"/>
        <w:gridCol w:w="2957"/>
        <w:gridCol w:w="3160"/>
      </w:tblGrid>
      <w:tr w:rsidR="00000000">
        <w:tblPrEx>
          <w:tblCellMar>
            <w:top w:w="0" w:type="dxa"/>
            <w:bottom w:w="0" w:type="dxa"/>
          </w:tblCellMar>
        </w:tblPrEx>
        <w:trPr>
          <w:trHeight w:val="1025"/>
          <w:jc w:val="center"/>
        </w:trPr>
        <w:tc>
          <w:tcPr>
            <w:tcW w:w="2996"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Города</w:t>
            </w:r>
          </w:p>
        </w:tc>
        <w:tc>
          <w:tcPr>
            <w:tcW w:w="2957"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Численность чернокожего населения в %</w:t>
            </w:r>
          </w:p>
        </w:tc>
        <w:tc>
          <w:tcPr>
            <w:tcW w:w="3160"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Численность чернокожего экономически активного населения в %</w:t>
            </w:r>
          </w:p>
        </w:tc>
      </w:tr>
      <w:tr w:rsidR="00000000">
        <w:tblPrEx>
          <w:tblCellMar>
            <w:top w:w="0" w:type="dxa"/>
            <w:bottom w:w="0" w:type="dxa"/>
          </w:tblCellMar>
        </w:tblPrEx>
        <w:trPr>
          <w:jc w:val="center"/>
        </w:trPr>
        <w:tc>
          <w:tcPr>
            <w:tcW w:w="2996" w:type="dxa"/>
            <w:tcBorders>
              <w:left w:val="single" w:sz="4" w:space="0" w:color="auto"/>
              <w:bottom w:val="nil"/>
              <w:right w:val="single" w:sz="4" w:space="0" w:color="auto"/>
            </w:tcBorders>
          </w:tcPr>
          <w:p w:rsidR="00000000" w:rsidRDefault="00000000">
            <w:r>
              <w:t>Белу-Оризонти</w:t>
            </w:r>
          </w:p>
        </w:tc>
        <w:tc>
          <w:tcPr>
            <w:tcW w:w="2957" w:type="dxa"/>
            <w:tcBorders>
              <w:left w:val="single" w:sz="4" w:space="0" w:color="auto"/>
              <w:bottom w:val="nil"/>
              <w:right w:val="single" w:sz="4" w:space="0" w:color="auto"/>
            </w:tcBorders>
          </w:tcPr>
          <w:p w:rsidR="00000000" w:rsidRDefault="00000000">
            <w:pPr>
              <w:tabs>
                <w:tab w:val="clear" w:pos="1701"/>
                <w:tab w:val="clear" w:pos="2268"/>
              </w:tabs>
              <w:ind w:right="1221"/>
              <w:jc w:val="right"/>
              <w:rPr>
                <w:lang w:val="en-US"/>
              </w:rPr>
            </w:pPr>
            <w:r>
              <w:rPr>
                <w:lang w:val="en-US"/>
              </w:rPr>
              <w:t>51,8</w:t>
            </w:r>
          </w:p>
        </w:tc>
        <w:tc>
          <w:tcPr>
            <w:tcW w:w="3160" w:type="dxa"/>
            <w:tcBorders>
              <w:left w:val="single" w:sz="4" w:space="0" w:color="auto"/>
              <w:bottom w:val="nil"/>
              <w:right w:val="single" w:sz="4" w:space="0" w:color="auto"/>
            </w:tcBorders>
          </w:tcPr>
          <w:p w:rsidR="00000000" w:rsidRDefault="00000000">
            <w:pPr>
              <w:tabs>
                <w:tab w:val="clear" w:pos="1701"/>
                <w:tab w:val="clear" w:pos="2268"/>
              </w:tabs>
              <w:ind w:right="1221"/>
              <w:jc w:val="right"/>
              <w:rPr>
                <w:lang w:val="en-US"/>
              </w:rPr>
            </w:pPr>
            <w:r>
              <w:rPr>
                <w:lang w:val="en-US"/>
              </w:rPr>
              <w:t>52,1</w:t>
            </w:r>
          </w:p>
        </w:tc>
      </w:tr>
      <w:tr w:rsidR="00000000">
        <w:tblPrEx>
          <w:tblCellMar>
            <w:top w:w="0" w:type="dxa"/>
            <w:bottom w:w="0" w:type="dxa"/>
          </w:tblCellMar>
        </w:tblPrEx>
        <w:trPr>
          <w:jc w:val="center"/>
        </w:trPr>
        <w:tc>
          <w:tcPr>
            <w:tcW w:w="2996" w:type="dxa"/>
            <w:tcBorders>
              <w:top w:val="nil"/>
              <w:left w:val="single" w:sz="4" w:space="0" w:color="auto"/>
              <w:bottom w:val="nil"/>
              <w:right w:val="single" w:sz="4" w:space="0" w:color="auto"/>
            </w:tcBorders>
          </w:tcPr>
          <w:p w:rsidR="00000000" w:rsidRDefault="00000000">
            <w:r>
              <w:t>Федеральный округ</w:t>
            </w:r>
          </w:p>
        </w:tc>
        <w:tc>
          <w:tcPr>
            <w:tcW w:w="2957"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63,7</w:t>
            </w:r>
          </w:p>
        </w:tc>
        <w:tc>
          <w:tcPr>
            <w:tcW w:w="3160"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64,4</w:t>
            </w:r>
          </w:p>
        </w:tc>
      </w:tr>
      <w:tr w:rsidR="00000000">
        <w:tblPrEx>
          <w:tblCellMar>
            <w:top w:w="0" w:type="dxa"/>
            <w:bottom w:w="0" w:type="dxa"/>
          </w:tblCellMar>
        </w:tblPrEx>
        <w:trPr>
          <w:jc w:val="center"/>
        </w:trPr>
        <w:tc>
          <w:tcPr>
            <w:tcW w:w="2996" w:type="dxa"/>
            <w:tcBorders>
              <w:top w:val="nil"/>
              <w:left w:val="single" w:sz="4" w:space="0" w:color="auto"/>
              <w:bottom w:val="nil"/>
              <w:right w:val="single" w:sz="4" w:space="0" w:color="auto"/>
            </w:tcBorders>
          </w:tcPr>
          <w:p w:rsidR="00000000" w:rsidRDefault="00000000">
            <w:r>
              <w:t>Порту-Алегри</w:t>
            </w:r>
          </w:p>
        </w:tc>
        <w:tc>
          <w:tcPr>
            <w:tcW w:w="2957"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11,8</w:t>
            </w:r>
          </w:p>
        </w:tc>
        <w:tc>
          <w:tcPr>
            <w:tcW w:w="3160"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11,7</w:t>
            </w:r>
          </w:p>
        </w:tc>
      </w:tr>
      <w:tr w:rsidR="00000000">
        <w:tblPrEx>
          <w:tblCellMar>
            <w:top w:w="0" w:type="dxa"/>
            <w:bottom w:w="0" w:type="dxa"/>
          </w:tblCellMar>
        </w:tblPrEx>
        <w:trPr>
          <w:jc w:val="center"/>
        </w:trPr>
        <w:tc>
          <w:tcPr>
            <w:tcW w:w="2996" w:type="dxa"/>
            <w:tcBorders>
              <w:top w:val="nil"/>
              <w:left w:val="single" w:sz="4" w:space="0" w:color="auto"/>
              <w:bottom w:val="nil"/>
              <w:right w:val="single" w:sz="4" w:space="0" w:color="auto"/>
            </w:tcBorders>
          </w:tcPr>
          <w:p w:rsidR="00000000" w:rsidRDefault="00000000">
            <w:r>
              <w:t>Ресифи</w:t>
            </w:r>
          </w:p>
        </w:tc>
        <w:tc>
          <w:tcPr>
            <w:tcW w:w="2957"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64,0</w:t>
            </w:r>
          </w:p>
        </w:tc>
        <w:tc>
          <w:tcPr>
            <w:tcW w:w="3160"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pPr>
            <w:r>
              <w:t>63,9</w:t>
            </w:r>
          </w:p>
        </w:tc>
      </w:tr>
      <w:tr w:rsidR="00000000">
        <w:tblPrEx>
          <w:tblCellMar>
            <w:top w:w="0" w:type="dxa"/>
            <w:bottom w:w="0" w:type="dxa"/>
          </w:tblCellMar>
        </w:tblPrEx>
        <w:trPr>
          <w:jc w:val="center"/>
        </w:trPr>
        <w:tc>
          <w:tcPr>
            <w:tcW w:w="2996" w:type="dxa"/>
            <w:tcBorders>
              <w:top w:val="nil"/>
              <w:left w:val="single" w:sz="4" w:space="0" w:color="auto"/>
              <w:bottom w:val="nil"/>
              <w:right w:val="single" w:sz="4" w:space="0" w:color="auto"/>
            </w:tcBorders>
          </w:tcPr>
          <w:p w:rsidR="00000000" w:rsidRDefault="00000000">
            <w:r>
              <w:t>Салвадор</w:t>
            </w:r>
          </w:p>
        </w:tc>
        <w:tc>
          <w:tcPr>
            <w:tcW w:w="2957"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rPr>
                <w:lang w:val="en-US"/>
              </w:rPr>
            </w:pPr>
            <w:r>
              <w:rPr>
                <w:lang w:val="en-US"/>
              </w:rPr>
              <w:t>81,1</w:t>
            </w:r>
          </w:p>
        </w:tc>
        <w:tc>
          <w:tcPr>
            <w:tcW w:w="3160" w:type="dxa"/>
            <w:tcBorders>
              <w:top w:val="nil"/>
              <w:left w:val="single" w:sz="4" w:space="0" w:color="auto"/>
              <w:bottom w:val="nil"/>
              <w:right w:val="single" w:sz="4" w:space="0" w:color="auto"/>
            </w:tcBorders>
          </w:tcPr>
          <w:p w:rsidR="00000000" w:rsidRDefault="00000000">
            <w:pPr>
              <w:tabs>
                <w:tab w:val="clear" w:pos="1701"/>
                <w:tab w:val="clear" w:pos="2268"/>
              </w:tabs>
              <w:ind w:right="1221"/>
              <w:jc w:val="right"/>
              <w:rPr>
                <w:lang w:val="en-US"/>
              </w:rPr>
            </w:pPr>
            <w:r>
              <w:rPr>
                <w:lang w:val="en-US"/>
              </w:rPr>
              <w:t>81,4</w:t>
            </w:r>
          </w:p>
        </w:tc>
      </w:tr>
      <w:tr w:rsidR="00000000">
        <w:tblPrEx>
          <w:tblCellMar>
            <w:top w:w="0" w:type="dxa"/>
            <w:bottom w:w="0" w:type="dxa"/>
          </w:tblCellMar>
        </w:tblPrEx>
        <w:trPr>
          <w:jc w:val="center"/>
        </w:trPr>
        <w:tc>
          <w:tcPr>
            <w:tcW w:w="2996" w:type="dxa"/>
            <w:tcBorders>
              <w:top w:val="nil"/>
              <w:left w:val="single" w:sz="4" w:space="0" w:color="auto"/>
              <w:bottom w:val="single" w:sz="4" w:space="0" w:color="auto"/>
              <w:right w:val="single" w:sz="4" w:space="0" w:color="auto"/>
            </w:tcBorders>
          </w:tcPr>
          <w:p w:rsidR="00000000" w:rsidRDefault="00000000">
            <w:r>
              <w:t>Сан-Паулу</w:t>
            </w:r>
          </w:p>
        </w:tc>
        <w:tc>
          <w:tcPr>
            <w:tcW w:w="2957"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ind w:right="1221"/>
              <w:jc w:val="right"/>
              <w:rPr>
                <w:lang w:val="en-US"/>
              </w:rPr>
            </w:pPr>
            <w:r>
              <w:rPr>
                <w:lang w:val="en-US"/>
              </w:rPr>
              <w:t>33,0</w:t>
            </w:r>
          </w:p>
        </w:tc>
        <w:tc>
          <w:tcPr>
            <w:tcW w:w="3160"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ind w:right="1221"/>
              <w:jc w:val="right"/>
              <w:rPr>
                <w:lang w:val="en-US"/>
              </w:rPr>
            </w:pPr>
            <w:r>
              <w:rPr>
                <w:lang w:val="en-US"/>
              </w:rPr>
              <w:t>32,8</w:t>
            </w:r>
          </w:p>
        </w:tc>
      </w:tr>
      <w:tr w:rsidR="00000000">
        <w:tblPrEx>
          <w:tblCellMar>
            <w:top w:w="0" w:type="dxa"/>
            <w:bottom w:w="0" w:type="dxa"/>
          </w:tblCellMar>
        </w:tblPrEx>
        <w:trPr>
          <w:jc w:val="center"/>
        </w:trPr>
        <w:tc>
          <w:tcPr>
            <w:tcW w:w="2996" w:type="dxa"/>
            <w:tcBorders>
              <w:top w:val="single" w:sz="4" w:space="0" w:color="auto"/>
              <w:left w:val="single" w:sz="4" w:space="0" w:color="auto"/>
              <w:right w:val="single" w:sz="4" w:space="0" w:color="auto"/>
            </w:tcBorders>
          </w:tcPr>
          <w:p w:rsidR="00000000" w:rsidRDefault="00000000">
            <w:pPr>
              <w:ind w:left="567"/>
            </w:pPr>
            <w:r>
              <w:t>Всего</w:t>
            </w:r>
          </w:p>
        </w:tc>
        <w:tc>
          <w:tcPr>
            <w:tcW w:w="2957" w:type="dxa"/>
            <w:tcBorders>
              <w:top w:val="single" w:sz="4" w:space="0" w:color="auto"/>
              <w:left w:val="single" w:sz="4" w:space="0" w:color="auto"/>
              <w:right w:val="single" w:sz="4" w:space="0" w:color="auto"/>
            </w:tcBorders>
          </w:tcPr>
          <w:p w:rsidR="00000000" w:rsidRDefault="00000000">
            <w:pPr>
              <w:tabs>
                <w:tab w:val="clear" w:pos="1701"/>
                <w:tab w:val="clear" w:pos="2268"/>
              </w:tabs>
              <w:ind w:right="1221"/>
              <w:jc w:val="right"/>
              <w:rPr>
                <w:lang w:val="en-US"/>
              </w:rPr>
            </w:pPr>
            <w:r>
              <w:rPr>
                <w:lang w:val="en-US"/>
              </w:rPr>
              <w:t>43,7</w:t>
            </w:r>
          </w:p>
        </w:tc>
        <w:tc>
          <w:tcPr>
            <w:tcW w:w="3160" w:type="dxa"/>
            <w:tcBorders>
              <w:top w:val="single" w:sz="4" w:space="0" w:color="auto"/>
              <w:left w:val="single" w:sz="4" w:space="0" w:color="auto"/>
              <w:right w:val="single" w:sz="4" w:space="0" w:color="auto"/>
            </w:tcBorders>
          </w:tcPr>
          <w:p w:rsidR="00000000" w:rsidRDefault="00000000">
            <w:pPr>
              <w:tabs>
                <w:tab w:val="clear" w:pos="1701"/>
                <w:tab w:val="clear" w:pos="2268"/>
              </w:tabs>
              <w:ind w:right="1221"/>
              <w:jc w:val="right"/>
              <w:rPr>
                <w:lang w:val="en-US"/>
              </w:rPr>
            </w:pPr>
            <w:r>
              <w:rPr>
                <w:lang w:val="en-US"/>
              </w:rPr>
              <w:t>41,7</w:t>
            </w:r>
          </w:p>
        </w:tc>
      </w:tr>
    </w:tbl>
    <w:p w:rsidR="00000000" w:rsidRDefault="00000000"/>
    <w:p w:rsidR="00000000" w:rsidRDefault="00000000">
      <w:r>
        <w:tab/>
      </w:r>
      <w:r>
        <w:rPr>
          <w:i/>
          <w:iCs/>
          <w:u w:val="single"/>
        </w:rPr>
        <w:t>Источник</w:t>
      </w:r>
      <w:r>
        <w:t>:  ДИЕЕСЕ/СЕАДЕ, ИНСПИР (1999:15).</w:t>
      </w:r>
    </w:p>
    <w:p w:rsidR="00000000" w:rsidRDefault="00000000"/>
    <w:p w:rsidR="00000000" w:rsidRDefault="00000000">
      <w:r>
        <w:t>242.</w:t>
      </w:r>
      <w:r>
        <w:tab/>
        <w:t>Как свидетельствует таблица, доля чернокожего населения в общей численности населения значительно колеблется в зависимости от города, достигая в Сальвадоре 81,1% и составляя при этом в Порту</w:t>
      </w:r>
      <w:r>
        <w:noBreakHyphen/>
        <w:t>Алегри всего 11,8%.  То же самое обследование показало также, что чернокожие в большей степени страдают от безработицы, чем нечернокожие, о чем свидетельствует таблица 10 ниже.</w:t>
      </w:r>
    </w:p>
    <w:p w:rsidR="00000000" w:rsidRDefault="00000000"/>
    <w:p w:rsidR="00000000" w:rsidRDefault="00000000">
      <w:pPr>
        <w:jc w:val="center"/>
        <w:rPr>
          <w:b/>
          <w:bCs/>
        </w:rPr>
      </w:pPr>
      <w:r>
        <w:rPr>
          <w:b/>
          <w:bCs/>
        </w:rPr>
        <w:t>Таблица 10</w:t>
      </w:r>
    </w:p>
    <w:p w:rsidR="00000000" w:rsidRDefault="00000000">
      <w:pPr>
        <w:jc w:val="center"/>
        <w:rPr>
          <w:b/>
          <w:bCs/>
        </w:rPr>
      </w:pPr>
    </w:p>
    <w:p w:rsidR="00000000" w:rsidRDefault="00000000">
      <w:pPr>
        <w:jc w:val="center"/>
        <w:rPr>
          <w:b/>
          <w:bCs/>
        </w:rPr>
      </w:pPr>
      <w:r>
        <w:rPr>
          <w:b/>
          <w:bCs/>
        </w:rPr>
        <w:t>Уровень безработицы в разбивке по расовой принадлежности, районы крупных городов, 1998 год (в %)</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1"/>
        <w:gridCol w:w="1957"/>
        <w:gridCol w:w="2071"/>
        <w:gridCol w:w="2058"/>
      </w:tblGrid>
      <w:tr w:rsidR="00000000">
        <w:tblPrEx>
          <w:tblCellMar>
            <w:top w:w="0" w:type="dxa"/>
            <w:bottom w:w="0" w:type="dxa"/>
          </w:tblCellMar>
        </w:tblPrEx>
        <w:trPr>
          <w:jc w:val="center"/>
        </w:trPr>
        <w:tc>
          <w:tcPr>
            <w:tcW w:w="2351"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Города</w:t>
            </w:r>
          </w:p>
        </w:tc>
        <w:tc>
          <w:tcPr>
            <w:tcW w:w="1957"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Чернокожие</w:t>
            </w:r>
          </w:p>
        </w:tc>
        <w:tc>
          <w:tcPr>
            <w:tcW w:w="2071"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Нечернокожие</w:t>
            </w:r>
          </w:p>
        </w:tc>
        <w:tc>
          <w:tcPr>
            <w:tcW w:w="2058" w:type="dxa"/>
            <w:tcBorders>
              <w:left w:val="single" w:sz="4" w:space="0" w:color="auto"/>
              <w:bottom w:val="single" w:sz="4" w:space="0" w:color="auto"/>
              <w:right w:val="single" w:sz="4" w:space="0" w:color="auto"/>
            </w:tcBorders>
            <w:vAlign w:val="center"/>
          </w:tcPr>
          <w:p w:rsidR="00000000" w:rsidRDefault="00000000">
            <w:pPr>
              <w:spacing w:line="216" w:lineRule="auto"/>
              <w:jc w:val="center"/>
              <w:rPr>
                <w:b/>
                <w:bCs/>
              </w:rPr>
            </w:pPr>
            <w:r>
              <w:rPr>
                <w:b/>
                <w:bCs/>
              </w:rPr>
              <w:t>Разница между показателями</w:t>
            </w:r>
          </w:p>
        </w:tc>
      </w:tr>
      <w:tr w:rsidR="00000000">
        <w:tblPrEx>
          <w:tblCellMar>
            <w:top w:w="0" w:type="dxa"/>
            <w:bottom w:w="0" w:type="dxa"/>
          </w:tblCellMar>
        </w:tblPrEx>
        <w:trPr>
          <w:jc w:val="center"/>
        </w:trPr>
        <w:tc>
          <w:tcPr>
            <w:tcW w:w="2351" w:type="dxa"/>
            <w:tcBorders>
              <w:left w:val="single" w:sz="4" w:space="0" w:color="auto"/>
              <w:bottom w:val="nil"/>
              <w:right w:val="single" w:sz="4" w:space="0" w:color="auto"/>
            </w:tcBorders>
          </w:tcPr>
          <w:p w:rsidR="00000000" w:rsidRDefault="00000000">
            <w:r>
              <w:t xml:space="preserve">Сан-Паулу </w:t>
            </w:r>
          </w:p>
        </w:tc>
        <w:tc>
          <w:tcPr>
            <w:tcW w:w="1957" w:type="dxa"/>
            <w:tcBorders>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22,7</w:t>
            </w:r>
          </w:p>
        </w:tc>
        <w:tc>
          <w:tcPr>
            <w:tcW w:w="2071" w:type="dxa"/>
            <w:tcBorders>
              <w:top w:val="single" w:sz="4" w:space="0" w:color="auto"/>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16,1</w:t>
            </w:r>
          </w:p>
        </w:tc>
        <w:tc>
          <w:tcPr>
            <w:tcW w:w="2058" w:type="dxa"/>
            <w:tcBorders>
              <w:top w:val="single" w:sz="4" w:space="0" w:color="auto"/>
              <w:left w:val="single" w:sz="4" w:space="0" w:color="auto"/>
              <w:bottom w:val="nil"/>
              <w:right w:val="single" w:sz="4" w:space="0" w:color="auto"/>
            </w:tcBorders>
          </w:tcPr>
          <w:p w:rsidR="00000000" w:rsidRDefault="00000000">
            <w:pPr>
              <w:tabs>
                <w:tab w:val="clear" w:pos="1134"/>
                <w:tab w:val="clear" w:pos="1701"/>
              </w:tabs>
              <w:ind w:left="-111" w:right="809"/>
              <w:jc w:val="right"/>
              <w:rPr>
                <w:lang w:val="en-US"/>
              </w:rPr>
            </w:pPr>
            <w:r>
              <w:rPr>
                <w:lang w:val="en-US"/>
              </w:rPr>
              <w:t>41</w:t>
            </w:r>
          </w:p>
        </w:tc>
      </w:tr>
      <w:tr w:rsidR="00000000">
        <w:tblPrEx>
          <w:tblCellMar>
            <w:top w:w="0" w:type="dxa"/>
            <w:bottom w:w="0" w:type="dxa"/>
          </w:tblCellMar>
        </w:tblPrEx>
        <w:trPr>
          <w:jc w:val="center"/>
        </w:trPr>
        <w:tc>
          <w:tcPr>
            <w:tcW w:w="2351" w:type="dxa"/>
            <w:tcBorders>
              <w:top w:val="nil"/>
              <w:left w:val="single" w:sz="4" w:space="0" w:color="auto"/>
              <w:bottom w:val="nil"/>
              <w:right w:val="single" w:sz="4" w:space="0" w:color="auto"/>
            </w:tcBorders>
          </w:tcPr>
          <w:p w:rsidR="00000000" w:rsidRDefault="00000000">
            <w:r>
              <w:t xml:space="preserve">Салвадор </w:t>
            </w:r>
          </w:p>
        </w:tc>
        <w:tc>
          <w:tcPr>
            <w:tcW w:w="1957"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pPr>
            <w:r>
              <w:t>25,7</w:t>
            </w:r>
          </w:p>
        </w:tc>
        <w:tc>
          <w:tcPr>
            <w:tcW w:w="2071"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17,7</w:t>
            </w:r>
          </w:p>
        </w:tc>
        <w:tc>
          <w:tcPr>
            <w:tcW w:w="2058" w:type="dxa"/>
            <w:tcBorders>
              <w:top w:val="nil"/>
              <w:left w:val="single" w:sz="4" w:space="0" w:color="auto"/>
              <w:bottom w:val="nil"/>
              <w:right w:val="single" w:sz="4" w:space="0" w:color="auto"/>
            </w:tcBorders>
          </w:tcPr>
          <w:p w:rsidR="00000000" w:rsidRDefault="00000000">
            <w:pPr>
              <w:tabs>
                <w:tab w:val="clear" w:pos="1134"/>
                <w:tab w:val="clear" w:pos="1701"/>
              </w:tabs>
              <w:ind w:left="-111" w:right="809"/>
              <w:jc w:val="right"/>
              <w:rPr>
                <w:lang w:val="en-US"/>
              </w:rPr>
            </w:pPr>
            <w:r>
              <w:rPr>
                <w:lang w:val="en-US"/>
              </w:rPr>
              <w:t>45</w:t>
            </w:r>
          </w:p>
        </w:tc>
      </w:tr>
      <w:tr w:rsidR="00000000">
        <w:tblPrEx>
          <w:tblCellMar>
            <w:top w:w="0" w:type="dxa"/>
            <w:bottom w:w="0" w:type="dxa"/>
          </w:tblCellMar>
        </w:tblPrEx>
        <w:trPr>
          <w:jc w:val="center"/>
        </w:trPr>
        <w:tc>
          <w:tcPr>
            <w:tcW w:w="2351" w:type="dxa"/>
            <w:tcBorders>
              <w:top w:val="nil"/>
              <w:left w:val="single" w:sz="4" w:space="0" w:color="auto"/>
              <w:bottom w:val="nil"/>
              <w:right w:val="single" w:sz="4" w:space="0" w:color="auto"/>
            </w:tcBorders>
          </w:tcPr>
          <w:p w:rsidR="00000000" w:rsidRDefault="00000000">
            <w:r>
              <w:t>Ресифи</w:t>
            </w:r>
          </w:p>
        </w:tc>
        <w:tc>
          <w:tcPr>
            <w:tcW w:w="1957"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pPr>
            <w:r>
              <w:t>23,0</w:t>
            </w:r>
          </w:p>
        </w:tc>
        <w:tc>
          <w:tcPr>
            <w:tcW w:w="2071"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19,1</w:t>
            </w:r>
          </w:p>
        </w:tc>
        <w:tc>
          <w:tcPr>
            <w:tcW w:w="2058" w:type="dxa"/>
            <w:tcBorders>
              <w:top w:val="nil"/>
              <w:left w:val="single" w:sz="4" w:space="0" w:color="auto"/>
              <w:bottom w:val="nil"/>
              <w:right w:val="single" w:sz="4" w:space="0" w:color="auto"/>
            </w:tcBorders>
          </w:tcPr>
          <w:p w:rsidR="00000000" w:rsidRDefault="00000000">
            <w:pPr>
              <w:tabs>
                <w:tab w:val="clear" w:pos="1134"/>
                <w:tab w:val="clear" w:pos="1701"/>
              </w:tabs>
              <w:ind w:left="-111" w:right="809"/>
              <w:jc w:val="right"/>
              <w:rPr>
                <w:lang w:val="en-US"/>
              </w:rPr>
            </w:pPr>
            <w:r>
              <w:rPr>
                <w:lang w:val="en-US"/>
              </w:rPr>
              <w:t>20</w:t>
            </w:r>
          </w:p>
        </w:tc>
      </w:tr>
      <w:tr w:rsidR="00000000">
        <w:tblPrEx>
          <w:tblCellMar>
            <w:top w:w="0" w:type="dxa"/>
            <w:bottom w:w="0" w:type="dxa"/>
          </w:tblCellMar>
        </w:tblPrEx>
        <w:trPr>
          <w:jc w:val="center"/>
        </w:trPr>
        <w:tc>
          <w:tcPr>
            <w:tcW w:w="2351" w:type="dxa"/>
            <w:tcBorders>
              <w:top w:val="nil"/>
              <w:left w:val="single" w:sz="4" w:space="0" w:color="auto"/>
              <w:bottom w:val="nil"/>
              <w:right w:val="single" w:sz="4" w:space="0" w:color="auto"/>
            </w:tcBorders>
          </w:tcPr>
          <w:p w:rsidR="00000000" w:rsidRDefault="00000000">
            <w:r>
              <w:t>Федеральный округ</w:t>
            </w:r>
          </w:p>
        </w:tc>
        <w:tc>
          <w:tcPr>
            <w:tcW w:w="1957"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pPr>
            <w:r>
              <w:t>20,5</w:t>
            </w:r>
          </w:p>
        </w:tc>
        <w:tc>
          <w:tcPr>
            <w:tcW w:w="2071"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17,5</w:t>
            </w:r>
          </w:p>
        </w:tc>
        <w:tc>
          <w:tcPr>
            <w:tcW w:w="2058" w:type="dxa"/>
            <w:tcBorders>
              <w:top w:val="nil"/>
              <w:left w:val="single" w:sz="4" w:space="0" w:color="auto"/>
              <w:bottom w:val="nil"/>
              <w:right w:val="single" w:sz="4" w:space="0" w:color="auto"/>
            </w:tcBorders>
          </w:tcPr>
          <w:p w:rsidR="00000000" w:rsidRDefault="00000000">
            <w:pPr>
              <w:tabs>
                <w:tab w:val="clear" w:pos="1134"/>
                <w:tab w:val="clear" w:pos="1701"/>
              </w:tabs>
              <w:ind w:left="-111" w:right="809"/>
              <w:jc w:val="right"/>
              <w:rPr>
                <w:lang w:val="en-US"/>
              </w:rPr>
            </w:pPr>
            <w:r>
              <w:rPr>
                <w:lang w:val="en-US"/>
              </w:rPr>
              <w:t>17</w:t>
            </w:r>
          </w:p>
        </w:tc>
      </w:tr>
      <w:tr w:rsidR="00000000">
        <w:tblPrEx>
          <w:tblCellMar>
            <w:top w:w="0" w:type="dxa"/>
            <w:bottom w:w="0" w:type="dxa"/>
          </w:tblCellMar>
        </w:tblPrEx>
        <w:trPr>
          <w:jc w:val="center"/>
        </w:trPr>
        <w:tc>
          <w:tcPr>
            <w:tcW w:w="2351" w:type="dxa"/>
            <w:tcBorders>
              <w:top w:val="nil"/>
              <w:left w:val="single" w:sz="4" w:space="0" w:color="auto"/>
              <w:bottom w:val="nil"/>
              <w:right w:val="single" w:sz="4" w:space="0" w:color="auto"/>
            </w:tcBorders>
          </w:tcPr>
          <w:p w:rsidR="00000000" w:rsidRDefault="00000000">
            <w:r>
              <w:t>Белу-Оризонти</w:t>
            </w:r>
          </w:p>
        </w:tc>
        <w:tc>
          <w:tcPr>
            <w:tcW w:w="1957"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pPr>
            <w:r>
              <w:t>17,8</w:t>
            </w:r>
          </w:p>
        </w:tc>
        <w:tc>
          <w:tcPr>
            <w:tcW w:w="2071" w:type="dxa"/>
            <w:tcBorders>
              <w:top w:val="nil"/>
              <w:left w:val="single" w:sz="4" w:space="0" w:color="auto"/>
              <w:bottom w:val="nil"/>
              <w:right w:val="single" w:sz="4" w:space="0" w:color="auto"/>
            </w:tcBorders>
          </w:tcPr>
          <w:p w:rsidR="00000000" w:rsidRDefault="00000000">
            <w:pPr>
              <w:tabs>
                <w:tab w:val="clear" w:pos="1134"/>
                <w:tab w:val="clear" w:pos="1701"/>
                <w:tab w:val="clear" w:pos="2268"/>
              </w:tabs>
              <w:ind w:left="-111" w:right="689"/>
              <w:jc w:val="right"/>
              <w:rPr>
                <w:lang w:val="en-US"/>
              </w:rPr>
            </w:pPr>
            <w:r>
              <w:rPr>
                <w:lang w:val="en-US"/>
              </w:rPr>
              <w:t>13,8</w:t>
            </w:r>
          </w:p>
        </w:tc>
        <w:tc>
          <w:tcPr>
            <w:tcW w:w="2058" w:type="dxa"/>
            <w:tcBorders>
              <w:top w:val="nil"/>
              <w:left w:val="single" w:sz="4" w:space="0" w:color="auto"/>
              <w:bottom w:val="nil"/>
              <w:right w:val="single" w:sz="4" w:space="0" w:color="auto"/>
            </w:tcBorders>
          </w:tcPr>
          <w:p w:rsidR="00000000" w:rsidRDefault="00000000">
            <w:pPr>
              <w:tabs>
                <w:tab w:val="clear" w:pos="1134"/>
                <w:tab w:val="clear" w:pos="1701"/>
              </w:tabs>
              <w:ind w:left="-111" w:right="809"/>
              <w:jc w:val="right"/>
              <w:rPr>
                <w:lang w:val="en-US"/>
              </w:rPr>
            </w:pPr>
            <w:r>
              <w:rPr>
                <w:lang w:val="en-US"/>
              </w:rPr>
              <w:t>29</w:t>
            </w:r>
          </w:p>
        </w:tc>
      </w:tr>
      <w:tr w:rsidR="00000000">
        <w:tblPrEx>
          <w:tblCellMar>
            <w:top w:w="0" w:type="dxa"/>
            <w:bottom w:w="0" w:type="dxa"/>
          </w:tblCellMar>
        </w:tblPrEx>
        <w:trPr>
          <w:jc w:val="center"/>
        </w:trPr>
        <w:tc>
          <w:tcPr>
            <w:tcW w:w="2351" w:type="dxa"/>
            <w:tcBorders>
              <w:top w:val="nil"/>
              <w:left w:val="single" w:sz="4" w:space="0" w:color="auto"/>
              <w:bottom w:val="single" w:sz="4" w:space="0" w:color="auto"/>
              <w:right w:val="single" w:sz="4" w:space="0" w:color="auto"/>
            </w:tcBorders>
          </w:tcPr>
          <w:p w:rsidR="00000000" w:rsidRDefault="00000000">
            <w:r>
              <w:t>Порту-Алегри</w:t>
            </w:r>
          </w:p>
        </w:tc>
        <w:tc>
          <w:tcPr>
            <w:tcW w:w="1957" w:type="dxa"/>
            <w:tcBorders>
              <w:top w:val="nil"/>
              <w:left w:val="single" w:sz="4" w:space="0" w:color="auto"/>
              <w:bottom w:val="single" w:sz="4" w:space="0" w:color="auto"/>
              <w:right w:val="single" w:sz="4" w:space="0" w:color="auto"/>
            </w:tcBorders>
          </w:tcPr>
          <w:p w:rsidR="00000000" w:rsidRDefault="00000000">
            <w:pPr>
              <w:tabs>
                <w:tab w:val="clear" w:pos="1134"/>
                <w:tab w:val="clear" w:pos="1701"/>
                <w:tab w:val="clear" w:pos="2268"/>
              </w:tabs>
              <w:ind w:left="-111" w:right="689"/>
              <w:jc w:val="right"/>
            </w:pPr>
            <w:r>
              <w:t>20,6</w:t>
            </w:r>
          </w:p>
        </w:tc>
        <w:tc>
          <w:tcPr>
            <w:tcW w:w="2071" w:type="dxa"/>
            <w:tcBorders>
              <w:top w:val="nil"/>
              <w:left w:val="single" w:sz="4" w:space="0" w:color="auto"/>
              <w:bottom w:val="single" w:sz="4" w:space="0" w:color="auto"/>
              <w:right w:val="single" w:sz="4" w:space="0" w:color="auto"/>
            </w:tcBorders>
          </w:tcPr>
          <w:p w:rsidR="00000000" w:rsidRDefault="00000000">
            <w:pPr>
              <w:tabs>
                <w:tab w:val="clear" w:pos="1134"/>
                <w:tab w:val="clear" w:pos="1701"/>
                <w:tab w:val="clear" w:pos="2268"/>
              </w:tabs>
              <w:ind w:left="-111" w:right="689"/>
              <w:jc w:val="right"/>
            </w:pPr>
            <w:r>
              <w:t>15,2</w:t>
            </w:r>
          </w:p>
        </w:tc>
        <w:tc>
          <w:tcPr>
            <w:tcW w:w="2058" w:type="dxa"/>
            <w:tcBorders>
              <w:top w:val="nil"/>
              <w:left w:val="single" w:sz="4" w:space="0" w:color="auto"/>
              <w:bottom w:val="single" w:sz="4" w:space="0" w:color="auto"/>
              <w:right w:val="single" w:sz="4" w:space="0" w:color="auto"/>
            </w:tcBorders>
          </w:tcPr>
          <w:p w:rsidR="00000000" w:rsidRDefault="00000000">
            <w:pPr>
              <w:tabs>
                <w:tab w:val="clear" w:pos="1134"/>
                <w:tab w:val="clear" w:pos="1701"/>
              </w:tabs>
              <w:ind w:left="-111" w:right="809"/>
              <w:jc w:val="right"/>
            </w:pPr>
            <w:r>
              <w:t>35</w:t>
            </w:r>
          </w:p>
        </w:tc>
      </w:tr>
    </w:tbl>
    <w:p w:rsidR="00000000" w:rsidRDefault="00000000"/>
    <w:p w:rsidR="00000000" w:rsidRDefault="00000000">
      <w:r>
        <w:tab/>
      </w:r>
      <w:r>
        <w:rPr>
          <w:i/>
          <w:iCs/>
          <w:u w:val="single"/>
        </w:rPr>
        <w:t>Источник</w:t>
      </w:r>
      <w:r>
        <w:t>:  ДИЕЕСЕ/СЕАДЕ, ИНСПИР (1999 год).</w:t>
      </w:r>
    </w:p>
    <w:p w:rsidR="00000000" w:rsidRDefault="00000000"/>
    <w:p w:rsidR="00000000" w:rsidRDefault="00000000">
      <w:r>
        <w:t>243.</w:t>
      </w:r>
      <w:r>
        <w:tab/>
        <w:t>Разница в показателях безработицы между двумя группами, показанная в таблице 9, свидетельствует о том, что дискриминация явно присутствует на рынке труда.  Следует также обратить внимание на значительное различие в показателях, зафиксированных в районах крупных городов, где наименьший разрыв отмечается в Федеральном округе, а наибольший - в Салвадоре.</w:t>
      </w:r>
    </w:p>
    <w:p w:rsidR="00000000" w:rsidRDefault="00000000"/>
    <w:p w:rsidR="00000000" w:rsidRDefault="00000000">
      <w:r>
        <w:t>244.</w:t>
      </w:r>
      <w:r>
        <w:tab/>
        <w:t>Обследование уровня жизни в период 1996</w:t>
      </w:r>
      <w:r>
        <w:noBreakHyphen/>
        <w:t xml:space="preserve">1997 годов, проведенное БИГС (1996 год) в северо-восточных и юго-восточных районах, показало, что среди работающих лиц в возрасте от десяти лет или старше отмечается заметная процентная разница между белыми, чернокожими и метисами в том, что касается их взносов в систему социального обеспечения.  По данным этого обследования, взносы в систему социального обеспечения являются важным показателем для оценки доступа трудящихся к преимуществам, предоставляемым системой социального обеспечения, таким, как пенсии по старости, материальная помощь и оплачиваемый отпуск. </w:t>
      </w:r>
    </w:p>
    <w:p w:rsidR="00000000" w:rsidRDefault="00000000"/>
    <w:p w:rsidR="00000000" w:rsidRDefault="00000000">
      <w:r>
        <w:t>245.</w:t>
      </w:r>
      <w:r>
        <w:tab/>
        <w:t>Согласно обследованию, 57% занятого населения в этих районах не платит взносов, а 43% населения платит.  Это означает, что большинство работающего населения не вносит взносов в фонд социального обеспечения, и речь идет в первую очередь об экономически активном населении, не имеющем трудовых книжек, и значительной группе (85%) "самостоятельно занятых" трудящихся.  Обследование показало, что 51,8% белого населения платит взносы, а 48,2% - не платит.  При этом только 32,6% чернокожих и метисов вносят взносы в фонд социального обеспечения, а 67,4%  таких взносов не вносят.  Таким образом, имеющиеся данные свидетельствуют о том, что белые в целом шире охвачены системой социального обеспечения, дающей им доступ к соответствующим благам, а более значительная процентная доля чернокожих и метисов этой системой по</w:t>
      </w:r>
      <w:r>
        <w:noBreakHyphen/>
        <w:t>прежнему не охвачена.</w:t>
      </w:r>
    </w:p>
    <w:p w:rsidR="00000000" w:rsidRDefault="00000000"/>
    <w:p w:rsidR="00000000" w:rsidRDefault="00000000">
      <w:r>
        <w:t>246.</w:t>
      </w:r>
      <w:r>
        <w:tab/>
        <w:t>Обследованием ИНСПИР собрана информация о доходах трудящихся в шести крупных городах.  Основной вывод заключается в том, что доходы чернокожих трудящихся систематически не достигают уровня доходов нечернокожих трудящихся.  Согласно проведенному обследованию, это объясняется сочетанием факторов, к которым относятся раннее начало трудовой деятельности, занятость чернокожих трудящихся в наименее динамичных секторах экономики, непропорциональное число чернокожих, занимающихся непостоянным и низкоквалифицированным трудом, не говоря уж о трудностях, с которыми сталкиваются чернокожие женщины на рынке труда.</w:t>
      </w:r>
    </w:p>
    <w:p w:rsidR="00000000" w:rsidRDefault="00000000"/>
    <w:p w:rsidR="00000000" w:rsidRDefault="00000000">
      <w:pPr>
        <w:jc w:val="center"/>
        <w:rPr>
          <w:b/>
          <w:bCs/>
        </w:rPr>
      </w:pPr>
      <w:r>
        <w:rPr>
          <w:b/>
          <w:bCs/>
        </w:rPr>
        <w:t>Таблица 11</w:t>
      </w:r>
    </w:p>
    <w:p w:rsidR="00000000" w:rsidRDefault="00000000">
      <w:pPr>
        <w:jc w:val="center"/>
        <w:rPr>
          <w:b/>
          <w:bCs/>
        </w:rPr>
      </w:pPr>
    </w:p>
    <w:p w:rsidR="00000000" w:rsidRDefault="00000000">
      <w:pPr>
        <w:jc w:val="center"/>
        <w:rPr>
          <w:b/>
          <w:bCs/>
        </w:rPr>
      </w:pPr>
      <w:r>
        <w:rPr>
          <w:b/>
          <w:bCs/>
        </w:rPr>
        <w:t>Среднемесячный доход занятых трудящихся в разбивке по расовой принадлежности,</w:t>
      </w:r>
    </w:p>
    <w:p w:rsidR="00000000" w:rsidRDefault="00000000">
      <w:pPr>
        <w:jc w:val="center"/>
        <w:rPr>
          <w:b/>
          <w:bCs/>
        </w:rPr>
      </w:pPr>
      <w:r>
        <w:rPr>
          <w:b/>
          <w:bCs/>
        </w:rPr>
        <w:t>районы крупных городов (декабрь 1998 года, в реалах)</w:t>
      </w:r>
    </w:p>
    <w:p w:rsidR="00000000" w:rsidRDefault="00000000">
      <w:pPr>
        <w:jc w:val="center"/>
      </w:pPr>
    </w:p>
    <w:tbl>
      <w:tblPr>
        <w:tblW w:w="0" w:type="auto"/>
        <w:jc w:val="center"/>
        <w:tblInd w:w="678" w:type="dxa"/>
        <w:tblLook w:val="0000" w:firstRow="0" w:lastRow="0" w:firstColumn="0" w:lastColumn="0" w:noHBand="0" w:noVBand="0"/>
      </w:tblPr>
      <w:tblGrid>
        <w:gridCol w:w="2511"/>
        <w:gridCol w:w="2347"/>
        <w:gridCol w:w="2407"/>
      </w:tblGrid>
      <w:tr w:rsidR="00000000">
        <w:tblPrEx>
          <w:tblCellMar>
            <w:top w:w="0" w:type="dxa"/>
            <w:bottom w:w="0" w:type="dxa"/>
          </w:tblCellMar>
        </w:tblPrEx>
        <w:trPr>
          <w:jc w:val="center"/>
        </w:trPr>
        <w:tc>
          <w:tcPr>
            <w:tcW w:w="251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Города</w:t>
            </w:r>
          </w:p>
        </w:tc>
        <w:tc>
          <w:tcPr>
            <w:tcW w:w="234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Чернокожие</w:t>
            </w:r>
          </w:p>
        </w:tc>
        <w:tc>
          <w:tcPr>
            <w:tcW w:w="240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Нечернокожие</w:t>
            </w:r>
          </w:p>
        </w:tc>
      </w:tr>
      <w:tr w:rsidR="00000000">
        <w:tblPrEx>
          <w:tblCellMar>
            <w:top w:w="0" w:type="dxa"/>
            <w:bottom w:w="0" w:type="dxa"/>
          </w:tblCellMar>
        </w:tblPrEx>
        <w:trPr>
          <w:jc w:val="center"/>
        </w:trPr>
        <w:tc>
          <w:tcPr>
            <w:tcW w:w="2511" w:type="dxa"/>
            <w:tcBorders>
              <w:top w:val="single" w:sz="4" w:space="0" w:color="auto"/>
              <w:left w:val="single" w:sz="4" w:space="0" w:color="auto"/>
              <w:right w:val="single" w:sz="4" w:space="0" w:color="auto"/>
            </w:tcBorders>
          </w:tcPr>
          <w:p w:rsidR="00000000" w:rsidRDefault="00000000">
            <w:r>
              <w:t>Сан-Паулу</w:t>
            </w:r>
          </w:p>
        </w:tc>
        <w:tc>
          <w:tcPr>
            <w:tcW w:w="2347" w:type="dxa"/>
            <w:tcBorders>
              <w:top w:val="single" w:sz="4" w:space="0" w:color="auto"/>
              <w:left w:val="single" w:sz="4" w:space="0" w:color="auto"/>
              <w:right w:val="single" w:sz="4" w:space="0" w:color="auto"/>
            </w:tcBorders>
          </w:tcPr>
          <w:p w:rsidR="00000000" w:rsidRDefault="00000000">
            <w:pPr>
              <w:jc w:val="center"/>
            </w:pPr>
            <w:r>
              <w:t>512</w:t>
            </w:r>
          </w:p>
        </w:tc>
        <w:tc>
          <w:tcPr>
            <w:tcW w:w="2407" w:type="dxa"/>
            <w:tcBorders>
              <w:top w:val="single" w:sz="4" w:space="0" w:color="auto"/>
              <w:left w:val="single" w:sz="4" w:space="0" w:color="auto"/>
              <w:right w:val="single" w:sz="4" w:space="0" w:color="auto"/>
            </w:tcBorders>
          </w:tcPr>
          <w:p w:rsidR="00000000" w:rsidRDefault="00000000">
            <w:pPr>
              <w:ind w:right="1127"/>
              <w:jc w:val="right"/>
            </w:pPr>
            <w:r>
              <w:t>1 005</w:t>
            </w:r>
          </w:p>
        </w:tc>
      </w:tr>
      <w:tr w:rsidR="00000000">
        <w:tblPrEx>
          <w:tblCellMar>
            <w:top w:w="0" w:type="dxa"/>
            <w:bottom w:w="0" w:type="dxa"/>
          </w:tblCellMar>
        </w:tblPrEx>
        <w:trPr>
          <w:jc w:val="center"/>
        </w:trPr>
        <w:tc>
          <w:tcPr>
            <w:tcW w:w="2511" w:type="dxa"/>
            <w:tcBorders>
              <w:left w:val="single" w:sz="4" w:space="0" w:color="auto"/>
              <w:right w:val="single" w:sz="4" w:space="0" w:color="auto"/>
            </w:tcBorders>
          </w:tcPr>
          <w:p w:rsidR="00000000" w:rsidRDefault="00000000">
            <w:r>
              <w:t>Салвадор</w:t>
            </w:r>
          </w:p>
        </w:tc>
        <w:tc>
          <w:tcPr>
            <w:tcW w:w="2347" w:type="dxa"/>
            <w:tcBorders>
              <w:left w:val="single" w:sz="4" w:space="0" w:color="auto"/>
              <w:right w:val="single" w:sz="4" w:space="0" w:color="auto"/>
            </w:tcBorders>
          </w:tcPr>
          <w:p w:rsidR="00000000" w:rsidRDefault="00000000">
            <w:pPr>
              <w:jc w:val="center"/>
            </w:pPr>
            <w:r>
              <w:t>403</w:t>
            </w:r>
          </w:p>
        </w:tc>
        <w:tc>
          <w:tcPr>
            <w:tcW w:w="2407" w:type="dxa"/>
            <w:tcBorders>
              <w:left w:val="single" w:sz="4" w:space="0" w:color="auto"/>
              <w:right w:val="single" w:sz="4" w:space="0" w:color="auto"/>
            </w:tcBorders>
          </w:tcPr>
          <w:p w:rsidR="00000000" w:rsidRDefault="00000000">
            <w:pPr>
              <w:ind w:right="1127"/>
              <w:jc w:val="right"/>
            </w:pPr>
            <w:r>
              <w:t>859</w:t>
            </w:r>
          </w:p>
        </w:tc>
      </w:tr>
      <w:tr w:rsidR="00000000">
        <w:tblPrEx>
          <w:tblCellMar>
            <w:top w:w="0" w:type="dxa"/>
            <w:bottom w:w="0" w:type="dxa"/>
          </w:tblCellMar>
        </w:tblPrEx>
        <w:trPr>
          <w:jc w:val="center"/>
        </w:trPr>
        <w:tc>
          <w:tcPr>
            <w:tcW w:w="2511" w:type="dxa"/>
            <w:tcBorders>
              <w:left w:val="single" w:sz="4" w:space="0" w:color="auto"/>
              <w:right w:val="single" w:sz="4" w:space="0" w:color="auto"/>
            </w:tcBorders>
          </w:tcPr>
          <w:p w:rsidR="00000000" w:rsidRDefault="00000000">
            <w:r>
              <w:t>Ресифи</w:t>
            </w:r>
          </w:p>
        </w:tc>
        <w:tc>
          <w:tcPr>
            <w:tcW w:w="2347" w:type="dxa"/>
            <w:tcBorders>
              <w:left w:val="single" w:sz="4" w:space="0" w:color="auto"/>
              <w:right w:val="single" w:sz="4" w:space="0" w:color="auto"/>
            </w:tcBorders>
          </w:tcPr>
          <w:p w:rsidR="00000000" w:rsidRDefault="00000000">
            <w:pPr>
              <w:jc w:val="center"/>
            </w:pPr>
            <w:r>
              <w:t>363</w:t>
            </w:r>
          </w:p>
        </w:tc>
        <w:tc>
          <w:tcPr>
            <w:tcW w:w="2407" w:type="dxa"/>
            <w:tcBorders>
              <w:left w:val="single" w:sz="4" w:space="0" w:color="auto"/>
              <w:right w:val="single" w:sz="4" w:space="0" w:color="auto"/>
            </w:tcBorders>
          </w:tcPr>
          <w:p w:rsidR="00000000" w:rsidRDefault="00000000">
            <w:pPr>
              <w:ind w:right="1127"/>
              <w:jc w:val="right"/>
            </w:pPr>
            <w:r>
              <w:t>619</w:t>
            </w:r>
          </w:p>
        </w:tc>
      </w:tr>
      <w:tr w:rsidR="00000000">
        <w:tblPrEx>
          <w:tblCellMar>
            <w:top w:w="0" w:type="dxa"/>
            <w:bottom w:w="0" w:type="dxa"/>
          </w:tblCellMar>
        </w:tblPrEx>
        <w:trPr>
          <w:jc w:val="center"/>
        </w:trPr>
        <w:tc>
          <w:tcPr>
            <w:tcW w:w="2511" w:type="dxa"/>
            <w:tcBorders>
              <w:left w:val="single" w:sz="4" w:space="0" w:color="auto"/>
              <w:right w:val="single" w:sz="4" w:space="0" w:color="auto"/>
            </w:tcBorders>
          </w:tcPr>
          <w:p w:rsidR="00000000" w:rsidRDefault="00000000">
            <w:r>
              <w:t>Федеральный округ</w:t>
            </w:r>
          </w:p>
        </w:tc>
        <w:tc>
          <w:tcPr>
            <w:tcW w:w="2347" w:type="dxa"/>
            <w:tcBorders>
              <w:left w:val="single" w:sz="4" w:space="0" w:color="auto"/>
              <w:right w:val="single" w:sz="4" w:space="0" w:color="auto"/>
            </w:tcBorders>
          </w:tcPr>
          <w:p w:rsidR="00000000" w:rsidRDefault="00000000">
            <w:pPr>
              <w:jc w:val="center"/>
            </w:pPr>
            <w:r>
              <w:t>765</w:t>
            </w:r>
          </w:p>
        </w:tc>
        <w:tc>
          <w:tcPr>
            <w:tcW w:w="2407" w:type="dxa"/>
            <w:tcBorders>
              <w:left w:val="single" w:sz="4" w:space="0" w:color="auto"/>
              <w:right w:val="single" w:sz="4" w:space="0" w:color="auto"/>
            </w:tcBorders>
          </w:tcPr>
          <w:p w:rsidR="00000000" w:rsidRDefault="00000000">
            <w:pPr>
              <w:ind w:right="1127"/>
              <w:jc w:val="right"/>
            </w:pPr>
            <w:r>
              <w:t>1 122</w:t>
            </w:r>
          </w:p>
        </w:tc>
      </w:tr>
      <w:tr w:rsidR="00000000">
        <w:tblPrEx>
          <w:tblCellMar>
            <w:top w:w="0" w:type="dxa"/>
            <w:bottom w:w="0" w:type="dxa"/>
          </w:tblCellMar>
        </w:tblPrEx>
        <w:trPr>
          <w:jc w:val="center"/>
        </w:trPr>
        <w:tc>
          <w:tcPr>
            <w:tcW w:w="2511" w:type="dxa"/>
            <w:tcBorders>
              <w:left w:val="single" w:sz="4" w:space="0" w:color="auto"/>
              <w:right w:val="single" w:sz="4" w:space="0" w:color="auto"/>
            </w:tcBorders>
          </w:tcPr>
          <w:p w:rsidR="00000000" w:rsidRDefault="00000000">
            <w:r>
              <w:t>Белу-Оризонти</w:t>
            </w:r>
          </w:p>
        </w:tc>
        <w:tc>
          <w:tcPr>
            <w:tcW w:w="2347" w:type="dxa"/>
            <w:tcBorders>
              <w:left w:val="single" w:sz="4" w:space="0" w:color="auto"/>
              <w:right w:val="single" w:sz="4" w:space="0" w:color="auto"/>
            </w:tcBorders>
          </w:tcPr>
          <w:p w:rsidR="00000000" w:rsidRDefault="00000000">
            <w:pPr>
              <w:jc w:val="center"/>
            </w:pPr>
            <w:r>
              <w:t>444</w:t>
            </w:r>
          </w:p>
        </w:tc>
        <w:tc>
          <w:tcPr>
            <w:tcW w:w="2407" w:type="dxa"/>
            <w:tcBorders>
              <w:left w:val="single" w:sz="4" w:space="0" w:color="auto"/>
              <w:right w:val="single" w:sz="4" w:space="0" w:color="auto"/>
            </w:tcBorders>
          </w:tcPr>
          <w:p w:rsidR="00000000" w:rsidRDefault="00000000">
            <w:pPr>
              <w:ind w:right="1127"/>
              <w:jc w:val="right"/>
            </w:pPr>
            <w:r>
              <w:t>735</w:t>
            </w:r>
          </w:p>
        </w:tc>
      </w:tr>
      <w:tr w:rsidR="00000000">
        <w:tblPrEx>
          <w:tblCellMar>
            <w:top w:w="0" w:type="dxa"/>
            <w:bottom w:w="0" w:type="dxa"/>
          </w:tblCellMar>
        </w:tblPrEx>
        <w:trPr>
          <w:jc w:val="center"/>
        </w:trPr>
        <w:tc>
          <w:tcPr>
            <w:tcW w:w="2511" w:type="dxa"/>
            <w:tcBorders>
              <w:left w:val="single" w:sz="4" w:space="0" w:color="auto"/>
              <w:bottom w:val="single" w:sz="4" w:space="0" w:color="auto"/>
              <w:right w:val="single" w:sz="4" w:space="0" w:color="auto"/>
            </w:tcBorders>
          </w:tcPr>
          <w:p w:rsidR="00000000" w:rsidRDefault="00000000">
            <w:r>
              <w:t>Порту-Алегри</w:t>
            </w:r>
          </w:p>
        </w:tc>
        <w:tc>
          <w:tcPr>
            <w:tcW w:w="2347" w:type="dxa"/>
            <w:tcBorders>
              <w:left w:val="single" w:sz="4" w:space="0" w:color="auto"/>
              <w:bottom w:val="single" w:sz="4" w:space="0" w:color="auto"/>
              <w:right w:val="single" w:sz="4" w:space="0" w:color="auto"/>
            </w:tcBorders>
          </w:tcPr>
          <w:p w:rsidR="00000000" w:rsidRDefault="00000000">
            <w:pPr>
              <w:jc w:val="center"/>
            </w:pPr>
            <w:r>
              <w:t>409</w:t>
            </w:r>
          </w:p>
        </w:tc>
        <w:tc>
          <w:tcPr>
            <w:tcW w:w="2407" w:type="dxa"/>
            <w:tcBorders>
              <w:left w:val="single" w:sz="4" w:space="0" w:color="auto"/>
              <w:bottom w:val="single" w:sz="4" w:space="0" w:color="auto"/>
              <w:right w:val="single" w:sz="4" w:space="0" w:color="auto"/>
            </w:tcBorders>
          </w:tcPr>
          <w:p w:rsidR="00000000" w:rsidRDefault="00000000">
            <w:pPr>
              <w:ind w:right="1127"/>
              <w:jc w:val="right"/>
            </w:pPr>
            <w:r>
              <w:t>628</w:t>
            </w:r>
          </w:p>
        </w:tc>
      </w:tr>
    </w:tbl>
    <w:p w:rsidR="00000000" w:rsidRDefault="00000000">
      <w:pPr>
        <w:jc w:val="center"/>
      </w:pPr>
    </w:p>
    <w:p w:rsidR="00000000" w:rsidRDefault="00000000">
      <w:r>
        <w:tab/>
      </w:r>
      <w:r>
        <w:tab/>
      </w:r>
      <w:r>
        <w:rPr>
          <w:i/>
          <w:iCs/>
          <w:u w:val="single"/>
        </w:rPr>
        <w:t>Источник</w:t>
      </w:r>
      <w:r>
        <w:t>:  ДИЕЕСЕ/СЕАДЕ, ИНСПИР (1999 год).</w:t>
      </w:r>
    </w:p>
    <w:p w:rsidR="00000000" w:rsidRDefault="00000000"/>
    <w:p w:rsidR="00000000" w:rsidRDefault="00000000">
      <w:r>
        <w:t>247.</w:t>
      </w:r>
      <w:r>
        <w:tab/>
        <w:t xml:space="preserve">Различия в уровнях дохода между чернокожими и нечернокожими были установлены и в ходе других обследований и исследований.  Обследование, проведенное </w:t>
      </w:r>
      <w:r>
        <w:rPr>
          <w:i/>
          <w:iCs/>
          <w:lang w:val="en-US"/>
        </w:rPr>
        <w:t>Folha</w:t>
      </w:r>
      <w:r>
        <w:rPr>
          <w:i/>
          <w:iCs/>
        </w:rPr>
        <w:t xml:space="preserve"> </w:t>
      </w:r>
      <w:r>
        <w:rPr>
          <w:i/>
          <w:iCs/>
          <w:lang w:val="en-US"/>
        </w:rPr>
        <w:t>de</w:t>
      </w:r>
      <w:r>
        <w:rPr>
          <w:i/>
          <w:iCs/>
        </w:rPr>
        <w:t xml:space="preserve"> </w:t>
      </w:r>
      <w:r>
        <w:rPr>
          <w:i/>
          <w:iCs/>
          <w:lang w:val="en-US"/>
        </w:rPr>
        <w:t>S</w:t>
      </w:r>
      <w:r>
        <w:rPr>
          <w:i/>
          <w:iCs/>
        </w:rPr>
        <w:t xml:space="preserve">. </w:t>
      </w:r>
      <w:r>
        <w:rPr>
          <w:i/>
          <w:iCs/>
          <w:lang w:val="en-US"/>
        </w:rPr>
        <w:t>Paulo</w:t>
      </w:r>
      <w:r>
        <w:t>, показало, что в 1995 году 50% чернокожих зарабатывали сумму, равную или уступающую по размеру двум минимальным окладам.  Процентная доля метисов и белых, имевших аналогичный уровень доходов, составляла 45% и 40% соответственно.  При этом в верхней части шкалы окладов находились 16% белых респондентов, получавших десять или более минимальных окладов, тогда как такой же уровень дохода был только у 6% чернокожих.  Обследование домашних хозяйств, проведенное БИГС в 1998 году, построено на перекрестном сопоставлении данных о средней продолжительности школьного обучения занятого населения и средних уровнях дохода, показанных в таблице 12 ниже.</w:t>
      </w:r>
    </w:p>
    <w:p w:rsidR="00000000" w:rsidRDefault="00000000"/>
    <w:p w:rsidR="00000000" w:rsidRDefault="00000000">
      <w:pPr>
        <w:jc w:val="center"/>
        <w:rPr>
          <w:b/>
          <w:bCs/>
        </w:rPr>
      </w:pPr>
      <w:r>
        <w:rPr>
          <w:b/>
          <w:bCs/>
        </w:rPr>
        <w:t>Таблица 12</w:t>
      </w:r>
    </w:p>
    <w:p w:rsidR="00000000" w:rsidRDefault="00000000">
      <w:pPr>
        <w:jc w:val="center"/>
        <w:rPr>
          <w:b/>
          <w:bCs/>
        </w:rPr>
      </w:pPr>
    </w:p>
    <w:p w:rsidR="00000000" w:rsidRDefault="00000000">
      <w:pPr>
        <w:jc w:val="center"/>
        <w:rPr>
          <w:b/>
          <w:bCs/>
        </w:rPr>
      </w:pPr>
      <w:r>
        <w:rPr>
          <w:b/>
          <w:bCs/>
        </w:rPr>
        <w:t>Занятое население в разбивке по расовой принадлежности или цвету кожи</w:t>
      </w:r>
    </w:p>
    <w:p w:rsidR="00000000" w:rsidRDefault="00000000">
      <w:pPr>
        <w:jc w:val="center"/>
        <w:rPr>
          <w:b/>
          <w:bCs/>
        </w:rPr>
      </w:pPr>
      <w:r>
        <w:rPr>
          <w:b/>
          <w:bCs/>
        </w:rPr>
        <w:t>с указанием средней продолжительности школьного обучения и среднего</w:t>
      </w:r>
    </w:p>
    <w:p w:rsidR="00000000" w:rsidRDefault="00000000">
      <w:pPr>
        <w:jc w:val="center"/>
        <w:rPr>
          <w:b/>
          <w:bCs/>
        </w:rPr>
      </w:pPr>
      <w:r>
        <w:rPr>
          <w:b/>
          <w:bCs/>
        </w:rPr>
        <w:t>дохода при минимальной заработной плате в крупнейших районах</w:t>
      </w:r>
    </w:p>
    <w:p w:rsidR="00000000" w:rsidRDefault="00000000">
      <w:pPr>
        <w:jc w:val="center"/>
        <w:rPr>
          <w:b/>
          <w:bCs/>
        </w:rPr>
      </w:pPr>
      <w:r>
        <w:rPr>
          <w:b/>
          <w:bCs/>
        </w:rPr>
        <w:t>Бразилии, 1998 год</w:t>
      </w:r>
    </w:p>
    <w:p w:rsidR="00000000" w:rsidRDefault="00000000">
      <w:pPr>
        <w:jc w:val="center"/>
      </w:pPr>
    </w:p>
    <w:tbl>
      <w:tblPr>
        <w:tblW w:w="9561" w:type="dxa"/>
        <w:tblInd w:w="-56" w:type="dxa"/>
        <w:tblLayout w:type="fixed"/>
        <w:tblCellMar>
          <w:left w:w="28" w:type="dxa"/>
          <w:right w:w="28" w:type="dxa"/>
        </w:tblCellMar>
        <w:tblLook w:val="0000" w:firstRow="0" w:lastRow="0" w:firstColumn="0" w:lastColumn="0" w:noHBand="0" w:noVBand="0"/>
      </w:tblPr>
      <w:tblGrid>
        <w:gridCol w:w="1022"/>
        <w:gridCol w:w="2158"/>
        <w:gridCol w:w="670"/>
        <w:gridCol w:w="2211"/>
        <w:gridCol w:w="672"/>
        <w:gridCol w:w="2142"/>
        <w:gridCol w:w="686"/>
      </w:tblGrid>
      <w:tr w:rsidR="00000000">
        <w:tblPrEx>
          <w:tblCellMar>
            <w:top w:w="0" w:type="dxa"/>
            <w:bottom w:w="0" w:type="dxa"/>
          </w:tblCellMar>
        </w:tblPrEx>
        <w:trPr>
          <w:cantSplit/>
        </w:trPr>
        <w:tc>
          <w:tcPr>
            <w:tcW w:w="38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Белые</w:t>
            </w:r>
          </w:p>
        </w:tc>
        <w:tc>
          <w:tcPr>
            <w:tcW w:w="28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Чернокожие</w:t>
            </w:r>
          </w:p>
        </w:tc>
        <w:tc>
          <w:tcPr>
            <w:tcW w:w="28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Метисы</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Район</w:t>
            </w:r>
          </w:p>
        </w:tc>
        <w:tc>
          <w:tcPr>
            <w:tcW w:w="21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Средняя продолжительность школьного обучения</w:t>
            </w:r>
          </w:p>
        </w:tc>
        <w:tc>
          <w:tcPr>
            <w:tcW w:w="6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Доход</w:t>
            </w:r>
          </w:p>
        </w:tc>
        <w:tc>
          <w:tcPr>
            <w:tcW w:w="22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Средняя продолжительность школьного обучения</w:t>
            </w:r>
          </w:p>
        </w:tc>
        <w:tc>
          <w:tcPr>
            <w:tcW w:w="6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Доход</w:t>
            </w:r>
          </w:p>
        </w:tc>
        <w:tc>
          <w:tcPr>
            <w:tcW w:w="21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Средняя продолжительность школьного обучения</w:t>
            </w:r>
          </w:p>
        </w:tc>
        <w:tc>
          <w:tcPr>
            <w:tcW w:w="6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Доход</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Север</w:t>
            </w:r>
            <w:r>
              <w:rPr>
                <w:sz w:val="22"/>
                <w:vertAlign w:val="superscript"/>
              </w:rPr>
              <w:t>а</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6,7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7,07</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5,2</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3,30</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5,9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3,01</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Северо-восток</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6,4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4,02</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3,9</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1,75</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4,2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1,97</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Юго-восток</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8,1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6,35</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5,5</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3,05</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5,9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3,20</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Юг</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7,1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4,88</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5,5</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2,98</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5,0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2,70</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Централь-ный</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7,6</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6,02</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5,6</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3,40</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5,8</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3,27</w:t>
            </w: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Запад</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p>
        </w:tc>
      </w:tr>
      <w:tr w:rsidR="00000000">
        <w:tblPrEx>
          <w:tblCellMar>
            <w:top w:w="0" w:type="dxa"/>
            <w:bottom w:w="0" w:type="dxa"/>
          </w:tblCellMar>
        </w:tblPrEx>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Бразилия</w:t>
            </w:r>
          </w:p>
        </w:tc>
        <w:tc>
          <w:tcPr>
            <w:tcW w:w="2158"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26"/>
              <w:jc w:val="right"/>
              <w:rPr>
                <w:sz w:val="22"/>
              </w:rPr>
            </w:pPr>
            <w:r>
              <w:rPr>
                <w:sz w:val="22"/>
              </w:rPr>
              <w:t>7,5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226"/>
              <w:jc w:val="right"/>
              <w:rPr>
                <w:sz w:val="22"/>
              </w:rPr>
            </w:pPr>
            <w:r>
              <w:rPr>
                <w:sz w:val="22"/>
              </w:rPr>
              <w:t>5,60</w:t>
            </w:r>
          </w:p>
        </w:tc>
        <w:tc>
          <w:tcPr>
            <w:tcW w:w="2211"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s>
              <w:spacing w:line="240" w:lineRule="auto"/>
              <w:ind w:right="951"/>
              <w:jc w:val="right"/>
              <w:rPr>
                <w:sz w:val="22"/>
              </w:rPr>
            </w:pPr>
            <w:r>
              <w:rPr>
                <w:sz w:val="22"/>
              </w:rPr>
              <w:t>5,1</w:t>
            </w:r>
          </w:p>
        </w:tc>
        <w:tc>
          <w:tcPr>
            <w:tcW w:w="67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82"/>
              <w:jc w:val="right"/>
              <w:rPr>
                <w:sz w:val="22"/>
              </w:rPr>
            </w:pPr>
            <w:r>
              <w:rPr>
                <w:sz w:val="22"/>
              </w:rPr>
              <w:t>2,71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left" w:pos="1120"/>
              </w:tabs>
              <w:spacing w:line="240" w:lineRule="auto"/>
              <w:ind w:right="924"/>
              <w:jc w:val="right"/>
              <w:rPr>
                <w:sz w:val="22"/>
              </w:rPr>
            </w:pPr>
            <w:r>
              <w:rPr>
                <w:sz w:val="22"/>
              </w:rPr>
              <w:t>5,1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26"/>
              <w:jc w:val="right"/>
              <w:rPr>
                <w:sz w:val="22"/>
              </w:rPr>
            </w:pPr>
            <w:r>
              <w:rPr>
                <w:sz w:val="22"/>
              </w:rPr>
              <w:t>2,61</w:t>
            </w:r>
          </w:p>
        </w:tc>
      </w:tr>
    </w:tbl>
    <w:p w:rsidR="00000000" w:rsidRDefault="00000000">
      <w:pPr>
        <w:spacing w:line="240" w:lineRule="auto"/>
        <w:jc w:val="center"/>
      </w:pPr>
    </w:p>
    <w:p w:rsidR="00000000" w:rsidRDefault="00000000">
      <w:pPr>
        <w:spacing w:line="240" w:lineRule="auto"/>
        <w:rPr>
          <w:lang w:val="en-US"/>
        </w:rPr>
      </w:pPr>
      <w:r>
        <w:tab/>
      </w:r>
      <w:r>
        <w:rPr>
          <w:i/>
          <w:iCs/>
          <w:u w:val="single"/>
        </w:rPr>
        <w:t>Источник</w:t>
      </w:r>
      <w:r>
        <w:rPr>
          <w:lang w:val="en-US"/>
        </w:rPr>
        <w:t xml:space="preserve">:  </w:t>
      </w:r>
      <w:r>
        <w:t>ОВОДХ</w:t>
      </w:r>
      <w:r>
        <w:rPr>
          <w:lang w:val="en-US"/>
        </w:rPr>
        <w:t xml:space="preserve">, 1998 </w:t>
      </w:r>
      <w:r>
        <w:t>год</w:t>
      </w:r>
      <w:r>
        <w:rPr>
          <w:lang w:val="en-US"/>
        </w:rPr>
        <w:t xml:space="preserve"> (</w:t>
      </w:r>
      <w:r>
        <w:rPr>
          <w:i/>
          <w:iCs/>
          <w:lang w:val="en-US"/>
        </w:rPr>
        <w:t>Síntese de Indicadores Socialis,</w:t>
      </w:r>
      <w:r>
        <w:rPr>
          <w:lang w:val="en-US"/>
        </w:rPr>
        <w:t xml:space="preserve"> 1999 </w:t>
      </w:r>
      <w:r>
        <w:t>год</w:t>
      </w:r>
      <w:r>
        <w:rPr>
          <w:lang w:val="en-US"/>
        </w:rPr>
        <w:t>).</w:t>
      </w:r>
    </w:p>
    <w:p w:rsidR="00000000" w:rsidRDefault="00000000">
      <w:pPr>
        <w:spacing w:line="240" w:lineRule="auto"/>
        <w:rPr>
          <w:lang w:val="en-US"/>
        </w:rPr>
      </w:pPr>
    </w:p>
    <w:p w:rsidR="00000000" w:rsidRDefault="00000000">
      <w:pPr>
        <w:spacing w:line="240" w:lineRule="auto"/>
      </w:pPr>
      <w:r>
        <w:rPr>
          <w:lang w:val="en-US"/>
        </w:rPr>
        <w:tab/>
      </w:r>
      <w:r>
        <w:rPr>
          <w:b/>
          <w:bCs/>
          <w:vertAlign w:val="superscript"/>
        </w:rPr>
        <w:t>а</w:t>
      </w:r>
      <w:r>
        <w:tab/>
        <w:t>За исключением сельского населения Рондонии, Акре, Амазонас, Рораймы, Пары и Амапы.</w:t>
      </w:r>
    </w:p>
    <w:p w:rsidR="00000000" w:rsidRDefault="00000000"/>
    <w:p w:rsidR="00000000" w:rsidRDefault="00000000">
      <w:r>
        <w:t>248.</w:t>
      </w:r>
      <w:r>
        <w:tab/>
        <w:t>Как и в случае вышеизложенных выводов в отношении лиц в возрасте от 10 лет, данные показывают, что средняя продолжительность школьного обучения белого занятого населения выше, чем аналогичный показатель для чернокожего населения и метисов.</w:t>
      </w:r>
    </w:p>
    <w:p w:rsidR="00000000" w:rsidRDefault="00000000"/>
    <w:p w:rsidR="00000000" w:rsidRDefault="00000000">
      <w:r>
        <w:t>249.</w:t>
      </w:r>
      <w:r>
        <w:tab/>
        <w:t>Последние группы также получают значительно более низкий доход при минимальном окладе, чем белые, точнее вдвое меньший.  В свою очередь те, у кого средняя продолжительность школьного обучения являлась наименьшей, получают и наименьший средний доход при минимальной зарплате.  Таким образом, учитывая, что во всех регионах Бразилии чернокожие и метисы получают наименьшее по средней продолжительности образование, их доход чаще всего ниже по сравнению с доходом белых.</w:t>
      </w:r>
    </w:p>
    <w:p w:rsidR="00000000" w:rsidRDefault="00000000"/>
    <w:p w:rsidR="00000000" w:rsidRDefault="00000000">
      <w:r>
        <w:t>250.</w:t>
      </w:r>
      <w:r>
        <w:tab/>
        <w:t>Исходя из информации, полученной в ходе ОВОДХ, исследователи Ара Мариа Оливейра и Паула Миранда Рибейро продемонстрировали в 1998 году степень неравенства между белыми и цветными в зависимости от профессиональных категорий в четырех крупнейших регионах.  Белые были более представлены в профессиональных категориях, требующих более продолжительного образования.  Картина постепенно менялась по мере того, как в списке появлялись категории, требовавшие меньшей продолжительности образования или более низкой квалификации.  В то же время представленность цветных в этих требующих низкой квалификации категориях начинает увеличиваться.  Данный процесс в равной степени характерен как для мужчин, так и для женщин, о чем свидетельствуют таблицы 13 и 14.</w:t>
      </w:r>
    </w:p>
    <w:p w:rsidR="00000000" w:rsidRDefault="00000000"/>
    <w:p w:rsidR="00000000" w:rsidRDefault="00000000">
      <w:pPr>
        <w:jc w:val="center"/>
        <w:rPr>
          <w:b/>
          <w:bCs/>
        </w:rPr>
      </w:pPr>
      <w:r>
        <w:rPr>
          <w:b/>
          <w:bCs/>
        </w:rPr>
        <w:t>Таблица 13</w:t>
      </w:r>
    </w:p>
    <w:p w:rsidR="00000000" w:rsidRDefault="00000000">
      <w:pPr>
        <w:jc w:val="center"/>
        <w:rPr>
          <w:b/>
          <w:bCs/>
        </w:rPr>
      </w:pPr>
    </w:p>
    <w:p w:rsidR="00000000" w:rsidRDefault="00000000">
      <w:pPr>
        <w:jc w:val="center"/>
        <w:rPr>
          <w:b/>
          <w:bCs/>
        </w:rPr>
      </w:pPr>
      <w:r>
        <w:rPr>
          <w:b/>
          <w:bCs/>
        </w:rPr>
        <w:t>Распределение занятых мужчин по профессиональным категориям</w:t>
      </w:r>
    </w:p>
    <w:p w:rsidR="00000000" w:rsidRDefault="00000000">
      <w:pPr>
        <w:jc w:val="center"/>
        <w:rPr>
          <w:b/>
          <w:bCs/>
        </w:rPr>
      </w:pPr>
      <w:r>
        <w:rPr>
          <w:b/>
          <w:bCs/>
        </w:rPr>
        <w:t>в разбивке по расовой принадлежности, крупнейшие города,</w:t>
      </w:r>
    </w:p>
    <w:p w:rsidR="00000000" w:rsidRDefault="00000000">
      <w:pPr>
        <w:jc w:val="center"/>
        <w:rPr>
          <w:b/>
          <w:bCs/>
        </w:rPr>
      </w:pPr>
      <w:r>
        <w:rPr>
          <w:b/>
          <w:bCs/>
        </w:rPr>
        <w:t>1995 год</w:t>
      </w:r>
    </w:p>
    <w:p w:rsidR="00000000" w:rsidRDefault="00000000">
      <w:pPr>
        <w:jc w:val="center"/>
      </w:pPr>
    </w:p>
    <w:tbl>
      <w:tblPr>
        <w:tblW w:w="0" w:type="auto"/>
        <w:tblCellMar>
          <w:left w:w="28" w:type="dxa"/>
          <w:right w:w="28" w:type="dxa"/>
        </w:tblCellMar>
        <w:tblLook w:val="0000" w:firstRow="0" w:lastRow="0" w:firstColumn="0" w:lastColumn="0" w:noHBand="0" w:noVBand="0"/>
      </w:tblPr>
      <w:tblGrid>
        <w:gridCol w:w="2149"/>
        <w:gridCol w:w="782"/>
        <w:gridCol w:w="1032"/>
        <w:gridCol w:w="782"/>
        <w:gridCol w:w="1033"/>
        <w:gridCol w:w="783"/>
        <w:gridCol w:w="1033"/>
        <w:gridCol w:w="783"/>
        <w:gridCol w:w="1033"/>
      </w:tblGrid>
      <w:tr w:rsidR="00000000">
        <w:tblPrEx>
          <w:tblCellMar>
            <w:top w:w="0" w:type="dxa"/>
            <w:bottom w:w="0" w:type="dxa"/>
          </w:tblCellMar>
        </w:tblPrEx>
        <w:trPr>
          <w:cantSplit/>
          <w:tblHeader/>
        </w:trPr>
        <w:tc>
          <w:tcPr>
            <w:tcW w:w="318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bCs/>
              </w:rPr>
            </w:pPr>
            <w:r>
              <w:rPr>
                <w:b/>
                <w:bCs/>
              </w:rPr>
              <w:t>Салвадор</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bCs/>
              </w:rPr>
            </w:pPr>
            <w:r>
              <w:rPr>
                <w:b/>
                <w:bCs/>
              </w:rPr>
              <w:t>Ресифи</w:t>
            </w:r>
          </w:p>
        </w:tc>
        <w:tc>
          <w:tcPr>
            <w:tcW w:w="21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bCs/>
              </w:rPr>
            </w:pPr>
            <w:r>
              <w:rPr>
                <w:b/>
                <w:bCs/>
              </w:rPr>
              <w:t>Белу-Оризонти</w:t>
            </w:r>
          </w:p>
        </w:tc>
        <w:tc>
          <w:tcPr>
            <w:tcW w:w="21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bCs/>
              </w:rPr>
            </w:pPr>
            <w:r>
              <w:rPr>
                <w:b/>
                <w:bCs/>
              </w:rPr>
              <w:t>Сан-Паулу</w:t>
            </w:r>
          </w:p>
        </w:tc>
      </w:tr>
      <w:tr w:rsidR="00000000">
        <w:tblPrEx>
          <w:tblCellMar>
            <w:top w:w="0" w:type="dxa"/>
            <w:bottom w:w="0" w:type="dxa"/>
          </w:tblCellMar>
        </w:tblPrEx>
        <w:trPr>
          <w:tblHeader/>
        </w:trPr>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Профессиональная категория</w:t>
            </w:r>
          </w:p>
        </w:tc>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Белые</w:t>
            </w:r>
          </w:p>
        </w:tc>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Цветные</w:t>
            </w:r>
          </w:p>
        </w:tc>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Белые</w:t>
            </w:r>
          </w:p>
        </w:tc>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Цветные</w:t>
            </w:r>
          </w:p>
        </w:tc>
        <w:tc>
          <w:tcPr>
            <w:tcW w:w="10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Белые</w:t>
            </w:r>
          </w:p>
        </w:tc>
        <w:tc>
          <w:tcPr>
            <w:tcW w:w="10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Цветные</w:t>
            </w:r>
          </w:p>
        </w:tc>
        <w:tc>
          <w:tcPr>
            <w:tcW w:w="10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Белые</w:t>
            </w:r>
          </w:p>
        </w:tc>
        <w:tc>
          <w:tcPr>
            <w:tcW w:w="10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16" w:lineRule="auto"/>
              <w:jc w:val="center"/>
              <w:rPr>
                <w:b/>
                <w:bCs/>
              </w:rPr>
            </w:pPr>
            <w:r>
              <w:rPr>
                <w:b/>
                <w:bCs/>
              </w:rPr>
              <w:t>Цветные</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Высшее образование:  технические специалисты</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10,7</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2,3</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5,8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2,2</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0,9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1,7</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Высшее образование:  управленцы</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17,9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6,0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4,2</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12,8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4,3</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11,4</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3,6</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Средняя школа:  технические специалисты</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2,3</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Средняя школа:  управленцы</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6,7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11,4</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9,3</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Средняя школа:  коммерческий сектор</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8,5</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5,9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5,8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7,2</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3,5</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6,7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3,3</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Средняя школа:  другая категория</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2,7</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2,4</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Работники физического труда:  промышленность</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17,0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32,6</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19,2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34,0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28,7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43,8</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29,4</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43,7</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keepNext/>
              <w:spacing w:after="40" w:line="240" w:lineRule="auto"/>
            </w:pPr>
            <w:r>
              <w:t>Работники физического труда:  коммерческий сектор</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9,4</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8,3</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7,5</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8,4</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8,5</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7,9</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Работники физического труда:  транспорт и коммунальное хозяйство</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5,1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9,1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8,5</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10,3</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9,0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8.0</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Работники физического труда:  сектор услуг</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3,6</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3,2</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2,4</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3,2</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3,6</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Работники физического труда:  другая категория</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18,5</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11,9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18,7</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7,6</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12,9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6,9</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14,3</w:t>
            </w:r>
          </w:p>
        </w:tc>
      </w:tr>
      <w:tr w:rsidR="00000000">
        <w:tblPrEx>
          <w:tblCellMar>
            <w:top w:w="0" w:type="dxa"/>
            <w:bottom w:w="0" w:type="dxa"/>
          </w:tblCellMar>
        </w:tblPrEx>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pPr>
            <w:r>
              <w:t>Всего</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after="40" w:line="240" w:lineRule="auto"/>
              <w:jc w:val="center"/>
            </w:pPr>
            <w:r>
              <w:t>100,0</w:t>
            </w:r>
          </w:p>
        </w:tc>
      </w:tr>
    </w:tbl>
    <w:p w:rsidR="00000000" w:rsidRDefault="00000000">
      <w:pPr>
        <w:jc w:val="center"/>
      </w:pPr>
    </w:p>
    <w:p w:rsidR="00000000" w:rsidRDefault="00000000">
      <w:r>
        <w:tab/>
      </w:r>
      <w:r>
        <w:rPr>
          <w:i/>
          <w:iCs/>
          <w:u w:val="single"/>
        </w:rPr>
        <w:t>Источник</w:t>
      </w:r>
      <w:r>
        <w:rPr>
          <w:lang w:val="en-US"/>
        </w:rPr>
        <w:t xml:space="preserve">:  </w:t>
      </w:r>
      <w:r>
        <w:t>БИГС</w:t>
      </w:r>
      <w:r>
        <w:rPr>
          <w:lang w:val="en-US"/>
        </w:rPr>
        <w:t xml:space="preserve">, </w:t>
      </w:r>
      <w:r>
        <w:rPr>
          <w:i/>
          <w:iCs/>
          <w:lang w:val="en-US"/>
        </w:rPr>
        <w:t>Pesquisa Nacional por Amostra de Domcílios</w:t>
      </w:r>
      <w:r>
        <w:rPr>
          <w:lang w:val="en-US"/>
        </w:rPr>
        <w:t xml:space="preserve">, 1995.  </w:t>
      </w:r>
      <w:r>
        <w:t>Материалы представлены в работе Оливейра и Рибейро (1998 год).</w:t>
      </w:r>
    </w:p>
    <w:p w:rsidR="00000000" w:rsidRDefault="00000000"/>
    <w:p w:rsidR="00000000" w:rsidRDefault="00000000">
      <w:pPr>
        <w:pStyle w:val="10"/>
        <w:rPr>
          <w:bCs/>
        </w:rPr>
      </w:pPr>
      <w:r>
        <w:rPr>
          <w:bCs/>
        </w:rPr>
        <w:t>Таблица 14</w:t>
      </w:r>
    </w:p>
    <w:p w:rsidR="00000000" w:rsidRDefault="00000000">
      <w:pPr>
        <w:pStyle w:val="10"/>
        <w:rPr>
          <w:bCs/>
        </w:rPr>
      </w:pPr>
    </w:p>
    <w:p w:rsidR="00000000" w:rsidRDefault="00000000">
      <w:pPr>
        <w:jc w:val="center"/>
        <w:rPr>
          <w:b/>
          <w:bCs/>
        </w:rPr>
      </w:pPr>
      <w:r>
        <w:rPr>
          <w:b/>
          <w:bCs/>
        </w:rPr>
        <w:t>Распределение занятых женщин по профессиональным категориям в разбивке по расовой принадлежности, крупнейшие города, 1995 год</w:t>
      </w:r>
    </w:p>
    <w:p w:rsidR="00000000" w:rsidRDefault="00000000">
      <w:pPr>
        <w:jc w:val="center"/>
        <w:rPr>
          <w:b/>
          <w:bCs/>
        </w:rPr>
      </w:pPr>
    </w:p>
    <w:tbl>
      <w:tblPr>
        <w:tblW w:w="0" w:type="auto"/>
        <w:tblInd w:w="11" w:type="dxa"/>
        <w:tblLayout w:type="fixed"/>
        <w:tblCellMar>
          <w:left w:w="57" w:type="dxa"/>
          <w:right w:w="57" w:type="dxa"/>
        </w:tblCellMar>
        <w:tblLook w:val="0000" w:firstRow="0" w:lastRow="0" w:firstColumn="0" w:lastColumn="0" w:noHBand="0" w:noVBand="0"/>
      </w:tblPr>
      <w:tblGrid>
        <w:gridCol w:w="2058"/>
        <w:gridCol w:w="770"/>
        <w:gridCol w:w="1022"/>
        <w:gridCol w:w="798"/>
        <w:gridCol w:w="1008"/>
        <w:gridCol w:w="812"/>
        <w:gridCol w:w="1049"/>
        <w:gridCol w:w="798"/>
        <w:gridCol w:w="1120"/>
      </w:tblGrid>
      <w:tr w:rsidR="00000000">
        <w:tblPrEx>
          <w:tblCellMar>
            <w:top w:w="0" w:type="dxa"/>
            <w:bottom w:w="0" w:type="dxa"/>
          </w:tblCellMar>
        </w:tblPrEx>
        <w:trPr>
          <w:cantSplit/>
          <w:tblHeader/>
        </w:trPr>
        <w:tc>
          <w:tcPr>
            <w:tcW w:w="20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Салвадор</w:t>
            </w:r>
          </w:p>
        </w:tc>
        <w:tc>
          <w:tcPr>
            <w:tcW w:w="18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Ресифи</w:t>
            </w:r>
          </w:p>
        </w:tc>
        <w:tc>
          <w:tcPr>
            <w:tcW w:w="186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Белу-Оризонти</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Сан-Паулу</w:t>
            </w:r>
          </w:p>
        </w:tc>
      </w:tr>
      <w:tr w:rsidR="00000000">
        <w:tblPrEx>
          <w:tblCellMar>
            <w:top w:w="0" w:type="dxa"/>
            <w:bottom w:w="0" w:type="dxa"/>
          </w:tblCellMar>
        </w:tblPrEx>
        <w:trPr>
          <w:tblHeader/>
        </w:trPr>
        <w:tc>
          <w:tcPr>
            <w:tcW w:w="20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Профессиональная категория</w:t>
            </w:r>
          </w:p>
        </w:tc>
        <w:tc>
          <w:tcPr>
            <w:tcW w:w="7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Белые</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Цветные</w:t>
            </w:r>
          </w:p>
        </w:tc>
        <w:tc>
          <w:tcPr>
            <w:tcW w:w="79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Белые</w:t>
            </w:r>
          </w:p>
        </w:tc>
        <w:tc>
          <w:tcPr>
            <w:tcW w:w="10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Цветные</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Белые</w:t>
            </w:r>
          </w:p>
        </w:tc>
        <w:tc>
          <w:tcPr>
            <w:tcW w:w="10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Цветные</w:t>
            </w:r>
          </w:p>
        </w:tc>
        <w:tc>
          <w:tcPr>
            <w:tcW w:w="79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Белые</w:t>
            </w:r>
          </w:p>
        </w:tc>
        <w:tc>
          <w:tcPr>
            <w:tcW w:w="11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Цветные</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Высшее образование:  технические специалисты</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16,7</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9,5</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3,2</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10,1</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2,5</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Высшее образование:  управленцы</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8,9</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7,8</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Средняя школа:  технические специалисты</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13,9</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14,2</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12,1</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12,2</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7,8</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Средняя школа:  управленцы</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22,0</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9,5</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21,5</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20,9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11,5</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rPr>
                <w:sz w:val="22"/>
              </w:rPr>
            </w:pPr>
            <w:r>
              <w:rPr>
                <w:sz w:val="22"/>
              </w:rPr>
              <w:t>Средняя школа:  коммерческий сектор</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6,1</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8,2</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6,5</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5,1</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2,9</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Работники физического труда:  промышленность</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5,6</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9,2</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8,8</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9,5</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18,4</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Работники физического труда:  коммерческий сектор</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10,1</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13,9</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14,1</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10,6</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9,4</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Работники физического труда:  сектор услуг</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11,9</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35,3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18,0</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38,1</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17,8</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40,2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18,7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39,3</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rPr>
            </w:pPr>
            <w:r>
              <w:rPr>
                <w:sz w:val="22"/>
              </w:rPr>
              <w:t>Работники физического труда:  другая категория</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2,0</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4,5</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4,3</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6,2</w:t>
            </w:r>
          </w:p>
        </w:tc>
      </w:tr>
      <w:tr w:rsidR="00000000">
        <w:tblPrEx>
          <w:tblCellMar>
            <w:top w:w="0" w:type="dxa"/>
            <w:bottom w:w="0" w:type="dxa"/>
          </w:tblCellMar>
        </w:tblPrEx>
        <w:tc>
          <w:tcPr>
            <w:tcW w:w="205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74"/>
              </w:tabs>
              <w:spacing w:line="240" w:lineRule="auto"/>
              <w:rPr>
                <w:sz w:val="22"/>
              </w:rPr>
            </w:pPr>
            <w:r>
              <w:rPr>
                <w:sz w:val="22"/>
              </w:rPr>
              <w:tab/>
              <w:t>Всего</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r>
    </w:tbl>
    <w:p w:rsidR="00000000" w:rsidRDefault="00000000"/>
    <w:p w:rsidR="00000000" w:rsidRDefault="00000000">
      <w:pPr>
        <w:spacing w:line="240" w:lineRule="auto"/>
        <w:rPr>
          <w:i/>
          <w:iCs/>
        </w:rPr>
      </w:pPr>
      <w:r>
        <w:tab/>
      </w:r>
      <w:r>
        <w:rPr>
          <w:i/>
          <w:iCs/>
          <w:u w:val="single"/>
        </w:rPr>
        <w:t>Источник</w:t>
      </w:r>
      <w:r>
        <w:rPr>
          <w:i/>
          <w:iCs/>
        </w:rPr>
        <w:t xml:space="preserve">:  </w:t>
      </w:r>
      <w:r>
        <w:t>БИГС</w:t>
      </w:r>
      <w:r>
        <w:rPr>
          <w:i/>
          <w:iCs/>
        </w:rPr>
        <w:t xml:space="preserve">, Pesquisa Nacional por Amostra de Domcilios, </w:t>
      </w:r>
      <w:r>
        <w:t>1995 год.  Материалы представлены в работе Оливейра и Рибейро (1998 год)</w:t>
      </w:r>
      <w:r>
        <w:rPr>
          <w:i/>
          <w:iCs/>
        </w:rPr>
        <w:t>.</w:t>
      </w:r>
    </w:p>
    <w:p w:rsidR="00000000" w:rsidRDefault="00000000"/>
    <w:p w:rsidR="00000000" w:rsidRDefault="00000000">
      <w:r>
        <w:t>251.</w:t>
      </w:r>
      <w:r>
        <w:tab/>
        <w:t>Обследование домашних хозяйств БИГС 1998 года показало также, что уровни представленности в профессиональной структуре белых, чернокожих и метисов в возрасте от десяти лет и старше сильно различаются.  Так, служащими работают 5,7% занятого белого населения и всего 1,3% чернокожих и 2,1% метисов.  Точно так же лишь 5,7% занятого белого населения работают домашней прислугой, тогда как среди чернокожих эта цифра достигает 13,4%, а среди метисов - 8,4%.  (БИГС, Síntese dos Indicadores Sociais, 1999, pр. 206-208).  Вышеупомянутое обследование ИНСПИР использовало иные критерии для классификации профессий, хотя его общие результаты приводят к таким же заключениям.</w:t>
      </w:r>
    </w:p>
    <w:p w:rsidR="00000000" w:rsidRDefault="00000000"/>
    <w:p w:rsidR="00000000" w:rsidRDefault="00000000">
      <w:r>
        <w:t>252.</w:t>
      </w:r>
      <w:r>
        <w:tab/>
        <w:t>Таким образом, при проверке представленности чернокожих и белых на должностях управленцев и специалистов по планированию обследование показало, что во всех изученных городах (Сан-Паулу, Салвадор, Ресифи, Федеральном округе, Белу-Оризонти и Порту-Алегри) последняя группа была представлена значительно шире по сравнению с предыдущей.  Например, в Сан-Паулу при том, что чернокожие занимали 8,7% должностей управленцев и специалистов по планированию, белые занимали 18% таких же должностей.  Хотя на долю чернокожего населения Салвадора приходится большая часть всей численности населения, как показывают вышеуказанные данные, только 5,9% чернокожих занимают должности управленцев и специалистов по планированию при том, что цветные занимают 21,4% этих должностей.</w:t>
      </w:r>
    </w:p>
    <w:p w:rsidR="00000000" w:rsidRDefault="00000000"/>
    <w:p w:rsidR="00000000" w:rsidRDefault="00000000">
      <w:r>
        <w:t>253.</w:t>
      </w:r>
      <w:r>
        <w:tab/>
        <w:t xml:space="preserve">Столь же значительный разрыв отмечается в крупнейшем регионе Ресифи, где чернокожие занимают 8,9% должностей управленцев и специалистов по планированию, а 29,2% - белые (ИНСПИР, 1999:  122).  Выясняется, что прямо противоположная ситуация складывается при анализе наиболее уязвимых рабочих мест, которые занимают работники без трудовых книжек, самостоятельно занятые работники, неоплачиваемые надомные работники и домашняя прислуга.  Обследование ИНСПИР показало, что во всех изученных крупнейших городах чернокожие относительно чаще занимаются подобной работой.  Так, в Порту-Алегри, например, чернокожие занимают 43,3% наиболее уязвимых рабочих мест.  Наибольший разрыв отмечен в Салвадоре, где чернокожие составляли 46,2% от находящихся в подобной ситуации работников (ИНСПИР, 1999 год). </w:t>
      </w:r>
    </w:p>
    <w:p w:rsidR="00000000" w:rsidRDefault="00000000"/>
    <w:p w:rsidR="00000000" w:rsidRDefault="00000000">
      <w:pPr>
        <w:jc w:val="center"/>
        <w:rPr>
          <w:b/>
          <w:bCs/>
        </w:rPr>
      </w:pPr>
      <w:r>
        <w:rPr>
          <w:b/>
          <w:bCs/>
        </w:rPr>
        <w:t>IV.</w:t>
      </w:r>
      <w:r>
        <w:rPr>
          <w:b/>
          <w:bCs/>
        </w:rPr>
        <w:tab/>
        <w:t>К ИСТОРИИ ВОПРОСА О РАСИЗМЕ И ДИСКРИМИНАЦИИ</w:t>
      </w:r>
    </w:p>
    <w:p w:rsidR="00000000" w:rsidRDefault="00000000">
      <w:pPr>
        <w:jc w:val="center"/>
        <w:rPr>
          <w:b/>
          <w:bCs/>
        </w:rPr>
      </w:pPr>
      <w:r>
        <w:rPr>
          <w:b/>
          <w:bCs/>
        </w:rPr>
        <w:t>В БРАЗИЛИИ</w:t>
      </w:r>
    </w:p>
    <w:p w:rsidR="00000000" w:rsidRDefault="00000000"/>
    <w:p w:rsidR="00000000" w:rsidRDefault="00000000">
      <w:r>
        <w:t>254.</w:t>
      </w:r>
      <w:r>
        <w:tab/>
        <w:t>В Бразилии давно витает идея "расовой демократии".  Эта точка зрения была подкреплена академическими исследованиями таких ученых, как Жильберто Фрейре, автором "</w:t>
      </w:r>
      <w:r>
        <w:rPr>
          <w:lang w:val="en-US"/>
        </w:rPr>
        <w:t>Casa</w:t>
      </w:r>
      <w:r>
        <w:t xml:space="preserve"> </w:t>
      </w:r>
      <w:r>
        <w:rPr>
          <w:lang w:val="en-US"/>
        </w:rPr>
        <w:t>Grande</w:t>
      </w:r>
      <w:r>
        <w:t xml:space="preserve"> </w:t>
      </w:r>
      <w:r>
        <w:rPr>
          <w:lang w:val="en-US"/>
        </w:rPr>
        <w:t>e</w:t>
      </w:r>
      <w:r>
        <w:t xml:space="preserve"> </w:t>
      </w:r>
      <w:r>
        <w:rPr>
          <w:lang w:val="en-US"/>
        </w:rPr>
        <w:t>Senzala</w:t>
      </w:r>
      <w:r>
        <w:t>".</w:t>
      </w:r>
    </w:p>
    <w:p w:rsidR="00000000" w:rsidRDefault="00000000"/>
    <w:p w:rsidR="00000000" w:rsidRDefault="00000000">
      <w:r>
        <w:t>255.</w:t>
      </w:r>
      <w:r>
        <w:tab/>
        <w:t xml:space="preserve">В 50-х годах, по просьбе ЮНЕСКО, социологи Роджер Бастид и Флорестан Фернандес координировали исследовательский проект о расовых взаимоотношениях в Бразилии.  Они пришли к выводу о том, что после отмены рабства чернокожие подвергались дискриминации и что расовые предрассудки и дискриминация в отношении них сохранились.  </w:t>
      </w:r>
    </w:p>
    <w:p w:rsidR="00000000" w:rsidRDefault="00000000"/>
    <w:p w:rsidR="00000000" w:rsidRDefault="00000000">
      <w:r>
        <w:t>256.</w:t>
      </w:r>
      <w:r>
        <w:tab/>
        <w:t>Однако Бастид и Фернандес указали, что расовая дискриминация в капиталистической системе, процесс интеграции Бразилии в которую продолжается, является, скорее, экономической и социальной дискриминацией, нежели предрассудком, обусловленным цветом кожи.  Эта концепция, заключающаяся в том, что данный предрассудок в первую очередь и прежде всего имеет классовую основу и только во вторую очередь обусловлен цветом кожи, закрепилась в бразильском обществе и послужила основой для более научного подхода к этой теме.  Только в конце 70-х годов в ходе новых исследований был выдвинут аргумент о том, что положение чернокожих в Бразилии и расовое неравенство, широко распространенное по всей стране, являются результатом расизма, свойственного бразильскому обществу, а не просто следствием экономической и социальной дискриминации.</w:t>
      </w:r>
    </w:p>
    <w:p w:rsidR="00000000" w:rsidRDefault="00000000"/>
    <w:p w:rsidR="00000000" w:rsidRDefault="00000000">
      <w:r>
        <w:t>257.</w:t>
      </w:r>
      <w:r>
        <w:tab/>
        <w:t>В связи с отказом от концепции расовой демократии в конце 70-х годов движения чернокожих стали играть более заметную роль и ставить под сомнение общепринятую концепцию бразильского общества.  В противовес идее расовой демократии в ходе общенациональной дискуссии удалось поставить вопрос о необходимости реализации позитивных действий в интересах чернокожего населения.</w:t>
      </w:r>
    </w:p>
    <w:p w:rsidR="00000000" w:rsidRDefault="00000000"/>
    <w:p w:rsidR="00000000" w:rsidRDefault="00000000">
      <w:r>
        <w:t>258.</w:t>
      </w:r>
      <w:r>
        <w:tab/>
        <w:t xml:space="preserve">Однако только в 1996 году на правительственном уровне были предприняты шаги по рассмотрению проблемы расизма в Бразилии и подготовке позитивных действий в интересах чернокожего населения, что в тот момент стало открытым признанием реального существования расовой дискриминации.  Это признание было открыто подтверждено в декабре 2000 года в ходе визита в Бразилию южноафриканского президента Табо Мбеки.  </w:t>
      </w:r>
    </w:p>
    <w:p w:rsidR="00000000" w:rsidRDefault="00000000"/>
    <w:p w:rsidR="00000000" w:rsidRDefault="00000000">
      <w:r>
        <w:t>259.</w:t>
      </w:r>
      <w:r>
        <w:tab/>
        <w:t>Повторное признание этого факта на Всемирной конференции по борьбе против расизма, состоявшейся в Дурбане, Южная Африка, дало толчок различным правительственным инициативам, прокладывающим путь для программ позитивных действий, направленных на ликвидацию расового неравенства в стране.  В одном из последних разделов этого сводного доклада особое внимание уделяется мерам, направленным на улучшение положения отдельных групп в Бразилии.</w:t>
      </w:r>
    </w:p>
    <w:p w:rsidR="00000000" w:rsidRDefault="00000000"/>
    <w:p w:rsidR="00000000" w:rsidRDefault="00000000">
      <w:r>
        <w:t>260.</w:t>
      </w:r>
      <w:r>
        <w:tab/>
        <w:t>Краткая хронология основных инициатив в этой области включает создание федеральным правительством в 1988 году, во время празднования столетней годовщины отмены рабства, Культурного фонда "Пальмарес" при министерстве культуры.</w:t>
      </w:r>
    </w:p>
    <w:p w:rsidR="00000000" w:rsidRDefault="00000000"/>
    <w:p w:rsidR="00000000" w:rsidRDefault="00000000">
      <w:r>
        <w:t>261.</w:t>
      </w:r>
      <w:r>
        <w:tab/>
        <w:t>В 1991 году губернатор штата Рио-де-Жанейро создал первое специальное подразделение уголовной полиции по борьбе с расизмом.  В 1993 году в Сан-Паулу была выдвинута такая же инициатива, которую поддержали Сержипи (1995 год) и Федеральный округ (1998 год).  Подразделение в Рио-де-Жанейро было распущено, подразделение в Сержипи занимается работой с детьми и подростками и борется с проявлениями расизма, а подразделение в Бразилииа так и не начало свою деятельность.  Ежегодно подразделение в Сан-Паулу получает почти 150 заявлений (Сантос, 1999 год).</w:t>
      </w:r>
    </w:p>
    <w:p w:rsidR="00000000" w:rsidRDefault="00000000"/>
    <w:p w:rsidR="00000000" w:rsidRDefault="00000000">
      <w:r>
        <w:t>262.</w:t>
      </w:r>
      <w:r>
        <w:tab/>
        <w:t>В 1995 году по случаю празднования трехсотлетия со дня смерти Зумби (20 ноября) в Бразилии проводились праздничные мероприятия, дебаты и семинары по расовым вопросам, в частности дискуссии, касающиеся проведения государственной политики, принятия мер, направленных на улучшение положения отдельных групп населения, позитивных действий, позитивной дискриминации и компенсационной политики.  В том же 1995 году в ходе празднования трехсотлетия со дня смерти Зумби Университет Сан-Паулу организовал ряд мероприятий, включавших обсуждение расовой проблематики в Бразилии.  В ходе этих мероприятий поступали предложения, связанные с доступом чернокожих в государственные университеты, включением истории африканцев и чернокожих бразильцев в учебные программы исторических факультетов, организацией курсов пропаганды культуры чернокожего населения, публикацией книг, среди прочего, рассчитанных на учащихся начальных и средних школ.</w:t>
      </w:r>
    </w:p>
    <w:p w:rsidR="00000000" w:rsidRDefault="00000000"/>
    <w:p w:rsidR="00000000" w:rsidRDefault="00000000">
      <w:r>
        <w:t>263.</w:t>
      </w:r>
      <w:r>
        <w:tab/>
        <w:t xml:space="preserve">В августе 1995 года городским советом муниципалитета Салвадора, штат Баия, было организовано национальное совещание членов городских советов по борьбе с расизмом.  20 ноября 1995 года "Марш памяти Пальмареса Зумби против расизма и за гражданство и жизнь", подготовленный организациями, связанными с движением чернокожих, прошел в Бразилиа, и в нем приняли участие более 30 000 человек.  Организаторы марша были приняты президентом Республики, которому они передали список предлагаемых мер по борьбе с расизмом в стране.  </w:t>
      </w:r>
    </w:p>
    <w:p w:rsidR="00000000" w:rsidRDefault="00000000"/>
    <w:p w:rsidR="00000000" w:rsidRDefault="00000000">
      <w:r>
        <w:t>264.</w:t>
      </w:r>
      <w:r>
        <w:tab/>
        <w:t>В июле 1996 года в Бразилии был проведен международный семинар "Многокультурность и расизм:  роль мер по преодолению дискриминации в современном демократическом государстве", организованный министерством юстиции, на который съехались бразильские и иностранные исследователи, а также национальные лидеры.  В ходе этого мероприятия федеральное правительство признало факт существования расовой дискриминации и предрассудков в стране.  Была четко изложена новая позиция правительства по расовому вопросу, открывающая путь к содержательной дискуссии по этой проблематике и разработке государственной политики, направленной на изменение сложившегося положения.  Впервые правительство безоговорочно признало необходимость разработки комплекса антидискриминационных мер, направленных на включение в жизнь общества чернокожего населения и других групп населения, уязвимых по отношению к расизму и дискриминации.</w:t>
      </w:r>
    </w:p>
    <w:p w:rsidR="00000000" w:rsidRDefault="00000000"/>
    <w:p w:rsidR="00000000" w:rsidRDefault="00000000">
      <w:r>
        <w:t>265.</w:t>
      </w:r>
      <w:r>
        <w:tab/>
        <w:t>20 ноября 1995 года была создана Межведомственная рабочая группа по признанию чернокожего населения (ГТИ).  ГТИ приступила к работе 27 февраля 1996 года, занявшись разработкой мер, направленных  на борьбу с расовой дискриминацией, подготовку и содействие осуществлению правительственных программ и на стимулирование государственных и частных инициатив, признающих важность привлечения квалифицированных чернокожих специалистов к работе в средствах массовой информации.  Эта Группа является коллегиальным органом, включающим восемь представителей гражданского общества и десять должностных лиц федерального правительства (восемь от министерств и двоих от секретариатов).  Важными достижениями этого органа стали разработка национальной программы борьбы с серповидноклеточной анемией, генетическим заболеванием, в первую очередь поражающим чернокожее население;  требование о включении в официальные свидетельства о смерти и рождении записи о цвете кожи человека;  требование о включении во все статистические исследования по вопросам образования и обследования образовательного уровня населения сведений о расовой принадлежности/цвете кожи обследуемых лиц;  представление исследований и предложений, призванных обеспечить тех, кто занимает земли беглых рабов, документами о праве собственности, подобными тем, что были выданы общинам Паковал и Агуа Фриа (штат Пара), для выполнения положений статьи 68 Закона о временных положениях Федеральной конституции;  предложение о развертывании программы "ТВ-Эскола", призванной по-иному представить бразильскую историю, отразив в ней вклад, внесенный африканцами в социальное развитие страны;  переоценка учебников, выдаваемых учащимся начальной школы по всей стране, в результате которой издания, содержащие вредные или дискриминационные стереотипы, связанные с расовой принадлежностью, цветом кожи или полом, изымаются из обращения;  совместный контроль за осуществлением программы "Национальные параметры учебных программ" с привлечением к нему, среди прочих, министерства образования.</w:t>
      </w:r>
    </w:p>
    <w:p w:rsidR="00000000" w:rsidRDefault="00000000"/>
    <w:p w:rsidR="00000000" w:rsidRDefault="00000000">
      <w:r>
        <w:t>266.</w:t>
      </w:r>
      <w:r>
        <w:tab/>
        <w:t>20 марта 1996 года указом президента была создана Рабочая группа по ликвидации дискриминации в области занятости и профессиональной подготовки (ГТЕДЕО) при министерстве труда.  В ее состав входят представители федерального правительства, профсоюзов и ассоциаций работодателей.  Задачей Рабочей группы является борьба с дискриминацией в области занятости и профессиональной подготовки, осуществляемой по признаку расовой принадлежности, пола, возраста, инвалидности и т.д.</w:t>
      </w:r>
    </w:p>
    <w:p w:rsidR="00000000" w:rsidRDefault="00000000"/>
    <w:p w:rsidR="00000000" w:rsidRDefault="00000000">
      <w:r>
        <w:t>267.</w:t>
      </w:r>
      <w:r>
        <w:tab/>
        <w:t>Правительство Санта-Катарины утвердило в 1996 году Закон № 10064 от 9 января 1996 года, включающий положения о санкциях в отношении организаций и компаний, практикующих расовую дискриминацию.</w:t>
      </w:r>
    </w:p>
    <w:p w:rsidR="00000000" w:rsidRDefault="00000000"/>
    <w:p w:rsidR="00000000" w:rsidRDefault="00000000">
      <w:r>
        <w:t>268.</w:t>
      </w:r>
      <w:r>
        <w:tab/>
        <w:t>В 1997 году началось осуществление Национальной программы по правам человека.  В том же году реализация Программы по правам человека началась в штате Сан-Паулу.  Что касается чернокожего населения, то в ней содержалось 14 предложений, связанных, например, с содействием доступу чернокожих на рынок труда и на гражданскую службу путем принятия программ позитивных действий и программ профессиональной подготовки и переподготовки, ориентированных на чернокожее население.  В рамках этой программы выдвигаются также девять конкретных предложений, касающихся коренного населения, в том числе предложения по улучшению условий жизни коренного населения штата в области охраны его здоровья за счет разработки чрезвычайных мер в сотрудничестве с федеральным правительством.</w:t>
      </w:r>
    </w:p>
    <w:p w:rsidR="00000000" w:rsidRDefault="00000000"/>
    <w:p w:rsidR="00000000" w:rsidRDefault="00000000">
      <w:r>
        <w:t>269.</w:t>
      </w:r>
      <w:r>
        <w:tab/>
        <w:t>Правительство города Белу-Оризонти, Минас-Жерайс в соответствии с Законом № 7535 от 18 июня 1998 года создало Муниципальный секретариат по проблемам чернокожего населения, которому даны полномочия и вменено в обязанность заниматься планированием, координацией и осуществлением политики, программ, проектов и мероприятий, призванных искоренить расизм и ликвидировать социально-расовое неравенство.  В числе нескольких проектов, разработанных с этой целью, таких, как "Создание центров развития чернокожего населения", "Усилия в интересах гражданства" и "Признание чернокожей женщины", в 1999 году была создана программа "СОС - расизм", которая в тот год получила 41 жалобу, а к 14 апреля 2000 года в ее адрес было направлено уже 19 жалоб на проявления расизма.  По сведениям Муниципального секретариата по проблемам чернокожего населения, который отвечал за создание программы "СОС </w:t>
      </w:r>
      <w:r>
        <w:noBreakHyphen/>
        <w:t xml:space="preserve"> расизм", из 60 жалоб, поданных к настоящему времени, 38% касались случаев расизма по месту службы, 28% - проблем, возникших в микрорайоне, и 11% - государственных органов.  35% жалоб, принятых к рассмотрению программой "СОС", были направлены в суды, хотя к настоящему моменту ни один из судебных исков, возбужденных по линии данной Программы, не был рассмотрен по существу. </w:t>
      </w:r>
    </w:p>
    <w:p w:rsidR="00000000" w:rsidRDefault="00000000"/>
    <w:p w:rsidR="00000000" w:rsidRDefault="00000000">
      <w:r>
        <w:t>270.</w:t>
      </w:r>
      <w:r>
        <w:tab/>
        <w:t>В августе 1998 года Комиссия по правам человека Законодательной ассамблеи Сан</w:t>
      </w:r>
      <w:r>
        <w:noBreakHyphen/>
        <w:t>Паулу создала службу "СОС </w:t>
      </w:r>
      <w:r>
        <w:noBreakHyphen/>
        <w:t xml:space="preserve"> расизм" для приема жалоб на расовую дискриминацию по телефону.  В 1998 году Культурный фонд Пальмарес при министерстве культуры и неправительственная организация "Желедеш - Институт для чернокожих женщин" при финансовой поддержке Фонда Бостонского банка приступил к осуществлению программы "Поколение </w:t>
      </w:r>
      <w:r>
        <w:rPr>
          <w:lang w:val="en-US"/>
        </w:rPr>
        <w:t>XXI</w:t>
      </w:r>
      <w:r>
        <w:t>".  В 1999 году правительство этого штата обнародовало Указ № 21670, согласно которому была создана Программа по правам человека штата.</w:t>
      </w:r>
    </w:p>
    <w:p w:rsidR="00000000" w:rsidRDefault="00000000"/>
    <w:p w:rsidR="00000000" w:rsidRDefault="00000000">
      <w:r>
        <w:t>271.</w:t>
      </w:r>
      <w:r>
        <w:tab/>
        <w:t>В 2000 году был сформирован национальный комитет по подготовке к участию Бразилии во Всемирной конференции по борьбе против расизма, расовой дискриминации, ксенофобии и связанной с ними нетерпимости, в котором на равной основе было представлено гражданское общество и правительство.</w:t>
      </w:r>
    </w:p>
    <w:p w:rsidR="00000000" w:rsidRDefault="00000000"/>
    <w:p w:rsidR="00000000" w:rsidRDefault="00000000">
      <w:r>
        <w:t>272.</w:t>
      </w:r>
      <w:r>
        <w:tab/>
        <w:t>В 2001 году был создан Национальный совет по борьбе с дискриминацией.  В этот год министерства сельскохозяйственного развития и юстиции, Государственный секретариат по правам человека и Институт Рио</w:t>
      </w:r>
      <w:r>
        <w:noBreakHyphen/>
        <w:t>Бранко при министерстве иностранных дел приступили к осуществлению программ позитивных действий.</w:t>
      </w:r>
    </w:p>
    <w:p w:rsidR="00000000" w:rsidRDefault="00000000"/>
    <w:p w:rsidR="00000000" w:rsidRDefault="00000000">
      <w:r>
        <w:t>273.</w:t>
      </w:r>
      <w:r>
        <w:tab/>
        <w:t xml:space="preserve">13 мая 2002 года началось осуществление национальной программы позитивных действий.  В 2003 году был создан Специальный секретариат по поощрению расового равенства. </w:t>
      </w:r>
    </w:p>
    <w:p w:rsidR="00000000" w:rsidRDefault="00000000"/>
    <w:p w:rsidR="00000000" w:rsidRDefault="00000000">
      <w:pPr>
        <w:keepNext/>
        <w:jc w:val="center"/>
        <w:rPr>
          <w:b/>
          <w:bCs/>
        </w:rPr>
      </w:pPr>
      <w:r>
        <w:rPr>
          <w:b/>
          <w:bCs/>
          <w:lang w:val="en-US"/>
        </w:rPr>
        <w:t>V</w:t>
      </w:r>
      <w:r>
        <w:rPr>
          <w:b/>
          <w:bCs/>
        </w:rPr>
        <w:t>.</w:t>
      </w:r>
      <w:r>
        <w:rPr>
          <w:b/>
          <w:bCs/>
        </w:rPr>
        <w:tab/>
        <w:t>ПОДГОТОВКА БРАЗИЛИИ К ВСЕМИРНОЙ КОНФЕРЕНЦИИ</w:t>
      </w:r>
    </w:p>
    <w:p w:rsidR="00000000" w:rsidRDefault="00000000">
      <w:pPr>
        <w:keepNext/>
        <w:jc w:val="center"/>
        <w:rPr>
          <w:b/>
          <w:bCs/>
        </w:rPr>
      </w:pPr>
      <w:r>
        <w:rPr>
          <w:b/>
          <w:bCs/>
        </w:rPr>
        <w:t>ПО БОРЬБЕ ПРОТИВ РАСИЗМА</w:t>
      </w:r>
    </w:p>
    <w:p w:rsidR="00000000" w:rsidRDefault="00000000">
      <w:pPr>
        <w:keepNext/>
        <w:jc w:val="center"/>
        <w:rPr>
          <w:b/>
          <w:bCs/>
        </w:rPr>
      </w:pPr>
    </w:p>
    <w:p w:rsidR="00000000" w:rsidRDefault="00000000">
      <w:pPr>
        <w:keepNext/>
      </w:pPr>
      <w:r>
        <w:t>274.</w:t>
      </w:r>
      <w:r>
        <w:tab/>
        <w:t>Бразилия активно готовилась к Всемирной конференции по борьбе против расизма, расовой дискриминации, ксенофобии и связанной с ними нетерпимости, состоявшейся в Дурбане, Южная Африка, 31 августа - 8 сентября 2001 года.</w:t>
      </w:r>
    </w:p>
    <w:p w:rsidR="00000000" w:rsidRDefault="00000000"/>
    <w:p w:rsidR="00000000" w:rsidRDefault="00000000">
      <w:r>
        <w:t>275.</w:t>
      </w:r>
      <w:r>
        <w:tab/>
        <w:t xml:space="preserve">Бразилия активно участвовала в подготовительном процессе и в самой Всемирной конференции, направив на нее численно и качественно сильную делегацию, состоявшую из представителей правительства, конгресса и основных слоев общества, наиболее уязвимых перед лицом расизма и дискриминации.  </w:t>
      </w:r>
    </w:p>
    <w:p w:rsidR="00000000" w:rsidRDefault="00000000"/>
    <w:p w:rsidR="00000000" w:rsidRDefault="00000000">
      <w:r>
        <w:t>276.</w:t>
      </w:r>
      <w:r>
        <w:tab/>
        <w:t>Что касается международного аспекта подготовительного процесса к Дурбанской конференции, то страна сыграла немалую роль в ее поддержке;  что касается национального аспекта, то подготовка Бразилии к Конференции осуществлялась под руководством Национального подготовительного комитета (Указ президента от 8 сентября 2000 года), который возглавлялся г</w:t>
      </w:r>
      <w:r>
        <w:noBreakHyphen/>
        <w:t xml:space="preserve">ном Жильберто Сабойа, занимавшим тогда пост государственного секретаря по правам человека, и состоял из представителей министерств и других правительственных ведомств, а также представителей и выдающихся деятелей движения чернокожих, коренного населения и религиозных групп и неправительственных организаций, ведущих борьбу с расизмом и нетерпимостью.  </w:t>
      </w:r>
    </w:p>
    <w:p w:rsidR="00000000" w:rsidRDefault="00000000"/>
    <w:p w:rsidR="00000000" w:rsidRDefault="00000000">
      <w:r>
        <w:t>277.</w:t>
      </w:r>
      <w:r>
        <w:tab/>
        <w:t>В состав Комитета входили следующие члены:</w:t>
      </w:r>
    </w:p>
    <w:p w:rsidR="00000000" w:rsidRDefault="00000000"/>
    <w:p w:rsidR="00000000" w:rsidRDefault="00000000">
      <w:pPr>
        <w:ind w:left="1134" w:hanging="1134"/>
      </w:pPr>
      <w:r>
        <w:tab/>
        <w:t>-</w:t>
      </w:r>
      <w:r>
        <w:tab/>
        <w:t xml:space="preserve">представители правительства:  а)  специальный советник кабинета при президенте Вильмар Евангелиста Фария;  </w:t>
      </w:r>
      <w:r>
        <w:rPr>
          <w:lang w:val="en-US"/>
        </w:rPr>
        <w:t>b</w:t>
      </w:r>
      <w:r>
        <w:t>)  сотрудник министерства иностранных дел г</w:t>
      </w:r>
      <w:r>
        <w:noBreakHyphen/>
        <w:t xml:space="preserve">н Хильдебрандо Тадеу Насименто Валадарес;  с)  сотрудник министерства образования Карлос Альберто Рибейро де Хавьер;  </w:t>
      </w:r>
      <w:r>
        <w:rPr>
          <w:lang w:val="en-US"/>
        </w:rPr>
        <w:t>d</w:t>
      </w:r>
      <w:r>
        <w:t xml:space="preserve">)  сотрудник министерства здравоохранения Клаудио Дуарте да Фонсека;  е)  сотрудница министерства труда и занятости Мария Хелена Гомес дос Сантос;  </w:t>
      </w:r>
      <w:r>
        <w:rPr>
          <w:lang w:val="en-US"/>
        </w:rPr>
        <w:t>f</w:t>
      </w:r>
      <w:r>
        <w:t xml:space="preserve">)  сотрудник министерства сельскохозяйственного развития Себастьяо Азеведо;  </w:t>
      </w:r>
      <w:r>
        <w:rPr>
          <w:lang w:val="en-US"/>
        </w:rPr>
        <w:t>g</w:t>
      </w:r>
      <w:r>
        <w:t xml:space="preserve">)  сотрудник министерства планирования, бюджета и администрации Рикардо Паес де Баррос;  </w:t>
      </w:r>
      <w:r>
        <w:rPr>
          <w:lang w:val="en-US"/>
        </w:rPr>
        <w:t>h</w:t>
      </w:r>
      <w:r>
        <w:t xml:space="preserve">)  сотрудница Государственного секретариата по вопросам социальной помощи Мария Албанита Роберта де Лима;  i)  представитель Совета по программе общинной солидарности;  </w:t>
      </w:r>
      <w:r>
        <w:rPr>
          <w:lang w:val="en-US"/>
        </w:rPr>
        <w:t>j</w:t>
      </w:r>
      <w:r>
        <w:t xml:space="preserve">)  сотрудник Института прикладных экономических исследований (ИПЕА) Роберто Богес Мартинс;  </w:t>
      </w:r>
      <w:r>
        <w:rPr>
          <w:lang w:val="en-US"/>
        </w:rPr>
        <w:t>k</w:t>
      </w:r>
      <w:r>
        <w:t xml:space="preserve">)  представитель Института исследований международных отношений (ИПРИ), Совета Карлоса Энрике Кардима;  </w:t>
      </w:r>
      <w:r>
        <w:rPr>
          <w:lang w:val="en-US"/>
        </w:rPr>
        <w:t>l</w:t>
      </w:r>
      <w:r>
        <w:t xml:space="preserve">)  сотрудник культурного фонда "Пальмарес" Карлос Моура;  </w:t>
      </w:r>
      <w:r>
        <w:rPr>
          <w:lang w:val="en-US"/>
        </w:rPr>
        <w:t>m</w:t>
      </w:r>
      <w:r>
        <w:t xml:space="preserve">)  сотрудник Национального индейского фонда Гленио да Коста Альварез;  </w:t>
      </w:r>
    </w:p>
    <w:p w:rsidR="00000000" w:rsidRDefault="00000000">
      <w:pPr>
        <w:ind w:left="1134" w:hanging="1134"/>
      </w:pPr>
    </w:p>
    <w:p w:rsidR="00000000" w:rsidRDefault="00000000">
      <w:pPr>
        <w:ind w:left="1134" w:hanging="1134"/>
      </w:pPr>
      <w:r>
        <w:tab/>
        <w:t>-</w:t>
      </w:r>
      <w:r>
        <w:tab/>
        <w:t xml:space="preserve">представители гражданского общества:  а)  Реви Антонио Олимпио де Сантана, Всемирный совет церквей;  </w:t>
      </w:r>
      <w:r>
        <w:rPr>
          <w:lang w:val="en-US"/>
        </w:rPr>
        <w:t>b</w:t>
      </w:r>
      <w:r>
        <w:t xml:space="preserve">)  Азелене Инасио Кайганг, Объединенный совет коренных народов и организаций Бразилии (КАПОИБЕ);  с)  Бенедита да Сильва, вице-губернатор штата Рио-де-Жанейро;  </w:t>
      </w:r>
      <w:r>
        <w:rPr>
          <w:lang w:val="en-US"/>
        </w:rPr>
        <w:t>d</w:t>
      </w:r>
      <w:r>
        <w:t xml:space="preserve">)  Клаудио Насименто, Директор по вопросам прав человека Бразильской ассоциации гомосексуалистов, лесбиянок и трансвеститов;  е)  Дон Жилио Фелисио, помощник епископа Салвадора;  </w:t>
      </w:r>
      <w:r>
        <w:rPr>
          <w:lang w:val="en-US"/>
        </w:rPr>
        <w:t>f</w:t>
      </w:r>
      <w:r>
        <w:t xml:space="preserve">)  Элиу ди Суза Сантос, профессор-экономист университета;  </w:t>
      </w:r>
      <w:r>
        <w:rPr>
          <w:lang w:val="en-US"/>
        </w:rPr>
        <w:t>g</w:t>
      </w:r>
      <w:r>
        <w:t xml:space="preserve">)  раввин Хенри Собель, Президент раввинской израелитской конгрегации Сан-Паулу;  </w:t>
      </w:r>
      <w:r>
        <w:rPr>
          <w:lang w:val="en-US"/>
        </w:rPr>
        <w:t>h</w:t>
      </w:r>
      <w:r>
        <w:t xml:space="preserve">)  Ивет Альвес ду Сакраменту, вице-канцлер Государственного университета Баия;  i)  Иванир душ Сантуш, Президент Объединенного центра маргинализованного населения (ОЦМН);  </w:t>
      </w:r>
      <w:r>
        <w:rPr>
          <w:lang w:val="en-US"/>
        </w:rPr>
        <w:t>j</w:t>
      </w:r>
      <w:r>
        <w:t xml:space="preserve">)  Роки ди Барруш Ларайа, профессор-антрополог университета;  </w:t>
      </w:r>
      <w:r>
        <w:rPr>
          <w:lang w:val="en-US"/>
        </w:rPr>
        <w:t>l</w:t>
      </w:r>
      <w:r>
        <w:t xml:space="preserve">)  Себастьяо Альвиш Родригиш Манчинери, координатор Координационного центра организаций коренных народов бассейна Амазонки Бразилии (КОИАБ);  </w:t>
      </w:r>
    </w:p>
    <w:p w:rsidR="00000000" w:rsidRDefault="00000000">
      <w:pPr>
        <w:ind w:left="1134" w:hanging="1134"/>
      </w:pPr>
    </w:p>
    <w:p w:rsidR="00000000" w:rsidRDefault="00000000">
      <w:pPr>
        <w:ind w:left="1134" w:hanging="1134"/>
      </w:pPr>
      <w:r>
        <w:tab/>
        <w:t>-</w:t>
      </w:r>
      <w:r>
        <w:tab/>
        <w:t xml:space="preserve">представитель Комиссии по правам человека Палаты депутатов, депутат Нельсон Пеллегрин;  </w:t>
      </w:r>
    </w:p>
    <w:p w:rsidR="00000000" w:rsidRDefault="00000000">
      <w:pPr>
        <w:ind w:left="1134" w:hanging="1134"/>
      </w:pPr>
    </w:p>
    <w:p w:rsidR="00000000" w:rsidRDefault="00000000">
      <w:pPr>
        <w:ind w:left="1134" w:hanging="1134"/>
      </w:pPr>
      <w:r>
        <w:tab/>
        <w:t>-</w:t>
      </w:r>
      <w:r>
        <w:tab/>
        <w:t>представительница Комиссии по защите потребителей, окружающей среды и национальных меньшинств Палаты депутатов, Ана Катарина, и</w:t>
      </w:r>
    </w:p>
    <w:p w:rsidR="00000000" w:rsidRDefault="00000000">
      <w:pPr>
        <w:ind w:left="1134" w:hanging="1134"/>
      </w:pPr>
    </w:p>
    <w:p w:rsidR="00000000" w:rsidRDefault="00000000">
      <w:pPr>
        <w:ind w:left="1134" w:hanging="1134"/>
      </w:pPr>
      <w:r>
        <w:tab/>
        <w:t>-</w:t>
      </w:r>
      <w:r>
        <w:tab/>
        <w:t>представительница Федерального государственного министерства Мария Элиана Менезиш ди Фария.</w:t>
      </w:r>
    </w:p>
    <w:p w:rsidR="00000000" w:rsidRDefault="00000000">
      <w:pPr>
        <w:ind w:left="1134" w:hanging="1134"/>
      </w:pPr>
    </w:p>
    <w:p w:rsidR="00000000" w:rsidRDefault="00000000">
      <w:r>
        <w:t>278.</w:t>
      </w:r>
      <w:r>
        <w:tab/>
        <w:t>Комитет организовал в разных регионах Бразилии семинары и другие мероприятия с целью распространения информации и расширения представления об обсуждавшихся вопросах и целях Конференции, в частности об их увязке с реальным положением в Бразилии.  В Рио-де-Жанейро в рамках подготовки страны к мероприятию в Дурбане была проведена Национальная подготовительная конференция к Всемирной конференции по борьбе против расизма.  Это событие, организованное гражданским обществом и координировавшееся вице-губернатором Рио-де-Жанейро Бенедитой да Сильва, привлекло другие группы, непосредственно интересующиеся проблемами, находившимися в центре внимания Всемирной конференции.  В результате совещания в Рио появился документ "Хартия Рио-де-Жанейро", который стал дополнением к докладу Бразилии на Всемирной конференции по борьбе против расизма в Дурбане.</w:t>
      </w:r>
    </w:p>
    <w:p w:rsidR="00000000" w:rsidRDefault="00000000"/>
    <w:p w:rsidR="00000000" w:rsidRDefault="00000000"/>
    <w:p w:rsidR="00000000" w:rsidRDefault="00000000">
      <w:r>
        <w:t>279.</w:t>
      </w:r>
      <w:r>
        <w:tab/>
        <w:t>В ходе Всемирной конференции бразильская делегация проводила твердую и сбалансированную линию, поддерживая активный и непрерывный диалог с представителями неправительственных организаций.  Несмотря на политизацию Всемирной конференции, результаты, достигнутые в форме Декларации и Программы действий, принятых в Дурбане, по мнению правительства Бразилии, являются важным шагом в борьбе против расизма и решении всех связанных с этим вопросов.</w:t>
      </w:r>
    </w:p>
    <w:p w:rsidR="00000000" w:rsidRDefault="00000000"/>
    <w:p w:rsidR="00000000" w:rsidRDefault="00000000">
      <w:r>
        <w:t>280.</w:t>
      </w:r>
      <w:r>
        <w:tab/>
        <w:t>Несомненен прогресс, достигнутый в рассмотрении вопросов, связанных с правами и гарантиями выходцев из Африки, коренных народов и меньшинств в целом.  Впервые документ, появившийся в результате Всемирной конференции, признает эти и другие группы жертвами расизма и дискриминации и утверждает, что как таковые они заслуживают особого отношения со стороны государств и международного сообщества.</w:t>
      </w:r>
    </w:p>
    <w:p w:rsidR="00000000" w:rsidRDefault="00000000"/>
    <w:p w:rsidR="00000000" w:rsidRDefault="00000000">
      <w:r>
        <w:t>281.</w:t>
      </w:r>
      <w:r>
        <w:tab/>
        <w:t>Для Бразилии тот факт, что в результате подготовки к Всемирной конференции вопрос о расизме и расовой дискриминации постоянно включался в национальную повестку дня, явился еще одним важным достижением.</w:t>
      </w:r>
    </w:p>
    <w:p w:rsidR="00000000" w:rsidRDefault="00000000"/>
    <w:p w:rsidR="00000000" w:rsidRDefault="00000000">
      <w:r>
        <w:t>282.</w:t>
      </w:r>
      <w:r>
        <w:tab/>
        <w:t>Бразилия является одной из стран, стремящихся следовать решениям, принятым в Дурбане, путем проведения государственной политики, исследований и анализа, которые служат важными инструментами в деятельности правительства.</w:t>
      </w:r>
    </w:p>
    <w:p w:rsidR="00000000" w:rsidRDefault="00000000"/>
    <w:p w:rsidR="00000000" w:rsidRDefault="00000000">
      <w:r>
        <w:t>283.</w:t>
      </w:r>
      <w:r>
        <w:tab/>
        <w:t>Национальный подготовительный комитет разработал доклад на основе широкого обсуждения, поддерживаемого этим органом, и активного привлечения организаций, связанных с движениями чернокожего, коренного населения, женщин, гомосексуалистов и движений за свободу вероисповедания.</w:t>
      </w:r>
    </w:p>
    <w:p w:rsidR="00000000" w:rsidRDefault="00000000"/>
    <w:p w:rsidR="00000000" w:rsidRDefault="00000000">
      <w:r>
        <w:t>284.</w:t>
      </w:r>
      <w:r>
        <w:tab/>
        <w:t>Доклад содержит выводы о мероприятиях, проведенных в рамках подготовительного процесса в Бразилии.  Он основан, с одной стороны, на достоверном анализе, признаваемом рядом различных слоев бразильского общества, и, с другой стороны, на политических предложениях, поддержанных в ходе обсуждения Национальным комитетом, содержание которых в значительной мере отражает те позиции, на основе которых стал возможен консенсус между правительством Бразилии и неправительственными организациями.</w:t>
      </w:r>
    </w:p>
    <w:p w:rsidR="00000000" w:rsidRDefault="00000000"/>
    <w:p w:rsidR="00000000" w:rsidRDefault="00000000">
      <w:r>
        <w:t>285.</w:t>
      </w:r>
      <w:r>
        <w:tab/>
        <w:t>Главные аспекты доклада Национального комитета, взятые за основу позиций, отстаивавшихся бразильской делегацией в ходе Всемирной конференции в Дурбане, перечислены ниже.</w:t>
      </w:r>
    </w:p>
    <w:p w:rsidR="00000000" w:rsidRDefault="00000000"/>
    <w:p w:rsidR="00000000" w:rsidRDefault="00000000">
      <w:pPr>
        <w:pStyle w:val="Heading1"/>
        <w:rPr>
          <w:bCs/>
        </w:rPr>
      </w:pPr>
      <w:r>
        <w:rPr>
          <w:bCs/>
        </w:rPr>
        <w:t>Определение концептуальных подходов</w:t>
      </w:r>
    </w:p>
    <w:p w:rsidR="00000000" w:rsidRDefault="00000000">
      <w:pPr>
        <w:pStyle w:val="Heading1"/>
        <w:rPr>
          <w:bCs/>
        </w:rPr>
      </w:pPr>
    </w:p>
    <w:p w:rsidR="00000000" w:rsidRDefault="00000000">
      <w:r>
        <w:t>286.</w:t>
      </w:r>
      <w:r>
        <w:tab/>
        <w:t xml:space="preserve">Расизм:  "Так же, как и другие проявления дискриминации, в том числе ксенофобии и шовинизма, расизм представляет собой историческое явление, идеологической основой которого является разделение человечества на высшие и низшие касты в зависимости от этнического происхождения.  Культурные или физические различия используются для оправдания приписываемых конкретным группам людей различий в уровне интеллектуального и духовного развития.  В Бразилии мы отмечаем теоретические труды д-ра Раймундо Нина, официально получившего эту степень в Институте судебной медицины Баии, специалиста, которого сегодня высоко ценят институты криминологии и работы которого продолжают служить источником идей для современных научных трудов по криминологии, специалиста, работа которого в конце </w:t>
      </w:r>
      <w:r>
        <w:rPr>
          <w:lang w:val="en-US"/>
        </w:rPr>
        <w:t>XIX</w:t>
      </w:r>
      <w:r>
        <w:t xml:space="preserve"> века включала медицинские исследования, касавшиеся обмеров черепной коробки и основания носа с целью объяснения якобы врожденных тенденций, которые объясняли тяготение чернокожих к преступности, что было равноценно тропической разновидности теорий Ломброзо о прирожденных преступниках.  Интересно отметить, что на евгенику, получившую распространение в Европе для борьбы с так называемым вырождением расы и улучшения качества расы с целью соблюдения ее чистоты, делается ссылка в бразильской Конституции 1934 года и в Законодательном указе № 7967/1945.  К этой категории мы можем добавить Уголовный кодекс Республики, на смену которому в 1941 году пришел нынешний Кодекс, поставивший вне закона капоэйру, одно из наиболее популярных проявлений африканской культуры.  Поэтому, как мы видим, расизм как идеология породил законы, политику и социальную практику.  Из этого можно сделать вывод о том, что выражение "проявление расизма" явно не требует, чтобы лицо, допустившее его, знало или владело наукой или риторикой расовых теорий и тем более долго придерживалось политических и идеологических убеждений или участвовало в разработке расовых теорий, и ему не нужно совершать поступков, объясняющихся расовой ненавистью, которая направлена на расовую группу в целом, а просто достаточно, чтобы подобное "проявление" отражало основную суть "идеологии", было актом, определяющимся расовыми критериями, целью или следствием которого является нарушение личных или коллективных прав.  Наконец, мы не можем пройти мимо того факта, что расизм в своем самом узком и отнюдь не экстернализованном идеологическом обличье, т.е. не проявляющий себя в "действиях", гнездится в сознании человека, являющемся, согласно статье 5 раздела </w:t>
      </w:r>
      <w:r>
        <w:rPr>
          <w:lang w:val="en-US"/>
        </w:rPr>
        <w:t>VI</w:t>
      </w:r>
      <w:r>
        <w:t xml:space="preserve"> Конституции Республики, неприкосновенным достоянием личности".</w:t>
      </w:r>
    </w:p>
    <w:p w:rsidR="00000000" w:rsidRDefault="00000000"/>
    <w:p w:rsidR="00000000" w:rsidRDefault="00000000">
      <w:r>
        <w:t>287.</w:t>
      </w:r>
      <w:r>
        <w:tab/>
        <w:t xml:space="preserve">Предрассудки:  "Судя по общему определению, содержащемуся в словарях, мы можем вложить в термин "предрассудки" следующее содержание:  "1.  Суждение или мнение, сформированное заранее, без знания или рассмотрения фактов;  заранее составленное представление;  2.  Суждение или мнение, сформированное без учета доводов, которые противоречат ему;  предубеждение;  3.  Суеверие, убеждение, предубеждение;  4.  Подозрительность, нетерпимость, необъяснимая ненависть или отвращение к другим расам, вероисповеданиям, религиям и т.д.".  Как категорию, относящуюся к области психологии, предрассудки можно определить в качестве явления, направленного на отдельные лица, группы лиц или социальные институты и предполагающего отрицательную предрасположенность.  С научной точки зрения предрассудки неизменно направлены против кого-либо.  Предрассудки проявляются в грубой форме силлогизма, имея тенденцию к игнорированию личности человека, заранее наделяя членов конкретной группы отрицательными чертами, по которым определяются ее особенности.  Таким образом, основные составляющие предрассудков предполагают наличие системы, в рамках которой физические черты (расовые приметы, например) неразрывно связаны с распределением социального положения, поскольку подобная социальная система предполагает наличие лиц, которые пользуются неравенством, свойственным системе.  Следует отметить, что, хотя предрассудки создают требуемые условия, они отнюдь не являются необходимой предпосылкой для возникновения дискриминации, учитывая, что дискриминация не всегда находится в причинно-следственной связи с предрассудками.  Наконец, отметим, что, как правило, за мысли закон не наказывает, хотя, несмотря на то, что в преамбуле к федеральной Конституции предрассудки отвергаются и что положение статьи 3, </w:t>
      </w:r>
      <w:r>
        <w:rPr>
          <w:lang w:val="en-US"/>
        </w:rPr>
        <w:t>IV</w:t>
      </w:r>
      <w:r>
        <w:t xml:space="preserve">, формально запрещает проявление предрассудков, сами положения противоречивы по смыслу, поскольку предрассудки относятся к категории сознания личности и не подлежат уголовному или хотя бы гражданскому наказанию - по меньшей мере в демократическом правовом государстве". </w:t>
      </w:r>
    </w:p>
    <w:p w:rsidR="00000000" w:rsidRDefault="00000000"/>
    <w:p w:rsidR="00000000" w:rsidRDefault="00000000">
      <w:r>
        <w:t>288.</w:t>
      </w:r>
      <w:r>
        <w:tab/>
        <w:t xml:space="preserve">Нетерпимость:  "Рядом с нетерпимостью соседствует понятие терпимости, лингвистическое значение которой явно не соответствует вкладываемому в него смыслу, когда речь идет об отношениях между людьми.  Бразильские словари содержат, по меньшей мере, два значения, представляющих непосредственный интерес:  "1.  Готовность принять другие убеждения, практику и взгляды, которые отличаются от свойственных конкретному лицу или политической или религиозной группе;  2.  Особая допустимая степень отклонения в оценках или отход от стандарта".  Одновременно с этим правовое определение, обычно даваемое этому слову, как правило, несет в себе такой же отрицательный смысл, указывая в большинстве случаев на наличие таких факторов, как подчинение, невзгоды, признание зла, благодушие, в целом на смирение перед лицом неудач.  Хорошим примером этому служат нормы труда, которые касаются вредных для здоровья видов деятельности и содержат ссылки на ограниченную переносимость веществ, наносящих ущерб здоровью человека.  Короче говоря, терпимость включает основное значение отказа от враждебного отношения к чему-либо, что в принципе достойно осуждения, что предполагает, в явно неприемлемом виде, наличие универсальной парадигмы религиозного, этнического, сексуального или расового характера.  Убедительным примером нетерпимости расового/религиозного характера в случае Бразилии является Закон штата Баия № 3097/72, который продолжал действовать до 1976 года и требовал, чтобы афро-бразильские религиозные здания были зарегистрированы в местном полицейском управлении того судебного округа, к которому они относились.  Отметим, что термин "терпимость", хотя и не может быть явно спутан с ними, имеет много общего с конституционными положениями, регулирующими политический плюрализм (статья 1, </w:t>
      </w:r>
      <w:r>
        <w:rPr>
          <w:lang w:val="en-US"/>
        </w:rPr>
        <w:t>V</w:t>
      </w:r>
      <w:r>
        <w:t xml:space="preserve">) и свободу мысли (статья 206, </w:t>
      </w:r>
      <w:r>
        <w:rPr>
          <w:lang w:val="en-US"/>
        </w:rPr>
        <w:t>VI</w:t>
      </w:r>
      <w:r>
        <w:t xml:space="preserve">).  С другой стороны, несмотря на то, что он, безусловно, не может служить средством определения взаимоотношений между людьми, необходимо понять, что в бразильской правовой системе термин "терпимость" используется именно для того, чтобы обозначить отказ от посягательства на разнообразие.  В этом заключается суть статьи 3 Закона № 9393/96 о направлениях и основных принципах образования:  "Образование предоставляется, исходя из следующих принципов:  </w:t>
      </w:r>
      <w:r>
        <w:rPr>
          <w:lang w:val="en-US"/>
        </w:rPr>
        <w:t>IV</w:t>
      </w:r>
      <w:r>
        <w:t xml:space="preserve"> - Уважение свободы и проявление терпимости".  В заключение хотелось бы заметить, что нетерпимость, понимаемая как враждебное отношение к различиям, не ограничивается только сознанием человека, и в этом случае тот, кто допускает ее, преследуется за это государством".</w:t>
      </w:r>
    </w:p>
    <w:p w:rsidR="00000000" w:rsidRDefault="00000000"/>
    <w:p w:rsidR="00000000" w:rsidRDefault="00000000">
      <w:r>
        <w:t>289.</w:t>
      </w:r>
      <w:r>
        <w:tab/>
        <w:t xml:space="preserve">Дискриминация:  "В отличие от предрассудков дискриминация - деяние дискриминационного характера - является поведением или действием (совершенным умышленно или по упущению), которое нарушает права на основе произвольных критериев, независимо от причин, спровоцировавших подобное действие или поведение (расистские убеждения, давление предрассудков, интерес любого рода или простой страх наказания, как в случае лица, ответственного за подбор кадров, которое не нанимает чернокожего кандидата на конкретную работу, из-за предположения или боязни того, что учреждение, сотрудником которого оно является, не одобрит его решения).  Следует подчеркнуть, что бразильская правовая система предусматривает наказание за прямое и косвенное проявление дискриминации в следующих случаях".  </w:t>
      </w:r>
    </w:p>
    <w:p w:rsidR="00000000" w:rsidRDefault="00000000"/>
    <w:p w:rsidR="00000000" w:rsidRDefault="00000000">
      <w:pPr>
        <w:rPr>
          <w:b/>
          <w:bCs/>
        </w:rPr>
      </w:pPr>
      <w:r>
        <w:rPr>
          <w:b/>
          <w:bCs/>
        </w:rPr>
        <w:t>Прямая дискриминация</w:t>
      </w:r>
    </w:p>
    <w:p w:rsidR="00000000" w:rsidRDefault="00000000">
      <w:pPr>
        <w:rPr>
          <w:b/>
          <w:bCs/>
        </w:rPr>
      </w:pPr>
    </w:p>
    <w:p w:rsidR="00000000" w:rsidRDefault="00000000">
      <w:r>
        <w:t>290.</w:t>
      </w:r>
      <w:r>
        <w:tab/>
        <w:t>Пункт 1 статьи 1 Международной конвенции о ликвидации всех форм расовой дискриминации гласит:  "В настоящей Конвенции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w:t>
      </w:r>
    </w:p>
    <w:p w:rsidR="00000000" w:rsidRDefault="00000000"/>
    <w:p w:rsidR="00000000" w:rsidRDefault="00000000">
      <w:r>
        <w:t>291.</w:t>
      </w:r>
      <w:r>
        <w:tab/>
        <w:t>Статья 1 Конвенции МОТ № 111 о дискриминации в области труда и занятий гласит:  "В целях настоящей Конвенции термин "дискриминация" включает:  всякое различие, недопущение или предпочтение, проводимое по признаку расы, цвета кожи, пола, религии, политических убеждений, национального происхождения или социальной принадлежности, приводящее к уничтожению или нарушению равенства возможностей или обращения в области труда и занятий".</w:t>
      </w:r>
    </w:p>
    <w:p w:rsidR="00000000" w:rsidRDefault="00000000"/>
    <w:p w:rsidR="00000000" w:rsidRDefault="00000000">
      <w:r>
        <w:t>292.</w:t>
      </w:r>
      <w:r>
        <w:tab/>
        <w:t>Статья 1 Конвенции о борьбе с дискриминацией в области образования гласит:  "В настоящей Конвенции выражение "дискриминация" охватывает всякое различие, исключение, ограничение или предпочтение по признаку расы, цвета кожи, пола, языка, религии, политических или иных убеждений, национального или социального происхождения, экономического положения или рождения, которое имеет целью или следствием уничтожение или нарушение равенства отношения в области образования, и в частности:  а)  закрытие для какого</w:t>
      </w:r>
      <w:r>
        <w:noBreakHyphen/>
        <w:t xml:space="preserve">либо лица или группы лиц доступа к образованию любой ступени или типа;  </w:t>
      </w:r>
      <w:r>
        <w:rPr>
          <w:lang w:val="en-US"/>
        </w:rPr>
        <w:t>b</w:t>
      </w:r>
      <w:r>
        <w:t>)</w:t>
      </w:r>
      <w:r>
        <w:rPr>
          <w:lang w:val="en-US"/>
        </w:rPr>
        <w:t>  </w:t>
      </w:r>
      <w:r>
        <w:t>ограничение образования для какого</w:t>
      </w:r>
      <w:r>
        <w:noBreakHyphen/>
        <w:t>либо лица или группы лиц низшим уровнем образования;  с)  создание или сохранение раздельных систем образования или учебных заведений для каких</w:t>
      </w:r>
      <w:r>
        <w:noBreakHyphen/>
        <w:t xml:space="preserve">либо лиц или группы лиц, помимо случаев, предусмотренных положением статьи 2 настоящей Конвенции;  или </w:t>
      </w:r>
      <w:r>
        <w:rPr>
          <w:lang w:val="en-US"/>
        </w:rPr>
        <w:t>d</w:t>
      </w:r>
      <w:r>
        <w:t>)</w:t>
      </w:r>
      <w:r>
        <w:rPr>
          <w:lang w:val="en-US"/>
        </w:rPr>
        <w:t>  </w:t>
      </w:r>
      <w:r>
        <w:t>положение, несовместимое с достоинством человека, в которое ставится какое</w:t>
      </w:r>
      <w:r>
        <w:noBreakHyphen/>
        <w:t>либо лицо или группа лиц".</w:t>
      </w:r>
    </w:p>
    <w:p w:rsidR="00000000" w:rsidRDefault="00000000"/>
    <w:p w:rsidR="00000000" w:rsidRDefault="00000000">
      <w:pPr>
        <w:rPr>
          <w:b/>
          <w:bCs/>
        </w:rPr>
      </w:pPr>
      <w:r>
        <w:rPr>
          <w:b/>
          <w:bCs/>
        </w:rPr>
        <w:t>Косвенная дискриминация</w:t>
      </w:r>
    </w:p>
    <w:p w:rsidR="00000000" w:rsidRDefault="00000000">
      <w:pPr>
        <w:rPr>
          <w:b/>
          <w:bCs/>
        </w:rPr>
      </w:pPr>
    </w:p>
    <w:p w:rsidR="00000000" w:rsidRDefault="00000000">
      <w:r>
        <w:t>293.</w:t>
      </w:r>
      <w:r>
        <w:tab/>
        <w:t>От прямой дискриминации, объектом или целью которой является непосредственная дискриминация, отличается косвенная дискриминация, следствием которой, независимо от причины, также является дискриминация.  Обратите внимание, что дискриминация может практиковаться как отдельными лицами, так и учреждениями - так называемая ведомственная дискриминация.  Со своей стороны, при традиционном подходе упор делается на обычность и непрерывность характера дискриминации.  К тому же при традиционном подходе отмечается тенденция к рассмотрению дискриминации как открытого и совершенно очевидного явления, тогда как при ведомственном подходе дискриминация рассматривается как открытая или скрытая, очевидная или затушеванная.</w:t>
      </w:r>
    </w:p>
    <w:p w:rsidR="00000000" w:rsidRDefault="00000000"/>
    <w:p w:rsidR="00000000" w:rsidRDefault="00000000">
      <w:r>
        <w:t>294.</w:t>
      </w:r>
      <w:r>
        <w:tab/>
        <w:t>Таким образом, при проявлении в форме поведения, в форме действия дискриминация влечет за собой для того, кто допускает ее, гражданское, уголовное, административное и другие наказания в случае, если дискриминация исходит от конкретного лица или группы лиц.</w:t>
      </w:r>
    </w:p>
    <w:p w:rsidR="00000000" w:rsidRDefault="00000000"/>
    <w:p w:rsidR="00000000" w:rsidRDefault="00000000">
      <w:pPr>
        <w:rPr>
          <w:b/>
          <w:bCs/>
        </w:rPr>
      </w:pPr>
      <w:r>
        <w:rPr>
          <w:b/>
          <w:bCs/>
        </w:rPr>
        <w:t>Отягченная дискриминация, гендерный подход</w:t>
      </w:r>
    </w:p>
    <w:p w:rsidR="00000000" w:rsidRDefault="00000000">
      <w:pPr>
        <w:rPr>
          <w:b/>
          <w:bCs/>
        </w:rPr>
      </w:pPr>
    </w:p>
    <w:p w:rsidR="00000000" w:rsidRDefault="00000000">
      <w:r>
        <w:t>295.</w:t>
      </w:r>
      <w:r>
        <w:tab/>
        <w:t>Важно подчеркнуть, что женщины особенно страдают от предрассудков и проявлений дискриминации.  Поэтому следует ожидать, что женская часть дискриминируемых социальных групп при равных социально-культурных условиях будет испытывать на себе более серьезное давление, чем их мужская половина.  По сути дела, механизм стигматизации женщин воспроизводится внутри самой группы, подвергающейся дискриминации, что имеет свои культурные корни и что необходимо иметь в виду при проведении государственной политики борьбы с расизмом и дискриминацией.</w:t>
      </w:r>
    </w:p>
    <w:p w:rsidR="00000000" w:rsidRDefault="00000000"/>
    <w:p w:rsidR="00000000" w:rsidRDefault="00000000">
      <w:pPr>
        <w:rPr>
          <w:b/>
          <w:bCs/>
        </w:rPr>
      </w:pPr>
      <w:r>
        <w:rPr>
          <w:b/>
          <w:bCs/>
        </w:rPr>
        <w:t>Чернокожее население</w:t>
      </w:r>
    </w:p>
    <w:p w:rsidR="00000000" w:rsidRDefault="00000000">
      <w:pPr>
        <w:rPr>
          <w:b/>
          <w:bCs/>
        </w:rPr>
      </w:pPr>
    </w:p>
    <w:p w:rsidR="00000000" w:rsidRDefault="00000000">
      <w:r>
        <w:t>296.</w:t>
      </w:r>
      <w:r>
        <w:tab/>
        <w:t>Любую оценку положения афро-бразильцев необходимо начинать со следующего:  i)</w:t>
      </w:r>
      <w:r>
        <w:rPr>
          <w:lang w:val="en-US"/>
        </w:rPr>
        <w:t>  </w:t>
      </w:r>
      <w:r>
        <w:t xml:space="preserve">они составляют почти 45,3% бразильского населения, или около 70 млн. человек;  </w:t>
      </w:r>
      <w:r>
        <w:rPr>
          <w:lang w:val="en-US"/>
        </w:rPr>
        <w:t>ii</w:t>
      </w:r>
      <w:r>
        <w:t xml:space="preserve">)  основные формы неравенства между белым и чернокожим населением сохраняются (уровень рождаемости, ожидаемая продолжительность жизни, образование, профессиональная квалификация, жилищные условия и медицинское обслуживание, а также доступ к земле);  </w:t>
      </w:r>
      <w:r>
        <w:rPr>
          <w:lang w:val="en-US"/>
        </w:rPr>
        <w:t>iii</w:t>
      </w:r>
      <w:r>
        <w:t xml:space="preserve">)  недостаточность всеобъемлющих социальных программ, принимающих во внимание негативные последствия расизма и расовой дискриминации;  </w:t>
      </w:r>
      <w:r>
        <w:rPr>
          <w:lang w:val="en-US"/>
        </w:rPr>
        <w:t>iv</w:t>
      </w:r>
      <w:r>
        <w:t>)  особая острота положения в сохраняющихся общинах беглых рабов, чье социально-экономическое положение еще хуже, чем положение чернокожего населения в целом.</w:t>
      </w:r>
    </w:p>
    <w:p w:rsidR="00000000" w:rsidRDefault="00000000"/>
    <w:p w:rsidR="00000000" w:rsidRDefault="00000000">
      <w:r>
        <w:t>297.</w:t>
      </w:r>
      <w:r>
        <w:tab/>
        <w:t xml:space="preserve">В докладе перечисляются важные меры, принятые правительством для борьбы против расизма и дискриминации, в том числе:  </w:t>
      </w:r>
      <w:r>
        <w:rPr>
          <w:lang w:val="en-US"/>
        </w:rPr>
        <w:t>i</w:t>
      </w:r>
      <w:r>
        <w:t xml:space="preserve">)  обеспечение общественного признания расовой проблемы как препятствия на пути к демократической консолидации и экономическому развитию страны;  </w:t>
      </w:r>
      <w:r>
        <w:rPr>
          <w:lang w:val="en-US"/>
        </w:rPr>
        <w:t>ii</w:t>
      </w:r>
      <w:r>
        <w:t xml:space="preserve">)  официальное признание правительством Бразилии Зумби дум Пальмареса национальным героем;  </w:t>
      </w:r>
      <w:r>
        <w:rPr>
          <w:lang w:val="en-US"/>
        </w:rPr>
        <w:t>iii</w:t>
      </w:r>
      <w:r>
        <w:t xml:space="preserve">)  создание Межведомственной рабочей группы по повышению статуса чернокожего населения (1995 год) под руководством Национального секретариата по правам человека при министерстве юстиции;  </w:t>
      </w:r>
      <w:r>
        <w:rPr>
          <w:lang w:val="en-US"/>
        </w:rPr>
        <w:t>iv</w:t>
      </w:r>
      <w:r>
        <w:t xml:space="preserve">)  включение специальных положений в интересах афро-бразильского населения в Национальную программу по правам человека;  </w:t>
      </w:r>
      <w:r>
        <w:rPr>
          <w:lang w:val="en-US"/>
        </w:rPr>
        <w:t>v</w:t>
      </w:r>
      <w:r>
        <w:t xml:space="preserve">)  пересмотр содержания учебников с целью недопущения распространения стереотипов и включения вопроса о разнообразии в учебные программы по всей стране;  </w:t>
      </w:r>
      <w:r>
        <w:rPr>
          <w:lang w:val="en-US"/>
        </w:rPr>
        <w:t>vi</w:t>
      </w:r>
      <w:r>
        <w:t>)  публикация третьего издания книги "Преодоление расизма в школах (</w:t>
      </w:r>
      <w:r>
        <w:rPr>
          <w:lang w:val="en-US"/>
        </w:rPr>
        <w:t>Superando</w:t>
      </w:r>
      <w:r>
        <w:t xml:space="preserve"> </w:t>
      </w:r>
      <w:r>
        <w:rPr>
          <w:lang w:val="en-US"/>
        </w:rPr>
        <w:t>o</w:t>
      </w:r>
      <w:r>
        <w:t xml:space="preserve"> </w:t>
      </w:r>
      <w:r>
        <w:rPr>
          <w:lang w:val="en-US"/>
        </w:rPr>
        <w:t>Racismo</w:t>
      </w:r>
      <w:r>
        <w:t xml:space="preserve"> </w:t>
      </w:r>
      <w:r>
        <w:rPr>
          <w:lang w:val="en-US"/>
        </w:rPr>
        <w:t>nas</w:t>
      </w:r>
      <w:r>
        <w:t xml:space="preserve"> </w:t>
      </w:r>
      <w:r>
        <w:rPr>
          <w:lang w:val="en-US"/>
        </w:rPr>
        <w:t>Escolas</w:t>
      </w:r>
      <w:r>
        <w:t xml:space="preserve">)" с предисловием президента Республики;  </w:t>
      </w:r>
      <w:r>
        <w:rPr>
          <w:lang w:val="en-US"/>
        </w:rPr>
        <w:t>vii</w:t>
      </w:r>
      <w:r>
        <w:t xml:space="preserve">)  утверждение министерством образования и Национальным советом по образованию "национальных критериев составления учебных программ", ориентированных на все уровни и программы образования, которые включают так называемые пересекающиеся темы и вопросы культурного плюрализма;  </w:t>
      </w:r>
      <w:r>
        <w:rPr>
          <w:lang w:val="en-US"/>
        </w:rPr>
        <w:t>viii</w:t>
      </w:r>
      <w:r>
        <w:t xml:space="preserve">)  взятое министерством образования обязательство гарантировать представленность чернокожего населения и коренных народов в Национальном совете по образованию;  </w:t>
      </w:r>
      <w:r>
        <w:rPr>
          <w:lang w:val="en-US"/>
        </w:rPr>
        <w:t>ix</w:t>
      </w:r>
      <w:r>
        <w:t xml:space="preserve">)  поддержка образовательных проектов в сохраняющихся общинах беглых рабов с ориентацией выпускников университетов на работу, приносящую пользу находящимся в неблагоприятном положении общинам, главным образом на осуществление общинных мероприятий, призванных повысить качество жизни, и на комплексное и устойчивое местное развитие сохраняющихся общин беглых рабов (Программа университетской солидарности и Культурный фонд Пальмарес);  х)  утверждение Институтом прикладных экономических исследований (ИПЕА) при министерстве планирования, бюджета и администрации официальной категории исследований, посвященных влиянию расизма на социальные показатели Бразилии (доступ к образованию, здравоохранению, жилью и рынку труда) и разработка государственной политики борьбы против расизма;  </w:t>
      </w:r>
      <w:r>
        <w:rPr>
          <w:lang w:val="en-US"/>
        </w:rPr>
        <w:t>xi</w:t>
      </w:r>
      <w:r>
        <w:t xml:space="preserve">)  принятие статьи 68 Закона о временных конституционных положениях Федеральной конституции, закрепляющей право сохраняющихся общин беглых рабов, все еще занимающих свои земли, на признание их постоянной собственности на эти земли;  </w:t>
      </w:r>
      <w:r>
        <w:rPr>
          <w:lang w:val="en-US"/>
        </w:rPr>
        <w:t>xii</w:t>
      </w:r>
      <w:r>
        <w:t xml:space="preserve">)  начало федеральным правительством процесса предоставления прав на постоянную собственность членам сохраняющихся общин беглых рабов;  </w:t>
      </w:r>
      <w:r>
        <w:rPr>
          <w:lang w:val="en-US"/>
        </w:rPr>
        <w:t>xiii</w:t>
      </w:r>
      <w:r>
        <w:t xml:space="preserve">)  закрепленное Федеральной конституцией право на предоставление прав постоянной собственности членам сохраняющихся общин беглых рабов, все еще занимающих свои земли, во исполнение чего государство обязано выдать им документы о праве на постоянную собственность;  </w:t>
      </w:r>
      <w:r>
        <w:rPr>
          <w:lang w:val="en-US"/>
        </w:rPr>
        <w:t>xiv</w:t>
      </w:r>
      <w:r>
        <w:t xml:space="preserve">)  подготовка программы технического сотрудничества между министерством труда и Международной организацией труда с целью осуществления Конвенции МОТ № 111;  </w:t>
      </w:r>
      <w:r>
        <w:rPr>
          <w:lang w:val="en-US"/>
        </w:rPr>
        <w:t>xv</w:t>
      </w:r>
      <w:r>
        <w:t>)  создание в рамках министерства труда Рабочей группы по ликвидации дискриминации в области труда и занятий (</w:t>
      </w:r>
      <w:r>
        <w:rPr>
          <w:lang w:val="en-US"/>
        </w:rPr>
        <w:t>Grupo</w:t>
      </w:r>
      <w:r>
        <w:t xml:space="preserve"> </w:t>
      </w:r>
      <w:r>
        <w:rPr>
          <w:lang w:val="en-US"/>
        </w:rPr>
        <w:t>de</w:t>
      </w:r>
      <w:r>
        <w:t xml:space="preserve"> </w:t>
      </w:r>
      <w:r>
        <w:rPr>
          <w:lang w:val="en-US"/>
        </w:rPr>
        <w:t>Trabalho</w:t>
      </w:r>
      <w:r>
        <w:t xml:space="preserve"> </w:t>
      </w:r>
      <w:r>
        <w:rPr>
          <w:lang w:val="en-US"/>
        </w:rPr>
        <w:t>para</w:t>
      </w:r>
      <w:r>
        <w:t xml:space="preserve"> </w:t>
      </w:r>
      <w:r>
        <w:rPr>
          <w:lang w:val="en-US"/>
        </w:rPr>
        <w:t>a</w:t>
      </w:r>
      <w:r>
        <w:t xml:space="preserve"> </w:t>
      </w:r>
      <w:r>
        <w:rPr>
          <w:lang w:val="en-US"/>
        </w:rPr>
        <w:t>Elimina</w:t>
      </w:r>
      <w:r>
        <w:t>çã</w:t>
      </w:r>
      <w:r>
        <w:rPr>
          <w:lang w:val="en-US"/>
        </w:rPr>
        <w:t>o</w:t>
      </w:r>
      <w:r>
        <w:t xml:space="preserve"> </w:t>
      </w:r>
      <w:r>
        <w:rPr>
          <w:lang w:val="en-US"/>
        </w:rPr>
        <w:t>da</w:t>
      </w:r>
      <w:r>
        <w:t xml:space="preserve"> </w:t>
      </w:r>
      <w:r>
        <w:rPr>
          <w:lang w:val="en-US"/>
        </w:rPr>
        <w:t>Discrimina</w:t>
      </w:r>
      <w:r>
        <w:t>çã</w:t>
      </w:r>
      <w:r>
        <w:rPr>
          <w:lang w:val="en-US"/>
        </w:rPr>
        <w:t>o</w:t>
      </w:r>
      <w:r>
        <w:t xml:space="preserve"> </w:t>
      </w:r>
      <w:r>
        <w:rPr>
          <w:lang w:val="en-US"/>
        </w:rPr>
        <w:t>no</w:t>
      </w:r>
      <w:r>
        <w:t xml:space="preserve"> </w:t>
      </w:r>
      <w:r>
        <w:rPr>
          <w:lang w:val="en-US"/>
        </w:rPr>
        <w:t>Emprego</w:t>
      </w:r>
      <w:r>
        <w:t xml:space="preserve"> </w:t>
      </w:r>
      <w:r>
        <w:rPr>
          <w:lang w:val="en-US"/>
        </w:rPr>
        <w:t>e</w:t>
      </w:r>
      <w:r>
        <w:t xml:space="preserve"> </w:t>
      </w:r>
      <w:r>
        <w:rPr>
          <w:lang w:val="en-US"/>
        </w:rPr>
        <w:t>na</w:t>
      </w:r>
      <w:r>
        <w:t xml:space="preserve"> </w:t>
      </w:r>
      <w:r>
        <w:rPr>
          <w:lang w:val="en-US"/>
        </w:rPr>
        <w:t>Ocupa</w:t>
      </w:r>
      <w:r>
        <w:t>çã</w:t>
      </w:r>
      <w:r>
        <w:rPr>
          <w:lang w:val="en-US"/>
        </w:rPr>
        <w:t>o</w:t>
      </w:r>
      <w:r>
        <w:t xml:space="preserve">, </w:t>
      </w:r>
      <w:r>
        <w:rPr>
          <w:lang w:val="en-US"/>
        </w:rPr>
        <w:t>GEDEO</w:t>
      </w:r>
      <w:r>
        <w:t xml:space="preserve">);  </w:t>
      </w:r>
      <w:r>
        <w:rPr>
          <w:lang w:val="en-US"/>
        </w:rPr>
        <w:t>xvi</w:t>
      </w:r>
      <w:r>
        <w:t>)  определение афро-бразильского населения как одной из основных групп, на которые ориентирован Национальный план повышения квалификации трудящихся (</w:t>
      </w:r>
      <w:r>
        <w:rPr>
          <w:lang w:val="en-US"/>
        </w:rPr>
        <w:t>Plano</w:t>
      </w:r>
      <w:r>
        <w:t xml:space="preserve"> </w:t>
      </w:r>
      <w:r>
        <w:rPr>
          <w:lang w:val="en-US"/>
        </w:rPr>
        <w:t>Nacional</w:t>
      </w:r>
      <w:r>
        <w:t xml:space="preserve"> </w:t>
      </w:r>
      <w:r>
        <w:rPr>
          <w:lang w:val="en-US"/>
        </w:rPr>
        <w:t>de</w:t>
      </w:r>
      <w:r>
        <w:t xml:space="preserve"> </w:t>
      </w:r>
      <w:r>
        <w:rPr>
          <w:lang w:val="en-US"/>
        </w:rPr>
        <w:t>Qualifica</w:t>
      </w:r>
      <w:r>
        <w:t>çã</w:t>
      </w:r>
      <w:r>
        <w:rPr>
          <w:lang w:val="en-US"/>
        </w:rPr>
        <w:t>o</w:t>
      </w:r>
      <w:r>
        <w:t xml:space="preserve"> </w:t>
      </w:r>
      <w:r>
        <w:rPr>
          <w:lang w:val="en-US"/>
        </w:rPr>
        <w:t>do</w:t>
      </w:r>
      <w:r>
        <w:t xml:space="preserve"> </w:t>
      </w:r>
      <w:r>
        <w:rPr>
          <w:lang w:val="en-US"/>
        </w:rPr>
        <w:t>Trabalhador</w:t>
      </w:r>
      <w:r>
        <w:t xml:space="preserve">, ПЛАНФОР);  </w:t>
      </w:r>
      <w:r>
        <w:rPr>
          <w:lang w:val="en-US"/>
        </w:rPr>
        <w:t>xvii</w:t>
      </w:r>
      <w:r>
        <w:t>)  осуществление в рамках региональных трудовых округов 24 штатов Федерации плана министерства труда "Бразилия </w:t>
      </w:r>
      <w:r>
        <w:noBreakHyphen/>
        <w:t xml:space="preserve"> пол и раса" по созданию центров борьбы с дискриминацией и обеспечения равных возможностей;  </w:t>
      </w:r>
      <w:r>
        <w:rPr>
          <w:lang w:val="en-US"/>
        </w:rPr>
        <w:t>xviii</w:t>
      </w:r>
      <w:r>
        <w:t>)  введение требования о том, чтобы раса/цвет кожи отражались в информации и данных ежегодного отчета об информации социального характера (</w:t>
      </w:r>
      <w:r>
        <w:rPr>
          <w:lang w:val="en-US"/>
        </w:rPr>
        <w:t>Relat</w:t>
      </w:r>
      <w:r>
        <w:t>ó</w:t>
      </w:r>
      <w:r>
        <w:rPr>
          <w:lang w:val="en-US"/>
        </w:rPr>
        <w:t>rio</w:t>
      </w:r>
      <w:r>
        <w:t xml:space="preserve"> </w:t>
      </w:r>
      <w:r>
        <w:rPr>
          <w:lang w:val="en-US"/>
        </w:rPr>
        <w:t>Annual</w:t>
      </w:r>
      <w:r>
        <w:t xml:space="preserve"> </w:t>
      </w:r>
      <w:r>
        <w:rPr>
          <w:lang w:val="en-US"/>
        </w:rPr>
        <w:t>de</w:t>
      </w:r>
      <w:r>
        <w:t xml:space="preserve"> </w:t>
      </w:r>
      <w:r>
        <w:rPr>
          <w:lang w:val="en-US"/>
        </w:rPr>
        <w:t>Indicadores</w:t>
      </w:r>
      <w:r>
        <w:t xml:space="preserve"> </w:t>
      </w:r>
      <w:r>
        <w:rPr>
          <w:lang w:val="en-US"/>
        </w:rPr>
        <w:t>Sociais</w:t>
      </w:r>
      <w:r>
        <w:t xml:space="preserve">, </w:t>
      </w:r>
      <w:r>
        <w:rPr>
          <w:lang w:val="en-US"/>
        </w:rPr>
        <w:t>RAIS</w:t>
      </w:r>
      <w:r>
        <w:t>/</w:t>
      </w:r>
      <w:r>
        <w:rPr>
          <w:lang w:val="en-US"/>
        </w:rPr>
        <w:t>CAGED</w:t>
      </w:r>
      <w:r>
        <w:t xml:space="preserve">) и в формах заявлений ПЛАНФОР для лиц, имеющих право на получение льгот, которые составляются под руководством министерства труда;  </w:t>
      </w:r>
      <w:r>
        <w:rPr>
          <w:lang w:val="en-US"/>
        </w:rPr>
        <w:t>xix</w:t>
      </w:r>
      <w:r>
        <w:t>)  создание ведомственных механизмов по удовлетворению и подготовке требований в интересах афро-бразильского населения (советы штатов и муниципалитетов, государственные секретариаты и канцелярии заместителей секретарей, полицейские участки, оказывающие помощь жертвам расовой дискриминации);  хх)  осуществление Программы борьбы с серповидноклеточной анемией (</w:t>
      </w:r>
      <w:r>
        <w:rPr>
          <w:lang w:val="en-US"/>
        </w:rPr>
        <w:t>Programa</w:t>
      </w:r>
      <w:r>
        <w:t xml:space="preserve"> </w:t>
      </w:r>
      <w:r>
        <w:rPr>
          <w:lang w:val="en-US"/>
        </w:rPr>
        <w:t>de</w:t>
      </w:r>
      <w:r>
        <w:t xml:space="preserve"> </w:t>
      </w:r>
      <w:r>
        <w:rPr>
          <w:lang w:val="en-US"/>
        </w:rPr>
        <w:t>Anemia</w:t>
      </w:r>
      <w:r>
        <w:t xml:space="preserve"> </w:t>
      </w:r>
      <w:r>
        <w:rPr>
          <w:lang w:val="en-US"/>
        </w:rPr>
        <w:t>Falciforme</w:t>
      </w:r>
      <w:r>
        <w:t xml:space="preserve">, </w:t>
      </w:r>
      <w:r>
        <w:rPr>
          <w:lang w:val="en-US"/>
        </w:rPr>
        <w:t>PAF</w:t>
      </w:r>
      <w:r>
        <w:t>) в рамках министерства здравоохранения.  Программа борьбы с серповидноклеточной анемией предусматривает проведение мероприятий, включающих диагностику всех детей, рождающихся в родильных домах (обследование ступней);  активное выявление лиц, страдающих этим заболеванием;  содействие включению в программу людей с этим диагнозом;  расширение доступа в диагностические центры и повышение качества лечения;  поощрение и поддержка ассоциаций по борьбе с серповидноклеточной анемией;  подготовка кадров;  осуществление учебных инициатив и пропаганда вопросов, связанных с биоэтикой - проведение анализов по предварительному согласию;  соблюдение права на конфиденциальность генетической информации и недопущение дискриминации и создание Комиссии по биоэтике;  ххi)  разработка плана реорганизации медицинской помощи в случаях гипертонии среди чернокожего населения;  ххii)  введение требования об указании расы/цвета кожи в официальных документах общенационального образца, таких, как свидетельство о рождении и смерти;  ххiii)  расширение участия выдающихся афро-бразильских деятелей в государственных кампаниях по поддержанию связей с общественностью и осуществление основных руководящих принципов, запрещающих дискриминацию в сфере связей с общественностью и в области рекламных услуг, предоставляемых на договорной основе агентствами, организациями и компаниями, контролируемыми федеральным правительством;  ххiv)  производство короткометражных документальных фильмов о жизни и деятельности выдающихся деятелей бразильской истории для показа по государственным телевизионным каналам;  ххv)  участие в подготовке бразильско-южноафриканского семинара по проблемам многорасовой этики и эстетики с участием выдающихся специалистов всех средств массовой информации (печати, радио, телевидения, фотографии и кинематографа);  ххvi)  ратификация Международного пакта о гражданских и политических правах, Международного пакта об экономических, социальных и культурных правах и Американской конвенции о правах человека и против пыток и других жестоких, бесчеловечных или унижающих достоинство видов обращения и наказания;  ххvii)  приглашение в страну Специального докладчика по вопросу о пытках и других жестоких, бесчеловечных или унижающих достоинство видов обращения и наказания Комиссии по правам человека;  ххviii)  разработка Национальной программы защиты жертв и свидетелей;  ххix)  объявление афро-бразильских молельных домов Каза Банка (Салвадор) и Иле-Аксе-Опо-Афония (Салвадор) национальными историческими памятниками.</w:t>
      </w:r>
    </w:p>
    <w:p w:rsidR="00000000" w:rsidRDefault="00000000"/>
    <w:p w:rsidR="00000000" w:rsidRDefault="00000000">
      <w:r>
        <w:t>298.</w:t>
      </w:r>
      <w:r>
        <w:tab/>
        <w:t>Комитет подготовил для утверждения правительством ряд предложений по группе мероприятий, которые потребуют времени для доработки и осуществления.  К их числу относятся:</w:t>
      </w:r>
    </w:p>
    <w:p w:rsidR="00000000" w:rsidRDefault="00000000"/>
    <w:p w:rsidR="00000000" w:rsidRDefault="00000000">
      <w:pPr>
        <w:tabs>
          <w:tab w:val="clear" w:pos="567"/>
        </w:tabs>
        <w:ind w:left="1134" w:hanging="567"/>
      </w:pPr>
      <w:r>
        <w:t>-</w:t>
      </w:r>
      <w:r>
        <w:tab/>
        <w:t>признание бразильским государством своей исторической ответственности за рабство и экономическую, социальную и политическую маргинализацию выходцев из Африки;</w:t>
      </w:r>
    </w:p>
    <w:p w:rsidR="00000000" w:rsidRDefault="00000000">
      <w:pPr>
        <w:tabs>
          <w:tab w:val="clear" w:pos="567"/>
        </w:tabs>
        <w:ind w:left="1134" w:hanging="567"/>
      </w:pPr>
    </w:p>
    <w:p w:rsidR="00000000" w:rsidRDefault="00000000">
      <w:pPr>
        <w:tabs>
          <w:tab w:val="clear" w:pos="567"/>
        </w:tabs>
        <w:ind w:left="1134" w:hanging="567"/>
      </w:pPr>
      <w:r>
        <w:t>-</w:t>
      </w:r>
      <w:r>
        <w:tab/>
        <w:t>признание бразильским государством того факта, что порабощение африканцев и индейцев, трансатлантическая торговля рабами-африканцами и экономическая, социальная и политическая маргинализация их потомков были грубейшими нарушениями основных прав человека;</w:t>
      </w:r>
    </w:p>
    <w:p w:rsidR="00000000" w:rsidRDefault="00000000">
      <w:pPr>
        <w:tabs>
          <w:tab w:val="clear" w:pos="567"/>
        </w:tabs>
        <w:ind w:left="1134" w:hanging="567"/>
      </w:pPr>
    </w:p>
    <w:p w:rsidR="00000000" w:rsidRDefault="00000000">
      <w:pPr>
        <w:tabs>
          <w:tab w:val="clear" w:pos="567"/>
        </w:tabs>
        <w:ind w:left="1134" w:hanging="567"/>
      </w:pPr>
      <w:r>
        <w:t>-</w:t>
      </w:r>
      <w:r>
        <w:tab/>
        <w:t>принятие мер для предоставления компенсации жертвам расизма, расовой дискриминации и связанной с ними нетерпимости путем проведения целевой государственной политики, направленной на преодоление неравенства.  Эти компенсационные меры, основанные на правилах, регулирующих позитивную дискриминацию, согласно Конституции 1988 года, должны включать законодательные и административные меры, призванные гарантировать осуществление прав на расовое равенство, в соответствии с Конституцией 1988 года при уделении особого внимания образованию, занятости, предоставлению прав на землю и разработку сельскохозяйственной политики и политики развития для сохранившихся общин беглых рабов;</w:t>
      </w:r>
    </w:p>
    <w:p w:rsidR="00000000" w:rsidRDefault="00000000">
      <w:pPr>
        <w:tabs>
          <w:tab w:val="clear" w:pos="567"/>
        </w:tabs>
        <w:ind w:left="1134" w:hanging="567"/>
      </w:pPr>
    </w:p>
    <w:p w:rsidR="00000000" w:rsidRDefault="00000000">
      <w:pPr>
        <w:tabs>
          <w:tab w:val="clear" w:pos="567"/>
        </w:tabs>
        <w:ind w:left="1134" w:hanging="567"/>
      </w:pPr>
      <w:r>
        <w:t>-</w:t>
      </w:r>
      <w:r>
        <w:tab/>
        <w:t>осуществление мер, предусмотренных Международной конвенцией о ликвидации всех форм расовой дискриминации, обнародованной в качестве Указа № 65810 от 8 декабря 1969 года;  Конвенции МОТ № 111 о дискриминации в области труда и занятий, обнародованной в качестве Указа № 62510 от 19 января 1968 года;  и Конвенции о борьбе с дискриминацией в области образования, обнародованной в форме Указа № 63223 от 6 сентября 1968 года;</w:t>
      </w:r>
    </w:p>
    <w:p w:rsidR="00000000" w:rsidRDefault="00000000">
      <w:pPr>
        <w:tabs>
          <w:tab w:val="clear" w:pos="567"/>
        </w:tabs>
        <w:ind w:left="1134" w:hanging="567"/>
      </w:pPr>
    </w:p>
    <w:p w:rsidR="00000000" w:rsidRDefault="00000000">
      <w:pPr>
        <w:tabs>
          <w:tab w:val="clear" w:pos="567"/>
        </w:tabs>
        <w:ind w:left="1134" w:hanging="567"/>
      </w:pPr>
      <w:r>
        <w:t>-</w:t>
      </w:r>
      <w:r>
        <w:tab/>
        <w:t xml:space="preserve">эффективное осуществление национальной программы по правам человека в том, что касается решения расового вопроса;  </w:t>
      </w:r>
    </w:p>
    <w:p w:rsidR="00000000" w:rsidRDefault="00000000">
      <w:pPr>
        <w:tabs>
          <w:tab w:val="clear" w:pos="567"/>
        </w:tabs>
        <w:ind w:left="1134" w:hanging="567"/>
      </w:pPr>
    </w:p>
    <w:p w:rsidR="00000000" w:rsidRDefault="00000000">
      <w:pPr>
        <w:tabs>
          <w:tab w:val="clear" w:pos="567"/>
        </w:tabs>
        <w:ind w:left="1134" w:hanging="567"/>
      </w:pPr>
      <w:r>
        <w:t>-</w:t>
      </w:r>
      <w:r>
        <w:tab/>
        <w:t>срочное урегулирование вопроса о статье 68 Закона о временных конституционных положениях Федеральной конституции, содержащей положения о праве членов сохраняющихся общин беглых рабов на признание их постоянной собственности на земли;</w:t>
      </w:r>
    </w:p>
    <w:p w:rsidR="00000000" w:rsidRDefault="00000000">
      <w:pPr>
        <w:tabs>
          <w:tab w:val="clear" w:pos="567"/>
        </w:tabs>
        <w:ind w:left="1134" w:hanging="567"/>
      </w:pPr>
    </w:p>
    <w:p w:rsidR="00000000" w:rsidRDefault="00000000">
      <w:pPr>
        <w:tabs>
          <w:tab w:val="clear" w:pos="567"/>
        </w:tabs>
        <w:ind w:left="1134" w:hanging="567"/>
      </w:pPr>
      <w:r>
        <w:t>-</w:t>
      </w:r>
      <w:r>
        <w:tab/>
        <w:t>распространение конституционных прав на членов сохраняющихся общин рабов;</w:t>
      </w:r>
    </w:p>
    <w:p w:rsidR="00000000" w:rsidRDefault="00000000"/>
    <w:p w:rsidR="00000000" w:rsidRDefault="00000000">
      <w:pPr>
        <w:ind w:left="1134" w:hanging="1134"/>
      </w:pPr>
      <w:r>
        <w:tab/>
        <w:t>-</w:t>
      </w:r>
      <w:r>
        <w:tab/>
        <w:t>регистрация и выявление совместно с Национальным координационным комитетом общин беглых рабов сохранившихся общин в Бразилии;</w:t>
      </w:r>
    </w:p>
    <w:p w:rsidR="00000000" w:rsidRDefault="00000000">
      <w:pPr>
        <w:ind w:left="567" w:hanging="567"/>
      </w:pPr>
    </w:p>
    <w:p w:rsidR="00000000" w:rsidRDefault="00000000">
      <w:pPr>
        <w:ind w:left="1134" w:hanging="1134"/>
      </w:pPr>
      <w:r>
        <w:tab/>
        <w:t>-</w:t>
      </w:r>
      <w:r>
        <w:tab/>
        <w:t>выдворение всех незаконных поселенцев и лиц, незаконно захвативших земли общин беглых рабов, которые имеют земельные титулы;</w:t>
      </w:r>
    </w:p>
    <w:p w:rsidR="00000000" w:rsidRDefault="00000000">
      <w:pPr>
        <w:ind w:left="567" w:hanging="567"/>
      </w:pPr>
    </w:p>
    <w:p w:rsidR="00000000" w:rsidRDefault="00000000">
      <w:pPr>
        <w:ind w:left="1134" w:hanging="1134"/>
      </w:pPr>
      <w:r>
        <w:tab/>
        <w:t>-</w:t>
      </w:r>
      <w:r>
        <w:tab/>
        <w:t>создание механизмов, включающих стимулы, предусмотренные государственными ведомствами для расширения политических полномочий женщин (назначение на руководящие должности местного уровня), с тем чтобы подготовить их к заполнению квот, выделяемых женщинам-кандидатам на установленных законом выборных должностях;</w:t>
      </w:r>
    </w:p>
    <w:p w:rsidR="00000000" w:rsidRDefault="00000000">
      <w:pPr>
        <w:ind w:left="567" w:hanging="567"/>
      </w:pPr>
    </w:p>
    <w:p w:rsidR="00000000" w:rsidRDefault="00000000">
      <w:pPr>
        <w:ind w:left="1134" w:hanging="1134"/>
      </w:pPr>
      <w:r>
        <w:tab/>
        <w:t>-</w:t>
      </w:r>
      <w:r>
        <w:tab/>
        <w:t>создание инфраструктуры для сохраняющихся общин беглых рабов, которая обеспечивала бы им необходимые условия жизни, не вынуждая их покидать свои земли, и тем самым препятствовала бы дальнейшему уходу населения из сельских районов, является первоочередной задачей государственных программ на уровне муниципалитетов, штатов и федерации;</w:t>
      </w:r>
    </w:p>
    <w:p w:rsidR="00000000" w:rsidRDefault="00000000">
      <w:pPr>
        <w:ind w:left="567" w:hanging="567"/>
      </w:pPr>
    </w:p>
    <w:p w:rsidR="00000000" w:rsidRDefault="00000000">
      <w:pPr>
        <w:ind w:left="1134" w:hanging="1134"/>
      </w:pPr>
      <w:r>
        <w:tab/>
        <w:t>-</w:t>
      </w:r>
      <w:r>
        <w:tab/>
        <w:t>гарантированное осуществление в общинах чернокожих программ ликвидации неграмотности на уровне начальной и средней школ и школ для взрослых путем проведения конкретных курсов, ориентированных на подготовку чернокожей молодежи к поступлению в государственные университеты, а также путем выплаты зарплаты непрофессиональным преподавателям по общенациональным базовым ставкам;</w:t>
      </w:r>
    </w:p>
    <w:p w:rsidR="00000000" w:rsidRDefault="00000000">
      <w:pPr>
        <w:ind w:left="567" w:hanging="567"/>
      </w:pPr>
    </w:p>
    <w:p w:rsidR="00000000" w:rsidRDefault="00000000">
      <w:pPr>
        <w:ind w:left="1134" w:hanging="1134"/>
      </w:pPr>
      <w:r>
        <w:tab/>
        <w:t>-</w:t>
      </w:r>
      <w:r>
        <w:tab/>
        <w:t>создание в рамках Института аграрной реформы департамента, отвечающего за выдачу земельных титулов общинам беглых рабов и поддержку ассоциаций мелких хозяйств чернокожих фермеров - специальные проекты по развитию общин беглых рабов;</w:t>
      </w:r>
    </w:p>
    <w:p w:rsidR="00000000" w:rsidRDefault="00000000">
      <w:pPr>
        <w:ind w:left="567" w:hanging="567"/>
      </w:pPr>
    </w:p>
    <w:p w:rsidR="00000000" w:rsidRDefault="00000000">
      <w:pPr>
        <w:ind w:left="1134" w:hanging="1134"/>
      </w:pPr>
      <w:r>
        <w:tab/>
        <w:t>-</w:t>
      </w:r>
      <w:r>
        <w:tab/>
        <w:t>создание фонда социальной компенсации под управлением правительства и гражданского общества для финансирования профильных программ, в том числе в области образования;</w:t>
      </w:r>
    </w:p>
    <w:p w:rsidR="00000000" w:rsidRDefault="00000000">
      <w:pPr>
        <w:ind w:left="567" w:hanging="567"/>
      </w:pPr>
    </w:p>
    <w:p w:rsidR="00000000" w:rsidRDefault="00000000">
      <w:pPr>
        <w:ind w:left="1134" w:hanging="1134"/>
      </w:pPr>
      <w:r>
        <w:tab/>
        <w:t>-</w:t>
      </w:r>
      <w:r>
        <w:tab/>
        <w:t>соблюдение и поощрение прав, провозглашенных в Декларации о ликвидации всех форм нетерпимости дискриминации на основе религии или убеждений, принятой Генеральной Ассамблеей 25 ноября 1981 года в ее резолюции 36/55;</w:t>
      </w:r>
    </w:p>
    <w:p w:rsidR="00000000" w:rsidRDefault="00000000">
      <w:pPr>
        <w:ind w:left="567" w:hanging="567"/>
      </w:pPr>
    </w:p>
    <w:p w:rsidR="00000000" w:rsidRDefault="00000000">
      <w:pPr>
        <w:ind w:left="1134" w:hanging="1134"/>
      </w:pPr>
      <w:r>
        <w:tab/>
        <w:t>-</w:t>
      </w:r>
      <w:r>
        <w:tab/>
        <w:t>пересмотр государственной политики с целью обеспечения эффективности прав, закрепленных в международных договорах по борьбе с расизмом, ратифицированных Бразилией, и с целью удовлетворения особых потребностей жертв дискриминации по половому/гендерному признаку;</w:t>
      </w:r>
    </w:p>
    <w:p w:rsidR="00000000" w:rsidRDefault="00000000">
      <w:pPr>
        <w:ind w:left="567" w:hanging="567"/>
      </w:pPr>
    </w:p>
    <w:p w:rsidR="00000000" w:rsidRDefault="00000000">
      <w:pPr>
        <w:ind w:left="1134" w:hanging="1134"/>
      </w:pPr>
      <w:r>
        <w:tab/>
        <w:t>-</w:t>
      </w:r>
      <w:r>
        <w:tab/>
        <w:t>пересмотр статьи 61 бразильского Уголовного кодекса, квалифицирующей расизм, расовую дискриминацию, ксенофобию и связанные с ними формы нетерпимости как отягчающее обстоятельство всех преступлений, в которых выявляется подобная мотивация;</w:t>
      </w:r>
    </w:p>
    <w:p w:rsidR="00000000" w:rsidRDefault="00000000">
      <w:pPr>
        <w:ind w:left="567" w:hanging="567"/>
      </w:pPr>
    </w:p>
    <w:p w:rsidR="00000000" w:rsidRDefault="00000000">
      <w:pPr>
        <w:ind w:left="1134" w:hanging="1134"/>
      </w:pPr>
      <w:r>
        <w:tab/>
        <w:t>-</w:t>
      </w:r>
      <w:r>
        <w:tab/>
        <w:t>создание форума выходцев из Африки и коренного населения, позволяющего им совместно разрабатывать конкретные программы социальной интеграции;</w:t>
      </w:r>
    </w:p>
    <w:p w:rsidR="00000000" w:rsidRDefault="00000000">
      <w:pPr>
        <w:ind w:left="567" w:hanging="567"/>
      </w:pPr>
    </w:p>
    <w:p w:rsidR="00000000" w:rsidRDefault="00000000">
      <w:pPr>
        <w:ind w:left="1134" w:hanging="1134"/>
      </w:pPr>
      <w:r>
        <w:tab/>
        <w:t>-</w:t>
      </w:r>
      <w:r>
        <w:tab/>
        <w:t>установление контактов с представителями профессиональных ассоциаций и сотрудниками по связям с общественностью с целью распространения информации о необходимости повышения роли выходцев из Африки в рекламных кампаниях, что соответствует критерию этническо-расового разнообразия бразильского общества;</w:t>
      </w:r>
    </w:p>
    <w:p w:rsidR="00000000" w:rsidRDefault="00000000">
      <w:pPr>
        <w:ind w:left="567" w:hanging="567"/>
      </w:pPr>
    </w:p>
    <w:p w:rsidR="00000000" w:rsidRDefault="00000000">
      <w:pPr>
        <w:ind w:left="1134" w:hanging="1134"/>
      </w:pPr>
      <w:r>
        <w:tab/>
        <w:t>-</w:t>
      </w:r>
      <w:r>
        <w:tab/>
        <w:t>предлагаемая поправка к статье 45 Закона о процедуре открытых конкурсных торгов, предусматривающая, что в случаях, когда все процедуры торгов исчерпаны, а кандидаты по</w:t>
      </w:r>
      <w:r>
        <w:noBreakHyphen/>
        <w:t>прежнему имеют равные шансы, критерий для выбора, которым в настоящее время является жребий, должен быть заменен критерием, согласно которому победителем объявляется участник конкурса, имеющий в своей кадровой структуре наибольшее число чернокожих, гомосексуалистов и женщин;</w:t>
      </w:r>
    </w:p>
    <w:p w:rsidR="00000000" w:rsidRDefault="00000000">
      <w:pPr>
        <w:ind w:left="567" w:hanging="567"/>
      </w:pPr>
    </w:p>
    <w:p w:rsidR="00000000" w:rsidRDefault="00000000">
      <w:pPr>
        <w:ind w:left="1134" w:hanging="1134"/>
      </w:pPr>
      <w:r>
        <w:tab/>
        <w:t>-</w:t>
      </w:r>
      <w:r>
        <w:tab/>
        <w:t>пересмотр круга полномочий федерального государственного министерства с целью расширения конкретных правовых полномочий и обязанностей министерства по защите прав и интересов жертв расизма, расовой дискриминации и связанных с ними форм нетерпимости;</w:t>
      </w:r>
    </w:p>
    <w:p w:rsidR="00000000" w:rsidRDefault="00000000">
      <w:pPr>
        <w:ind w:left="567" w:hanging="567"/>
      </w:pPr>
    </w:p>
    <w:p w:rsidR="00000000" w:rsidRDefault="00000000">
      <w:pPr>
        <w:ind w:left="1134" w:hanging="1134"/>
      </w:pPr>
      <w:r>
        <w:tab/>
        <w:t>-</w:t>
      </w:r>
      <w:r>
        <w:tab/>
        <w:t>принятие правительством конкретной пропагандистской политики, направленной на более широкое признание роли чернокожего населения;</w:t>
      </w:r>
    </w:p>
    <w:p w:rsidR="00000000" w:rsidRDefault="00000000">
      <w:pPr>
        <w:ind w:left="567" w:hanging="567"/>
      </w:pPr>
    </w:p>
    <w:p w:rsidR="00000000" w:rsidRDefault="00000000">
      <w:pPr>
        <w:ind w:left="1134" w:hanging="1134"/>
      </w:pPr>
      <w:r>
        <w:tab/>
        <w:t>-</w:t>
      </w:r>
      <w:r>
        <w:tab/>
        <w:t>сохранение положения о том, что 18 лет считаются возрастом совершеннолетия для целей возбуждения уголовного преследования и наступления ответственности, и осуществление социально-образовательных мер, предусмотренных Законом о детях и подростках;  и</w:t>
      </w:r>
    </w:p>
    <w:p w:rsidR="00000000" w:rsidRDefault="00000000">
      <w:pPr>
        <w:ind w:left="567" w:hanging="567"/>
      </w:pPr>
    </w:p>
    <w:p w:rsidR="00000000" w:rsidRDefault="00000000">
      <w:pPr>
        <w:ind w:left="1134" w:hanging="1134"/>
      </w:pPr>
      <w:r>
        <w:tab/>
        <w:t>-</w:t>
      </w:r>
      <w:r>
        <w:tab/>
        <w:t>принятие системы квот или других мер по преодолению дискриминации, расширяющих доступ чернокожих в государственные университеты страны.</w:t>
      </w:r>
    </w:p>
    <w:p w:rsidR="00000000" w:rsidRDefault="00000000">
      <w:pPr>
        <w:ind w:left="567" w:hanging="567"/>
      </w:pPr>
    </w:p>
    <w:p w:rsidR="00000000" w:rsidRDefault="00000000">
      <w:pPr>
        <w:ind w:left="567" w:hanging="567"/>
        <w:rPr>
          <w:b/>
          <w:bCs/>
        </w:rPr>
      </w:pPr>
      <w:r>
        <w:rPr>
          <w:b/>
          <w:bCs/>
        </w:rPr>
        <w:t>Коренное население</w:t>
      </w:r>
    </w:p>
    <w:p w:rsidR="00000000" w:rsidRDefault="00000000">
      <w:pPr>
        <w:ind w:left="567" w:hanging="567"/>
        <w:rPr>
          <w:b/>
          <w:bCs/>
        </w:rPr>
      </w:pPr>
    </w:p>
    <w:p w:rsidR="00000000" w:rsidRDefault="00000000">
      <w:r>
        <w:t>299.</w:t>
      </w:r>
      <w:r>
        <w:tab/>
        <w:t xml:space="preserve"> В докладе отмечается недавний прогресс, достигнутый в решении проблем коренного населения Бразилии:</w:t>
      </w:r>
    </w:p>
    <w:p w:rsidR="00000000" w:rsidRDefault="00000000"/>
    <w:p w:rsidR="00000000" w:rsidRDefault="00000000">
      <w:pPr>
        <w:ind w:left="1134" w:hanging="1134"/>
      </w:pPr>
      <w:r>
        <w:tab/>
        <w:t>-</w:t>
      </w:r>
      <w:r>
        <w:tab/>
        <w:t>демаркация 420 земельных участков, на которых проживают коренные народы, площадью в 87 млн. га (214 981 681 акр), или 11,55% бразильской территории.  С января 1995 года по апрель 2001 года приняты положительные решения по 140 земельным участкам, на которых проживают представители коренного населения;</w:t>
      </w:r>
    </w:p>
    <w:p w:rsidR="00000000" w:rsidRDefault="00000000">
      <w:pPr>
        <w:ind w:left="567" w:hanging="567"/>
      </w:pPr>
    </w:p>
    <w:p w:rsidR="00000000" w:rsidRDefault="00000000">
      <w:pPr>
        <w:ind w:left="1134" w:hanging="1134"/>
      </w:pPr>
      <w:r>
        <w:tab/>
        <w:t>-</w:t>
      </w:r>
      <w:r>
        <w:tab/>
        <w:t>установление партнерских связей с организациями коренного населения и организациями, оказывающими поддержку коренному населению, с целью физической демаркации участков, принадлежащих коренному населению, таких, как земли коренных народов Рио-Негро, совместно с Национальным индейским фондом, Федерацией организаций коренного населения Рио-Негро и Социально-экологическим институтом;</w:t>
      </w:r>
    </w:p>
    <w:p w:rsidR="00000000" w:rsidRDefault="00000000">
      <w:pPr>
        <w:ind w:left="567" w:hanging="567"/>
      </w:pPr>
    </w:p>
    <w:p w:rsidR="00000000" w:rsidRDefault="00000000">
      <w:pPr>
        <w:ind w:left="1134" w:hanging="1134"/>
      </w:pPr>
      <w:r>
        <w:tab/>
        <w:t>-</w:t>
      </w:r>
      <w:r>
        <w:tab/>
        <w:t>предоставление медицинских услуг индейцам в 34 округах, в которых проживает коренное население, через специальные санитарные округа коренного населения, связанные с Национальными фондами здравоохранения (ФУНАСА);</w:t>
      </w:r>
    </w:p>
    <w:p w:rsidR="00000000" w:rsidRDefault="00000000">
      <w:pPr>
        <w:ind w:left="567" w:hanging="567"/>
      </w:pPr>
    </w:p>
    <w:p w:rsidR="00000000" w:rsidRDefault="00000000">
      <w:pPr>
        <w:ind w:left="1134" w:hanging="1134"/>
      </w:pPr>
      <w:r>
        <w:tab/>
        <w:t>-</w:t>
      </w:r>
      <w:r>
        <w:tab/>
        <w:t xml:space="preserve">заключение девяти соглашений с организациями коренного населения и 19 соглашений с организациями, поддерживающими коренное население, на сумму около 100 млн. долл. для обеспечения медицинского обслуживания в деревнях;  </w:t>
      </w:r>
    </w:p>
    <w:p w:rsidR="00000000" w:rsidRDefault="00000000">
      <w:pPr>
        <w:ind w:left="1134" w:hanging="1134"/>
      </w:pPr>
    </w:p>
    <w:p w:rsidR="00000000" w:rsidRDefault="00000000">
      <w:pPr>
        <w:ind w:left="1134" w:hanging="1134"/>
      </w:pPr>
      <w:r>
        <w:tab/>
        <w:t>-</w:t>
      </w:r>
      <w:r>
        <w:tab/>
        <w:t>разработка Национального типового учебного плана для национальных школ коренного населения совместно со специалистами и преподавателями из индейских общин;</w:t>
      </w:r>
    </w:p>
    <w:p w:rsidR="00000000" w:rsidRDefault="00000000">
      <w:pPr>
        <w:ind w:left="1134" w:hanging="1134"/>
      </w:pPr>
    </w:p>
    <w:p w:rsidR="00000000" w:rsidRDefault="00000000">
      <w:pPr>
        <w:ind w:left="1134" w:hanging="1134"/>
      </w:pPr>
      <w:r>
        <w:tab/>
        <w:t>-</w:t>
      </w:r>
      <w:r>
        <w:tab/>
        <w:t>создание в рамках министерства образования общего координационного комитета по охвату коренного населения школьным образованием;</w:t>
      </w:r>
    </w:p>
    <w:p w:rsidR="00000000" w:rsidRDefault="00000000">
      <w:pPr>
        <w:ind w:left="1134" w:hanging="1134"/>
      </w:pPr>
    </w:p>
    <w:p w:rsidR="00000000" w:rsidRDefault="00000000">
      <w:pPr>
        <w:ind w:left="1134" w:hanging="1134"/>
      </w:pPr>
      <w:r>
        <w:tab/>
        <w:t>-</w:t>
      </w:r>
      <w:r>
        <w:tab/>
        <w:t>создание 1 666 школ для коренного населения, укомплектованных 3 041 преподавателем из числа коренного населения;</w:t>
      </w:r>
    </w:p>
    <w:p w:rsidR="00000000" w:rsidRDefault="00000000">
      <w:pPr>
        <w:ind w:left="1134" w:hanging="1134"/>
      </w:pPr>
    </w:p>
    <w:p w:rsidR="00000000" w:rsidRDefault="00000000">
      <w:pPr>
        <w:ind w:left="1134" w:hanging="1134"/>
      </w:pPr>
      <w:r>
        <w:tab/>
        <w:t>-</w:t>
      </w:r>
      <w:r>
        <w:tab/>
        <w:t>разработка проекта Крахо, призванного содействовать совершенствованию методов ведения сельского хозяйства, не наносящих незначительного урона окружающей среде, с целью обеспечения продовольственной безопасности деревень;</w:t>
      </w:r>
    </w:p>
    <w:p w:rsidR="00000000" w:rsidRDefault="00000000">
      <w:pPr>
        <w:ind w:left="1134" w:hanging="1134"/>
      </w:pPr>
    </w:p>
    <w:p w:rsidR="00000000" w:rsidRDefault="00000000">
      <w:pPr>
        <w:ind w:left="1134" w:hanging="1134"/>
      </w:pPr>
      <w:r>
        <w:tab/>
        <w:t>-</w:t>
      </w:r>
      <w:r>
        <w:tab/>
        <w:t>осуществление Тукумского проекта по подготовке и обучению представителей коренного населения профессии преподавателя для общин Мату-Гроссу (Шаванти, Парези, Апьяка, Ирантши, Намбиквара, Умотина, Рикбактса, Мундуруку, Кьяби, Борору и Бакайра среди прочих).  Проект координируется государственным секретариатом по образованию, который в дополнение к ФУНАИ заключил соглашение с Федеральным университетом Мату-Гроссу и муниципальными правительствами штата;</w:t>
      </w:r>
    </w:p>
    <w:p w:rsidR="00000000" w:rsidRDefault="00000000">
      <w:pPr>
        <w:ind w:left="1134" w:hanging="1134"/>
      </w:pPr>
    </w:p>
    <w:p w:rsidR="00000000" w:rsidRDefault="00000000">
      <w:pPr>
        <w:ind w:left="1134" w:hanging="1134"/>
      </w:pPr>
      <w:r>
        <w:tab/>
        <w:t>-</w:t>
      </w:r>
      <w:r>
        <w:tab/>
        <w:t>разработка проекта предоставления высшего образования коренному населению, нацеленного на введение трех полноценных программ обучения в государственном университете Мату-Гроссу (ЮНЕМАТ) для подготовки 200 преподавателей - выходцев из коренного населения, занятия по которым планировалось начать в июле 2001 года и закончить в 2005 году.  Эта инициатива стала возможной в результате заключения 30 июня 2000 года между университетом и государственным секретариатом по образованию Мату-Гроссу соглашения 121/2000 и заключения 15 декабря 2000 года соглашения № 11 между ЮНЕМАТ и ФУНАИ;</w:t>
      </w:r>
    </w:p>
    <w:p w:rsidR="00000000" w:rsidRDefault="00000000">
      <w:pPr>
        <w:ind w:left="1134" w:hanging="1134"/>
      </w:pPr>
    </w:p>
    <w:p w:rsidR="00000000" w:rsidRDefault="00000000">
      <w:pPr>
        <w:ind w:left="1134" w:hanging="1134"/>
      </w:pPr>
      <w:r>
        <w:tab/>
        <w:t>-</w:t>
      </w:r>
      <w:r>
        <w:tab/>
        <w:t>активные учебные мероприятия будут проведены в студенческом городке ЮНЕМАТ, расположенном в городе Барра-ду-Бугреш и в Мату-Гроссу;  и</w:t>
      </w:r>
    </w:p>
    <w:p w:rsidR="00000000" w:rsidRDefault="00000000">
      <w:pPr>
        <w:ind w:left="1134" w:hanging="1134"/>
      </w:pPr>
    </w:p>
    <w:p w:rsidR="00000000" w:rsidRDefault="00000000">
      <w:pPr>
        <w:ind w:left="1134" w:hanging="1134"/>
      </w:pPr>
      <w:r>
        <w:tab/>
        <w:t>-</w:t>
      </w:r>
      <w:r>
        <w:tab/>
        <w:t>признание правительством термина "коренные народы" как соответствующего определения коренного населения на международных форумах.</w:t>
      </w:r>
    </w:p>
    <w:p w:rsidR="00000000" w:rsidRDefault="00000000">
      <w:pPr>
        <w:ind w:left="1134" w:hanging="1134"/>
      </w:pPr>
    </w:p>
    <w:p w:rsidR="00000000" w:rsidRDefault="00000000">
      <w:pPr>
        <w:ind w:left="1134" w:hanging="1134"/>
      </w:pPr>
      <w:r>
        <w:t>300.</w:t>
      </w:r>
      <w:r>
        <w:tab/>
        <w:t>Комитет предложил также ряд важных, по его мнению, мер:</w:t>
      </w:r>
    </w:p>
    <w:p w:rsidR="00000000" w:rsidRDefault="00000000">
      <w:pPr>
        <w:ind w:left="1134" w:hanging="1134"/>
      </w:pPr>
    </w:p>
    <w:p w:rsidR="00000000" w:rsidRDefault="00000000">
      <w:pPr>
        <w:ind w:left="1134" w:hanging="1134"/>
      </w:pPr>
      <w:r>
        <w:tab/>
        <w:t>-</w:t>
      </w:r>
      <w:r>
        <w:tab/>
        <w:t>принятие Национальным конгрессом нового устава общин индейцев и коренного населения как метод преодоления гражданской недееспособности бразильских индейцев;</w:t>
      </w:r>
    </w:p>
    <w:p w:rsidR="00000000" w:rsidRDefault="00000000">
      <w:pPr>
        <w:ind w:left="1134" w:hanging="1134"/>
      </w:pPr>
    </w:p>
    <w:p w:rsidR="00000000" w:rsidRDefault="00000000">
      <w:pPr>
        <w:ind w:left="1134" w:hanging="1134"/>
      </w:pPr>
      <w:r>
        <w:tab/>
        <w:t>-</w:t>
      </w:r>
      <w:r>
        <w:tab/>
        <w:t>завершение демаркации земель коренных народов - защита территории и выдворение незаконных поселенцев при одновременном принятии срочных мер в конфликтных районах, таких, как территории Макуши в Рорайне и земли, принадлежащие Гуарани-Кайова в Мату-Гроссу-ду-Сул;</w:t>
      </w:r>
    </w:p>
    <w:p w:rsidR="00000000" w:rsidRDefault="00000000">
      <w:pPr>
        <w:ind w:left="1134" w:hanging="1134"/>
      </w:pPr>
    </w:p>
    <w:p w:rsidR="00000000" w:rsidRDefault="00000000">
      <w:pPr>
        <w:ind w:left="1134" w:hanging="1134"/>
      </w:pPr>
      <w:r>
        <w:tab/>
        <w:t>-</w:t>
      </w:r>
      <w:r>
        <w:tab/>
        <w:t>реструктуризация Национального фонда индейцев с целью внедрения в него новых моделей государственного управления и с учетом региональных и социально-культурных реалий коренного населения;</w:t>
      </w:r>
    </w:p>
    <w:p w:rsidR="00000000" w:rsidRDefault="00000000">
      <w:pPr>
        <w:ind w:left="1134" w:hanging="1134"/>
      </w:pPr>
    </w:p>
    <w:p w:rsidR="00000000" w:rsidRDefault="00000000">
      <w:pPr>
        <w:ind w:left="1134" w:hanging="1134"/>
      </w:pPr>
      <w:r>
        <w:tab/>
        <w:t>-</w:t>
      </w:r>
      <w:r>
        <w:tab/>
        <w:t>определение и назначение представителей коренного населения по критериям технической квалификации в Федеральный совет по вопросам образования, в Культурный совет, в Национальный совет по охране окружающей среды, в Национальный совет по вопросам здравоохранения и в Национальный совет по вопросам продовольственного обеспечения;</w:t>
      </w:r>
    </w:p>
    <w:p w:rsidR="00000000" w:rsidRDefault="00000000">
      <w:pPr>
        <w:ind w:left="1134" w:hanging="1134"/>
      </w:pPr>
    </w:p>
    <w:p w:rsidR="00000000" w:rsidRDefault="00000000">
      <w:pPr>
        <w:ind w:left="1134" w:hanging="1134"/>
      </w:pPr>
      <w:r>
        <w:tab/>
        <w:t>-</w:t>
      </w:r>
      <w:r>
        <w:tab/>
        <w:t>утверждение федеральным правительством и Национальным конгрессом мер по защите знаний, традиционных идей и генетического наследия коренного населения, включая защиту биоразнообразия;</w:t>
      </w:r>
    </w:p>
    <w:p w:rsidR="00000000" w:rsidRDefault="00000000">
      <w:pPr>
        <w:ind w:left="1134" w:hanging="1134"/>
      </w:pPr>
    </w:p>
    <w:p w:rsidR="00000000" w:rsidRDefault="00000000">
      <w:pPr>
        <w:ind w:left="1134" w:hanging="1134"/>
      </w:pPr>
      <w:r>
        <w:tab/>
        <w:t>-</w:t>
      </w:r>
      <w:r>
        <w:tab/>
        <w:t>утверждение федеральным правительством программных мер по обеспечению устойчивого развития коренного населения с использованием новаторских идей, касающихся экономической и социальной защиты и роста, включая управление природными и ископаемыми ресурсами;</w:t>
      </w:r>
    </w:p>
    <w:p w:rsidR="00000000" w:rsidRDefault="00000000">
      <w:pPr>
        <w:ind w:left="1134" w:hanging="1134"/>
      </w:pPr>
    </w:p>
    <w:p w:rsidR="00000000" w:rsidRDefault="00000000">
      <w:pPr>
        <w:ind w:left="1134" w:hanging="1134"/>
      </w:pPr>
      <w:r>
        <w:tab/>
        <w:t>-</w:t>
      </w:r>
      <w:r>
        <w:tab/>
        <w:t>поддержка федеральным правительством процесса проведения переписей коренного населения, в том числе инвалидов, для разработки адекватной государственной политики;</w:t>
      </w:r>
    </w:p>
    <w:p w:rsidR="00000000" w:rsidRDefault="00000000">
      <w:pPr>
        <w:ind w:left="1134" w:hanging="1134"/>
      </w:pPr>
    </w:p>
    <w:p w:rsidR="00000000" w:rsidRDefault="00000000">
      <w:pPr>
        <w:ind w:left="1134" w:hanging="1134"/>
      </w:pPr>
      <w:r>
        <w:tab/>
        <w:t>-</w:t>
      </w:r>
      <w:r>
        <w:tab/>
        <w:t>разработка и осуществление министерством обороны кодекса поведения, содержащего правила и указания относительно присутствия военных на территориях, принадлежащих коренным народам, особенно в том, что касается женщин из числа коренного населения;</w:t>
      </w:r>
    </w:p>
    <w:p w:rsidR="00000000" w:rsidRDefault="00000000">
      <w:pPr>
        <w:ind w:left="1134" w:hanging="1134"/>
      </w:pPr>
    </w:p>
    <w:p w:rsidR="00000000" w:rsidRDefault="00000000">
      <w:pPr>
        <w:ind w:left="1134" w:hanging="1134"/>
      </w:pPr>
      <w:r>
        <w:tab/>
        <w:t>-</w:t>
      </w:r>
      <w:r>
        <w:tab/>
        <w:t>ратификация и осуществление международных договоров, которые гарантируют соблюдение прав коренного населения, таких, как Конвенция МОТ № 169, проект декларации Организации Объединенных Наций о правах коренных народов и Американская декларация о правах коренных народов;</w:t>
      </w:r>
    </w:p>
    <w:p w:rsidR="00000000" w:rsidRDefault="00000000">
      <w:pPr>
        <w:ind w:left="1134" w:hanging="1134"/>
      </w:pPr>
    </w:p>
    <w:p w:rsidR="00000000" w:rsidRDefault="00000000">
      <w:pPr>
        <w:ind w:left="1134" w:hanging="1134"/>
      </w:pPr>
      <w:r>
        <w:tab/>
        <w:t>-</w:t>
      </w:r>
      <w:r>
        <w:tab/>
        <w:t>поощрение участия коренного населения через его организации в обсуждении и осуществлении государственной политики в отношении индейцев на всех уровнях правительства;</w:t>
      </w:r>
    </w:p>
    <w:p w:rsidR="00000000" w:rsidRDefault="00000000">
      <w:pPr>
        <w:ind w:left="1134" w:hanging="1134"/>
      </w:pPr>
    </w:p>
    <w:p w:rsidR="00000000" w:rsidRDefault="00000000">
      <w:pPr>
        <w:ind w:left="1134" w:hanging="1134"/>
      </w:pPr>
      <w:r>
        <w:tab/>
        <w:t>-</w:t>
      </w:r>
      <w:r>
        <w:tab/>
        <w:t>создание постоянного форума по исконным правам афро-индейского населения;</w:t>
      </w:r>
    </w:p>
    <w:p w:rsidR="00000000" w:rsidRDefault="00000000">
      <w:pPr>
        <w:ind w:left="1134" w:hanging="1134"/>
      </w:pPr>
    </w:p>
    <w:p w:rsidR="00000000" w:rsidRDefault="00000000">
      <w:pPr>
        <w:ind w:left="1134" w:hanging="1134"/>
      </w:pPr>
      <w:r>
        <w:tab/>
        <w:t>-</w:t>
      </w:r>
      <w:r>
        <w:tab/>
        <w:t>разработка образовательной политики, позволяющей студентам из числа коренного населения оставаться в государственных университетах.</w:t>
      </w:r>
    </w:p>
    <w:p w:rsidR="00000000" w:rsidRDefault="00000000">
      <w:pPr>
        <w:ind w:left="1134" w:hanging="1134"/>
      </w:pPr>
    </w:p>
    <w:p w:rsidR="00000000" w:rsidRDefault="00000000">
      <w:r>
        <w:t>301.</w:t>
      </w:r>
      <w:r>
        <w:tab/>
        <w:t xml:space="preserve">В дополнение к анализу положения чернокожего и коренного населения в Бразилии доклад Национального комитета поднимает вопросы, касающиеся цыган, сексуальной ориентации, инвалидов, мигрантов и дискриминации еврейского населения.  </w:t>
      </w:r>
    </w:p>
    <w:p w:rsidR="00000000" w:rsidRDefault="00000000"/>
    <w:p w:rsidR="00000000" w:rsidRDefault="00000000">
      <w:pPr>
        <w:jc w:val="center"/>
        <w:rPr>
          <w:b/>
          <w:bCs/>
        </w:rPr>
      </w:pPr>
      <w:r>
        <w:rPr>
          <w:b/>
          <w:bCs/>
          <w:lang w:val="en-US"/>
        </w:rPr>
        <w:t>VI</w:t>
      </w:r>
      <w:r>
        <w:rPr>
          <w:b/>
          <w:bCs/>
        </w:rPr>
        <w:t>.</w:t>
      </w:r>
      <w:r>
        <w:rPr>
          <w:b/>
          <w:bCs/>
        </w:rPr>
        <w:tab/>
        <w:t>ПОЗИТИВНЫЕ ДЕЙСТВИЯ</w:t>
      </w:r>
    </w:p>
    <w:p w:rsidR="00000000" w:rsidRDefault="00000000">
      <w:pPr>
        <w:rPr>
          <w:b/>
          <w:bCs/>
        </w:rPr>
      </w:pPr>
    </w:p>
    <w:p w:rsidR="00000000" w:rsidRDefault="00000000">
      <w:r>
        <w:t>302.</w:t>
      </w:r>
      <w:r>
        <w:tab/>
        <w:t xml:space="preserve">Как и в других странах, вопрос об утверждении программ позитивных действий стал в Бразилии предметом широкого обсуждения.  Подготовка страны к Дурбанской конференции дала повод для включения этого вопроса в национальную повестку дня. </w:t>
      </w:r>
    </w:p>
    <w:p w:rsidR="00000000" w:rsidRDefault="00000000"/>
    <w:p w:rsidR="00000000" w:rsidRDefault="00000000">
      <w:r>
        <w:t>303.</w:t>
      </w:r>
      <w:r>
        <w:tab/>
        <w:t xml:space="preserve">Мы приводим отрывок из выступления министра-председателя Верховного федерального суда, высшего суда страны, как пример того значения, которое придается этому вопросу, и растущего интереса к нему со стороны самых высоких государственных должностных лиц страны:  </w:t>
      </w:r>
    </w:p>
    <w:p w:rsidR="00000000" w:rsidRDefault="00000000"/>
    <w:p w:rsidR="00000000" w:rsidRDefault="00000000">
      <w:pPr>
        <w:ind w:left="567"/>
      </w:pPr>
      <w:r>
        <w:tab/>
        <w:t>"Было признано, что единственным путем борьбы с неравенством является смещение акцентов во всем законодательстве - в срочном порядке, оправданном несбалансированностью рынка, - в пользу тех, кто страдает от дискриминации, обусловленной неравноправным положением.  Учитывая это, основополагающими задачами нашей Республики являются:  во</w:t>
      </w:r>
      <w:r>
        <w:noBreakHyphen/>
        <w:t>первых, построить - обратите внимание на глагол - свободное, справедливое и единое общество;  во</w:t>
      </w:r>
      <w:r>
        <w:noBreakHyphen/>
        <w:t>вторых, гарантировать развитие страны - вновь обратите внимание на глагол, который выражает не просто состояние, а говорит об активном действии, - с целью искоренения нищеты и условий жизни, не отвечающих предъявляемым требованиям, и сократить социальное и региональное неравенство, и, наконец, то, что нас интересует, содействовать всеобщему процветанию, преодолев предрассудки, основанные на происхождении, расе, половой принадлежности, цвете кожи, возрасте или любой иной форме дискриминации.</w:t>
      </w:r>
    </w:p>
    <w:p w:rsidR="00000000" w:rsidRDefault="00000000">
      <w:pPr>
        <w:ind w:left="567"/>
      </w:pPr>
    </w:p>
    <w:p w:rsidR="00000000" w:rsidRDefault="00000000">
      <w:pPr>
        <w:ind w:left="567"/>
      </w:pPr>
      <w:r>
        <w:tab/>
        <w:t>Могу не колеблясь утверждать, что мы отказались от статического простого негативного равенства, при котором была запрещена дискриминация, перейдя к действенному динамичному равенству, при котором глаголы "строить", "гарантировать", "искоренять" и "содействовать" сами по себе предполагают смену перспективы, поскольку обозначают "действие".  Простого преодоления дискриминации недостаточно.  Необходимо - и Конституция Республики дает нам для этого основания - создать условия для реализации этих самых возможностей.</w:t>
      </w:r>
    </w:p>
    <w:p w:rsidR="00000000" w:rsidRDefault="00000000">
      <w:pPr>
        <w:ind w:left="567"/>
      </w:pPr>
    </w:p>
    <w:p w:rsidR="00000000" w:rsidRDefault="00000000">
      <w:pPr>
        <w:ind w:left="567"/>
      </w:pPr>
      <w:r>
        <w:tab/>
        <w:t>Мы перевернули страницу жизни по системе, которая была основана просто на принципе.  Наша позиция должна быть, прежде всего, утверждающей.  Нашим законодателям необходимо принять эту позицию.  […]  В сфере международных отношений Конституция 1988 года устанавливает, что нормы, регулирующие осуществление прав человека, должны превалировать.</w:t>
      </w:r>
    </w:p>
    <w:p w:rsidR="00000000" w:rsidRDefault="00000000">
      <w:pPr>
        <w:ind w:left="567"/>
      </w:pPr>
    </w:p>
    <w:p w:rsidR="00000000" w:rsidRDefault="00000000">
      <w:pPr>
        <w:ind w:left="567"/>
      </w:pPr>
      <w:r>
        <w:tab/>
        <w:t xml:space="preserve">Кроме того, статья 4 раздела </w:t>
      </w:r>
      <w:r>
        <w:rPr>
          <w:lang w:val="en-US"/>
        </w:rPr>
        <w:t>VII</w:t>
      </w:r>
      <w:r>
        <w:t xml:space="preserve"> отвергает терроризм, приравнивая его к расизму, который является разновидностью терроризма.  Статья 4 содержит также положения о сотрудничестве между народами во имя прогресса человечества.  В ней мы обнаруживаем принципы, и не просто принципы, а полномочия, на принятие позитивных мер.</w:t>
      </w:r>
    </w:p>
    <w:p w:rsidR="00000000" w:rsidRDefault="00000000">
      <w:pPr>
        <w:ind w:left="567"/>
      </w:pPr>
    </w:p>
    <w:p w:rsidR="00000000" w:rsidRDefault="00000000">
      <w:pPr>
        <w:ind w:left="567"/>
      </w:pPr>
      <w:r>
        <w:tab/>
        <w:t>Позитивные меры свидетельствуют о демократической сущности принципа правового равенства, и в данном случае я позволю себе в заключение этих замечаний процитировать признанного ученого-юриста Кармена Лусия Антуниша Роша:  "Позитивные меры являются одним из инструментов, который позволяет решить проблему лица, не имеющего гражданства и не принимающего участия в политической и демократической жизни, гарантированных ему буквой закона, поскольку эффективные средства, в которых он нуждается, чтобы стать равным с другими, не признаются.  Гражданство не оставляет места для неравенства.  Республика не оставляет места для предрассудков.  Демократия не оставляет места для дискриминации.  Тем не менее в Бразилии, претендующей на то, чтобы быть республиканской и демократической, гражданство по</w:t>
      </w:r>
      <w:r>
        <w:noBreakHyphen/>
        <w:t>прежнему остается признаком избранности в силу сохранения многочисленных предрассудков, которые проявляются в форме замалчивания белыми правды о положении чернокожих, разговора о положении женщин, не идущего дальше комплиментов, унизительных подачек бедным, предложения, прочитанного неграмотному…  При таком социально-политическом и экономическом положении вещей поверхностное и предвзятое толкование Конституции нельзя считать по-настоящему демократическим, как нельзя считать таковым и ее толкователя, который для того, чтобы называться настоящим гражданином, должен был бы вникнуть в ее суть, а вместо этого он с легкостью говорит о высших достижениях равенства в нашей истории, истории, построенной мозолистыми руками тех, кто был жертвой дискриминации".</w:t>
      </w:r>
    </w:p>
    <w:p w:rsidR="00000000" w:rsidRDefault="00000000">
      <w:pPr>
        <w:tabs>
          <w:tab w:val="left" w:pos="567"/>
        </w:tabs>
      </w:pPr>
    </w:p>
    <w:p w:rsidR="00000000" w:rsidRDefault="00000000">
      <w:r>
        <w:t>304.</w:t>
      </w:r>
      <w:r>
        <w:tab/>
        <w:t xml:space="preserve">Делясь вышеуказанными соображениями, бразильское правительство хотело бы отметить, что позитивные действия не ограничивались официальными выступлениями.  Постепенно, особенно после Дурбанской конференции, началось осуществление ряда непрерывных инициатив в этой области и постоянное осмысление и анализ того, что еще можно сделать.  </w:t>
      </w:r>
    </w:p>
    <w:p w:rsidR="00000000" w:rsidRDefault="00000000"/>
    <w:p w:rsidR="00000000" w:rsidRDefault="00000000">
      <w:r>
        <w:t>305.</w:t>
      </w:r>
      <w:r>
        <w:tab/>
        <w:t>Осмысление проблемы вдохновлялось в первую очередь Международной конвенцией о ликвидации всех форм расовой дискриминации, документом универсального значения, который не ограничивается предложением карательных мер по борьбе с расовой дискриминацией.  В сочетании с применимыми мерами наказания он предусматривает возможность принятия поощрительных мер, называемых также "позитивными действиями".</w:t>
      </w:r>
    </w:p>
    <w:p w:rsidR="00000000" w:rsidRDefault="00000000"/>
    <w:p w:rsidR="00000000" w:rsidRDefault="00000000">
      <w:r>
        <w:t>306.</w:t>
      </w:r>
      <w:r>
        <w:tab/>
        <w:t>В связи с этим пункт 2 статьи 2 предусматривает, что государства-участники, когда обстоятельства этого требуют, принимают особые и конкретные меры в социальной, экономической, культурной и других областях с целью обеспечения надлежащего развития и защиты некоторых расовых групп или лиц, к ним принадлежащих, с тем чтобы гарантировать им полное и равное использование прав человека и основных свобод.  Согласно Конвенции "такие меры ни в коем случае не должны в результате привести к сохранению неравных или особых прав для различных расовых групп по достижении тех целей, ради которых они были введены".  Бразильское правительство понимает, что при этом идет речь о так называемой "позитивной дискриминации", которая во многих странах выражается в "позитивных действиях".</w:t>
      </w:r>
    </w:p>
    <w:p w:rsidR="00000000" w:rsidRDefault="00000000"/>
    <w:p w:rsidR="00000000" w:rsidRDefault="00000000">
      <w:r>
        <w:t>307.</w:t>
      </w:r>
      <w:r>
        <w:tab/>
        <w:t xml:space="preserve">Следует отметить, что определение расовой дискриминации, с которой необходимо бороться, которую следует ликвидировать и искоренять, дается в статье 1 Конвенции.  Согласно этой статье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w:t>
      </w:r>
    </w:p>
    <w:p w:rsidR="00000000" w:rsidRDefault="00000000"/>
    <w:p w:rsidR="00000000" w:rsidRDefault="00000000">
      <w:r>
        <w:t>308.</w:t>
      </w:r>
      <w:r>
        <w:tab/>
        <w:t>Стоит еще раз отметить, что дискриминация касается любого различия, исключения, ограничения или предпочтения, целью или следствием которого является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Именно такую расовую дискриминацию государства-участники должны запрещать и бороться с ней.</w:t>
      </w:r>
    </w:p>
    <w:p w:rsidR="00000000" w:rsidRDefault="00000000"/>
    <w:p w:rsidR="00000000" w:rsidRDefault="00000000">
      <w:r>
        <w:t>309.</w:t>
      </w:r>
      <w:r>
        <w:tab/>
        <w:t xml:space="preserve">Пункт 2 статьи 2, в котором речь идет о так называемой позитивной дискриминации в том, что касается принятия особых и конкретных мер, цель которых заключается не в том, чтобы нанести ущерб или затруднить осуществление прав, а в том, чтобы лучше защитить некоторые группы, дав им возможность добиться права на равенство, охватывает широкий диапазон случаев.  Согласно пункту 4 статьи 1 такие меры не рассматриваются как расовая дискриминация.  Позитивная дискриминация или меры по преодолению дискриминации являются особыми и временными мерами, которые с целью искоренения прошлой дискриминации направлены на ускорение продвижения по пути к равенству, позволяя тем самым значительной доле наиболее уязвимых групп общества, таких, как этнические и расовые меньшинства, в числе других групп достичь равенства.  Хотя позитивные действия представляют собой разновидность компенсационной политики, проводимой для улучшения и исправления условий, сложившихся в результате прошлой дискриминации, они направлены на превращение формального равенства в материальное и действительное равенство.  </w:t>
      </w:r>
    </w:p>
    <w:p w:rsidR="00000000" w:rsidRDefault="00000000"/>
    <w:p w:rsidR="00000000" w:rsidRDefault="00000000">
      <w:r>
        <w:t>310.</w:t>
      </w:r>
      <w:r>
        <w:tab/>
        <w:t>По мнению Хелиу Сантуша, выдающегося ученого и автора ряда работ по расовому вопросу в Бразилии, "меры по преодолению дискриминации являются единовременными или обязательными особыми и временными мерами либо принимаемыми, либо предписываемыми государством с целью ликвидации неравенства, сложившегося в ходе истории с целью гарантии равных возможностей и обращения, а также компенсации ущерба, нанесенного дискриминацией и маргинализацией в силу расового, этнического происхождения, религиозных убеждений, принадлежности к тому или иному полу и других причин.  Поэтому позитивные действия направлены на борьбу с совокупными последствиями прошлой дискриминации".</w:t>
      </w:r>
    </w:p>
    <w:p w:rsidR="00000000" w:rsidRDefault="00000000"/>
    <w:p w:rsidR="00000000" w:rsidRDefault="00000000">
      <w:r>
        <w:t>311.</w:t>
      </w:r>
      <w:r>
        <w:tab/>
        <w:t>Как отмечалось во введении к настоящему докладу, 13 мая 2002 года правительство Бразилии решило приступить к осуществлению национальной программы позитивных действий, призванной активно проводить в жизнь принципы разнообразия и плюрализма при заполнении вакантных должностей в федеральных государственных органах управления и при заключении правительством договоров о предоставлении услуг.  Одной из целей этой программы является удовлетворение требований о процентных квотах для выходцев из Африки, женщин и инвалидов на этих должностях.  Ориентируясь на принятие мер по преодолению дискриминации, бразильское законодательство полностью следует в русле Международной конвенции о ликвидации всех форм расовой дискриминации, пункт 4 статьи 1 которой предусматривает принятие подобных мер.</w:t>
      </w:r>
    </w:p>
    <w:p w:rsidR="00000000" w:rsidRDefault="00000000"/>
    <w:p w:rsidR="00000000" w:rsidRDefault="00000000">
      <w:r>
        <w:t>312.</w:t>
      </w:r>
      <w:r>
        <w:tab/>
        <w:t>В документе, озаглавленном "Позитивные действия - демократическая суть принципа правового равенства", профессор Кармен Люсия Антунеш Роша отмечает, что Конституция 1988 года с необычной правовой силой закрепила принцип правового равенства как одну из центральных опор бразильской правовой системы.  В широко известной "Гражданской конституции" значение правового равенства было подкреплено еще раз, и еще раз была определена система понятий, на которой она зиждется, исходя из динамичной концепции, которая предусматривает гибкие и активные действия государства в утверждении принципа равенства.  Таким образом, бразильская Конституция, по мнению Кармена Роша, закрепляет позитивные действия как наиболее демократичное выражение правового равенства, поощряемого внутри общества и самим обществом.</w:t>
      </w:r>
    </w:p>
    <w:p w:rsidR="00000000" w:rsidRDefault="00000000"/>
    <w:p w:rsidR="00000000" w:rsidRDefault="00000000">
      <w:r>
        <w:t>313.</w:t>
      </w:r>
      <w:r>
        <w:tab/>
        <w:t>Бразильское законодательство в соответствии с Конвенцией содержит особое положение, касающееся принятия особых и временных мер, направленных на достижение равенства.  Стоит отметить, что введение в рамках бразильской правовой системы принципа позитивной дискриминации и позитивного измерения равенства поддерживается тремя видами правил, предусмотренных бразильской Конституцией.</w:t>
      </w:r>
    </w:p>
    <w:p w:rsidR="00000000" w:rsidRDefault="00000000"/>
    <w:p w:rsidR="00000000" w:rsidRDefault="00000000">
      <w:r>
        <w:t>314.</w:t>
      </w:r>
      <w:r>
        <w:tab/>
        <w:t>Первый вид правил, по сути своей эгалитарный и глубоко продуманный, возлагает на государство обязанность положить конец неудовлетворительным условиям жизни и неравенству, некоторыми из наиболее важных аспектов которых являются:</w:t>
      </w:r>
    </w:p>
    <w:p w:rsidR="00000000" w:rsidRDefault="00000000"/>
    <w:p w:rsidR="00000000" w:rsidRDefault="00000000">
      <w:pPr>
        <w:ind w:left="1134" w:hanging="567"/>
      </w:pPr>
      <w:r>
        <w:t>-</w:t>
      </w:r>
      <w:r>
        <w:tab/>
        <w:t>статья 3, III - "искоренение нищеты и неудовлетворительных условий жизни и сокращение социального и регионального неравенства";</w:t>
      </w:r>
    </w:p>
    <w:p w:rsidR="00000000" w:rsidRDefault="00000000">
      <w:pPr>
        <w:ind w:left="1134" w:hanging="567"/>
      </w:pPr>
    </w:p>
    <w:p w:rsidR="00000000" w:rsidRDefault="00000000">
      <w:pPr>
        <w:ind w:left="1134" w:hanging="567"/>
      </w:pPr>
      <w:r>
        <w:t>-</w:t>
      </w:r>
      <w:r>
        <w:tab/>
        <w:t>статья 23, Х - "устранение причин […], ведущих к возникновению неудовлетворительных условий жизни";</w:t>
      </w:r>
    </w:p>
    <w:p w:rsidR="00000000" w:rsidRDefault="00000000">
      <w:pPr>
        <w:ind w:left="1134" w:hanging="567"/>
      </w:pPr>
    </w:p>
    <w:p w:rsidR="00000000" w:rsidRDefault="00000000">
      <w:pPr>
        <w:ind w:left="1134" w:hanging="567"/>
      </w:pPr>
      <w:r>
        <w:t>-</w:t>
      </w:r>
      <w:r>
        <w:tab/>
        <w:t>статья 170, VII - "сокращение […] социальных различий".</w:t>
      </w:r>
    </w:p>
    <w:p w:rsidR="00000000" w:rsidRDefault="00000000">
      <w:pPr>
        <w:ind w:left="1134" w:hanging="567"/>
      </w:pPr>
    </w:p>
    <w:p w:rsidR="00000000" w:rsidRDefault="00000000">
      <w:pPr>
        <w:ind w:left="1134" w:hanging="567"/>
      </w:pPr>
      <w:r>
        <w:t>315.</w:t>
      </w:r>
      <w:r>
        <w:tab/>
        <w:t>Второй тип правил предусматривает активное предоставление помощи в продвижении и интеграции групп населения, находящихся в неблагоприятном положении, делая особый упор на следующее:</w:t>
      </w:r>
    </w:p>
    <w:p w:rsidR="00000000" w:rsidRDefault="00000000">
      <w:pPr>
        <w:ind w:left="1134" w:hanging="567"/>
      </w:pPr>
    </w:p>
    <w:p w:rsidR="00000000" w:rsidRDefault="00000000">
      <w:pPr>
        <w:ind w:left="1134" w:hanging="567"/>
      </w:pPr>
      <w:r>
        <w:t>-</w:t>
      </w:r>
      <w:r>
        <w:tab/>
        <w:t>статья 3, IV - "создание условий для процветания всех, независимо от происхождения, расы, пола, цвета кожи, возраста и не допуская никаких иных форм дискриминации";</w:t>
      </w:r>
    </w:p>
    <w:p w:rsidR="00000000" w:rsidRDefault="00000000">
      <w:pPr>
        <w:ind w:left="1134" w:hanging="567"/>
      </w:pPr>
    </w:p>
    <w:p w:rsidR="00000000" w:rsidRDefault="00000000">
      <w:pPr>
        <w:ind w:left="1134" w:hanging="567"/>
      </w:pPr>
      <w:r>
        <w:t>-</w:t>
      </w:r>
      <w:r>
        <w:tab/>
        <w:t>статья 23, Х - "устранение причин нищеты и факторов, приводящих к возникновению неудовлетворительных условий жизни и поощрение социальной интеграции лишенных преимуществ групп населения";</w:t>
      </w:r>
    </w:p>
    <w:p w:rsidR="00000000" w:rsidRDefault="00000000">
      <w:pPr>
        <w:ind w:left="1134" w:hanging="567"/>
      </w:pPr>
    </w:p>
    <w:p w:rsidR="00000000" w:rsidRDefault="00000000">
      <w:pPr>
        <w:ind w:left="1134" w:hanging="567"/>
      </w:pPr>
      <w:r>
        <w:t>-</w:t>
      </w:r>
      <w:r>
        <w:tab/>
        <w:t>статья 227, II - "разработку программ […] социальной интеграции подростков-инвалидов".</w:t>
      </w:r>
    </w:p>
    <w:p w:rsidR="00000000" w:rsidRDefault="00000000"/>
    <w:p w:rsidR="00000000" w:rsidRDefault="00000000">
      <w:r>
        <w:t>316.</w:t>
      </w:r>
      <w:r>
        <w:tab/>
        <w:t>Наконец, существуют нормы, предусматривающие применение "справедливой дискриминации" как формы компенсации неравенства возможностей или в ряде случаев стимулирования развития высокоприоритетных секторов, наиболее существенными из которых являются:</w:t>
      </w:r>
    </w:p>
    <w:p w:rsidR="00000000" w:rsidRDefault="00000000"/>
    <w:p w:rsidR="00000000" w:rsidRDefault="00000000">
      <w:pPr>
        <w:ind w:left="1134" w:hanging="567"/>
      </w:pPr>
      <w:r>
        <w:t>-</w:t>
      </w:r>
      <w:r>
        <w:tab/>
        <w:t>статья 7, ХХ - "защита рынка труда для женщин путем применения особых стимулов, предусмотренных законом";</w:t>
      </w:r>
    </w:p>
    <w:p w:rsidR="00000000" w:rsidRDefault="00000000">
      <w:pPr>
        <w:ind w:left="1134" w:hanging="567"/>
      </w:pPr>
    </w:p>
    <w:p w:rsidR="00000000" w:rsidRDefault="00000000">
      <w:pPr>
        <w:ind w:left="1134" w:hanging="567"/>
      </w:pPr>
      <w:r>
        <w:t>-</w:t>
      </w:r>
      <w:r>
        <w:tab/>
        <w:t>статья 37, VIII, - "резервирование в законодательном порядке процентной квоты государственных должностей и видов труда для инвалидов и определение критериев их найма на работу";</w:t>
      </w:r>
    </w:p>
    <w:p w:rsidR="00000000" w:rsidRDefault="00000000">
      <w:pPr>
        <w:ind w:left="1134" w:hanging="567"/>
      </w:pPr>
    </w:p>
    <w:p w:rsidR="00000000" w:rsidRDefault="00000000">
      <w:pPr>
        <w:ind w:left="1134" w:hanging="567"/>
      </w:pPr>
      <w:r>
        <w:t>-</w:t>
      </w:r>
      <w:r>
        <w:tab/>
        <w:t>статья 145, пункт 1 - "по мере возможности налоги должны носить индивидуальный характер и определяться в зависимости от экономического положения налогоплательщика";</w:t>
      </w:r>
    </w:p>
    <w:p w:rsidR="00000000" w:rsidRDefault="00000000">
      <w:pPr>
        <w:ind w:left="1134" w:hanging="567"/>
      </w:pPr>
    </w:p>
    <w:p w:rsidR="00000000" w:rsidRDefault="00000000">
      <w:pPr>
        <w:ind w:left="1134" w:hanging="567"/>
      </w:pPr>
      <w:r>
        <w:t>-</w:t>
      </w:r>
      <w:r>
        <w:tab/>
        <w:t>статья 170, IХ - "предоставление режима благоприятствования малым предприятиям, организуемым в соответствии с бразильским законодательством, штаб-квартира и управление которых находятся в Бразилии";</w:t>
      </w:r>
    </w:p>
    <w:p w:rsidR="00000000" w:rsidRDefault="00000000">
      <w:pPr>
        <w:ind w:left="1134" w:hanging="567"/>
      </w:pPr>
    </w:p>
    <w:p w:rsidR="00000000" w:rsidRDefault="00000000">
      <w:pPr>
        <w:ind w:left="1134" w:hanging="567"/>
      </w:pPr>
      <w:r>
        <w:t>-</w:t>
      </w:r>
      <w:r>
        <w:tab/>
        <w:t>статья 179 - "союз, штаты, федеральный округ и муниципалитеты в соответствии с законом должны предоставлять микропредприятиям и малым предприятиям дифференцированный правовой статус для содействия их развитию путем упрощения их обязательств по линии административной деятельности, налогообложения, социального обеспечения и кредитования или посредством ликвидации или сокращения количества таких обязательств путем применения особых законов".</w:t>
      </w:r>
    </w:p>
    <w:p w:rsidR="00000000" w:rsidRDefault="00000000"/>
    <w:p w:rsidR="00000000" w:rsidRDefault="00000000">
      <w:r>
        <w:t>317.</w:t>
      </w:r>
      <w:r>
        <w:tab/>
        <w:t>Что касается подзаконных норм, то некоторые из следующих законодательных актов служат основой для осуществления позитивных действий:</w:t>
      </w:r>
    </w:p>
    <w:p w:rsidR="00000000" w:rsidRDefault="00000000"/>
    <w:p w:rsidR="00000000" w:rsidRDefault="00000000">
      <w:pPr>
        <w:ind w:left="1134" w:hanging="567"/>
      </w:pPr>
      <w:r>
        <w:t>-</w:t>
      </w:r>
      <w:r>
        <w:tab/>
        <w:t>Законодательный указ № 5452/43 (</w:t>
      </w:r>
      <w:r>
        <w:rPr>
          <w:lang w:val="en-US"/>
        </w:rPr>
        <w:t>CLT</w:t>
      </w:r>
      <w:r>
        <w:t>), статья 354 которого предусматривает, что две трети работников частного или акционерного предприятия должны быть бразильцами;</w:t>
      </w:r>
    </w:p>
    <w:p w:rsidR="00000000" w:rsidRDefault="00000000">
      <w:pPr>
        <w:ind w:left="1134" w:hanging="567"/>
      </w:pPr>
    </w:p>
    <w:p w:rsidR="00000000" w:rsidRDefault="00000000">
      <w:pPr>
        <w:ind w:left="1134" w:hanging="567"/>
      </w:pPr>
      <w:r>
        <w:t>-</w:t>
      </w:r>
      <w:r>
        <w:tab/>
        <w:t>Законодательный указ № 5452/43 (</w:t>
      </w:r>
      <w:r>
        <w:rPr>
          <w:lang w:val="en-US"/>
        </w:rPr>
        <w:t>CLT</w:t>
      </w:r>
      <w:r>
        <w:t>), статья 373-А которого предусматривает принятие программ по исправлению перекосов, ведущих к возникновению неравенства между мужчинами и женщинами;</w:t>
      </w:r>
    </w:p>
    <w:p w:rsidR="00000000" w:rsidRDefault="00000000">
      <w:pPr>
        <w:ind w:left="1134" w:hanging="567"/>
      </w:pPr>
    </w:p>
    <w:p w:rsidR="00000000" w:rsidRDefault="00000000">
      <w:pPr>
        <w:ind w:left="1134" w:hanging="567"/>
      </w:pPr>
      <w:r>
        <w:t>-</w:t>
      </w:r>
      <w:r>
        <w:tab/>
        <w:t>Закон № 8112/90, пункт 2 статьи 5 которого устанавливает квоты найма на федеральную гражданскую службу инвалидов, численностью до 20%;</w:t>
      </w:r>
    </w:p>
    <w:p w:rsidR="00000000" w:rsidRDefault="00000000">
      <w:pPr>
        <w:ind w:left="1134" w:hanging="567"/>
      </w:pPr>
    </w:p>
    <w:p w:rsidR="00000000" w:rsidRDefault="00000000">
      <w:pPr>
        <w:ind w:left="1134" w:hanging="567"/>
      </w:pPr>
      <w:r>
        <w:t>-</w:t>
      </w:r>
      <w:r>
        <w:tab/>
        <w:t>Закон № 8113/93, статья 93 которого устанавливает квоты найма инвалидов на работу в частном секторе;</w:t>
      </w:r>
    </w:p>
    <w:p w:rsidR="00000000" w:rsidRDefault="00000000">
      <w:pPr>
        <w:ind w:left="1134" w:hanging="567"/>
      </w:pPr>
    </w:p>
    <w:p w:rsidR="00000000" w:rsidRDefault="00000000">
      <w:pPr>
        <w:ind w:left="1134" w:hanging="567"/>
      </w:pPr>
      <w:r>
        <w:t>-</w:t>
      </w:r>
      <w:r>
        <w:tab/>
        <w:t>Закон № 8666/93, статья 24 раздела ХХ которого отменяет в отношении инвалидов требование о прохождении конкурса при найме на работу в благотворительные организации;  и</w:t>
      </w:r>
    </w:p>
    <w:p w:rsidR="00000000" w:rsidRDefault="00000000">
      <w:pPr>
        <w:tabs>
          <w:tab w:val="left" w:pos="567"/>
        </w:tabs>
      </w:pPr>
    </w:p>
    <w:p w:rsidR="00000000" w:rsidRDefault="00000000">
      <w:pPr>
        <w:ind w:left="1134" w:hanging="1134"/>
        <w:rPr>
          <w:lang w:val="en-US"/>
        </w:rPr>
      </w:pPr>
      <w:r>
        <w:tab/>
        <w:t>-</w:t>
      </w:r>
      <w:r>
        <w:tab/>
        <w:t xml:space="preserve">Закон № 9504/97, пункт 2 статьи 10 которого предусматривает квоты для кандидатов женщин в политических партиях.  Что касается квот для женщин, то Верховный суд по выборам (ВСВ) заявил:  "Не менее 20% вакансий в каждой партии и коалиции должно быть заполнено кандидатами-женщинами".  Текст пункта 3 статьи 11 Закона № 9100/95 противоречит статье 3 раздела I Конституции (ТSE, </w:t>
      </w:r>
      <w:r>
        <w:rPr>
          <w:lang w:val="en-US"/>
        </w:rPr>
        <w:t>Special</w:t>
      </w:r>
      <w:r>
        <w:t xml:space="preserve"> </w:t>
      </w:r>
      <w:r>
        <w:rPr>
          <w:lang w:val="en-US"/>
        </w:rPr>
        <w:t>Appeal</w:t>
      </w:r>
      <w:r>
        <w:t xml:space="preserve"> </w:t>
      </w:r>
      <w:r>
        <w:rPr>
          <w:lang w:val="en-US"/>
        </w:rPr>
        <w:t>no</w:t>
      </w:r>
      <w:r>
        <w:t xml:space="preserve">. 13759, </w:t>
      </w:r>
      <w:r>
        <w:rPr>
          <w:lang w:val="en-US"/>
        </w:rPr>
        <w:t>Rap</w:t>
      </w:r>
      <w:r>
        <w:t xml:space="preserve">. </w:t>
      </w:r>
      <w:r>
        <w:rPr>
          <w:lang w:val="en-US"/>
        </w:rPr>
        <w:t>Nilson vital Naves, 1996).</w:t>
      </w:r>
    </w:p>
    <w:p w:rsidR="00000000" w:rsidRDefault="00000000">
      <w:pPr>
        <w:ind w:left="1134" w:hanging="1134"/>
        <w:rPr>
          <w:lang w:val="en-US"/>
        </w:rPr>
      </w:pPr>
    </w:p>
    <w:p w:rsidR="00000000" w:rsidRDefault="00000000">
      <w:r>
        <w:t>318.</w:t>
      </w:r>
      <w:r>
        <w:tab/>
        <w:t>Таким образом, бразильская конституционная система увязывает равенство и дискриминацию двумя различными путями, путем дополнения и путем установления обязательств в рамках общего согласия:</w:t>
      </w:r>
    </w:p>
    <w:p w:rsidR="00000000" w:rsidRDefault="00000000"/>
    <w:p w:rsidR="00000000" w:rsidRDefault="00000000">
      <w:r>
        <w:tab/>
        <w:t>а)</w:t>
      </w:r>
      <w:r>
        <w:tab/>
        <w:t>она запрещает дискриминацию в тех обстоятельствах, когда подобные действия могут приводить к возникновению неравенства;  и</w:t>
      </w:r>
    </w:p>
    <w:p w:rsidR="00000000" w:rsidRDefault="00000000"/>
    <w:p w:rsidR="00000000" w:rsidRDefault="00000000">
      <w:r>
        <w:tab/>
        <w:t>b)</w:t>
      </w:r>
      <w:r>
        <w:tab/>
        <w:t>она рекомендует прибегать к дискриминации как форме компенсации неравенства возможностей, т.е. когда подобные меры необходимы для обеспечения равенства.</w:t>
      </w:r>
    </w:p>
    <w:p w:rsidR="00000000" w:rsidRDefault="00000000"/>
    <w:p w:rsidR="00000000" w:rsidRDefault="00000000">
      <w:r>
        <w:t>319.</w:t>
      </w:r>
      <w:r>
        <w:tab/>
        <w:t>Это двуединое определение позволяет избегать неравенства и содействовать установлению равенства, имея два сколь разных, столь же и взаимодополняющих значения:</w:t>
      </w:r>
    </w:p>
    <w:p w:rsidR="00000000" w:rsidRDefault="00000000"/>
    <w:p w:rsidR="00000000" w:rsidRDefault="00000000">
      <w:r>
        <w:tab/>
        <w:t>а)</w:t>
      </w:r>
      <w:r>
        <w:tab/>
        <w:t>негативное значение, которое налагает негативное обязательство, подразумевает отказ от действий, выполнение пассивной роли, обязательство не действовать, т.е. не допускать дискриминации;  и</w:t>
      </w:r>
    </w:p>
    <w:p w:rsidR="00000000" w:rsidRDefault="00000000"/>
    <w:p w:rsidR="00000000" w:rsidRDefault="00000000">
      <w:r>
        <w:tab/>
        <w:t>b)</w:t>
      </w:r>
      <w:r>
        <w:tab/>
        <w:t>позитивное значение, которое налагает позитивное обязательство, подразумевает оказание помощи, выполнение активной роли, обязательство действовать, т.е. добиваться равенства.</w:t>
      </w:r>
    </w:p>
    <w:p w:rsidR="00000000" w:rsidRDefault="00000000"/>
    <w:p w:rsidR="00000000" w:rsidRDefault="00000000">
      <w:r>
        <w:t>320.</w:t>
      </w:r>
      <w:r>
        <w:tab/>
        <w:t>В рамках той же самой системы практикуются два типа дискриминации:  негативная дискриминация, незаконная и поэтому запрещенная, определяемая как несправедливая дискриминация;  и другая - позитивная - законная и в силу этого рекомендуемая.</w:t>
      </w:r>
    </w:p>
    <w:p w:rsidR="00000000" w:rsidRDefault="00000000"/>
    <w:p w:rsidR="00000000" w:rsidRDefault="00000000">
      <w:r>
        <w:t>321.</w:t>
      </w:r>
      <w:r>
        <w:tab/>
        <w:t>К тому же Конституция содержит критерии, позволяющие проводить различие между разными видами дискриминации, критерии, которые определяют два вида дискриминации, предусмотренные Федеральной конституцией:  один - нежелательный и другой - соответствующий принципу равенства.  Они приводятся в статье 5, XLI:  "Законом преследуется любая дискриминация […], ущемляющая основные права и свободы", - т.е. в случаях, когда она не является посягательством на основные права и свободы, бразильская правовая система вполне допускает дискриминацию.</w:t>
      </w:r>
    </w:p>
    <w:p w:rsidR="00000000" w:rsidRDefault="00000000"/>
    <w:p w:rsidR="00000000" w:rsidRDefault="00000000">
      <w:r>
        <w:t>322.</w:t>
      </w:r>
      <w:r>
        <w:tab/>
        <w:t>Мы должны особо выделить статью 7 раздела ХХ Конституции 1988 года, в которой идет речь о рынке труда для женщин и предусматриваются специальные стимулы, а также статью 37, VII, предусматривающую, что по закону за инвалидами резервируется конкретная доля государственных должностей и видов деятельности.  Пункт 1 статьи 145 требует, чтобы налоги носили индивидуальный характер и взимались с учетом экономического положения налогоплательщика.</w:t>
      </w:r>
    </w:p>
    <w:p w:rsidR="00000000" w:rsidRDefault="00000000"/>
    <w:p w:rsidR="00000000" w:rsidRDefault="00000000">
      <w:r>
        <w:t>323.</w:t>
      </w:r>
      <w:r>
        <w:tab/>
        <w:t>Что касается подзаконных актов, то среди них можно выделить следующие:</w:t>
      </w:r>
    </w:p>
    <w:p w:rsidR="00000000" w:rsidRDefault="00000000"/>
    <w:p w:rsidR="00000000" w:rsidRDefault="00000000">
      <w:pPr>
        <w:ind w:left="1134" w:hanging="1134"/>
      </w:pPr>
      <w:r>
        <w:tab/>
        <w:t>-</w:t>
      </w:r>
      <w:r>
        <w:tab/>
        <w:t>Законодательный указ № 5452/43 (Свод законов о труде), статья 354 которого предусматривает, что две трети работников индивидуальных или акционерных предприятий должны быть бразильцами;</w:t>
      </w:r>
    </w:p>
    <w:p w:rsidR="00000000" w:rsidRDefault="00000000">
      <w:pPr>
        <w:ind w:left="1134" w:hanging="1134"/>
      </w:pPr>
    </w:p>
    <w:p w:rsidR="00000000" w:rsidRDefault="00000000">
      <w:pPr>
        <w:ind w:left="1134" w:hanging="1134"/>
      </w:pPr>
      <w:r>
        <w:tab/>
        <w:t>-</w:t>
      </w:r>
      <w:r>
        <w:tab/>
        <w:t>Законодательный указ № 5452/43, статья 373-А которого предусматривает принятие программ по исправлению перекосов, приводящих к возникновению неравенства между мужчинами и женщинами;</w:t>
      </w:r>
    </w:p>
    <w:p w:rsidR="00000000" w:rsidRDefault="00000000">
      <w:pPr>
        <w:ind w:left="1134" w:hanging="1134"/>
      </w:pPr>
    </w:p>
    <w:p w:rsidR="00000000" w:rsidRDefault="00000000">
      <w:pPr>
        <w:ind w:left="1134" w:hanging="1134"/>
      </w:pPr>
      <w:r>
        <w:tab/>
        <w:t>-</w:t>
      </w:r>
      <w:r>
        <w:tab/>
        <w:t>Закон № 8112/90, пункт 2 статьи 5 которого предусматривает для инвалидов, нанимаемых на федеральную гражданскую службу, квоты в размере до 20%;</w:t>
      </w:r>
    </w:p>
    <w:p w:rsidR="00000000" w:rsidRDefault="00000000">
      <w:pPr>
        <w:ind w:left="1134" w:hanging="1134"/>
      </w:pPr>
    </w:p>
    <w:p w:rsidR="00000000" w:rsidRDefault="00000000">
      <w:pPr>
        <w:ind w:left="1134" w:hanging="1134"/>
      </w:pPr>
      <w:r>
        <w:tab/>
        <w:t>-</w:t>
      </w:r>
      <w:r>
        <w:tab/>
        <w:t>Закон № 8213/93, статья 93 которого предусматривает квоты для инвалидов в частном секторе;</w:t>
      </w:r>
    </w:p>
    <w:p w:rsidR="00000000" w:rsidRDefault="00000000">
      <w:pPr>
        <w:ind w:left="1134" w:hanging="1134"/>
      </w:pPr>
    </w:p>
    <w:p w:rsidR="00000000" w:rsidRDefault="00000000">
      <w:pPr>
        <w:ind w:left="1134" w:hanging="1134"/>
      </w:pPr>
      <w:r>
        <w:tab/>
        <w:t>-</w:t>
      </w:r>
      <w:r>
        <w:tab/>
        <w:t>Закон № 8666/93, статья 24 раздела ХХ которого отменяет для инвалидов требование о прохождении конкурса при найме на работу в благотворительные организации;  и</w:t>
      </w:r>
    </w:p>
    <w:p w:rsidR="00000000" w:rsidRDefault="00000000">
      <w:pPr>
        <w:ind w:left="1134" w:hanging="1134"/>
      </w:pPr>
    </w:p>
    <w:p w:rsidR="00000000" w:rsidRDefault="00000000">
      <w:pPr>
        <w:ind w:left="1134" w:hanging="1134"/>
      </w:pPr>
      <w:r>
        <w:tab/>
        <w:t>-</w:t>
      </w:r>
      <w:r>
        <w:tab/>
        <w:t>Закон № 9100/95, называемый также "Законом о квотах", согласно которому не менее 20% вакансий на выборные муниципальные должности должны отдаваться женщинам.</w:t>
      </w:r>
    </w:p>
    <w:p w:rsidR="00000000" w:rsidRDefault="00000000">
      <w:pPr>
        <w:ind w:left="1134" w:hanging="1134"/>
      </w:pPr>
    </w:p>
    <w:p w:rsidR="00000000" w:rsidRDefault="00000000">
      <w:r>
        <w:t>324.</w:t>
      </w:r>
      <w:r>
        <w:tab/>
        <w:t>В настоящее время на рассмотрении федерального сената находится законопроект № 650 от 1999 года, разработанный с участием сенатора Хосе Сарнея, который в русле позитивных действий предусматривает установление квот для чернокожего населения, обеспечивающих ему доступ к замещению государственных должностей, получению высшего образования и поддержку Фонда финансирования студентов высшей школы.  Законопроект гласит, что 20% вышеуказанных вакансий должны отдаваться чернокожему населению.</w:t>
      </w:r>
    </w:p>
    <w:p w:rsidR="00000000" w:rsidRDefault="00000000"/>
    <w:p w:rsidR="00000000" w:rsidRDefault="00000000">
      <w:pPr>
        <w:rPr>
          <w:b/>
          <w:bCs/>
        </w:rPr>
      </w:pPr>
      <w:r>
        <w:rPr>
          <w:b/>
          <w:bCs/>
        </w:rPr>
        <w:t>Инициативы гражданского общества (в партнерстве с государством)</w:t>
      </w:r>
    </w:p>
    <w:p w:rsidR="00000000" w:rsidRDefault="00000000">
      <w:pPr>
        <w:pStyle w:val="FootnoteText"/>
        <w:spacing w:line="288" w:lineRule="auto"/>
      </w:pPr>
    </w:p>
    <w:p w:rsidR="00000000" w:rsidRDefault="00000000">
      <w:r>
        <w:t>325.</w:t>
      </w:r>
      <w:r>
        <w:tab/>
        <w:t xml:space="preserve">В 70-х годах прошлого века возникло большое количество неправительственных организаций, представляющих чернокожее население.  Дарьен Дэвис предлагает подразделить эти организации на пять различных категорий:  а)  организации, способствующие развитию чернокожего населения в области образования и культуры;  </w:t>
      </w:r>
      <w:r>
        <w:rPr>
          <w:lang w:val="en-US"/>
        </w:rPr>
        <w:t>b</w:t>
      </w:r>
      <w:r>
        <w:t xml:space="preserve">)  организации, оказывающие юридические услуги, занимающиеся непосредственно правами человека и представляющие чернокожих при подаче ими исков против государственных должностных лиц;  с)  группы, занимающиеся психологическими проблемами чернокожих, такими, как чувство самоуважения;  </w:t>
      </w:r>
      <w:r>
        <w:rPr>
          <w:lang w:val="en-US"/>
        </w:rPr>
        <w:t>d</w:t>
      </w:r>
      <w:r>
        <w:t xml:space="preserve">)  организации, занимающиеся вопросами трудоустройства и профессиональной подготовки для выхода на рынок труда;  и  е)  организации, специально созданные для решения проблем чернокожих женщин.  </w:t>
      </w:r>
    </w:p>
    <w:p w:rsidR="00000000" w:rsidRDefault="00000000"/>
    <w:p w:rsidR="00000000" w:rsidRDefault="00000000">
      <w:r>
        <w:t>326.</w:t>
      </w:r>
      <w:r>
        <w:tab/>
        <w:t xml:space="preserve">Одной из областей, где неравенство проявляется наиболее наглядно, является доступ чернокожих к системе высшего образования.  Различные организации гражданского общества взялись за организацию альтернативных курсов по подготовке к сдаче экзаменов в университет, и с их помощью студенты получают доступ к изучению программ университетского уровня.  Обычно эти организации полагаются на работу добровольцев и облегчают доступ к образованию студентам и абитуриентам, у которых нет необходимых финансовых средств.  К числу таких инициатив относятся:  </w:t>
      </w:r>
    </w:p>
    <w:p w:rsidR="00000000" w:rsidRDefault="00000000"/>
    <w:p w:rsidR="00000000" w:rsidRDefault="00000000">
      <w:pPr>
        <w:ind w:left="1134" w:hanging="1134"/>
      </w:pPr>
      <w:r>
        <w:tab/>
        <w:t>-</w:t>
      </w:r>
      <w:r>
        <w:tab/>
        <w:t>"Эдукафро, Пастораль до Негро/Мовименто Негро", развернувшая деятельность в Рио-де-Жанейро и Сан-Паулу и действующая с начала 1990</w:t>
      </w:r>
      <w:r>
        <w:noBreakHyphen/>
        <w:t>х годов;</w:t>
      </w:r>
    </w:p>
    <w:p w:rsidR="00000000" w:rsidRDefault="00000000">
      <w:pPr>
        <w:ind w:left="1134" w:hanging="1134"/>
      </w:pPr>
    </w:p>
    <w:p w:rsidR="00000000" w:rsidRDefault="00000000">
      <w:pPr>
        <w:ind w:left="1134" w:hanging="1134"/>
      </w:pPr>
      <w:r>
        <w:tab/>
        <w:t>-</w:t>
      </w:r>
      <w:r>
        <w:tab/>
        <w:t>"Курсинхо до Нуклио де Консиленсия Негра" при университете Сан-Паулу, которая существует с 1994 года;</w:t>
      </w:r>
    </w:p>
    <w:p w:rsidR="00000000" w:rsidRDefault="00000000">
      <w:pPr>
        <w:ind w:left="1134" w:hanging="1134"/>
      </w:pPr>
    </w:p>
    <w:p w:rsidR="00000000" w:rsidRDefault="00000000">
      <w:pPr>
        <w:ind w:left="1134" w:hanging="1134"/>
      </w:pPr>
      <w:r>
        <w:tab/>
        <w:t>-</w:t>
      </w:r>
      <w:r>
        <w:tab/>
        <w:t>"Кема Эдукацао, Модименту Негру", Тукуруви, основанная в 1998 году;</w:t>
      </w:r>
    </w:p>
    <w:p w:rsidR="00000000" w:rsidRDefault="00000000">
      <w:pPr>
        <w:ind w:left="1134" w:hanging="1134"/>
      </w:pPr>
    </w:p>
    <w:p w:rsidR="00000000" w:rsidRDefault="00000000">
      <w:pPr>
        <w:ind w:left="1134" w:hanging="1134"/>
      </w:pPr>
      <w:r>
        <w:tab/>
        <w:t>-</w:t>
      </w:r>
      <w:r>
        <w:tab/>
        <w:t>"Зумби дос Палмарес", Порту-Алегри, действующая с 1996 года;</w:t>
      </w:r>
    </w:p>
    <w:p w:rsidR="00000000" w:rsidRDefault="00000000">
      <w:pPr>
        <w:ind w:left="1134" w:hanging="1134"/>
      </w:pPr>
    </w:p>
    <w:p w:rsidR="00000000" w:rsidRDefault="00000000">
      <w:pPr>
        <w:ind w:left="1134" w:hanging="1134"/>
      </w:pPr>
      <w:r>
        <w:tab/>
        <w:t>-</w:t>
      </w:r>
      <w:r>
        <w:tab/>
        <w:t>"Курсинху да ПУК", НЕФАРО (</w:t>
      </w:r>
      <w:r>
        <w:rPr>
          <w:lang w:val="en-US"/>
        </w:rPr>
        <w:t>N</w:t>
      </w:r>
      <w:r>
        <w:t>ú</w:t>
      </w:r>
      <w:r>
        <w:rPr>
          <w:lang w:val="en-US"/>
        </w:rPr>
        <w:t>cleo</w:t>
      </w:r>
      <w:r>
        <w:t xml:space="preserve"> </w:t>
      </w:r>
      <w:r>
        <w:rPr>
          <w:lang w:val="en-US"/>
        </w:rPr>
        <w:t>de</w:t>
      </w:r>
      <w:r>
        <w:t xml:space="preserve"> </w:t>
      </w:r>
      <w:r>
        <w:rPr>
          <w:lang w:val="en-US"/>
        </w:rPr>
        <w:t>Estudos</w:t>
      </w:r>
      <w:r>
        <w:t xml:space="preserve"> </w:t>
      </w:r>
      <w:r>
        <w:rPr>
          <w:lang w:val="en-US"/>
        </w:rPr>
        <w:t>Africanos</w:t>
      </w:r>
      <w:r>
        <w:t>), Центр африканских исследований, существующий с 1997 года;</w:t>
      </w:r>
    </w:p>
    <w:p w:rsidR="00000000" w:rsidRDefault="00000000">
      <w:pPr>
        <w:ind w:left="1134" w:hanging="1134"/>
      </w:pPr>
    </w:p>
    <w:p w:rsidR="00000000" w:rsidRDefault="00000000">
      <w:pPr>
        <w:ind w:left="1134" w:hanging="1134"/>
      </w:pPr>
      <w:r>
        <w:tab/>
        <w:t>-</w:t>
      </w:r>
      <w:r>
        <w:tab/>
        <w:t>Учебный и благотворительный институт им. Стива Бико, который действует в основном в Баие и существует с начала 1990-х годов.</w:t>
      </w:r>
    </w:p>
    <w:p w:rsidR="00000000" w:rsidRDefault="00000000">
      <w:pPr>
        <w:ind w:left="1134" w:hanging="1134"/>
      </w:pPr>
    </w:p>
    <w:p w:rsidR="00000000" w:rsidRDefault="00000000">
      <w:r>
        <w:t>327.</w:t>
      </w:r>
      <w:r>
        <w:tab/>
        <w:t>С сентября 1999 года Государственный секретариат по правам человека действовал в качестве связующего звена между курсами по подготовке к вступительным экзаменам в университет, предназначавшимися для чернокожего и лишенного преимуществ населения, министерством образования и ЮНЕСКО.  Эти усилия привели к утверждению проектов для курсы, нацеленных на подготовку учебных материалов, предоставление проездных билетов наиболее нуждающимся студентам, подготовку преподавателей-добровольцев и сбор средств для покупки учебных материалов.  В рамках этих усилий функционировали курсы, организованные в штатах Рио-де-Жанейро, Сан-Паулу, Минас-Жерайс, Баия, Пернамбуку и Мату-Гроссу-ду-Сул.</w:t>
      </w:r>
    </w:p>
    <w:p w:rsidR="00000000" w:rsidRDefault="00000000"/>
    <w:p w:rsidR="00000000" w:rsidRDefault="00000000">
      <w:r>
        <w:t>328.</w:t>
      </w:r>
      <w:r>
        <w:tab/>
        <w:t>Наконец, мы хотели бы упомянуть о том, что министерство образования с помощью Межведомственной рабочей группы по продвижению чернокожего населения разработало "десять общенациональных параметров, подлежащих включению в учебные программы".  Начиная с 1995 года министерство образования, внедряя в жизнь эти параметры, разрабатывает учебные программы для восьми ступеней начального образования с учетом особенностей каждого региона и роли афро-бразильского населения и его культурного вклада в строительство страны.  Таким образом, правительство вместе со своими партнерами стремится бороться с предрассудками и дискриминацией в школах, заменяя их ценностями демократического равенства, культурного плюрализма и социальной справедливости.</w:t>
      </w:r>
    </w:p>
    <w:p w:rsidR="00000000" w:rsidRDefault="00000000"/>
    <w:p w:rsidR="00000000" w:rsidRDefault="00000000">
      <w:pPr>
        <w:keepNext/>
        <w:ind w:left="567" w:hanging="567"/>
        <w:jc w:val="center"/>
        <w:rPr>
          <w:b/>
          <w:bCs/>
        </w:rPr>
      </w:pPr>
      <w:r>
        <w:rPr>
          <w:b/>
          <w:bCs/>
          <w:lang w:val="en-US"/>
        </w:rPr>
        <w:t>VII</w:t>
      </w:r>
      <w:r>
        <w:rPr>
          <w:b/>
          <w:bCs/>
        </w:rPr>
        <w:t>.</w:t>
      </w:r>
      <w:r>
        <w:rPr>
          <w:b/>
          <w:bCs/>
        </w:rPr>
        <w:tab/>
        <w:t>НАЦИОНАЛЬНАЯ ПРОГРАММА ПО ПРАВАМ ЧЕЛОВЕКА</w:t>
      </w:r>
    </w:p>
    <w:p w:rsidR="00000000" w:rsidRDefault="00000000">
      <w:pPr>
        <w:keepNext/>
        <w:ind w:left="567" w:hanging="567"/>
        <w:jc w:val="center"/>
        <w:rPr>
          <w:b/>
          <w:bCs/>
        </w:rPr>
      </w:pPr>
      <w:r>
        <w:rPr>
          <w:b/>
          <w:bCs/>
        </w:rPr>
        <w:t>И ВОПРОСЫ РАСИЗМА И ДИСКРИМИНАЦИИ</w:t>
      </w:r>
    </w:p>
    <w:p w:rsidR="00000000" w:rsidRDefault="00000000">
      <w:pPr>
        <w:keepNext/>
        <w:rPr>
          <w:b/>
          <w:bCs/>
        </w:rPr>
      </w:pPr>
    </w:p>
    <w:p w:rsidR="00000000" w:rsidRDefault="00000000">
      <w:r>
        <w:t>329.</w:t>
      </w:r>
      <w:r>
        <w:tab/>
        <w:t>Еще одним важным отправным документом для деятельности бразильского государства в рамках позитивных действий, направленных на борьбу с расизмом и дискриминацией, является Национальная программа по правам человека (НППР).</w:t>
      </w:r>
    </w:p>
    <w:p w:rsidR="00000000" w:rsidRDefault="00000000"/>
    <w:p w:rsidR="00000000" w:rsidRDefault="00000000">
      <w:r>
        <w:t>330.</w:t>
      </w:r>
      <w:r>
        <w:tab/>
        <w:t>Осуществление первого варианта данной Программы началось в 1996 году.  Мы можем утверждать, что за шесть лет после ее начала удалось систематизировать требования бразильского общества, касающиеся прав человека, и предложить альтернативные решения структурных проблем, тем самым оказав помощь в разработке и осуществлении государственной политики, стимулирующей создание государственных программ и учреждений, призванных поощрять и гарантировать осуществление прав человека.</w:t>
      </w:r>
    </w:p>
    <w:p w:rsidR="00000000" w:rsidRDefault="00000000"/>
    <w:p w:rsidR="00000000" w:rsidRDefault="00000000">
      <w:r>
        <w:t>331.</w:t>
      </w:r>
      <w:r>
        <w:tab/>
        <w:t>Первый вариант Национальной программы по правам человека, который был с тех пор усовершенствован и расширен, специально оговаривал вопрос о компенсационной политике, ставя в качестве цели развертывание позитивных действий по улучшению положения уязвимых групп общества.  С этой целью Национальная программа по правам человека ставит следующие задачи:</w:t>
      </w:r>
    </w:p>
    <w:p w:rsidR="00000000" w:rsidRDefault="00000000"/>
    <w:p w:rsidR="00000000" w:rsidRDefault="00000000">
      <w:r>
        <w:tab/>
        <w:t>а)</w:t>
      </w:r>
      <w:r>
        <w:tab/>
        <w:t>расширять представленность этнических групп, являющихся частью бразильского общества, в ведомственной рекламе, договоры на производство которой заключают учреждения, прямо и косвенно подчиняющиеся федеральной администрации, и компании, контролируемые федеральным правительством;</w:t>
      </w:r>
    </w:p>
    <w:p w:rsidR="00000000" w:rsidRDefault="00000000"/>
    <w:p w:rsidR="00000000" w:rsidRDefault="00000000">
      <w:r>
        <w:tab/>
      </w:r>
      <w:r>
        <w:rPr>
          <w:lang w:val="en-US"/>
        </w:rPr>
        <w:t>b</w:t>
      </w:r>
      <w:r>
        <w:t>)</w:t>
      </w:r>
      <w:r>
        <w:tab/>
        <w:t>поддерживать разработку мероприятий, содействующих продвижению чернокожего населения и государственных программ;</w:t>
      </w:r>
    </w:p>
    <w:p w:rsidR="00000000" w:rsidRDefault="00000000"/>
    <w:p w:rsidR="00000000" w:rsidRDefault="00000000">
      <w:r>
        <w:tab/>
      </w:r>
      <w:r>
        <w:rPr>
          <w:lang w:val="en-US"/>
        </w:rPr>
        <w:t>c</w:t>
      </w:r>
      <w:r>
        <w:t>)</w:t>
      </w:r>
      <w:r>
        <w:tab/>
        <w:t>поддерживать шаги частного сектора в области позитивной дискриминации;</w:t>
      </w:r>
    </w:p>
    <w:p w:rsidR="00000000" w:rsidRDefault="00000000"/>
    <w:p w:rsidR="00000000" w:rsidRDefault="00000000">
      <w:r>
        <w:tab/>
      </w:r>
      <w:r>
        <w:rPr>
          <w:lang w:val="en-US"/>
        </w:rPr>
        <w:t>d</w:t>
      </w:r>
      <w:r>
        <w:t>)</w:t>
      </w:r>
      <w:r>
        <w:tab/>
        <w:t>создать базу данных о положении с гражданскими, политическими, социальными, экономическими и культурными правами чернокожего населения в Бразилии, которая может служить руководством для программ позитивных действий, направленных на улучшение положения этих слоев населения;</w:t>
      </w:r>
    </w:p>
    <w:p w:rsidR="00000000" w:rsidRDefault="00000000"/>
    <w:p w:rsidR="00000000" w:rsidRDefault="00000000">
      <w:r>
        <w:tab/>
      </w:r>
      <w:r>
        <w:rPr>
          <w:lang w:val="en-US"/>
        </w:rPr>
        <w:t>e</w:t>
      </w:r>
      <w:r>
        <w:t>)</w:t>
      </w:r>
      <w:r>
        <w:tab/>
        <w:t>разработать позитивные мероприятия, открывающие чернокожим студентам возможность для прохождения профессиональных учебных курсов, обучения в университетах и овладения профессиями, связанными с высокими технологиями;</w:t>
      </w:r>
    </w:p>
    <w:p w:rsidR="00000000" w:rsidRDefault="00000000"/>
    <w:p w:rsidR="00000000" w:rsidRDefault="00000000">
      <w:r>
        <w:tab/>
      </w:r>
      <w:r>
        <w:rPr>
          <w:lang w:val="en-US"/>
        </w:rPr>
        <w:t>f</w:t>
      </w:r>
      <w:r>
        <w:t>)</w:t>
      </w:r>
      <w:r>
        <w:tab/>
        <w:t>разработать компенсационную политику, содействующую сдвигу социального и экономического положения чернокожего населения в лучшую сторону.</w:t>
      </w:r>
    </w:p>
    <w:p w:rsidR="00000000" w:rsidRDefault="00000000"/>
    <w:p w:rsidR="00000000" w:rsidRDefault="00000000">
      <w:r>
        <w:t>332.</w:t>
      </w:r>
      <w:r>
        <w:tab/>
        <w:t>В большинстве случаев цели НППР были включены в плановые и бюджетные документы федерального правительства, превратившись в конкретные программы и мероприятия, финансируемые за счет средств, предусмотренных законодательством о годовом бюджете, в соответствии с многолетним планом.</w:t>
      </w:r>
    </w:p>
    <w:p w:rsidR="00000000" w:rsidRDefault="00000000"/>
    <w:p w:rsidR="00000000" w:rsidRDefault="00000000">
      <w:r>
        <w:t>333.</w:t>
      </w:r>
      <w:r>
        <w:tab/>
        <w:t>К числу основных законодательных мер, принятых на основе предложений НППР, можно отнести признание смерти лиц, исчезнувших вследствие своей политической деятельности (Закон № 9140/95), - государство взяло на себя ответственность за их гибель и выплатило компенсацию семьям жертв;  передача военными судами своей юрисдикции гражданским судам по делам о преднамеренных покушениях на жизнь, совершенных офицерами военной полиции (Закон № 9299/96).  Это открыло путь для предъявления обвинения и судебного преследования офицеров военной полиции в случаях многочисленных и серьезных нарушений, подобных тем, что имели место в Карандиру, Корумбьяра и Эльдораду-душ-Карайяс;  квалификация пыток в качестве преступления (Закон № 9455/97), которая стала вехой в осуществлении усилий, направленных на борьбу с преступлениями подобного рода в Бразилии, и разработка предлагаемой реформы судебной власти, которая включает принятие мер, направленных на упрощение рассмотрения дел лиц, ответственных за нарушения, так называемую "федерализацию" преступлений, связанных с нарушениями прав человека.</w:t>
      </w:r>
    </w:p>
    <w:p w:rsidR="00000000" w:rsidRDefault="00000000"/>
    <w:p w:rsidR="00000000" w:rsidRDefault="00000000">
      <w:r>
        <w:t>334.</w:t>
      </w:r>
      <w:r>
        <w:tab/>
        <w:t>НППР способствовала также участию Бразилии в правозащитной деятельности системы Организации Объединенных Наций и региональных систем (Организации американских государств) путем проведения политики присоединения к международным соглашениям и конвенциям по правам человека и путем полной интеграции страны в межамериканскую систему.  Расширившееся сотрудничество с международными правозащитными органами было отмечено рядом специальных докладчиков Организации Объединенных Наций, посетивших Бразилию в последние годы.  Эти поездки позволили подготовить доклады, содержащие выводы и рекомендации, которые оказали существенную помощь в совершенствовании аналитических механизмов и выработке конкретных мер по решению проблем прав человека в Бразилии.</w:t>
      </w:r>
    </w:p>
    <w:p w:rsidR="00000000" w:rsidRDefault="00000000"/>
    <w:p w:rsidR="00000000" w:rsidRDefault="00000000">
      <w:r>
        <w:t>335.</w:t>
      </w:r>
      <w:r>
        <w:tab/>
        <w:t>Страну посетили специальные докладчики по вопросам незаконной торговли детьми и детской проституции и порнографии;  борьбы с насилием в отношении женщин;  по вопросам расизма, расовой дискриминации, ксенофобии и связанной с ними нетерпимости;  ядовитых отходов;  по вопросу о пытках;  и в самое последнее время - по вопросу о праве на питание.  19 декабря 2001 года президент Республики открыто пригласил всех тематических докладчиков Комиссии по правам человека посетить Бразилию в любое время.  В подтверждение продолжения сотрудничества с тематическими механизмами Организации Объединенных Наций Специальный докладчик по вопросу о внесудебных казнях, казнях без надлежащего судебного разбирательства и произвольных казнях посетил страну в 2003 году.</w:t>
      </w:r>
    </w:p>
    <w:p w:rsidR="00000000" w:rsidRDefault="00000000"/>
    <w:p w:rsidR="00000000" w:rsidRDefault="00000000">
      <w:r>
        <w:t>336.</w:t>
      </w:r>
      <w:r>
        <w:tab/>
        <w:t>Точно так же сотрудничество с надзорными органами ОАГ позволило полюбовно урегулировать случаи нарушений, находившиеся на рассмотрении Межамериканской комиссии по правам человека, дав возможность предоставить компенсацию и возмещение ущерба жертвам подобных нарушений или их семьям, а также принять административные и правовые меры для недопущения новых нарушений.  Принятие обязательной юрисдикции Межамериканского суда по правам человека является для всех бразильцев дополнительной гарантией того, что права, предусмотренные Американской конвенцией о правах человека, будут защищены в случаях, когда суды страны окажутся неспособны обеспечить отправление правосудия.</w:t>
      </w:r>
    </w:p>
    <w:p w:rsidR="00000000" w:rsidRDefault="00000000"/>
    <w:p w:rsidR="00000000" w:rsidRDefault="00000000">
      <w:r>
        <w:t>337.</w:t>
      </w:r>
      <w:r>
        <w:tab/>
        <w:t>Внутри страны о результатах разработки и осуществления НППР можно судить по тому, насколько повысилось внимание к открытому обсуждению вопросов, связанных с защитой и поощрением прав человека, таких, как усилия по борьбе с сексуальной эксплуатацией детей и подростков, реформа механизмов возвращения несовершеннолетних правонарушителей в жизнь общества, сохранение минимального возраста право- и дееспособности, усилия по борьбе с любыми формами дискриминации, принятие программ позитивных действий и расширение равенства, а также борьба с применением пыток.  Усилия в области содействия поощрению и защите прав человека предпринимались исходя из понимания стратегического значения скоординированных действий органов управления федерального уровня, уровня штатов и муниципалитетов, исполнительной, законодательной и судебной ветвей власти, а также партнерских связей, налаженных между правительственными ведомствами и организациями, представляющими гражданское общество.</w:t>
      </w:r>
    </w:p>
    <w:p w:rsidR="00000000" w:rsidRDefault="00000000"/>
    <w:p w:rsidR="00000000" w:rsidRDefault="00000000">
      <w:r>
        <w:t>338.</w:t>
      </w:r>
      <w:r>
        <w:tab/>
        <w:t>Приняв 13 мая 1996 года Национальную программу по правам человека, Бразилия стала одной из первых стран в мире, выполнивших одну из конкретных рекомендаций, сделанных Всемирной конференцией по правам человека, состоявшейся в Вене в 1993 году, и впервые официально определившей права человека в качестве государственной политики правительства.  Не отказываясь от полного и неизменного понимания прав человека, первоначальная программа сделала больший упор на гарантию защиты гражданских прав.</w:t>
      </w:r>
    </w:p>
    <w:p w:rsidR="00000000" w:rsidRDefault="00000000"/>
    <w:p w:rsidR="00000000" w:rsidRDefault="00000000">
      <w:r>
        <w:t>339.</w:t>
      </w:r>
      <w:r>
        <w:tab/>
        <w:t>Пересмотр НППР стал новой вехой в содействии поощрению и защите прав человека, поставив экономические, социальные и культурные права на тот же уровень, что гражданские и политические права, и удовлетворив тем самым требования организаций гражданского общества, выдвинутые на четвертой Национальной конференции по правам человека, состоявшейся 13-14 мая 1999 года в палате депутатов Бразилии.</w:t>
      </w:r>
    </w:p>
    <w:p w:rsidR="00000000" w:rsidRDefault="00000000"/>
    <w:p w:rsidR="00000000" w:rsidRDefault="00000000">
      <w:r>
        <w:t>340.</w:t>
      </w:r>
      <w:r>
        <w:tab/>
        <w:t>12 мая 2002 года, шесть лет спустя после начала осуществления первого варианта, наступила очередь второго варианта Национальной программы по правам человека.  Он включал в себя ряд мер, направленных, среди прочего, на искоренение расизма и практики маргинализации дискриминируемых слоев общества, а также на содействие поощрению равенства и полной интеграции выходцев из Африки, гомосексуалистов, женщин, престарелых, детей, подростков, индейцев, инвалидов и иностранцев.  В число направлений государственной политики, изложенных в НППР II, в результате активного диалога между государственными ведомствами и организациями гражданского общества включены 518 мероприятий, касающихся гражданских прав, экономической, социальной и культурной областей, которые призваны обеспечить бразильцам улучшение условий жизни и полное соблюдение их основных прав.</w:t>
      </w:r>
    </w:p>
    <w:p w:rsidR="00000000" w:rsidRDefault="00000000"/>
    <w:p w:rsidR="00000000" w:rsidRDefault="00000000">
      <w:r>
        <w:t>341.</w:t>
      </w:r>
      <w:r>
        <w:tab/>
        <w:t>Новый вариант Национальной программы дает правительству Бразилии и обществу возможность оценить путь, проделанный с 1996 года, особенно предложенные меры, воплотившиеся в правительственные программы, и проблемы, выявленные в ходе осуществления НППР.  Включение в нее вопроса об экономических, социальных и культурных правах в соответствии с понятием о неделимости и взаимозависимости всех прав человека, изложенных в Венской декларации и Программе действий 1993 года, производилось в соответствии с параметрами, определенными Федеральной конституцией 1988 года, и в соответствии с духом Международной конвенции об экономических, социальных и культурных правах и Сан-Салвадорского протокола об экономических, социальных и культурных правах, ратифицированных Бразилией в 1992 и 1996 годах, соответственно.</w:t>
      </w:r>
    </w:p>
    <w:p w:rsidR="00000000" w:rsidRDefault="00000000"/>
    <w:p w:rsidR="00000000" w:rsidRDefault="00000000">
      <w:r>
        <w:t>342.</w:t>
      </w:r>
      <w:r>
        <w:tab/>
        <w:t xml:space="preserve">НППР </w:t>
      </w:r>
      <w:r>
        <w:rPr>
          <w:lang w:val="en-US"/>
        </w:rPr>
        <w:t>II</w:t>
      </w:r>
      <w:r>
        <w:t xml:space="preserve"> включает в себя конкретные мероприятия, призванные гарантировать право на образование, охрану здоровья, социальное обеспечение и социальную помощь, право на труд, жилье, здоровую окружающую среду, питание, культуру и отдых, а также предложения, призванные повысить уровень образования и информированности всех бразильцев с целью утверждения и укрепления культуры уважения прав человека.  Для учета пожеланий гражданского общества были разработаны новые пути осуществления и контроля за осуществлением мер, предусмотренных Национальной программой, мер, основой которых является стратегическая взаимосвязь между осуществлением Программы и составлением соответствующих бюджетов на федеральном уровне, уровне штатов и муниципалитетов.  НППР </w:t>
      </w:r>
      <w:r>
        <w:rPr>
          <w:lang w:val="en-US"/>
        </w:rPr>
        <w:t>II</w:t>
      </w:r>
      <w:r>
        <w:t xml:space="preserve"> больше не ограничивает предлагаемые меры достижением краткосрочных, среднесрочных и долгосрочных целей, а скорее претворяется в жизнь в форме годовых планов действий, которые определяют, какие меры должны приниматься, какие бюджетные ассигнования должны направляться на их финансирование и какие ведомства должны отвечать за их осуществление.</w:t>
      </w:r>
    </w:p>
    <w:p w:rsidR="00000000" w:rsidRDefault="00000000"/>
    <w:p w:rsidR="00000000" w:rsidRDefault="00000000">
      <w:r>
        <w:t>343.</w:t>
      </w:r>
      <w:r>
        <w:tab/>
        <w:t xml:space="preserve">Осуществление НППР </w:t>
      </w:r>
      <w:r>
        <w:rPr>
          <w:lang w:val="en-US"/>
        </w:rPr>
        <w:t>II</w:t>
      </w:r>
      <w:r>
        <w:t xml:space="preserve"> началось в 2002 году после выделения на нее средств многолетним планом на 2000-2003 годы и соответствующим законом о годовом бюджете.  Ожидается, что в 2003 году НППР </w:t>
      </w:r>
      <w:r>
        <w:rPr>
          <w:lang w:val="en-US"/>
        </w:rPr>
        <w:t>II</w:t>
      </w:r>
      <w:r>
        <w:t xml:space="preserve"> повлияет на обсуждение вопроса о многолетнем плане на 2004-2007 годы.  Национальная программа будет также содержать параметры и указания относительно разработки социальных программ, которые должны быть подготовлены в стране за период до 2007 года, когда намечен пересмотр Программы.  </w:t>
      </w:r>
    </w:p>
    <w:p w:rsidR="00000000" w:rsidRDefault="00000000"/>
    <w:p w:rsidR="00000000" w:rsidRDefault="00000000">
      <w:r>
        <w:t>344.</w:t>
      </w:r>
      <w:r>
        <w:tab/>
        <w:t xml:space="preserve">Обсуждение предложений по подготовке нового варианта Программы было организовано с помощью региональных семинаров, в которых приняли широкое участие правительственные ведомства и организации гражданского общества, и затем их материалы были проанализированы и объединены Исследовательской группой по проблемам насилия университета Сан-Паулу.  Вслед за усилиями по систематизации предложений и консультаций с министерствами и ведомствами, занимающимися вопросами социальной политики, под руководством гражданского кабинета при президенте Республики был подготовлен документ, содержавший 500 предложений, в которых рассматривались все категории прав.  В период с 19 декабря 2001 года по 15 марта 2002 года государственный секретариат по правам человека провел с помощью Интернета консультацию, в результате которой после внесения соответствующих исправлений и окончательных корректив появился текст НППР </w:t>
      </w:r>
      <w:r>
        <w:rPr>
          <w:lang w:val="en-US"/>
        </w:rPr>
        <w:t>II</w:t>
      </w:r>
      <w:r>
        <w:t>, содержащий 518 предложений для деятельности нынешнего правительства.</w:t>
      </w:r>
    </w:p>
    <w:p w:rsidR="00000000" w:rsidRDefault="00000000"/>
    <w:p w:rsidR="00000000" w:rsidRDefault="00000000">
      <w:r>
        <w:t>345.</w:t>
      </w:r>
      <w:r>
        <w:tab/>
        <w:t>Предложения, нацеленные на краткосрочную перспективу, касаются:</w:t>
      </w:r>
    </w:p>
    <w:p w:rsidR="00000000" w:rsidRDefault="00000000"/>
    <w:p w:rsidR="00000000" w:rsidRDefault="00000000">
      <w:pPr>
        <w:ind w:left="1134" w:hanging="1134"/>
      </w:pPr>
      <w:r>
        <w:tab/>
        <w:t>-</w:t>
      </w:r>
      <w:r>
        <w:tab/>
        <w:t>поддержки межведомственной Рабочей группы, учрежденной указом президента от 20 ноября 1995 года для подготовки рекомендаций относительно мероприятий и программ улучшения положения чернокожего населения.  Государственный секретариат по правам человека организовал Рабочую группу по образцу исполнительного секретариата и через департамент по правам человека оказывал поддержку деятельности и мероприятий Рабочей группы;</w:t>
      </w:r>
    </w:p>
    <w:p w:rsidR="00000000" w:rsidRDefault="00000000">
      <w:pPr>
        <w:ind w:left="567" w:hanging="567"/>
      </w:pPr>
    </w:p>
    <w:p w:rsidR="00000000" w:rsidRDefault="00000000">
      <w:pPr>
        <w:ind w:left="1134" w:hanging="1134"/>
      </w:pPr>
      <w:r>
        <w:tab/>
        <w:t>-</w:t>
      </w:r>
      <w:r>
        <w:tab/>
        <w:t>введения требования о том, чтобы "цвет кожи" был включен во все информационные и регистрационные системы по народонаселению и в государственные базы данных.  Требование об указании цвета кожи было включено в годовой перечень социальных данных и общий реестр работающего и безработного населения.  Такой же вопрос был включен в проводившуюся Бразильским географическим и статистическим институтом перепись населения 2000 года;</w:t>
      </w:r>
    </w:p>
    <w:p w:rsidR="00000000" w:rsidRDefault="00000000"/>
    <w:p w:rsidR="00000000" w:rsidRDefault="00000000">
      <w:pPr>
        <w:ind w:left="1134" w:hanging="1134"/>
      </w:pPr>
      <w:r>
        <w:tab/>
        <w:t>-</w:t>
      </w:r>
      <w:r>
        <w:tab/>
        <w:t xml:space="preserve">поддержки Рабочей группы по ликвидации дискриминации в сфере труда и занятий (РГЛДТЗ), созданную при министерстве труда постановлением от 20 марта 1996 года.  РГЛДТЗ является трехсторонним органом, задача которого заключается в разработке плана действий и рекомендуемых стратегий борьбы с дискриминацией в сфере труда и занятий в соответствии с принципами, содержащимися в Конвенции МОТ № 111.  Государственный секретариат по правам человека имеет представителя в Совете РГЛДТЗ и содействует разработке и осуществлению ее предложений;  </w:t>
      </w:r>
    </w:p>
    <w:p w:rsidR="00000000" w:rsidRDefault="00000000">
      <w:pPr>
        <w:ind w:left="567" w:hanging="567"/>
      </w:pPr>
    </w:p>
    <w:p w:rsidR="00000000" w:rsidRDefault="00000000">
      <w:pPr>
        <w:ind w:left="1134" w:hanging="1134"/>
      </w:pPr>
      <w:r>
        <w:tab/>
        <w:t>-</w:t>
      </w:r>
      <w:r>
        <w:tab/>
        <w:t>поддержки деятельности по разработке мероприятий для улучшения положения чернокожего населения и осуществления государственных программ.  Текущая деятельность включает публикацию "Справочного руководства по истории чернокожего населения в современном обществе" (совместно с Национальным архивом) и сборника "Кто есть кто в самосознании чернокожего населения Бразилии".  Совместно с министерством образования и ЮНЕСКО были проведены совещания с организациями, предлагающими чернокожим и лишенным преимуществ группам населения курсы по подготовке к вступительным экзаменам в университеты;</w:t>
      </w:r>
    </w:p>
    <w:p w:rsidR="00000000" w:rsidRDefault="00000000">
      <w:pPr>
        <w:ind w:left="567" w:hanging="567"/>
      </w:pPr>
    </w:p>
    <w:p w:rsidR="00000000" w:rsidRDefault="00000000">
      <w:pPr>
        <w:ind w:left="1134" w:hanging="1134"/>
      </w:pPr>
      <w:r>
        <w:tab/>
        <w:t>-</w:t>
      </w:r>
      <w:r>
        <w:tab/>
        <w:t>поддержки деятельности частного сектора, связанной с позитивной дискриминацией, которая включает поддержку Института Этоса, в партнерстве с Промышленной федерацией Сан-Паулу и Фондом АБРИНКА по правам детей, выдвинувшего инициативу "Обязательство предпринимателей по поощрению разнообразия на производстве";</w:t>
      </w:r>
    </w:p>
    <w:p w:rsidR="00000000" w:rsidRDefault="00000000">
      <w:pPr>
        <w:ind w:left="567" w:hanging="567"/>
      </w:pPr>
    </w:p>
    <w:p w:rsidR="00000000" w:rsidRDefault="00000000">
      <w:pPr>
        <w:ind w:left="1134" w:hanging="1134"/>
      </w:pPr>
      <w:r>
        <w:tab/>
        <w:t>-</w:t>
      </w:r>
      <w:r>
        <w:tab/>
        <w:t xml:space="preserve">стимулирования государственных секретариатов по вопросам общественной безопасности для организации курсов переподготовки и семинаров  о расовой дискриминации.  </w:t>
      </w:r>
    </w:p>
    <w:p w:rsidR="00000000" w:rsidRDefault="00000000">
      <w:pPr>
        <w:ind w:left="567" w:hanging="567"/>
      </w:pPr>
    </w:p>
    <w:p w:rsidR="00000000" w:rsidRDefault="00000000">
      <w:pPr>
        <w:ind w:left="567" w:hanging="567"/>
      </w:pPr>
      <w:r>
        <w:t>346.</w:t>
      </w:r>
      <w:r>
        <w:tab/>
        <w:t>Среднесрочные предложения ориентированы на следующее:</w:t>
      </w:r>
    </w:p>
    <w:p w:rsidR="00000000" w:rsidRDefault="00000000">
      <w:pPr>
        <w:ind w:left="567" w:hanging="567"/>
      </w:pPr>
    </w:p>
    <w:p w:rsidR="00000000" w:rsidRDefault="00000000">
      <w:pPr>
        <w:ind w:left="567" w:hanging="567"/>
      </w:pPr>
      <w:r>
        <w:tab/>
        <w:t>-</w:t>
      </w:r>
      <w:r>
        <w:tab/>
        <w:t>отмену дискриминационных норм, сохраняющихся в подзаконных актах;</w:t>
      </w:r>
    </w:p>
    <w:p w:rsidR="00000000" w:rsidRDefault="00000000">
      <w:pPr>
        <w:ind w:left="567" w:hanging="567"/>
      </w:pPr>
    </w:p>
    <w:p w:rsidR="00000000" w:rsidRDefault="00000000">
      <w:pPr>
        <w:ind w:left="567" w:hanging="567"/>
      </w:pPr>
      <w:r>
        <w:tab/>
        <w:t>-</w:t>
      </w:r>
      <w:r>
        <w:tab/>
        <w:t>усовершенствование норм борьбы с дискриминацией чернокожего населения;</w:t>
      </w:r>
    </w:p>
    <w:p w:rsidR="00000000" w:rsidRDefault="00000000">
      <w:pPr>
        <w:ind w:left="567" w:hanging="567"/>
      </w:pPr>
    </w:p>
    <w:p w:rsidR="00000000" w:rsidRDefault="00000000">
      <w:pPr>
        <w:ind w:left="1134" w:hanging="1134"/>
      </w:pPr>
      <w:r>
        <w:tab/>
        <w:t>-</w:t>
      </w:r>
      <w:r>
        <w:tab/>
        <w:t>разработку базы данных о положении, сложившемся в бразильском обществе в области гражданских, политических, социальных, экономических и культурных прав чернокожего населения, которая может служить основой при принятии активных мер, нацеленных на продвижение интересов этой части населения.  В 1999 году Управление по правам человека поддержит и осуществит создание баз данных путем заключения соглашений с НПО, представляющими права чернокожего населения;</w:t>
      </w:r>
    </w:p>
    <w:p w:rsidR="00000000" w:rsidRDefault="00000000">
      <w:pPr>
        <w:ind w:left="567" w:hanging="567"/>
      </w:pPr>
    </w:p>
    <w:p w:rsidR="00000000" w:rsidRDefault="00000000">
      <w:pPr>
        <w:ind w:left="1134" w:hanging="1134"/>
      </w:pPr>
      <w:r>
        <w:tab/>
        <w:t>-</w:t>
      </w:r>
      <w:r>
        <w:tab/>
        <w:t>содействие картированию и регистрации в качестве части национального наследия мест и документов, имеющих историческое значение, а также содействие охране культурных памятников афро-бразильского характера.  Специальное министерство по аграрной политике и Национальный институт освоения земель и аграрной реформы (ИНКРА) конфисковали земли в различных штатах и вернули их сохраняющимся общинам беглых рабов.  В 1999 году Управление по правам человека выделит финансовые средства на поддержку исследований, которые завершатся картированием мест, представляющих исторический интерес;</w:t>
      </w:r>
    </w:p>
    <w:p w:rsidR="00000000" w:rsidRDefault="00000000">
      <w:pPr>
        <w:ind w:left="567" w:hanging="567"/>
      </w:pPr>
    </w:p>
    <w:p w:rsidR="00000000" w:rsidRDefault="00000000">
      <w:pPr>
        <w:ind w:left="1134" w:hanging="1134"/>
      </w:pPr>
      <w:r>
        <w:tab/>
        <w:t>-</w:t>
      </w:r>
      <w:r>
        <w:tab/>
        <w:t>разработку позитивных действий, обеспечивающих чернокожим доступ на курсы, которые позволят им овладеть профессиями, университетскими программами и высокими  технологиями.  Этот вопрос рассматривается Управлением по правам человека.  Ряд общин также внес свой вклад в достижение этой цели;</w:t>
      </w:r>
    </w:p>
    <w:p w:rsidR="00000000" w:rsidRDefault="00000000">
      <w:pPr>
        <w:ind w:left="567" w:hanging="567"/>
      </w:pPr>
    </w:p>
    <w:p w:rsidR="00000000" w:rsidRDefault="00000000">
      <w:pPr>
        <w:ind w:left="1134" w:hanging="1134"/>
      </w:pPr>
      <w:r>
        <w:tab/>
        <w:t>-</w:t>
      </w:r>
      <w:r>
        <w:tab/>
        <w:t>обращение к БИГС с просьбой утвердить критерии интеграции метисов и чернокожих как части всего чернокожего населения.  По результатам обсуждения с Государственным секретариатом по правам человека и БИГС было добавлено требование о включении вопроса о цвете кожи в их обзоры, в том числе в перепись населения 2000 года;</w:t>
      </w:r>
    </w:p>
    <w:p w:rsidR="00000000" w:rsidRDefault="00000000">
      <w:pPr>
        <w:ind w:left="567" w:hanging="567"/>
      </w:pPr>
    </w:p>
    <w:p w:rsidR="00000000" w:rsidRDefault="00000000">
      <w:pPr>
        <w:ind w:left="1134" w:hanging="1134"/>
      </w:pPr>
      <w:r>
        <w:tab/>
        <w:t>-</w:t>
      </w:r>
      <w:r>
        <w:tab/>
        <w:t>уделение внимания истории и борьбе чернокожего населения в период становления нашей страны в учебниках и на устранении стереотипов и дискриминационных ссылок.  Управление по правам человека поддержало публикацию большого числа книг, содержащих информацию об истории чернокожего населения Бразилии, подготовленную фондом Пальмарес, Национальным архивом и т.д.;</w:t>
      </w:r>
    </w:p>
    <w:p w:rsidR="00000000" w:rsidRDefault="00000000">
      <w:pPr>
        <w:ind w:left="567" w:hanging="567"/>
      </w:pPr>
    </w:p>
    <w:p w:rsidR="00000000" w:rsidRDefault="00000000">
      <w:pPr>
        <w:ind w:left="1134" w:hanging="1134"/>
      </w:pPr>
      <w:r>
        <w:tab/>
        <w:t>-</w:t>
      </w:r>
      <w:r>
        <w:tab/>
        <w:t>распространение международных конвенций, федеральных конституционных положений и законодательных актов, касающихся борьбы с расизмом.  Вместе с министерством труда и занятости Управление по правам человека подготовило публикации полных текстов международных конвенций о дискриминации при найме на работу.  Оно подготовило также публикации внутренних правовых документов;</w:t>
      </w:r>
    </w:p>
    <w:p w:rsidR="00000000" w:rsidRDefault="00000000">
      <w:pPr>
        <w:ind w:left="567" w:hanging="567"/>
      </w:pPr>
    </w:p>
    <w:p w:rsidR="00000000" w:rsidRDefault="00000000">
      <w:pPr>
        <w:ind w:left="1134" w:hanging="1134"/>
      </w:pPr>
      <w:r>
        <w:tab/>
        <w:t>-</w:t>
      </w:r>
      <w:r>
        <w:tab/>
        <w:t>поддержку подготовки и публикации документов, содействующих распространению антидискриминационного законодательства.  В 1998 году было распространено 150 000 экземпляров издания, содержащего законодательные документы по антидискриминационной политике, Национальную программу по правам человека и Всеобщую декларацию прав человека.  На 1999 год было подготовлено к распространению еще 250 000 экземпляров;  и</w:t>
      </w:r>
    </w:p>
    <w:p w:rsidR="00000000" w:rsidRDefault="00000000">
      <w:pPr>
        <w:ind w:left="567" w:hanging="567"/>
      </w:pPr>
    </w:p>
    <w:p w:rsidR="00000000" w:rsidRDefault="00000000">
      <w:pPr>
        <w:ind w:left="1134" w:hanging="1134"/>
      </w:pPr>
      <w:r>
        <w:tab/>
        <w:t>-</w:t>
      </w:r>
      <w:r>
        <w:tab/>
        <w:t>содействие обсуждению и обмену информацией между организациями, представляющими чернокожее население и различные правительственные ведомства, для разработки планов действий и стратегий по улучшению положения чернокожего населения.  Для достижения этой цели Управление по правам человека поддержало и приняло участие в совещаниях и семинарах, прошедших по всей стране.</w:t>
      </w:r>
    </w:p>
    <w:p w:rsidR="00000000" w:rsidRDefault="00000000"/>
    <w:p w:rsidR="00000000" w:rsidRDefault="00000000"/>
    <w:p w:rsidR="00000000" w:rsidRDefault="00000000">
      <w:r>
        <w:t>347.</w:t>
      </w:r>
      <w:r>
        <w:tab/>
        <w:t>Долгосрочные предложения касаются:</w:t>
      </w:r>
    </w:p>
    <w:p w:rsidR="00000000" w:rsidRDefault="00000000"/>
    <w:p w:rsidR="00000000" w:rsidRDefault="00000000">
      <w:pPr>
        <w:tabs>
          <w:tab w:val="clear" w:pos="567"/>
        </w:tabs>
        <w:ind w:left="1134" w:hanging="567"/>
      </w:pPr>
      <w:r>
        <w:t>-</w:t>
      </w:r>
      <w:r>
        <w:tab/>
        <w:t>содействия осуществлению мероприятий, способствующих сохранению исторического наследия и стимулирующих создание культурных ценностей чернокожим населением Бразилии, таких, как "Справочное руководство по истории чернокожего населения в современном обществе" в сотрудничестве с Национальным архивом и изданием "Кто есть кто в самосознании чернокожего населения Бразилии";  и</w:t>
      </w:r>
    </w:p>
    <w:p w:rsidR="00000000" w:rsidRDefault="00000000">
      <w:pPr>
        <w:tabs>
          <w:tab w:val="clear" w:pos="567"/>
        </w:tabs>
        <w:ind w:left="1134" w:hanging="567"/>
      </w:pPr>
    </w:p>
    <w:p w:rsidR="00000000" w:rsidRDefault="00000000">
      <w:pPr>
        <w:tabs>
          <w:tab w:val="clear" w:pos="567"/>
        </w:tabs>
        <w:ind w:left="1134" w:hanging="567"/>
      </w:pPr>
      <w:r>
        <w:t>-</w:t>
      </w:r>
      <w:r>
        <w:tab/>
        <w:t>разработки компенсационных программ, содействующих улучшению экономического и политического положения чернокожего населения.  Проведения встреч с организациями, предлагающими учебные курсы по подготовке к вступительным экзаменам в университеты.</w:t>
      </w:r>
    </w:p>
    <w:p w:rsidR="00000000" w:rsidRDefault="00000000">
      <w:pPr>
        <w:tabs>
          <w:tab w:val="clear" w:pos="567"/>
        </w:tabs>
        <w:ind w:left="1134" w:hanging="567"/>
      </w:pPr>
    </w:p>
    <w:p w:rsidR="00000000" w:rsidRDefault="00000000">
      <w:r>
        <w:t>348.</w:t>
      </w:r>
      <w:r>
        <w:tab/>
        <w:t>Помимо продолжения еще не завершенных проектов и видов деятельности, а также изучения вопроса о наилучших способах осуществления еще не законченных проектов, НППР II содержит свыше 500 новых предложений более широкого содержания, которые подробно рассматривают этот вопрос под углом зрения борьбы с расизмом и дискриминацией.</w:t>
      </w:r>
    </w:p>
    <w:p w:rsidR="00000000" w:rsidRDefault="00000000"/>
    <w:p w:rsidR="00000000" w:rsidRDefault="00000000">
      <w:r>
        <w:t>349.</w:t>
      </w:r>
      <w:r>
        <w:tab/>
        <w:t xml:space="preserve">Что касается расового вопроса и дискриминации, то НППР II ставит следующие задачи:  </w:t>
      </w:r>
    </w:p>
    <w:p w:rsidR="00000000" w:rsidRDefault="00000000"/>
    <w:p w:rsidR="00000000" w:rsidRDefault="00000000">
      <w:pPr>
        <w:tabs>
          <w:tab w:val="clear" w:pos="567"/>
        </w:tabs>
        <w:ind w:left="1134" w:hanging="567"/>
      </w:pPr>
      <w:r>
        <w:t>-</w:t>
      </w:r>
      <w:r>
        <w:tab/>
        <w:t>строже контролировать радио- и телевизионные программы, пропагандирующие преступность, насилие, пытки, расизм и другие формы дискриминации, акции карательных подразделений и смертную казнь, с целью установления ответственных сторон и принятия соответствующих правовых мер;</w:t>
      </w:r>
    </w:p>
    <w:p w:rsidR="00000000" w:rsidRDefault="00000000">
      <w:pPr>
        <w:tabs>
          <w:tab w:val="clear" w:pos="567"/>
        </w:tabs>
        <w:ind w:left="1134" w:hanging="567"/>
      </w:pPr>
    </w:p>
    <w:p w:rsidR="00000000" w:rsidRDefault="00000000">
      <w:pPr>
        <w:tabs>
          <w:tab w:val="clear" w:pos="567"/>
        </w:tabs>
        <w:ind w:left="1134" w:hanging="567"/>
      </w:pPr>
      <w:r>
        <w:t>-</w:t>
      </w:r>
      <w:r>
        <w:tab/>
        <w:t>запретить пропаганду неонацистских идей или таких идеологий, которые оправдывают насилие, особенно в отношении меньшинств;</w:t>
      </w:r>
    </w:p>
    <w:p w:rsidR="00000000" w:rsidRDefault="00000000">
      <w:pPr>
        <w:tabs>
          <w:tab w:val="clear" w:pos="567"/>
        </w:tabs>
        <w:ind w:left="1134" w:hanging="567"/>
      </w:pPr>
    </w:p>
    <w:p w:rsidR="00000000" w:rsidRDefault="00000000">
      <w:pPr>
        <w:tabs>
          <w:tab w:val="clear" w:pos="567"/>
        </w:tabs>
        <w:ind w:left="1134" w:hanging="567"/>
      </w:pPr>
      <w:r>
        <w:t>-</w:t>
      </w:r>
      <w:r>
        <w:tab/>
        <w:t xml:space="preserve">внести предложение о принятии законодательства, нацеленного на недопущение использования Интернета для поощрения практики, посягающей на права человека; </w:t>
      </w:r>
    </w:p>
    <w:p w:rsidR="00000000" w:rsidRDefault="00000000">
      <w:pPr>
        <w:tabs>
          <w:tab w:val="clear" w:pos="567"/>
        </w:tabs>
        <w:ind w:left="1134" w:hanging="567"/>
      </w:pPr>
    </w:p>
    <w:p w:rsidR="00000000" w:rsidRDefault="00000000">
      <w:pPr>
        <w:tabs>
          <w:tab w:val="clear" w:pos="567"/>
        </w:tabs>
        <w:ind w:left="1134" w:hanging="567"/>
      </w:pPr>
      <w:r>
        <w:t>-</w:t>
      </w:r>
      <w:r>
        <w:tab/>
        <w:t>совместно с имеющимися средствами массовой информации поддержать инициативы, нацеленные на повышение чувства собственного достоинства у выходцев из Африки, коренных народов и других групп населения, исторически являющихся жертвами расизма и других форм дискриминации;</w:t>
      </w:r>
    </w:p>
    <w:p w:rsidR="00000000" w:rsidRDefault="00000000">
      <w:pPr>
        <w:tabs>
          <w:tab w:val="clear" w:pos="567"/>
        </w:tabs>
        <w:ind w:left="1134" w:hanging="567"/>
      </w:pPr>
    </w:p>
    <w:p w:rsidR="00000000" w:rsidRDefault="00000000">
      <w:pPr>
        <w:tabs>
          <w:tab w:val="clear" w:pos="567"/>
        </w:tabs>
        <w:ind w:left="1134" w:hanging="567"/>
      </w:pPr>
      <w:r>
        <w:t>-</w:t>
      </w:r>
      <w:r>
        <w:tab/>
        <w:t>гарантировать всем бразильским гражданам право на свободу убеждений и вероисповедания;</w:t>
      </w:r>
    </w:p>
    <w:p w:rsidR="00000000" w:rsidRDefault="00000000">
      <w:pPr>
        <w:tabs>
          <w:tab w:val="clear" w:pos="567"/>
        </w:tabs>
        <w:ind w:left="1134" w:hanging="567"/>
      </w:pPr>
    </w:p>
    <w:p w:rsidR="00000000" w:rsidRDefault="00000000">
      <w:pPr>
        <w:tabs>
          <w:tab w:val="clear" w:pos="567"/>
        </w:tabs>
        <w:ind w:left="1134" w:hanging="567"/>
      </w:pPr>
      <w:r>
        <w:t>-</w:t>
      </w:r>
      <w:r>
        <w:tab/>
        <w:t>не допускать и искоренять религиозную нетерпимость, в том числе направленную на религиозные меньшинства и афро-бразильские культы;</w:t>
      </w:r>
    </w:p>
    <w:p w:rsidR="00000000" w:rsidRDefault="00000000">
      <w:pPr>
        <w:tabs>
          <w:tab w:val="clear" w:pos="567"/>
        </w:tabs>
        <w:ind w:left="1134" w:hanging="567"/>
      </w:pPr>
    </w:p>
    <w:p w:rsidR="00000000" w:rsidRDefault="00000000">
      <w:pPr>
        <w:tabs>
          <w:tab w:val="clear" w:pos="567"/>
        </w:tabs>
        <w:ind w:left="1134" w:hanging="567"/>
      </w:pPr>
      <w:r>
        <w:t>-</w:t>
      </w:r>
      <w:r>
        <w:tab/>
        <w:t>осуществлять положения Декларации о ликвидации всех форм нетерпимости и дискриминации на основе религии или убеждений, принятой Генеральной Ассамблеей 25 ноября 1981 года;</w:t>
      </w:r>
    </w:p>
    <w:p w:rsidR="00000000" w:rsidRDefault="00000000">
      <w:pPr>
        <w:tabs>
          <w:tab w:val="clear" w:pos="567"/>
        </w:tabs>
        <w:ind w:left="1134" w:hanging="567"/>
      </w:pPr>
    </w:p>
    <w:p w:rsidR="00000000" w:rsidRDefault="00000000">
      <w:pPr>
        <w:tabs>
          <w:tab w:val="clear" w:pos="567"/>
        </w:tabs>
        <w:ind w:left="1134" w:hanging="567"/>
      </w:pPr>
      <w:r>
        <w:t>-</w:t>
      </w:r>
      <w:r>
        <w:tab/>
        <w:t>запретить распространение расизма и/или пропаганды ксенофобии и заявлений, порочащих религии и подстрекающих к ненависти в отношении духовных и культурных ценностей;</w:t>
      </w:r>
    </w:p>
    <w:p w:rsidR="00000000" w:rsidRDefault="00000000">
      <w:pPr>
        <w:tabs>
          <w:tab w:val="clear" w:pos="567"/>
        </w:tabs>
        <w:ind w:left="1134" w:hanging="567"/>
      </w:pPr>
    </w:p>
    <w:p w:rsidR="00000000" w:rsidRDefault="00000000">
      <w:pPr>
        <w:tabs>
          <w:tab w:val="clear" w:pos="567"/>
        </w:tabs>
        <w:ind w:left="1134" w:hanging="567"/>
      </w:pPr>
      <w:r>
        <w:t>-</w:t>
      </w:r>
      <w:r>
        <w:tab/>
        <w:t>поощрять диалог между религиозными движениями, направленный на построение плюралистического общества на основе признания и уважения различий в убеждениях и вероисповедании;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деятельность Национальной комиссии по борьбе с расизмом, созданной при министерстве юстиции, и осуществление ее решений;</w:t>
      </w:r>
    </w:p>
    <w:p w:rsidR="00000000" w:rsidRDefault="00000000">
      <w:pPr>
        <w:tabs>
          <w:tab w:val="clear" w:pos="567"/>
        </w:tabs>
        <w:ind w:left="1134" w:hanging="567"/>
      </w:pPr>
    </w:p>
    <w:p w:rsidR="00000000" w:rsidRDefault="00000000">
      <w:pPr>
        <w:tabs>
          <w:tab w:val="clear" w:pos="567"/>
        </w:tabs>
        <w:ind w:left="1134" w:hanging="567"/>
      </w:pPr>
      <w:r>
        <w:t>-</w:t>
      </w:r>
      <w:r>
        <w:tab/>
        <w:t>поощрять распространение и применение антидискриминационного законодательства, а также отмену дискриминационных норм, содержащихся в подзаконных актах;</w:t>
      </w:r>
    </w:p>
    <w:p w:rsidR="00000000" w:rsidRDefault="00000000">
      <w:pPr>
        <w:tabs>
          <w:tab w:val="clear" w:pos="567"/>
        </w:tabs>
        <w:ind w:left="1134" w:hanging="567"/>
      </w:pPr>
    </w:p>
    <w:p w:rsidR="00000000" w:rsidRDefault="00000000">
      <w:pPr>
        <w:tabs>
          <w:tab w:val="clear" w:pos="567"/>
        </w:tabs>
        <w:ind w:left="1134" w:hanging="567"/>
      </w:pPr>
      <w:r>
        <w:t>-</w:t>
      </w:r>
      <w:r>
        <w:tab/>
        <w:t>стимулировать создание каналов, обеспечивающих населению прямой и регулярный доступ к правительственной информации и документам, в частности к информации о состоянии расследований и правовых мерах, принимаемых в случаях нарушений прав человека;</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принятие правительством и частным сектором программ позитивных действий по борьбе с неравенством;</w:t>
      </w:r>
    </w:p>
    <w:p w:rsidR="00000000" w:rsidRDefault="00000000">
      <w:pPr>
        <w:tabs>
          <w:tab w:val="clear" w:pos="567"/>
        </w:tabs>
        <w:ind w:left="1134" w:hanging="567"/>
      </w:pPr>
    </w:p>
    <w:p w:rsidR="00000000" w:rsidRDefault="00000000">
      <w:pPr>
        <w:tabs>
          <w:tab w:val="clear" w:pos="567"/>
        </w:tabs>
        <w:ind w:left="1134" w:hanging="567"/>
      </w:pPr>
      <w:r>
        <w:t>-</w:t>
      </w:r>
      <w:r>
        <w:tab/>
        <w:t>поощрять анализ в целях внесения изменений в Закон о процедуре государственных конкурентных торгов, с тем чтобы в случаях, когда все конкурсные процедуры исчерпаны и у кандидатов сохраняются равные шансы, критерий выбора, в настоящее время заключающийся в определении победителя путем жребия, был заменен проведением в жизнь политики позитивных действий, направленной на поддержку дискриминируемых групп населения;</w:t>
      </w:r>
    </w:p>
    <w:p w:rsidR="00000000" w:rsidRDefault="00000000">
      <w:pPr>
        <w:tabs>
          <w:tab w:val="clear" w:pos="567"/>
        </w:tabs>
        <w:ind w:left="1134" w:hanging="567"/>
      </w:pPr>
    </w:p>
    <w:p w:rsidR="00000000" w:rsidRDefault="00000000">
      <w:pPr>
        <w:tabs>
          <w:tab w:val="clear" w:pos="567"/>
        </w:tabs>
        <w:ind w:left="1134" w:hanging="567"/>
      </w:pPr>
      <w:r>
        <w:t>-</w:t>
      </w:r>
      <w:r>
        <w:tab/>
        <w:t xml:space="preserve">поддержать включение в школьные учебные программы материалов по проблеме дискриминации в бразильском обществе и по вопросу о праве всех групп и отдельных лиц на равенство перед законом;  </w:t>
      </w:r>
    </w:p>
    <w:p w:rsidR="00000000" w:rsidRDefault="00000000">
      <w:pPr>
        <w:tabs>
          <w:tab w:val="clear" w:pos="567"/>
        </w:tabs>
        <w:ind w:left="1134" w:hanging="567"/>
      </w:pPr>
    </w:p>
    <w:p w:rsidR="00000000" w:rsidRDefault="00000000">
      <w:pPr>
        <w:tabs>
          <w:tab w:val="clear" w:pos="567"/>
        </w:tabs>
        <w:ind w:left="1134" w:hanging="567"/>
      </w:pPr>
      <w:r>
        <w:t>-</w:t>
      </w:r>
      <w:r>
        <w:tab/>
        <w:t>поддержать деятельность Национального совета по правам женщин, а также советов по правам женщин на уровне штатов и муниципалитетов;</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разработке правительственных программ на федеральном уровне, на уровне штатов и муниципалитетов, которые призваны обеспечить равенство прав на всех уровнях, в том числе прав на охрану здоровья, образование и профессиональную подготовку, на труд, на социальное обеспечение, на получение собственности и кредитов в сельских районах, на культуру, политическую свободу и справедливость;</w:t>
      </w:r>
    </w:p>
    <w:p w:rsidR="00000000" w:rsidRDefault="00000000">
      <w:pPr>
        <w:tabs>
          <w:tab w:val="clear" w:pos="567"/>
        </w:tabs>
        <w:ind w:left="1134" w:hanging="567"/>
      </w:pPr>
    </w:p>
    <w:p w:rsidR="00000000" w:rsidRDefault="00000000">
      <w:pPr>
        <w:tabs>
          <w:tab w:val="clear" w:pos="567"/>
        </w:tabs>
        <w:ind w:left="1134" w:hanging="567"/>
      </w:pPr>
      <w:r>
        <w:t>-</w:t>
      </w:r>
      <w:r>
        <w:tab/>
        <w:t>стимулировать подготовку учителей для начальной и средней школы по национальным параметрам в том, что касается вопросов, связанных с обеспечением равенства между полами и усилий по борьбе с дискриминацией в отношении женщин;</w:t>
      </w:r>
    </w:p>
    <w:p w:rsidR="00000000" w:rsidRDefault="00000000">
      <w:pPr>
        <w:tabs>
          <w:tab w:val="clear" w:pos="567"/>
        </w:tabs>
        <w:ind w:left="1134" w:hanging="567"/>
      </w:pPr>
    </w:p>
    <w:p w:rsidR="00000000" w:rsidRDefault="00000000">
      <w:pPr>
        <w:tabs>
          <w:tab w:val="clear" w:pos="567"/>
        </w:tabs>
        <w:ind w:left="1134" w:hanging="567"/>
      </w:pPr>
      <w:r>
        <w:t>-</w:t>
      </w:r>
      <w:r>
        <w:tab/>
        <w:t>стимулировать организацию учебных курсов по подготовке женщин к занятию руководящих постов на местном уровне с целью заполнения квот женщин-кандидаток на выборные должности;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содержащиеся в статье 7 раздела ХХ Федеральной конституции положения, предусматривающие защиту женщин на рынке труда;</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программы по распространению информации по гендерным вопросам и вопросам насилия в семье и сексуального насилия путем обучения и подготовки будущих медицинских и юридических работников, гражданских служащих и сотрудников военной полиции, делая упор на защиту прав выходцев из Африки и женщин из числа коренных народов;</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признание бразильским государством того факта, что рабство и торговля рабами с другого побережья Атлантики являлись тяжкими и систематическими нарушениями прав человека, которые сегодня считались бы преступлениями против человечности;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признание бразильским государством экономической, социальной и политической маргинализации, которой подверглись выходцы из Африки в результате рабства;</w:t>
      </w:r>
    </w:p>
    <w:p w:rsidR="00000000" w:rsidRDefault="00000000">
      <w:pPr>
        <w:tabs>
          <w:tab w:val="clear" w:pos="567"/>
        </w:tabs>
        <w:ind w:left="1134" w:hanging="567"/>
      </w:pPr>
    </w:p>
    <w:p w:rsidR="00000000" w:rsidRDefault="00000000">
      <w:pPr>
        <w:tabs>
          <w:tab w:val="clear" w:pos="567"/>
        </w:tabs>
        <w:ind w:left="1134" w:hanging="567"/>
      </w:pPr>
      <w:r>
        <w:t>-</w:t>
      </w:r>
      <w:r>
        <w:tab/>
        <w:t>принять в рамках союза компенсационные меры и содействовать принятию штатами и муниципалитетами мер, направленных на ликвидацию расовой дискриминации и поощрение равных возможностей, таких, как расширение доступа выходцев из Африки в государственные университеты, на профессиональные курсы, к обучению высоким технологиям, к занятиям государственных должностей в количествах, пропорциональных их представленности в бразильском обществе в целом;</w:t>
      </w:r>
    </w:p>
    <w:p w:rsidR="00000000" w:rsidRDefault="00000000">
      <w:pPr>
        <w:tabs>
          <w:tab w:val="clear" w:pos="567"/>
        </w:tabs>
        <w:ind w:left="1134" w:hanging="567"/>
      </w:pPr>
    </w:p>
    <w:p w:rsidR="00000000" w:rsidRDefault="00000000">
      <w:pPr>
        <w:tabs>
          <w:tab w:val="clear" w:pos="567"/>
        </w:tabs>
        <w:ind w:left="1134" w:hanging="567"/>
      </w:pPr>
      <w:r>
        <w:t>-</w:t>
      </w:r>
      <w:r>
        <w:tab/>
        <w:t>создать базы данных об осуществлении в бразильском обществе гражданских, политических, социальных, экономических и культурных прав выходцами из Африки, которые должны служить руководством при принятии действенной государственной политики;</w:t>
      </w:r>
    </w:p>
    <w:p w:rsidR="00000000" w:rsidRDefault="00000000">
      <w:pPr>
        <w:tabs>
          <w:tab w:val="clear" w:pos="567"/>
        </w:tabs>
        <w:ind w:left="1134" w:hanging="567"/>
      </w:pPr>
    </w:p>
    <w:p w:rsidR="00000000" w:rsidRDefault="00000000">
      <w:pPr>
        <w:tabs>
          <w:tab w:val="clear" w:pos="567"/>
        </w:tabs>
        <w:ind w:left="1134" w:hanging="567"/>
      </w:pPr>
      <w:r>
        <w:t>-</w:t>
      </w:r>
      <w:r>
        <w:tab/>
        <w:t>изучить возможность создания фондов социальной компенсации для финансирования программ позитивных действий и расширения равных возможностей;</w:t>
      </w:r>
    </w:p>
    <w:p w:rsidR="00000000" w:rsidRDefault="00000000">
      <w:pPr>
        <w:tabs>
          <w:tab w:val="clear" w:pos="567"/>
        </w:tabs>
        <w:ind w:left="1134" w:hanging="567"/>
      </w:pPr>
    </w:p>
    <w:p w:rsidR="00000000" w:rsidRDefault="00000000">
      <w:pPr>
        <w:tabs>
          <w:tab w:val="clear" w:pos="567"/>
        </w:tabs>
        <w:ind w:left="1134" w:hanging="567"/>
      </w:pPr>
      <w:r>
        <w:t>-</w:t>
      </w:r>
      <w:r>
        <w:tab/>
        <w:t>осуществлять Международную конвенцию о ликвидации всех форм расовой дискриминации, Конвенцию МОТ № 111 о дискриминации в области труда и занятий и Конвенцию о борьбе с дискриминацией в области образования;</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созданию и обеспечению функционирования программ помощи и юридического консультирования для расширения доступа выходцев из Африки к судебной системе;</w:t>
      </w:r>
    </w:p>
    <w:p w:rsidR="00000000" w:rsidRDefault="00000000">
      <w:pPr>
        <w:tabs>
          <w:tab w:val="clear" w:pos="567"/>
        </w:tabs>
        <w:ind w:left="1134" w:hanging="567"/>
      </w:pPr>
    </w:p>
    <w:p w:rsidR="00000000" w:rsidRDefault="00000000">
      <w:pPr>
        <w:tabs>
          <w:tab w:val="clear" w:pos="567"/>
        </w:tabs>
        <w:ind w:left="1134" w:hanging="567"/>
      </w:pPr>
      <w:r>
        <w:t>-</w:t>
      </w:r>
      <w:r>
        <w:tab/>
        <w:t>поддерживать положение статьи 68 Закона о временных конституционных положениях, предусматривающее признание постоянной собственности на земли, занимаемые сохраняющимися общинами беглых рабов;</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регистрации и выявлению сохраняющихся общин беглых рабов по всей территории страны с целью выдачи постоянных титулов на их земли;</w:t>
      </w:r>
    </w:p>
    <w:p w:rsidR="00000000" w:rsidRDefault="00000000">
      <w:pPr>
        <w:tabs>
          <w:tab w:val="clear" w:pos="567"/>
        </w:tabs>
        <w:ind w:left="1134" w:hanging="567"/>
      </w:pPr>
    </w:p>
    <w:p w:rsidR="00000000" w:rsidRDefault="00000000">
      <w:pPr>
        <w:tabs>
          <w:tab w:val="clear" w:pos="567"/>
        </w:tabs>
        <w:ind w:left="1134" w:hanging="567"/>
      </w:pPr>
      <w:r>
        <w:t>-</w:t>
      </w:r>
      <w:r>
        <w:tab/>
        <w:t>поддерживать меры, направленные на выдворение незаконных поселенцев и лиц, незаконно вторгшихся на документально закрепленные земли, принадлежащие общинам беглых рабов;</w:t>
      </w:r>
    </w:p>
    <w:p w:rsidR="00000000" w:rsidRDefault="00000000">
      <w:pPr>
        <w:tabs>
          <w:tab w:val="clear" w:pos="567"/>
        </w:tabs>
        <w:ind w:left="1134" w:hanging="567"/>
      </w:pPr>
    </w:p>
    <w:p w:rsidR="00000000" w:rsidRDefault="00000000">
      <w:pPr>
        <w:tabs>
          <w:tab w:val="clear" w:pos="567"/>
        </w:tabs>
        <w:ind w:left="1134" w:hanging="567"/>
      </w:pPr>
      <w:r>
        <w:t>-</w:t>
      </w:r>
      <w:r>
        <w:tab/>
        <w:t>поддерживать проекты создания инфраструктуры в сохраняющихся общинах беглых рабов с целью недопущения исхода населения из сельской местности и стимулирования социально-экономического развития этих общин;</w:t>
      </w:r>
    </w:p>
    <w:p w:rsidR="00000000" w:rsidRDefault="00000000">
      <w:pPr>
        <w:tabs>
          <w:tab w:val="clear" w:pos="567"/>
        </w:tabs>
        <w:ind w:left="1134" w:hanging="567"/>
      </w:pPr>
    </w:p>
    <w:p w:rsidR="00000000" w:rsidRDefault="00000000">
      <w:pPr>
        <w:tabs>
          <w:tab w:val="clear" w:pos="567"/>
        </w:tabs>
        <w:ind w:left="1134" w:hanging="567"/>
      </w:pPr>
      <w:r>
        <w:t>-</w:t>
      </w:r>
      <w:r>
        <w:tab/>
        <w:t>создать административное подразделение при Национальном институте освоения земель и аграрной реформы (ИНКРА) для оказания ассоциациям мелких чернокожих фермеров поддержки в осуществлении проектов развития общин беглых рабов;</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осуществлению мероприятий, способствующих сохранению исторического достояния и стимулирующих создание культурных ценностей чернокожим населением Бразилии;</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картированию и регистрации в качестве исторического наследия страны тех мест и документов, которые представляют историческую ценность, а также способствовать охране памятников афро-бразильской культуры;</w:t>
      </w:r>
    </w:p>
    <w:p w:rsidR="00000000" w:rsidRDefault="00000000">
      <w:pPr>
        <w:tabs>
          <w:tab w:val="clear" w:pos="567"/>
        </w:tabs>
        <w:ind w:left="1134" w:hanging="567"/>
      </w:pPr>
    </w:p>
    <w:p w:rsidR="00000000" w:rsidRDefault="00000000">
      <w:pPr>
        <w:tabs>
          <w:tab w:val="clear" w:pos="567"/>
        </w:tabs>
        <w:ind w:left="1134" w:hanging="567"/>
      </w:pPr>
      <w:r>
        <w:t>-</w:t>
      </w:r>
      <w:r>
        <w:tab/>
        <w:t>поощрять пропорциональную представленность расовых групп, входящих в состав бразильского общества, при заключении договоров о размещении рекламы учреждениями, прямо и косвенно управляемыми государством, и государственными компаниями;</w:t>
      </w:r>
    </w:p>
    <w:p w:rsidR="00000000" w:rsidRDefault="00000000">
      <w:pPr>
        <w:tabs>
          <w:tab w:val="clear" w:pos="567"/>
        </w:tabs>
        <w:ind w:left="1134" w:hanging="567"/>
      </w:pPr>
    </w:p>
    <w:p w:rsidR="00000000" w:rsidRDefault="00000000">
      <w:pPr>
        <w:tabs>
          <w:tab w:val="clear" w:pos="567"/>
        </w:tabs>
        <w:ind w:left="1134" w:hanging="567"/>
      </w:pPr>
      <w:r>
        <w:t>-</w:t>
      </w:r>
      <w:r>
        <w:tab/>
        <w:t>стимулировать диалог с профессиональными ассоциациями и сотрудниками по связям с общественностью с целью убедить их в необходимости того, чтобы рекламные объявления и фильмы должным образом отражали расовый состав бразильского общества и не допускали использования унизительных стереотипов;</w:t>
      </w:r>
    </w:p>
    <w:p w:rsidR="00000000" w:rsidRDefault="00000000">
      <w:pPr>
        <w:tabs>
          <w:tab w:val="clear" w:pos="567"/>
        </w:tabs>
        <w:ind w:left="1134" w:hanging="567"/>
      </w:pPr>
    </w:p>
    <w:p w:rsidR="00000000" w:rsidRDefault="00000000">
      <w:pPr>
        <w:tabs>
          <w:tab w:val="clear" w:pos="567"/>
        </w:tabs>
        <w:ind w:left="1134" w:hanging="567"/>
      </w:pPr>
      <w:r>
        <w:t>-</w:t>
      </w:r>
      <w:r>
        <w:tab/>
        <w:t>рассмотреть возможность изменения статьи 61 бразильского Уголовного кодекса с целью включения в него упоминаний о расе, расовой дискриминации, ксенофобии и связанных с ними форм нетерпимости как отягчающих обстоятельств, которые следует учитывать при назначении наказаний;</w:t>
      </w:r>
    </w:p>
    <w:p w:rsidR="00000000" w:rsidRDefault="00000000">
      <w:pPr>
        <w:tabs>
          <w:tab w:val="clear" w:pos="567"/>
        </w:tabs>
        <w:ind w:left="1134" w:hanging="567"/>
      </w:pPr>
    </w:p>
    <w:p w:rsidR="00000000" w:rsidRDefault="00000000">
      <w:pPr>
        <w:tabs>
          <w:tab w:val="clear" w:pos="567"/>
        </w:tabs>
        <w:ind w:left="1134" w:hanging="567"/>
      </w:pPr>
      <w:r>
        <w:t>-</w:t>
      </w:r>
      <w:r>
        <w:tab/>
        <w:t>предложить меры, призванные повысить роль государственного министерства в продвижении и защите прав и интересов жертв расизма, расовой дискриминации и связанных с ними форм нетерпимости;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требование о том, чтобы раса/цвет кожи включались в информацию и системы регистрации, касающиеся народонаселения, и в государственные базы данных;</w:t>
      </w:r>
    </w:p>
    <w:p w:rsidR="00000000" w:rsidRDefault="00000000">
      <w:pPr>
        <w:tabs>
          <w:tab w:val="clear" w:pos="567"/>
        </w:tabs>
        <w:ind w:left="1134" w:hanging="567"/>
      </w:pPr>
    </w:p>
    <w:p w:rsidR="00000000" w:rsidRDefault="00000000">
      <w:pPr>
        <w:tabs>
          <w:tab w:val="clear" w:pos="567"/>
        </w:tabs>
        <w:ind w:left="1134" w:hanging="567"/>
      </w:pPr>
      <w:r>
        <w:t>-</w:t>
      </w:r>
      <w:r>
        <w:tab/>
        <w:t>поддержать деятельность Рабочей группы по ликвидации дискриминации в области труда и занятий, действующей при министерстве труда и занятости;</w:t>
      </w:r>
    </w:p>
    <w:p w:rsidR="00000000" w:rsidRDefault="00000000">
      <w:pPr>
        <w:tabs>
          <w:tab w:val="clear" w:pos="567"/>
        </w:tabs>
        <w:ind w:left="1134" w:hanging="567"/>
      </w:pPr>
    </w:p>
    <w:p w:rsidR="00000000" w:rsidRDefault="00000000">
      <w:pPr>
        <w:tabs>
          <w:tab w:val="clear" w:pos="567"/>
        </w:tabs>
        <w:ind w:left="1134" w:hanging="567"/>
      </w:pPr>
      <w:r>
        <w:t>-</w:t>
      </w:r>
      <w:r>
        <w:tab/>
        <w:t>поощрять участие выходцев из Африки в работе федеральных советов, советов штатов и муниципалитетов, созданных для защиты прав, и поддерживать формирование советов штатов и муниципалитетов, призванных защищать права выходцев из Африки;</w:t>
      </w:r>
    </w:p>
    <w:p w:rsidR="00000000" w:rsidRDefault="00000000">
      <w:pPr>
        <w:tabs>
          <w:tab w:val="clear" w:pos="567"/>
        </w:tabs>
        <w:ind w:left="1134" w:hanging="567"/>
      </w:pPr>
    </w:p>
    <w:p w:rsidR="00000000" w:rsidRDefault="00000000">
      <w:pPr>
        <w:tabs>
          <w:tab w:val="clear" w:pos="567"/>
        </w:tabs>
        <w:ind w:left="1134" w:hanging="567"/>
      </w:pPr>
      <w:r>
        <w:t>-</w:t>
      </w:r>
      <w:r>
        <w:tab/>
        <w:t>поощрять государственные секретариаты по вопросам государственной безопасности к организации учебных курсов и семинаров по проблемам расизма и расовой дискриминации;</w:t>
      </w:r>
    </w:p>
    <w:p w:rsidR="00000000" w:rsidRDefault="00000000">
      <w:pPr>
        <w:tabs>
          <w:tab w:val="clear" w:pos="567"/>
        </w:tabs>
        <w:ind w:left="1134" w:hanging="567"/>
      </w:pPr>
    </w:p>
    <w:p w:rsidR="00000000" w:rsidRDefault="00000000">
      <w:pPr>
        <w:tabs>
          <w:tab w:val="clear" w:pos="567"/>
        </w:tabs>
        <w:ind w:left="1134" w:hanging="567"/>
      </w:pPr>
      <w:r>
        <w:t>-</w:t>
      </w:r>
      <w:r>
        <w:tab/>
        <w:t>предложить законопроект по статьям 215, 216 и 242 Федеральной конституции, посвященный осуществлению культурных прав и формированию культурного наследия Бразилии;</w:t>
      </w:r>
    </w:p>
    <w:p w:rsidR="00000000" w:rsidRDefault="00000000">
      <w:pPr>
        <w:tabs>
          <w:tab w:val="clear" w:pos="567"/>
        </w:tabs>
        <w:ind w:left="1134" w:hanging="567"/>
      </w:pPr>
    </w:p>
    <w:p w:rsidR="00000000" w:rsidRDefault="00000000">
      <w:pPr>
        <w:tabs>
          <w:tab w:val="clear" w:pos="567"/>
        </w:tabs>
        <w:ind w:left="1134" w:hanging="567"/>
      </w:pPr>
      <w:r>
        <w:t>-</w:t>
      </w:r>
      <w:r>
        <w:tab/>
        <w:t>предложить Бразильскому институту географии и статистики утвердить широкие статистические критерии, позволяющие считать чернокожих и метисов частью всех выходцев из Африки;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идею пересмотра учебников с целью восстановления исторической правды и представления о вкладе, который выходцы из Африки внесли в формирование национального самосознания;</w:t>
      </w:r>
    </w:p>
    <w:p w:rsidR="00000000" w:rsidRDefault="00000000">
      <w:pPr>
        <w:tabs>
          <w:tab w:val="clear" w:pos="567"/>
        </w:tabs>
        <w:ind w:left="1134" w:hanging="567"/>
      </w:pPr>
    </w:p>
    <w:p w:rsidR="00000000" w:rsidRDefault="00000000">
      <w:pPr>
        <w:tabs>
          <w:tab w:val="clear" w:pos="567"/>
        </w:tabs>
        <w:ind w:left="1134" w:hanging="567"/>
      </w:pPr>
      <w:r>
        <w:t>-</w:t>
      </w:r>
      <w:r>
        <w:tab/>
        <w:t>содействовать организации учебного процесса, основанного на терпимости, уважении мира, различий между людьми, учитывающего культурное разнообразие страны и включающего преподавание культуры и истории выходцев из Африки;</w:t>
      </w:r>
    </w:p>
    <w:p w:rsidR="00000000" w:rsidRDefault="00000000">
      <w:pPr>
        <w:tabs>
          <w:tab w:val="clear" w:pos="567"/>
        </w:tabs>
        <w:ind w:left="1134" w:hanging="567"/>
      </w:pPr>
    </w:p>
    <w:p w:rsidR="00000000" w:rsidRDefault="00000000">
      <w:pPr>
        <w:tabs>
          <w:tab w:val="clear" w:pos="567"/>
        </w:tabs>
        <w:ind w:left="1134" w:hanging="567"/>
      </w:pPr>
      <w:r>
        <w:t>-</w:t>
      </w:r>
      <w:r>
        <w:tab/>
        <w:t>поддержать укрепление Культурного фонда Пальмарес, предоставляя в его распоряжение средства, необходимые для осуществления его деятельности;</w:t>
      </w:r>
    </w:p>
    <w:p w:rsidR="00000000" w:rsidRDefault="00000000">
      <w:pPr>
        <w:tabs>
          <w:tab w:val="clear" w:pos="567"/>
        </w:tabs>
        <w:ind w:left="1134" w:hanging="567"/>
      </w:pPr>
    </w:p>
    <w:p w:rsidR="00000000" w:rsidRDefault="00000000">
      <w:pPr>
        <w:tabs>
          <w:tab w:val="clear" w:pos="567"/>
        </w:tabs>
        <w:ind w:left="1134" w:hanging="567"/>
      </w:pPr>
      <w:r>
        <w:t>-</w:t>
      </w:r>
      <w:r>
        <w:tab/>
        <w:t>разработать и осуществить программы, нацеленные на защиту и пропаганду прав коренных народов, взамен программ, нацеленных на интеграцию и оказание помощи коренным народам;</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перестройку Национального фонда индейцев (ФУНАИ) таким образом, чтобы дать этому учреждению возможность гарантировать конституционные права коренных народов;</w:t>
      </w:r>
    </w:p>
    <w:p w:rsidR="00000000" w:rsidRDefault="00000000">
      <w:pPr>
        <w:tabs>
          <w:tab w:val="clear" w:pos="567"/>
        </w:tabs>
        <w:ind w:left="1134" w:hanging="567"/>
      </w:pPr>
    </w:p>
    <w:p w:rsidR="00000000" w:rsidRDefault="00000000">
      <w:pPr>
        <w:tabs>
          <w:tab w:val="clear" w:pos="567"/>
        </w:tabs>
        <w:ind w:left="1134" w:hanging="567"/>
      </w:pPr>
      <w:r>
        <w:t>-</w:t>
      </w:r>
      <w:r>
        <w:tab/>
        <w:t>предоставить в распоряжение ФУНАИ кадровые и финансовые ресурсы, достаточные для выполнения его изначальной задачи гарантирования прав коренных народов;</w:t>
      </w:r>
    </w:p>
    <w:p w:rsidR="00000000" w:rsidRDefault="00000000">
      <w:pPr>
        <w:tabs>
          <w:tab w:val="clear" w:pos="567"/>
        </w:tabs>
        <w:ind w:left="1134" w:hanging="567"/>
      </w:pPr>
    </w:p>
    <w:p w:rsidR="00000000" w:rsidRDefault="00000000">
      <w:pPr>
        <w:tabs>
          <w:tab w:val="clear" w:pos="567"/>
        </w:tabs>
        <w:ind w:left="1134" w:hanging="567"/>
      </w:pPr>
      <w:r>
        <w:t>-</w:t>
      </w:r>
      <w:r>
        <w:tab/>
        <w:t>поддержать пересмотр индейского статута (Закон № 6001/73) с целью обеспечить быстрое принятие законопроекта об уставе объединений коренного населения, а также создание условий для ратификации Конвенции МОТ № 169 о коренных народах и народах, ведущих племенной образ жизни, в независимых странах;</w:t>
      </w:r>
    </w:p>
    <w:p w:rsidR="00000000" w:rsidRDefault="00000000">
      <w:pPr>
        <w:tabs>
          <w:tab w:val="clear" w:pos="567"/>
        </w:tabs>
        <w:ind w:left="1134" w:hanging="567"/>
      </w:pPr>
    </w:p>
    <w:p w:rsidR="00000000" w:rsidRDefault="00000000">
      <w:pPr>
        <w:tabs>
          <w:tab w:val="clear" w:pos="567"/>
        </w:tabs>
        <w:ind w:left="1134" w:hanging="567"/>
      </w:pPr>
      <w:r>
        <w:t>-</w:t>
      </w:r>
      <w:r>
        <w:tab/>
        <w:t>обеспечить эффективное участие коренных народов, их организаций и федерального агентства по делам коренного населения в разработке и осуществлении государственных программ защиты и пропаганды прав коренного населения;</w:t>
      </w:r>
    </w:p>
    <w:p w:rsidR="00000000" w:rsidRDefault="00000000">
      <w:pPr>
        <w:tabs>
          <w:tab w:val="clear" w:pos="567"/>
        </w:tabs>
        <w:ind w:left="1134" w:hanging="567"/>
      </w:pPr>
    </w:p>
    <w:p w:rsidR="00000000" w:rsidRDefault="00000000">
      <w:pPr>
        <w:tabs>
          <w:tab w:val="clear" w:pos="567"/>
        </w:tabs>
        <w:ind w:left="1134" w:hanging="567"/>
      </w:pPr>
      <w:r>
        <w:t>-</w:t>
      </w:r>
      <w:r>
        <w:tab/>
        <w:t>обеспечить право коренных народов на заповедные земли и территории, на которых они традиционно жили;</w:t>
      </w:r>
    </w:p>
    <w:p w:rsidR="00000000" w:rsidRDefault="00000000">
      <w:pPr>
        <w:ind w:left="567" w:hanging="567"/>
      </w:pPr>
    </w:p>
    <w:p w:rsidR="00000000" w:rsidRDefault="00000000">
      <w:pPr>
        <w:ind w:left="1134" w:hanging="567"/>
      </w:pPr>
      <w:r>
        <w:t>-</w:t>
      </w:r>
      <w:r>
        <w:tab/>
        <w:t>произвести демаркацию и регистрацию земель, традиционно занимаемых коренными народами, особенно заповедных земель и территорий, которые пока еще не были демаркированы и зарегистрированы;</w:t>
      </w:r>
    </w:p>
    <w:p w:rsidR="00000000" w:rsidRDefault="00000000">
      <w:pPr>
        <w:ind w:left="1134" w:hanging="567"/>
      </w:pPr>
    </w:p>
    <w:p w:rsidR="00000000" w:rsidRDefault="00000000">
      <w:pPr>
        <w:ind w:left="1134" w:hanging="567"/>
      </w:pPr>
      <w:r>
        <w:t>-</w:t>
      </w:r>
      <w:r>
        <w:tab/>
        <w:t>осуществить меры по регистрации земель коренных народов, особенно в бразильских муниципалитетах, расположенных в этих регионах, для повышения доверия и стабильности отношений между коренными народами и обществом в целом;</w:t>
      </w:r>
    </w:p>
    <w:p w:rsidR="00000000" w:rsidRDefault="00000000">
      <w:pPr>
        <w:ind w:left="1134" w:hanging="567"/>
      </w:pPr>
    </w:p>
    <w:p w:rsidR="00000000" w:rsidRDefault="00000000">
      <w:pPr>
        <w:ind w:left="1134" w:hanging="567"/>
      </w:pPr>
      <w:r>
        <w:t>-</w:t>
      </w:r>
      <w:r>
        <w:tab/>
        <w:t>гарантировать коренным народам оказание медицинской помощи путем осуществления дифференцированных программ здравоохранения, учитывающих особенности населения, и сделать упор на мерах медицинской профилактики и продовольственной безопасности;</w:t>
      </w:r>
    </w:p>
    <w:p w:rsidR="00000000" w:rsidRDefault="00000000">
      <w:pPr>
        <w:ind w:left="1134" w:hanging="567"/>
      </w:pPr>
    </w:p>
    <w:p w:rsidR="00000000" w:rsidRDefault="00000000">
      <w:pPr>
        <w:ind w:left="1134" w:hanging="567"/>
      </w:pPr>
      <w:r>
        <w:t>-</w:t>
      </w:r>
      <w:r>
        <w:tab/>
        <w:t>обеспечить предоставление коренным народам дифференцированного образования с учетом их социально-культурных реалий и оказывать поддержку детям коренных народов в начальной, средней школе и высших учебных заведениях;</w:t>
      </w:r>
    </w:p>
    <w:p w:rsidR="00000000" w:rsidRDefault="00000000">
      <w:pPr>
        <w:ind w:left="1134" w:hanging="567"/>
      </w:pPr>
    </w:p>
    <w:p w:rsidR="00000000" w:rsidRDefault="00000000">
      <w:pPr>
        <w:ind w:left="1134" w:hanging="567"/>
      </w:pPr>
      <w:r>
        <w:t>-</w:t>
      </w:r>
      <w:r>
        <w:tab/>
        <w:t>содействовать предоставлению кредитов и стипендий представителям коренных народов, обучающихся в университетах;</w:t>
      </w:r>
    </w:p>
    <w:p w:rsidR="00000000" w:rsidRDefault="00000000">
      <w:pPr>
        <w:ind w:left="1134" w:hanging="567"/>
      </w:pPr>
    </w:p>
    <w:p w:rsidR="00000000" w:rsidRDefault="00000000">
      <w:pPr>
        <w:ind w:left="1134" w:hanging="567"/>
      </w:pPr>
      <w:r>
        <w:t>-</w:t>
      </w:r>
      <w:r>
        <w:tab/>
        <w:t>проводить политику распространения информации о коренных народах, в частности в государственных и частных начальных и средних школах, с целью обеспечения равенства и борьбы с дискриминацией;</w:t>
      </w:r>
    </w:p>
    <w:p w:rsidR="00000000" w:rsidRDefault="00000000">
      <w:pPr>
        <w:ind w:left="1134" w:hanging="567"/>
      </w:pPr>
    </w:p>
    <w:p w:rsidR="00000000" w:rsidRDefault="00000000">
      <w:pPr>
        <w:ind w:left="1134" w:hanging="567"/>
      </w:pPr>
      <w:r>
        <w:t>-</w:t>
      </w:r>
      <w:r>
        <w:tab/>
        <w:t>осуществлять программы, нацеленные на охрану и обустройство земель коренных народов путем внедрения систем, предназначенных для постоянного контроля за этими землями и прилегающими районами, посредством развития сотрудничества с федеральной полицией, Бразильским институтом по вопросам окружающей среды и возобновляемых природных ресурсов (БИОСПР) и государственными секретариатами по охране окружающей среды и путем профессиональной подготовки гражданских служащих и членов общин коренного населения;</w:t>
      </w:r>
    </w:p>
    <w:p w:rsidR="00000000" w:rsidRDefault="00000000">
      <w:pPr>
        <w:ind w:left="1134" w:hanging="567"/>
      </w:pPr>
    </w:p>
    <w:p w:rsidR="00000000" w:rsidRDefault="00000000">
      <w:pPr>
        <w:ind w:left="1134" w:hanging="567"/>
      </w:pPr>
      <w:r>
        <w:t>-</w:t>
      </w:r>
      <w:r>
        <w:tab/>
        <w:t>приступить к осуществлению программ и мероприятий в сфере этноразвития, нацеленных на последовательное закрепление стратегических районов на территориях, где проживают коренные народы, включая районы, не занятые незаконными поселенцами, и/или места для доступа лесозаготовителей и лиц, занимающихся добычей полезных ископаемых;</w:t>
      </w:r>
    </w:p>
    <w:p w:rsidR="00000000" w:rsidRDefault="00000000">
      <w:pPr>
        <w:ind w:left="1134" w:hanging="567"/>
      </w:pPr>
    </w:p>
    <w:p w:rsidR="00000000" w:rsidRDefault="00000000">
      <w:pPr>
        <w:ind w:left="1134" w:hanging="567"/>
      </w:pPr>
      <w:r>
        <w:t>-</w:t>
      </w:r>
      <w:r>
        <w:tab/>
        <w:t>подготовить базу данных, позволяющую собирать и структурировать информацию о сельскохозяйственных конфликтах и случаях насилия на территориях коренных народов, которую следует наносить на карты, дающие представление об имеющихся конфликтах и случаях насилия в сельской местности;</w:t>
      </w:r>
    </w:p>
    <w:p w:rsidR="00000000" w:rsidRDefault="00000000">
      <w:pPr>
        <w:ind w:left="1134" w:hanging="567"/>
      </w:pPr>
    </w:p>
    <w:p w:rsidR="00000000" w:rsidRDefault="00000000">
      <w:pPr>
        <w:ind w:left="1134" w:hanging="567"/>
      </w:pPr>
      <w:r>
        <w:t>-</w:t>
      </w:r>
      <w:r>
        <w:tab/>
        <w:t>поддерживать публикацию материалов, содержащих сведения о дискриминации и случаях насилия в отношении коренных народов;</w:t>
      </w:r>
    </w:p>
    <w:p w:rsidR="00000000" w:rsidRDefault="00000000">
      <w:pPr>
        <w:ind w:left="1134" w:hanging="567"/>
      </w:pPr>
    </w:p>
    <w:p w:rsidR="00000000" w:rsidRDefault="00000000">
      <w:pPr>
        <w:ind w:left="1134" w:hanging="567"/>
      </w:pPr>
      <w:r>
        <w:t>-</w:t>
      </w:r>
      <w:r>
        <w:tab/>
        <w:t>обеспечить пересмотр учебников для восстановления исторической правды и отражения вклада коренных народов в формирование национального самосознания;</w:t>
      </w:r>
    </w:p>
    <w:p w:rsidR="00000000" w:rsidRDefault="00000000">
      <w:pPr>
        <w:ind w:left="1134" w:hanging="567"/>
      </w:pPr>
    </w:p>
    <w:p w:rsidR="00000000" w:rsidRDefault="00000000">
      <w:pPr>
        <w:ind w:left="1134" w:hanging="567"/>
      </w:pPr>
      <w:r>
        <w:t>-</w:t>
      </w:r>
      <w:r>
        <w:tab/>
        <w:t>содействовать внедрению системы обучения, основанной на терпимости, уважении мира, различий между людьми, которая учитывала бы культурное разнообразие страны и предусматривала преподавание культуры и истории коренных народов;</w:t>
      </w:r>
    </w:p>
    <w:p w:rsidR="00000000" w:rsidRDefault="00000000">
      <w:pPr>
        <w:ind w:left="1134" w:hanging="567"/>
      </w:pPr>
    </w:p>
    <w:p w:rsidR="00000000" w:rsidRDefault="00000000">
      <w:pPr>
        <w:ind w:left="1134" w:hanging="567"/>
      </w:pPr>
      <w:r>
        <w:t>-</w:t>
      </w:r>
      <w:r>
        <w:tab/>
        <w:t>поддерживать и консультировать общины коренных народов при разработке и осуществлении проектов и мероприятий по устойчивому этноразвитию;</w:t>
      </w:r>
    </w:p>
    <w:p w:rsidR="00000000" w:rsidRDefault="00000000">
      <w:pPr>
        <w:ind w:left="1134" w:hanging="567"/>
      </w:pPr>
    </w:p>
    <w:p w:rsidR="00000000" w:rsidRDefault="00000000">
      <w:pPr>
        <w:ind w:left="1134" w:hanging="567"/>
      </w:pPr>
      <w:r>
        <w:t>-</w:t>
      </w:r>
      <w:r>
        <w:tab/>
        <w:t>поддерживать создание и развитие многоотраслевых административных программ под управлением ФУНАИ в рамках многолетних планов и федерального бюджета;</w:t>
      </w:r>
    </w:p>
    <w:p w:rsidR="00000000" w:rsidRDefault="00000000">
      <w:pPr>
        <w:ind w:left="1134" w:hanging="567"/>
      </w:pPr>
    </w:p>
    <w:p w:rsidR="00000000" w:rsidRDefault="00000000">
      <w:pPr>
        <w:ind w:left="1134" w:hanging="567"/>
      </w:pPr>
      <w:r>
        <w:t>-</w:t>
      </w:r>
      <w:r>
        <w:tab/>
        <w:t>гарантировать конституционное право коренных народов на исключительное использование биоразнообразия их земель путем осуществления мероприятий, запрещающих биопиратство в отношении ресурсов и традиционных знаний коренных народов;</w:t>
      </w:r>
    </w:p>
    <w:p w:rsidR="00000000" w:rsidRDefault="00000000">
      <w:pPr>
        <w:ind w:left="1134" w:hanging="567"/>
      </w:pPr>
    </w:p>
    <w:p w:rsidR="00000000" w:rsidRDefault="00000000">
      <w:pPr>
        <w:ind w:left="1134" w:hanging="567"/>
      </w:pPr>
      <w:r>
        <w:t>-</w:t>
      </w:r>
      <w:r>
        <w:tab/>
        <w:t>разработать программы культурного и биологического достояния и традиционных знаний коренных народов, в частности мероприятия по составлению каталогов и регистрации патентов, а также пропаганде этого достояния;</w:t>
      </w:r>
    </w:p>
    <w:p w:rsidR="00000000" w:rsidRDefault="00000000">
      <w:pPr>
        <w:ind w:left="1134" w:hanging="567"/>
      </w:pPr>
    </w:p>
    <w:p w:rsidR="00000000" w:rsidRDefault="00000000">
      <w:pPr>
        <w:ind w:left="1134" w:hanging="567"/>
      </w:pPr>
      <w:r>
        <w:t>-</w:t>
      </w:r>
      <w:r>
        <w:tab/>
        <w:t xml:space="preserve">расширить и усилить программы помощи лицам с серповидноклеточной анемией;  </w:t>
      </w:r>
    </w:p>
    <w:p w:rsidR="00000000" w:rsidRDefault="00000000">
      <w:pPr>
        <w:ind w:left="1134" w:hanging="567"/>
      </w:pPr>
    </w:p>
    <w:p w:rsidR="00000000" w:rsidRDefault="00000000">
      <w:pPr>
        <w:ind w:left="1134" w:hanging="567"/>
      </w:pPr>
      <w:r>
        <w:t>-</w:t>
      </w:r>
      <w:r>
        <w:tab/>
        <w:t>поощрять программы, обеспечивающие первоначальное устройство на работу с учетом гендерных и расовых перспектив, и создать широко пропагандируемую базу данных для молодежи, впервые выходящей на рынок труда;</w:t>
      </w:r>
    </w:p>
    <w:p w:rsidR="00000000" w:rsidRDefault="00000000">
      <w:pPr>
        <w:ind w:left="1134" w:hanging="567"/>
      </w:pPr>
    </w:p>
    <w:p w:rsidR="00000000" w:rsidRDefault="00000000">
      <w:pPr>
        <w:ind w:left="1134" w:hanging="567"/>
      </w:pPr>
      <w:r>
        <w:t>-</w:t>
      </w:r>
      <w:r>
        <w:tab/>
        <w:t>создать базы данных, содержащие социальные показатели, которые позволяют проанализировать положение в области занятости, неполной занятости и безработицы с учетом гендерного и расового фактора;</w:t>
      </w:r>
    </w:p>
    <w:p w:rsidR="00000000" w:rsidRDefault="00000000">
      <w:pPr>
        <w:ind w:left="1134" w:hanging="567"/>
      </w:pPr>
    </w:p>
    <w:p w:rsidR="00000000" w:rsidRDefault="00000000">
      <w:pPr>
        <w:ind w:left="1134" w:hanging="567"/>
      </w:pPr>
      <w:r>
        <w:t>-</w:t>
      </w:r>
      <w:r>
        <w:tab/>
        <w:t>поощрять проведение позитивных мер в государственном и частном секторах для стимулирования более широкого выхода представителей уязвимых групп на рынок труда;</w:t>
      </w:r>
    </w:p>
    <w:p w:rsidR="00000000" w:rsidRDefault="00000000">
      <w:pPr>
        <w:ind w:left="1134" w:hanging="567"/>
      </w:pPr>
    </w:p>
    <w:p w:rsidR="00000000" w:rsidRDefault="00000000">
      <w:pPr>
        <w:ind w:left="1134" w:hanging="567"/>
      </w:pPr>
      <w:r>
        <w:t>-</w:t>
      </w:r>
      <w:r>
        <w:tab/>
        <w:t>стремиться обеспечить осуществление законодательных мер, способствующих утверждению равенства на рынке труда без дискриминации по признаку возраста, расы, пола, сексуальной ориентации, убеждений, философских воззрений, социального статуса, социологического состояния, когда речь идет о лицах с особыми потребностями, с классификацией подобной дискриминации по категориям и с определением применимых наказаний за нее;</w:t>
      </w:r>
    </w:p>
    <w:p w:rsidR="00000000" w:rsidRDefault="00000000">
      <w:pPr>
        <w:ind w:left="1134" w:hanging="567"/>
      </w:pPr>
    </w:p>
    <w:p w:rsidR="00000000" w:rsidRDefault="00000000">
      <w:pPr>
        <w:ind w:left="1134" w:hanging="567"/>
      </w:pPr>
      <w:r>
        <w:t>-</w:t>
      </w:r>
      <w:r>
        <w:tab/>
        <w:t>обеспечить неизменное осуществление Конвенции МОТ № 111 о дискриминации по месту службы и укрепить сеть центров поощрения равных возможностей и борьбы с дискриминацией в области труда и занятий, действующих при региональных трудовых округах и субокругах;</w:t>
      </w:r>
    </w:p>
    <w:p w:rsidR="00000000" w:rsidRDefault="00000000">
      <w:pPr>
        <w:ind w:left="1134" w:hanging="567"/>
      </w:pPr>
    </w:p>
    <w:p w:rsidR="00000000" w:rsidRDefault="00000000">
      <w:pPr>
        <w:ind w:left="1134" w:hanging="567"/>
      </w:pPr>
      <w:r>
        <w:t>-</w:t>
      </w:r>
      <w:r>
        <w:tab/>
        <w:t>укрепить и расширить механизмы улучшения условий труда и обращения с работниками и домашней прислугой, а также пересмотреть дискриминационные положения, такие, как запрет на пользование общими входами и лифтами;</w:t>
      </w:r>
    </w:p>
    <w:p w:rsidR="00000000" w:rsidRDefault="00000000">
      <w:pPr>
        <w:ind w:left="1134" w:hanging="567"/>
      </w:pPr>
    </w:p>
    <w:p w:rsidR="00000000" w:rsidRDefault="00000000">
      <w:pPr>
        <w:ind w:left="1134" w:hanging="567"/>
      </w:pPr>
      <w:r>
        <w:t>-</w:t>
      </w:r>
      <w:r>
        <w:tab/>
        <w:t>осуществить конвенции Международной организации труда, ратифицированные Бразилией, а также Декларацию основополагающих принципов и прав в сфере труда, особенно в том, что касается свободы объединений, ликвидации всех форм принудительного труда, искоренения детского труда и ликвидации всех форм дискриминации в области труда и занятий;</w:t>
      </w:r>
    </w:p>
    <w:p w:rsidR="00000000" w:rsidRDefault="00000000">
      <w:pPr>
        <w:ind w:left="1134" w:hanging="567"/>
      </w:pPr>
    </w:p>
    <w:p w:rsidR="00000000" w:rsidRDefault="00000000">
      <w:pPr>
        <w:ind w:left="1134" w:hanging="567"/>
      </w:pPr>
      <w:r>
        <w:t>-</w:t>
      </w:r>
      <w:r>
        <w:tab/>
        <w:t>поддержать разработку деклараций о правах коренных народов в рамках Организации Объединенных Наций и Организации американских государств;  и</w:t>
      </w:r>
    </w:p>
    <w:p w:rsidR="00000000" w:rsidRDefault="00000000">
      <w:pPr>
        <w:ind w:left="1134" w:hanging="567"/>
      </w:pPr>
    </w:p>
    <w:p w:rsidR="00000000" w:rsidRDefault="00000000">
      <w:pPr>
        <w:ind w:left="1134" w:hanging="567"/>
      </w:pPr>
      <w:r>
        <w:t>-</w:t>
      </w:r>
      <w:r>
        <w:tab/>
        <w:t>ратифицировать Факультативный протокол к Конвенции о ликвидации всех форм расовой дискриминации в отношении женщин.</w:t>
      </w:r>
    </w:p>
    <w:p w:rsidR="00000000" w:rsidRDefault="00000000">
      <w:pPr>
        <w:ind w:left="1134" w:hanging="567"/>
      </w:pPr>
    </w:p>
    <w:p w:rsidR="00000000" w:rsidRDefault="00000000">
      <w:r>
        <w:t>350.</w:t>
      </w:r>
      <w:r>
        <w:tab/>
        <w:t>Важно отметить, что, помимо принятых федеральных норм, на уровне штатов были разработаны нормы, нацеленные на укрепление равенства, которые усиливают принципы, закрепленные на федеральном уровне.</w:t>
      </w:r>
    </w:p>
    <w:p w:rsidR="00000000" w:rsidRDefault="00000000"/>
    <w:p w:rsidR="00000000" w:rsidRDefault="00000000">
      <w:r>
        <w:t>351.</w:t>
      </w:r>
      <w:r>
        <w:tab/>
        <w:t>Следует упомянуть о принципах, закрепленных в конституциях штатов и касающихся, в частности:</w:t>
      </w:r>
    </w:p>
    <w:p w:rsidR="00000000" w:rsidRDefault="00000000"/>
    <w:p w:rsidR="00000000" w:rsidRDefault="00000000">
      <w:r>
        <w:tab/>
        <w:t>а)</w:t>
      </w:r>
      <w:r>
        <w:tab/>
        <w:t>принятия компенсационных мер для преодоления фактического неравенства, предусматривающих предоставление дискриминируемым лицам льгот, сопряженных с гарантированием для них более широкого доступа на рынок труда, к образованию, здравоохранению и другим областям социального обеспечения (статья 336 Конституции штата Пара);</w:t>
      </w:r>
    </w:p>
    <w:p w:rsidR="00000000" w:rsidRDefault="00000000"/>
    <w:p w:rsidR="00000000" w:rsidRDefault="00000000"/>
    <w:p w:rsidR="00000000" w:rsidRDefault="00000000">
      <w:r>
        <w:tab/>
      </w:r>
      <w:r>
        <w:rPr>
          <w:lang w:val="en-US"/>
        </w:rPr>
        <w:t>b</w:t>
      </w:r>
      <w:r>
        <w:t>)</w:t>
      </w:r>
      <w:r>
        <w:tab/>
        <w:t>обязательства о включении чернокожего в любую государственную рекламу или коммерческий фильм, где фигурируют более двух человек (статья 289 Конституции штата Баия).</w:t>
      </w:r>
    </w:p>
    <w:p w:rsidR="00000000" w:rsidRDefault="00000000"/>
    <w:p w:rsidR="00000000" w:rsidRDefault="00000000">
      <w:r>
        <w:t>352.</w:t>
      </w:r>
      <w:r>
        <w:tab/>
        <w:t>После принятия Федеральной конституции 1988 года информированность об ответственности гражданского общества за обеспечение защиты и охраны прав человека была укреплена и привела к принятию конкретных мер.</w:t>
      </w:r>
    </w:p>
    <w:p w:rsidR="00000000" w:rsidRDefault="00000000"/>
    <w:p w:rsidR="00000000" w:rsidRDefault="00000000">
      <w:r>
        <w:t>353.</w:t>
      </w:r>
      <w:r>
        <w:tab/>
        <w:t>Так, организации, созданные специально для обеспечения прав дискриминируемых групп, и сотрудничество частного сектора в признании разнообразия как ценного аспекта в процессе производства дали дискриминируемым группам и лицам возможность восстановить чувство собственного достоинства, борясь со скрытым сопротивлением социальных секторов и возрождением негативных стереотипов.  Для этого политические активисты, компании и НПО, представляющие коренные народы, чернокожих и гомосексуалистов, предприняли совместные шаги по осуществлению конкретных мер, направленных на решение проблемы дискриминации.  К числу наиболее значительных усилий относятся:</w:t>
      </w:r>
    </w:p>
    <w:p w:rsidR="00000000" w:rsidRDefault="00000000"/>
    <w:p w:rsidR="00000000" w:rsidRDefault="00000000">
      <w:pPr>
        <w:ind w:left="1134" w:hanging="1134"/>
      </w:pPr>
      <w:r>
        <w:tab/>
        <w:t>-</w:t>
      </w:r>
      <w:r>
        <w:tab/>
        <w:t>организация в различных городах страны курсов по подготовке к вступительным экзаменам в университеты для выходцев из Африки и групп населения, находящихся в неблагоприятном положении;</w:t>
      </w:r>
    </w:p>
    <w:p w:rsidR="00000000" w:rsidRDefault="00000000">
      <w:pPr>
        <w:ind w:left="1134" w:hanging="1134"/>
      </w:pPr>
    </w:p>
    <w:p w:rsidR="00000000" w:rsidRDefault="00000000">
      <w:pPr>
        <w:ind w:left="1134" w:hanging="1134"/>
      </w:pPr>
      <w:r>
        <w:tab/>
        <w:t>-</w:t>
      </w:r>
      <w:r>
        <w:tab/>
        <w:t>осуществление в рамках профсоюзов конкретных мер по устранению расового неравенства в трудовых отношениях и политике в сфере занятости и профессиональной подготовки;</w:t>
      </w:r>
    </w:p>
    <w:p w:rsidR="00000000" w:rsidRDefault="00000000">
      <w:pPr>
        <w:ind w:left="1134" w:hanging="1134"/>
      </w:pPr>
    </w:p>
    <w:p w:rsidR="00000000" w:rsidRDefault="00000000">
      <w:pPr>
        <w:ind w:left="1134" w:hanging="1134"/>
      </w:pPr>
      <w:r>
        <w:tab/>
        <w:t>-</w:t>
      </w:r>
      <w:r>
        <w:tab/>
        <w:t>предоставление бесплатных юридических услуг жертвам расовой и гендерной дискриминации и дискриминации по признаку сексуальной ориентации;</w:t>
      </w:r>
    </w:p>
    <w:p w:rsidR="00000000" w:rsidRDefault="00000000">
      <w:pPr>
        <w:ind w:left="1134" w:hanging="1134"/>
      </w:pPr>
    </w:p>
    <w:p w:rsidR="00000000" w:rsidRDefault="00000000">
      <w:pPr>
        <w:ind w:left="1134" w:hanging="1134"/>
      </w:pPr>
      <w:r>
        <w:tab/>
        <w:t>-</w:t>
      </w:r>
      <w:r>
        <w:tab/>
        <w:t>развитие медицинских услуг и консультаций для женщин из числа коренных народов, создание школ для коренного населения и служб юридической помощи;</w:t>
      </w:r>
    </w:p>
    <w:p w:rsidR="00000000" w:rsidRDefault="00000000">
      <w:pPr>
        <w:ind w:left="1134" w:hanging="1134"/>
      </w:pPr>
    </w:p>
    <w:p w:rsidR="00000000" w:rsidRDefault="00000000">
      <w:pPr>
        <w:ind w:left="1134" w:hanging="1134"/>
      </w:pPr>
      <w:r>
        <w:tab/>
        <w:t>-</w:t>
      </w:r>
      <w:r>
        <w:tab/>
        <w:t>предоставление юридической помощи и консультаций жертвам дискриминации по признаку сексуальной ориентации;</w:t>
      </w:r>
    </w:p>
    <w:p w:rsidR="00000000" w:rsidRDefault="00000000">
      <w:pPr>
        <w:ind w:left="1701" w:hanging="1701"/>
      </w:pPr>
    </w:p>
    <w:p w:rsidR="00000000" w:rsidRDefault="00000000">
      <w:pPr>
        <w:ind w:left="1134" w:hanging="1134"/>
      </w:pPr>
      <w:r>
        <w:tab/>
        <w:t>-</w:t>
      </w:r>
      <w:r>
        <w:tab/>
        <w:t>с 1996 года транснациональные компании, прежде всего филиалы североамериканских компаний, на экспериментальной основе начали включать в свои штаты чернокожих, гомосексуалистов и инвалидов;</w:t>
      </w:r>
    </w:p>
    <w:p w:rsidR="00000000" w:rsidRDefault="00000000">
      <w:pPr>
        <w:ind w:left="1134" w:hanging="1134"/>
      </w:pPr>
    </w:p>
    <w:p w:rsidR="00000000" w:rsidRDefault="00000000">
      <w:pPr>
        <w:ind w:left="1134" w:hanging="1134"/>
      </w:pPr>
      <w:r>
        <w:tab/>
        <w:t>-</w:t>
      </w:r>
      <w:r>
        <w:tab/>
        <w:t>создание особых форумов и сетей для обсуждения вопроса о серповидноклеточной анемии;</w:t>
      </w:r>
    </w:p>
    <w:p w:rsidR="00000000" w:rsidRDefault="00000000">
      <w:pPr>
        <w:ind w:left="1134" w:hanging="1134"/>
      </w:pPr>
    </w:p>
    <w:p w:rsidR="00000000" w:rsidRDefault="00000000">
      <w:pPr>
        <w:ind w:left="1134" w:hanging="1134"/>
      </w:pPr>
      <w:r>
        <w:tab/>
        <w:t>-</w:t>
      </w:r>
      <w:r>
        <w:tab/>
        <w:t>разработка конкретных информационных проектов по вопросам репродуктивного здоровья, борьбы с венерическими заболеваниями и СПИДом, подростковой беременности и демографической политики;</w:t>
      </w:r>
    </w:p>
    <w:p w:rsidR="00000000" w:rsidRDefault="00000000">
      <w:pPr>
        <w:ind w:left="1134" w:hanging="1134"/>
      </w:pPr>
    </w:p>
    <w:p w:rsidR="00000000" w:rsidRDefault="00000000">
      <w:pPr>
        <w:ind w:left="1134" w:hanging="1134"/>
      </w:pPr>
      <w:r>
        <w:tab/>
        <w:t>-</w:t>
      </w:r>
      <w:r>
        <w:tab/>
        <w:t>издание региональных и национальных журналов, предназначенных специально для выходцев из Африки;</w:t>
      </w:r>
    </w:p>
    <w:p w:rsidR="00000000" w:rsidRDefault="00000000">
      <w:pPr>
        <w:ind w:left="567" w:hanging="567"/>
      </w:pPr>
    </w:p>
    <w:p w:rsidR="00000000" w:rsidRDefault="00000000">
      <w:pPr>
        <w:ind w:left="1134" w:hanging="1134"/>
      </w:pPr>
      <w:r>
        <w:tab/>
        <w:t>-</w:t>
      </w:r>
      <w:r>
        <w:tab/>
        <w:t>публикация детской литературы, уважительно излагающей африканские традиции и историю выходцев из Африки;</w:t>
      </w:r>
    </w:p>
    <w:p w:rsidR="00000000" w:rsidRDefault="00000000">
      <w:pPr>
        <w:ind w:left="1134" w:hanging="1134"/>
      </w:pPr>
    </w:p>
    <w:p w:rsidR="00000000" w:rsidRDefault="00000000">
      <w:pPr>
        <w:ind w:left="1134" w:hanging="1134"/>
      </w:pPr>
      <w:r>
        <w:tab/>
        <w:t>-</w:t>
      </w:r>
      <w:r>
        <w:tab/>
        <w:t>расширение использования новых коммуникационных технологий для создания сетей, координации связей и обмена информацией, представляющей интерес для выходцев из Африки;</w:t>
      </w:r>
    </w:p>
    <w:p w:rsidR="00000000" w:rsidRDefault="00000000">
      <w:pPr>
        <w:ind w:left="1134" w:hanging="1134"/>
      </w:pPr>
    </w:p>
    <w:p w:rsidR="00000000" w:rsidRDefault="00000000">
      <w:pPr>
        <w:ind w:left="1134" w:hanging="1134"/>
      </w:pPr>
      <w:r>
        <w:tab/>
        <w:t>-</w:t>
      </w:r>
      <w:r>
        <w:tab/>
        <w:t>поощрение общенационального обсуждения вопроса о принятии законопроекта, устанавливающего минимальные квоты для участия выходцев из Африки в рекламных роликах, фильмах или программах и театральных постановках (25% при производстве коммерческих роликов, фильмов, телепрограмм и театральных постановок;  не менее 40% при производстве рекламных заставок, транслируемых по телевидению или в кинотеатрах);</w:t>
      </w:r>
    </w:p>
    <w:p w:rsidR="00000000" w:rsidRDefault="00000000">
      <w:pPr>
        <w:ind w:left="567" w:hanging="567"/>
      </w:pPr>
    </w:p>
    <w:p w:rsidR="00000000" w:rsidRDefault="00000000">
      <w:pPr>
        <w:ind w:left="1134" w:hanging="1134"/>
      </w:pPr>
      <w:r>
        <w:tab/>
        <w:t>-</w:t>
      </w:r>
      <w:r>
        <w:tab/>
        <w:t>организация учебных и подготовительных курсов для адвокатов, специализирующихся на защите прав человека;</w:t>
      </w:r>
    </w:p>
    <w:p w:rsidR="00000000" w:rsidRDefault="00000000">
      <w:pPr>
        <w:ind w:left="1134" w:hanging="1134"/>
      </w:pPr>
    </w:p>
    <w:p w:rsidR="00000000" w:rsidRDefault="00000000">
      <w:pPr>
        <w:ind w:left="1134" w:hanging="1134"/>
      </w:pPr>
      <w:r>
        <w:tab/>
        <w:t>-</w:t>
      </w:r>
      <w:r>
        <w:tab/>
        <w:t>подготовка и представление Комитету по экономическим, социальным и культурным правам альтернативных докладов гражданского общества об осуществлении экономических, социальных и культурных прав в Бразилии;</w:t>
      </w:r>
    </w:p>
    <w:p w:rsidR="00000000" w:rsidRDefault="00000000">
      <w:pPr>
        <w:ind w:left="1134" w:hanging="1134"/>
      </w:pPr>
    </w:p>
    <w:p w:rsidR="00000000" w:rsidRDefault="00000000">
      <w:pPr>
        <w:ind w:left="1134" w:hanging="1134"/>
      </w:pPr>
      <w:r>
        <w:tab/>
        <w:t>-</w:t>
      </w:r>
      <w:r>
        <w:tab/>
        <w:t>создание и поддержание молельных домов для верующих африканского происхождения;</w:t>
      </w:r>
    </w:p>
    <w:p w:rsidR="00000000" w:rsidRDefault="00000000">
      <w:pPr>
        <w:ind w:left="1134" w:hanging="1134"/>
      </w:pPr>
    </w:p>
    <w:p w:rsidR="00000000" w:rsidRDefault="00000000">
      <w:pPr>
        <w:ind w:left="1134" w:hanging="1134"/>
      </w:pPr>
      <w:r>
        <w:tab/>
        <w:t>-</w:t>
      </w:r>
      <w:r>
        <w:tab/>
        <w:t>создание форумов по укреплению и обсуждению африканских религий, призванных гарантировать право на существование и выражение этих традиций;</w:t>
      </w:r>
    </w:p>
    <w:p w:rsidR="00000000" w:rsidRDefault="00000000">
      <w:pPr>
        <w:ind w:left="567" w:hanging="567"/>
      </w:pPr>
    </w:p>
    <w:p w:rsidR="00000000" w:rsidRDefault="00000000">
      <w:pPr>
        <w:ind w:left="1134" w:hanging="1134"/>
      </w:pPr>
      <w:r>
        <w:tab/>
        <w:t>-</w:t>
      </w:r>
      <w:r>
        <w:tab/>
        <w:t>повышение наглядности роли, которую играют религиозные лидеры африканских культов;</w:t>
      </w:r>
    </w:p>
    <w:p w:rsidR="00000000" w:rsidRDefault="00000000">
      <w:pPr>
        <w:ind w:left="1134" w:hanging="1134"/>
      </w:pPr>
    </w:p>
    <w:p w:rsidR="00000000" w:rsidRDefault="00000000">
      <w:pPr>
        <w:ind w:left="1134" w:hanging="1134"/>
      </w:pPr>
      <w:r>
        <w:tab/>
        <w:t>-</w:t>
      </w:r>
      <w:r>
        <w:tab/>
        <w:t>более активное продвижение девочек и подростков африканского происхождения в рамках проектов, разрабатываемых организациями движения чернокожего населения;  и</w:t>
      </w:r>
    </w:p>
    <w:p w:rsidR="00000000" w:rsidRDefault="00000000">
      <w:pPr>
        <w:ind w:left="1134" w:hanging="1134"/>
      </w:pPr>
    </w:p>
    <w:p w:rsidR="00000000" w:rsidRDefault="00000000">
      <w:pPr>
        <w:ind w:left="1134" w:hanging="1134"/>
      </w:pPr>
      <w:r>
        <w:tab/>
        <w:t>-</w:t>
      </w:r>
      <w:r>
        <w:tab/>
        <w:t>расширение участия организаций чернокожих женщин в национальных и международных переговорах, нацеленных на укрепление социальных, экономических, политических и культурных прав женщин и населения африканского происхождения.</w:t>
      </w:r>
    </w:p>
    <w:p w:rsidR="00000000" w:rsidRDefault="00000000">
      <w:pPr>
        <w:ind w:left="567" w:hanging="567"/>
      </w:pPr>
    </w:p>
    <w:p w:rsidR="00000000" w:rsidRDefault="00000000">
      <w:pPr>
        <w:ind w:left="567" w:hanging="567"/>
        <w:jc w:val="center"/>
      </w:pPr>
      <w:r>
        <w:rPr>
          <w:b/>
          <w:bCs/>
          <w:lang w:val="en-US"/>
        </w:rPr>
        <w:t>VIII</w:t>
      </w:r>
      <w:r>
        <w:rPr>
          <w:b/>
          <w:bCs/>
        </w:rPr>
        <w:t>.</w:t>
      </w:r>
      <w:r>
        <w:rPr>
          <w:b/>
          <w:bCs/>
        </w:rPr>
        <w:tab/>
        <w:t xml:space="preserve">  НАЦИОНАЛЬНАЯ ПРОГРАММА ПОЗИТИВНЫХ ДЕЙСТВИЙ</w:t>
      </w:r>
    </w:p>
    <w:p w:rsidR="00000000" w:rsidRDefault="00000000">
      <w:pPr>
        <w:ind w:left="567" w:hanging="567"/>
        <w:jc w:val="center"/>
      </w:pPr>
    </w:p>
    <w:p w:rsidR="00000000" w:rsidRDefault="00000000">
      <w:r>
        <w:t>354.</w:t>
      </w:r>
      <w:r>
        <w:tab/>
        <w:t>Указ № 4228 от 13 мая 2002 года (опубликованный 14 мая 2002 года в правительственном вестнике) регулирует принятие позитивных мер федеральным правительством.  Будучи совместной инициативой министерств юстиции;  иностранных дел;  сельскохозяйственного развития;  науки и техники;  планирования, бюджета и управления;  труда и занятости и культуры, этот Указ утверждает Национальную программу позитивных действий.</w:t>
      </w:r>
    </w:p>
    <w:p w:rsidR="00000000" w:rsidRDefault="00000000"/>
    <w:p w:rsidR="00000000" w:rsidRDefault="00000000">
      <w:r>
        <w:t>355.</w:t>
      </w:r>
      <w:r>
        <w:tab/>
        <w:t>Этим Указом также учреждается Комитет по оценке и контролю за осуществлением Национальной программы позитивных действий в составе представителей государственных ведомств и организаций.  В его задачу входит выдвижение предложений, поддержка и содействие осуществлению мероприятий по выполнению вышеуказанной Программы.</w:t>
      </w:r>
    </w:p>
    <w:p w:rsidR="00000000" w:rsidRDefault="00000000"/>
    <w:p w:rsidR="00000000" w:rsidRDefault="00000000">
      <w:r>
        <w:t>356.</w:t>
      </w:r>
      <w:r>
        <w:tab/>
        <w:t>Указ признает посредническую роль движения чернокожих и других движений, представляющих слои общества, оказавшиеся в уязвимом положении вследствие расизма и/или дискриминации, а также подтверждает необходимость в принятии позитивных мер.</w:t>
      </w:r>
    </w:p>
    <w:p w:rsidR="00000000" w:rsidRDefault="00000000"/>
    <w:p w:rsidR="00000000" w:rsidRDefault="00000000">
      <w:r>
        <w:t>357.</w:t>
      </w:r>
      <w:r>
        <w:tab/>
        <w:t>Координационный орган Программы действует при Государственном секретариате по правам человека министерства юстиции.  Национальная программа позитивных действий в соответствии с действующим законодательством предусматривает, помимо других административных и стратегических организационных мер, следующие мероприятия:</w:t>
      </w:r>
    </w:p>
    <w:p w:rsidR="00000000" w:rsidRDefault="00000000"/>
    <w:p w:rsidR="00000000" w:rsidRDefault="00000000">
      <w:r>
        <w:tab/>
        <w:t>а)</w:t>
      </w:r>
      <w:r>
        <w:tab/>
        <w:t>выполнение ведомствами федерального правительства требований, гарантирующих соблюдение процентных квот выходцев из Африки, женщин и инвалидов при заполнении вакантных должностей Группы высшего руководящего звена и консультантов (ДАС);</w:t>
      </w:r>
    </w:p>
    <w:p w:rsidR="00000000" w:rsidRDefault="00000000"/>
    <w:p w:rsidR="00000000" w:rsidRDefault="00000000">
      <w:r>
        <w:tab/>
      </w:r>
      <w:r>
        <w:rPr>
          <w:lang w:val="en-US"/>
        </w:rPr>
        <w:t>b</w:t>
      </w:r>
      <w:r>
        <w:t>)</w:t>
      </w:r>
      <w:r>
        <w:tab/>
        <w:t>включение на условиях, оговоренных для передачи ресурсов, имеющихся у федерального правительства, положений, регулирующих присоединение к Программе;</w:t>
      </w:r>
    </w:p>
    <w:p w:rsidR="00000000" w:rsidRDefault="00000000"/>
    <w:p w:rsidR="00000000" w:rsidRDefault="00000000">
      <w:r>
        <w:tab/>
      </w:r>
      <w:r>
        <w:rPr>
          <w:lang w:val="en-US"/>
        </w:rPr>
        <w:t>c</w:t>
      </w:r>
      <w:r>
        <w:t>)</w:t>
      </w:r>
      <w:r>
        <w:tab/>
        <w:t>соблюдение, при проведении конкурсных торгов ведомствами федерального правительства, критерия добавления баллов для поощрения подрядчиков, придерживающихся политики, соответствующей задачам Программы;  и</w:t>
      </w:r>
    </w:p>
    <w:p w:rsidR="00000000" w:rsidRDefault="00000000"/>
    <w:p w:rsidR="00000000" w:rsidRDefault="00000000">
      <w:r>
        <w:tab/>
      </w:r>
      <w:r>
        <w:rPr>
          <w:lang w:val="en-US"/>
        </w:rPr>
        <w:t>d</w:t>
      </w:r>
      <w:r>
        <w:t>)</w:t>
      </w:r>
      <w:r>
        <w:tab/>
        <w:t>включение в договоры с обслуживающими компаниями, техническими специалистами и консультантами, отбираемыми для работы по совместным с международными организациями проектам, положений, устанавливающих процентные квоты участия для выходцев из Африки, женщин и инвалидов.</w:t>
      </w:r>
    </w:p>
    <w:p w:rsidR="00000000" w:rsidRDefault="00000000"/>
    <w:p w:rsidR="00000000" w:rsidRDefault="00000000">
      <w:r>
        <w:t>358.</w:t>
      </w:r>
      <w:r>
        <w:tab/>
        <w:t>В свою очередь перед Комитетом по оценке и контролю за осуществлением Национальной программы позитивных действий будут поставлены следующие задачи:</w:t>
      </w:r>
    </w:p>
    <w:p w:rsidR="00000000" w:rsidRDefault="00000000"/>
    <w:p w:rsidR="00000000" w:rsidRDefault="00000000">
      <w:r>
        <w:tab/>
        <w:t>а)</w:t>
      </w:r>
      <w:r>
        <w:tab/>
        <w:t>предложение о принятии административных и организационно-стратегических мер, направленных на осуществление Программы;</w:t>
      </w:r>
    </w:p>
    <w:p w:rsidR="00000000" w:rsidRDefault="00000000"/>
    <w:p w:rsidR="00000000" w:rsidRDefault="00000000">
      <w:r>
        <w:tab/>
      </w:r>
      <w:r>
        <w:rPr>
          <w:lang w:val="en-US"/>
        </w:rPr>
        <w:t>b</w:t>
      </w:r>
      <w:r>
        <w:t>)</w:t>
      </w:r>
      <w:r>
        <w:tab/>
        <w:t>поддержка и стимулирование мер, направленных на исполнение Программы;</w:t>
      </w:r>
    </w:p>
    <w:p w:rsidR="00000000" w:rsidRDefault="00000000"/>
    <w:p w:rsidR="00000000" w:rsidRDefault="00000000">
      <w:r>
        <w:tab/>
        <w:t>с)</w:t>
      </w:r>
      <w:r>
        <w:tab/>
        <w:t>предложение административных указаний и процедур, призванных гарантировать соответствующее осуществление Программы, ее включение в подзаконные акты ведомств, входящих в организационную структуру федеральной государственной администрации, и соответствующее выполнение поставленных задач;</w:t>
      </w:r>
    </w:p>
    <w:p w:rsidR="00000000" w:rsidRDefault="00000000"/>
    <w:p w:rsidR="00000000" w:rsidRDefault="00000000">
      <w:r>
        <w:tab/>
      </w:r>
      <w:r>
        <w:rPr>
          <w:lang w:val="en-US"/>
        </w:rPr>
        <w:t>d</w:t>
      </w:r>
      <w:r>
        <w:t>)</w:t>
      </w:r>
      <w:r>
        <w:tab/>
        <w:t>координация вместе с партнерами в федеральном правительстве подготовки предложений, способствующих осуществлению политики позитивных действий;</w:t>
      </w:r>
    </w:p>
    <w:p w:rsidR="00000000" w:rsidRDefault="00000000"/>
    <w:p w:rsidR="00000000" w:rsidRDefault="00000000">
      <w:r>
        <w:tab/>
        <w:t>е)</w:t>
      </w:r>
      <w:r>
        <w:tab/>
        <w:t>стимулирование развития учебной деятельности с особым упором на меры, направленные на поощрение равных возможностей и доступ к получению гражданства;</w:t>
      </w:r>
    </w:p>
    <w:p w:rsidR="00000000" w:rsidRDefault="00000000"/>
    <w:p w:rsidR="00000000" w:rsidRDefault="00000000">
      <w:r>
        <w:tab/>
      </w:r>
      <w:r>
        <w:rPr>
          <w:lang w:val="en-US"/>
        </w:rPr>
        <w:t>f</w:t>
      </w:r>
      <w:r>
        <w:t>)</w:t>
      </w:r>
      <w:r>
        <w:tab/>
        <w:t>содействие расширению информированности гражданских служащих о необходимости защиты прав человека и ликвидации неравенства по признаку пола, расы или инвалидности;</w:t>
      </w:r>
    </w:p>
    <w:p w:rsidR="00000000" w:rsidRDefault="00000000"/>
    <w:p w:rsidR="00000000" w:rsidRDefault="00000000">
      <w:r>
        <w:tab/>
      </w:r>
      <w:r>
        <w:rPr>
          <w:lang w:val="en-US"/>
        </w:rPr>
        <w:t>g</w:t>
      </w:r>
      <w:r>
        <w:t>)</w:t>
      </w:r>
      <w:r>
        <w:tab/>
        <w:t>координация деятельности и установление партнерских связей с социальными предприятиями и представителями движений выходцев из Африки, женщин и инвалидов;</w:t>
      </w:r>
    </w:p>
    <w:p w:rsidR="00000000" w:rsidRDefault="00000000"/>
    <w:p w:rsidR="00000000" w:rsidRDefault="00000000">
      <w:r>
        <w:tab/>
      </w:r>
      <w:r>
        <w:rPr>
          <w:lang w:val="en-US"/>
        </w:rPr>
        <w:t>h</w:t>
      </w:r>
      <w:r>
        <w:t>)</w:t>
      </w:r>
      <w:r>
        <w:tab/>
        <w:t>систематизация и оценка результатов Программы и информирование общественности об этих результатах через имеющиеся средства массовой информации;  и</w:t>
      </w:r>
    </w:p>
    <w:p w:rsidR="00000000" w:rsidRDefault="00000000"/>
    <w:p w:rsidR="00000000" w:rsidRDefault="00000000">
      <w:r>
        <w:tab/>
      </w:r>
      <w:r>
        <w:rPr>
          <w:lang w:val="en-US"/>
        </w:rPr>
        <w:t>i</w:t>
      </w:r>
      <w:r>
        <w:t>)</w:t>
      </w:r>
      <w:r>
        <w:tab/>
        <w:t>пропаганда внутри страны международных документов, направленных на борьбу с дискриминацией и утверждение равенства, участником которых является Бразилия.</w:t>
      </w:r>
    </w:p>
    <w:p w:rsidR="00000000" w:rsidRDefault="00000000"/>
    <w:p w:rsidR="00000000" w:rsidRDefault="00000000">
      <w:r>
        <w:t>359.</w:t>
      </w:r>
      <w:r>
        <w:tab/>
        <w:t>Комитет по оценке и контролю за осуществлением Национальной программы позитивных действий включает следующих членов:  Государственного секретаря по правам человека, который будет выполнять обязанности председателя;  руководителя Института прикладных экономических исследований (ИПЕА), который будет замещать председателя Комитета во время его отсутствия или в случаях, когда его присутствие невозможно;  представителей:  министерства иностранных дел;  министерства сельскохозяйственного развития;  министерства науки и техники;  министерства планирования, бюджета и управления;  министерства труда и занятости;  министерства культуры;  Государственного секретариата по вопросам труда;  Национального совета по правам женщин;  Национального совета по борьбе с дискриминацией;  и  Межведомственной рабочей группы по улучшению положения чернокожего населения.</w:t>
      </w:r>
    </w:p>
    <w:p w:rsidR="00000000" w:rsidRDefault="00000000"/>
    <w:p w:rsidR="00000000" w:rsidRDefault="00000000">
      <w:pPr>
        <w:ind w:left="561" w:hanging="561"/>
        <w:jc w:val="center"/>
        <w:rPr>
          <w:b/>
          <w:bCs/>
        </w:rPr>
      </w:pPr>
      <w:r>
        <w:rPr>
          <w:b/>
          <w:bCs/>
        </w:rPr>
        <w:t>А.</w:t>
      </w:r>
      <w:r>
        <w:rPr>
          <w:b/>
          <w:bCs/>
        </w:rPr>
        <w:tab/>
        <w:t>Краткая оценка политики позитивных действий, недавно</w:t>
      </w:r>
    </w:p>
    <w:p w:rsidR="00000000" w:rsidRDefault="00000000">
      <w:pPr>
        <w:ind w:left="561" w:hanging="561"/>
        <w:jc w:val="center"/>
        <w:rPr>
          <w:b/>
          <w:bCs/>
        </w:rPr>
      </w:pPr>
      <w:r>
        <w:rPr>
          <w:b/>
          <w:bCs/>
        </w:rPr>
        <w:t>принятой Бразилией</w:t>
      </w:r>
    </w:p>
    <w:p w:rsidR="00000000" w:rsidRDefault="00000000">
      <w:pPr>
        <w:ind w:left="561" w:hanging="561"/>
        <w:rPr>
          <w:b/>
          <w:bCs/>
        </w:rPr>
      </w:pPr>
    </w:p>
    <w:p w:rsidR="00000000" w:rsidRDefault="00000000">
      <w:r>
        <w:t>360.</w:t>
      </w:r>
      <w:r>
        <w:tab/>
        <w:t>В Бразилии политика позитивных действий осуществлялась при решении таких вопросов, как первоочередные капиталовложения в области образования, здравоохранения, жилья, санитарии, обеспечения питьевой водой, контроля за состоянием окружающей среды в регионах или районах, населенных, в первую очередь, выходцами из Африки;  направление государственных ресурсов на обеспечение участия частного сектора в реализации учебных программ для чернокожих студентов, а затем на учреждение фонда, который позволяет разрабатывать и создавать механизмы поддержки чернокожих студентов;  проекты устойчивого развития в общинах беглых рабов;  проекты подготовки чернокожих лидеров;  обмен программами с африканскими странами и проектами, позволяющими учреждениям различных регионов обмениваться накопленным опытом.</w:t>
      </w:r>
    </w:p>
    <w:p w:rsidR="00000000" w:rsidRDefault="00000000"/>
    <w:p w:rsidR="00000000" w:rsidRDefault="00000000">
      <w:r>
        <w:t>361.</w:t>
      </w:r>
      <w:r>
        <w:tab/>
        <w:t>Цель программы позитивных действий министерства сельскохозяйственного развития (МСР) заключается в осуществлении политики, направленной на демократизацию социальных отношений.  Для этого был принят ряд мер:  были введены минимальные квоты при заполнении руководящих должностей в МСР/Институте аграрной реформы, составившие 20% в 2001 году и 30% в 2003 году;  20% служащих и консультантов, с которыми заключаются договоры кадровыми службами компаний и международных организаций, должны быть чернокожими;  объявления на заполнение вакансий, открывающихся в министерстве и Национальном институте аграрной реформы, на основе открытых экзаменов для поступления на гражданскую службу предусматривают, что 20% имеющихся вакансий должны быть отданы чернокожим кандидатам;  30% средств, выделяемых МСР на осуществление программ аграрных реформ, в том числе на программы "Банко да Терра" и семейного ведения сельского хозяйства, должны направляться главным образом в сельские общины чернокожих.</w:t>
      </w:r>
    </w:p>
    <w:p w:rsidR="00000000" w:rsidRDefault="00000000"/>
    <w:p w:rsidR="00000000" w:rsidRDefault="00000000">
      <w:r>
        <w:t>362.</w:t>
      </w:r>
      <w:r>
        <w:tab/>
        <w:t>Со своей стороны министерство юстиции осуществляет позитивные действия, позволяющие обеспечить, чтобы к концу текущего года были достигнуты следующие цели, связанные с участием чернокожих женщин и инвалидов в заполнении руководящих административных и консультативных должностей и заключением договоров с кадровыми службами:</w:t>
      </w:r>
    </w:p>
    <w:p w:rsidR="00000000" w:rsidRDefault="00000000"/>
    <w:p w:rsidR="00000000" w:rsidRDefault="00000000">
      <w:r>
        <w:tab/>
        <w:t>а)</w:t>
      </w:r>
      <w:r>
        <w:tab/>
        <w:t>выходцы из Африки - 20%;</w:t>
      </w:r>
    </w:p>
    <w:p w:rsidR="00000000" w:rsidRDefault="00000000">
      <w:r>
        <w:tab/>
      </w:r>
      <w:r>
        <w:rPr>
          <w:lang w:val="en-US"/>
        </w:rPr>
        <w:t>b)</w:t>
      </w:r>
      <w:r>
        <w:rPr>
          <w:lang w:val="en-US"/>
        </w:rPr>
        <w:tab/>
      </w:r>
      <w:r>
        <w:t>женщины - 20%;</w:t>
      </w:r>
    </w:p>
    <w:p w:rsidR="00000000" w:rsidRDefault="00000000">
      <w:r>
        <w:tab/>
        <w:t>с)</w:t>
      </w:r>
      <w:r>
        <w:tab/>
        <w:t>инвалиды - 5%.</w:t>
      </w:r>
    </w:p>
    <w:p w:rsidR="00000000" w:rsidRDefault="00000000"/>
    <w:p w:rsidR="00000000" w:rsidRDefault="00000000">
      <w:r>
        <w:t>363.</w:t>
      </w:r>
      <w:r>
        <w:tab/>
        <w:t>В министерстве иностранных дел была разработана политика позитивных действий, расширяющая доступ в Дипломатическую академию при Институте Рио-Бранко для выходцев из Африки.  Эти действия предусматривают предоставление стипендий студентам, готовящимся к вступительным экзаменам на дипломатическое отделение.  Первая группа отобранных кандидатов включала 20 афробразильцев, все из которых, кроме того, получат руководящую помощь от дипломатов, добровольно оказывающих подобные услуги.  В осуществлении программы министерства иностранных дел участвуют также Совет по науке и технике, Фонд Пальмарес, министерство культуры и Государственный секретариат по правам человека.</w:t>
      </w:r>
    </w:p>
    <w:p w:rsidR="00000000" w:rsidRDefault="00000000"/>
    <w:p w:rsidR="00000000" w:rsidRDefault="00000000">
      <w:r>
        <w:t>364.</w:t>
      </w:r>
      <w:r>
        <w:tab/>
        <w:t>Что касается процедур открытых конкурсных торгов, то при этом следует отметить всевозрастающую роль внешних источников предоставления услуг, и с этой целью в рамках соответствующих публичных объявлений были установлены квоты, рассчитанные на наиболее уязвимые слои общества.</w:t>
      </w:r>
    </w:p>
    <w:p w:rsidR="00000000" w:rsidRDefault="00000000"/>
    <w:p w:rsidR="00000000" w:rsidRDefault="00000000">
      <w:r>
        <w:t>365.</w:t>
      </w:r>
      <w:r>
        <w:tab/>
        <w:t>Что касается занятости, которая является ключевой составляющей интеграции групп общества, страдающих от дискриминации, в социальную жизнь страны, то упоминания заслуживает принятие министерством труда и занятости Национального плана профессиональной подготовки.  Основной целью данного плана - одного из крупнейших в рамках федерального правительства - является профессиональное обучение выходцев из Африки.</w:t>
      </w:r>
    </w:p>
    <w:p w:rsidR="00000000" w:rsidRDefault="00000000"/>
    <w:p w:rsidR="00000000" w:rsidRDefault="00000000">
      <w:r>
        <w:t>366.</w:t>
      </w:r>
      <w:r>
        <w:tab/>
        <w:t>Другая мера, принятая правительством, включала назначение д-ра Перонильха Беатрис Гонсалвеш-и-Сильва и проф. Франсиска Новантино Пинту-ди-Анхелу, коренного бразильца, в Национальный совет по образованию.  Представительница чернокожих г</w:t>
      </w:r>
      <w:r>
        <w:noBreakHyphen/>
        <w:t xml:space="preserve">жа Лейди Кардосу Невиш, член Женского коллектива Пьяуи, была также назначена в Совет.  Совет, среди прочего, занимается вопросом сокращения доходов, гендерными вопросами, вопросами этики и возрастного неравенства.  В работе технических комитетов Национального совета по устойчивому сельскохозяйственному развитию принимают участие также:  г-жа Мария Розалина дос Сантуш (семейное ведение сельского хозяйства);  Франциска Гимарайес Суса (диверсификация сельской экономики) и Татьяна Карла Кардосо Невиш (доступ к земле).  Все эти женщины начинали свою деятельность в Коллективе чернокожих женщин Эсперанса Гарсия Пьяуи.  Еще одна важная должность досталась представителю афробразильцев д-ру Доре Люции де Лима Бертулиу в составе Национальной комиссии против пыток при Национальном совете по правам человека, созданном в рамках министерства юстиции.  </w:t>
      </w:r>
    </w:p>
    <w:p w:rsidR="00000000" w:rsidRDefault="00000000"/>
    <w:p w:rsidR="00000000" w:rsidRDefault="00000000">
      <w:r>
        <w:t>367.</w:t>
      </w:r>
      <w:r>
        <w:tab/>
        <w:t xml:space="preserve">Что касается позитивных действий в области высшего образования, то разработка Государственным университетом Санта-Катарины программы разнообразия позволила 40 женщинам принять участие в университетской программе дистанционного обучения, а Центр развития технических и людских ресурсов Сан-Хосе-дос-Кампос предоставил технической школе профессора Эвералдо Пасос 40 полных стипендий.  </w:t>
      </w:r>
    </w:p>
    <w:p w:rsidR="00000000" w:rsidRDefault="00000000"/>
    <w:p w:rsidR="00000000" w:rsidRDefault="00000000">
      <w:r>
        <w:t>368.</w:t>
      </w:r>
      <w:r>
        <w:tab/>
        <w:t>В различных университетах, включая университет Бразилиа, Федеральный университет Баия, Епископальный католический университет Минас-Жерайс и Государственный университет Санта-Катарины, было проведено обсуждение вопроса о позитивных действиях.</w:t>
      </w:r>
    </w:p>
    <w:p w:rsidR="00000000" w:rsidRDefault="00000000"/>
    <w:p w:rsidR="00000000" w:rsidRDefault="00000000">
      <w:r>
        <w:t>369.</w:t>
      </w:r>
      <w:r>
        <w:tab/>
        <w:t>К дополнение к этому был создан Национальный совет по борьбе с дискриминацией, одной из целей которого является изучение вопроса о принятии политики по улучшению положения выходцев из Африки и других слоев населения, оказавшихся в уязвимом положении вследствие расизма и дискриминации.  В соответствии со статьей 14 Международной конвенции о ликвидации всех форм расовой дискриминации Совет уполномочен также рассматривать заявления о нарушениях прав, предусмотренных Конвенцией.</w:t>
      </w:r>
    </w:p>
    <w:p w:rsidR="00000000" w:rsidRDefault="00000000"/>
    <w:p w:rsidR="00000000" w:rsidRDefault="00000000">
      <w:r>
        <w:t>370.</w:t>
      </w:r>
      <w:r>
        <w:tab/>
        <w:t>Административным приказом № 484 от 22 августа 2002 года министерство культуры приняло программу позитивных действий, которая охватывает все соответствующие организации и нацелена на применение мер, рекомендованных Национальной программой по правам человека, в частности ориентированных на выходцев из Африки, женщин и инвалидов.</w:t>
      </w:r>
    </w:p>
    <w:p w:rsidR="00000000" w:rsidRDefault="00000000"/>
    <w:p w:rsidR="00000000" w:rsidRDefault="00000000">
      <w:r>
        <w:t>371.</w:t>
      </w:r>
      <w:r>
        <w:tab/>
        <w:t>Программа позитивных действий министерства культуры включает принятие следующих административных мер:</w:t>
      </w:r>
    </w:p>
    <w:p w:rsidR="00000000" w:rsidRDefault="00000000"/>
    <w:p w:rsidR="00000000" w:rsidRDefault="00000000">
      <w:r>
        <w:tab/>
        <w:t>а)</w:t>
      </w:r>
      <w:r>
        <w:tab/>
        <w:t>при заполнении руководящих административных и консультативных должностей выходцы из Африки, женщины и инвалиды должны быть представлены в следующем процентном соотношении:</w:t>
      </w:r>
    </w:p>
    <w:p w:rsidR="00000000" w:rsidRDefault="00000000"/>
    <w:p w:rsidR="00000000" w:rsidRDefault="00000000">
      <w:r>
        <w:tab/>
      </w:r>
      <w:r>
        <w:tab/>
        <w:t>-</w:t>
      </w:r>
      <w:r>
        <w:tab/>
        <w:t>выходы из Африки - 20%;</w:t>
      </w:r>
    </w:p>
    <w:p w:rsidR="00000000" w:rsidRDefault="00000000">
      <w:r>
        <w:tab/>
      </w:r>
      <w:r>
        <w:tab/>
        <w:t>-</w:t>
      </w:r>
      <w:r>
        <w:tab/>
        <w:t xml:space="preserve">женщины - 20%;  и </w:t>
      </w:r>
    </w:p>
    <w:p w:rsidR="00000000" w:rsidRDefault="00000000">
      <w:r>
        <w:tab/>
      </w:r>
      <w:r>
        <w:tab/>
        <w:t>-</w:t>
      </w:r>
      <w:r>
        <w:tab/>
        <w:t>инвалиды - 5%;</w:t>
      </w:r>
    </w:p>
    <w:p w:rsidR="00000000" w:rsidRDefault="00000000"/>
    <w:p w:rsidR="00000000" w:rsidRDefault="00000000">
      <w:r>
        <w:tab/>
        <w:t xml:space="preserve">b) </w:t>
      </w:r>
      <w:r>
        <w:tab/>
        <w:t>в соответствии с условиями соглашений или проектов технического сотрудничества, осуществляемых министерством культуры или связанными с ним организациями, должны быть предусмотрены статьи, специально требующие выполнения Национальной программы по правам человека, особенно политики, направленной на обеспечение равенства;</w:t>
      </w:r>
    </w:p>
    <w:p w:rsidR="00000000" w:rsidRDefault="00000000"/>
    <w:p w:rsidR="00000000" w:rsidRDefault="00000000">
      <w:r>
        <w:tab/>
        <w:t>с)</w:t>
      </w:r>
      <w:r>
        <w:tab/>
        <w:t>процедуры конкурсных торгов в рамках министерства культуры должны отвечать критерию предоставления преимуществ подрядчикам, которые демонстрируют приверженность позитивным мерам, согласно принципам Закона № 8666 от 21 июня 1993 года;</w:t>
      </w:r>
    </w:p>
    <w:p w:rsidR="00000000" w:rsidRDefault="00000000"/>
    <w:p w:rsidR="00000000" w:rsidRDefault="00000000">
      <w:r>
        <w:tab/>
        <w:t xml:space="preserve">d) </w:t>
      </w:r>
      <w:r>
        <w:tab/>
        <w:t>при заключении договоров с обслуживающими компаниями, а также с техническими специалистами и консультантами, набираемыми для работы по проектам в сотрудничестве с международными организациями, требуется участие выходцев из Африки, женщин и инвалидов в следующем процентном соотношении:</w:t>
      </w:r>
    </w:p>
    <w:p w:rsidR="00000000" w:rsidRDefault="00000000"/>
    <w:p w:rsidR="00000000" w:rsidRDefault="00000000">
      <w:r>
        <w:tab/>
      </w:r>
      <w:r>
        <w:tab/>
        <w:t>-</w:t>
      </w:r>
      <w:r>
        <w:tab/>
        <w:t>выходы из Африки - 20%;</w:t>
      </w:r>
    </w:p>
    <w:p w:rsidR="00000000" w:rsidRDefault="00000000">
      <w:r>
        <w:tab/>
      </w:r>
      <w:r>
        <w:tab/>
        <w:t>-</w:t>
      </w:r>
      <w:r>
        <w:tab/>
        <w:t xml:space="preserve">женщины - 20%;  и </w:t>
      </w:r>
    </w:p>
    <w:p w:rsidR="00000000" w:rsidRDefault="00000000">
      <w:r>
        <w:tab/>
      </w:r>
      <w:r>
        <w:tab/>
        <w:t>-</w:t>
      </w:r>
      <w:r>
        <w:tab/>
        <w:t>инвалиды:</w:t>
      </w:r>
    </w:p>
    <w:p w:rsidR="00000000" w:rsidRDefault="00000000"/>
    <w:p w:rsidR="00000000" w:rsidRDefault="00000000">
      <w:pPr>
        <w:tabs>
          <w:tab w:val="clear" w:pos="2268"/>
          <w:tab w:val="left" w:pos="2127"/>
        </w:tabs>
      </w:pPr>
      <w:r>
        <w:tab/>
      </w:r>
      <w:r>
        <w:tab/>
      </w:r>
      <w:r>
        <w:tab/>
        <w:t>-</w:t>
      </w:r>
      <w:r>
        <w:tab/>
        <w:t>до 200 работников - 2%;</w:t>
      </w:r>
    </w:p>
    <w:p w:rsidR="00000000" w:rsidRDefault="00000000">
      <w:pPr>
        <w:tabs>
          <w:tab w:val="clear" w:pos="2268"/>
          <w:tab w:val="left" w:pos="2127"/>
        </w:tabs>
      </w:pPr>
      <w:r>
        <w:tab/>
      </w:r>
      <w:r>
        <w:tab/>
      </w:r>
      <w:r>
        <w:tab/>
        <w:t>-</w:t>
      </w:r>
      <w:r>
        <w:tab/>
        <w:t>от 200 до 500 работников - 3%;</w:t>
      </w:r>
    </w:p>
    <w:p w:rsidR="00000000" w:rsidRDefault="00000000">
      <w:pPr>
        <w:tabs>
          <w:tab w:val="clear" w:pos="2268"/>
          <w:tab w:val="left" w:pos="2127"/>
        </w:tabs>
      </w:pPr>
      <w:r>
        <w:tab/>
      </w:r>
      <w:r>
        <w:tab/>
      </w:r>
      <w:r>
        <w:tab/>
        <w:t>-</w:t>
      </w:r>
      <w:r>
        <w:tab/>
        <w:t>от 500 до 1 000 работников - 4;  и</w:t>
      </w:r>
    </w:p>
    <w:p w:rsidR="00000000" w:rsidRDefault="00000000">
      <w:pPr>
        <w:tabs>
          <w:tab w:val="clear" w:pos="2268"/>
          <w:tab w:val="left" w:pos="2127"/>
        </w:tabs>
      </w:pPr>
      <w:r>
        <w:tab/>
      </w:r>
      <w:r>
        <w:tab/>
      </w:r>
      <w:r>
        <w:tab/>
        <w:t>-</w:t>
      </w:r>
      <w:r>
        <w:tab/>
        <w:t>свыше 1 000 работников - 5%.</w:t>
      </w:r>
    </w:p>
    <w:p w:rsidR="00000000" w:rsidRDefault="00000000"/>
    <w:p w:rsidR="00000000" w:rsidRDefault="00000000">
      <w:r>
        <w:t>372.</w:t>
      </w:r>
      <w:r>
        <w:tab/>
        <w:t>Административный приказ предусматривает, что в случаях, когда речь идет о лицах, относящихся более чем к одной из основных категорий (выходы из Африки, женщины, инвалиды), предпочтение отдается лицам, принадлежащим к трем, двум или одной из этих категорий, соответственно.</w:t>
      </w:r>
    </w:p>
    <w:p w:rsidR="00000000" w:rsidRDefault="00000000"/>
    <w:p w:rsidR="00000000" w:rsidRDefault="00000000">
      <w:r>
        <w:t>373.</w:t>
      </w:r>
      <w:r>
        <w:tab/>
        <w:t>Координационный орган программы позитивных действий министерства культуры возглавляется исполнительным секретарем министерства, который имеет право и обязан:</w:t>
      </w:r>
    </w:p>
    <w:p w:rsidR="00000000" w:rsidRDefault="00000000"/>
    <w:p w:rsidR="00000000" w:rsidRDefault="00000000">
      <w:r>
        <w:tab/>
        <w:t>а)</w:t>
      </w:r>
      <w:r>
        <w:tab/>
        <w:t>давать указания и устанавливать административные процедуры, призванные гарантировать соответствующее осуществление программы, ее включение в подзаконные акты организаций, связанных со структурой министерства, и добиваться окончательного выполнения задач, поставленных перед программой;</w:t>
      </w:r>
    </w:p>
    <w:p w:rsidR="00000000" w:rsidRDefault="00000000"/>
    <w:p w:rsidR="00000000" w:rsidRDefault="00000000">
      <w:r>
        <w:tab/>
        <w:t xml:space="preserve">b) </w:t>
      </w:r>
      <w:r>
        <w:tab/>
        <w:t>представлять на рассмотрение государственному секретарю предлагаемые дополнительные директивы, призванные обеспечить соответствующее исполнение программы;</w:t>
      </w:r>
    </w:p>
    <w:p w:rsidR="00000000" w:rsidRDefault="00000000"/>
    <w:p w:rsidR="00000000" w:rsidRDefault="00000000">
      <w:r>
        <w:tab/>
        <w:t>с)</w:t>
      </w:r>
      <w:r>
        <w:tab/>
        <w:t>тесно сотрудничать с социальными предприятиями, координируя партнерские связи с организациями, которые гарантируют и отстаивают права чернокожих, женщин и инвалидов;</w:t>
      </w:r>
    </w:p>
    <w:p w:rsidR="00000000" w:rsidRDefault="00000000"/>
    <w:p w:rsidR="00000000" w:rsidRDefault="00000000">
      <w:r>
        <w:tab/>
        <w:t xml:space="preserve">d) </w:t>
      </w:r>
      <w:r>
        <w:tab/>
        <w:t>отстаивать в рамках министерства культуры и связанных с ним организаций уважение к правам человека, а также шире информировать служащих о проблемах, связанных с ликвидацией всех форм дискриминации.</w:t>
      </w:r>
    </w:p>
    <w:p w:rsidR="00000000" w:rsidRDefault="00000000"/>
    <w:p w:rsidR="00000000" w:rsidRDefault="00000000"/>
    <w:p w:rsidR="00000000" w:rsidRDefault="00000000"/>
    <w:p w:rsidR="00000000" w:rsidRDefault="00000000">
      <w:r>
        <w:t>374.</w:t>
      </w:r>
      <w:r>
        <w:tab/>
        <w:t>В соответствии с административным приказом министерства культуры для реализации программы создана также Комиссия по оценке и контролю, целью которой является поддержка, оценка и надзор за осуществлением соответствующих мероприятий, а также подготовка для исполнительного секретаря рекомендаций о принятии мер, призванных обеспечить непрерывность и эффективность подобных действий.  В Комиссию войдут представители исполнительного секретариата министерства и по одному представителю от каждой из связанных с ним организаций.</w:t>
      </w:r>
    </w:p>
    <w:p w:rsidR="00000000" w:rsidRDefault="00000000"/>
    <w:p w:rsidR="00000000" w:rsidRDefault="00000000">
      <w:r>
        <w:t>375.</w:t>
      </w:r>
      <w:r>
        <w:tab/>
        <w:t>Приказом № 19558 от 13 ноября 2002 года министерство образования утвердило Университетскую программу разнообразия.  Его задача заключается в осуществлении и оценке стратегий расширения доступа к высшему образованию представителей групп, находящихся в социально неблагоприятном положении, в частности выходцев из Африки и коренных бразильцев.  Программа будет осуществляться за счет средств, предоставленных союзом государственным или частным некоммерческим организациям, которые занимаются образованием и разработкой новаторских проектов, служащих целям Программы.  Ожидается, что союз будет направлять ресурсы через Университетскую программу разнообразия в течение трех лет.  Студентам вышеупомянутых организаций будут предоставляться наличные средства, и они будут награждаться стипендиями.</w:t>
      </w:r>
    </w:p>
    <w:p w:rsidR="00000000" w:rsidRDefault="00000000"/>
    <w:p w:rsidR="00000000" w:rsidRDefault="00000000">
      <w:r>
        <w:t>376.</w:t>
      </w:r>
      <w:r>
        <w:tab/>
        <w:t>Не менее важным событием стало и принятие программ по правам человека на уровне штатов Минас-Жерайс, Пернамбуко, Рио-Гранде-ду-Сул, Санта-Катарина и Сан-Паулу, задачей которых является повышение значения пропаганды расового равенства.</w:t>
      </w:r>
    </w:p>
    <w:p w:rsidR="00000000" w:rsidRDefault="00000000"/>
    <w:p w:rsidR="00000000" w:rsidRDefault="00000000">
      <w:pPr>
        <w:ind w:left="567" w:hanging="567"/>
        <w:jc w:val="center"/>
        <w:rPr>
          <w:b/>
          <w:bCs/>
        </w:rPr>
      </w:pPr>
      <w:r>
        <w:rPr>
          <w:b/>
          <w:bCs/>
        </w:rPr>
        <w:t>В.</w:t>
      </w:r>
      <w:r>
        <w:rPr>
          <w:b/>
          <w:bCs/>
        </w:rPr>
        <w:tab/>
        <w:t>Перспективы дальнейшего развития политики позитивных</w:t>
      </w:r>
    </w:p>
    <w:p w:rsidR="00000000" w:rsidRDefault="00000000">
      <w:pPr>
        <w:ind w:left="567" w:hanging="567"/>
        <w:jc w:val="center"/>
        <w:rPr>
          <w:b/>
          <w:bCs/>
        </w:rPr>
      </w:pPr>
      <w:r>
        <w:rPr>
          <w:b/>
          <w:bCs/>
        </w:rPr>
        <w:t>действий в Бразилии</w:t>
      </w:r>
    </w:p>
    <w:p w:rsidR="00000000" w:rsidRDefault="00000000">
      <w:pPr>
        <w:rPr>
          <w:b/>
          <w:bCs/>
        </w:rPr>
      </w:pPr>
    </w:p>
    <w:p w:rsidR="00000000" w:rsidRDefault="00000000">
      <w:r>
        <w:t>377.</w:t>
      </w:r>
      <w:r>
        <w:tab/>
        <w:t>Президент Луис Инасио Лупа да Силва придает большое значение правам человека и борьбе против расизма и дискриминации.  Приняв присягу 1 января 2003 года, президент создал в марте специальный секретариат, связанный с кабинетом при президенте Республики, который занимается пропагандой расового равенства.  Другой важной мерой стало создание специального секретариата, занимающегося правами женщин.</w:t>
      </w:r>
    </w:p>
    <w:p w:rsidR="00000000" w:rsidRDefault="00000000"/>
    <w:p w:rsidR="00000000" w:rsidRDefault="00000000">
      <w:r>
        <w:t>378.</w:t>
      </w:r>
      <w:r>
        <w:tab/>
        <w:t>Создание этих органов в рамках государственного аппарата говорит о значении прав человека в целом и усилиях по борьбе против расизма и дискриминации в частности.  Ожидается, что эти секретариаты будут способствовать постоянному учету расовых и гендерных проблем в государственной политике Бразилии.</w:t>
      </w:r>
    </w:p>
    <w:p w:rsidR="00000000" w:rsidRDefault="00000000"/>
    <w:p w:rsidR="00000000" w:rsidRDefault="00000000">
      <w:r>
        <w:t>379.</w:t>
      </w:r>
      <w:r>
        <w:tab/>
        <w:t>Президент Республики давно известен как борец за права человека.  В ходе президентской кампании тогда еще не вступивший в должность президент опубликовал в Салвадоре, Баия, документ, содержащий следующие основные и предварительные принципы, служащие отправной точкой для разработки правительственной программы мер по борьбе против расизма и дискриминации во всех их проявлениях:</w:t>
      </w:r>
    </w:p>
    <w:p w:rsidR="00000000" w:rsidRDefault="00000000"/>
    <w:p w:rsidR="00000000" w:rsidRDefault="00000000">
      <w:pPr>
        <w:tabs>
          <w:tab w:val="clear" w:pos="567"/>
        </w:tabs>
        <w:ind w:left="1122" w:hanging="561"/>
      </w:pPr>
      <w:r>
        <w:t>-</w:t>
      </w:r>
      <w:r>
        <w:tab/>
        <w:t>гарантия демократического и общенародного процесса выработки политики;</w:t>
      </w:r>
    </w:p>
    <w:p w:rsidR="00000000" w:rsidRDefault="00000000">
      <w:pPr>
        <w:tabs>
          <w:tab w:val="clear" w:pos="567"/>
        </w:tabs>
        <w:ind w:left="1122" w:hanging="561"/>
      </w:pPr>
    </w:p>
    <w:p w:rsidR="00000000" w:rsidRDefault="00000000">
      <w:pPr>
        <w:tabs>
          <w:tab w:val="clear" w:pos="567"/>
        </w:tabs>
        <w:ind w:left="1122" w:hanging="561"/>
      </w:pPr>
      <w:r>
        <w:t>-</w:t>
      </w:r>
      <w:r>
        <w:tab/>
        <w:t>превращение социальной проблемы в основной организационный стержень при решении сложной политической задачи разработки стратегии перестройки страны;</w:t>
      </w:r>
    </w:p>
    <w:p w:rsidR="00000000" w:rsidRDefault="00000000">
      <w:pPr>
        <w:tabs>
          <w:tab w:val="clear" w:pos="567"/>
        </w:tabs>
        <w:ind w:left="1122" w:hanging="561"/>
      </w:pPr>
    </w:p>
    <w:p w:rsidR="00000000" w:rsidRDefault="00000000">
      <w:pPr>
        <w:tabs>
          <w:tab w:val="clear" w:pos="567"/>
        </w:tabs>
        <w:ind w:left="1122" w:hanging="561"/>
      </w:pPr>
      <w:r>
        <w:t>-</w:t>
      </w:r>
      <w:r>
        <w:tab/>
        <w:t>возведение фундамента демократической и ориентированной на защиту "маленького человека" программы для Бразилии с упором на соответствующие социальные, национальные и демократические аспекты;</w:t>
      </w:r>
    </w:p>
    <w:p w:rsidR="00000000" w:rsidRDefault="00000000">
      <w:pPr>
        <w:tabs>
          <w:tab w:val="clear" w:pos="567"/>
        </w:tabs>
        <w:ind w:left="1122" w:hanging="561"/>
      </w:pPr>
    </w:p>
    <w:p w:rsidR="00000000" w:rsidRDefault="00000000">
      <w:pPr>
        <w:tabs>
          <w:tab w:val="clear" w:pos="567"/>
        </w:tabs>
        <w:ind w:left="1122" w:hanging="561"/>
      </w:pPr>
      <w:r>
        <w:t>-</w:t>
      </w:r>
      <w:r>
        <w:tab/>
        <w:t>сокращение разрыва между белыми и чернокожими, наличие которого признается серьезными исследованиями и разработками, проведенными государственными органами и неправительственными организациями, университетами и организациями движения чернокожих;</w:t>
      </w:r>
    </w:p>
    <w:p w:rsidR="00000000" w:rsidRDefault="00000000">
      <w:pPr>
        <w:tabs>
          <w:tab w:val="clear" w:pos="567"/>
        </w:tabs>
        <w:ind w:left="1122" w:hanging="561"/>
      </w:pPr>
    </w:p>
    <w:p w:rsidR="00000000" w:rsidRDefault="00000000">
      <w:pPr>
        <w:tabs>
          <w:tab w:val="clear" w:pos="567"/>
        </w:tabs>
        <w:ind w:left="1122" w:hanging="561"/>
      </w:pPr>
      <w:r>
        <w:t>-</w:t>
      </w:r>
      <w:r>
        <w:tab/>
        <w:t>включение чернокожего населения как граждан, в полной мере пользующихся своими правами, в жизнь страны и создание объективных условий для их доступа и участия в использовании социальных и политических преимуществ, предоставляемых государством;  и</w:t>
      </w:r>
    </w:p>
    <w:p w:rsidR="00000000" w:rsidRDefault="00000000">
      <w:pPr>
        <w:tabs>
          <w:tab w:val="clear" w:pos="567"/>
        </w:tabs>
        <w:ind w:left="1122" w:hanging="561"/>
      </w:pPr>
    </w:p>
    <w:p w:rsidR="00000000" w:rsidRDefault="00000000">
      <w:pPr>
        <w:tabs>
          <w:tab w:val="clear" w:pos="567"/>
        </w:tabs>
        <w:ind w:left="1122" w:hanging="561"/>
      </w:pPr>
      <w:r>
        <w:t>-</w:t>
      </w:r>
      <w:r>
        <w:tab/>
        <w:t>участие в обсуждении проблемы расовых отношений в мире с учетом сложившейся политической, экономической, социальной и культурной ситуации в период, характеризуемый глобализацией и неолиберализмом.</w:t>
      </w:r>
    </w:p>
    <w:p w:rsidR="00000000" w:rsidRDefault="00000000">
      <w:pPr>
        <w:tabs>
          <w:tab w:val="clear" w:pos="567"/>
        </w:tabs>
        <w:ind w:left="1122" w:hanging="561"/>
      </w:pPr>
    </w:p>
    <w:p w:rsidR="00000000" w:rsidRDefault="00000000">
      <w:pPr>
        <w:tabs>
          <w:tab w:val="clear" w:pos="567"/>
          <w:tab w:val="left" w:pos="561"/>
        </w:tabs>
      </w:pPr>
      <w:r>
        <w:t>380.</w:t>
      </w:r>
      <w:r>
        <w:tab/>
        <w:t>В этой связи мы представляем в качестве основы ряд идей для начала обсуждения в рамках предложений по правительственной программе 2002 года:</w:t>
      </w:r>
    </w:p>
    <w:p w:rsidR="00000000" w:rsidRDefault="00000000">
      <w:pPr>
        <w:tabs>
          <w:tab w:val="clear" w:pos="567"/>
          <w:tab w:val="left" w:pos="561"/>
        </w:tabs>
      </w:pPr>
    </w:p>
    <w:p w:rsidR="00000000" w:rsidRDefault="00000000">
      <w:pPr>
        <w:tabs>
          <w:tab w:val="clear" w:pos="567"/>
        </w:tabs>
        <w:ind w:left="1122" w:hanging="561"/>
      </w:pPr>
      <w:r>
        <w:t>-</w:t>
      </w:r>
      <w:r>
        <w:tab/>
        <w:t>положить начало выдаче документов, закрепляющих в собственность городские и сельские земли общин беглых рабов;</w:t>
      </w:r>
    </w:p>
    <w:p w:rsidR="00000000" w:rsidRDefault="00000000">
      <w:pPr>
        <w:tabs>
          <w:tab w:val="clear" w:pos="567"/>
        </w:tabs>
        <w:ind w:left="1122" w:hanging="561"/>
      </w:pPr>
    </w:p>
    <w:p w:rsidR="00000000" w:rsidRDefault="00000000">
      <w:pPr>
        <w:tabs>
          <w:tab w:val="clear" w:pos="567"/>
        </w:tabs>
        <w:ind w:left="1122" w:hanging="561"/>
      </w:pPr>
      <w:r>
        <w:t>-</w:t>
      </w:r>
      <w:r>
        <w:tab/>
        <w:t>обеспечить разработку программ, нацеленных на повышение профессиональной квалификации рабочей силы и получение доходов, направляемых на нужды маргинальных групп, в том числе чернокожего населения;</w:t>
      </w:r>
    </w:p>
    <w:p w:rsidR="00000000" w:rsidRDefault="00000000">
      <w:pPr>
        <w:tabs>
          <w:tab w:val="clear" w:pos="567"/>
        </w:tabs>
        <w:ind w:left="1122" w:hanging="561"/>
      </w:pPr>
    </w:p>
    <w:p w:rsidR="00000000" w:rsidRDefault="00000000">
      <w:pPr>
        <w:tabs>
          <w:tab w:val="clear" w:pos="567"/>
        </w:tabs>
        <w:ind w:left="1122" w:hanging="561"/>
      </w:pPr>
      <w:r>
        <w:t>-</w:t>
      </w:r>
      <w:r>
        <w:tab/>
        <w:t>при проведении политики поддержки научных и технических исследований добиваться равного подхода к проектам, касающимся расовых отношений;</w:t>
      </w:r>
    </w:p>
    <w:p w:rsidR="00000000" w:rsidRDefault="00000000">
      <w:pPr>
        <w:tabs>
          <w:tab w:val="clear" w:pos="567"/>
        </w:tabs>
        <w:ind w:left="1122" w:hanging="561"/>
      </w:pPr>
    </w:p>
    <w:p w:rsidR="00000000" w:rsidRDefault="00000000">
      <w:pPr>
        <w:tabs>
          <w:tab w:val="clear" w:pos="567"/>
        </w:tabs>
        <w:ind w:left="1122" w:hanging="561"/>
      </w:pPr>
      <w:r>
        <w:t>-</w:t>
      </w:r>
      <w:r>
        <w:tab/>
        <w:t>гарантировать осуществление Конвенции МОТ № 111;</w:t>
      </w:r>
    </w:p>
    <w:p w:rsidR="00000000" w:rsidRDefault="00000000">
      <w:pPr>
        <w:tabs>
          <w:tab w:val="clear" w:pos="567"/>
        </w:tabs>
        <w:ind w:left="1122" w:hanging="561"/>
      </w:pPr>
    </w:p>
    <w:p w:rsidR="00000000" w:rsidRDefault="00000000">
      <w:pPr>
        <w:tabs>
          <w:tab w:val="clear" w:pos="567"/>
        </w:tabs>
        <w:ind w:left="1122" w:hanging="561"/>
      </w:pPr>
      <w:r>
        <w:t>-</w:t>
      </w:r>
      <w:r>
        <w:tab/>
        <w:t>активизировать осуществление комплексной программы охраны здоровья женщин, включая разработку конкретных программ по расовой и гендерной проблематике;</w:t>
      </w:r>
    </w:p>
    <w:p w:rsidR="00000000" w:rsidRDefault="00000000">
      <w:pPr>
        <w:tabs>
          <w:tab w:val="clear" w:pos="567"/>
        </w:tabs>
        <w:ind w:left="1122" w:hanging="561"/>
      </w:pPr>
    </w:p>
    <w:p w:rsidR="00000000" w:rsidRDefault="00000000">
      <w:pPr>
        <w:tabs>
          <w:tab w:val="clear" w:pos="567"/>
        </w:tabs>
        <w:ind w:left="1122" w:hanging="561"/>
      </w:pPr>
      <w:r>
        <w:t>-</w:t>
      </w:r>
      <w:r>
        <w:tab/>
        <w:t>осуществлять Международную конвенцию о ликвидации всех форм расовой дискриминации;</w:t>
      </w:r>
    </w:p>
    <w:p w:rsidR="00000000" w:rsidRDefault="00000000">
      <w:pPr>
        <w:tabs>
          <w:tab w:val="clear" w:pos="567"/>
        </w:tabs>
        <w:ind w:left="1122" w:hanging="561"/>
      </w:pPr>
    </w:p>
    <w:p w:rsidR="00000000" w:rsidRDefault="00000000">
      <w:pPr>
        <w:tabs>
          <w:tab w:val="clear" w:pos="567"/>
        </w:tabs>
        <w:ind w:left="1122" w:hanging="561"/>
      </w:pPr>
      <w:r>
        <w:t>-</w:t>
      </w:r>
      <w:r>
        <w:tab/>
        <w:t>ввести и ужесточить требование о включении упоминания о цвете кожи в информационные системы во всех областях государственного сектора, предоставляющих помощь пользователям;</w:t>
      </w:r>
    </w:p>
    <w:p w:rsidR="00000000" w:rsidRDefault="00000000">
      <w:pPr>
        <w:tabs>
          <w:tab w:val="clear" w:pos="567"/>
        </w:tabs>
        <w:ind w:left="1122" w:hanging="561"/>
      </w:pPr>
    </w:p>
    <w:p w:rsidR="00000000" w:rsidRDefault="00000000">
      <w:pPr>
        <w:tabs>
          <w:tab w:val="clear" w:pos="567"/>
        </w:tabs>
        <w:ind w:left="1122" w:hanging="561"/>
      </w:pPr>
      <w:r>
        <w:t>-</w:t>
      </w:r>
      <w:r>
        <w:tab/>
        <w:t>обеспечить разработку и выявление серповидноклеточной анемии и талассемии (в первые годы жизни), гипертонии и миоматоза - заболеваний, чаще всего поражающих чернокожее население и серьезно влияющих на детородную функцию;</w:t>
      </w:r>
    </w:p>
    <w:p w:rsidR="00000000" w:rsidRDefault="00000000">
      <w:pPr>
        <w:tabs>
          <w:tab w:val="clear" w:pos="567"/>
        </w:tabs>
        <w:ind w:left="1122" w:hanging="561"/>
      </w:pPr>
    </w:p>
    <w:p w:rsidR="00000000" w:rsidRDefault="00000000">
      <w:pPr>
        <w:tabs>
          <w:tab w:val="clear" w:pos="567"/>
        </w:tabs>
        <w:ind w:left="1122" w:hanging="561"/>
      </w:pPr>
      <w:r>
        <w:t>-</w:t>
      </w:r>
      <w:r>
        <w:tab/>
        <w:t>гарантировать представленность и освещение жизни этнических групп в ходе всех правительственных информационных кампаний и мероприятий, а также организаций, политически или экономически зависящих от союза;</w:t>
      </w:r>
    </w:p>
    <w:p w:rsidR="00000000" w:rsidRDefault="00000000">
      <w:pPr>
        <w:tabs>
          <w:tab w:val="clear" w:pos="567"/>
        </w:tabs>
        <w:ind w:left="1122" w:hanging="561"/>
      </w:pPr>
    </w:p>
    <w:p w:rsidR="00000000" w:rsidRDefault="00000000">
      <w:pPr>
        <w:tabs>
          <w:tab w:val="clear" w:pos="567"/>
        </w:tabs>
        <w:ind w:left="1122" w:hanging="561"/>
      </w:pPr>
      <w:r>
        <w:t>-</w:t>
      </w:r>
      <w:r>
        <w:tab/>
        <w:t>обеспечить качество образования и введение межэтнического обучения, учитывающего гендерный фактор;</w:t>
      </w:r>
    </w:p>
    <w:p w:rsidR="00000000" w:rsidRDefault="00000000">
      <w:pPr>
        <w:tabs>
          <w:tab w:val="clear" w:pos="567"/>
        </w:tabs>
        <w:ind w:left="1122" w:hanging="561"/>
      </w:pPr>
    </w:p>
    <w:p w:rsidR="00000000" w:rsidRDefault="00000000">
      <w:pPr>
        <w:tabs>
          <w:tab w:val="clear" w:pos="567"/>
        </w:tabs>
        <w:ind w:left="1122" w:hanging="561"/>
      </w:pPr>
      <w:r>
        <w:t>-</w:t>
      </w:r>
      <w:r>
        <w:tab/>
        <w:t>разработать программы и обеспечить равные возможности и обращение в рамках разработанной и осуществляемой культурной политики;</w:t>
      </w:r>
    </w:p>
    <w:p w:rsidR="00000000" w:rsidRDefault="00000000">
      <w:pPr>
        <w:tabs>
          <w:tab w:val="clear" w:pos="567"/>
        </w:tabs>
        <w:ind w:left="1122" w:hanging="561"/>
      </w:pPr>
    </w:p>
    <w:p w:rsidR="00000000" w:rsidRDefault="00000000">
      <w:pPr>
        <w:tabs>
          <w:tab w:val="clear" w:pos="567"/>
        </w:tabs>
        <w:ind w:left="1122" w:hanging="561"/>
      </w:pPr>
      <w:r>
        <w:t>-</w:t>
      </w:r>
      <w:r>
        <w:tab/>
        <w:t>способствовать картированию и регистрации в качестве наследия страны тех мест и документов исторического значения, которые касаются общин беглых рабов, а также защиты памятников афро-бразильской культуры;</w:t>
      </w:r>
    </w:p>
    <w:p w:rsidR="00000000" w:rsidRDefault="00000000">
      <w:pPr>
        <w:tabs>
          <w:tab w:val="clear" w:pos="567"/>
        </w:tabs>
        <w:ind w:left="1122" w:hanging="561"/>
      </w:pPr>
    </w:p>
    <w:p w:rsidR="00000000" w:rsidRDefault="00000000">
      <w:pPr>
        <w:tabs>
          <w:tab w:val="clear" w:pos="567"/>
        </w:tabs>
        <w:ind w:left="1122" w:hanging="561"/>
      </w:pPr>
      <w:r>
        <w:t>-</w:t>
      </w:r>
      <w:r>
        <w:tab/>
        <w:t>разработать программу замещения вакантных должностей с учетом гендерных и расовых критериев;</w:t>
      </w:r>
    </w:p>
    <w:p w:rsidR="00000000" w:rsidRDefault="00000000">
      <w:pPr>
        <w:tabs>
          <w:tab w:val="clear" w:pos="567"/>
        </w:tabs>
        <w:ind w:left="1122" w:hanging="561"/>
      </w:pPr>
    </w:p>
    <w:p w:rsidR="00000000" w:rsidRDefault="00000000">
      <w:pPr>
        <w:tabs>
          <w:tab w:val="clear" w:pos="567"/>
        </w:tabs>
        <w:ind w:left="1122" w:hanging="561"/>
      </w:pPr>
      <w:r>
        <w:t>-</w:t>
      </w:r>
      <w:r>
        <w:tab/>
        <w:t>обеспечить равное отношение к религиям, учитывая при этом значение свободы вероисповедания применительно к религиям выходцев из Африки;</w:t>
      </w:r>
    </w:p>
    <w:p w:rsidR="00000000" w:rsidRDefault="00000000">
      <w:pPr>
        <w:tabs>
          <w:tab w:val="clear" w:pos="567"/>
        </w:tabs>
        <w:ind w:left="1122" w:hanging="561"/>
      </w:pPr>
    </w:p>
    <w:p w:rsidR="00000000" w:rsidRDefault="00000000">
      <w:pPr>
        <w:tabs>
          <w:tab w:val="clear" w:pos="567"/>
        </w:tabs>
        <w:ind w:left="1122" w:hanging="561"/>
      </w:pPr>
      <w:r>
        <w:t>-</w:t>
      </w:r>
      <w:r>
        <w:tab/>
        <w:t>разработать программу борьбы с расовым насилием, делающую особый упор на условия жизни чернокожей молодежи;</w:t>
      </w:r>
    </w:p>
    <w:p w:rsidR="00000000" w:rsidRDefault="00000000"/>
    <w:p w:rsidR="00000000" w:rsidRDefault="00000000">
      <w:pPr>
        <w:ind w:left="1134" w:hanging="1134"/>
      </w:pPr>
      <w:r>
        <w:tab/>
        <w:t>-</w:t>
      </w:r>
      <w:r>
        <w:tab/>
      </w:r>
      <w:r>
        <w:rPr>
          <w:lang w:val="en-US"/>
        </w:rPr>
        <w:t>c</w:t>
      </w:r>
      <w:r>
        <w:t>оздать инструмент и каналы участия для анализа, представления предложений, осуществления контроля, оценки и проведения антирасистской политики, уделяя особое внимание обеспечению более серьезной организационной поддержки социальных партнеров, находящихся на переднем крае борьбы;</w:t>
      </w:r>
    </w:p>
    <w:p w:rsidR="00000000" w:rsidRDefault="00000000">
      <w:pPr>
        <w:ind w:left="1134" w:hanging="1134"/>
      </w:pPr>
    </w:p>
    <w:p w:rsidR="00000000" w:rsidRDefault="00000000">
      <w:pPr>
        <w:ind w:left="1134" w:hanging="1134"/>
      </w:pPr>
      <w:r>
        <w:tab/>
        <w:t>-</w:t>
      </w:r>
      <w:r>
        <w:tab/>
        <w:t>гарантировать разработку программ борьбы с фенимизацией нищеты путем защиты занимаемых женщинами рабочих мест за счет создания конкретных стимулов, придающих особый вес чернокожим женщинам с помощью программ доступа, профессиональной подготовки и развития профессиональных навыков, ориентированных на рынок труда;</w:t>
      </w:r>
    </w:p>
    <w:p w:rsidR="00000000" w:rsidRDefault="00000000">
      <w:pPr>
        <w:ind w:left="1134" w:hanging="1134"/>
      </w:pPr>
    </w:p>
    <w:p w:rsidR="00000000" w:rsidRDefault="00000000">
      <w:pPr>
        <w:ind w:left="1134" w:hanging="1134"/>
      </w:pPr>
      <w:r>
        <w:tab/>
        <w:t>-</w:t>
      </w:r>
      <w:r>
        <w:tab/>
        <w:t>гарантировать осуществление программы предупреждения насилия в отношении наиболее уязвимых групп, таких, как дети и подростки, женщины, чернокожие, инвалиды, коренные народы, гомосексуалисты и безземельные работники.</w:t>
      </w:r>
    </w:p>
    <w:p w:rsidR="00000000" w:rsidRDefault="00000000">
      <w:pPr>
        <w:ind w:left="1134" w:hanging="1134"/>
      </w:pPr>
    </w:p>
    <w:p w:rsidR="00000000" w:rsidRDefault="00000000">
      <w:r>
        <w:t>381.</w:t>
      </w:r>
      <w:r>
        <w:tab/>
        <w:t>Любые прогнозы относительно будущих позитивных действий в Бразилии должны вначале становиться предметом глубокого анализа, непрерывного по характеру и учитывающего принципы Национальной программы позитивных действий.  В первые месяцы активизации правительственной деятельности в этой области очевидно возникновение сопротивления со стороны некоторых государственных бюрократических структур, и это препятствие можно преодолеть только путем более активного претворения в жизнь объективных и конкретных решений.</w:t>
      </w:r>
    </w:p>
    <w:p w:rsidR="00000000" w:rsidRDefault="00000000"/>
    <w:p w:rsidR="00000000" w:rsidRDefault="00000000">
      <w:r>
        <w:t>382.</w:t>
      </w:r>
      <w:r>
        <w:tab/>
        <w:t>Устойчивость деятельности по Программе будет обеспечиваться за счет постоянного диалога с институтами общества, связанными с этой проблемой;  усилий по расширению информированности по этому вопросу в рамках федеральной администрации;  использования имеющихся средств массовой информации;  поиска поддержки со стороны Организации Объединенных Наций, в частности Программы развития Организации Объединенных Наций, для которой вопрос борьбы с дискриминацией является первоочередным;  расширения технического сотрудничества с Верховным комиссаром Организации Объединенных Наций по правам человека, и активизации диалога с Комитетом по ликвидации расовой дискриминации.</w:t>
      </w:r>
    </w:p>
    <w:p w:rsidR="00000000" w:rsidRDefault="00000000"/>
    <w:p w:rsidR="00000000" w:rsidRDefault="00000000">
      <w:r>
        <w:t>383.</w:t>
      </w:r>
      <w:r>
        <w:tab/>
        <w:t xml:space="preserve">Другой важный аспект связан с необходимостью добиваться того, чтобы обсуждение политики позитивных действий не ограничивалось вопросом о квотах.  Следует расширить деятельность комитета, созданного в рамках Национальной программы позитивных действий, и вывести его на арену государственной политики.  Перечень областей, в которых деятельность этого комитета может быть актуальной, приводится ниже.  </w:t>
      </w:r>
    </w:p>
    <w:p w:rsidR="00000000" w:rsidRDefault="00000000"/>
    <w:p w:rsidR="00000000" w:rsidRDefault="00000000">
      <w:r>
        <w:t>384.</w:t>
      </w:r>
      <w:r>
        <w:tab/>
        <w:t>В рамках федеральной государственной администрации комитет мог бы:</w:t>
      </w:r>
    </w:p>
    <w:p w:rsidR="00000000" w:rsidRDefault="00000000"/>
    <w:p w:rsidR="00000000" w:rsidRDefault="00000000">
      <w:pPr>
        <w:ind w:left="1134" w:hanging="1134"/>
      </w:pPr>
      <w:r>
        <w:tab/>
        <w:t>-</w:t>
      </w:r>
      <w:r>
        <w:tab/>
        <w:t xml:space="preserve">вычленить внутри каждого органа федеральной администрации конкретное "подразделение", отвечающее за осуществление, отслеживание и оценку программ позитивных действий в своей сфере.  Это "подразделение" должно быть связано с самым высоким должностным лицом данного учреждения;  </w:t>
      </w:r>
    </w:p>
    <w:p w:rsidR="00000000" w:rsidRDefault="00000000">
      <w:pPr>
        <w:ind w:left="1134" w:hanging="1134"/>
      </w:pPr>
    </w:p>
    <w:p w:rsidR="00000000" w:rsidRDefault="00000000">
      <w:pPr>
        <w:ind w:left="1134" w:hanging="1134"/>
      </w:pPr>
      <w:r>
        <w:tab/>
        <w:t>-</w:t>
      </w:r>
      <w:r>
        <w:tab/>
        <w:t>определить и придать системный характер эксперименту по осуществлению позитивных действий, проводимому федеральной администрацией;</w:t>
      </w:r>
    </w:p>
    <w:p w:rsidR="00000000" w:rsidRDefault="00000000">
      <w:pPr>
        <w:ind w:left="1134" w:hanging="1134"/>
      </w:pPr>
    </w:p>
    <w:p w:rsidR="00000000" w:rsidRDefault="00000000">
      <w:pPr>
        <w:ind w:left="1134" w:hanging="1134"/>
      </w:pPr>
      <w:r>
        <w:tab/>
        <w:t>-</w:t>
      </w:r>
      <w:r>
        <w:tab/>
        <w:t xml:space="preserve">систематизировать и организовать на основе различных существующих документов (т.е. документов, разработанных Межведомственной группой по улучшению положения чернокожего населения, Дурбанской декларации и Программы действий, Национальных планов по правам человека </w:t>
      </w:r>
      <w:r>
        <w:rPr>
          <w:lang w:val="en-US"/>
        </w:rPr>
        <w:t>I</w:t>
      </w:r>
      <w:r>
        <w:t xml:space="preserve"> и </w:t>
      </w:r>
      <w:r>
        <w:rPr>
          <w:lang w:val="en-US"/>
        </w:rPr>
        <w:t>II</w:t>
      </w:r>
      <w:r>
        <w:t xml:space="preserve">, подготовительных документов к Конференции в Дурбане, выработанных в ходе совещаний в Сантьяго, Чили и в Рио-де-Жанейро, докладов, подготовленных институтами гражданского общества, документа, представленного президенту Республики движением чернокожего населения в 1995 году, материалов международной конференции 1996 года и документа "Разнообразие в ПЛАНФОР", опубликованного министерством труда) и содержащихся в них предложений;  </w:t>
      </w:r>
    </w:p>
    <w:p w:rsidR="00000000" w:rsidRDefault="00000000">
      <w:pPr>
        <w:ind w:left="1134" w:hanging="1134"/>
      </w:pPr>
    </w:p>
    <w:p w:rsidR="00000000" w:rsidRDefault="00000000">
      <w:pPr>
        <w:ind w:left="1134" w:hanging="1134"/>
      </w:pPr>
      <w:r>
        <w:tab/>
        <w:t>-</w:t>
      </w:r>
      <w:r>
        <w:tab/>
        <w:t>предложить федеральной государственной администрации план позитивных действий, основанный на уже имеющихся систематизированных рекомендациях и результатах проведенных экспериментов;</w:t>
      </w:r>
    </w:p>
    <w:p w:rsidR="00000000" w:rsidRDefault="00000000">
      <w:pPr>
        <w:ind w:left="1134" w:hanging="1134"/>
      </w:pPr>
    </w:p>
    <w:p w:rsidR="00000000" w:rsidRDefault="00000000">
      <w:pPr>
        <w:ind w:left="1134" w:hanging="1134"/>
      </w:pPr>
      <w:r>
        <w:tab/>
        <w:t>-</w:t>
      </w:r>
      <w:r>
        <w:tab/>
        <w:t xml:space="preserve">активизировать обсуждение расового вопроса в федеральной государственной администрации.  Каждому министерству следует иметь повестку дня обсуждения, которая выполняется и контролируется Комитетом;  </w:t>
      </w:r>
    </w:p>
    <w:p w:rsidR="00000000" w:rsidRDefault="00000000">
      <w:pPr>
        <w:ind w:left="1134" w:hanging="1134"/>
      </w:pPr>
    </w:p>
    <w:p w:rsidR="00000000" w:rsidRDefault="00000000">
      <w:pPr>
        <w:ind w:left="1134" w:hanging="1134"/>
      </w:pPr>
      <w:r>
        <w:tab/>
        <w:t>-</w:t>
      </w:r>
      <w:r>
        <w:tab/>
        <w:t>по указу президента провести учет работников федеральной государственной администрации, принимая во внимание их расовые и гендерные характеристики и особые потребности.  Учитываться будут сотрудники, нанятые после прохождения экзаменов, получившие должность в результате назначения и сотрудники, работающие по внешнему подряду, а также консультанты.  Механизм подобного рода мог бы быть задействован на уровне штатов и муниципалитетов и в частных организациях, как коммерческих, так и некоммерческих;</w:t>
      </w:r>
    </w:p>
    <w:p w:rsidR="00000000" w:rsidRDefault="00000000">
      <w:pPr>
        <w:ind w:left="1134" w:hanging="1134"/>
      </w:pPr>
    </w:p>
    <w:p w:rsidR="00000000" w:rsidRDefault="00000000">
      <w:pPr>
        <w:ind w:left="1134" w:hanging="1134"/>
      </w:pPr>
      <w:r>
        <w:tab/>
        <w:t>-</w:t>
      </w:r>
      <w:r>
        <w:tab/>
        <w:t>рекомендовать руководству штатов и муниципалитетов разработать программы позитивных действий, а также создать соответствующий комитет по оценке и контролю;</w:t>
      </w:r>
    </w:p>
    <w:p w:rsidR="00000000" w:rsidRDefault="00000000">
      <w:pPr>
        <w:ind w:left="1134" w:hanging="1134"/>
      </w:pPr>
    </w:p>
    <w:p w:rsidR="00000000" w:rsidRDefault="00000000">
      <w:pPr>
        <w:ind w:left="1134" w:hanging="1134"/>
      </w:pPr>
      <w:r>
        <w:tab/>
        <w:t>-</w:t>
      </w:r>
      <w:r>
        <w:tab/>
        <w:t>подготовить для федеральной государственной администрации документ о политике поощрения разнообразия, включающей обязательные квоты и систему стимулирования;</w:t>
      </w:r>
    </w:p>
    <w:p w:rsidR="00000000" w:rsidRDefault="00000000">
      <w:pPr>
        <w:ind w:left="1134" w:hanging="1134"/>
      </w:pPr>
    </w:p>
    <w:p w:rsidR="00000000" w:rsidRDefault="00000000">
      <w:pPr>
        <w:ind w:left="1134" w:hanging="1134"/>
      </w:pPr>
      <w:r>
        <w:tab/>
        <w:t>-</w:t>
      </w:r>
      <w:r>
        <w:tab/>
        <w:t>создать рабочую группу в составе юристов и других специалистов по государственному праву для выяснения возможностей, предоставляемых действующим законодательством для включения критериев позитивных действий в существующие процедуры конкурсных торгов и другие механизмы, применяемые государством при приобретении товаров и услуг;</w:t>
      </w:r>
    </w:p>
    <w:p w:rsidR="00000000" w:rsidRDefault="00000000">
      <w:pPr>
        <w:ind w:left="1134" w:hanging="1134"/>
      </w:pPr>
    </w:p>
    <w:p w:rsidR="00000000" w:rsidRDefault="00000000">
      <w:pPr>
        <w:ind w:left="1134" w:hanging="1134"/>
      </w:pPr>
      <w:r>
        <w:tab/>
        <w:t>-</w:t>
      </w:r>
      <w:r>
        <w:tab/>
        <w:t>распространить на другие ведомства федеральной государственной администрации, в том числе на государственные компании, позитивные действия, подобные тем, которые утверждены Верховным федеральным судом, министерством хозяйственного развития, министерством юстиции и министерством иностранных дел;</w:t>
      </w:r>
    </w:p>
    <w:p w:rsidR="00000000" w:rsidRDefault="00000000">
      <w:pPr>
        <w:ind w:left="1134" w:hanging="1134"/>
      </w:pPr>
    </w:p>
    <w:p w:rsidR="00000000" w:rsidRDefault="00000000">
      <w:pPr>
        <w:ind w:left="1134" w:hanging="1134"/>
      </w:pPr>
      <w:r>
        <w:tab/>
        <w:t>-</w:t>
      </w:r>
      <w:r>
        <w:tab/>
        <w:t>вместе с компетентными органами принять меры, в том числе законодательные, для выделения средств на осуществление программ позитивных действий в бюджете 2003 года, и</w:t>
      </w:r>
    </w:p>
    <w:p w:rsidR="00000000" w:rsidRDefault="00000000">
      <w:pPr>
        <w:ind w:left="1134" w:hanging="1134"/>
      </w:pPr>
    </w:p>
    <w:p w:rsidR="00000000" w:rsidRDefault="00000000">
      <w:pPr>
        <w:ind w:left="1134" w:hanging="1134"/>
      </w:pPr>
      <w:r>
        <w:tab/>
        <w:t>-</w:t>
      </w:r>
      <w:r>
        <w:tab/>
        <w:t>совместно с ведомствами федеральной государственной администрации способствовать проведению исследований, направленных на выявление факторов, помогающих понять причины дискриминации.</w:t>
      </w:r>
    </w:p>
    <w:p w:rsidR="00000000" w:rsidRDefault="00000000">
      <w:pPr>
        <w:ind w:left="1134" w:hanging="1134"/>
      </w:pPr>
    </w:p>
    <w:p w:rsidR="00000000" w:rsidRDefault="00000000">
      <w:r>
        <w:t>385.</w:t>
      </w:r>
      <w:r>
        <w:tab/>
        <w:t>Предложения, которые выходят за рамки полномочий федеральной государственной администрации (дискриминация в государственной политике) включают:</w:t>
      </w:r>
    </w:p>
    <w:p w:rsidR="00000000" w:rsidRDefault="00000000"/>
    <w:p w:rsidR="00000000" w:rsidRDefault="00000000">
      <w:pPr>
        <w:ind w:left="1134" w:hanging="1134"/>
      </w:pPr>
      <w:r>
        <w:tab/>
        <w:t>-</w:t>
      </w:r>
      <w:r>
        <w:tab/>
        <w:t>систематизацию и организацию на основе имеющихся документов политики позитивных действий в рамках государственной политики;</w:t>
      </w:r>
    </w:p>
    <w:p w:rsidR="00000000" w:rsidRDefault="00000000">
      <w:pPr>
        <w:ind w:left="567" w:hanging="567"/>
      </w:pPr>
    </w:p>
    <w:p w:rsidR="00000000" w:rsidRDefault="00000000">
      <w:pPr>
        <w:ind w:left="1134" w:hanging="1134"/>
      </w:pPr>
      <w:r>
        <w:tab/>
        <w:t>-</w:t>
      </w:r>
      <w:r>
        <w:tab/>
        <w:t>подготовку международных экспериментов в области позитивных действий и их анализ с учетом национальных реалий;</w:t>
      </w:r>
    </w:p>
    <w:p w:rsidR="00000000" w:rsidRDefault="00000000">
      <w:pPr>
        <w:ind w:left="567" w:hanging="567"/>
      </w:pPr>
    </w:p>
    <w:p w:rsidR="00000000" w:rsidRDefault="00000000">
      <w:pPr>
        <w:ind w:left="1134" w:hanging="1134"/>
      </w:pPr>
      <w:r>
        <w:tab/>
        <w:t>-</w:t>
      </w:r>
      <w:r>
        <w:tab/>
        <w:t>проведение вслед за выборами широкой национальной кампании против расовой дискриминации через имеющиеся каналы массовой информации;</w:t>
      </w:r>
    </w:p>
    <w:p w:rsidR="00000000" w:rsidRDefault="00000000">
      <w:pPr>
        <w:ind w:left="567" w:hanging="567"/>
      </w:pPr>
    </w:p>
    <w:p w:rsidR="00000000" w:rsidRDefault="00000000">
      <w:pPr>
        <w:ind w:left="1134" w:hanging="1134"/>
      </w:pPr>
      <w:r>
        <w:tab/>
        <w:t>-</w:t>
      </w:r>
      <w:r>
        <w:tab/>
        <w:t>выпуск компакт-диска с информацией по этому вопросу и широкое распространение этой информации после выборов в рамках федеральной государственной администрации и в обществе в целом;</w:t>
      </w:r>
    </w:p>
    <w:p w:rsidR="00000000" w:rsidRDefault="00000000">
      <w:pPr>
        <w:ind w:left="567" w:hanging="567"/>
      </w:pPr>
    </w:p>
    <w:p w:rsidR="00000000" w:rsidRDefault="00000000">
      <w:pPr>
        <w:ind w:left="1134" w:hanging="1134"/>
      </w:pPr>
      <w:r>
        <w:tab/>
        <w:t>-</w:t>
      </w:r>
      <w:r>
        <w:tab/>
        <w:t>расширение охвата ряда федеральных программ, особенно по вопросам, касающимся людских ресурсов и подготовки информации (т.е. по линии осуществляемого министерством здравоохранения проекта ПРОФАЕ;  реализуемой министерством труда и занятости программы ПЛАНФОР;  в рамках осуществляемых по линии министерства образования программ подготовки учителей;  создаваемых министерством здравоохранения информационных систем - СИНАН, СИНАСК, СИАБ и т.д.);</w:t>
      </w:r>
    </w:p>
    <w:p w:rsidR="00000000" w:rsidRDefault="00000000">
      <w:pPr>
        <w:ind w:left="567" w:hanging="567"/>
      </w:pPr>
    </w:p>
    <w:p w:rsidR="00000000" w:rsidRDefault="00000000">
      <w:pPr>
        <w:ind w:left="1134" w:hanging="1134"/>
      </w:pPr>
      <w:r>
        <w:tab/>
        <w:t>-</w:t>
      </w:r>
      <w:r>
        <w:tab/>
        <w:t>распространение передового опыта содействия осуществлению прав выходцев из Африки;</w:t>
      </w:r>
    </w:p>
    <w:p w:rsidR="00000000" w:rsidRDefault="00000000">
      <w:pPr>
        <w:ind w:left="567" w:hanging="567"/>
      </w:pPr>
    </w:p>
    <w:p w:rsidR="00000000" w:rsidRDefault="00000000">
      <w:pPr>
        <w:ind w:left="1134" w:hanging="1134"/>
      </w:pPr>
      <w:r>
        <w:tab/>
        <w:t>-</w:t>
      </w:r>
      <w:r>
        <w:tab/>
        <w:t>подготовку рекомендации о включении в таких случаях информации о расе/цвете кожи во все официальные обзоры, касающиеся административной информации и реестров;</w:t>
      </w:r>
    </w:p>
    <w:p w:rsidR="00000000" w:rsidRDefault="00000000">
      <w:pPr>
        <w:ind w:left="567" w:hanging="567"/>
      </w:pPr>
    </w:p>
    <w:p w:rsidR="00000000" w:rsidRDefault="00000000">
      <w:pPr>
        <w:ind w:left="1134" w:hanging="1134"/>
      </w:pPr>
      <w:r>
        <w:tab/>
        <w:t>-</w:t>
      </w:r>
      <w:r>
        <w:tab/>
        <w:t>присуждение премий и наград за достижения в борьбе против дискриминации;  и</w:t>
      </w:r>
    </w:p>
    <w:p w:rsidR="00000000" w:rsidRDefault="00000000">
      <w:pPr>
        <w:ind w:left="567" w:hanging="567"/>
      </w:pPr>
    </w:p>
    <w:p w:rsidR="00000000" w:rsidRDefault="00000000">
      <w:pPr>
        <w:ind w:left="1134" w:hanging="1134"/>
      </w:pPr>
      <w:r>
        <w:tab/>
        <w:t>-</w:t>
      </w:r>
      <w:r>
        <w:tab/>
        <w:t>учет критериев вклада в борьбу с дискриминацией при присуждении наград ведомствами федеральной государственной администрации.</w:t>
      </w:r>
    </w:p>
    <w:p w:rsidR="00000000" w:rsidRDefault="00000000">
      <w:pPr>
        <w:ind w:left="1134" w:hanging="1134"/>
        <w:rPr>
          <w:lang w:val="en-US"/>
        </w:rPr>
      </w:pPr>
    </w:p>
    <w:p w:rsidR="00000000" w:rsidRDefault="00000000">
      <w:pPr>
        <w:keepNext/>
        <w:jc w:val="center"/>
      </w:pPr>
      <w:r>
        <w:rPr>
          <w:b/>
          <w:bCs/>
          <w:lang w:val="en-US"/>
        </w:rPr>
        <w:t>IX</w:t>
      </w:r>
      <w:r>
        <w:rPr>
          <w:b/>
          <w:bCs/>
        </w:rPr>
        <w:t>.</w:t>
      </w:r>
      <w:r>
        <w:rPr>
          <w:b/>
          <w:bCs/>
        </w:rPr>
        <w:tab/>
        <w:t>ДИСКРИМИНАЦИОННАЯ ПРАКТИКА</w:t>
      </w:r>
    </w:p>
    <w:p w:rsidR="00000000" w:rsidRDefault="00000000">
      <w:pPr>
        <w:keepNext/>
      </w:pPr>
    </w:p>
    <w:p w:rsidR="00000000" w:rsidRDefault="00000000">
      <w:pPr>
        <w:keepNext/>
      </w:pPr>
      <w:r>
        <w:t>386.</w:t>
      </w:r>
      <w:r>
        <w:tab/>
        <w:t>Несмотря на предпринимаемые правительством и неправительственными организациями различные инициативы, направленные на пресечение расизма и дискриминации, включая предоставление в распоряжение граждан механизмов подачи жалоб, проведение проверок и наказание виновных, в стране ежедневно все еще происходит большое число случаев подобного рода, которые в обобщенной форме и доводятся сейчас до сведения Комитета по ликвидации расовой дискриминации (приводимые ниже примеры были почерпнуты из сводок новостей и сообщены организациями, представляющими движение чернокожего населения).</w:t>
      </w:r>
    </w:p>
    <w:p w:rsidR="00000000" w:rsidRDefault="00000000"/>
    <w:p w:rsidR="00000000" w:rsidRDefault="00000000">
      <w:r>
        <w:t>387.</w:t>
      </w:r>
      <w:r>
        <w:tab/>
        <w:t>На входах в банки традиционно устанавливаются вращающиеся двери, которые блокируются с одновременным включением сигнализации всякий раз, когда детекторы фиксируют наличие какого-либо металлического предмета.  Представители чернокожего населения, заходящие в банки, постоянно оказываются объектом дискриминации и сталкиваются с различного рода унизительными ситуациями.  Флавиу да Суза, чернокожий адвокат 42 лет, которому довелось пройти через подобное унижение, подал в первый полицейский участок Рио-де-Жанейро жалобу на банк "Кайша Экономика Федераль".  Суть жалобы сводилась к следующему.  Вращающаяся дверь в банке не работала, и сотрудник службы безопасности открывал ее вручную.  Хотя в ожидавшей очереди были и другие люди с атташе-кейсами и сумками, г-н да Суза оказался единственным, у кого потребовали открыть портфель.  Еще большее унижение адвокату довелось испытать после того, как он попросил вызвать одного из управляющих банком;  его вынудили вытащить все содержимое портфеля и положить его в специальный ящик возле автоматической двери, несмотря на заверения адвоката, что у него с собой только документы клиентов.  Согласно сообщению, опубликованному в газете "Эстаду ди Сан-Паулу" за 20 ноября 1996 год, адвокат также предъявил иск в Комиссию по правам человека Бразильской ассоциации адвокатов.</w:t>
      </w:r>
    </w:p>
    <w:p w:rsidR="00000000" w:rsidRDefault="00000000"/>
    <w:p w:rsidR="00000000" w:rsidRDefault="00000000">
      <w:r>
        <w:t>388.</w:t>
      </w:r>
      <w:r>
        <w:tab/>
        <w:t xml:space="preserve"> Не менее тревожный прискорбный случай произошел в Сан-Паулу, когда Жозе Лусиу да Коста, чернокожий управляющий супермаркета 27 лет, вместе со своей супругой, которая является белой, отправились в банк, где они держали счет.  Жена г</w:t>
      </w:r>
      <w:r>
        <w:noBreakHyphen/>
        <w:t>на да Коста прошла через вращающуюся дверь, хотя в руке она несла сумку, в которой находился зонтик.  Самого же г-на да Коста на входе в банк задержали, и хотя он вынул из карманов все предметы, вращающаяся дверь оставалась заблокированной.  После этого г</w:t>
      </w:r>
      <w:r>
        <w:noBreakHyphen/>
        <w:t>н да Коста снял с себя сорочку и разулся, с тем чтобы продемонстрировать отсутствие у него каких-либо металлических предметов, однако войти в банк ему по</w:t>
      </w:r>
      <w:r>
        <w:noBreakHyphen/>
        <w:t>прежнему не разрешали.  В знак протеста он остался стоять в начале выстроившейся длинной очереди в одном исподнем.  Хотя управляющий банком подошел к двери и г-н да Коста подтвердил ему, что он является клиентом банка, инцидент исчерпан не был.  Согласно сообщению, опубликованному в газете "Эстаду ди Сан-Паулу" за 5 января 1995 года, г-н да Коста через нанятого им адвоката подал иск о возбуждении уголовного дела против виновных в данном инциденте.</w:t>
      </w:r>
    </w:p>
    <w:p w:rsidR="00000000" w:rsidRDefault="00000000"/>
    <w:p w:rsidR="00000000" w:rsidRDefault="00000000">
      <w:pPr>
        <w:rPr>
          <w:iCs/>
        </w:rPr>
      </w:pPr>
      <w:r>
        <w:t>389.</w:t>
      </w:r>
      <w:r>
        <w:tab/>
        <w:t xml:space="preserve">Одна из жалоб на проявление расовой дискриминации, поданная в Комиссию по правам граждан и человека Законодательного собрания штата Риу-Гранди-ду-Сул, касается оскорбительных высказываний в адрес одной женщины, желавшей войти в банк.  Охранник банка обозвал ее </w:t>
      </w:r>
      <w:r>
        <w:rPr>
          <w:i/>
        </w:rPr>
        <w:t xml:space="preserve">“negra burra e chinelona” </w:t>
      </w:r>
      <w:r>
        <w:rPr>
          <w:iCs/>
        </w:rPr>
        <w:t>("тупая черномазая").  Было проведено полицейское расследование, и дело было урегулировано путем принесения охранником официального извинения потерпевшей.</w:t>
      </w:r>
    </w:p>
    <w:p w:rsidR="00000000" w:rsidRDefault="00000000">
      <w:pPr>
        <w:rPr>
          <w:iCs/>
        </w:rPr>
      </w:pPr>
    </w:p>
    <w:p w:rsidR="00000000" w:rsidRDefault="00000000">
      <w:pPr>
        <w:rPr>
          <w:iCs/>
        </w:rPr>
      </w:pPr>
      <w:r>
        <w:rPr>
          <w:iCs/>
        </w:rPr>
        <w:t>390.</w:t>
      </w:r>
      <w:r>
        <w:rPr>
          <w:iCs/>
        </w:rPr>
        <w:tab/>
        <w:t xml:space="preserve">За период с 1995 года по обвинению в расизме были арестованы многие лица.  Дискриминация проявляется на рабочем месте, в общественных местах, в барах и ресторанах.  В сентябре 1998 года </w:t>
      </w:r>
      <w:r>
        <w:t>по обвинению в расизме была арестована</w:t>
      </w:r>
      <w:r>
        <w:rPr>
          <w:iCs/>
        </w:rPr>
        <w:t xml:space="preserve"> Моника Лопеш, журналистка 29 лет, которая оскорбила охранника ночного клуба в Сан-Паулу.  По утверждению очевидцев, она обозвала охранника “</w:t>
      </w:r>
      <w:r>
        <w:rPr>
          <w:i/>
          <w:lang w:val="en-US"/>
        </w:rPr>
        <w:t>negro</w:t>
      </w:r>
      <w:r>
        <w:rPr>
          <w:i/>
        </w:rPr>
        <w:t xml:space="preserve"> </w:t>
      </w:r>
      <w:r>
        <w:rPr>
          <w:i/>
          <w:lang w:val="en-US"/>
        </w:rPr>
        <w:t>safado</w:t>
      </w:r>
      <w:r>
        <w:rPr>
          <w:iCs/>
        </w:rPr>
        <w:t>”</w:t>
      </w:r>
      <w:r>
        <w:t xml:space="preserve"> ("грязный ниггер").  В октябре 1998 года в Белу-Оризонти по обвинению в расизме была арестована супружеская чета.  В одном из городских клубов она открыто издевалась над находившейся там женщиной и двумя ее дочерьми, называя их </w:t>
      </w:r>
      <w:r>
        <w:rPr>
          <w:iCs/>
        </w:rPr>
        <w:t>“</w:t>
      </w:r>
      <w:r>
        <w:rPr>
          <w:i/>
          <w:lang w:val="en-US"/>
        </w:rPr>
        <w:t>crioulas</w:t>
      </w:r>
      <w:r>
        <w:rPr>
          <w:i/>
        </w:rPr>
        <w:t xml:space="preserve">, </w:t>
      </w:r>
      <w:r>
        <w:rPr>
          <w:i/>
          <w:lang w:val="en-US"/>
        </w:rPr>
        <w:t>macacas</w:t>
      </w:r>
      <w:r>
        <w:rPr>
          <w:i/>
        </w:rPr>
        <w:t xml:space="preserve"> </w:t>
      </w:r>
      <w:r>
        <w:rPr>
          <w:i/>
          <w:lang w:val="en-US"/>
        </w:rPr>
        <w:t>e</w:t>
      </w:r>
      <w:r>
        <w:rPr>
          <w:i/>
        </w:rPr>
        <w:t xml:space="preserve"> </w:t>
      </w:r>
      <w:r>
        <w:rPr>
          <w:i/>
          <w:lang w:val="en-US"/>
        </w:rPr>
        <w:t>sujas</w:t>
      </w:r>
      <w:r>
        <w:rPr>
          <w:iCs/>
        </w:rPr>
        <w:t>” ("выродками, мартышками и свиньями").</w:t>
      </w:r>
      <w:r>
        <w:t xml:space="preserve">   Эта женщина, будучи сотрудником полиции, немедленно арестовала супружескую чету.  Жан Вик Висенте, лейтенант армии 25 лет, был арестован по обвинению в расизме на месте совершения правонарушения.  Он отказался предъявить документы двум сотрудникам полиции или дать им возможность произвести досмотр его машины.  Он проигнорировал обращенные к нему просьбы и назвал полицейского Нилтона Агрипиу Оливейра Филу </w:t>
      </w:r>
      <w:r>
        <w:rPr>
          <w:iCs/>
        </w:rPr>
        <w:t>“</w:t>
      </w:r>
      <w:r>
        <w:rPr>
          <w:i/>
          <w:lang w:val="en-US"/>
        </w:rPr>
        <w:t>neg</w:t>
      </w:r>
      <w:r>
        <w:rPr>
          <w:i/>
        </w:rPr>
        <w:t>ã</w:t>
      </w:r>
      <w:r>
        <w:rPr>
          <w:i/>
          <w:lang w:val="en-US"/>
        </w:rPr>
        <w:t>o</w:t>
      </w:r>
      <w:r>
        <w:rPr>
          <w:iCs/>
        </w:rPr>
        <w:t>” ("негрилой").  Когда же полицейский указал, что его зовут Нилтон, лейтенант Висенте ответил:  "Э, нет.  Ты - “</w:t>
      </w:r>
      <w:r>
        <w:rPr>
          <w:i/>
          <w:lang w:val="en-US"/>
        </w:rPr>
        <w:t>neg</w:t>
      </w:r>
      <w:r>
        <w:rPr>
          <w:i/>
        </w:rPr>
        <w:t>ã</w:t>
      </w:r>
      <w:r>
        <w:rPr>
          <w:i/>
          <w:lang w:val="en-US"/>
        </w:rPr>
        <w:t>o</w:t>
      </w:r>
      <w:r>
        <w:rPr>
          <w:iCs/>
        </w:rPr>
        <w:t>”".</w:t>
      </w:r>
    </w:p>
    <w:p w:rsidR="00000000" w:rsidRDefault="00000000">
      <w:pPr>
        <w:rPr>
          <w:iCs/>
        </w:rPr>
      </w:pPr>
    </w:p>
    <w:p w:rsidR="00000000" w:rsidRDefault="00000000">
      <w:pPr>
        <w:rPr>
          <w:iCs/>
        </w:rPr>
      </w:pPr>
      <w:r>
        <w:rPr>
          <w:iCs/>
        </w:rPr>
        <w:t>391.</w:t>
      </w:r>
      <w:r>
        <w:rPr>
          <w:iCs/>
        </w:rPr>
        <w:tab/>
        <w:t>В июне 1998 года Постоянная чрезвычайная комиссия по правам человека и граждан муниципального совета Сан-Паулу рассмотрела дело учителя государственной школы в северном секторе Сан-Паулу, который обвинялся в подстрекательстве к расизму в школьной среде.  Согласно официальному рапорту, этот учитель буквально "стравил" двух учениц - чернокожую и белую, - не разрешая при этом другим учащимся разнять дерущихся.  Помимо всего прочего, он не скрывал, что является расистом и отпускал в адрес чернокожей ученицы оскорбительные и дискриминационные замечания.  Учащиеся показали, что этот учитель часто допускал расистские высказывания в школьной аудитории и нередко провоцировал стычки между учениками.  Компетентная инстанция, осуществляющая надзор за школами, возбудила расследование, и учитель был отстранен от работы в классе, а к рассмотрению дела были привлечены различные органы, занимающиеся вопросами прав человека.</w:t>
      </w:r>
    </w:p>
    <w:p w:rsidR="00000000" w:rsidRDefault="00000000">
      <w:pPr>
        <w:rPr>
          <w:iCs/>
        </w:rPr>
      </w:pPr>
    </w:p>
    <w:p w:rsidR="00000000" w:rsidRDefault="00000000">
      <w:pPr>
        <w:rPr>
          <w:iCs/>
        </w:rPr>
      </w:pPr>
      <w:r>
        <w:rPr>
          <w:iCs/>
        </w:rPr>
        <w:t>392.</w:t>
      </w:r>
      <w:r>
        <w:rPr>
          <w:iCs/>
        </w:rPr>
        <w:tab/>
        <w:t xml:space="preserve">В газете </w:t>
      </w:r>
      <w:r>
        <w:rPr>
          <w:i/>
        </w:rPr>
        <w:t>Фолья ди Сан-Паулу</w:t>
      </w:r>
      <w:r>
        <w:rPr>
          <w:iCs/>
        </w:rPr>
        <w:t xml:space="preserve"> за 12 мая 2000 года было опубликовано сообщение о том, что в городе Кампус-ду-Жордан, расположенном в глубине штата Сан-Паулу, по обвинению в дискриминации против чернокожих девушек были арестованы коммерсант и его сын.  Как утверждается, правонарушение было совершено в момент, когда две девушки - 18 и 20 лет - покидали магазин канцелярских товаров, не сделав никаких покупок.  Один из продавцов заявил, что он “</w:t>
      </w:r>
      <w:r>
        <w:rPr>
          <w:i/>
          <w:lang w:val="en-US"/>
        </w:rPr>
        <w:t>n</w:t>
      </w:r>
      <w:r>
        <w:rPr>
          <w:i/>
        </w:rPr>
        <w:t>ã</w:t>
      </w:r>
      <w:r>
        <w:rPr>
          <w:i/>
          <w:lang w:val="en-US"/>
        </w:rPr>
        <w:t>o</w:t>
      </w:r>
      <w:r>
        <w:rPr>
          <w:i/>
        </w:rPr>
        <w:t xml:space="preserve"> </w:t>
      </w:r>
      <w:r>
        <w:rPr>
          <w:i/>
          <w:lang w:val="en-US"/>
        </w:rPr>
        <w:t>gostava</w:t>
      </w:r>
      <w:r>
        <w:rPr>
          <w:i/>
        </w:rPr>
        <w:t xml:space="preserve"> </w:t>
      </w:r>
      <w:r>
        <w:rPr>
          <w:i/>
          <w:lang w:val="en-US"/>
        </w:rPr>
        <w:t>de</w:t>
      </w:r>
      <w:r>
        <w:rPr>
          <w:i/>
        </w:rPr>
        <w:t xml:space="preserve"> </w:t>
      </w:r>
      <w:r>
        <w:rPr>
          <w:i/>
          <w:lang w:val="en-US"/>
        </w:rPr>
        <w:t>negrinhas</w:t>
      </w:r>
      <w:r>
        <w:rPr>
          <w:iCs/>
        </w:rPr>
        <w:t>” ("не переваривает этих черномазых"), тогда как другой обозвал их</w:t>
      </w:r>
      <w:r>
        <w:t xml:space="preserve"> </w:t>
      </w:r>
      <w:r>
        <w:rPr>
          <w:iCs/>
        </w:rPr>
        <w:t>“</w:t>
      </w:r>
      <w:r>
        <w:rPr>
          <w:i/>
          <w:lang w:val="en-US"/>
        </w:rPr>
        <w:t>putinhas</w:t>
      </w:r>
      <w:r>
        <w:rPr>
          <w:iCs/>
        </w:rPr>
        <w:t>” ("блядушки").  Присутствовавшая при этом женщина подтвердила, что девушкам было нанесено оскорбление, и поэтому она позвонила в полицию.  Они были взяты под стражу, а затем освобождены под залог.</w:t>
      </w:r>
    </w:p>
    <w:p w:rsidR="00000000" w:rsidRDefault="00000000">
      <w:pPr>
        <w:rPr>
          <w:iCs/>
        </w:rPr>
      </w:pPr>
    </w:p>
    <w:p w:rsidR="00000000" w:rsidRDefault="00000000">
      <w:pPr>
        <w:rPr>
          <w:b/>
          <w:bCs/>
          <w:iCs/>
        </w:rPr>
      </w:pPr>
      <w:r>
        <w:rPr>
          <w:b/>
          <w:bCs/>
          <w:iCs/>
        </w:rPr>
        <w:t>"Душевная расовая черствость" и случаи проявления дискриминации</w:t>
      </w:r>
    </w:p>
    <w:p w:rsidR="00000000" w:rsidRDefault="00000000">
      <w:pPr>
        <w:rPr>
          <w:iCs/>
        </w:rPr>
      </w:pPr>
    </w:p>
    <w:p w:rsidR="00000000" w:rsidRDefault="00000000">
      <w:pPr>
        <w:rPr>
          <w:iCs/>
        </w:rPr>
      </w:pPr>
      <w:r>
        <w:rPr>
          <w:iCs/>
        </w:rPr>
        <w:t>393.</w:t>
      </w:r>
      <w:r>
        <w:rPr>
          <w:iCs/>
        </w:rPr>
        <w:tab/>
        <w:t>В 1995 году силами сотрудников газеты "Фолья ди Сан-Паулу" было проведено общенациональное исследование, посвященное проблеме расизма и опубликованное впоследствии в виде книги под названием "Душевная расовая черствость".  По мнению Фернанду Родригеша, привлекавшегося к проведению исследования и анализу данных, можно сделать три основных вывода:  89% опрошенных заявили, что к чернокожим в Бразилии они относятся с предубеждением;  вместе с тем лишь 10% признали, что сами они несколько предвзято или даже негативно относятся к чернокожим;  и, наконец, согласно исследованию, 87% опрошенных, которым было предложено высказать свое мнение по перечню конкретных факторов неприятия, были охарактеризованы как частично предубежденные.</w:t>
      </w:r>
    </w:p>
    <w:p w:rsidR="00000000" w:rsidRDefault="00000000">
      <w:pPr>
        <w:rPr>
          <w:iCs/>
        </w:rPr>
      </w:pPr>
    </w:p>
    <w:p w:rsidR="00000000" w:rsidRDefault="00000000">
      <w:pPr>
        <w:rPr>
          <w:iCs/>
        </w:rPr>
      </w:pPr>
      <w:r>
        <w:rPr>
          <w:iCs/>
        </w:rPr>
        <w:t>394.</w:t>
      </w:r>
      <w:r>
        <w:rPr>
          <w:iCs/>
        </w:rPr>
        <w:tab/>
        <w:t>На вопрос о том, оказывались ли они жертвами дискриминации по признаку цвета кожи, 64% чернокожих и 84% метисов ответили отрицательно.  Хотя этот показатель является довольно высоким, он все же свидетельствует о том, что по крайней мере одна треть чернокожих подвергалась различного рода дискриминации.</w:t>
      </w:r>
    </w:p>
    <w:p w:rsidR="00000000" w:rsidRDefault="00000000">
      <w:pPr>
        <w:rPr>
          <w:iCs/>
        </w:rPr>
      </w:pPr>
    </w:p>
    <w:p w:rsidR="00000000" w:rsidRDefault="00000000">
      <w:pPr>
        <w:rPr>
          <w:iCs/>
        </w:rPr>
      </w:pPr>
      <w:r>
        <w:rPr>
          <w:iCs/>
        </w:rPr>
        <w:t>395.</w:t>
      </w:r>
      <w:r>
        <w:rPr>
          <w:iCs/>
        </w:rPr>
        <w:tab/>
        <w:t>Еще один вывод исследования заключается в том, что сами чернокожие испытывают то или иное предубеждение по отношению к представителям собственной этнической группы.  Подобное внутриэтническое предубеждение, возможно, в большей степени свидетельствует о слабом чувстве собственного достоинства, нежели о предвзятости.  Метисы также проникнуты предубежденностью к чернокожим, причем в процентном отношении их доля сопоставима с аналогичным показателем для белых.</w:t>
      </w:r>
    </w:p>
    <w:p w:rsidR="00000000" w:rsidRDefault="00000000">
      <w:pPr>
        <w:rPr>
          <w:iCs/>
        </w:rPr>
      </w:pPr>
    </w:p>
    <w:p w:rsidR="00000000" w:rsidRDefault="00000000">
      <w:pPr>
        <w:rPr>
          <w:iCs/>
        </w:rPr>
      </w:pPr>
      <w:r>
        <w:rPr>
          <w:iCs/>
        </w:rPr>
        <w:t>396.</w:t>
      </w:r>
      <w:r>
        <w:rPr>
          <w:iCs/>
        </w:rPr>
        <w:tab/>
        <w:t>Как показало исследование, проведенное "Фолья ди Сан-Паулу", расизм в равной мере распространен как в крупных, так и мелких городах, причем в последних он иногда приобретает даже более широкие масштабы, нежели в больших городах.  Еще один вывод состоит в том, что более богатые слои населения менее предвзято относятся к чернокожим по сравнению с более бедной частью населения.</w:t>
      </w:r>
    </w:p>
    <w:p w:rsidR="00000000" w:rsidRDefault="00000000">
      <w:pPr>
        <w:rPr>
          <w:iCs/>
        </w:rPr>
      </w:pPr>
    </w:p>
    <w:p w:rsidR="00000000" w:rsidRDefault="00000000">
      <w:pPr>
        <w:rPr>
          <w:iCs/>
        </w:rPr>
      </w:pPr>
      <w:r>
        <w:rPr>
          <w:iCs/>
        </w:rPr>
        <w:t>397.</w:t>
      </w:r>
      <w:r>
        <w:rPr>
          <w:iCs/>
        </w:rPr>
        <w:tab/>
        <w:t>По мнению профессора Паулу Синжера, данные исследования, проведенного "Фолья ди Сан-Паулу", свидетельствуют о том, что "в Бразилии сложились весьма благоприятные условия для борьбы с расовой дискриминацией".  В подтверждение этого мнения он ссылается на высокий процент белых, метисов и чернокожих, которые не согласны с высказываниям, в которых выражается расовое предубеждение, но которые разделяют антирасистские заявления.</w:t>
      </w:r>
    </w:p>
    <w:p w:rsidR="00000000" w:rsidRDefault="00000000">
      <w:pPr>
        <w:rPr>
          <w:iCs/>
        </w:rPr>
      </w:pPr>
    </w:p>
    <w:p w:rsidR="00000000" w:rsidRDefault="00000000">
      <w:pPr>
        <w:rPr>
          <w:iCs/>
        </w:rPr>
      </w:pPr>
      <w:r>
        <w:rPr>
          <w:iCs/>
        </w:rPr>
        <w:t>398.</w:t>
      </w:r>
      <w:r>
        <w:rPr>
          <w:iCs/>
        </w:rPr>
        <w:tab/>
        <w:t>Обследование, проведенное в Рио-де-Жанейро Координационным центром маргинализированных групп населения совместно с Федеральным университетом "Флуминесе" ("Фолья ди Сан-Паулу", 12 мая 2000 года), позволило прийти к тем же выводам в отношении взглядов населения на расизм, что и исследование "Фолья ди Сан</w:t>
      </w:r>
      <w:r>
        <w:rPr>
          <w:iCs/>
        </w:rPr>
        <w:noBreakHyphen/>
        <w:t>Паулу".  Если говорить конкретно, то 93% опрошенных лиц (обследованием были охвачены только жители Рио-де-Жанейро) заявили, что в Бразилии существует расовое предубеждение, однако 87% утверждали, что лично они его не испытывают.  Аналогичным образом, 96% опрошенных заявили, что они не имеют ничего против работы под началом чернокожего начальника, тогда как при ответе на тот же вопрос, но применительно к другим лицам (а именно, считают ли они, что другие лица в целом не возражали бы работать под началом чернокожего начальника), мнения разделились:  50% ответили утвердительно, а 50% - отрицательно.  Аналогичная общая тенденция прослеживалась и при ответе на вопрос относительно отношения к возможности иметь чернокожего родственника.  Пятьдесят восемь процентов ответили, что им не хотелось бы иметь близкого чернокожего родственника, между тем как 85% заявили, что они бы согласились вступить в брак с представителем/представительницей чернокожего населения.</w:t>
      </w:r>
    </w:p>
    <w:p w:rsidR="00000000" w:rsidRDefault="00000000"/>
    <w:p w:rsidR="00000000" w:rsidRDefault="00000000">
      <w:pPr>
        <w:rPr>
          <w:b/>
          <w:bCs/>
        </w:rPr>
      </w:pPr>
      <w:r>
        <w:rPr>
          <w:b/>
          <w:bCs/>
        </w:rPr>
        <w:t>Проявления расовой предубежденности в системе уголовного судопроизводства</w:t>
      </w:r>
    </w:p>
    <w:p w:rsidR="00000000" w:rsidRDefault="00000000">
      <w:pPr>
        <w:rPr>
          <w:b/>
          <w:bCs/>
        </w:rPr>
      </w:pPr>
    </w:p>
    <w:p w:rsidR="00000000" w:rsidRDefault="00000000">
      <w:r>
        <w:t>399.</w:t>
      </w:r>
      <w:r>
        <w:tab/>
        <w:t>По сообщению Суэли Карнейру (1996 год), координирующего деятельность Института чернокожих женщин "Геледеш", обследование, проведенное уголовными судами города Сан-Паулу, указывает на то, что в период действия закона Альфонсу Ариноша (1951-1988 годы), когда Конституция страны определяла расизм как преступление, официально было отмечено всего два судебных иска по фактам проявления расизма.  Эта цифра свидетельствует о неэффективности направленного на запрет расизма закона от 1951 года.</w:t>
      </w:r>
    </w:p>
    <w:p w:rsidR="00000000" w:rsidRDefault="00000000"/>
    <w:p w:rsidR="00000000" w:rsidRDefault="00000000">
      <w:r>
        <w:t>400.</w:t>
      </w:r>
      <w:r>
        <w:tab/>
        <w:t>Конституция 1998 года и Закон № 7716/89 представляют собой более эффективные юридические инструменты для борьбы с расовой дискриминацией.  Как сообщает Суэли Карнейру, в институт "Геледеш" еженедельно обращаются за поддержкой в среднем четыре человека, которые стали жертвой расовой дискриминации и/или дискриминации по половому признаку, что составляет в общей сложности почти 200 обращений в год.</w:t>
      </w:r>
    </w:p>
    <w:p w:rsidR="00000000" w:rsidRDefault="00000000"/>
    <w:p w:rsidR="00000000" w:rsidRDefault="00000000">
      <w:r>
        <w:t>401.</w:t>
      </w:r>
      <w:r>
        <w:tab/>
        <w:t>16 июня 1993 года в штате Сан-Паулу было создано специальное подразделение по борьбе с преступными проявлениями расизма.  За четыре прошедших после этого года этим подразделением было зарегистрировано в целом 281 обращение с жалобой и начато 140 полицейских расследований.  Из указанного числа расследований 120 были возбуждены по жалобам, поданным чернокожими гражданами.  В таблице 15 приведено число оформленных протоколов и начатых расследований по преступлениям, связанным с проявлениями расизма, за период с 1995 по 1997 годы в полицейском округе Сан-Паулу.</w:t>
      </w:r>
    </w:p>
    <w:p w:rsidR="00000000" w:rsidRDefault="00000000"/>
    <w:p w:rsidR="00000000" w:rsidRDefault="00000000">
      <w:pPr>
        <w:jc w:val="center"/>
        <w:rPr>
          <w:b/>
          <w:bCs/>
        </w:rPr>
      </w:pPr>
      <w:r>
        <w:rPr>
          <w:b/>
          <w:bCs/>
        </w:rPr>
        <w:t>Таблица 15</w:t>
      </w:r>
    </w:p>
    <w:p w:rsidR="00000000" w:rsidRDefault="00000000">
      <w:pPr>
        <w:jc w:val="center"/>
        <w:rPr>
          <w:b/>
          <w:bCs/>
        </w:rPr>
      </w:pPr>
      <w:r>
        <w:rPr>
          <w:b/>
          <w:bCs/>
        </w:rPr>
        <w:t>Число полицейских протоколов и расследований, зарегистрированных в полицейском округе Сан-Паулу в 1995-1997 годы</w:t>
      </w:r>
    </w:p>
    <w:p w:rsidR="00000000" w:rsidRDefault="00000000">
      <w:pPr>
        <w:jc w:val="center"/>
        <w:rPr>
          <w:b/>
          <w:bCs/>
        </w:rPr>
      </w:pPr>
    </w:p>
    <w:tbl>
      <w:tblPr>
        <w:tblW w:w="860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739"/>
        <w:gridCol w:w="998"/>
        <w:gridCol w:w="998"/>
        <w:gridCol w:w="999"/>
        <w:gridCol w:w="956"/>
        <w:gridCol w:w="956"/>
        <w:gridCol w:w="956"/>
      </w:tblGrid>
      <w:tr w:rsidR="00000000">
        <w:tblPrEx>
          <w:tblCellMar>
            <w:top w:w="0" w:type="dxa"/>
            <w:bottom w:w="0" w:type="dxa"/>
          </w:tblCellMar>
        </w:tblPrEx>
        <w:trPr>
          <w:cantSplit/>
          <w:trHeight w:val="547"/>
        </w:trPr>
        <w:tc>
          <w:tcPr>
            <w:tcW w:w="2739" w:type="dxa"/>
            <w:vMerge w:val="restart"/>
          </w:tcPr>
          <w:p w:rsidR="00000000" w:rsidRDefault="00000000">
            <w:pPr>
              <w:spacing w:line="216" w:lineRule="auto"/>
              <w:rPr>
                <w:sz w:val="22"/>
              </w:rPr>
            </w:pPr>
          </w:p>
        </w:tc>
        <w:tc>
          <w:tcPr>
            <w:tcW w:w="2995" w:type="dxa"/>
            <w:gridSpan w:val="3"/>
          </w:tcPr>
          <w:p w:rsidR="00000000" w:rsidRDefault="00000000">
            <w:pPr>
              <w:pStyle w:val="10"/>
              <w:spacing w:line="216" w:lineRule="auto"/>
              <w:rPr>
                <w:bCs/>
                <w:sz w:val="22"/>
              </w:rPr>
            </w:pPr>
            <w:r>
              <w:rPr>
                <w:bCs/>
                <w:sz w:val="22"/>
              </w:rPr>
              <w:t>Полицейские</w:t>
            </w:r>
          </w:p>
          <w:p w:rsidR="00000000" w:rsidRDefault="00000000">
            <w:pPr>
              <w:spacing w:line="216" w:lineRule="auto"/>
              <w:jc w:val="center"/>
              <w:rPr>
                <w:b/>
                <w:bCs/>
                <w:sz w:val="22"/>
              </w:rPr>
            </w:pPr>
            <w:r>
              <w:rPr>
                <w:b/>
                <w:bCs/>
                <w:sz w:val="22"/>
              </w:rPr>
              <w:t>протоколы</w:t>
            </w:r>
          </w:p>
        </w:tc>
        <w:tc>
          <w:tcPr>
            <w:tcW w:w="2868" w:type="dxa"/>
            <w:gridSpan w:val="3"/>
          </w:tcPr>
          <w:p w:rsidR="00000000" w:rsidRDefault="00000000">
            <w:pPr>
              <w:spacing w:line="216" w:lineRule="auto"/>
              <w:jc w:val="center"/>
              <w:rPr>
                <w:b/>
                <w:bCs/>
                <w:sz w:val="22"/>
              </w:rPr>
            </w:pPr>
            <w:r>
              <w:rPr>
                <w:b/>
                <w:bCs/>
                <w:sz w:val="22"/>
              </w:rPr>
              <w:t>Полицейские расследования</w:t>
            </w:r>
          </w:p>
        </w:tc>
      </w:tr>
      <w:tr w:rsidR="00000000">
        <w:tblPrEx>
          <w:tblCellMar>
            <w:top w:w="0" w:type="dxa"/>
            <w:bottom w:w="0" w:type="dxa"/>
          </w:tblCellMar>
        </w:tblPrEx>
        <w:trPr>
          <w:cantSplit/>
          <w:trHeight w:val="547"/>
        </w:trPr>
        <w:tc>
          <w:tcPr>
            <w:tcW w:w="2739" w:type="dxa"/>
            <w:vMerge/>
          </w:tcPr>
          <w:p w:rsidR="00000000" w:rsidRDefault="00000000">
            <w:pPr>
              <w:rPr>
                <w:sz w:val="22"/>
              </w:rPr>
            </w:pPr>
          </w:p>
        </w:tc>
        <w:tc>
          <w:tcPr>
            <w:tcW w:w="998" w:type="dxa"/>
            <w:vAlign w:val="center"/>
          </w:tcPr>
          <w:p w:rsidR="00000000" w:rsidRDefault="00000000">
            <w:pPr>
              <w:pStyle w:val="10"/>
              <w:rPr>
                <w:bCs/>
                <w:sz w:val="22"/>
              </w:rPr>
            </w:pPr>
            <w:r>
              <w:rPr>
                <w:bCs/>
                <w:sz w:val="22"/>
              </w:rPr>
              <w:t>1995 год</w:t>
            </w:r>
          </w:p>
        </w:tc>
        <w:tc>
          <w:tcPr>
            <w:tcW w:w="998" w:type="dxa"/>
            <w:vAlign w:val="center"/>
          </w:tcPr>
          <w:p w:rsidR="00000000" w:rsidRDefault="00000000">
            <w:pPr>
              <w:jc w:val="center"/>
              <w:rPr>
                <w:b/>
                <w:bCs/>
                <w:sz w:val="22"/>
              </w:rPr>
            </w:pPr>
            <w:r>
              <w:rPr>
                <w:b/>
                <w:bCs/>
                <w:sz w:val="22"/>
              </w:rPr>
              <w:t>1996 год</w:t>
            </w:r>
          </w:p>
        </w:tc>
        <w:tc>
          <w:tcPr>
            <w:tcW w:w="999" w:type="dxa"/>
            <w:vAlign w:val="center"/>
          </w:tcPr>
          <w:p w:rsidR="00000000" w:rsidRDefault="00000000">
            <w:pPr>
              <w:jc w:val="center"/>
              <w:rPr>
                <w:b/>
                <w:bCs/>
                <w:sz w:val="22"/>
              </w:rPr>
            </w:pPr>
            <w:r>
              <w:rPr>
                <w:b/>
                <w:bCs/>
                <w:sz w:val="22"/>
              </w:rPr>
              <w:t>1997 год</w:t>
            </w:r>
          </w:p>
        </w:tc>
        <w:tc>
          <w:tcPr>
            <w:tcW w:w="956" w:type="dxa"/>
            <w:vAlign w:val="center"/>
          </w:tcPr>
          <w:p w:rsidR="00000000" w:rsidRDefault="00000000">
            <w:pPr>
              <w:jc w:val="center"/>
              <w:rPr>
                <w:b/>
                <w:bCs/>
                <w:sz w:val="22"/>
              </w:rPr>
            </w:pPr>
            <w:r>
              <w:rPr>
                <w:b/>
                <w:bCs/>
                <w:sz w:val="22"/>
              </w:rPr>
              <w:t>1995 год</w:t>
            </w:r>
          </w:p>
        </w:tc>
        <w:tc>
          <w:tcPr>
            <w:tcW w:w="956" w:type="dxa"/>
            <w:vAlign w:val="center"/>
          </w:tcPr>
          <w:p w:rsidR="00000000" w:rsidRDefault="00000000">
            <w:pPr>
              <w:jc w:val="center"/>
              <w:rPr>
                <w:b/>
                <w:bCs/>
                <w:sz w:val="22"/>
              </w:rPr>
            </w:pPr>
            <w:r>
              <w:rPr>
                <w:b/>
                <w:bCs/>
                <w:sz w:val="22"/>
              </w:rPr>
              <w:t>1996 год</w:t>
            </w:r>
          </w:p>
        </w:tc>
        <w:tc>
          <w:tcPr>
            <w:tcW w:w="956" w:type="dxa"/>
            <w:vAlign w:val="center"/>
          </w:tcPr>
          <w:p w:rsidR="00000000" w:rsidRDefault="00000000">
            <w:pPr>
              <w:jc w:val="center"/>
              <w:rPr>
                <w:b/>
                <w:bCs/>
                <w:sz w:val="22"/>
              </w:rPr>
            </w:pPr>
            <w:r>
              <w:rPr>
                <w:b/>
                <w:bCs/>
                <w:sz w:val="22"/>
              </w:rPr>
              <w:t>1997 год</w:t>
            </w:r>
          </w:p>
        </w:tc>
      </w:tr>
      <w:tr w:rsidR="00000000">
        <w:tblPrEx>
          <w:tblCellMar>
            <w:top w:w="0" w:type="dxa"/>
            <w:bottom w:w="0" w:type="dxa"/>
          </w:tblCellMar>
        </w:tblPrEx>
        <w:trPr>
          <w:trHeight w:val="548"/>
        </w:trPr>
        <w:tc>
          <w:tcPr>
            <w:tcW w:w="2739" w:type="dxa"/>
          </w:tcPr>
          <w:p w:rsidR="00000000" w:rsidRDefault="00000000">
            <w:pPr>
              <w:rPr>
                <w:b/>
                <w:bCs/>
                <w:sz w:val="22"/>
              </w:rPr>
            </w:pPr>
            <w:r>
              <w:rPr>
                <w:b/>
                <w:bCs/>
                <w:sz w:val="22"/>
              </w:rPr>
              <w:t>Преступления, связанные с проявлениями расизма</w:t>
            </w:r>
          </w:p>
        </w:tc>
        <w:tc>
          <w:tcPr>
            <w:tcW w:w="998" w:type="dxa"/>
            <w:vAlign w:val="center"/>
          </w:tcPr>
          <w:p w:rsidR="00000000" w:rsidRDefault="00000000">
            <w:pPr>
              <w:jc w:val="center"/>
              <w:rPr>
                <w:sz w:val="22"/>
              </w:rPr>
            </w:pPr>
            <w:r>
              <w:rPr>
                <w:sz w:val="22"/>
              </w:rPr>
              <w:t>41</w:t>
            </w:r>
          </w:p>
        </w:tc>
        <w:tc>
          <w:tcPr>
            <w:tcW w:w="998" w:type="dxa"/>
            <w:vAlign w:val="center"/>
          </w:tcPr>
          <w:p w:rsidR="00000000" w:rsidRDefault="00000000">
            <w:pPr>
              <w:jc w:val="center"/>
              <w:rPr>
                <w:sz w:val="22"/>
              </w:rPr>
            </w:pPr>
            <w:r>
              <w:rPr>
                <w:sz w:val="22"/>
              </w:rPr>
              <w:t>35</w:t>
            </w:r>
          </w:p>
        </w:tc>
        <w:tc>
          <w:tcPr>
            <w:tcW w:w="999" w:type="dxa"/>
            <w:vAlign w:val="center"/>
          </w:tcPr>
          <w:p w:rsidR="00000000" w:rsidRDefault="00000000">
            <w:pPr>
              <w:jc w:val="center"/>
              <w:rPr>
                <w:sz w:val="22"/>
              </w:rPr>
            </w:pPr>
            <w:r>
              <w:rPr>
                <w:sz w:val="22"/>
              </w:rPr>
              <w:t>85</w:t>
            </w:r>
          </w:p>
        </w:tc>
        <w:tc>
          <w:tcPr>
            <w:tcW w:w="956" w:type="dxa"/>
            <w:vAlign w:val="center"/>
          </w:tcPr>
          <w:p w:rsidR="00000000" w:rsidRDefault="00000000">
            <w:pPr>
              <w:jc w:val="center"/>
              <w:rPr>
                <w:sz w:val="22"/>
              </w:rPr>
            </w:pPr>
            <w:r>
              <w:rPr>
                <w:sz w:val="22"/>
              </w:rPr>
              <w:t>24</w:t>
            </w:r>
          </w:p>
        </w:tc>
        <w:tc>
          <w:tcPr>
            <w:tcW w:w="956" w:type="dxa"/>
            <w:vAlign w:val="center"/>
          </w:tcPr>
          <w:p w:rsidR="00000000" w:rsidRDefault="00000000">
            <w:pPr>
              <w:jc w:val="center"/>
              <w:rPr>
                <w:sz w:val="22"/>
              </w:rPr>
            </w:pPr>
            <w:r>
              <w:rPr>
                <w:sz w:val="22"/>
              </w:rPr>
              <w:t>28</w:t>
            </w:r>
          </w:p>
        </w:tc>
        <w:tc>
          <w:tcPr>
            <w:tcW w:w="956" w:type="dxa"/>
            <w:vAlign w:val="center"/>
          </w:tcPr>
          <w:p w:rsidR="00000000" w:rsidRDefault="00000000">
            <w:pPr>
              <w:jc w:val="center"/>
              <w:rPr>
                <w:sz w:val="22"/>
              </w:rPr>
            </w:pPr>
            <w:r>
              <w:rPr>
                <w:sz w:val="22"/>
              </w:rPr>
              <w:t>55</w:t>
            </w:r>
          </w:p>
        </w:tc>
      </w:tr>
    </w:tbl>
    <w:p w:rsidR="00000000" w:rsidRDefault="00000000">
      <w:pPr>
        <w:rPr>
          <w:i/>
        </w:rPr>
      </w:pPr>
    </w:p>
    <w:p w:rsidR="00000000" w:rsidRDefault="00000000">
      <w:pPr>
        <w:spacing w:line="240" w:lineRule="auto"/>
        <w:rPr>
          <w:iCs/>
        </w:rPr>
      </w:pPr>
      <w:r>
        <w:rPr>
          <w:i/>
        </w:rPr>
        <w:tab/>
      </w:r>
      <w:r>
        <w:rPr>
          <w:i/>
          <w:u w:val="single"/>
        </w:rPr>
        <w:t>Источник</w:t>
      </w:r>
      <w:r>
        <w:rPr>
          <w:iCs/>
        </w:rPr>
        <w:t>:  Фонд СЕАДЕ - на основе данных, предоставленных Секретариатом по вопросам общественной безопасности штата Сан-Паулу.</w:t>
      </w:r>
    </w:p>
    <w:p w:rsidR="00000000" w:rsidRDefault="00000000">
      <w:pPr>
        <w:spacing w:line="240" w:lineRule="auto"/>
        <w:rPr>
          <w:iCs/>
        </w:rPr>
      </w:pPr>
    </w:p>
    <w:p w:rsidR="00000000" w:rsidRDefault="00000000">
      <w:r>
        <w:t>402.</w:t>
      </w:r>
      <w:r>
        <w:tab/>
        <w:t>В 1988 году по всему штату Сан-Паулу по фактам совершения преступлений на почве расизма было составлено 389 полицейских протоколов, в том числе 75 - в столице, 52 - в районе Сан-Паулу и 262 - в остальной части штата.  Из этого числа 254 протокола послужили основанием для возбуждения полицейских расследований</w:t>
      </w:r>
      <w:r>
        <w:rPr>
          <w:rStyle w:val="FootnoteReference"/>
        </w:rPr>
        <w:footnoteReference w:customMarkFollows="1" w:id="3"/>
        <w:t>2</w:t>
      </w:r>
      <w:r>
        <w:t>:  50 - в столице, 45 - в районе Сан-Паулу и 159 - в остальных районах штата.</w:t>
      </w:r>
    </w:p>
    <w:p w:rsidR="00000000" w:rsidRDefault="00000000"/>
    <w:p w:rsidR="00000000" w:rsidRDefault="00000000">
      <w:r>
        <w:br w:type="page"/>
        <w:t>403.</w:t>
      </w:r>
      <w:r>
        <w:tab/>
        <w:t>Исследование по вопросу проявлений расизма и дискриминации с учетом возможности получения доступа к системе уголовного судопроизводства, проведенное Центром исследований случаев насилия Университета Сан-Паулу совместно с Институтом "Геледеш", показало, что на месте предполагаемого преступления арестовывалось больше чернокожих граждан (58,1%), нежели белых (46,0%).  Исследование также показало, что при рассмотрении дел органами юстиции из-под стражи на поруки выпускалось больше белых обвиняемых (27%), чем чернокожих (15,5%).</w:t>
      </w:r>
    </w:p>
    <w:p w:rsidR="00000000" w:rsidRDefault="00000000"/>
    <w:p w:rsidR="00000000" w:rsidRDefault="00000000">
      <w:r>
        <w:t>404.</w:t>
      </w:r>
      <w:r>
        <w:tab/>
        <w:t>Чернокожие обвиняемые чаще прибегают к адвокатам, предоставляемым государством, чем белые, что, как показывает исследование, является фактором, отнюдь не благоприятствующим таким обвиняемым.  При анализе дел лиц, которым предъявлено обвинение в совершении разбоя или грабежа при отягчающих обстоятельствах, было установлено, что доля обратившихся к государству за юридической помощью составляла среди белых 39,5%, а среди чернокожих - 62%.  В то же время, по делам обвиняемых в совершении подобного преступления виновными признаны 68,8% чернокожих и 59,4% белых граждан.  Таким образом, результаты исследования указывают на определенную связь между предоставлением государством юридической помощи обвиняемым и бóльшим числом осужденных.  Кроме того, "доля чернокожих граждан среди осужденных значительно превышает их пропорциональную представленность в муниципалитете Сан</w:t>
      </w:r>
      <w:r>
        <w:noBreakHyphen/>
        <w:t>Паулу" (Адорну, 1995 год).</w:t>
      </w:r>
    </w:p>
    <w:p w:rsidR="00000000" w:rsidRDefault="00000000"/>
    <w:p w:rsidR="00000000" w:rsidRDefault="00000000">
      <w:r>
        <w:t>405.</w:t>
      </w:r>
      <w:r>
        <w:tab/>
        <w:t>Другой вывод исследования состоял в том, что белый гражданин, если ему предъявлено обвинение в нападении на человека одной с ним этнической группы, имеет больше шансов быть оправданным (58,4%), чем осужденным (42,2%).  Однако если в нападении на белого обвиняется чернокожий гражданин, то у него больше шансов быть осужденным (57,8%), нежели оправданным (45,2%).</w:t>
      </w:r>
    </w:p>
    <w:p w:rsidR="00000000" w:rsidRDefault="00000000"/>
    <w:p w:rsidR="00000000" w:rsidRDefault="00000000">
      <w:r>
        <w:t>406.</w:t>
      </w:r>
      <w:r>
        <w:tab/>
        <w:t>Согласно информации, почерпнутой из базы данных Национального движения в защиту прав человека, где собраны сведения по 14 федеральным образованиям (13 штатам и федеральному округу)</w:t>
      </w:r>
      <w:r>
        <w:rPr>
          <w:rStyle w:val="FootnoteReference"/>
        </w:rPr>
        <w:footnoteReference w:customMarkFollows="1" w:id="4"/>
        <w:t>3</w:t>
      </w:r>
      <w:r>
        <w:t>, в 1997 году лишь в 15,75% из общего числа сообщений в прессе о совершенных убийствах содержалось упоминание о цвете кожи жертвы.</w:t>
      </w:r>
    </w:p>
    <w:p w:rsidR="00000000" w:rsidRDefault="00000000"/>
    <w:p w:rsidR="00000000" w:rsidRDefault="00000000">
      <w:r>
        <w:t>407.</w:t>
      </w:r>
      <w:r>
        <w:tab/>
        <w:t>При детальном анализе приведенного выше процентного соотношения выясняется, что из чуть более чем 15% случаев, когда цвет кожи жертвы указывался, согласно базе данных, 66,1% приходится на цветных, в том числе чернокожих, метисов и темнокожих граждан (классификация взята из подлинных сообщений).  Таким образом, из общего числа жертв на долю белых приходится 33,9%.  Следует заметить, что, процент жертв среди цветных (66,1%) значительно превышает их пропорциональную представленность (46%) во всем населении Бразилии, как явствует из ОВОДХ.  Обследование ОВОДХ подразделяет состав населения Бразилии по цвету кожи следующим образом: белые - 54%; цветные - 46% (в том числе:  чернокожие, метисы, выходцы из Азии и индейцы - согласно классификации БИГС). Эти данные показывают, что число убитых граждан с белым цветом кожи (33,9 %) в значительной степени преуменьшено по сравнению с пропорциональной представленностью белых граждан (54%) в общей численности населения Бразилии.</w:t>
      </w:r>
    </w:p>
    <w:p w:rsidR="00000000" w:rsidRDefault="00000000"/>
    <w:p w:rsidR="00000000" w:rsidRDefault="00000000">
      <w:r>
        <w:t>408.</w:t>
      </w:r>
      <w:r>
        <w:tab/>
        <w:t>Другой факт, вытекающий из данных, представленных Оливейрой в 1988 году, указывает на то, что во время полицейских акций значительно чаще происходят убийства цветных, нежели белых.  В 175 случаях, когда цвет кожи жертвы фиксировался в протоколе, полицейские гораздо чаще применяли силу на поражение против цветных (в 142 случаях - 81,1%), нежели против белых (всего в 33 случаях), а это означает, что гражданские и военные полицейские, отвечающие за правоприменение в штатах Бразилии, убивают по меньшей мере в три раза больше цветных, чем белых.  Из 142 погибших от рук полицейских во время полицейских акций 105 человек были чернокожие, 33 - темнокожие и 4 - метисы (согласно классификации, использованной прессой).  Это означает, что чернокожие граждане значительно больше страдают от применения полицией силы, чем белые.  Рассмотрение вышеприведенных данных ОВОДХ за 1988 год показывает, что чернокожие граждане составляют 5,7% населения, между тем как на их долю приходится 60% убитых в ходе полицейских акций.</w:t>
      </w:r>
    </w:p>
    <w:p w:rsidR="00000000" w:rsidRDefault="00000000"/>
    <w:p w:rsidR="00000000" w:rsidRDefault="00000000">
      <w:r>
        <w:t>409.</w:t>
      </w:r>
      <w:r>
        <w:tab/>
        <w:t>К такому же выводу приводят и результаты обследования, проведенного Главным институтом по изучению религиозных верований (Рио-де-Жанейро).  Эти результаты были опубликованы 15 мая 2000 года в "Фолья ди Сан-Паулу".  Данные обследования показывают, что в Рио-де-Жанейро и в Сан-Паулу число убитых в столкновениях с полицией чернокожих и метисов значительно превышает их пропорциональную представленность в общей численности населения.  Так, в период 1993-1996 годов из 805 человек, убитых полицейскими департамента полиции Рио-де-Жанейро, 29,8% были признаны в обследовании чернокожими, хотя эта часть населения составляла всего 8,4% городского населения.  На долю погибших от рук полиции метисов приходилось 40,4%, хотя они составляли лишь 31,6 % всех жителей  города.  Что же касается белых, то на них приходилось только 29,8% убитых, хотя они и составляли 60% всего населения города.</w:t>
      </w:r>
    </w:p>
    <w:p w:rsidR="00000000" w:rsidRDefault="00000000"/>
    <w:p w:rsidR="00000000" w:rsidRDefault="00000000">
      <w:r>
        <w:t>410.</w:t>
      </w:r>
      <w:r>
        <w:tab/>
        <w:t>В ходе обследования аналогичные результаты были получены и по городу Сан</w:t>
      </w:r>
      <w:r>
        <w:noBreakHyphen/>
        <w:t>Паулу.  Если говорить конкретно, то в период 1996-1999 годов из 203 погибших в результате столкновений с полицией 13,3% были чернокожими, несмотря на то, что на их долю приходилось всего 3,8% городского населения.  На долю погибших от рук полиции метисов приходилось 33%, хотя эта группа населения составляла лишь 23,9% от общей численности жителей города.  52,7% погибших в столкновениях с полицией были белыми, хотя эта часть населения составляла 69,9% всех жителей Сан-Паулу.</w:t>
      </w:r>
    </w:p>
    <w:p w:rsidR="00000000" w:rsidRDefault="00000000"/>
    <w:p w:rsidR="00000000" w:rsidRDefault="00000000">
      <w:r>
        <w:t>411.</w:t>
      </w:r>
      <w:r>
        <w:tab/>
        <w:t>В своем годовом отчете (</w:t>
      </w:r>
      <w:r>
        <w:rPr>
          <w:i/>
        </w:rPr>
        <w:t xml:space="preserve">Annual Report of Accounts Rendered) </w:t>
      </w:r>
      <w:r>
        <w:t>за 1999 год отдел внутренних дел департамента полиции Сан-Паулу представил такие же завышенные данные о числе чернокожих, погибших в результате столкновений с подразделениями полиции.  Однако фигурирующие в отчете цифры значительно отличаются от цифр, приведенных выше, хотя и те, и другие ведут к одинаковым выводам.  Если конкретно, то, согласно данным отдела внутренних дел, в 1999 году гражданскими и военными полицейскими было убито 664 человека.  Отделом внутренних дел была получена информация только о 280 из них.  55% убитых были чернокожими.</w:t>
      </w:r>
    </w:p>
    <w:p w:rsidR="00000000" w:rsidRDefault="00000000"/>
    <w:p w:rsidR="00000000" w:rsidRDefault="00000000">
      <w:r>
        <w:t>412.</w:t>
      </w:r>
      <w:r>
        <w:tab/>
        <w:t xml:space="preserve">В отношении расового состава заключенных в бразильских тюрьмах отмечается нехватка данных, которые либо стандартизированы, либо основаны на одинаковых критериях классификации заключенных.  Поэтому к вопросу о принадлежности их к той или иной расе следует подходить с осторожностью.  В 1997 году в результате проведенной министерством юстиции переписи заключенных было подсчитано, что в бразильских тюрьмах содержались 170 000 человек, из которых осужденными были 59% (101 482 человека).  В 2000 году число заключенных в бразильских тюрьмах возросло почти до 204 000 человек.  В период с 1969 по 2000 годы доля людей, заключаемых в Бразилии в тюрьму, резко увеличилась - с 30,6 до 122 на каждые 100 000 человек населения. </w:t>
      </w:r>
    </w:p>
    <w:p w:rsidR="00000000" w:rsidRDefault="00000000"/>
    <w:p w:rsidR="00000000" w:rsidRDefault="00000000">
      <w:r>
        <w:t>413.</w:t>
      </w:r>
      <w:r>
        <w:tab/>
        <w:t>В данных переписи заключенных бразильских тюрем за 1995 год отсутствует информация о расовой принадлежности 41,7% заключенных ("Фолья ди Сан-Паулу", 20 мая 1998 года).  Анализ этих данных показал, что остальная часть заключенных включает 29,5% белых, 15,9% метисов, 10,3% чернокожих и около 2% представителей прочих рас.  Недостаточность данных переписи за 1995 год выявляется при сопоставлении их с данными переписи за 1997 год, где информация о расовой принадлежности заключенных наличествует, а пропорциональная представленность каждой группы возрастает:  48% - белые, 30% - метисы, 17% - чернокожие, 5% - прочие.  Эти расхождения в данных затрудняют задачу сопоставления с данными относительно общей численности населения.</w:t>
      </w:r>
    </w:p>
    <w:p w:rsidR="00000000" w:rsidRDefault="00000000"/>
    <w:p w:rsidR="00000000" w:rsidRDefault="00000000">
      <w:r>
        <w:t>414.</w:t>
      </w:r>
      <w:r>
        <w:tab/>
        <w:t>Почти 40% заключенных в стране приходится на штат Сан-Паулу.  Из 52 264 заключенных, находившихся на попечении Секретариата Управления пенитенциарными учреждениями, белые составляли 53,7%, чернокожие - 12,3%, метисы </w:t>
      </w:r>
      <w:r>
        <w:noBreakHyphen/>
        <w:t> 32,6%, выходцы из Азии - 0,5%.  При сопоставлении этих данных, относящихся к 1998 году, с данными за 1997 год о расовой принадлежности заключенных в тюрьмах штата Сан-Паулу (</w:t>
      </w:r>
      <w:r>
        <w:rPr>
          <w:i/>
        </w:rPr>
        <w:t>Síntese dos Indicadores Sociais</w:t>
      </w:r>
      <w:r>
        <w:t>, 1998) мы видим значительный дисбаланс в разбивке заключенных по группам расовой принадлежности.  Если говорить конкретно, то, согласно БИГС, белые составляли 75,3% всего населения штата Сан-Паулу, а среди заключенных в тюрьмах, находящихся в ведении Секретариата Управления пенитенциарными учреждениями, на их долю приходилось лишь 53,7%.  В то же время численность чернокожих заключенных, которая оценивалась в 12,3% от всех заключенных, оказалась завышенной, учитывая, что их доля в общей численности населения составляла около 4,4%.  То же самое было отмечено в отношении метисов, на которых в 1997 году приходилось 20,9% населения штата, а среди заключенных они составляли 32,6%.</w:t>
      </w:r>
    </w:p>
    <w:p w:rsidR="00000000" w:rsidRDefault="00000000"/>
    <w:p w:rsidR="00000000" w:rsidRDefault="00000000">
      <w:r>
        <w:t>415.</w:t>
      </w:r>
      <w:r>
        <w:tab/>
        <w:t>В "Синей книге" (</w:t>
      </w:r>
      <w:r>
        <w:rPr>
          <w:i/>
        </w:rPr>
        <w:t>Relatório Azul</w:t>
      </w:r>
      <w:r>
        <w:t>) за 1997 год Комиссия по правам граждан и человека Законодательного собрания штата Риу-Гранди-ду-Сул, основываясь на данных переписи заключенных, проведенной министерством юстиции в 1997 году, сообщила, что численность заключенных в этом штате составляет 11 414 человек.  На долю белых приходилось 72,6%, метисов - 13,6%, чернокожих - 11,8%.  Даже если принять в расчет разницу в классификации и в критериях определения расовой принадлежности заключенных, штат Риу-Гранди-ду-Сул являет собой еще один пример того, как занижается численность белых в тюремной системе и как завышается численность чернокожих и метисов.  Если конкретно, то в 1997 году, по данным БИГС, белые составляли 86,9% всего населения штата.  На долю чернокожих приходилось 4,6%, а метисов - 8,4%.  Эти процентные соотношения были значительно ниже тех, которые наблюдались среди заключенных - 11,8% и 13,6%, соответственно.</w:t>
      </w:r>
    </w:p>
    <w:p w:rsidR="00000000" w:rsidRDefault="00000000"/>
    <w:p w:rsidR="00000000" w:rsidRDefault="00000000">
      <w:r>
        <w:t>416.</w:t>
      </w:r>
      <w:r>
        <w:tab/>
        <w:t>И последний пример того, как завышается число чернокожих и метисов и занижается число белых в тюремной системе, являет собой штат Минас-Жерайс.  Согласно криминологической переписи (</w:t>
      </w:r>
      <w:r>
        <w:rPr>
          <w:i/>
        </w:rPr>
        <w:t>Censo Criminológico</w:t>
      </w:r>
      <w:r>
        <w:t xml:space="preserve">), проведенной в 1995 году, заключенные в этом штате распределяются по расовым признакам следующим образом:  белые - 30,08%, "смешанная раса" - 33,28%, чернокожие - 28,16%, выходцы из Азии и индейцы - 0,48%.  Три основные группы населения штата (где под "смешанной расой" следует понимать метисов) представлены так:  белые - 52,7%, смешанная раса - 39,9% и чернокожие - 7,2%. </w:t>
      </w:r>
    </w:p>
    <w:p w:rsidR="00000000" w:rsidRDefault="00000000"/>
    <w:p w:rsidR="00000000" w:rsidRDefault="00000000">
      <w:pPr>
        <w:keepNext/>
        <w:rPr>
          <w:b/>
          <w:bCs/>
        </w:rPr>
      </w:pPr>
      <w:r>
        <w:rPr>
          <w:b/>
          <w:bCs/>
        </w:rPr>
        <w:t>Положение в штатах</w:t>
      </w:r>
    </w:p>
    <w:p w:rsidR="00000000" w:rsidRDefault="00000000">
      <w:pPr>
        <w:keepNext/>
        <w:rPr>
          <w:b/>
          <w:bCs/>
        </w:rPr>
      </w:pPr>
    </w:p>
    <w:p w:rsidR="00000000" w:rsidRDefault="00000000">
      <w:pPr>
        <w:keepNext/>
      </w:pPr>
      <w:r>
        <w:t>417.</w:t>
      </w:r>
      <w:r>
        <w:tab/>
        <w:t>Секретариатам по вопросам общественной безопасности, верховным судам и министерствам государственного надзора штатов было предложено представить информацию о количестве полицейских протоколов, официальных расследований и следствий, проведенных полицией, административных разбирательств, судебных исков и любую другую соответствующую информацию (о законодательстве штата, об инициативах правительственных и неправительственных организаций) относительно преступных деяний, совершенных на почве расизма.</w:t>
      </w:r>
    </w:p>
    <w:p w:rsidR="00000000" w:rsidRDefault="00000000"/>
    <w:p w:rsidR="00000000" w:rsidRDefault="00000000">
      <w:r>
        <w:t>418.</w:t>
      </w:r>
      <w:r>
        <w:tab/>
        <w:t>Пять штатов не представили никакой информации для целей подготовки настоящего доклада:  Акри, Мараньян, Пиауи, Парайба и Риу-Гранди-ду-Сул.  Указанные ниже штаты представили лишь информацию, относящуюся к деятельности секретариатов по вопросам общественной безопасности:  Амазонас, Эспириту-Санту, Пара, Пернамбуку, Риу-Гранди-ду-Норти, Рорайма и Токантинс.  Информацию, полученную от верховных судов штата и секретариатов по вопросам общественной безопасности, представили следующие штаты:  Сеара, Федеральный округ, Парана, Рондония, Санта-Катарина и Сан-Паулу.</w:t>
      </w:r>
    </w:p>
    <w:p w:rsidR="00000000" w:rsidRDefault="00000000"/>
    <w:p w:rsidR="00000000" w:rsidRDefault="00000000">
      <w:r>
        <w:t>419.</w:t>
      </w:r>
      <w:r>
        <w:tab/>
        <w:t xml:space="preserve">Только три штата представили  информацию по поданным искам, по текущим и завершенным делам за период 1995-1999 годов.  Верховные суды 13 штатов, которые вызвались представить информацию, сообщили о 141 судебном деле по фактам совершения преступлений на почве расовой дискриминации.  Информация, полученная от секретариатов по вопросам общественной безопасности, указывает на то, что всего в 13 штатах было проведено лишь 11 административных расследований или разбирательств, направленных на проверку фактов совершения сотрудниками полиции преступных деяний на почве расизма. </w:t>
      </w:r>
    </w:p>
    <w:p w:rsidR="00000000" w:rsidRDefault="00000000"/>
    <w:p w:rsidR="00000000" w:rsidRDefault="00000000">
      <w:r>
        <w:t>420.</w:t>
      </w:r>
      <w:r>
        <w:tab/>
        <w:t>Информация, полученная от секретариатов, содержала сведения о 586 полицейских расследованиях, проведенных в рассматриваемый период по фактам совершения преступлений на почве расизма.  Хотя информация поступила из 13 штатов, проблема заключается в том, что не вся соответствующая информация исходила из одного штата.  Поэтому те штаты, которые направили информацию относительно судебных следствий, могли не представить информацию о расследованиях, и наоборот.  Такая же проблема выявилась и в отношении данных, полученных от Верховных судов штатов, которые, к тому же, не исходили от тех самых штатов, которые представили информацию о деятельности полиции.</w:t>
      </w:r>
    </w:p>
    <w:p w:rsidR="00000000" w:rsidRDefault="00000000"/>
    <w:p w:rsidR="00000000" w:rsidRDefault="00000000">
      <w:r>
        <w:t>421.</w:t>
      </w:r>
      <w:r>
        <w:tab/>
        <w:t>В общих чертах можно констатировать, что в большинстве штатов Бразилии системы сбора и хранения информации по вопросам проявления дискриминации и расизма не соответствуют современным требованиям.  Значительная часть информации, представленной в центр, была неполной, касалась только одного года, не охватывала административные районы, входящие в состав штата, либо содержала сведения об административных производствах только применительно к военной полиции, обходя при этом молчанием полицию гражданскую, или наоборот. Доходило до того, что некоторые штаты заявляли, что не вели статистику по фактам совершения преступлений на почве расизма.  Ниже более подробно рассматриваются данные, представленные различными штатами.</w:t>
      </w:r>
    </w:p>
    <w:p w:rsidR="00000000" w:rsidRDefault="00000000"/>
    <w:p w:rsidR="00000000" w:rsidRDefault="00000000">
      <w:pPr>
        <w:rPr>
          <w:b/>
          <w:bCs/>
        </w:rPr>
      </w:pPr>
      <w:r>
        <w:rPr>
          <w:b/>
          <w:bCs/>
        </w:rPr>
        <w:t>Алагоас</w:t>
      </w:r>
    </w:p>
    <w:p w:rsidR="00000000" w:rsidRDefault="00000000">
      <w:pPr>
        <w:rPr>
          <w:b/>
          <w:bCs/>
        </w:rPr>
      </w:pPr>
    </w:p>
    <w:p w:rsidR="00000000" w:rsidRDefault="00000000">
      <w:r>
        <w:t>422.</w:t>
      </w:r>
      <w:r>
        <w:tab/>
        <w:t>Министерство государственного надзора штата Алагоас через канцелярию Генерального прокурора сообщило, что только канцелярия государственного обвинителя Пиасабусу зарегистрировала проведение полицейского расследования по факту совершения преступления на почве расизма, которое еще не завершено.</w:t>
      </w:r>
    </w:p>
    <w:p w:rsidR="00000000" w:rsidRDefault="00000000"/>
    <w:p w:rsidR="00000000" w:rsidRDefault="00000000">
      <w:r>
        <w:t>423.</w:t>
      </w:r>
      <w:r>
        <w:tab/>
        <w:t>Первый уголовный суд смешанной юрисдикции Масейо сообщил о рассмотрении дела № 1757/99 по факту преступления на почве расизма, за совершение которого подсудимый был осужден и приговорен к шести месяцам лишения свободы и к уплате штрафа за период 25 дней из расчета одной минимальной заработной платы за один день.  Канцелярия Генерального прокурора также сообщила, что в штате нет ни специального закона, предусматривающего ответственность за совершение преступления на почве расизма, ни прокуратуры, специализирующейся в этой области.</w:t>
      </w:r>
    </w:p>
    <w:p w:rsidR="00000000" w:rsidRDefault="00000000"/>
    <w:p w:rsidR="00000000" w:rsidRDefault="00000000">
      <w:r>
        <w:t>424.</w:t>
      </w:r>
      <w:r>
        <w:tab/>
        <w:t>Министерство государственного надзора сообщило, что одним из инструментов, имеющихся в его распоряжении, является Первый центр оперативной поддержки, в состав которого входит Центр защиты прав человека.  За период с 1995 года по начало 2000 года Центр оперативной поддержки рассмотрел 19 административных производств по факту совершения преступлений, связанных с предубеждениями по расовому признаку, четыре из которых были приостановлены, а затем и прекращены.</w:t>
      </w:r>
    </w:p>
    <w:p w:rsidR="00000000" w:rsidRDefault="00000000"/>
    <w:p w:rsidR="00000000" w:rsidRDefault="00000000">
      <w:pPr>
        <w:rPr>
          <w:b/>
          <w:bCs/>
        </w:rPr>
      </w:pPr>
      <w:r>
        <w:rPr>
          <w:b/>
          <w:bCs/>
        </w:rPr>
        <w:t>Амапа</w:t>
      </w:r>
    </w:p>
    <w:p w:rsidR="00000000" w:rsidRDefault="00000000"/>
    <w:p w:rsidR="00000000" w:rsidRDefault="00000000">
      <w:r>
        <w:t>425.</w:t>
      </w:r>
      <w:r>
        <w:tab/>
        <w:t>По сообщению Управления главного инспектора, за период 1995-1999 годов им был зафиксирован только один судебный иск, возбужденный на основании Закона № 9029/95 и касающийся практики расизма.</w:t>
      </w:r>
    </w:p>
    <w:p w:rsidR="00000000" w:rsidRDefault="00000000"/>
    <w:p w:rsidR="00000000" w:rsidRDefault="00000000">
      <w:pPr>
        <w:keepNext/>
        <w:rPr>
          <w:b/>
          <w:bCs/>
        </w:rPr>
      </w:pPr>
      <w:r>
        <w:rPr>
          <w:b/>
          <w:bCs/>
        </w:rPr>
        <w:t>Амазонас</w:t>
      </w:r>
    </w:p>
    <w:p w:rsidR="00000000" w:rsidRDefault="00000000">
      <w:pPr>
        <w:keepNext/>
      </w:pPr>
    </w:p>
    <w:p w:rsidR="00000000" w:rsidRDefault="00000000">
      <w:pPr>
        <w:keepNext/>
      </w:pPr>
      <w:r>
        <w:t>426.</w:t>
      </w:r>
      <w:r>
        <w:tab/>
        <w:t>Согласно заявлению Главного отдела внутренних дел гражданской полиции штата, никаких полицейских расследований или административных разбирательств в связи с практикой расовой дискриминации не проводилось.</w:t>
      </w:r>
    </w:p>
    <w:p w:rsidR="00000000" w:rsidRDefault="00000000"/>
    <w:p w:rsidR="00000000" w:rsidRDefault="00000000">
      <w:pPr>
        <w:rPr>
          <w:b/>
          <w:bCs/>
        </w:rPr>
      </w:pPr>
      <w:r>
        <w:rPr>
          <w:b/>
          <w:bCs/>
        </w:rPr>
        <w:t>Баия</w:t>
      </w:r>
    </w:p>
    <w:p w:rsidR="00000000" w:rsidRDefault="00000000"/>
    <w:p w:rsidR="00000000" w:rsidRDefault="00000000">
      <w:r>
        <w:t>427.</w:t>
      </w:r>
      <w:r>
        <w:tab/>
        <w:t>Согласно сообщению Главного отдела внутренних дел гражданской полиции штата, за период 1995-1999 годов против сотрудников гражданской полиции не возбуждалось административных разбирательств или расследований на основании Закона № 7716/89 по обвинению в расизме.</w:t>
      </w:r>
    </w:p>
    <w:p w:rsidR="00000000" w:rsidRDefault="00000000"/>
    <w:p w:rsidR="00000000" w:rsidRDefault="00000000">
      <w:r>
        <w:t>428.</w:t>
      </w:r>
      <w:r>
        <w:tab/>
        <w:t>Министерство государственного надзора через Координационный орган Центра оперативной поддержки сообщило в канцелярию прокурора по делам гражданства о том, что в штате Баия было зарегистрировано 13 дел по факту совершения преступлений на почве расизма, которые все еще находятся в стадии расследования.</w:t>
      </w:r>
    </w:p>
    <w:p w:rsidR="00000000" w:rsidRDefault="00000000"/>
    <w:p w:rsidR="00000000" w:rsidRDefault="00000000">
      <w:r>
        <w:t>429.</w:t>
      </w:r>
      <w:r>
        <w:tab/>
        <w:t>Министерство также сообщило о том, что в штате нет специального законодательного акта, который регулировал бы этот вопрос на уровне штата.  В сообщении указывалось, что при министерстве государственного надзора имеется прокурор по делам гражданства и борьбы с расизмом.</w:t>
      </w:r>
    </w:p>
    <w:p w:rsidR="00000000" w:rsidRDefault="00000000"/>
    <w:p w:rsidR="00000000" w:rsidRDefault="00000000">
      <w:r>
        <w:t>430.</w:t>
      </w:r>
      <w:r>
        <w:tab/>
        <w:t>Должность прокурора по делам гражданства была учреждена в 1997 году.  Высокопоставленный представитель прокуратуры сообщил, что за первые три года работы этого органа было возбуждено 88 расследований, из которых 43 завершены.  По результатам расследований было подано 17 исков.  Четырнадцать административных производств были возвращены потерпевшим, поскольку в них усматривается наличие элемента дискриминационного характера, который подлежит рассмотрению по судебному иску в частном порядке.  Из этих производств только девять были приостановлены, а затем и прекращены.</w:t>
      </w:r>
    </w:p>
    <w:p w:rsidR="00000000" w:rsidRDefault="00000000"/>
    <w:p w:rsidR="00000000" w:rsidRDefault="00000000">
      <w:pPr>
        <w:rPr>
          <w:b/>
          <w:bCs/>
        </w:rPr>
      </w:pPr>
      <w:r>
        <w:rPr>
          <w:b/>
          <w:bCs/>
        </w:rPr>
        <w:t xml:space="preserve">Сеара </w:t>
      </w:r>
    </w:p>
    <w:p w:rsidR="00000000" w:rsidRDefault="00000000">
      <w:pPr>
        <w:rPr>
          <w:b/>
          <w:bCs/>
        </w:rPr>
      </w:pPr>
    </w:p>
    <w:p w:rsidR="00000000" w:rsidRDefault="00000000">
      <w:r>
        <w:t>431.</w:t>
      </w:r>
      <w:r>
        <w:tab/>
        <w:t>Согласно информации, представленной Секретариатом по вопросам общественной безопасности и защиты гражданства штата</w:t>
      </w:r>
      <w:r>
        <w:rPr>
          <w:bCs/>
        </w:rPr>
        <w:t xml:space="preserve"> Сеара</w:t>
      </w:r>
      <w:r>
        <w:t>, органами гражданской полиции проводятся три полицейских расследования и одно административное разбирательство возбуждено Главным отделом внутренних дел органов общественной безопасности и защиты гражданства.  Военная полиция никакой информации о расследованиях по данному вопросу не представила.</w:t>
      </w:r>
    </w:p>
    <w:p w:rsidR="00000000" w:rsidRDefault="00000000"/>
    <w:p w:rsidR="00000000" w:rsidRDefault="00000000">
      <w:r>
        <w:t>432.</w:t>
      </w:r>
      <w:r>
        <w:tab/>
        <w:t>По данным Верховного суда штата, за период 1995-1999 годов на основании Закона № 7716/89 было возбуждено и рассмотрено два дела.</w:t>
      </w:r>
    </w:p>
    <w:p w:rsidR="00000000" w:rsidRDefault="00000000"/>
    <w:p w:rsidR="00000000" w:rsidRDefault="00000000">
      <w:pPr>
        <w:rPr>
          <w:b/>
          <w:bCs/>
        </w:rPr>
      </w:pPr>
      <w:r>
        <w:rPr>
          <w:b/>
          <w:bCs/>
        </w:rPr>
        <w:t>Федеральный округ</w:t>
      </w:r>
    </w:p>
    <w:p w:rsidR="00000000" w:rsidRDefault="00000000">
      <w:pPr>
        <w:rPr>
          <w:b/>
          <w:bCs/>
        </w:rPr>
      </w:pPr>
    </w:p>
    <w:p w:rsidR="00000000" w:rsidRDefault="00000000">
      <w:r>
        <w:t>433.</w:t>
      </w:r>
      <w:r>
        <w:tab/>
        <w:t>Секретариат по вопросам общественной безопасности представил информацию о 20 полицейских расследованиях, проводимых по фактам преступных действий на почве расизма, совершенных в период 1995-1999 годов.  Однако было установлено, что несколько из этих дел подпадают не под действие Закона № 7716/89, а скорее под действие статьи 140 Уголовного кодекса Бразилии, где речь идет о клевете.</w:t>
      </w:r>
    </w:p>
    <w:p w:rsidR="00000000" w:rsidRDefault="00000000"/>
    <w:p w:rsidR="00000000" w:rsidRDefault="00000000">
      <w:r>
        <w:t>434.</w:t>
      </w:r>
      <w:r>
        <w:tab/>
        <w:t>Секретариат по вопросам общественной безопасности сообщил также, что у него не имеется данных о проведении каких-либо полицейских расследований в период 1995</w:t>
      </w:r>
      <w:r>
        <w:noBreakHyphen/>
        <w:t>1999 годов по линии Главного отдела внутренних дел.</w:t>
      </w:r>
    </w:p>
    <w:p w:rsidR="00000000" w:rsidRDefault="00000000"/>
    <w:p w:rsidR="00000000" w:rsidRDefault="00000000">
      <w:r>
        <w:t>435.</w:t>
      </w:r>
      <w:r>
        <w:tab/>
        <w:t>Верховным судом штата была представлена информация лишь об одном находящемся в процессе производства деле, возбужденном на основании статьи 20 Закона № 7716/89.</w:t>
      </w:r>
    </w:p>
    <w:p w:rsidR="00000000" w:rsidRDefault="00000000"/>
    <w:p w:rsidR="00000000" w:rsidRDefault="00000000">
      <w:pPr>
        <w:rPr>
          <w:b/>
          <w:bCs/>
        </w:rPr>
      </w:pPr>
      <w:r>
        <w:rPr>
          <w:b/>
          <w:bCs/>
        </w:rPr>
        <w:t>Эспириту-Санту</w:t>
      </w:r>
    </w:p>
    <w:p w:rsidR="00000000" w:rsidRDefault="00000000">
      <w:pPr>
        <w:rPr>
          <w:b/>
          <w:bCs/>
        </w:rPr>
      </w:pPr>
    </w:p>
    <w:p w:rsidR="00000000" w:rsidRDefault="00000000">
      <w:r>
        <w:t>436.</w:t>
      </w:r>
      <w:r>
        <w:tab/>
        <w:t>По сообщению секретариата по вопросам безопасности штата, ни военной, ни гражданской полицией не возбуждалось каких-либо административных разбирательств в связи с совершением сотрудниками полиции актов расовой дискриминации.</w:t>
      </w:r>
    </w:p>
    <w:p w:rsidR="00000000" w:rsidRDefault="00000000"/>
    <w:p w:rsidR="00000000" w:rsidRDefault="00000000">
      <w:r>
        <w:rPr>
          <w:b/>
          <w:bCs/>
        </w:rPr>
        <w:t>Гояс</w:t>
      </w:r>
    </w:p>
    <w:p w:rsidR="00000000" w:rsidRDefault="00000000"/>
    <w:p w:rsidR="00000000" w:rsidRDefault="00000000">
      <w:r>
        <w:t>437.</w:t>
      </w:r>
      <w:r>
        <w:tab/>
        <w:t>Верховный суд штата сообщил о наличии пяти судебных исков.</w:t>
      </w:r>
    </w:p>
    <w:p w:rsidR="00000000" w:rsidRDefault="00000000"/>
    <w:p w:rsidR="00000000" w:rsidRDefault="00000000">
      <w:pPr>
        <w:rPr>
          <w:b/>
          <w:bCs/>
        </w:rPr>
      </w:pPr>
      <w:r>
        <w:rPr>
          <w:b/>
          <w:bCs/>
        </w:rPr>
        <w:t>Мату-Гросу</w:t>
      </w:r>
    </w:p>
    <w:p w:rsidR="00000000" w:rsidRDefault="00000000"/>
    <w:p w:rsidR="00000000" w:rsidRDefault="00000000">
      <w:r>
        <w:t>438.</w:t>
      </w:r>
      <w:r>
        <w:tab/>
        <w:t>По данным министерства государственного надзора, в этом штате было подано два соответствующих судебных иска.  Однако секретариат по вопросам общественной безопасности заявил, что он не располагает статистической информацией о преступлениях, совершенных на расовой почве.  Вместе с тем, как он заявляет, "нам известно о наличии отдельных данных, свидетельствующих об имевших место в штате случаях такого рода".</w:t>
      </w:r>
    </w:p>
    <w:p w:rsidR="00000000" w:rsidRDefault="00000000"/>
    <w:p w:rsidR="00000000" w:rsidRDefault="00000000">
      <w:pPr>
        <w:rPr>
          <w:b/>
          <w:bCs/>
        </w:rPr>
      </w:pPr>
      <w:r>
        <w:rPr>
          <w:b/>
          <w:bCs/>
        </w:rPr>
        <w:t>Мату-Гросу-ду-Сул</w:t>
      </w:r>
    </w:p>
    <w:p w:rsidR="00000000" w:rsidRDefault="00000000">
      <w:pPr>
        <w:rPr>
          <w:b/>
          <w:bCs/>
        </w:rPr>
      </w:pPr>
    </w:p>
    <w:p w:rsidR="00000000" w:rsidRDefault="00000000">
      <w:r>
        <w:t>439.</w:t>
      </w:r>
      <w:r>
        <w:tab/>
        <w:t>Правительство штата через Центр оперативной поддержки канцелярии прокурора по вопросам конституционных прав граждан и прав человека сообщило, что за рассматриваемый период никаких материалов по делам о совершении на территории штата преступлений на почве расизма к нему не поступало.</w:t>
      </w:r>
    </w:p>
    <w:p w:rsidR="00000000" w:rsidRDefault="00000000"/>
    <w:p w:rsidR="00000000" w:rsidRDefault="00000000">
      <w:r>
        <w:t>440.</w:t>
      </w:r>
      <w:r>
        <w:tab/>
        <w:t>Однако в сообщении, полученном после этого из канцелярии прокурора уголовной юстиции министерства государственного надзора, говорилось, что работниками прокуратуры и сотрудниками правоохранительных органов было проведено обследование для установления того, не возбуждались ли в административных районах штата какие-либо уголовные иски и не проводились ли какие-либо расследования по фактам совершения преступлений на почве расизма.  Были получены подтверждения о возбуждении двенадцати уголовных исков или расследований по фактам расовой дискриминации.  Два иска были возбуждены в административном районе Дорадус и по одному - в остальных регионах (Анауриландия, Бандейрантис, Кампу-Гранди, Кошин, Игуатеми, Ивиньейма, Миранда, Мунду-Нову, Андрадина, Паранаиба).  Четыре из 12 исков были поданы по уголовным обстоятельствам, а по остальным были начаты полицейские расследования, которые все еще продолжаются.  Прокурор предположил, что некоторое количество исков, возможно, появилось по причине "непонимания различий между исковым заявлением по уголовному делу и исковым заявлением по факту расовой дискриминации".</w:t>
      </w:r>
    </w:p>
    <w:p w:rsidR="00000000" w:rsidRDefault="00000000"/>
    <w:p w:rsidR="00000000" w:rsidRDefault="00000000">
      <w:r>
        <w:t>441.</w:t>
      </w:r>
      <w:r>
        <w:tab/>
        <w:t>Информация от секретариата по вопросам общественной безопасности также указывает на то, что никаких расследований не проводилось и никаких производств не возбуждалось в отношении правонарушений на почве расизма.  Тем не менее, от некоторых специализированных подразделений и отделов (по взлому и краже автомашин, по торговле наркотиками и отдела в Порту-Муртинью) информация была получена.</w:t>
      </w:r>
    </w:p>
    <w:p w:rsidR="00000000" w:rsidRDefault="00000000"/>
    <w:p w:rsidR="00000000" w:rsidRDefault="00000000">
      <w:pPr>
        <w:rPr>
          <w:b/>
          <w:bCs/>
        </w:rPr>
      </w:pPr>
      <w:r>
        <w:rPr>
          <w:b/>
          <w:bCs/>
        </w:rPr>
        <w:t>Минас-Жерайс</w:t>
      </w:r>
    </w:p>
    <w:p w:rsidR="00000000" w:rsidRDefault="00000000"/>
    <w:p w:rsidR="00000000" w:rsidRDefault="00000000">
      <w:r>
        <w:t>442.</w:t>
      </w:r>
      <w:r>
        <w:tab/>
        <w:t>Согласно информации, представленной министерством государственного надзора, за период 1997-1999 годов на основании поступивших жалоб было возбуждено 334 дела в связи с совершением актов расизма.</w:t>
      </w:r>
    </w:p>
    <w:p w:rsidR="00000000" w:rsidRDefault="00000000"/>
    <w:p w:rsidR="00000000" w:rsidRDefault="00000000">
      <w:r>
        <w:t>443.</w:t>
      </w:r>
      <w:r>
        <w:tab/>
        <w:t>Однако в информации, представленной Верховным судом штата, говорится лишь о 97 соответствующих случаях.  Вместе с тем суд отметил, что сообщенные им данные касаются только крупных административных единиц штата, на долю которых приходится около 70% всех судебных исков.</w:t>
      </w:r>
    </w:p>
    <w:p w:rsidR="00000000" w:rsidRDefault="00000000"/>
    <w:p w:rsidR="00000000" w:rsidRDefault="00000000">
      <w:pPr>
        <w:rPr>
          <w:b/>
          <w:bCs/>
        </w:rPr>
      </w:pPr>
      <w:r>
        <w:rPr>
          <w:b/>
          <w:bCs/>
        </w:rPr>
        <w:t>Пара</w:t>
      </w:r>
    </w:p>
    <w:p w:rsidR="00000000" w:rsidRDefault="00000000"/>
    <w:p w:rsidR="00000000" w:rsidRDefault="00000000">
      <w:r>
        <w:t>444.</w:t>
      </w:r>
      <w:r>
        <w:tab/>
        <w:t>Согласно сообщению секретариата по вопросам общественной безопасности, военной полицией не возбуждалось каких-либо административных разбирательств по факту проявлений расизма.</w:t>
      </w:r>
    </w:p>
    <w:p w:rsidR="00000000" w:rsidRDefault="00000000"/>
    <w:p w:rsidR="00000000" w:rsidRDefault="00000000">
      <w:pPr>
        <w:rPr>
          <w:b/>
          <w:bCs/>
        </w:rPr>
      </w:pPr>
      <w:r>
        <w:rPr>
          <w:b/>
          <w:bCs/>
        </w:rPr>
        <w:t>Парана</w:t>
      </w:r>
    </w:p>
    <w:p w:rsidR="00000000" w:rsidRDefault="00000000">
      <w:pPr>
        <w:rPr>
          <w:b/>
          <w:bCs/>
        </w:rPr>
      </w:pPr>
    </w:p>
    <w:p w:rsidR="00000000" w:rsidRDefault="00000000">
      <w:r>
        <w:t>445.</w:t>
      </w:r>
      <w:r>
        <w:tab/>
        <w:t>Министерство государственного надзора штата Парана через Центр оперативной поддержки канцелярии прокурора по вопросам защиты прав и конституционных гарантий сообщило, что в период 1995-1999 годов никаких судебных исков по делам, подпадающим под действие Закона № 7716/89, не подавалось.</w:t>
      </w:r>
    </w:p>
    <w:p w:rsidR="00000000" w:rsidRDefault="00000000"/>
    <w:p w:rsidR="00000000" w:rsidRDefault="00000000">
      <w:r>
        <w:t>446.</w:t>
      </w:r>
      <w:r>
        <w:tab/>
        <w:t>Верховный суд штата представил информацию о возбуждении судебных исков на территории штата в период с 1995 года по первый квартал 1999 года.  Однако данные были сгруппированы по признакам определенного рода (преступления, связанные с посягательством на жизнь, имущественные преступления, преступления, совершенные в состоянии алкогольного или наркотического опьянения, и т.п.), что сделало невозможным определить, какие из этих правонарушений были связаны с расовой дискриминацией.</w:t>
      </w:r>
    </w:p>
    <w:p w:rsidR="00000000" w:rsidRDefault="00000000"/>
    <w:p w:rsidR="00000000" w:rsidRDefault="00000000">
      <w:r>
        <w:t>447.</w:t>
      </w:r>
      <w:r>
        <w:tab/>
        <w:t>Согласно сообщению органов военной полиции штата, в 1996 году было возбуждено расследование по факту предположительного проявления расизма, однако в 1997 году оно было приостановлено, а затем и прекращено.  По заявлению гражданской полиции, за тот же период не возбуждалось никаких расследований, равно как не было зафиксировано и случаев возбуждения административного разбирательства в связи с совершением таких актов.</w:t>
      </w:r>
    </w:p>
    <w:p w:rsidR="00000000" w:rsidRDefault="00000000"/>
    <w:p w:rsidR="00000000" w:rsidRDefault="00000000">
      <w:pPr>
        <w:rPr>
          <w:b/>
          <w:bCs/>
        </w:rPr>
      </w:pPr>
      <w:r>
        <w:rPr>
          <w:b/>
          <w:bCs/>
        </w:rPr>
        <w:t>Пернамбуку</w:t>
      </w:r>
    </w:p>
    <w:p w:rsidR="00000000" w:rsidRDefault="00000000"/>
    <w:p w:rsidR="00000000" w:rsidRDefault="00000000">
      <w:r>
        <w:t>448.</w:t>
      </w:r>
      <w:r>
        <w:tab/>
        <w:t>Что касается законодательства, направленного на борьбу с расовой дискриминацией, то министерство государственного надзора сообщило об обнародовании 27 мая 1999 года Указа № 21670 относительно введения в действие Программы штата по правам человека.</w:t>
      </w:r>
    </w:p>
    <w:p w:rsidR="00000000" w:rsidRDefault="00000000"/>
    <w:p w:rsidR="00000000" w:rsidRDefault="00000000">
      <w:r>
        <w:t>449.</w:t>
      </w:r>
      <w:r>
        <w:tab/>
        <w:t>По заявлению органов гражданской полиции, на основании Закона № 7716 было проведено 12 полицейских расследований.  Однако эта информация относится только к 1999 году.  Согласно сообщению отдела внутренних дел военной полиции, за период 1998-1999 годов было возбуждено пять административных разбирательств.</w:t>
      </w:r>
    </w:p>
    <w:p w:rsidR="00000000" w:rsidRDefault="00000000"/>
    <w:p w:rsidR="00000000" w:rsidRDefault="00000000">
      <w:pPr>
        <w:rPr>
          <w:b/>
          <w:bCs/>
        </w:rPr>
      </w:pPr>
      <w:r>
        <w:rPr>
          <w:b/>
          <w:bCs/>
        </w:rPr>
        <w:t>Риу-Гранди-ду-Норти</w:t>
      </w:r>
    </w:p>
    <w:p w:rsidR="00000000" w:rsidRDefault="00000000"/>
    <w:p w:rsidR="00000000" w:rsidRDefault="00000000">
      <w:r>
        <w:t>450.</w:t>
      </w:r>
      <w:r>
        <w:tab/>
        <w:t>Как указал секретариат по вопросам общественной безопасности, на основании Закона № 7716 было возбуждено одно полицейское расследование.</w:t>
      </w:r>
    </w:p>
    <w:p w:rsidR="00000000" w:rsidRDefault="00000000"/>
    <w:p w:rsidR="00000000" w:rsidRDefault="00000000">
      <w:pPr>
        <w:rPr>
          <w:b/>
          <w:bCs/>
        </w:rPr>
      </w:pPr>
      <w:r>
        <w:rPr>
          <w:b/>
          <w:bCs/>
        </w:rPr>
        <w:t>Рондония</w:t>
      </w:r>
    </w:p>
    <w:p w:rsidR="00000000" w:rsidRDefault="00000000">
      <w:pPr>
        <w:rPr>
          <w:b/>
          <w:bCs/>
        </w:rPr>
      </w:pPr>
    </w:p>
    <w:p w:rsidR="00000000" w:rsidRDefault="00000000">
      <w:r>
        <w:t>451.</w:t>
      </w:r>
      <w:r>
        <w:tab/>
        <w:t>Верховный суд штата сообщил</w:t>
      </w:r>
      <w:r>
        <w:rPr>
          <w:bCs/>
        </w:rPr>
        <w:t>, что судом рассматривались три дела по факту совершения правонарушений на почве расизма.</w:t>
      </w:r>
      <w:r>
        <w:t xml:space="preserve">  Секретариат по вопросам общественной безопасности представил информацию о наличии 39 полицейских протоколов о заявленных случаях проявления расизма и о возбуждении 15 полицейских расследований.  От Главного управления внутренних дел гражданской полиции не поступило никакой информации относительно административного производства по фактам правонарушений, связанных с проявлением расизма.</w:t>
      </w:r>
    </w:p>
    <w:p w:rsidR="00000000" w:rsidRDefault="00000000"/>
    <w:p w:rsidR="00000000" w:rsidRDefault="00000000">
      <w:pPr>
        <w:rPr>
          <w:b/>
          <w:bCs/>
        </w:rPr>
      </w:pPr>
      <w:r>
        <w:rPr>
          <w:b/>
          <w:bCs/>
        </w:rPr>
        <w:t>Рорайма</w:t>
      </w:r>
    </w:p>
    <w:p w:rsidR="00000000" w:rsidRDefault="00000000">
      <w:pPr>
        <w:rPr>
          <w:b/>
          <w:bCs/>
        </w:rPr>
      </w:pPr>
    </w:p>
    <w:p w:rsidR="00000000" w:rsidRDefault="00000000">
      <w:pPr>
        <w:rPr>
          <w:bCs/>
        </w:rPr>
      </w:pPr>
      <w:r>
        <w:t>452.</w:t>
      </w:r>
      <w:r>
        <w:tab/>
        <w:t>Министерство государственного надзора штата</w:t>
      </w:r>
      <w:r>
        <w:rPr>
          <w:bCs/>
        </w:rPr>
        <w:t xml:space="preserve"> сообщило, что в штате нет действующего закона, направленного против расизма, что не имеется специализированного органа прокурорского надзора и, наконец, что было проведено только одно полицейское расследование и возбуждено одно административное разбирательство в связи с правонарушением такого рода.</w:t>
      </w:r>
    </w:p>
    <w:p w:rsidR="00000000" w:rsidRDefault="00000000"/>
    <w:p w:rsidR="00000000" w:rsidRDefault="00000000">
      <w:pPr>
        <w:rPr>
          <w:b/>
          <w:bCs/>
        </w:rPr>
      </w:pPr>
      <w:r>
        <w:rPr>
          <w:b/>
          <w:bCs/>
        </w:rPr>
        <w:t>Санта-Катарина</w:t>
      </w:r>
    </w:p>
    <w:p w:rsidR="00000000" w:rsidRDefault="00000000">
      <w:pPr>
        <w:rPr>
          <w:b/>
          <w:bCs/>
        </w:rPr>
      </w:pPr>
    </w:p>
    <w:p w:rsidR="00000000" w:rsidRDefault="00000000">
      <w:r>
        <w:t>453.</w:t>
      </w:r>
      <w:r>
        <w:tab/>
        <w:t xml:space="preserve">Министерство государственного надзора штата </w:t>
      </w:r>
      <w:r>
        <w:rPr>
          <w:bCs/>
        </w:rPr>
        <w:t xml:space="preserve">через канцелярию прокурора сообщило, что хотя к нему не поступает какой-либо информации систематического характера по фактам совершения преступлений, связанных с проявлением расовой дискриминации, ему совместно с канцелярией прокурора удалось установить факт возбуждения на территории штата четырех судебных исков, находящихся в стадии производства.  </w:t>
      </w:r>
      <w:r>
        <w:t xml:space="preserve">Министерство также сообщило, что в штате не имеется соответствующего специализированного органа прокурорского надзора.  Оно указало, что на территории штата действует Закон № 10064 от 9 января 1996 года, который предусматривает применение надлежащих санкций в отношении юридических лиц и компаний, совершающих акты расовой дискриминации. </w:t>
      </w:r>
    </w:p>
    <w:p w:rsidR="00000000" w:rsidRDefault="00000000"/>
    <w:p w:rsidR="00000000" w:rsidRDefault="00000000">
      <w:r>
        <w:t>454.</w:t>
      </w:r>
      <w:r>
        <w:tab/>
        <w:t>Главный полицейский участок гражданской полиции Секретариата по вопросам общественной безопасности вскрыл факт проведения в период 1996-1999 годов на территории штата 110 полицейских расследований.  Он также сообщил, что в 1998 году было возбуждено полицейское расследование против сотрудника гражданской полиции, который обвинялся в совершении правонарушения расистского характера.</w:t>
      </w:r>
    </w:p>
    <w:p w:rsidR="00000000" w:rsidRDefault="00000000"/>
    <w:p w:rsidR="00000000" w:rsidRDefault="00000000">
      <w:pPr>
        <w:rPr>
          <w:b/>
          <w:bCs/>
        </w:rPr>
      </w:pPr>
      <w:r>
        <w:rPr>
          <w:b/>
          <w:bCs/>
        </w:rPr>
        <w:t>Сан-Паулу</w:t>
      </w:r>
    </w:p>
    <w:p w:rsidR="00000000" w:rsidRDefault="00000000">
      <w:pPr>
        <w:rPr>
          <w:b/>
          <w:bCs/>
        </w:rPr>
      </w:pPr>
    </w:p>
    <w:p w:rsidR="00000000" w:rsidRDefault="00000000">
      <w:r>
        <w:t>455.</w:t>
      </w:r>
      <w:r>
        <w:tab/>
        <w:t>Координационный центр анализа и планирования Секретариата по вопросам общественной безопасности штата Сан-Паулу сообщил, что в 1998 году на территории штата было оформлено 389 полицейских протоколов и возбуждено 254 полицейских расследования.  По годам же, предшествующим 1998 году, данных о количестве полицейских протоколов и расследований на территории штата, которые составили в общем объеме 67% и 62%, соответственно, представлено не было.  Так, из документов стало известно, что в 1997 году был оформлен 141 полицейский протокол и возбуждено 93 расследования;  в 1996 году было оформлено 49 полицейских протоколов и возбуждено 41 расследование;  в 1995 году было оформлено 67 полицейских протоколов и возбуждено 34 расследования.  Следовательно, общее количество оформленных полицейских протоколов и проведенных расследований в 1995, 1996, 1997 годах составило 546 и 422, соответственно (и это без учета данных по отдельным районам внутри штата).</w:t>
      </w:r>
    </w:p>
    <w:p w:rsidR="00000000" w:rsidRDefault="00000000"/>
    <w:p w:rsidR="00000000" w:rsidRDefault="00000000">
      <w:r>
        <w:t>456.</w:t>
      </w:r>
      <w:r>
        <w:tab/>
        <w:t>Согласно сообщению Управления внутренних дел военной полиции, за рассматриваемый период ему не поступало никакой информации относительно совершения сотрудниками военной полиции актов расизма.</w:t>
      </w:r>
    </w:p>
    <w:p w:rsidR="00000000" w:rsidRDefault="00000000"/>
    <w:p w:rsidR="00000000" w:rsidRDefault="00000000">
      <w:r>
        <w:t>457.</w:t>
      </w:r>
      <w:r>
        <w:tab/>
        <w:t>Верховный суд штата представил информацию по 19 судебным искам, хотя заместитель Председателя Верховного суда заявляет, что данных по каждому административному району штата не имеется, а данные, имеющиеся в наличии, в нижестоящих судах не сконцентрированы.</w:t>
      </w:r>
    </w:p>
    <w:p w:rsidR="00000000" w:rsidRDefault="00000000"/>
    <w:p w:rsidR="00000000" w:rsidRDefault="00000000">
      <w:pPr>
        <w:rPr>
          <w:b/>
          <w:bCs/>
        </w:rPr>
      </w:pPr>
      <w:r>
        <w:rPr>
          <w:b/>
          <w:bCs/>
        </w:rPr>
        <w:t xml:space="preserve">Рио-де-Жанейро </w:t>
      </w:r>
    </w:p>
    <w:p w:rsidR="00000000" w:rsidRDefault="00000000">
      <w:pPr>
        <w:rPr>
          <w:b/>
          <w:bCs/>
        </w:rPr>
      </w:pPr>
    </w:p>
    <w:p w:rsidR="00000000" w:rsidRDefault="00000000">
      <w:r>
        <w:t>458.</w:t>
      </w:r>
      <w:r>
        <w:tab/>
        <w:t xml:space="preserve">Информацию представил только Верховный суд штата.  Он указал на наличие шести судебных исков, однако отметив при этом, что общее число поданных исков является, возможно, бóльшим, учитывая, что в то время система сбора информации как в столице штата, так и во внутренних его районах была несовершенна.  Поэтому можно предположить, что фактически их было больше. </w:t>
      </w:r>
    </w:p>
    <w:p w:rsidR="00000000" w:rsidRDefault="00000000"/>
    <w:p w:rsidR="00000000" w:rsidRDefault="00000000">
      <w:pPr>
        <w:rPr>
          <w:b/>
          <w:bCs/>
        </w:rPr>
      </w:pPr>
      <w:r>
        <w:rPr>
          <w:b/>
          <w:bCs/>
        </w:rPr>
        <w:t xml:space="preserve">Сержипи </w:t>
      </w:r>
    </w:p>
    <w:p w:rsidR="00000000" w:rsidRDefault="00000000">
      <w:pPr>
        <w:rPr>
          <w:b/>
          <w:bCs/>
        </w:rPr>
      </w:pPr>
    </w:p>
    <w:p w:rsidR="00000000" w:rsidRDefault="00000000">
      <w:r>
        <w:t>459.</w:t>
      </w:r>
      <w:r>
        <w:tab/>
        <w:t>Министерство государственного надзора штата</w:t>
      </w:r>
      <w:r>
        <w:rPr>
          <w:bCs/>
        </w:rPr>
        <w:t xml:space="preserve"> Сержипи</w:t>
      </w:r>
      <w:r>
        <w:t xml:space="preserve"> сообщило, что канцелярия прокурора по защите граждан провела два полицейских расследования по фактам совершения преступлений на почве расизма (одно из них было приостановлено, а затем и прекращено, а по материалам другого был подан уголовный иск, находящийся на рассмотрении).  Кроме того, было возбуждено административное разбирательство, вылившееся в принятие Постановления об урегулировании, согласно которому торговый центр - после того, как в средствах массовой информации был передан рекламный материал, содержащий в себе элементы, нарушающие принципы прав человека, - дал согласие провести компанию по информированию общественности.</w:t>
      </w:r>
    </w:p>
    <w:p w:rsidR="00000000" w:rsidRDefault="00000000"/>
    <w:p w:rsidR="00000000" w:rsidRDefault="00000000">
      <w:r>
        <w:t>460.</w:t>
      </w:r>
      <w:r>
        <w:tab/>
        <w:t>Секретариат по вопросам общественной безопасности представил данные лишь за 1999 год.  Согласно этой информации, было подано 17 судебных исков в связи с предполагаемым совершением актов расизма.</w:t>
      </w:r>
    </w:p>
    <w:p w:rsidR="00000000" w:rsidRDefault="00000000"/>
    <w:p w:rsidR="00000000" w:rsidRDefault="00000000">
      <w:pPr>
        <w:rPr>
          <w:b/>
          <w:bCs/>
        </w:rPr>
      </w:pPr>
      <w:r>
        <w:rPr>
          <w:b/>
          <w:bCs/>
        </w:rPr>
        <w:t>Токантинс</w:t>
      </w:r>
    </w:p>
    <w:p w:rsidR="00000000" w:rsidRDefault="00000000"/>
    <w:p w:rsidR="00000000" w:rsidRDefault="00000000">
      <w:r>
        <w:t>461.</w:t>
      </w:r>
      <w:r>
        <w:tab/>
        <w:t>По заявлению министерства государственного надзора, ему не известно о каких</w:t>
      </w:r>
      <w:r>
        <w:noBreakHyphen/>
        <w:t>либо разбирательствах, проводившихся по факту совершения актов расизма.  Секретариат по вопросам общественной безопасности сообщил о том, что в 1996 году было возбуждено полицейское расследование, материалы которого в том же году были переданы судебным органам штата.  Он также сообщил о возбуждении в 1999 году управлением внутренних дел административного разбирательства, которое все еще продолжается.  Секретариат подтвердил, что в штате не имеется специализированного подразделения, занимающегося вопросами, связанными с совершением актов расизма.</w:t>
      </w:r>
    </w:p>
    <w:p w:rsidR="00000000" w:rsidRDefault="00000000"/>
    <w:p w:rsidR="00000000" w:rsidRDefault="00000000">
      <w:pPr>
        <w:ind w:left="1134" w:hanging="567"/>
        <w:rPr>
          <w:b/>
          <w:bCs/>
        </w:rPr>
      </w:pPr>
      <w:r>
        <w:rPr>
          <w:b/>
          <w:bCs/>
          <w:lang w:val="en-US"/>
        </w:rPr>
        <w:br w:type="page"/>
        <w:t>X</w:t>
      </w:r>
      <w:r>
        <w:rPr>
          <w:b/>
          <w:bCs/>
        </w:rPr>
        <w:t>.</w:t>
      </w:r>
      <w:r>
        <w:rPr>
          <w:b/>
          <w:bCs/>
        </w:rPr>
        <w:tab/>
        <w:t>ВЫВОДЫ, КОММЕНТАРИИ И ПРЕДЛОЖЕНИЯ КОМИТЕТА ПО ЛИКВИДАЦИИ РАСОВОЙ ДИСКРИМИНАЦИИ ПРАВИТЕЛЬСТВУ БРАЗИЛИИ В ОТНОШЕНИИ ДЕСЯТОГО, ОДИННАДЦАТОГО, ДВЕНАДЦАТОГО И ТРИНАДЦАТОГО ПЕРИОДИЧЕСКИХ</w:t>
      </w:r>
    </w:p>
    <w:p w:rsidR="00000000" w:rsidRDefault="00000000">
      <w:pPr>
        <w:ind w:left="1134" w:hanging="567"/>
        <w:rPr>
          <w:b/>
          <w:bCs/>
        </w:rPr>
      </w:pPr>
      <w:r>
        <w:rPr>
          <w:b/>
          <w:bCs/>
        </w:rPr>
        <w:tab/>
        <w:t>ДОКЛАДОВ</w:t>
      </w:r>
    </w:p>
    <w:p w:rsidR="00000000" w:rsidRDefault="00000000"/>
    <w:p w:rsidR="00000000" w:rsidRDefault="00000000">
      <w:r>
        <w:t>462.</w:t>
      </w:r>
      <w:r>
        <w:tab/>
        <w:t>В 1996 году Бразилия представила Комитету по ликвидации расовой дискриминации сводный документ (</w:t>
      </w:r>
      <w:r>
        <w:rPr>
          <w:lang w:val="en-US"/>
        </w:rPr>
        <w:t>CERD</w:t>
      </w:r>
      <w:r>
        <w:t>/</w:t>
      </w:r>
      <w:r>
        <w:rPr>
          <w:lang w:val="en-US"/>
        </w:rPr>
        <w:t>C</w:t>
      </w:r>
      <w:r>
        <w:t>/263/</w:t>
      </w:r>
      <w:r>
        <w:rPr>
          <w:lang w:val="en-US"/>
        </w:rPr>
        <w:t>Add</w:t>
      </w:r>
      <w:r>
        <w:t>.10), содержащий ее десятый, одиннадцатый, двенадцатый и тринадцатый периодические доклады.</w:t>
      </w:r>
    </w:p>
    <w:p w:rsidR="00000000" w:rsidRDefault="00000000"/>
    <w:p w:rsidR="00000000" w:rsidRDefault="00000000">
      <w:r>
        <w:t>463.</w:t>
      </w:r>
      <w:r>
        <w:tab/>
        <w:t>Правительство Бразилии хотело бы отреагировать на сделанные Комитетом замечания и рекомендации, изложенные в документе, который служил - всякий раз, когда это применимо - отправной точкой при принятии государственной политики и рассмотрении проблемы расизма и расовой дискриминации в Бразилии.</w:t>
      </w:r>
    </w:p>
    <w:p w:rsidR="00000000" w:rsidRDefault="00000000"/>
    <w:p w:rsidR="00000000" w:rsidRDefault="00000000">
      <w:r>
        <w:t>464.</w:t>
      </w:r>
      <w:r>
        <w:tab/>
        <w:t>К числу основных моментов, затронутых Комитетом в вышеупомянутом документе, относятся следующие:</w:t>
      </w:r>
    </w:p>
    <w:p w:rsidR="00000000" w:rsidRDefault="00000000"/>
    <w:p w:rsidR="00000000" w:rsidRDefault="00000000">
      <w:pPr>
        <w:ind w:left="567" w:hanging="567"/>
      </w:pPr>
      <w:r>
        <w:tab/>
        <w:t>"Он выражает сожаление по поводу того, что в представленном докладе содержится мало конкретных сведений о применении Конвенции на практике.  В этой связи Комитет принимает к сведению заявление делегации по поводу того, что государство-участник намерено продолжить этот диалог в ближайшем будущем и сообщить ему более обширную информацию о мерах, принятых в целях осуществления Конвенции" (пункт 2).</w:t>
      </w:r>
    </w:p>
    <w:p w:rsidR="00000000" w:rsidRDefault="00000000">
      <w:pPr>
        <w:ind w:left="567" w:hanging="567"/>
      </w:pPr>
    </w:p>
    <w:p w:rsidR="00000000" w:rsidRDefault="00000000">
      <w:r>
        <w:t>465.</w:t>
      </w:r>
      <w:r>
        <w:tab/>
        <w:t>В своем ответе правительство Бразилии указало, что, сводя воедино в рамках настоящего доклада четырнадцатый, пятнадцатый, шестнадцатый и семнадцатый периодические доклады по Конвенции, оно стремилось расширить объем представляемой информации и дать ее более развернутый и обстоятельный анализ.  В этой связи правительство надеется, что данный текст позволит составить более четкое и верное представление о положении с осуществлением Конвенции в Бразилии, а также о достигнутом прогрессе и о сохраняющихся трудностях в деле гарантирования, поощрения и защиты прав, закрепленных в Конвенции.</w:t>
      </w:r>
    </w:p>
    <w:p w:rsidR="00000000" w:rsidRDefault="00000000"/>
    <w:p w:rsidR="00000000" w:rsidRDefault="00000000">
      <w:r>
        <w:t>466.</w:t>
      </w:r>
      <w:r>
        <w:tab/>
        <w:t>В пункте 3 документа Комитетом отмечается:</w:t>
      </w:r>
    </w:p>
    <w:p w:rsidR="00000000" w:rsidRDefault="00000000"/>
    <w:p w:rsidR="00000000" w:rsidRDefault="00000000">
      <w:pPr>
        <w:ind w:left="567" w:hanging="567"/>
      </w:pPr>
      <w:r>
        <w:tab/>
        <w:t>"Комитет принимает к сведению тот факт, что государство-участник не сделало заявления, предусмотренного статьей 14 Конвенции, в связи с чем некоторые члены Комитета просили его рассмотреть возможность такого заявления".</w:t>
      </w:r>
    </w:p>
    <w:p w:rsidR="00000000" w:rsidRDefault="00000000">
      <w:pPr>
        <w:ind w:left="567" w:hanging="567"/>
      </w:pPr>
    </w:p>
    <w:p w:rsidR="00000000" w:rsidRDefault="00000000">
      <w:r>
        <w:t>467.</w:t>
      </w:r>
      <w:r>
        <w:tab/>
        <w:t>В качестве ответа правительство Бразилии хотело бы проинформировать Комитет о том, что - в соответствии с его рекомендацией и в ответ на требования представителей бразильского гражданского общества - оно препроводило Организации Объединенных Наций факультативное заявление, предусмотренное в статье 14 Конвенции.  Правительство страны полагает, что данный шаг будет способствовать усилению борьбы против расизма и дискриминации в Бразилии.</w:t>
      </w:r>
    </w:p>
    <w:p w:rsidR="00000000" w:rsidRDefault="00000000"/>
    <w:p w:rsidR="00000000" w:rsidRDefault="00000000">
      <w:r>
        <w:t>468.</w:t>
      </w:r>
      <w:r>
        <w:tab/>
        <w:t>В замечаниях Комитета относительно факторов и трудностей, препятствующих осуществлению Конвенции (пункт 4) указывается:</w:t>
      </w:r>
    </w:p>
    <w:p w:rsidR="00000000" w:rsidRDefault="00000000"/>
    <w:p w:rsidR="00000000" w:rsidRDefault="00000000">
      <w:pPr>
        <w:ind w:left="567" w:hanging="567"/>
      </w:pPr>
      <w:r>
        <w:tab/>
        <w:t>"Комитет признает, что Бразилия - это страна, которая имеет весьма большую территорию и численность населения и которая в течение последнего десятилетия прошла через стадию глубоких политических, экономических и социальных преобразований.  Несмотря на многочисленные структурные, политические, экономические и социальные реформы, властям не удалось приостановить хронический процесс обнищания, что привело к еще большим диспропорциям в социальной сфере, затрагивающим прежде всего чернокожих, индейцев и метисов, и способствовало возникновению обстановки насилия".</w:t>
      </w:r>
    </w:p>
    <w:p w:rsidR="00000000" w:rsidRDefault="00000000">
      <w:pPr>
        <w:ind w:left="567" w:hanging="567"/>
      </w:pPr>
    </w:p>
    <w:p w:rsidR="00000000" w:rsidRDefault="00000000">
      <w:r>
        <w:t>469.</w:t>
      </w:r>
      <w:r>
        <w:tab/>
        <w:t>В своем ответе правительство Бразилии заявило, что оно уделяет проблеме нищеты особое внимание.  Данный вопрос носит комплексный характер, и в этой связи уместно рассмотреть некоторые элементы в связи с предпринимаемыми правительством страны и бразильским обществом соответствующими усилиями.</w:t>
      </w:r>
    </w:p>
    <w:p w:rsidR="00000000" w:rsidRDefault="00000000"/>
    <w:p w:rsidR="00000000" w:rsidRDefault="00000000">
      <w:r>
        <w:t>470.</w:t>
      </w:r>
      <w:r>
        <w:tab/>
        <w:t>Перед Бразилией стоит проблема "социального дефицита", которую правительство, активно задействуя при этом общественные организации, стремится разрешить.  Направляя свои усилия на преодоление бедности и ее последствий, которые сказываются на наиболее уязвимых слоях населения, необходимо, прежде всего, признать, что предстоит сделать еще очень много, хотя, в то же время, многое уже сделано за последние годы.  Эти достижения, в свою очередь, привели к положительным результатам, которые вкратце мы хотели бы изложить в настоящем разделе сводного доклада, представленного Комитету.</w:t>
      </w:r>
    </w:p>
    <w:p w:rsidR="00000000" w:rsidRDefault="00000000"/>
    <w:p w:rsidR="00000000" w:rsidRDefault="00000000">
      <w:r>
        <w:t>471.</w:t>
      </w:r>
      <w:r>
        <w:tab/>
        <w:t xml:space="preserve">При рассмотрении данного вопроса не будет преувеличением сказать, что бразильцы испытывают общую озабоченность в связи с тем нежелательным воздействием, которое международная обстановка оказывает на проблему права на питание в Бразилии.  В этой связи важно подчеркнуть, что правительство Бразилии разделяет выражаемую обществом обеспокоенность по поводу того негативного воздействия, которое нынешняя обстановка оказывает на жизненно важные аспекты прав человека, в том числе те, которые прямо или косвенно связаны с проблемой бедности и нищеты. </w:t>
      </w:r>
    </w:p>
    <w:p w:rsidR="00000000" w:rsidRDefault="00000000"/>
    <w:p w:rsidR="00000000" w:rsidRDefault="00000000">
      <w:r>
        <w:t>472.</w:t>
      </w:r>
      <w:r>
        <w:tab/>
        <w:t>Мы утверждали, что в дополнение к тем коррективам, которые требуются на внутреннем фронте борьбы, должны быть приняты меры и на международном уровне, с тем чтобы предвосхитить наступление нежелательных воздействий, снизить их силу и обеспечить компенсацию в связи с теми нежелательными последствиями, которые сохраняющиеся проблемы и продолжающиеся глобальные изменения - независимо о того, носят они структурный характер или возникают по причине более широких циклических тенденций, - оказывают на права человека в их различных аспектах.  Борьба с бедностью и нищетой в различных их аспектах должна быть включена в повестку дня международного сообщества.</w:t>
      </w:r>
    </w:p>
    <w:p w:rsidR="00000000" w:rsidRDefault="00000000">
      <w:pPr>
        <w:ind w:left="567" w:hanging="567"/>
      </w:pPr>
    </w:p>
    <w:p w:rsidR="00000000" w:rsidRDefault="00000000">
      <w:r>
        <w:t>473.</w:t>
      </w:r>
      <w:r>
        <w:tab/>
        <w:t>В 2003 году Бразилия представила Комитету по экономическим, социальным и культурным правам документ (</w:t>
      </w:r>
      <w:r>
        <w:rPr>
          <w:lang w:val="en-US"/>
        </w:rPr>
        <w:t>E</w:t>
      </w:r>
      <w:r>
        <w:t>/1990/5/</w:t>
      </w:r>
      <w:r>
        <w:rPr>
          <w:lang w:val="en-US"/>
        </w:rPr>
        <w:t>Add</w:t>
      </w:r>
      <w:r>
        <w:t>.53), который правительство страны хотело бы сейчас передать Комитету по ликвидации расовой дискриминации и где содержится более обстоятельная информация о предпринятых усилиях по борьбе с нищетой.</w:t>
      </w:r>
    </w:p>
    <w:p w:rsidR="00000000" w:rsidRDefault="00000000"/>
    <w:p w:rsidR="00000000" w:rsidRDefault="00000000">
      <w:r>
        <w:t>474.</w:t>
      </w:r>
      <w:r>
        <w:tab/>
        <w:t>На внутреннем фронте правительство еще раз подтвердило свою приверженность делу борьбы с бедностью и нищетой.  В 1995 году на высшем уровне была создана организация под названием Совет по делам обособленных общин при президенте Республики.  Эта новая организация призвана стать центром по координации действий правительства, направленных на борьбу с бедностью и нищетой.</w:t>
      </w:r>
    </w:p>
    <w:p w:rsidR="00000000" w:rsidRDefault="00000000"/>
    <w:p w:rsidR="00000000" w:rsidRDefault="00000000">
      <w:r>
        <w:t>475.</w:t>
      </w:r>
      <w:r>
        <w:tab/>
        <w:t>Стратегия борьбы с бедностью и нищетой, реализуемая Исполнительным секретариатом по делам обособленных общин, была сформулирована на основе предшествующих экспериментов, в особенности тех, которые связаны с обеспечением продуктами питания.</w:t>
      </w:r>
    </w:p>
    <w:p w:rsidR="00000000" w:rsidRDefault="00000000"/>
    <w:p w:rsidR="00000000" w:rsidRDefault="00000000">
      <w:r>
        <w:t>476.</w:t>
      </w:r>
      <w:r>
        <w:tab/>
        <w:t>Главным направлением этой стратегии является борьба с голодом и нищетой в рамках реализации валютного стабилизационного плана на основе комплекса мер, согласованных и поддерживаемых государственными/общественными компаниями.  С этой целью был намечен целый ряд программ, выбранных по результатам их воздействия на улучшение условий жизни беднейших слоев населения.</w:t>
      </w:r>
    </w:p>
    <w:p w:rsidR="00000000" w:rsidRDefault="00000000"/>
    <w:p w:rsidR="00000000" w:rsidRDefault="00000000">
      <w:r>
        <w:t>477.</w:t>
      </w:r>
      <w:r>
        <w:tab/>
        <w:t>В этих программах в общих чертах определены шесть основных целей:  а)  снизить детскую смертность;  b)  улучшить продовольственное положение учащихся и нуждающихся семей;  c)  поддерживать программы улучшения санитарных условий и жилищного строительства, особенно в том, что касается малоимущих слоев населения;  d)  поощрять семейные фермерские хозяйства и оказывать поддержку поселениям сельских рабочих;  e)  поддерживать развитие начального образования;  f)  создавать рабочие места, обеспечивать людям возможность получения доходов и способствовать приобретению ими профессиональной квалификации.  Правительство уделило этим мерам особое внимание, поставив на них "печать приоритетности", с тем чтобы сделать их более эффективными и действенными.  Данная стратегия также предусматривает интеграцию и мобилизацию этих мер в тех географических районах, где отмечается наибольшая концентрация бедности и нищеты.</w:t>
      </w:r>
    </w:p>
    <w:p w:rsidR="00000000" w:rsidRDefault="00000000"/>
    <w:p w:rsidR="00000000" w:rsidRDefault="00000000">
      <w:r>
        <w:t>478.</w:t>
      </w:r>
      <w:r>
        <w:tab/>
        <w:t>Начиная с 1999 года Совет по делам обособленных общин претерпел изменения:  его первоначальные обязанности по координации и интеграции мер, направленных на борьбу с бедностью и нищетой в районах  крайней социальной уязвимости, перешли к другой организации под названием "Проект Альворада" (</w:t>
      </w:r>
      <w:r>
        <w:rPr>
          <w:i/>
        </w:rPr>
        <w:t>Projeto Alvorada</w:t>
      </w:r>
      <w:r>
        <w:t>).  Перед Советом по делам обособленных общин была поставлена другая задача - через "активные общины" (</w:t>
      </w:r>
      <w:r>
        <w:rPr>
          <w:i/>
        </w:rPr>
        <w:t>Comunidade Ativa</w:t>
      </w:r>
      <w:r>
        <w:t xml:space="preserve">) поощрять проведение местных экспериментов в области комплексного и устойчивого развития и поддерживать новаторские инициативы, предпринимаемые государственными/общественными компаниями. </w:t>
      </w:r>
    </w:p>
    <w:p w:rsidR="00000000" w:rsidRDefault="00000000"/>
    <w:p w:rsidR="00000000" w:rsidRDefault="00000000">
      <w:r>
        <w:t>479.</w:t>
      </w:r>
      <w:r>
        <w:tab/>
        <w:t xml:space="preserve">В стратегии федерального правительства по борьбе с бедностью и нищетой главным звеном является проект Альворада, координируемый силами Государственного секретариата по делам оказания социальной помощи министерства социального обеспечения и вспомоществования.  Цель проекта - обеспечить единство и координацию различных государственных мер и программ, особенно в областях здравоохранения, образования и стимулирования доходов, с помощью которых можно будет решить задачу улучшения условий жизни нуждающихся слоев населения, проживающих в беднейших районах страны.  Для выполнения этой стратегической задачи федеральное правительство провело анализ существующих программ, реализуемых по линии различных министерств, и тех программ, которые могли бы оказаться существенно важными для повышения жизненного уровня населения. </w:t>
      </w:r>
    </w:p>
    <w:p w:rsidR="00000000" w:rsidRDefault="00000000"/>
    <w:p w:rsidR="00000000" w:rsidRDefault="00000000">
      <w:r>
        <w:t>480.</w:t>
      </w:r>
      <w:r>
        <w:tab/>
        <w:t xml:space="preserve">В рамках проекта Альворада те программы, которым отдается наивысший приоритет, получают дополнительную финансовую поддержку и обеспечиваются интенсивной структурой управления.  На первом этапе осуществления проекта были определены 14 штатов Бразилии, где </w:t>
      </w:r>
      <w:r>
        <w:rPr>
          <w:bCs/>
        </w:rPr>
        <w:t>индекс человеческого развития (ИЧР)</w:t>
      </w:r>
      <w:r>
        <w:t xml:space="preserve"> ниже среднего.  Таковыми являются штаты Акри, Алагоас, Баия, Сеара, Мараньян, Пара, Парайба, Пернамбуку, Пиауи, Риу-Гранди-ду-Норти, Рондония, Рорайма, Сержипи и Токантинс.  По "Плану оказания поддержки штатам с самым низким уровнем </w:t>
      </w:r>
      <w:r>
        <w:rPr>
          <w:bCs/>
        </w:rPr>
        <w:t>индекса человеческого развития</w:t>
      </w:r>
      <w:r>
        <w:t xml:space="preserve">" помощь должны будут получить 31 миллион нуждающихся граждан в 1 796 городах.  На втором этапе осуществления проекта, обозначенном как "План создания основной инфраструктуры для бедных микрорайонов и городов", были определены такие микрорайоны и города в штатах страны, где </w:t>
      </w:r>
      <w:r>
        <w:rPr>
          <w:bCs/>
        </w:rPr>
        <w:t>ИЧР не превышает средний общенациональный показатель</w:t>
      </w:r>
      <w:r>
        <w:t>.  Таковыми являются:  Амазонас, Амапа, Эспириту-Санту, Гояс, Минас-Жерайс, Мату-Гросу, Парана, Риу-Гранди-ду-Сул  и Сан-Паулу.  В данном случае помощь должны будут получить 5 миллионов неимущих.</w:t>
      </w:r>
    </w:p>
    <w:p w:rsidR="00000000" w:rsidRDefault="00000000"/>
    <w:p w:rsidR="00000000" w:rsidRDefault="00000000">
      <w:r>
        <w:t>481.</w:t>
      </w:r>
      <w:r>
        <w:tab/>
        <w:t>Общая сумма, выделенная на осуществление приоритетных федеральных программ по проекту</w:t>
      </w:r>
      <w:r>
        <w:rPr>
          <w:i/>
        </w:rPr>
        <w:t xml:space="preserve"> </w:t>
      </w:r>
      <w:r>
        <w:rPr>
          <w:iCs/>
        </w:rPr>
        <w:t xml:space="preserve">Альворада </w:t>
      </w:r>
      <w:r>
        <w:t xml:space="preserve">в 2000-2002 годах, составила 13,2 млрд. реалов.  И, наконец, в порядке обеспечения эффективного и адресного выделения средств, была учреждена программа "Альворада Порталь", целью которой является регистрация бедных семей в 23 штатах, охватываемых </w:t>
      </w:r>
      <w:r>
        <w:rPr>
          <w:i/>
        </w:rPr>
        <w:t>Projeto Alvorada</w:t>
      </w:r>
      <w:r>
        <w:t>.</w:t>
      </w:r>
    </w:p>
    <w:p w:rsidR="00000000" w:rsidRDefault="00000000"/>
    <w:p w:rsidR="00000000" w:rsidRDefault="00000000">
      <w:r>
        <w:t>482.</w:t>
      </w:r>
      <w:r>
        <w:tab/>
        <w:t xml:space="preserve">За счет реализации </w:t>
      </w:r>
      <w:r>
        <w:rPr>
          <w:i/>
        </w:rPr>
        <w:t>Projeto Alvorada</w:t>
      </w:r>
      <w:r>
        <w:t xml:space="preserve"> федеральное правительство стремится обеспечить осуществление права на достаточное питание.  Для этого оно предоставляет семьям с низким доходом общественные блага и услуги, которые, вместе взятые, способны гарантировать доступность продуктов питания для каждого человека и его семьи.</w:t>
      </w:r>
    </w:p>
    <w:p w:rsidR="00000000" w:rsidRDefault="00000000"/>
    <w:p w:rsidR="00000000" w:rsidRDefault="00000000">
      <w:r>
        <w:t>483.</w:t>
      </w:r>
      <w:r>
        <w:tab/>
        <w:t>Наиболее значительным проявлением бедности является голод.  Голод, который господствует в Бразилии, представляет собой, по сути, проблему не столько наличия продуктов питания, сколько доступа к ним.  Продуктов питания в стране производится в количестве, более чем достаточном для обеспечения нужд населения.  Однако обеспечить справедливое распределение продуктов питания оказывается невозможным.  В действительности, согласно данным Продовольственной и сельскохозяйственной организации Объединенных Наций (ФАО)</w:t>
      </w:r>
      <w:r>
        <w:rPr>
          <w:rStyle w:val="FootnoteReference"/>
        </w:rPr>
        <w:footnoteReference w:customMarkFollows="1" w:id="5"/>
        <w:t>4</w:t>
      </w:r>
      <w:r>
        <w:t>, количество продуктов питания в стране обеспечивает 2 960 килокалорий на человека в сутки, что значительно превышает рекомендуемый минимальный суточный уровень, равный 1 900 килокалориям.</w:t>
      </w:r>
    </w:p>
    <w:p w:rsidR="00000000" w:rsidRDefault="00000000"/>
    <w:p w:rsidR="00000000" w:rsidRDefault="00000000">
      <w:r>
        <w:t>484.</w:t>
      </w:r>
      <w:r>
        <w:tab/>
        <w:t>Кроме того, неравенство в распределении продуктов питания является отражением неравенства в распределении доходов.  Разрыв между богатыми и бедными в Бразилии огромный.  Более того, в последние десятилетия этот разрыв оставался неизменным.  Например, в период 1997-1999 годов коэффициент Джини оставался, за некоторыми исключениями, на уровне порядка 0,60 - т.е. был чуть ли не самым высоким в мире.  Иными словами, наблюдается некое явление искаженной симметрии, когда 10% богатейших граждан контролируют 50% общего семейного дохода и, в зеркальном отражении, 50% беднейших граждан контролируют лишь 10% национального дохода страны.  Кроме того, средние доходы 10% богатейших граждан в 22-31 раз превышают суммы среднего дохода 40% беднейших слоев населения Бразилии.</w:t>
      </w:r>
    </w:p>
    <w:p w:rsidR="00000000" w:rsidRDefault="00000000"/>
    <w:p w:rsidR="00000000" w:rsidRDefault="00000000">
      <w:r>
        <w:t>485.</w:t>
      </w:r>
      <w:r>
        <w:tab/>
        <w:t>Изменение такого положение дел, сложившегося в стране в течение столетий по причине наличия особой структуры социального строя, является главной задачей, стоящей перед страной, поскольку это требует глубоких перемен в системе распределения производственных активов.  Не было ни одного демократического общества,  основанного на рыночной экономике, на долю которого выпала бы необходимость решения в сжатые сроки столь грандиозной задачи.  Важно, однако, подчеркнуть, что макроэкономические и социальные меры, принятые федеральным правительством в последние годы, значительно способствовали снижению уровня бедности и голода в Бразилии, даже несмотря на то, что эти меры не оказали пока воздействия на структуру распределения доходов в стране.</w:t>
      </w:r>
    </w:p>
    <w:p w:rsidR="00000000" w:rsidRDefault="00000000"/>
    <w:p w:rsidR="00000000" w:rsidRDefault="00000000">
      <w:r>
        <w:t>486.</w:t>
      </w:r>
      <w:r>
        <w:tab/>
        <w:t>Среди прочих достижений, эти меры обеспечили реальное увеличение семейного дохода на душу населения и такое увеличение цен на продукты питания, которое осталось ниже общего темпа инфляции, что привело впоследствии к снижению уровня бедности и нищеты как в абсолютном, так и в относительном выражении.  В 1990 году бедняки составляли 44% населения Бразилии, т.е. 63 миллиона человек.  К концу десятилетия число бедняков снизилось до 32% (до 54 миллионов человек).  За этот период также значительно снизилось число людей, пребывающих в крайней бедности и нищете.  В 1990 году доля жителей страны, доходы которых были недостаточны для того, чтобы прокормить самих себя, составляла 21% (31 миллион человек).  В 1999 году этот показатель снизился до 13% (21 миллион человек).  Следует заметить, что такое снижение имело место во всех регионах страны, в том числе в сельских и городских районах.</w:t>
      </w:r>
    </w:p>
    <w:p w:rsidR="00000000" w:rsidRDefault="00000000"/>
    <w:p w:rsidR="00000000" w:rsidRDefault="00000000">
      <w:r>
        <w:t>487.</w:t>
      </w:r>
      <w:r>
        <w:tab/>
        <w:t>Необходимо отметить, что определение бедности и нищеты трактуется весьма произвольно, поэтому результаты исчисления общей численности и цифры соотношения людей бедных и людей, живущих в нищете, тоже весьма произвольны.  Если определять уровень бедности от черты бедности и нищеты, то количество людей бедных и людей, пребывающих в нищете, явно возрастает.  Каждый институт и каждый исследователь использует предпочтительный для него уровень бедности, или тот, который он считает наиболее подходящим.  По этой причине очень часто возникают ожесточенные споры относительно "истинных" цифр числа людей бедных и людей, живущих в условиях нищеты.</w:t>
      </w:r>
    </w:p>
    <w:p w:rsidR="00000000" w:rsidRDefault="00000000"/>
    <w:p w:rsidR="00000000" w:rsidRDefault="00000000">
      <w:r>
        <w:t>488.</w:t>
      </w:r>
      <w:r>
        <w:tab/>
        <w:t>Международные организации, такие, как ПРООН и Всемирный банк, считают чертой бедности 2 долл. США при паритете покупательной способности на человека в день, а чертой нищеты - 1 долл. США при паритете покупательной способности на человека в день.  Черта бедности и черта нищеты, используемые в настоящем докладе, соответствуют методологии, разработанной Институтом прикладных экономических исследований (</w:t>
      </w:r>
      <w:r>
        <w:rPr>
          <w:bCs/>
        </w:rPr>
        <w:t>ИПЭИ)</w:t>
      </w:r>
      <w:r>
        <w:t>.  Эта методология определяет черты региональной бедности и нищеты от минимальной суммы 68 реалов до максимальной суммы 126 реалов на человека в месяц.</w:t>
      </w:r>
    </w:p>
    <w:p w:rsidR="00000000" w:rsidRDefault="00000000"/>
    <w:p w:rsidR="00000000" w:rsidRDefault="00000000">
      <w:r>
        <w:t>489.</w:t>
      </w:r>
      <w:r>
        <w:tab/>
        <w:t>Таким образом, черта бедности привязана к стоимости продовольственной корзины, которая определяется на региональной основе и учитывает минимальное количество калорий, необходимое человеку.  Черта бедности рассчитывается как число, кратное черте нищеты, в котором расходы на продукты питания считаются частью общих минимальных расходов, включающих в себя, помимо прочего, стоимость одежды, жилья и расходы на транспорт.  Черта нищеты соответствует доходу семьи на человека за каждый год, который обеспечивает уровень минимального дохода, необходимый для обеспечения основных потребностей человека.  Черта бедности и черта нищеты являются, таким образом, параметрами, которые позволяют классифицировать всех людей, живущих ниже уровня этих черт, как людей бедных и людей, пребывающих в нищете.</w:t>
      </w:r>
    </w:p>
    <w:p w:rsidR="00000000" w:rsidRDefault="00000000"/>
    <w:p w:rsidR="00000000" w:rsidRDefault="00000000">
      <w:r>
        <w:t>490.</w:t>
      </w:r>
      <w:r>
        <w:tab/>
        <w:t>Следует заметить, что стандарты, разработанные ИПЭИ, дают цифры уровня бедности и нищеты, превышающие почти в два раза цифры, получающиеся при использовании методики, предложенной, например, ПРООН и Всемирным банком.  Здесь необходимо подчеркнуть, что если целью является прослеживание эволюции уровней бедности и нищеты, очень важно, чтобы анализ проводился последовательно по времени, т.е. чтобы в течение всего времени применялись одни и те же стандарты.  Снижение уровня нищеты в 1990-х годах, т.е. уменьшение масштабов голода в Бразилии, подтверждается двумя другими параметрами - показателями недостаточности питания и смертности детей в младенческом возрасте.</w:t>
      </w:r>
    </w:p>
    <w:p w:rsidR="00000000" w:rsidRDefault="00000000"/>
    <w:p w:rsidR="00000000" w:rsidRDefault="00000000">
      <w:r>
        <w:t>491.</w:t>
      </w:r>
      <w:r>
        <w:tab/>
        <w:t>Эти два показателя дают нам благоприятную картину качества жизни детей и их семей.  По данным министерства здравоохранения, случаев недостаточности питания среди детей в возрасте до пяти лет в период 1989-1996 годов</w:t>
      </w:r>
      <w:r>
        <w:rPr>
          <w:rStyle w:val="FootnoteReference"/>
        </w:rPr>
        <w:footnoteReference w:customMarkFollows="1" w:id="6"/>
        <w:t>5</w:t>
      </w:r>
      <w:r>
        <w:t xml:space="preserve"> стало меньше на 33%, и общий процент их снизился за это время с 15,7% до 10,5%.  В 1990-х годах детская смертность сократилась на 32%.  В 1990 году уровень детской смертности составлял 48,3 случаев на каждую тысячу живорождений, а в 2001 году эта цифра снизилась до 32,7.  Что касается причин смерти детей в младенческом возрасте (до одного года), то следует отметить, что наиболее значительно сократилось число смертельных исходов по причине диареи и острых респираторных инфекций, что указывает на положительный эффект мер по улучшению общих санитарных условий, по проведению массовой вакцинации и усилий по предоставлению основных услуг системы здравоохранения.</w:t>
      </w:r>
    </w:p>
    <w:p w:rsidR="00000000" w:rsidRDefault="00000000"/>
    <w:p w:rsidR="00000000" w:rsidRDefault="00000000">
      <w:r>
        <w:t>492.</w:t>
      </w:r>
      <w:r>
        <w:tab/>
        <w:t>Улучшение социальных показателей наблюдается и в сфере образования.  В рассматриваемый период произошло снижение уровня неграмотности примерно на 27% среди людей в возрасте от 15 лет и старше.  Число случаев использования труда детей и подростков в возрасте от 10 до 14 лет снизилось с 18,5% в 1992 году до 12,3% в 1999 году.</w:t>
      </w:r>
    </w:p>
    <w:p w:rsidR="00000000" w:rsidRDefault="00000000"/>
    <w:p w:rsidR="00000000" w:rsidRDefault="00000000">
      <w:r>
        <w:t>493.</w:t>
      </w:r>
      <w:r>
        <w:tab/>
        <w:t>Меры, принимаемые в целях повышения занятости и увеличения доходов населения, а также в отношении предоставления микрокредитов, имеют своей целью создание рабочих мест и повышение возможностей получения доходов экономически активной частью населения.  Эти меры также направлены на предоставление пособий по безработице и на обеспечение профессионального обучения рабочих.</w:t>
      </w:r>
    </w:p>
    <w:p w:rsidR="00000000" w:rsidRDefault="00000000"/>
    <w:p w:rsidR="00000000" w:rsidRDefault="00000000">
      <w:r>
        <w:t>494.</w:t>
      </w:r>
      <w:r>
        <w:tab/>
        <w:t xml:space="preserve">Усилия государства также направляются на проведение аграрной реформы и укрепление семейных фермерских хозяйств.  Эти меры касаются огромной части населения Бразилии, прежде всего в тех районах, где люди больше всего страдают от бедности и нищеты. </w:t>
      </w:r>
    </w:p>
    <w:p w:rsidR="00000000" w:rsidRDefault="00000000"/>
    <w:p w:rsidR="00000000" w:rsidRDefault="00000000">
      <w:r>
        <w:t>495.</w:t>
      </w:r>
      <w:r>
        <w:tab/>
        <w:t>В то же время было реализовано значительное число программ, направленных на перераспределение доходов и имеющих значительный социально-экономический эффект, особенно в том, что касается ликвидации бедности и нищеты среди бенефициаров и их семей.</w:t>
      </w:r>
    </w:p>
    <w:p w:rsidR="00000000" w:rsidRDefault="00000000"/>
    <w:p w:rsidR="00000000" w:rsidRDefault="00000000">
      <w:r>
        <w:t>496.</w:t>
      </w:r>
      <w:r>
        <w:tab/>
        <w:t>Касаясь вопроса об обеспечении занятости и стимулировании доходов, следует заметить, что рынок труда Бразилии насчитывает в общей сложности 77 миллионов человек, бóльшая часть которых приходится на городские районы (77,3%).  За последние годы такая раскладка претерпела значительные изменения, и теперь налицо признаки того, что условия работы и трудовые отношения будут носить все более неустойчивый характер.</w:t>
      </w:r>
    </w:p>
    <w:p w:rsidR="00000000" w:rsidRDefault="00000000"/>
    <w:p w:rsidR="00000000" w:rsidRDefault="00000000">
      <w:r>
        <w:t>497.</w:t>
      </w:r>
      <w:r>
        <w:tab/>
        <w:t>За последние годы безработица значительно выросла - с 5% в 1994 году до 7,7% в 2001 году.  Среднее время, в течение которого безработный не находит работы, увеличилось с 11,8 недель в 1991 году до 22,8 недель в 2001 году.  Точно так же, те рабочие места, которые создаются сегодня, как правило, либо не связаны с наличием "трудовой книжки" (т.е. не подпадают под соответствующее законодательство), либо предполагают независимую работу, на деле означающую увеличение числа предприятий неформального сектора.  Сегодня защищенные рабочие места с гарантированной заработной платой, именуемые "рабочие места с трудовой книжкой", имеют менее половины работающих, чье количество на рынке труда продолжает сокращаться.</w:t>
      </w:r>
    </w:p>
    <w:p w:rsidR="00000000" w:rsidRDefault="00000000"/>
    <w:p w:rsidR="00000000" w:rsidRDefault="00000000">
      <w:r>
        <w:t>498.</w:t>
      </w:r>
      <w:r>
        <w:tab/>
        <w:t>Следует заметить, что почти все правительственные ресурсы и меры, направленные на создание рабочих мест и на стимулирование доходов, касаются только лиц, имеющих трудовую книжку.  Это относится и к страхованию по безработице, и к гарантированной заработной плате, и к большей части программ в области профессионального обучения и посредничества.  В свете всех этих обстоятельств единственная альтернатива, имеющаяся для различных сегментов неформального сектора в плане обеспечения работой и стимулирования дохода, ограничена, в основном, микрокредитом, который обеспечивается частично</w:t>
      </w:r>
      <w:r>
        <w:rPr>
          <w:bCs/>
        </w:rPr>
        <w:t xml:space="preserve"> по линии Программы создания рабочих мест и стимулирования доходов</w:t>
      </w:r>
      <w:r>
        <w:rPr>
          <w:b/>
          <w:bCs/>
        </w:rPr>
        <w:t xml:space="preserve"> </w:t>
      </w:r>
      <w:r>
        <w:rPr>
          <w:bCs/>
        </w:rPr>
        <w:t>(ПРОДЖЕР) и в виде помощи, предоставляемой семейным фермерским хозяйствам.</w:t>
      </w:r>
    </w:p>
    <w:p w:rsidR="00000000" w:rsidRDefault="00000000"/>
    <w:p w:rsidR="00000000" w:rsidRDefault="00000000">
      <w:pPr>
        <w:rPr>
          <w:bCs/>
        </w:rPr>
      </w:pPr>
      <w:r>
        <w:t>499.</w:t>
      </w:r>
      <w:r>
        <w:tab/>
        <w:t xml:space="preserve">Ухудшение положения на рынке труда в Бразилии в 1990-х годах можно объяснить двумя основными причинами.  Во-первых, бразильские рабочие недостаточно квалифицированы для того, чтобы соответствовать требованиям века модернизации, связанной со структурными преобразованиями, которые произошли в Бразилии и в остальном мире.  Одним из принципиальных шагов, предпринятых государством для решения этой проблемы, явилось решение разработать в середине 1990-х годов </w:t>
      </w:r>
      <w:r>
        <w:rPr>
          <w:bCs/>
        </w:rPr>
        <w:t>Национальный план профессиональной подготовки (ПЛАНФОР).</w:t>
      </w:r>
    </w:p>
    <w:p w:rsidR="00000000" w:rsidRDefault="00000000"/>
    <w:p w:rsidR="00000000" w:rsidRDefault="00000000">
      <w:r>
        <w:t>500.</w:t>
      </w:r>
      <w:r>
        <w:tab/>
        <w:t>С другой стороны, увеличивающийся разрыв между формальным и неформальным секторами еще более обострился в связи с принятием в стране трудового законодательства, которое возводит различные преграды для найма, оформления рабочих и даже для их увольнения, повышая, таким образом, затраты, связанные с формальным сектором (с его твердым окладом), и, в сущности, приводя к сокращению вновь создаваемых рабочих мест.  Для снятия этих ограничений было предложено принять ряд поправок к существующему трудовому законодательству, которые позволят обеспечить бóльшую гибкость в этой сфере.  Кроме того, здесь важно подчеркнуть, что ключевым моментом предложенной в 1998/99 году реформы системы социального обеспечения явилось предложение сократить налог на заработную плату, выплачиваемый рабочими с твердым окладом, и подоходный налог, выплачиваемый рабочими, работающими не по найму.  Цель этого предложения заключалась в том, чтобы привести в соответствие налоговое бремя двух этих групп и устранить "анти-формальный" перекос в системе социального обеспечения.</w:t>
      </w:r>
    </w:p>
    <w:p w:rsidR="00000000" w:rsidRDefault="00000000"/>
    <w:p w:rsidR="00000000" w:rsidRDefault="00000000">
      <w:r>
        <w:t>501.</w:t>
      </w:r>
      <w:r>
        <w:tab/>
        <w:t xml:space="preserve">Ниже перечислены некоторые из государственных программ, принятых к исполнению в сфере найма и доходов.  </w:t>
      </w:r>
      <w:r>
        <w:rPr>
          <w:bCs/>
        </w:rPr>
        <w:t>На основании резолюции № 59/94 Консультативного совета Фонда поддержки трудящихся (КОДЕФАТ) была официально введена в действие Программа создания рабочих мест и стимулирования доходов</w:t>
      </w:r>
      <w:r>
        <w:rPr>
          <w:b/>
          <w:bCs/>
        </w:rPr>
        <w:t xml:space="preserve"> </w:t>
      </w:r>
      <w:r>
        <w:rPr>
          <w:bCs/>
        </w:rPr>
        <w:t>(ПРОДЖЕР).</w:t>
      </w:r>
      <w:r>
        <w:t xml:space="preserve">  Программой поставлены три основные цели:  а)  обеспечить предоставление кредитов секторам, традиционно имеющим ограниченный доступ к финансовой системе, или не имеющим его совсем, способствуя, таким образом, обеспечению занятости и стимулированию доходов посредством создания новых производственных предприятий и стимулирования существующих предприятий;  b)  способствовать организации предприятий неформального сектора таким образом, чтобы быть готовыми перейти в формальный сектор;  c)  дать возможность предприятиям, финансируемым по линии этой Программы, обеспечивать себя.</w:t>
      </w:r>
    </w:p>
    <w:p w:rsidR="00000000" w:rsidRDefault="00000000"/>
    <w:p w:rsidR="00000000" w:rsidRDefault="00000000">
      <w:r>
        <w:rPr>
          <w:bCs/>
        </w:rPr>
        <w:t>502.</w:t>
      </w:r>
      <w:r>
        <w:rPr>
          <w:bCs/>
        </w:rPr>
        <w:tab/>
        <w:t>Действие программы ПРОДЖЕР, которая первоначально была введена с целью обеспечения занятости и</w:t>
      </w:r>
      <w:r>
        <w:t xml:space="preserve"> </w:t>
      </w:r>
      <w:r>
        <w:rPr>
          <w:bCs/>
        </w:rPr>
        <w:t xml:space="preserve">стимулирования доходов в беднейших городских районах, быстро распространилось также и на сельские районы.  </w:t>
      </w:r>
      <w:r>
        <w:t>Программа ПРОДЖЕР для сельских районов в сочетании с</w:t>
      </w:r>
      <w:r>
        <w:rPr>
          <w:bCs/>
        </w:rPr>
        <w:t xml:space="preserve"> Национальной программой развития семейных фермерских хозяйств (ПРОНАФ) образует укрупненную программу ПРОДЖЕР</w:t>
      </w:r>
      <w:r>
        <w:t>.  Выделение ресурсов для осуществления этой программы в настоящее время происходит в рамках процесса, в котором центральную роль взяли на себя комиссии штатов и городские комиссии.  Соответствующие проекты утверждаются комиссиями по вопросам занятости посредством анализа директив, разработанных вышеуказанными комиссиями.  Эти директивы определяют стратегические направления местной политики в сфере занятости.</w:t>
      </w:r>
    </w:p>
    <w:p w:rsidR="00000000" w:rsidRDefault="00000000"/>
    <w:p w:rsidR="00000000" w:rsidRDefault="00000000">
      <w:r>
        <w:t>503.</w:t>
      </w:r>
      <w:r>
        <w:tab/>
        <w:t xml:space="preserve">В соответствии с резолюцией № 59/94 ресурсы для децентрализованного использования в рамках программы выделяются официальными финансовыми учреждениями.  Ресурсы для выполнения программы выделяются следующими банками:  "Банку-ду-Бразил", "Банку Норвест", </w:t>
      </w:r>
      <w:r>
        <w:rPr>
          <w:bCs/>
        </w:rPr>
        <w:t>Национальным банком экономического и социального развития (НБЭСР)</w:t>
      </w:r>
      <w:r>
        <w:t xml:space="preserve">, банком " Кайша Экономика Федераль" и Банком кредитования исследований и проектов (БКИП).  Такой подход был принят благодаря "капиллярности" и структуре этих финансовых учреждений. </w:t>
      </w:r>
    </w:p>
    <w:p w:rsidR="00000000" w:rsidRDefault="00000000"/>
    <w:p w:rsidR="00000000" w:rsidRDefault="00000000">
      <w:r>
        <w:t>504.</w:t>
      </w:r>
      <w:r>
        <w:tab/>
        <w:t>В сфере профессионального обучения к числу одной из важнейших инициатив правительства относится принятие</w:t>
      </w:r>
      <w:r>
        <w:rPr>
          <w:bCs/>
        </w:rPr>
        <w:t xml:space="preserve"> Национального плана профессиональной подготовки (ПЛАНФОР).</w:t>
      </w:r>
      <w:r>
        <w:t xml:space="preserve">  Основные директивные установки и критерии применительно к выделению ресурсов по линии программы были определены резолюцией № 126/96</w:t>
      </w:r>
      <w:r>
        <w:rPr>
          <w:bCs/>
        </w:rPr>
        <w:t xml:space="preserve"> КОДЕФАТ.</w:t>
      </w:r>
      <w:r>
        <w:t xml:space="preserve">  В настоящее время основной задачей</w:t>
      </w:r>
      <w:r>
        <w:rPr>
          <w:bCs/>
        </w:rPr>
        <w:t xml:space="preserve"> ПЛАНФОР является "постепенное создание основ постоянной системы профессионального обучения - с акцентом на удовлетворение спроса рынка труда - с целью</w:t>
      </w:r>
      <w:r>
        <w:t xml:space="preserve"> организовать ежегодное обучение и переобучение по меньшей мере 20% экономически активного населения в возрасте от 14 лет и старше с учетом возможностей и компетенции в той или иной сфере, с тем чтобы:  a)  сделать более реальной возможность получения работы и увеличения дохода, способствуя таким образом снижению безработицы и неполной занятости;  b)  сделать более реальной возможность сохранения своих позиций на рынке труда, снижая тем самым риск увольнения из-за отсутствия работы, увольнения с предприятия и текучести рабочей силы;  c)  повысить производительность труда, конкурентоспособность и уровень доходов" (резолюция № 194/98, статья 2). </w:t>
      </w:r>
    </w:p>
    <w:p w:rsidR="00000000" w:rsidRDefault="00000000"/>
    <w:p w:rsidR="00000000" w:rsidRDefault="00000000">
      <w:pPr>
        <w:rPr>
          <w:bCs/>
          <w:iCs/>
        </w:rPr>
      </w:pPr>
      <w:r>
        <w:t>505.</w:t>
      </w:r>
      <w:r>
        <w:tab/>
        <w:t>Ответственность за выполнение</w:t>
      </w:r>
      <w:r>
        <w:rPr>
          <w:bCs/>
        </w:rPr>
        <w:t xml:space="preserve"> ПЛАНФОР возложена на</w:t>
      </w:r>
      <w:r>
        <w:rPr>
          <w:bCs/>
          <w:iCs/>
        </w:rPr>
        <w:t xml:space="preserve"> Государственные квалификационные планы (ГКП) и на компании.</w:t>
      </w:r>
      <w:r>
        <w:rPr>
          <w:bCs/>
        </w:rPr>
        <w:t xml:space="preserve">  </w:t>
      </w:r>
      <w:r>
        <w:rPr>
          <w:bCs/>
          <w:iCs/>
        </w:rPr>
        <w:t xml:space="preserve">ГКП участвуют в профессиональных квалификационных проектах, осуществляемых штатами после утверждения их комиссиями штатов по вопросам занятости с учетом требований городских комиссий.  Компании участвуют в дополнительных проектах ГКП, в решении вопросов концептуального развития, в оценке проектов, в обучении и в других проектах.  </w:t>
      </w:r>
      <w:r>
        <w:t>После утверждения</w:t>
      </w:r>
      <w:r>
        <w:rPr>
          <w:bCs/>
          <w:iCs/>
        </w:rPr>
        <w:t xml:space="preserve"> государственных квалификационных планов штаты определяют направления, по которым заключаются контракты с организациями, выполняющими соответствующую работу на основе выработанных ими критериев.</w:t>
      </w:r>
    </w:p>
    <w:p w:rsidR="00000000" w:rsidRDefault="00000000"/>
    <w:p w:rsidR="00000000" w:rsidRDefault="00000000">
      <w:r>
        <w:t>506.</w:t>
      </w:r>
      <w:r>
        <w:tab/>
        <w:t>Министерство труда разрабатывает программу создания новых рабочих мест и обеспечивает страхование по безработице с целью координации мероприятий, реализуемых по линии программ трудового посредничества и страхования по безработице.  Непосредственная цель этого состоит в том, чтобы дать рабочему, который обращается за получением страхования от безработицы, возможность зарегистрироваться в программе посредничества, что способствует сокращению времени, в течение которого рабочий остается без работы.</w:t>
      </w:r>
    </w:p>
    <w:p w:rsidR="00000000" w:rsidRDefault="00000000"/>
    <w:p w:rsidR="00000000" w:rsidRDefault="00000000">
      <w:r>
        <w:t>507.</w:t>
      </w:r>
      <w:r>
        <w:tab/>
        <w:t>Страхование по безработице было введено в Бразилии в 1986 году.  Основные цели этого вида страхования следующие:  a)  предоставлять финансовую помощь рабочим, несправедливо, в том числе без видимых причин, уволенным с работы;  b)  оказывать содействие рабочим в поисках новой работы, используя для этого услуги профессионалов и прочие возможности квалификационного характера.  Программа имеет своей целью оказание помощи имеющим трудовую книжку рабочим, которые были несправедливо уволены, но которые, тем не менее, для получения документа о страховании должны соответствовать следующим требованиям:  a)  до даты, непосредственно предшествующей увольнению, они должны были проработать шесть месяцев подряд, получая все это время заработную плату;  b)  уволивший их работодатель должен быть либо юридическим лицом, либо физическим лицом, но со статусом юридического лица, причем до даты, непосредственно предшествующей увольнению, которое вынуждает его обратиться за страхованием по безработице, рабочий должен проработать не менее шести месяцев в течение 36-месячного периода;  c)  в момент подачи заявления рабочий не должен быть получателем того или иного постоянного социального пособия, как это предусмотрено Постановлением о выплате пособий по социальному обеспечению, причем исключение в этом случае составляет единовременная выплата компенсации за ущерб здоровью, понесенный в результате несчастного случая, или предоставление кредита;  d)  рабочий не должен быть получателем дохода любого рода, который может считаться достаточным для того, чтобы содержать самого себя и семью.</w:t>
      </w:r>
    </w:p>
    <w:p w:rsidR="00000000" w:rsidRDefault="00000000"/>
    <w:p w:rsidR="00000000" w:rsidRDefault="00000000">
      <w:r>
        <w:t>508.</w:t>
      </w:r>
      <w:r>
        <w:tab/>
        <w:t>Размер пособия рассчитывается исходя из трех последних окладов, полученных рабочим до увольнения, средняя сумма которых умножается на различные проценты в соответствии с заданной шкалой сумм.  Тем не менее, размер пособия должен быть не меньше, чем размер одного минимального оклада.  Максимальный размер пособия определяется расчетом по методике, разработанной министерством труда.  Уволенный рабочий получает страхование ежемесячно в течение срока от трех до пяти месяцев либо в порядке непрерывности, либо в порядке периодичности на каждый 16-месячный период и может продлить срок его действия в начале каждого 16-месячного периода.  Чем больше оказывается период, в течение которого рабочий работал на своем старом месте в пределах предшествующих 36 месяцев, тем больше период, в течение которого он будет получать пособие.  По решению</w:t>
      </w:r>
      <w:r>
        <w:rPr>
          <w:bCs/>
        </w:rPr>
        <w:t xml:space="preserve"> Консультативного совета Фонда поддержки трудящихся (КОДЕФАТ),</w:t>
      </w:r>
      <w:r>
        <w:t xml:space="preserve"> для конкретных групп застрахованных максимальный период может быть продлен в порядке исключения на два года при условии, что сумма дополнительных расходов, понесенных в результате такого продления, не превышает 10% общей суммы минимальных ликвидных резервов Фонда поддержки трудящихся.  В соответствии с законом, среди прочих моментов, </w:t>
      </w:r>
      <w:r>
        <w:rPr>
          <w:bCs/>
        </w:rPr>
        <w:t>КОДЕФАТ</w:t>
      </w:r>
      <w:r>
        <w:t xml:space="preserve"> должен учитывать географическое и секторальное распределение безработицы в стране и среднее время, в течение которого конкретные группы рабочих остаются без работы.</w:t>
      </w:r>
    </w:p>
    <w:p w:rsidR="00000000" w:rsidRDefault="00000000"/>
    <w:p w:rsidR="00000000" w:rsidRDefault="00000000">
      <w:r>
        <w:t>509.</w:t>
      </w:r>
      <w:r>
        <w:tab/>
        <w:t xml:space="preserve">Следует заметить, что микрокредиты, предназначенные для развития малого бизнеса как в формальном, так и в неформальном секторе, представляют собой важный элемент в ряду тех мер, которые предпринимает сегодня правительство и общество в целом.  В середине 1990-х годов инициативы предпринимались только органами власти ниже федерального уровня и гражданским обществом.  Несмотря на то, что потенциальный спрос на кредиты продолжает превышать предложение, в последнее время в сфере микрокредитов произошел значительный прогресс.  </w:t>
      </w:r>
    </w:p>
    <w:p w:rsidR="00000000" w:rsidRDefault="00000000"/>
    <w:p w:rsidR="00000000" w:rsidRDefault="00000000">
      <w:r>
        <w:t>510.</w:t>
      </w:r>
      <w:r>
        <w:tab/>
        <w:t>Создавая возможности для тех слоев населения, которым традиционно был закрыт доступ к производственному кредиту, микрокредит сейчас занял стратегическое место в борьбе с бедностью и нищетой.  Через систему предоставления микрокредитов беднейшие слои населения получили возможность выбрать для себя род занятий и обрести доступ к источникам формирования доходов в такой степени, что им открылась также возможность делать инвестиции в свои малые предприятия.  Особая методология, составляющая основу системы микрокредитования, которая предполагает оказание помощи для получения кредита (кредитор оценивает предприятие, получающее кредит, и прослеживает его развитие) и делает менее необходимым предоставление реальной гарантии посредством создания групп солидарности (лица, которым предоставляется кредит и которые совместно берут на себя обязательство по выплате полученного кредита), делает маловероятной возможность дефолта и одновременно способствует росту производительности предприятий малого бизнеса.</w:t>
      </w:r>
    </w:p>
    <w:p w:rsidR="00000000" w:rsidRDefault="00000000"/>
    <w:p w:rsidR="00000000" w:rsidRDefault="00000000">
      <w:r>
        <w:t>511.</w:t>
      </w:r>
      <w:r>
        <w:tab/>
        <w:t xml:space="preserve">В 1996 году </w:t>
      </w:r>
      <w:r>
        <w:rPr>
          <w:bCs/>
        </w:rPr>
        <w:t>Национальный банк экономического и социального развития (НБЭСР), откликаясь на пожелание, высказанное во время дебатов, проходивших в рамках групп солидарности, создал Программу народного производственного кредита</w:t>
      </w:r>
      <w:r>
        <w:t>.  В результате этого шага появилась и получила распространение концепция устойчивой системы микрокредитования и было поддержано намерение создать сеть учреждений для предоставления финансовых ресурсов в фонд основного капитала.  Недавно</w:t>
      </w:r>
      <w:r>
        <w:rPr>
          <w:bCs/>
        </w:rPr>
        <w:t xml:space="preserve"> НБЭСР создал также Программу институционального развития</w:t>
      </w:r>
      <w:r>
        <w:t xml:space="preserve"> для организационного развития учреждений, предоставляющих микрокредиты.  К декабрю 2001 года</w:t>
      </w:r>
      <w:r>
        <w:rPr>
          <w:bCs/>
        </w:rPr>
        <w:t xml:space="preserve"> Национальный банк экономического и социального развития оказал поддержку 31 учреждению, из которых 28 были юридическими лицами гражданского общества, а другие 3 - финансовыми учреждениями, специализирующимися на предоставлении микрокредитов (товарищества кредитования микропредприятий</w:t>
      </w:r>
      <w:r>
        <w:t>), с которыми он заключил контракты на кредиты в размере 55,8 млн. реалов.</w:t>
      </w:r>
    </w:p>
    <w:p w:rsidR="00000000" w:rsidRDefault="00000000"/>
    <w:p w:rsidR="00000000" w:rsidRDefault="00000000">
      <w:r>
        <w:t>512.</w:t>
      </w:r>
      <w:r>
        <w:tab/>
        <w:t>В 2001 году бразильская служба поддержки микропредприятий и малых предприятий ввела в действие Национальное предложение по предоставлению микрокредитов с целью создания новых учреждений по микрокредитованию и укреплению уже существующих.</w:t>
      </w:r>
    </w:p>
    <w:p w:rsidR="00000000" w:rsidRDefault="00000000"/>
    <w:p w:rsidR="00000000" w:rsidRDefault="00000000">
      <w:r>
        <w:t>513.</w:t>
      </w:r>
      <w:r>
        <w:tab/>
        <w:t>Из всех так называемых "учреждений передней линии" по предоставлению микрокредитов крупнейшей в стране является программа "Кредиамигу" банка "Банку-ду-Нордести", учрежденная в 1997 году.  В декабре 2001 года по линии этой программы было предоставлено кредитов на общую сумму 440 млн. реалов.  Важно отметить, что программа "Кредиамигу" реализуется независимо (с точки зрения финансовой, бухгалтерской и менеджмента) от коммерческой деятельности банка.</w:t>
      </w:r>
    </w:p>
    <w:p w:rsidR="00000000" w:rsidRDefault="00000000"/>
    <w:p w:rsidR="00000000" w:rsidRDefault="00000000">
      <w:r>
        <w:t>514.</w:t>
      </w:r>
      <w:r>
        <w:tab/>
        <w:t>В действии сейчас находятся несколько государственных и, главным образом, городских инициатив.  Некоторые из них реализуются государственной администрацией и получают ассигнования из бюджета, другие являются продуктом партнерства между правительством и организациями гражданского общества.  Во многих случаях поддержку оказывали и международные организации.</w:t>
      </w:r>
    </w:p>
    <w:p w:rsidR="00000000" w:rsidRDefault="00000000"/>
    <w:p w:rsidR="00000000" w:rsidRDefault="00000000">
      <w:r>
        <w:t>515.</w:t>
      </w:r>
      <w:r>
        <w:tab/>
        <w:t>В настоящее время в Бразилии можно выделить три категории инициатив в сфере микрокредитования:  во-первых, инициативы, предпринятые гражданским обществом (неправительственными, некоммерческими организациями);  во-вторых, инициативы правительства (различные программы, осуществляемые учреждениями "передней линии" и "второй линии");  и, в-третьих, инициативы частного сектора (коммерческие хозяйственные организации, работающие по назначению т</w:t>
      </w:r>
      <w:r>
        <w:rPr>
          <w:bCs/>
        </w:rPr>
        <w:t>оварищества кредитования микропредприятий</w:t>
      </w:r>
      <w:r>
        <w:t>).</w:t>
      </w:r>
    </w:p>
    <w:p w:rsidR="00000000" w:rsidRDefault="00000000"/>
    <w:p w:rsidR="00000000" w:rsidRDefault="00000000">
      <w:r>
        <w:t>516.</w:t>
      </w:r>
      <w:r>
        <w:tab/>
        <w:t>В последние годы в отношении микрокредитного сектора было также разработано специальное законодательство.  Введенный в силу Закон № 9790/99, который подтверждает квалификацию</w:t>
      </w:r>
      <w:r>
        <w:rPr>
          <w:bCs/>
        </w:rPr>
        <w:t xml:space="preserve"> Организации гражданского общества, представляющей общественные интересы (ОГООИ), разрешает неправительственным организациям предоставлять микрокредиты, что прежде им делать запрещалось.</w:t>
      </w:r>
      <w:r>
        <w:t xml:space="preserve">  Опубликование документа "Временная мера" № 2172-32/01 вывело </w:t>
      </w:r>
      <w:r>
        <w:rPr>
          <w:bCs/>
        </w:rPr>
        <w:t>ОГООИ из-под действия Закона о ростовщичестве, который устанавливает максимальную ставку начисления процентов в</w:t>
      </w:r>
      <w:r>
        <w:t xml:space="preserve"> </w:t>
      </w:r>
      <w:r>
        <w:rPr>
          <w:bCs/>
        </w:rPr>
        <w:t xml:space="preserve">размере 12% в год.  </w:t>
      </w:r>
      <w:r>
        <w:t>Вступивший в силу Закон № 10194/01 предоставил т</w:t>
      </w:r>
      <w:r>
        <w:rPr>
          <w:bCs/>
        </w:rPr>
        <w:t>овариществам кредитования микропредприятий</w:t>
      </w:r>
      <w:r>
        <w:t xml:space="preserve"> законный статус финансовых учреждений, работающих на прибыль, которые специализируются на предоставлении микрокредитов и входят в состав Национальной финансовой системы.</w:t>
      </w:r>
    </w:p>
    <w:p w:rsidR="00000000" w:rsidRDefault="00000000"/>
    <w:p w:rsidR="00000000" w:rsidRDefault="00000000">
      <w:r>
        <w:t>517.</w:t>
      </w:r>
      <w:r>
        <w:tab/>
        <w:t>Все эти действия, вместе взятые, способствовали укреплению и расширению системы микрокредитов в стране, несмотря на то, что предложение кредитов все еще продолжает отставать от спроса на них.  В сущности, процесс преобразований был начат совсем недавно, а число учреждений</w:t>
      </w:r>
      <w:r>
        <w:rPr>
          <w:rStyle w:val="FootnoteReference"/>
        </w:rPr>
        <w:footnoteReference w:customMarkFollows="1" w:id="7"/>
        <w:t>6</w:t>
      </w:r>
      <w:r>
        <w:t>, программ, принятых мер и объем затраченных ресурсов не столь велики, если рассматривать их в контексте нужд, испытываемых страной величиной с континент и насчитывающей миллионы людей, живущих в нищете.</w:t>
      </w:r>
    </w:p>
    <w:p w:rsidR="00000000" w:rsidRDefault="00000000"/>
    <w:p w:rsidR="00000000" w:rsidRDefault="00000000">
      <w:r>
        <w:t>518.</w:t>
      </w:r>
      <w:r>
        <w:tab/>
        <w:t>Касаясь вопроса развития сельского хозяйства, которому правительство Бразилии придает весьма важное значение в контексте борьбы с нищетой, следует заметить, что традиционный подход к решению сельскохозяйственного вопроса в 1970-х и 1980-х годах благоприятствовал крупным сельскохозяйственным предприятиям, ориентированным на экспорт, что объяснялось как необходимостью обеспечивать положительные балансы по текущим операциям, так и способностью этого сектора экономики к политической мобилизации и к гарантированию спроса на его продукцию.</w:t>
      </w:r>
    </w:p>
    <w:p w:rsidR="00000000" w:rsidRDefault="00000000"/>
    <w:p w:rsidR="00000000" w:rsidRDefault="00000000">
      <w:r>
        <w:t>519.</w:t>
      </w:r>
      <w:r>
        <w:tab/>
        <w:t xml:space="preserve">Однако значительное большинство сельскохозяйственных предприятий в Бразилии составляют семейные фермерские хозяйства.  В стране их насчитывается 4,1 миллиона (более 85% всех хозяйств в Бразилии) и занято в них 13,8 миллиона человек.  Миграции из сельских районов в города не наблюдается.  По этим причинам, начиная с 1996 года, данный сектор экономики становится центром внимания всей сельскохозяйственной политики и сельскохозяйственного кредита.  И даже разрабатывается специальная программа, предназначенная для поддержки его развития - </w:t>
      </w:r>
      <w:r>
        <w:rPr>
          <w:bCs/>
        </w:rPr>
        <w:t>ПРОНАФ.</w:t>
      </w:r>
      <w:r>
        <w:t xml:space="preserve"> </w:t>
      </w:r>
    </w:p>
    <w:p w:rsidR="00000000" w:rsidRDefault="00000000"/>
    <w:p w:rsidR="00000000" w:rsidRDefault="00000000">
      <w:r>
        <w:t>520.</w:t>
      </w:r>
      <w:r>
        <w:tab/>
        <w:t>С точки зрения обеспечения Бразилии продуктами питания такое смещение акцента весьма актуально, поскольку почти 60% продуктов питания, производимых в стране в середине 1990-х годов, поставлялось семейными фермерскими хозяйствами, особенно если учесть, что на их долю приходится всего 30% обрабатываемых земель.</w:t>
      </w:r>
    </w:p>
    <w:p w:rsidR="00000000" w:rsidRDefault="00000000"/>
    <w:p w:rsidR="00000000" w:rsidRDefault="00000000">
      <w:r>
        <w:t>521.</w:t>
      </w:r>
      <w:r>
        <w:tab/>
        <w:t>Меры по укреплению семейных фермерских хозяйств необходимы, ибо этот сектор испытывает значительные трудности в плане получения финансовых средств, имеет довольно ненадежную инфраструктуру и более всего подвержен влиянию колебания цен на рынке сельскохозяйственной продукции.  Кроме того, укрепление семейных фермерских хозяйств является важным моментом в деле преодоления бедности и нищеты.</w:t>
      </w:r>
    </w:p>
    <w:p w:rsidR="00000000" w:rsidRDefault="00000000"/>
    <w:p w:rsidR="00000000" w:rsidRDefault="00000000">
      <w:pPr>
        <w:rPr>
          <w:bCs/>
        </w:rPr>
      </w:pPr>
      <w:r>
        <w:rPr>
          <w:bCs/>
        </w:rPr>
        <w:t>522.</w:t>
      </w:r>
      <w:r>
        <w:rPr>
          <w:bCs/>
        </w:rPr>
        <w:tab/>
        <w:t>Национальная программа развития семейных фермерских хозяйств (ПРОНАФ), имеющая своей целью сокращение социального неравенства и стимулирование развития сельских районов Бразилии, предусматривает предоставление соответствующих финансовых ресурсов, с тем чтобы семейные фермерские хозяйства (включая хозяйства, специализирующиеся на рыболовстве, аквикультуре, пчеловодстве и аналогичных видах деятельности, а также коренные общины и общины беглых рабов) могли развиваться стабильно и чувствовать себя в безопасности.</w:t>
      </w:r>
      <w:r>
        <w:t xml:space="preserve">  </w:t>
      </w:r>
      <w:r>
        <w:rPr>
          <w:bCs/>
        </w:rPr>
        <w:t>Подобно тому, как это предусматривалось другими положениями социальной политики Бразилии в период после принятия Конституции 1988 года</w:t>
      </w:r>
      <w:r>
        <w:t xml:space="preserve">, одной из отличительных особенностей </w:t>
      </w:r>
      <w:r>
        <w:rPr>
          <w:bCs/>
        </w:rPr>
        <w:t>ПРОНАФ является введение в действие (через советы сельского развития в муниципалитетах, охватываемых программой) принципов соучастия соответствующих секторов гражданского общества в ее модели управления.</w:t>
      </w:r>
    </w:p>
    <w:p w:rsidR="00000000" w:rsidRDefault="00000000"/>
    <w:p w:rsidR="00000000" w:rsidRDefault="00000000">
      <w:r>
        <w:t>523.</w:t>
      </w:r>
      <w:r>
        <w:tab/>
        <w:t>Для получения доступа к инициативам, реализуемым по линии</w:t>
      </w:r>
      <w:r>
        <w:rPr>
          <w:bCs/>
        </w:rPr>
        <w:t xml:space="preserve"> ПРОНАФ, сельскохозяйственное предприятие должно принадлежать семье, его работниками должны быть члены семьи, оно не должно превышать по площади четырех фискальных единиц</w:t>
      </w:r>
      <w:r>
        <w:rPr>
          <w:rStyle w:val="FootnoteReference"/>
          <w:bCs/>
        </w:rPr>
        <w:footnoteReference w:customMarkFollows="1" w:id="8"/>
        <w:t>7</w:t>
      </w:r>
      <w:r>
        <w:rPr>
          <w:bCs/>
        </w:rPr>
        <w:t xml:space="preserve"> и его развитие должно осуществляться средствами, принадлежащими семье.</w:t>
      </w:r>
      <w:r>
        <w:t xml:space="preserve">  Основным видом деятельности Программы является предоставление кредита семейным фермерским хозяйствам, и в 2001 году ею были охвачены более чем 4 000 муниципалитетов.  Помимо предоставления кредитов</w:t>
      </w:r>
      <w:r>
        <w:rPr>
          <w:bCs/>
        </w:rPr>
        <w:t xml:space="preserve"> ПРОНАФ также занимается проектами совершенствования инфраструктуры тех районов и предприятий, которые подпадают под определение "семейное</w:t>
      </w:r>
      <w:r>
        <w:t xml:space="preserve"> фермерское хозяйство", и предусматривает подготовку сельскохозяйственных техников и муниципальных советников.</w:t>
      </w:r>
    </w:p>
    <w:p w:rsidR="00000000" w:rsidRDefault="00000000"/>
    <w:p w:rsidR="00000000" w:rsidRDefault="00000000">
      <w:pPr>
        <w:rPr>
          <w:bCs/>
        </w:rPr>
      </w:pPr>
      <w:r>
        <w:t>524.</w:t>
      </w:r>
      <w:r>
        <w:tab/>
        <w:t>Важно отметить, что в 2000 и 2001 годах в рамках Программы семейным фермерским хозяйствам было предоставлено финансирование по более чем 900 000 кредитным линиям на общую сумму чуть больше 2 млрд. реалов.  С момента же начала действия Программы семейным фермерским хозяйствам было предоставлено финансирование по 4,2 миллионам кредитным линиям на общую сумму в 10,3 млрд. реалов.  В сфере совершенствования инфраструктуры</w:t>
      </w:r>
      <w:r>
        <w:rPr>
          <w:bCs/>
        </w:rPr>
        <w:t xml:space="preserve"> за весь период своей деятельности ПРОНАФ обеспечила финансирование проектов, охватывающих примерно 3,5 миллионов семей, на сумму</w:t>
      </w:r>
      <w:r>
        <w:t> 600 млн. реалов.  И, наконец, следует отметить, что с 1996 года работе в семейных фермерских хозяйствах было обучено 125 000 человек.  В соответствующей вставке приведены недавние примеры инициатив, реализованных при поддержке</w:t>
      </w:r>
      <w:r>
        <w:rPr>
          <w:bCs/>
        </w:rPr>
        <w:t xml:space="preserve"> по линии ПРОНАФ и</w:t>
      </w:r>
      <w:r>
        <w:t xml:space="preserve"> направленных на развитие семейных фермерских хозяйств</w:t>
      </w:r>
      <w:r>
        <w:rPr>
          <w:bCs/>
        </w:rPr>
        <w:t>.</w:t>
      </w:r>
    </w:p>
    <w:p w:rsidR="00000000" w:rsidRDefault="00000000"/>
    <w:p w:rsidR="00000000" w:rsidRDefault="00000000">
      <w:r>
        <w:t>525.</w:t>
      </w:r>
      <w:r>
        <w:tab/>
        <w:t>Делая особый упор на аграрную реформу, правительство Бразилии хотело бы дать понять, что в свете критической концентрации земельной собственности в Бразилии одним из главных требований сельских работников с 1960-х годов было проведение крупномасштабной аграрной реформы.</w:t>
      </w:r>
    </w:p>
    <w:p w:rsidR="00000000" w:rsidRDefault="00000000"/>
    <w:p w:rsidR="00000000" w:rsidRDefault="00000000">
      <w:pPr>
        <w:rPr>
          <w:bCs/>
        </w:rPr>
      </w:pPr>
      <w:r>
        <w:t>526.</w:t>
      </w:r>
      <w:r>
        <w:tab/>
        <w:t>Осуществление аграрной реформы важно не только с точки зрения достижения социального равенства, в том что касается доступа к средствам производства, но и с точки зрения обеспечения страны продуктами питания.  Реформа вдвойне важна в том смысле, что она, во-первых, способствует росту количества семейных фермерских хозяйств, ориентированных, прежде всего, на производство продуктов питания (см. выше комментарии по</w:t>
      </w:r>
      <w:r>
        <w:rPr>
          <w:bCs/>
        </w:rPr>
        <w:t xml:space="preserve"> Национальной программе развития семейных фермерских хозяйств (ПРОНАФ));  и, во-вторых, она способствует реинтеграции уязвимых социальных групп общества в производственный процесс и делает менее вероятной возможность появления нищеты.</w:t>
      </w:r>
    </w:p>
    <w:p w:rsidR="00000000" w:rsidRDefault="00000000"/>
    <w:p w:rsidR="00000000" w:rsidRDefault="00000000">
      <w:r>
        <w:t>527.</w:t>
      </w:r>
      <w:r>
        <w:tab/>
        <w:t>Однако, несмотря на потенциальное позитивное воздействие мер по перераспределению земли, в период 1964-1994 годов в рамках официальных программ аграрной реформы были осуществлены лишь 360 проектов, в результате которых всего 218 000 безземельных крестьян были обеспечены земельной собственностью.  В период же 1995-2001 годов было реализовано уже 4 275 аграрных проектов, в результате которых землю получили 565 000 безземельных крестьянских семей, что явилось беспрецедентным достижением кампании по перераспределению собственности на землю. В 2002 году федеральное правительство объявило о своем намерении дать землю в собственность еще 100 000 семьям.</w:t>
      </w:r>
    </w:p>
    <w:p w:rsidR="00000000" w:rsidRDefault="00000000"/>
    <w:p w:rsidR="00000000" w:rsidRDefault="00000000">
      <w:r>
        <w:t>528.</w:t>
      </w:r>
      <w:r>
        <w:tab/>
        <w:t>В рамках текущей программы аграрной реформы используются два основных метода перераспределения земли.  Наиболее традиционный метод (именуемый также "аграрное приобретение") предполагает экспроприацию непродуктивных земель и их перераспределение по широкому ряду проектов.  При этом берутся в расчет такие дополнительные моменты, как жилищное обустройство, сельский кредит, инфраструктура, различные подсобные механизмы для сбора урожаев и их гарантирования, т.е. все то, что делает поселение экономически самостоятельным.  Этот метод широко применялся в прошлом и продолжает применяться в настоящее время.</w:t>
      </w:r>
    </w:p>
    <w:p w:rsidR="00000000" w:rsidRDefault="00000000"/>
    <w:p w:rsidR="00000000" w:rsidRDefault="00000000">
      <w:r>
        <w:t>529.</w:t>
      </w:r>
      <w:r>
        <w:tab/>
        <w:t xml:space="preserve">Второй метод аграрной реформы предполагает использование кредитных механизмов.  Возник он в процессе опытных экспериментов, проводившихся в период 1995-1997 годов в различных штатах северо-востока страны с целью обеспечения семей землей.  Впоследствии в 1998 году был учрежден Фонд земельной и аграрной реформы, именуемый также Земельный банк, призванный обеспечивать финансирование сельскохозяйственных рабочих для покупки ими земли.  Кроме того, программой предусматривается предоставление финансовых средств для создания инфраструктуры, жилищного обустройства, улучшения санитарных условий, электрификации сельской местности и строительства ограждений.  Реализации всех таких проектов способствует и вышеупомянутая </w:t>
      </w:r>
      <w:r>
        <w:rPr>
          <w:bCs/>
        </w:rPr>
        <w:t>Национальная программа развития семейных фермерских хозяйств (ПРОНАФ).</w:t>
      </w:r>
      <w:r>
        <w:t xml:space="preserve">  Для амортизации предоставленных средств производителям сельскохозяйственной продукции дается срок в 20 лет с льготным 3-летним периодом.  Установлена фиксированная процентная ставка, составляющая, в среднем, 4% в год.</w:t>
      </w:r>
    </w:p>
    <w:p w:rsidR="00000000" w:rsidRDefault="00000000"/>
    <w:p w:rsidR="00000000" w:rsidRDefault="00000000">
      <w:r>
        <w:t>530.</w:t>
      </w:r>
      <w:r>
        <w:tab/>
        <w:t>Земельный банк начал свои операции в 1999 году и уже к 2001 году предоставил финансовые средства примерно 40 000 сельскохозяйственных рабочих на общую сумму порядка 680 млн. реалов.  В 2002 году намечалось предоставить финансовые средства еще 24 000 сельскохозяйственных рабочих на сумму почти в 400 млн. реалов.</w:t>
      </w:r>
    </w:p>
    <w:p w:rsidR="00000000" w:rsidRDefault="00000000"/>
    <w:p w:rsidR="00000000" w:rsidRDefault="00000000">
      <w:r>
        <w:t>531.</w:t>
      </w:r>
      <w:r>
        <w:tab/>
        <w:t>Следует также привлечь внимание к другим различным программам, которые дополняют эти два основных метода осуществления аграрной реформы.  К их числу относятся Программа утвердительного действия (благоприятствующая женщинам, занимающимся сельским хозяйствам, представителям коренных общин и общин беглых рабов), Национальная программа повышения уровня грамотности в сельских поселениях и другие программы, нацеленные на регистрацию имущественных прав (Проект по эмансипации) или на поддержку сельских рабочих, возвращающихся из городов в сельские районы (проект "Касулу").</w:t>
      </w:r>
    </w:p>
    <w:p w:rsidR="00000000" w:rsidRDefault="00000000"/>
    <w:p w:rsidR="00000000" w:rsidRDefault="00000000">
      <w:r>
        <w:t>532.</w:t>
      </w:r>
      <w:r>
        <w:tab/>
        <w:t>Большое значение имеют также меры по прямому перераспределению доходов.  В ряду мер, направленных на борьбу с бедностью и нищетой, меры по прямому перераспределению доходов в пользу нуждающихся и их семей приобретают особое значение.</w:t>
      </w:r>
    </w:p>
    <w:p w:rsidR="00000000" w:rsidRDefault="00000000"/>
    <w:p w:rsidR="00000000" w:rsidRDefault="00000000">
      <w:r>
        <w:t>533.</w:t>
      </w:r>
      <w:r>
        <w:tab/>
        <w:t xml:space="preserve">Для этой цели в 2002 году из бюджета было выделено примерно 22,4 млрд. реалов.  Следует заметить, что основная часть сумм перераспределенных доходов (84%) есть производное от социальных прав, закрепленных в Конституции 1988 года (т.е. пожизненные доходы, ежемесячно предоставляемые престарелым и малоимущим, которые являются особо нуждающимися, а также выплата сельских пенсий), и что они распределяются во все возрастающих количествах с начала 1990-х годов. </w:t>
      </w:r>
    </w:p>
    <w:p w:rsidR="00000000" w:rsidRDefault="00000000"/>
    <w:p w:rsidR="00000000" w:rsidRDefault="00000000">
      <w:r>
        <w:t>534.</w:t>
      </w:r>
      <w:r>
        <w:tab/>
        <w:t>Воздействие универсализации этих прав на семейные доходы было значительным.  Перераспределение доходов посредством программ, реализуемых Администрацией социального обеспечения и вспомоществования, оказало мощное воздействие на снижение уровня бедности и нищеты в Бразилии, о чем свидетельствуют различные исследования, проведенные недавно ИПЭИ.</w:t>
      </w:r>
    </w:p>
    <w:p w:rsidR="00000000" w:rsidRDefault="00000000"/>
    <w:p w:rsidR="00000000" w:rsidRDefault="00000000">
      <w:r>
        <w:t>535.</w:t>
      </w:r>
      <w:r>
        <w:tab/>
        <w:t>Что касается пособий в размере одного минимального месячного оклада, то здесь следует сказать о масштабах выплат таких пособий.  В декабре 2001 года министерство социального обеспечения выплатило 2,1 миллиона постоянно предоставляемых пособий (ППП) и пожизненно выплачиваемых ежемесячных доходов (ПВМД) и распределило 6,3 миллиона пособий по линии Администрации социального обеспечения в сельских районах (не включая сельские ПВМД, уже учтенные выше).  Важно отметить, что, помимо этих пособий, с декабря 2001 года через Администрацию социального обеспечения "городскую" социальную помощь получили еще 4,7 миллиона человек (как получатели, подпадающие под правило "минимального размера социального обеспечения", согласно которому размер постоянного социального пособия в Бразилии не должен быть меньше установленного минимального месячного оклада).  Минимальные социальные пособия также используются как субсидии в поддержку тех, кто не приносит дохода, за счет тех, кто приносит доход, и заметно сказываются на благосостоянии получателей.</w:t>
      </w:r>
    </w:p>
    <w:p w:rsidR="00000000" w:rsidRDefault="00000000"/>
    <w:p w:rsidR="00000000" w:rsidRDefault="00000000">
      <w:r>
        <w:t>536.</w:t>
      </w:r>
      <w:r>
        <w:tab/>
        <w:t>В недавнем исследовании, опубликованном министерством социального обеспечения при поддержке Института прикладных экономических исследований (МСО, 2001 год), делается вывод о том, что снижение уровня нищеты в Бразилии в 1990-х годах стало возможным благодаря сочетанию экономической стабильности и интенсивному перераспределению доходов через Администрацию социального обеспечения и вспомоществования.  Согласно данным, содержащимся в Общенациональном выборочном обследовании семей 1999 года, или ОВОДХ, если бы никакого перераспределения доходов через систему социального обеспечения не происходило, то количество людей, живущих за чертой бедности (из расчета семейного дохода в размере 98 реалов на члена семьи), выросло бы с 34% до 45,3%.  Разница в 11,3% соответствует 18,1 миллиона человек, которые больше не живут за чертой бедности благодаря получаемым им социальным пособиям.</w:t>
      </w:r>
    </w:p>
    <w:p w:rsidR="00000000" w:rsidRDefault="00000000"/>
    <w:p w:rsidR="00000000" w:rsidRDefault="00000000">
      <w:r>
        <w:t>537.</w:t>
      </w:r>
      <w:r>
        <w:tab/>
        <w:t>Что касается системы социального обеспечения в сельской местности, то комплексное исследование, проведенное ИПЭИ (Дельгаду и Кардосу мл., 2000 год), показало, что вероятность появления бедности и нищеты среди бенефициаров системы низка.  В контексте настоящего доклада под нищетой подразумевается такое состояние семьи, при котором уровень получаемого ею дохода не позволяет ей удовлетворять насущные потребности в питании, гигиене и в поддержании чистоты.  Под бедностью подразумевается такое состояние, при котором человек не располагает достаточными средствами для удовлетворения всех его потребительских нужд.  Основываясь на результатах проведенного в 1998 году выборочного обследования 6 000 семей в южных и в северо-восточных районах Бразилии, где действует система социального обеспечения для сельских районов, авторы пришли к выводу о том, что в северо-восточной части Бразилии выше черты бедности живут 85,3% семей.  На юге число семей, имеющих доход, размер которого превышает сумму расходов, необходимых для удовлетворения их насущных потребностей, что исключает их из категории бедных семей, составляет 90,8%.  Под определение нищеты, которое приведено выше, подпадают всего 0,4% семей на юге и 2,1% семей на северо-востоке страны.</w:t>
      </w:r>
    </w:p>
    <w:p w:rsidR="00000000" w:rsidRDefault="00000000"/>
    <w:p w:rsidR="00000000" w:rsidRDefault="00000000">
      <w:r>
        <w:t>538.</w:t>
      </w:r>
      <w:r>
        <w:tab/>
        <w:t>И, наконец, на основе результатов ОВОДХ 1999 года Шварцер и Керину создали в 2002 году модель того воздействия, которое на бедность и нищету оказала выплата всех пособий в рамках системы социального обеспечения и оказания помощи.  Понятия бедности и нищеты, принятые в их исследовании, совпадают с определениями, фигурирующими в Органическом законе о социальной помощи, который регулирует доступ к социальным пособиям в Бразилии.  В данном случае семейный доход на одного члена семьи, составляющий меньше одной четверти официального минимального размера заработной платы, соответствует состоянию нищеты, а если семейный доход на одного члена семьи составляет половину официального минимального оклада, то это есть черта бедности.  Эксперименты показали, что основное пособие в размере одного минимального оклада делает невозможным для объекта наблюдения состояние нищеты, а пособие по социальному обеспечению в размере, превышающем один минимальный оклад, как правило, делает невозможным для получателя пособия и его иждивенцев состояние нищеты и бедности.  Отсутствие пособий в размере одного минимального оклада ведет к резкому увеличению числа людей, живущих в состоянии нищеты - с 2% до 45,2%, и числа людей, живущих в условиях бедности - с 14,3% до 62,7%.  Если прекратить действие системы перераспределения (как одного из элементов системы социального обеспечения), то уровень бедности возрастет с 3,7% до 42,7%.  Эти данные ясно и недвусмысленно подчеркивают важность системы социального обеспечения в городе и в сельской местности, необходимость программы социальной помощи и важную роль установления городского минимального социального пособия в размере одного минимального оклада для снижения уровня нищеты и бедности в Бразилии.</w:t>
      </w:r>
    </w:p>
    <w:p w:rsidR="00000000" w:rsidRDefault="00000000"/>
    <w:p w:rsidR="00000000" w:rsidRDefault="00000000">
      <w:r>
        <w:t>539.</w:t>
      </w:r>
      <w:r>
        <w:tab/>
        <w:t>Прибегнуть к методу перераспределения доходов было предложено по инициативе исполнительной власти.  Эти программы имели своей целью поднять семейные доходы, с тем чтобы решить проблему недоедания матерей и младенцев и обеспечить, таким образом, доступ к продуктам питания, что является частью основного медицинского обслуживания (продовольственное пособие по линии министерства здравоохранения);  поднять образовательный уровень и обеспечить для детей возможность учиться в школе (школьное пособие по линии министерства образования);  искоренить детский труд и обеспечить интеграцию неблагополучных подростков в общество (Программа искоренения детского труда и отдел по делам молодежи министерства социального обеспечения);  обеспечить доступ к продуктам питания для семей, пострадавших от засухи (дотация по линии министерства национальной интеграции);  и обеспечить снабжение газом остро нуждающихся семей (помощь в снабжении газом по линии министерства горнорудной промышленности и энергетики).  Необходимо отметить, что этот комплекс мер осуществляется во исполнение обязательства государства по соблюдению права человека на достаточное питание, для чего оно увеличивает уровень доходов остро нуждающихся семей и снижает относительное бремя затрат на продукты питания для семейного бюджета.  Реализация большинства этих программ была начата недавно, и поэтому результаты, показывающие их эффективность, пока еще не получены.  Однако следует заметить, что в данные программы включен элемент оценки их эффективности, который в не столь отдаленном будущем позволит нам судить, насколько та или иная модель способствует достижению поставленной цели избавления людей от голода, нищеты и бедности.</w:t>
      </w:r>
    </w:p>
    <w:p w:rsidR="00000000" w:rsidRDefault="00000000"/>
    <w:p w:rsidR="00000000" w:rsidRDefault="00000000">
      <w:r>
        <w:t>540.</w:t>
      </w:r>
      <w:r>
        <w:tab/>
        <w:t>Следует отметить, что в 2001 году федеральное правительство составило Единый реестр социальных программ федерального правительства и санкционировало использование всеми правительственными учреждениями, которые координируют программы по прямому распределению доходов, специальных формуляров.  Это было сделано для того, чтобы создать базу данных по тем семьям, которым требуется помощь по линии социальных программ правительства, и тем самым добиться повышения эффективности мер, направленных на преодоление неравенства, снижение уровня бедности и нищеты и стимулирование социальной интеграции.</w:t>
      </w:r>
    </w:p>
    <w:p w:rsidR="00000000" w:rsidRDefault="00000000"/>
    <w:p w:rsidR="00000000" w:rsidRDefault="00000000">
      <w:r>
        <w:t>541.</w:t>
      </w:r>
      <w:r>
        <w:tab/>
        <w:t>Задача по внедрению такой базы данных и ее управлению была поручена банковскому учреждению "Кайша Экономика Федераль", имеющему опыт и компетенцию в осуществлении государственных программ и поддерживающему связи с руководством штатов и муниципалитетов.  Достаточно сказать, что это учреждение имеет 1 970 полностью интегрированных филиалов и отделений и более 8 600 лотерейных заведений, а также своих представителей в большинстве муниципалитетов Бразилии.  Для выполнения этой работы учреждение разработало систему обработки полученных данных и сведений.  После идентификации (присвоения социального регистрационного номера) каждого получателя пособия "Кайша" раздаст магнитные карты.  Имея на руках такие карты, получатели могут свободно, без посредников и с высокой степенью безопасности для себя, получать свои пособия.  В 2001 году в рамках Единого реестра северо-восточному региону и северным районам штата Минас-Жерайс (всего 1 152 муниципалитета) в связи с поразившей их засухой был придан приоритетный статус.</w:t>
      </w:r>
    </w:p>
    <w:p w:rsidR="00000000" w:rsidRDefault="00000000"/>
    <w:p w:rsidR="00000000" w:rsidRDefault="00000000">
      <w:r>
        <w:t>542.</w:t>
      </w:r>
      <w:r>
        <w:tab/>
        <w:t xml:space="preserve">Предполагается, что учреждение Единого реестра и введение магнитных карт будет значительно способствовать повышению эффективности и транспарентности принимаемых правительством мер социального характера и обеспечит рациональное использование средств. </w:t>
      </w:r>
    </w:p>
    <w:p w:rsidR="00000000" w:rsidRDefault="00000000"/>
    <w:p w:rsidR="00000000" w:rsidRDefault="00000000">
      <w:r>
        <w:t>543.</w:t>
      </w:r>
      <w:r>
        <w:tab/>
        <w:t xml:space="preserve">В общем стратегическом контексте борьбы с бедностью и нищетой необходимо также выделить и локальный аспект.  В недавнем прошлом действия по стимулированию комплексного и устойчивого развития на местном уровне в регионах, пораженных бедностью в большей степени, чем другие, координировало федеральное правительство.  Здесь имеются в виду меры, направленные на создание более сильных общин, способных удовлетворить свои локальные нужды, открыть или пробудить в себе призвание или выбрать род занятий на местном уровне, освоить конкретные потенциальные сферы деятельности, определить возможности обмена с внешним миром, основываясь на своих местных преимуществах.  В настоящее время эти меры принимаются в рамках программы </w:t>
      </w:r>
      <w:r>
        <w:rPr>
          <w:i/>
          <w:iCs/>
        </w:rPr>
        <w:t>Comunidade Ativa</w:t>
      </w:r>
      <w:r>
        <w:t xml:space="preserve"> (активной общины) Гражданского кабинета Канцелярии президента Республики. </w:t>
      </w:r>
    </w:p>
    <w:p w:rsidR="00000000" w:rsidRDefault="00000000"/>
    <w:p w:rsidR="00000000" w:rsidRDefault="00000000">
      <w:r>
        <w:t>544.</w:t>
      </w:r>
      <w:r>
        <w:tab/>
        <w:t xml:space="preserve">Программа </w:t>
      </w:r>
      <w:r>
        <w:rPr>
          <w:i/>
          <w:iCs/>
        </w:rPr>
        <w:t xml:space="preserve">Comunidade Ativa </w:t>
      </w:r>
      <w:r>
        <w:rPr>
          <w:iCs/>
        </w:rPr>
        <w:t>имеет своей целью обеспечить целостное и устойчивое развитие на местном уровне через партнерские отношения, установленные между государством и обществом, и на основе программных установок, сформулированных самой местной общиной.</w:t>
      </w:r>
      <w:r>
        <w:t xml:space="preserve">  Принятая с этой целью методология предусматривает подготовку руководящих кадров;  диагностику и планирование участия;  разработку общественных программ в соответствии с социальными потребностями общины;  налаживание системы мониторинга и оценки этих программ;  и создание предприятий.  Таким образом, в центр внимания данной программы поставлены человеческий и социальный капитал (социальная организация), бизнес и доступ к информации.  Предполагается, что объединенные усилия, предпринятые на местном уровне, дадут старт непрерывному процессу мобилизации общины, в результате чего ее содержание и развитие не будут факторами, целиком зависящими от правительства.  В 2001 году в рамках общей программы </w:t>
      </w:r>
      <w:r>
        <w:rPr>
          <w:i/>
          <w:iCs/>
        </w:rPr>
        <w:t>Comunidade Ativa</w:t>
      </w:r>
      <w:r>
        <w:t xml:space="preserve"> были выполнены программные установки по </w:t>
      </w:r>
      <w:r>
        <w:rPr>
          <w:spacing w:val="-6"/>
        </w:rPr>
        <w:t>комплексному и устойчивому развитию в 157 муниципалитетах, а еще в 437 муниципалитетах</w:t>
      </w:r>
      <w:r>
        <w:t xml:space="preserve"> этот процесс был инициирован;  было обучено более 17 000 человек, в том числе лидеры общин и представители местных органов развития.</w:t>
      </w:r>
    </w:p>
    <w:p w:rsidR="00000000" w:rsidRDefault="00000000"/>
    <w:p w:rsidR="00000000" w:rsidRDefault="00000000">
      <w:r>
        <w:t>545.</w:t>
      </w:r>
      <w:r>
        <w:tab/>
        <w:t>К 2002 году число муниципалитетов, охваченных скоординированной работой в рамках программы</w:t>
      </w:r>
      <w:r>
        <w:rPr>
          <w:i/>
          <w:iCs/>
        </w:rPr>
        <w:t xml:space="preserve"> Comunidade Ativa</w:t>
      </w:r>
      <w:r>
        <w:t xml:space="preserve"> по более чем 10 000 пунктам местных программ, намечено довести до 604.  По этим пунктам 35% действий выполняет правительство, 21% - муниципалитеты, а 11% - Бразильский центр поддержки микропредприятий и малых предприятий.  Необходимо отметить, что в местных программах доминирующее место занимают следующие направления деятельности:  сельское хозяйство, агропромышленные предприятия, туризм, здравоохранение, улучшение санитарных условий, мероприятия по охране и рациональному использованию окружающей среды, инфраструктура и программы подготовки рабочих кадров.  Как уже было сказано в связи с проектом Альворада, программа</w:t>
      </w:r>
      <w:r>
        <w:rPr>
          <w:i/>
          <w:iCs/>
        </w:rPr>
        <w:t xml:space="preserve"> Comunidade Ativa</w:t>
      </w:r>
      <w:r>
        <w:t xml:space="preserve"> - это шаг федерального правительства, направленный на выполнение его обязательств в отношении обеспечения права человека на питание.  Более того, учитывая предпринимаемые правительством усилия к тому, чтобы сделать местные общины более жизнеспособными, не допуская при этом, чтобы отдельные лица и компании осложняли доступ людей к продуктам питания, можно сказать, что целью программы</w:t>
      </w:r>
      <w:r>
        <w:rPr>
          <w:i/>
          <w:iCs/>
        </w:rPr>
        <w:t xml:space="preserve"> Comunidade Ativa</w:t>
      </w:r>
      <w:r>
        <w:t xml:space="preserve"> является также защита права нуждающихся семей, проживающих в муниципалитетах, где осуществляется эта программа, на обеспечение продуктами питания.</w:t>
      </w:r>
    </w:p>
    <w:p w:rsidR="00000000" w:rsidRDefault="00000000"/>
    <w:p w:rsidR="00000000" w:rsidRDefault="00000000">
      <w:r>
        <w:t>546.</w:t>
      </w:r>
      <w:r>
        <w:tab/>
        <w:t>Отмечается постепенное увеличение федеральных расходов.  В реальном выражении они возросли с 92,2 млрд. реалов в 1993 году до 138,7 млрд. реалов в 1999 году, что соответствует увеличению почти на 50%.  Приоритет, отданный социальной сфере, также подтверждается ростом федеральных расходов на душу населения в рассматриваемый период на 37,4%.  Фактически, в 1993 году средняя сумма на человека, предусмотренная в системе социальной помощи в Бразилии, составляла 618,2 реала, а в 1999 году - уже 849,5 реала.</w:t>
      </w:r>
    </w:p>
    <w:p w:rsidR="00000000" w:rsidRDefault="00000000"/>
    <w:p w:rsidR="00000000" w:rsidRDefault="00000000">
      <w:r>
        <w:t>547.</w:t>
      </w:r>
      <w:r>
        <w:tab/>
        <w:t xml:space="preserve">Сравнение с ВВП вскрывает ту же тенденцию роста.  В 1993 году доля федеральных расходов по отношению к ВВП составляла 12%, а в 1999 году она возросла до 13,2%.  Иными словами, в эти шесть лет рост расходов на социальные нужды в относительном выражении превышал темпы роста ВВП. </w:t>
      </w:r>
    </w:p>
    <w:p w:rsidR="00000000" w:rsidRDefault="00000000"/>
    <w:p w:rsidR="00000000" w:rsidRDefault="00000000">
      <w:r>
        <w:t>548.</w:t>
      </w:r>
      <w:r>
        <w:tab/>
        <w:t>Вступив 1 января 2003 года в должность, президент Республики Луиш Инасиу Лула да Сильва учредил ряд высших правительственных органов с целью борьбы с бедностью.  К их числу относятся Специальный секретариат по рыболовству, министерство социальной защиты и обеспечения, министерство по вопросам развития городов и Чрезвычайное министерство по делам продовольственной безопасности и борьбы с бедностью.  Кроме того, президент ввел в действие Программу нулевого голода (</w:t>
      </w:r>
      <w:r>
        <w:rPr>
          <w:i/>
          <w:iCs/>
        </w:rPr>
        <w:t>Programa Fome Zero</w:t>
      </w:r>
      <w:r>
        <w:t>), которая предусматривает принятие среднесрочных и долгосрочных чрезвычайных и структурных мер.  Выполнение программы началось с беднейших муниципалитетов страны.</w:t>
      </w:r>
    </w:p>
    <w:p w:rsidR="00000000" w:rsidRDefault="00000000"/>
    <w:p w:rsidR="00000000" w:rsidRDefault="00000000">
      <w:r>
        <w:t>549.</w:t>
      </w:r>
      <w:r>
        <w:tab/>
        <w:t>Проект основан на результатах скоординированного взаимодействия в течение одного года политических активистов, неправительственных организаций, научно-исследовательских институтов, профсоюзов, народных движений, социальных движений и организаций, занимающихся вопросом продовольственной безопасности в Бразилии.  В проекте также признается, что доступ к достаточному питанию относится к числу неотъемлемых прав человека, причем обязанностью государства является обеспечить условия для эффективной реализации этого права.  Программа охватывает своим действием 9,3 миллиона обнищавших семей (44 миллиона человек), доход которых составляет менее одного доллара в день (около 80 реалов в месяц).</w:t>
      </w:r>
    </w:p>
    <w:p w:rsidR="00000000" w:rsidRDefault="00000000"/>
    <w:p w:rsidR="00000000" w:rsidRDefault="00000000">
      <w:r>
        <w:t>550.</w:t>
      </w:r>
      <w:r>
        <w:tab/>
        <w:t xml:space="preserve">Программа основана на предпосылке, согласно которой задача искоренения голода и обеспечения права человека на нормальное питание не может являться только инициативой правительства, даже при четкой координации действий всех учреждений на федеральном уровне, на уровне штата и муниципалитета.  Крайне важным считается также активное участие организаций гражданского общества, включая профсоюзы, народные объединения, неправительственные организации, университеты, школы, церкви самых разных конфессий, коммерческие структуры.  </w:t>
      </w:r>
    </w:p>
    <w:p w:rsidR="00000000" w:rsidRDefault="00000000"/>
    <w:p w:rsidR="00000000" w:rsidRDefault="00000000">
      <w:r>
        <w:t>551.</w:t>
      </w:r>
      <w:r>
        <w:tab/>
        <w:t xml:space="preserve">Ключевым аспектом проекта </w:t>
      </w:r>
      <w:r>
        <w:rPr>
          <w:i/>
          <w:iCs/>
        </w:rPr>
        <w:t>Projeto Fome Zero</w:t>
      </w:r>
      <w:r>
        <w:t xml:space="preserve"> является эффективное слияние так называемых структурных стратегий (направленных на перераспределение доходов, увеличение производства, создание рабочих мест, проведение аграрной реформы и т.д.) и компенсационных мер.  Проект предусматривает создание постоянного форума для проведения дискуссий, внедрения разного рода усовершенствований и принятия конкретных мер, с тем чтобы в Бразилии был обеспечен доступ к продуктам питания, что является одним из основных прав гражданина страны.</w:t>
      </w:r>
    </w:p>
    <w:p w:rsidR="00000000" w:rsidRDefault="00000000"/>
    <w:p w:rsidR="00000000" w:rsidRDefault="00000000">
      <w:r>
        <w:t>552.</w:t>
      </w:r>
      <w:r>
        <w:tab/>
        <w:t>К числу стратегий, направленных на устранение наиболее глубоких причин бедности, относятся следующие:  создание рабочих мест и стимулирование доходов;  всеобъемлющее социальное обеспечение;  стимулирование создания семейных фермерских хозяйств;  активизация аграрной реформы;  введение школьных пособий и обеспечение минимального дохода.</w:t>
      </w:r>
    </w:p>
    <w:p w:rsidR="00000000" w:rsidRDefault="00000000"/>
    <w:p w:rsidR="00000000" w:rsidRDefault="00000000">
      <w:r>
        <w:t>553.</w:t>
      </w:r>
      <w:r>
        <w:tab/>
        <w:t>Имеются следующие конкретные стратегии, направленные на оказание прямой помощи всем семьям, не имеющим условий, необходимых для того, чтобы вести достойный образ жизни:  продовольственные карточки;  экстренные "продовольственные корзины";  запасы продовольствия;  безопасность и качество продуктов питания;  расширение продовольственной программы для рабочих;  компания борьбы с недоеданием матерей и младенцев;  обучение правилам потребления продуктов питания;  и расширение программ школьного питания.</w:t>
      </w:r>
    </w:p>
    <w:p w:rsidR="00000000" w:rsidRDefault="00000000"/>
    <w:p w:rsidR="00000000" w:rsidRDefault="00000000">
      <w:r>
        <w:t>554.</w:t>
      </w:r>
      <w:r>
        <w:tab/>
        <w:t>Правительствами штатов и организациями гражданского общества были разработаны следующие конкретные стратегии для реализации на местном уровне:  оказание поддержки семейным фермерским хозяйствам;  стимулирование производства для личного потребления;  создание недорогих ресторанов;  создание продовольственных банков;  создание предприятий розничной торговли;  модернизация системы снабжения;  налаживание контактов с сетями супермаркетов;  малые и средние города;  создание благоприятных условий для потребления региональной продукции;  и стимулирование городского сельского хозяйства.</w:t>
      </w:r>
    </w:p>
    <w:p w:rsidR="00000000" w:rsidRDefault="00000000"/>
    <w:p w:rsidR="00000000" w:rsidRDefault="00000000">
      <w:r>
        <w:t>555.</w:t>
      </w:r>
      <w:r>
        <w:tab/>
        <w:t xml:space="preserve">Что касается замечаний Комитета, изложенных в пунктах 6 и 21 его заключительных замечаний, а именно: </w:t>
      </w:r>
    </w:p>
    <w:p w:rsidR="00000000" w:rsidRDefault="00000000"/>
    <w:p w:rsidR="00000000" w:rsidRDefault="00000000">
      <w:pPr>
        <w:ind w:left="567" w:hanging="567"/>
      </w:pPr>
      <w:r>
        <w:tab/>
        <w:t>"Выраженное делегацией намерение ратифицировать в ближайшем будущем Конвенцию № 169 МОТ о коренных народах и народах, ведущих племенной образ жизни в независимых странах, является положительным моментом, который, как можно надеяться, найдет в ближайшее время конкретное выражение",</w:t>
      </w:r>
    </w:p>
    <w:p w:rsidR="00000000" w:rsidRDefault="00000000"/>
    <w:p w:rsidR="00000000" w:rsidRDefault="00000000">
      <w:r>
        <w:t>и […]</w:t>
      </w:r>
    </w:p>
    <w:p w:rsidR="00000000" w:rsidRDefault="00000000"/>
    <w:p w:rsidR="00000000" w:rsidRDefault="00000000">
      <w:pPr>
        <w:ind w:left="567" w:hanging="567"/>
      </w:pPr>
      <w:r>
        <w:tab/>
        <w:t>"Комитет призывает государство</w:t>
      </w:r>
      <w:r>
        <w:noBreakHyphen/>
        <w:t>участник ратифицировать Конвенцию № 169 МОТ о коренных народах и народах, ведущих племенной образ жизни в независимых странах";</w:t>
      </w:r>
    </w:p>
    <w:p w:rsidR="00000000" w:rsidRDefault="00000000">
      <w:pPr>
        <w:ind w:left="567" w:hanging="567"/>
      </w:pPr>
    </w:p>
    <w:p w:rsidR="00000000" w:rsidRDefault="00000000">
      <w:r>
        <w:t>то правительство Бразилии отметило, что Бразилия ратифицировала Конвенцию № 169 МОТ.  Подход к решению в стране вопроса, касающегося коренных народов, претерпел существенные изменения и в настоящее время предполагает всесторонний учет на постоянной основе аспекта прав человека.</w:t>
      </w:r>
    </w:p>
    <w:p w:rsidR="00000000" w:rsidRDefault="00000000"/>
    <w:p w:rsidR="00000000" w:rsidRDefault="00000000">
      <w:r>
        <w:t>556.</w:t>
      </w:r>
      <w:r>
        <w:tab/>
        <w:t xml:space="preserve">Что касается замечаний Комитета, изложенных в пункте 7, а именно: </w:t>
      </w:r>
    </w:p>
    <w:p w:rsidR="00000000" w:rsidRDefault="00000000"/>
    <w:p w:rsidR="00000000" w:rsidRDefault="00000000">
      <w:pPr>
        <w:ind w:left="567" w:hanging="567"/>
      </w:pPr>
      <w:r>
        <w:tab/>
        <w:t>"Позитивной оценки заслуживает факт активного участия представителей всех слоев общества в подготовке доклада государства-участника, а также высказанное властями Бразилии намерение обеспечить широкое распространение вышеупомянутого доклада и заключительных замечаний Комитета",</w:t>
      </w:r>
    </w:p>
    <w:p w:rsidR="00000000" w:rsidRDefault="00000000"/>
    <w:p w:rsidR="00000000" w:rsidRDefault="00000000">
      <w:r>
        <w:t>то Бразилия стремится следовать рекомендациям Комитета по ликвидации расовой дискриминации.  Позиция Комитета созвучна предпринимаемым правительством усилиям, имеющим целью стимулировать взаимодействие с гражданским обществом.  При подготовке настоящего сводного доклада весомый вклад внесли неправительственные организации, которые представили многочисленные материалы, включенные правительством в его текст.</w:t>
      </w:r>
    </w:p>
    <w:p w:rsidR="00000000" w:rsidRDefault="00000000"/>
    <w:p w:rsidR="00000000" w:rsidRDefault="00000000">
      <w:r>
        <w:t>557.</w:t>
      </w:r>
      <w:r>
        <w:tab/>
        <w:t>В пункте 8 Комитет отметил следующее:</w:t>
      </w:r>
    </w:p>
    <w:p w:rsidR="00000000" w:rsidRDefault="00000000"/>
    <w:p w:rsidR="00000000" w:rsidRDefault="00000000">
      <w:pPr>
        <w:ind w:left="567" w:hanging="567"/>
      </w:pPr>
      <w:r>
        <w:tab/>
        <w:t>"Статистические и качественные данные о демографическом составе населения Бразилии и об осуществлении политических, экономических, социальных и культурных прав, включенные в доклад государства-участника, со всей очевидностью свидетельствуют о том, что представители коренных народов, чернокожие и метисы проживают в условиях глубоких структурных диспропорций и что меры, принятые правительством в целях эффективной ликвидации этих диспропорций, все еще недостаточны";</w:t>
      </w:r>
    </w:p>
    <w:p w:rsidR="00000000" w:rsidRDefault="00000000">
      <w:pPr>
        <w:ind w:left="567" w:hanging="567"/>
      </w:pPr>
    </w:p>
    <w:p w:rsidR="00000000" w:rsidRDefault="00000000">
      <w:pPr>
        <w:ind w:left="567" w:hanging="567"/>
      </w:pPr>
      <w:r>
        <w:t>далее в пункте 9:</w:t>
      </w:r>
    </w:p>
    <w:p w:rsidR="00000000" w:rsidRDefault="00000000">
      <w:pPr>
        <w:ind w:left="567" w:hanging="567"/>
      </w:pPr>
    </w:p>
    <w:p w:rsidR="00000000" w:rsidRDefault="00000000">
      <w:pPr>
        <w:ind w:left="567" w:hanging="567"/>
      </w:pPr>
      <w:r>
        <w:tab/>
        <w:t>"Комитет отмечает, что в докладе не содержится сведений о "показателях", характеризующих особые социальные трудности наиболее уязвимых групп населения, в частности представителей коренных народов, чернокожих и метисов";</w:t>
      </w:r>
    </w:p>
    <w:p w:rsidR="00000000" w:rsidRDefault="00000000"/>
    <w:p w:rsidR="00000000" w:rsidRDefault="00000000">
      <w:r>
        <w:t>кроме того, в пункте 17:</w:t>
      </w:r>
    </w:p>
    <w:p w:rsidR="00000000" w:rsidRDefault="00000000"/>
    <w:p w:rsidR="00000000" w:rsidRDefault="00000000">
      <w:pPr>
        <w:ind w:left="567" w:hanging="567"/>
      </w:pPr>
      <w:r>
        <w:tab/>
        <w:t>"Комитет просит правительство Бразилии включить в свой следующий периодический доклад точные данные и "показатели", характеризующие социальные трудности, с которыми сталкиваются представители коренных народов, чернокожее население и метисы, в частности уровень безработицы, долю лиц, содержащихся в тюремном заключении, информацию об алкоголизме, наркомании, преступности и самоубийствах.  Комитет обращает также внимание государства-участника на необходимость разработки соответствующих "показателей", которые позволили бы оценить политику и программы, направленные на защиту и обеспечение прав уязвимых групп населения".</w:t>
      </w:r>
    </w:p>
    <w:p w:rsidR="00000000" w:rsidRDefault="00000000"/>
    <w:p w:rsidR="00000000" w:rsidRDefault="00000000">
      <w:r>
        <w:t>558.</w:t>
      </w:r>
      <w:r>
        <w:tab/>
        <w:t>В отношении вышеуказанных комментариев правительство Бразилии хотело бы отметить, что при подготовке настоящего сводного доклада и в порядке учета замечаний Комитета по ликвидации расовой дискриминации оно стремилось дать более детальный обзор на базе представленной информации, включая анализ с точки зрения статистических и демографических показателей.  В ходе проведения официальных обследований населения прилагались усилия по применению более комплексных методик, особенно в отношении тех групп, которые являются особенно уязвимыми перед проявлениями расизма и дискриминации, что позволяет получить более четкое представление об истинном положении дел в стране и о трудностях, которые еще предстоит преодолеть.  В настоящем докладе всякий раз, когда это возможно, приводятся развернутые статистические данные.</w:t>
      </w:r>
    </w:p>
    <w:p w:rsidR="00000000" w:rsidRDefault="00000000"/>
    <w:p w:rsidR="00000000" w:rsidRDefault="00000000">
      <w:r>
        <w:t>559.</w:t>
      </w:r>
      <w:r>
        <w:tab/>
        <w:t>В пункте 10 Комитет отметил следующее:</w:t>
      </w:r>
    </w:p>
    <w:p w:rsidR="00000000" w:rsidRDefault="00000000"/>
    <w:p w:rsidR="00000000" w:rsidRDefault="00000000">
      <w:pPr>
        <w:ind w:left="567" w:hanging="567"/>
      </w:pPr>
      <w:r>
        <w:tab/>
        <w:t>"Согласно различным источникам вполне согласующейся информации практика дискриминационного отношения к представителям коренных народов, чернокожим и метисам продолжает существовать в бразильском обществе, проявляясь на различных уровнях политической, экономической и социальной жизни страны.  Это дискриминационное отношение касается, среди прочего, права на жизнь и на личную безопасность, права на участие в политической деятельности, возможностей доступа к системе образования и к работе, доступа к элементарным коммунальным услугам, права на здоровье, права на надлежащее жилье, собственности на землю, землепользования и применения закона".</w:t>
      </w:r>
    </w:p>
    <w:p w:rsidR="00000000" w:rsidRDefault="00000000"/>
    <w:p w:rsidR="00000000" w:rsidRDefault="00000000">
      <w:r>
        <w:tab/>
        <w:t>Аналогичным образом, в пункте 11:</w:t>
      </w:r>
    </w:p>
    <w:p w:rsidR="00000000" w:rsidRDefault="00000000"/>
    <w:p w:rsidR="00000000" w:rsidRDefault="00000000">
      <w:pPr>
        <w:ind w:left="567" w:hanging="567"/>
      </w:pPr>
      <w:r>
        <w:tab/>
        <w:t>"Члены Комитета выражают особую озабоченность в связи с положением наиболее уязвимых групп населения, в частности представителей коренных народов, чернокожих и метисов".</w:t>
      </w:r>
    </w:p>
    <w:p w:rsidR="00000000" w:rsidRDefault="00000000"/>
    <w:p w:rsidR="00000000" w:rsidRDefault="00000000">
      <w:r>
        <w:t>560.</w:t>
      </w:r>
      <w:r>
        <w:tab/>
        <w:t>В своем ответе правительство Бразилии указало, что в настоящем сводном докладе эти аспекты рассматриваются самым подробным и обстоятельным образом.  Правительство Бразилии надеется, что тем самым оно откликнулось на выраженные Комитетом озабоченности.</w:t>
      </w:r>
    </w:p>
    <w:p w:rsidR="00000000" w:rsidRDefault="00000000"/>
    <w:p w:rsidR="00000000" w:rsidRDefault="00000000">
      <w:r>
        <w:t>561.</w:t>
      </w:r>
      <w:r>
        <w:tab/>
        <w:t>В ответ на выраженные Комитетом в пункте 12 озабоченности, а именно:</w:t>
      </w:r>
    </w:p>
    <w:p w:rsidR="00000000" w:rsidRDefault="00000000"/>
    <w:p w:rsidR="00000000" w:rsidRDefault="00000000">
      <w:pPr>
        <w:ind w:left="567" w:hanging="567"/>
      </w:pPr>
      <w:r>
        <w:tab/>
        <w:t>"Что касается осуществления статьи 2 Конвенции, то члены Комитета с озабоченностью отмечают медлительность в осуществлении некоторых законодательных реформ, в частности реформы Уголовного кодекса.  Они выражают озабоченность по поводу сохраняющейся до сих пор статьи 6 Гражданского кодекса Бразилии 1916 года, которая носит дискриминационный характер, ограничивая осуществление гражданских прав представителями коренного населения, и которая противоречит Конституции Бразилии 1988 года, хотя, согласно разъяснениям представителя Бразилии, ее положения больше не применяются",</w:t>
      </w:r>
    </w:p>
    <w:p w:rsidR="00000000" w:rsidRDefault="00000000"/>
    <w:p w:rsidR="00000000" w:rsidRDefault="00000000">
      <w:r>
        <w:t>правительство Бразилии указало, что реформы, о которых говорится в данном замечании, носят комплексный характер и требуют широкой мобилизации усилий в рамках как гражданского общества, так и Национального конгресса.  Правительство Бразилии хотело бы обратить внимание Комитета на информацию, представленную в предыдущем сводном докладе, и на комментарии членов бразильской делегации, высказанные в ходе устного представления этого доклада.</w:t>
      </w:r>
    </w:p>
    <w:p w:rsidR="00000000" w:rsidRDefault="00000000"/>
    <w:p w:rsidR="00000000" w:rsidRDefault="00000000">
      <w:r>
        <w:t>562.</w:t>
      </w:r>
      <w:r>
        <w:tab/>
        <w:t>В отношении озабоченностей, выраженных Комитетом в пункте 13, а именно:</w:t>
      </w:r>
    </w:p>
    <w:p w:rsidR="00000000" w:rsidRDefault="00000000"/>
    <w:p w:rsidR="00000000" w:rsidRDefault="00000000">
      <w:pPr>
        <w:ind w:left="567" w:hanging="567"/>
      </w:pPr>
      <w:r>
        <w:tab/>
        <w:t>"Тот факт, что неграмотный гражданин, особенно из числа коренного населения, чернокожих, метисов или других уязвимых групп, не может быть избран в состав какого-либо органа в ходе политических выборов, противоречит духу статьи 5 c) Конвенции",</w:t>
      </w:r>
    </w:p>
    <w:p w:rsidR="00000000" w:rsidRDefault="00000000"/>
    <w:p w:rsidR="00000000" w:rsidRDefault="00000000">
      <w:r>
        <w:t>и далее в пункте 18, где:</w:t>
      </w:r>
    </w:p>
    <w:p w:rsidR="00000000" w:rsidRDefault="00000000"/>
    <w:p w:rsidR="00000000" w:rsidRDefault="00000000">
      <w:pPr>
        <w:ind w:left="567" w:hanging="567"/>
      </w:pPr>
      <w:r>
        <w:tab/>
        <w:t>"Комитет рекомендует государству-участнику сделать все возможное для ускорения осуществляемой в настоящее время реформы законодательства и, в частности, для внесения поправки в статью 6 Гражданского кодекса Бразилии 1916 года, которая противоречит Конституции Бразилии 1988 года.  Государство-участник должно также принять меры к тому, чтобы обеспечить неграмотным гражданам, которые являются выходцами из групп населения, находящихся в наиболее неблагоприятных условиях, возможность быть избранными в ходе политических выборов",</w:t>
      </w:r>
    </w:p>
    <w:p w:rsidR="00000000" w:rsidRDefault="00000000"/>
    <w:p w:rsidR="00000000" w:rsidRDefault="00000000">
      <w:r>
        <w:t>правительство Бразилии ответило, что хотя неграмотные лица и не могут избираться на государственные должности, бразильское законодательство гарантирует им право на участие в голосовании.</w:t>
      </w:r>
    </w:p>
    <w:p w:rsidR="00000000" w:rsidRDefault="00000000"/>
    <w:p w:rsidR="00000000" w:rsidRDefault="00000000">
      <w:r>
        <w:t>563.</w:t>
      </w:r>
      <w:r>
        <w:tab/>
        <w:t xml:space="preserve">В отношении озабоченностей, выраженных Комитетом в пункте 14, а именно: </w:t>
      </w:r>
    </w:p>
    <w:p w:rsidR="00000000" w:rsidRDefault="00000000"/>
    <w:p w:rsidR="00000000" w:rsidRDefault="00000000">
      <w:pPr>
        <w:ind w:left="567" w:hanging="567"/>
      </w:pPr>
      <w:r>
        <w:tab/>
        <w:t>"В частности, отмечается, что представители коренных народов сталкиваются с серьезными случаями дискриминации в плане осуществления своих гражданских, политических, экономических, социальных и культурных прав.  Особую озабоченность вызывает несправедливое отношение к представителям коренных народов в процессе определения границ и распределения земель, насильственное и противозаконное урегулирование многочисленных земельных конфликтов, а также случаи насилия и запугивания, которому подвергаются эти представители со стороны сотрудников частной, а иногда даже военной полиции.  Члены Комитета также высказывают беспокойство по поводу социальной защиты представителей этой группы населения и дискриминации, которой они подвергаются в области здравоохранения, образования, культуры, занятости, доступа к государственной службе и к получению жилья";</w:t>
      </w:r>
    </w:p>
    <w:p w:rsidR="00000000" w:rsidRDefault="00000000"/>
    <w:p w:rsidR="00000000" w:rsidRDefault="00000000">
      <w:r>
        <w:t>и в пункте 20 раздела "Предложения и рекомендации":</w:t>
      </w:r>
    </w:p>
    <w:p w:rsidR="00000000" w:rsidRDefault="00000000"/>
    <w:p w:rsidR="00000000" w:rsidRDefault="00000000">
      <w:pPr>
        <w:ind w:left="567" w:hanging="567"/>
      </w:pPr>
      <w:r>
        <w:tab/>
        <w:t>"Комитет настоятельно рекомендует государству-участнику принять справедливые и сбалансированные решения, касающиеся определения границ, распределения и возвращения земель.  Что касается земельных конфликтов, то в этой связи необходимо принять всяческие меры в целях исключения случаев дискриминации в отношении представителей коренных народов, чернокожих или метисов со стороны крупных землевладельцев";</w:t>
      </w:r>
    </w:p>
    <w:p w:rsidR="00000000" w:rsidRDefault="00000000"/>
    <w:p w:rsidR="00000000" w:rsidRDefault="00000000">
      <w:r>
        <w:t>а также в пункте 19 раздела "Предложения и рекомендации":</w:t>
      </w:r>
    </w:p>
    <w:p w:rsidR="00000000" w:rsidRDefault="00000000"/>
    <w:p w:rsidR="00000000" w:rsidRDefault="00000000">
      <w:pPr>
        <w:ind w:left="567" w:hanging="567"/>
      </w:pPr>
      <w:r>
        <w:tab/>
        <w:t>"Комитет рекомендует правительству Бразилии более энергично проявлять свою волю в деле защиты основных прав коренных народов, чернокожего населения, метисов и представителей других уязвимых групп, которые регулярно являются жертвами жестокого насилия и запугивания, приводивших в отдельных случаях к смерти этих людей.  Он выражает пожелание, чтобы соответствующие органы принимали систематические меры по судебному преследованию виновных в таких преступлениях лиц, независимо от того, являются ли они сотрудниками частной или государственной полиции, а также эффективные превентивные меры, в частности по линии обучения сотрудников военной полиции.  Кроме того, государству-участнику необходимо следить за тем, чтобы лица, пострадавшие в результате таких актов, получали соответствующую компенсацию, и были обеспечены соответствующие меры по их реабилитации",</w:t>
      </w:r>
    </w:p>
    <w:p w:rsidR="00000000" w:rsidRDefault="00000000"/>
    <w:p w:rsidR="00000000" w:rsidRDefault="00000000">
      <w:r>
        <w:t>правительство Бразилии отметило, что настоящий сводный доклад призван проинформировать Комитет о различных изменениях в деле решения проблемы коренного населения Бразилии, которые произошли со времени представления предыдущего доклада.  Урегулирование земельных конфликтов требует внимательного отношения и проведения расследований с привлечением органов судебной власти.  К некоторым из упомянутых Комитетом аспектов следует подходить с точки зрения уважения этнического разнообразия и многообразия.  Активно поощряется участие коренного населения в процессе принятия решений.  Помимо изменений, происшедших на национальном уровне, необходимо особо отметить активное участие Бразилии в ведущихся в настоящее время переговорах относительно принятия Всеобщей и Межамериканской деклараций о правах коренных народов, а также в переговорах, вылившихся в создание при Экономическом и Социальном Совете Постоянного форума по вопросам коренных народов.  На международном уровне Бразилия внесла свой вклад в усилия по пересмотру характера деятельности Межамериканского института по вопросам индейского населения; в латиноамериканском же контексте Бразилия принимала участие в совещаниях, посвященных внесению изменений в структуру Фонда коренных народов.</w:t>
      </w:r>
    </w:p>
    <w:p w:rsidR="00000000" w:rsidRDefault="00000000"/>
    <w:p w:rsidR="00000000" w:rsidRDefault="00000000">
      <w:r>
        <w:t>564.</w:t>
      </w:r>
      <w:r>
        <w:tab/>
        <w:t>В пункте 15 Комитет с обеспокоенностью отметил следующее:</w:t>
      </w:r>
    </w:p>
    <w:p w:rsidR="00000000" w:rsidRDefault="00000000"/>
    <w:p w:rsidR="00000000" w:rsidRDefault="00000000">
      <w:pPr>
        <w:ind w:left="567" w:hanging="567"/>
      </w:pPr>
      <w:r>
        <w:tab/>
        <w:t>"Что касается применения статьи 6 Конвенции, то Комитет с сожалением констатирует, что сведения, представленные относительно случаев судебных исков, с которым обращались лица, пострадавшие в результате актов расовой дискриминации, являются недостаточными и не позволяют сделать должную оценку",</w:t>
      </w:r>
    </w:p>
    <w:p w:rsidR="00000000" w:rsidRDefault="00000000"/>
    <w:p w:rsidR="00000000" w:rsidRDefault="00000000">
      <w:r>
        <w:t>добавив при этом в пункте 22 раздела "Предложения и рекомендации", что:</w:t>
      </w:r>
    </w:p>
    <w:p w:rsidR="00000000" w:rsidRDefault="00000000"/>
    <w:p w:rsidR="00000000" w:rsidRDefault="00000000">
      <w:pPr>
        <w:ind w:left="567" w:hanging="567"/>
      </w:pPr>
      <w:r>
        <w:tab/>
        <w:t>"Комитет рекомендует включить в следующий периодический доклад Бразилии подробную информацию о жалобах, представленных жертвами актов расовой дискриминации, и о судебных мерах, которые были приняты по этим жалобам".</w:t>
      </w:r>
    </w:p>
    <w:p w:rsidR="00000000" w:rsidRDefault="00000000"/>
    <w:p w:rsidR="00000000" w:rsidRDefault="00000000">
      <w:r>
        <w:t>565.</w:t>
      </w:r>
      <w:r>
        <w:tab/>
        <w:t>В своем ответе правительство Бразилии указало, что в этом отношении был достигнут значительный прогресс.  В порядке учета выраженных Комитетом озабоченностей в настоящем сводном докладе подробно освещаются правовые меры, принятые по фактам проявления расовой дискриминации.</w:t>
      </w:r>
    </w:p>
    <w:p w:rsidR="00000000" w:rsidRDefault="00000000"/>
    <w:p w:rsidR="00000000" w:rsidRDefault="00000000">
      <w:r>
        <w:t>566.</w:t>
      </w:r>
      <w:r>
        <w:tab/>
        <w:t xml:space="preserve">В ответ на предложения и рекомендации, высказанные в пункте 16, а именно: </w:t>
      </w:r>
    </w:p>
    <w:p w:rsidR="00000000" w:rsidRDefault="00000000"/>
    <w:p w:rsidR="00000000" w:rsidRDefault="00000000">
      <w:pPr>
        <w:ind w:left="567" w:hanging="567"/>
      </w:pPr>
      <w:r>
        <w:tab/>
        <w:t>"Комитет выражает надежду, что государство-участник продолжит и активизирует свои усилия, направленные на повышение эффективности мер и программ, имеющих целью гарантировать всем группам населения возможность осуществления в полном объеме их политических, экономических, социальных и культурных прав.  Комитет также рекомендует государству-участнику обратить должное внимание на разработку программ, ориентированных на повышение информированности по вопросам прав человека и воспитание чувства терпимости, с тем чтобы предотвратить дискриминацию и социальные и расовые предрассудки",</w:t>
      </w:r>
    </w:p>
    <w:p w:rsidR="00000000" w:rsidRDefault="00000000"/>
    <w:p w:rsidR="00000000" w:rsidRDefault="00000000">
      <w:r>
        <w:t>правительство Бразилии указало, что в настоящем сводном докладе обстоятельно рассматриваются принятые меры и намечаются возможные перспективы учета выраженной Комитетом обеспокоенности.</w:t>
      </w:r>
    </w:p>
    <w:p w:rsidR="00000000" w:rsidRDefault="00000000"/>
    <w:p w:rsidR="00000000" w:rsidRDefault="00000000">
      <w:r>
        <w:t>567.</w:t>
      </w:r>
      <w:r>
        <w:tab/>
        <w:t xml:space="preserve">Наконец, в ответ на предложения и рекомендации, высказанные в пункте 24, а именно: </w:t>
      </w:r>
    </w:p>
    <w:p w:rsidR="00000000" w:rsidRDefault="00000000"/>
    <w:p w:rsidR="00000000" w:rsidRDefault="00000000">
      <w:pPr>
        <w:ind w:left="567" w:hanging="567"/>
      </w:pPr>
      <w:r>
        <w:tab/>
        <w:t>"Комитет рекомендует государству</w:t>
      </w:r>
      <w:r>
        <w:noBreakHyphen/>
        <w:t>участнику как можно скорее ратифицировать поправки к пункту 6 статьи 8 Конвенции, которые были приняты на четырнадцатом совещании государств-участников",</w:t>
      </w:r>
    </w:p>
    <w:p w:rsidR="00000000" w:rsidRDefault="00000000"/>
    <w:p w:rsidR="00000000" w:rsidRDefault="00000000">
      <w:r>
        <w:t>правительство Бразилии указало, что в настоящее время рассматривается возможность ратификации поправок, о которых говорится в вышеуказанном замечании.</w:t>
      </w:r>
    </w:p>
    <w:p w:rsidR="00000000" w:rsidRDefault="00000000"/>
    <w:p w:rsidR="00000000" w:rsidRDefault="00000000">
      <w:pPr>
        <w:pStyle w:val="16"/>
      </w:pPr>
      <w:r>
        <w:t>------</w:t>
      </w:r>
    </w:p>
    <w:p w:rsidR="00000000" w:rsidRDefault="00000000">
      <w:pPr>
        <w:jc w:val="center"/>
      </w:pPr>
    </w:p>
    <w:p w:rsidR="00000000" w:rsidRDefault="00000000">
      <w:pPr>
        <w:ind w:left="1134" w:hanging="1134"/>
        <w:rPr>
          <w:lang w:val="en-US"/>
        </w:rPr>
      </w:pPr>
    </w:p>
    <w:sectPr w:rsidR="00000000">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С приложениями можно ознакомиться с архивах секретариата.</w:t>
      </w:r>
    </w:p>
  </w:footnote>
  <w:footnote w:id="2">
    <w:p w:rsidR="00000000" w:rsidRDefault="00000000">
      <w:pPr>
        <w:pStyle w:val="FootnoteText"/>
      </w:pPr>
      <w:r>
        <w:rPr>
          <w:rStyle w:val="FootnoteReference"/>
        </w:rPr>
        <w:footnoteRef/>
      </w:r>
      <w:r>
        <w:t xml:space="preserve"> </w:t>
      </w:r>
      <w:r>
        <w:tab/>
      </w:r>
      <w:r>
        <w:rPr>
          <w:i/>
          <w:iCs/>
          <w:lang w:val="en-US"/>
        </w:rPr>
        <w:t>Folha</w:t>
      </w:r>
      <w:r>
        <w:rPr>
          <w:i/>
          <w:iCs/>
        </w:rPr>
        <w:t xml:space="preserve"> </w:t>
      </w:r>
      <w:r>
        <w:rPr>
          <w:i/>
          <w:iCs/>
          <w:lang w:val="en-US"/>
        </w:rPr>
        <w:t>de</w:t>
      </w:r>
      <w:r>
        <w:rPr>
          <w:i/>
          <w:iCs/>
        </w:rPr>
        <w:t xml:space="preserve"> </w:t>
      </w:r>
      <w:r>
        <w:rPr>
          <w:i/>
          <w:iCs/>
          <w:lang w:val="en-US"/>
        </w:rPr>
        <w:t>S</w:t>
      </w:r>
      <w:r>
        <w:rPr>
          <w:i/>
          <w:iCs/>
        </w:rPr>
        <w:t xml:space="preserve">. </w:t>
      </w:r>
      <w:r>
        <w:rPr>
          <w:i/>
          <w:iCs/>
          <w:lang w:val="en-US"/>
        </w:rPr>
        <w:t>Paulo</w:t>
      </w:r>
      <w:r>
        <w:t xml:space="preserve"> от 6 апреля 2000 года.</w:t>
      </w:r>
    </w:p>
  </w:footnote>
  <w:footnote w:id="3">
    <w:p w:rsidR="00000000" w:rsidRDefault="00000000">
      <w:pPr>
        <w:pStyle w:val="FootnoteText"/>
      </w:pPr>
      <w:r>
        <w:rPr>
          <w:rStyle w:val="FootnoteReference"/>
        </w:rPr>
        <w:t>2</w:t>
      </w:r>
      <w:r>
        <w:tab/>
        <w:t>Фонд СЕАДЕ.</w:t>
      </w:r>
    </w:p>
  </w:footnote>
  <w:footnote w:id="4">
    <w:p w:rsidR="00000000" w:rsidRDefault="00000000">
      <w:pPr>
        <w:pStyle w:val="FootnoteText"/>
      </w:pPr>
      <w:r>
        <w:rPr>
          <w:rStyle w:val="FootnoteReference"/>
        </w:rPr>
        <w:t>3</w:t>
      </w:r>
      <w:r>
        <w:tab/>
        <w:t>Сан-Паулу, Рио-де-Жанейро, Баия, Пернамбуку, Сеара, Алагоас, Гояс, Риу-Гранди-ду-Сул, Амазонас, Сержипи, Федеральный округ, Акри, Риу-Гранди-ду-Норти и Рорайма.</w:t>
      </w:r>
    </w:p>
  </w:footnote>
  <w:footnote w:id="5">
    <w:p w:rsidR="00000000" w:rsidRDefault="00000000">
      <w:pPr>
        <w:pStyle w:val="FootnoteText"/>
      </w:pPr>
      <w:r>
        <w:rPr>
          <w:rStyle w:val="FootnoteReference"/>
          <w:lang w:val="en-US"/>
        </w:rPr>
        <w:t>4</w:t>
      </w:r>
      <w:r>
        <w:rPr>
          <w:lang w:val="en-US"/>
        </w:rPr>
        <w:tab/>
      </w:r>
      <w:r>
        <w:t>ФАО</w:t>
      </w:r>
      <w:r>
        <w:rPr>
          <w:lang w:val="en-US"/>
        </w:rPr>
        <w:t>, "Report on food insecurity in the world". Sofi</w:t>
      </w:r>
      <w:r>
        <w:t>:  2000.</w:t>
      </w:r>
    </w:p>
  </w:footnote>
  <w:footnote w:id="6">
    <w:p w:rsidR="00000000" w:rsidRDefault="00000000">
      <w:pPr>
        <w:pStyle w:val="FootnoteText"/>
      </w:pPr>
      <w:r>
        <w:rPr>
          <w:rStyle w:val="FootnoteReference"/>
        </w:rPr>
        <w:t>5</w:t>
      </w:r>
      <w:r>
        <w:tab/>
        <w:t>Последние имеющиеся данные, отражающие положение дел в масштабах страны.</w:t>
      </w:r>
    </w:p>
  </w:footnote>
  <w:footnote w:id="7">
    <w:p w:rsidR="00000000" w:rsidRDefault="00000000">
      <w:pPr>
        <w:pStyle w:val="FootnoteText"/>
      </w:pPr>
      <w:r>
        <w:rPr>
          <w:rStyle w:val="FootnoteReference"/>
        </w:rPr>
        <w:t>6</w:t>
      </w:r>
      <w:r>
        <w:tab/>
      </w:r>
      <w:r>
        <w:rPr>
          <w:bCs/>
        </w:rPr>
        <w:t>ОГООИ квалифицировала 58 неправительственных организаций, а</w:t>
      </w:r>
      <w:r>
        <w:t xml:space="preserve"> SCM - 14.  До 1995 года эксперименты в этой сфере среди гражданских общественных организаций были немногочисленны, а частный сектор участия в них не принимал.  Правительственные меры были сосредоточены на очень узком участке.</w:t>
      </w:r>
    </w:p>
  </w:footnote>
  <w:footnote w:id="8">
    <w:p w:rsidR="00000000" w:rsidRDefault="00000000">
      <w:pPr>
        <w:pStyle w:val="FootnoteText"/>
      </w:pPr>
      <w:r>
        <w:rPr>
          <w:rStyle w:val="FootnoteReference"/>
        </w:rPr>
        <w:t>7</w:t>
      </w:r>
      <w:r>
        <w:tab/>
        <w:t>Фискальная единица - это мера, выраженная в гектарах.  Она установлена для каждого муниципалитета на основе ряда факторов, таких, как профилирующий вид деятельности в муниципалитете, доход, получаемый от видов деятельности такого рода, и так далее.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CERD/C/431/Add.8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CERD/C/431/Add.8</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p w:rsidR="00000000" w:rsidRDefault="00000000">
    <w:pPr>
      <w:pStyle w:val="Header"/>
      <w:tabs>
        <w:tab w:val="left" w:pos="6237"/>
        <w:tab w:val="left" w:pos="7088"/>
      </w:tabs>
      <w:rPr>
        <w:rStyle w:val="PageNumber"/>
        <w:lang w:val="en-US"/>
      </w:rPr>
    </w:pPr>
  </w:p>
  <w:p w:rsidR="00000000" w:rsidRDefault="00000000">
    <w:pPr>
      <w:pStyle w:val="Header"/>
      <w:tabs>
        <w:tab w:val="left" w:pos="6237"/>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4"/>
  </w:num>
  <w:num w:numId="3">
    <w:abstractNumId w:val="27"/>
  </w:num>
  <w:num w:numId="4">
    <w:abstractNumId w:val="16"/>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2"/>
  </w:num>
  <w:num w:numId="12">
    <w:abstractNumId w:val="25"/>
  </w:num>
  <w:num w:numId="13">
    <w:abstractNumId w:val="19"/>
  </w:num>
  <w:num w:numId="14">
    <w:abstractNumId w:val="1"/>
  </w:num>
  <w:num w:numId="15">
    <w:abstractNumId w:val="0"/>
  </w:num>
  <w:num w:numId="16">
    <w:abstractNumId w:val="17"/>
  </w:num>
  <w:num w:numId="17">
    <w:abstractNumId w:val="10"/>
  </w:num>
  <w:num w:numId="18">
    <w:abstractNumId w:val="15"/>
  </w:num>
  <w:num w:numId="19">
    <w:abstractNumId w:val="12"/>
  </w:num>
  <w:num w:numId="20">
    <w:abstractNumId w:val="21"/>
  </w:num>
  <w:num w:numId="21">
    <w:abstractNumId w:val="24"/>
  </w:num>
  <w:num w:numId="22">
    <w:abstractNumId w:val="2"/>
  </w:num>
  <w:num w:numId="23">
    <w:abstractNumId w:val="3"/>
  </w:num>
  <w:num w:numId="24">
    <w:abstractNumId w:val="8"/>
  </w:num>
  <w:num w:numId="25">
    <w:abstractNumId w:val="7"/>
  </w:num>
  <w:num w:numId="26">
    <w:abstractNumId w:val="6"/>
  </w:num>
  <w:num w:numId="27">
    <w:abstractNumId w:val="5"/>
  </w:num>
  <w:num w:numId="28">
    <w:abstractNumId w:val="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left" w:pos="0"/>
        <w:tab w:val="left" w:pos="7086"/>
      </w:tabs>
      <w:suppressAutoHyphens/>
      <w:jc w:val="center"/>
    </w:pPr>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63165</Words>
  <Characters>360046</Characters>
  <Application>Microsoft Office Word</Application>
  <DocSecurity>4</DocSecurity>
  <Lines>3000</Lines>
  <Paragraphs>720</Paragraphs>
  <ScaleCrop>false</ScaleCrop>
  <HeadingPairs>
    <vt:vector size="2" baseType="variant">
      <vt:variant>
        <vt:lpstr>Название</vt:lpstr>
      </vt:variant>
      <vt:variant>
        <vt:i4>1</vt:i4>
      </vt:variant>
    </vt:vector>
  </HeadingPairs>
  <TitlesOfParts>
    <vt:vector size="1" baseType="lpstr">
      <vt:lpstr>0344412.doc</vt:lpstr>
    </vt:vector>
  </TitlesOfParts>
  <Company> </Company>
  <LinksUpToDate>false</LinksUpToDate>
  <CharactersWithSpaces>442161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0344412.doc</dc:title>
  <dc:subject>Муравьев</dc:subject>
  <dc:creator>TDudnikova</dc:creator>
  <cp:keywords/>
  <dc:description/>
  <cp:lastModifiedBy>Tamara Dudnikova</cp:lastModifiedBy>
  <cp:revision>3</cp:revision>
  <cp:lastPrinted>2004-01-07T10:20:00Z</cp:lastPrinted>
  <dcterms:created xsi:type="dcterms:W3CDTF">2004-01-07T10:19:00Z</dcterms:created>
  <dcterms:modified xsi:type="dcterms:W3CDTF">2004-01-07T10:21:00Z</dcterms:modified>
</cp:coreProperties>
</file>