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A4BD4" w:rsidRPr="00DB58B5" w14:paraId="646B0ED3" w14:textId="77777777" w:rsidTr="008A537D">
        <w:trPr>
          <w:trHeight w:hRule="exact" w:val="851"/>
        </w:trPr>
        <w:tc>
          <w:tcPr>
            <w:tcW w:w="1276" w:type="dxa"/>
            <w:tcBorders>
              <w:bottom w:val="single" w:sz="4" w:space="0" w:color="auto"/>
            </w:tcBorders>
          </w:tcPr>
          <w:p w14:paraId="646B0ED0" w14:textId="77777777" w:rsidR="003A4BD4" w:rsidRPr="00DB58B5" w:rsidRDefault="003A4BD4" w:rsidP="008A537D"/>
        </w:tc>
        <w:tc>
          <w:tcPr>
            <w:tcW w:w="2268" w:type="dxa"/>
            <w:tcBorders>
              <w:bottom w:val="single" w:sz="4" w:space="0" w:color="auto"/>
            </w:tcBorders>
            <w:vAlign w:val="bottom"/>
          </w:tcPr>
          <w:p w14:paraId="646B0ED1" w14:textId="77777777" w:rsidR="003A4BD4" w:rsidRPr="00DB58B5" w:rsidRDefault="003A4BD4" w:rsidP="008A537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6B0ED2" w14:textId="1AAC3B31" w:rsidR="003A4BD4" w:rsidRPr="006F0031" w:rsidRDefault="006F0031" w:rsidP="006F0031">
            <w:pPr>
              <w:jc w:val="right"/>
            </w:pPr>
            <w:r w:rsidRPr="006F0031">
              <w:rPr>
                <w:sz w:val="40"/>
              </w:rPr>
              <w:t>CERD</w:t>
            </w:r>
            <w:r>
              <w:t>/C/MCO/Q/7-9</w:t>
            </w:r>
          </w:p>
        </w:tc>
      </w:tr>
      <w:tr w:rsidR="003A4BD4" w:rsidRPr="00DB58B5" w14:paraId="646B0EDB" w14:textId="77777777" w:rsidTr="008A537D">
        <w:trPr>
          <w:trHeight w:hRule="exact" w:val="2835"/>
        </w:trPr>
        <w:tc>
          <w:tcPr>
            <w:tcW w:w="1276" w:type="dxa"/>
            <w:tcBorders>
              <w:top w:val="single" w:sz="4" w:space="0" w:color="auto"/>
              <w:bottom w:val="single" w:sz="12" w:space="0" w:color="auto"/>
            </w:tcBorders>
          </w:tcPr>
          <w:p w14:paraId="646B0ED4" w14:textId="77777777" w:rsidR="003A4BD4" w:rsidRPr="00DB58B5" w:rsidRDefault="00735770" w:rsidP="008A537D">
            <w:pPr>
              <w:spacing w:before="120"/>
              <w:jc w:val="center"/>
            </w:pPr>
            <w:r>
              <w:rPr>
                <w:noProof/>
                <w:lang w:val="en-GB" w:eastAsia="en-GB"/>
              </w:rPr>
              <w:drawing>
                <wp:inline distT="0" distB="0" distL="0" distR="0" wp14:anchorId="646B0EE7" wp14:editId="646B0E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6B0ED5" w14:textId="77777777" w:rsidR="003A4BD4" w:rsidRPr="00740562" w:rsidRDefault="003A4BD4" w:rsidP="008A537D">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46B0ED6" w14:textId="77777777" w:rsidR="003A4BD4" w:rsidRPr="00894D8C" w:rsidRDefault="003A4BD4" w:rsidP="008A537D">
            <w:pPr>
              <w:spacing w:before="240"/>
            </w:pPr>
            <w:r w:rsidRPr="00894D8C">
              <w:t>Distr. générale</w:t>
            </w:r>
          </w:p>
          <w:p w14:paraId="646B0ED7" w14:textId="1579904F" w:rsidR="003A4BD4" w:rsidRPr="00894D8C" w:rsidRDefault="00CE7AB4" w:rsidP="003A4BD4">
            <w:r>
              <w:t>7</w:t>
            </w:r>
            <w:r w:rsidR="00732218">
              <w:t> octobre</w:t>
            </w:r>
            <w:r w:rsidR="001E6685" w:rsidRPr="00894D8C">
              <w:t xml:space="preserve"> 202</w:t>
            </w:r>
            <w:r w:rsidR="006E2472">
              <w:t>4</w:t>
            </w:r>
          </w:p>
          <w:p w14:paraId="646B0ED8" w14:textId="77777777" w:rsidR="003A4BD4" w:rsidRPr="00894D8C" w:rsidRDefault="003A4BD4" w:rsidP="003A4BD4"/>
          <w:p w14:paraId="646B0ED9" w14:textId="63CB2A8B" w:rsidR="003A4BD4" w:rsidRPr="00894D8C" w:rsidRDefault="002C0FA6" w:rsidP="003A4BD4">
            <w:r w:rsidRPr="00894D8C">
              <w:t>Original :</w:t>
            </w:r>
            <w:r w:rsidR="00545061" w:rsidRPr="00894D8C">
              <w:t xml:space="preserve"> </w:t>
            </w:r>
            <w:r w:rsidRPr="00894D8C">
              <w:t>français</w:t>
            </w:r>
          </w:p>
          <w:p w14:paraId="646B0EDA" w14:textId="73A1F273" w:rsidR="00FE7484" w:rsidRPr="00DB58B5" w:rsidRDefault="00C27588" w:rsidP="003A4BD4">
            <w:r>
              <w:t>Anglais, espagnol et français seulement</w:t>
            </w:r>
          </w:p>
        </w:tc>
      </w:tr>
    </w:tbl>
    <w:p w14:paraId="646B0EDC" w14:textId="77777777" w:rsidR="003A4BD4" w:rsidRPr="00C56102" w:rsidRDefault="003A4BD4" w:rsidP="003A4BD4">
      <w:pPr>
        <w:spacing w:before="120"/>
        <w:rPr>
          <w:b/>
          <w:sz w:val="24"/>
          <w:szCs w:val="24"/>
        </w:rPr>
      </w:pPr>
      <w:r w:rsidRPr="00C56102">
        <w:rPr>
          <w:b/>
          <w:sz w:val="24"/>
          <w:szCs w:val="24"/>
        </w:rPr>
        <w:t>Comité pour l</w:t>
      </w:r>
      <w:r>
        <w:rPr>
          <w:b/>
          <w:sz w:val="24"/>
          <w:szCs w:val="24"/>
        </w:rPr>
        <w:t>’</w:t>
      </w:r>
      <w:r w:rsidRPr="00C56102">
        <w:rPr>
          <w:b/>
          <w:sz w:val="24"/>
          <w:szCs w:val="24"/>
        </w:rPr>
        <w:t>élimination de la discrimination raciale</w:t>
      </w:r>
    </w:p>
    <w:p w14:paraId="646B0EDD" w14:textId="49E50790" w:rsidR="003A4BD4" w:rsidRPr="001E6685" w:rsidRDefault="001E6685" w:rsidP="003A4BD4">
      <w:pPr>
        <w:rPr>
          <w:b/>
          <w:lang w:val="fr-FR"/>
        </w:rPr>
      </w:pPr>
      <w:r w:rsidRPr="001E6685">
        <w:rPr>
          <w:b/>
          <w:lang w:val="fr-FR"/>
        </w:rPr>
        <w:t>1</w:t>
      </w:r>
      <w:r w:rsidR="004F6399">
        <w:rPr>
          <w:b/>
          <w:lang w:val="fr-FR"/>
        </w:rPr>
        <w:t>14</w:t>
      </w:r>
      <w:r w:rsidR="00501409" w:rsidRPr="00EF3199">
        <w:rPr>
          <w:b/>
          <w:vertAlign w:val="superscript"/>
          <w:lang w:val="fr-FR"/>
        </w:rPr>
        <w:t>e</w:t>
      </w:r>
      <w:r w:rsidR="003A4BD4" w:rsidRPr="001E6685">
        <w:rPr>
          <w:b/>
          <w:lang w:val="fr-FR"/>
        </w:rPr>
        <w:t xml:space="preserve"> session</w:t>
      </w:r>
      <w:r w:rsidR="00545061" w:rsidRPr="001E6685">
        <w:rPr>
          <w:b/>
          <w:lang w:val="fr-FR"/>
        </w:rPr>
        <w:t xml:space="preserve"> </w:t>
      </w:r>
    </w:p>
    <w:p w14:paraId="646B0EDE" w14:textId="26DF181F" w:rsidR="003A4BD4" w:rsidRPr="001E6685" w:rsidRDefault="00501409" w:rsidP="003A4BD4">
      <w:pPr>
        <w:rPr>
          <w:lang w:val="fr-FR"/>
        </w:rPr>
      </w:pPr>
      <w:r>
        <w:rPr>
          <w:lang w:val="fr-FR"/>
        </w:rPr>
        <w:t xml:space="preserve">Genève, </w:t>
      </w:r>
      <w:r w:rsidR="004F6399">
        <w:rPr>
          <w:lang w:val="fr-FR"/>
        </w:rPr>
        <w:t>25 novembre</w:t>
      </w:r>
      <w:r w:rsidR="0023017D">
        <w:rPr>
          <w:lang w:val="fr-FR"/>
        </w:rPr>
        <w:t>-</w:t>
      </w:r>
      <w:r w:rsidR="004F6399">
        <w:rPr>
          <w:lang w:val="fr-FR"/>
        </w:rPr>
        <w:t>13 décembre</w:t>
      </w:r>
      <w:r w:rsidR="001E6685" w:rsidRPr="001E6685">
        <w:rPr>
          <w:lang w:val="fr-FR"/>
        </w:rPr>
        <w:t xml:space="preserve"> 202</w:t>
      </w:r>
      <w:r w:rsidR="006E2472">
        <w:rPr>
          <w:lang w:val="fr-FR"/>
        </w:rPr>
        <w:t>4</w:t>
      </w:r>
    </w:p>
    <w:p w14:paraId="646B0EDF" w14:textId="23E96B9F" w:rsidR="003A4BD4" w:rsidRPr="00876A0B" w:rsidRDefault="003A4BD4" w:rsidP="003A4BD4">
      <w:pPr>
        <w:rPr>
          <w:lang w:val="fr-FR"/>
        </w:rPr>
      </w:pPr>
      <w:r w:rsidRPr="00B902EA">
        <w:rPr>
          <w:lang w:val="fr-FR"/>
        </w:rPr>
        <w:t xml:space="preserve">Point </w:t>
      </w:r>
      <w:r w:rsidR="00AB27A5" w:rsidRPr="00B902EA">
        <w:t>4</w:t>
      </w:r>
      <w:r w:rsidR="003A0395" w:rsidRPr="00B902EA">
        <w:t xml:space="preserve"> </w:t>
      </w:r>
      <w:r w:rsidRPr="00B902EA">
        <w:rPr>
          <w:lang w:val="fr-FR"/>
        </w:rPr>
        <w:t xml:space="preserve">de </w:t>
      </w:r>
      <w:r w:rsidRPr="00876A0B">
        <w:rPr>
          <w:lang w:val="fr-FR"/>
        </w:rPr>
        <w:t>l</w:t>
      </w:r>
      <w:r>
        <w:rPr>
          <w:lang w:val="fr-FR"/>
        </w:rPr>
        <w:t>’</w:t>
      </w:r>
      <w:r w:rsidRPr="00876A0B">
        <w:rPr>
          <w:lang w:val="fr-FR"/>
        </w:rPr>
        <w:t>ordre du jour provisoire</w:t>
      </w:r>
    </w:p>
    <w:p w14:paraId="646B0EE0" w14:textId="77777777" w:rsidR="003A4BD4" w:rsidRPr="00876A0B" w:rsidRDefault="003A4BD4" w:rsidP="003A4BD4">
      <w:pPr>
        <w:rPr>
          <w:b/>
          <w:lang w:val="fr-FR"/>
        </w:rPr>
      </w:pPr>
      <w:r w:rsidRPr="00876A0B">
        <w:rPr>
          <w:b/>
          <w:lang w:val="fr-FR"/>
        </w:rPr>
        <w:t xml:space="preserve">Examen des rapports, observations et renseignements soumis </w:t>
      </w:r>
      <w:r w:rsidRPr="00876A0B">
        <w:rPr>
          <w:b/>
          <w:lang w:val="fr-FR"/>
        </w:rPr>
        <w:br/>
        <w:t>par les États parties en application de l</w:t>
      </w:r>
      <w:r>
        <w:rPr>
          <w:b/>
          <w:lang w:val="fr-FR"/>
        </w:rPr>
        <w:t>’</w:t>
      </w:r>
      <w:r w:rsidRPr="00876A0B">
        <w:rPr>
          <w:b/>
          <w:lang w:val="fr-FR"/>
        </w:rPr>
        <w:t>article</w:t>
      </w:r>
      <w:r>
        <w:rPr>
          <w:b/>
          <w:lang w:val="fr-FR"/>
        </w:rPr>
        <w:t xml:space="preserve"> </w:t>
      </w:r>
      <w:r w:rsidRPr="00876A0B">
        <w:rPr>
          <w:b/>
          <w:lang w:val="fr-FR"/>
        </w:rPr>
        <w:t>9 de la Convention</w:t>
      </w:r>
    </w:p>
    <w:p w14:paraId="646B0EE1" w14:textId="490C79B4" w:rsidR="003A4BD4" w:rsidRPr="00846CC0" w:rsidRDefault="003A4BD4" w:rsidP="00846CC0">
      <w:pPr>
        <w:pStyle w:val="HChG"/>
      </w:pPr>
      <w:r w:rsidRPr="00846CC0">
        <w:tab/>
      </w:r>
      <w:r w:rsidRPr="00846CC0">
        <w:tab/>
        <w:t xml:space="preserve">Liste de thèmes concernant </w:t>
      </w:r>
      <w:r w:rsidR="00643D58" w:rsidRPr="00846CC0">
        <w:t xml:space="preserve">le rapport </w:t>
      </w:r>
      <w:r w:rsidR="001E6685" w:rsidRPr="00846CC0">
        <w:t>d</w:t>
      </w:r>
      <w:r w:rsidR="004F51EF">
        <w:t>e</w:t>
      </w:r>
      <w:r w:rsidR="00643D58" w:rsidRPr="00846CC0">
        <w:t xml:space="preserve"> Monaco</w:t>
      </w:r>
      <w:r w:rsidR="00180A42" w:rsidRPr="00846CC0">
        <w:t xml:space="preserve"> valant</w:t>
      </w:r>
      <w:r w:rsidR="001E6685" w:rsidRPr="00846CC0">
        <w:t xml:space="preserve"> </w:t>
      </w:r>
      <w:r w:rsidR="004F6399" w:rsidRPr="00846CC0">
        <w:t>sept</w:t>
      </w:r>
      <w:r w:rsidR="006E2472" w:rsidRPr="00846CC0">
        <w:t xml:space="preserve">ième à </w:t>
      </w:r>
      <w:r w:rsidR="004F6399" w:rsidRPr="00846CC0">
        <w:t>neuv</w:t>
      </w:r>
      <w:r w:rsidR="006E2472" w:rsidRPr="00846CC0">
        <w:t xml:space="preserve">ième </w:t>
      </w:r>
      <w:r w:rsidR="006571D3" w:rsidRPr="00846CC0">
        <w:t>rapport</w:t>
      </w:r>
      <w:r w:rsidR="001E6685" w:rsidRPr="00846CC0">
        <w:t>s</w:t>
      </w:r>
      <w:r w:rsidR="006571D3" w:rsidRPr="00846CC0">
        <w:t xml:space="preserve"> périodique</w:t>
      </w:r>
      <w:r w:rsidR="004F6399" w:rsidRPr="00846CC0">
        <w:t>s</w:t>
      </w:r>
      <w:r w:rsidR="006571D3" w:rsidRPr="00846CC0">
        <w:t xml:space="preserve"> </w:t>
      </w:r>
    </w:p>
    <w:p w14:paraId="646B0EE2" w14:textId="7AD38559" w:rsidR="006571D3" w:rsidRPr="00846CC0" w:rsidRDefault="003A4BD4" w:rsidP="00846CC0">
      <w:pPr>
        <w:pStyle w:val="H1G"/>
      </w:pPr>
      <w:r w:rsidRPr="00846CC0">
        <w:tab/>
      </w:r>
      <w:r w:rsidRPr="00846CC0">
        <w:tab/>
      </w:r>
      <w:r w:rsidR="006571D3" w:rsidRPr="00846CC0">
        <w:t xml:space="preserve">Note du rapporteur </w:t>
      </w:r>
      <w:r w:rsidR="00846CC0">
        <w:t>pour le</w:t>
      </w:r>
      <w:r w:rsidR="006571D3" w:rsidRPr="00846CC0">
        <w:t xml:space="preserve"> pays</w:t>
      </w:r>
    </w:p>
    <w:p w14:paraId="29D37C1C" w14:textId="267BE7EB" w:rsidR="00E32195" w:rsidRPr="00CC305F" w:rsidRDefault="00A30A08" w:rsidP="00CC305F">
      <w:pPr>
        <w:pStyle w:val="SingleTxtG"/>
      </w:pPr>
      <w:r w:rsidRPr="00CC305F">
        <w:t>1.</w:t>
      </w:r>
      <w:r w:rsidRPr="00CC305F">
        <w:tab/>
      </w:r>
      <w:r w:rsidR="00E32195" w:rsidRPr="00CC305F">
        <w:t>À sa soixante-seizième session</w:t>
      </w:r>
      <w:r w:rsidR="008035BD">
        <w:rPr>
          <w:rStyle w:val="Appelnotedebasdep"/>
        </w:rPr>
        <w:footnoteReference w:id="2"/>
      </w:r>
      <w:r w:rsidR="00E32195" w:rsidRPr="00CC305F">
        <w:t xml:space="preserve">, le Comité pour l’élimination de la discrimination raciale a décidé que le rapporteur </w:t>
      </w:r>
      <w:r w:rsidR="008035BD">
        <w:t>pour le</w:t>
      </w:r>
      <w:r w:rsidR="00E32195" w:rsidRPr="00CC305F">
        <w:t xml:space="preserve"> pays ferait parvenir à l’État partie concerné une courte liste de thèmes en vue de guider et de structurer le dialogue entre la délégation de l’État partie et le Comité pendant l’examen du rapport de l’État partie</w:t>
      </w:r>
      <w:r w:rsidR="002C2C79">
        <w:t>.</w:t>
      </w:r>
      <w:r w:rsidR="00E32195" w:rsidRPr="00CC305F">
        <w:t xml:space="preserve"> On trouvera ci-après une liste de thèmes non exhaustive, d’autres questions pouvant être traitées au cours du dialogue. Cette liste n’appelle pas de réponses écrites.</w:t>
      </w:r>
    </w:p>
    <w:p w14:paraId="646B0EE4" w14:textId="6D072B1C" w:rsidR="006571D3" w:rsidRPr="004745C1" w:rsidRDefault="006571D3" w:rsidP="00A30A08">
      <w:pPr>
        <w:pStyle w:val="H23G"/>
      </w:pPr>
      <w:r w:rsidRPr="004745C1">
        <w:tab/>
      </w:r>
      <w:r w:rsidRPr="004745C1">
        <w:tab/>
      </w:r>
      <w:r>
        <w:t>La</w:t>
      </w:r>
      <w:r w:rsidRPr="004745C1">
        <w:t xml:space="preserve"> Convention </w:t>
      </w:r>
      <w:r>
        <w:t>dans le droit interne et le cadre i</w:t>
      </w:r>
      <w:r w:rsidRPr="004745C1">
        <w:t>nstitution</w:t>
      </w:r>
      <w:r>
        <w:t>ne</w:t>
      </w:r>
      <w:r w:rsidRPr="004745C1">
        <w:t xml:space="preserve">l </w:t>
      </w:r>
      <w:r>
        <w:t>et</w:t>
      </w:r>
      <w:r w:rsidRPr="004745C1">
        <w:t xml:space="preserve"> poli</w:t>
      </w:r>
      <w:r>
        <w:t xml:space="preserve">tique </w:t>
      </w:r>
      <w:r w:rsidR="00EF3199">
        <w:br/>
      </w:r>
      <w:r>
        <w:t>de sa mise en</w:t>
      </w:r>
      <w:r w:rsidR="00EF3199">
        <w:t> </w:t>
      </w:r>
      <w:r>
        <w:t xml:space="preserve">œuvre </w:t>
      </w:r>
      <w:r w:rsidR="00E23656" w:rsidRPr="00C87EB5">
        <w:rPr>
          <w:lang w:val="fr-FR"/>
        </w:rPr>
        <w:t>(art. 1</w:t>
      </w:r>
      <w:r w:rsidR="00E23656" w:rsidRPr="00C87EB5">
        <w:rPr>
          <w:vertAlign w:val="superscript"/>
          <w:lang w:val="fr-FR"/>
        </w:rPr>
        <w:t>er</w:t>
      </w:r>
      <w:r w:rsidR="00E23656" w:rsidRPr="00C87EB5">
        <w:rPr>
          <w:lang w:val="fr-FR"/>
        </w:rPr>
        <w:t>, 2,</w:t>
      </w:r>
      <w:r w:rsidR="00E23656">
        <w:rPr>
          <w:lang w:val="fr-FR"/>
        </w:rPr>
        <w:t xml:space="preserve"> 4 et</w:t>
      </w:r>
      <w:r w:rsidR="00E23656" w:rsidRPr="00C87EB5">
        <w:rPr>
          <w:lang w:val="fr-FR"/>
        </w:rPr>
        <w:t xml:space="preserve"> 6)</w:t>
      </w:r>
    </w:p>
    <w:p w14:paraId="6555BCA7" w14:textId="412C074A" w:rsidR="00EC7CB9" w:rsidRPr="00CC305F" w:rsidRDefault="00A30A08" w:rsidP="00CC305F">
      <w:pPr>
        <w:pStyle w:val="SingleTxtG"/>
      </w:pPr>
      <w:r w:rsidRPr="00CC305F">
        <w:t>2.</w:t>
      </w:r>
      <w:r w:rsidRPr="00CC305F">
        <w:tab/>
      </w:r>
      <w:r w:rsidR="00165913" w:rsidRPr="00CC305F">
        <w:t xml:space="preserve">Indicateurs relatifs à la situation socioéconomique </w:t>
      </w:r>
      <w:r w:rsidR="0072375D" w:rsidRPr="00CC305F">
        <w:t>de</w:t>
      </w:r>
      <w:r w:rsidR="00482003" w:rsidRPr="00CC305F">
        <w:t xml:space="preserve"> la population</w:t>
      </w:r>
      <w:r w:rsidR="00165913" w:rsidRPr="00CC305F">
        <w:t>,</w:t>
      </w:r>
      <w:r w:rsidR="00482003" w:rsidRPr="00CC305F">
        <w:t xml:space="preserve"> y compris les non-ressortissants</w:t>
      </w:r>
      <w:r w:rsidR="00AF04D5" w:rsidRPr="00CC305F">
        <w:t xml:space="preserve"> </w:t>
      </w:r>
      <w:r w:rsidR="00AF04D5" w:rsidRPr="00CC305F">
        <w:rPr>
          <w:rFonts w:eastAsia="Calibri"/>
        </w:rPr>
        <w:t>qui résident ou travaillent dans l’État partie</w:t>
      </w:r>
      <w:r w:rsidR="00482003" w:rsidRPr="00CC305F">
        <w:t>,</w:t>
      </w:r>
      <w:r w:rsidR="00165913" w:rsidRPr="00CC305F">
        <w:t xml:space="preserve"> ventilés par sexe, genre et origine nationale et ethnique</w:t>
      </w:r>
      <w:r w:rsidR="00CC305F">
        <w:rPr>
          <w:rStyle w:val="Appelnotedebasdep"/>
        </w:rPr>
        <w:footnoteReference w:id="3"/>
      </w:r>
      <w:r w:rsidR="002C2C79">
        <w:t>.</w:t>
      </w:r>
      <w:r w:rsidR="005644ED" w:rsidRPr="00CC305F">
        <w:t xml:space="preserve"> </w:t>
      </w:r>
      <w:r w:rsidR="00623450" w:rsidRPr="00CC305F">
        <w:t>Mesures prises</w:t>
      </w:r>
      <w:r w:rsidR="00D10628" w:rsidRPr="00CC305F">
        <w:t xml:space="preserve"> ou envisagées</w:t>
      </w:r>
      <w:r w:rsidR="00623450" w:rsidRPr="00CC305F">
        <w:t xml:space="preserve"> pour renforcer le système de collecte des données</w:t>
      </w:r>
      <w:r w:rsidR="005644ED" w:rsidRPr="00CC305F">
        <w:t xml:space="preserve">, y compris celles visant à inclure </w:t>
      </w:r>
      <w:r w:rsidR="00163647" w:rsidRPr="00CC305F">
        <w:t>des variables relatives à l’origine ethnique et nationale</w:t>
      </w:r>
      <w:r w:rsidR="0023171D" w:rsidRPr="00CC305F">
        <w:t xml:space="preserve"> ainsi que l’utilisation du principe de l’</w:t>
      </w:r>
      <w:proofErr w:type="spellStart"/>
      <w:r w:rsidR="0023171D" w:rsidRPr="00CC305F">
        <w:t>auto-identification</w:t>
      </w:r>
      <w:proofErr w:type="spellEnd"/>
      <w:r w:rsidR="00163647" w:rsidRPr="00CC305F">
        <w:t xml:space="preserve">, </w:t>
      </w:r>
      <w:r w:rsidR="00623450" w:rsidRPr="00CC305F">
        <w:t xml:space="preserve">afin </w:t>
      </w:r>
      <w:r w:rsidR="00EC7CB9" w:rsidRPr="00CC305F">
        <w:t>d’avoir des informations plus détaillées sur les difficultés propres à certains groupes</w:t>
      </w:r>
      <w:r w:rsidR="00931C9F" w:rsidRPr="00CC305F">
        <w:t>, en particulier concernant la discrimination raciale et</w:t>
      </w:r>
      <w:r w:rsidR="00FF26FD" w:rsidRPr="00CC305F">
        <w:t xml:space="preserve"> </w:t>
      </w:r>
      <w:r w:rsidR="00931C9F" w:rsidRPr="00CC305F">
        <w:t>les inégalités</w:t>
      </w:r>
      <w:r w:rsidR="00B318F1" w:rsidRPr="00CC305F">
        <w:t xml:space="preserve"> socioéconomiques</w:t>
      </w:r>
      <w:r w:rsidR="00931C9F" w:rsidRPr="00CC305F">
        <w:t xml:space="preserve">, </w:t>
      </w:r>
      <w:r w:rsidR="00FF26FD" w:rsidRPr="00CC305F">
        <w:t>et d’évaluer la jouissance des droits prévus par la Convention.</w:t>
      </w:r>
      <w:r w:rsidR="000E7963" w:rsidRPr="00CC305F">
        <w:t xml:space="preserve"> </w:t>
      </w:r>
    </w:p>
    <w:p w14:paraId="51B4FC74" w14:textId="24AE56FF" w:rsidR="005E0599" w:rsidRPr="00CC305F" w:rsidRDefault="00A30A08" w:rsidP="00CC305F">
      <w:pPr>
        <w:pStyle w:val="SingleTxtG"/>
      </w:pPr>
      <w:r w:rsidRPr="00CC305F">
        <w:t>3.</w:t>
      </w:r>
      <w:r w:rsidRPr="00CC305F">
        <w:tab/>
      </w:r>
      <w:r w:rsidR="00B47744" w:rsidRPr="00CC305F">
        <w:t xml:space="preserve">À la lumière des articles 14 et 68 de la Constitution de l’État partie, </w:t>
      </w:r>
      <w:r w:rsidR="008A23DD" w:rsidRPr="00CC305F">
        <w:t>renseignements sur</w:t>
      </w:r>
      <w:r w:rsidR="00B47744" w:rsidRPr="00CC305F">
        <w:t xml:space="preserve"> la place </w:t>
      </w:r>
      <w:r w:rsidR="008A23DD" w:rsidRPr="00CC305F">
        <w:t xml:space="preserve">de la Convention </w:t>
      </w:r>
      <w:r w:rsidR="00B47744" w:rsidRPr="00CC305F">
        <w:t>dans l’ordre juridique interne</w:t>
      </w:r>
      <w:r w:rsidR="00615331" w:rsidRPr="00CC305F">
        <w:t xml:space="preserve"> et</w:t>
      </w:r>
      <w:r w:rsidR="00B47744" w:rsidRPr="00CC305F">
        <w:t xml:space="preserve"> </w:t>
      </w:r>
      <w:r w:rsidR="00DE5CEB">
        <w:t>sur la possibilité que</w:t>
      </w:r>
      <w:r w:rsidR="00B47744" w:rsidRPr="00CC305F">
        <w:t xml:space="preserve"> </w:t>
      </w:r>
      <w:r w:rsidR="00615331" w:rsidRPr="00CC305F">
        <w:t xml:space="preserve">les </w:t>
      </w:r>
      <w:r w:rsidR="00B47744" w:rsidRPr="00CC305F">
        <w:t xml:space="preserve">dispositions </w:t>
      </w:r>
      <w:r w:rsidR="00BB4E71" w:rsidRPr="00CC305F">
        <w:t>de la Convention</w:t>
      </w:r>
      <w:r w:rsidR="00B47744" w:rsidRPr="00CC305F">
        <w:t xml:space="preserve"> </w:t>
      </w:r>
      <w:r w:rsidR="001839EE">
        <w:t>soient</w:t>
      </w:r>
      <w:r w:rsidR="00B47744" w:rsidRPr="00CC305F">
        <w:t xml:space="preserve"> directement invoquées devant les tribunaux nationaux</w:t>
      </w:r>
      <w:r w:rsidR="00C6466E" w:rsidRPr="00CC305F">
        <w:t>.</w:t>
      </w:r>
      <w:r w:rsidR="003F5F97" w:rsidRPr="00CC305F">
        <w:t xml:space="preserve"> </w:t>
      </w:r>
      <w:r w:rsidR="005E0599" w:rsidRPr="00CC305F">
        <w:t>Exemples d’affaires dans lesquelles les dispositions de la Convention ont été invoquées et directement appliquées par les tribunaux nationaux.</w:t>
      </w:r>
      <w:r w:rsidR="00EC243F" w:rsidRPr="00CC305F">
        <w:t xml:space="preserve"> </w:t>
      </w:r>
      <w:r w:rsidR="005E0599" w:rsidRPr="00CC305F">
        <w:t xml:space="preserve">Renseignements complémentaires sur les mesures prises pour faire mieux connaître la Convention auprès des juges, </w:t>
      </w:r>
      <w:r w:rsidR="00024C24" w:rsidRPr="00CC305F">
        <w:t xml:space="preserve">des </w:t>
      </w:r>
      <w:r w:rsidR="001435A1" w:rsidRPr="00CC305F">
        <w:t>défenseurs publics</w:t>
      </w:r>
      <w:r w:rsidR="005E0599" w:rsidRPr="00CC305F">
        <w:t xml:space="preserve">, </w:t>
      </w:r>
      <w:r w:rsidR="00024C24" w:rsidRPr="00CC305F">
        <w:t xml:space="preserve">des </w:t>
      </w:r>
      <w:r w:rsidR="005E0599" w:rsidRPr="00CC305F">
        <w:t>fonctionnaires chargés de l</w:t>
      </w:r>
      <w:r w:rsidR="00294924">
        <w:t>’</w:t>
      </w:r>
      <w:r w:rsidR="005E0599" w:rsidRPr="00CC305F">
        <w:t>application de la loi</w:t>
      </w:r>
      <w:r w:rsidR="00B73A95" w:rsidRPr="00CC305F">
        <w:t>, d’autres fonctionnaires publics</w:t>
      </w:r>
      <w:r w:rsidR="00024C24" w:rsidRPr="00CC305F">
        <w:t>, des</w:t>
      </w:r>
      <w:r w:rsidR="005E0599" w:rsidRPr="00CC305F">
        <w:t xml:space="preserve"> avocats ainsi qu’auprès de la population,</w:t>
      </w:r>
      <w:r w:rsidR="001435A1" w:rsidRPr="00CC305F">
        <w:t xml:space="preserve"> y compris les non-ressortissants,</w:t>
      </w:r>
      <w:r w:rsidR="005E0599" w:rsidRPr="00CC305F">
        <w:t xml:space="preserve"> et sur les effets de ces mesures</w:t>
      </w:r>
      <w:r w:rsidR="002F0088">
        <w:rPr>
          <w:rStyle w:val="Appelnotedebasdep"/>
        </w:rPr>
        <w:footnoteReference w:id="4"/>
      </w:r>
      <w:r w:rsidR="002C2C79">
        <w:t>.</w:t>
      </w:r>
      <w:r w:rsidR="00E55B35" w:rsidRPr="00CC305F">
        <w:t xml:space="preserve"> </w:t>
      </w:r>
    </w:p>
    <w:p w14:paraId="1981D44E" w14:textId="786095F4" w:rsidR="00B343EC" w:rsidRPr="002F0088" w:rsidRDefault="00A30A08" w:rsidP="002F0088">
      <w:pPr>
        <w:pStyle w:val="SingleTxtG"/>
      </w:pPr>
      <w:r w:rsidRPr="002F0088">
        <w:lastRenderedPageBreak/>
        <w:t>4.</w:t>
      </w:r>
      <w:r w:rsidRPr="002F0088">
        <w:tab/>
      </w:r>
      <w:r w:rsidR="002B159C" w:rsidRPr="002F0088">
        <w:t>I</w:t>
      </w:r>
      <w:r w:rsidR="00D21208" w:rsidRPr="002F0088">
        <w:t>nitiatives engagées vis</w:t>
      </w:r>
      <w:r w:rsidR="00C04D80" w:rsidRPr="002F0088">
        <w:t>ant à interdire la discrimination raciale</w:t>
      </w:r>
      <w:r w:rsidR="00EA799E" w:rsidRPr="002F0088">
        <w:t xml:space="preserve"> dans l’ordre juridique interne de l’État partie.</w:t>
      </w:r>
      <w:r w:rsidR="00225233" w:rsidRPr="002F0088">
        <w:t xml:space="preserve"> </w:t>
      </w:r>
      <w:r w:rsidR="00354624" w:rsidRPr="002F0088">
        <w:t xml:space="preserve">Mesures prises </w:t>
      </w:r>
      <w:r w:rsidR="00EC4088" w:rsidRPr="002F0088">
        <w:t xml:space="preserve">ou envisagées </w:t>
      </w:r>
      <w:r w:rsidR="00354624" w:rsidRPr="002F0088">
        <w:t>pour adopter une législation antidiscrimination complète qui contienne une définition claire de la discrimination raciale, y compris de ses formes directes et indirectes,</w:t>
      </w:r>
      <w:r w:rsidR="00E6798B" w:rsidRPr="002F0088">
        <w:t xml:space="preserve"> multiples et croisées,</w:t>
      </w:r>
      <w:r w:rsidR="00354624" w:rsidRPr="002F0088">
        <w:t xml:space="preserve"> qui englobe tous les domaines du droit et de la vie publique et qui couvre tous les motifs de discrimination</w:t>
      </w:r>
      <w:r w:rsidR="00C71CEF" w:rsidRPr="002F0088">
        <w:t xml:space="preserve"> visés </w:t>
      </w:r>
      <w:r w:rsidR="00354624" w:rsidRPr="002F0088">
        <w:t>au paragraphe 1 de l’article premier de la Convention</w:t>
      </w:r>
      <w:r w:rsidR="002F0088">
        <w:rPr>
          <w:rStyle w:val="Appelnotedebasdep"/>
        </w:rPr>
        <w:footnoteReference w:id="5"/>
      </w:r>
      <w:r w:rsidR="002C2C79">
        <w:t>.</w:t>
      </w:r>
    </w:p>
    <w:p w14:paraId="1D0004DE" w14:textId="52539503" w:rsidR="00B01CAA" w:rsidRPr="002F0088" w:rsidRDefault="00A30A08" w:rsidP="002F0088">
      <w:pPr>
        <w:pStyle w:val="SingleTxtG"/>
      </w:pPr>
      <w:r w:rsidRPr="002F0088">
        <w:t>5.</w:t>
      </w:r>
      <w:r w:rsidRPr="002F0088">
        <w:tab/>
      </w:r>
      <w:r w:rsidR="00D25692" w:rsidRPr="002F0088">
        <w:t>Renseignements sur les mesures prises ou envisagées afin d’adopter un plan d’action national visant à lutter contre le racisme, la discrimination raciale, la xénophobie et l’intolérance qui y est associée</w:t>
      </w:r>
      <w:r w:rsidR="002F0088">
        <w:rPr>
          <w:rStyle w:val="Appelnotedebasdep"/>
        </w:rPr>
        <w:footnoteReference w:id="6"/>
      </w:r>
      <w:r w:rsidR="002C2C79">
        <w:t>.</w:t>
      </w:r>
      <w:r w:rsidR="00D25692" w:rsidRPr="002F0088">
        <w:t xml:space="preserve"> Renseignements sur les mesures adoptées et sur le programme des activités organisées dans </w:t>
      </w:r>
      <w:r w:rsidR="00BE206E" w:rsidRPr="002F0088">
        <w:t>l’État partie</w:t>
      </w:r>
      <w:r w:rsidR="00D25692" w:rsidRPr="002F0088">
        <w:t xml:space="preserve"> à l’occasion de la Décennie internationale des personnes d’ascendance africaine.</w:t>
      </w:r>
      <w:r w:rsidR="00835C19" w:rsidRPr="002F0088">
        <w:t xml:space="preserve"> </w:t>
      </w:r>
    </w:p>
    <w:p w14:paraId="44775370" w14:textId="71462BFD" w:rsidR="00FB68D4" w:rsidRPr="002F0088" w:rsidRDefault="00A30A08" w:rsidP="002F0088">
      <w:pPr>
        <w:pStyle w:val="SingleTxtG"/>
      </w:pPr>
      <w:r w:rsidRPr="002F0088">
        <w:t>6.</w:t>
      </w:r>
      <w:r w:rsidRPr="002F0088">
        <w:tab/>
      </w:r>
      <w:r w:rsidR="00216512" w:rsidRPr="002F0088">
        <w:t>Développements récents ou mesures envisagées afin de mettre en place un</w:t>
      </w:r>
      <w:r w:rsidR="002C00C1" w:rsidRPr="002F0088">
        <w:t>e</w:t>
      </w:r>
      <w:r w:rsidR="00216512" w:rsidRPr="002F0088">
        <w:t xml:space="preserve"> institut</w:t>
      </w:r>
      <w:r w:rsidR="002C00C1" w:rsidRPr="002F0088">
        <w:t>ion</w:t>
      </w:r>
      <w:r w:rsidR="00216512" w:rsidRPr="002F0088">
        <w:t xml:space="preserve"> national</w:t>
      </w:r>
      <w:r w:rsidR="002C00C1" w:rsidRPr="002F0088">
        <w:t>e</w:t>
      </w:r>
      <w:r w:rsidR="00216512" w:rsidRPr="002F0088">
        <w:t xml:space="preserve"> des droits humains </w:t>
      </w:r>
      <w:r w:rsidR="002C00C1" w:rsidRPr="002F0088">
        <w:t xml:space="preserve">qui soit </w:t>
      </w:r>
      <w:r w:rsidR="00216512" w:rsidRPr="002F0088">
        <w:t>conforme aux Principes concernant le statut des institutions nationales pour la promotion et la protection des droits de l’homme (Principes de Paris).</w:t>
      </w:r>
      <w:r w:rsidR="005B426C" w:rsidRPr="002F0088">
        <w:t xml:space="preserve"> </w:t>
      </w:r>
      <w:r w:rsidR="00470629" w:rsidRPr="002F0088">
        <w:t>Mesures prises ou envisagées pour renforcer le mandat et les activités du Haut</w:t>
      </w:r>
      <w:r w:rsidR="00AC45D7">
        <w:t xml:space="preserve"> </w:t>
      </w:r>
      <w:r w:rsidR="00470629" w:rsidRPr="002F0088">
        <w:t>Commissariat à la protection des droits, des libertés et à la médiation en matière de prévention et</w:t>
      </w:r>
      <w:r w:rsidR="00767075" w:rsidRPr="002F0088">
        <w:t xml:space="preserve"> </w:t>
      </w:r>
      <w:r w:rsidR="00470629" w:rsidRPr="002F0088">
        <w:t>de répression de la discrimination raciale</w:t>
      </w:r>
      <w:r w:rsidR="002F0088">
        <w:rPr>
          <w:rStyle w:val="Appelnotedebasdep"/>
        </w:rPr>
        <w:footnoteReference w:id="7"/>
      </w:r>
      <w:r w:rsidR="002C2C79">
        <w:t>.</w:t>
      </w:r>
      <w:r w:rsidR="00FD75B7" w:rsidRPr="002F0088">
        <w:t xml:space="preserve"> </w:t>
      </w:r>
      <w:r w:rsidR="00F7081D" w:rsidRPr="002F0088">
        <w:t>Informations sur des plaintes</w:t>
      </w:r>
      <w:r w:rsidR="00C71CEF" w:rsidRPr="002F0088">
        <w:t xml:space="preserve"> pour </w:t>
      </w:r>
      <w:r w:rsidR="00F7081D" w:rsidRPr="002F0088">
        <w:t>discrimination racial</w:t>
      </w:r>
      <w:r w:rsidR="00C71CEF" w:rsidRPr="002F0088">
        <w:t>e</w:t>
      </w:r>
      <w:r w:rsidR="0012164B" w:rsidRPr="002F0088">
        <w:t>, y compris fondée sur l’origine nationale,</w:t>
      </w:r>
      <w:r w:rsidR="00F7081D" w:rsidRPr="002F0088">
        <w:t xml:space="preserve"> reçues par le Haut</w:t>
      </w:r>
      <w:r w:rsidR="00B6109B">
        <w:t xml:space="preserve"> </w:t>
      </w:r>
      <w:r w:rsidR="00F7081D" w:rsidRPr="002F0088">
        <w:t xml:space="preserve">Commissariat et </w:t>
      </w:r>
      <w:r w:rsidR="00B6337A">
        <w:t>sur les</w:t>
      </w:r>
      <w:r w:rsidR="002F2E04" w:rsidRPr="002F0088">
        <w:t xml:space="preserve"> suites </w:t>
      </w:r>
      <w:r w:rsidR="00C71CEF" w:rsidRPr="002F0088">
        <w:t xml:space="preserve">qui leur ont été </w:t>
      </w:r>
      <w:r w:rsidR="002F2E04" w:rsidRPr="002F0088">
        <w:t>données.</w:t>
      </w:r>
      <w:r w:rsidR="0063356F">
        <w:t xml:space="preserve"> </w:t>
      </w:r>
    </w:p>
    <w:p w14:paraId="62517D0B" w14:textId="006A14F4" w:rsidR="005412F5" w:rsidRPr="002F0088" w:rsidRDefault="00A30A08" w:rsidP="002F0088">
      <w:pPr>
        <w:pStyle w:val="SingleTxtG"/>
      </w:pPr>
      <w:r w:rsidRPr="002F0088">
        <w:t>7.</w:t>
      </w:r>
      <w:r w:rsidRPr="002F0088">
        <w:tab/>
      </w:r>
      <w:r w:rsidR="00FC63DF" w:rsidRPr="002F0088">
        <w:t xml:space="preserve">Renseignements complémentaires sur les mesures prises ou envisagées pour </w:t>
      </w:r>
      <w:r w:rsidR="00817D9A" w:rsidRPr="002F0088">
        <w:t>garantir</w:t>
      </w:r>
      <w:r w:rsidR="00F02D74">
        <w:t>, d’une part,</w:t>
      </w:r>
      <w:r w:rsidR="00817D9A" w:rsidRPr="002F0088">
        <w:t xml:space="preserve"> que le Code pénal et les autres textes législatifs pertinents</w:t>
      </w:r>
      <w:r w:rsidR="00456479" w:rsidRPr="002F0088">
        <w:t xml:space="preserve"> </w:t>
      </w:r>
      <w:r w:rsidR="00AB2078" w:rsidRPr="002F0088">
        <w:t>sont pleinement conformes à l’article 4 de la Convention</w:t>
      </w:r>
      <w:r w:rsidR="008B13C3" w:rsidRPr="002F0088">
        <w:t xml:space="preserve">, y compris les dispositions visant à déclarer illégales et </w:t>
      </w:r>
      <w:r w:rsidR="00546846" w:rsidRPr="002F0088">
        <w:t xml:space="preserve">à </w:t>
      </w:r>
      <w:r w:rsidR="008B13C3" w:rsidRPr="002F0088">
        <w:t>interdire les organisations qui incitent à la discrimination raciale et qui l’encouragent</w:t>
      </w:r>
      <w:r w:rsidR="002129FD" w:rsidRPr="002F0088">
        <w:t xml:space="preserve"> ainsi qu’à incriminer</w:t>
      </w:r>
      <w:r w:rsidR="008B13C3" w:rsidRPr="002F0088">
        <w:t xml:space="preserve"> l’incitation ou l’encouragement à la discrimination raciale par des autorités ou des institutions publiques</w:t>
      </w:r>
      <w:r w:rsidR="00802DFF">
        <w:t xml:space="preserve"> et, d’autre part,</w:t>
      </w:r>
      <w:r w:rsidR="00F02D74">
        <w:t xml:space="preserve"> qu’ils</w:t>
      </w:r>
      <w:r w:rsidR="00456479" w:rsidRPr="002F0088">
        <w:t xml:space="preserve"> </w:t>
      </w:r>
      <w:r w:rsidR="002D2F36" w:rsidRPr="002F0088">
        <w:t xml:space="preserve">couvrent </w:t>
      </w:r>
      <w:r w:rsidR="00256A1D" w:rsidRPr="002F0088">
        <w:t xml:space="preserve">tous les motifs de discrimination visés à l’article </w:t>
      </w:r>
      <w:r w:rsidR="002D2F36" w:rsidRPr="002F0088">
        <w:t>premier de la Convention</w:t>
      </w:r>
      <w:r w:rsidR="00802DFF">
        <w:t>,</w:t>
      </w:r>
      <w:r w:rsidR="00182B77" w:rsidRPr="002F0088">
        <w:t xml:space="preserve"> notamment la couleur et l’ascendance</w:t>
      </w:r>
      <w:r w:rsidR="002F0088">
        <w:rPr>
          <w:rStyle w:val="Appelnotedebasdep"/>
        </w:rPr>
        <w:footnoteReference w:id="8"/>
      </w:r>
      <w:r w:rsidR="003D5D8E">
        <w:t>.</w:t>
      </w:r>
      <w:r w:rsidR="00447DC6" w:rsidRPr="002F0088">
        <w:t xml:space="preserve"> </w:t>
      </w:r>
    </w:p>
    <w:p w14:paraId="178EB05F" w14:textId="39AA73B1" w:rsidR="00A435C3" w:rsidRPr="002F0088" w:rsidRDefault="00A30A08" w:rsidP="002F0088">
      <w:pPr>
        <w:pStyle w:val="SingleTxtG"/>
      </w:pPr>
      <w:r w:rsidRPr="002F0088">
        <w:t>8.</w:t>
      </w:r>
      <w:r w:rsidRPr="002F0088">
        <w:tab/>
      </w:r>
      <w:r w:rsidR="00A435C3" w:rsidRPr="002F0088">
        <w:t xml:space="preserve">Renseignements </w:t>
      </w:r>
      <w:r w:rsidR="00D278DA" w:rsidRPr="002F0088">
        <w:t xml:space="preserve">complémentaires </w:t>
      </w:r>
      <w:r w:rsidR="00A435C3" w:rsidRPr="002F0088">
        <w:t xml:space="preserve">sur les mesures </w:t>
      </w:r>
      <w:r w:rsidR="00EC30F3" w:rsidRPr="002F0088">
        <w:t xml:space="preserve">concrètes </w:t>
      </w:r>
      <w:r w:rsidR="00A435C3" w:rsidRPr="002F0088">
        <w:t>prises pour prévenir et combattre les crimes et le</w:t>
      </w:r>
      <w:r w:rsidR="006155E7" w:rsidRPr="002F0088">
        <w:t>s</w:t>
      </w:r>
      <w:r w:rsidR="00A435C3" w:rsidRPr="002F0088">
        <w:t xml:space="preserve"> discours de haine à caractère raciste</w:t>
      </w:r>
      <w:r w:rsidR="00FF6F88" w:rsidRPr="002F0088">
        <w:t xml:space="preserve"> ainsi que</w:t>
      </w:r>
      <w:r w:rsidR="00A435C3" w:rsidRPr="002F0088">
        <w:t xml:space="preserve"> l’incitation à la haine raciale</w:t>
      </w:r>
      <w:r w:rsidR="00EC30F3" w:rsidRPr="002F0088">
        <w:t xml:space="preserve"> et la xénophobie</w:t>
      </w:r>
      <w:r w:rsidR="00A435C3" w:rsidRPr="002F0088">
        <w:t xml:space="preserve">, </w:t>
      </w:r>
      <w:r w:rsidR="00BE16BC" w:rsidRPr="002F0088">
        <w:t>y compris</w:t>
      </w:r>
      <w:r w:rsidR="00A435C3" w:rsidRPr="002F0088">
        <w:t xml:space="preserve"> dans les médias et sur Internet</w:t>
      </w:r>
      <w:r w:rsidR="002F0088">
        <w:rPr>
          <w:rStyle w:val="Appelnotedebasdep"/>
        </w:rPr>
        <w:footnoteReference w:id="9"/>
      </w:r>
      <w:r w:rsidR="003D5D8E">
        <w:t>.</w:t>
      </w:r>
      <w:r w:rsidR="006846D6" w:rsidRPr="002F0088">
        <w:t xml:space="preserve"> </w:t>
      </w:r>
      <w:r w:rsidR="0067787C" w:rsidRPr="002F0088">
        <w:t xml:space="preserve">Informations actualisées sur </w:t>
      </w:r>
      <w:r w:rsidR="001E73CB" w:rsidRPr="002F0088">
        <w:t xml:space="preserve">le traitement de cas relatifs aux </w:t>
      </w:r>
      <w:r w:rsidR="00781CDE" w:rsidRPr="002F0088">
        <w:t xml:space="preserve">crimes </w:t>
      </w:r>
      <w:r w:rsidR="001E73CB" w:rsidRPr="002F0088">
        <w:t xml:space="preserve">et </w:t>
      </w:r>
      <w:r w:rsidR="00781CDE" w:rsidRPr="002F0088">
        <w:t xml:space="preserve">discours </w:t>
      </w:r>
      <w:r w:rsidR="001E73CB" w:rsidRPr="002F0088">
        <w:t>de haine à caractère raciste et aux actes d’incitation à la haine raciale</w:t>
      </w:r>
      <w:r w:rsidR="00781CDE" w:rsidRPr="002F0088">
        <w:t xml:space="preserve">, y compris dans les médias et sur Internet, </w:t>
      </w:r>
      <w:r w:rsidR="001E73CB" w:rsidRPr="002F0088">
        <w:t>par les juridictions civiles, administratives et pénales de l’État partie</w:t>
      </w:r>
      <w:r w:rsidR="00781CDE" w:rsidRPr="002F0088">
        <w:t xml:space="preserve">, </w:t>
      </w:r>
      <w:r w:rsidR="001E73CB" w:rsidRPr="002F0088">
        <w:t>notamment les plaintes déposées, les enquêtes menées, les poursuites engagées, les condamnations et sanctions prononcées ainsi que la réparation accordée aux victimes</w:t>
      </w:r>
      <w:r w:rsidR="002F0088">
        <w:rPr>
          <w:rStyle w:val="Appelnotedebasdep"/>
        </w:rPr>
        <w:footnoteReference w:id="10"/>
      </w:r>
      <w:r w:rsidR="003D5D8E">
        <w:t>.</w:t>
      </w:r>
      <w:r w:rsidR="006F0510" w:rsidRPr="002F0088">
        <w:t xml:space="preserve"> </w:t>
      </w:r>
      <w:r w:rsidR="00EA6159" w:rsidRPr="002F0088">
        <w:t>Mesures prises pour mettre en place, à titre préventif, un système d’enregistrement et de collecte de données</w:t>
      </w:r>
      <w:r w:rsidR="0063356F">
        <w:t xml:space="preserve"> </w:t>
      </w:r>
      <w:r w:rsidR="00EA6159" w:rsidRPr="002F0088">
        <w:t>pour permettre le signalement et le suivi des crimes et des discours de haine à caractère raciste</w:t>
      </w:r>
      <w:r w:rsidR="002F0088">
        <w:rPr>
          <w:rStyle w:val="Appelnotedebasdep"/>
        </w:rPr>
        <w:footnoteReference w:id="11"/>
      </w:r>
      <w:r w:rsidR="003D5D8E">
        <w:t>.</w:t>
      </w:r>
      <w:r w:rsidR="006A513F" w:rsidRPr="002F0088">
        <w:t xml:space="preserve"> </w:t>
      </w:r>
    </w:p>
    <w:p w14:paraId="7791696B" w14:textId="600D577F" w:rsidR="00342271" w:rsidRPr="00342271" w:rsidRDefault="00A30A08" w:rsidP="00A30A08">
      <w:pPr>
        <w:pStyle w:val="SingleTxtG"/>
        <w:kinsoku w:val="0"/>
        <w:overflowPunct w:val="0"/>
        <w:autoSpaceDE w:val="0"/>
        <w:autoSpaceDN w:val="0"/>
        <w:adjustRightInd w:val="0"/>
        <w:snapToGrid w:val="0"/>
        <w:rPr>
          <w:lang w:val="fr-FR"/>
        </w:rPr>
      </w:pPr>
      <w:r w:rsidRPr="00342271">
        <w:rPr>
          <w:lang w:val="fr-FR"/>
        </w:rPr>
        <w:t>9.</w:t>
      </w:r>
      <w:r w:rsidRPr="00342271">
        <w:rPr>
          <w:lang w:val="fr-FR"/>
        </w:rPr>
        <w:tab/>
      </w:r>
      <w:r w:rsidR="0068738F" w:rsidRPr="00282A45">
        <w:t>Mesures</w:t>
      </w:r>
      <w:r w:rsidR="0068738F">
        <w:t xml:space="preserve"> prises ou envisagées, notamment dans le domaine législatif, pour prévenir et interdire expressément le profilage racial par les agents des forces de l’ordre. Mesures disciplinaires et correctionnelles particulières pour enquêter sur les cas de profilage racial et les sanctionner en pratique.</w:t>
      </w:r>
      <w:r w:rsidR="00ED33B3">
        <w:t xml:space="preserve"> </w:t>
      </w:r>
    </w:p>
    <w:p w14:paraId="09BC6BD5" w14:textId="6C2EC7D6" w:rsidR="000257A4" w:rsidRPr="00D76EC9" w:rsidRDefault="00A30A08" w:rsidP="00A30A08">
      <w:pPr>
        <w:pStyle w:val="H23G"/>
      </w:pPr>
      <w:r>
        <w:tab/>
      </w:r>
      <w:r>
        <w:tab/>
      </w:r>
      <w:r w:rsidR="000257A4">
        <w:t>Situation des non-ressortissants, notamment des migrants, des réfugiés</w:t>
      </w:r>
      <w:r w:rsidR="00163FEC">
        <w:t xml:space="preserve"> </w:t>
      </w:r>
      <w:r w:rsidR="00EE366F">
        <w:br/>
      </w:r>
      <w:r w:rsidR="00163FEC">
        <w:t>et</w:t>
      </w:r>
      <w:r w:rsidR="000257A4">
        <w:t xml:space="preserve"> des demandeurs d’asile</w:t>
      </w:r>
      <w:r w:rsidR="00163FEC">
        <w:t xml:space="preserve"> </w:t>
      </w:r>
      <w:r w:rsidR="000257A4">
        <w:rPr>
          <w:lang w:val="fr-FR"/>
        </w:rPr>
        <w:t>(art.</w:t>
      </w:r>
      <w:r w:rsidR="000257A4" w:rsidRPr="005058AB">
        <w:rPr>
          <w:lang w:val="fr-FR"/>
        </w:rPr>
        <w:t xml:space="preserve"> </w:t>
      </w:r>
      <w:r w:rsidR="000257A4">
        <w:rPr>
          <w:lang w:val="fr-FR"/>
        </w:rPr>
        <w:t>5)</w:t>
      </w:r>
      <w:r w:rsidR="0015230B">
        <w:rPr>
          <w:lang w:val="fr-FR"/>
        </w:rPr>
        <w:t xml:space="preserve"> </w:t>
      </w:r>
    </w:p>
    <w:p w14:paraId="7674184D" w14:textId="3345B045" w:rsidR="00834356" w:rsidRPr="002F0088" w:rsidRDefault="00A30A08" w:rsidP="002F0088">
      <w:pPr>
        <w:pStyle w:val="SingleTxtG"/>
      </w:pPr>
      <w:r w:rsidRPr="002F0088">
        <w:t>10.</w:t>
      </w:r>
      <w:r w:rsidRPr="002F0088">
        <w:tab/>
      </w:r>
      <w:r w:rsidR="003A0925" w:rsidRPr="002F0088">
        <w:t xml:space="preserve">Renseignements complémentaires sur </w:t>
      </w:r>
      <w:r w:rsidR="00B9027B" w:rsidRPr="002F0088">
        <w:t>l</w:t>
      </w:r>
      <w:r w:rsidR="00D9727F" w:rsidRPr="002F0088">
        <w:t>a mise en œuvre d</w:t>
      </w:r>
      <w:r w:rsidR="00B9027B" w:rsidRPr="002F0088">
        <w:t>es articles 17 et 32 de la Constitution</w:t>
      </w:r>
      <w:r w:rsidR="00834356" w:rsidRPr="002F0088">
        <w:t xml:space="preserve">, y compris </w:t>
      </w:r>
      <w:r w:rsidR="00B84DCE" w:rsidRPr="002F0088">
        <w:t xml:space="preserve">sur </w:t>
      </w:r>
      <w:r w:rsidR="00834356" w:rsidRPr="002F0088">
        <w:t>la jurisprudence d</w:t>
      </w:r>
      <w:r w:rsidR="00B84DCE" w:rsidRPr="002F0088">
        <w:t xml:space="preserve">u Tribunal </w:t>
      </w:r>
      <w:r w:rsidR="00322A3F">
        <w:t>s</w:t>
      </w:r>
      <w:r w:rsidR="00834356" w:rsidRPr="002F0088">
        <w:t>uprême et d</w:t>
      </w:r>
      <w:r w:rsidR="00294924">
        <w:t>’</w:t>
      </w:r>
      <w:r w:rsidR="00834356" w:rsidRPr="002F0088">
        <w:t xml:space="preserve">autres </w:t>
      </w:r>
      <w:r w:rsidR="00B84DCE" w:rsidRPr="002F0088">
        <w:t xml:space="preserve">organes juridictionnels </w:t>
      </w:r>
      <w:r w:rsidR="00D9727F" w:rsidRPr="002F0088">
        <w:t xml:space="preserve">visant à </w:t>
      </w:r>
      <w:r w:rsidR="00834356" w:rsidRPr="002F0088">
        <w:t>garanti</w:t>
      </w:r>
      <w:r w:rsidR="00D9727F" w:rsidRPr="002F0088">
        <w:t>r</w:t>
      </w:r>
      <w:r w:rsidR="00834356" w:rsidRPr="002F0088">
        <w:t xml:space="preserve"> à toute personne sous </w:t>
      </w:r>
      <w:r w:rsidR="00D9727F" w:rsidRPr="002F0088">
        <w:t>l</w:t>
      </w:r>
      <w:r w:rsidR="00834356" w:rsidRPr="002F0088">
        <w:t xml:space="preserve">a juridiction </w:t>
      </w:r>
      <w:r w:rsidR="003921E0" w:rsidRPr="002F0088">
        <w:t xml:space="preserve">de l’État partie </w:t>
      </w:r>
      <w:r w:rsidR="00834356" w:rsidRPr="002F0088">
        <w:t>l’égalité devant la loi sans discrimination fondée sur la race, la couleur, l’ascendance ou l’origine nationale ou ethnique</w:t>
      </w:r>
      <w:r w:rsidR="002F0088">
        <w:rPr>
          <w:rStyle w:val="Appelnotedebasdep"/>
        </w:rPr>
        <w:footnoteReference w:id="12"/>
      </w:r>
      <w:r w:rsidR="003D5D8E">
        <w:t>.</w:t>
      </w:r>
      <w:r w:rsidR="00282A45" w:rsidRPr="002F0088">
        <w:t xml:space="preserve"> </w:t>
      </w:r>
      <w:r w:rsidR="00001711" w:rsidRPr="002F0088">
        <w:t xml:space="preserve">Informations </w:t>
      </w:r>
      <w:r w:rsidR="00A74858" w:rsidRPr="002F0088">
        <w:t>sur l’évaluation de l’impact de la législation et des</w:t>
      </w:r>
      <w:r w:rsidR="00767075" w:rsidRPr="002F0088">
        <w:t xml:space="preserve"> </w:t>
      </w:r>
      <w:r w:rsidR="00A74858" w:rsidRPr="002F0088">
        <w:t xml:space="preserve">politiques en matière de priorité ou de préférence nationale dans les domaines de l’emploi, </w:t>
      </w:r>
      <w:r w:rsidR="00322A3F">
        <w:t xml:space="preserve">de </w:t>
      </w:r>
      <w:r w:rsidR="00A74858" w:rsidRPr="002F0088">
        <w:t xml:space="preserve">l’aide sociale et </w:t>
      </w:r>
      <w:r w:rsidR="00322A3F">
        <w:t>du</w:t>
      </w:r>
      <w:r w:rsidR="00A74858" w:rsidRPr="002F0088">
        <w:t xml:space="preserve"> logement</w:t>
      </w:r>
      <w:r w:rsidR="00322A3F">
        <w:t>,</w:t>
      </w:r>
      <w:r w:rsidR="00A74858" w:rsidRPr="002F0088">
        <w:t xml:space="preserve"> aussi bien pour les </w:t>
      </w:r>
      <w:r w:rsidR="005754B5" w:rsidRPr="002F0088">
        <w:t>non-</w:t>
      </w:r>
      <w:r w:rsidR="00A74858" w:rsidRPr="002F0088">
        <w:t>ressortissants</w:t>
      </w:r>
      <w:r w:rsidR="005754B5" w:rsidRPr="002F0088">
        <w:t xml:space="preserve"> </w:t>
      </w:r>
      <w:r w:rsidR="00A74858" w:rsidRPr="002F0088">
        <w:t>que pour les personnes de nationalité monégasque</w:t>
      </w:r>
      <w:r w:rsidR="002F0088">
        <w:rPr>
          <w:rStyle w:val="Appelnotedebasdep"/>
        </w:rPr>
        <w:footnoteReference w:id="13"/>
      </w:r>
      <w:r w:rsidR="003D5D8E">
        <w:t>.</w:t>
      </w:r>
      <w:r w:rsidR="000713BD" w:rsidRPr="002F0088">
        <w:t xml:space="preserve"> </w:t>
      </w:r>
    </w:p>
    <w:p w14:paraId="2955AB7D" w14:textId="13881A04" w:rsidR="00F73124" w:rsidRPr="002F0088" w:rsidRDefault="00A30A08" w:rsidP="002F0088">
      <w:pPr>
        <w:pStyle w:val="SingleTxtG"/>
      </w:pPr>
      <w:r w:rsidRPr="002F0088">
        <w:t>11.</w:t>
      </w:r>
      <w:r w:rsidRPr="002F0088">
        <w:tab/>
      </w:r>
      <w:r w:rsidR="006A42E9" w:rsidRPr="002F0088">
        <w:t xml:space="preserve">Informations sur les mesures prises </w:t>
      </w:r>
      <w:r w:rsidR="00DD46AD" w:rsidRPr="002F0088">
        <w:t xml:space="preserve">pour faciliter l’intégration des migrants, </w:t>
      </w:r>
      <w:r w:rsidR="00322A3F">
        <w:t xml:space="preserve">des </w:t>
      </w:r>
      <w:r w:rsidR="00DD46AD" w:rsidRPr="002F0088">
        <w:t xml:space="preserve">réfugiés et </w:t>
      </w:r>
      <w:r w:rsidR="00322A3F">
        <w:t xml:space="preserve">des </w:t>
      </w:r>
      <w:r w:rsidR="00DD46AD" w:rsidRPr="002F0088">
        <w:t xml:space="preserve">demandeurs d’asile dans la société, y compris </w:t>
      </w:r>
      <w:r w:rsidR="00E616D1">
        <w:t>l</w:t>
      </w:r>
      <w:r w:rsidR="00DD46AD" w:rsidRPr="002F0088">
        <w:t>es plans, programmes ou stratégies à cet égard</w:t>
      </w:r>
      <w:r w:rsidR="00402BC3" w:rsidRPr="002F0088">
        <w:t xml:space="preserve"> et </w:t>
      </w:r>
      <w:r w:rsidR="00FF2EC0" w:rsidRPr="002F0088">
        <w:t xml:space="preserve">les </w:t>
      </w:r>
      <w:r w:rsidR="00402BC3" w:rsidRPr="002F0088">
        <w:t xml:space="preserve">mesures adoptées pour </w:t>
      </w:r>
      <w:r w:rsidR="00FF2EC0" w:rsidRPr="002F0088">
        <w:t xml:space="preserve">évaluer leur </w:t>
      </w:r>
      <w:r w:rsidR="00402BC3" w:rsidRPr="002F0088">
        <w:t>impact</w:t>
      </w:r>
      <w:r w:rsidR="002105F6" w:rsidRPr="002F0088">
        <w:t xml:space="preserve">, notamment </w:t>
      </w:r>
      <w:r w:rsidR="0000626B" w:rsidRPr="002F0088">
        <w:t xml:space="preserve">sur la jouissance effective des </w:t>
      </w:r>
      <w:r w:rsidR="002105F6" w:rsidRPr="002F0088">
        <w:t>droits économiques, sociaux et culturels</w:t>
      </w:r>
      <w:r w:rsidR="00CC4A6F" w:rsidRPr="002F0088">
        <w:t>.</w:t>
      </w:r>
      <w:r w:rsidR="00EC243F" w:rsidRPr="002F0088">
        <w:t xml:space="preserve"> </w:t>
      </w:r>
      <w:r w:rsidR="00F73124" w:rsidRPr="002F0088">
        <w:t xml:space="preserve">Informations sur le cadre </w:t>
      </w:r>
      <w:r w:rsidR="00CE2EAF" w:rsidRPr="002F0088">
        <w:t>juridique</w:t>
      </w:r>
      <w:r w:rsidR="00F73124" w:rsidRPr="002F0088">
        <w:t xml:space="preserve"> régissant le regroupement familial des non-ressortissants.</w:t>
      </w:r>
    </w:p>
    <w:p w14:paraId="739F94D0" w14:textId="675AC1D9" w:rsidR="006A42E9" w:rsidRPr="002F0088" w:rsidRDefault="00A30A08" w:rsidP="002F0088">
      <w:pPr>
        <w:pStyle w:val="SingleTxtG"/>
      </w:pPr>
      <w:r w:rsidRPr="002F0088">
        <w:t>12.</w:t>
      </w:r>
      <w:r w:rsidRPr="002F0088">
        <w:tab/>
      </w:r>
      <w:r w:rsidR="00C04966" w:rsidRPr="002F0088">
        <w:t xml:space="preserve">Renseignements complémentaires sur les mesures prises ou envisagées pour </w:t>
      </w:r>
      <w:r w:rsidR="008902AC" w:rsidRPr="002F0088">
        <w:t>faciliter</w:t>
      </w:r>
      <w:r w:rsidR="00D90F1E" w:rsidRPr="002F0088">
        <w:t xml:space="preserve"> aux non-</w:t>
      </w:r>
      <w:r w:rsidR="001D3424">
        <w:t>ressortissants</w:t>
      </w:r>
      <w:r w:rsidR="00D90F1E" w:rsidRPr="002F0088">
        <w:t xml:space="preserve"> n’ayant pas encore accompli cinq ans de </w:t>
      </w:r>
      <w:r w:rsidR="009038D3" w:rsidRPr="002F0088">
        <w:t>résidence</w:t>
      </w:r>
      <w:r w:rsidR="00E44C43" w:rsidRPr="002F0088">
        <w:t xml:space="preserve"> et ayant de faibles revenus</w:t>
      </w:r>
      <w:r w:rsidR="00D90F1E" w:rsidRPr="002F0088">
        <w:t xml:space="preserve"> </w:t>
      </w:r>
      <w:r w:rsidR="008902AC" w:rsidRPr="002F0088">
        <w:t>l’accès à l’aide sociale,</w:t>
      </w:r>
      <w:r w:rsidR="00E44C43" w:rsidRPr="002F0088">
        <w:t xml:space="preserve"> </w:t>
      </w:r>
      <w:r w:rsidR="003C68E6" w:rsidRPr="002F0088">
        <w:t xml:space="preserve">à </w:t>
      </w:r>
      <w:r w:rsidR="00E44C43" w:rsidRPr="002F0088">
        <w:t>l’aide au l</w:t>
      </w:r>
      <w:r w:rsidR="003C68E6" w:rsidRPr="002F0088">
        <w:t>o</w:t>
      </w:r>
      <w:r w:rsidR="00E44C43" w:rsidRPr="002F0088">
        <w:t>gement</w:t>
      </w:r>
      <w:r w:rsidR="00921490" w:rsidRPr="002F0088">
        <w:t xml:space="preserve"> et</w:t>
      </w:r>
      <w:r w:rsidR="003C68E6" w:rsidRPr="002F0088">
        <w:t xml:space="preserve"> </w:t>
      </w:r>
      <w:r w:rsidR="00921490" w:rsidRPr="002F0088">
        <w:t>aux services</w:t>
      </w:r>
      <w:r w:rsidR="003C68E6" w:rsidRPr="002F0088">
        <w:t xml:space="preserve"> </w:t>
      </w:r>
      <w:r w:rsidR="00437817" w:rsidRPr="002F0088">
        <w:t>de santé</w:t>
      </w:r>
      <w:r w:rsidR="002F0088">
        <w:rPr>
          <w:rStyle w:val="Appelnotedebasdep"/>
        </w:rPr>
        <w:footnoteReference w:id="14"/>
      </w:r>
      <w:r w:rsidR="003D5D8E">
        <w:t>.</w:t>
      </w:r>
      <w:r w:rsidR="00C66F8E" w:rsidRPr="002F0088">
        <w:t xml:space="preserve"> </w:t>
      </w:r>
      <w:r w:rsidR="003D5D8E" w:rsidRPr="002F0088">
        <w:t>Informations additionnelles</w:t>
      </w:r>
      <w:r w:rsidR="002F3CB7" w:rsidRPr="002F0088">
        <w:t xml:space="preserve"> sur les mesures adoptées </w:t>
      </w:r>
      <w:r w:rsidR="00B10510" w:rsidRPr="002F0088">
        <w:t>visant à</w:t>
      </w:r>
      <w:r w:rsidR="002F3CB7" w:rsidRPr="002F0088">
        <w:t xml:space="preserve"> garantir</w:t>
      </w:r>
      <w:r w:rsidR="00907DBD" w:rsidRPr="002F0088">
        <w:t>, en droit et en pratique,</w:t>
      </w:r>
      <w:r w:rsidR="002F3CB7" w:rsidRPr="002F0088">
        <w:t xml:space="preserve"> l’accès </w:t>
      </w:r>
      <w:r w:rsidR="00907DBD" w:rsidRPr="002F0088">
        <w:t>gratuit à l’enseignement pour les enfants de nationalité étrangère</w:t>
      </w:r>
      <w:r w:rsidR="002F0088">
        <w:rPr>
          <w:rStyle w:val="Appelnotedebasdep"/>
        </w:rPr>
        <w:footnoteReference w:id="15"/>
      </w:r>
      <w:r w:rsidR="003D5D8E">
        <w:t>.</w:t>
      </w:r>
      <w:r w:rsidR="002F3CB7" w:rsidRPr="002F0088">
        <w:t xml:space="preserve"> </w:t>
      </w:r>
    </w:p>
    <w:p w14:paraId="7458AC65" w14:textId="46E71E28" w:rsidR="007366CF" w:rsidRPr="002F0088" w:rsidRDefault="00A30A08" w:rsidP="002F0088">
      <w:pPr>
        <w:pStyle w:val="SingleTxtG"/>
      </w:pPr>
      <w:r w:rsidRPr="002F0088">
        <w:t>13.</w:t>
      </w:r>
      <w:r w:rsidRPr="002F0088">
        <w:tab/>
      </w:r>
      <w:r w:rsidR="00D409B4" w:rsidRPr="002F0088">
        <w:t>Renseignements complémentaires sur les mesures prises pour garantir que l’application du système de priorité d’emploi pour les Monégasques ne condui</w:t>
      </w:r>
      <w:r w:rsidR="004C3F68">
        <w:t>t</w:t>
      </w:r>
      <w:r w:rsidR="00D409B4" w:rsidRPr="002F0088">
        <w:t xml:space="preserve"> pas à des cas de discrimination contre les non-ressortissants</w:t>
      </w:r>
      <w:r w:rsidR="002023A1">
        <w:t xml:space="preserve"> </w:t>
      </w:r>
      <w:r w:rsidR="00D409B4" w:rsidRPr="002F0088">
        <w:t>et pour interdire les licenciements sans motif préalable et valable</w:t>
      </w:r>
      <w:r w:rsidR="002F0088">
        <w:rPr>
          <w:rStyle w:val="Appelnotedebasdep"/>
        </w:rPr>
        <w:footnoteReference w:id="16"/>
      </w:r>
      <w:r w:rsidR="003D5D8E">
        <w:t>.</w:t>
      </w:r>
      <w:r w:rsidR="00EC243F" w:rsidRPr="002F0088">
        <w:t xml:space="preserve"> </w:t>
      </w:r>
      <w:r w:rsidR="007572F6" w:rsidRPr="002F0088">
        <w:t xml:space="preserve">Informations sur les mesures adoptées, en droit et en pratique, pour </w:t>
      </w:r>
      <w:r w:rsidR="0007546E" w:rsidRPr="002F0088">
        <w:t xml:space="preserve">renforcer la protection des travailleurs migrants et pour </w:t>
      </w:r>
      <w:r w:rsidR="0017420D" w:rsidRPr="002F0088">
        <w:t>accroître les capacités et les ressources de l’inspection du travail</w:t>
      </w:r>
      <w:r w:rsidR="009A6618" w:rsidRPr="002F0088">
        <w:t xml:space="preserve">, y compris concernant les </w:t>
      </w:r>
      <w:r w:rsidR="004C4CD1" w:rsidRPr="002F0088">
        <w:t>conditions de travail des travailleuses domestiques migrant</w:t>
      </w:r>
      <w:r w:rsidR="007D5797">
        <w:t>e</w:t>
      </w:r>
      <w:r w:rsidR="004C4CD1" w:rsidRPr="002F0088">
        <w:t xml:space="preserve">s et </w:t>
      </w:r>
      <w:r w:rsidR="004B5C3C" w:rsidRPr="002F0088">
        <w:t xml:space="preserve">des </w:t>
      </w:r>
      <w:r w:rsidR="0054629D" w:rsidRPr="002F0088">
        <w:t>travailleurs</w:t>
      </w:r>
      <w:r w:rsidR="00886BDD" w:rsidRPr="002F0088">
        <w:t xml:space="preserve"> </w:t>
      </w:r>
      <w:r w:rsidR="0085230C" w:rsidRPr="002F0088">
        <w:t xml:space="preserve">migrants </w:t>
      </w:r>
      <w:r w:rsidR="0054629D" w:rsidRPr="002F0088">
        <w:t>en situation irrégulière</w:t>
      </w:r>
      <w:r w:rsidR="00272D6D">
        <w:rPr>
          <w:rStyle w:val="Appelnotedebasdep"/>
        </w:rPr>
        <w:footnoteReference w:id="17"/>
      </w:r>
      <w:r w:rsidR="003D5D8E">
        <w:t>.</w:t>
      </w:r>
      <w:r w:rsidR="00654C27" w:rsidRPr="002F0088">
        <w:t xml:space="preserve"> </w:t>
      </w:r>
      <w:r w:rsidR="0054629D" w:rsidRPr="002F0088">
        <w:t xml:space="preserve">Mesures prises pour </w:t>
      </w:r>
      <w:r w:rsidR="007366CF" w:rsidRPr="002F0088">
        <w:t>faire connaître aux travailleurs migrants leurs droits et, en particulier, les mécanismes de plainte et leur en faciliter l’accès</w:t>
      </w:r>
      <w:r w:rsidR="002F0088">
        <w:rPr>
          <w:rStyle w:val="Appelnotedebasdep"/>
        </w:rPr>
        <w:footnoteReference w:id="18"/>
      </w:r>
      <w:r w:rsidR="003D5D8E">
        <w:t>.</w:t>
      </w:r>
    </w:p>
    <w:p w14:paraId="1E387C85" w14:textId="18A05384" w:rsidR="006370C8" w:rsidRPr="002F0088" w:rsidRDefault="00A30A08" w:rsidP="002F0088">
      <w:pPr>
        <w:pStyle w:val="SingleTxtG"/>
      </w:pPr>
      <w:r w:rsidRPr="002F0088">
        <w:t>14.</w:t>
      </w:r>
      <w:r w:rsidRPr="002F0088">
        <w:tab/>
      </w:r>
      <w:r w:rsidR="006370C8" w:rsidRPr="002F0088">
        <w:t>Mesures prises pour harmoniser la</w:t>
      </w:r>
      <w:r w:rsidR="000C580F" w:rsidRPr="002F0088">
        <w:t xml:space="preserve"> législation nationale, y compris l’</w:t>
      </w:r>
      <w:r w:rsidR="004E0F93">
        <w:t>o</w:t>
      </w:r>
      <w:r w:rsidR="000C580F" w:rsidRPr="002F0088">
        <w:t xml:space="preserve">rdonnance </w:t>
      </w:r>
      <w:r w:rsidR="004E0F93">
        <w:t>s</w:t>
      </w:r>
      <w:r w:rsidR="000C580F" w:rsidRPr="002F0088">
        <w:t>ouveraine n° 3.153 du 19 mars 1964 relative aux conditions d</w:t>
      </w:r>
      <w:r w:rsidR="00294924">
        <w:t>’</w:t>
      </w:r>
      <w:r w:rsidR="000C580F" w:rsidRPr="002F0088">
        <w:t>entrée et de séjour des étrangers dans la Principauté</w:t>
      </w:r>
      <w:r w:rsidR="006370C8" w:rsidRPr="002F0088">
        <w:t>, avec les obligations internationales en la matière, en particulier les dispositions qui érigent en infraction pénale la migration irrégulière.</w:t>
      </w:r>
      <w:r w:rsidR="00666C3E" w:rsidRPr="002F0088">
        <w:t xml:space="preserve"> </w:t>
      </w:r>
      <w:r w:rsidR="00426796" w:rsidRPr="002F0088">
        <w:t xml:space="preserve">Informations sur les mesures adoptées </w:t>
      </w:r>
      <w:r w:rsidR="00E85BD9" w:rsidRPr="002F0088">
        <w:t xml:space="preserve">ou envisagées pour </w:t>
      </w:r>
      <w:r w:rsidR="0073331A" w:rsidRPr="002F0088">
        <w:t>protéger efficacement les femmes</w:t>
      </w:r>
      <w:r w:rsidR="00E205F8" w:rsidRPr="002F0088">
        <w:t xml:space="preserve"> migrantes victimes de violence dont le statut de résidente dépend </w:t>
      </w:r>
      <w:r w:rsidR="00A22037" w:rsidRPr="002F0088">
        <w:t xml:space="preserve">de celui </w:t>
      </w:r>
      <w:r w:rsidR="00921C33" w:rsidRPr="002F0088">
        <w:t>du partenaire violent.</w:t>
      </w:r>
    </w:p>
    <w:p w14:paraId="3AC2376E" w14:textId="59B0A0EE" w:rsidR="00D409B4" w:rsidRPr="002F0088" w:rsidRDefault="00A30A08" w:rsidP="002F0088">
      <w:pPr>
        <w:pStyle w:val="SingleTxtG"/>
      </w:pPr>
      <w:r w:rsidRPr="002F0088">
        <w:t>15.</w:t>
      </w:r>
      <w:r w:rsidRPr="002F0088">
        <w:tab/>
      </w:r>
      <w:r w:rsidR="001C2D19" w:rsidRPr="002F0088">
        <w:t>Renseignements sur le</w:t>
      </w:r>
      <w:r w:rsidR="00F96260" w:rsidRPr="002F0088">
        <w:t xml:space="preserve"> cadre </w:t>
      </w:r>
      <w:r w:rsidR="005E5114" w:rsidRPr="002F0088">
        <w:t>juridique</w:t>
      </w:r>
      <w:r w:rsidR="00F96260" w:rsidRPr="002F0088">
        <w:t xml:space="preserve"> régissant le droit à la liberté de réunion pacifique</w:t>
      </w:r>
      <w:r w:rsidR="005F74E3" w:rsidRPr="002F0088">
        <w:t xml:space="preserve">, notamment en ce qui concerne </w:t>
      </w:r>
      <w:r w:rsidR="00AB0D1B" w:rsidRPr="002F0088">
        <w:t xml:space="preserve">la jouissance de ce droit par </w:t>
      </w:r>
      <w:r w:rsidR="005F74E3" w:rsidRPr="002F0088">
        <w:t>les non-</w:t>
      </w:r>
      <w:r w:rsidR="00404769">
        <w:t>ressortissants</w:t>
      </w:r>
      <w:r w:rsidR="005F74E3" w:rsidRPr="002F0088">
        <w:t>, à la lumière de l’article 29 de la Constitution de l’État partie.</w:t>
      </w:r>
      <w:r w:rsidR="00EC243F" w:rsidRPr="002F0088">
        <w:t xml:space="preserve"> </w:t>
      </w:r>
      <w:r w:rsidR="00436D37" w:rsidRPr="002F0088">
        <w:t>Informations sur l</w:t>
      </w:r>
      <w:r w:rsidR="007F137C" w:rsidRPr="002F0088">
        <w:t>es mesures prises pour réviser la</w:t>
      </w:r>
      <w:r w:rsidR="00436D37" w:rsidRPr="002F0088">
        <w:t xml:space="preserve"> législation </w:t>
      </w:r>
      <w:r w:rsidR="005737A8" w:rsidRPr="002F0088">
        <w:t xml:space="preserve">relative aux syndicats, </w:t>
      </w:r>
      <w:r w:rsidR="00EC0727" w:rsidRPr="002F0088">
        <w:t>notamment les dispositions qui prévoi</w:t>
      </w:r>
      <w:r w:rsidR="00EB5559" w:rsidRPr="002F0088">
        <w:t>en</w:t>
      </w:r>
      <w:r w:rsidR="00EC0727" w:rsidRPr="002F0088">
        <w:t xml:space="preserve">t </w:t>
      </w:r>
      <w:r w:rsidR="002A41A6" w:rsidRPr="002F0088">
        <w:t xml:space="preserve">que doivent siéger au sein des organes des syndicats et de leurs fédérations une majorité de ressortissants monégasques et français. </w:t>
      </w:r>
    </w:p>
    <w:p w14:paraId="33629AFC" w14:textId="5B04085A" w:rsidR="00991EAC" w:rsidRPr="00DF5828" w:rsidRDefault="00A30A08" w:rsidP="00DF5828">
      <w:pPr>
        <w:pStyle w:val="SingleTxtG"/>
      </w:pPr>
      <w:r w:rsidRPr="00DF5828">
        <w:t>16.</w:t>
      </w:r>
      <w:r w:rsidRPr="00DF5828">
        <w:tab/>
      </w:r>
      <w:r w:rsidR="00991EAC" w:rsidRPr="00DF5828">
        <w:t>Informations sur le cadre juridique régissant l’acquisition de la nationalité monégasque et les mesures prises ou envisagées pour faciliter l’acquisition de la nationalité par les ressortissants étrangers vivant et travaillant à Monaco. Renseignements actualisés concernant les mesures prises ou envisagées pour veiller à ce que les personnes devenues monégasques puissent transmettre leur nationalité monégasque</w:t>
      </w:r>
      <w:r w:rsidR="00C47F9A" w:rsidRPr="00DF5828">
        <w:t xml:space="preserve"> </w:t>
      </w:r>
      <w:r w:rsidR="00991EAC" w:rsidRPr="00DF5828">
        <w:t>postérieurement au divorce, quelle que soit la voie par laquelle la personne a acquis cette nationalité</w:t>
      </w:r>
      <w:r w:rsidR="00DF5828">
        <w:rPr>
          <w:rStyle w:val="Appelnotedebasdep"/>
        </w:rPr>
        <w:footnoteReference w:id="19"/>
      </w:r>
      <w:r w:rsidR="000569B6">
        <w:t>.</w:t>
      </w:r>
      <w:r w:rsidR="00991EAC" w:rsidRPr="00DF5828">
        <w:t xml:space="preserve"> </w:t>
      </w:r>
    </w:p>
    <w:p w14:paraId="7135EB39" w14:textId="3B125920" w:rsidR="00CE3F79" w:rsidRPr="00DF5828" w:rsidRDefault="00A30A08" w:rsidP="00DF5828">
      <w:pPr>
        <w:pStyle w:val="SingleTxtG"/>
      </w:pPr>
      <w:r w:rsidRPr="00DF5828">
        <w:t>17.</w:t>
      </w:r>
      <w:r w:rsidRPr="00DF5828">
        <w:tab/>
      </w:r>
      <w:r w:rsidR="00CF2D51" w:rsidRPr="00DF5828">
        <w:t>Renseignements</w:t>
      </w:r>
      <w:r w:rsidR="004E419F" w:rsidRPr="00DF5828">
        <w:t xml:space="preserve"> mis à jour sur </w:t>
      </w:r>
      <w:r w:rsidR="00F268AA" w:rsidRPr="00DF5828">
        <w:t>les mesures prises pour prévenir et combattre la traite des personnes</w:t>
      </w:r>
      <w:r w:rsidR="00CA40C3" w:rsidRPr="00DF5828">
        <w:t>, y compris à des fins d’exploitation par le travail</w:t>
      </w:r>
      <w:r w:rsidR="00765F95" w:rsidRPr="00DF5828">
        <w:t>,</w:t>
      </w:r>
      <w:r w:rsidR="00CA40C3" w:rsidRPr="00DF5828">
        <w:t xml:space="preserve"> notamment de non-ressortissants</w:t>
      </w:r>
      <w:r w:rsidR="00397EF7" w:rsidRPr="00DF5828">
        <w:t>,</w:t>
      </w:r>
      <w:r w:rsidR="00CA40C3" w:rsidRPr="00DF5828">
        <w:t xml:space="preserve"> en particulier </w:t>
      </w:r>
      <w:r w:rsidR="004E419F" w:rsidRPr="00DF5828">
        <w:t xml:space="preserve">les initiatives visant </w:t>
      </w:r>
      <w:r w:rsidR="000A7753">
        <w:t>d’une part</w:t>
      </w:r>
      <w:r w:rsidR="00397EF7" w:rsidRPr="00DF5828">
        <w:t xml:space="preserve"> </w:t>
      </w:r>
      <w:r w:rsidR="004E419F" w:rsidRPr="00DF5828">
        <w:t xml:space="preserve">à adopter un plan d’action </w:t>
      </w:r>
      <w:r w:rsidR="006D5D94" w:rsidRPr="00DF5828">
        <w:t>à cet égard</w:t>
      </w:r>
      <w:r w:rsidR="00110D51" w:rsidRPr="00DF5828">
        <w:t xml:space="preserve"> </w:t>
      </w:r>
      <w:r w:rsidR="00162A99" w:rsidRPr="00DF5828">
        <w:t xml:space="preserve">et </w:t>
      </w:r>
      <w:r w:rsidR="000A7753">
        <w:t>d’autre part</w:t>
      </w:r>
      <w:r w:rsidR="00397EF7" w:rsidRPr="00DF5828">
        <w:t xml:space="preserve"> </w:t>
      </w:r>
      <w:r w:rsidR="00DB2112" w:rsidRPr="00DF5828">
        <w:t>à</w:t>
      </w:r>
      <w:r w:rsidR="00162A99" w:rsidRPr="00DF5828">
        <w:t xml:space="preserve"> améliorer l’</w:t>
      </w:r>
      <w:r w:rsidR="00867117" w:rsidRPr="00DF5828">
        <w:t>i</w:t>
      </w:r>
      <w:r w:rsidR="00162A99" w:rsidRPr="00DF5828">
        <w:t xml:space="preserve">dentification des </w:t>
      </w:r>
      <w:r w:rsidR="00DB2112" w:rsidRPr="00DF5828">
        <w:t>victimes</w:t>
      </w:r>
      <w:r w:rsidR="00867117" w:rsidRPr="00DF5828">
        <w:t xml:space="preserve"> et </w:t>
      </w:r>
      <w:r w:rsidR="004C3F68">
        <w:t>à</w:t>
      </w:r>
      <w:r w:rsidR="00867117" w:rsidRPr="00DF5828">
        <w:t xml:space="preserve"> leur apporter une protection et une aide appropriées</w:t>
      </w:r>
      <w:r w:rsidR="00C66C8D" w:rsidRPr="00DF5828">
        <w:t>, quelle que soit leur situation au regard du séjour</w:t>
      </w:r>
      <w:r w:rsidR="00DF5828">
        <w:rPr>
          <w:rStyle w:val="Appelnotedebasdep"/>
        </w:rPr>
        <w:footnoteReference w:id="20"/>
      </w:r>
      <w:r w:rsidR="000569B6">
        <w:t>.</w:t>
      </w:r>
      <w:r w:rsidR="00110D51" w:rsidRPr="00DF5828">
        <w:t xml:space="preserve"> </w:t>
      </w:r>
      <w:r w:rsidR="00986D97" w:rsidRPr="00DF5828">
        <w:t xml:space="preserve">Mesures visant à garantir que les victimes de la traite ne sont pas </w:t>
      </w:r>
      <w:r w:rsidR="00FC4E24" w:rsidRPr="00DF5828">
        <w:t>sanctionnées</w:t>
      </w:r>
      <w:r w:rsidR="00986D97" w:rsidRPr="00DF5828">
        <w:t xml:space="preserve"> pour la commission d’actes résultant directement de leur situation de victime de la traite.</w:t>
      </w:r>
      <w:r w:rsidR="00E958B4" w:rsidRPr="00DF5828">
        <w:t xml:space="preserve"> </w:t>
      </w:r>
      <w:r w:rsidR="00110D51" w:rsidRPr="00DF5828">
        <w:t>Informations sur les plaintes, les enquêtes, les poursuites, les condamnations, les sanctions et les mesures de réparation et de réhabilitation des victimes</w:t>
      </w:r>
      <w:r w:rsidR="00AA3641" w:rsidRPr="00DF5828">
        <w:t xml:space="preserve"> de la traite</w:t>
      </w:r>
      <w:r w:rsidR="00DF5828">
        <w:rPr>
          <w:rStyle w:val="Appelnotedebasdep"/>
        </w:rPr>
        <w:footnoteReference w:id="21"/>
      </w:r>
      <w:r w:rsidR="000569B6">
        <w:t>.</w:t>
      </w:r>
      <w:r w:rsidR="00110D51" w:rsidRPr="00DF5828">
        <w:t xml:space="preserve"> </w:t>
      </w:r>
    </w:p>
    <w:p w14:paraId="153D019B" w14:textId="0387DEC8" w:rsidR="005666DD" w:rsidRPr="00DF5828" w:rsidRDefault="00A30A08" w:rsidP="00DF5828">
      <w:pPr>
        <w:pStyle w:val="SingleTxtG"/>
      </w:pPr>
      <w:r w:rsidRPr="00DF5828">
        <w:t>18.</w:t>
      </w:r>
      <w:r w:rsidRPr="00DF5828">
        <w:tab/>
      </w:r>
      <w:r w:rsidR="00FF5F5F" w:rsidRPr="00DF5828">
        <w:t xml:space="preserve">Mesures prises </w:t>
      </w:r>
      <w:r w:rsidR="005666DD" w:rsidRPr="00DF5828">
        <w:t>pour adopter un cadre législatif relatif à la protection des réfugiés et des demandeurs d’asile qui soit conforme aux normes internationales, intègre les principes de non-refoulement et de non-discrimination, et prévoie une procédure de détermination du statut de réfugié</w:t>
      </w:r>
      <w:r w:rsidR="00DF5828">
        <w:rPr>
          <w:rStyle w:val="Appelnotedebasdep"/>
        </w:rPr>
        <w:footnoteReference w:id="22"/>
      </w:r>
      <w:r w:rsidR="000569B6">
        <w:t>.</w:t>
      </w:r>
      <w:r w:rsidR="000137D8" w:rsidRPr="00DF5828">
        <w:t xml:space="preserve"> </w:t>
      </w:r>
    </w:p>
    <w:p w14:paraId="19D51ECE" w14:textId="6E67F08C" w:rsidR="000257A4" w:rsidRPr="00D76EC9" w:rsidRDefault="00A30A08" w:rsidP="00A30A08">
      <w:pPr>
        <w:pStyle w:val="H23G"/>
      </w:pPr>
      <w:r>
        <w:tab/>
      </w:r>
      <w:r>
        <w:tab/>
      </w:r>
      <w:r w:rsidR="000257A4">
        <w:t xml:space="preserve">Accès à la justice </w:t>
      </w:r>
      <w:r w:rsidR="000257A4">
        <w:rPr>
          <w:lang w:val="fr-FR"/>
        </w:rPr>
        <w:t>(art.</w:t>
      </w:r>
      <w:r w:rsidR="000257A4" w:rsidRPr="005058AB">
        <w:rPr>
          <w:lang w:val="fr-FR"/>
        </w:rPr>
        <w:t xml:space="preserve"> </w:t>
      </w:r>
      <w:r w:rsidR="000257A4">
        <w:rPr>
          <w:lang w:val="fr-FR"/>
        </w:rPr>
        <w:t>5 et 6)</w:t>
      </w:r>
      <w:r w:rsidR="000257A4">
        <w:t xml:space="preserve"> </w:t>
      </w:r>
    </w:p>
    <w:p w14:paraId="56F1F712" w14:textId="4229C7A6" w:rsidR="00FA46E8" w:rsidRPr="00DF5828" w:rsidRDefault="00A30A08" w:rsidP="00DF5828">
      <w:pPr>
        <w:pStyle w:val="SingleTxtG"/>
      </w:pPr>
      <w:r w:rsidRPr="00DF5828">
        <w:t>19.</w:t>
      </w:r>
      <w:r w:rsidRPr="00DF5828">
        <w:tab/>
      </w:r>
      <w:r w:rsidR="00A44125" w:rsidRPr="00DF5828">
        <w:t>Renseignements</w:t>
      </w:r>
      <w:r w:rsidR="006D63EF" w:rsidRPr="00DF5828">
        <w:t xml:space="preserve"> </w:t>
      </w:r>
      <w:r w:rsidR="00A44125" w:rsidRPr="00DF5828">
        <w:t xml:space="preserve">complémentaires sur </w:t>
      </w:r>
      <w:r w:rsidR="00133C0D" w:rsidRPr="00DF5828">
        <w:t xml:space="preserve">les recours administratifs et judiciaires disponibles pour dénoncer les cas de discrimination raciale </w:t>
      </w:r>
      <w:r w:rsidR="005A671C" w:rsidRPr="00DF5828">
        <w:t xml:space="preserve">et des infractions connexes </w:t>
      </w:r>
      <w:r w:rsidR="00133C0D" w:rsidRPr="00DF5828">
        <w:t xml:space="preserve">ou </w:t>
      </w:r>
      <w:r w:rsidR="001428F7" w:rsidRPr="00DF5828">
        <w:t xml:space="preserve">pour </w:t>
      </w:r>
      <w:r w:rsidR="00133C0D" w:rsidRPr="00DF5828">
        <w:t>déposer plainte à cet égard</w:t>
      </w:r>
      <w:r w:rsidR="001428F7" w:rsidRPr="00DF5828">
        <w:t xml:space="preserve"> ainsi que</w:t>
      </w:r>
      <w:r w:rsidR="00133C0D" w:rsidRPr="00DF5828">
        <w:t xml:space="preserve"> sur</w:t>
      </w:r>
      <w:r w:rsidR="00FE1E51" w:rsidRPr="00DF5828">
        <w:t xml:space="preserve"> les mesures visant à sensibiliser la population de l’État partie et les non-ressortissants </w:t>
      </w:r>
      <w:r w:rsidR="00445BD2">
        <w:t>aux</w:t>
      </w:r>
      <w:r w:rsidR="00222240" w:rsidRPr="00DF5828">
        <w:t xml:space="preserve"> droits qui leur sont reconnus par la Convention </w:t>
      </w:r>
      <w:r w:rsidR="008B0889" w:rsidRPr="00DF5828">
        <w:t xml:space="preserve">et </w:t>
      </w:r>
      <w:r w:rsidR="000A57E0">
        <w:t>aux</w:t>
      </w:r>
      <w:r w:rsidR="00FE1E51" w:rsidRPr="00DF5828">
        <w:t xml:space="preserve"> recours</w:t>
      </w:r>
      <w:r w:rsidR="009204CD" w:rsidRPr="00DF5828">
        <w:t xml:space="preserve"> </w:t>
      </w:r>
      <w:r w:rsidR="00222240" w:rsidRPr="00DF5828">
        <w:t>dont ils disposent</w:t>
      </w:r>
      <w:r w:rsidR="00DF5828">
        <w:rPr>
          <w:rStyle w:val="Appelnotedebasdep"/>
        </w:rPr>
        <w:footnoteReference w:id="23"/>
      </w:r>
      <w:r w:rsidR="000569B6">
        <w:t>.</w:t>
      </w:r>
      <w:r w:rsidR="00133C0D" w:rsidRPr="00DF5828">
        <w:t xml:space="preserve"> </w:t>
      </w:r>
      <w:r w:rsidR="007807CC" w:rsidRPr="00DF5828">
        <w:t xml:space="preserve">Renseignements sur les mesures visant à garantir l’accès à la justice dans les cas de discrimination raciale, </w:t>
      </w:r>
      <w:r w:rsidR="00B13F5D" w:rsidRPr="00DF5828">
        <w:t>en particulier</w:t>
      </w:r>
      <w:r w:rsidR="009E4871" w:rsidRPr="00DF5828">
        <w:t xml:space="preserve"> </w:t>
      </w:r>
      <w:r w:rsidR="00C47D49" w:rsidRPr="00DF5828">
        <w:t>les mesures prises pour faciliter le dépôt de plainte</w:t>
      </w:r>
      <w:r w:rsidR="00A3412F" w:rsidRPr="00DF5828">
        <w:t xml:space="preserve"> et l’accès à l’aide </w:t>
      </w:r>
      <w:r w:rsidR="00B13F5D" w:rsidRPr="00DF5828">
        <w:t>juridictionnelle</w:t>
      </w:r>
      <w:r w:rsidR="00AA6B11" w:rsidRPr="00DF5828">
        <w:t xml:space="preserve">, y compris par les non-ressortissants, </w:t>
      </w:r>
      <w:r w:rsidR="00B13F5D" w:rsidRPr="00DF5828">
        <w:t xml:space="preserve">ainsi que </w:t>
      </w:r>
      <w:r w:rsidR="00C47D49" w:rsidRPr="00DF5828">
        <w:t>pour renverser la charge de la preuve en faveur des victimes</w:t>
      </w:r>
      <w:r w:rsidR="00DF5828">
        <w:rPr>
          <w:rStyle w:val="Appelnotedebasdep"/>
        </w:rPr>
        <w:footnoteReference w:id="24"/>
      </w:r>
      <w:r w:rsidR="000569B6">
        <w:t>.</w:t>
      </w:r>
    </w:p>
    <w:p w14:paraId="015FB02B" w14:textId="53915FD4" w:rsidR="00FB5EEA" w:rsidRPr="00DF5828" w:rsidRDefault="00A30A08" w:rsidP="00DF5828">
      <w:pPr>
        <w:pStyle w:val="SingleTxtG"/>
      </w:pPr>
      <w:r w:rsidRPr="00DF5828">
        <w:t>20.</w:t>
      </w:r>
      <w:r w:rsidRPr="00DF5828">
        <w:tab/>
      </w:r>
      <w:r w:rsidR="00FB5EEA" w:rsidRPr="00DF5828">
        <w:t xml:space="preserve">Informations actualisées concernant des cas de discrimination raciale et des infractions connexes déposés auprès d’instances judiciaires ou de toute autre institution nationale, </w:t>
      </w:r>
      <w:r w:rsidR="00C34934" w:rsidRPr="00DF5828">
        <w:t>y compris le Haut</w:t>
      </w:r>
      <w:r w:rsidR="006046FC">
        <w:t xml:space="preserve"> </w:t>
      </w:r>
      <w:r w:rsidR="00C34934" w:rsidRPr="00DF5828">
        <w:t>Commissariat à la protection des droits, des libertés et à la médiation</w:t>
      </w:r>
      <w:r w:rsidR="00FB5EEA" w:rsidRPr="00DF5828">
        <w:t>, et sur les résultats des enquêtes menées, les sanctions imposées et les réparations accordées aux victimes</w:t>
      </w:r>
      <w:r w:rsidR="00DF5828">
        <w:rPr>
          <w:rStyle w:val="Appelnotedebasdep"/>
        </w:rPr>
        <w:footnoteReference w:id="25"/>
      </w:r>
      <w:r w:rsidR="000569B6">
        <w:t>.</w:t>
      </w:r>
    </w:p>
    <w:p w14:paraId="35B79E5C" w14:textId="0B163CE8" w:rsidR="00776B83" w:rsidRPr="00776B83" w:rsidRDefault="00A30A08" w:rsidP="00A30A08">
      <w:pPr>
        <w:pStyle w:val="H23G"/>
      </w:pPr>
      <w:r>
        <w:tab/>
      </w:r>
      <w:r>
        <w:tab/>
      </w:r>
      <w:r w:rsidR="0014580D">
        <w:t>Formation, éducation et autres mesures visant à lutter contre les préjugés et</w:t>
      </w:r>
      <w:r w:rsidR="00294924">
        <w:t> </w:t>
      </w:r>
      <w:r w:rsidR="0014580D">
        <w:t>l’</w:t>
      </w:r>
      <w:r w:rsidR="00F75735">
        <w:t>intolérance</w:t>
      </w:r>
      <w:r w:rsidR="0014580D">
        <w:t xml:space="preserve"> </w:t>
      </w:r>
      <w:r w:rsidR="00776B83">
        <w:rPr>
          <w:lang w:val="fr-FR"/>
        </w:rPr>
        <w:t>(art.</w:t>
      </w:r>
      <w:r w:rsidR="00F75735">
        <w:rPr>
          <w:lang w:val="fr-FR"/>
        </w:rPr>
        <w:t xml:space="preserve"> 7</w:t>
      </w:r>
      <w:r w:rsidR="00776B83">
        <w:rPr>
          <w:lang w:val="fr-FR"/>
        </w:rPr>
        <w:t>)</w:t>
      </w:r>
      <w:r w:rsidR="00776B83">
        <w:t xml:space="preserve"> </w:t>
      </w:r>
    </w:p>
    <w:p w14:paraId="646B0EE6" w14:textId="66E5A50B" w:rsidR="006571D3" w:rsidRDefault="00A30A08" w:rsidP="00DF5828">
      <w:pPr>
        <w:pStyle w:val="SingleTxtG"/>
      </w:pPr>
      <w:r w:rsidRPr="00DF5828">
        <w:t>21.</w:t>
      </w:r>
      <w:r w:rsidRPr="00DF5828">
        <w:tab/>
      </w:r>
      <w:r w:rsidR="00E566FE" w:rsidRPr="00DF5828">
        <w:t>Renseignements additionnels et détaillés sur les mesures prises pour promouvoir l’éducation aux droits de l’homme, en particulier sur la Convention et la lutte contre la discrimination raciale, le racisme et la xénophobie, dans les programmes scolaires et les programmes de formation professionnelle</w:t>
      </w:r>
      <w:r w:rsidR="00AB06A1">
        <w:t>,</w:t>
      </w:r>
      <w:r w:rsidR="00E566FE" w:rsidRPr="00DF5828">
        <w:t xml:space="preserve"> et informations sur l’impact de ces mesures. Renseignements sur la représentation des migrants dans les manuels et programmes d’enseignement à tous les niveaux, ainsi que sur l</w:t>
      </w:r>
      <w:r w:rsidR="00A15225" w:rsidRPr="00DF5828">
        <w:t>eur</w:t>
      </w:r>
      <w:r w:rsidR="00E566FE" w:rsidRPr="00DF5828">
        <w:t xml:space="preserve"> contribution au développement et à l’histoire nationale de l’État partie</w:t>
      </w:r>
      <w:r w:rsidR="00DF5828">
        <w:rPr>
          <w:rStyle w:val="Appelnotedebasdep"/>
        </w:rPr>
        <w:footnoteReference w:id="26"/>
      </w:r>
      <w:r w:rsidR="000569B6">
        <w:t>.</w:t>
      </w:r>
      <w:r w:rsidR="00EC243F" w:rsidRPr="00DF5828">
        <w:t xml:space="preserve"> </w:t>
      </w:r>
      <w:r w:rsidR="008545EF" w:rsidRPr="00DF5828">
        <w:t>Informations sur les campagnes de sensibilisation menées pour renforcer l’élimination de toute pratique discriminatoire fondée sur la race, la couleur, l’ascendance ou l’origine nationale ou ethnique.</w:t>
      </w:r>
    </w:p>
    <w:p w14:paraId="7A34E921" w14:textId="1D657E3B" w:rsidR="00DF5828" w:rsidRPr="00DF5828" w:rsidRDefault="00DF5828" w:rsidP="00DF5828">
      <w:pPr>
        <w:pStyle w:val="SingleTxtG"/>
        <w:spacing w:before="240" w:after="0"/>
        <w:jc w:val="center"/>
        <w:rPr>
          <w:u w:val="single"/>
        </w:rPr>
      </w:pPr>
      <w:r>
        <w:rPr>
          <w:u w:val="single"/>
        </w:rPr>
        <w:tab/>
      </w:r>
      <w:r>
        <w:rPr>
          <w:u w:val="single"/>
        </w:rPr>
        <w:tab/>
      </w:r>
      <w:r>
        <w:rPr>
          <w:u w:val="single"/>
        </w:rPr>
        <w:tab/>
      </w:r>
      <w:r w:rsidR="00AB06A1">
        <w:rPr>
          <w:u w:val="single"/>
        </w:rPr>
        <w:tab/>
      </w:r>
    </w:p>
    <w:sectPr w:rsidR="00DF5828" w:rsidRPr="00DF5828" w:rsidSect="00EE366F">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62848" w14:textId="77777777" w:rsidR="000C1B5E" w:rsidRDefault="000C1B5E"/>
  </w:endnote>
  <w:endnote w:type="continuationSeparator" w:id="0">
    <w:p w14:paraId="5DF26F83" w14:textId="77777777" w:rsidR="000C1B5E" w:rsidRDefault="000C1B5E">
      <w:pPr>
        <w:pStyle w:val="Pieddepage"/>
      </w:pPr>
    </w:p>
  </w:endnote>
  <w:endnote w:type="continuationNotice" w:id="1">
    <w:p w14:paraId="5CDC1111" w14:textId="77777777" w:rsidR="000C1B5E" w:rsidRPr="00C451B9" w:rsidRDefault="000C1B5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B0EF1" w14:textId="426205DF" w:rsidR="0028779B" w:rsidRPr="003A4BD4" w:rsidRDefault="0028779B" w:rsidP="003A4BD4">
    <w:pPr>
      <w:pStyle w:val="Pieddepage"/>
      <w:tabs>
        <w:tab w:val="right" w:pos="9638"/>
      </w:tabs>
    </w:pPr>
    <w:r w:rsidRPr="003A4BD4">
      <w:rPr>
        <w:b/>
        <w:sz w:val="18"/>
      </w:rPr>
      <w:fldChar w:fldCharType="begin"/>
    </w:r>
    <w:r w:rsidRPr="003A4BD4">
      <w:rPr>
        <w:b/>
        <w:sz w:val="18"/>
      </w:rPr>
      <w:instrText xml:space="preserve"> PAGE  \* MERGEFORMAT </w:instrText>
    </w:r>
    <w:r w:rsidRPr="003A4BD4">
      <w:rPr>
        <w:b/>
        <w:sz w:val="18"/>
      </w:rPr>
      <w:fldChar w:fldCharType="separate"/>
    </w:r>
    <w:r w:rsidR="006571D3">
      <w:rPr>
        <w:b/>
        <w:noProof/>
        <w:sz w:val="18"/>
      </w:rPr>
      <w:t>2</w:t>
    </w:r>
    <w:r w:rsidRPr="003A4BD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B0EF2" w14:textId="45880DD5" w:rsidR="0028779B" w:rsidRPr="003A4BD4" w:rsidRDefault="0028779B" w:rsidP="003A4BD4">
    <w:pPr>
      <w:pStyle w:val="Pieddepage"/>
      <w:tabs>
        <w:tab w:val="right" w:pos="9638"/>
      </w:tabs>
      <w:rPr>
        <w:b/>
        <w:sz w:val="18"/>
      </w:rPr>
    </w:pPr>
    <w:r>
      <w:tab/>
    </w:r>
    <w:r w:rsidRPr="003A4BD4">
      <w:rPr>
        <w:b/>
        <w:sz w:val="18"/>
      </w:rPr>
      <w:fldChar w:fldCharType="begin"/>
    </w:r>
    <w:r w:rsidRPr="003A4BD4">
      <w:rPr>
        <w:b/>
        <w:sz w:val="18"/>
      </w:rPr>
      <w:instrText xml:space="preserve"> PAGE  \* MERGEFORMAT </w:instrText>
    </w:r>
    <w:r w:rsidRPr="003A4BD4">
      <w:rPr>
        <w:b/>
        <w:sz w:val="18"/>
      </w:rPr>
      <w:fldChar w:fldCharType="separate"/>
    </w:r>
    <w:r>
      <w:rPr>
        <w:b/>
        <w:noProof/>
        <w:sz w:val="18"/>
      </w:rPr>
      <w:t>3</w:t>
    </w:r>
    <w:r w:rsidRPr="003A4B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F5329" w14:textId="24A0542D" w:rsidR="006F0031" w:rsidRPr="006F0031" w:rsidRDefault="006F0031" w:rsidP="006F0031">
    <w:pPr>
      <w:pStyle w:val="Pieddepage"/>
      <w:tabs>
        <w:tab w:val="left" w:pos="6520"/>
        <w:tab w:val="right" w:pos="9638"/>
      </w:tabs>
      <w:spacing w:before="120"/>
      <w:rPr>
        <w:sz w:val="20"/>
      </w:rPr>
    </w:pPr>
    <w:r>
      <w:rPr>
        <w:sz w:val="20"/>
      </w:rPr>
      <w:t>GE.24-17392  (F)</w:t>
    </w:r>
    <w:bookmarkStart w:id="0" w:name="_GoBack"/>
    <w:bookmarkEnd w:id="0"/>
    <w:r w:rsidR="006B461D">
      <w:rPr>
        <w:sz w:val="20"/>
      </w:rPr>
      <w:t xml:space="preserve">    071024    071024</w:t>
    </w:r>
    <w:r>
      <w:rPr>
        <w:sz w:val="20"/>
      </w:rPr>
      <w:tab/>
    </w:r>
    <w:r w:rsidRPr="006F0031">
      <w:rPr>
        <w:noProof/>
        <w:sz w:val="20"/>
        <w:lang w:eastAsia="fr-CH"/>
      </w:rPr>
      <w:drawing>
        <wp:inline distT="0" distB="0" distL="0" distR="0" wp14:anchorId="1C01F25A" wp14:editId="11BB31B4">
          <wp:extent cx="1105200" cy="234000"/>
          <wp:effectExtent l="0" t="0" r="0" b="0"/>
          <wp:docPr id="59532755"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9257E22" wp14:editId="3E9700F2">
          <wp:extent cx="629920" cy="629920"/>
          <wp:effectExtent l="0" t="0" r="0" b="0"/>
          <wp:docPr id="15962126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05523" w14:textId="77777777" w:rsidR="000C1B5E" w:rsidRPr="00D27D5E" w:rsidRDefault="000C1B5E" w:rsidP="00D27D5E">
      <w:pPr>
        <w:tabs>
          <w:tab w:val="right" w:pos="2155"/>
        </w:tabs>
        <w:spacing w:after="80"/>
        <w:ind w:left="680"/>
        <w:rPr>
          <w:u w:val="single"/>
        </w:rPr>
      </w:pPr>
      <w:r>
        <w:rPr>
          <w:u w:val="single"/>
        </w:rPr>
        <w:tab/>
      </w:r>
    </w:p>
  </w:footnote>
  <w:footnote w:type="continuationSeparator" w:id="0">
    <w:p w14:paraId="0C1A49DD" w14:textId="77777777" w:rsidR="000C1B5E" w:rsidRPr="00D171D4" w:rsidRDefault="000C1B5E" w:rsidP="00D171D4">
      <w:pPr>
        <w:tabs>
          <w:tab w:val="right" w:pos="2155"/>
        </w:tabs>
        <w:spacing w:after="80"/>
        <w:ind w:left="680"/>
        <w:rPr>
          <w:u w:val="single"/>
        </w:rPr>
      </w:pPr>
      <w:r w:rsidRPr="00D171D4">
        <w:rPr>
          <w:u w:val="single"/>
        </w:rPr>
        <w:tab/>
      </w:r>
    </w:p>
  </w:footnote>
  <w:footnote w:type="continuationNotice" w:id="1">
    <w:p w14:paraId="294BB245" w14:textId="77777777" w:rsidR="000C1B5E" w:rsidRPr="00C451B9" w:rsidRDefault="000C1B5E" w:rsidP="00C451B9">
      <w:pPr>
        <w:spacing w:line="240" w:lineRule="auto"/>
        <w:rPr>
          <w:sz w:val="2"/>
          <w:szCs w:val="2"/>
        </w:rPr>
      </w:pPr>
    </w:p>
  </w:footnote>
  <w:footnote w:id="2">
    <w:p w14:paraId="03A68364" w14:textId="77777777" w:rsidR="008035BD" w:rsidRPr="00272D6D" w:rsidRDefault="008035BD" w:rsidP="008035BD">
      <w:pPr>
        <w:pStyle w:val="Notedebasdepage"/>
        <w:widowControl w:val="0"/>
        <w:tabs>
          <w:tab w:val="clear" w:pos="1021"/>
          <w:tab w:val="right" w:pos="1020"/>
        </w:tabs>
        <w:rPr>
          <w:lang w:val="fr-FR"/>
        </w:rPr>
      </w:pPr>
      <w:r>
        <w:tab/>
      </w:r>
      <w:r>
        <w:rPr>
          <w:rStyle w:val="Appelnotedebasdep"/>
        </w:rPr>
        <w:footnoteRef/>
      </w:r>
      <w:r>
        <w:tab/>
      </w:r>
      <w:hyperlink r:id="rId1" w:history="1">
        <w:r w:rsidRPr="00EF3199">
          <w:rPr>
            <w:rStyle w:val="Lienhypertexte"/>
            <w:rFonts w:eastAsiaTheme="minorHAnsi"/>
            <w:color w:val="0000FF"/>
            <w:lang w:val="fr-FR"/>
          </w:rPr>
          <w:t>A/65/18</w:t>
        </w:r>
      </w:hyperlink>
      <w:r w:rsidRPr="005324AF">
        <w:rPr>
          <w:szCs w:val="18"/>
          <w:lang w:val="fr-FR"/>
        </w:rPr>
        <w:t>, par. 85.</w:t>
      </w:r>
    </w:p>
  </w:footnote>
  <w:footnote w:id="3">
    <w:p w14:paraId="2D4848B7" w14:textId="533DF5FA" w:rsidR="00CC305F" w:rsidRPr="00CC305F" w:rsidRDefault="00CC305F" w:rsidP="00CC305F">
      <w:pPr>
        <w:pStyle w:val="Notedebasdepage"/>
        <w:widowControl w:val="0"/>
        <w:tabs>
          <w:tab w:val="clear" w:pos="1021"/>
          <w:tab w:val="right" w:pos="1020"/>
        </w:tabs>
        <w:rPr>
          <w:lang w:val="fr-FR"/>
        </w:rPr>
      </w:pPr>
      <w:r>
        <w:tab/>
      </w:r>
      <w:r>
        <w:rPr>
          <w:rStyle w:val="Appelnotedebasdep"/>
        </w:rPr>
        <w:footnoteRef/>
      </w:r>
      <w:r>
        <w:tab/>
      </w:r>
      <w:hyperlink r:id="rId2" w:history="1">
        <w:r w:rsidRPr="00EF3199">
          <w:rPr>
            <w:rStyle w:val="Lienhypertexte"/>
            <w:rFonts w:eastAsiaTheme="minorHAnsi"/>
            <w:color w:val="0000FF"/>
            <w:lang w:val="fr-FR"/>
          </w:rPr>
          <w:t>CERD/C/MCO/CO/6</w:t>
        </w:r>
      </w:hyperlink>
      <w:r w:rsidRPr="005324AF">
        <w:rPr>
          <w:szCs w:val="18"/>
          <w:lang w:val="fr-FR"/>
        </w:rPr>
        <w:t>, par. 6 ;</w:t>
      </w:r>
      <w:r w:rsidR="00210949">
        <w:rPr>
          <w:szCs w:val="18"/>
          <w:lang w:val="fr-FR"/>
        </w:rPr>
        <w:t xml:space="preserve"> et</w:t>
      </w:r>
      <w:r w:rsidRPr="005324AF">
        <w:rPr>
          <w:szCs w:val="18"/>
          <w:lang w:val="fr-FR"/>
        </w:rPr>
        <w:t xml:space="preserve"> </w:t>
      </w:r>
      <w:hyperlink r:id="rId3" w:history="1">
        <w:r w:rsidR="00684E88" w:rsidRPr="00EF3199">
          <w:rPr>
            <w:rStyle w:val="Lienhypertexte"/>
            <w:rFonts w:eastAsiaTheme="minorHAnsi"/>
            <w:color w:val="0000FF"/>
            <w:lang w:val="fr-FR"/>
          </w:rPr>
          <w:t>CERD/C/MCO/7-9</w:t>
        </w:r>
      </w:hyperlink>
      <w:r w:rsidRPr="005324AF">
        <w:rPr>
          <w:rStyle w:val="Lienhypertexte"/>
          <w:bCs/>
          <w:szCs w:val="18"/>
          <w:lang w:val="fr-FR"/>
        </w:rPr>
        <w:t>, par. 1 à 10.</w:t>
      </w:r>
    </w:p>
  </w:footnote>
  <w:footnote w:id="4">
    <w:p w14:paraId="09583EB7" w14:textId="438DED5E"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hyperlink r:id="rId4" w:history="1">
        <w:r w:rsidR="00684E88" w:rsidRPr="00EF3199">
          <w:rPr>
            <w:rStyle w:val="Lienhypertexte"/>
            <w:rFonts w:eastAsiaTheme="minorHAnsi"/>
            <w:color w:val="0000FF"/>
            <w:lang w:val="fr-FR"/>
          </w:rPr>
          <w:t>CERD/C/MCO/7-9</w:t>
        </w:r>
      </w:hyperlink>
      <w:r w:rsidRPr="005324AF">
        <w:rPr>
          <w:rStyle w:val="Lienhypertexte"/>
          <w:bCs/>
          <w:szCs w:val="18"/>
          <w:lang w:val="fr-FR"/>
        </w:rPr>
        <w:t xml:space="preserve">, par. </w:t>
      </w:r>
      <w:r>
        <w:rPr>
          <w:rStyle w:val="Lienhypertexte"/>
          <w:bCs/>
          <w:szCs w:val="18"/>
          <w:lang w:val="fr-FR"/>
        </w:rPr>
        <w:t>47</w:t>
      </w:r>
      <w:r w:rsidR="002A00E3">
        <w:rPr>
          <w:rStyle w:val="Lienhypertexte"/>
          <w:bCs/>
          <w:szCs w:val="18"/>
          <w:lang w:val="fr-FR"/>
        </w:rPr>
        <w:t xml:space="preserve"> et</w:t>
      </w:r>
      <w:r w:rsidRPr="005324AF">
        <w:rPr>
          <w:rStyle w:val="Lienhypertexte"/>
          <w:bCs/>
          <w:szCs w:val="18"/>
          <w:lang w:val="fr-FR"/>
        </w:rPr>
        <w:t xml:space="preserve"> </w:t>
      </w:r>
      <w:r>
        <w:rPr>
          <w:rStyle w:val="Lienhypertexte"/>
          <w:bCs/>
          <w:szCs w:val="18"/>
          <w:lang w:val="fr-FR"/>
        </w:rPr>
        <w:t xml:space="preserve">159 </w:t>
      </w:r>
      <w:r w:rsidRPr="005324AF">
        <w:rPr>
          <w:rStyle w:val="Lienhypertexte"/>
          <w:bCs/>
          <w:szCs w:val="18"/>
          <w:lang w:val="fr-FR"/>
        </w:rPr>
        <w:t xml:space="preserve">à </w:t>
      </w:r>
      <w:r>
        <w:rPr>
          <w:rStyle w:val="Lienhypertexte"/>
          <w:bCs/>
          <w:szCs w:val="18"/>
          <w:lang w:val="fr-FR"/>
        </w:rPr>
        <w:t>167</w:t>
      </w:r>
      <w:r w:rsidRPr="005324AF">
        <w:rPr>
          <w:rStyle w:val="Lienhypertexte"/>
          <w:bCs/>
          <w:szCs w:val="18"/>
          <w:lang w:val="fr-FR"/>
        </w:rPr>
        <w:t>.</w:t>
      </w:r>
    </w:p>
  </w:footnote>
  <w:footnote w:id="5">
    <w:p w14:paraId="1491C0DF" w14:textId="1EBA8384"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r w:rsidR="00A3457F">
        <w:rPr>
          <w:rStyle w:val="Lienhypertexte"/>
          <w:bCs/>
          <w:szCs w:val="18"/>
          <w:lang w:val="fr-FR"/>
        </w:rPr>
        <w:t>Ibid.</w:t>
      </w:r>
      <w:r w:rsidRPr="005324AF">
        <w:rPr>
          <w:rStyle w:val="Lienhypertexte"/>
          <w:bCs/>
          <w:szCs w:val="18"/>
          <w:lang w:val="fr-FR"/>
        </w:rPr>
        <w:t xml:space="preserve">, par. </w:t>
      </w:r>
      <w:r>
        <w:rPr>
          <w:rStyle w:val="Lienhypertexte"/>
          <w:bCs/>
          <w:szCs w:val="18"/>
          <w:lang w:val="fr-FR"/>
        </w:rPr>
        <w:t>12</w:t>
      </w:r>
      <w:r w:rsidRPr="005324AF">
        <w:rPr>
          <w:rStyle w:val="Lienhypertexte"/>
          <w:bCs/>
          <w:szCs w:val="18"/>
          <w:lang w:val="fr-FR"/>
        </w:rPr>
        <w:t>.</w:t>
      </w:r>
    </w:p>
  </w:footnote>
  <w:footnote w:id="6">
    <w:p w14:paraId="03DEBE14" w14:textId="5C6748B0" w:rsidR="002F0088" w:rsidRPr="00272D6D" w:rsidRDefault="002F0088" w:rsidP="002F0088">
      <w:pPr>
        <w:pStyle w:val="Notedebasdepage"/>
        <w:widowControl w:val="0"/>
        <w:tabs>
          <w:tab w:val="clear" w:pos="1021"/>
          <w:tab w:val="right" w:pos="1020"/>
        </w:tabs>
        <w:rPr>
          <w:lang w:val="fr-FR"/>
        </w:rPr>
      </w:pPr>
      <w:r>
        <w:tab/>
      </w:r>
      <w:r>
        <w:rPr>
          <w:rStyle w:val="Appelnotedebasdep"/>
        </w:rPr>
        <w:footnoteRef/>
      </w:r>
      <w:r>
        <w:tab/>
      </w:r>
      <w:r w:rsidR="00684E88">
        <w:rPr>
          <w:rStyle w:val="Lienhypertexte"/>
          <w:bCs/>
          <w:szCs w:val="18"/>
          <w:lang w:val="fr-FR"/>
        </w:rPr>
        <w:t>Ibid.</w:t>
      </w:r>
      <w:r w:rsidRPr="005324AF">
        <w:rPr>
          <w:rStyle w:val="Lienhypertexte"/>
          <w:bCs/>
          <w:szCs w:val="18"/>
          <w:lang w:val="fr-FR"/>
        </w:rPr>
        <w:t xml:space="preserve">, par. </w:t>
      </w:r>
      <w:r>
        <w:rPr>
          <w:rStyle w:val="Lienhypertexte"/>
          <w:bCs/>
          <w:szCs w:val="18"/>
          <w:lang w:val="fr-FR"/>
        </w:rPr>
        <w:t>43</w:t>
      </w:r>
      <w:r w:rsidR="00684E88">
        <w:rPr>
          <w:rStyle w:val="Lienhypertexte"/>
          <w:bCs/>
          <w:szCs w:val="18"/>
          <w:lang w:val="fr-FR"/>
        </w:rPr>
        <w:t xml:space="preserve"> à </w:t>
      </w:r>
      <w:r>
        <w:rPr>
          <w:rStyle w:val="Lienhypertexte"/>
          <w:bCs/>
          <w:szCs w:val="18"/>
          <w:lang w:val="fr-FR"/>
        </w:rPr>
        <w:t>53</w:t>
      </w:r>
      <w:r w:rsidRPr="005324AF">
        <w:rPr>
          <w:rStyle w:val="Lienhypertexte"/>
          <w:bCs/>
          <w:szCs w:val="18"/>
          <w:lang w:val="fr-FR"/>
        </w:rPr>
        <w:t>.</w:t>
      </w:r>
    </w:p>
  </w:footnote>
  <w:footnote w:id="7">
    <w:p w14:paraId="73B44E06" w14:textId="05A9F526"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hyperlink r:id="rId5" w:history="1">
        <w:r w:rsidRPr="00EF3199">
          <w:rPr>
            <w:rStyle w:val="Lienhypertexte"/>
            <w:rFonts w:eastAsiaTheme="minorHAnsi"/>
            <w:color w:val="0000FF"/>
            <w:lang w:val="fr-FR"/>
          </w:rPr>
          <w:t>CERD/C/MCO/CO/6</w:t>
        </w:r>
      </w:hyperlink>
      <w:r w:rsidRPr="008C2D58">
        <w:rPr>
          <w:szCs w:val="18"/>
          <w:lang w:val="fr-FR"/>
        </w:rPr>
        <w:t>, par. 9 ;</w:t>
      </w:r>
      <w:r w:rsidR="00B6109B">
        <w:rPr>
          <w:szCs w:val="18"/>
          <w:lang w:val="fr-FR"/>
        </w:rPr>
        <w:t xml:space="preserve"> et</w:t>
      </w:r>
      <w:r w:rsidRPr="008C2D58">
        <w:rPr>
          <w:szCs w:val="18"/>
          <w:lang w:val="fr-FR"/>
        </w:rPr>
        <w:t xml:space="preserve"> </w:t>
      </w:r>
      <w:hyperlink r:id="rId6" w:history="1">
        <w:r w:rsidR="00B6109B" w:rsidRPr="00EF3199">
          <w:rPr>
            <w:rStyle w:val="Lienhypertexte"/>
            <w:rFonts w:eastAsiaTheme="minorHAnsi"/>
            <w:color w:val="0000FF"/>
            <w:lang w:val="fr-FR"/>
          </w:rPr>
          <w:t>CERD/C/MCO/7-9</w:t>
        </w:r>
      </w:hyperlink>
      <w:r w:rsidRPr="008C2D58">
        <w:rPr>
          <w:rStyle w:val="Lienhypertexte"/>
          <w:bCs/>
          <w:szCs w:val="18"/>
          <w:lang w:val="fr-FR"/>
        </w:rPr>
        <w:t>, par. 45, 46</w:t>
      </w:r>
      <w:r w:rsidR="00B6109B">
        <w:rPr>
          <w:rStyle w:val="Lienhypertexte"/>
          <w:bCs/>
          <w:szCs w:val="18"/>
          <w:lang w:val="fr-FR"/>
        </w:rPr>
        <w:t xml:space="preserve"> et</w:t>
      </w:r>
      <w:r w:rsidRPr="008C2D58">
        <w:rPr>
          <w:rStyle w:val="Lienhypertexte"/>
          <w:bCs/>
          <w:szCs w:val="18"/>
          <w:lang w:val="fr-FR"/>
        </w:rPr>
        <w:t xml:space="preserve"> 54 à 75.</w:t>
      </w:r>
    </w:p>
  </w:footnote>
  <w:footnote w:id="8">
    <w:p w14:paraId="3A110238" w14:textId="702DD54C"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hyperlink r:id="rId7" w:history="1">
        <w:r w:rsidRPr="00EF3199">
          <w:rPr>
            <w:rStyle w:val="Lienhypertexte"/>
            <w:rFonts w:eastAsiaTheme="minorHAnsi"/>
            <w:color w:val="0000FF"/>
            <w:lang w:val="fr-FR"/>
          </w:rPr>
          <w:t>CERD/C/MCO/CO/6</w:t>
        </w:r>
      </w:hyperlink>
      <w:r w:rsidRPr="009F466F">
        <w:rPr>
          <w:szCs w:val="18"/>
          <w:lang w:val="fr-FR"/>
        </w:rPr>
        <w:t xml:space="preserve">, par. 10 ; </w:t>
      </w:r>
      <w:hyperlink r:id="rId8" w:history="1">
        <w:r w:rsidR="00523F5B" w:rsidRPr="00EF3199">
          <w:rPr>
            <w:rStyle w:val="Lienhypertexte"/>
            <w:rFonts w:eastAsiaTheme="minorHAnsi"/>
            <w:color w:val="0000FF"/>
            <w:lang w:val="fr-FR"/>
          </w:rPr>
          <w:t>CERD/C/MCO/CO/6/Add.1</w:t>
        </w:r>
      </w:hyperlink>
      <w:r w:rsidRPr="009F466F">
        <w:rPr>
          <w:rStyle w:val="Lienhypertexte"/>
          <w:szCs w:val="18"/>
          <w:lang w:val="fr-FR"/>
        </w:rPr>
        <w:t>, par. 6 à 16</w:t>
      </w:r>
      <w:r w:rsidR="00B441C9">
        <w:rPr>
          <w:rStyle w:val="Lienhypertexte"/>
          <w:szCs w:val="18"/>
          <w:lang w:val="fr-FR"/>
        </w:rPr>
        <w:t> ;</w:t>
      </w:r>
      <w:r w:rsidRPr="009F466F">
        <w:rPr>
          <w:rStyle w:val="Lienhypertexte"/>
          <w:szCs w:val="18"/>
          <w:lang w:val="fr-FR"/>
        </w:rPr>
        <w:t xml:space="preserve"> lettre de suivi du Comité </w:t>
      </w:r>
      <w:r w:rsidR="002C37F0">
        <w:rPr>
          <w:rStyle w:val="Lienhypertexte"/>
          <w:szCs w:val="18"/>
          <w:lang w:val="fr-FR"/>
        </w:rPr>
        <w:t>en</w:t>
      </w:r>
      <w:r w:rsidR="00294924">
        <w:rPr>
          <w:rStyle w:val="Lienhypertexte"/>
          <w:szCs w:val="18"/>
          <w:lang w:val="fr-FR"/>
        </w:rPr>
        <w:t> </w:t>
      </w:r>
      <w:r w:rsidR="002C37F0">
        <w:rPr>
          <w:rStyle w:val="Lienhypertexte"/>
          <w:szCs w:val="18"/>
          <w:lang w:val="fr-FR"/>
        </w:rPr>
        <w:t xml:space="preserve">date </w:t>
      </w:r>
      <w:r w:rsidRPr="009F466F">
        <w:rPr>
          <w:rStyle w:val="Lienhypertexte"/>
          <w:szCs w:val="18"/>
          <w:lang w:val="fr-FR"/>
        </w:rPr>
        <w:t>du 2 septembre 2011, p. 1 ;</w:t>
      </w:r>
      <w:r w:rsidR="00D7455F">
        <w:rPr>
          <w:rStyle w:val="Lienhypertexte"/>
          <w:szCs w:val="18"/>
          <w:lang w:val="fr-FR"/>
        </w:rPr>
        <w:t xml:space="preserve"> et</w:t>
      </w:r>
      <w:r w:rsidRPr="009F466F">
        <w:rPr>
          <w:szCs w:val="18"/>
          <w:lang w:val="fr-FR"/>
        </w:rPr>
        <w:t xml:space="preserve"> </w:t>
      </w:r>
      <w:hyperlink r:id="rId9" w:history="1">
        <w:r w:rsidR="00D7455F" w:rsidRPr="00EF3199">
          <w:rPr>
            <w:rStyle w:val="Lienhypertexte"/>
            <w:rFonts w:eastAsiaTheme="minorHAnsi"/>
            <w:color w:val="0000FF"/>
            <w:lang w:val="fr-FR"/>
          </w:rPr>
          <w:t>CERD/C/MCO/7-9</w:t>
        </w:r>
      </w:hyperlink>
      <w:r w:rsidRPr="009F466F">
        <w:rPr>
          <w:rStyle w:val="Lienhypertexte"/>
          <w:bCs/>
          <w:szCs w:val="18"/>
          <w:lang w:val="fr-FR"/>
        </w:rPr>
        <w:t>, par. 79 à 107 et 168 à 180.</w:t>
      </w:r>
    </w:p>
  </w:footnote>
  <w:footnote w:id="9">
    <w:p w14:paraId="5602D0AD" w14:textId="1DBDDED2"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hyperlink r:id="rId10" w:history="1">
        <w:r w:rsidR="00091948" w:rsidRPr="00EF3199">
          <w:rPr>
            <w:rStyle w:val="Lienhypertexte"/>
            <w:rFonts w:eastAsiaTheme="minorHAnsi"/>
            <w:color w:val="0000FF"/>
            <w:lang w:val="fr-FR"/>
          </w:rPr>
          <w:t>CERD/C/MCO/7-9</w:t>
        </w:r>
      </w:hyperlink>
      <w:r w:rsidRPr="009F466F">
        <w:rPr>
          <w:rStyle w:val="Lienhypertexte"/>
          <w:bCs/>
          <w:szCs w:val="18"/>
          <w:lang w:val="fr-FR"/>
        </w:rPr>
        <w:t xml:space="preserve">, par. 79 à </w:t>
      </w:r>
      <w:r>
        <w:rPr>
          <w:rStyle w:val="Lienhypertexte"/>
          <w:bCs/>
          <w:szCs w:val="18"/>
          <w:lang w:val="fr-FR"/>
        </w:rPr>
        <w:t xml:space="preserve">92, </w:t>
      </w:r>
      <w:r w:rsidRPr="009F466F">
        <w:rPr>
          <w:rStyle w:val="Lienhypertexte"/>
          <w:bCs/>
          <w:szCs w:val="18"/>
          <w:lang w:val="fr-FR"/>
        </w:rPr>
        <w:t>168 à 1</w:t>
      </w:r>
      <w:r>
        <w:rPr>
          <w:rStyle w:val="Lienhypertexte"/>
          <w:bCs/>
          <w:szCs w:val="18"/>
          <w:lang w:val="fr-FR"/>
        </w:rPr>
        <w:t>71</w:t>
      </w:r>
      <w:r w:rsidR="001D4097">
        <w:rPr>
          <w:rStyle w:val="Lienhypertexte"/>
          <w:bCs/>
          <w:szCs w:val="18"/>
          <w:lang w:val="fr-FR"/>
        </w:rPr>
        <w:t xml:space="preserve"> et</w:t>
      </w:r>
      <w:r>
        <w:rPr>
          <w:rStyle w:val="Lienhypertexte"/>
          <w:bCs/>
          <w:szCs w:val="18"/>
          <w:lang w:val="fr-FR"/>
        </w:rPr>
        <w:t xml:space="preserve"> 178 à 180</w:t>
      </w:r>
      <w:r w:rsidRPr="009F466F">
        <w:rPr>
          <w:rStyle w:val="Lienhypertexte"/>
          <w:bCs/>
          <w:szCs w:val="18"/>
          <w:lang w:val="fr-FR"/>
        </w:rPr>
        <w:t>.</w:t>
      </w:r>
    </w:p>
  </w:footnote>
  <w:footnote w:id="10">
    <w:p w14:paraId="7AD1050D" w14:textId="77BECD1E" w:rsidR="002F0088" w:rsidRPr="00272D6D" w:rsidRDefault="002F0088" w:rsidP="002F0088">
      <w:pPr>
        <w:pStyle w:val="Notedebasdepage"/>
        <w:widowControl w:val="0"/>
        <w:tabs>
          <w:tab w:val="clear" w:pos="1021"/>
          <w:tab w:val="right" w:pos="1020"/>
        </w:tabs>
        <w:rPr>
          <w:lang w:val="fr-FR"/>
        </w:rPr>
      </w:pPr>
      <w:r>
        <w:tab/>
      </w:r>
      <w:r>
        <w:rPr>
          <w:rStyle w:val="Appelnotedebasdep"/>
        </w:rPr>
        <w:footnoteRef/>
      </w:r>
      <w:r>
        <w:tab/>
      </w:r>
      <w:r w:rsidR="00CC37BF">
        <w:rPr>
          <w:rStyle w:val="Lienhypertexte"/>
          <w:bCs/>
          <w:szCs w:val="18"/>
          <w:lang w:val="fr-FR"/>
        </w:rPr>
        <w:t>Ibid.</w:t>
      </w:r>
      <w:r w:rsidRPr="009F466F">
        <w:rPr>
          <w:rStyle w:val="Lienhypertexte"/>
          <w:bCs/>
          <w:szCs w:val="18"/>
          <w:lang w:val="fr-FR"/>
        </w:rPr>
        <w:t xml:space="preserve">, par. </w:t>
      </w:r>
      <w:r>
        <w:rPr>
          <w:rStyle w:val="Lienhypertexte"/>
          <w:bCs/>
          <w:szCs w:val="18"/>
          <w:lang w:val="fr-FR"/>
        </w:rPr>
        <w:t>109</w:t>
      </w:r>
      <w:r w:rsidRPr="009F466F">
        <w:rPr>
          <w:rStyle w:val="Lienhypertexte"/>
          <w:bCs/>
          <w:szCs w:val="18"/>
          <w:lang w:val="fr-FR"/>
        </w:rPr>
        <w:t>.</w:t>
      </w:r>
    </w:p>
  </w:footnote>
  <w:footnote w:id="11">
    <w:p w14:paraId="44E3B6CD" w14:textId="6DCFFC12"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r w:rsidR="004F4B5E">
        <w:rPr>
          <w:rStyle w:val="Lienhypertexte"/>
          <w:bCs/>
          <w:szCs w:val="18"/>
          <w:lang w:val="fr-FR"/>
        </w:rPr>
        <w:t>Ibid.</w:t>
      </w:r>
      <w:r w:rsidRPr="009F466F">
        <w:rPr>
          <w:rStyle w:val="Lienhypertexte"/>
          <w:bCs/>
          <w:szCs w:val="18"/>
          <w:lang w:val="fr-FR"/>
        </w:rPr>
        <w:t xml:space="preserve">, par. </w:t>
      </w:r>
      <w:r>
        <w:rPr>
          <w:rStyle w:val="Lienhypertexte"/>
          <w:bCs/>
          <w:szCs w:val="18"/>
          <w:lang w:val="fr-FR"/>
        </w:rPr>
        <w:t>110</w:t>
      </w:r>
      <w:r w:rsidRPr="009F466F">
        <w:rPr>
          <w:rStyle w:val="Lienhypertexte"/>
          <w:bCs/>
          <w:szCs w:val="18"/>
          <w:lang w:val="fr-FR"/>
        </w:rPr>
        <w:t>.</w:t>
      </w:r>
    </w:p>
  </w:footnote>
  <w:footnote w:id="12">
    <w:p w14:paraId="760B247B" w14:textId="5F062843"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r w:rsidR="00322A3F">
        <w:rPr>
          <w:rStyle w:val="Lienhypertexte"/>
          <w:bCs/>
          <w:szCs w:val="18"/>
          <w:lang w:val="fr-FR"/>
        </w:rPr>
        <w:t>Ibid.</w:t>
      </w:r>
      <w:r w:rsidRPr="009F466F">
        <w:rPr>
          <w:rStyle w:val="Lienhypertexte"/>
          <w:bCs/>
          <w:szCs w:val="18"/>
          <w:lang w:val="fr-FR"/>
        </w:rPr>
        <w:t xml:space="preserve">, par. </w:t>
      </w:r>
      <w:r>
        <w:rPr>
          <w:rStyle w:val="Lienhypertexte"/>
          <w:bCs/>
          <w:szCs w:val="18"/>
          <w:lang w:val="fr-FR"/>
        </w:rPr>
        <w:t>43 et 44.</w:t>
      </w:r>
    </w:p>
  </w:footnote>
  <w:footnote w:id="13">
    <w:p w14:paraId="227503DB" w14:textId="0A437792"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r w:rsidR="00322A3F">
        <w:rPr>
          <w:rStyle w:val="Lienhypertexte"/>
          <w:bCs/>
          <w:szCs w:val="18"/>
          <w:lang w:val="fr-FR"/>
        </w:rPr>
        <w:t>Ibid.</w:t>
      </w:r>
      <w:r w:rsidRPr="009F466F">
        <w:rPr>
          <w:rStyle w:val="Lienhypertexte"/>
          <w:bCs/>
          <w:szCs w:val="18"/>
          <w:lang w:val="fr-FR"/>
        </w:rPr>
        <w:t xml:space="preserve">, par. </w:t>
      </w:r>
      <w:r>
        <w:rPr>
          <w:rStyle w:val="Lienhypertexte"/>
          <w:bCs/>
          <w:szCs w:val="18"/>
          <w:lang w:val="fr-FR"/>
        </w:rPr>
        <w:t>13 à 42, 78 et 119.</w:t>
      </w:r>
    </w:p>
  </w:footnote>
  <w:footnote w:id="14">
    <w:p w14:paraId="403D16EF" w14:textId="594EDEB9"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r w:rsidR="00E616D1">
        <w:rPr>
          <w:rStyle w:val="Lienhypertexte"/>
          <w:bCs/>
          <w:szCs w:val="18"/>
          <w:lang w:val="fr-FR"/>
        </w:rPr>
        <w:t>Ibid.</w:t>
      </w:r>
      <w:r w:rsidRPr="00DD721E">
        <w:rPr>
          <w:rStyle w:val="Lienhypertexte"/>
          <w:bCs/>
          <w:szCs w:val="18"/>
          <w:lang w:val="fr-FR"/>
        </w:rPr>
        <w:t>, par.</w:t>
      </w:r>
      <w:r>
        <w:rPr>
          <w:rStyle w:val="Lienhypertexte"/>
          <w:bCs/>
          <w:szCs w:val="18"/>
          <w:lang w:val="fr-FR"/>
        </w:rPr>
        <w:t xml:space="preserve"> 31</w:t>
      </w:r>
      <w:r w:rsidRPr="00DD721E">
        <w:rPr>
          <w:rStyle w:val="Lienhypertexte"/>
          <w:bCs/>
          <w:szCs w:val="18"/>
          <w:lang w:val="fr-FR"/>
        </w:rPr>
        <w:t xml:space="preserve"> </w:t>
      </w:r>
      <w:r w:rsidRPr="009F466F">
        <w:rPr>
          <w:rStyle w:val="Lienhypertexte"/>
          <w:bCs/>
          <w:szCs w:val="18"/>
          <w:lang w:val="fr-FR"/>
        </w:rPr>
        <w:t>à</w:t>
      </w:r>
      <w:r>
        <w:rPr>
          <w:rStyle w:val="Lienhypertexte"/>
          <w:bCs/>
          <w:szCs w:val="18"/>
          <w:lang w:val="fr-FR"/>
        </w:rPr>
        <w:t xml:space="preserve"> 39 et 115 à 118.</w:t>
      </w:r>
    </w:p>
  </w:footnote>
  <w:footnote w:id="15">
    <w:p w14:paraId="4663D563" w14:textId="7E260256"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r w:rsidR="0092688A">
        <w:rPr>
          <w:rStyle w:val="Lienhypertexte"/>
          <w:bCs/>
          <w:szCs w:val="18"/>
          <w:lang w:val="fr-FR"/>
        </w:rPr>
        <w:t>Ibid.</w:t>
      </w:r>
      <w:r w:rsidRPr="00DD721E">
        <w:rPr>
          <w:rStyle w:val="Lienhypertexte"/>
          <w:bCs/>
          <w:szCs w:val="18"/>
          <w:lang w:val="fr-FR"/>
        </w:rPr>
        <w:t>, par.</w:t>
      </w:r>
      <w:r>
        <w:rPr>
          <w:rStyle w:val="Lienhypertexte"/>
          <w:bCs/>
          <w:szCs w:val="18"/>
          <w:lang w:val="fr-FR"/>
        </w:rPr>
        <w:t xml:space="preserve"> 40</w:t>
      </w:r>
      <w:r w:rsidR="0092688A">
        <w:rPr>
          <w:rStyle w:val="Lienhypertexte"/>
          <w:bCs/>
          <w:szCs w:val="18"/>
          <w:lang w:val="fr-FR"/>
        </w:rPr>
        <w:t>,</w:t>
      </w:r>
      <w:r w:rsidRPr="00DD721E">
        <w:rPr>
          <w:rStyle w:val="Lienhypertexte"/>
          <w:bCs/>
          <w:szCs w:val="18"/>
          <w:lang w:val="fr-FR"/>
        </w:rPr>
        <w:t xml:space="preserve"> </w:t>
      </w:r>
      <w:r>
        <w:rPr>
          <w:rStyle w:val="Lienhypertexte"/>
          <w:bCs/>
          <w:szCs w:val="18"/>
          <w:lang w:val="fr-FR"/>
        </w:rPr>
        <w:t>41 et 204</w:t>
      </w:r>
      <w:r w:rsidR="00B441C9">
        <w:rPr>
          <w:rStyle w:val="Lienhypertexte"/>
          <w:bCs/>
          <w:szCs w:val="18"/>
          <w:lang w:val="fr-FR"/>
        </w:rPr>
        <w:t>.</w:t>
      </w:r>
    </w:p>
  </w:footnote>
  <w:footnote w:id="16">
    <w:p w14:paraId="38F76ED4" w14:textId="3808EE06"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hyperlink r:id="rId11" w:history="1">
        <w:r w:rsidRPr="00EF3199">
          <w:rPr>
            <w:rStyle w:val="Lienhypertexte"/>
            <w:rFonts w:eastAsiaTheme="minorHAnsi"/>
            <w:color w:val="0000FF"/>
            <w:lang w:val="fr-FR"/>
          </w:rPr>
          <w:t>CERD/C/MCO/CO/6</w:t>
        </w:r>
      </w:hyperlink>
      <w:r w:rsidRPr="008C2D58">
        <w:rPr>
          <w:szCs w:val="18"/>
          <w:lang w:val="fr-FR"/>
        </w:rPr>
        <w:t xml:space="preserve">, par. </w:t>
      </w:r>
      <w:r>
        <w:rPr>
          <w:szCs w:val="18"/>
          <w:lang w:val="fr-FR"/>
        </w:rPr>
        <w:t>12</w:t>
      </w:r>
      <w:r w:rsidRPr="008C2D58">
        <w:rPr>
          <w:szCs w:val="18"/>
          <w:lang w:val="fr-FR"/>
        </w:rPr>
        <w:t> ;</w:t>
      </w:r>
      <w:r w:rsidR="007D5797">
        <w:rPr>
          <w:szCs w:val="18"/>
          <w:lang w:val="fr-FR"/>
        </w:rPr>
        <w:t xml:space="preserve"> et</w:t>
      </w:r>
      <w:r w:rsidRPr="008C2D58">
        <w:rPr>
          <w:szCs w:val="18"/>
          <w:lang w:val="fr-FR"/>
        </w:rPr>
        <w:t xml:space="preserve"> </w:t>
      </w:r>
      <w:hyperlink r:id="rId12" w:history="1">
        <w:r w:rsidR="007D5797" w:rsidRPr="00EF3199">
          <w:rPr>
            <w:rStyle w:val="Lienhypertexte"/>
            <w:rFonts w:eastAsiaTheme="minorHAnsi"/>
            <w:color w:val="0000FF"/>
            <w:lang w:val="fr-FR"/>
          </w:rPr>
          <w:t>CERD/C/MCO/7-9</w:t>
        </w:r>
      </w:hyperlink>
      <w:r w:rsidRPr="008C2D58">
        <w:rPr>
          <w:rStyle w:val="Lienhypertexte"/>
          <w:bCs/>
          <w:szCs w:val="18"/>
          <w:lang w:val="fr-FR"/>
        </w:rPr>
        <w:t xml:space="preserve">, par. </w:t>
      </w:r>
      <w:r>
        <w:rPr>
          <w:rStyle w:val="Lienhypertexte"/>
          <w:bCs/>
          <w:szCs w:val="18"/>
          <w:lang w:val="fr-FR"/>
        </w:rPr>
        <w:t>13 à 29 et 119</w:t>
      </w:r>
      <w:r w:rsidRPr="008C2D58">
        <w:rPr>
          <w:rStyle w:val="Lienhypertexte"/>
          <w:bCs/>
          <w:szCs w:val="18"/>
          <w:lang w:val="fr-FR"/>
        </w:rPr>
        <w:t>.</w:t>
      </w:r>
    </w:p>
  </w:footnote>
  <w:footnote w:id="17">
    <w:p w14:paraId="1CB4C621" w14:textId="45F4840A" w:rsidR="00272D6D" w:rsidRPr="00272D6D" w:rsidRDefault="00272D6D" w:rsidP="00272D6D">
      <w:pPr>
        <w:pStyle w:val="Notedebasdepage"/>
        <w:widowControl w:val="0"/>
        <w:tabs>
          <w:tab w:val="clear" w:pos="1021"/>
          <w:tab w:val="right" w:pos="1020"/>
        </w:tabs>
        <w:rPr>
          <w:lang w:val="fr-FR"/>
        </w:rPr>
      </w:pPr>
      <w:r>
        <w:tab/>
      </w:r>
      <w:r>
        <w:rPr>
          <w:rStyle w:val="Appelnotedebasdep"/>
        </w:rPr>
        <w:footnoteRef/>
      </w:r>
      <w:r>
        <w:tab/>
      </w:r>
      <w:hyperlink r:id="rId13" w:history="1">
        <w:r w:rsidRPr="00EF3199">
          <w:rPr>
            <w:rStyle w:val="Lienhypertexte"/>
            <w:rFonts w:eastAsiaTheme="minorHAnsi"/>
            <w:color w:val="0000FF"/>
            <w:lang w:val="fr-FR"/>
          </w:rPr>
          <w:t>CERD/C/MCO/CO/6</w:t>
        </w:r>
      </w:hyperlink>
      <w:r w:rsidRPr="008C2D58">
        <w:rPr>
          <w:szCs w:val="18"/>
          <w:lang w:val="fr-FR"/>
        </w:rPr>
        <w:t xml:space="preserve">, par. </w:t>
      </w:r>
      <w:r>
        <w:rPr>
          <w:szCs w:val="18"/>
          <w:lang w:val="fr-FR"/>
        </w:rPr>
        <w:t>12</w:t>
      </w:r>
      <w:r w:rsidRPr="008C2D58">
        <w:rPr>
          <w:szCs w:val="18"/>
          <w:lang w:val="fr-FR"/>
        </w:rPr>
        <w:t> ;</w:t>
      </w:r>
      <w:r w:rsidR="00CC1220">
        <w:rPr>
          <w:szCs w:val="18"/>
          <w:lang w:val="fr-FR"/>
        </w:rPr>
        <w:t xml:space="preserve"> et</w:t>
      </w:r>
      <w:r w:rsidRPr="008C2D58">
        <w:rPr>
          <w:szCs w:val="18"/>
          <w:lang w:val="fr-FR"/>
        </w:rPr>
        <w:t xml:space="preserve"> </w:t>
      </w:r>
      <w:hyperlink r:id="rId14" w:history="1">
        <w:r w:rsidR="004B4167" w:rsidRPr="00EF3199">
          <w:rPr>
            <w:rStyle w:val="Lienhypertexte"/>
            <w:rFonts w:eastAsiaTheme="minorHAnsi"/>
            <w:color w:val="0000FF"/>
            <w:lang w:val="fr-FR"/>
          </w:rPr>
          <w:t>CERD/C/MCO/7-9</w:t>
        </w:r>
      </w:hyperlink>
      <w:r w:rsidRPr="008C2D58">
        <w:rPr>
          <w:rStyle w:val="Lienhypertexte"/>
          <w:bCs/>
          <w:szCs w:val="18"/>
          <w:lang w:val="fr-FR"/>
        </w:rPr>
        <w:t xml:space="preserve">, par. </w:t>
      </w:r>
      <w:r>
        <w:rPr>
          <w:rStyle w:val="Lienhypertexte"/>
          <w:bCs/>
          <w:szCs w:val="18"/>
          <w:lang w:val="fr-FR"/>
        </w:rPr>
        <w:t>13 à 29</w:t>
      </w:r>
      <w:r w:rsidR="004B4167">
        <w:rPr>
          <w:rStyle w:val="Lienhypertexte"/>
          <w:bCs/>
          <w:szCs w:val="18"/>
          <w:lang w:val="fr-FR"/>
        </w:rPr>
        <w:t xml:space="preserve"> et</w:t>
      </w:r>
      <w:r>
        <w:rPr>
          <w:rStyle w:val="Lienhypertexte"/>
          <w:bCs/>
          <w:szCs w:val="18"/>
          <w:lang w:val="fr-FR"/>
        </w:rPr>
        <w:t xml:space="preserve"> 119 à 122</w:t>
      </w:r>
      <w:r w:rsidRPr="008C2D58">
        <w:rPr>
          <w:rStyle w:val="Lienhypertexte"/>
          <w:bCs/>
          <w:szCs w:val="18"/>
          <w:lang w:val="fr-FR"/>
        </w:rPr>
        <w:t>.</w:t>
      </w:r>
    </w:p>
  </w:footnote>
  <w:footnote w:id="18">
    <w:p w14:paraId="4EB80FF5" w14:textId="613A6C10" w:rsidR="002F0088" w:rsidRPr="002F0088" w:rsidRDefault="002F0088" w:rsidP="002F0088">
      <w:pPr>
        <w:pStyle w:val="Notedebasdepage"/>
        <w:widowControl w:val="0"/>
        <w:tabs>
          <w:tab w:val="clear" w:pos="1021"/>
          <w:tab w:val="right" w:pos="1020"/>
        </w:tabs>
        <w:rPr>
          <w:lang w:val="fr-FR"/>
        </w:rPr>
      </w:pPr>
      <w:r>
        <w:tab/>
      </w:r>
      <w:r>
        <w:rPr>
          <w:rStyle w:val="Appelnotedebasdep"/>
        </w:rPr>
        <w:footnoteRef/>
      </w:r>
      <w:r>
        <w:tab/>
      </w:r>
      <w:hyperlink r:id="rId15" w:history="1">
        <w:r w:rsidRPr="00EF3199">
          <w:rPr>
            <w:rStyle w:val="Lienhypertexte"/>
            <w:rFonts w:eastAsiaTheme="minorHAnsi"/>
            <w:color w:val="0000FF"/>
            <w:lang w:val="fr-FR"/>
          </w:rPr>
          <w:t>CERD/C/MCO/CO/6</w:t>
        </w:r>
      </w:hyperlink>
      <w:r w:rsidRPr="008C2D58">
        <w:rPr>
          <w:szCs w:val="18"/>
          <w:lang w:val="fr-FR"/>
        </w:rPr>
        <w:t xml:space="preserve">, par. </w:t>
      </w:r>
      <w:r>
        <w:rPr>
          <w:szCs w:val="18"/>
          <w:lang w:val="fr-FR"/>
        </w:rPr>
        <w:t>12</w:t>
      </w:r>
      <w:r w:rsidRPr="008C2D58">
        <w:rPr>
          <w:szCs w:val="18"/>
          <w:lang w:val="fr-FR"/>
        </w:rPr>
        <w:t> ;</w:t>
      </w:r>
      <w:r w:rsidR="004B4167">
        <w:rPr>
          <w:szCs w:val="18"/>
          <w:lang w:val="fr-FR"/>
        </w:rPr>
        <w:t xml:space="preserve"> et</w:t>
      </w:r>
      <w:r w:rsidRPr="008C2D58">
        <w:rPr>
          <w:szCs w:val="18"/>
          <w:lang w:val="fr-FR"/>
        </w:rPr>
        <w:t xml:space="preserve"> </w:t>
      </w:r>
      <w:hyperlink r:id="rId16" w:history="1">
        <w:r w:rsidR="004B4167" w:rsidRPr="00EF3199">
          <w:rPr>
            <w:rStyle w:val="Lienhypertexte"/>
            <w:rFonts w:eastAsiaTheme="minorHAnsi"/>
            <w:color w:val="0000FF"/>
            <w:lang w:val="fr-FR"/>
          </w:rPr>
          <w:t>CERD/C/MCO/7-9</w:t>
        </w:r>
      </w:hyperlink>
      <w:r w:rsidRPr="008C2D58">
        <w:rPr>
          <w:rStyle w:val="Lienhypertexte"/>
          <w:bCs/>
          <w:szCs w:val="18"/>
          <w:lang w:val="fr-FR"/>
        </w:rPr>
        <w:t xml:space="preserve">, par. </w:t>
      </w:r>
      <w:r>
        <w:rPr>
          <w:rStyle w:val="Lienhypertexte"/>
          <w:bCs/>
          <w:szCs w:val="18"/>
          <w:lang w:val="fr-FR"/>
        </w:rPr>
        <w:t>120 à 122 et 147 à 153.</w:t>
      </w:r>
    </w:p>
  </w:footnote>
  <w:footnote w:id="19">
    <w:p w14:paraId="26019EF5" w14:textId="5ABE9741" w:rsidR="00DF5828" w:rsidRPr="00DF5828" w:rsidRDefault="00DF5828" w:rsidP="00DF5828">
      <w:pPr>
        <w:pStyle w:val="Notedebasdepage"/>
        <w:widowControl w:val="0"/>
        <w:tabs>
          <w:tab w:val="clear" w:pos="1021"/>
          <w:tab w:val="right" w:pos="1020"/>
        </w:tabs>
        <w:rPr>
          <w:lang w:val="fr-FR"/>
        </w:rPr>
      </w:pPr>
      <w:r>
        <w:tab/>
      </w:r>
      <w:r>
        <w:rPr>
          <w:rStyle w:val="Appelnotedebasdep"/>
        </w:rPr>
        <w:footnoteRef/>
      </w:r>
      <w:r>
        <w:tab/>
      </w:r>
      <w:hyperlink r:id="rId17" w:history="1">
        <w:r w:rsidR="000A7753" w:rsidRPr="00EF3199">
          <w:rPr>
            <w:rStyle w:val="Lienhypertexte"/>
          </w:rPr>
          <w:t>C</w:t>
        </w:r>
        <w:r w:rsidR="000A7753" w:rsidRPr="00EF3199">
          <w:rPr>
            <w:rStyle w:val="Lienhypertexte"/>
            <w:rFonts w:eastAsiaTheme="minorHAnsi"/>
            <w:color w:val="0000FF"/>
            <w:lang w:val="fr-FR"/>
          </w:rPr>
          <w:t>ERD/C/MCO/7-9</w:t>
        </w:r>
      </w:hyperlink>
      <w:r w:rsidRPr="009F466F">
        <w:rPr>
          <w:rStyle w:val="Lienhypertexte"/>
          <w:bCs/>
          <w:szCs w:val="18"/>
          <w:lang w:val="fr-FR"/>
        </w:rPr>
        <w:t xml:space="preserve">, par. </w:t>
      </w:r>
      <w:r>
        <w:rPr>
          <w:rStyle w:val="Lienhypertexte"/>
          <w:bCs/>
          <w:szCs w:val="18"/>
          <w:lang w:val="fr-FR"/>
        </w:rPr>
        <w:t>111 à 114.</w:t>
      </w:r>
    </w:p>
  </w:footnote>
  <w:footnote w:id="20">
    <w:p w14:paraId="01044A3B" w14:textId="26C9B52D" w:rsidR="00DF5828" w:rsidRPr="00DF5828" w:rsidRDefault="00DF5828" w:rsidP="00DF5828">
      <w:pPr>
        <w:pStyle w:val="Notedebasdepage"/>
        <w:widowControl w:val="0"/>
        <w:tabs>
          <w:tab w:val="clear" w:pos="1021"/>
          <w:tab w:val="right" w:pos="1020"/>
        </w:tabs>
        <w:rPr>
          <w:lang w:val="fr-FR"/>
        </w:rPr>
      </w:pPr>
      <w:r>
        <w:tab/>
      </w:r>
      <w:r>
        <w:rPr>
          <w:rStyle w:val="Appelnotedebasdep"/>
        </w:rPr>
        <w:footnoteRef/>
      </w:r>
      <w:r>
        <w:tab/>
      </w:r>
      <w:r w:rsidR="004C3F68">
        <w:rPr>
          <w:rStyle w:val="Lienhypertexte"/>
          <w:bCs/>
          <w:szCs w:val="18"/>
          <w:lang w:val="fr-FR"/>
        </w:rPr>
        <w:t>Ibid.</w:t>
      </w:r>
      <w:r w:rsidRPr="009F466F">
        <w:rPr>
          <w:rStyle w:val="Lienhypertexte"/>
          <w:bCs/>
          <w:szCs w:val="18"/>
          <w:lang w:val="fr-FR"/>
        </w:rPr>
        <w:t xml:space="preserve">, par. </w:t>
      </w:r>
      <w:r>
        <w:rPr>
          <w:rStyle w:val="Lienhypertexte"/>
          <w:bCs/>
          <w:szCs w:val="18"/>
          <w:lang w:val="fr-FR"/>
        </w:rPr>
        <w:t>129 à 136.</w:t>
      </w:r>
    </w:p>
  </w:footnote>
  <w:footnote w:id="21">
    <w:p w14:paraId="5733193F" w14:textId="2338561E" w:rsidR="00DF5828" w:rsidRPr="00272D6D" w:rsidRDefault="00DF5828" w:rsidP="00DF5828">
      <w:pPr>
        <w:pStyle w:val="Notedebasdepage"/>
        <w:widowControl w:val="0"/>
        <w:tabs>
          <w:tab w:val="clear" w:pos="1021"/>
          <w:tab w:val="right" w:pos="1020"/>
        </w:tabs>
        <w:rPr>
          <w:lang w:val="fr-FR"/>
        </w:rPr>
      </w:pPr>
      <w:r>
        <w:tab/>
      </w:r>
      <w:r>
        <w:rPr>
          <w:rStyle w:val="Appelnotedebasdep"/>
        </w:rPr>
        <w:footnoteRef/>
      </w:r>
      <w:r>
        <w:tab/>
      </w:r>
      <w:r w:rsidR="004C3F68">
        <w:rPr>
          <w:rStyle w:val="Lienhypertexte"/>
          <w:bCs/>
          <w:szCs w:val="18"/>
          <w:lang w:val="fr-FR"/>
        </w:rPr>
        <w:t>Ibid.</w:t>
      </w:r>
      <w:r w:rsidRPr="00CE1FED">
        <w:rPr>
          <w:rStyle w:val="Lienhypertexte"/>
          <w:bCs/>
          <w:szCs w:val="18"/>
          <w:lang w:val="fr-FR"/>
        </w:rPr>
        <w:t>, par. 1</w:t>
      </w:r>
      <w:r>
        <w:rPr>
          <w:rStyle w:val="Lienhypertexte"/>
          <w:bCs/>
          <w:szCs w:val="18"/>
          <w:lang w:val="fr-FR"/>
        </w:rPr>
        <w:t>81</w:t>
      </w:r>
      <w:r w:rsidRPr="00CE1FED">
        <w:rPr>
          <w:rStyle w:val="Lienhypertexte"/>
          <w:bCs/>
          <w:szCs w:val="18"/>
          <w:lang w:val="fr-FR"/>
        </w:rPr>
        <w:t>.</w:t>
      </w:r>
    </w:p>
  </w:footnote>
  <w:footnote w:id="22">
    <w:p w14:paraId="7FE892E2" w14:textId="434C7D69" w:rsidR="00DF5828" w:rsidRPr="00DF5828" w:rsidRDefault="00DF5828" w:rsidP="00DF5828">
      <w:pPr>
        <w:pStyle w:val="Notedebasdepage"/>
        <w:widowControl w:val="0"/>
        <w:tabs>
          <w:tab w:val="clear" w:pos="1021"/>
          <w:tab w:val="right" w:pos="1020"/>
        </w:tabs>
        <w:rPr>
          <w:lang w:val="fr-FR"/>
        </w:rPr>
      </w:pPr>
      <w:r>
        <w:tab/>
      </w:r>
      <w:r>
        <w:rPr>
          <w:rStyle w:val="Appelnotedebasdep"/>
        </w:rPr>
        <w:footnoteRef/>
      </w:r>
      <w:r>
        <w:tab/>
      </w:r>
      <w:r w:rsidR="004C3F68">
        <w:rPr>
          <w:rStyle w:val="Lienhypertexte"/>
          <w:bCs/>
          <w:szCs w:val="18"/>
          <w:lang w:val="fr-FR"/>
        </w:rPr>
        <w:t>Ibid.</w:t>
      </w:r>
      <w:r w:rsidRPr="00CE1FED">
        <w:rPr>
          <w:rStyle w:val="Lienhypertexte"/>
          <w:bCs/>
          <w:szCs w:val="18"/>
          <w:lang w:val="fr-FR"/>
        </w:rPr>
        <w:t>, par. 123 à 127.</w:t>
      </w:r>
    </w:p>
  </w:footnote>
  <w:footnote w:id="23">
    <w:p w14:paraId="764CCF6F" w14:textId="377F246F" w:rsidR="00DF5828" w:rsidRPr="00DF5828" w:rsidRDefault="00DF5828" w:rsidP="00DF5828">
      <w:pPr>
        <w:pStyle w:val="Notedebasdepage"/>
        <w:widowControl w:val="0"/>
        <w:tabs>
          <w:tab w:val="clear" w:pos="1021"/>
          <w:tab w:val="right" w:pos="1020"/>
        </w:tabs>
        <w:rPr>
          <w:lang w:val="fr-FR"/>
        </w:rPr>
      </w:pPr>
      <w:r>
        <w:tab/>
      </w:r>
      <w:r>
        <w:rPr>
          <w:rStyle w:val="Appelnotedebasdep"/>
        </w:rPr>
        <w:footnoteRef/>
      </w:r>
      <w:r>
        <w:tab/>
      </w:r>
      <w:hyperlink r:id="rId18" w:history="1">
        <w:r w:rsidRPr="00EF3199">
          <w:rPr>
            <w:rStyle w:val="Lienhypertexte"/>
            <w:rFonts w:eastAsiaTheme="minorHAnsi"/>
            <w:color w:val="0000FF"/>
            <w:lang w:val="fr-FR"/>
          </w:rPr>
          <w:t>CERD/C/MCO/CO/6</w:t>
        </w:r>
      </w:hyperlink>
      <w:r w:rsidRPr="00332445">
        <w:t>, par. 14</w:t>
      </w:r>
      <w:r>
        <w:t> ;</w:t>
      </w:r>
      <w:r w:rsidR="00732601">
        <w:t xml:space="preserve"> et</w:t>
      </w:r>
      <w:r>
        <w:t xml:space="preserve"> </w:t>
      </w:r>
      <w:hyperlink r:id="rId19" w:history="1">
        <w:r w:rsidR="00732601" w:rsidRPr="00EF3199">
          <w:rPr>
            <w:rStyle w:val="Lienhypertexte"/>
            <w:rFonts w:eastAsiaTheme="minorHAnsi"/>
            <w:color w:val="0000FF"/>
            <w:lang w:val="fr-FR"/>
          </w:rPr>
          <w:t>CERD/C/MCO/7-9</w:t>
        </w:r>
      </w:hyperlink>
      <w:r w:rsidRPr="009F466F">
        <w:rPr>
          <w:rStyle w:val="Lienhypertexte"/>
          <w:bCs/>
          <w:szCs w:val="18"/>
          <w:lang w:val="fr-FR"/>
        </w:rPr>
        <w:t xml:space="preserve">, par. </w:t>
      </w:r>
      <w:r>
        <w:rPr>
          <w:rStyle w:val="Lienhypertexte"/>
          <w:bCs/>
          <w:szCs w:val="18"/>
          <w:lang w:val="fr-FR"/>
        </w:rPr>
        <w:t>147 à 153.</w:t>
      </w:r>
    </w:p>
  </w:footnote>
  <w:footnote w:id="24">
    <w:p w14:paraId="10AD16BC" w14:textId="6547ACC1" w:rsidR="00DF5828" w:rsidRPr="00DF5828" w:rsidRDefault="00DF5828" w:rsidP="00DF5828">
      <w:pPr>
        <w:pStyle w:val="Notedebasdepage"/>
        <w:widowControl w:val="0"/>
        <w:tabs>
          <w:tab w:val="clear" w:pos="1021"/>
          <w:tab w:val="right" w:pos="1020"/>
        </w:tabs>
        <w:rPr>
          <w:lang w:val="fr-FR"/>
        </w:rPr>
      </w:pPr>
      <w:r>
        <w:tab/>
      </w:r>
      <w:r>
        <w:rPr>
          <w:rStyle w:val="Appelnotedebasdep"/>
        </w:rPr>
        <w:footnoteRef/>
      </w:r>
      <w:r>
        <w:tab/>
      </w:r>
      <w:hyperlink r:id="rId20" w:history="1">
        <w:r w:rsidR="00732601" w:rsidRPr="00EF3199">
          <w:rPr>
            <w:rStyle w:val="Lienhypertexte"/>
            <w:rFonts w:eastAsiaTheme="minorHAnsi"/>
            <w:color w:val="0000FF"/>
            <w:lang w:val="fr-FR"/>
          </w:rPr>
          <w:t>CERD/C/MCO/7-9</w:t>
        </w:r>
      </w:hyperlink>
      <w:r w:rsidRPr="009F466F">
        <w:rPr>
          <w:rStyle w:val="Lienhypertexte"/>
          <w:bCs/>
          <w:szCs w:val="18"/>
          <w:lang w:val="fr-FR"/>
        </w:rPr>
        <w:t xml:space="preserve">, par. </w:t>
      </w:r>
      <w:r>
        <w:rPr>
          <w:rStyle w:val="Lienhypertexte"/>
          <w:bCs/>
          <w:szCs w:val="18"/>
          <w:lang w:val="fr-FR"/>
        </w:rPr>
        <w:t>147 à 155 et 189 à 202.</w:t>
      </w:r>
    </w:p>
  </w:footnote>
  <w:footnote w:id="25">
    <w:p w14:paraId="22AE8C46" w14:textId="3E23AA30" w:rsidR="00DF5828" w:rsidRPr="00DF5828" w:rsidRDefault="00DF5828" w:rsidP="00DF5828">
      <w:pPr>
        <w:pStyle w:val="Notedebasdepage"/>
        <w:widowControl w:val="0"/>
        <w:tabs>
          <w:tab w:val="clear" w:pos="1021"/>
          <w:tab w:val="right" w:pos="1020"/>
        </w:tabs>
        <w:rPr>
          <w:lang w:val="fr-FR"/>
        </w:rPr>
      </w:pPr>
      <w:r>
        <w:tab/>
      </w:r>
      <w:r>
        <w:rPr>
          <w:rStyle w:val="Appelnotedebasdep"/>
        </w:rPr>
        <w:footnoteRef/>
      </w:r>
      <w:r>
        <w:tab/>
      </w:r>
      <w:hyperlink r:id="rId21" w:history="1">
        <w:r w:rsidRPr="00EF3199">
          <w:rPr>
            <w:rStyle w:val="Lienhypertexte"/>
            <w:rFonts w:eastAsiaTheme="minorHAnsi"/>
            <w:color w:val="0000FF"/>
            <w:lang w:val="fr-FR"/>
          </w:rPr>
          <w:t>CERD/C/MCO/CO/6</w:t>
        </w:r>
      </w:hyperlink>
      <w:r w:rsidRPr="00332445">
        <w:t>, par. 14</w:t>
      </w:r>
      <w:r>
        <w:t> ;</w:t>
      </w:r>
      <w:r w:rsidR="00AB06A1">
        <w:t xml:space="preserve"> et</w:t>
      </w:r>
      <w:r>
        <w:t xml:space="preserve"> </w:t>
      </w:r>
      <w:hyperlink r:id="rId22" w:history="1">
        <w:r w:rsidR="00AB06A1" w:rsidRPr="00EF3199">
          <w:rPr>
            <w:rStyle w:val="Lienhypertexte"/>
            <w:rFonts w:eastAsiaTheme="minorHAnsi"/>
            <w:color w:val="0000FF"/>
            <w:lang w:val="fr-FR"/>
          </w:rPr>
          <w:t>CERD/C/MCO/7-9</w:t>
        </w:r>
      </w:hyperlink>
      <w:r w:rsidRPr="009F466F">
        <w:rPr>
          <w:rStyle w:val="Lienhypertexte"/>
          <w:bCs/>
          <w:szCs w:val="18"/>
          <w:lang w:val="fr-FR"/>
        </w:rPr>
        <w:t xml:space="preserve">, par. </w:t>
      </w:r>
      <w:r>
        <w:rPr>
          <w:rStyle w:val="Lienhypertexte"/>
          <w:bCs/>
          <w:szCs w:val="18"/>
          <w:lang w:val="fr-FR"/>
        </w:rPr>
        <w:t>109 et 147 à 155.</w:t>
      </w:r>
    </w:p>
  </w:footnote>
  <w:footnote w:id="26">
    <w:p w14:paraId="3B4BD207" w14:textId="618A15FC" w:rsidR="00DF5828" w:rsidRPr="00DF5828" w:rsidRDefault="00DF5828" w:rsidP="00DF5828">
      <w:pPr>
        <w:pStyle w:val="Notedebasdepage"/>
        <w:widowControl w:val="0"/>
        <w:tabs>
          <w:tab w:val="clear" w:pos="1021"/>
          <w:tab w:val="right" w:pos="1020"/>
        </w:tabs>
        <w:rPr>
          <w:lang w:val="fr-FR"/>
        </w:rPr>
      </w:pPr>
      <w:r>
        <w:tab/>
      </w:r>
      <w:r>
        <w:rPr>
          <w:rStyle w:val="Appelnotedebasdep"/>
        </w:rPr>
        <w:footnoteRef/>
      </w:r>
      <w:r>
        <w:tab/>
      </w:r>
      <w:hyperlink r:id="rId23" w:history="1">
        <w:r w:rsidR="00AB06A1" w:rsidRPr="00EF3199">
          <w:rPr>
            <w:rStyle w:val="Lienhypertexte"/>
            <w:rFonts w:eastAsiaTheme="minorHAnsi"/>
            <w:color w:val="0000FF"/>
            <w:lang w:val="fr-FR"/>
          </w:rPr>
          <w:t>CERD/C/MCO/7-9</w:t>
        </w:r>
      </w:hyperlink>
      <w:r w:rsidRPr="009F466F">
        <w:rPr>
          <w:rStyle w:val="Lienhypertexte"/>
          <w:bCs/>
          <w:szCs w:val="18"/>
          <w:lang w:val="fr-FR"/>
        </w:rPr>
        <w:t xml:space="preserve">, par. </w:t>
      </w:r>
      <w:r>
        <w:rPr>
          <w:rStyle w:val="Lienhypertexte"/>
          <w:bCs/>
          <w:szCs w:val="18"/>
          <w:lang w:val="fr-FR"/>
        </w:rPr>
        <w:t>156 à 158.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B0EEF" w14:textId="37D4E1E5" w:rsidR="0028779B" w:rsidRPr="00F62D73" w:rsidRDefault="00F62D73">
    <w:pPr>
      <w:pStyle w:val="En-tte"/>
      <w:rPr>
        <w:lang w:val="en-GB"/>
      </w:rPr>
    </w:pPr>
    <w:r>
      <w:rPr>
        <w:lang w:val="en-GB"/>
      </w:rPr>
      <w:t>CERD/C/</w:t>
    </w:r>
    <w:r w:rsidR="004F6399">
      <w:rPr>
        <w:lang w:val="en-GB"/>
      </w:rPr>
      <w:t>MCO/</w:t>
    </w:r>
    <w:r>
      <w:rPr>
        <w:lang w:val="en-GB"/>
      </w:rPr>
      <w:t>Q/</w:t>
    </w:r>
    <w:r w:rsidR="004F6399">
      <w:rPr>
        <w:lang w:val="en-GB"/>
      </w:rPr>
      <w:t>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18DE2" w14:textId="77777777" w:rsidR="004F6399" w:rsidRPr="00F62D73" w:rsidRDefault="004F6399" w:rsidP="004F6399">
    <w:pPr>
      <w:pStyle w:val="En-tte"/>
      <w:jc w:val="right"/>
      <w:rPr>
        <w:lang w:val="en-GB"/>
      </w:rPr>
    </w:pPr>
    <w:r>
      <w:rPr>
        <w:lang w:val="en-GB"/>
      </w:rPr>
      <w:t>CERD/C/MCO/Q/7-9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26C20CB5"/>
    <w:multiLevelType w:val="hybridMultilevel"/>
    <w:tmpl w:val="A7923068"/>
    <w:lvl w:ilvl="0" w:tplc="885A5018">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36164453">
    <w:abstractNumId w:val="3"/>
  </w:num>
  <w:num w:numId="2" w16cid:durableId="2018388915">
    <w:abstractNumId w:val="2"/>
  </w:num>
  <w:num w:numId="3" w16cid:durableId="1406414590">
    <w:abstractNumId w:val="0"/>
  </w:num>
  <w:num w:numId="4" w16cid:durableId="134521114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n-GB" w:vendorID="64" w:dllVersion="0" w:nlCheck="1" w:checkStyle="0"/>
  <w:activeWritingStyle w:appName="MSWord" w:lang="es-419" w:vendorID="64" w:dllVersion="0" w:nlCheck="1" w:checkStyle="0"/>
  <w:activeWritingStyle w:appName="MSWord" w:lang="en-US"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595"/>
    <w:rsid w:val="0000052B"/>
    <w:rsid w:val="00001711"/>
    <w:rsid w:val="0000431A"/>
    <w:rsid w:val="000046D5"/>
    <w:rsid w:val="0000626B"/>
    <w:rsid w:val="00006938"/>
    <w:rsid w:val="000137D8"/>
    <w:rsid w:val="0001470D"/>
    <w:rsid w:val="00014F9B"/>
    <w:rsid w:val="00016165"/>
    <w:rsid w:val="00016AC5"/>
    <w:rsid w:val="00021907"/>
    <w:rsid w:val="000233A5"/>
    <w:rsid w:val="0002445D"/>
    <w:rsid w:val="00024C24"/>
    <w:rsid w:val="00024C50"/>
    <w:rsid w:val="000257A4"/>
    <w:rsid w:val="00025E92"/>
    <w:rsid w:val="000276A3"/>
    <w:rsid w:val="00032060"/>
    <w:rsid w:val="00032ABE"/>
    <w:rsid w:val="000340AE"/>
    <w:rsid w:val="00034531"/>
    <w:rsid w:val="00040539"/>
    <w:rsid w:val="00040598"/>
    <w:rsid w:val="00043BAF"/>
    <w:rsid w:val="00047F10"/>
    <w:rsid w:val="00052157"/>
    <w:rsid w:val="0005346D"/>
    <w:rsid w:val="00053E4B"/>
    <w:rsid w:val="00054A22"/>
    <w:rsid w:val="00055FE4"/>
    <w:rsid w:val="000569B6"/>
    <w:rsid w:val="00056B2D"/>
    <w:rsid w:val="000641CE"/>
    <w:rsid w:val="00067310"/>
    <w:rsid w:val="0007103A"/>
    <w:rsid w:val="000713BD"/>
    <w:rsid w:val="000734FB"/>
    <w:rsid w:val="0007546E"/>
    <w:rsid w:val="00077E35"/>
    <w:rsid w:val="00082CE7"/>
    <w:rsid w:val="00082E4B"/>
    <w:rsid w:val="000849ED"/>
    <w:rsid w:val="00085F06"/>
    <w:rsid w:val="0008669E"/>
    <w:rsid w:val="00090599"/>
    <w:rsid w:val="00090EE8"/>
    <w:rsid w:val="00091948"/>
    <w:rsid w:val="000A1501"/>
    <w:rsid w:val="000A2494"/>
    <w:rsid w:val="000A57E0"/>
    <w:rsid w:val="000A6B7E"/>
    <w:rsid w:val="000A7753"/>
    <w:rsid w:val="000B1595"/>
    <w:rsid w:val="000B76CA"/>
    <w:rsid w:val="000C1B5E"/>
    <w:rsid w:val="000C580F"/>
    <w:rsid w:val="000C6CDB"/>
    <w:rsid w:val="000D5C25"/>
    <w:rsid w:val="000D6144"/>
    <w:rsid w:val="000D6B0B"/>
    <w:rsid w:val="000D7301"/>
    <w:rsid w:val="000D773C"/>
    <w:rsid w:val="000E0DD2"/>
    <w:rsid w:val="000E2FD3"/>
    <w:rsid w:val="000E4F06"/>
    <w:rsid w:val="000E503F"/>
    <w:rsid w:val="000E5601"/>
    <w:rsid w:val="000E7963"/>
    <w:rsid w:val="000F358D"/>
    <w:rsid w:val="000F41F2"/>
    <w:rsid w:val="0010373B"/>
    <w:rsid w:val="001107E9"/>
    <w:rsid w:val="00110D51"/>
    <w:rsid w:val="00120552"/>
    <w:rsid w:val="0012164B"/>
    <w:rsid w:val="00121B0E"/>
    <w:rsid w:val="00122766"/>
    <w:rsid w:val="00122BD5"/>
    <w:rsid w:val="00125446"/>
    <w:rsid w:val="00126044"/>
    <w:rsid w:val="00133C0D"/>
    <w:rsid w:val="00134737"/>
    <w:rsid w:val="001358D9"/>
    <w:rsid w:val="00141E26"/>
    <w:rsid w:val="001428F7"/>
    <w:rsid w:val="001435A1"/>
    <w:rsid w:val="00143EB9"/>
    <w:rsid w:val="0014580D"/>
    <w:rsid w:val="00146EF3"/>
    <w:rsid w:val="0015230B"/>
    <w:rsid w:val="0015389C"/>
    <w:rsid w:val="00155084"/>
    <w:rsid w:val="00160540"/>
    <w:rsid w:val="00162302"/>
    <w:rsid w:val="00162A99"/>
    <w:rsid w:val="00163647"/>
    <w:rsid w:val="00163C0C"/>
    <w:rsid w:val="00163FEC"/>
    <w:rsid w:val="00164BEB"/>
    <w:rsid w:val="00165913"/>
    <w:rsid w:val="00166C68"/>
    <w:rsid w:val="0017055D"/>
    <w:rsid w:val="001718CE"/>
    <w:rsid w:val="00172502"/>
    <w:rsid w:val="00173421"/>
    <w:rsid w:val="0017420D"/>
    <w:rsid w:val="00174814"/>
    <w:rsid w:val="00180A42"/>
    <w:rsid w:val="00181A90"/>
    <w:rsid w:val="00182B77"/>
    <w:rsid w:val="001839EE"/>
    <w:rsid w:val="00190D5D"/>
    <w:rsid w:val="00192EEB"/>
    <w:rsid w:val="00194484"/>
    <w:rsid w:val="001A2040"/>
    <w:rsid w:val="001A20FB"/>
    <w:rsid w:val="001A376F"/>
    <w:rsid w:val="001B09BB"/>
    <w:rsid w:val="001C2D19"/>
    <w:rsid w:val="001C3D8D"/>
    <w:rsid w:val="001C6497"/>
    <w:rsid w:val="001D0CE6"/>
    <w:rsid w:val="001D1AC6"/>
    <w:rsid w:val="001D1C2E"/>
    <w:rsid w:val="001D1FA5"/>
    <w:rsid w:val="001D3424"/>
    <w:rsid w:val="001D4097"/>
    <w:rsid w:val="001D7F8A"/>
    <w:rsid w:val="001E0447"/>
    <w:rsid w:val="001E1495"/>
    <w:rsid w:val="001E2D59"/>
    <w:rsid w:val="001E34CB"/>
    <w:rsid w:val="001E3FEB"/>
    <w:rsid w:val="001E4541"/>
    <w:rsid w:val="001E4A02"/>
    <w:rsid w:val="001E4E3F"/>
    <w:rsid w:val="001E653B"/>
    <w:rsid w:val="001E6685"/>
    <w:rsid w:val="001E6DF0"/>
    <w:rsid w:val="001E73CB"/>
    <w:rsid w:val="001E790F"/>
    <w:rsid w:val="001F001D"/>
    <w:rsid w:val="001F27E6"/>
    <w:rsid w:val="001F3E68"/>
    <w:rsid w:val="001F4931"/>
    <w:rsid w:val="00200CBA"/>
    <w:rsid w:val="002023A1"/>
    <w:rsid w:val="00204B66"/>
    <w:rsid w:val="00205833"/>
    <w:rsid w:val="002059CE"/>
    <w:rsid w:val="002066F7"/>
    <w:rsid w:val="00206AD4"/>
    <w:rsid w:val="002105F6"/>
    <w:rsid w:val="00210949"/>
    <w:rsid w:val="002129FD"/>
    <w:rsid w:val="00214403"/>
    <w:rsid w:val="00216512"/>
    <w:rsid w:val="00222240"/>
    <w:rsid w:val="002222B7"/>
    <w:rsid w:val="00224B8B"/>
    <w:rsid w:val="00225233"/>
    <w:rsid w:val="00225A8C"/>
    <w:rsid w:val="00227CCF"/>
    <w:rsid w:val="0023017D"/>
    <w:rsid w:val="0023171D"/>
    <w:rsid w:val="00231A7F"/>
    <w:rsid w:val="0023214B"/>
    <w:rsid w:val="00233582"/>
    <w:rsid w:val="002354F3"/>
    <w:rsid w:val="00242BBD"/>
    <w:rsid w:val="0024586F"/>
    <w:rsid w:val="00246BC8"/>
    <w:rsid w:val="00251F95"/>
    <w:rsid w:val="00252317"/>
    <w:rsid w:val="002541D6"/>
    <w:rsid w:val="00256A1D"/>
    <w:rsid w:val="002659F1"/>
    <w:rsid w:val="00266C0F"/>
    <w:rsid w:val="00271E41"/>
    <w:rsid w:val="00271EBC"/>
    <w:rsid w:val="00272D6D"/>
    <w:rsid w:val="002822CE"/>
    <w:rsid w:val="00282A45"/>
    <w:rsid w:val="00284C19"/>
    <w:rsid w:val="00286E23"/>
    <w:rsid w:val="002876A1"/>
    <w:rsid w:val="0028779B"/>
    <w:rsid w:val="00287CA6"/>
    <w:rsid w:val="00287E79"/>
    <w:rsid w:val="002928F9"/>
    <w:rsid w:val="002948C0"/>
    <w:rsid w:val="00294924"/>
    <w:rsid w:val="00294D5B"/>
    <w:rsid w:val="002A00E3"/>
    <w:rsid w:val="002A0A50"/>
    <w:rsid w:val="002A2A2C"/>
    <w:rsid w:val="002A3E60"/>
    <w:rsid w:val="002A41A6"/>
    <w:rsid w:val="002A5D07"/>
    <w:rsid w:val="002B0D83"/>
    <w:rsid w:val="002B159C"/>
    <w:rsid w:val="002B26E8"/>
    <w:rsid w:val="002C00C1"/>
    <w:rsid w:val="002C0CAC"/>
    <w:rsid w:val="002C0FA6"/>
    <w:rsid w:val="002C2C79"/>
    <w:rsid w:val="002C37F0"/>
    <w:rsid w:val="002C7DA1"/>
    <w:rsid w:val="002D25CA"/>
    <w:rsid w:val="002D2744"/>
    <w:rsid w:val="002D2C78"/>
    <w:rsid w:val="002D2F36"/>
    <w:rsid w:val="002D3DA4"/>
    <w:rsid w:val="002D519B"/>
    <w:rsid w:val="002D781B"/>
    <w:rsid w:val="002E2F5C"/>
    <w:rsid w:val="002E3C1F"/>
    <w:rsid w:val="002F0088"/>
    <w:rsid w:val="002F0879"/>
    <w:rsid w:val="002F0C48"/>
    <w:rsid w:val="002F2E04"/>
    <w:rsid w:val="002F3CB7"/>
    <w:rsid w:val="002F7D33"/>
    <w:rsid w:val="003016B7"/>
    <w:rsid w:val="00302E18"/>
    <w:rsid w:val="0030754C"/>
    <w:rsid w:val="003109F2"/>
    <w:rsid w:val="0031488C"/>
    <w:rsid w:val="00317E54"/>
    <w:rsid w:val="00321273"/>
    <w:rsid w:val="00322A3F"/>
    <w:rsid w:val="00322DF1"/>
    <w:rsid w:val="00324EBF"/>
    <w:rsid w:val="0032556C"/>
    <w:rsid w:val="00330508"/>
    <w:rsid w:val="00332445"/>
    <w:rsid w:val="0033286A"/>
    <w:rsid w:val="00333130"/>
    <w:rsid w:val="003370A1"/>
    <w:rsid w:val="0034014E"/>
    <w:rsid w:val="003412CC"/>
    <w:rsid w:val="00342271"/>
    <w:rsid w:val="00346E32"/>
    <w:rsid w:val="003508B8"/>
    <w:rsid w:val="003515AA"/>
    <w:rsid w:val="00351CC0"/>
    <w:rsid w:val="003538E8"/>
    <w:rsid w:val="00354624"/>
    <w:rsid w:val="00356D42"/>
    <w:rsid w:val="003612F1"/>
    <w:rsid w:val="00364F13"/>
    <w:rsid w:val="0036776C"/>
    <w:rsid w:val="00372A7A"/>
    <w:rsid w:val="00372D1D"/>
    <w:rsid w:val="00374106"/>
    <w:rsid w:val="00374136"/>
    <w:rsid w:val="0037679A"/>
    <w:rsid w:val="00377946"/>
    <w:rsid w:val="0038047C"/>
    <w:rsid w:val="00381DAD"/>
    <w:rsid w:val="00390EEF"/>
    <w:rsid w:val="003921E0"/>
    <w:rsid w:val="00394410"/>
    <w:rsid w:val="003976D5"/>
    <w:rsid w:val="00397EF7"/>
    <w:rsid w:val="003A0395"/>
    <w:rsid w:val="003A0925"/>
    <w:rsid w:val="003A4BD4"/>
    <w:rsid w:val="003A7968"/>
    <w:rsid w:val="003B0776"/>
    <w:rsid w:val="003B53B6"/>
    <w:rsid w:val="003B6500"/>
    <w:rsid w:val="003C68E6"/>
    <w:rsid w:val="003D5211"/>
    <w:rsid w:val="003D5D8E"/>
    <w:rsid w:val="003D6534"/>
    <w:rsid w:val="003D6C68"/>
    <w:rsid w:val="003E01D0"/>
    <w:rsid w:val="003E052A"/>
    <w:rsid w:val="003E2FD7"/>
    <w:rsid w:val="003E3312"/>
    <w:rsid w:val="003E49B9"/>
    <w:rsid w:val="003E5F12"/>
    <w:rsid w:val="003E786C"/>
    <w:rsid w:val="003F2A89"/>
    <w:rsid w:val="003F4A54"/>
    <w:rsid w:val="003F5F97"/>
    <w:rsid w:val="003F6DEA"/>
    <w:rsid w:val="003F7EC7"/>
    <w:rsid w:val="0040144C"/>
    <w:rsid w:val="00402BC3"/>
    <w:rsid w:val="00404769"/>
    <w:rsid w:val="004067AE"/>
    <w:rsid w:val="00410521"/>
    <w:rsid w:val="00410592"/>
    <w:rsid w:val="00413BB0"/>
    <w:rsid w:val="00414063"/>
    <w:rsid w:val="004159D0"/>
    <w:rsid w:val="00417326"/>
    <w:rsid w:val="0042080B"/>
    <w:rsid w:val="00422499"/>
    <w:rsid w:val="0042342D"/>
    <w:rsid w:val="00426796"/>
    <w:rsid w:val="00433957"/>
    <w:rsid w:val="004342E2"/>
    <w:rsid w:val="00434354"/>
    <w:rsid w:val="00436D37"/>
    <w:rsid w:val="00437817"/>
    <w:rsid w:val="00440BC8"/>
    <w:rsid w:val="00445BD2"/>
    <w:rsid w:val="00447034"/>
    <w:rsid w:val="00447DC6"/>
    <w:rsid w:val="00450315"/>
    <w:rsid w:val="00454F8D"/>
    <w:rsid w:val="00455C09"/>
    <w:rsid w:val="00456479"/>
    <w:rsid w:val="004567EB"/>
    <w:rsid w:val="00460E72"/>
    <w:rsid w:val="00462A02"/>
    <w:rsid w:val="004635D7"/>
    <w:rsid w:val="00465CD4"/>
    <w:rsid w:val="00465D0B"/>
    <w:rsid w:val="00467412"/>
    <w:rsid w:val="00470629"/>
    <w:rsid w:val="0047062D"/>
    <w:rsid w:val="00474676"/>
    <w:rsid w:val="00476265"/>
    <w:rsid w:val="00477A96"/>
    <w:rsid w:val="00482003"/>
    <w:rsid w:val="00484FF9"/>
    <w:rsid w:val="004850CC"/>
    <w:rsid w:val="00490F56"/>
    <w:rsid w:val="00491F39"/>
    <w:rsid w:val="00494417"/>
    <w:rsid w:val="004A349F"/>
    <w:rsid w:val="004A49A5"/>
    <w:rsid w:val="004A66A2"/>
    <w:rsid w:val="004B4167"/>
    <w:rsid w:val="004B51CD"/>
    <w:rsid w:val="004B537D"/>
    <w:rsid w:val="004B5C3C"/>
    <w:rsid w:val="004C3F68"/>
    <w:rsid w:val="004C4CD1"/>
    <w:rsid w:val="004C54C0"/>
    <w:rsid w:val="004C56B2"/>
    <w:rsid w:val="004D00B2"/>
    <w:rsid w:val="004E0F93"/>
    <w:rsid w:val="004E419F"/>
    <w:rsid w:val="004E4963"/>
    <w:rsid w:val="004E502B"/>
    <w:rsid w:val="004E5A46"/>
    <w:rsid w:val="004E666E"/>
    <w:rsid w:val="004E6809"/>
    <w:rsid w:val="004E7F24"/>
    <w:rsid w:val="004F11AC"/>
    <w:rsid w:val="004F4919"/>
    <w:rsid w:val="004F4B5E"/>
    <w:rsid w:val="004F51EF"/>
    <w:rsid w:val="004F6399"/>
    <w:rsid w:val="00501409"/>
    <w:rsid w:val="00507BC7"/>
    <w:rsid w:val="005111B1"/>
    <w:rsid w:val="00514465"/>
    <w:rsid w:val="0051457E"/>
    <w:rsid w:val="0051714B"/>
    <w:rsid w:val="00520F80"/>
    <w:rsid w:val="005239FF"/>
    <w:rsid w:val="00523AF4"/>
    <w:rsid w:val="00523DB8"/>
    <w:rsid w:val="00523F5B"/>
    <w:rsid w:val="005240F0"/>
    <w:rsid w:val="00524DF4"/>
    <w:rsid w:val="005324AF"/>
    <w:rsid w:val="00533150"/>
    <w:rsid w:val="00533FE8"/>
    <w:rsid w:val="00540677"/>
    <w:rsid w:val="005412F5"/>
    <w:rsid w:val="005437B6"/>
    <w:rsid w:val="00543B57"/>
    <w:rsid w:val="00543C47"/>
    <w:rsid w:val="00543D5E"/>
    <w:rsid w:val="00544F9E"/>
    <w:rsid w:val="00545061"/>
    <w:rsid w:val="0054629D"/>
    <w:rsid w:val="00546846"/>
    <w:rsid w:val="005520BA"/>
    <w:rsid w:val="00552260"/>
    <w:rsid w:val="00552777"/>
    <w:rsid w:val="00553104"/>
    <w:rsid w:val="00555494"/>
    <w:rsid w:val="00555CBA"/>
    <w:rsid w:val="00563001"/>
    <w:rsid w:val="005644ED"/>
    <w:rsid w:val="00565B29"/>
    <w:rsid w:val="005666DD"/>
    <w:rsid w:val="00566C2D"/>
    <w:rsid w:val="00571BC1"/>
    <w:rsid w:val="00571F41"/>
    <w:rsid w:val="005737A8"/>
    <w:rsid w:val="00575476"/>
    <w:rsid w:val="005754B5"/>
    <w:rsid w:val="005754D0"/>
    <w:rsid w:val="00584373"/>
    <w:rsid w:val="00585260"/>
    <w:rsid w:val="00591DB3"/>
    <w:rsid w:val="005939ED"/>
    <w:rsid w:val="00594337"/>
    <w:rsid w:val="005947BC"/>
    <w:rsid w:val="00594C4E"/>
    <w:rsid w:val="00595E8A"/>
    <w:rsid w:val="005A0268"/>
    <w:rsid w:val="005A3AC6"/>
    <w:rsid w:val="005A6014"/>
    <w:rsid w:val="005A671C"/>
    <w:rsid w:val="005B426C"/>
    <w:rsid w:val="005B473C"/>
    <w:rsid w:val="005B68C0"/>
    <w:rsid w:val="005C549A"/>
    <w:rsid w:val="005C6C52"/>
    <w:rsid w:val="005C7895"/>
    <w:rsid w:val="005D0DA1"/>
    <w:rsid w:val="005D7635"/>
    <w:rsid w:val="005D7719"/>
    <w:rsid w:val="005E0599"/>
    <w:rsid w:val="005E1B9B"/>
    <w:rsid w:val="005E241C"/>
    <w:rsid w:val="005E32D1"/>
    <w:rsid w:val="005E4086"/>
    <w:rsid w:val="005E5114"/>
    <w:rsid w:val="005E5D1F"/>
    <w:rsid w:val="005F74E3"/>
    <w:rsid w:val="006024D0"/>
    <w:rsid w:val="006045D9"/>
    <w:rsid w:val="006046FC"/>
    <w:rsid w:val="00605E80"/>
    <w:rsid w:val="00606F2B"/>
    <w:rsid w:val="0060744A"/>
    <w:rsid w:val="0061113B"/>
    <w:rsid w:val="00611A34"/>
    <w:rsid w:val="00611D43"/>
    <w:rsid w:val="00612D48"/>
    <w:rsid w:val="00613A5E"/>
    <w:rsid w:val="00613C1C"/>
    <w:rsid w:val="00615331"/>
    <w:rsid w:val="006155E7"/>
    <w:rsid w:val="00616B45"/>
    <w:rsid w:val="00620C3E"/>
    <w:rsid w:val="00623450"/>
    <w:rsid w:val="006241C6"/>
    <w:rsid w:val="00630D9B"/>
    <w:rsid w:val="006317D4"/>
    <w:rsid w:val="00631953"/>
    <w:rsid w:val="0063208D"/>
    <w:rsid w:val="0063356F"/>
    <w:rsid w:val="006370C8"/>
    <w:rsid w:val="00642789"/>
    <w:rsid w:val="0064289E"/>
    <w:rsid w:val="00643814"/>
    <w:rsid w:val="006439EC"/>
    <w:rsid w:val="00643D58"/>
    <w:rsid w:val="00645090"/>
    <w:rsid w:val="00647059"/>
    <w:rsid w:val="00647162"/>
    <w:rsid w:val="0065029A"/>
    <w:rsid w:val="00654C27"/>
    <w:rsid w:val="006571D3"/>
    <w:rsid w:val="00661E96"/>
    <w:rsid w:val="00663D77"/>
    <w:rsid w:val="00665786"/>
    <w:rsid w:val="00666C3E"/>
    <w:rsid w:val="006718F5"/>
    <w:rsid w:val="00671C93"/>
    <w:rsid w:val="00671F00"/>
    <w:rsid w:val="006729C8"/>
    <w:rsid w:val="00672EF6"/>
    <w:rsid w:val="00675501"/>
    <w:rsid w:val="0067787C"/>
    <w:rsid w:val="00677F9D"/>
    <w:rsid w:val="006846D6"/>
    <w:rsid w:val="00684E88"/>
    <w:rsid w:val="0068562A"/>
    <w:rsid w:val="00686B0C"/>
    <w:rsid w:val="0068738F"/>
    <w:rsid w:val="006877D9"/>
    <w:rsid w:val="00692157"/>
    <w:rsid w:val="0069462C"/>
    <w:rsid w:val="006A42E9"/>
    <w:rsid w:val="006A513F"/>
    <w:rsid w:val="006A6B31"/>
    <w:rsid w:val="006A6C95"/>
    <w:rsid w:val="006A7B29"/>
    <w:rsid w:val="006B0EB2"/>
    <w:rsid w:val="006B0FF8"/>
    <w:rsid w:val="006B4590"/>
    <w:rsid w:val="006B461D"/>
    <w:rsid w:val="006C0A0E"/>
    <w:rsid w:val="006C1DDD"/>
    <w:rsid w:val="006C340C"/>
    <w:rsid w:val="006C44E6"/>
    <w:rsid w:val="006C728A"/>
    <w:rsid w:val="006C7310"/>
    <w:rsid w:val="006D133C"/>
    <w:rsid w:val="006D22E6"/>
    <w:rsid w:val="006D2FAD"/>
    <w:rsid w:val="006D4CDA"/>
    <w:rsid w:val="006D5D94"/>
    <w:rsid w:val="006D63EF"/>
    <w:rsid w:val="006E12A6"/>
    <w:rsid w:val="006E2472"/>
    <w:rsid w:val="006E4F6C"/>
    <w:rsid w:val="006E7AD7"/>
    <w:rsid w:val="006F0031"/>
    <w:rsid w:val="006F0510"/>
    <w:rsid w:val="006F1D0B"/>
    <w:rsid w:val="006F1D35"/>
    <w:rsid w:val="006F27A8"/>
    <w:rsid w:val="006F3493"/>
    <w:rsid w:val="006F3544"/>
    <w:rsid w:val="0070347C"/>
    <w:rsid w:val="0070454D"/>
    <w:rsid w:val="00705CD2"/>
    <w:rsid w:val="007101D1"/>
    <w:rsid w:val="00710240"/>
    <w:rsid w:val="007102D2"/>
    <w:rsid w:val="007115FB"/>
    <w:rsid w:val="00712033"/>
    <w:rsid w:val="00714A66"/>
    <w:rsid w:val="007176C1"/>
    <w:rsid w:val="00720BC0"/>
    <w:rsid w:val="0072116B"/>
    <w:rsid w:val="00721472"/>
    <w:rsid w:val="007216A3"/>
    <w:rsid w:val="0072375D"/>
    <w:rsid w:val="00725063"/>
    <w:rsid w:val="007274EB"/>
    <w:rsid w:val="007308AA"/>
    <w:rsid w:val="00732218"/>
    <w:rsid w:val="00732601"/>
    <w:rsid w:val="0073281D"/>
    <w:rsid w:val="00732E72"/>
    <w:rsid w:val="0073331A"/>
    <w:rsid w:val="00735770"/>
    <w:rsid w:val="007366CF"/>
    <w:rsid w:val="00737459"/>
    <w:rsid w:val="00741B75"/>
    <w:rsid w:val="00741D90"/>
    <w:rsid w:val="007511E1"/>
    <w:rsid w:val="007572F6"/>
    <w:rsid w:val="007607B1"/>
    <w:rsid w:val="00765296"/>
    <w:rsid w:val="00765F95"/>
    <w:rsid w:val="00766D28"/>
    <w:rsid w:val="00767075"/>
    <w:rsid w:val="007723C2"/>
    <w:rsid w:val="00776B83"/>
    <w:rsid w:val="007807CC"/>
    <w:rsid w:val="007815B9"/>
    <w:rsid w:val="00781CDE"/>
    <w:rsid w:val="0078265C"/>
    <w:rsid w:val="00785F1F"/>
    <w:rsid w:val="00790079"/>
    <w:rsid w:val="00790B9D"/>
    <w:rsid w:val="00796316"/>
    <w:rsid w:val="0079744D"/>
    <w:rsid w:val="007A0C40"/>
    <w:rsid w:val="007A1C58"/>
    <w:rsid w:val="007A20D2"/>
    <w:rsid w:val="007A2C03"/>
    <w:rsid w:val="007A3382"/>
    <w:rsid w:val="007A6F22"/>
    <w:rsid w:val="007A7088"/>
    <w:rsid w:val="007A7445"/>
    <w:rsid w:val="007A79CD"/>
    <w:rsid w:val="007B14C3"/>
    <w:rsid w:val="007B4E03"/>
    <w:rsid w:val="007D006D"/>
    <w:rsid w:val="007D03AA"/>
    <w:rsid w:val="007D11EF"/>
    <w:rsid w:val="007D2668"/>
    <w:rsid w:val="007D3119"/>
    <w:rsid w:val="007D3AFC"/>
    <w:rsid w:val="007D5797"/>
    <w:rsid w:val="007D7E33"/>
    <w:rsid w:val="007F021F"/>
    <w:rsid w:val="007F137C"/>
    <w:rsid w:val="007F1867"/>
    <w:rsid w:val="007F1EC4"/>
    <w:rsid w:val="007F55CB"/>
    <w:rsid w:val="007F768E"/>
    <w:rsid w:val="008021D4"/>
    <w:rsid w:val="00802DFF"/>
    <w:rsid w:val="008035BD"/>
    <w:rsid w:val="00805243"/>
    <w:rsid w:val="008057A6"/>
    <w:rsid w:val="008149F9"/>
    <w:rsid w:val="00817D9A"/>
    <w:rsid w:val="008245B7"/>
    <w:rsid w:val="0082755E"/>
    <w:rsid w:val="00831A18"/>
    <w:rsid w:val="00834356"/>
    <w:rsid w:val="00835C19"/>
    <w:rsid w:val="00835FFB"/>
    <w:rsid w:val="00836AFE"/>
    <w:rsid w:val="008372FF"/>
    <w:rsid w:val="00837345"/>
    <w:rsid w:val="0083766E"/>
    <w:rsid w:val="00844750"/>
    <w:rsid w:val="00846CC0"/>
    <w:rsid w:val="00851A74"/>
    <w:rsid w:val="0085230C"/>
    <w:rsid w:val="00853AB8"/>
    <w:rsid w:val="00853BBA"/>
    <w:rsid w:val="008545EF"/>
    <w:rsid w:val="00854C34"/>
    <w:rsid w:val="0085586A"/>
    <w:rsid w:val="00855A35"/>
    <w:rsid w:val="0085780D"/>
    <w:rsid w:val="00867117"/>
    <w:rsid w:val="00870CFA"/>
    <w:rsid w:val="0088192B"/>
    <w:rsid w:val="0088362E"/>
    <w:rsid w:val="00883E22"/>
    <w:rsid w:val="00886BDD"/>
    <w:rsid w:val="00887B7C"/>
    <w:rsid w:val="008902AC"/>
    <w:rsid w:val="00894D8C"/>
    <w:rsid w:val="00895DE5"/>
    <w:rsid w:val="008975B9"/>
    <w:rsid w:val="008A0FA8"/>
    <w:rsid w:val="008A1EC0"/>
    <w:rsid w:val="008A23DD"/>
    <w:rsid w:val="008A3A13"/>
    <w:rsid w:val="008A537D"/>
    <w:rsid w:val="008A62D6"/>
    <w:rsid w:val="008B0889"/>
    <w:rsid w:val="008B13C3"/>
    <w:rsid w:val="008B44C4"/>
    <w:rsid w:val="008C1C70"/>
    <w:rsid w:val="008C2D58"/>
    <w:rsid w:val="008C322B"/>
    <w:rsid w:val="008C4B74"/>
    <w:rsid w:val="008D05E4"/>
    <w:rsid w:val="008D1156"/>
    <w:rsid w:val="008D2466"/>
    <w:rsid w:val="008D39F4"/>
    <w:rsid w:val="008D59DB"/>
    <w:rsid w:val="008E0319"/>
    <w:rsid w:val="008E3689"/>
    <w:rsid w:val="008E4DE2"/>
    <w:rsid w:val="008E5157"/>
    <w:rsid w:val="008E7CE2"/>
    <w:rsid w:val="008E7FAE"/>
    <w:rsid w:val="008F12BF"/>
    <w:rsid w:val="008F1412"/>
    <w:rsid w:val="008F7B6D"/>
    <w:rsid w:val="00900950"/>
    <w:rsid w:val="00901609"/>
    <w:rsid w:val="009038D3"/>
    <w:rsid w:val="00905091"/>
    <w:rsid w:val="00907DBD"/>
    <w:rsid w:val="00911BF7"/>
    <w:rsid w:val="0091594A"/>
    <w:rsid w:val="009204CD"/>
    <w:rsid w:val="00920599"/>
    <w:rsid w:val="00921490"/>
    <w:rsid w:val="00921C33"/>
    <w:rsid w:val="009230F1"/>
    <w:rsid w:val="00925754"/>
    <w:rsid w:val="00926673"/>
    <w:rsid w:val="0092688A"/>
    <w:rsid w:val="00931C9F"/>
    <w:rsid w:val="00935490"/>
    <w:rsid w:val="009418DE"/>
    <w:rsid w:val="00943163"/>
    <w:rsid w:val="009463EA"/>
    <w:rsid w:val="009516B7"/>
    <w:rsid w:val="009554DA"/>
    <w:rsid w:val="00957CE5"/>
    <w:rsid w:val="009624E2"/>
    <w:rsid w:val="00962F7B"/>
    <w:rsid w:val="00964896"/>
    <w:rsid w:val="00965596"/>
    <w:rsid w:val="00970533"/>
    <w:rsid w:val="00974169"/>
    <w:rsid w:val="00975CA1"/>
    <w:rsid w:val="00977EC8"/>
    <w:rsid w:val="009812BD"/>
    <w:rsid w:val="00982597"/>
    <w:rsid w:val="009825C9"/>
    <w:rsid w:val="00986D97"/>
    <w:rsid w:val="00991A64"/>
    <w:rsid w:val="00991EAC"/>
    <w:rsid w:val="00992DE5"/>
    <w:rsid w:val="00997AFE"/>
    <w:rsid w:val="009A3048"/>
    <w:rsid w:val="009A6618"/>
    <w:rsid w:val="009A6C26"/>
    <w:rsid w:val="009B17AD"/>
    <w:rsid w:val="009B3F8C"/>
    <w:rsid w:val="009B45E0"/>
    <w:rsid w:val="009B540F"/>
    <w:rsid w:val="009C0D2D"/>
    <w:rsid w:val="009C4472"/>
    <w:rsid w:val="009C5DF8"/>
    <w:rsid w:val="009D2113"/>
    <w:rsid w:val="009D3A8C"/>
    <w:rsid w:val="009D5206"/>
    <w:rsid w:val="009E1036"/>
    <w:rsid w:val="009E1BA9"/>
    <w:rsid w:val="009E2876"/>
    <w:rsid w:val="009E2F0B"/>
    <w:rsid w:val="009E4871"/>
    <w:rsid w:val="009E6B67"/>
    <w:rsid w:val="009E7956"/>
    <w:rsid w:val="009F029D"/>
    <w:rsid w:val="009F072F"/>
    <w:rsid w:val="009F26C1"/>
    <w:rsid w:val="009F3F95"/>
    <w:rsid w:val="009F466F"/>
    <w:rsid w:val="009F57C6"/>
    <w:rsid w:val="00A00645"/>
    <w:rsid w:val="00A023FC"/>
    <w:rsid w:val="00A0338D"/>
    <w:rsid w:val="00A04E27"/>
    <w:rsid w:val="00A05DD1"/>
    <w:rsid w:val="00A077E9"/>
    <w:rsid w:val="00A116ED"/>
    <w:rsid w:val="00A1485A"/>
    <w:rsid w:val="00A15225"/>
    <w:rsid w:val="00A22037"/>
    <w:rsid w:val="00A2492E"/>
    <w:rsid w:val="00A30A08"/>
    <w:rsid w:val="00A31163"/>
    <w:rsid w:val="00A3412F"/>
    <w:rsid w:val="00A3457F"/>
    <w:rsid w:val="00A34593"/>
    <w:rsid w:val="00A364DB"/>
    <w:rsid w:val="00A41150"/>
    <w:rsid w:val="00A42C18"/>
    <w:rsid w:val="00A435C3"/>
    <w:rsid w:val="00A44125"/>
    <w:rsid w:val="00A45E90"/>
    <w:rsid w:val="00A4770F"/>
    <w:rsid w:val="00A50D6B"/>
    <w:rsid w:val="00A51050"/>
    <w:rsid w:val="00A542C0"/>
    <w:rsid w:val="00A56945"/>
    <w:rsid w:val="00A56D92"/>
    <w:rsid w:val="00A57027"/>
    <w:rsid w:val="00A57234"/>
    <w:rsid w:val="00A5750C"/>
    <w:rsid w:val="00A627FB"/>
    <w:rsid w:val="00A67783"/>
    <w:rsid w:val="00A72C35"/>
    <w:rsid w:val="00A74858"/>
    <w:rsid w:val="00A752BB"/>
    <w:rsid w:val="00A75711"/>
    <w:rsid w:val="00A80A29"/>
    <w:rsid w:val="00A81F93"/>
    <w:rsid w:val="00A826CB"/>
    <w:rsid w:val="00A82990"/>
    <w:rsid w:val="00A9247E"/>
    <w:rsid w:val="00A9258B"/>
    <w:rsid w:val="00A92618"/>
    <w:rsid w:val="00A956DA"/>
    <w:rsid w:val="00A96977"/>
    <w:rsid w:val="00AA2932"/>
    <w:rsid w:val="00AA3641"/>
    <w:rsid w:val="00AA3991"/>
    <w:rsid w:val="00AA6B11"/>
    <w:rsid w:val="00AA7796"/>
    <w:rsid w:val="00AB0078"/>
    <w:rsid w:val="00AB06A1"/>
    <w:rsid w:val="00AB0D1B"/>
    <w:rsid w:val="00AB1E48"/>
    <w:rsid w:val="00AB2078"/>
    <w:rsid w:val="00AB27A5"/>
    <w:rsid w:val="00AB3925"/>
    <w:rsid w:val="00AB4D3F"/>
    <w:rsid w:val="00AB6E22"/>
    <w:rsid w:val="00AC45D7"/>
    <w:rsid w:val="00AC67A1"/>
    <w:rsid w:val="00AC7977"/>
    <w:rsid w:val="00AC7E56"/>
    <w:rsid w:val="00AD22B0"/>
    <w:rsid w:val="00AD6893"/>
    <w:rsid w:val="00AE24E0"/>
    <w:rsid w:val="00AE2617"/>
    <w:rsid w:val="00AE352C"/>
    <w:rsid w:val="00AE5998"/>
    <w:rsid w:val="00AE5FA6"/>
    <w:rsid w:val="00AE79AC"/>
    <w:rsid w:val="00AF04D5"/>
    <w:rsid w:val="00B01AAD"/>
    <w:rsid w:val="00B01CAA"/>
    <w:rsid w:val="00B01EB8"/>
    <w:rsid w:val="00B101DB"/>
    <w:rsid w:val="00B10510"/>
    <w:rsid w:val="00B11950"/>
    <w:rsid w:val="00B126A6"/>
    <w:rsid w:val="00B12AA6"/>
    <w:rsid w:val="00B13F5D"/>
    <w:rsid w:val="00B17AD3"/>
    <w:rsid w:val="00B21751"/>
    <w:rsid w:val="00B256F0"/>
    <w:rsid w:val="00B318F1"/>
    <w:rsid w:val="00B31D7D"/>
    <w:rsid w:val="00B32E2D"/>
    <w:rsid w:val="00B343EC"/>
    <w:rsid w:val="00B43741"/>
    <w:rsid w:val="00B441C9"/>
    <w:rsid w:val="00B45642"/>
    <w:rsid w:val="00B47744"/>
    <w:rsid w:val="00B47FE1"/>
    <w:rsid w:val="00B52F29"/>
    <w:rsid w:val="00B5388D"/>
    <w:rsid w:val="00B53FAE"/>
    <w:rsid w:val="00B6109B"/>
    <w:rsid w:val="00B61990"/>
    <w:rsid w:val="00B6249B"/>
    <w:rsid w:val="00B6337A"/>
    <w:rsid w:val="00B70CCD"/>
    <w:rsid w:val="00B73A95"/>
    <w:rsid w:val="00B75A5C"/>
    <w:rsid w:val="00B75E66"/>
    <w:rsid w:val="00B76181"/>
    <w:rsid w:val="00B773BF"/>
    <w:rsid w:val="00B77683"/>
    <w:rsid w:val="00B84DCE"/>
    <w:rsid w:val="00B8695C"/>
    <w:rsid w:val="00B9027B"/>
    <w:rsid w:val="00B902EA"/>
    <w:rsid w:val="00B92238"/>
    <w:rsid w:val="00BB4E71"/>
    <w:rsid w:val="00BC023E"/>
    <w:rsid w:val="00BC3F20"/>
    <w:rsid w:val="00BC7CB4"/>
    <w:rsid w:val="00BD28B2"/>
    <w:rsid w:val="00BD5A8D"/>
    <w:rsid w:val="00BD7343"/>
    <w:rsid w:val="00BE16BC"/>
    <w:rsid w:val="00BE206E"/>
    <w:rsid w:val="00BF0556"/>
    <w:rsid w:val="00BF37EE"/>
    <w:rsid w:val="00BF7242"/>
    <w:rsid w:val="00C024A1"/>
    <w:rsid w:val="00C02997"/>
    <w:rsid w:val="00C02C42"/>
    <w:rsid w:val="00C04966"/>
    <w:rsid w:val="00C04D80"/>
    <w:rsid w:val="00C065CA"/>
    <w:rsid w:val="00C10FB1"/>
    <w:rsid w:val="00C11282"/>
    <w:rsid w:val="00C12FB9"/>
    <w:rsid w:val="00C14108"/>
    <w:rsid w:val="00C165F1"/>
    <w:rsid w:val="00C24DC8"/>
    <w:rsid w:val="00C261F8"/>
    <w:rsid w:val="00C27588"/>
    <w:rsid w:val="00C27662"/>
    <w:rsid w:val="00C31C3F"/>
    <w:rsid w:val="00C33100"/>
    <w:rsid w:val="00C34934"/>
    <w:rsid w:val="00C35E0F"/>
    <w:rsid w:val="00C37472"/>
    <w:rsid w:val="00C41A9C"/>
    <w:rsid w:val="00C451B9"/>
    <w:rsid w:val="00C47D49"/>
    <w:rsid w:val="00C47F9A"/>
    <w:rsid w:val="00C51CD4"/>
    <w:rsid w:val="00C51D9C"/>
    <w:rsid w:val="00C520D9"/>
    <w:rsid w:val="00C54DA4"/>
    <w:rsid w:val="00C55118"/>
    <w:rsid w:val="00C559F8"/>
    <w:rsid w:val="00C5771A"/>
    <w:rsid w:val="00C577D1"/>
    <w:rsid w:val="00C57A2D"/>
    <w:rsid w:val="00C6018C"/>
    <w:rsid w:val="00C60C0F"/>
    <w:rsid w:val="00C6192C"/>
    <w:rsid w:val="00C6466E"/>
    <w:rsid w:val="00C66C8D"/>
    <w:rsid w:val="00C66F8E"/>
    <w:rsid w:val="00C67D23"/>
    <w:rsid w:val="00C71827"/>
    <w:rsid w:val="00C71CEF"/>
    <w:rsid w:val="00C825E5"/>
    <w:rsid w:val="00C844E0"/>
    <w:rsid w:val="00C87340"/>
    <w:rsid w:val="00C95EB8"/>
    <w:rsid w:val="00CA02E4"/>
    <w:rsid w:val="00CA40C3"/>
    <w:rsid w:val="00CA6B09"/>
    <w:rsid w:val="00CB02C5"/>
    <w:rsid w:val="00CB09C9"/>
    <w:rsid w:val="00CB39CD"/>
    <w:rsid w:val="00CC0994"/>
    <w:rsid w:val="00CC1220"/>
    <w:rsid w:val="00CC15B6"/>
    <w:rsid w:val="00CC18D4"/>
    <w:rsid w:val="00CC305F"/>
    <w:rsid w:val="00CC37BF"/>
    <w:rsid w:val="00CC4801"/>
    <w:rsid w:val="00CC4A6F"/>
    <w:rsid w:val="00CC5154"/>
    <w:rsid w:val="00CC69A6"/>
    <w:rsid w:val="00CC7CE6"/>
    <w:rsid w:val="00CD044C"/>
    <w:rsid w:val="00CD049E"/>
    <w:rsid w:val="00CD1A71"/>
    <w:rsid w:val="00CD1FBB"/>
    <w:rsid w:val="00CE033D"/>
    <w:rsid w:val="00CE08E5"/>
    <w:rsid w:val="00CE1FED"/>
    <w:rsid w:val="00CE2EAF"/>
    <w:rsid w:val="00CE3F79"/>
    <w:rsid w:val="00CE600C"/>
    <w:rsid w:val="00CE7AB4"/>
    <w:rsid w:val="00CF0596"/>
    <w:rsid w:val="00CF1967"/>
    <w:rsid w:val="00CF2D51"/>
    <w:rsid w:val="00CF4469"/>
    <w:rsid w:val="00D016B5"/>
    <w:rsid w:val="00D034F1"/>
    <w:rsid w:val="00D0513B"/>
    <w:rsid w:val="00D10628"/>
    <w:rsid w:val="00D14F42"/>
    <w:rsid w:val="00D15898"/>
    <w:rsid w:val="00D171D4"/>
    <w:rsid w:val="00D200BA"/>
    <w:rsid w:val="00D21208"/>
    <w:rsid w:val="00D22DB4"/>
    <w:rsid w:val="00D25692"/>
    <w:rsid w:val="00D278DA"/>
    <w:rsid w:val="00D27D5E"/>
    <w:rsid w:val="00D32B08"/>
    <w:rsid w:val="00D34F81"/>
    <w:rsid w:val="00D407D1"/>
    <w:rsid w:val="00D409B4"/>
    <w:rsid w:val="00D43E5F"/>
    <w:rsid w:val="00D50829"/>
    <w:rsid w:val="00D51CE6"/>
    <w:rsid w:val="00D524F8"/>
    <w:rsid w:val="00D5581A"/>
    <w:rsid w:val="00D561C6"/>
    <w:rsid w:val="00D61DC5"/>
    <w:rsid w:val="00D62DC7"/>
    <w:rsid w:val="00D639BD"/>
    <w:rsid w:val="00D65777"/>
    <w:rsid w:val="00D66378"/>
    <w:rsid w:val="00D66E0D"/>
    <w:rsid w:val="00D6701A"/>
    <w:rsid w:val="00D70B63"/>
    <w:rsid w:val="00D7372B"/>
    <w:rsid w:val="00D74115"/>
    <w:rsid w:val="00D7425A"/>
    <w:rsid w:val="00D7455F"/>
    <w:rsid w:val="00D7493D"/>
    <w:rsid w:val="00D74F7E"/>
    <w:rsid w:val="00D7695F"/>
    <w:rsid w:val="00D76F06"/>
    <w:rsid w:val="00D81226"/>
    <w:rsid w:val="00D82F2C"/>
    <w:rsid w:val="00D86337"/>
    <w:rsid w:val="00D9039B"/>
    <w:rsid w:val="00D90F1E"/>
    <w:rsid w:val="00D9130F"/>
    <w:rsid w:val="00D91798"/>
    <w:rsid w:val="00D93582"/>
    <w:rsid w:val="00D9727F"/>
    <w:rsid w:val="00DA040F"/>
    <w:rsid w:val="00DA0A2F"/>
    <w:rsid w:val="00DA313C"/>
    <w:rsid w:val="00DA41A2"/>
    <w:rsid w:val="00DA43A1"/>
    <w:rsid w:val="00DA5E1D"/>
    <w:rsid w:val="00DA7CA2"/>
    <w:rsid w:val="00DB2112"/>
    <w:rsid w:val="00DB44A3"/>
    <w:rsid w:val="00DC4F43"/>
    <w:rsid w:val="00DD0DDE"/>
    <w:rsid w:val="00DD2E93"/>
    <w:rsid w:val="00DD3F74"/>
    <w:rsid w:val="00DD46AD"/>
    <w:rsid w:val="00DD721E"/>
    <w:rsid w:val="00DE3330"/>
    <w:rsid w:val="00DE33AF"/>
    <w:rsid w:val="00DE5298"/>
    <w:rsid w:val="00DE5CEB"/>
    <w:rsid w:val="00DE63EF"/>
    <w:rsid w:val="00DE6D90"/>
    <w:rsid w:val="00DE75ED"/>
    <w:rsid w:val="00DF002F"/>
    <w:rsid w:val="00DF1E77"/>
    <w:rsid w:val="00DF5828"/>
    <w:rsid w:val="00E004C3"/>
    <w:rsid w:val="00E0244D"/>
    <w:rsid w:val="00E026DF"/>
    <w:rsid w:val="00E02F48"/>
    <w:rsid w:val="00E03712"/>
    <w:rsid w:val="00E06B3F"/>
    <w:rsid w:val="00E07088"/>
    <w:rsid w:val="00E10A73"/>
    <w:rsid w:val="00E11EDB"/>
    <w:rsid w:val="00E11FFC"/>
    <w:rsid w:val="00E126CD"/>
    <w:rsid w:val="00E14F27"/>
    <w:rsid w:val="00E171D2"/>
    <w:rsid w:val="00E205F8"/>
    <w:rsid w:val="00E23656"/>
    <w:rsid w:val="00E23974"/>
    <w:rsid w:val="00E25534"/>
    <w:rsid w:val="00E27F4A"/>
    <w:rsid w:val="00E317F5"/>
    <w:rsid w:val="00E319B6"/>
    <w:rsid w:val="00E32145"/>
    <w:rsid w:val="00E32195"/>
    <w:rsid w:val="00E32F5A"/>
    <w:rsid w:val="00E34B20"/>
    <w:rsid w:val="00E44C43"/>
    <w:rsid w:val="00E45283"/>
    <w:rsid w:val="00E510F3"/>
    <w:rsid w:val="00E55B35"/>
    <w:rsid w:val="00E566FE"/>
    <w:rsid w:val="00E60012"/>
    <w:rsid w:val="00E616D1"/>
    <w:rsid w:val="00E62CFF"/>
    <w:rsid w:val="00E64F97"/>
    <w:rsid w:val="00E665EE"/>
    <w:rsid w:val="00E67641"/>
    <w:rsid w:val="00E6798B"/>
    <w:rsid w:val="00E679AE"/>
    <w:rsid w:val="00E71570"/>
    <w:rsid w:val="00E73B13"/>
    <w:rsid w:val="00E75C58"/>
    <w:rsid w:val="00E76819"/>
    <w:rsid w:val="00E76898"/>
    <w:rsid w:val="00E77613"/>
    <w:rsid w:val="00E77BC4"/>
    <w:rsid w:val="00E80C98"/>
    <w:rsid w:val="00E81E94"/>
    <w:rsid w:val="00E82607"/>
    <w:rsid w:val="00E84A82"/>
    <w:rsid w:val="00E85025"/>
    <w:rsid w:val="00E85BD9"/>
    <w:rsid w:val="00E94611"/>
    <w:rsid w:val="00E9483E"/>
    <w:rsid w:val="00E94A0B"/>
    <w:rsid w:val="00E958B4"/>
    <w:rsid w:val="00E96710"/>
    <w:rsid w:val="00EA0A22"/>
    <w:rsid w:val="00EA134D"/>
    <w:rsid w:val="00EA3B1D"/>
    <w:rsid w:val="00EA601D"/>
    <w:rsid w:val="00EA6159"/>
    <w:rsid w:val="00EA799E"/>
    <w:rsid w:val="00EB527C"/>
    <w:rsid w:val="00EB5559"/>
    <w:rsid w:val="00EB72EF"/>
    <w:rsid w:val="00EB77B9"/>
    <w:rsid w:val="00EB7D07"/>
    <w:rsid w:val="00EC0727"/>
    <w:rsid w:val="00EC243F"/>
    <w:rsid w:val="00EC30F3"/>
    <w:rsid w:val="00EC4088"/>
    <w:rsid w:val="00EC70D1"/>
    <w:rsid w:val="00EC7CB9"/>
    <w:rsid w:val="00ED33B3"/>
    <w:rsid w:val="00ED3A26"/>
    <w:rsid w:val="00ED3EF9"/>
    <w:rsid w:val="00ED4B7B"/>
    <w:rsid w:val="00ED5BF0"/>
    <w:rsid w:val="00EE366F"/>
    <w:rsid w:val="00EE4183"/>
    <w:rsid w:val="00EF1047"/>
    <w:rsid w:val="00EF1B79"/>
    <w:rsid w:val="00EF3199"/>
    <w:rsid w:val="00EF4BD1"/>
    <w:rsid w:val="00EF70B7"/>
    <w:rsid w:val="00EF70BB"/>
    <w:rsid w:val="00EF7D4B"/>
    <w:rsid w:val="00F01C2A"/>
    <w:rsid w:val="00F02D74"/>
    <w:rsid w:val="00F02FA9"/>
    <w:rsid w:val="00F06660"/>
    <w:rsid w:val="00F116EB"/>
    <w:rsid w:val="00F1794E"/>
    <w:rsid w:val="00F211AF"/>
    <w:rsid w:val="00F25EC3"/>
    <w:rsid w:val="00F268AA"/>
    <w:rsid w:val="00F30A0B"/>
    <w:rsid w:val="00F313C4"/>
    <w:rsid w:val="00F322ED"/>
    <w:rsid w:val="00F32A7E"/>
    <w:rsid w:val="00F32ADB"/>
    <w:rsid w:val="00F32C98"/>
    <w:rsid w:val="00F34BEC"/>
    <w:rsid w:val="00F37E12"/>
    <w:rsid w:val="00F424BD"/>
    <w:rsid w:val="00F47F50"/>
    <w:rsid w:val="00F515AD"/>
    <w:rsid w:val="00F57DD7"/>
    <w:rsid w:val="00F6298D"/>
    <w:rsid w:val="00F62D73"/>
    <w:rsid w:val="00F6363D"/>
    <w:rsid w:val="00F636AD"/>
    <w:rsid w:val="00F7081D"/>
    <w:rsid w:val="00F72184"/>
    <w:rsid w:val="00F72B88"/>
    <w:rsid w:val="00F73124"/>
    <w:rsid w:val="00F734D9"/>
    <w:rsid w:val="00F73F83"/>
    <w:rsid w:val="00F74902"/>
    <w:rsid w:val="00F75735"/>
    <w:rsid w:val="00F82D24"/>
    <w:rsid w:val="00F844E3"/>
    <w:rsid w:val="00F84D8F"/>
    <w:rsid w:val="00F85A4E"/>
    <w:rsid w:val="00F905D8"/>
    <w:rsid w:val="00F90EEC"/>
    <w:rsid w:val="00F91E66"/>
    <w:rsid w:val="00F920DB"/>
    <w:rsid w:val="00F9353A"/>
    <w:rsid w:val="00F93CE1"/>
    <w:rsid w:val="00F96260"/>
    <w:rsid w:val="00F965C2"/>
    <w:rsid w:val="00FA27D4"/>
    <w:rsid w:val="00FA30D4"/>
    <w:rsid w:val="00FA3492"/>
    <w:rsid w:val="00FA46E8"/>
    <w:rsid w:val="00FA5A79"/>
    <w:rsid w:val="00FB0BFE"/>
    <w:rsid w:val="00FB2969"/>
    <w:rsid w:val="00FB4300"/>
    <w:rsid w:val="00FB4C51"/>
    <w:rsid w:val="00FB5EEA"/>
    <w:rsid w:val="00FB68C8"/>
    <w:rsid w:val="00FB68D4"/>
    <w:rsid w:val="00FB734D"/>
    <w:rsid w:val="00FC2723"/>
    <w:rsid w:val="00FC4E24"/>
    <w:rsid w:val="00FC50EA"/>
    <w:rsid w:val="00FC63DF"/>
    <w:rsid w:val="00FD02A2"/>
    <w:rsid w:val="00FD3188"/>
    <w:rsid w:val="00FD5D2B"/>
    <w:rsid w:val="00FD5E64"/>
    <w:rsid w:val="00FD75B7"/>
    <w:rsid w:val="00FD7985"/>
    <w:rsid w:val="00FE0A40"/>
    <w:rsid w:val="00FE1E51"/>
    <w:rsid w:val="00FE6210"/>
    <w:rsid w:val="00FE6526"/>
    <w:rsid w:val="00FE7484"/>
    <w:rsid w:val="00FF1DBD"/>
    <w:rsid w:val="00FF1E4B"/>
    <w:rsid w:val="00FF26FD"/>
    <w:rsid w:val="00FF2EC0"/>
    <w:rsid w:val="00FF5F5F"/>
    <w:rsid w:val="00FF6E62"/>
    <w:rsid w:val="00FF6F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6B0ED0"/>
  <w15:docId w15:val="{A76FB4AE-2250-4FAC-98F6-1CA56802D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5A8C"/>
    <w:pPr>
      <w:suppressAutoHyphens/>
      <w:spacing w:line="240" w:lineRule="atLeast"/>
    </w:pPr>
    <w:rPr>
      <w:lang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D7F8A"/>
    <w:pPr>
      <w:tabs>
        <w:tab w:val="left" w:pos="1701"/>
        <w:tab w:val="left" w:pos="2268"/>
        <w:tab w:val="left" w:pos="2835"/>
      </w:tabs>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qFormat/>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qFormat/>
    <w:rsid w:val="00D016B5"/>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uiPriority w:val="99"/>
    <w:qFormat/>
    <w:rsid w:val="00D016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rsid w:val="002D781B"/>
    <w:pPr>
      <w:numPr>
        <w:numId w:val="3"/>
      </w:numPr>
      <w:tabs>
        <w:tab w:val="left" w:pos="1701"/>
      </w:tabs>
    </w:pPr>
  </w:style>
  <w:style w:type="character" w:styleId="Lienhypertexte">
    <w:name w:val="Hyperlink"/>
    <w:rsid w:val="00491F39"/>
    <w:rPr>
      <w:color w:val="auto"/>
      <w:u w:val="none"/>
    </w:rPr>
  </w:style>
  <w:style w:type="character" w:styleId="Lienhypertextesuivivisit">
    <w:name w:val="FollowedHyperlink"/>
    <w:semiHidden/>
    <w:rsid w:val="00491F39"/>
    <w:rPr>
      <w:color w:val="auto"/>
      <w:u w:val="none"/>
    </w:rPr>
  </w:style>
  <w:style w:type="character" w:customStyle="1" w:styleId="SingleTxtGChar">
    <w:name w:val="_ Single Txt_G Char"/>
    <w:link w:val="SingleTxtG"/>
    <w:locked/>
    <w:rsid w:val="006571D3"/>
    <w:rPr>
      <w:lang w:eastAsia="en-US"/>
    </w:rPr>
  </w:style>
  <w:style w:type="paragraph" w:styleId="Textedebulles">
    <w:name w:val="Balloon Text"/>
    <w:basedOn w:val="Normal"/>
    <w:link w:val="TextedebullesCar"/>
    <w:rsid w:val="0064289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4289E"/>
    <w:rPr>
      <w:rFonts w:ascii="Tahoma" w:hAnsi="Tahoma" w:cs="Tahoma"/>
      <w:sz w:val="16"/>
      <w:szCs w:val="16"/>
      <w:lang w:eastAsia="en-US"/>
    </w:rPr>
  </w:style>
  <w:style w:type="paragraph" w:customStyle="1" w:styleId="Default">
    <w:name w:val="Default"/>
    <w:rsid w:val="00E32195"/>
    <w:pPr>
      <w:autoSpaceDE w:val="0"/>
      <w:autoSpaceDN w:val="0"/>
      <w:adjustRightInd w:val="0"/>
    </w:pPr>
    <w:rPr>
      <w:rFonts w:eastAsiaTheme="minorHAnsi"/>
      <w:color w:val="000000"/>
      <w:sz w:val="24"/>
      <w:szCs w:val="24"/>
      <w:lang w:val="en-GB" w:eastAsia="en-US"/>
    </w:rPr>
  </w:style>
  <w:style w:type="character" w:customStyle="1" w:styleId="NotedebasdepageCar">
    <w:name w:val="Note de bas de page Car"/>
    <w:aliases w:val="5_G Car"/>
    <w:basedOn w:val="Policepardfaut"/>
    <w:link w:val="Notedebasdepage"/>
    <w:rsid w:val="00E23656"/>
    <w:rPr>
      <w:sz w:val="18"/>
      <w:lang w:eastAsia="en-US"/>
    </w:rPr>
  </w:style>
  <w:style w:type="character" w:customStyle="1" w:styleId="H1GChar">
    <w:name w:val="_ H_1_G Char"/>
    <w:link w:val="H1G"/>
    <w:locked/>
    <w:rsid w:val="000257A4"/>
    <w:rPr>
      <w:b/>
      <w:sz w:val="24"/>
      <w:lang w:eastAsia="en-US"/>
    </w:rPr>
  </w:style>
  <w:style w:type="paragraph" w:styleId="Paragraphedeliste">
    <w:name w:val="List Paragraph"/>
    <w:basedOn w:val="Normal"/>
    <w:uiPriority w:val="34"/>
    <w:qFormat/>
    <w:rsid w:val="00227CCF"/>
    <w:pPr>
      <w:ind w:left="720"/>
      <w:contextualSpacing/>
    </w:pPr>
  </w:style>
  <w:style w:type="character" w:styleId="Mentionnonrsolue">
    <w:name w:val="Unresolved Mention"/>
    <w:basedOn w:val="Policepardfaut"/>
    <w:uiPriority w:val="99"/>
    <w:semiHidden/>
    <w:unhideWhenUsed/>
    <w:rsid w:val="00997AFE"/>
    <w:rPr>
      <w:color w:val="605E5C"/>
      <w:shd w:val="clear" w:color="auto" w:fill="E1DFDD"/>
    </w:rPr>
  </w:style>
  <w:style w:type="paragraph" w:customStyle="1" w:styleId="BodyA">
    <w:name w:val="Body A"/>
    <w:rsid w:val="002F7D33"/>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n-US" w:eastAsia="en-US"/>
    </w:rPr>
  </w:style>
  <w:style w:type="paragraph" w:styleId="Rvision">
    <w:name w:val="Revision"/>
    <w:hidden/>
    <w:uiPriority w:val="99"/>
    <w:semiHidden/>
    <w:rsid w:val="00732218"/>
    <w:rPr>
      <w:lang w:eastAsia="en-US"/>
    </w:rPr>
  </w:style>
  <w:style w:type="character" w:styleId="Marquedecommentaire">
    <w:name w:val="annotation reference"/>
    <w:basedOn w:val="Policepardfaut"/>
    <w:semiHidden/>
    <w:unhideWhenUsed/>
    <w:rsid w:val="00E27F4A"/>
    <w:rPr>
      <w:sz w:val="16"/>
      <w:szCs w:val="16"/>
    </w:rPr>
  </w:style>
  <w:style w:type="paragraph" w:styleId="Commentaire">
    <w:name w:val="annotation text"/>
    <w:basedOn w:val="Normal"/>
    <w:link w:val="CommentaireCar"/>
    <w:semiHidden/>
    <w:unhideWhenUsed/>
    <w:rsid w:val="00E27F4A"/>
    <w:pPr>
      <w:spacing w:line="240" w:lineRule="auto"/>
    </w:pPr>
  </w:style>
  <w:style w:type="character" w:customStyle="1" w:styleId="CommentaireCar">
    <w:name w:val="Commentaire Car"/>
    <w:basedOn w:val="Policepardfaut"/>
    <w:link w:val="Commentaire"/>
    <w:semiHidden/>
    <w:rsid w:val="00E27F4A"/>
    <w:rPr>
      <w:lang w:eastAsia="en-US"/>
    </w:rPr>
  </w:style>
  <w:style w:type="paragraph" w:styleId="Objetducommentaire">
    <w:name w:val="annotation subject"/>
    <w:basedOn w:val="Commentaire"/>
    <w:next w:val="Commentaire"/>
    <w:link w:val="ObjetducommentaireCar"/>
    <w:semiHidden/>
    <w:unhideWhenUsed/>
    <w:rsid w:val="00E27F4A"/>
    <w:rPr>
      <w:b/>
      <w:bCs/>
    </w:rPr>
  </w:style>
  <w:style w:type="character" w:customStyle="1" w:styleId="ObjetducommentaireCar">
    <w:name w:val="Objet du commentaire Car"/>
    <w:basedOn w:val="CommentaireCar"/>
    <w:link w:val="Objetducommentaire"/>
    <w:semiHidden/>
    <w:rsid w:val="00E27F4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MCO/CO/6/Add.1" TargetMode="External"/><Relationship Id="rId13" Type="http://schemas.openxmlformats.org/officeDocument/2006/relationships/hyperlink" Target="http://undocs.org/fr/CERD/C/MCO/CO/6" TargetMode="External"/><Relationship Id="rId18" Type="http://schemas.openxmlformats.org/officeDocument/2006/relationships/hyperlink" Target="http://undocs.org/fr/CERD/C/MCO/CO/6" TargetMode="External"/><Relationship Id="rId3" Type="http://schemas.openxmlformats.org/officeDocument/2006/relationships/hyperlink" Target="http://undocs.org/fr/CERD/C/MCO/7-9" TargetMode="External"/><Relationship Id="rId21" Type="http://schemas.openxmlformats.org/officeDocument/2006/relationships/hyperlink" Target="http://undocs.org/fr/CERD/C/MCO/CO/6" TargetMode="External"/><Relationship Id="rId7" Type="http://schemas.openxmlformats.org/officeDocument/2006/relationships/hyperlink" Target="http://undocs.org/fr/CERD/C/MCO/CO/6" TargetMode="External"/><Relationship Id="rId12" Type="http://schemas.openxmlformats.org/officeDocument/2006/relationships/hyperlink" Target="http://undocs.org/fr/CERD/C/MCO/7-9" TargetMode="External"/><Relationship Id="rId17" Type="http://schemas.openxmlformats.org/officeDocument/2006/relationships/hyperlink" Target="http://undocs.org/fr/CERD/C/MCO/7-9" TargetMode="External"/><Relationship Id="rId2" Type="http://schemas.openxmlformats.org/officeDocument/2006/relationships/hyperlink" Target="http://undocs.org/fr/CERD/C/MCO/CO/6" TargetMode="External"/><Relationship Id="rId16" Type="http://schemas.openxmlformats.org/officeDocument/2006/relationships/hyperlink" Target="http://undocs.org/fr/CERD/C/MCO/7-9" TargetMode="External"/><Relationship Id="rId20" Type="http://schemas.openxmlformats.org/officeDocument/2006/relationships/hyperlink" Target="http://undocs.org/fr/CERD/C/MCO/7-9" TargetMode="External"/><Relationship Id="rId1" Type="http://schemas.openxmlformats.org/officeDocument/2006/relationships/hyperlink" Target="https://documents-dds-ny.un.org/doc/UNDOC/GEN/G10/459/22/PDF/G1045922.pdf?OpenElement" TargetMode="External"/><Relationship Id="rId6" Type="http://schemas.openxmlformats.org/officeDocument/2006/relationships/hyperlink" Target="http://undocs.org/fr/CERD/C/MCO/7-9" TargetMode="External"/><Relationship Id="rId11" Type="http://schemas.openxmlformats.org/officeDocument/2006/relationships/hyperlink" Target="http://undocs.org/fr/CERD/C/MCO/CO/6" TargetMode="External"/><Relationship Id="rId5" Type="http://schemas.openxmlformats.org/officeDocument/2006/relationships/hyperlink" Target="http://undocs.org/fr/CERD/C/MCO/CO/6" TargetMode="External"/><Relationship Id="rId15" Type="http://schemas.openxmlformats.org/officeDocument/2006/relationships/hyperlink" Target="http://undocs.org/fr/CERD/C/MCO/CO/6" TargetMode="External"/><Relationship Id="rId23" Type="http://schemas.openxmlformats.org/officeDocument/2006/relationships/hyperlink" Target="http://undocs.org/fr/CERD/C/MCO/7-9" TargetMode="External"/><Relationship Id="rId10" Type="http://schemas.openxmlformats.org/officeDocument/2006/relationships/hyperlink" Target="http://undocs.org/fr/CERD/C/MCO/7-9" TargetMode="External"/><Relationship Id="rId19" Type="http://schemas.openxmlformats.org/officeDocument/2006/relationships/hyperlink" Target="http://undocs.org/fr/CERD/C/MCO/7-9" TargetMode="External"/><Relationship Id="rId4" Type="http://schemas.openxmlformats.org/officeDocument/2006/relationships/hyperlink" Target="http://undocs.org/fr/CERD/C/MCO/7-9" TargetMode="External"/><Relationship Id="rId9" Type="http://schemas.openxmlformats.org/officeDocument/2006/relationships/hyperlink" Target="http://undocs.org/fr/CERD/C/MCO/7-9" TargetMode="External"/><Relationship Id="rId14" Type="http://schemas.openxmlformats.org/officeDocument/2006/relationships/hyperlink" Target="http://undocs.org/fr/CERD/C/MCO/7-9" TargetMode="External"/><Relationship Id="rId22" Type="http://schemas.openxmlformats.org/officeDocument/2006/relationships/hyperlink" Target="http://undocs.org/fr/CERD/C/MCO/7-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2024-05-06T18:50:13+00:00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4E663-1D03-4DD9-B59A-F49F930483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C17891-D0AF-4447-9459-872A3D795183}">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3.xml><?xml version="1.0" encoding="utf-8"?>
<ds:datastoreItem xmlns:ds="http://schemas.openxmlformats.org/officeDocument/2006/customXml" ds:itemID="{D4DB4812-FCDA-4083-9176-DABB724873EA}">
  <ds:schemaRefs>
    <ds:schemaRef ds:uri="http://schemas.microsoft.com/sharepoint/v3/contenttype/forms"/>
  </ds:schemaRefs>
</ds:datastoreItem>
</file>

<file path=customXml/itemProps4.xml><?xml version="1.0" encoding="utf-8"?>
<ds:datastoreItem xmlns:ds="http://schemas.openxmlformats.org/officeDocument/2006/customXml" ds:itemID="{01EECEC4-8B6D-469C-98CB-4085A3EDC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1967</Words>
  <Characters>11276</Characters>
  <Application>Microsoft Office Word</Application>
  <DocSecurity>0</DocSecurity>
  <Lines>176</Lines>
  <Paragraphs>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CSD</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CERD/C/MCO/Q/7-9</dc:title>
  <dc:subject>FINAL</dc:subject>
  <dc:creator>Dariche</dc:creator>
  <cp:keywords/>
  <cp:lastModifiedBy>Sandrine CLERE</cp:lastModifiedBy>
  <cp:revision>2</cp:revision>
  <cp:lastPrinted>2013-10-22T07:31:00Z</cp:lastPrinted>
  <dcterms:created xsi:type="dcterms:W3CDTF">2024-10-07T11:02:00Z</dcterms:created>
  <dcterms:modified xsi:type="dcterms:W3CDTF">2024-10-07T11:02:00Z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Order">
    <vt:r8>100</vt:r8>
  </property>
  <property fmtid="{D5CDD505-2E9C-101B-9397-08002B2CF9AE}" pid="4" name="MediaServiceImageTags">
    <vt:lpwstr/>
  </property>
</Properties>
</file>