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070BB0EC" w:rsidR="00446DE4" w:rsidRPr="00DE3EC0" w:rsidRDefault="004A3CF0" w:rsidP="009C5EFD">
            <w:pPr>
              <w:jc w:val="right"/>
            </w:pPr>
            <w:r w:rsidRPr="004A3CF0">
              <w:rPr>
                <w:sz w:val="40"/>
              </w:rPr>
              <w:t>A</w:t>
            </w:r>
            <w:r>
              <w:t>/HRC/</w:t>
            </w:r>
            <w:r w:rsidR="001317FE">
              <w:t>RES/</w:t>
            </w:r>
            <w:r w:rsidR="00530EB1">
              <w:t>60</w:t>
            </w:r>
            <w:r>
              <w:t>/</w:t>
            </w:r>
            <w:r w:rsidR="0060620C">
              <w:t>7</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668F112B" w:rsidR="003107FA" w:rsidRDefault="004A3CF0" w:rsidP="004A3CF0">
            <w:pPr>
              <w:spacing w:before="240" w:line="240" w:lineRule="exact"/>
            </w:pPr>
            <w:r>
              <w:t xml:space="preserve">Distr.: </w:t>
            </w:r>
            <w:r w:rsidR="0060620C">
              <w:t>General</w:t>
            </w:r>
          </w:p>
          <w:p w14:paraId="11704512" w14:textId="2988378F" w:rsidR="004A3CF0" w:rsidRDefault="000B5326" w:rsidP="004A3CF0">
            <w:pPr>
              <w:spacing w:line="240" w:lineRule="exact"/>
            </w:pPr>
            <w:r>
              <w:t>7</w:t>
            </w:r>
            <w:r w:rsidR="00FD0B95">
              <w:t xml:space="preserve"> October</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Pr>
          <w:color w:val="000000"/>
        </w:rPr>
        <w:t>8</w:t>
      </w:r>
      <w:r w:rsidR="008B2649">
        <w:rPr>
          <w:color w:val="000000"/>
        </w:rPr>
        <w:t xml:space="preserve"> </w:t>
      </w:r>
      <w:r>
        <w:rPr>
          <w:color w:val="000000"/>
        </w:rPr>
        <w:t>September</w:t>
      </w:r>
      <w:r w:rsidR="00E81E48">
        <w:rPr>
          <w:color w:val="000000"/>
        </w:rPr>
        <w:t>–</w:t>
      </w:r>
      <w:r>
        <w:rPr>
          <w:color w:val="000000"/>
        </w:rPr>
        <w:t>8</w:t>
      </w:r>
      <w:r w:rsidR="008B2649">
        <w:rPr>
          <w:color w:val="000000"/>
        </w:rPr>
        <w:t xml:space="preserve"> </w:t>
      </w:r>
      <w:r>
        <w:rPr>
          <w:color w:val="000000"/>
        </w:rPr>
        <w:t>October</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35100416" w:rsidR="004A3CF0" w:rsidRPr="004A3CF0" w:rsidRDefault="004A3CF0" w:rsidP="00F5520A">
      <w:pPr>
        <w:pStyle w:val="HChG"/>
      </w:pPr>
      <w:r w:rsidRPr="004A3CF0">
        <w:tab/>
      </w:r>
      <w:r w:rsidRPr="004A3CF0">
        <w:tab/>
      </w:r>
      <w:r w:rsidR="00FD0B95">
        <w:t>R</w:t>
      </w:r>
      <w:r w:rsidRPr="004A3CF0">
        <w:t>esolution</w:t>
      </w:r>
      <w:r w:rsidR="00FD0B95">
        <w:t xml:space="preserve"> adopted by the Human Rights Council </w:t>
      </w:r>
      <w:r w:rsidR="00FD0B95">
        <w:br/>
        <w:t>on 6 October 2025</w:t>
      </w:r>
    </w:p>
    <w:p w14:paraId="2BE544D8" w14:textId="42799808" w:rsidR="004A3CF0" w:rsidRPr="004A3CF0" w:rsidRDefault="00530EB1" w:rsidP="00F5520A">
      <w:pPr>
        <w:keepNext/>
        <w:keepLines/>
        <w:spacing w:before="360" w:after="240" w:line="270" w:lineRule="exact"/>
        <w:ind w:left="1134" w:right="1134" w:hanging="850"/>
        <w:rPr>
          <w:b/>
          <w:sz w:val="24"/>
        </w:rPr>
      </w:pPr>
      <w:r>
        <w:rPr>
          <w:b/>
          <w:sz w:val="24"/>
        </w:rPr>
        <w:t>60</w:t>
      </w:r>
      <w:r w:rsidR="004A3CF0" w:rsidRPr="004A3CF0">
        <w:rPr>
          <w:b/>
          <w:sz w:val="24"/>
        </w:rPr>
        <w:t>/</w:t>
      </w:r>
      <w:r w:rsidR="00FD0B95">
        <w:rPr>
          <w:b/>
          <w:sz w:val="24"/>
        </w:rPr>
        <w:t>7.</w:t>
      </w:r>
      <w:r w:rsidR="004A3CF0" w:rsidRPr="004A3CF0">
        <w:rPr>
          <w:b/>
          <w:sz w:val="24"/>
        </w:rPr>
        <w:tab/>
      </w:r>
      <w:r w:rsidR="00F47CBE" w:rsidRPr="00F47CBE">
        <w:rPr>
          <w:b/>
          <w:bCs/>
          <w:sz w:val="24"/>
        </w:rPr>
        <w:t>The right to development</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5FC51F66" w14:textId="77777777" w:rsidR="00CF0C0F" w:rsidRPr="00CF0C0F" w:rsidRDefault="00CF0C0F" w:rsidP="00CF0C0F">
      <w:pPr>
        <w:pStyle w:val="SingleTxtG"/>
        <w:ind w:firstLine="567"/>
      </w:pPr>
      <w:r w:rsidRPr="00CF0C0F">
        <w:rPr>
          <w:i/>
          <w:iCs/>
        </w:rPr>
        <w:t>Recalling</w:t>
      </w:r>
      <w:r w:rsidRPr="00CF0C0F">
        <w:t xml:space="preserve"> the Charter of the United Nations and the core human rights instruments,</w:t>
      </w:r>
    </w:p>
    <w:p w14:paraId="285263DF" w14:textId="77777777" w:rsidR="00CF0C0F" w:rsidRPr="00CF0C0F" w:rsidRDefault="00CF0C0F" w:rsidP="00CF0C0F">
      <w:pPr>
        <w:pStyle w:val="SingleTxtG"/>
      </w:pPr>
      <w:r w:rsidRPr="00CF0C0F">
        <w:tab/>
      </w:r>
      <w:r w:rsidRPr="00CF0C0F">
        <w:tab/>
      </w:r>
      <w:r w:rsidRPr="00CF0C0F">
        <w:rPr>
          <w:i/>
          <w:iCs/>
        </w:rPr>
        <w:t>Reaffirming</w:t>
      </w:r>
      <w:r w:rsidRPr="00CF0C0F">
        <w:t xml:space="preserve"> the Declaration on the Right to Development, adopted by the General Assembly in its resolution 41/128 of 4 December 1986,</w:t>
      </w:r>
    </w:p>
    <w:p w14:paraId="7BCE375A" w14:textId="77777777" w:rsidR="00CF0C0F" w:rsidRPr="00CF0C0F" w:rsidRDefault="00CF0C0F" w:rsidP="00CF0C0F">
      <w:pPr>
        <w:pStyle w:val="SingleTxtG"/>
      </w:pPr>
      <w:r w:rsidRPr="00CF0C0F">
        <w:tab/>
      </w:r>
      <w:r w:rsidRPr="00CF0C0F">
        <w:tab/>
      </w:r>
      <w:r w:rsidRPr="00CF0C0F">
        <w:rPr>
          <w:i/>
          <w:iCs/>
        </w:rPr>
        <w:t>Reiterating</w:t>
      </w:r>
      <w:r w:rsidRPr="00CF0C0F">
        <w:t xml:space="preserve"> the Vienna Declaration and Programme of Action, which reaffirms the right to development as a universal and inalienable right and an integral part of fundamental human rights,</w:t>
      </w:r>
    </w:p>
    <w:p w14:paraId="312E73A1" w14:textId="033349AC" w:rsidR="00CF0C0F" w:rsidRPr="00CF0C0F" w:rsidRDefault="00CF0C0F" w:rsidP="00CF0C0F">
      <w:pPr>
        <w:pStyle w:val="SingleTxtG"/>
        <w:rPr>
          <w:bCs/>
        </w:rPr>
      </w:pPr>
      <w:r w:rsidRPr="00CF0C0F">
        <w:tab/>
      </w:r>
      <w:r w:rsidRPr="00CF0C0F">
        <w:tab/>
      </w:r>
      <w:r w:rsidRPr="00CF0C0F">
        <w:rPr>
          <w:i/>
          <w:iCs/>
        </w:rPr>
        <w:t>Reaffirming</w:t>
      </w:r>
      <w:r w:rsidRPr="00CF0C0F">
        <w:t xml:space="preserve"> Human Rights Council resolutions 4/4 of 30 March 2007 and 9/3 of 17 September 2008, recalling all Commission on Human Rights resolutions on the right to development, including resolutions 1998/72 of 22 April 1998 and 2004/7 of 13 April 2004 in support of the implementation of the right to development, and recalling also all General Assembly and Council resolutions on the right to development, the most recent being Assembly resolution </w:t>
      </w:r>
      <w:r w:rsidRPr="00CF0C0F">
        <w:rPr>
          <w:bCs/>
        </w:rPr>
        <w:t xml:space="preserve">79/170 of 19 December 2024 </w:t>
      </w:r>
      <w:r w:rsidRPr="00CF0C0F">
        <w:t xml:space="preserve">and Council resolution </w:t>
      </w:r>
      <w:r w:rsidRPr="00CF0C0F">
        <w:rPr>
          <w:bCs/>
        </w:rPr>
        <w:t>57/19 of 1</w:t>
      </w:r>
      <w:r w:rsidR="003A0E2D">
        <w:rPr>
          <w:bCs/>
        </w:rPr>
        <w:t>0</w:t>
      </w:r>
      <w:r w:rsidRPr="00CF0C0F">
        <w:rPr>
          <w:bCs/>
        </w:rPr>
        <w:t xml:space="preserve"> October 2024,</w:t>
      </w:r>
    </w:p>
    <w:p w14:paraId="5E16ABBF" w14:textId="77777777" w:rsidR="00CF0C0F" w:rsidRPr="00CF0C0F" w:rsidRDefault="00CF0C0F" w:rsidP="00CF0C0F">
      <w:pPr>
        <w:pStyle w:val="SingleTxtG"/>
      </w:pPr>
      <w:r w:rsidRPr="00CF0C0F">
        <w:rPr>
          <w:iCs/>
        </w:rPr>
        <w:tab/>
      </w:r>
      <w:r w:rsidRPr="00CF0C0F">
        <w:rPr>
          <w:iCs/>
        </w:rPr>
        <w:tab/>
      </w:r>
      <w:r w:rsidRPr="00CF0C0F">
        <w:rPr>
          <w:i/>
        </w:rPr>
        <w:t>Recalling</w:t>
      </w:r>
      <w:r w:rsidRPr="00CF0C0F">
        <w:rPr>
          <w:iCs/>
        </w:rPr>
        <w:t xml:space="preserve"> </w:t>
      </w:r>
      <w:r w:rsidRPr="00CF0C0F">
        <w:t>the adoption of Human Rights Council resolution 49/8 of 31 March 2022 on the commemoration of the thirty-fifth anniversary of the Declaration on the Right to Development,</w:t>
      </w:r>
    </w:p>
    <w:p w14:paraId="26C7AA6F" w14:textId="23BFCCBD" w:rsidR="00CF0C0F" w:rsidRPr="00CF0C0F" w:rsidRDefault="00CF0C0F" w:rsidP="00CF0C0F">
      <w:pPr>
        <w:pStyle w:val="SingleTxtG"/>
      </w:pPr>
      <w:r w:rsidRPr="00CF0C0F">
        <w:tab/>
      </w:r>
      <w:r w:rsidRPr="00CF0C0F">
        <w:tab/>
      </w:r>
      <w:r w:rsidRPr="00CF0C0F">
        <w:rPr>
          <w:i/>
          <w:iCs/>
        </w:rPr>
        <w:t>Recalling also</w:t>
      </w:r>
      <w:r w:rsidRPr="00CF0C0F">
        <w:t xml:space="preserve"> the outcome document of the second </w:t>
      </w:r>
      <w:bookmarkStart w:id="0" w:name="_Hlk45663835"/>
      <w:bookmarkStart w:id="1" w:name="OLE_LINK1"/>
      <w:r w:rsidRPr="00CF0C0F">
        <w:t>High-level United Nations Conference on South-South Cooperation</w:t>
      </w:r>
      <w:bookmarkEnd w:id="0"/>
      <w:bookmarkEnd w:id="1"/>
      <w:r w:rsidRPr="00CF0C0F">
        <w:t>, held in Buenos Aires from 20 to 22 March 2019,</w:t>
      </w:r>
      <w:r w:rsidR="001C2B74">
        <w:rPr>
          <w:rStyle w:val="FootnoteReference"/>
        </w:rPr>
        <w:footnoteReference w:id="2"/>
      </w:r>
    </w:p>
    <w:p w14:paraId="54E23B51" w14:textId="7DF936FB" w:rsidR="00CF0C0F" w:rsidRPr="00CF0C0F" w:rsidRDefault="00CF0C0F" w:rsidP="00CF0C0F">
      <w:pPr>
        <w:pStyle w:val="SingleTxtG"/>
      </w:pPr>
      <w:r w:rsidRPr="00CF0C0F">
        <w:tab/>
      </w:r>
      <w:r w:rsidRPr="00CF0C0F">
        <w:tab/>
      </w:r>
      <w:r w:rsidRPr="00CF0C0F">
        <w:rPr>
          <w:i/>
          <w:iCs/>
        </w:rPr>
        <w:t>Recalling</w:t>
      </w:r>
      <w:r w:rsidR="00B95B77">
        <w:rPr>
          <w:i/>
          <w:iCs/>
        </w:rPr>
        <w:t xml:space="preserve"> further</w:t>
      </w:r>
      <w:r w:rsidRPr="00CF0C0F">
        <w:rPr>
          <w:i/>
          <w:iCs/>
        </w:rPr>
        <w:t xml:space="preserve"> </w:t>
      </w:r>
      <w:r w:rsidRPr="00CF0C0F">
        <w:t>the final outcome document adopted at the Nineteenth Summit of Heads of State and Government of the Movement of Non-Aligned Countries, held in Kampala on 19 and 20 January 2024, in</w:t>
      </w:r>
      <w:r w:rsidRPr="00CF0C0F">
        <w:rPr>
          <w:b/>
        </w:rPr>
        <w:t xml:space="preserve"> </w:t>
      </w:r>
      <w:r w:rsidRPr="00CF0C0F">
        <w:t>which the States members of the Movement of Non-Aligned Countries stressed the need to operationalize the right to development as a priority, including through the elaboration of a legally binding instrument on the right to development by the relevant machinery, taking into account the recommendations of relevant initiatives,</w:t>
      </w:r>
    </w:p>
    <w:p w14:paraId="060A67D9" w14:textId="056D737E" w:rsidR="00CF0C0F" w:rsidRPr="00CF0C0F" w:rsidRDefault="00CF0C0F" w:rsidP="00CF0C0F">
      <w:pPr>
        <w:pStyle w:val="SingleTxtG"/>
        <w:rPr>
          <w:bCs/>
        </w:rPr>
      </w:pPr>
      <w:r w:rsidRPr="00CF0C0F">
        <w:tab/>
      </w:r>
      <w:r w:rsidRPr="00CF0C0F">
        <w:tab/>
      </w:r>
      <w:r w:rsidRPr="00CF0C0F">
        <w:rPr>
          <w:bCs/>
          <w:i/>
          <w:iCs/>
        </w:rPr>
        <w:t xml:space="preserve">Recalling </w:t>
      </w:r>
      <w:r w:rsidRPr="00CF0C0F">
        <w:rPr>
          <w:bCs/>
        </w:rPr>
        <w:t xml:space="preserve">the final outcome document adopted at the </w:t>
      </w:r>
      <w:bookmarkStart w:id="2" w:name="OLE_LINK120"/>
      <w:bookmarkStart w:id="3" w:name="OLE_LINK121"/>
      <w:bookmarkStart w:id="4" w:name="OLE_LINK4"/>
      <w:r w:rsidRPr="00CF0C0F">
        <w:rPr>
          <w:bCs/>
        </w:rPr>
        <w:t>Ministerial Meeting of the Coordinating Bureau of the Movement of Non-Aligned Countries</w:t>
      </w:r>
      <w:bookmarkEnd w:id="2"/>
      <w:bookmarkEnd w:id="3"/>
      <w:bookmarkEnd w:id="4"/>
      <w:r w:rsidRPr="00CF0C0F">
        <w:rPr>
          <w:bCs/>
        </w:rPr>
        <w:t xml:space="preserve">, held in Kampala on 17 </w:t>
      </w:r>
      <w:r w:rsidRPr="00CF0C0F">
        <w:rPr>
          <w:bCs/>
        </w:rPr>
        <w:lastRenderedPageBreak/>
        <w:t>and 18 January 2024, in which the Ministers of Foreign Affairs of States members of the Movement of Non-Aligned Countries strongly encouraged the continuation of support in forwarding the draft legally binding instrument to the General Assembly,</w:t>
      </w:r>
    </w:p>
    <w:p w14:paraId="583EA601" w14:textId="77777777" w:rsidR="00CF0C0F" w:rsidRPr="00CF0C0F" w:rsidRDefault="00CF0C0F" w:rsidP="00CF0C0F">
      <w:pPr>
        <w:pStyle w:val="SingleTxtG"/>
      </w:pPr>
      <w:r w:rsidRPr="00CF0C0F">
        <w:tab/>
      </w:r>
      <w:r w:rsidRPr="00CF0C0F">
        <w:tab/>
      </w:r>
      <w:r w:rsidRPr="00CF0C0F">
        <w:rPr>
          <w:i/>
          <w:iCs/>
        </w:rPr>
        <w:t>Emphasizing</w:t>
      </w:r>
      <w:r w:rsidRPr="00CF0C0F">
        <w:t xml:space="preserve"> the urgent need to make the right to development a reality for everyone,</w:t>
      </w:r>
    </w:p>
    <w:p w14:paraId="76735AB6" w14:textId="77777777" w:rsidR="00CF0C0F" w:rsidRPr="00CF0C0F" w:rsidRDefault="00CF0C0F" w:rsidP="001C2B74">
      <w:pPr>
        <w:pStyle w:val="SingleTxtG"/>
        <w:ind w:firstLine="567"/>
      </w:pPr>
      <w:r w:rsidRPr="00CF0C0F">
        <w:rPr>
          <w:i/>
          <w:iCs/>
        </w:rPr>
        <w:t xml:space="preserve">Stressing </w:t>
      </w:r>
      <w:r w:rsidRPr="00CF0C0F">
        <w:t>that South-South cooperation is a complement to North-South cooperation, and should therefore not result in the reduction of North-South cooperation or hamper progress in fulfilling existing official development assistance commitments,</w:t>
      </w:r>
    </w:p>
    <w:p w14:paraId="426BFCF7" w14:textId="77777777" w:rsidR="00CF0C0F" w:rsidRPr="00CF0C0F" w:rsidRDefault="00CF0C0F" w:rsidP="00CF0C0F">
      <w:pPr>
        <w:pStyle w:val="SingleTxtG"/>
      </w:pPr>
      <w:r w:rsidRPr="00CF0C0F">
        <w:tab/>
      </w:r>
      <w:r w:rsidRPr="00CF0C0F">
        <w:tab/>
      </w:r>
      <w:r w:rsidRPr="00CF0C0F">
        <w:rPr>
          <w:i/>
          <w:iCs/>
        </w:rPr>
        <w:t xml:space="preserve">Emphasizing </w:t>
      </w:r>
      <w:r w:rsidRPr="00CF0C0F">
        <w:t>that all human rights and fundamental freedoms, including the right to development, are universal, indivisible, interdependent, interrelated and mutually reinforcing,</w:t>
      </w:r>
    </w:p>
    <w:p w14:paraId="43D46B85" w14:textId="77777777" w:rsidR="00CF0C0F" w:rsidRPr="00CF0C0F" w:rsidRDefault="00CF0C0F" w:rsidP="00CF0C0F">
      <w:pPr>
        <w:pStyle w:val="SingleTxtG"/>
      </w:pPr>
      <w:r w:rsidRPr="00CF0C0F">
        <w:tab/>
      </w:r>
      <w:r w:rsidRPr="00CF0C0F">
        <w:tab/>
      </w:r>
      <w:r w:rsidRPr="00CF0C0F">
        <w:rPr>
          <w:i/>
          <w:iCs/>
        </w:rPr>
        <w:t>Emphasizing also</w:t>
      </w:r>
      <w:r w:rsidRPr="00CF0C0F">
        <w:t xml:space="preserve"> </w:t>
      </w:r>
      <w:r w:rsidRPr="00CF0C0F">
        <w:rPr>
          <w:bCs/>
        </w:rPr>
        <w:t>th</w:t>
      </w:r>
      <w:r w:rsidRPr="00CF0C0F">
        <w:t>at all human rights and fundamental freedoms, including the right to development, can only be enjoyed in an inclusive and collaborative framework at the international, regional and national levels, and in this regard underlining the importance of engaging the United Nations system, including United Nations specialized agencies, funds and programmes, within their respective mandates, relevant international organizations, including financial and trade organizations, and relevant stakeholders, including civil society organizations, development practitioners, human rights experts and the public at all levels, in discussions on the right to development,</w:t>
      </w:r>
    </w:p>
    <w:p w14:paraId="472D9459" w14:textId="77777777" w:rsidR="00CF0C0F" w:rsidRPr="00CF0C0F" w:rsidRDefault="00CF0C0F" w:rsidP="00CF0C0F">
      <w:pPr>
        <w:pStyle w:val="SingleTxtG"/>
      </w:pPr>
      <w:r w:rsidRPr="00CF0C0F">
        <w:tab/>
      </w:r>
      <w:r w:rsidRPr="00CF0C0F">
        <w:tab/>
      </w:r>
      <w:r w:rsidRPr="00CF0C0F">
        <w:rPr>
          <w:i/>
          <w:iCs/>
        </w:rPr>
        <w:t>Noting</w:t>
      </w:r>
      <w:r w:rsidRPr="00CF0C0F">
        <w:t xml:space="preserve"> the commitment declared by a number of United Nations specialized agencies, funds and programmes and other international organizations to make the right to development a reality for all, and in this regard urging all relevant bodies of the United Nations system and other international organizations to mainstream the right to development alongside all other human rights into their objectives, policies, programmes and operational activities, and into development and development-related processes,</w:t>
      </w:r>
    </w:p>
    <w:p w14:paraId="3AA0FBAA" w14:textId="77777777" w:rsidR="00CF0C0F" w:rsidRPr="00CF0C0F" w:rsidRDefault="00CF0C0F" w:rsidP="00CF0C0F">
      <w:pPr>
        <w:pStyle w:val="SingleTxtG"/>
      </w:pPr>
      <w:r w:rsidRPr="00CF0C0F">
        <w:tab/>
      </w:r>
      <w:r w:rsidRPr="00CF0C0F">
        <w:tab/>
      </w:r>
      <w:r w:rsidRPr="00CF0C0F">
        <w:rPr>
          <w:i/>
          <w:iCs/>
        </w:rPr>
        <w:t>Acknowledging</w:t>
      </w:r>
      <w:r w:rsidRPr="00CF0C0F">
        <w:t xml:space="preserve"> the need for a comprehensive approach to the promotion and protection of all human rights and the </w:t>
      </w:r>
      <w:r w:rsidRPr="00CF0C0F">
        <w:rPr>
          <w:bCs/>
        </w:rPr>
        <w:t>importance</w:t>
      </w:r>
      <w:r w:rsidRPr="00CF0C0F">
        <w:t xml:space="preserve"> of integrating a right to development perspective in a more systemic way into all </w:t>
      </w:r>
      <w:r w:rsidRPr="00CF0C0F">
        <w:rPr>
          <w:bCs/>
        </w:rPr>
        <w:t>relevant</w:t>
      </w:r>
      <w:r w:rsidRPr="00CF0C0F">
        <w:t xml:space="preserve"> aspects of the work of the United Nations system, including the treaty bodies and the Human Rights Council and its mechanisms,</w:t>
      </w:r>
    </w:p>
    <w:p w14:paraId="4CE380B9" w14:textId="77777777" w:rsidR="00CF0C0F" w:rsidRPr="00CF0C0F" w:rsidRDefault="00CF0C0F" w:rsidP="00CF0C0F">
      <w:pPr>
        <w:pStyle w:val="SingleTxtG"/>
      </w:pPr>
      <w:r w:rsidRPr="00CF0C0F">
        <w:tab/>
      </w:r>
      <w:r w:rsidRPr="00CF0C0F">
        <w:tab/>
      </w:r>
      <w:r w:rsidRPr="00CF0C0F">
        <w:rPr>
          <w:i/>
          <w:iCs/>
        </w:rPr>
        <w:t>Stressing</w:t>
      </w:r>
      <w:r w:rsidRPr="00CF0C0F">
        <w:t xml:space="preserve"> that the responsibility for managing worldwide economic and social issues and threats to international peace and security must be shared among the States Members of the United Nations and should be exercised multilaterally, and that in this regard the central role must be played by the United Nations as the most universal and representative international organization in the world,</w:t>
      </w:r>
    </w:p>
    <w:p w14:paraId="4ECE1C7D" w14:textId="5E60F7DF" w:rsidR="00CF0C0F" w:rsidRPr="00CF0C0F" w:rsidRDefault="00CF0C0F" w:rsidP="00DA0116">
      <w:pPr>
        <w:pStyle w:val="SingleTxtG"/>
        <w:ind w:firstLine="567"/>
      </w:pPr>
      <w:r w:rsidRPr="00DA0116">
        <w:rPr>
          <w:i/>
          <w:iCs/>
        </w:rPr>
        <w:t>Emphasizing</w:t>
      </w:r>
      <w:r w:rsidRPr="00CF0C0F">
        <w:t xml:space="preserve"> that peace and security directly inform the enjoyment of all human rights and fundamental freedoms</w:t>
      </w:r>
      <w:r w:rsidR="00CC0EF7">
        <w:t>,</w:t>
      </w:r>
      <w:r w:rsidRPr="00CF0C0F">
        <w:t xml:space="preserve"> including the right to development</w:t>
      </w:r>
      <w:r w:rsidR="00CC0EF7">
        <w:t>,</w:t>
      </w:r>
      <w:r w:rsidRPr="00CF0C0F">
        <w:t xml:space="preserve"> and therefore </w:t>
      </w:r>
      <w:r w:rsidR="00CC0EF7">
        <w:t xml:space="preserve">that </w:t>
      </w:r>
      <w:r w:rsidRPr="00CF0C0F">
        <w:t>attacks on research and development sites undermine national progress towards enabling and enforcing the enjoyment of the right to development</w:t>
      </w:r>
      <w:r w:rsidR="00DA0116">
        <w:t>,</w:t>
      </w:r>
    </w:p>
    <w:p w14:paraId="5427B4BC" w14:textId="55F258F0" w:rsidR="00CF0C0F" w:rsidRPr="00CF0C0F" w:rsidRDefault="00CF0C0F" w:rsidP="00CF0C0F">
      <w:pPr>
        <w:pStyle w:val="SingleTxtG"/>
      </w:pPr>
      <w:r w:rsidRPr="00CF0C0F">
        <w:tab/>
      </w:r>
      <w:r w:rsidRPr="00CF0C0F">
        <w:tab/>
      </w:r>
      <w:r w:rsidRPr="00CF0C0F">
        <w:rPr>
          <w:i/>
          <w:iCs/>
        </w:rPr>
        <w:t xml:space="preserve">Stressing </w:t>
      </w:r>
      <w:r w:rsidRPr="00CF0C0F">
        <w:t>the importance of the 2030 Agenda for Sustainable Development and its means of implementation, and emphasizing that the 2030 Agenda is informed by the Declaration on the Right to Development and that the right to development is vital for the full realization of the 2030 Agenda and should be central to its implementation,</w:t>
      </w:r>
    </w:p>
    <w:p w14:paraId="124D7B86" w14:textId="77777777" w:rsidR="00CF0C0F" w:rsidRPr="00CF0C0F" w:rsidRDefault="00CF0C0F" w:rsidP="00CF0C0F">
      <w:pPr>
        <w:pStyle w:val="SingleTxtG"/>
      </w:pPr>
      <w:r w:rsidRPr="00CF0C0F">
        <w:tab/>
      </w:r>
      <w:r w:rsidRPr="00CF0C0F">
        <w:tab/>
      </w:r>
      <w:r w:rsidRPr="00CF0C0F">
        <w:rPr>
          <w:i/>
          <w:iCs/>
        </w:rPr>
        <w:t>Recognizing</w:t>
      </w:r>
      <w:r w:rsidRPr="00CF0C0F">
        <w:t xml:space="preserve"> that achieving the internationally agreed development goals, including the Sustainable Development Goals, requires effective policy coherence and coordination,</w:t>
      </w:r>
    </w:p>
    <w:p w14:paraId="41887462" w14:textId="211F1D39" w:rsidR="00CF0C0F" w:rsidRPr="00CF0C0F" w:rsidRDefault="00CF0C0F" w:rsidP="00E954EB">
      <w:pPr>
        <w:pStyle w:val="SingleTxtG"/>
        <w:ind w:firstLine="567"/>
      </w:pPr>
      <w:r w:rsidRPr="00E954EB">
        <w:rPr>
          <w:i/>
          <w:iCs/>
          <w:lang w:val="en-US"/>
        </w:rPr>
        <w:t>Emphasizing</w:t>
      </w:r>
      <w:r w:rsidRPr="00CF0C0F">
        <w:rPr>
          <w:lang w:val="en-US"/>
        </w:rPr>
        <w:t xml:space="preserve"> that many countries are experiencing serious gaps in mobilizing or </w:t>
      </w:r>
      <w:r w:rsidR="0067527A">
        <w:rPr>
          <w:lang w:val="en-US"/>
        </w:rPr>
        <w:t xml:space="preserve">having </w:t>
      </w:r>
      <w:r w:rsidRPr="00CF0C0F">
        <w:rPr>
          <w:lang w:val="en-US"/>
        </w:rPr>
        <w:t xml:space="preserve">access </w:t>
      </w:r>
      <w:r w:rsidR="0067527A">
        <w:rPr>
          <w:lang w:val="en-US"/>
        </w:rPr>
        <w:t xml:space="preserve">to </w:t>
      </w:r>
      <w:r w:rsidRPr="00CF0C0F">
        <w:rPr>
          <w:lang w:val="en-US"/>
        </w:rPr>
        <w:t xml:space="preserve">the financial resources </w:t>
      </w:r>
      <w:r w:rsidR="0067527A" w:rsidRPr="00CF0C0F">
        <w:rPr>
          <w:lang w:val="en-US"/>
        </w:rPr>
        <w:t xml:space="preserve">required </w:t>
      </w:r>
      <w:r w:rsidRPr="00CF0C0F">
        <w:rPr>
          <w:lang w:val="en-US"/>
        </w:rPr>
        <w:t xml:space="preserve">to facilitate the achievement of </w:t>
      </w:r>
      <w:r w:rsidR="0067527A">
        <w:rPr>
          <w:lang w:val="en-US"/>
        </w:rPr>
        <w:t>the S</w:t>
      </w:r>
      <w:r w:rsidRPr="00CF0C0F">
        <w:rPr>
          <w:lang w:val="en-US"/>
        </w:rPr>
        <w:t xml:space="preserve">ustainable </w:t>
      </w:r>
      <w:r w:rsidR="0067527A">
        <w:rPr>
          <w:lang w:val="en-US"/>
        </w:rPr>
        <w:t>D</w:t>
      </w:r>
      <w:r w:rsidRPr="00CF0C0F">
        <w:rPr>
          <w:lang w:val="en-US"/>
        </w:rPr>
        <w:t xml:space="preserve">evelopment </w:t>
      </w:r>
      <w:r w:rsidR="0067527A">
        <w:rPr>
          <w:lang w:val="en-US"/>
        </w:rPr>
        <w:t>G</w:t>
      </w:r>
      <w:r w:rsidRPr="00CF0C0F">
        <w:rPr>
          <w:lang w:val="en-US"/>
        </w:rPr>
        <w:t xml:space="preserve">oals at </w:t>
      </w:r>
      <w:r w:rsidR="002B0354">
        <w:rPr>
          <w:lang w:val="en-US"/>
        </w:rPr>
        <w:t xml:space="preserve">the </w:t>
      </w:r>
      <w:r w:rsidRPr="00CF0C0F">
        <w:rPr>
          <w:lang w:val="en-US"/>
        </w:rPr>
        <w:t xml:space="preserve">national level and </w:t>
      </w:r>
      <w:r w:rsidR="002B0354">
        <w:rPr>
          <w:lang w:val="en-US"/>
        </w:rPr>
        <w:t xml:space="preserve">the </w:t>
      </w:r>
      <w:r w:rsidRPr="00CF0C0F">
        <w:rPr>
          <w:lang w:val="en-US"/>
        </w:rPr>
        <w:t>realiz</w:t>
      </w:r>
      <w:r w:rsidR="002B0354">
        <w:rPr>
          <w:lang w:val="en-US"/>
        </w:rPr>
        <w:t>ation of</w:t>
      </w:r>
      <w:r w:rsidRPr="00CF0C0F">
        <w:rPr>
          <w:lang w:val="en-US"/>
        </w:rPr>
        <w:t xml:space="preserve"> the full enjoyment of all human rights, and that the gap between </w:t>
      </w:r>
      <w:r w:rsidR="002B0354" w:rsidRPr="00CF0C0F">
        <w:rPr>
          <w:lang w:val="en-US"/>
        </w:rPr>
        <w:t xml:space="preserve">aspirations </w:t>
      </w:r>
      <w:r w:rsidR="004D3857">
        <w:rPr>
          <w:lang w:val="en-US"/>
        </w:rPr>
        <w:t xml:space="preserve">for </w:t>
      </w:r>
      <w:r w:rsidRPr="00CF0C0F">
        <w:rPr>
          <w:lang w:val="en-US"/>
        </w:rPr>
        <w:t xml:space="preserve">sustainable development and financing to </w:t>
      </w:r>
      <w:r w:rsidR="004D3857">
        <w:rPr>
          <w:lang w:val="en-US"/>
        </w:rPr>
        <w:t>achieve it</w:t>
      </w:r>
      <w:r w:rsidRPr="00CF0C0F">
        <w:rPr>
          <w:lang w:val="en-US"/>
        </w:rPr>
        <w:t xml:space="preserve"> has continued to widen, particularly in developing countries</w:t>
      </w:r>
      <w:r w:rsidR="00E954EB">
        <w:rPr>
          <w:lang w:val="en-US"/>
        </w:rPr>
        <w:t>,</w:t>
      </w:r>
    </w:p>
    <w:p w14:paraId="2AE5AFFD" w14:textId="372C385B" w:rsidR="00CF0C0F" w:rsidRPr="00CF0C0F" w:rsidRDefault="00CF0C0F" w:rsidP="00CF0C0F">
      <w:pPr>
        <w:pStyle w:val="SingleTxtG"/>
      </w:pPr>
      <w:r w:rsidRPr="00CF0C0F">
        <w:tab/>
      </w:r>
      <w:r w:rsidRPr="00CF0C0F">
        <w:tab/>
      </w:r>
      <w:r w:rsidRPr="00CF0C0F">
        <w:rPr>
          <w:i/>
          <w:iCs/>
        </w:rPr>
        <w:t xml:space="preserve">Recognizing </w:t>
      </w:r>
      <w:r w:rsidRPr="00CF0C0F">
        <w:t>that hunger and extreme poverty, in all their forms and dimensions, are the greatest global challenges and require the collective commitment of the international community for their eradication, and therefore calling upon the international community to contribute to the achievement of that goal, in accordance with the Sustainable Development Goals,</w:t>
      </w:r>
    </w:p>
    <w:p w14:paraId="489D5553" w14:textId="22741FA6" w:rsidR="00CF0C0F" w:rsidRPr="00CF0C0F" w:rsidRDefault="00CF0C0F" w:rsidP="00CF0C0F">
      <w:pPr>
        <w:pStyle w:val="SingleTxtG"/>
      </w:pPr>
      <w:r w:rsidRPr="00CF0C0F">
        <w:lastRenderedPageBreak/>
        <w:tab/>
      </w:r>
      <w:r w:rsidRPr="00CF0C0F">
        <w:tab/>
      </w:r>
      <w:r w:rsidRPr="00CF0C0F">
        <w:rPr>
          <w:i/>
          <w:iCs/>
        </w:rPr>
        <w:t xml:space="preserve">Recognizing </w:t>
      </w:r>
      <w:r w:rsidR="006A2035">
        <w:rPr>
          <w:i/>
          <w:iCs/>
        </w:rPr>
        <w:t xml:space="preserve">also </w:t>
      </w:r>
      <w:r w:rsidRPr="00CF0C0F">
        <w:t>that eradicating poverty in all its forms and dimensions, including extreme poverty, is one of the critical elements of the promotion and realization of the right to development and is</w:t>
      </w:r>
      <w:r w:rsidRPr="00CF0C0F">
        <w:rPr>
          <w:b/>
        </w:rPr>
        <w:t xml:space="preserve"> </w:t>
      </w:r>
      <w:r w:rsidRPr="00CF0C0F">
        <w:rPr>
          <w:bCs/>
        </w:rPr>
        <w:t>one of</w:t>
      </w:r>
      <w:r w:rsidRPr="00CF0C0F">
        <w:t xml:space="preserve"> the greatest global challenges and an indispensable requirement for inclusive and sustainable development, which requires a multifaceted and integrated approach, and reiterating the need to achieve sustainable development in its three dimensions – economic, social and environmental </w:t>
      </w:r>
      <w:r w:rsidR="00E954EB">
        <w:t>–</w:t>
      </w:r>
      <w:r w:rsidRPr="00CF0C0F">
        <w:t xml:space="preserve"> in a balanced and integrated manner,</w:t>
      </w:r>
    </w:p>
    <w:p w14:paraId="56DF37E1" w14:textId="737DD8C2" w:rsidR="00CF0C0F" w:rsidRPr="00CF0C0F" w:rsidRDefault="00CF0C0F" w:rsidP="00CF0C0F">
      <w:pPr>
        <w:pStyle w:val="SingleTxtG"/>
      </w:pPr>
      <w:r w:rsidRPr="00CF0C0F">
        <w:tab/>
      </w:r>
      <w:r w:rsidRPr="00CF0C0F">
        <w:tab/>
      </w:r>
      <w:r w:rsidRPr="00CF0C0F">
        <w:rPr>
          <w:i/>
          <w:iCs/>
        </w:rPr>
        <w:t>Recognizing</w:t>
      </w:r>
      <w:r w:rsidRPr="00CF0C0F">
        <w:t xml:space="preserve"> </w:t>
      </w:r>
      <w:r w:rsidR="006A2035" w:rsidRPr="00CF0C0F">
        <w:rPr>
          <w:i/>
          <w:iCs/>
        </w:rPr>
        <w:t>further</w:t>
      </w:r>
      <w:r w:rsidR="006A2035" w:rsidRPr="00CF0C0F">
        <w:t xml:space="preserve"> </w:t>
      </w:r>
      <w:r w:rsidRPr="00CF0C0F">
        <w:t>that inequality is a major obstacle to the realization of the right to development within and across countries,</w:t>
      </w:r>
    </w:p>
    <w:p w14:paraId="4C6F8DB3" w14:textId="77777777" w:rsidR="00CF0C0F" w:rsidRPr="00CF0C0F" w:rsidRDefault="00CF0C0F" w:rsidP="00CF0C0F">
      <w:pPr>
        <w:pStyle w:val="SingleTxtG"/>
      </w:pPr>
      <w:r w:rsidRPr="00CF0C0F">
        <w:tab/>
      </w:r>
      <w:r w:rsidRPr="00CF0C0F">
        <w:tab/>
      </w:r>
      <w:r w:rsidRPr="00CF0C0F">
        <w:rPr>
          <w:i/>
          <w:iCs/>
        </w:rPr>
        <w:t>Expressing concern</w:t>
      </w:r>
      <w:r w:rsidRPr="00CF0C0F">
        <w:t xml:space="preserve"> about the increasing number of cases of human rights violations and abuses by transnational corporations and other business enterprises, underlining the need to ensure that appropriate protection, justice and remedies are provided to victims of human rights violations and abuses resulting from the activities of those entities, and underscoring the fact that transnational corporations and other business enterprises must contribute to the means of implementation for the realization of the right to development,</w:t>
      </w:r>
    </w:p>
    <w:p w14:paraId="6E9BF97F" w14:textId="5BEEF1FA" w:rsidR="00CF0C0F" w:rsidRPr="00CF0C0F" w:rsidRDefault="00CF0C0F" w:rsidP="00CF0C0F">
      <w:pPr>
        <w:pStyle w:val="SingleTxtG"/>
      </w:pPr>
      <w:r w:rsidRPr="00CF0C0F">
        <w:rPr>
          <w:iCs/>
        </w:rPr>
        <w:tab/>
      </w:r>
      <w:r w:rsidRPr="00CF0C0F">
        <w:rPr>
          <w:iCs/>
        </w:rPr>
        <w:tab/>
      </w:r>
      <w:r w:rsidRPr="00CF0C0F">
        <w:rPr>
          <w:i/>
        </w:rPr>
        <w:t>Noting</w:t>
      </w:r>
      <w:r w:rsidRPr="00CF0C0F">
        <w:rPr>
          <w:iCs/>
        </w:rPr>
        <w:t xml:space="preserve"> </w:t>
      </w:r>
      <w:r w:rsidRPr="00CF0C0F">
        <w:t>the ongoing negotiation</w:t>
      </w:r>
      <w:r w:rsidR="007906DB">
        <w:t>s</w:t>
      </w:r>
      <w:r w:rsidRPr="00CF0C0F">
        <w:t xml:space="preserve"> </w:t>
      </w:r>
      <w:r w:rsidR="003B1D8B">
        <w:t>on</w:t>
      </w:r>
      <w:r w:rsidRPr="00CF0C0F">
        <w:t xml:space="preserve"> the draft legally binding instrument to regulate, in international human rights law, the activities of transnational corporations and other business enterprises</w:t>
      </w:r>
      <w:r w:rsidR="003B1D8B">
        <w:t>,</w:t>
      </w:r>
      <w:r w:rsidRPr="00CF0C0F">
        <w:t xml:space="preserve"> and the importance of finalizing the negotiation process towards subsequent adoption,</w:t>
      </w:r>
    </w:p>
    <w:p w14:paraId="70BF656F" w14:textId="77777777" w:rsidR="00CF0C0F" w:rsidRPr="00CF0C0F" w:rsidRDefault="00CF0C0F" w:rsidP="00CF0C0F">
      <w:pPr>
        <w:pStyle w:val="SingleTxtG"/>
      </w:pPr>
      <w:r w:rsidRPr="00CF0C0F">
        <w:tab/>
      </w:r>
      <w:r w:rsidRPr="00CF0C0F">
        <w:tab/>
      </w:r>
      <w:r w:rsidRPr="00CF0C0F">
        <w:rPr>
          <w:i/>
          <w:iCs/>
        </w:rPr>
        <w:t>Underlining</w:t>
      </w:r>
      <w:r w:rsidRPr="00CF0C0F">
        <w:t xml:space="preserve"> that the successful implementation of the Sustainable Development Goals will require the strengthening of a new, more equitable social and international order in which the rights and freedoms set forth in the Universal Declaration of Human Rights can be fully realized, as envisioned in article 28 thereof,</w:t>
      </w:r>
    </w:p>
    <w:p w14:paraId="79A34D87" w14:textId="77777777" w:rsidR="00CF0C0F" w:rsidRPr="00CF0C0F" w:rsidRDefault="00CF0C0F" w:rsidP="00CF0C0F">
      <w:pPr>
        <w:pStyle w:val="SingleTxtG"/>
      </w:pPr>
      <w:r w:rsidRPr="00CF0C0F">
        <w:tab/>
      </w:r>
      <w:r w:rsidRPr="00CF0C0F">
        <w:tab/>
      </w:r>
      <w:r w:rsidRPr="00CF0C0F">
        <w:rPr>
          <w:i/>
          <w:iCs/>
        </w:rPr>
        <w:t>Stressing</w:t>
      </w:r>
      <w:r w:rsidRPr="00CF0C0F">
        <w:t xml:space="preserve"> the primary responsibility of States for the creation of national and international conditions favourable to the realization of the right to development,</w:t>
      </w:r>
    </w:p>
    <w:p w14:paraId="08E23E24" w14:textId="77777777" w:rsidR="00CF0C0F" w:rsidRPr="00CF0C0F" w:rsidRDefault="00CF0C0F" w:rsidP="00CF0C0F">
      <w:pPr>
        <w:pStyle w:val="SingleTxtG"/>
      </w:pPr>
      <w:r w:rsidRPr="00CF0C0F">
        <w:tab/>
      </w:r>
      <w:r w:rsidRPr="00CF0C0F">
        <w:tab/>
      </w:r>
      <w:r w:rsidRPr="00CF0C0F">
        <w:rPr>
          <w:i/>
          <w:iCs/>
        </w:rPr>
        <w:t>Recognizing</w:t>
      </w:r>
      <w:r w:rsidRPr="00CF0C0F">
        <w:t xml:space="preserve"> that States should cooperate with each other in ensuring development and eliminating lasting obstacles to development, that the international community should promote effective international cooperation, in particular global partnerships for development, for the realization of the right to development, and that lasting progress towards the implementation of the right to development requires, inter alia, effective development policies at the national level, equitable economic relations and a favourable economic environment at the international level,</w:t>
      </w:r>
    </w:p>
    <w:p w14:paraId="6A76958F" w14:textId="77777777" w:rsidR="00CF0C0F" w:rsidRPr="00CF0C0F" w:rsidRDefault="00CF0C0F" w:rsidP="00CF0C0F">
      <w:pPr>
        <w:pStyle w:val="SingleTxtG"/>
      </w:pPr>
      <w:r w:rsidRPr="00CF0C0F">
        <w:tab/>
      </w:r>
      <w:r w:rsidRPr="00CF0C0F">
        <w:tab/>
      </w:r>
      <w:r w:rsidRPr="00CF0C0F">
        <w:rPr>
          <w:i/>
          <w:iCs/>
        </w:rPr>
        <w:t>Urging</w:t>
      </w:r>
      <w:r w:rsidRPr="00CF0C0F">
        <w:t xml:space="preserve"> all States to engage constructively in discussions on the full implementation of the Declaration on the Right to Development within the Working Group on the Right to Development </w:t>
      </w:r>
      <w:r w:rsidRPr="00CF0C0F">
        <w:rPr>
          <w:bCs/>
        </w:rPr>
        <w:t xml:space="preserve">in order that it may fulfil, </w:t>
      </w:r>
      <w:r w:rsidRPr="00CF0C0F">
        <w:t>in a timely manner</w:t>
      </w:r>
      <w:r w:rsidRPr="00CF0C0F">
        <w:rPr>
          <w:bCs/>
        </w:rPr>
        <w:t>, its mandate as established by the Commission on Human Rights in its resolution 1998/72 and the Human Rights Council in its resolution 4/4</w:t>
      </w:r>
      <w:r w:rsidRPr="00CF0C0F">
        <w:t>,</w:t>
      </w:r>
    </w:p>
    <w:p w14:paraId="62548EC6" w14:textId="77777777" w:rsidR="00CF0C0F" w:rsidRPr="00CF0C0F" w:rsidRDefault="00CF0C0F" w:rsidP="00CF0C0F">
      <w:pPr>
        <w:pStyle w:val="SingleTxtG"/>
      </w:pPr>
      <w:r w:rsidRPr="00CF0C0F">
        <w:tab/>
      </w:r>
      <w:r w:rsidRPr="00CF0C0F">
        <w:tab/>
      </w:r>
      <w:r w:rsidRPr="00CF0C0F">
        <w:rPr>
          <w:i/>
          <w:iCs/>
        </w:rPr>
        <w:t>Stressing</w:t>
      </w:r>
      <w:r w:rsidRPr="00CF0C0F">
        <w:t xml:space="preserve"> that, in its resolution 48/141 of 20 December 1993, the General Assembly decided that the responsibility of the United Nations High Commissioner for Human Rights shall be, among others, to promote and protect the realization of the right to development, and to enhance support from relevant bodies of the United Nations system for that purpose, and in its annual resolution on the right to development, the Assembly reaffirms its request to the High Commissioner, in mainstreaming the right to development, to effectively undertake activities aimed at strengthening the global partnership for development among Member States, development agencies and international development, financial and trade institutions,</w:t>
      </w:r>
    </w:p>
    <w:p w14:paraId="60F63D7C" w14:textId="4DCA5527" w:rsidR="00CF0C0F" w:rsidRPr="00CF0C0F" w:rsidRDefault="00CF0C0F" w:rsidP="00CF0C0F">
      <w:pPr>
        <w:pStyle w:val="SingleTxtG"/>
      </w:pPr>
      <w:r w:rsidRPr="00CF0C0F">
        <w:tab/>
      </w:r>
      <w:r w:rsidRPr="00CF0C0F">
        <w:tab/>
      </w:r>
      <w:r w:rsidRPr="00CF0C0F">
        <w:rPr>
          <w:i/>
          <w:iCs/>
        </w:rPr>
        <w:t>Recognizing</w:t>
      </w:r>
      <w:r w:rsidRPr="00CF0C0F">
        <w:t xml:space="preserve"> the need for independent perspectives and expert advice to strengthen the work of the Working Group and to support the efforts of States to realize fully the right to development, including in the context of the implementation of the Sustainable Development Goals,</w:t>
      </w:r>
    </w:p>
    <w:p w14:paraId="61A1AC0A" w14:textId="7F640E55" w:rsidR="00CF0C0F" w:rsidRPr="00CF0C0F" w:rsidRDefault="00CF0C0F" w:rsidP="00CF0C0F">
      <w:pPr>
        <w:pStyle w:val="SingleTxtG"/>
        <w:rPr>
          <w:bCs/>
        </w:rPr>
      </w:pPr>
      <w:r w:rsidRPr="00CF0C0F">
        <w:rPr>
          <w:bCs/>
          <w:iCs/>
        </w:rPr>
        <w:tab/>
      </w:r>
      <w:r w:rsidRPr="00CF0C0F">
        <w:rPr>
          <w:bCs/>
          <w:iCs/>
        </w:rPr>
        <w:tab/>
      </w:r>
      <w:r w:rsidRPr="00CF0C0F">
        <w:rPr>
          <w:bCs/>
          <w:i/>
        </w:rPr>
        <w:t>Recalling</w:t>
      </w:r>
      <w:r w:rsidRPr="00CF0C0F">
        <w:rPr>
          <w:bCs/>
          <w:iCs/>
        </w:rPr>
        <w:t xml:space="preserve"> </w:t>
      </w:r>
      <w:r w:rsidRPr="00CF0C0F">
        <w:rPr>
          <w:bCs/>
        </w:rPr>
        <w:t>the report of the Human Rights Council Advisory Committee on the importance of a legally binding instrument on the right to development,</w:t>
      </w:r>
      <w:r w:rsidR="00E33BEF">
        <w:rPr>
          <w:rStyle w:val="FootnoteReference"/>
          <w:bCs/>
        </w:rPr>
        <w:footnoteReference w:id="3"/>
      </w:r>
      <w:r w:rsidRPr="00CF0C0F">
        <w:rPr>
          <w:bCs/>
        </w:rPr>
        <w:t xml:space="preserve"> submitted to the Human Rights Council at its forty-fifth session pursuant to Council resolution 39/9 of 27 September 2018,</w:t>
      </w:r>
    </w:p>
    <w:p w14:paraId="1251EE5A" w14:textId="77777777" w:rsidR="00CF0C0F" w:rsidRPr="00CF0C0F" w:rsidRDefault="00CF0C0F" w:rsidP="00CF0C0F">
      <w:pPr>
        <w:pStyle w:val="SingleTxtG"/>
      </w:pPr>
      <w:r w:rsidRPr="00CF0C0F">
        <w:tab/>
      </w:r>
      <w:r w:rsidRPr="00CF0C0F">
        <w:tab/>
      </w:r>
      <w:r w:rsidRPr="00CF0C0F">
        <w:rPr>
          <w:i/>
          <w:iCs/>
        </w:rPr>
        <w:t>Welcoming</w:t>
      </w:r>
      <w:r w:rsidRPr="00CF0C0F">
        <w:t xml:space="preserve"> the discussions held by the Working Group at its previous sessions on how a legally binding instrument would contribute to making the right to development a reality for all by creating conducive national and international conditions for its realization and by halting all measures that might have a negative impact on the right to development, in accordance with the Charter, the Declaration on the Right to Development and other relevant international instruments and documents,</w:t>
      </w:r>
    </w:p>
    <w:p w14:paraId="6C31A9B1" w14:textId="6631A8BC" w:rsidR="00CF0C0F" w:rsidRPr="00CF0C0F" w:rsidRDefault="00CF0C0F" w:rsidP="00CF0C0F">
      <w:pPr>
        <w:pStyle w:val="SingleTxtG"/>
      </w:pPr>
      <w:r w:rsidRPr="00CF0C0F">
        <w:tab/>
      </w:r>
      <w:r w:rsidRPr="00CF0C0F">
        <w:tab/>
      </w:r>
      <w:r w:rsidRPr="00CF0C0F">
        <w:rPr>
          <w:i/>
          <w:iCs/>
        </w:rPr>
        <w:t>Recalling</w:t>
      </w:r>
      <w:r w:rsidRPr="00CF0C0F">
        <w:t xml:space="preserve"> Human Rights Council resolution 54/18</w:t>
      </w:r>
      <w:r w:rsidR="00832909">
        <w:t xml:space="preserve"> of 12 October 2023</w:t>
      </w:r>
      <w:r w:rsidRPr="00CF0C0F">
        <w:t xml:space="preserve">, by which </w:t>
      </w:r>
      <w:r w:rsidR="00EB2419">
        <w:t>the Council</w:t>
      </w:r>
      <w:r w:rsidR="00EB2419" w:rsidRPr="00CF0C0F">
        <w:t xml:space="preserve"> </w:t>
      </w:r>
      <w:r w:rsidRPr="00CF0C0F">
        <w:t>submitted to the General Assembly a draft international covenant on the right to development for its consideration, negotiation and subsequent adoption,</w:t>
      </w:r>
    </w:p>
    <w:p w14:paraId="4847D194" w14:textId="77777777" w:rsidR="00CF0C0F" w:rsidRPr="00CF0C0F" w:rsidRDefault="00CF0C0F" w:rsidP="00E33BEF">
      <w:pPr>
        <w:pStyle w:val="SingleTxtG"/>
        <w:ind w:firstLine="567"/>
      </w:pPr>
      <w:r w:rsidRPr="00CF0C0F">
        <w:rPr>
          <w:i/>
          <w:iCs/>
        </w:rPr>
        <w:t>Reaffirming</w:t>
      </w:r>
      <w:r w:rsidRPr="00CF0C0F">
        <w:t xml:space="preserve"> Human Rights Council resolutions 5/1, on institution-building of the Council, and 5/2, on the Code of Conduct for Special Procedures Mandate-Holders of the Human Rights Council, of 18 June 2007, and stressing that mandate holders shall discharge the duties of their mandates in accordance with those resolutions and the annexes thereto,</w:t>
      </w:r>
    </w:p>
    <w:p w14:paraId="063FF25C" w14:textId="77777777" w:rsidR="00CF0C0F" w:rsidRPr="00CF0C0F" w:rsidRDefault="00CF0C0F" w:rsidP="00CF0C0F">
      <w:pPr>
        <w:pStyle w:val="SingleTxtG"/>
      </w:pPr>
      <w:r w:rsidRPr="00CF0C0F">
        <w:tab/>
      </w:r>
      <w:r w:rsidRPr="00CF0C0F">
        <w:tab/>
        <w:t>1.</w:t>
      </w:r>
      <w:r w:rsidRPr="00CF0C0F">
        <w:tab/>
      </w:r>
      <w:r w:rsidRPr="00CF0C0F">
        <w:rPr>
          <w:i/>
          <w:iCs/>
        </w:rPr>
        <w:t>Reaffirms</w:t>
      </w:r>
      <w:r w:rsidRPr="00CF0C0F">
        <w:t xml:space="preserve"> its commitment to effectively integrate the right to development into its work and that of its mechanisms in a systematic and transparent manner;</w:t>
      </w:r>
    </w:p>
    <w:p w14:paraId="5E4173DC" w14:textId="77777777" w:rsidR="00CF0C0F" w:rsidRPr="00CF0C0F" w:rsidRDefault="00CF0C0F" w:rsidP="00CF0C0F">
      <w:pPr>
        <w:pStyle w:val="SingleTxtG"/>
      </w:pPr>
      <w:r w:rsidRPr="00CF0C0F">
        <w:tab/>
      </w:r>
      <w:r w:rsidRPr="00CF0C0F">
        <w:tab/>
        <w:t>2.</w:t>
      </w:r>
      <w:r w:rsidRPr="00CF0C0F">
        <w:tab/>
      </w:r>
      <w:r w:rsidRPr="00CF0C0F">
        <w:rPr>
          <w:i/>
          <w:iCs/>
        </w:rPr>
        <w:t>Acknowledges</w:t>
      </w:r>
      <w:r w:rsidRPr="00CF0C0F">
        <w:t xml:space="preserve"> the urgent need to strive for greater acceptance, operationalization and the realization of the right to development at the international level while urging all States to undertake at the national level the necessary policy formulation and to institute the measures required for the implementation of the right to development as an integral part of all human rights and fundamental freedoms;</w:t>
      </w:r>
    </w:p>
    <w:p w14:paraId="1006A0DB" w14:textId="77777777" w:rsidR="00CF0C0F" w:rsidRPr="00CF0C0F" w:rsidRDefault="00CF0C0F" w:rsidP="00CF0C0F">
      <w:pPr>
        <w:pStyle w:val="SingleTxtG"/>
        <w:rPr>
          <w:bCs/>
          <w:iCs/>
        </w:rPr>
      </w:pPr>
      <w:r w:rsidRPr="00CF0C0F">
        <w:rPr>
          <w:bCs/>
          <w:iCs/>
        </w:rPr>
        <w:tab/>
      </w:r>
      <w:r w:rsidRPr="00CF0C0F">
        <w:rPr>
          <w:bCs/>
          <w:iCs/>
        </w:rPr>
        <w:tab/>
        <w:t>3.</w:t>
      </w:r>
      <w:r w:rsidRPr="00CF0C0F">
        <w:rPr>
          <w:bCs/>
          <w:iCs/>
        </w:rPr>
        <w:tab/>
      </w:r>
      <w:r w:rsidRPr="00CF0C0F">
        <w:rPr>
          <w:bCs/>
          <w:i/>
          <w:iCs/>
        </w:rPr>
        <w:t>Also acknowledges</w:t>
      </w:r>
      <w:r w:rsidRPr="00CF0C0F">
        <w:rPr>
          <w:bCs/>
        </w:rPr>
        <w:t xml:space="preserve"> </w:t>
      </w:r>
      <w:r w:rsidRPr="00CF0C0F">
        <w:rPr>
          <w:bCs/>
          <w:iCs/>
        </w:rPr>
        <w:t>the contribution of civil society actors and other stakeholders to the implementation of the right to development, especially at the grass-roots level;</w:t>
      </w:r>
    </w:p>
    <w:p w14:paraId="6955B48B" w14:textId="77777777" w:rsidR="00CF0C0F" w:rsidRPr="00CF0C0F" w:rsidRDefault="00CF0C0F" w:rsidP="00CF0C0F">
      <w:pPr>
        <w:pStyle w:val="SingleTxtG"/>
      </w:pPr>
      <w:r w:rsidRPr="00CF0C0F">
        <w:tab/>
      </w:r>
      <w:r w:rsidRPr="00CF0C0F">
        <w:tab/>
        <w:t>4.</w:t>
      </w:r>
      <w:r w:rsidRPr="00CF0C0F">
        <w:tab/>
      </w:r>
      <w:r w:rsidRPr="00CF0C0F">
        <w:rPr>
          <w:i/>
          <w:iCs/>
        </w:rPr>
        <w:t>Encourages</w:t>
      </w:r>
      <w:r w:rsidRPr="00CF0C0F">
        <w:t xml:space="preserve"> States and other relevant stakeholders to incorporate the right to development into the design, financing and implementation of cooperation processes;</w:t>
      </w:r>
    </w:p>
    <w:p w14:paraId="17FC212C" w14:textId="7EDA7D2D" w:rsidR="00CF0C0F" w:rsidRPr="00CF0C0F" w:rsidRDefault="00CF0C0F" w:rsidP="00CF0C0F">
      <w:pPr>
        <w:pStyle w:val="SingleTxtG"/>
      </w:pPr>
      <w:r w:rsidRPr="00CF0C0F">
        <w:tab/>
      </w:r>
      <w:r w:rsidRPr="00CF0C0F">
        <w:tab/>
        <w:t>5.</w:t>
      </w:r>
      <w:r w:rsidRPr="00CF0C0F">
        <w:tab/>
      </w:r>
      <w:r w:rsidRPr="00CF0C0F">
        <w:rPr>
          <w:i/>
          <w:iCs/>
        </w:rPr>
        <w:t>Recalls</w:t>
      </w:r>
      <w:r w:rsidRPr="00CF0C0F">
        <w:t xml:space="preserve"> the consolidated report of the Secretary-General and the United Nations High Commissioner for Human Rights on the right to development;</w:t>
      </w:r>
      <w:r w:rsidR="00DC398F">
        <w:rPr>
          <w:rStyle w:val="FootnoteReference"/>
        </w:rPr>
        <w:footnoteReference w:id="4"/>
      </w:r>
    </w:p>
    <w:p w14:paraId="3E91654F" w14:textId="77777777" w:rsidR="00CF0C0F" w:rsidRPr="00CF0C0F" w:rsidRDefault="00CF0C0F" w:rsidP="00CF0C0F">
      <w:pPr>
        <w:pStyle w:val="SingleTxtG"/>
      </w:pPr>
      <w:r w:rsidRPr="00CF0C0F">
        <w:tab/>
      </w:r>
      <w:r w:rsidRPr="00CF0C0F">
        <w:tab/>
        <w:t>6.</w:t>
      </w:r>
      <w:r w:rsidRPr="00CF0C0F">
        <w:tab/>
      </w:r>
      <w:r w:rsidRPr="00CF0C0F">
        <w:rPr>
          <w:i/>
        </w:rPr>
        <w:t>Recognizes</w:t>
      </w:r>
      <w:r w:rsidRPr="00CF0C0F">
        <w:rPr>
          <w:iCs/>
        </w:rPr>
        <w:t xml:space="preserve"> </w:t>
      </w:r>
      <w:r w:rsidRPr="00CF0C0F">
        <w:t>that the full-day high-level meeting on the promotion and protection of the right to development, as a celebration of the thirty-fifth anniversary of the Declaration on the Right to Development held at the fifty-second session of the Human Rights Council, presented a significant opportunity for the international community to demonstrate and reiterate its unequivocal commitment to the right to development, recognizing the high profile it deserves and redoubling its efforts to implement this right;</w:t>
      </w:r>
    </w:p>
    <w:p w14:paraId="6AE856BF" w14:textId="5C5E88FB" w:rsidR="00CF0C0F" w:rsidRPr="00CF0C0F" w:rsidRDefault="00CF0C0F" w:rsidP="00CF0C0F">
      <w:pPr>
        <w:pStyle w:val="SingleTxtG"/>
      </w:pPr>
      <w:r w:rsidRPr="00CF0C0F">
        <w:rPr>
          <w:iCs/>
        </w:rPr>
        <w:tab/>
      </w:r>
      <w:r w:rsidRPr="00CF0C0F">
        <w:rPr>
          <w:iCs/>
        </w:rPr>
        <w:tab/>
        <w:t>7.</w:t>
      </w:r>
      <w:r w:rsidRPr="00CF0C0F">
        <w:rPr>
          <w:iCs/>
        </w:rPr>
        <w:tab/>
      </w:r>
      <w:r w:rsidRPr="00CF0C0F">
        <w:rPr>
          <w:i/>
        </w:rPr>
        <w:t>Recalls</w:t>
      </w:r>
      <w:r w:rsidRPr="00CF0C0F">
        <w:t xml:space="preserve"> the report of the Office of the United Nations High Commissioner for Human Rights on the high-level meeting commemorating the thirty-fifth anniversary of the Declaration on the Right to Development;</w:t>
      </w:r>
      <w:r w:rsidR="00DC398F">
        <w:rPr>
          <w:rStyle w:val="FootnoteReference"/>
        </w:rPr>
        <w:footnoteReference w:id="5"/>
      </w:r>
    </w:p>
    <w:p w14:paraId="6E54CF6D" w14:textId="77777777" w:rsidR="00CF0C0F" w:rsidRPr="00CF0C0F" w:rsidRDefault="00CF0C0F" w:rsidP="00CF0C0F">
      <w:pPr>
        <w:pStyle w:val="SingleTxtG"/>
      </w:pPr>
      <w:r w:rsidRPr="00CF0C0F">
        <w:tab/>
      </w:r>
      <w:r w:rsidRPr="00CF0C0F">
        <w:tab/>
        <w:t>8.</w:t>
      </w:r>
      <w:r w:rsidRPr="00CF0C0F">
        <w:tab/>
      </w:r>
      <w:r w:rsidRPr="00CF0C0F">
        <w:rPr>
          <w:i/>
          <w:iCs/>
        </w:rPr>
        <w:t>Requests</w:t>
      </w:r>
      <w:r w:rsidRPr="00CF0C0F">
        <w:t xml:space="preserve"> the High Commissioner to continue to submit to the Human Rights Council an annual report on the activities of the Office of the High Commissioner, including on inter-agency coordination within the United Nations system that has direct relevance to the realization of the right to development, and to provide an analysis, taking into account existing challenges to the realization of the right to development, and to make recommendations on how to overcome them and concrete proposals for supporting the Working Group on the Right to Development in fulfilling its mandate;</w:t>
      </w:r>
    </w:p>
    <w:p w14:paraId="46A6741F" w14:textId="77777777" w:rsidR="00CF0C0F" w:rsidRPr="00CF0C0F" w:rsidRDefault="00CF0C0F" w:rsidP="00CF0C0F">
      <w:pPr>
        <w:pStyle w:val="SingleTxtG"/>
      </w:pPr>
      <w:r w:rsidRPr="00CF0C0F">
        <w:rPr>
          <w:iCs/>
        </w:rPr>
        <w:tab/>
      </w:r>
      <w:r w:rsidRPr="00CF0C0F">
        <w:rPr>
          <w:iCs/>
        </w:rPr>
        <w:tab/>
        <w:t>9.</w:t>
      </w:r>
      <w:r w:rsidRPr="00CF0C0F">
        <w:rPr>
          <w:iCs/>
        </w:rPr>
        <w:tab/>
      </w:r>
      <w:r w:rsidRPr="00CF0C0F">
        <w:rPr>
          <w:i/>
        </w:rPr>
        <w:t>Also requests</w:t>
      </w:r>
      <w:r w:rsidRPr="00CF0C0F">
        <w:t xml:space="preserve"> the High Commissioner to take concrete measures in the fulfilment of his mandated responsibility, including through advocacy, research, regional technical support, capacity-building at the regional level and strengthening partnerships, and to enhance support for the promotion and protection of the right to development, taking as reference the Declaration on the Right to Development, all resolutions of the General Assembly, the Commission on Human Rights and the Human Rights Council on the right to development and agreed conclusions and recommendations of the Working Group;</w:t>
      </w:r>
    </w:p>
    <w:p w14:paraId="7AC195E9" w14:textId="77777777" w:rsidR="00CF0C0F" w:rsidRPr="00CF0C0F" w:rsidRDefault="00CF0C0F" w:rsidP="00CF0C0F">
      <w:pPr>
        <w:pStyle w:val="SingleTxtG"/>
      </w:pPr>
      <w:r w:rsidRPr="00CF0C0F">
        <w:rPr>
          <w:bCs/>
        </w:rPr>
        <w:tab/>
      </w:r>
      <w:r w:rsidRPr="00CF0C0F">
        <w:rPr>
          <w:bCs/>
        </w:rPr>
        <w:tab/>
        <w:t>10.</w:t>
      </w:r>
      <w:r w:rsidRPr="00CF0C0F">
        <w:rPr>
          <w:bCs/>
        </w:rPr>
        <w:tab/>
      </w:r>
      <w:r w:rsidRPr="00CF0C0F">
        <w:rPr>
          <w:bCs/>
          <w:i/>
          <w:iCs/>
        </w:rPr>
        <w:t>Urges</w:t>
      </w:r>
      <w:r w:rsidRPr="00CF0C0F">
        <w:t xml:space="preserve"> the Office of the High Commissioner, in the implementation of the Declaration on the Right to Development, to ensure balanced</w:t>
      </w:r>
      <w:r w:rsidRPr="00CF0C0F">
        <w:rPr>
          <w:bCs/>
        </w:rPr>
        <w:t>, efficient</w:t>
      </w:r>
      <w:r w:rsidRPr="00CF0C0F">
        <w:t xml:space="preserve"> and visible allocation of </w:t>
      </w:r>
      <w:r w:rsidRPr="00CF0C0F">
        <w:rPr>
          <w:bCs/>
        </w:rPr>
        <w:t xml:space="preserve">both financial and human </w:t>
      </w:r>
      <w:r w:rsidRPr="00CF0C0F">
        <w:t xml:space="preserve">resources </w:t>
      </w:r>
      <w:r w:rsidRPr="00CF0C0F">
        <w:rPr>
          <w:bCs/>
        </w:rPr>
        <w:t xml:space="preserve">to the existing mechanisms within the Office, including the Expert Mechanism on the Right to Development </w:t>
      </w:r>
      <w:r w:rsidRPr="00CF0C0F">
        <w:t xml:space="preserve">and </w:t>
      </w:r>
      <w:r w:rsidRPr="00CF0C0F">
        <w:rPr>
          <w:bCs/>
        </w:rPr>
        <w:t>the Special Rapporteur on the right to development, for the realization of the right to development, also</w:t>
      </w:r>
      <w:r w:rsidRPr="00CF0C0F">
        <w:t xml:space="preserve"> to ensure the visibility of the right to development by identifying and implementing tangible projects dedicated to the right to development, in collaboration with the </w:t>
      </w:r>
      <w:r w:rsidRPr="00CF0C0F">
        <w:rPr>
          <w:bCs/>
        </w:rPr>
        <w:t xml:space="preserve">Expert Mechanism and the </w:t>
      </w:r>
      <w:r w:rsidRPr="00CF0C0F">
        <w:t>Special Rapporteur, and to provide regular updates to the Human Rights Council in this regard;</w:t>
      </w:r>
    </w:p>
    <w:p w14:paraId="6FA104E0" w14:textId="77777777" w:rsidR="00CF0C0F" w:rsidRPr="00CF0C0F" w:rsidRDefault="00CF0C0F" w:rsidP="00DC398F">
      <w:pPr>
        <w:pStyle w:val="SingleTxtG"/>
        <w:ind w:firstLine="567"/>
      </w:pPr>
      <w:r w:rsidRPr="00CF0C0F">
        <w:t>11.</w:t>
      </w:r>
      <w:r w:rsidRPr="00CF0C0F">
        <w:tab/>
      </w:r>
      <w:r w:rsidRPr="00CF0C0F">
        <w:rPr>
          <w:i/>
          <w:iCs/>
        </w:rPr>
        <w:t xml:space="preserve">Reiterates </w:t>
      </w:r>
      <w:r w:rsidRPr="00DC398F">
        <w:t>its request</w:t>
      </w:r>
      <w:r w:rsidRPr="00CF0C0F">
        <w:rPr>
          <w:i/>
          <w:iCs/>
        </w:rPr>
        <w:t xml:space="preserve"> </w:t>
      </w:r>
      <w:r w:rsidRPr="00E60282">
        <w:t>to</w:t>
      </w:r>
      <w:r w:rsidRPr="00CF0C0F">
        <w:rPr>
          <w:i/>
          <w:iCs/>
        </w:rPr>
        <w:t xml:space="preserve"> </w:t>
      </w:r>
      <w:r w:rsidRPr="00CF0C0F">
        <w:t>the Office of the High Commissioner to strengthen its work for the promotion of the right to development at the regional level, and requests the Secretary-General to enhance the Office’s dedicated capacity at the regional level;</w:t>
      </w:r>
    </w:p>
    <w:p w14:paraId="0F4501AF" w14:textId="1A231FE6" w:rsidR="00CF0C0F" w:rsidRPr="00CF0C0F" w:rsidRDefault="00CF0C0F" w:rsidP="00CF0C0F">
      <w:pPr>
        <w:pStyle w:val="SingleTxtG"/>
      </w:pPr>
      <w:r w:rsidRPr="00CF0C0F">
        <w:tab/>
      </w:r>
      <w:r w:rsidRPr="00CF0C0F">
        <w:tab/>
        <w:t>12.</w:t>
      </w:r>
      <w:r w:rsidRPr="00CF0C0F">
        <w:tab/>
      </w:r>
      <w:r w:rsidRPr="00CF0C0F">
        <w:rPr>
          <w:i/>
          <w:iCs/>
        </w:rPr>
        <w:t>Requests</w:t>
      </w:r>
      <w:r w:rsidRPr="00CF0C0F">
        <w:t xml:space="preserve"> the High Commissioner to facilitate the participation of relevant experts, including representatives of the Office of the High Commissioner, in the meetings of the Expert Mechanism, in order for representatives of relevant international organizations, as well as relevant mandate holders of the Human Rights Council, to contribute to the discussions held at its meetings, as appropriate;</w:t>
      </w:r>
    </w:p>
    <w:p w14:paraId="655E573C" w14:textId="2128F690" w:rsidR="00CF0C0F" w:rsidRPr="00CF0C0F" w:rsidRDefault="00CF0C0F" w:rsidP="00CF0C0F">
      <w:pPr>
        <w:pStyle w:val="SingleTxtG"/>
      </w:pPr>
      <w:r w:rsidRPr="00CF0C0F">
        <w:rPr>
          <w:iCs/>
        </w:rPr>
        <w:tab/>
      </w:r>
      <w:r w:rsidRPr="00CF0C0F">
        <w:rPr>
          <w:iCs/>
        </w:rPr>
        <w:tab/>
        <w:t>13.</w:t>
      </w:r>
      <w:r w:rsidRPr="00CF0C0F">
        <w:rPr>
          <w:iCs/>
        </w:rPr>
        <w:tab/>
      </w:r>
      <w:r w:rsidRPr="00CF0C0F">
        <w:rPr>
          <w:i/>
        </w:rPr>
        <w:t>Reiterates</w:t>
      </w:r>
      <w:r w:rsidRPr="00CF0C0F">
        <w:t xml:space="preserve"> the importance of the core principles contained in the conclusions adopted by the Working Group at its third session,</w:t>
      </w:r>
      <w:r w:rsidR="00850BAD">
        <w:rPr>
          <w:rStyle w:val="FootnoteReference"/>
        </w:rPr>
        <w:footnoteReference w:id="6"/>
      </w:r>
      <w:r w:rsidRPr="00CF0C0F">
        <w:t xml:space="preserve"> which are congruent with the purpose of international human rights instruments, such as equality, non-discrimination, accountability, participation and international cooperation, as critical to mainstreaming the right to development at the national and international levels, and underlines the importance of the principles of equity and transparency;</w:t>
      </w:r>
    </w:p>
    <w:p w14:paraId="6F458FA1" w14:textId="77777777" w:rsidR="00CF0C0F" w:rsidRPr="00CF0C0F" w:rsidRDefault="00CF0C0F" w:rsidP="00CF0C0F">
      <w:pPr>
        <w:pStyle w:val="SingleTxtG"/>
      </w:pPr>
      <w:r w:rsidRPr="00CF0C0F">
        <w:tab/>
      </w:r>
      <w:r w:rsidRPr="00CF0C0F">
        <w:tab/>
        <w:t>14.</w:t>
      </w:r>
      <w:r w:rsidRPr="00CF0C0F">
        <w:tab/>
      </w:r>
      <w:r w:rsidRPr="00CF0C0F">
        <w:rPr>
          <w:i/>
          <w:iCs/>
        </w:rPr>
        <w:t>Stresses</w:t>
      </w:r>
      <w:r w:rsidRPr="00CF0C0F">
        <w:t xml:space="preserve"> the importance of the realization of the mandate of the Working Group, and recognizes the need for renewed efforts within the Working Group so that it may fulfil, </w:t>
      </w:r>
      <w:r w:rsidRPr="00CF0C0F">
        <w:rPr>
          <w:bCs/>
        </w:rPr>
        <w:t xml:space="preserve">in a timely manner, </w:t>
      </w:r>
      <w:r w:rsidRPr="00CF0C0F">
        <w:t>its mandate as established by the Commission on Human Rights in its resolution 1998/72 and the Human Rights Council in its resolutions 4/4 and 39/9;</w:t>
      </w:r>
    </w:p>
    <w:p w14:paraId="5AA416D6" w14:textId="48134357" w:rsidR="00CF0C0F" w:rsidRPr="00CF0C0F" w:rsidRDefault="00CF0C0F" w:rsidP="00CF0C0F">
      <w:pPr>
        <w:pStyle w:val="SingleTxtG"/>
      </w:pPr>
      <w:r w:rsidRPr="00CF0C0F">
        <w:rPr>
          <w:iCs/>
        </w:rPr>
        <w:tab/>
      </w:r>
      <w:r w:rsidRPr="00CF0C0F">
        <w:rPr>
          <w:iCs/>
        </w:rPr>
        <w:tab/>
        <w:t>15.</w:t>
      </w:r>
      <w:r w:rsidRPr="00CF0C0F">
        <w:rPr>
          <w:iCs/>
        </w:rPr>
        <w:tab/>
      </w:r>
      <w:r w:rsidRPr="00CF0C0F">
        <w:rPr>
          <w:i/>
        </w:rPr>
        <w:t>Takes note</w:t>
      </w:r>
      <w:r w:rsidRPr="00CF0C0F">
        <w:rPr>
          <w:iCs/>
        </w:rPr>
        <w:t xml:space="preserve"> of</w:t>
      </w:r>
      <w:r w:rsidRPr="00CF0C0F">
        <w:t xml:space="preserve"> the report of the Working Group on its twenty-sixth session,</w:t>
      </w:r>
      <w:r w:rsidR="00850BAD">
        <w:rPr>
          <w:rStyle w:val="FootnoteReference"/>
        </w:rPr>
        <w:footnoteReference w:id="7"/>
      </w:r>
      <w:r w:rsidRPr="00CF0C0F">
        <w:rPr>
          <w:iCs/>
        </w:rPr>
        <w:t xml:space="preserve"> and requests the Office of the High Commissioner to consider implementing the recommendations concerning the Office made by the Working Group in its report;</w:t>
      </w:r>
    </w:p>
    <w:p w14:paraId="640CF99D" w14:textId="77777777" w:rsidR="00CF0C0F" w:rsidRPr="00CF0C0F" w:rsidRDefault="00CF0C0F" w:rsidP="00CF0C0F">
      <w:pPr>
        <w:pStyle w:val="SingleTxtG"/>
        <w:rPr>
          <w:bCs/>
        </w:rPr>
      </w:pPr>
      <w:r w:rsidRPr="00CF0C0F">
        <w:rPr>
          <w:bCs/>
        </w:rPr>
        <w:tab/>
      </w:r>
      <w:r w:rsidRPr="00CF0C0F">
        <w:rPr>
          <w:bCs/>
        </w:rPr>
        <w:tab/>
        <w:t>16.</w:t>
      </w:r>
      <w:r w:rsidRPr="00CF0C0F">
        <w:rPr>
          <w:bCs/>
        </w:rPr>
        <w:tab/>
      </w:r>
      <w:r w:rsidRPr="00CF0C0F">
        <w:rPr>
          <w:bCs/>
          <w:i/>
        </w:rPr>
        <w:t>Stresses</w:t>
      </w:r>
      <w:r w:rsidRPr="00CF0C0F">
        <w:rPr>
          <w:bCs/>
        </w:rPr>
        <w:t xml:space="preserve"> that the Working Group will take into account all resolutions on the right to development, in particular Human Rights Council resolutions 9/3 and 42/23 of 27 September 2019;</w:t>
      </w:r>
    </w:p>
    <w:p w14:paraId="60D0EF20" w14:textId="77777777" w:rsidR="00CF0C0F" w:rsidRPr="00CF0C0F" w:rsidRDefault="00CF0C0F" w:rsidP="00CF0C0F">
      <w:pPr>
        <w:pStyle w:val="SingleTxtG"/>
        <w:rPr>
          <w:bCs/>
        </w:rPr>
      </w:pPr>
      <w:r w:rsidRPr="00CF0C0F">
        <w:rPr>
          <w:bCs/>
        </w:rPr>
        <w:tab/>
      </w:r>
      <w:r w:rsidRPr="00CF0C0F">
        <w:rPr>
          <w:bCs/>
        </w:rPr>
        <w:tab/>
        <w:t>17.</w:t>
      </w:r>
      <w:r w:rsidRPr="00CF0C0F">
        <w:rPr>
          <w:bCs/>
        </w:rPr>
        <w:tab/>
      </w:r>
      <w:r w:rsidRPr="00CF0C0F">
        <w:rPr>
          <w:bCs/>
          <w:i/>
          <w:iCs/>
        </w:rPr>
        <w:t>Requests</w:t>
      </w:r>
      <w:r w:rsidRPr="00CF0C0F">
        <w:rPr>
          <w:bCs/>
        </w:rPr>
        <w:t xml:space="preserve"> the High Commissioner to engage experts for their continued provision of necessary advice, input and expertise to the Chair-Rapporteur of the Working Group in the fulfilment of his mandate, to facilitate the participation of the experts in future sessions of the Working Group and to provide advice with a view to contributing to discussions as part of the implementation and realization of the right to development;</w:t>
      </w:r>
    </w:p>
    <w:p w14:paraId="4A727877" w14:textId="508B67BC" w:rsidR="00CF0C0F" w:rsidRPr="00CF0C0F" w:rsidRDefault="00CF0C0F" w:rsidP="00CF0C0F">
      <w:pPr>
        <w:pStyle w:val="SingleTxtG"/>
        <w:rPr>
          <w:lang w:val="en-US"/>
        </w:rPr>
      </w:pPr>
      <w:r w:rsidRPr="00CF0C0F">
        <w:tab/>
      </w:r>
      <w:r w:rsidRPr="00CF0C0F">
        <w:tab/>
        <w:t>18.</w:t>
      </w:r>
      <w:r w:rsidRPr="00CF0C0F">
        <w:tab/>
      </w:r>
      <w:r w:rsidRPr="00CF0C0F">
        <w:rPr>
          <w:i/>
          <w:iCs/>
        </w:rPr>
        <w:t>Welcomes</w:t>
      </w:r>
      <w:r w:rsidRPr="00CF0C0F">
        <w:t xml:space="preserve"> the annual report of the Expert Mechanism</w:t>
      </w:r>
      <w:r w:rsidR="00850BAD">
        <w:rPr>
          <w:rStyle w:val="FootnoteReference"/>
        </w:rPr>
        <w:footnoteReference w:id="8"/>
      </w:r>
      <w:r w:rsidRPr="00CF0C0F">
        <w:t xml:space="preserve"> and of its thematic studies,</w:t>
      </w:r>
      <w:r w:rsidR="00850BAD">
        <w:rPr>
          <w:rStyle w:val="FootnoteReference"/>
        </w:rPr>
        <w:footnoteReference w:id="9"/>
      </w:r>
      <w:r w:rsidRPr="00CF0C0F">
        <w:rPr>
          <w:lang w:val="en-US"/>
        </w:rPr>
        <w:t xml:space="preserve"> and reiterates its request </w:t>
      </w:r>
      <w:r w:rsidR="00CC2414">
        <w:rPr>
          <w:lang w:val="en-US"/>
        </w:rPr>
        <w:t xml:space="preserve">to </w:t>
      </w:r>
      <w:r w:rsidRPr="00CF0C0F">
        <w:rPr>
          <w:lang w:val="en-US"/>
        </w:rPr>
        <w:t xml:space="preserve">the </w:t>
      </w:r>
      <w:r w:rsidRPr="00CF0C0F">
        <w:t xml:space="preserve">Office of the High Commissioner </w:t>
      </w:r>
      <w:r w:rsidRPr="00CF0C0F">
        <w:rPr>
          <w:lang w:val="en-US"/>
        </w:rPr>
        <w:t>to strengthen secretariat support for the Expert Mechanism;</w:t>
      </w:r>
    </w:p>
    <w:p w14:paraId="24843EE8" w14:textId="77777777" w:rsidR="00CF0C0F" w:rsidRPr="00CF0C0F" w:rsidRDefault="00CF0C0F" w:rsidP="00CF0C0F">
      <w:pPr>
        <w:pStyle w:val="SingleTxtG"/>
        <w:rPr>
          <w:lang w:val="en-US"/>
        </w:rPr>
      </w:pPr>
      <w:r w:rsidRPr="00CF0C0F">
        <w:rPr>
          <w:iCs/>
          <w:lang w:val="en-US"/>
        </w:rPr>
        <w:tab/>
      </w:r>
      <w:r w:rsidRPr="00CF0C0F">
        <w:rPr>
          <w:iCs/>
          <w:lang w:val="en-US"/>
        </w:rPr>
        <w:tab/>
        <w:t>19.</w:t>
      </w:r>
      <w:r w:rsidRPr="00CF0C0F">
        <w:rPr>
          <w:iCs/>
          <w:lang w:val="en-US"/>
        </w:rPr>
        <w:tab/>
      </w:r>
      <w:r w:rsidRPr="00CF0C0F">
        <w:rPr>
          <w:i/>
          <w:lang w:val="en-US"/>
        </w:rPr>
        <w:t>Requests</w:t>
      </w:r>
      <w:r w:rsidRPr="00CF0C0F">
        <w:rPr>
          <w:lang w:val="en-US"/>
        </w:rPr>
        <w:t xml:space="preserve"> the Expert Mechanism to continue to pay particular attention to the international dimension of the right to development, and how this aspect will make the practical implementation of the right to development effective at the international, regional and national levels;</w:t>
      </w:r>
    </w:p>
    <w:p w14:paraId="169B8DED" w14:textId="0750D568" w:rsidR="00CF0C0F" w:rsidRPr="00CF0C0F" w:rsidRDefault="00CF0C0F" w:rsidP="00850BAD">
      <w:pPr>
        <w:pStyle w:val="SingleTxtG"/>
      </w:pPr>
      <w:r w:rsidRPr="00CF0C0F">
        <w:rPr>
          <w:iCs/>
          <w:lang w:val="en-US"/>
        </w:rPr>
        <w:tab/>
      </w:r>
      <w:r w:rsidRPr="00CF0C0F">
        <w:rPr>
          <w:iCs/>
          <w:lang w:val="en-US"/>
        </w:rPr>
        <w:tab/>
      </w:r>
      <w:r w:rsidRPr="00CF0C0F">
        <w:t>2</w:t>
      </w:r>
      <w:r w:rsidR="00C35CD8">
        <w:t>0</w:t>
      </w:r>
      <w:r w:rsidRPr="00CF0C0F">
        <w:t>.</w:t>
      </w:r>
      <w:r w:rsidRPr="00CF0C0F">
        <w:tab/>
      </w:r>
      <w:r w:rsidR="00850BAD" w:rsidRPr="00E60282">
        <w:rPr>
          <w:i/>
          <w:iCs/>
        </w:rPr>
        <w:t>W</w:t>
      </w:r>
      <w:r w:rsidRPr="00CF0C0F">
        <w:rPr>
          <w:i/>
        </w:rPr>
        <w:t>elcomes</w:t>
      </w:r>
      <w:r w:rsidRPr="00CF0C0F">
        <w:t xml:space="preserve"> the report of the Special Rapporteur,</w:t>
      </w:r>
      <w:r w:rsidR="00A97291">
        <w:rPr>
          <w:rStyle w:val="FootnoteReference"/>
        </w:rPr>
        <w:footnoteReference w:id="10"/>
      </w:r>
      <w:r w:rsidRPr="00CF0C0F">
        <w:t xml:space="preserve"> and requests the mandate holder to continue to pay particular attention to the implementation of the right to development, which facilitates the full enjoyment of human rights, in accordance with the mandate;</w:t>
      </w:r>
    </w:p>
    <w:p w14:paraId="68A088D9" w14:textId="60A1C641" w:rsidR="00CF0C0F" w:rsidRPr="00CF0C0F" w:rsidRDefault="00CF0C0F" w:rsidP="00850BAD">
      <w:pPr>
        <w:pStyle w:val="SingleTxtG"/>
        <w:ind w:firstLine="567"/>
      </w:pPr>
      <w:r w:rsidRPr="00CF0C0F">
        <w:t>2</w:t>
      </w:r>
      <w:r w:rsidR="00C35CD8">
        <w:t>1</w:t>
      </w:r>
      <w:r w:rsidRPr="00CF0C0F">
        <w:t>.</w:t>
      </w:r>
      <w:r w:rsidR="00850BAD">
        <w:tab/>
      </w:r>
      <w:r w:rsidRPr="00B4623E">
        <w:rPr>
          <w:i/>
          <w:iCs/>
        </w:rPr>
        <w:t>Decides</w:t>
      </w:r>
      <w:r w:rsidRPr="00CF0C0F">
        <w:t xml:space="preserve"> to extend for a period of three years the mandate of Special Rapporteur on the right to development, in accordance with the terms set out by the Human Rights Council in its resolution 33/14 of 29 September 2016;</w:t>
      </w:r>
    </w:p>
    <w:p w14:paraId="71AEEAAC" w14:textId="77777777" w:rsidR="00CF0C0F" w:rsidRPr="00CF0C0F" w:rsidRDefault="00CF0C0F" w:rsidP="00CF0C0F">
      <w:pPr>
        <w:pStyle w:val="SingleTxtG"/>
      </w:pPr>
      <w:r w:rsidRPr="00CF0C0F">
        <w:tab/>
      </w:r>
      <w:r w:rsidRPr="00CF0C0F">
        <w:tab/>
        <w:t>22.</w:t>
      </w:r>
      <w:r w:rsidRPr="00CF0C0F">
        <w:tab/>
      </w:r>
      <w:r w:rsidRPr="00CF0C0F">
        <w:rPr>
          <w:i/>
          <w:iCs/>
        </w:rPr>
        <w:t>Requests</w:t>
      </w:r>
      <w:r w:rsidRPr="00CF0C0F">
        <w:t xml:space="preserve"> the Special Rapporteur and the members of the Expert Mechanism to participate in relevant international dialogues and policy forums relating to the implementation of the 2030 Agenda for Sustainable Development, including the high-level political forum on sustainable development, financing for development, climate change and disaster risk reduction with a view to enhancing the integration of the right to development in these forums and dialogues, and requests States, international organizations, United Nations agencies, regional economic commissions and other relevant organizations to facilitate the meaningful participation of the Special Rapporteur and members of the Expert Mechanism in these forums and dialogues;</w:t>
      </w:r>
    </w:p>
    <w:p w14:paraId="5E6DB7FA" w14:textId="77777777" w:rsidR="00CF0C0F" w:rsidRPr="00CF0C0F" w:rsidRDefault="00CF0C0F" w:rsidP="00CF0C0F">
      <w:pPr>
        <w:pStyle w:val="SingleTxtG"/>
      </w:pPr>
      <w:r w:rsidRPr="00CF0C0F">
        <w:tab/>
      </w:r>
      <w:bookmarkStart w:id="5" w:name="_Hlk115343976"/>
      <w:r w:rsidRPr="00CF0C0F">
        <w:tab/>
        <w:t>23.</w:t>
      </w:r>
      <w:r w:rsidRPr="00CF0C0F">
        <w:tab/>
      </w:r>
      <w:r w:rsidRPr="00CF0C0F">
        <w:rPr>
          <w:i/>
          <w:iCs/>
        </w:rPr>
        <w:t>Invites</w:t>
      </w:r>
      <w:r w:rsidRPr="00CF0C0F">
        <w:t xml:space="preserve"> the Special Rapporteur to provide advice to States, </w:t>
      </w:r>
      <w:bookmarkEnd w:id="5"/>
      <w:r w:rsidRPr="00CF0C0F">
        <w:t>international financial and economic institutions and other relevant entities, the corporate sector and civil society on measures to achieve the goals and targets relating to the means of implementation of the 2030 Agenda for the full realization of the right to development;</w:t>
      </w:r>
    </w:p>
    <w:p w14:paraId="3237D673" w14:textId="77777777" w:rsidR="00CF0C0F" w:rsidRPr="00CF0C0F" w:rsidRDefault="00CF0C0F" w:rsidP="00CF0C0F">
      <w:pPr>
        <w:pStyle w:val="SingleTxtG"/>
      </w:pPr>
      <w:r w:rsidRPr="00CF0C0F">
        <w:rPr>
          <w:bCs/>
        </w:rPr>
        <w:tab/>
      </w:r>
      <w:r w:rsidRPr="00CF0C0F">
        <w:rPr>
          <w:bCs/>
        </w:rPr>
        <w:tab/>
        <w:t>24.</w:t>
      </w:r>
      <w:r w:rsidRPr="00CF0C0F">
        <w:rPr>
          <w:bCs/>
        </w:rPr>
        <w:tab/>
      </w:r>
      <w:r w:rsidRPr="00CF0C0F">
        <w:rPr>
          <w:bCs/>
          <w:i/>
          <w:iCs/>
        </w:rPr>
        <w:t>Reiterates</w:t>
      </w:r>
      <w:r w:rsidRPr="00CF0C0F">
        <w:rPr>
          <w:bCs/>
        </w:rPr>
        <w:t xml:space="preserve"> its decision to</w:t>
      </w:r>
      <w:r w:rsidRPr="00CF0C0F">
        <w:t xml:space="preserve"> continue to act to ensure that its agenda promotes and advances sustainable development and the achievement of the Sustainable Development Goals, and in this regard leads to raising the right to development, as set out in paragraphs 5 and 10 of the Vienna Declaration and Programme of Action, to the same level and on a par with all other human rights and fundamental freedoms;</w:t>
      </w:r>
    </w:p>
    <w:p w14:paraId="232AD172" w14:textId="77777777" w:rsidR="00CF0C0F" w:rsidRPr="00CF0C0F" w:rsidRDefault="00CF0C0F" w:rsidP="00CF0C0F">
      <w:pPr>
        <w:pStyle w:val="SingleTxtG"/>
      </w:pPr>
      <w:r w:rsidRPr="00CF0C0F">
        <w:tab/>
      </w:r>
      <w:r w:rsidRPr="00CF0C0F">
        <w:tab/>
        <w:t>25.</w:t>
      </w:r>
      <w:r w:rsidRPr="00CF0C0F">
        <w:tab/>
      </w:r>
      <w:r w:rsidRPr="00CF0C0F">
        <w:rPr>
          <w:i/>
          <w:iCs/>
        </w:rPr>
        <w:t>Requests</w:t>
      </w:r>
      <w:r w:rsidRPr="00CF0C0F">
        <w:t xml:space="preserve"> the Office of the High Commissioner to continue to </w:t>
      </w:r>
      <w:r w:rsidRPr="00CF0C0F">
        <w:rPr>
          <w:bCs/>
        </w:rPr>
        <w:t>keep</w:t>
      </w:r>
      <w:r w:rsidRPr="00CF0C0F">
        <w:t xml:space="preserve"> the right to development</w:t>
      </w:r>
      <w:r w:rsidRPr="00CF0C0F">
        <w:rPr>
          <w:bCs/>
        </w:rPr>
        <w:t xml:space="preserve"> high on its agenda</w:t>
      </w:r>
      <w:r w:rsidRPr="00CF0C0F">
        <w:t>, to pursue further work in this area in full cooperation with the Special Rapporteur on the right to development and the Expert Mechanism on the Right to Development in their activities, and to provide them with all the assistance necessary for the effective fulfilment of their mandates;</w:t>
      </w:r>
    </w:p>
    <w:p w14:paraId="3CB1C9D2" w14:textId="4DB1671C" w:rsidR="00CF0C0F" w:rsidRPr="00CF0C0F" w:rsidRDefault="00CF0C0F" w:rsidP="00CF0C0F">
      <w:pPr>
        <w:pStyle w:val="SingleTxtG"/>
      </w:pPr>
      <w:r w:rsidRPr="00CF0C0F">
        <w:tab/>
      </w:r>
      <w:r w:rsidRPr="00CF0C0F">
        <w:tab/>
        <w:t>26.</w:t>
      </w:r>
      <w:r w:rsidRPr="00CF0C0F">
        <w:tab/>
      </w:r>
      <w:r w:rsidRPr="00CF0C0F">
        <w:rPr>
          <w:i/>
          <w:iCs/>
        </w:rPr>
        <w:t xml:space="preserve">Recalls </w:t>
      </w:r>
      <w:r w:rsidRPr="00CF0C0F">
        <w:t xml:space="preserve">the </w:t>
      </w:r>
      <w:r w:rsidR="008F0B0D">
        <w:t xml:space="preserve">biennial </w:t>
      </w:r>
      <w:r w:rsidRPr="00CF0C0F">
        <w:t xml:space="preserve">panel discussion </w:t>
      </w:r>
      <w:r w:rsidR="008F0B0D">
        <w:t xml:space="preserve">on the right to development </w:t>
      </w:r>
      <w:r w:rsidRPr="00CF0C0F">
        <w:t xml:space="preserve">and the report </w:t>
      </w:r>
      <w:r w:rsidR="008F0B0D">
        <w:t xml:space="preserve">thereon of the Office of the High Commissioner submitted to the Human Rights Council </w:t>
      </w:r>
      <w:r w:rsidRPr="00CF0C0F">
        <w:t xml:space="preserve">at </w:t>
      </w:r>
      <w:r w:rsidR="008F0B0D">
        <w:t>its</w:t>
      </w:r>
      <w:r w:rsidR="008F0B0D" w:rsidRPr="00CF0C0F">
        <w:t xml:space="preserve"> </w:t>
      </w:r>
      <w:r w:rsidRPr="00CF0C0F">
        <w:t>fifty-eighth session,</w:t>
      </w:r>
      <w:r w:rsidR="008F0B0D">
        <w:rPr>
          <w:rStyle w:val="FootnoteReference"/>
        </w:rPr>
        <w:footnoteReference w:id="11"/>
      </w:r>
      <w:r w:rsidRPr="00CF0C0F">
        <w:t xml:space="preserve"> and requests the Office, in accordance with paragraph 27 of its resolution 42/23, to organize the next biennial panel discussion on the right to development, to be held at its sixty-third session, in a format that is fully accessible to persons with disabilities, including sign language interpretation, and also requests the Office to prepare a report on the panel discussion and to submit it to the Council at its sixty-sixth session;</w:t>
      </w:r>
    </w:p>
    <w:p w14:paraId="0B985B1A" w14:textId="77777777" w:rsidR="00CF0C0F" w:rsidRPr="00CF0C0F" w:rsidRDefault="00CF0C0F" w:rsidP="00CF0C0F">
      <w:pPr>
        <w:pStyle w:val="SingleTxtG"/>
      </w:pPr>
      <w:r w:rsidRPr="00CF0C0F">
        <w:tab/>
      </w:r>
      <w:r w:rsidRPr="00CF0C0F">
        <w:tab/>
        <w:t>27.</w:t>
      </w:r>
      <w:r w:rsidRPr="00CF0C0F">
        <w:tab/>
      </w:r>
      <w:r w:rsidRPr="00CF0C0F">
        <w:rPr>
          <w:i/>
          <w:iCs/>
        </w:rPr>
        <w:t>Encourages</w:t>
      </w:r>
      <w:r w:rsidRPr="00CF0C0F">
        <w:t xml:space="preserve"> all States to cooperate with and assist the Special Rapporteur and the Expert Mechanism in their tasks, and to supply all necessary information requested, where available, for the fulfilment of the mandates entrusted to them;</w:t>
      </w:r>
    </w:p>
    <w:p w14:paraId="6EEBB7CE" w14:textId="77777777" w:rsidR="00CF0C0F" w:rsidRPr="00CF0C0F" w:rsidRDefault="00CF0C0F" w:rsidP="00CF0C0F">
      <w:pPr>
        <w:pStyle w:val="SingleTxtG"/>
      </w:pPr>
      <w:r w:rsidRPr="00CF0C0F">
        <w:tab/>
      </w:r>
      <w:r w:rsidRPr="00CF0C0F">
        <w:tab/>
        <w:t>28.</w:t>
      </w:r>
      <w:r w:rsidRPr="00CF0C0F">
        <w:tab/>
      </w:r>
      <w:r w:rsidRPr="00CF0C0F">
        <w:rPr>
          <w:i/>
          <w:iCs/>
        </w:rPr>
        <w:t>Requests</w:t>
      </w:r>
      <w:r w:rsidRPr="00CF0C0F">
        <w:t xml:space="preserve"> all special procedures and other human rights mechanisms of the Human Rights Council to regularly and systematically integrate the right to development perspective into the implementation of their mandates;</w:t>
      </w:r>
    </w:p>
    <w:p w14:paraId="63F73EFD" w14:textId="77777777" w:rsidR="00CF0C0F" w:rsidRPr="00CF0C0F" w:rsidRDefault="00CF0C0F" w:rsidP="00CF0C0F">
      <w:pPr>
        <w:pStyle w:val="SingleTxtG"/>
      </w:pPr>
      <w:r w:rsidRPr="00CF0C0F">
        <w:tab/>
      </w:r>
      <w:r w:rsidRPr="00CF0C0F">
        <w:tab/>
        <w:t>29.</w:t>
      </w:r>
      <w:r w:rsidRPr="00CF0C0F">
        <w:tab/>
      </w:r>
      <w:r w:rsidRPr="00CF0C0F">
        <w:rPr>
          <w:i/>
          <w:iCs/>
        </w:rPr>
        <w:t>Encourages</w:t>
      </w:r>
      <w:r w:rsidRPr="00CF0C0F">
        <w:t xml:space="preserve"> relevant bodies of the United Nations system, within their respective mandates, including United Nations specialized agencies, funds and programmes, relevant international organizations, including the World Trade Organization and relevant stakeholders, including civil society organizations, to give due consideration to the right to development in the implementation of the 2030 Agenda, to contribute further to the work of the Working Group and to cooperate with the High Commissioner, the Special Rapporteur and the Expert Mechanism in the fulfilment of their mandates with regard to the promotion and implementation of the right to development;</w:t>
      </w:r>
    </w:p>
    <w:p w14:paraId="24C7BE7F" w14:textId="1F385225" w:rsidR="00A96E1A" w:rsidRDefault="00CF0C0F" w:rsidP="00CF0C0F">
      <w:pPr>
        <w:pStyle w:val="SingleTxtG"/>
      </w:pPr>
      <w:r w:rsidRPr="00CF0C0F">
        <w:tab/>
      </w:r>
      <w:r w:rsidRPr="00CF0C0F">
        <w:tab/>
        <w:t>30.</w:t>
      </w:r>
      <w:r w:rsidRPr="00CF0C0F">
        <w:tab/>
      </w:r>
      <w:r w:rsidRPr="00CF0C0F">
        <w:rPr>
          <w:i/>
          <w:iCs/>
        </w:rPr>
        <w:t>Decides</w:t>
      </w:r>
      <w:r w:rsidRPr="00CF0C0F">
        <w:t xml:space="preserve"> to review the progress of the implementation of the present resolution, as a matter of priority, at its future sessions.</w:t>
      </w:r>
    </w:p>
    <w:p w14:paraId="09A00542" w14:textId="77777777" w:rsidR="00FB6C59" w:rsidRPr="003626D7" w:rsidRDefault="00FB6C59" w:rsidP="00FB6C59">
      <w:pPr>
        <w:pStyle w:val="SingleTxtG"/>
        <w:ind w:left="1118"/>
        <w:jc w:val="right"/>
        <w:rPr>
          <w:i/>
          <w:iCs/>
        </w:rPr>
      </w:pPr>
      <w:r w:rsidRPr="003626D7">
        <w:rPr>
          <w:i/>
          <w:iCs/>
        </w:rPr>
        <w:t>4</w:t>
      </w:r>
      <w:r>
        <w:rPr>
          <w:i/>
          <w:iCs/>
        </w:rPr>
        <w:t>2nd</w:t>
      </w:r>
      <w:r w:rsidRPr="003626D7">
        <w:rPr>
          <w:i/>
          <w:iCs/>
        </w:rPr>
        <w:t xml:space="preserve"> meeting</w:t>
      </w:r>
      <w:r w:rsidRPr="003626D7">
        <w:rPr>
          <w:i/>
          <w:iCs/>
        </w:rPr>
        <w:br/>
        <w:t>6 October 2025</w:t>
      </w:r>
    </w:p>
    <w:p w14:paraId="5AF675C5" w14:textId="5DE48B57" w:rsidR="00FB6C59" w:rsidRPr="003626D7" w:rsidRDefault="00FB6C59" w:rsidP="00FB6C59">
      <w:pPr>
        <w:pStyle w:val="SingleTxtG"/>
        <w:ind w:left="1118"/>
      </w:pPr>
      <w:r w:rsidRPr="003626D7">
        <w:t>[Adopted by a recorded vote of 2</w:t>
      </w:r>
      <w:r w:rsidR="00A4748C">
        <w:t>8</w:t>
      </w:r>
      <w:r w:rsidRPr="003626D7">
        <w:t xml:space="preserve"> to 1</w:t>
      </w:r>
      <w:r w:rsidR="00C64A0D">
        <w:t>4</w:t>
      </w:r>
      <w:r w:rsidRPr="003626D7">
        <w:t xml:space="preserve">, with </w:t>
      </w:r>
      <w:r w:rsidR="00C64A0D">
        <w:t>5</w:t>
      </w:r>
      <w:r w:rsidRPr="003626D7">
        <w:t xml:space="preserve"> abstentions. The voting was as follows:</w:t>
      </w:r>
    </w:p>
    <w:p w14:paraId="3C10ECD3" w14:textId="77777777" w:rsidR="00FB6C59" w:rsidRPr="003626D7" w:rsidRDefault="00FB6C59" w:rsidP="00FB6C59">
      <w:pPr>
        <w:pStyle w:val="SingleTxtG"/>
        <w:spacing w:after="0"/>
        <w:ind w:left="1701"/>
      </w:pPr>
      <w:r w:rsidRPr="003626D7">
        <w:rPr>
          <w:i/>
          <w:iCs/>
        </w:rPr>
        <w:t>In favour</w:t>
      </w:r>
      <w:r w:rsidRPr="003626D7">
        <w:t xml:space="preserve">: </w:t>
      </w:r>
    </w:p>
    <w:p w14:paraId="705A3A09" w14:textId="7191812B" w:rsidR="00FB6C59" w:rsidRPr="003626D7" w:rsidRDefault="00FB6C59" w:rsidP="00FB6C59">
      <w:pPr>
        <w:pStyle w:val="SingleTxtG"/>
        <w:ind w:left="2268"/>
      </w:pPr>
      <w:r w:rsidRPr="003626D7">
        <w:t xml:space="preserve">Algeria, Bangladesh, Benin, Bolivia (Plurinational State of), Brazil, Burundi, China, Colombia, Côte d’Ivoire, Cuba, Democratic Republic of the Congo, Dominican Republic, Ethiopia, Gambia, Ghana, Indonesia, </w:t>
      </w:r>
      <w:r w:rsidR="007F2E01" w:rsidRPr="003626D7">
        <w:t>Kenya</w:t>
      </w:r>
      <w:r w:rsidR="007F2E01">
        <w:t>,</w:t>
      </w:r>
      <w:r w:rsidR="007F2E01" w:rsidRPr="004E052D">
        <w:t xml:space="preserve"> </w:t>
      </w:r>
      <w:r w:rsidRPr="003626D7">
        <w:t xml:space="preserve">Kuwait, Kyrgyzstan, Malawi, Maldives, Mexico, </w:t>
      </w:r>
      <w:r w:rsidR="00E52A79" w:rsidRPr="003626D7">
        <w:t xml:space="preserve">Morocco, </w:t>
      </w:r>
      <w:r w:rsidRPr="003626D7">
        <w:t>Qatar, South Africa, Sudan, Thailand, Viet Nam</w:t>
      </w:r>
    </w:p>
    <w:p w14:paraId="50714DE0" w14:textId="77777777" w:rsidR="00FB6C59" w:rsidRPr="003626D7" w:rsidRDefault="00FB6C59" w:rsidP="00FB6C59">
      <w:pPr>
        <w:pStyle w:val="SingleTxtG"/>
        <w:spacing w:after="0"/>
        <w:ind w:left="1701"/>
      </w:pPr>
      <w:r w:rsidRPr="003626D7">
        <w:rPr>
          <w:i/>
          <w:iCs/>
        </w:rPr>
        <w:t>Against</w:t>
      </w:r>
      <w:r w:rsidRPr="003626D7">
        <w:t xml:space="preserve">: </w:t>
      </w:r>
    </w:p>
    <w:p w14:paraId="25C565B7" w14:textId="1EE4EC1B" w:rsidR="00FB6C59" w:rsidRPr="003626D7" w:rsidRDefault="00FB6C59" w:rsidP="00FB6C59">
      <w:pPr>
        <w:pStyle w:val="SingleTxtG"/>
        <w:ind w:left="2268"/>
        <w:rPr>
          <w:i/>
          <w:iCs/>
        </w:rPr>
      </w:pPr>
      <w:r w:rsidRPr="003626D7">
        <w:t>Albania, Belgium, Bulgaria, Cyprus, Czechia, France, Georgia, Germany, Japan, Netherlands (Kingdom of the), North Macedonia, Romania, Spain, Switzerland</w:t>
      </w:r>
    </w:p>
    <w:p w14:paraId="20DBE111" w14:textId="77777777" w:rsidR="00FB6C59" w:rsidRPr="003626D7" w:rsidRDefault="00FB6C59" w:rsidP="00FB6C59">
      <w:pPr>
        <w:pStyle w:val="SingleTxtG"/>
        <w:spacing w:after="0"/>
        <w:ind w:left="1701"/>
      </w:pPr>
      <w:r w:rsidRPr="003626D7">
        <w:rPr>
          <w:i/>
          <w:iCs/>
        </w:rPr>
        <w:t>Abstaining</w:t>
      </w:r>
      <w:r w:rsidRPr="003626D7">
        <w:t xml:space="preserve">: </w:t>
      </w:r>
    </w:p>
    <w:p w14:paraId="2CECCC0C" w14:textId="76154CCC" w:rsidR="00FD0B95" w:rsidRDefault="00FB6C59" w:rsidP="00FB6C59">
      <w:pPr>
        <w:pStyle w:val="SingleTxtG"/>
        <w:ind w:left="1701" w:firstLine="567"/>
      </w:pPr>
      <w:r w:rsidRPr="003626D7">
        <w:t xml:space="preserve">Chile, Costa Rica, Iceland, </w:t>
      </w:r>
      <w:r w:rsidR="002A5EBB" w:rsidRPr="003626D7">
        <w:t xml:space="preserve">Marshall Islands, </w:t>
      </w:r>
      <w:r w:rsidR="004E052D" w:rsidRPr="003626D7">
        <w:t>Republic of Korea</w:t>
      </w:r>
      <w:r w:rsidRPr="003626D7">
        <w:t>]</w:t>
      </w:r>
    </w:p>
    <w:p w14:paraId="497B482F" w14:textId="5E6C4315" w:rsidR="00823C8E" w:rsidRPr="00A97291" w:rsidRDefault="00A97291" w:rsidP="00A97291">
      <w:pPr>
        <w:suppressAutoHyphens w:val="0"/>
        <w:spacing w:before="240"/>
        <w:jc w:val="center"/>
        <w:rPr>
          <w:u w:val="single"/>
        </w:rPr>
      </w:pPr>
      <w:r>
        <w:rPr>
          <w:u w:val="single"/>
        </w:rPr>
        <w:tab/>
      </w:r>
      <w:r>
        <w:rPr>
          <w:u w:val="single"/>
        </w:rPr>
        <w:tab/>
      </w:r>
      <w:r>
        <w:rPr>
          <w:u w:val="single"/>
        </w:rPr>
        <w:tab/>
      </w:r>
    </w:p>
    <w:sectPr w:rsidR="00823C8E" w:rsidRPr="00A97291"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12C87" w14:textId="77777777" w:rsidR="00B318F7" w:rsidRDefault="00B318F7"/>
  </w:endnote>
  <w:endnote w:type="continuationSeparator" w:id="0">
    <w:p w14:paraId="0794D2B7" w14:textId="77777777" w:rsidR="00B318F7" w:rsidRDefault="00B318F7"/>
  </w:endnote>
  <w:endnote w:type="continuationNotice" w:id="1">
    <w:p w14:paraId="6F0DDB7C" w14:textId="77777777" w:rsidR="00B318F7" w:rsidRDefault="00B318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0A8B" w14:textId="29E03C19" w:rsidR="004A2207" w:rsidRDefault="0020568E" w:rsidP="0020568E">
    <w:pPr>
      <w:pStyle w:val="Footer"/>
      <w:ind w:right="1134"/>
      <w:rPr>
        <w:sz w:val="20"/>
      </w:rPr>
    </w:pPr>
    <w:r w:rsidRPr="0020568E">
      <w:rPr>
        <w:noProof/>
        <w:sz w:val="20"/>
        <w:lang w:val="en-US"/>
      </w:rPr>
      <w:drawing>
        <wp:anchor distT="0" distB="0" distL="114300" distR="114300" simplePos="0" relativeHeight="251659264" behindDoc="0" locked="1" layoutInCell="1" allowOverlap="1" wp14:anchorId="1A6E5B7C" wp14:editId="16B853B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221AA9" w14:textId="318D0513" w:rsidR="0020568E" w:rsidRPr="0020568E" w:rsidRDefault="0020568E" w:rsidP="0020568E">
    <w:pPr>
      <w:pStyle w:val="Footer"/>
      <w:ind w:right="1134"/>
      <w:rPr>
        <w:sz w:val="20"/>
      </w:rPr>
    </w:pPr>
    <w:r>
      <w:rPr>
        <w:sz w:val="20"/>
      </w:rPr>
      <w:t>GE.25-15966  (E)</w:t>
    </w:r>
    <w:r>
      <w:rPr>
        <w:noProof/>
        <w:sz w:val="20"/>
      </w:rPr>
      <w:drawing>
        <wp:anchor distT="0" distB="0" distL="114300" distR="114300" simplePos="0" relativeHeight="251660288" behindDoc="0" locked="0" layoutInCell="1" allowOverlap="1" wp14:anchorId="0EE71803" wp14:editId="0821CCD7">
          <wp:simplePos x="0" y="0"/>
          <wp:positionH relativeFrom="margin">
            <wp:posOffset>5583555</wp:posOffset>
          </wp:positionH>
          <wp:positionV relativeFrom="margin">
            <wp:posOffset>8981440</wp:posOffset>
          </wp:positionV>
          <wp:extent cx="571500" cy="571500"/>
          <wp:effectExtent l="0" t="0" r="0" b="0"/>
          <wp:wrapNone/>
          <wp:docPr id="416049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D05AE" w14:textId="77777777" w:rsidR="00B318F7" w:rsidRPr="000B175B" w:rsidRDefault="00B318F7" w:rsidP="000B175B">
      <w:pPr>
        <w:tabs>
          <w:tab w:val="right" w:pos="2155"/>
        </w:tabs>
        <w:spacing w:after="80"/>
        <w:ind w:left="680"/>
        <w:rPr>
          <w:u w:val="single"/>
        </w:rPr>
      </w:pPr>
      <w:r>
        <w:rPr>
          <w:u w:val="single"/>
        </w:rPr>
        <w:tab/>
      </w:r>
    </w:p>
  </w:footnote>
  <w:footnote w:type="continuationSeparator" w:id="0">
    <w:p w14:paraId="5F3363EE" w14:textId="77777777" w:rsidR="00B318F7" w:rsidRPr="00FC68B7" w:rsidRDefault="00B318F7" w:rsidP="00FC68B7">
      <w:pPr>
        <w:tabs>
          <w:tab w:val="left" w:pos="2155"/>
        </w:tabs>
        <w:spacing w:after="80"/>
        <w:ind w:left="680"/>
        <w:rPr>
          <w:u w:val="single"/>
        </w:rPr>
      </w:pPr>
      <w:r>
        <w:rPr>
          <w:u w:val="single"/>
        </w:rPr>
        <w:tab/>
      </w:r>
    </w:p>
  </w:footnote>
  <w:footnote w:type="continuationNotice" w:id="1">
    <w:p w14:paraId="3CA8E02B" w14:textId="77777777" w:rsidR="00B318F7" w:rsidRDefault="00B318F7"/>
  </w:footnote>
  <w:footnote w:id="2">
    <w:p w14:paraId="101E3BEA" w14:textId="0925DC11" w:rsidR="001C2B74" w:rsidRPr="001C2B74" w:rsidRDefault="001C2B74" w:rsidP="001C2B74">
      <w:pPr>
        <w:pStyle w:val="FootnoteText"/>
        <w:widowControl w:val="0"/>
        <w:tabs>
          <w:tab w:val="clear" w:pos="1021"/>
          <w:tab w:val="right" w:pos="1020"/>
        </w:tabs>
        <w:rPr>
          <w:lang w:val="en-US"/>
        </w:rPr>
      </w:pPr>
      <w:r>
        <w:tab/>
      </w:r>
      <w:r>
        <w:rPr>
          <w:rStyle w:val="FootnoteReference"/>
        </w:rPr>
        <w:footnoteRef/>
      </w:r>
      <w:r>
        <w:tab/>
      </w:r>
      <w:r w:rsidRPr="001C2B74">
        <w:rPr>
          <w:lang w:val="en-US"/>
        </w:rPr>
        <w:t>General Assembly resolution 73/291.</w:t>
      </w:r>
    </w:p>
  </w:footnote>
  <w:footnote w:id="3">
    <w:p w14:paraId="3C86C66B" w14:textId="2E060B87" w:rsidR="00E33BEF" w:rsidRPr="00E33BEF" w:rsidRDefault="00E33BEF" w:rsidP="00E33BEF">
      <w:pPr>
        <w:pStyle w:val="FootnoteText"/>
        <w:widowControl w:val="0"/>
        <w:tabs>
          <w:tab w:val="clear" w:pos="1021"/>
          <w:tab w:val="right" w:pos="1020"/>
        </w:tabs>
        <w:rPr>
          <w:lang w:val="en-US"/>
        </w:rPr>
      </w:pPr>
      <w:r>
        <w:tab/>
      </w:r>
      <w:r>
        <w:rPr>
          <w:rStyle w:val="FootnoteReference"/>
        </w:rPr>
        <w:footnoteRef/>
      </w:r>
      <w:r>
        <w:tab/>
      </w:r>
      <w:r w:rsidRPr="00E33BEF">
        <w:rPr>
          <w:bCs/>
        </w:rPr>
        <w:t>A/HRC/45/40.</w:t>
      </w:r>
    </w:p>
  </w:footnote>
  <w:footnote w:id="4">
    <w:p w14:paraId="1F011CFD" w14:textId="3A443120" w:rsidR="00DC398F" w:rsidRPr="00DC398F" w:rsidRDefault="00DC398F" w:rsidP="00DC398F">
      <w:pPr>
        <w:pStyle w:val="FootnoteText"/>
        <w:widowControl w:val="0"/>
        <w:tabs>
          <w:tab w:val="clear" w:pos="1021"/>
          <w:tab w:val="right" w:pos="1020"/>
        </w:tabs>
        <w:rPr>
          <w:lang w:val="en-US"/>
        </w:rPr>
      </w:pPr>
      <w:r>
        <w:tab/>
      </w:r>
      <w:r>
        <w:rPr>
          <w:rStyle w:val="FootnoteReference"/>
        </w:rPr>
        <w:footnoteRef/>
      </w:r>
      <w:r>
        <w:tab/>
      </w:r>
      <w:r w:rsidRPr="00DC398F">
        <w:t>A/HRC/54/38.</w:t>
      </w:r>
    </w:p>
  </w:footnote>
  <w:footnote w:id="5">
    <w:p w14:paraId="31B9F98C" w14:textId="2DC3381B" w:rsidR="00DC398F" w:rsidRPr="00DC398F" w:rsidRDefault="00DC398F" w:rsidP="00DC398F">
      <w:pPr>
        <w:pStyle w:val="FootnoteText"/>
        <w:widowControl w:val="0"/>
        <w:tabs>
          <w:tab w:val="clear" w:pos="1021"/>
          <w:tab w:val="right" w:pos="1020"/>
        </w:tabs>
        <w:rPr>
          <w:lang w:val="en-US"/>
        </w:rPr>
      </w:pPr>
      <w:r>
        <w:tab/>
      </w:r>
      <w:r>
        <w:rPr>
          <w:rStyle w:val="FootnoteReference"/>
        </w:rPr>
        <w:footnoteRef/>
      </w:r>
      <w:r>
        <w:tab/>
      </w:r>
      <w:r w:rsidRPr="00DC398F">
        <w:rPr>
          <w:lang w:val="en-US"/>
        </w:rPr>
        <w:t>A/HRC/54/45.</w:t>
      </w:r>
    </w:p>
  </w:footnote>
  <w:footnote w:id="6">
    <w:p w14:paraId="3B87A6D4" w14:textId="6FBBCE0D" w:rsidR="00850BAD" w:rsidRPr="00850BAD" w:rsidRDefault="00850BAD" w:rsidP="00850BAD">
      <w:pPr>
        <w:pStyle w:val="FootnoteText"/>
        <w:widowControl w:val="0"/>
        <w:tabs>
          <w:tab w:val="clear" w:pos="1021"/>
          <w:tab w:val="right" w:pos="1020"/>
        </w:tabs>
        <w:rPr>
          <w:lang w:val="en-US"/>
        </w:rPr>
      </w:pPr>
      <w:r>
        <w:tab/>
      </w:r>
      <w:r>
        <w:rPr>
          <w:rStyle w:val="FootnoteReference"/>
        </w:rPr>
        <w:footnoteRef/>
      </w:r>
      <w:r>
        <w:tab/>
      </w:r>
      <w:r w:rsidRPr="00850BAD">
        <w:t>E/CN.4/2002/28/Rev.1, sect. VIII.A.</w:t>
      </w:r>
    </w:p>
  </w:footnote>
  <w:footnote w:id="7">
    <w:p w14:paraId="260B4ED4" w14:textId="2B92A1A9" w:rsidR="00850BAD" w:rsidRPr="00850BAD" w:rsidRDefault="00850BAD" w:rsidP="00850BAD">
      <w:pPr>
        <w:pStyle w:val="FootnoteText"/>
        <w:widowControl w:val="0"/>
        <w:tabs>
          <w:tab w:val="clear" w:pos="1021"/>
          <w:tab w:val="right" w:pos="1020"/>
        </w:tabs>
        <w:rPr>
          <w:lang w:val="en-US"/>
        </w:rPr>
      </w:pPr>
      <w:r>
        <w:tab/>
      </w:r>
      <w:r>
        <w:rPr>
          <w:rStyle w:val="FootnoteReference"/>
        </w:rPr>
        <w:footnoteRef/>
      </w:r>
      <w:r>
        <w:tab/>
      </w:r>
      <w:r w:rsidRPr="00850BAD">
        <w:t>A/HRC/60/37.</w:t>
      </w:r>
    </w:p>
  </w:footnote>
  <w:footnote w:id="8">
    <w:p w14:paraId="4DCB0E71" w14:textId="2C88368C" w:rsidR="00850BAD" w:rsidRPr="00850BAD" w:rsidRDefault="00850BAD" w:rsidP="00850BAD">
      <w:pPr>
        <w:pStyle w:val="FootnoteText"/>
        <w:widowControl w:val="0"/>
        <w:tabs>
          <w:tab w:val="clear" w:pos="1021"/>
          <w:tab w:val="right" w:pos="1020"/>
        </w:tabs>
        <w:rPr>
          <w:lang w:val="en-US"/>
        </w:rPr>
      </w:pPr>
      <w:r>
        <w:tab/>
      </w:r>
      <w:r>
        <w:rPr>
          <w:rStyle w:val="FootnoteReference"/>
        </w:rPr>
        <w:footnoteRef/>
      </w:r>
      <w:r>
        <w:tab/>
      </w:r>
      <w:r w:rsidRPr="00850BAD">
        <w:t>A/HRC/60/38</w:t>
      </w:r>
      <w:r w:rsidRPr="00850BAD">
        <w:rPr>
          <w:lang w:val="en-US"/>
        </w:rPr>
        <w:t>.</w:t>
      </w:r>
    </w:p>
  </w:footnote>
  <w:footnote w:id="9">
    <w:p w14:paraId="157823C6" w14:textId="706B0AE5" w:rsidR="00850BAD" w:rsidRPr="00850BAD" w:rsidRDefault="00850BAD" w:rsidP="00850BAD">
      <w:pPr>
        <w:pStyle w:val="FootnoteText"/>
        <w:widowControl w:val="0"/>
        <w:tabs>
          <w:tab w:val="clear" w:pos="1021"/>
          <w:tab w:val="right" w:pos="1020"/>
        </w:tabs>
        <w:rPr>
          <w:lang w:val="en-US"/>
        </w:rPr>
      </w:pPr>
      <w:r>
        <w:tab/>
      </w:r>
      <w:r>
        <w:rPr>
          <w:rStyle w:val="FootnoteReference"/>
        </w:rPr>
        <w:footnoteRef/>
      </w:r>
      <w:r>
        <w:tab/>
      </w:r>
      <w:r w:rsidRPr="00850BAD">
        <w:t>A/HRC/60/94 and A/HRC/60/95.</w:t>
      </w:r>
    </w:p>
  </w:footnote>
  <w:footnote w:id="10">
    <w:p w14:paraId="43179A26" w14:textId="1593E456" w:rsidR="00A97291" w:rsidRPr="00A97291" w:rsidRDefault="00A97291" w:rsidP="00A97291">
      <w:pPr>
        <w:pStyle w:val="FootnoteText"/>
        <w:widowControl w:val="0"/>
        <w:tabs>
          <w:tab w:val="clear" w:pos="1021"/>
          <w:tab w:val="right" w:pos="1020"/>
        </w:tabs>
        <w:rPr>
          <w:lang w:val="en-US"/>
        </w:rPr>
      </w:pPr>
      <w:r>
        <w:tab/>
      </w:r>
      <w:r>
        <w:rPr>
          <w:rStyle w:val="FootnoteReference"/>
        </w:rPr>
        <w:footnoteRef/>
      </w:r>
      <w:r>
        <w:tab/>
      </w:r>
      <w:r w:rsidRPr="00A97291">
        <w:t>A/HRC/60/25.</w:t>
      </w:r>
    </w:p>
  </w:footnote>
  <w:footnote w:id="11">
    <w:p w14:paraId="1D4F5408" w14:textId="5A814BE7" w:rsidR="008F0B0D" w:rsidRPr="00E60282" w:rsidRDefault="00AF5E94">
      <w:pPr>
        <w:pStyle w:val="FootnoteText"/>
        <w:rPr>
          <w:lang w:val="en-US"/>
        </w:rPr>
      </w:pPr>
      <w:r>
        <w:tab/>
      </w:r>
      <w:r w:rsidR="008F0B0D">
        <w:rPr>
          <w:rStyle w:val="FootnoteReference"/>
        </w:rPr>
        <w:footnoteRef/>
      </w:r>
      <w:r w:rsidR="008F0B0D">
        <w:t xml:space="preserve"> </w:t>
      </w:r>
      <w:r>
        <w:tab/>
      </w:r>
      <w:r>
        <w:rPr>
          <w:lang w:val="en-US"/>
        </w:rPr>
        <w:t>A/HRC/58/45.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14671A58" w:rsidR="004A3CF0" w:rsidRPr="00A96E1A" w:rsidRDefault="00A96E1A">
    <w:pPr>
      <w:pStyle w:val="Header"/>
      <w:rPr>
        <w:lang w:val="en-US"/>
      </w:rPr>
    </w:pPr>
    <w:r>
      <w:rPr>
        <w:lang w:val="en-US"/>
      </w:rPr>
      <w:t>A/HRC/</w:t>
    </w:r>
    <w:r w:rsidR="00FD0B95">
      <w:rPr>
        <w:lang w:val="en-US"/>
      </w:rPr>
      <w:t>RES/</w:t>
    </w:r>
    <w:r>
      <w:rPr>
        <w:lang w:val="en-US"/>
      </w:rPr>
      <w:t>60/</w:t>
    </w:r>
    <w:r w:rsidR="00FD0B95">
      <w:rPr>
        <w:lang w:val="en-US"/>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526A50B9" w:rsidR="004A3CF0" w:rsidRPr="00A97291" w:rsidRDefault="00A97291" w:rsidP="00FD0B95">
    <w:pPr>
      <w:pStyle w:val="Header"/>
      <w:jc w:val="right"/>
      <w:rPr>
        <w:lang w:val="en-US"/>
      </w:rPr>
    </w:pPr>
    <w:r>
      <w:rPr>
        <w:lang w:val="en-US"/>
      </w:rPr>
      <w:t>A/HRC/</w:t>
    </w:r>
    <w:r w:rsidR="00FD0B95">
      <w:rPr>
        <w:lang w:val="en-US"/>
      </w:rPr>
      <w:t>RES/</w:t>
    </w:r>
    <w:r>
      <w:rPr>
        <w:lang w:val="en-US"/>
      </w:rPr>
      <w:t>60/</w:t>
    </w:r>
    <w:r w:rsidR="00FD0B95">
      <w:rPr>
        <w:lang w:val="en-US"/>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0B66"/>
    <w:rsid w:val="00022DB5"/>
    <w:rsid w:val="000403D1"/>
    <w:rsid w:val="000449AA"/>
    <w:rsid w:val="00050F6B"/>
    <w:rsid w:val="0005662A"/>
    <w:rsid w:val="00072C8C"/>
    <w:rsid w:val="00073E70"/>
    <w:rsid w:val="000876EB"/>
    <w:rsid w:val="00091419"/>
    <w:rsid w:val="000931C0"/>
    <w:rsid w:val="000B175B"/>
    <w:rsid w:val="000B2851"/>
    <w:rsid w:val="000B3A0F"/>
    <w:rsid w:val="000B4A3B"/>
    <w:rsid w:val="000B5326"/>
    <w:rsid w:val="000C59D8"/>
    <w:rsid w:val="000C5C56"/>
    <w:rsid w:val="000C6EF8"/>
    <w:rsid w:val="000D1851"/>
    <w:rsid w:val="000E0415"/>
    <w:rsid w:val="000E67A7"/>
    <w:rsid w:val="00120A63"/>
    <w:rsid w:val="001317FE"/>
    <w:rsid w:val="00146D32"/>
    <w:rsid w:val="001509BA"/>
    <w:rsid w:val="00164745"/>
    <w:rsid w:val="00185FCE"/>
    <w:rsid w:val="001974F9"/>
    <w:rsid w:val="001B4B04"/>
    <w:rsid w:val="001C2B74"/>
    <w:rsid w:val="001C6663"/>
    <w:rsid w:val="001C7895"/>
    <w:rsid w:val="001D26DF"/>
    <w:rsid w:val="001D7BEB"/>
    <w:rsid w:val="001E2790"/>
    <w:rsid w:val="001E30E2"/>
    <w:rsid w:val="0020568E"/>
    <w:rsid w:val="00211E0B"/>
    <w:rsid w:val="00211E72"/>
    <w:rsid w:val="00214047"/>
    <w:rsid w:val="0022130F"/>
    <w:rsid w:val="00237785"/>
    <w:rsid w:val="002410DD"/>
    <w:rsid w:val="00241466"/>
    <w:rsid w:val="00244B97"/>
    <w:rsid w:val="00253D58"/>
    <w:rsid w:val="0027725F"/>
    <w:rsid w:val="002A5EBB"/>
    <w:rsid w:val="002A7BAB"/>
    <w:rsid w:val="002B0354"/>
    <w:rsid w:val="002C21F0"/>
    <w:rsid w:val="002F6259"/>
    <w:rsid w:val="003107FA"/>
    <w:rsid w:val="003229D8"/>
    <w:rsid w:val="00324451"/>
    <w:rsid w:val="003314D1"/>
    <w:rsid w:val="003353BA"/>
    <w:rsid w:val="00335A2F"/>
    <w:rsid w:val="00341937"/>
    <w:rsid w:val="003878EB"/>
    <w:rsid w:val="0039277A"/>
    <w:rsid w:val="003972E0"/>
    <w:rsid w:val="003975ED"/>
    <w:rsid w:val="003A0E2D"/>
    <w:rsid w:val="003A6F02"/>
    <w:rsid w:val="003B1D8B"/>
    <w:rsid w:val="003C2CC4"/>
    <w:rsid w:val="003D4B23"/>
    <w:rsid w:val="00424C80"/>
    <w:rsid w:val="004325CB"/>
    <w:rsid w:val="00432F8A"/>
    <w:rsid w:val="004351C8"/>
    <w:rsid w:val="0044453C"/>
    <w:rsid w:val="0044503A"/>
    <w:rsid w:val="00446DE4"/>
    <w:rsid w:val="00447761"/>
    <w:rsid w:val="00451EC3"/>
    <w:rsid w:val="00463E14"/>
    <w:rsid w:val="0046485B"/>
    <w:rsid w:val="004721B1"/>
    <w:rsid w:val="004859EC"/>
    <w:rsid w:val="00496A15"/>
    <w:rsid w:val="004A2207"/>
    <w:rsid w:val="004A3CF0"/>
    <w:rsid w:val="004A63CF"/>
    <w:rsid w:val="004B31DA"/>
    <w:rsid w:val="004B75D2"/>
    <w:rsid w:val="004D1140"/>
    <w:rsid w:val="004D3857"/>
    <w:rsid w:val="004D3FE8"/>
    <w:rsid w:val="004E052D"/>
    <w:rsid w:val="004F55ED"/>
    <w:rsid w:val="005137DA"/>
    <w:rsid w:val="0052176C"/>
    <w:rsid w:val="005261E5"/>
    <w:rsid w:val="00530EB1"/>
    <w:rsid w:val="00532B61"/>
    <w:rsid w:val="005420F2"/>
    <w:rsid w:val="00542574"/>
    <w:rsid w:val="005436AB"/>
    <w:rsid w:val="00546924"/>
    <w:rsid w:val="00546DBF"/>
    <w:rsid w:val="00553D76"/>
    <w:rsid w:val="005552B5"/>
    <w:rsid w:val="0056117B"/>
    <w:rsid w:val="00562621"/>
    <w:rsid w:val="00571365"/>
    <w:rsid w:val="005818FC"/>
    <w:rsid w:val="005A0E16"/>
    <w:rsid w:val="005A519B"/>
    <w:rsid w:val="005B3DB3"/>
    <w:rsid w:val="005B6E48"/>
    <w:rsid w:val="005C39B2"/>
    <w:rsid w:val="005D53BE"/>
    <w:rsid w:val="005E1712"/>
    <w:rsid w:val="005F4196"/>
    <w:rsid w:val="005F50E7"/>
    <w:rsid w:val="005F5ECC"/>
    <w:rsid w:val="0060620C"/>
    <w:rsid w:val="00611FC4"/>
    <w:rsid w:val="006176FB"/>
    <w:rsid w:val="00640B26"/>
    <w:rsid w:val="0065366C"/>
    <w:rsid w:val="00655B60"/>
    <w:rsid w:val="00665295"/>
    <w:rsid w:val="00670741"/>
    <w:rsid w:val="0067527A"/>
    <w:rsid w:val="00696BD6"/>
    <w:rsid w:val="006A2035"/>
    <w:rsid w:val="006A66BF"/>
    <w:rsid w:val="006A6B9D"/>
    <w:rsid w:val="006A7032"/>
    <w:rsid w:val="006A7392"/>
    <w:rsid w:val="006B3189"/>
    <w:rsid w:val="006B7D65"/>
    <w:rsid w:val="006D5233"/>
    <w:rsid w:val="006D6DA6"/>
    <w:rsid w:val="006E564B"/>
    <w:rsid w:val="006F13F0"/>
    <w:rsid w:val="006F1FF8"/>
    <w:rsid w:val="006F5035"/>
    <w:rsid w:val="007065EB"/>
    <w:rsid w:val="00720183"/>
    <w:rsid w:val="0072632A"/>
    <w:rsid w:val="0074200B"/>
    <w:rsid w:val="007906DB"/>
    <w:rsid w:val="007A0814"/>
    <w:rsid w:val="007A3E3C"/>
    <w:rsid w:val="007A6296"/>
    <w:rsid w:val="007A79E4"/>
    <w:rsid w:val="007B6BA5"/>
    <w:rsid w:val="007C1B62"/>
    <w:rsid w:val="007C3390"/>
    <w:rsid w:val="007C4F4B"/>
    <w:rsid w:val="007D2CDC"/>
    <w:rsid w:val="007D5327"/>
    <w:rsid w:val="007F2E01"/>
    <w:rsid w:val="007F3E46"/>
    <w:rsid w:val="007F6611"/>
    <w:rsid w:val="008155C3"/>
    <w:rsid w:val="008175E9"/>
    <w:rsid w:val="0082243E"/>
    <w:rsid w:val="00823C8E"/>
    <w:rsid w:val="008242D7"/>
    <w:rsid w:val="00832909"/>
    <w:rsid w:val="00850BAD"/>
    <w:rsid w:val="00856CD2"/>
    <w:rsid w:val="00861BC6"/>
    <w:rsid w:val="00867DEE"/>
    <w:rsid w:val="00871FD5"/>
    <w:rsid w:val="00876690"/>
    <w:rsid w:val="0087669A"/>
    <w:rsid w:val="008816B2"/>
    <w:rsid w:val="008847BB"/>
    <w:rsid w:val="00895EC4"/>
    <w:rsid w:val="008979B1"/>
    <w:rsid w:val="008A6B25"/>
    <w:rsid w:val="008A6C4F"/>
    <w:rsid w:val="008B165B"/>
    <w:rsid w:val="008B2649"/>
    <w:rsid w:val="008C1E4D"/>
    <w:rsid w:val="008E0340"/>
    <w:rsid w:val="008E0E46"/>
    <w:rsid w:val="008F0B0D"/>
    <w:rsid w:val="008F5874"/>
    <w:rsid w:val="0090452C"/>
    <w:rsid w:val="00907C3F"/>
    <w:rsid w:val="0092237C"/>
    <w:rsid w:val="0093707B"/>
    <w:rsid w:val="009400EB"/>
    <w:rsid w:val="00940F52"/>
    <w:rsid w:val="009427E3"/>
    <w:rsid w:val="00946575"/>
    <w:rsid w:val="00956D9B"/>
    <w:rsid w:val="00963CBA"/>
    <w:rsid w:val="00965297"/>
    <w:rsid w:val="009654B7"/>
    <w:rsid w:val="00991261"/>
    <w:rsid w:val="009A0B83"/>
    <w:rsid w:val="009A2ADE"/>
    <w:rsid w:val="009A7CBC"/>
    <w:rsid w:val="009B3800"/>
    <w:rsid w:val="009C5EFD"/>
    <w:rsid w:val="009D22AC"/>
    <w:rsid w:val="009D50DB"/>
    <w:rsid w:val="009E1C4E"/>
    <w:rsid w:val="00A0036A"/>
    <w:rsid w:val="00A05324"/>
    <w:rsid w:val="00A05E0B"/>
    <w:rsid w:val="00A1427D"/>
    <w:rsid w:val="00A4634F"/>
    <w:rsid w:val="00A4748C"/>
    <w:rsid w:val="00A51CF3"/>
    <w:rsid w:val="00A547A1"/>
    <w:rsid w:val="00A644DF"/>
    <w:rsid w:val="00A72F22"/>
    <w:rsid w:val="00A73D32"/>
    <w:rsid w:val="00A748A6"/>
    <w:rsid w:val="00A879A4"/>
    <w:rsid w:val="00A87E95"/>
    <w:rsid w:val="00A92E29"/>
    <w:rsid w:val="00A96E1A"/>
    <w:rsid w:val="00A97291"/>
    <w:rsid w:val="00AC4FB4"/>
    <w:rsid w:val="00AC5AE2"/>
    <w:rsid w:val="00AD09E9"/>
    <w:rsid w:val="00AD2799"/>
    <w:rsid w:val="00AE2C85"/>
    <w:rsid w:val="00AF0576"/>
    <w:rsid w:val="00AF3829"/>
    <w:rsid w:val="00AF5E94"/>
    <w:rsid w:val="00B037F0"/>
    <w:rsid w:val="00B1004F"/>
    <w:rsid w:val="00B140F1"/>
    <w:rsid w:val="00B1557A"/>
    <w:rsid w:val="00B2327D"/>
    <w:rsid w:val="00B2718F"/>
    <w:rsid w:val="00B30179"/>
    <w:rsid w:val="00B318F7"/>
    <w:rsid w:val="00B32DDB"/>
    <w:rsid w:val="00B3317B"/>
    <w:rsid w:val="00B334DC"/>
    <w:rsid w:val="00B3631A"/>
    <w:rsid w:val="00B4623E"/>
    <w:rsid w:val="00B53013"/>
    <w:rsid w:val="00B62DA7"/>
    <w:rsid w:val="00B67F5E"/>
    <w:rsid w:val="00B73E65"/>
    <w:rsid w:val="00B81E12"/>
    <w:rsid w:val="00B87110"/>
    <w:rsid w:val="00B95B77"/>
    <w:rsid w:val="00B97FA8"/>
    <w:rsid w:val="00BB7A67"/>
    <w:rsid w:val="00BC1385"/>
    <w:rsid w:val="00BC16A0"/>
    <w:rsid w:val="00BC74E9"/>
    <w:rsid w:val="00BE618E"/>
    <w:rsid w:val="00BE655C"/>
    <w:rsid w:val="00BF116B"/>
    <w:rsid w:val="00C217E7"/>
    <w:rsid w:val="00C24693"/>
    <w:rsid w:val="00C25251"/>
    <w:rsid w:val="00C35CD8"/>
    <w:rsid w:val="00C35F0B"/>
    <w:rsid w:val="00C463DD"/>
    <w:rsid w:val="00C57379"/>
    <w:rsid w:val="00C61599"/>
    <w:rsid w:val="00C63949"/>
    <w:rsid w:val="00C64458"/>
    <w:rsid w:val="00C64A0D"/>
    <w:rsid w:val="00C745C3"/>
    <w:rsid w:val="00C814B8"/>
    <w:rsid w:val="00C91EA0"/>
    <w:rsid w:val="00CA2A58"/>
    <w:rsid w:val="00CC0B55"/>
    <w:rsid w:val="00CC0EF7"/>
    <w:rsid w:val="00CC2414"/>
    <w:rsid w:val="00CD6995"/>
    <w:rsid w:val="00CD6A37"/>
    <w:rsid w:val="00CE4A8F"/>
    <w:rsid w:val="00CF0214"/>
    <w:rsid w:val="00CF0C0F"/>
    <w:rsid w:val="00CF586F"/>
    <w:rsid w:val="00CF7D43"/>
    <w:rsid w:val="00D051C6"/>
    <w:rsid w:val="00D11129"/>
    <w:rsid w:val="00D132C7"/>
    <w:rsid w:val="00D2031B"/>
    <w:rsid w:val="00D22332"/>
    <w:rsid w:val="00D25FE2"/>
    <w:rsid w:val="00D41EEB"/>
    <w:rsid w:val="00D43252"/>
    <w:rsid w:val="00D44AB4"/>
    <w:rsid w:val="00D550F9"/>
    <w:rsid w:val="00D56874"/>
    <w:rsid w:val="00D572B0"/>
    <w:rsid w:val="00D62E90"/>
    <w:rsid w:val="00D76BE5"/>
    <w:rsid w:val="00D82910"/>
    <w:rsid w:val="00D927B4"/>
    <w:rsid w:val="00D92C82"/>
    <w:rsid w:val="00D978C6"/>
    <w:rsid w:val="00DA0116"/>
    <w:rsid w:val="00DA480B"/>
    <w:rsid w:val="00DA67AD"/>
    <w:rsid w:val="00DB18CE"/>
    <w:rsid w:val="00DB5566"/>
    <w:rsid w:val="00DC398F"/>
    <w:rsid w:val="00DE3EC0"/>
    <w:rsid w:val="00DF59B8"/>
    <w:rsid w:val="00E11593"/>
    <w:rsid w:val="00E123A5"/>
    <w:rsid w:val="00E12B6B"/>
    <w:rsid w:val="00E130AB"/>
    <w:rsid w:val="00E13E73"/>
    <w:rsid w:val="00E25AB5"/>
    <w:rsid w:val="00E33BEF"/>
    <w:rsid w:val="00E438D9"/>
    <w:rsid w:val="00E43BEC"/>
    <w:rsid w:val="00E46099"/>
    <w:rsid w:val="00E52A79"/>
    <w:rsid w:val="00E5644E"/>
    <w:rsid w:val="00E60282"/>
    <w:rsid w:val="00E7260F"/>
    <w:rsid w:val="00E806EE"/>
    <w:rsid w:val="00E81E48"/>
    <w:rsid w:val="00E954EB"/>
    <w:rsid w:val="00E96630"/>
    <w:rsid w:val="00EA61AE"/>
    <w:rsid w:val="00EB0FB9"/>
    <w:rsid w:val="00EB2419"/>
    <w:rsid w:val="00ED0CA9"/>
    <w:rsid w:val="00ED7A2A"/>
    <w:rsid w:val="00EF1D7F"/>
    <w:rsid w:val="00EF5BDB"/>
    <w:rsid w:val="00F07FD9"/>
    <w:rsid w:val="00F23933"/>
    <w:rsid w:val="00F24119"/>
    <w:rsid w:val="00F3311D"/>
    <w:rsid w:val="00F40E75"/>
    <w:rsid w:val="00F42CD9"/>
    <w:rsid w:val="00F47CBE"/>
    <w:rsid w:val="00F52936"/>
    <w:rsid w:val="00F54083"/>
    <w:rsid w:val="00F5520A"/>
    <w:rsid w:val="00F5601E"/>
    <w:rsid w:val="00F677CB"/>
    <w:rsid w:val="00F67B04"/>
    <w:rsid w:val="00F84DA6"/>
    <w:rsid w:val="00FA7BE2"/>
    <w:rsid w:val="00FA7DF3"/>
    <w:rsid w:val="00FB6C59"/>
    <w:rsid w:val="00FC68B7"/>
    <w:rsid w:val="00FD0B95"/>
    <w:rsid w:val="00FD0FEF"/>
    <w:rsid w:val="00FD7C12"/>
    <w:rsid w:val="00FD7C5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D927B4"/>
    <w:rPr>
      <w:lang w:eastAsia="en-US"/>
    </w:rPr>
  </w:style>
  <w:style w:type="character" w:customStyle="1" w:styleId="SingleTxtGChar">
    <w:name w:val="_ Single Txt_G Char"/>
    <w:link w:val="SingleTxtG"/>
    <w:qFormat/>
    <w:locked/>
    <w:rsid w:val="00FB6C5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4EA52845-4988-4A12-AAF5-4F43A974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A_E.dotm</Template>
  <TotalTime>0</TotalTime>
  <Pages>7</Pages>
  <Words>3481</Words>
  <Characters>19921</Characters>
  <Application>Microsoft Office Word</Application>
  <DocSecurity>0</DocSecurity>
  <Lines>316</Lines>
  <Paragraphs>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23442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A/HRC/RES/60/7</dc:title>
  <dc:subject>2515966</dc:subject>
  <dc:creator>Sumiko IHARA</dc:creator>
  <cp:keywords/>
  <dc:description/>
  <cp:lastModifiedBy>Maria Rosario Corazon Gatmaytan</cp:lastModifiedBy>
  <cp:revision>2</cp:revision>
  <cp:lastPrinted>2008-01-29T08:30:00Z</cp:lastPrinted>
  <dcterms:created xsi:type="dcterms:W3CDTF">2025-10-07T06:25:00Z</dcterms:created>
  <dcterms:modified xsi:type="dcterms:W3CDTF">2025-10-07T06:25:00Z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