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85.05pt;margin-top:119.05pt;width:68.05pt;height:63.9pt;z-index:6;visibility:visible;mso-wrap-edited:f;mso-position-horizontal:absolute;mso-position-horizontal-relative:page;mso-position-vertical:absolute;mso-position-vertical-relative:page" o:allowincell="f">
            <v:imagedata r:id="rId7" o:title=""/>
            <w10:wrap anchorx="page" anchory="page"/>
          </v:shape>
          <o:OLEObject Type="Embed" ProgID="Word.Picture.8" ShapeID="_x0000_s1031" DrawAspect="Content" ObjectID="_1392484495" r:id="rId8"/>
        </w:pict>
      </w:r>
      <w:r>
        <w:rPr>
          <w:noProof/>
        </w:rPr>
        <w:pict>
          <v:rect id="_x0000_s1030" style="position:absolute;margin-left:165.6pt;margin-top:124.75pt;width:158.4pt;height:59.6pt;z-index:-8;mso-position-horizontal:absolute;mso-position-horizontal-relative:page;mso-position-vertical:absolute;mso-position-vertical-relative:page" o:allowincell="f" filled="f" stroked="f" strokeweight="0">
            <v:textbox style="mso-next-textbox:#_x0000_s1030" inset="0,0,0,0">
              <w:txbxContent>
                <w:p w:rsidR="00000000" w:rsidRDefault="00000000">
                  <w:pPr>
                    <w:pStyle w:val="Heading2"/>
                  </w:pPr>
                  <w:r>
                    <w:t>Pacto Internacional de Derechos Civiles</w:t>
                  </w:r>
                </w:p>
                <w:p w:rsidR="00000000" w:rsidRDefault="00000000">
                  <w:pPr>
                    <w:pStyle w:val="Heading2"/>
                  </w:pPr>
                  <w:r>
                    <w:t xml:space="preserve">y Políticos 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39.2pt;margin-top:51.05pt;width:113.6pt;height:44.2pt;z-index:2;mso-position-horizontal:absolute;mso-position-horizontal-relative:page;mso-position-vertical:absolute;mso-position-vertical-relative:page" o:allowincell="f" filled="f" stroked="f">
            <v:textbox inset="0,0,0,0">
              <w:txbxContent>
                <w:p w:rsidR="00000000" w:rsidRDefault="00000000">
                  <w:pPr>
                    <w:pStyle w:val="BodyText"/>
                    <w:rPr>
                      <w:sz w:val="72"/>
                    </w:rPr>
                  </w:pPr>
                  <w:r>
                    <w:rPr>
                      <w:sz w:val="72"/>
                    </w:rPr>
                    <w:t>CCPR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85.05pt;margin-top:56.7pt;width:94.95pt;height:36.3pt;z-index:1;mso-position-horizontal:absolute;mso-position-horizontal-relative:page;mso-position-vertical:absolute;mso-position-vertical-relative:page" o:allowincell="f" filled="f" stroked="f">
            <v:textbox inset="0">
              <w:txbxContent>
                <w:p w:rsidR="00000000" w:rsidRDefault="00000000">
                  <w:pPr>
                    <w:pStyle w:val="BodyText"/>
                  </w:pPr>
                  <w:r>
                    <w:t>NACIONES UNIDAS</w:t>
                  </w:r>
                </w:p>
              </w:txbxContent>
            </v:textbox>
            <w10:wrap anchorx="page" anchory="page"/>
          </v:shape>
        </w:pict>
      </w:r>
    </w:p>
    <w:p w:rsidR="00000000" w:rsidRDefault="00000000">
      <w:pPr>
        <w:rPr>
          <w:lang w:val="es-ES_tradnl"/>
        </w:rPr>
      </w:pPr>
      <w:r>
        <w:rPr>
          <w:noProof/>
        </w:rPr>
        <w:pict>
          <v:rect id="_x0000_s1029" style="position:absolute;margin-left:.05pt;margin-top:249.5pt;width:467.7pt;height:4.25pt;z-index:-9;mso-position-horizontal:absolute;mso-position-horizontal-relative:margin;mso-position-vertical:absolute;mso-position-vertical-relative:page" o:allowincell="f" fillcolor="black" stroked="f" strokeweight="0">
            <v:fill color2="black"/>
            <w10:wrap anchorx="margin" anchory="page"/>
            <w10:anchorlock/>
          </v:rect>
        </w:pict>
      </w:r>
      <w:r>
        <w:rPr>
          <w:noProof/>
        </w:rPr>
        <w:pict>
          <v:rect id="_x0000_s1028" style="position:absolute;margin-left:-.1pt;margin-top:104.9pt;width:467.7pt;height:.95pt;z-index:-10;mso-position-horizontal:absolute;mso-position-horizontal-relative:margin;mso-position-vertical:absolute;mso-position-vertical-relative:page" o:allowincell="f" fillcolor="black" stroked="f" strokeweight="0">
            <v:fill color2="black"/>
            <w10:wrap anchorx="margin" anchory="page"/>
            <w10:anchorlock/>
          </v:rect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spacing w:after="240"/>
        <w:ind w:left="7230"/>
        <w:rPr>
          <w:lang w:val="es-ES_tradnl"/>
        </w:rPr>
      </w:pPr>
      <w:r>
        <w:rPr>
          <w:noProof/>
        </w:rPr>
        <w:pict>
          <v:shape id="_x0000_s1037" type="#_x0000_t202" style="position:absolute;left:0;text-align:left;margin-left:191.7pt;margin-top:149.1pt;width:127.8pt;height:7.1pt;z-index:12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noProof/>
        </w:rPr>
        <w:pict>
          <v:shape id="_x0000_s1036" type="#_x0000_t202" style="position:absolute;left:0;text-align:left;margin-left:177.5pt;margin-top:149.1pt;width:163.3pt;height:7.1pt;z-index:11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noProof/>
        </w:rPr>
        <w:pict>
          <v:shape id="_x0000_s1035" type="#_x0000_t202" style="position:absolute;left:0;text-align:left;margin-left:177.5pt;margin-top:127.8pt;width:191.7pt;height:7.1pt;z-index:10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lang w:val="es-ES_tradnl"/>
        </w:rPr>
        <w:t>Distr.</w:t>
      </w:r>
      <w:r>
        <w:rPr>
          <w:lang w:val="es-ES_tradnl"/>
        </w:rPr>
        <w:br/>
        <w:t>GENERAL</w:t>
      </w:r>
    </w:p>
    <w:p w:rsidR="00000000" w:rsidRDefault="00000000">
      <w:pPr>
        <w:spacing w:after="240"/>
        <w:ind w:left="7230"/>
        <w:rPr>
          <w:lang w:val="es-ES_tradnl"/>
        </w:rPr>
      </w:pPr>
      <w:r>
        <w:rPr>
          <w:lang w:val="es-ES_tradnl"/>
        </w:rPr>
        <w:t>CCPR/C/69/L/IRL</w:t>
      </w:r>
      <w:r>
        <w:rPr>
          <w:lang w:val="es-ES_tradnl"/>
        </w:rPr>
        <w:br/>
        <w:t>25 de abril de 2000</w:t>
      </w:r>
    </w:p>
    <w:p w:rsidR="00000000" w:rsidRDefault="00000000">
      <w:pPr>
        <w:spacing w:after="720"/>
        <w:ind w:left="7230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INGLÉS</w:t>
      </w:r>
    </w:p>
    <w:p w:rsidR="00000000" w:rsidRDefault="00000000">
      <w:pPr>
        <w:spacing w:after="720"/>
        <w:rPr>
          <w:lang w:val="es-ES_tradnl"/>
        </w:rPr>
      </w:pPr>
      <w:r>
        <w:rPr>
          <w:lang w:val="es-ES_tradnl"/>
        </w:rPr>
        <w:t>COMITÉ DE DERECHOS HUMANOS</w:t>
      </w:r>
      <w:r>
        <w:rPr>
          <w:lang w:val="es-ES_tradnl"/>
        </w:rPr>
        <w:br/>
        <w:t>69º período de sesiones</w:t>
      </w:r>
    </w:p>
    <w:p w:rsidR="00000000" w:rsidRDefault="00000000">
      <w:pPr>
        <w:spacing w:after="240"/>
        <w:jc w:val="center"/>
        <w:rPr>
          <w:lang w:val="es-ES_tradnl"/>
        </w:rPr>
      </w:pPr>
    </w:p>
    <w:p w:rsidR="00000000" w:rsidRDefault="00000000">
      <w:pPr>
        <w:spacing w:after="240"/>
        <w:jc w:val="center"/>
        <w:rPr>
          <w:lang w:val="es-ES_tradnl"/>
        </w:rPr>
      </w:pPr>
      <w:r>
        <w:rPr>
          <w:lang w:val="es-ES_tradnl"/>
        </w:rPr>
        <w:t>LISTA DE CUESTIONES  QUE DEBEN CONSIDERARSE EN RELACIÓN</w:t>
      </w:r>
      <w:r>
        <w:rPr>
          <w:lang w:val="es-ES_tradnl"/>
        </w:rPr>
        <w:br/>
        <w:t>CON EL EXAMEN DEL SEGUNDO INFORME PERIÓDICO DE IRLANDA</w:t>
      </w:r>
      <w:r>
        <w:rPr>
          <w:lang w:val="es-ES_tradnl"/>
        </w:rPr>
        <w:br/>
        <w:t>(CCPR/C/IRL/98/2)</w:t>
      </w:r>
    </w:p>
    <w:p w:rsidR="00000000" w:rsidRDefault="00000000">
      <w:pPr>
        <w:spacing w:before="240" w:after="24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>Aprobada por el Comité de Derechos Humanos el 30 de marzo de 2000</w:t>
      </w:r>
    </w:p>
    <w:p w:rsidR="00000000" w:rsidRDefault="00000000">
      <w:pPr>
        <w:spacing w:before="240" w:after="240"/>
        <w:jc w:val="center"/>
        <w:rPr>
          <w:lang w:val="es-ES_tradnl"/>
        </w:rPr>
      </w:pPr>
    </w:p>
    <w:p w:rsidR="00000000" w:rsidRDefault="00000000">
      <w:pPr>
        <w:spacing w:before="240" w:after="240"/>
        <w:jc w:val="center"/>
        <w:rPr>
          <w:lang w:val="es-ES_tradnl"/>
        </w:rPr>
      </w:pPr>
    </w:p>
    <w:p w:rsidR="00000000" w:rsidRDefault="00000000">
      <w:pPr>
        <w:spacing w:before="240" w:after="240"/>
        <w:jc w:val="center"/>
        <w:rPr>
          <w:lang w:val="es-ES_tradnl"/>
        </w:rPr>
      </w:pPr>
    </w:p>
    <w:p w:rsidR="00000000" w:rsidRDefault="00000000">
      <w:pPr>
        <w:spacing w:before="240" w:after="240"/>
        <w:jc w:val="center"/>
        <w:rPr>
          <w:lang w:val="es-ES_tradnl"/>
        </w:rPr>
      </w:pPr>
    </w:p>
    <w:p w:rsidR="00000000" w:rsidRDefault="00000000">
      <w:pPr>
        <w:spacing w:before="240" w:after="240"/>
        <w:jc w:val="center"/>
        <w:rPr>
          <w:lang w:val="es-ES_tradnl"/>
        </w:rPr>
      </w:pPr>
    </w:p>
    <w:p w:rsidR="00000000" w:rsidRDefault="00000000">
      <w:pPr>
        <w:spacing w:before="240" w:after="240"/>
        <w:jc w:val="center"/>
        <w:rPr>
          <w:lang w:val="es-ES_tradnl"/>
        </w:rPr>
      </w:pPr>
    </w:p>
    <w:p w:rsidR="00000000" w:rsidRDefault="00000000">
      <w:pPr>
        <w:spacing w:after="240"/>
        <w:rPr>
          <w:lang w:val="es-ES_tradnl"/>
        </w:rPr>
      </w:pP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GE.00-41635   (S)</w:t>
      </w:r>
    </w:p>
    <w:p w:rsidR="00000000" w:rsidRDefault="00000000">
      <w:pPr>
        <w:spacing w:before="240" w:after="240"/>
        <w:jc w:val="center"/>
        <w:rPr>
          <w:lang w:val="es-ES_tradnl"/>
        </w:rPr>
      </w:pPr>
      <w:r>
        <w:rPr>
          <w:lang w:val="es-ES_tradnl"/>
        </w:rPr>
        <w:br w:type="page"/>
      </w:r>
      <w:r>
        <w:rPr>
          <w:u w:val="single"/>
          <w:lang w:val="es-ES_tradnl"/>
        </w:rPr>
        <w:t xml:space="preserve">Lista de cuestiones que deben considerarse en relación con el examen </w:t>
      </w:r>
      <w:r>
        <w:rPr>
          <w:u w:val="single"/>
          <w:lang w:val="es-ES_tradnl"/>
        </w:rPr>
        <w:br/>
        <w:t>del segundo informe periódico de Irlanda</w:t>
      </w:r>
      <w:r>
        <w:rPr>
          <w:u w:val="single"/>
          <w:lang w:val="es-ES_tradnl"/>
        </w:rPr>
        <w:br/>
      </w:r>
      <w:r>
        <w:rPr>
          <w:lang w:val="es-ES_tradnl"/>
        </w:rPr>
        <w:t>(</w:t>
      </w:r>
      <w:r>
        <w:rPr>
          <w:u w:val="single"/>
          <w:lang w:val="es-ES_tradnl"/>
        </w:rPr>
        <w:t>CCPR/C/IRL/98/2</w:t>
      </w:r>
      <w:r>
        <w:rPr>
          <w:lang w:val="es-ES_tradnl"/>
        </w:rPr>
        <w:t>)</w:t>
      </w:r>
      <w:r>
        <w:rPr>
          <w:lang w:val="es-ES_tradnl"/>
        </w:rPr>
        <w:br/>
        <w:t>(Documento básico HRI/CORE/1/Add.15/Rev.1)</w:t>
      </w:r>
    </w:p>
    <w:p w:rsidR="00000000" w:rsidRDefault="00000000">
      <w:pPr>
        <w:spacing w:after="240"/>
        <w:rPr>
          <w:u w:val="single"/>
          <w:lang w:val="es-ES_tradnl"/>
        </w:rPr>
      </w:pPr>
      <w:r>
        <w:rPr>
          <w:u w:val="single"/>
          <w:lang w:val="es-ES_tradnl"/>
        </w:rPr>
        <w:t>Marco constitucional y jurídico en el que se aplican el Pacto y el Protocolo Facultativo (art. 2)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1.</w:t>
      </w:r>
      <w:r>
        <w:rPr>
          <w:lang w:val="es-ES_tradnl"/>
        </w:rPr>
        <w:tab/>
        <w:t>¿Qué ha recomendado concretamente el Grupo encargado de revisar la Constitución (párrs. 13 a 15, 236 y 237) en relación con la aplicación plena en Irlanda de los derechos previstos en el Pacto, y qué decisiones ha adoptado el Gobierno de Irlanda a la luz de las conclusiones de ese Grupo (párrafo 16 del informe)?  ¿Ha formulado el Comité Mixto del Parlamento sobre la Constitución recomendaciones acerca de la aplicación del Pacto (párrs. 238 a 240)?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2.</w:t>
      </w:r>
      <w:r>
        <w:rPr>
          <w:lang w:val="es-ES_tradnl"/>
        </w:rPr>
        <w:tab/>
        <w:t>¿En qué medida han tenido los tribunales en cuenta el Pacto y las opiniones del Comité para decidir sobre cuestiones relativas a los derechos previstos en el Pacto?  Se ruega dar ejemplos de la jurisprudencia pertinente.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3.</w:t>
      </w:r>
      <w:r>
        <w:rPr>
          <w:lang w:val="es-ES_tradnl"/>
        </w:rPr>
        <w:tab/>
        <w:t>¿Qué procedimiento se ha establecido para el seguimiento de las observaciones y opiniones finales presentadas por el Comité con arreglo al Protocolo Facultativo?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4.</w:t>
      </w:r>
      <w:r>
        <w:rPr>
          <w:lang w:val="es-ES_tradnl"/>
        </w:rPr>
        <w:tab/>
        <w:t>¿Qué consideración se ha dado a la posibilidad de retirar las reservas de Irlanda al párrafo 2 del artículo 10 (párrafo 154 del informe), al artículo 14 (párrafo 203 del informe), al párrafo 2 del artículo 19 (párrafo 242 del informe) y al párrafo 1 del artículo 20?</w:t>
      </w:r>
    </w:p>
    <w:p w:rsidR="00000000" w:rsidRDefault="00000000">
      <w:pPr>
        <w:spacing w:after="240"/>
        <w:rPr>
          <w:u w:val="single"/>
          <w:lang w:val="es-ES_tradnl"/>
        </w:rPr>
      </w:pPr>
      <w:r>
        <w:rPr>
          <w:u w:val="single"/>
          <w:lang w:val="es-ES_tradnl"/>
        </w:rPr>
        <w:t>Derogación en estados de emergencia (art. 4)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5.</w:t>
      </w:r>
      <w:r>
        <w:rPr>
          <w:lang w:val="es-ES_tradnl"/>
        </w:rPr>
        <w:tab/>
        <w:t>Teniendo en cuenta que el estado de emergencia declarado por el Comité Mixto el 1º de septiembre de 1976 se levantó los días 7 y 16 de febrero de 1995 (párrafo 109 del informe), ¿qué medidas se han tomado para revisar las medidas adoptadas a tenor de la Ley de facultades de emergencia de 1976 (párrafos 11 y 19 de las observaciones finales de 28 de julio de 1993)?</w:t>
      </w:r>
    </w:p>
    <w:p w:rsidR="00000000" w:rsidRDefault="00000000">
      <w:pPr>
        <w:spacing w:after="240"/>
        <w:rPr>
          <w:u w:val="single"/>
          <w:lang w:val="es-ES_tradnl"/>
        </w:rPr>
      </w:pPr>
      <w:r>
        <w:rPr>
          <w:u w:val="single"/>
          <w:lang w:val="es-ES_tradnl"/>
        </w:rPr>
        <w:t>El derecho a la vida, la libertad y la seguridad de las personas, el trato de los detenidos y el derecho a un juicio con las debidas garantías (arts. 6, 7, 9, 10 y 14)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  <w:t>En relación con las instrucciones que figuran en el Código de la Garda de 1994 y 1996 (párrafo 113 del informe), se ruega facilitar información sobre la constitución y el procedimiento de la Junta de denuncias de la Garda al investigar denuncias de abuso (párrafos 130 y 131 del informe).  Se ruega proporcionar estadísticas actualizadas del número de denuncias y su seguimiento, incluida una indicación de las medidas penales o disciplinarias adoptadas contra los agentes de policía que presuntamente cometieron delitos, y de los recursos ofrecidos a las víctimas.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7.</w:t>
      </w:r>
      <w:r>
        <w:rPr>
          <w:lang w:val="es-ES_tradnl"/>
        </w:rPr>
        <w:tab/>
        <w:t>¿Está previsto crear una autoridad plenamente independiente encargada de investigar las denuncias presentadas contra la policía y sustituir a la Junta oficial de denuncias de la Garda?</w:t>
      </w:r>
    </w:p>
    <w:p w:rsidR="00000000" w:rsidRDefault="00000000">
      <w:pPr>
        <w:spacing w:after="240"/>
        <w:rPr>
          <w:lang w:val="es-ES_tradnl"/>
        </w:rPr>
      </w:pPr>
      <w:r>
        <w:rPr>
          <w:lang w:val="es-ES_tradnl"/>
        </w:rPr>
        <w:t>8.</w:t>
      </w:r>
      <w:r>
        <w:rPr>
          <w:lang w:val="es-ES_tradnl"/>
        </w:rPr>
        <w:tab/>
        <w:t>Se ruega facilitar información sobre las condiciones de detención en las cárceles de Irlanda, incluso sobre la separación entre las personas en detención preventiva y los condenados.  ¿Cómo se pone remedio al hacinamiento en las cárceles?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-2"/>
        <w:jc w:val="left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>¿Qué progresos ha hecho el Comité establecido para revisar la Ley de delitos contra el Estado de 1939–98?  ¿</w:t>
      </w:r>
      <w:r>
        <w:rPr>
          <w:sz w:val="24"/>
        </w:rPr>
        <w:t>Qué períodos máximos de detención policial se est</w:t>
      </w:r>
      <w:r>
        <w:rPr>
          <w:sz w:val="24"/>
        </w:rPr>
        <w:t>a</w:t>
      </w:r>
      <w:r>
        <w:rPr>
          <w:sz w:val="24"/>
        </w:rPr>
        <w:t>blecen en virtud de la ley?  ¿Cuántas personas han sido condenadas por delitos pr</w:t>
      </w:r>
      <w:r>
        <w:rPr>
          <w:sz w:val="24"/>
        </w:rPr>
        <w:t>e</w:t>
      </w:r>
      <w:r>
        <w:rPr>
          <w:sz w:val="24"/>
        </w:rPr>
        <w:t>vistos en dicha ley en el período de que se informa?  Sírvase proporcionar info</w:t>
      </w:r>
      <w:r>
        <w:rPr>
          <w:sz w:val="24"/>
        </w:rPr>
        <w:t>r</w:t>
      </w:r>
      <w:r>
        <w:rPr>
          <w:sz w:val="24"/>
        </w:rPr>
        <w:t>mación detallada sobre la aplicación de la norma de que el silencio del acusado cuando se le pregunta sobre su paradero, asociaciones o acciones puede utilizarse como material significativo que tiende a indicar culpabilidad.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uppressAutoHyphens/>
        <w:spacing w:after="240" w:line="240" w:lineRule="auto"/>
        <w:ind w:left="0" w:right="-2"/>
        <w:jc w:val="left"/>
        <w:rPr>
          <w:sz w:val="24"/>
        </w:rPr>
      </w:pPr>
      <w:r>
        <w:rPr>
          <w:sz w:val="24"/>
        </w:rPr>
        <w:t>10.</w:t>
      </w:r>
      <w:r>
        <w:rPr>
          <w:sz w:val="24"/>
        </w:rPr>
        <w:tab/>
        <w:t>¿Se ha examinado más a fondo la necesidad de que haya un Tribunal Penal Especial (párrafo 19 de las observaciones finales del Comité; párrafo 205 del informe)?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-2"/>
        <w:jc w:val="left"/>
        <w:rPr>
          <w:sz w:val="24"/>
        </w:rPr>
      </w:pPr>
      <w:r>
        <w:rPr>
          <w:sz w:val="24"/>
        </w:rPr>
        <w:t>11.</w:t>
      </w:r>
      <w:r>
        <w:rPr>
          <w:sz w:val="24"/>
        </w:rPr>
        <w:tab/>
        <w:t>¿</w:t>
      </w:r>
      <w:r>
        <w:rPr>
          <w:sz w:val="24"/>
        </w:rPr>
        <w:t>Está prohibido el aborto y existen excepciones?</w:t>
      </w:r>
    </w:p>
    <w:p w:rsidR="00000000" w:rsidRDefault="00000000">
      <w:pPr>
        <w:pStyle w:val="H23"/>
        <w:keepNext w:val="0"/>
        <w:keepLine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Igualdad entre el hombre y la mujer y protección contra la violencia en el hogar (arts. 3, 7 y 26)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-2"/>
        <w:jc w:val="left"/>
        <w:rPr>
          <w:sz w:val="24"/>
        </w:rPr>
      </w:pPr>
      <w:r>
        <w:rPr>
          <w:sz w:val="24"/>
        </w:rPr>
        <w:t>12.</w:t>
      </w:r>
      <w:r>
        <w:rPr>
          <w:sz w:val="24"/>
        </w:rPr>
        <w:tab/>
        <w:t>¿Qué resultado han tenido las leyes de igualdad y otras medidas para lograr una mayor participación de la mujer en la vida política, en las instituciones públicas, en las profesiones y en el empleo (párrafo 88 del informe)?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-2"/>
        <w:jc w:val="left"/>
        <w:rPr>
          <w:sz w:val="24"/>
        </w:rPr>
      </w:pPr>
      <w:r>
        <w:rPr>
          <w:sz w:val="24"/>
        </w:rPr>
        <w:t>13.</w:t>
      </w:r>
      <w:r>
        <w:rPr>
          <w:sz w:val="24"/>
        </w:rPr>
        <w:tab/>
        <w:t>Se ruega proporcionar información sobre los progresos realizados en la aplic</w:t>
      </w:r>
      <w:r>
        <w:rPr>
          <w:sz w:val="24"/>
        </w:rPr>
        <w:t>a</w:t>
      </w:r>
      <w:r>
        <w:rPr>
          <w:sz w:val="24"/>
        </w:rPr>
        <w:t>ción de la Ley sobre igualdad de la condición jurídica.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-2"/>
        <w:jc w:val="left"/>
        <w:rPr>
          <w:sz w:val="24"/>
        </w:rPr>
      </w:pPr>
      <w:r>
        <w:rPr>
          <w:sz w:val="24"/>
        </w:rPr>
        <w:t>14.</w:t>
      </w:r>
      <w:r>
        <w:rPr>
          <w:sz w:val="24"/>
        </w:rPr>
        <w:tab/>
        <w:t>¿</w:t>
      </w:r>
      <w:r>
        <w:rPr>
          <w:sz w:val="24"/>
        </w:rPr>
        <w:t>Qué progresos se han hecho en la aplicación de las recomendaciones del gr</w:t>
      </w:r>
      <w:r>
        <w:rPr>
          <w:sz w:val="24"/>
        </w:rPr>
        <w:t>u</w:t>
      </w:r>
      <w:r>
        <w:rPr>
          <w:sz w:val="24"/>
        </w:rPr>
        <w:t>po de trabajo sobre la violencia contra la mujer (párrs. 303 a 316)?  ¿</w:t>
      </w:r>
      <w:r>
        <w:rPr>
          <w:sz w:val="24"/>
        </w:rPr>
        <w:t>Qué medidas se han adoptado para combatir el aumento de las violaciones?</w:t>
      </w:r>
    </w:p>
    <w:p w:rsidR="00000000" w:rsidRDefault="00000000">
      <w:pPr>
        <w:pStyle w:val="H23"/>
        <w:keepNext w:val="0"/>
        <w:keepLine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Protección de los niños (arts. 23 y 24)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-2"/>
        <w:jc w:val="left"/>
        <w:rPr>
          <w:sz w:val="24"/>
        </w:rPr>
      </w:pPr>
      <w:r>
        <w:rPr>
          <w:sz w:val="24"/>
        </w:rPr>
        <w:t>15.</w:t>
      </w:r>
      <w:r>
        <w:rPr>
          <w:sz w:val="24"/>
        </w:rPr>
        <w:tab/>
        <w:t>¿Cuál es el estado actual del proyecto de ley de la infancia a que se refieren los párrafos 319 y 320 del informe?  Se ruega proporcionar estadísticas sobre abuso de menores y ejemplos de la aplicación de la Ley sobre la trata de niños de 1998 y la Ley de delitos contra la honestidad (Jurisdicción) de 1996 (párrs. 326 y 327).</w:t>
      </w:r>
    </w:p>
    <w:p w:rsidR="00000000" w:rsidRDefault="00000000">
      <w:pPr>
        <w:pStyle w:val="H23"/>
        <w:keepNext w:val="0"/>
        <w:keepLine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Protección de la vida privada (art. 17)</w:t>
      </w:r>
    </w:p>
    <w:p w:rsidR="00000000" w:rsidRDefault="00000000">
      <w:pPr>
        <w:pStyle w:val="SingleTxt"/>
        <w:numPr>
          <w:ilvl w:val="0"/>
          <w:numId w:val="3"/>
        </w:numPr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num" w:leader="none" w:pos="475"/>
        </w:tabs>
        <w:spacing w:after="240" w:line="240" w:lineRule="auto"/>
        <w:ind w:right="-2"/>
        <w:jc w:val="left"/>
        <w:rPr>
          <w:sz w:val="24"/>
        </w:rPr>
      </w:pPr>
      <w:r>
        <w:rPr>
          <w:sz w:val="24"/>
        </w:rPr>
        <w:t>Se ruega proporcionar información sobre las leyes y prácticas irlandesas con respecto a las relaciones sexuales consensuales entre adultos del mismo sexo, e ind</w:t>
      </w:r>
      <w:r>
        <w:rPr>
          <w:sz w:val="24"/>
        </w:rPr>
        <w:t>i</w:t>
      </w:r>
      <w:r>
        <w:rPr>
          <w:sz w:val="24"/>
        </w:rPr>
        <w:t>car si existe legislación discr</w:t>
      </w:r>
      <w:r>
        <w:rPr>
          <w:sz w:val="24"/>
        </w:rPr>
        <w:t>i</w:t>
      </w:r>
      <w:r>
        <w:rPr>
          <w:sz w:val="24"/>
        </w:rPr>
        <w:t>minatoria por razón de la orientación sexual.</w:t>
      </w:r>
    </w:p>
    <w:p w:rsidR="00000000" w:rsidRDefault="00000000">
      <w:pPr>
        <w:pStyle w:val="H23"/>
        <w:keepNext w:val="0"/>
        <w:keepLine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Libertad de expresión, pensamiento, conciencia y religión (arts. 18 y 19)</w:t>
      </w:r>
    </w:p>
    <w:p w:rsidR="00000000" w:rsidRDefault="00000000">
      <w:pPr>
        <w:pStyle w:val="SingleTxt"/>
        <w:numPr>
          <w:ilvl w:val="0"/>
          <w:numId w:val="1"/>
        </w:numPr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right="-2"/>
        <w:jc w:val="left"/>
        <w:rPr>
          <w:sz w:val="24"/>
        </w:rPr>
      </w:pPr>
      <w:r>
        <w:rPr>
          <w:sz w:val="24"/>
        </w:rPr>
        <w:t>¿</w:t>
      </w:r>
      <w:r>
        <w:rPr>
          <w:sz w:val="24"/>
        </w:rPr>
        <w:t>Cuáles son los resultados de las propuestas del Grupo encargado de revisar la Constitución dirigidas a suprimir la parte del inciso i) del apartado 1) del párrafo 6 del artículo 40 de la Constitución, que exige la tipificación del delito de publicación de material indecente? (párrafo 21 de las observaciones finales del Comité; párrafos 248 a 253 del informe).</w:t>
      </w:r>
    </w:p>
    <w:p w:rsidR="00000000" w:rsidRDefault="00000000">
      <w:pPr>
        <w:pStyle w:val="SingleTxt"/>
        <w:numPr>
          <w:ilvl w:val="0"/>
          <w:numId w:val="1"/>
        </w:numPr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right="-2"/>
        <w:jc w:val="left"/>
        <w:rPr>
          <w:sz w:val="24"/>
        </w:rPr>
      </w:pPr>
      <w:r>
        <w:rPr>
          <w:sz w:val="24"/>
        </w:rPr>
        <w:t>¿Cuáles son los resultados de las propuestas del Grupo encargado de revisar la Constitución dirigidas a la enmienda del juramento constitucional exigido a los jueces? (párrafo 15 de las observaciones del Comité; párrafos 236 y 237 del informe).</w:t>
      </w:r>
    </w:p>
    <w:p w:rsidR="00000000" w:rsidRDefault="00000000">
      <w:pPr>
        <w:pStyle w:val="H23"/>
        <w:keepNext w:val="0"/>
        <w:keepLine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Los derechos de las personas que pertenecen a minorías (arts. 18, 25, 26 y 27)</w:t>
      </w:r>
    </w:p>
    <w:p w:rsidR="00000000" w:rsidRDefault="00000000">
      <w:pPr>
        <w:pStyle w:val="SingleTxt"/>
        <w:numPr>
          <w:ilvl w:val="0"/>
          <w:numId w:val="1"/>
        </w:numPr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right="-2"/>
        <w:jc w:val="left"/>
        <w:rPr>
          <w:sz w:val="24"/>
        </w:rPr>
      </w:pPr>
      <w:r>
        <w:rPr>
          <w:sz w:val="24"/>
        </w:rPr>
        <w:t>Se ruega proporcionar información sobre las minorías religiosas y los nuevos movimientos religiosos en Irlanda.  ¿Cuáles son las actuales leyes y prácticas al re</w:t>
      </w:r>
      <w:r>
        <w:rPr>
          <w:sz w:val="24"/>
        </w:rPr>
        <w:t>s</w:t>
      </w:r>
      <w:r>
        <w:rPr>
          <w:sz w:val="24"/>
        </w:rPr>
        <w:t>pecto?</w:t>
      </w:r>
    </w:p>
    <w:p w:rsidR="00000000" w:rsidRDefault="00000000">
      <w:pPr>
        <w:pStyle w:val="SingleTxt"/>
        <w:numPr>
          <w:ilvl w:val="0"/>
          <w:numId w:val="2"/>
        </w:numPr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right="-2"/>
        <w:jc w:val="left"/>
        <w:rPr>
          <w:sz w:val="24"/>
        </w:rPr>
      </w:pPr>
      <w:r>
        <w:rPr>
          <w:sz w:val="24"/>
        </w:rPr>
        <w:t>¿</w:t>
      </w:r>
      <w:r>
        <w:rPr>
          <w:sz w:val="24"/>
        </w:rPr>
        <w:t xml:space="preserve">Hasta qué punto la aplicación de las recomendaciones del Grupo de Trabajo sobre la comunidad gitana (párrs. 369 a 373) ha mejorado su situación </w:t>
      </w:r>
      <w:r>
        <w:rPr>
          <w:sz w:val="24"/>
          <w:u w:val="single"/>
        </w:rPr>
        <w:t>de facto</w:t>
      </w:r>
      <w:r>
        <w:rPr>
          <w:sz w:val="24"/>
        </w:rPr>
        <w:t>?  ¿Tienen los gitanos protección efectiva contra la discriminación en el sector privado a la luz de la Ley de igualdad en el empleo de 1998, en que se declara ilícita la di</w:t>
      </w:r>
      <w:r>
        <w:rPr>
          <w:sz w:val="24"/>
        </w:rPr>
        <w:t>s</w:t>
      </w:r>
      <w:r>
        <w:rPr>
          <w:sz w:val="24"/>
        </w:rPr>
        <w:t>criminación de los gitanos?  ¿</w:t>
      </w:r>
      <w:r>
        <w:rPr>
          <w:sz w:val="24"/>
        </w:rPr>
        <w:t>En qué medida participan en el proceso electoral y ejercen sus derechos políticos (párrafos 356 a 359; párrafo 23 de las observ</w:t>
      </w:r>
      <w:r>
        <w:rPr>
          <w:sz w:val="24"/>
        </w:rPr>
        <w:t>a</w:t>
      </w:r>
      <w:r>
        <w:rPr>
          <w:sz w:val="24"/>
        </w:rPr>
        <w:t>ciones finales)?</w:t>
      </w:r>
    </w:p>
    <w:p w:rsidR="00000000" w:rsidRDefault="00000000">
      <w:pPr>
        <w:pStyle w:val="H23"/>
        <w:keepNext w:val="0"/>
        <w:keepLine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Difusión de información sobre el Pacto (art. 2)</w:t>
      </w:r>
    </w:p>
    <w:p w:rsidR="00000000" w:rsidRDefault="00000000">
      <w:pPr>
        <w:pStyle w:val="SingleTxt"/>
        <w:numPr>
          <w:ilvl w:val="0"/>
          <w:numId w:val="2"/>
        </w:numPr>
        <w:tabs>
          <w:tab w:val="clear" w:pos="475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right="0"/>
        <w:jc w:val="left"/>
        <w:rPr>
          <w:sz w:val="24"/>
        </w:rPr>
      </w:pPr>
      <w:r>
        <w:rPr>
          <w:sz w:val="24"/>
        </w:rPr>
        <w:t>Se ruega indicar las medidas adoptadas para difundir información sobre la pr</w:t>
      </w:r>
      <w:r>
        <w:rPr>
          <w:sz w:val="24"/>
        </w:rPr>
        <w:t>e</w:t>
      </w:r>
      <w:r>
        <w:rPr>
          <w:sz w:val="24"/>
        </w:rPr>
        <w:t>sentación del informe y su examen por el Comité y, en particular, sobre las observ</w:t>
      </w:r>
      <w:r>
        <w:rPr>
          <w:sz w:val="24"/>
        </w:rPr>
        <w:t>a</w:t>
      </w:r>
      <w:r>
        <w:rPr>
          <w:sz w:val="24"/>
        </w:rPr>
        <w:t>ciones finales del Comité en relación con el informe inicial del Estado Parte.  Además, se ruega presentar información sobre la educación y capacitación impartida a los fu</w:t>
      </w:r>
      <w:r>
        <w:rPr>
          <w:sz w:val="24"/>
        </w:rPr>
        <w:t>n</w:t>
      </w:r>
      <w:r>
        <w:rPr>
          <w:sz w:val="24"/>
        </w:rPr>
        <w:t>cionarios p</w:t>
      </w:r>
      <w:r>
        <w:rPr>
          <w:sz w:val="24"/>
        </w:rPr>
        <w:t>ú</w:t>
      </w:r>
      <w:r>
        <w:rPr>
          <w:sz w:val="24"/>
        </w:rPr>
        <w:t>blicos en lo concerniente al Pacto y su Protocolo Facultativo.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noProof/>
        </w:rPr>
        <w:pict>
          <v:shape id="_x0000_s1034" type="#_x0000_t202" style="position:absolute;left:0;text-align:left;margin-left:191.7pt;margin-top:149.1pt;width:127.8pt;height:7.1pt;z-index:9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noProof/>
        </w:rPr>
        <w:pict>
          <v:shape id="_x0000_s1033" type="#_x0000_t202" style="position:absolute;left:0;text-align:left;margin-left:177.5pt;margin-top:149.1pt;width:163.3pt;height:7.1pt;z-index:8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noProof/>
        </w:rPr>
        <w:pict>
          <v:shape id="_x0000_s1032" type="#_x0000_t202" style="position:absolute;left:0;text-align:left;margin-left:177.5pt;margin-top:127.8pt;width:191.7pt;height:7.1pt;z-index:7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lang w:val="es-ES_tradnl"/>
        </w:rPr>
        <w:t>-----</w:t>
      </w:r>
    </w:p>
    <w:p w:rsidR="00000000" w:rsidRDefault="00000000">
      <w:pPr>
        <w:rPr>
          <w:lang w:val="es-ES_tradnl"/>
        </w:rPr>
      </w:pPr>
    </w:p>
    <w:sectPr w:rsidR="00000000">
      <w:headerReference w:type="even" r:id="rId9"/>
      <w:headerReference w:type="default" r:id="rId10"/>
      <w:pgSz w:w="11906" w:h="16838"/>
      <w:pgMar w:top="1701" w:right="850" w:bottom="1984" w:left="1701" w:header="85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CCPR/C/69/L/IRL</w:t>
    </w:r>
  </w:p>
  <w:p w:rsidR="00000000" w:rsidRDefault="00000000">
    <w:pPr>
      <w:pStyle w:val="Header"/>
    </w:pPr>
    <w:r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>
        <w:noProof/>
      </w:rPr>
      <w:t>4</w:t>
    </w:r>
    <w:r>
      <w:rPr/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252"/>
        <w:tab w:val="clear" w:pos="8504"/>
        <w:tab w:val="left" w:pos="7230"/>
      </w:tabs>
    </w:pPr>
    <w:r>
      <w:tab/>
      <w:t>CCPR/C/69/L/IRL</w:t>
    </w:r>
  </w:p>
  <w:p w:rsidR="00000000" w:rsidRDefault="00000000">
    <w:pPr>
      <w:pStyle w:val="Header"/>
      <w:tabs>
        <w:tab w:val="clear" w:pos="4252"/>
        <w:tab w:val="clear" w:pos="8504"/>
        <w:tab w:val="left" w:pos="7230"/>
      </w:tabs>
    </w:pPr>
    <w:r>
      <w:tab/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>
        <w:noProof/>
      </w:rPr>
      <w:t>3</w:t>
    </w:r>
    <w:r>
      <w:rPr/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E2545"/>
    <w:multiLevelType w:val="singleLevel"/>
    <w:tmpl w:val="D61ECD4A"/>
    <w:lvl w:ilvl="0">
      <w:start w:val="16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1">
    <w:nsid w:val="64381660"/>
    <w:multiLevelType w:val="singleLevel"/>
    <w:tmpl w:val="4CDE7592"/>
    <w:lvl w:ilvl="0">
      <w:start w:val="17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2">
    <w:nsid w:val="73CA68EA"/>
    <w:multiLevelType w:val="singleLevel"/>
    <w:tmpl w:val="1C72C1D0"/>
    <w:lvl w:ilvl="0">
      <w:start w:val="20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ttachedTemplate r:id="rId1"/>
  <w:doNotTrackMoves/>
  <w:defaultTabStop w:val="567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es-ES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0"/>
        <w:tab w:val="left" w:pos="566"/>
        <w:tab w:val="left" w:pos="1134"/>
        <w:tab w:val="left" w:pos="1700"/>
        <w:tab w:val="left" w:pos="2268"/>
        <w:tab w:val="left" w:pos="2834"/>
        <w:tab w:val="left" w:pos="3402"/>
        <w:tab w:val="left" w:pos="3968"/>
        <w:tab w:val="left" w:pos="4534"/>
        <w:tab w:val="left" w:pos="5102"/>
        <w:tab w:val="left" w:pos="5668"/>
        <w:tab w:val="left" w:pos="6236"/>
        <w:tab w:val="left" w:pos="6802"/>
        <w:tab w:val="left" w:pos="7370"/>
        <w:tab w:val="left" w:pos="7936"/>
        <w:tab w:val="left" w:pos="8504"/>
        <w:tab w:val="left" w:pos="9070"/>
        <w:tab w:val="left" w:pos="9637"/>
        <w:tab w:val="left" w:pos="10204"/>
        <w:tab w:val="left" w:pos="10771"/>
        <w:tab w:val="left" w:pos="11338"/>
        <w:tab w:val="left" w:pos="11905"/>
      </w:tabs>
      <w:outlineLvl w:val="1"/>
    </w:pPr>
    <w:rPr>
      <w:rFonts w:ascii="Arial" w:hAnsi="Arial"/>
      <w:b/>
      <w:snapToGrid w:val="0"/>
      <w:sz w:val="32"/>
      <w:lang w:val="es-ES_tradnl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Arial" w:hAnsi="Arial"/>
      <w:b/>
      <w:sz w:val="28"/>
      <w:lang w:val="es-ES_tradnl"/>
    </w:rPr>
  </w:style>
  <w:style w:type="paragraph" w:styleId="Header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H23">
    <w:name w:val="_ H_2/3"/>
    <w:basedOn w:val="Normal"/>
    <w:next w:val="SingleTxt"/>
    <w:pPr>
      <w:keepNext/>
      <w:keepLines/>
      <w:suppressAutoHyphens/>
      <w:spacing w:line="240" w:lineRule="exact"/>
      <w:outlineLvl w:val="1"/>
    </w:pPr>
    <w:rPr>
      <w:b/>
      <w:spacing w:val="2"/>
      <w:w w:val="103"/>
      <w:kern w:val="14"/>
      <w:sz w:val="20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97\plan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1060</Words>
  <Characters>6047</Characters>
  <Application>Microsoft Office Word</Application>
  <DocSecurity>4</DocSecurity>
  <Lines>50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CCPR/C/69/LIRE        00-41635</vt:lpstr>
    </vt:vector>
  </TitlesOfParts>
  <Company>ONU</Company>
  <LinksUpToDate>false</LinksUpToDate>
  <CharactersWithSpaces>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CCPR/C/69/LIRE        00-41635</dc:title>
  <dc:subject/>
  <dc:creator>Carmen ESTABIEL</dc:creator>
  <cp:keywords/>
  <dc:description/>
  <cp:lastModifiedBy>Miguel Angel González</cp:lastModifiedBy>
  <cp:revision>2</cp:revision>
  <cp:lastPrinted>2000-05-15T08:50:00Z</cp:lastPrinted>
  <dcterms:created xsi:type="dcterms:W3CDTF">2000-05-15T14:40:00Z</dcterms:created>
  <dcterms:modified xsi:type="dcterms:W3CDTF">2000-05-15T14:40:00Z</dcterms:modified>
</cp:coreProperties>
</file>