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D7349" w:rsidRDefault="006D7349">
      <w:pPr>
        <w:spacing w:line="60" w:lineRule="exact"/>
        <w:rPr>
          <w:rFonts w:ascii="Times New Roman"/>
          <w:sz w:val="6"/>
        </w:rPr>
        <w:sectPr w:rsidR="006D7349">
          <w:headerReference w:type="even" r:id="rId7"/>
          <w:headerReference w:type="default" r:id="rId8"/>
          <w:footerReference w:type="even" r:id="rId9"/>
          <w:footerReference w:type="default" r:id="rId10"/>
          <w:headerReference w:type="first" r:id="rId11"/>
          <w:footerReference w:type="first" r:id="rId12"/>
          <w:endnotePr>
            <w:numFmt w:val="decimal"/>
          </w:endnotePr>
          <w:type w:val="continuous"/>
          <w:pgSz w:w="12242" w:h="15842" w:code="1"/>
          <w:pgMar w:top="1742" w:right="1195" w:bottom="1898" w:left="1195" w:header="576" w:footer="1030" w:gutter="0"/>
          <w:cols w:space="425"/>
          <w:titlePg/>
          <w:docGrid w:type="lines" w:linePitch="312"/>
        </w:sectPr>
      </w:pPr>
      <w:r>
        <w:rPr>
          <w:rStyle w:val="CommentReference"/>
          <w:rFonts w:ascii="Times New Roman" w:hint="eastAsia"/>
          <w:vanish/>
        </w:rPr>
        <w:commentReference w:id="0"/>
      </w:r>
    </w:p>
    <w:p w:rsidR="006D7349" w:rsidRDefault="006D7349">
      <w:pPr>
        <w:pStyle w:val="H1"/>
        <w:spacing w:line="340" w:lineRule="exact"/>
        <w:rPr>
          <w:rFonts w:hint="eastAsia"/>
        </w:rPr>
      </w:pPr>
      <w:r>
        <w:rPr>
          <w:rFonts w:hint="eastAsia"/>
        </w:rPr>
        <w:t>消除对妇女歧视委员会</w:t>
      </w:r>
    </w:p>
    <w:p w:rsidR="006D7349" w:rsidRDefault="006D7349">
      <w:pPr>
        <w:pStyle w:val="DualTxt"/>
        <w:spacing w:afterLines="50" w:after="156"/>
        <w:rPr>
          <w:rFonts w:ascii="SimHei" w:eastAsia="SimHei" w:hint="eastAsia"/>
          <w:color w:val="FF0000"/>
        </w:rPr>
      </w:pPr>
      <w:r>
        <w:rPr>
          <w:rFonts w:ascii="SimHei" w:eastAsia="SimHei" w:hint="eastAsia"/>
          <w:color w:val="FF0000"/>
        </w:rPr>
        <w:t>第四十</w:t>
      </w:r>
      <w:r w:rsidR="007F466E">
        <w:rPr>
          <w:rFonts w:ascii="SimHei" w:eastAsia="SimHei" w:hint="eastAsia"/>
          <w:color w:val="FF0000"/>
        </w:rPr>
        <w:t>三</w:t>
      </w:r>
      <w:r>
        <w:rPr>
          <w:rFonts w:ascii="SimHei" w:eastAsia="SimHei" w:hint="eastAsia"/>
          <w:color w:val="FF0000"/>
        </w:rPr>
        <w:t>届会议</w:t>
      </w:r>
    </w:p>
    <w:p w:rsidR="006D7349" w:rsidRDefault="006D7349">
      <w:pPr>
        <w:pStyle w:val="DualTxt"/>
        <w:spacing w:after="0"/>
        <w:rPr>
          <w:rFonts w:ascii="SimHei" w:eastAsia="SimHei" w:hint="eastAsia"/>
          <w:color w:val="FF0000"/>
        </w:rPr>
      </w:pPr>
      <w:r>
        <w:rPr>
          <w:rFonts w:ascii="SimHei" w:eastAsia="SimHei" w:hint="eastAsia"/>
          <w:color w:val="FF0000"/>
        </w:rPr>
        <w:t>第8</w:t>
      </w:r>
      <w:r w:rsidR="00277364">
        <w:rPr>
          <w:rFonts w:ascii="SimHei" w:eastAsia="SimHei" w:hint="eastAsia"/>
          <w:color w:val="FF0000"/>
        </w:rPr>
        <w:t>84</w:t>
      </w:r>
      <w:r>
        <w:rPr>
          <w:rFonts w:ascii="SimHei" w:eastAsia="SimHei" w:hint="eastAsia"/>
          <w:color w:val="FF0000"/>
        </w:rPr>
        <w:t>次会议简要记录</w:t>
      </w:r>
    </w:p>
    <w:p w:rsidR="006D7349" w:rsidRDefault="006D7349">
      <w:pPr>
        <w:spacing w:afterLines="50" w:after="156"/>
        <w:rPr>
          <w:rFonts w:ascii="Times New Roman" w:hint="eastAsia"/>
        </w:rPr>
      </w:pPr>
      <w:r>
        <w:rPr>
          <w:rFonts w:ascii="Times New Roman" w:hint="eastAsia"/>
        </w:rPr>
        <w:t>200</w:t>
      </w:r>
      <w:r w:rsidR="007F466E">
        <w:rPr>
          <w:rFonts w:ascii="Times New Roman" w:hint="eastAsia"/>
        </w:rPr>
        <w:t>9</w:t>
      </w:r>
      <w:r>
        <w:rPr>
          <w:rFonts w:ascii="Times New Roman" w:hint="eastAsia"/>
        </w:rPr>
        <w:t>年</w:t>
      </w:r>
      <w:r w:rsidR="00277364">
        <w:rPr>
          <w:rFonts w:ascii="Times New Roman" w:hint="eastAsia"/>
        </w:rPr>
        <w:t>2</w:t>
      </w:r>
      <w:r>
        <w:rPr>
          <w:rFonts w:ascii="Times New Roman" w:hint="eastAsia"/>
        </w:rPr>
        <w:t>月</w:t>
      </w:r>
      <w:r w:rsidR="00277364">
        <w:rPr>
          <w:rFonts w:ascii="Times New Roman" w:hint="eastAsia"/>
        </w:rPr>
        <w:t>4</w:t>
      </w:r>
      <w:r w:rsidR="009E60F0">
        <w:rPr>
          <w:rFonts w:ascii="Times New Roman" w:hint="eastAsia"/>
        </w:rPr>
        <w:t>日星期</w:t>
      </w:r>
      <w:r w:rsidR="00277364">
        <w:rPr>
          <w:rFonts w:ascii="Times New Roman" w:hint="eastAsia"/>
        </w:rPr>
        <w:t>三上</w:t>
      </w:r>
      <w:r>
        <w:rPr>
          <w:rFonts w:ascii="Times New Roman" w:hint="eastAsia"/>
        </w:rPr>
        <w:t>午</w:t>
      </w:r>
      <w:r w:rsidR="00277364">
        <w:rPr>
          <w:rFonts w:ascii="Times New Roman" w:hint="eastAsia"/>
        </w:rPr>
        <w:t>10</w:t>
      </w:r>
      <w:r>
        <w:rPr>
          <w:rFonts w:ascii="Times New Roman" w:hint="eastAsia"/>
        </w:rPr>
        <w:t>时在日内瓦万国宫举行</w:t>
      </w:r>
    </w:p>
    <w:p w:rsidR="006D7349" w:rsidRDefault="006D7349">
      <w:pPr>
        <w:tabs>
          <w:tab w:val="left" w:pos="1260"/>
          <w:tab w:val="right" w:leader="dot" w:pos="8568"/>
        </w:tabs>
        <w:spacing w:line="360" w:lineRule="auto"/>
        <w:ind w:right="1267"/>
        <w:rPr>
          <w:rFonts w:hAnsi="SimSun" w:hint="eastAsia"/>
          <w:color w:val="000000"/>
        </w:rPr>
      </w:pPr>
      <w:r>
        <w:rPr>
          <w:rFonts w:eastAsia="KaiTi_GB2312" w:hint="eastAsia"/>
          <w:color w:val="0000FF"/>
        </w:rPr>
        <w:t>主席：</w:t>
      </w:r>
      <w:r>
        <w:rPr>
          <w:rFonts w:ascii="Times New Roman"/>
          <w:color w:val="000000"/>
          <w:kern w:val="2"/>
          <w:szCs w:val="24"/>
        </w:rPr>
        <w:tab/>
      </w:r>
      <w:r w:rsidR="00277364">
        <w:rPr>
          <w:rFonts w:ascii="Times New Roman" w:hint="eastAsia"/>
        </w:rPr>
        <w:t>贾布尔</w:t>
      </w:r>
      <w:r>
        <w:rPr>
          <w:rFonts w:hAnsi="SimSun" w:hint="eastAsia"/>
          <w:color w:val="000000"/>
        </w:rPr>
        <w:t>女士</w:t>
      </w:r>
    </w:p>
    <w:p w:rsidR="00277364" w:rsidRDefault="00D972A7" w:rsidP="00D972A7">
      <w:pPr>
        <w:tabs>
          <w:tab w:val="left" w:pos="1260"/>
          <w:tab w:val="right" w:leader="dot" w:pos="8568"/>
        </w:tabs>
        <w:spacing w:line="360" w:lineRule="auto"/>
        <w:ind w:right="1267"/>
        <w:rPr>
          <w:rFonts w:hint="eastAsia"/>
        </w:rPr>
      </w:pPr>
      <w:r>
        <w:rPr>
          <w:rFonts w:ascii="Times New Roman" w:eastAsia="KaiTi_GB2312" w:hint="eastAsia"/>
          <w:color w:val="0000FF"/>
        </w:rPr>
        <w:t>嗣</w:t>
      </w:r>
      <w:r w:rsidR="00277364">
        <w:rPr>
          <w:rFonts w:ascii="Times New Roman" w:eastAsia="KaiTi_GB2312" w:hint="eastAsia"/>
          <w:color w:val="0000FF"/>
        </w:rPr>
        <w:t>后</w:t>
      </w:r>
      <w:r w:rsidR="00277364">
        <w:rPr>
          <w:rFonts w:ascii="Times New Roman" w:hint="eastAsia"/>
          <w:color w:val="0000FF"/>
        </w:rPr>
        <w:t>：</w:t>
      </w:r>
      <w:r>
        <w:rPr>
          <w:rFonts w:ascii="Times New Roman" w:hint="eastAsia"/>
          <w:color w:val="0000FF"/>
        </w:rPr>
        <w:tab/>
      </w:r>
      <w:r w:rsidR="00277364" w:rsidRPr="001C1EF3">
        <w:rPr>
          <w:rFonts w:ascii="Times New Roman"/>
        </w:rPr>
        <w:t>诺伊鲍尔</w:t>
      </w:r>
      <w:r w:rsidR="00277364" w:rsidRPr="00D20152">
        <w:rPr>
          <w:rFonts w:ascii="Times New Roman" w:hint="eastAsia"/>
        </w:rPr>
        <w:t>女士</w:t>
      </w:r>
      <w:r w:rsidR="00277364">
        <w:rPr>
          <w:rFonts w:hint="eastAsia"/>
        </w:rPr>
        <w:t>（副主席）</w:t>
      </w:r>
    </w:p>
    <w:p w:rsidR="00277364" w:rsidRDefault="00D972A7" w:rsidP="00277364">
      <w:pPr>
        <w:tabs>
          <w:tab w:val="left" w:pos="1260"/>
          <w:tab w:val="right" w:leader="dot" w:pos="8568"/>
        </w:tabs>
        <w:spacing w:line="360" w:lineRule="auto"/>
        <w:ind w:right="1267"/>
        <w:rPr>
          <w:rFonts w:ascii="Times New Roman" w:hint="eastAsia"/>
          <w:color w:val="000000"/>
          <w:kern w:val="2"/>
          <w:szCs w:val="24"/>
        </w:rPr>
      </w:pPr>
      <w:r>
        <w:rPr>
          <w:rFonts w:ascii="Times New Roman" w:eastAsia="KaiTi_GB2312" w:hint="eastAsia"/>
          <w:color w:val="0000FF"/>
        </w:rPr>
        <w:t>嗣</w:t>
      </w:r>
      <w:r w:rsidR="00277364">
        <w:rPr>
          <w:rFonts w:ascii="Times New Roman" w:eastAsia="KaiTi_GB2312" w:hint="eastAsia"/>
          <w:color w:val="0000FF"/>
        </w:rPr>
        <w:t>后</w:t>
      </w:r>
      <w:r w:rsidR="00277364">
        <w:rPr>
          <w:rFonts w:ascii="Times New Roman" w:hint="eastAsia"/>
          <w:color w:val="0000FF"/>
        </w:rPr>
        <w:t>：</w:t>
      </w:r>
      <w:r>
        <w:rPr>
          <w:rFonts w:ascii="Times New Roman" w:hint="eastAsia"/>
          <w:color w:val="0000FF"/>
        </w:rPr>
        <w:tab/>
      </w:r>
      <w:r w:rsidR="00277364">
        <w:rPr>
          <w:rFonts w:ascii="Times New Roman" w:hint="eastAsia"/>
        </w:rPr>
        <w:t>贾布尔</w:t>
      </w:r>
      <w:r w:rsidR="00277364" w:rsidRPr="00903B75">
        <w:rPr>
          <w:rFonts w:ascii="Times New Roman" w:hint="eastAsia"/>
        </w:rPr>
        <w:t>女</w:t>
      </w:r>
      <w:r w:rsidR="00277364">
        <w:rPr>
          <w:rFonts w:hint="eastAsia"/>
        </w:rPr>
        <w:t>士（主席）</w:t>
      </w:r>
    </w:p>
    <w:p w:rsidR="006D7349" w:rsidRDefault="006D7349">
      <w:pPr>
        <w:tabs>
          <w:tab w:val="left" w:pos="1260"/>
          <w:tab w:val="right" w:leader="dot" w:pos="8568"/>
        </w:tabs>
        <w:spacing w:line="360" w:lineRule="auto"/>
        <w:ind w:right="1267"/>
        <w:rPr>
          <w:rFonts w:ascii="Times New Roman"/>
        </w:rPr>
      </w:pPr>
    </w:p>
    <w:p w:rsidR="006D7349" w:rsidRDefault="006D7349">
      <w:pPr>
        <w:tabs>
          <w:tab w:val="left" w:pos="1267"/>
          <w:tab w:val="right" w:leader="dot" w:pos="8568"/>
        </w:tabs>
        <w:spacing w:line="120" w:lineRule="exact"/>
        <w:ind w:right="1267"/>
        <w:rPr>
          <w:rFonts w:ascii="Times New Roman"/>
          <w:sz w:val="10"/>
        </w:rPr>
      </w:pPr>
    </w:p>
    <w:p w:rsidR="006D7349" w:rsidRDefault="006D7349">
      <w:pPr>
        <w:pStyle w:val="HCh"/>
        <w:keepNext w:val="0"/>
        <w:keepLines w:val="0"/>
        <w:tabs>
          <w:tab w:val="clear" w:pos="57"/>
        </w:tabs>
        <w:suppressAutoHyphens w:val="0"/>
        <w:spacing w:afterLines="50" w:after="156" w:line="320" w:lineRule="exact"/>
        <w:outlineLvl w:val="9"/>
        <w:rPr>
          <w:rFonts w:ascii="Times New Roman" w:eastAsia="SimSun" w:hint="eastAsia"/>
        </w:rPr>
      </w:pPr>
      <w:r>
        <w:rPr>
          <w:rFonts w:ascii="Times New Roman" w:eastAsia="SimSun" w:hint="eastAsia"/>
        </w:rPr>
        <w:t>目录</w:t>
      </w:r>
    </w:p>
    <w:p w:rsidR="006D7349" w:rsidRDefault="006D7349">
      <w:pPr>
        <w:pStyle w:val="SingleTxt"/>
        <w:spacing w:after="80" w:line="340" w:lineRule="exact"/>
        <w:rPr>
          <w:rFonts w:ascii="Times New Roman"/>
          <w:color w:val="000000"/>
        </w:rPr>
      </w:pPr>
      <w:r>
        <w:rPr>
          <w:rFonts w:ascii="Times New Roman" w:hint="eastAsia"/>
          <w:color w:val="000000"/>
        </w:rPr>
        <w:t>审议缔约国根据《公约》第</w:t>
      </w:r>
      <w:r>
        <w:rPr>
          <w:rFonts w:ascii="Times New Roman" w:hint="eastAsia"/>
          <w:color w:val="000000"/>
        </w:rPr>
        <w:t>18</w:t>
      </w:r>
      <w:r>
        <w:rPr>
          <w:rFonts w:ascii="Times New Roman" w:hint="eastAsia"/>
          <w:color w:val="000000"/>
        </w:rPr>
        <w:t>条</w:t>
      </w:r>
      <w:r w:rsidR="006A064D">
        <w:rPr>
          <w:rFonts w:ascii="Times New Roman" w:hint="eastAsia"/>
          <w:color w:val="000000"/>
        </w:rPr>
        <w:t>提</w:t>
      </w:r>
      <w:r>
        <w:rPr>
          <w:rFonts w:ascii="Times New Roman" w:hint="eastAsia"/>
          <w:color w:val="000000"/>
        </w:rPr>
        <w:t>交的报告</w:t>
      </w:r>
      <w:r>
        <w:rPr>
          <w:rFonts w:ascii="Times New Roman" w:eastAsia="KaiTi_GB2312" w:hint="eastAsia"/>
          <w:color w:val="0000FF"/>
        </w:rPr>
        <w:t>（续）</w:t>
      </w:r>
    </w:p>
    <w:p w:rsidR="006D7349" w:rsidRDefault="00277364" w:rsidP="006A064D">
      <w:pPr>
        <w:pStyle w:val="SingleTxt"/>
        <w:spacing w:after="80" w:line="340" w:lineRule="exact"/>
        <w:ind w:left="1695"/>
        <w:rPr>
          <w:rFonts w:ascii="Times New Roman" w:eastAsia="KaiTi_GB2312" w:hint="eastAsia"/>
          <w:color w:val="0000FF"/>
        </w:rPr>
      </w:pPr>
      <w:r>
        <w:rPr>
          <w:rFonts w:ascii="Times New Roman" w:eastAsia="KaiTi_GB2312" w:hint="eastAsia"/>
          <w:color w:val="0000FF"/>
        </w:rPr>
        <w:t>卢旺达</w:t>
      </w:r>
      <w:r w:rsidR="00D972A7">
        <w:rPr>
          <w:rFonts w:ascii="Times New Roman" w:eastAsia="KaiTi_GB2312" w:hint="eastAsia"/>
          <w:color w:val="0000FF"/>
        </w:rPr>
        <w:t>的</w:t>
      </w:r>
      <w:r>
        <w:rPr>
          <w:rFonts w:ascii="Times New Roman" w:eastAsia="KaiTi_GB2312" w:hint="eastAsia"/>
          <w:color w:val="0000FF"/>
        </w:rPr>
        <w:t>第四次至</w:t>
      </w:r>
      <w:r w:rsidRPr="00C75D58">
        <w:rPr>
          <w:rFonts w:ascii="Times New Roman" w:eastAsia="KaiTi_GB2312" w:hint="eastAsia"/>
          <w:color w:val="0000FF"/>
        </w:rPr>
        <w:t>第</w:t>
      </w:r>
      <w:r>
        <w:rPr>
          <w:rFonts w:ascii="Times New Roman" w:eastAsia="KaiTi_GB2312" w:hint="eastAsia"/>
          <w:color w:val="0000FF"/>
        </w:rPr>
        <w:t>六</w:t>
      </w:r>
      <w:r w:rsidRPr="00C75D58">
        <w:rPr>
          <w:rFonts w:ascii="Times New Roman" w:eastAsia="KaiTi_GB2312" w:hint="eastAsia"/>
          <w:color w:val="0000FF"/>
        </w:rPr>
        <w:t>次</w:t>
      </w:r>
      <w:r>
        <w:rPr>
          <w:rFonts w:ascii="Times New Roman" w:eastAsia="KaiTi_GB2312" w:hint="eastAsia"/>
          <w:color w:val="0000FF"/>
        </w:rPr>
        <w:t>合并</w:t>
      </w:r>
      <w:r w:rsidRPr="00C75D58">
        <w:rPr>
          <w:rFonts w:ascii="Times New Roman" w:eastAsia="KaiTi_GB2312" w:hint="eastAsia"/>
          <w:color w:val="0000FF"/>
        </w:rPr>
        <w:t>定期报告</w:t>
      </w:r>
    </w:p>
    <w:p w:rsidR="006D7349" w:rsidRDefault="006D7349" w:rsidP="00A70E89">
      <w:pPr>
        <w:pStyle w:val="SingleTxt"/>
        <w:spacing w:after="80" w:line="340" w:lineRule="exact"/>
        <w:rPr>
          <w:rFonts w:ascii="Times New Roman" w:eastAsia="KaiTi_GB2312" w:hint="eastAsia"/>
          <w:color w:val="0000FF"/>
        </w:rPr>
        <w:sectPr w:rsidR="006D7349">
          <w:endnotePr>
            <w:numFmt w:val="decimal"/>
          </w:endnotePr>
          <w:type w:val="continuous"/>
          <w:pgSz w:w="12242" w:h="15842" w:code="1"/>
          <w:pgMar w:top="1742" w:right="1195" w:bottom="1898" w:left="1195" w:header="576" w:footer="1030" w:gutter="0"/>
          <w:pgNumType w:start="1"/>
          <w:cols w:space="425"/>
          <w:noEndnote/>
          <w:docGrid w:type="lines" w:linePitch="312"/>
        </w:sectPr>
      </w:pPr>
    </w:p>
    <w:p w:rsidR="006D7349" w:rsidRDefault="006D7349">
      <w:pPr>
        <w:pStyle w:val="SingleTxt"/>
        <w:spacing w:after="0" w:line="20" w:lineRule="exact"/>
        <w:rPr>
          <w:rFonts w:ascii="Times New Roman"/>
        </w:rPr>
        <w:sectPr w:rsidR="006D7349">
          <w:endnotePr>
            <w:numFmt w:val="decimal"/>
          </w:endnotePr>
          <w:pgSz w:w="12242" w:h="15842" w:code="1"/>
          <w:pgMar w:top="1742" w:right="1195" w:bottom="1898" w:left="1195" w:header="576" w:footer="1030" w:gutter="0"/>
          <w:cols w:space="425"/>
          <w:noEndnote/>
          <w:docGrid w:type="lines" w:linePitch="312"/>
        </w:sectPr>
      </w:pPr>
    </w:p>
    <w:p w:rsidR="008C3F34" w:rsidRPr="003E7740" w:rsidRDefault="008C3F34" w:rsidP="006C6515">
      <w:pPr>
        <w:tabs>
          <w:tab w:val="left" w:pos="420"/>
        </w:tabs>
        <w:spacing w:after="140" w:line="340" w:lineRule="exact"/>
        <w:ind w:firstLineChars="200" w:firstLine="31680"/>
        <w:jc w:val="both"/>
        <w:rPr>
          <w:rFonts w:ascii="KaiTi_GB2312" w:eastAsia="KaiTi_GB2312" w:hint="eastAsia"/>
          <w:color w:val="0000FF"/>
        </w:rPr>
      </w:pPr>
      <w:r>
        <w:rPr>
          <w:rFonts w:ascii="KaiTi_GB2312" w:eastAsia="KaiTi_GB2312" w:hint="eastAsia"/>
          <w:color w:val="0000FF"/>
        </w:rPr>
        <w:t>上</w:t>
      </w:r>
      <w:r w:rsidRPr="003E7740">
        <w:rPr>
          <w:rFonts w:ascii="KaiTi_GB2312" w:eastAsia="KaiTi_GB2312" w:hint="eastAsia"/>
          <w:color w:val="0000FF"/>
        </w:rPr>
        <w:t>午</w:t>
      </w:r>
      <w:r>
        <w:rPr>
          <w:rFonts w:ascii="KaiTi_GB2312" w:eastAsia="KaiTi_GB2312" w:hint="eastAsia"/>
          <w:color w:val="0000FF"/>
        </w:rPr>
        <w:t>10时</w:t>
      </w:r>
      <w:r w:rsidRPr="003E7740">
        <w:rPr>
          <w:rFonts w:ascii="KaiTi_GB2312" w:eastAsia="KaiTi_GB2312" w:hint="eastAsia"/>
          <w:color w:val="0000FF"/>
        </w:rPr>
        <w:t>宣布开会</w:t>
      </w:r>
      <w:r>
        <w:rPr>
          <w:rFonts w:ascii="KaiTi_GB2312" w:eastAsia="KaiTi_GB2312" w:hint="eastAsia"/>
          <w:color w:val="0000FF"/>
        </w:rPr>
        <w:t>。</w:t>
      </w:r>
    </w:p>
    <w:p w:rsidR="008C3F34" w:rsidRPr="003E7740" w:rsidRDefault="008C3F34" w:rsidP="008C3F34">
      <w:pPr>
        <w:pStyle w:val="H23"/>
        <w:tabs>
          <w:tab w:val="right" w:pos="360"/>
          <w:tab w:val="left" w:pos="475"/>
          <w:tab w:val="left" w:pos="965"/>
          <w:tab w:val="left" w:pos="1440"/>
          <w:tab w:val="left" w:pos="1915"/>
          <w:tab w:val="left" w:pos="2405"/>
          <w:tab w:val="left" w:pos="2880"/>
          <w:tab w:val="left" w:pos="3355"/>
        </w:tabs>
        <w:spacing w:after="140"/>
        <w:rPr>
          <w:rFonts w:hint="eastAsia"/>
          <w:spacing w:val="0"/>
        </w:rPr>
      </w:pPr>
      <w:r>
        <w:rPr>
          <w:rFonts w:hint="eastAsia"/>
          <w:spacing w:val="0"/>
        </w:rPr>
        <w:t>审议缔约国根据《公约》第18条</w:t>
      </w:r>
      <w:r w:rsidR="00D972A7">
        <w:rPr>
          <w:rFonts w:hint="eastAsia"/>
          <w:spacing w:val="0"/>
        </w:rPr>
        <w:t>提</w:t>
      </w:r>
      <w:r>
        <w:rPr>
          <w:rFonts w:hint="eastAsia"/>
          <w:spacing w:val="0"/>
        </w:rPr>
        <w:t>交的报告</w:t>
      </w:r>
      <w:r w:rsidR="00D972A7" w:rsidRPr="002E089D">
        <w:rPr>
          <w:rFonts w:ascii="Times New Roman" w:eastAsia="KaiTi_GB2312" w:hint="eastAsia"/>
          <w:color w:val="0000FF"/>
        </w:rPr>
        <w:t>（续）</w:t>
      </w:r>
    </w:p>
    <w:p w:rsidR="008C3F34" w:rsidRDefault="008C3F34" w:rsidP="008C3F34">
      <w:pPr>
        <w:tabs>
          <w:tab w:val="left" w:pos="315"/>
        </w:tabs>
        <w:spacing w:after="140" w:line="340" w:lineRule="exact"/>
        <w:ind w:left="315"/>
        <w:jc w:val="both"/>
        <w:rPr>
          <w:rFonts w:ascii="Times New Roman" w:eastAsia="KaiTi_GB2312" w:hint="eastAsia"/>
          <w:color w:val="0000FF"/>
          <w:spacing w:val="2"/>
        </w:rPr>
      </w:pPr>
      <w:r>
        <w:rPr>
          <w:rFonts w:ascii="Times New Roman" w:eastAsia="KaiTi_GB2312" w:hint="eastAsia"/>
          <w:color w:val="0000FF"/>
          <w:spacing w:val="2"/>
        </w:rPr>
        <w:t>卢旺达</w:t>
      </w:r>
      <w:r w:rsidR="00D972A7">
        <w:rPr>
          <w:rFonts w:ascii="Times New Roman" w:eastAsia="KaiTi_GB2312" w:hint="eastAsia"/>
          <w:color w:val="0000FF"/>
          <w:spacing w:val="2"/>
        </w:rPr>
        <w:t>的</w:t>
      </w:r>
      <w:r>
        <w:rPr>
          <w:rFonts w:ascii="Times New Roman" w:eastAsia="KaiTi_GB2312" w:hint="eastAsia"/>
          <w:color w:val="0000FF"/>
          <w:spacing w:val="2"/>
        </w:rPr>
        <w:t>第四次至第六次合并定期报告</w:t>
      </w:r>
      <w:r>
        <w:rPr>
          <w:rFonts w:ascii="Times New Roman" w:hint="eastAsia"/>
          <w:szCs w:val="21"/>
        </w:rPr>
        <w:t>（</w:t>
      </w:r>
      <w:r w:rsidRPr="003C5C58">
        <w:rPr>
          <w:rFonts w:ascii="Times New Roman"/>
          <w:szCs w:val="21"/>
        </w:rPr>
        <w:t>CEDAW/C/RWA/6</w:t>
      </w:r>
      <w:r>
        <w:rPr>
          <w:rFonts w:ascii="Times New Roman" w:hint="eastAsia"/>
          <w:szCs w:val="21"/>
        </w:rPr>
        <w:t>、</w:t>
      </w:r>
      <w:r w:rsidRPr="003C5C58">
        <w:rPr>
          <w:rFonts w:ascii="Times New Roman"/>
          <w:szCs w:val="21"/>
        </w:rPr>
        <w:t xml:space="preserve">CEDAW/C/RWA/Q/6 </w:t>
      </w:r>
      <w:r>
        <w:rPr>
          <w:rFonts w:ascii="Times New Roman" w:hint="eastAsia"/>
          <w:szCs w:val="21"/>
        </w:rPr>
        <w:t>和</w:t>
      </w:r>
      <w:r w:rsidRPr="003C5C58">
        <w:rPr>
          <w:rFonts w:ascii="Times New Roman"/>
          <w:szCs w:val="21"/>
        </w:rPr>
        <w:t xml:space="preserve"> Add.1</w:t>
      </w:r>
      <w:r>
        <w:rPr>
          <w:rFonts w:ascii="Times New Roman" w:hint="eastAsia"/>
          <w:szCs w:val="21"/>
        </w:rPr>
        <w:t>）</w:t>
      </w:r>
    </w:p>
    <w:p w:rsidR="008C3F34" w:rsidRPr="00770906" w:rsidRDefault="008C3F34" w:rsidP="00D972A7">
      <w:pPr>
        <w:widowControl w:val="0"/>
        <w:spacing w:after="140" w:line="340" w:lineRule="exact"/>
        <w:jc w:val="both"/>
        <w:rPr>
          <w:rFonts w:ascii="Times New Roman" w:hint="eastAsia"/>
          <w:szCs w:val="21"/>
        </w:rPr>
      </w:pPr>
      <w:r w:rsidRPr="00D20152">
        <w:rPr>
          <w:rFonts w:ascii="Times New Roman" w:hint="eastAsia"/>
          <w:szCs w:val="21"/>
        </w:rPr>
        <w:t>1</w:t>
      </w:r>
      <w:r>
        <w:rPr>
          <w:rFonts w:ascii="Times New Roman" w:hint="eastAsia"/>
          <w:szCs w:val="21"/>
        </w:rPr>
        <w:t>．</w:t>
      </w:r>
      <w:r w:rsidRPr="009D21B7">
        <w:rPr>
          <w:rFonts w:ascii="Times New Roman" w:eastAsia="KaiTi_GB2312" w:hint="eastAsia"/>
          <w:color w:val="0000FF"/>
          <w:spacing w:val="2"/>
        </w:rPr>
        <w:t>应主席邀请，</w:t>
      </w:r>
      <w:r>
        <w:rPr>
          <w:rFonts w:ascii="Times New Roman" w:eastAsia="KaiTi_GB2312" w:hint="eastAsia"/>
          <w:color w:val="0000FF"/>
          <w:spacing w:val="2"/>
        </w:rPr>
        <w:t>卢旺达代表团</w:t>
      </w:r>
      <w:r w:rsidR="00D972A7">
        <w:rPr>
          <w:rFonts w:ascii="Times New Roman" w:eastAsia="KaiTi_GB2312" w:hint="eastAsia"/>
          <w:color w:val="0000FF"/>
          <w:spacing w:val="2"/>
        </w:rPr>
        <w:t>成员</w:t>
      </w:r>
      <w:r w:rsidRPr="009D21B7">
        <w:rPr>
          <w:rFonts w:ascii="Times New Roman" w:eastAsia="KaiTi_GB2312" w:hint="eastAsia"/>
          <w:color w:val="0000FF"/>
          <w:spacing w:val="2"/>
        </w:rPr>
        <w:t>在委员会议</w:t>
      </w:r>
      <w:r>
        <w:rPr>
          <w:rFonts w:ascii="Times New Roman" w:eastAsia="KaiTi_GB2312" w:hint="eastAsia"/>
          <w:color w:val="0000FF"/>
          <w:spacing w:val="2"/>
        </w:rPr>
        <w:t>席</w:t>
      </w:r>
      <w:r w:rsidRPr="009D21B7">
        <w:rPr>
          <w:rFonts w:ascii="Times New Roman" w:eastAsia="KaiTi_GB2312" w:hint="eastAsia"/>
          <w:color w:val="0000FF"/>
          <w:spacing w:val="2"/>
        </w:rPr>
        <w:t>就座。</w:t>
      </w:r>
    </w:p>
    <w:p w:rsidR="008C3F34" w:rsidRDefault="008C3F34" w:rsidP="00D972A7">
      <w:pPr>
        <w:widowControl w:val="0"/>
        <w:tabs>
          <w:tab w:val="left" w:pos="2730"/>
        </w:tabs>
        <w:spacing w:after="140" w:line="340" w:lineRule="exact"/>
        <w:jc w:val="both"/>
        <w:rPr>
          <w:rFonts w:ascii="Times New Roman" w:hint="eastAsia"/>
          <w:szCs w:val="21"/>
        </w:rPr>
      </w:pPr>
      <w:r w:rsidRPr="0072576E">
        <w:rPr>
          <w:rFonts w:ascii="Times New Roman" w:hint="eastAsia"/>
          <w:szCs w:val="21"/>
        </w:rPr>
        <w:t>2</w:t>
      </w:r>
      <w:r w:rsidRPr="0072576E">
        <w:rPr>
          <w:rFonts w:ascii="Times New Roman" w:hint="eastAsia"/>
          <w:szCs w:val="21"/>
        </w:rPr>
        <w:t>．</w:t>
      </w:r>
      <w:r w:rsidRPr="003C5C58">
        <w:rPr>
          <w:rFonts w:ascii="SimHei" w:eastAsia="SimHei"/>
          <w:color w:val="FF0000"/>
          <w:szCs w:val="21"/>
        </w:rPr>
        <w:t>Mujawamariya</w:t>
      </w:r>
      <w:r>
        <w:rPr>
          <w:rFonts w:ascii="SimHei" w:eastAsia="SimHei" w:hint="eastAsia"/>
          <w:color w:val="FF0000"/>
          <w:szCs w:val="21"/>
        </w:rPr>
        <w:t>女士</w:t>
      </w:r>
      <w:r>
        <w:rPr>
          <w:rFonts w:ascii="Times New Roman" w:hint="eastAsia"/>
          <w:szCs w:val="21"/>
        </w:rPr>
        <w:t>（卢旺达）在使用经电脑制作的幻灯演示片来介绍卢旺达</w:t>
      </w:r>
      <w:r w:rsidRPr="00EE0886">
        <w:rPr>
          <w:rFonts w:ascii="Times New Roman" w:hint="eastAsia"/>
          <w:szCs w:val="21"/>
        </w:rPr>
        <w:t>第四次至第六次</w:t>
      </w:r>
      <w:r>
        <w:rPr>
          <w:rFonts w:ascii="Times New Roman" w:hint="eastAsia"/>
          <w:szCs w:val="21"/>
        </w:rPr>
        <w:t>合并定期报告（</w:t>
      </w:r>
      <w:r w:rsidRPr="003C5C58">
        <w:rPr>
          <w:rFonts w:ascii="Times New Roman"/>
          <w:szCs w:val="21"/>
        </w:rPr>
        <w:t>CEDAW/C/RWA/6</w:t>
      </w:r>
      <w:r>
        <w:rPr>
          <w:rFonts w:ascii="Times New Roman" w:hint="eastAsia"/>
          <w:szCs w:val="21"/>
        </w:rPr>
        <w:t>）时说，她的国家位于中东非的大湖地区，拥有人口约</w:t>
      </w:r>
      <w:r w:rsidR="00D972A7">
        <w:rPr>
          <w:rFonts w:ascii="Times New Roman" w:hint="eastAsia"/>
          <w:szCs w:val="21"/>
        </w:rPr>
        <w:t>930</w:t>
      </w:r>
      <w:r>
        <w:rPr>
          <w:rFonts w:ascii="Times New Roman" w:hint="eastAsia"/>
          <w:szCs w:val="21"/>
        </w:rPr>
        <w:t>万，其中</w:t>
      </w:r>
      <w:r>
        <w:rPr>
          <w:rFonts w:ascii="Times New Roman" w:hint="eastAsia"/>
          <w:szCs w:val="21"/>
        </w:rPr>
        <w:t>47.8%</w:t>
      </w:r>
      <w:r>
        <w:rPr>
          <w:rFonts w:ascii="Times New Roman" w:hint="eastAsia"/>
          <w:szCs w:val="21"/>
        </w:rPr>
        <w:t>是男性，</w:t>
      </w:r>
      <w:r>
        <w:rPr>
          <w:rFonts w:ascii="Times New Roman" w:hint="eastAsia"/>
          <w:szCs w:val="21"/>
        </w:rPr>
        <w:t>52.2%</w:t>
      </w:r>
      <w:r>
        <w:rPr>
          <w:rFonts w:ascii="Times New Roman" w:hint="eastAsia"/>
          <w:szCs w:val="21"/>
        </w:rPr>
        <w:t>是妇女。</w:t>
      </w:r>
      <w:r>
        <w:rPr>
          <w:rFonts w:ascii="Times New Roman" w:hint="eastAsia"/>
          <w:szCs w:val="21"/>
        </w:rPr>
        <w:t>1962</w:t>
      </w:r>
      <w:r>
        <w:rPr>
          <w:rFonts w:ascii="Times New Roman" w:hint="eastAsia"/>
          <w:szCs w:val="21"/>
        </w:rPr>
        <w:t>年独立以后实施的种族和地区歧视政策以及排外主义，到</w:t>
      </w:r>
      <w:r>
        <w:rPr>
          <w:rFonts w:ascii="Times New Roman" w:hint="eastAsia"/>
          <w:szCs w:val="21"/>
        </w:rPr>
        <w:t>1994</w:t>
      </w:r>
      <w:r>
        <w:rPr>
          <w:rFonts w:ascii="Times New Roman" w:hint="eastAsia"/>
          <w:szCs w:val="21"/>
        </w:rPr>
        <w:t>年</w:t>
      </w:r>
      <w:r>
        <w:rPr>
          <w:rFonts w:ascii="Times New Roman" w:hint="eastAsia"/>
          <w:szCs w:val="21"/>
        </w:rPr>
        <w:t>4</w:t>
      </w:r>
      <w:r>
        <w:rPr>
          <w:rFonts w:ascii="Times New Roman" w:hint="eastAsia"/>
          <w:szCs w:val="21"/>
        </w:rPr>
        <w:t>月的种族屠杀时发展到了顶点。这场屠杀令举国悲痛，</w:t>
      </w:r>
      <w:r w:rsidR="00D972A7">
        <w:rPr>
          <w:rFonts w:ascii="Times New Roman" w:hint="eastAsia"/>
          <w:szCs w:val="21"/>
        </w:rPr>
        <w:t>100</w:t>
      </w:r>
      <w:r>
        <w:rPr>
          <w:rFonts w:ascii="Times New Roman" w:hint="eastAsia"/>
          <w:szCs w:val="21"/>
        </w:rPr>
        <w:t>多万人受难，对这个国家的妇女产生了严重而深远的影响。</w:t>
      </w:r>
      <w:r>
        <w:rPr>
          <w:rFonts w:ascii="Times New Roman" w:hint="eastAsia"/>
          <w:szCs w:val="21"/>
        </w:rPr>
        <w:t>1994</w:t>
      </w:r>
      <w:r>
        <w:rPr>
          <w:rFonts w:ascii="Times New Roman" w:hint="eastAsia"/>
          <w:szCs w:val="21"/>
        </w:rPr>
        <w:t>年</w:t>
      </w:r>
      <w:r>
        <w:rPr>
          <w:rFonts w:ascii="Times New Roman" w:hint="eastAsia"/>
          <w:szCs w:val="21"/>
        </w:rPr>
        <w:t>7</w:t>
      </w:r>
      <w:r>
        <w:rPr>
          <w:rFonts w:ascii="Times New Roman" w:hint="eastAsia"/>
          <w:szCs w:val="21"/>
        </w:rPr>
        <w:t>月成立了由卢旺达爱国阵线和那些没有参加种族屠杀的政党组成的民族团结政府，目的是为了确保在人民选举出政府之前有一个过渡期，同时也是为了应对重建和和解的挑战。过渡政府和卢旺达人民面临着巨大挑战：疾病、境内流离失所、精神创伤，以及满足包括寡妇、孤儿和没有避难所或</w:t>
      </w:r>
      <w:r w:rsidR="00D972A7">
        <w:rPr>
          <w:rFonts w:ascii="Times New Roman" w:hint="eastAsia"/>
          <w:szCs w:val="21"/>
        </w:rPr>
        <w:t>其他</w:t>
      </w:r>
      <w:r>
        <w:rPr>
          <w:rFonts w:ascii="Times New Roman" w:hint="eastAsia"/>
          <w:szCs w:val="21"/>
        </w:rPr>
        <w:t>资源的屠杀幸存者等弱势群体的需求等。</w:t>
      </w:r>
    </w:p>
    <w:p w:rsidR="008C3F34" w:rsidRDefault="008C3F34" w:rsidP="00D972A7">
      <w:pPr>
        <w:widowControl w:val="0"/>
        <w:tabs>
          <w:tab w:val="left" w:pos="2730"/>
        </w:tabs>
        <w:spacing w:after="140" w:line="340" w:lineRule="exact"/>
        <w:jc w:val="both"/>
        <w:rPr>
          <w:rFonts w:ascii="Times New Roman" w:hint="eastAsia"/>
          <w:szCs w:val="21"/>
        </w:rPr>
      </w:pPr>
      <w:r>
        <w:rPr>
          <w:rFonts w:ascii="Times New Roman" w:hint="eastAsia"/>
          <w:szCs w:val="21"/>
        </w:rPr>
        <w:t>3</w:t>
      </w:r>
      <w:r>
        <w:rPr>
          <w:rFonts w:ascii="Times New Roman" w:hint="eastAsia"/>
          <w:szCs w:val="21"/>
        </w:rPr>
        <w:t>．现在陈述的这份报告是种族屠杀之后向委员会提交的第一份报告，尽管</w:t>
      </w:r>
      <w:r>
        <w:rPr>
          <w:rFonts w:ascii="Times New Roman" w:hint="eastAsia"/>
          <w:szCs w:val="21"/>
        </w:rPr>
        <w:t>1996</w:t>
      </w:r>
      <w:r>
        <w:rPr>
          <w:rFonts w:ascii="Times New Roman" w:hint="eastAsia"/>
          <w:szCs w:val="21"/>
        </w:rPr>
        <w:t>年曾经作过一次口头报告。政府坚信，如果不能把妇女融入到一个团结、民主和繁荣的卢旺达愿景的各个方面中去，国家就不可能前进。基于这一信念，政府全面致力于赋予妇女权</w:t>
      </w:r>
      <w:r w:rsidR="00D972A7">
        <w:rPr>
          <w:rFonts w:ascii="Times New Roman" w:hint="eastAsia"/>
          <w:szCs w:val="21"/>
        </w:rPr>
        <w:t>力</w:t>
      </w:r>
      <w:r>
        <w:rPr>
          <w:rFonts w:ascii="Times New Roman" w:hint="eastAsia"/>
          <w:szCs w:val="21"/>
        </w:rPr>
        <w:t>和促进她们从社会经济和政治上参与到国家生活中来。</w:t>
      </w:r>
    </w:p>
    <w:p w:rsidR="008C3F34" w:rsidRDefault="008C3F34" w:rsidP="00D972A7">
      <w:pPr>
        <w:widowControl w:val="0"/>
        <w:tabs>
          <w:tab w:val="left" w:pos="2730"/>
        </w:tabs>
        <w:spacing w:after="140" w:line="340" w:lineRule="exact"/>
        <w:jc w:val="both"/>
        <w:rPr>
          <w:rFonts w:ascii="Times New Roman" w:hint="eastAsia"/>
          <w:szCs w:val="21"/>
        </w:rPr>
      </w:pPr>
      <w:r>
        <w:rPr>
          <w:rFonts w:ascii="Times New Roman" w:hint="eastAsia"/>
          <w:szCs w:val="21"/>
        </w:rPr>
        <w:t>4</w:t>
      </w:r>
      <w:r>
        <w:rPr>
          <w:rFonts w:ascii="Times New Roman" w:hint="eastAsia"/>
          <w:szCs w:val="21"/>
        </w:rPr>
        <w:t>．</w:t>
      </w:r>
      <w:r>
        <w:rPr>
          <w:rFonts w:ascii="Times New Roman" w:hint="eastAsia"/>
          <w:szCs w:val="21"/>
        </w:rPr>
        <w:t>2003</w:t>
      </w:r>
      <w:r>
        <w:rPr>
          <w:rFonts w:ascii="Times New Roman" w:hint="eastAsia"/>
          <w:szCs w:val="21"/>
        </w:rPr>
        <w:t>年的《宪法》宣称，每一个公民都有受教育的权利。初等教育是强制性的，而且在公立学校免费提供，没有任何性别歧视。根据国家发展计划《</w:t>
      </w:r>
      <w:r>
        <w:rPr>
          <w:rFonts w:ascii="Times New Roman" w:hint="eastAsia"/>
          <w:szCs w:val="21"/>
        </w:rPr>
        <w:t>2020</w:t>
      </w:r>
      <w:r>
        <w:rPr>
          <w:rFonts w:ascii="Times New Roman" w:hint="eastAsia"/>
          <w:szCs w:val="21"/>
        </w:rPr>
        <w:t>年愿景》，目标是，到</w:t>
      </w:r>
      <w:r>
        <w:rPr>
          <w:rFonts w:ascii="Times New Roman" w:hint="eastAsia"/>
          <w:szCs w:val="21"/>
        </w:rPr>
        <w:t>2015</w:t>
      </w:r>
      <w:r>
        <w:rPr>
          <w:rFonts w:ascii="Times New Roman" w:hint="eastAsia"/>
          <w:szCs w:val="21"/>
        </w:rPr>
        <w:t>年识字率达到</w:t>
      </w:r>
      <w:r>
        <w:rPr>
          <w:rFonts w:ascii="Times New Roman" w:hint="eastAsia"/>
          <w:szCs w:val="21"/>
        </w:rPr>
        <w:t>85%</w:t>
      </w:r>
      <w:r>
        <w:rPr>
          <w:rFonts w:ascii="Times New Roman" w:hint="eastAsia"/>
          <w:szCs w:val="21"/>
        </w:rPr>
        <w:t>，到</w:t>
      </w:r>
      <w:r>
        <w:rPr>
          <w:rFonts w:ascii="Times New Roman" w:hint="eastAsia"/>
          <w:szCs w:val="21"/>
        </w:rPr>
        <w:t>2020</w:t>
      </w:r>
      <w:r>
        <w:rPr>
          <w:rFonts w:ascii="Times New Roman" w:hint="eastAsia"/>
          <w:szCs w:val="21"/>
        </w:rPr>
        <w:t>年达到</w:t>
      </w:r>
      <w:r>
        <w:rPr>
          <w:rFonts w:ascii="Times New Roman" w:hint="eastAsia"/>
          <w:szCs w:val="21"/>
        </w:rPr>
        <w:t>100%</w:t>
      </w:r>
      <w:r>
        <w:rPr>
          <w:rFonts w:ascii="Times New Roman" w:hint="eastAsia"/>
          <w:szCs w:val="21"/>
        </w:rPr>
        <w:t>。修订后具有性别敏感性的学校课程最近已投入使用。《宪法》还明文昭示了同工同酬的原则，以及在公共部门禁止各种形式的就业歧视等。</w:t>
      </w:r>
    </w:p>
    <w:p w:rsidR="008C3F34" w:rsidRDefault="008C3F34" w:rsidP="00D972A7">
      <w:pPr>
        <w:widowControl w:val="0"/>
        <w:tabs>
          <w:tab w:val="left" w:pos="2730"/>
        </w:tabs>
        <w:spacing w:after="140" w:line="340" w:lineRule="exact"/>
        <w:jc w:val="both"/>
        <w:rPr>
          <w:rFonts w:ascii="Times New Roman" w:hint="eastAsia"/>
          <w:szCs w:val="21"/>
        </w:rPr>
      </w:pPr>
      <w:r>
        <w:rPr>
          <w:rFonts w:ascii="Times New Roman" w:hint="eastAsia"/>
          <w:szCs w:val="21"/>
        </w:rPr>
        <w:t>5</w:t>
      </w:r>
      <w:r>
        <w:rPr>
          <w:rFonts w:ascii="Times New Roman" w:hint="eastAsia"/>
          <w:szCs w:val="21"/>
        </w:rPr>
        <w:t>．在健康方面，一般来说，卢旺达人都知道至少一种计划生育的方法，但是，使用的比率仍然很低。虽然产妇死亡率仍然很高，但是，已经从</w:t>
      </w:r>
      <w:r>
        <w:rPr>
          <w:rFonts w:ascii="Times New Roman" w:hint="eastAsia"/>
          <w:szCs w:val="21"/>
        </w:rPr>
        <w:t>2000</w:t>
      </w:r>
      <w:r>
        <w:rPr>
          <w:rFonts w:ascii="Times New Roman" w:hint="eastAsia"/>
          <w:szCs w:val="21"/>
        </w:rPr>
        <w:t>年每十万活产</w:t>
      </w:r>
      <w:r>
        <w:rPr>
          <w:rFonts w:ascii="Times New Roman" w:hint="eastAsia"/>
          <w:szCs w:val="21"/>
        </w:rPr>
        <w:t>1</w:t>
      </w:r>
      <w:r w:rsidR="00D972A7">
        <w:rPr>
          <w:rFonts w:ascii="Times New Roman" w:hint="eastAsia"/>
          <w:szCs w:val="21"/>
        </w:rPr>
        <w:t xml:space="preserve"> </w:t>
      </w:r>
      <w:r>
        <w:rPr>
          <w:rFonts w:ascii="Times New Roman" w:hint="eastAsia"/>
          <w:szCs w:val="21"/>
        </w:rPr>
        <w:t>071</w:t>
      </w:r>
      <w:r>
        <w:rPr>
          <w:rFonts w:ascii="Times New Roman" w:hint="eastAsia"/>
          <w:szCs w:val="21"/>
        </w:rPr>
        <w:t>人下降到了</w:t>
      </w:r>
      <w:r>
        <w:rPr>
          <w:rFonts w:ascii="Times New Roman" w:hint="eastAsia"/>
          <w:szCs w:val="21"/>
        </w:rPr>
        <w:t>2005</w:t>
      </w:r>
      <w:r>
        <w:rPr>
          <w:rFonts w:ascii="Times New Roman" w:hint="eastAsia"/>
          <w:szCs w:val="21"/>
        </w:rPr>
        <w:t>年每十万活产</w:t>
      </w:r>
      <w:r>
        <w:rPr>
          <w:rFonts w:ascii="Times New Roman" w:hint="eastAsia"/>
          <w:szCs w:val="21"/>
        </w:rPr>
        <w:t>750</w:t>
      </w:r>
      <w:r>
        <w:rPr>
          <w:rFonts w:ascii="Times New Roman" w:hint="eastAsia"/>
          <w:szCs w:val="21"/>
        </w:rPr>
        <w:t>人，而且预计这一比率的下降趋势将继续下去。虽然大多数妇女都得到了某种形式的产前护理，但是许多人是在家中分娩的，特别是在农村地区，尽管事实是</w:t>
      </w:r>
      <w:r>
        <w:rPr>
          <w:rFonts w:ascii="Times New Roman" w:hint="eastAsia"/>
          <w:szCs w:val="21"/>
        </w:rPr>
        <w:t>85%</w:t>
      </w:r>
      <w:r>
        <w:rPr>
          <w:rFonts w:ascii="Times New Roman" w:hint="eastAsia"/>
          <w:szCs w:val="21"/>
        </w:rPr>
        <w:t>的人都享有社会保险津贴和健康保险。婴儿死亡率也居高不下，</w:t>
      </w:r>
      <w:r>
        <w:rPr>
          <w:rFonts w:ascii="Times New Roman" w:hint="eastAsia"/>
          <w:szCs w:val="21"/>
        </w:rPr>
        <w:t>2000</w:t>
      </w:r>
      <w:r>
        <w:rPr>
          <w:rFonts w:ascii="Times New Roman" w:hint="eastAsia"/>
          <w:szCs w:val="21"/>
        </w:rPr>
        <w:t>年比率是</w:t>
      </w:r>
      <w:r>
        <w:rPr>
          <w:rFonts w:ascii="Times New Roman" w:hint="eastAsia"/>
          <w:szCs w:val="21"/>
        </w:rPr>
        <w:t>10</w:t>
      </w:r>
      <w:r w:rsidR="00D972A7">
        <w:rPr>
          <w:rFonts w:ascii="Times New Roman" w:hint="eastAsia"/>
          <w:szCs w:val="21"/>
        </w:rPr>
        <w:t>.</w:t>
      </w:r>
      <w:r>
        <w:rPr>
          <w:rFonts w:ascii="Times New Roman" w:hint="eastAsia"/>
          <w:szCs w:val="21"/>
        </w:rPr>
        <w:t>7</w:t>
      </w:r>
      <w:r w:rsidR="00D972A7">
        <w:rPr>
          <w:rFonts w:ascii="Times New Roman" w:hint="eastAsia"/>
          <w:szCs w:val="21"/>
        </w:rPr>
        <w:t>%</w:t>
      </w:r>
      <w:r>
        <w:rPr>
          <w:rFonts w:ascii="Times New Roman" w:hint="eastAsia"/>
          <w:szCs w:val="21"/>
        </w:rPr>
        <w:t>，这一比率在</w:t>
      </w:r>
      <w:r>
        <w:rPr>
          <w:rFonts w:ascii="Times New Roman" w:hint="eastAsia"/>
          <w:szCs w:val="21"/>
        </w:rPr>
        <w:t>2005</w:t>
      </w:r>
      <w:r>
        <w:rPr>
          <w:rFonts w:ascii="Times New Roman" w:hint="eastAsia"/>
          <w:szCs w:val="21"/>
        </w:rPr>
        <w:t>年降至</w:t>
      </w:r>
      <w:r>
        <w:rPr>
          <w:rFonts w:ascii="Times New Roman" w:hint="eastAsia"/>
          <w:szCs w:val="21"/>
        </w:rPr>
        <w:t>8</w:t>
      </w:r>
      <w:r w:rsidR="00D972A7">
        <w:rPr>
          <w:rFonts w:ascii="Times New Roman" w:hint="eastAsia"/>
          <w:szCs w:val="21"/>
        </w:rPr>
        <w:t>.</w:t>
      </w:r>
      <w:r>
        <w:rPr>
          <w:rFonts w:ascii="Times New Roman" w:hint="eastAsia"/>
          <w:szCs w:val="21"/>
        </w:rPr>
        <w:t>6</w:t>
      </w:r>
      <w:r w:rsidR="00D972A7">
        <w:rPr>
          <w:rFonts w:ascii="Times New Roman" w:hint="eastAsia"/>
          <w:szCs w:val="21"/>
        </w:rPr>
        <w:t>%</w:t>
      </w:r>
      <w:r>
        <w:rPr>
          <w:rFonts w:ascii="Times New Roman" w:hint="eastAsia"/>
          <w:szCs w:val="21"/>
        </w:rPr>
        <w:t>。近</w:t>
      </w:r>
      <w:r>
        <w:rPr>
          <w:rFonts w:ascii="Times New Roman" w:hint="eastAsia"/>
          <w:szCs w:val="21"/>
        </w:rPr>
        <w:t>99%</w:t>
      </w:r>
      <w:r>
        <w:rPr>
          <w:rFonts w:ascii="Times New Roman" w:hint="eastAsia"/>
          <w:szCs w:val="21"/>
        </w:rPr>
        <w:t>的人都懂得艾滋病毒</w:t>
      </w:r>
      <w:r>
        <w:rPr>
          <w:rFonts w:ascii="Times New Roman" w:hint="eastAsia"/>
          <w:szCs w:val="21"/>
        </w:rPr>
        <w:t>/</w:t>
      </w:r>
      <w:r>
        <w:rPr>
          <w:rFonts w:ascii="Times New Roman" w:hint="eastAsia"/>
          <w:szCs w:val="21"/>
        </w:rPr>
        <w:t>艾滋病是如何传播的，而且知道至少一种预防方法。艾滋病被认为是一种妇女疾病，因为艾滋病毒呈阳性的妇女比男性多。</w:t>
      </w:r>
      <w:r w:rsidR="00D972A7">
        <w:rPr>
          <w:rFonts w:ascii="Times New Roman" w:hint="eastAsia"/>
          <w:szCs w:val="21"/>
        </w:rPr>
        <w:t>其他</w:t>
      </w:r>
      <w:r>
        <w:rPr>
          <w:rFonts w:ascii="Times New Roman" w:hint="eastAsia"/>
          <w:szCs w:val="21"/>
        </w:rPr>
        <w:t>性传播疾病（</w:t>
      </w:r>
      <w:r w:rsidRPr="00815D41">
        <w:rPr>
          <w:rFonts w:ascii="Times New Roman"/>
          <w:szCs w:val="21"/>
        </w:rPr>
        <w:t>STDs</w:t>
      </w:r>
      <w:r>
        <w:rPr>
          <w:rFonts w:ascii="Times New Roman" w:hint="eastAsia"/>
          <w:szCs w:val="21"/>
        </w:rPr>
        <w:t>）同样没有被人们所认识。</w:t>
      </w:r>
    </w:p>
    <w:p w:rsidR="008C3F34" w:rsidRDefault="008C3F34" w:rsidP="00D972A7">
      <w:pPr>
        <w:widowControl w:val="0"/>
        <w:tabs>
          <w:tab w:val="left" w:pos="2730"/>
        </w:tabs>
        <w:spacing w:after="140" w:line="340" w:lineRule="exact"/>
        <w:jc w:val="both"/>
        <w:rPr>
          <w:rFonts w:ascii="Times New Roman" w:hint="eastAsia"/>
          <w:szCs w:val="21"/>
        </w:rPr>
      </w:pPr>
      <w:r>
        <w:rPr>
          <w:rFonts w:ascii="Times New Roman" w:hint="eastAsia"/>
          <w:szCs w:val="21"/>
        </w:rPr>
        <w:t>6</w:t>
      </w:r>
      <w:r>
        <w:rPr>
          <w:rFonts w:ascii="Times New Roman" w:hint="eastAsia"/>
          <w:szCs w:val="21"/>
        </w:rPr>
        <w:t>．关于男女在政治代表性上的人数对等问题，卢旺达已经取得了很大的进展。《宪法》规定了各级决策岗位上妇女最低</w:t>
      </w:r>
      <w:r>
        <w:rPr>
          <w:rFonts w:ascii="Times New Roman" w:hint="eastAsia"/>
          <w:szCs w:val="21"/>
        </w:rPr>
        <w:t>30%</w:t>
      </w:r>
      <w:r>
        <w:rPr>
          <w:rFonts w:ascii="Times New Roman" w:hint="eastAsia"/>
          <w:szCs w:val="21"/>
        </w:rPr>
        <w:t>的限额。现在，妇女占议会成员的</w:t>
      </w:r>
      <w:r>
        <w:rPr>
          <w:rFonts w:ascii="Times New Roman" w:hint="eastAsia"/>
          <w:szCs w:val="21"/>
        </w:rPr>
        <w:t>56.2%</w:t>
      </w:r>
      <w:r>
        <w:rPr>
          <w:rFonts w:ascii="Times New Roman" w:hint="eastAsia"/>
          <w:szCs w:val="21"/>
        </w:rPr>
        <w:t>，政府的</w:t>
      </w:r>
      <w:r>
        <w:rPr>
          <w:rFonts w:ascii="Times New Roman" w:hint="eastAsia"/>
          <w:szCs w:val="21"/>
        </w:rPr>
        <w:t>36%</w:t>
      </w:r>
      <w:r>
        <w:rPr>
          <w:rFonts w:ascii="Times New Roman" w:hint="eastAsia"/>
          <w:szCs w:val="21"/>
        </w:rPr>
        <w:t>，最高法院法官的</w:t>
      </w:r>
      <w:r>
        <w:rPr>
          <w:rFonts w:ascii="Times New Roman" w:hint="eastAsia"/>
          <w:szCs w:val="21"/>
        </w:rPr>
        <w:t>50%</w:t>
      </w:r>
      <w:r>
        <w:rPr>
          <w:rFonts w:ascii="Times New Roman" w:hint="eastAsia"/>
          <w:szCs w:val="21"/>
        </w:rPr>
        <w:t>，以及地方政府的</w:t>
      </w:r>
      <w:r>
        <w:rPr>
          <w:rFonts w:ascii="Times New Roman" w:hint="eastAsia"/>
          <w:szCs w:val="21"/>
        </w:rPr>
        <w:t>40%</w:t>
      </w:r>
      <w:r>
        <w:rPr>
          <w:rFonts w:ascii="Times New Roman" w:hint="eastAsia"/>
          <w:szCs w:val="21"/>
        </w:rPr>
        <w:t>。为促进妇女对经济的参与所做的努力包括建立了担保基金，提供小额企业贷款。女企业家理事会还创建了一个妇女储蓄与贷款协会。政府的战略还包括对妇女进行有关创收活动的培训等。</w:t>
      </w:r>
    </w:p>
    <w:p w:rsidR="008C3F34" w:rsidRDefault="008C3F34" w:rsidP="00D972A7">
      <w:pPr>
        <w:widowControl w:val="0"/>
        <w:tabs>
          <w:tab w:val="left" w:pos="2730"/>
        </w:tabs>
        <w:spacing w:after="140" w:line="340" w:lineRule="exact"/>
        <w:jc w:val="both"/>
        <w:rPr>
          <w:rFonts w:ascii="Times New Roman" w:hint="eastAsia"/>
          <w:szCs w:val="21"/>
        </w:rPr>
      </w:pPr>
      <w:r>
        <w:rPr>
          <w:rFonts w:ascii="Times New Roman" w:hint="eastAsia"/>
          <w:szCs w:val="21"/>
        </w:rPr>
        <w:t>7</w:t>
      </w:r>
      <w:r>
        <w:rPr>
          <w:rFonts w:ascii="Times New Roman" w:hint="eastAsia"/>
          <w:szCs w:val="21"/>
        </w:rPr>
        <w:t>．提高妇女地位的国家机构包括，由她担任部长的性别与家庭促进部、负责监督《北京行动纲要》执行情况的北京秘书处、作为基层组织的全国妇女理事会、监察员办公室和性别问题督察办公室等。还建立了一个性别问题观察站。</w:t>
      </w:r>
      <w:r>
        <w:rPr>
          <w:rFonts w:ascii="Times New Roman" w:hint="eastAsia"/>
          <w:szCs w:val="21"/>
        </w:rPr>
        <w:t>2003</w:t>
      </w:r>
      <w:r>
        <w:rPr>
          <w:rFonts w:ascii="Times New Roman" w:hint="eastAsia"/>
          <w:szCs w:val="21"/>
        </w:rPr>
        <w:t>年的《宪法》是性别敏感的，在婚姻和家庭、国籍和土地所有权等方面的许多歧视性法律都被修改了。</w:t>
      </w:r>
      <w:r>
        <w:rPr>
          <w:rFonts w:ascii="Times New Roman" w:hint="eastAsia"/>
          <w:szCs w:val="21"/>
        </w:rPr>
        <w:t>2004</w:t>
      </w:r>
      <w:r>
        <w:rPr>
          <w:rFonts w:ascii="Times New Roman" w:hint="eastAsia"/>
          <w:szCs w:val="21"/>
        </w:rPr>
        <w:t>年通过了一项国家性别政策，包括一项回应性别问题的预算动议，要求她所在的部在各部门的预算提交到经济和财政部之前，审查一下这些预算对性别问题的影响。</w:t>
      </w:r>
    </w:p>
    <w:p w:rsidR="008C3F34" w:rsidRDefault="008C3F34" w:rsidP="00D972A7">
      <w:pPr>
        <w:widowControl w:val="0"/>
        <w:tabs>
          <w:tab w:val="left" w:pos="2730"/>
        </w:tabs>
        <w:spacing w:after="140" w:line="340" w:lineRule="exact"/>
        <w:jc w:val="both"/>
        <w:rPr>
          <w:rFonts w:ascii="Times New Roman" w:hint="eastAsia"/>
          <w:szCs w:val="21"/>
        </w:rPr>
      </w:pPr>
      <w:r>
        <w:rPr>
          <w:rFonts w:ascii="Times New Roman" w:hint="eastAsia"/>
          <w:szCs w:val="21"/>
        </w:rPr>
        <w:t>8</w:t>
      </w:r>
      <w:r>
        <w:rPr>
          <w:rFonts w:ascii="Times New Roman" w:hint="eastAsia"/>
          <w:szCs w:val="21"/>
        </w:rPr>
        <w:t>．贫穷，再加上种族屠杀遗留下来的影响，是提高妇女地位的主要障碍之一。然而，伴随着这些障碍，机会也随之而来。政府有政治意愿，要消除卢旺达社会从上到下的性别歧视。性别敏感的法律框架、考虑到性别问题的预算制定举措和包括已经实现了男女人数对等的最高法院在内的强有力的机构框架、政府向地方的权力下放、各级责任追究制和采取积极行动促进妇女进入决策岗位——甚至是私营企业的决策岗位等，都是正在进行的各种努力。</w:t>
      </w:r>
    </w:p>
    <w:p w:rsidR="008C3F34" w:rsidRDefault="008C3F34" w:rsidP="00D972A7">
      <w:pPr>
        <w:widowControl w:val="0"/>
        <w:tabs>
          <w:tab w:val="left" w:pos="2730"/>
        </w:tabs>
        <w:spacing w:after="140" w:line="340" w:lineRule="exact"/>
        <w:jc w:val="both"/>
        <w:rPr>
          <w:rFonts w:ascii="Times New Roman" w:hint="eastAsia"/>
          <w:szCs w:val="21"/>
        </w:rPr>
      </w:pPr>
      <w:r>
        <w:rPr>
          <w:rFonts w:ascii="Times New Roman" w:hint="eastAsia"/>
          <w:szCs w:val="21"/>
        </w:rPr>
        <w:t>9</w:t>
      </w:r>
      <w:r>
        <w:rPr>
          <w:rFonts w:ascii="Times New Roman" w:hint="eastAsia"/>
          <w:szCs w:val="21"/>
        </w:rPr>
        <w:t>．下一步推进的计划包括，加强监测和评估机制和采取相关发展战略，包括把性别观点纳入所有发展方案和项目主流，以便为消除歧视性陈规定型观念和习惯做法而提高认识等。此外，鉴于种族屠杀的女性受害人和幸存者人数比较多，必须继续起诉犯罪者。另一个重要的问题是基于性别的暴力（</w:t>
      </w:r>
      <w:r w:rsidRPr="00380F5F">
        <w:rPr>
          <w:rFonts w:ascii="Times New Roman"/>
          <w:szCs w:val="21"/>
        </w:rPr>
        <w:t>GBV</w:t>
      </w:r>
      <w:r>
        <w:rPr>
          <w:rFonts w:ascii="Times New Roman" w:hint="eastAsia"/>
          <w:szCs w:val="21"/>
        </w:rPr>
        <w:t>）：除了已经开设的四个家庭暴力庇护所之外，还有计划开设更多的家庭暴力庇护所，并且提交一份关于基于性别暴力的法案供议会通过。基层的基于性别暴力委员会必须得到加强，并且建立一所高等院校来培养未来的领导者。</w:t>
      </w:r>
    </w:p>
    <w:p w:rsidR="008C3F34" w:rsidRPr="00853766" w:rsidRDefault="008C3F34" w:rsidP="00D972A7">
      <w:pPr>
        <w:widowControl w:val="0"/>
        <w:tabs>
          <w:tab w:val="left" w:pos="2730"/>
        </w:tabs>
        <w:spacing w:after="140" w:line="340" w:lineRule="exact"/>
        <w:jc w:val="both"/>
        <w:rPr>
          <w:rFonts w:ascii="KaiTi_GB2312" w:eastAsia="KaiTi_GB2312" w:hint="eastAsia"/>
          <w:color w:val="0000FF"/>
        </w:rPr>
      </w:pPr>
      <w:r w:rsidRPr="00853766">
        <w:rPr>
          <w:rFonts w:ascii="KaiTi_GB2312" w:eastAsia="KaiTi_GB2312" w:hint="eastAsia"/>
          <w:color w:val="0000FF"/>
        </w:rPr>
        <w:t>第1至6条</w:t>
      </w:r>
    </w:p>
    <w:p w:rsidR="008C3F34" w:rsidRDefault="008C3F34" w:rsidP="00D972A7">
      <w:pPr>
        <w:widowControl w:val="0"/>
        <w:tabs>
          <w:tab w:val="left" w:pos="2730"/>
        </w:tabs>
        <w:spacing w:after="140" w:line="340" w:lineRule="exact"/>
        <w:jc w:val="both"/>
        <w:rPr>
          <w:rFonts w:ascii="Times New Roman" w:hint="eastAsia"/>
          <w:szCs w:val="21"/>
        </w:rPr>
      </w:pPr>
      <w:r>
        <w:rPr>
          <w:rFonts w:ascii="Times New Roman" w:hint="eastAsia"/>
          <w:szCs w:val="21"/>
        </w:rPr>
        <w:t>10</w:t>
      </w:r>
      <w:r>
        <w:rPr>
          <w:rFonts w:ascii="Times New Roman" w:hint="eastAsia"/>
          <w:szCs w:val="21"/>
        </w:rPr>
        <w:t>．</w:t>
      </w:r>
      <w:r w:rsidRPr="00853766">
        <w:rPr>
          <w:rFonts w:ascii="SimHei" w:eastAsia="SimHei"/>
          <w:color w:val="FF0000"/>
          <w:szCs w:val="21"/>
        </w:rPr>
        <w:t>Š</w:t>
      </w:r>
      <w:r w:rsidRPr="00853766">
        <w:rPr>
          <w:rFonts w:ascii="SimHei" w:eastAsia="SimHei"/>
          <w:color w:val="FF0000"/>
          <w:szCs w:val="21"/>
        </w:rPr>
        <w:t>imonovi</w:t>
      </w:r>
      <w:r w:rsidRPr="00853766">
        <w:rPr>
          <w:rFonts w:ascii="SimHei" w:eastAsia="SimHei"/>
          <w:color w:val="FF0000"/>
          <w:szCs w:val="21"/>
        </w:rPr>
        <w:t>č</w:t>
      </w:r>
      <w:r w:rsidRPr="00853766">
        <w:rPr>
          <w:rFonts w:ascii="SimHei" w:eastAsia="SimHei" w:hint="eastAsia"/>
          <w:color w:val="FF0000"/>
          <w:szCs w:val="21"/>
        </w:rPr>
        <w:t>女士</w:t>
      </w:r>
      <w:r w:rsidRPr="00853766">
        <w:rPr>
          <w:rFonts w:ascii="Times New Roman" w:hint="eastAsia"/>
          <w:szCs w:val="21"/>
        </w:rPr>
        <w:t>赞扬了</w:t>
      </w:r>
      <w:r>
        <w:rPr>
          <w:rFonts w:ascii="Times New Roman" w:hint="eastAsia"/>
          <w:szCs w:val="21"/>
        </w:rPr>
        <w:t>卢旺达议会中妇女的比例很高。令人遗憾的是，非政府组织（</w:t>
      </w:r>
      <w:r w:rsidRPr="00853766">
        <w:rPr>
          <w:rFonts w:ascii="Times New Roman"/>
          <w:szCs w:val="21"/>
        </w:rPr>
        <w:t>NGOs</w:t>
      </w:r>
      <w:r>
        <w:rPr>
          <w:rFonts w:ascii="Times New Roman" w:hint="eastAsia"/>
          <w:szCs w:val="21"/>
        </w:rPr>
        <w:t>）的代表由于签证问题，没有能够参加这次报告陈述，因为她想更多地了解起草报告的过程中与这些组织进行合作的情况。在陈述前把报告和结论性意见提交给议会，是一个很好的做法。她还想获得有关通过《公约任择议定书</w:t>
      </w:r>
      <w:r w:rsidR="00D972A7">
        <w:rPr>
          <w:rFonts w:ascii="Times New Roman" w:hint="eastAsia"/>
          <w:szCs w:val="21"/>
        </w:rPr>
        <w:t>》</w:t>
      </w:r>
      <w:r>
        <w:rPr>
          <w:rFonts w:ascii="Times New Roman" w:hint="eastAsia"/>
          <w:szCs w:val="21"/>
        </w:rPr>
        <w:t>进展的最新情况。</w:t>
      </w:r>
    </w:p>
    <w:p w:rsidR="008C3F34" w:rsidRDefault="008C3F34" w:rsidP="00D972A7">
      <w:pPr>
        <w:widowControl w:val="0"/>
        <w:tabs>
          <w:tab w:val="left" w:pos="2730"/>
        </w:tabs>
        <w:spacing w:after="140" w:line="340" w:lineRule="exact"/>
        <w:jc w:val="both"/>
        <w:rPr>
          <w:rFonts w:ascii="Times New Roman" w:hint="eastAsia"/>
          <w:szCs w:val="21"/>
        </w:rPr>
      </w:pPr>
      <w:r>
        <w:rPr>
          <w:rFonts w:ascii="Times New Roman" w:hint="eastAsia"/>
          <w:szCs w:val="21"/>
        </w:rPr>
        <w:t>11</w:t>
      </w:r>
      <w:r>
        <w:rPr>
          <w:rFonts w:ascii="Times New Roman" w:hint="eastAsia"/>
          <w:szCs w:val="21"/>
        </w:rPr>
        <w:t>．关于《公约》在国内法律制度中的地位问题，前面已经说过了《北京行动纲要》是提高妇女地位框架的一个关键</w:t>
      </w:r>
      <w:r w:rsidR="00D972A7">
        <w:rPr>
          <w:rFonts w:ascii="Times New Roman" w:hint="eastAsia"/>
          <w:szCs w:val="21"/>
        </w:rPr>
        <w:t>部</w:t>
      </w:r>
      <w:r>
        <w:rPr>
          <w:rFonts w:ascii="Times New Roman" w:hint="eastAsia"/>
          <w:szCs w:val="21"/>
        </w:rPr>
        <w:t>分，然而，它是一份政策文件，而不是一份具有法律约束力的国际文书。如果《公约》可以直接适用于国内法律制度的话，她非常想知道，为什么没有报告过一起援引了《公约》的案例。也许这表明，需要对司法部门进行更多有关《公约》的教育。如果《公约》优于国内法的话，她还质疑一些歧视性法律继续存在的问题，比如《家庭法》和《</w:t>
      </w:r>
      <w:r w:rsidRPr="001715B4">
        <w:rPr>
          <w:rFonts w:ascii="Times New Roman" w:hint="eastAsia"/>
          <w:szCs w:val="21"/>
        </w:rPr>
        <w:t>商法</w:t>
      </w:r>
      <w:r>
        <w:rPr>
          <w:rFonts w:ascii="Times New Roman" w:hint="eastAsia"/>
          <w:szCs w:val="21"/>
        </w:rPr>
        <w:t>》中，这是与《宪法》不一致的。拥有禁止歧视的特别立法也是非常重要的。</w:t>
      </w:r>
    </w:p>
    <w:p w:rsidR="008C3F34" w:rsidRDefault="008C3F34" w:rsidP="00D972A7">
      <w:pPr>
        <w:widowControl w:val="0"/>
        <w:tabs>
          <w:tab w:val="left" w:pos="2730"/>
        </w:tabs>
        <w:spacing w:after="140" w:line="340" w:lineRule="exact"/>
        <w:jc w:val="both"/>
        <w:rPr>
          <w:rFonts w:ascii="Times New Roman" w:hint="eastAsia"/>
          <w:szCs w:val="21"/>
        </w:rPr>
      </w:pPr>
      <w:r>
        <w:rPr>
          <w:rFonts w:ascii="Times New Roman" w:hint="eastAsia"/>
          <w:szCs w:val="21"/>
        </w:rPr>
        <w:t>12</w:t>
      </w:r>
      <w:r>
        <w:rPr>
          <w:rFonts w:ascii="Times New Roman" w:hint="eastAsia"/>
          <w:szCs w:val="21"/>
        </w:rPr>
        <w:t>．</w:t>
      </w:r>
      <w:r w:rsidRPr="0006634E">
        <w:rPr>
          <w:rFonts w:ascii="SimHei" w:eastAsia="SimHei"/>
          <w:color w:val="FF0000"/>
          <w:szCs w:val="21"/>
        </w:rPr>
        <w:t>Popescu</w:t>
      </w:r>
      <w:r w:rsidRPr="00853766">
        <w:rPr>
          <w:rFonts w:ascii="SimHei" w:eastAsia="SimHei" w:hint="eastAsia"/>
          <w:color w:val="FF0000"/>
          <w:szCs w:val="21"/>
        </w:rPr>
        <w:t>女士</w:t>
      </w:r>
      <w:r>
        <w:rPr>
          <w:rFonts w:ascii="Times New Roman" w:hint="eastAsia"/>
          <w:szCs w:val="21"/>
        </w:rPr>
        <w:t>要求获得有关妇女参与对种族屠杀犯罪者进行起诉的具体信息，是在特别法庭呢，还是在</w:t>
      </w:r>
      <w:r w:rsidRPr="001715B4">
        <w:rPr>
          <w:rFonts w:ascii="Times New Roman"/>
          <w:szCs w:val="21"/>
        </w:rPr>
        <w:t>加卡卡</w:t>
      </w:r>
      <w:r w:rsidRPr="001715B4">
        <w:rPr>
          <w:rFonts w:ascii="Times New Roman" w:hint="eastAsia"/>
          <w:szCs w:val="21"/>
        </w:rPr>
        <w:t>法庭</w:t>
      </w:r>
      <w:r>
        <w:rPr>
          <w:rFonts w:ascii="Times New Roman" w:hint="eastAsia"/>
          <w:szCs w:val="21"/>
        </w:rPr>
        <w:t>。她还询问了有关性暴力的妇女受害人获得司法平等的保证，以及保护受害人和证人等情况。需要更多有关如何向遭受创伤、伤害和损失的妇女和女孩提供持续援助等信息。她还想听到更多有关儿童兵的状况，以及原来的女儿童兵在她们康复和重新融入社会中是否得到了充分关注等。儿童权利委员会曾经提到过卢旺达难民营中的儿童正在遭受绑架的可能性，并且在刚果民主共和国充当士兵，她想了解更多这方面的情况。</w:t>
      </w:r>
    </w:p>
    <w:p w:rsidR="008C3F34" w:rsidRDefault="008C3F34" w:rsidP="00D972A7">
      <w:pPr>
        <w:widowControl w:val="0"/>
        <w:tabs>
          <w:tab w:val="left" w:pos="2730"/>
        </w:tabs>
        <w:spacing w:after="140" w:line="340" w:lineRule="exact"/>
        <w:jc w:val="both"/>
        <w:rPr>
          <w:rFonts w:ascii="Times New Roman" w:hint="eastAsia"/>
          <w:szCs w:val="21"/>
        </w:rPr>
      </w:pPr>
      <w:r>
        <w:rPr>
          <w:rFonts w:ascii="Times New Roman" w:hint="eastAsia"/>
          <w:szCs w:val="21"/>
        </w:rPr>
        <w:t>13</w:t>
      </w:r>
      <w:r>
        <w:rPr>
          <w:rFonts w:ascii="Times New Roman" w:hint="eastAsia"/>
          <w:szCs w:val="21"/>
        </w:rPr>
        <w:t>．她想更多地了解有关国家妇女机构运作的情况，以及这些机构是否有充足的财力和人力资源来实现他们雄心勃勃的目标。应当对两性问题机构之间的关系做出澄清，因为《公约》似乎需要更高的可见度。她想知道，诸如性别问题观察站、全国人权委员会和监察员办公室等机构之间的协调一致是如何实现的。</w:t>
      </w:r>
    </w:p>
    <w:p w:rsidR="008C3F34" w:rsidRDefault="008C3F34" w:rsidP="00D972A7">
      <w:pPr>
        <w:widowControl w:val="0"/>
        <w:tabs>
          <w:tab w:val="left" w:pos="2730"/>
        </w:tabs>
        <w:spacing w:after="140" w:line="340" w:lineRule="exact"/>
        <w:jc w:val="both"/>
        <w:rPr>
          <w:rFonts w:ascii="Times New Roman" w:hint="eastAsia"/>
          <w:szCs w:val="21"/>
        </w:rPr>
      </w:pPr>
      <w:r>
        <w:rPr>
          <w:rFonts w:ascii="Times New Roman" w:hint="eastAsia"/>
          <w:szCs w:val="21"/>
        </w:rPr>
        <w:t>14</w:t>
      </w:r>
      <w:r>
        <w:rPr>
          <w:rFonts w:ascii="Times New Roman" w:hint="eastAsia"/>
          <w:szCs w:val="21"/>
        </w:rPr>
        <w:t>．在谈到《</w:t>
      </w:r>
      <w:r>
        <w:rPr>
          <w:rFonts w:ascii="Times New Roman" w:hint="eastAsia"/>
          <w:szCs w:val="21"/>
        </w:rPr>
        <w:t>2020</w:t>
      </w:r>
      <w:r>
        <w:rPr>
          <w:rFonts w:ascii="Times New Roman" w:hint="eastAsia"/>
          <w:szCs w:val="21"/>
        </w:rPr>
        <w:t>年愿景》时，她询问，这一发展计划的性别支柱是否涉及了按部门进行性别问题主流化的活动或者某一项专门的性别战略。最后，她询问，是否有计划通过专门立法，按照《公约》第</w:t>
      </w:r>
      <w:r>
        <w:rPr>
          <w:rFonts w:ascii="Times New Roman" w:hint="eastAsia"/>
          <w:szCs w:val="21"/>
        </w:rPr>
        <w:t>1</w:t>
      </w:r>
      <w:r>
        <w:rPr>
          <w:rFonts w:ascii="Times New Roman" w:hint="eastAsia"/>
          <w:szCs w:val="21"/>
        </w:rPr>
        <w:t>条的描述，界定和禁止性别歧视。</w:t>
      </w:r>
    </w:p>
    <w:p w:rsidR="008C3F34" w:rsidRDefault="008C3F34" w:rsidP="00D972A7">
      <w:pPr>
        <w:widowControl w:val="0"/>
        <w:tabs>
          <w:tab w:val="left" w:pos="2730"/>
        </w:tabs>
        <w:spacing w:after="140" w:line="340" w:lineRule="exact"/>
        <w:jc w:val="both"/>
        <w:rPr>
          <w:rFonts w:ascii="Times New Roman" w:hint="eastAsia"/>
          <w:szCs w:val="21"/>
        </w:rPr>
      </w:pPr>
      <w:r>
        <w:rPr>
          <w:rFonts w:ascii="Times New Roman" w:hint="eastAsia"/>
          <w:szCs w:val="21"/>
        </w:rPr>
        <w:t>15</w:t>
      </w:r>
      <w:r>
        <w:rPr>
          <w:rFonts w:ascii="Times New Roman" w:hint="eastAsia"/>
          <w:szCs w:val="21"/>
        </w:rPr>
        <w:t>．</w:t>
      </w:r>
      <w:r w:rsidRPr="00C96637">
        <w:rPr>
          <w:rFonts w:ascii="SimHei" w:eastAsia="SimHei"/>
          <w:color w:val="FF0000"/>
          <w:szCs w:val="21"/>
        </w:rPr>
        <w:t>Patten</w:t>
      </w:r>
      <w:r w:rsidRPr="00853766">
        <w:rPr>
          <w:rFonts w:ascii="SimHei" w:eastAsia="SimHei" w:hint="eastAsia"/>
          <w:color w:val="FF0000"/>
          <w:szCs w:val="21"/>
        </w:rPr>
        <w:t>女士</w:t>
      </w:r>
      <w:r>
        <w:rPr>
          <w:rFonts w:ascii="Times New Roman" w:hint="eastAsia"/>
          <w:szCs w:val="21"/>
        </w:rPr>
        <w:t>在谈到第</w:t>
      </w:r>
      <w:r>
        <w:rPr>
          <w:rFonts w:ascii="Times New Roman" w:hint="eastAsia"/>
          <w:szCs w:val="21"/>
        </w:rPr>
        <w:t>4</w:t>
      </w:r>
      <w:r>
        <w:rPr>
          <w:rFonts w:ascii="Times New Roman" w:hint="eastAsia"/>
          <w:szCs w:val="21"/>
        </w:rPr>
        <w:t>条下的</w:t>
      </w:r>
      <w:r w:rsidR="00D972A7">
        <w:rPr>
          <w:rFonts w:ascii="Times New Roman" w:hint="eastAsia"/>
          <w:szCs w:val="21"/>
        </w:rPr>
        <w:t>暂行特别措施</w:t>
      </w:r>
      <w:r>
        <w:rPr>
          <w:rFonts w:ascii="Times New Roman" w:hint="eastAsia"/>
          <w:szCs w:val="21"/>
        </w:rPr>
        <w:t>时，赞扬了导致妇女有如此大政治代表性的限额制度。她想详细了解有关与私营企业进行的对话，以及在这些企业是否也适用这些措施等情况。为了营造一个实质上平等的有利环境，在教育、就业和招聘等方面采取</w:t>
      </w:r>
      <w:r w:rsidR="00D972A7">
        <w:rPr>
          <w:rFonts w:ascii="Times New Roman" w:hint="eastAsia"/>
          <w:szCs w:val="21"/>
        </w:rPr>
        <w:t>暂行特别措施</w:t>
      </w:r>
      <w:r>
        <w:rPr>
          <w:rFonts w:ascii="Times New Roman" w:hint="eastAsia"/>
          <w:szCs w:val="21"/>
        </w:rPr>
        <w:t>也是十分重要的。这些措施还应当针对歧视性的文化习惯和陈规定型观念。就有关信贷方案的妇女受益人数量以及这些方案产生的影响获得数据将是很重要的。最后，她询问，政府是否考虑过对遭受多种形式歧视的妇女采取</w:t>
      </w:r>
      <w:r w:rsidR="00D972A7">
        <w:rPr>
          <w:rFonts w:ascii="Times New Roman" w:hint="eastAsia"/>
          <w:szCs w:val="21"/>
        </w:rPr>
        <w:t>暂行特别措施</w:t>
      </w:r>
      <w:r>
        <w:rPr>
          <w:rFonts w:ascii="Times New Roman" w:hint="eastAsia"/>
          <w:szCs w:val="21"/>
        </w:rPr>
        <w:t>。</w:t>
      </w:r>
    </w:p>
    <w:p w:rsidR="008C3F34" w:rsidRDefault="008C3F34" w:rsidP="00D972A7">
      <w:pPr>
        <w:widowControl w:val="0"/>
        <w:tabs>
          <w:tab w:val="left" w:pos="2730"/>
        </w:tabs>
        <w:spacing w:after="140" w:line="340" w:lineRule="exact"/>
        <w:jc w:val="both"/>
        <w:rPr>
          <w:rFonts w:ascii="Times New Roman" w:hint="eastAsia"/>
          <w:szCs w:val="21"/>
        </w:rPr>
      </w:pPr>
      <w:r>
        <w:rPr>
          <w:rFonts w:ascii="Times New Roman" w:hint="eastAsia"/>
          <w:szCs w:val="21"/>
        </w:rPr>
        <w:t>16</w:t>
      </w:r>
      <w:r>
        <w:rPr>
          <w:rFonts w:ascii="Times New Roman" w:hint="eastAsia"/>
          <w:szCs w:val="21"/>
        </w:rPr>
        <w:t>．</w:t>
      </w:r>
      <w:r w:rsidRPr="007F01CF">
        <w:rPr>
          <w:rFonts w:ascii="SimHei" w:eastAsia="SimHei"/>
          <w:color w:val="FF0000"/>
          <w:szCs w:val="21"/>
        </w:rPr>
        <w:t>Mujawamariya</w:t>
      </w:r>
      <w:r w:rsidRPr="00853766">
        <w:rPr>
          <w:rFonts w:ascii="SimHei" w:eastAsia="SimHei" w:hint="eastAsia"/>
          <w:color w:val="FF0000"/>
          <w:szCs w:val="21"/>
        </w:rPr>
        <w:t>女士</w:t>
      </w:r>
      <w:r>
        <w:rPr>
          <w:rFonts w:ascii="Times New Roman" w:hint="eastAsia"/>
          <w:szCs w:val="21"/>
        </w:rPr>
        <w:t>（卢旺达）说，卢旺达作为其缔约国的每一项国际协议都优于除《宪法》以外的所有国内法。现在还没有关于法庭援引《公约》的案例数量的统计数字；这些统计数字将在适当的时候提供。《宪法》是禁止歧视的；专门的禁止歧视的法律也将是重复基于性别暴力法案各项规定。《商法》中确实存在一些歧视性规定，正在对这些规定进行修改；与此同时，政府表示了促进妇女参与经济活动的政治意愿。至于北京秘书处与《公约》之间的关系，《公约》是具有宪法级别的，而且凌驾于北京秘书处之上。《公约》被看作</w:t>
      </w:r>
      <w:r w:rsidR="00D972A7">
        <w:rPr>
          <w:rFonts w:ascii="Times New Roman" w:hint="eastAsia"/>
          <w:szCs w:val="21"/>
        </w:rPr>
        <w:t>是</w:t>
      </w:r>
      <w:r>
        <w:rPr>
          <w:rFonts w:ascii="Times New Roman" w:hint="eastAsia"/>
          <w:szCs w:val="21"/>
        </w:rPr>
        <w:t>一个重要的工具，表明赋予妇女权</w:t>
      </w:r>
      <w:r w:rsidR="00D972A7">
        <w:rPr>
          <w:rFonts w:ascii="Times New Roman" w:hint="eastAsia"/>
          <w:szCs w:val="21"/>
        </w:rPr>
        <w:t>力</w:t>
      </w:r>
      <w:r>
        <w:rPr>
          <w:rFonts w:ascii="Times New Roman" w:hint="eastAsia"/>
          <w:szCs w:val="21"/>
        </w:rPr>
        <w:t>方面的国家决定得到了国际上的支持。</w:t>
      </w:r>
    </w:p>
    <w:p w:rsidR="008C3F34" w:rsidRDefault="008C3F34" w:rsidP="00D972A7">
      <w:pPr>
        <w:widowControl w:val="0"/>
        <w:tabs>
          <w:tab w:val="left" w:pos="2730"/>
        </w:tabs>
        <w:spacing w:after="140" w:line="340" w:lineRule="exact"/>
        <w:jc w:val="both"/>
        <w:rPr>
          <w:rFonts w:ascii="Times New Roman" w:hint="eastAsia"/>
          <w:szCs w:val="21"/>
        </w:rPr>
      </w:pPr>
      <w:r>
        <w:rPr>
          <w:rFonts w:ascii="Times New Roman" w:hint="eastAsia"/>
          <w:szCs w:val="21"/>
        </w:rPr>
        <w:t>17</w:t>
      </w:r>
      <w:r>
        <w:rPr>
          <w:rFonts w:ascii="Times New Roman" w:hint="eastAsia"/>
          <w:szCs w:val="21"/>
        </w:rPr>
        <w:t>．关于起草报告期间与民间社会组织进行合作的问题，遗憾的是，非政府组织没有得到委员会参加陈述报告的邀请；在这种情况下，他们没能找到旅费资助。</w:t>
      </w:r>
    </w:p>
    <w:p w:rsidR="008C3F34" w:rsidRDefault="008C3F34" w:rsidP="00D972A7">
      <w:pPr>
        <w:widowControl w:val="0"/>
        <w:tabs>
          <w:tab w:val="left" w:pos="2730"/>
        </w:tabs>
        <w:spacing w:after="140" w:line="340" w:lineRule="exact"/>
        <w:jc w:val="both"/>
        <w:rPr>
          <w:rFonts w:ascii="Times New Roman" w:hint="eastAsia"/>
          <w:szCs w:val="21"/>
        </w:rPr>
      </w:pPr>
      <w:r>
        <w:rPr>
          <w:rFonts w:ascii="Times New Roman" w:hint="eastAsia"/>
          <w:szCs w:val="21"/>
        </w:rPr>
        <w:t>18</w:t>
      </w:r>
      <w:r>
        <w:rPr>
          <w:rFonts w:ascii="Times New Roman" w:hint="eastAsia"/>
          <w:szCs w:val="21"/>
        </w:rPr>
        <w:t>．妇女积极参加了法庭和对种族屠杀犯罪者的起诉。在</w:t>
      </w:r>
      <w:r>
        <w:rPr>
          <w:rFonts w:ascii="Times New Roman" w:hint="eastAsia"/>
          <w:szCs w:val="21"/>
        </w:rPr>
        <w:t>11</w:t>
      </w:r>
      <w:r>
        <w:rPr>
          <w:rFonts w:ascii="Times New Roman" w:hint="eastAsia"/>
          <w:szCs w:val="21"/>
        </w:rPr>
        <w:t>名起诉人中，有</w:t>
      </w:r>
      <w:r>
        <w:rPr>
          <w:rFonts w:ascii="Times New Roman" w:hint="eastAsia"/>
          <w:szCs w:val="21"/>
        </w:rPr>
        <w:t>7</w:t>
      </w:r>
      <w:r>
        <w:rPr>
          <w:rFonts w:ascii="Times New Roman" w:hint="eastAsia"/>
          <w:szCs w:val="21"/>
        </w:rPr>
        <w:t>人是妇女；</w:t>
      </w:r>
      <w:r>
        <w:rPr>
          <w:rFonts w:ascii="Times New Roman"/>
          <w:szCs w:val="21"/>
        </w:rPr>
        <w:t>加卡卡</w:t>
      </w:r>
      <w:r>
        <w:rPr>
          <w:rFonts w:ascii="Times New Roman" w:hint="eastAsia"/>
          <w:szCs w:val="21"/>
        </w:rPr>
        <w:t>法庭的执行秘书，以及这些法庭中</w:t>
      </w:r>
      <w:r>
        <w:rPr>
          <w:rFonts w:ascii="Times New Roman" w:hint="eastAsia"/>
          <w:szCs w:val="21"/>
        </w:rPr>
        <w:t>50%</w:t>
      </w:r>
      <w:r>
        <w:rPr>
          <w:rFonts w:ascii="Times New Roman" w:hint="eastAsia"/>
          <w:szCs w:val="21"/>
        </w:rPr>
        <w:t>以上的地方法官都是妇女。妇女越来越多地参与到了司法制度中来，因为人们认为她们比男性更不容易腐败。在</w:t>
      </w:r>
      <w:r>
        <w:rPr>
          <w:rFonts w:ascii="Times New Roman"/>
          <w:szCs w:val="21"/>
        </w:rPr>
        <w:t>加卡卡</w:t>
      </w:r>
      <w:r>
        <w:rPr>
          <w:rFonts w:ascii="Times New Roman" w:hint="eastAsia"/>
          <w:szCs w:val="21"/>
        </w:rPr>
        <w:t>法庭出庭的暴力和强奸的受害人和证人可以在一个被告看不到她们的专门房间里作证，而且为了保护证人，必要的时候，甚至对他们的声音也作了处理。由一个政府机构，种族屠杀幸存者基金会和一个非政府组织，种族屠杀遗孀协会（</w:t>
      </w:r>
      <w:r w:rsidRPr="001F22E2">
        <w:rPr>
          <w:rFonts w:ascii="Times New Roman"/>
          <w:szCs w:val="21"/>
        </w:rPr>
        <w:t>AVEGA</w:t>
      </w:r>
      <w:r>
        <w:rPr>
          <w:rFonts w:ascii="Times New Roman" w:hint="eastAsia"/>
          <w:szCs w:val="21"/>
        </w:rPr>
        <w:t>）向受害人提供了长期帮助，该非政府组织向幸存者们持续提供医疗援助、咨询和庇护所等，对影响妇女的问题给予了特别关注。</w:t>
      </w:r>
    </w:p>
    <w:p w:rsidR="008C3F34" w:rsidRDefault="008C3F34" w:rsidP="00D972A7">
      <w:pPr>
        <w:widowControl w:val="0"/>
        <w:tabs>
          <w:tab w:val="left" w:pos="2730"/>
        </w:tabs>
        <w:spacing w:after="140" w:line="340" w:lineRule="exact"/>
        <w:jc w:val="both"/>
        <w:rPr>
          <w:rFonts w:ascii="Times New Roman" w:hint="eastAsia"/>
          <w:szCs w:val="21"/>
        </w:rPr>
      </w:pPr>
      <w:r>
        <w:rPr>
          <w:rFonts w:ascii="Times New Roman" w:hint="eastAsia"/>
          <w:szCs w:val="21"/>
        </w:rPr>
        <w:t>19</w:t>
      </w:r>
      <w:r>
        <w:rPr>
          <w:rFonts w:ascii="Times New Roman" w:hint="eastAsia"/>
          <w:szCs w:val="21"/>
        </w:rPr>
        <w:t>．卢旺达不是战争国，国内没有儿童兵。政府对联合国报告声称儿童兵的存在提出了质疑，这是不符合实际的。以前的所有女儿童兵，现在应当是年轻妇女了，都没有被排除在康复和重新融入计划之外，并且接受她们有权享有与男子同等的教育和医疗保健。现在卢旺达难民营中的儿童都是来自诸如刚果民主共和国等邻国的难民。他们仍可获得政府提供的学校教育，而且他们的权利受到了尊重。</w:t>
      </w:r>
    </w:p>
    <w:p w:rsidR="008C3F34" w:rsidRDefault="008C3F34" w:rsidP="00D972A7">
      <w:pPr>
        <w:widowControl w:val="0"/>
        <w:tabs>
          <w:tab w:val="left" w:pos="2730"/>
        </w:tabs>
        <w:spacing w:after="140" w:line="340" w:lineRule="exact"/>
        <w:jc w:val="both"/>
        <w:rPr>
          <w:rFonts w:ascii="Times New Roman" w:hint="eastAsia"/>
          <w:szCs w:val="21"/>
        </w:rPr>
      </w:pPr>
      <w:r>
        <w:rPr>
          <w:rFonts w:ascii="Times New Roman" w:hint="eastAsia"/>
          <w:szCs w:val="21"/>
        </w:rPr>
        <w:t>20</w:t>
      </w:r>
      <w:r>
        <w:rPr>
          <w:rFonts w:ascii="Times New Roman" w:hint="eastAsia"/>
          <w:szCs w:val="21"/>
        </w:rPr>
        <w:t>．卢旺达政府承认，妇女参与经济生活对于发展来说是至关</w:t>
      </w:r>
      <w:r w:rsidR="00D972A7">
        <w:rPr>
          <w:rFonts w:ascii="Times New Roman" w:hint="eastAsia"/>
          <w:szCs w:val="21"/>
        </w:rPr>
        <w:t>重</w:t>
      </w:r>
      <w:r>
        <w:rPr>
          <w:rFonts w:ascii="Times New Roman" w:hint="eastAsia"/>
          <w:szCs w:val="21"/>
        </w:rPr>
        <w:t>要的，而且如果她们被落在了后面，这个国家就不可能进步。在受贫穷所困的人中，妇女占大多数，她们的状况改善了，国家的国内生产总值才能够提高。根据修订后的《商法》，妇女获得贷款不再需要经过她们丈夫的同意。私营企业也明白，它们的发展需要妇女，这导致了女企业家理事会的成立，该理事会是一个向妇女提供小商业贷款的社团组织。</w:t>
      </w:r>
      <w:r>
        <w:rPr>
          <w:rFonts w:ascii="Times New Roman" w:hint="eastAsia"/>
          <w:szCs w:val="21"/>
        </w:rPr>
        <w:t>2008</w:t>
      </w:r>
      <w:r>
        <w:rPr>
          <w:rFonts w:ascii="Times New Roman" w:hint="eastAsia"/>
          <w:szCs w:val="21"/>
        </w:rPr>
        <w:t>年，妇女占担保基金受益人的</w:t>
      </w:r>
      <w:r>
        <w:rPr>
          <w:rFonts w:ascii="Times New Roman" w:hint="eastAsia"/>
          <w:szCs w:val="21"/>
        </w:rPr>
        <w:t>40%</w:t>
      </w:r>
      <w:r>
        <w:rPr>
          <w:rFonts w:ascii="Times New Roman" w:hint="eastAsia"/>
          <w:szCs w:val="21"/>
        </w:rPr>
        <w:t>，与生活在贫困线以下的妇女数量相比，这是一个很小的比例。</w:t>
      </w:r>
    </w:p>
    <w:p w:rsidR="008C3F34" w:rsidRDefault="008C3F34" w:rsidP="00D972A7">
      <w:pPr>
        <w:widowControl w:val="0"/>
        <w:tabs>
          <w:tab w:val="left" w:pos="2730"/>
        </w:tabs>
        <w:spacing w:after="140" w:line="340" w:lineRule="exact"/>
        <w:jc w:val="both"/>
        <w:rPr>
          <w:rFonts w:ascii="Times New Roman" w:hint="eastAsia"/>
          <w:szCs w:val="21"/>
        </w:rPr>
      </w:pPr>
      <w:r>
        <w:rPr>
          <w:rFonts w:ascii="Times New Roman" w:hint="eastAsia"/>
          <w:szCs w:val="21"/>
        </w:rPr>
        <w:t>21</w:t>
      </w:r>
      <w:r>
        <w:rPr>
          <w:rFonts w:ascii="Times New Roman" w:hint="eastAsia"/>
          <w:szCs w:val="21"/>
        </w:rPr>
        <w:t>．在谈到国家人权机构与赋予妇女权</w:t>
      </w:r>
      <w:r w:rsidR="00D972A7">
        <w:rPr>
          <w:rFonts w:ascii="Times New Roman" w:hint="eastAsia"/>
          <w:szCs w:val="21"/>
        </w:rPr>
        <w:t>力</w:t>
      </w:r>
      <w:r>
        <w:rPr>
          <w:rFonts w:ascii="Times New Roman" w:hint="eastAsia"/>
          <w:szCs w:val="21"/>
        </w:rPr>
        <w:t>之间的联系时，她说，她所在的部，性别与家庭促进部是总理办公室的组成部分。它有一个把性别观点主流化股和一个提高妇女经济地位股，而且还负责协调所有其他各部各项计划中有关性别问题的</w:t>
      </w:r>
      <w:r w:rsidR="00D972A7">
        <w:rPr>
          <w:rFonts w:ascii="Times New Roman" w:hint="eastAsia"/>
          <w:szCs w:val="21"/>
        </w:rPr>
        <w:t>部</w:t>
      </w:r>
      <w:r>
        <w:rPr>
          <w:rFonts w:ascii="Times New Roman" w:hint="eastAsia"/>
          <w:szCs w:val="21"/>
        </w:rPr>
        <w:t>分，以确保性别问题得到了处理，而且可以对结果进行责任追究。性别问题观察站是一个独立的机构，也在总理办公室中，北京秘书处附属于性别与家庭促进部。她所在的部是国家人权指导委员会的一名成员，该委员会负责监督这一领域的国家政策和机构。</w:t>
      </w:r>
    </w:p>
    <w:p w:rsidR="008C3F34" w:rsidRDefault="008C3F34" w:rsidP="00D972A7">
      <w:pPr>
        <w:widowControl w:val="0"/>
        <w:tabs>
          <w:tab w:val="left" w:pos="2730"/>
        </w:tabs>
        <w:spacing w:after="140" w:line="340" w:lineRule="exact"/>
        <w:jc w:val="both"/>
        <w:rPr>
          <w:rFonts w:ascii="Times New Roman" w:hint="eastAsia"/>
          <w:szCs w:val="21"/>
        </w:rPr>
      </w:pPr>
      <w:r>
        <w:rPr>
          <w:rFonts w:ascii="Times New Roman" w:hint="eastAsia"/>
          <w:szCs w:val="21"/>
        </w:rPr>
        <w:t>22</w:t>
      </w:r>
      <w:r>
        <w:rPr>
          <w:rFonts w:ascii="Times New Roman" w:hint="eastAsia"/>
          <w:szCs w:val="21"/>
        </w:rPr>
        <w:t>．正在对实施《</w:t>
      </w:r>
      <w:r>
        <w:rPr>
          <w:rFonts w:ascii="Times New Roman" w:hint="eastAsia"/>
          <w:szCs w:val="21"/>
        </w:rPr>
        <w:t>2020</w:t>
      </w:r>
      <w:r>
        <w:rPr>
          <w:rFonts w:ascii="Times New Roman" w:hint="eastAsia"/>
          <w:szCs w:val="21"/>
        </w:rPr>
        <w:t>年愿景》取得的进展进行评估，包括性别支柱。</w:t>
      </w:r>
      <w:r>
        <w:rPr>
          <w:rFonts w:ascii="Times New Roman" w:hint="eastAsia"/>
          <w:szCs w:val="21"/>
        </w:rPr>
        <w:t>2008</w:t>
      </w:r>
      <w:r>
        <w:rPr>
          <w:rFonts w:ascii="Times New Roman" w:hint="eastAsia"/>
          <w:szCs w:val="21"/>
        </w:rPr>
        <w:t>年行动计划的成就包括开始运作性别问题观察站、成立全国妇女理事会、培训以及修订歧视性法律等。男性也变得对性别问题敏感，因为他们认识到了赋予妇女权</w:t>
      </w:r>
      <w:r w:rsidR="00D972A7">
        <w:rPr>
          <w:rFonts w:ascii="Times New Roman" w:hint="eastAsia"/>
          <w:szCs w:val="21"/>
        </w:rPr>
        <w:t>力</w:t>
      </w:r>
      <w:r>
        <w:rPr>
          <w:rFonts w:ascii="Times New Roman" w:hint="eastAsia"/>
          <w:szCs w:val="21"/>
        </w:rPr>
        <w:t>的好处，并且开始支持进行这些修订。把妇女纳入决策之中的战略包括了从最基层到最高层的各个层级。除了像规定妇女担任竞选公职限额这样的</w:t>
      </w:r>
      <w:r w:rsidR="00D972A7">
        <w:rPr>
          <w:rFonts w:ascii="Times New Roman" w:hint="eastAsia"/>
          <w:szCs w:val="21"/>
        </w:rPr>
        <w:t>暂行特别措施</w:t>
      </w:r>
      <w:r>
        <w:rPr>
          <w:rFonts w:ascii="Times New Roman" w:hint="eastAsia"/>
          <w:szCs w:val="21"/>
        </w:rPr>
        <w:t>之外，长期的措施聚焦在了向女孩提供更多的教育机会，包括为准备参加国家考试提供专门辅导等。有</w:t>
      </w:r>
      <w:r>
        <w:rPr>
          <w:rFonts w:ascii="Times New Roman" w:hint="eastAsia"/>
          <w:szCs w:val="21"/>
        </w:rPr>
        <w:t>18</w:t>
      </w:r>
      <w:r>
        <w:rPr>
          <w:rFonts w:ascii="Times New Roman" w:hint="eastAsia"/>
          <w:szCs w:val="21"/>
        </w:rPr>
        <w:t>所高等教育机构，在这些机构里妇女能够在夜读课程班里继续她们的教育，政府为这些夜读课程班提供交通。</w:t>
      </w:r>
    </w:p>
    <w:p w:rsidR="008C3F34" w:rsidRDefault="008C3F34" w:rsidP="00D972A7">
      <w:pPr>
        <w:widowControl w:val="0"/>
        <w:tabs>
          <w:tab w:val="left" w:pos="2730"/>
        </w:tabs>
        <w:spacing w:after="140" w:line="340" w:lineRule="exact"/>
        <w:jc w:val="both"/>
        <w:rPr>
          <w:rFonts w:ascii="Times New Roman" w:hint="eastAsia"/>
          <w:szCs w:val="21"/>
        </w:rPr>
      </w:pPr>
      <w:r>
        <w:rPr>
          <w:rFonts w:ascii="Times New Roman" w:hint="eastAsia"/>
          <w:szCs w:val="21"/>
        </w:rPr>
        <w:t>23</w:t>
      </w:r>
      <w:r>
        <w:rPr>
          <w:rFonts w:ascii="Times New Roman" w:hint="eastAsia"/>
          <w:szCs w:val="21"/>
        </w:rPr>
        <w:t>．</w:t>
      </w:r>
      <w:r w:rsidRPr="009B3925">
        <w:rPr>
          <w:rFonts w:ascii="SimHei" w:eastAsia="SimHei" w:hint="eastAsia"/>
          <w:color w:val="FF0000"/>
          <w:szCs w:val="21"/>
        </w:rPr>
        <w:t>主席</w:t>
      </w:r>
      <w:r>
        <w:rPr>
          <w:rFonts w:ascii="Times New Roman" w:hint="eastAsia"/>
          <w:szCs w:val="21"/>
        </w:rPr>
        <w:t>在作为委员会成员发言时指出，委员会没有邀请非政府组织参加本届会议。这些组织的代表可以向秘书处申请在它与非政府组织举行的非正式会议上发言，并且向东道国申请签证。</w:t>
      </w:r>
    </w:p>
    <w:p w:rsidR="008C3F34" w:rsidRDefault="008C3F34" w:rsidP="00D972A7">
      <w:pPr>
        <w:widowControl w:val="0"/>
        <w:tabs>
          <w:tab w:val="left" w:pos="2730"/>
        </w:tabs>
        <w:spacing w:after="140" w:line="340" w:lineRule="exact"/>
        <w:jc w:val="both"/>
        <w:rPr>
          <w:rFonts w:ascii="Times New Roman" w:hint="eastAsia"/>
          <w:szCs w:val="21"/>
        </w:rPr>
      </w:pPr>
      <w:r>
        <w:rPr>
          <w:rFonts w:ascii="Times New Roman" w:hint="eastAsia"/>
          <w:szCs w:val="21"/>
        </w:rPr>
        <w:t>24</w:t>
      </w:r>
      <w:r>
        <w:rPr>
          <w:rFonts w:ascii="Times New Roman" w:hint="eastAsia"/>
          <w:szCs w:val="21"/>
        </w:rPr>
        <w:t>．虽然在克服妇女消极的陈规定型观念方面取得了进展，但是，还需要通过改变学校课程，与人权机构、民间社会组织、媒体以及区域和国际组织合作等，做出更大的努力。虽然通过立法，为铲除基于性别的暴力，也做出了值得赞扬的努力，但是，仍需要该部采取更有力的行动。她想听到更多有关该地区各国之间在解决家庭暴力的最佳做法方面进行合作的情况。早婚是另一个对妇女有害的做法，尽管最近在阻止早婚方面取得了一些进展。</w:t>
      </w:r>
    </w:p>
    <w:p w:rsidR="008C3F34" w:rsidRDefault="008C3F34" w:rsidP="00D972A7">
      <w:pPr>
        <w:widowControl w:val="0"/>
        <w:tabs>
          <w:tab w:val="left" w:pos="2730"/>
        </w:tabs>
        <w:spacing w:after="140" w:line="340" w:lineRule="exact"/>
        <w:jc w:val="both"/>
        <w:rPr>
          <w:rFonts w:ascii="Times New Roman" w:hint="eastAsia"/>
          <w:szCs w:val="21"/>
        </w:rPr>
      </w:pPr>
      <w:r>
        <w:rPr>
          <w:rFonts w:ascii="Times New Roman" w:hint="eastAsia"/>
          <w:szCs w:val="21"/>
        </w:rPr>
        <w:t>25</w:t>
      </w:r>
      <w:r>
        <w:rPr>
          <w:rFonts w:ascii="Times New Roman" w:hint="eastAsia"/>
          <w:szCs w:val="21"/>
        </w:rPr>
        <w:t>．</w:t>
      </w:r>
      <w:r w:rsidRPr="000943CD">
        <w:rPr>
          <w:rFonts w:ascii="SimHei" w:eastAsia="SimHei"/>
          <w:color w:val="FF0000"/>
          <w:szCs w:val="21"/>
        </w:rPr>
        <w:t>Murillo de la Vega</w:t>
      </w:r>
      <w:r w:rsidRPr="000943CD">
        <w:rPr>
          <w:rFonts w:ascii="SimHei" w:eastAsia="SimHei" w:hint="eastAsia"/>
          <w:color w:val="FF0000"/>
          <w:szCs w:val="21"/>
        </w:rPr>
        <w:t>女士</w:t>
      </w:r>
      <w:r w:rsidRPr="000943CD">
        <w:rPr>
          <w:rFonts w:ascii="Times New Roman" w:hint="eastAsia"/>
          <w:szCs w:val="21"/>
        </w:rPr>
        <w:t>询问</w:t>
      </w:r>
      <w:r>
        <w:rPr>
          <w:rFonts w:ascii="Times New Roman" w:hint="eastAsia"/>
          <w:szCs w:val="21"/>
        </w:rPr>
        <w:t>，是否有任何措施，旨在缩小中等教育和大学教授中存在的性别差距，在这些教授中，</w:t>
      </w:r>
      <w:r>
        <w:rPr>
          <w:rFonts w:ascii="Times New Roman" w:hint="eastAsia"/>
          <w:szCs w:val="21"/>
        </w:rPr>
        <w:t>83%</w:t>
      </w:r>
      <w:r>
        <w:rPr>
          <w:rFonts w:ascii="Times New Roman" w:hint="eastAsia"/>
          <w:szCs w:val="21"/>
        </w:rPr>
        <w:t>是男性。她想知道，关于种族屠杀的法律是否处理专门针对妇女的暴力，如果是的话，妇女幸存者是否从攻击者那里得到了赔偿。</w:t>
      </w:r>
    </w:p>
    <w:p w:rsidR="008C3F34" w:rsidRDefault="008C3F34" w:rsidP="00D972A7">
      <w:pPr>
        <w:widowControl w:val="0"/>
        <w:tabs>
          <w:tab w:val="left" w:pos="2730"/>
        </w:tabs>
        <w:spacing w:after="140" w:line="340" w:lineRule="exact"/>
        <w:jc w:val="both"/>
        <w:rPr>
          <w:rFonts w:ascii="Times New Roman" w:hint="eastAsia"/>
          <w:szCs w:val="21"/>
        </w:rPr>
      </w:pPr>
      <w:r>
        <w:rPr>
          <w:rFonts w:ascii="Times New Roman" w:hint="eastAsia"/>
          <w:szCs w:val="21"/>
        </w:rPr>
        <w:t>26</w:t>
      </w:r>
      <w:r>
        <w:rPr>
          <w:rFonts w:ascii="Times New Roman" w:hint="eastAsia"/>
          <w:szCs w:val="21"/>
        </w:rPr>
        <w:t>．</w:t>
      </w:r>
      <w:r w:rsidRPr="000943CD">
        <w:rPr>
          <w:rFonts w:ascii="SimHei" w:eastAsia="SimHei"/>
          <w:color w:val="FF0000"/>
          <w:szCs w:val="21"/>
        </w:rPr>
        <w:t>Awori</w:t>
      </w:r>
      <w:r w:rsidRPr="000943CD">
        <w:rPr>
          <w:rFonts w:ascii="SimHei" w:eastAsia="SimHei" w:hint="eastAsia"/>
          <w:color w:val="FF0000"/>
          <w:szCs w:val="21"/>
        </w:rPr>
        <w:t>女士</w:t>
      </w:r>
      <w:r>
        <w:rPr>
          <w:rFonts w:ascii="Times New Roman" w:hint="eastAsia"/>
          <w:szCs w:val="21"/>
        </w:rPr>
        <w:t>要求获得有关通过非法贩运人口法案进展的最新情况。非法贩运人口问题没有涵盖在《刑法》中。她想知道，在该法案等待通过的期间，为了保护难民妇女和寻求庇护者，以及其他被非法贩运用来性剥削和充当劳力的弱势群体，并且帮助受害者，采取了什么措施。虽然代表团说，难民营里没有卢旺达儿童，但是她还是想知道，非法贩运儿童是否仍然是个问题。她还想知道，在各行政区是如何开展工作防止妇女因为贫穷而沦为妓女的，这些努力是否延伸到了妇女难民、寻求庇护者和农村妇女。最后，儿童权利委员会的结论性意见提到了越来越多的性剥削和儿童色情的受害者，不论是女孩、孤儿，还是被遗弃的儿童。她询问了对这一意见的看法。</w:t>
      </w:r>
    </w:p>
    <w:p w:rsidR="008C3F34" w:rsidRDefault="008C3F34" w:rsidP="00D972A7">
      <w:pPr>
        <w:widowControl w:val="0"/>
        <w:tabs>
          <w:tab w:val="left" w:pos="2730"/>
        </w:tabs>
        <w:spacing w:after="140" w:line="340" w:lineRule="exact"/>
        <w:jc w:val="both"/>
        <w:rPr>
          <w:rFonts w:ascii="Times New Roman" w:hint="eastAsia"/>
          <w:szCs w:val="21"/>
        </w:rPr>
      </w:pPr>
      <w:r>
        <w:rPr>
          <w:rFonts w:ascii="Times New Roman" w:hint="eastAsia"/>
          <w:szCs w:val="21"/>
        </w:rPr>
        <w:t>27</w:t>
      </w:r>
      <w:r>
        <w:rPr>
          <w:rFonts w:ascii="Times New Roman" w:hint="eastAsia"/>
          <w:szCs w:val="21"/>
        </w:rPr>
        <w:t>．</w:t>
      </w:r>
      <w:r w:rsidRPr="006536EE">
        <w:rPr>
          <w:rFonts w:ascii="SimHei" w:eastAsia="SimHei"/>
          <w:color w:val="FF0000"/>
          <w:szCs w:val="21"/>
        </w:rPr>
        <w:t>Chutikul</w:t>
      </w:r>
      <w:r w:rsidRPr="000943CD">
        <w:rPr>
          <w:rFonts w:ascii="SimHei" w:eastAsia="SimHei" w:hint="eastAsia"/>
          <w:color w:val="FF0000"/>
          <w:szCs w:val="21"/>
        </w:rPr>
        <w:t>女士</w:t>
      </w:r>
      <w:r>
        <w:rPr>
          <w:rFonts w:ascii="Times New Roman" w:hint="eastAsia"/>
          <w:szCs w:val="21"/>
        </w:rPr>
        <w:t>注意到贫穷被说成是卖淫的一个根本原因，她要求听到更多有关削减贫穷战略，包括成功的范例等情况。她想获得更多有关非法贩运法案的具体内容，以及该法案所载定义是否沿用了《巴勒莫议定书》给出的定义等详细情况。因为卖淫是非法的，所以，了解警察在解决这个问题上的作用非常重要。她询问是否有一个专门的部门处理妇女和儿童问题，是否有女警官，对那些还是未成年人的妓女是如何处理的，以及嫖客受到了什么处理等。</w:t>
      </w:r>
    </w:p>
    <w:p w:rsidR="008C3F34" w:rsidRPr="00FB655B" w:rsidRDefault="008C3F34" w:rsidP="00D972A7">
      <w:pPr>
        <w:widowControl w:val="0"/>
        <w:tabs>
          <w:tab w:val="left" w:pos="2730"/>
        </w:tabs>
        <w:spacing w:after="140" w:line="340" w:lineRule="exact"/>
        <w:jc w:val="both"/>
        <w:rPr>
          <w:rFonts w:ascii="KaiTi_GB2312" w:eastAsia="KaiTi_GB2312" w:hint="eastAsia"/>
          <w:color w:val="0000FF"/>
        </w:rPr>
      </w:pPr>
      <w:r>
        <w:rPr>
          <w:rFonts w:ascii="Times New Roman" w:hint="eastAsia"/>
          <w:szCs w:val="21"/>
        </w:rPr>
        <w:t>28</w:t>
      </w:r>
      <w:r>
        <w:rPr>
          <w:rFonts w:ascii="Times New Roman" w:hint="eastAsia"/>
          <w:szCs w:val="21"/>
        </w:rPr>
        <w:t>．</w:t>
      </w:r>
      <w:r w:rsidRPr="00FB655B">
        <w:rPr>
          <w:rFonts w:ascii="KaiTi_GB2312" w:eastAsia="KaiTi_GB2312" w:hint="eastAsia"/>
          <w:color w:val="0000FF"/>
        </w:rPr>
        <w:t>副主席</w:t>
      </w:r>
      <w:r w:rsidRPr="00F956AA">
        <w:rPr>
          <w:rFonts w:ascii="KaiTi_GB2312" w:eastAsia="KaiTi_GB2312"/>
          <w:color w:val="0000FF"/>
        </w:rPr>
        <w:t>诺伊鲍尔</w:t>
      </w:r>
      <w:r w:rsidRPr="00F956AA">
        <w:rPr>
          <w:rFonts w:ascii="KaiTi_GB2312" w:eastAsia="KaiTi_GB2312" w:hint="eastAsia"/>
          <w:color w:val="0000FF"/>
        </w:rPr>
        <w:t>女士</w:t>
      </w:r>
      <w:r w:rsidRPr="00FB655B">
        <w:rPr>
          <w:rFonts w:ascii="KaiTi_GB2312" w:eastAsia="KaiTi_GB2312" w:hint="eastAsia"/>
          <w:color w:val="0000FF"/>
        </w:rPr>
        <w:t>主持会议。</w:t>
      </w:r>
    </w:p>
    <w:p w:rsidR="008C3F34" w:rsidRDefault="008C3F34" w:rsidP="00D972A7">
      <w:pPr>
        <w:widowControl w:val="0"/>
        <w:tabs>
          <w:tab w:val="left" w:pos="2730"/>
        </w:tabs>
        <w:spacing w:after="140" w:line="340" w:lineRule="exact"/>
        <w:jc w:val="both"/>
        <w:rPr>
          <w:rFonts w:ascii="Times New Roman" w:hint="eastAsia"/>
          <w:szCs w:val="21"/>
        </w:rPr>
      </w:pPr>
      <w:r>
        <w:rPr>
          <w:rFonts w:ascii="Times New Roman" w:hint="eastAsia"/>
          <w:szCs w:val="21"/>
        </w:rPr>
        <w:t>29</w:t>
      </w:r>
      <w:r>
        <w:rPr>
          <w:rFonts w:ascii="Times New Roman" w:hint="eastAsia"/>
          <w:szCs w:val="21"/>
        </w:rPr>
        <w:t>．</w:t>
      </w:r>
      <w:r w:rsidRPr="007F01CF">
        <w:rPr>
          <w:rFonts w:ascii="SimHei" w:eastAsia="SimHei"/>
          <w:color w:val="FF0000"/>
          <w:szCs w:val="21"/>
        </w:rPr>
        <w:t>Mujawamariya</w:t>
      </w:r>
      <w:r w:rsidRPr="00853766">
        <w:rPr>
          <w:rFonts w:ascii="SimHei" w:eastAsia="SimHei" w:hint="eastAsia"/>
          <w:color w:val="FF0000"/>
          <w:szCs w:val="21"/>
        </w:rPr>
        <w:t>女士</w:t>
      </w:r>
      <w:r>
        <w:rPr>
          <w:rFonts w:ascii="Times New Roman" w:hint="eastAsia"/>
          <w:szCs w:val="21"/>
        </w:rPr>
        <w:t>（卢旺达）说，卢旺达代表团赞同，需要在所有利益攸关方的共同努力下，采取有力行动，来实现有关暴力侵害妇女问题的目标。卢旺达加入了</w:t>
      </w:r>
      <w:r w:rsidRPr="001715B4">
        <w:rPr>
          <w:rFonts w:ascii="Times New Roman" w:hint="eastAsia"/>
          <w:szCs w:val="21"/>
        </w:rPr>
        <w:t>东非</w:t>
      </w:r>
      <w:r>
        <w:rPr>
          <w:rFonts w:ascii="Times New Roman" w:hint="eastAsia"/>
          <w:szCs w:val="21"/>
        </w:rPr>
        <w:t>委员会，并且是该委员会当值主席，它把性别问题放在了其任期最重要的议事日程上。关于中等学校和大学教员男女比例的差距，在小学一级，妇女占了教师的大多数，但是，大多数获得卢旺达高级学位的妇女似乎对教学不感兴趣。卢旺达妇女教育起步比男性教育晚了</w:t>
      </w:r>
      <w:r>
        <w:rPr>
          <w:rFonts w:ascii="Times New Roman" w:hint="eastAsia"/>
          <w:szCs w:val="21"/>
        </w:rPr>
        <w:t>40</w:t>
      </w:r>
      <w:r>
        <w:rPr>
          <w:rFonts w:ascii="Times New Roman" w:hint="eastAsia"/>
          <w:szCs w:val="21"/>
        </w:rPr>
        <w:t>年，所以在这方面，妇女仍然落后于男性。</w:t>
      </w:r>
    </w:p>
    <w:p w:rsidR="008C3F34" w:rsidRDefault="008C3F34" w:rsidP="00D972A7">
      <w:pPr>
        <w:widowControl w:val="0"/>
        <w:tabs>
          <w:tab w:val="left" w:pos="2730"/>
        </w:tabs>
        <w:spacing w:after="140" w:line="340" w:lineRule="exact"/>
        <w:jc w:val="both"/>
        <w:rPr>
          <w:rFonts w:ascii="Times New Roman" w:hint="eastAsia"/>
          <w:szCs w:val="21"/>
        </w:rPr>
      </w:pPr>
      <w:r>
        <w:rPr>
          <w:rFonts w:ascii="Times New Roman" w:hint="eastAsia"/>
          <w:szCs w:val="21"/>
        </w:rPr>
        <w:t>30</w:t>
      </w:r>
      <w:r>
        <w:rPr>
          <w:rFonts w:ascii="Times New Roman" w:hint="eastAsia"/>
          <w:szCs w:val="21"/>
        </w:rPr>
        <w:t>．关于非法贩运人口问题，她说，现在还没有任何起诉，但是，一项有关预防非法贩运的法案目前正在议会审议。国家警察机关在总统的赞助下领导着一个预防指导委员会。保护受害人的措施包括通过替代性创收活动向原来的性工作者提供帮助，</w:t>
      </w:r>
      <w:r w:rsidR="00D972A7">
        <w:rPr>
          <w:rFonts w:ascii="Times New Roman" w:hint="eastAsia"/>
          <w:szCs w:val="21"/>
        </w:rPr>
        <w:t>及</w:t>
      </w:r>
      <w:r>
        <w:rPr>
          <w:rFonts w:ascii="Times New Roman" w:hint="eastAsia"/>
          <w:szCs w:val="21"/>
        </w:rPr>
        <w:t>一个提供启动小商业所需资本的循环基金等。</w:t>
      </w:r>
    </w:p>
    <w:p w:rsidR="008C3F34" w:rsidRDefault="008C3F34" w:rsidP="00D972A7">
      <w:pPr>
        <w:widowControl w:val="0"/>
        <w:tabs>
          <w:tab w:val="left" w:pos="2730"/>
        </w:tabs>
        <w:spacing w:after="140" w:line="340" w:lineRule="exact"/>
        <w:jc w:val="both"/>
        <w:rPr>
          <w:rFonts w:ascii="Times New Roman" w:hint="eastAsia"/>
          <w:szCs w:val="21"/>
        </w:rPr>
      </w:pPr>
      <w:r>
        <w:rPr>
          <w:rFonts w:ascii="Times New Roman" w:hint="eastAsia"/>
          <w:szCs w:val="21"/>
        </w:rPr>
        <w:t>31</w:t>
      </w:r>
      <w:r>
        <w:rPr>
          <w:rFonts w:ascii="Times New Roman" w:hint="eastAsia"/>
          <w:szCs w:val="21"/>
        </w:rPr>
        <w:t>．她重申，在卢旺达没有儿童兵。大多数寻求庇护者往往是那些从邻国布隆迪越过边境的经济难民，而且他们的犯罪活动，成为了这个国家不安全的一个根源。就卖淫而言，妇女和男嫖客都违反了法律，所以两个人都应当被逮捕。她还否认了有关儿童性剥削和儿童色情的说法，这些方面的问题都是在她所在部监管之下的。</w:t>
      </w:r>
    </w:p>
    <w:p w:rsidR="008C3F34" w:rsidRDefault="008C3F34" w:rsidP="00D972A7">
      <w:pPr>
        <w:widowControl w:val="0"/>
        <w:tabs>
          <w:tab w:val="left" w:pos="2730"/>
        </w:tabs>
        <w:spacing w:after="140" w:line="340" w:lineRule="exact"/>
        <w:jc w:val="both"/>
        <w:rPr>
          <w:rFonts w:ascii="Times New Roman" w:hint="eastAsia"/>
          <w:szCs w:val="21"/>
        </w:rPr>
      </w:pPr>
      <w:r>
        <w:rPr>
          <w:rFonts w:ascii="Times New Roman" w:hint="eastAsia"/>
          <w:szCs w:val="21"/>
        </w:rPr>
        <w:t>32</w:t>
      </w:r>
      <w:r>
        <w:rPr>
          <w:rFonts w:ascii="Times New Roman" w:hint="eastAsia"/>
          <w:szCs w:val="21"/>
        </w:rPr>
        <w:t>．</w:t>
      </w:r>
      <w:r>
        <w:rPr>
          <w:rFonts w:ascii="Times New Roman" w:hint="eastAsia"/>
          <w:szCs w:val="21"/>
        </w:rPr>
        <w:t>2006</w:t>
      </w:r>
      <w:r>
        <w:rPr>
          <w:rFonts w:ascii="Times New Roman" w:hint="eastAsia"/>
          <w:szCs w:val="21"/>
        </w:rPr>
        <w:t>年的数字表明，在公立大学中，</w:t>
      </w:r>
      <w:r>
        <w:rPr>
          <w:rFonts w:ascii="Times New Roman" w:hint="eastAsia"/>
          <w:szCs w:val="21"/>
        </w:rPr>
        <w:t>16</w:t>
      </w:r>
      <w:r w:rsidR="00D972A7">
        <w:rPr>
          <w:rFonts w:ascii="Times New Roman" w:hint="eastAsia"/>
          <w:szCs w:val="21"/>
        </w:rPr>
        <w:t xml:space="preserve"> </w:t>
      </w:r>
      <w:r>
        <w:rPr>
          <w:rFonts w:ascii="Times New Roman" w:hint="eastAsia"/>
          <w:szCs w:val="21"/>
        </w:rPr>
        <w:t>193</w:t>
      </w:r>
      <w:r>
        <w:rPr>
          <w:rFonts w:ascii="Times New Roman" w:hint="eastAsia"/>
          <w:szCs w:val="21"/>
        </w:rPr>
        <w:t>名学生中有</w:t>
      </w:r>
      <w:r>
        <w:rPr>
          <w:rFonts w:ascii="Times New Roman" w:hint="eastAsia"/>
          <w:szCs w:val="21"/>
        </w:rPr>
        <w:t>4</w:t>
      </w:r>
      <w:r w:rsidR="00D972A7">
        <w:rPr>
          <w:rFonts w:ascii="Times New Roman" w:hint="eastAsia"/>
          <w:szCs w:val="21"/>
        </w:rPr>
        <w:t xml:space="preserve"> </w:t>
      </w:r>
      <w:r>
        <w:rPr>
          <w:rFonts w:ascii="Times New Roman" w:hint="eastAsia"/>
          <w:szCs w:val="21"/>
        </w:rPr>
        <w:t>850</w:t>
      </w:r>
      <w:r>
        <w:rPr>
          <w:rFonts w:ascii="Times New Roman" w:hint="eastAsia"/>
          <w:szCs w:val="21"/>
        </w:rPr>
        <w:t>人是妇女。在私立大学中，</w:t>
      </w:r>
      <w:r>
        <w:rPr>
          <w:rFonts w:ascii="Times New Roman" w:hint="eastAsia"/>
          <w:szCs w:val="21"/>
        </w:rPr>
        <w:t>20</w:t>
      </w:r>
      <w:r w:rsidR="00D972A7">
        <w:rPr>
          <w:rFonts w:ascii="Times New Roman" w:hint="eastAsia"/>
          <w:szCs w:val="21"/>
        </w:rPr>
        <w:t xml:space="preserve"> </w:t>
      </w:r>
      <w:r>
        <w:rPr>
          <w:rFonts w:ascii="Times New Roman" w:hint="eastAsia"/>
          <w:szCs w:val="21"/>
        </w:rPr>
        <w:t>966</w:t>
      </w:r>
      <w:r>
        <w:rPr>
          <w:rFonts w:ascii="Times New Roman" w:hint="eastAsia"/>
          <w:szCs w:val="21"/>
        </w:rPr>
        <w:t>名学生中有</w:t>
      </w:r>
      <w:r>
        <w:rPr>
          <w:rFonts w:ascii="Times New Roman" w:hint="eastAsia"/>
          <w:szCs w:val="21"/>
        </w:rPr>
        <w:t>10</w:t>
      </w:r>
      <w:r w:rsidR="00D972A7">
        <w:rPr>
          <w:rFonts w:ascii="Times New Roman" w:hint="eastAsia"/>
          <w:szCs w:val="21"/>
        </w:rPr>
        <w:t xml:space="preserve"> </w:t>
      </w:r>
      <w:r>
        <w:rPr>
          <w:rFonts w:ascii="Times New Roman" w:hint="eastAsia"/>
          <w:szCs w:val="21"/>
        </w:rPr>
        <w:t>615</w:t>
      </w:r>
      <w:r>
        <w:rPr>
          <w:rFonts w:ascii="Times New Roman" w:hint="eastAsia"/>
          <w:szCs w:val="21"/>
        </w:rPr>
        <w:t>人是妇女，刚刚超过了</w:t>
      </w:r>
      <w:r>
        <w:rPr>
          <w:rFonts w:ascii="Times New Roman" w:hint="eastAsia"/>
          <w:szCs w:val="21"/>
        </w:rPr>
        <w:t>50%</w:t>
      </w:r>
      <w:r>
        <w:rPr>
          <w:rFonts w:ascii="Times New Roman" w:hint="eastAsia"/>
          <w:szCs w:val="21"/>
        </w:rPr>
        <w:t>。大多数妇女上的是私立学校，因为在私立学校可以上夜校，使得他们能够把教育与工作和家庭责任结合起来。</w:t>
      </w:r>
    </w:p>
    <w:p w:rsidR="008C3F34" w:rsidRDefault="008C3F34" w:rsidP="00D972A7">
      <w:pPr>
        <w:widowControl w:val="0"/>
        <w:tabs>
          <w:tab w:val="left" w:pos="2730"/>
        </w:tabs>
        <w:spacing w:after="140" w:line="340" w:lineRule="exact"/>
        <w:jc w:val="both"/>
        <w:rPr>
          <w:rFonts w:ascii="Times New Roman" w:hint="eastAsia"/>
          <w:szCs w:val="21"/>
        </w:rPr>
      </w:pPr>
      <w:r>
        <w:rPr>
          <w:rFonts w:ascii="Times New Roman" w:hint="eastAsia"/>
          <w:szCs w:val="21"/>
        </w:rPr>
        <w:t>33</w:t>
      </w:r>
      <w:r>
        <w:rPr>
          <w:rFonts w:ascii="Times New Roman" w:hint="eastAsia"/>
          <w:szCs w:val="21"/>
        </w:rPr>
        <w:t>．以下是最近提交给议会的法案中所载的非法贩运的定义：“</w:t>
      </w:r>
      <w:r w:rsidRPr="00034F8B">
        <w:rPr>
          <w:rFonts w:ascii="Times New Roman" w:hint="eastAsia"/>
          <w:szCs w:val="21"/>
        </w:rPr>
        <w:t>非法</w:t>
      </w:r>
      <w:r>
        <w:rPr>
          <w:rFonts w:ascii="Times New Roman" w:hint="eastAsia"/>
          <w:szCs w:val="21"/>
        </w:rPr>
        <w:t>贩运</w:t>
      </w:r>
      <w:r w:rsidRPr="00034F8B">
        <w:rPr>
          <w:rFonts w:ascii="Times New Roman" w:hint="eastAsia"/>
          <w:szCs w:val="21"/>
        </w:rPr>
        <w:t>是一种以剥削为目的，或者通过欺骗、威胁、使用武力或强制、滥用权力等手段，转移到另外一个地方或者国家，特别是以伤害他或她或者使用羞辱性做法、卖淫、违法做法、类似于奴役的做法、使他或她遭受酷刑或虐待或者通过滥用他或她与行政部门的问题所导致的弱势地位、作为一个家庭家长的妇女怀孕、疾病、残疾和其他有可能促使一个人实施这些行为的问题，</w:t>
      </w:r>
      <w:r>
        <w:rPr>
          <w:rFonts w:ascii="Times New Roman" w:hint="eastAsia"/>
          <w:szCs w:val="21"/>
        </w:rPr>
        <w:t>使</w:t>
      </w:r>
      <w:r w:rsidRPr="00034F8B">
        <w:rPr>
          <w:rFonts w:ascii="Times New Roman" w:hint="eastAsia"/>
          <w:szCs w:val="21"/>
        </w:rPr>
        <w:t>他或她作为家政工作奴隶为目的，使一个人成为一种商品的行为。</w:t>
      </w:r>
      <w:r>
        <w:rPr>
          <w:rFonts w:ascii="Times New Roman" w:hint="eastAsia"/>
          <w:szCs w:val="21"/>
        </w:rPr>
        <w:t>”</w:t>
      </w:r>
    </w:p>
    <w:p w:rsidR="008C3F34" w:rsidRDefault="008C3F34" w:rsidP="00D972A7">
      <w:pPr>
        <w:widowControl w:val="0"/>
        <w:tabs>
          <w:tab w:val="left" w:pos="2730"/>
        </w:tabs>
        <w:spacing w:after="140" w:line="340" w:lineRule="exact"/>
        <w:jc w:val="both"/>
        <w:rPr>
          <w:rFonts w:ascii="Times New Roman" w:hint="eastAsia"/>
          <w:szCs w:val="21"/>
        </w:rPr>
      </w:pPr>
      <w:r>
        <w:rPr>
          <w:rFonts w:ascii="Times New Roman" w:hint="eastAsia"/>
          <w:szCs w:val="21"/>
        </w:rPr>
        <w:t>34</w:t>
      </w:r>
      <w:r>
        <w:rPr>
          <w:rFonts w:ascii="Times New Roman" w:hint="eastAsia"/>
          <w:szCs w:val="21"/>
        </w:rPr>
        <w:t>．</w:t>
      </w:r>
      <w:r w:rsidRPr="007C6FC9">
        <w:rPr>
          <w:rFonts w:ascii="SimHei" w:eastAsia="SimHei"/>
          <w:color w:val="FF0000"/>
          <w:szCs w:val="21"/>
        </w:rPr>
        <w:t>Ameline</w:t>
      </w:r>
      <w:r w:rsidRPr="000943CD">
        <w:rPr>
          <w:rFonts w:ascii="SimHei" w:eastAsia="SimHei" w:hint="eastAsia"/>
          <w:color w:val="FF0000"/>
          <w:szCs w:val="21"/>
        </w:rPr>
        <w:t>女士</w:t>
      </w:r>
      <w:r>
        <w:rPr>
          <w:rFonts w:ascii="Times New Roman" w:hint="eastAsia"/>
          <w:szCs w:val="21"/>
        </w:rPr>
        <w:t>询问，尊重男女平等的概念是否直接和大大改变了与种族屠杀历史有关的文化背景，以及妇女和男性是否正在帮助国家克服这些记忆。她询问了有关寻找实施暴力犯罪者的情况，以及是否有可能帮助年轻一代女孩不要把她们自己看作是受害者，而是看作发展的参与者。</w:t>
      </w:r>
    </w:p>
    <w:p w:rsidR="008C3F34" w:rsidRDefault="008C3F34" w:rsidP="00D972A7">
      <w:pPr>
        <w:widowControl w:val="0"/>
        <w:tabs>
          <w:tab w:val="left" w:pos="2730"/>
        </w:tabs>
        <w:spacing w:after="140" w:line="340" w:lineRule="exact"/>
        <w:jc w:val="both"/>
        <w:rPr>
          <w:rFonts w:ascii="Times New Roman" w:hint="eastAsia"/>
          <w:szCs w:val="21"/>
        </w:rPr>
      </w:pPr>
      <w:r>
        <w:rPr>
          <w:rFonts w:ascii="Times New Roman" w:hint="eastAsia"/>
          <w:szCs w:val="21"/>
        </w:rPr>
        <w:t>35</w:t>
      </w:r>
      <w:r>
        <w:rPr>
          <w:rFonts w:ascii="Times New Roman" w:hint="eastAsia"/>
          <w:szCs w:val="21"/>
        </w:rPr>
        <w:t>．关于制定性别问题的预算，她询问，每一个机构的预算是否都有一部分是专门用于性别问题的，或者是否提供了补充资金等。</w:t>
      </w:r>
    </w:p>
    <w:p w:rsidR="008C3F34" w:rsidRDefault="008C3F34" w:rsidP="00D972A7">
      <w:pPr>
        <w:widowControl w:val="0"/>
        <w:tabs>
          <w:tab w:val="left" w:pos="2730"/>
        </w:tabs>
        <w:spacing w:after="140" w:line="340" w:lineRule="exact"/>
        <w:jc w:val="both"/>
        <w:rPr>
          <w:rFonts w:ascii="Times New Roman" w:hint="eastAsia"/>
          <w:szCs w:val="21"/>
        </w:rPr>
      </w:pPr>
      <w:r>
        <w:rPr>
          <w:rFonts w:ascii="Times New Roman" w:hint="eastAsia"/>
          <w:szCs w:val="21"/>
        </w:rPr>
        <w:t>36</w:t>
      </w:r>
      <w:r>
        <w:rPr>
          <w:rFonts w:ascii="Times New Roman" w:hint="eastAsia"/>
          <w:szCs w:val="21"/>
        </w:rPr>
        <w:t>．</w:t>
      </w:r>
      <w:r w:rsidRPr="00C463A3">
        <w:rPr>
          <w:rFonts w:ascii="SimHei" w:eastAsia="SimHei"/>
          <w:color w:val="FF0000"/>
          <w:szCs w:val="21"/>
        </w:rPr>
        <w:t>Hayashi</w:t>
      </w:r>
      <w:r w:rsidRPr="000943CD">
        <w:rPr>
          <w:rFonts w:ascii="SimHei" w:eastAsia="SimHei" w:hint="eastAsia"/>
          <w:color w:val="FF0000"/>
          <w:szCs w:val="21"/>
        </w:rPr>
        <w:t>女士</w:t>
      </w:r>
      <w:r>
        <w:rPr>
          <w:rFonts w:ascii="Times New Roman" w:hint="eastAsia"/>
          <w:szCs w:val="21"/>
        </w:rPr>
        <w:t>就适用《公约》和《北京行动纲要》问题说，《公约》是一个具有法律约束力的国际文书，就此而言，它在法律体系中的地位应当得到审视。她非常想知道，特别法庭和</w:t>
      </w:r>
      <w:r>
        <w:rPr>
          <w:rFonts w:ascii="Times New Roman"/>
          <w:szCs w:val="21"/>
        </w:rPr>
        <w:t>加卡卡</w:t>
      </w:r>
      <w:r>
        <w:rPr>
          <w:rFonts w:ascii="Times New Roman" w:hint="eastAsia"/>
          <w:szCs w:val="21"/>
        </w:rPr>
        <w:t>法院是否有过合作，或者以任何方式分担了待处理的案件，以及卢旺达国际刑事法庭的决定对国内法院的决定是否有任何影响等。</w:t>
      </w:r>
    </w:p>
    <w:p w:rsidR="008C3F34" w:rsidRPr="00802A86" w:rsidRDefault="008C3F34" w:rsidP="00D972A7">
      <w:pPr>
        <w:widowControl w:val="0"/>
        <w:tabs>
          <w:tab w:val="left" w:pos="2730"/>
        </w:tabs>
        <w:spacing w:after="140" w:line="340" w:lineRule="exact"/>
        <w:jc w:val="both"/>
        <w:rPr>
          <w:rFonts w:ascii="Times New Roman" w:hint="eastAsia"/>
          <w:szCs w:val="21"/>
        </w:rPr>
      </w:pPr>
      <w:r>
        <w:rPr>
          <w:rFonts w:ascii="Times New Roman" w:hint="eastAsia"/>
          <w:szCs w:val="21"/>
        </w:rPr>
        <w:t>37</w:t>
      </w:r>
      <w:r>
        <w:rPr>
          <w:rFonts w:ascii="Times New Roman" w:hint="eastAsia"/>
          <w:szCs w:val="21"/>
        </w:rPr>
        <w:t>．</w:t>
      </w:r>
      <w:r w:rsidRPr="00802A86">
        <w:rPr>
          <w:rFonts w:ascii="KaiTi_GB2312" w:eastAsia="KaiTi_GB2312" w:hint="eastAsia"/>
          <w:color w:val="0000FF"/>
        </w:rPr>
        <w:t>主席贾布尔女士重新主持会议。</w:t>
      </w:r>
    </w:p>
    <w:p w:rsidR="008C3F34" w:rsidRDefault="008C3F34" w:rsidP="00D972A7">
      <w:pPr>
        <w:widowControl w:val="0"/>
        <w:tabs>
          <w:tab w:val="left" w:pos="2730"/>
        </w:tabs>
        <w:spacing w:after="140" w:line="340" w:lineRule="exact"/>
        <w:jc w:val="both"/>
        <w:rPr>
          <w:rFonts w:ascii="Times New Roman" w:hint="eastAsia"/>
          <w:szCs w:val="21"/>
        </w:rPr>
      </w:pPr>
      <w:r w:rsidRPr="00802A86">
        <w:rPr>
          <w:rFonts w:ascii="Times New Roman" w:hint="eastAsia"/>
          <w:szCs w:val="21"/>
        </w:rPr>
        <w:t>38</w:t>
      </w:r>
      <w:r w:rsidRPr="00802A86">
        <w:rPr>
          <w:rFonts w:ascii="Times New Roman" w:hint="eastAsia"/>
          <w:szCs w:val="21"/>
        </w:rPr>
        <w:t>．</w:t>
      </w:r>
      <w:r w:rsidRPr="00802A86">
        <w:rPr>
          <w:rFonts w:ascii="SimHei" w:eastAsia="SimHei"/>
          <w:color w:val="FF0000"/>
          <w:szCs w:val="21"/>
        </w:rPr>
        <w:t>Popescu</w:t>
      </w:r>
      <w:r w:rsidRPr="000943CD">
        <w:rPr>
          <w:rFonts w:ascii="SimHei" w:eastAsia="SimHei" w:hint="eastAsia"/>
          <w:color w:val="FF0000"/>
          <w:szCs w:val="21"/>
        </w:rPr>
        <w:t>女士</w:t>
      </w:r>
      <w:r>
        <w:rPr>
          <w:rFonts w:ascii="Times New Roman" w:hint="eastAsia"/>
          <w:szCs w:val="21"/>
        </w:rPr>
        <w:t>说，尚无援引《公约》的案例是《公约》在国内法律体系中缺乏可见度的表现之一，因此，她想听到更多有关为传播《公约》以及向司法和执法部门提供培训而采取的措施等情况。她询问，性别暴力问题法案是否正在实施，如果是的话，它涵盖的主要暴力形式有哪些。她对把通奸、非法同居、堕胎和卖淫等刑事定罪的问题感到关切，并要求获得有关因犯有这些罪行被关押的妇女和女孩的状况等信息。她还想更多地了解曾流离失所或者住过难民营的卢旺达妇女归国人员的状况。</w:t>
      </w:r>
    </w:p>
    <w:p w:rsidR="008C3F34" w:rsidRDefault="008C3F34" w:rsidP="00D972A7">
      <w:pPr>
        <w:widowControl w:val="0"/>
        <w:tabs>
          <w:tab w:val="left" w:pos="2730"/>
        </w:tabs>
        <w:spacing w:after="140" w:line="340" w:lineRule="exact"/>
        <w:jc w:val="both"/>
        <w:rPr>
          <w:rFonts w:ascii="Times New Roman" w:hint="eastAsia"/>
          <w:szCs w:val="21"/>
        </w:rPr>
      </w:pPr>
      <w:r>
        <w:rPr>
          <w:rFonts w:ascii="Times New Roman" w:hint="eastAsia"/>
          <w:szCs w:val="21"/>
        </w:rPr>
        <w:t>39</w:t>
      </w:r>
      <w:r>
        <w:rPr>
          <w:rFonts w:ascii="Times New Roman" w:hint="eastAsia"/>
          <w:szCs w:val="21"/>
        </w:rPr>
        <w:t>．</w:t>
      </w:r>
      <w:r w:rsidRPr="00E0145E">
        <w:rPr>
          <w:rFonts w:ascii="SimHei" w:eastAsia="SimHei"/>
          <w:color w:val="FF0000"/>
          <w:szCs w:val="21"/>
        </w:rPr>
        <w:t>Š</w:t>
      </w:r>
      <w:r w:rsidRPr="00E0145E">
        <w:rPr>
          <w:rFonts w:ascii="SimHei" w:eastAsia="SimHei"/>
          <w:color w:val="FF0000"/>
          <w:szCs w:val="21"/>
        </w:rPr>
        <w:t>imonovi</w:t>
      </w:r>
      <w:r w:rsidRPr="00E0145E">
        <w:rPr>
          <w:rFonts w:ascii="SimHei" w:eastAsia="SimHei"/>
          <w:color w:val="FF0000"/>
          <w:szCs w:val="21"/>
        </w:rPr>
        <w:t>č</w:t>
      </w:r>
      <w:r w:rsidRPr="000943CD">
        <w:rPr>
          <w:rFonts w:ascii="SimHei" w:eastAsia="SimHei" w:hint="eastAsia"/>
          <w:color w:val="FF0000"/>
          <w:szCs w:val="21"/>
        </w:rPr>
        <w:t>女士</w:t>
      </w:r>
      <w:r>
        <w:rPr>
          <w:rFonts w:ascii="Times New Roman" w:hint="eastAsia"/>
          <w:szCs w:val="21"/>
        </w:rPr>
        <w:t>询问，批准《公约任择议定书》的进程进展到了什么程度，以及现在正在审查哪些歧视性立法。</w:t>
      </w:r>
    </w:p>
    <w:p w:rsidR="008C3F34" w:rsidRDefault="008C3F34" w:rsidP="00D972A7">
      <w:pPr>
        <w:widowControl w:val="0"/>
        <w:tabs>
          <w:tab w:val="left" w:pos="2730"/>
        </w:tabs>
        <w:spacing w:after="140" w:line="340" w:lineRule="exact"/>
        <w:jc w:val="both"/>
        <w:rPr>
          <w:rFonts w:ascii="Times New Roman" w:hint="eastAsia"/>
          <w:szCs w:val="21"/>
        </w:rPr>
      </w:pPr>
      <w:r>
        <w:rPr>
          <w:rFonts w:ascii="Times New Roman" w:hint="eastAsia"/>
          <w:szCs w:val="21"/>
        </w:rPr>
        <w:t>40</w:t>
      </w:r>
      <w:r>
        <w:rPr>
          <w:rFonts w:ascii="Times New Roman" w:hint="eastAsia"/>
          <w:szCs w:val="21"/>
        </w:rPr>
        <w:t>．</w:t>
      </w:r>
      <w:r w:rsidRPr="00E0145E">
        <w:rPr>
          <w:rFonts w:ascii="SimHei" w:eastAsia="SimHei"/>
          <w:color w:val="FF0000"/>
          <w:szCs w:val="21"/>
        </w:rPr>
        <w:t>Ara Begum</w:t>
      </w:r>
      <w:r w:rsidRPr="000943CD">
        <w:rPr>
          <w:rFonts w:ascii="SimHei" w:eastAsia="SimHei" w:hint="eastAsia"/>
          <w:color w:val="FF0000"/>
          <w:szCs w:val="21"/>
        </w:rPr>
        <w:t>女士</w:t>
      </w:r>
      <w:r>
        <w:rPr>
          <w:rFonts w:ascii="Times New Roman" w:hint="eastAsia"/>
          <w:szCs w:val="21"/>
        </w:rPr>
        <w:t>询问，在农村地区，是否也能像城镇一样找到性别暴力受害人庇护所，对于那些种族屠杀和暴力的年轻女受害人，有什么可供使用的康复方案以及多少人从中受益，多少犯罪分子得到了惩罚，以及是否有任何方案支持年轻妇女克服创伤等。</w:t>
      </w:r>
    </w:p>
    <w:p w:rsidR="008C3F34" w:rsidRDefault="008C3F34" w:rsidP="00D972A7">
      <w:pPr>
        <w:widowControl w:val="0"/>
        <w:tabs>
          <w:tab w:val="left" w:pos="2730"/>
        </w:tabs>
        <w:spacing w:after="140" w:line="340" w:lineRule="exact"/>
        <w:jc w:val="both"/>
        <w:rPr>
          <w:rFonts w:ascii="Times New Roman" w:hint="eastAsia"/>
          <w:szCs w:val="21"/>
        </w:rPr>
      </w:pPr>
      <w:r>
        <w:rPr>
          <w:rFonts w:ascii="Times New Roman" w:hint="eastAsia"/>
          <w:szCs w:val="21"/>
        </w:rPr>
        <w:t>41</w:t>
      </w:r>
      <w:r>
        <w:rPr>
          <w:rFonts w:ascii="Times New Roman" w:hint="eastAsia"/>
          <w:szCs w:val="21"/>
        </w:rPr>
        <w:t>．</w:t>
      </w:r>
      <w:r w:rsidRPr="00634EB9">
        <w:rPr>
          <w:rFonts w:ascii="SimHei" w:eastAsia="SimHei"/>
          <w:color w:val="FF0000"/>
          <w:szCs w:val="21"/>
        </w:rPr>
        <w:t>Rasekh</w:t>
      </w:r>
      <w:r w:rsidRPr="000943CD">
        <w:rPr>
          <w:rFonts w:ascii="SimHei" w:eastAsia="SimHei" w:hint="eastAsia"/>
          <w:color w:val="FF0000"/>
          <w:szCs w:val="21"/>
        </w:rPr>
        <w:t>女士</w:t>
      </w:r>
      <w:r>
        <w:rPr>
          <w:rFonts w:ascii="Times New Roman" w:hint="eastAsia"/>
          <w:szCs w:val="21"/>
        </w:rPr>
        <w:t>询问，是否有对性骚扰进行惩处或定罪的法律。</w:t>
      </w:r>
    </w:p>
    <w:p w:rsidR="008C3F34" w:rsidRDefault="008C3F34" w:rsidP="005D4822">
      <w:pPr>
        <w:widowControl w:val="0"/>
        <w:tabs>
          <w:tab w:val="left" w:pos="2730"/>
        </w:tabs>
        <w:spacing w:after="140" w:line="350" w:lineRule="exact"/>
        <w:jc w:val="both"/>
        <w:rPr>
          <w:rFonts w:ascii="Times New Roman" w:hint="eastAsia"/>
          <w:szCs w:val="21"/>
        </w:rPr>
      </w:pPr>
      <w:r>
        <w:rPr>
          <w:rFonts w:ascii="Times New Roman" w:hint="eastAsia"/>
          <w:szCs w:val="21"/>
        </w:rPr>
        <w:t>42</w:t>
      </w:r>
      <w:r>
        <w:rPr>
          <w:rFonts w:ascii="Times New Roman" w:hint="eastAsia"/>
          <w:szCs w:val="21"/>
        </w:rPr>
        <w:t>．</w:t>
      </w:r>
      <w:r w:rsidRPr="00127315">
        <w:rPr>
          <w:rFonts w:ascii="SimHei" w:eastAsia="SimHei"/>
          <w:color w:val="FF0000"/>
          <w:szCs w:val="21"/>
        </w:rPr>
        <w:t>Mujawamariya</w:t>
      </w:r>
      <w:r w:rsidRPr="000943CD">
        <w:rPr>
          <w:rFonts w:ascii="SimHei" w:eastAsia="SimHei" w:hint="eastAsia"/>
          <w:color w:val="FF0000"/>
          <w:szCs w:val="21"/>
        </w:rPr>
        <w:t>女士</w:t>
      </w:r>
      <w:r>
        <w:rPr>
          <w:rFonts w:ascii="Times New Roman" w:hint="eastAsia"/>
          <w:szCs w:val="21"/>
        </w:rPr>
        <w:t>（卢旺达）说，以编制性别问题预算的程序为例，如果教育部计划使用学校建设资金修建洗手间，该部必须表明，它是在既为男孩也为女孩修建洗手间。另一个例子是，卫生中心必须表明，它为节育方法而使用资金，这些方法是男女都可利用的。她所在的部有自己的把性别观点纳入主流和赋予妇女权</w:t>
      </w:r>
      <w:r w:rsidR="00D972A7">
        <w:rPr>
          <w:rFonts w:ascii="Times New Roman" w:hint="eastAsia"/>
          <w:szCs w:val="21"/>
        </w:rPr>
        <w:t>力</w:t>
      </w:r>
      <w:r>
        <w:rPr>
          <w:rFonts w:ascii="Times New Roman" w:hint="eastAsia"/>
          <w:szCs w:val="21"/>
        </w:rPr>
        <w:t>的预算。</w:t>
      </w:r>
    </w:p>
    <w:p w:rsidR="008C3F34" w:rsidRDefault="008C3F34" w:rsidP="005D4822">
      <w:pPr>
        <w:widowControl w:val="0"/>
        <w:tabs>
          <w:tab w:val="left" w:pos="2730"/>
        </w:tabs>
        <w:spacing w:after="140" w:line="350" w:lineRule="exact"/>
        <w:jc w:val="both"/>
        <w:rPr>
          <w:rFonts w:ascii="Times New Roman" w:hint="eastAsia"/>
          <w:szCs w:val="21"/>
        </w:rPr>
      </w:pPr>
      <w:r>
        <w:rPr>
          <w:rFonts w:ascii="Times New Roman" w:hint="eastAsia"/>
          <w:szCs w:val="21"/>
        </w:rPr>
        <w:t>43</w:t>
      </w:r>
      <w:r>
        <w:rPr>
          <w:rFonts w:ascii="Times New Roman" w:hint="eastAsia"/>
          <w:szCs w:val="21"/>
        </w:rPr>
        <w:t>．《卢旺达宪法》第</w:t>
      </w:r>
      <w:r>
        <w:rPr>
          <w:rFonts w:ascii="Times New Roman" w:hint="eastAsia"/>
          <w:szCs w:val="21"/>
        </w:rPr>
        <w:t>9</w:t>
      </w:r>
      <w:r>
        <w:rPr>
          <w:rFonts w:ascii="Times New Roman" w:hint="eastAsia"/>
          <w:szCs w:val="21"/>
        </w:rPr>
        <w:t>条把《公约》列为可以直接适用于国内法的国际文件。《公约》已经被翻译成了当地的语言</w:t>
      </w:r>
      <w:r w:rsidRPr="00034F8B">
        <w:rPr>
          <w:rFonts w:ascii="Times New Roman" w:hint="eastAsia"/>
          <w:szCs w:val="21"/>
        </w:rPr>
        <w:t>卢旺达语</w:t>
      </w:r>
      <w:r>
        <w:rPr>
          <w:rFonts w:ascii="Times New Roman" w:hint="eastAsia"/>
          <w:szCs w:val="21"/>
        </w:rPr>
        <w:t>，以帮助它的传播。它的规定也得到了</w:t>
      </w:r>
      <w:r w:rsidRPr="00034F8B">
        <w:rPr>
          <w:rFonts w:ascii="Times New Roman" w:hint="eastAsia"/>
          <w:szCs w:val="21"/>
        </w:rPr>
        <w:t>卢旺达国际刑事法庭</w:t>
      </w:r>
      <w:r>
        <w:rPr>
          <w:rFonts w:ascii="Times New Roman" w:hint="eastAsia"/>
          <w:szCs w:val="21"/>
        </w:rPr>
        <w:t>和</w:t>
      </w:r>
      <w:r>
        <w:rPr>
          <w:rFonts w:ascii="Times New Roman"/>
          <w:szCs w:val="21"/>
        </w:rPr>
        <w:t>加卡卡</w:t>
      </w:r>
      <w:r>
        <w:rPr>
          <w:rFonts w:ascii="Times New Roman" w:hint="eastAsia"/>
          <w:szCs w:val="21"/>
        </w:rPr>
        <w:t>法</w:t>
      </w:r>
      <w:r w:rsidR="00D972A7">
        <w:rPr>
          <w:rFonts w:ascii="Times New Roman" w:hint="eastAsia"/>
          <w:szCs w:val="21"/>
        </w:rPr>
        <w:t>庭</w:t>
      </w:r>
      <w:r>
        <w:rPr>
          <w:rFonts w:ascii="Times New Roman" w:hint="eastAsia"/>
          <w:szCs w:val="21"/>
        </w:rPr>
        <w:t>的遵守。</w:t>
      </w:r>
    </w:p>
    <w:p w:rsidR="008C3F34" w:rsidRDefault="008C3F34" w:rsidP="005D4822">
      <w:pPr>
        <w:widowControl w:val="0"/>
        <w:tabs>
          <w:tab w:val="left" w:pos="2730"/>
        </w:tabs>
        <w:spacing w:after="140" w:line="350" w:lineRule="exact"/>
        <w:jc w:val="both"/>
        <w:rPr>
          <w:rFonts w:ascii="Times New Roman" w:hint="eastAsia"/>
          <w:szCs w:val="21"/>
        </w:rPr>
      </w:pPr>
      <w:r>
        <w:rPr>
          <w:rFonts w:ascii="Times New Roman" w:hint="eastAsia"/>
          <w:szCs w:val="21"/>
        </w:rPr>
        <w:t>44</w:t>
      </w:r>
      <w:r>
        <w:rPr>
          <w:rFonts w:ascii="Times New Roman" w:hint="eastAsia"/>
          <w:szCs w:val="21"/>
        </w:rPr>
        <w:t>．虽然一项有关惩处性别暴力的法案仍然有待总统的公布，但是，已经在采取一些步骤。该法案涵盖了家庭暴力和性骚扰。非法同居的做法被认定为犯罪，因为它通常涉及到侵害伴侣和婚生子女的权利。虽然通奸也被认定为犯罪，但是对它采取的方法是先教育后惩罚。还在采取措施帮助妇女远离卖淫生活。根据《卢旺达宪法》，生命从受孕就开始；所以，堕胎被刑事定罪，因为它是在杀人。妇女归国人员的重新融合主要是通过减贫方案开展的；她们没有因为她们归国人员的身份遭到任何歧视。提到的性别暴力受害人庇护所是在农村地区，大多数家庭暴力都发生在那里。这些庇护所向伴侣们提供了性别问题宣传和家庭心理咨询。</w:t>
      </w:r>
    </w:p>
    <w:p w:rsidR="008C3F34" w:rsidRDefault="008C3F34" w:rsidP="00D972A7">
      <w:pPr>
        <w:widowControl w:val="0"/>
        <w:tabs>
          <w:tab w:val="left" w:pos="2730"/>
        </w:tabs>
        <w:spacing w:after="140" w:line="340" w:lineRule="exact"/>
        <w:jc w:val="both"/>
        <w:rPr>
          <w:rFonts w:ascii="Times New Roman" w:hint="eastAsia"/>
          <w:szCs w:val="21"/>
        </w:rPr>
      </w:pPr>
      <w:r>
        <w:rPr>
          <w:rFonts w:ascii="Times New Roman" w:hint="eastAsia"/>
          <w:szCs w:val="21"/>
        </w:rPr>
        <w:t>45</w:t>
      </w:r>
      <w:r>
        <w:rPr>
          <w:rFonts w:ascii="Times New Roman" w:hint="eastAsia"/>
          <w:szCs w:val="21"/>
        </w:rPr>
        <w:t>．</w:t>
      </w:r>
      <w:r w:rsidRPr="00384984">
        <w:rPr>
          <w:rFonts w:ascii="SimHei" w:eastAsia="SimHei"/>
          <w:color w:val="FF0000"/>
          <w:szCs w:val="21"/>
        </w:rPr>
        <w:t>Niwemfura</w:t>
      </w:r>
      <w:r w:rsidRPr="000943CD">
        <w:rPr>
          <w:rFonts w:ascii="SimHei" w:eastAsia="SimHei" w:hint="eastAsia"/>
          <w:color w:val="FF0000"/>
          <w:szCs w:val="21"/>
        </w:rPr>
        <w:t>女士</w:t>
      </w:r>
      <w:r>
        <w:rPr>
          <w:rFonts w:ascii="Times New Roman" w:hint="eastAsia"/>
          <w:szCs w:val="21"/>
        </w:rPr>
        <w:t>（卢旺达）说，民间社会参与了本报告的起草。本报告是在北京秘书处的帮助下，由性别与家庭促进部起草的。审查本报告的全国委员会由基层组织和提高妇女地位联合会、天主教和新教以及穆斯林代表、捐助者、联合国机构和通过女企业家联合会参与的私营部门等组成。所有这些利益攸关方在将报告提交给政府之前，都对报告进行了审查。</w:t>
      </w:r>
    </w:p>
    <w:p w:rsidR="008C3F34" w:rsidRDefault="008C3F34" w:rsidP="00D972A7">
      <w:pPr>
        <w:widowControl w:val="0"/>
        <w:tabs>
          <w:tab w:val="left" w:pos="2730"/>
        </w:tabs>
        <w:spacing w:after="140" w:line="340" w:lineRule="exact"/>
        <w:jc w:val="both"/>
        <w:rPr>
          <w:rFonts w:ascii="Times New Roman" w:hint="eastAsia"/>
          <w:szCs w:val="21"/>
        </w:rPr>
      </w:pPr>
      <w:r>
        <w:rPr>
          <w:rFonts w:ascii="Times New Roman" w:hint="eastAsia"/>
          <w:szCs w:val="21"/>
        </w:rPr>
        <w:t>46</w:t>
      </w:r>
      <w:r>
        <w:rPr>
          <w:rFonts w:ascii="Times New Roman" w:hint="eastAsia"/>
          <w:szCs w:val="21"/>
        </w:rPr>
        <w:t>．关于批准《任择议定书》的问题，内阁会议已于</w:t>
      </w:r>
      <w:r>
        <w:rPr>
          <w:rFonts w:ascii="Times New Roman" w:hint="eastAsia"/>
          <w:szCs w:val="21"/>
        </w:rPr>
        <w:t>2007</w:t>
      </w:r>
      <w:r>
        <w:rPr>
          <w:rFonts w:ascii="Times New Roman" w:hint="eastAsia"/>
          <w:szCs w:val="21"/>
        </w:rPr>
        <w:t>年批准了《任择议定书》。内阁审议后，下一步将提交给议会，议会将把它提交总统。《公约》与其他重要的国际文件一样，被翻译成了卢旺达语，分送给行政区领导人和国家妇女和青年联合会成员。</w:t>
      </w:r>
    </w:p>
    <w:p w:rsidR="008C3F34" w:rsidRDefault="008C3F34" w:rsidP="00D972A7">
      <w:pPr>
        <w:widowControl w:val="0"/>
        <w:tabs>
          <w:tab w:val="left" w:pos="2730"/>
        </w:tabs>
        <w:spacing w:after="140" w:line="340" w:lineRule="exact"/>
        <w:jc w:val="both"/>
        <w:rPr>
          <w:rFonts w:ascii="Times New Roman" w:hint="eastAsia"/>
          <w:szCs w:val="21"/>
        </w:rPr>
      </w:pPr>
      <w:r>
        <w:rPr>
          <w:rFonts w:ascii="Times New Roman" w:hint="eastAsia"/>
          <w:szCs w:val="21"/>
        </w:rPr>
        <w:t>47</w:t>
      </w:r>
      <w:r>
        <w:rPr>
          <w:rFonts w:ascii="Times New Roman" w:hint="eastAsia"/>
          <w:szCs w:val="21"/>
        </w:rPr>
        <w:t>．大学教师男女人数的差距，在一定程度上说，是前殖民政府的错。直到</w:t>
      </w:r>
      <w:r w:rsidR="00D972A7">
        <w:rPr>
          <w:rFonts w:ascii="Times New Roman" w:hint="eastAsia"/>
          <w:szCs w:val="21"/>
        </w:rPr>
        <w:t>1960</w:t>
      </w:r>
      <w:r>
        <w:rPr>
          <w:rFonts w:ascii="Times New Roman" w:hint="eastAsia"/>
          <w:szCs w:val="21"/>
        </w:rPr>
        <w:t>年代，才允许妇女开始学习自然科学和其他学科；在此之前，她们的教育仅限于家政和儿童保育。</w:t>
      </w:r>
    </w:p>
    <w:p w:rsidR="008C3F34" w:rsidRPr="00915FC7" w:rsidRDefault="008C3F34" w:rsidP="00D972A7">
      <w:pPr>
        <w:widowControl w:val="0"/>
        <w:tabs>
          <w:tab w:val="left" w:pos="2730"/>
        </w:tabs>
        <w:spacing w:after="140" w:line="340" w:lineRule="exact"/>
        <w:jc w:val="both"/>
        <w:rPr>
          <w:rFonts w:ascii="KaiTi_GB2312" w:eastAsia="KaiTi_GB2312" w:hint="eastAsia"/>
          <w:color w:val="0000FF"/>
        </w:rPr>
      </w:pPr>
      <w:r w:rsidRPr="00915FC7">
        <w:rPr>
          <w:rFonts w:ascii="KaiTi_GB2312" w:eastAsia="KaiTi_GB2312" w:hint="eastAsia"/>
          <w:color w:val="0000FF"/>
        </w:rPr>
        <w:t>第7至9条</w:t>
      </w:r>
    </w:p>
    <w:p w:rsidR="008C3F34" w:rsidRDefault="008C3F34" w:rsidP="00D972A7">
      <w:pPr>
        <w:widowControl w:val="0"/>
        <w:tabs>
          <w:tab w:val="left" w:pos="2730"/>
        </w:tabs>
        <w:spacing w:after="140" w:line="340" w:lineRule="exact"/>
        <w:jc w:val="both"/>
        <w:rPr>
          <w:rFonts w:ascii="Times New Roman" w:hint="eastAsia"/>
          <w:szCs w:val="21"/>
        </w:rPr>
      </w:pPr>
      <w:r>
        <w:rPr>
          <w:rFonts w:ascii="Times New Roman" w:hint="eastAsia"/>
          <w:szCs w:val="21"/>
        </w:rPr>
        <w:t>48</w:t>
      </w:r>
      <w:r>
        <w:rPr>
          <w:rFonts w:ascii="Times New Roman" w:hint="eastAsia"/>
          <w:szCs w:val="21"/>
        </w:rPr>
        <w:t>．</w:t>
      </w:r>
      <w:r w:rsidRPr="00915FC7">
        <w:rPr>
          <w:rFonts w:ascii="SimHei" w:eastAsia="SimHei"/>
          <w:color w:val="FF0000"/>
          <w:szCs w:val="21"/>
        </w:rPr>
        <w:t>Belmihoub-Zerdani</w:t>
      </w:r>
      <w:r w:rsidRPr="000943CD">
        <w:rPr>
          <w:rFonts w:ascii="SimHei" w:eastAsia="SimHei" w:hint="eastAsia"/>
          <w:color w:val="FF0000"/>
          <w:szCs w:val="21"/>
        </w:rPr>
        <w:t>女士</w:t>
      </w:r>
      <w:r>
        <w:rPr>
          <w:rFonts w:ascii="Times New Roman" w:hint="eastAsia"/>
          <w:szCs w:val="21"/>
        </w:rPr>
        <w:t>注意到，卢旺达在议会中妇女代表性方面，以</w:t>
      </w:r>
      <w:r>
        <w:rPr>
          <w:rFonts w:ascii="Times New Roman" w:hint="eastAsia"/>
          <w:szCs w:val="21"/>
        </w:rPr>
        <w:t>56%</w:t>
      </w:r>
      <w:r>
        <w:rPr>
          <w:rFonts w:ascii="Times New Roman" w:hint="eastAsia"/>
          <w:szCs w:val="21"/>
        </w:rPr>
        <w:t>取代了瑞典而位于世界前列，这是一个它应当引以自豪的成就。但是，妇女在地方政府中的代表性只有</w:t>
      </w:r>
      <w:r>
        <w:rPr>
          <w:rFonts w:ascii="Times New Roman" w:hint="eastAsia"/>
          <w:szCs w:val="21"/>
        </w:rPr>
        <w:t>40%</w:t>
      </w:r>
      <w:r>
        <w:rPr>
          <w:rFonts w:ascii="Times New Roman" w:hint="eastAsia"/>
          <w:szCs w:val="21"/>
        </w:rPr>
        <w:t>。需要做出更大的努力，向妇女提供被委以重任所需要的教育，担任地方一级决策职务的妇女往往能更好地捍卫妇女利益。</w:t>
      </w:r>
    </w:p>
    <w:p w:rsidR="008C3F34" w:rsidRDefault="008C3F34" w:rsidP="00D972A7">
      <w:pPr>
        <w:widowControl w:val="0"/>
        <w:tabs>
          <w:tab w:val="left" w:pos="2730"/>
        </w:tabs>
        <w:spacing w:after="140" w:line="340" w:lineRule="exact"/>
        <w:jc w:val="both"/>
        <w:rPr>
          <w:rFonts w:ascii="Times New Roman" w:hint="eastAsia"/>
          <w:szCs w:val="21"/>
        </w:rPr>
      </w:pPr>
      <w:r>
        <w:rPr>
          <w:rFonts w:ascii="Times New Roman" w:hint="eastAsia"/>
          <w:szCs w:val="21"/>
        </w:rPr>
        <w:t>49</w:t>
      </w:r>
      <w:r>
        <w:rPr>
          <w:rFonts w:ascii="Times New Roman" w:hint="eastAsia"/>
          <w:szCs w:val="21"/>
        </w:rPr>
        <w:t>．她很想知道，在执行《公约》和向种族屠杀的受害人、寡妇和孤儿等提供长期援助方面得到了什么国际援助，是来自联合国、双边捐助者，还是非盟。</w:t>
      </w:r>
    </w:p>
    <w:p w:rsidR="008C3F34" w:rsidRDefault="008C3F34" w:rsidP="00D972A7">
      <w:pPr>
        <w:widowControl w:val="0"/>
        <w:tabs>
          <w:tab w:val="left" w:pos="2730"/>
        </w:tabs>
        <w:spacing w:after="140" w:line="340" w:lineRule="exact"/>
        <w:jc w:val="both"/>
        <w:rPr>
          <w:rFonts w:ascii="Times New Roman" w:hint="eastAsia"/>
          <w:szCs w:val="21"/>
        </w:rPr>
      </w:pPr>
      <w:r>
        <w:rPr>
          <w:rFonts w:ascii="Times New Roman" w:hint="eastAsia"/>
          <w:szCs w:val="21"/>
        </w:rPr>
        <w:t>50</w:t>
      </w:r>
      <w:r>
        <w:rPr>
          <w:rFonts w:ascii="Times New Roman" w:hint="eastAsia"/>
          <w:szCs w:val="21"/>
        </w:rPr>
        <w:t>．她要求澄清，与外国人结了婚的卢旺达妇女是否有权在与男性平等的基础上，把她们的国籍传给她们的子女。</w:t>
      </w:r>
    </w:p>
    <w:p w:rsidR="00C47870" w:rsidRPr="00C47870" w:rsidRDefault="008C3F34" w:rsidP="006C6515">
      <w:pPr>
        <w:pStyle w:val="DualTxt"/>
        <w:spacing w:line="340" w:lineRule="exact"/>
        <w:ind w:firstLineChars="200" w:firstLine="31680"/>
        <w:rPr>
          <w:rFonts w:ascii="KaiTi_GB2312" w:eastAsia="KaiTi_GB2312" w:hint="eastAsia"/>
          <w:color w:val="0000FF"/>
          <w:szCs w:val="21"/>
        </w:rPr>
      </w:pPr>
      <w:r w:rsidRPr="008C3F34">
        <w:rPr>
          <w:rFonts w:ascii="KaiTi_GB2312" w:eastAsia="KaiTi_GB2312" w:hint="eastAsia"/>
          <w:color w:val="0000FF"/>
          <w:szCs w:val="21"/>
        </w:rPr>
        <w:tab/>
        <w:t>下午1时散会。</w:t>
      </w:r>
    </w:p>
    <w:p w:rsidR="006D7349" w:rsidRPr="00CD02FA" w:rsidRDefault="006D7349" w:rsidP="006C6515">
      <w:pPr>
        <w:pStyle w:val="DualTxt"/>
        <w:spacing w:line="340" w:lineRule="exact"/>
        <w:ind w:firstLineChars="200" w:firstLine="31680"/>
        <w:rPr>
          <w:rFonts w:ascii="KaiTi_GB2312" w:eastAsia="KaiTi_GB2312"/>
          <w:color w:val="0000FF"/>
          <w:szCs w:val="21"/>
        </w:rPr>
        <w:sectPr w:rsidR="006D7349" w:rsidRPr="00CD02FA">
          <w:endnotePr>
            <w:numFmt w:val="decimal"/>
          </w:endnotePr>
          <w:type w:val="continuous"/>
          <w:pgSz w:w="12242" w:h="15842" w:code="1"/>
          <w:pgMar w:top="1742" w:right="1195" w:bottom="1898" w:left="1195" w:header="576" w:footer="1030" w:gutter="0"/>
          <w:cols w:num="2" w:space="425"/>
          <w:noEndnote/>
          <w:docGrid w:type="lines" w:linePitch="312"/>
        </w:sectPr>
      </w:pPr>
    </w:p>
    <w:p w:rsidR="006D7349" w:rsidRDefault="006D7349" w:rsidP="00B807D6">
      <w:pPr>
        <w:tabs>
          <w:tab w:val="left" w:pos="420"/>
        </w:tabs>
        <w:spacing w:after="180" w:line="340" w:lineRule="exact"/>
        <w:jc w:val="both"/>
      </w:pPr>
    </w:p>
    <w:sectPr w:rsidR="006D7349">
      <w:endnotePr>
        <w:numFmt w:val="decimal"/>
      </w:endnotePr>
      <w:type w:val="continuous"/>
      <w:pgSz w:w="12242" w:h="15842" w:code="1"/>
      <w:pgMar w:top="1742" w:right="1195" w:bottom="1898" w:left="1195" w:header="576" w:footer="1030" w:gutter="0"/>
      <w:cols w:space="720"/>
      <w:noEndnote/>
      <w:docGrid w:type="lines" w:linePitch="312"/>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date="2009-07-10T13:50:00Z" w:initials="Start">
    <w:p w:rsidR="005A21A5" w:rsidRDefault="004370A4">
      <w:pPr>
        <w:pStyle w:val="CommentText"/>
        <w:rPr>
          <w:rFonts w:ascii="Times New Roman"/>
        </w:rPr>
      </w:pPr>
      <w:r>
        <w:rPr>
          <w:rStyle w:val="CommentReference"/>
          <w:rFonts w:ascii="Times New Roman" w:hint="eastAsia"/>
        </w:rPr>
        <w:annotationRef/>
      </w:r>
      <w:r w:rsidR="005A21A5">
        <w:rPr>
          <w:rFonts w:ascii="Times New Roman"/>
        </w:rPr>
        <w:t>&lt;&lt;ODS JOB NO&gt;&gt;N0931337C&lt;&lt;ODS JOB NO&gt;&gt;</w:t>
      </w:r>
    </w:p>
    <w:p w:rsidR="005A21A5" w:rsidRDefault="005A21A5">
      <w:pPr>
        <w:pStyle w:val="CommentText"/>
        <w:rPr>
          <w:rFonts w:ascii="Times New Roman"/>
        </w:rPr>
      </w:pPr>
      <w:r>
        <w:rPr>
          <w:rFonts w:ascii="Times New Roman"/>
        </w:rPr>
        <w:t>&lt;&lt;ODS DOC SYMBOL1&gt;&gt;CEDAW/C/SR.884&lt;&lt;ODS DOC SYMBOL1&gt;&gt;</w:t>
      </w:r>
    </w:p>
    <w:p w:rsidR="004370A4" w:rsidRDefault="005A21A5">
      <w:pPr>
        <w:pStyle w:val="CommentText"/>
        <w:rPr>
          <w:rFonts w:ascii="Times New Roman"/>
        </w:rPr>
      </w:pPr>
      <w:r>
        <w:rPr>
          <w:rFonts w:ascii="Times New Roman"/>
        </w:rP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8145D4" w:rsidRDefault="008145D4">
      <w:r>
        <w:separator/>
      </w:r>
    </w:p>
  </w:endnote>
  <w:endnote w:type="continuationSeparator" w:id="0">
    <w:p w:rsidR="008145D4" w:rsidRDefault="008145D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Book Antiqua">
    <w:panose1 w:val="02040602050305030304"/>
    <w:charset w:val="00"/>
    <w:family w:val="roman"/>
    <w:pitch w:val="variable"/>
    <w:sig w:usb0="00000287" w:usb1="00000000" w:usb2="00000000" w:usb3="00000000" w:csb0="0000009F" w:csb1="00000000"/>
  </w:font>
  <w:font w:name="STXihei">
    <w:altName w:val="华文细黑"/>
    <w:charset w:val="86"/>
    <w:family w:val="auto"/>
    <w:pitch w:val="variable"/>
    <w:sig w:usb0="00000287" w:usb1="080F0000" w:usb2="00000010" w:usb3="00000000" w:csb0="0004009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AFF" w:usb1="C0007843" w:usb2="00000009" w:usb3="00000000" w:csb0="000001FF" w:csb1="00000000"/>
  </w:font>
  <w:font w:name="SimHei">
    <w:altName w:val="黑体"/>
    <w:panose1 w:val="02010609060101010101"/>
    <w:charset w:val="86"/>
    <w:family w:val="modern"/>
    <w:pitch w:val="fixed"/>
    <w:sig w:usb0="800002BF" w:usb1="38CF7CFA" w:usb2="00000016" w:usb3="00000000" w:csb0="00040001" w:csb1="00000000"/>
  </w:font>
  <w:font w:name="KaiTi_GB2312">
    <w:altName w:val="楷体_GB2312"/>
    <w:panose1 w:val="02010609060101010101"/>
    <w:charset w:val="86"/>
    <w:family w:val="modern"/>
    <w:pitch w:val="fixed"/>
    <w:sig w:usb0="00000001" w:usb1="080E0000" w:usb2="00000010" w:usb3="00000000" w:csb0="00040000" w:csb1="00000000"/>
  </w:font>
  <w:font w:name="Courier New">
    <w:panose1 w:val="02070309020205020404"/>
    <w:charset w:val="00"/>
    <w:family w:val="modern"/>
    <w:pitch w:val="fixed"/>
    <w:sig w:usb0="E0002AFF" w:usb1="C0007843" w:usb2="00000009" w:usb3="00000000" w:csb0="000001FF" w:csb1="00000000"/>
  </w:font>
  <w:font w:name="Bookman Old Style">
    <w:panose1 w:val="02050604050505020204"/>
    <w:charset w:val="00"/>
    <w:family w:val="roman"/>
    <w:pitch w:val="variable"/>
    <w:sig w:usb0="00000287" w:usb1="00000000" w:usb2="00000000" w:usb3="00000000" w:csb0="0000009F" w:csb1="00000000"/>
  </w:font>
  <w:font w:name="FangSong_GB2312">
    <w:altName w:val="仿宋_GB2312"/>
    <w:panose1 w:val="02010609060101010101"/>
    <w:charset w:val="86"/>
    <w:family w:val="modern"/>
    <w:pitch w:val="fixed"/>
    <w:sig w:usb0="00000001" w:usb1="080E0000" w:usb2="00000010" w:usb3="00000000" w:csb0="00040000" w:csb1="00000000"/>
  </w:font>
  <w:font w:name="3 of 9 Barcode">
    <w:charset w:val="00"/>
    <w:family w:val="decorativ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Borders>
        <w:insideH w:val="single" w:sz="4" w:space="0" w:color="auto"/>
      </w:tblBorders>
      <w:tblLayout w:type="fixed"/>
      <w:tblLook w:val="0000" w:firstRow="0" w:lastRow="0" w:firstColumn="0" w:lastColumn="0" w:noHBand="0" w:noVBand="0"/>
    </w:tblPr>
    <w:tblGrid>
      <w:gridCol w:w="5034"/>
      <w:gridCol w:w="5034"/>
    </w:tblGrid>
    <w:tr w:rsidR="004370A4">
      <w:tblPrEx>
        <w:tblCellMar>
          <w:top w:w="0" w:type="dxa"/>
          <w:bottom w:w="0" w:type="dxa"/>
        </w:tblCellMar>
      </w:tblPrEx>
      <w:tc>
        <w:tcPr>
          <w:tcW w:w="5034" w:type="dxa"/>
          <w:vAlign w:val="bottom"/>
        </w:tcPr>
        <w:p w:rsidR="004370A4" w:rsidRDefault="004370A4">
          <w:pPr>
            <w:pStyle w:val="Footer"/>
            <w:rPr>
              <w:sz w:val="18"/>
            </w:rPr>
          </w:pPr>
          <w:r>
            <w:rPr>
              <w:sz w:val="18"/>
            </w:rPr>
            <w:fldChar w:fldCharType="begin"/>
          </w:r>
          <w:r>
            <w:rPr>
              <w:sz w:val="18"/>
            </w:rPr>
            <w:instrText xml:space="preserve"> PAGE  \* MERGEFORMAT </w:instrText>
          </w:r>
          <w:r>
            <w:rPr>
              <w:sz w:val="18"/>
            </w:rPr>
            <w:fldChar w:fldCharType="separate"/>
          </w:r>
          <w:r w:rsidR="00FF24B2">
            <w:rPr>
              <w:sz w:val="18"/>
            </w:rPr>
            <w:t>2</w:t>
          </w:r>
          <w:r>
            <w:rPr>
              <w:sz w:val="18"/>
            </w:rPr>
            <w:fldChar w:fldCharType="end"/>
          </w:r>
        </w:p>
      </w:tc>
      <w:tc>
        <w:tcPr>
          <w:tcW w:w="5034" w:type="dxa"/>
          <w:vAlign w:val="bottom"/>
        </w:tcPr>
        <w:p w:rsidR="004370A4" w:rsidRDefault="004370A4">
          <w:pPr>
            <w:pStyle w:val="Footer"/>
            <w:jc w:val="right"/>
          </w:pPr>
        </w:p>
      </w:tc>
    </w:tr>
  </w:tbl>
  <w:p w:rsidR="004370A4" w:rsidRDefault="004370A4">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Borders>
        <w:insideH w:val="single" w:sz="4" w:space="0" w:color="auto"/>
      </w:tblBorders>
      <w:tblLayout w:type="fixed"/>
      <w:tblLook w:val="0000" w:firstRow="0" w:lastRow="0" w:firstColumn="0" w:lastColumn="0" w:noHBand="0" w:noVBand="0"/>
    </w:tblPr>
    <w:tblGrid>
      <w:gridCol w:w="5034"/>
      <w:gridCol w:w="5034"/>
    </w:tblGrid>
    <w:tr w:rsidR="004370A4">
      <w:tblPrEx>
        <w:tblCellMar>
          <w:top w:w="0" w:type="dxa"/>
          <w:bottom w:w="0" w:type="dxa"/>
        </w:tblCellMar>
      </w:tblPrEx>
      <w:tc>
        <w:tcPr>
          <w:tcW w:w="5034" w:type="dxa"/>
          <w:vAlign w:val="bottom"/>
        </w:tcPr>
        <w:p w:rsidR="004370A4" w:rsidRDefault="004370A4">
          <w:pPr>
            <w:pStyle w:val="Footer"/>
          </w:pPr>
        </w:p>
      </w:tc>
      <w:tc>
        <w:tcPr>
          <w:tcW w:w="5034" w:type="dxa"/>
          <w:vAlign w:val="bottom"/>
        </w:tcPr>
        <w:p w:rsidR="004370A4" w:rsidRDefault="004370A4">
          <w:pPr>
            <w:pStyle w:val="Footer"/>
            <w:jc w:val="right"/>
            <w:rPr>
              <w:sz w:val="18"/>
            </w:rPr>
          </w:pPr>
          <w:r>
            <w:rPr>
              <w:sz w:val="18"/>
            </w:rPr>
            <w:fldChar w:fldCharType="begin"/>
          </w:r>
          <w:r>
            <w:rPr>
              <w:sz w:val="18"/>
            </w:rPr>
            <w:instrText xml:space="preserve"> PAGE  \* MERGEFORMAT </w:instrText>
          </w:r>
          <w:r>
            <w:rPr>
              <w:sz w:val="18"/>
            </w:rPr>
            <w:fldChar w:fldCharType="separate"/>
          </w:r>
          <w:r w:rsidR="00FF24B2">
            <w:rPr>
              <w:sz w:val="18"/>
            </w:rPr>
            <w:t>7</w:t>
          </w:r>
          <w:r>
            <w:rPr>
              <w:sz w:val="18"/>
            </w:rPr>
            <w:fldChar w:fldCharType="end"/>
          </w:r>
        </w:p>
      </w:tc>
    </w:tr>
  </w:tbl>
  <w:p w:rsidR="004370A4" w:rsidRDefault="004370A4">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370A4" w:rsidRDefault="004370A4">
    <w:pPr>
      <w:pStyle w:val="Footer"/>
    </w:pPr>
  </w:p>
  <w:p w:rsidR="004370A4" w:rsidRDefault="004370A4">
    <w:pPr>
      <w:pStyle w:val="Footer"/>
      <w:pBdr>
        <w:top w:val="single" w:sz="2" w:space="0" w:color="000000"/>
      </w:pBdr>
      <w:rPr>
        <w:sz w:val="2"/>
      </w:rPr>
    </w:pPr>
  </w:p>
  <w:p w:rsidR="004370A4" w:rsidRDefault="004370A4">
    <w:pPr>
      <w:spacing w:before="60" w:after="120" w:line="240" w:lineRule="auto"/>
      <w:ind w:left="1264" w:right="1264"/>
      <w:jc w:val="both"/>
      <w:rPr>
        <w:rFonts w:ascii="Times New Roman" w:hint="eastAsia"/>
        <w:snapToGrid w:val="0"/>
        <w:spacing w:val="5"/>
        <w:w w:val="104"/>
        <w:sz w:val="18"/>
      </w:rPr>
    </w:pPr>
    <w:r>
      <w:rPr>
        <w:rFonts w:ascii="Times New Roman" w:hint="eastAsia"/>
        <w:snapToGrid w:val="0"/>
        <w:spacing w:val="5"/>
        <w:w w:val="104"/>
        <w:sz w:val="18"/>
      </w:rPr>
      <w:t>本记录可以更正。更正请在一份备忘录内，以一种工作语文提出，并反映在有关记录的印本上。更正应</w:t>
    </w:r>
    <w:r>
      <w:rPr>
        <w:rFonts w:ascii="Times New Roman" w:eastAsia="KaiTi_GB2312" w:hint="eastAsia"/>
        <w:snapToGrid w:val="0"/>
        <w:color w:val="0000FF"/>
        <w:spacing w:val="5"/>
        <w:w w:val="104"/>
        <w:sz w:val="18"/>
      </w:rPr>
      <w:t>在本文件印发之日后一星期内</w:t>
    </w:r>
    <w:r>
      <w:rPr>
        <w:rFonts w:ascii="Times New Roman" w:hint="eastAsia"/>
        <w:snapToGrid w:val="0"/>
        <w:spacing w:val="5"/>
        <w:w w:val="104"/>
        <w:sz w:val="18"/>
      </w:rPr>
      <w:t>送交正式记录编辑科科长（</w:t>
    </w:r>
    <w:r>
      <w:rPr>
        <w:rFonts w:ascii="Times New Roman"/>
        <w:snapToGrid w:val="0"/>
        <w:spacing w:val="5"/>
        <w:w w:val="104"/>
        <w:sz w:val="18"/>
      </w:rPr>
      <w:t>DC2-750</w:t>
    </w:r>
    <w:r>
      <w:rPr>
        <w:rFonts w:ascii="Times New Roman" w:hint="eastAsia"/>
        <w:snapToGrid w:val="0"/>
        <w:spacing w:val="5"/>
        <w:w w:val="104"/>
        <w:sz w:val="18"/>
      </w:rPr>
      <w:t>，</w:t>
    </w:r>
    <w:r>
      <w:rPr>
        <w:rFonts w:ascii="Times New Roman" w:hint="eastAsia"/>
        <w:snapToGrid w:val="0"/>
        <w:spacing w:val="5"/>
        <w:w w:val="104"/>
        <w:sz w:val="18"/>
      </w:rPr>
      <w:t>2 United Nations Plaza</w:t>
    </w:r>
    <w:r>
      <w:rPr>
        <w:rFonts w:ascii="Times New Roman" w:hint="eastAsia"/>
        <w:snapToGrid w:val="0"/>
        <w:spacing w:val="5"/>
        <w:w w:val="104"/>
        <w:sz w:val="18"/>
      </w:rPr>
      <w:t>）。</w:t>
    </w:r>
  </w:p>
  <w:p w:rsidR="004370A4" w:rsidRDefault="004370A4">
    <w:pPr>
      <w:spacing w:before="60" w:after="120" w:line="240" w:lineRule="auto"/>
      <w:ind w:left="1264" w:right="1264"/>
      <w:jc w:val="both"/>
      <w:rPr>
        <w:rFonts w:hint="eastAsia"/>
        <w:sz w:val="18"/>
      </w:rPr>
    </w:pPr>
    <w:r>
      <w:rPr>
        <w:rFonts w:hint="eastAsia"/>
        <w:snapToGrid w:val="0"/>
        <w:spacing w:val="5"/>
        <w:w w:val="104"/>
        <w:sz w:val="18"/>
      </w:rPr>
      <w:t>对本届会议各次会议记录的更正，将汇编成一份更正文件，在届会结束后随即印发</w:t>
    </w:r>
    <w:r>
      <w:rPr>
        <w:rFonts w:hint="eastAsia"/>
        <w:snapToGrid w:val="0"/>
        <w:w w:val="104"/>
        <w:sz w:val="18"/>
      </w:rPr>
      <w:t>。</w:t>
    </w:r>
  </w:p>
  <w:p w:rsidR="004370A4" w:rsidRDefault="004370A4">
    <w:pPr>
      <w:pStyle w:val="Footer"/>
      <w:rPr>
        <w:b w:val="0"/>
        <w:snapToGrid w:val="0"/>
        <w:sz w:val="21"/>
      </w:rPr>
    </w:pPr>
    <w:r>
      <w:rPr>
        <w:b w:val="0"/>
        <w:snapToGrid w:val="0"/>
        <w:sz w:val="21"/>
      </w:rPr>
      <w:t>0</w:t>
    </w:r>
    <w:r>
      <w:rPr>
        <w:rFonts w:hint="eastAsia"/>
        <w:b w:val="0"/>
        <w:snapToGrid w:val="0"/>
        <w:sz w:val="21"/>
      </w:rPr>
      <w:t>9</w:t>
    </w:r>
    <w:r>
      <w:rPr>
        <w:b w:val="0"/>
        <w:snapToGrid w:val="0"/>
        <w:sz w:val="21"/>
      </w:rPr>
      <w:t>-</w:t>
    </w:r>
    <w:r>
      <w:rPr>
        <w:rFonts w:hint="eastAsia"/>
        <w:b w:val="0"/>
        <w:snapToGrid w:val="0"/>
        <w:sz w:val="21"/>
      </w:rPr>
      <w:t xml:space="preserve">31337 </w:t>
    </w:r>
    <w:r>
      <w:rPr>
        <w:b w:val="0"/>
        <w:snapToGrid w:val="0"/>
        <w:sz w:val="21"/>
      </w:rPr>
      <w:t>(C)</w:t>
    </w:r>
  </w:p>
  <w:p w:rsidR="004370A4" w:rsidRPr="00FF24B2" w:rsidRDefault="004370A4" w:rsidP="00FF24B2">
    <w:pPr>
      <w:rPr>
        <w:rFonts w:ascii="3 of 9 Barcode" w:hAnsi="3 of 9 Barcode"/>
        <w:snapToGrid w:val="0"/>
      </w:rPr>
    </w:pPr>
    <w:r w:rsidRPr="00FF24B2">
      <w:rPr>
        <w:rFonts w:ascii="3 of 9 Barcode" w:hAnsi="3 of 9 Barcode"/>
        <w:snapToGrid w:val="0"/>
      </w:rPr>
      <w:t>*0931337*</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8145D4" w:rsidRDefault="008145D4">
      <w:r>
        <w:separator/>
      </w:r>
    </w:p>
  </w:footnote>
  <w:footnote w:type="continuationSeparator" w:id="0">
    <w:p w:rsidR="008145D4" w:rsidRDefault="008145D4">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370A4" w:rsidRDefault="004370A4">
    <w:pPr>
      <w:pStyle w:val="Header"/>
    </w:pPr>
    <w:r>
      <w:rPr>
        <w:sz w:val="20"/>
      </w:rPr>
      <w:pict>
        <v:shapetype id="_x0000_t202" coordsize="21600,21600" o:spt="202" path="m,l,21600r21600,l21600,xe">
          <v:stroke joinstyle="miter"/>
          <v:path gradientshapeok="t" o:connecttype="rect"/>
        </v:shapetype>
        <v:shape id="_x0000_s1026" type="#_x0000_t202" style="position:absolute;margin-left:-5.75pt;margin-top:0;width:7in;height:50.4pt;z-index:2" stroked="f">
          <v:textbox inset="0,0,0,0">
            <w:txbxContent>
              <w:tbl>
                <w:tblPr>
                  <w:tblW w:w="0" w:type="auto"/>
                  <w:tblInd w:w="108" w:type="dxa"/>
                  <w:tblBorders>
                    <w:bottom w:val="single" w:sz="4" w:space="0" w:color="auto"/>
                  </w:tblBorders>
                  <w:tblLayout w:type="fixed"/>
                  <w:tblCellMar>
                    <w:left w:w="0" w:type="dxa"/>
                    <w:right w:w="0" w:type="dxa"/>
                  </w:tblCellMar>
                  <w:tblLook w:val="0000" w:firstRow="0" w:lastRow="0" w:firstColumn="0" w:lastColumn="0" w:noHBand="0" w:noVBand="0"/>
                </w:tblPr>
                <w:tblGrid>
                  <w:gridCol w:w="4838"/>
                  <w:gridCol w:w="5048"/>
                </w:tblGrid>
                <w:tr w:rsidR="004370A4">
                  <w:tblPrEx>
                    <w:tblCellMar>
                      <w:top w:w="0" w:type="dxa"/>
                      <w:bottom w:w="0" w:type="dxa"/>
                    </w:tblCellMar>
                  </w:tblPrEx>
                  <w:trPr>
                    <w:trHeight w:hRule="exact" w:val="864"/>
                  </w:trPr>
                  <w:tc>
                    <w:tcPr>
                      <w:tcW w:w="4838" w:type="dxa"/>
                      <w:vAlign w:val="bottom"/>
                    </w:tcPr>
                    <w:p w:rsidR="004370A4" w:rsidRDefault="004370A4">
                      <w:pPr>
                        <w:pStyle w:val="Header"/>
                        <w:spacing w:after="80"/>
                        <w:rPr>
                          <w:rFonts w:hint="eastAsia"/>
                          <w:b/>
                        </w:rPr>
                      </w:pPr>
                      <w:r>
                        <w:rPr>
                          <w:b/>
                        </w:rPr>
                        <w:t>CEDAW/C/SR.</w:t>
                      </w:r>
                      <w:r>
                        <w:rPr>
                          <w:rFonts w:hint="eastAsia"/>
                          <w:b/>
                        </w:rPr>
                        <w:t>884</w:t>
                      </w:r>
                    </w:p>
                  </w:tc>
                  <w:tc>
                    <w:tcPr>
                      <w:tcW w:w="5048" w:type="dxa"/>
                      <w:vAlign w:val="bottom"/>
                    </w:tcPr>
                    <w:p w:rsidR="004370A4" w:rsidRDefault="004370A4">
                      <w:pPr>
                        <w:pStyle w:val="Header"/>
                      </w:pPr>
                    </w:p>
                  </w:tc>
                </w:tr>
              </w:tbl>
              <w:p w:rsidR="004370A4" w:rsidRDefault="004370A4"/>
            </w:txbxContent>
          </v:textbox>
        </v:shape>
      </w:pic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370A4" w:rsidRDefault="004370A4">
    <w:pPr>
      <w:pStyle w:val="Header"/>
    </w:pPr>
    <w:r>
      <w:rPr>
        <w:sz w:val="20"/>
      </w:rPr>
      <w:pict>
        <v:shapetype id="_x0000_t202" coordsize="21600,21600" o:spt="202" path="m,l,21600r21600,l21600,xe">
          <v:stroke joinstyle="miter"/>
          <v:path gradientshapeok="t" o:connecttype="rect"/>
        </v:shapetype>
        <v:shape id="_x0000_s1025" type="#_x0000_t202" style="position:absolute;margin-left:-5.75pt;margin-top:0;width:7in;height:50.4pt;z-index:1" stroked="f">
          <v:textbox inset="0,0,0,0">
            <w:txbxContent>
              <w:tbl>
                <w:tblPr>
                  <w:tblW w:w="0" w:type="auto"/>
                  <w:tblInd w:w="108" w:type="dxa"/>
                  <w:tblBorders>
                    <w:bottom w:val="single" w:sz="4" w:space="0" w:color="auto"/>
                  </w:tblBorders>
                  <w:tblLayout w:type="fixed"/>
                  <w:tblCellMar>
                    <w:left w:w="0" w:type="dxa"/>
                    <w:right w:w="0" w:type="dxa"/>
                  </w:tblCellMar>
                  <w:tblLook w:val="0000" w:firstRow="0" w:lastRow="0" w:firstColumn="0" w:lastColumn="0" w:noHBand="0" w:noVBand="0"/>
                </w:tblPr>
                <w:tblGrid>
                  <w:gridCol w:w="4838"/>
                  <w:gridCol w:w="5048"/>
                </w:tblGrid>
                <w:tr w:rsidR="004370A4">
                  <w:tblPrEx>
                    <w:tblCellMar>
                      <w:top w:w="0" w:type="dxa"/>
                      <w:bottom w:w="0" w:type="dxa"/>
                    </w:tblCellMar>
                  </w:tblPrEx>
                  <w:trPr>
                    <w:trHeight w:hRule="exact" w:val="864"/>
                  </w:trPr>
                  <w:tc>
                    <w:tcPr>
                      <w:tcW w:w="4838" w:type="dxa"/>
                      <w:vAlign w:val="bottom"/>
                    </w:tcPr>
                    <w:p w:rsidR="004370A4" w:rsidRDefault="004370A4">
                      <w:pPr>
                        <w:pStyle w:val="Header"/>
                      </w:pPr>
                    </w:p>
                  </w:tc>
                  <w:tc>
                    <w:tcPr>
                      <w:tcW w:w="5048" w:type="dxa"/>
                      <w:vAlign w:val="bottom"/>
                    </w:tcPr>
                    <w:p w:rsidR="004370A4" w:rsidRDefault="004370A4">
                      <w:pPr>
                        <w:pStyle w:val="Header"/>
                        <w:wordWrap w:val="0"/>
                        <w:spacing w:after="80"/>
                        <w:jc w:val="right"/>
                        <w:rPr>
                          <w:rFonts w:hint="eastAsia"/>
                          <w:b/>
                        </w:rPr>
                      </w:pPr>
                      <w:r>
                        <w:rPr>
                          <w:b/>
                        </w:rPr>
                        <w:t>CEDAW/C/SR.</w:t>
                      </w:r>
                      <w:r>
                        <w:rPr>
                          <w:rFonts w:hint="eastAsia"/>
                          <w:b/>
                        </w:rPr>
                        <w:t>884</w:t>
                      </w:r>
                    </w:p>
                  </w:tc>
                </w:tr>
              </w:tbl>
              <w:p w:rsidR="004370A4" w:rsidRDefault="004370A4"/>
            </w:txbxContent>
          </v:textbox>
        </v:shape>
      </w:pic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91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1267"/>
      <w:gridCol w:w="1872"/>
      <w:gridCol w:w="245"/>
      <w:gridCol w:w="3110"/>
      <w:gridCol w:w="245"/>
      <w:gridCol w:w="3168"/>
      <w:gridCol w:w="12"/>
    </w:tblGrid>
    <w:tr w:rsidR="004370A4">
      <w:tblPrEx>
        <w:tblCellMar>
          <w:top w:w="0" w:type="dxa"/>
          <w:bottom w:w="0" w:type="dxa"/>
        </w:tblCellMar>
      </w:tblPrEx>
      <w:trPr>
        <w:gridAfter w:val="1"/>
        <w:wAfter w:w="12" w:type="dxa"/>
        <w:trHeight w:hRule="exact" w:val="864"/>
      </w:trPr>
      <w:tc>
        <w:tcPr>
          <w:tcW w:w="1267" w:type="dxa"/>
          <w:tcBorders>
            <w:top w:val="nil"/>
            <w:left w:val="nil"/>
            <w:bottom w:val="single" w:sz="4" w:space="0" w:color="auto"/>
            <w:right w:val="nil"/>
          </w:tcBorders>
          <w:vAlign w:val="bottom"/>
        </w:tcPr>
        <w:p w:rsidR="004370A4" w:rsidRDefault="004370A4">
          <w:pPr>
            <w:pStyle w:val="Header"/>
            <w:spacing w:after="120"/>
          </w:pPr>
        </w:p>
      </w:tc>
      <w:tc>
        <w:tcPr>
          <w:tcW w:w="1872" w:type="dxa"/>
          <w:tcBorders>
            <w:top w:val="nil"/>
            <w:left w:val="nil"/>
            <w:bottom w:val="single" w:sz="4" w:space="0" w:color="auto"/>
            <w:right w:val="nil"/>
          </w:tcBorders>
          <w:vAlign w:val="bottom"/>
        </w:tcPr>
        <w:p w:rsidR="004370A4" w:rsidRDefault="004370A4">
          <w:pPr>
            <w:pStyle w:val="HCh"/>
            <w:spacing w:after="80"/>
            <w:rPr>
              <w:rFonts w:eastAsia="SimSun"/>
              <w:spacing w:val="40"/>
              <w:w w:val="96"/>
            </w:rPr>
          </w:pPr>
          <w:r>
            <w:rPr>
              <w:rFonts w:ascii="Times New Roman" w:eastAsia="SimSun" w:hint="eastAsia"/>
              <w:spacing w:val="40"/>
              <w:w w:val="96"/>
            </w:rPr>
            <w:t>联合国</w:t>
          </w:r>
        </w:p>
      </w:tc>
      <w:tc>
        <w:tcPr>
          <w:tcW w:w="245" w:type="dxa"/>
          <w:tcBorders>
            <w:top w:val="nil"/>
            <w:left w:val="nil"/>
            <w:bottom w:val="single" w:sz="4" w:space="0" w:color="auto"/>
            <w:right w:val="nil"/>
          </w:tcBorders>
          <w:vAlign w:val="bottom"/>
        </w:tcPr>
        <w:p w:rsidR="004370A4" w:rsidRDefault="004370A4">
          <w:pPr>
            <w:pStyle w:val="Header"/>
            <w:spacing w:after="120"/>
          </w:pPr>
        </w:p>
      </w:tc>
      <w:tc>
        <w:tcPr>
          <w:tcW w:w="6523" w:type="dxa"/>
          <w:gridSpan w:val="3"/>
          <w:tcBorders>
            <w:top w:val="nil"/>
            <w:left w:val="nil"/>
            <w:bottom w:val="single" w:sz="4" w:space="0" w:color="auto"/>
            <w:right w:val="nil"/>
          </w:tcBorders>
          <w:vAlign w:val="bottom"/>
        </w:tcPr>
        <w:p w:rsidR="004370A4" w:rsidRDefault="004370A4">
          <w:pPr>
            <w:wordWrap w:val="0"/>
            <w:spacing w:line="240" w:lineRule="auto"/>
            <w:jc w:val="right"/>
            <w:rPr>
              <w:rFonts w:ascii="Times New Roman" w:hint="eastAsia"/>
              <w:position w:val="-4"/>
              <w:sz w:val="20"/>
            </w:rPr>
          </w:pPr>
          <w:r>
            <w:rPr>
              <w:rFonts w:ascii="Times New Roman"/>
              <w:position w:val="-4"/>
              <w:sz w:val="40"/>
            </w:rPr>
            <w:t>CEDAW</w:t>
          </w:r>
          <w:r>
            <w:rPr>
              <w:rFonts w:ascii="Times New Roman"/>
              <w:position w:val="-4"/>
            </w:rPr>
            <w:t>/C/SR.</w:t>
          </w:r>
          <w:r>
            <w:rPr>
              <w:rFonts w:ascii="Times New Roman" w:hint="eastAsia"/>
              <w:position w:val="-4"/>
            </w:rPr>
            <w:t>884</w:t>
          </w:r>
        </w:p>
      </w:tc>
    </w:tr>
    <w:tr w:rsidR="004370A4">
      <w:tblPrEx>
        <w:tblCellMar>
          <w:top w:w="0" w:type="dxa"/>
          <w:bottom w:w="0" w:type="dxa"/>
        </w:tblCellMar>
      </w:tblPrEx>
      <w:trPr>
        <w:trHeight w:hRule="exact" w:val="2880"/>
      </w:trPr>
      <w:tc>
        <w:tcPr>
          <w:tcW w:w="1267" w:type="dxa"/>
          <w:tcBorders>
            <w:left w:val="nil"/>
            <w:bottom w:val="single" w:sz="12" w:space="0" w:color="auto"/>
            <w:right w:val="nil"/>
          </w:tcBorders>
        </w:tcPr>
        <w:p w:rsidR="004370A4" w:rsidRDefault="004370A4">
          <w:pPr>
            <w:pStyle w:val="Header"/>
            <w:spacing w:before="109"/>
            <w:ind w:left="-72"/>
            <w:jc w:val="cente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1.75pt;height:48.75pt">
                <v:imagedata r:id="rId1" o:title="_unlogo"/>
              </v:shape>
            </w:pict>
          </w:r>
        </w:p>
        <w:p w:rsidR="004370A4" w:rsidRDefault="004370A4">
          <w:pPr>
            <w:pStyle w:val="Header"/>
            <w:spacing w:before="109"/>
            <w:ind w:left="-72"/>
          </w:pPr>
        </w:p>
      </w:tc>
      <w:tc>
        <w:tcPr>
          <w:tcW w:w="5227" w:type="dxa"/>
          <w:gridSpan w:val="3"/>
          <w:tcBorders>
            <w:left w:val="nil"/>
            <w:bottom w:val="single" w:sz="12" w:space="0" w:color="auto"/>
            <w:right w:val="nil"/>
          </w:tcBorders>
        </w:tcPr>
        <w:p w:rsidR="004370A4" w:rsidRDefault="004370A4">
          <w:pPr>
            <w:pStyle w:val="XLarge"/>
            <w:spacing w:before="109" w:after="140" w:line="440" w:lineRule="exact"/>
            <w:rPr>
              <w:rFonts w:hint="eastAsia"/>
              <w:sz w:val="38"/>
            </w:rPr>
          </w:pPr>
          <w:r>
            <w:rPr>
              <w:rFonts w:hint="eastAsia"/>
              <w:sz w:val="38"/>
            </w:rPr>
            <w:t>消除对妇女一切形式</w:t>
          </w:r>
          <w:r>
            <w:rPr>
              <w:sz w:val="38"/>
            </w:rPr>
            <w:br/>
          </w:r>
          <w:r>
            <w:rPr>
              <w:rFonts w:hint="eastAsia"/>
              <w:sz w:val="38"/>
            </w:rPr>
            <w:t>歧视公约</w:t>
          </w:r>
        </w:p>
        <w:p w:rsidR="004370A4" w:rsidRDefault="004370A4">
          <w:pPr>
            <w:rPr>
              <w:rFonts w:eastAsia="KaiTi_GB2312"/>
              <w:color w:val="0000FF"/>
              <w:sz w:val="28"/>
            </w:rPr>
          </w:pPr>
        </w:p>
      </w:tc>
      <w:tc>
        <w:tcPr>
          <w:tcW w:w="245" w:type="dxa"/>
          <w:tcBorders>
            <w:left w:val="nil"/>
            <w:bottom w:val="single" w:sz="12" w:space="0" w:color="auto"/>
            <w:right w:val="nil"/>
          </w:tcBorders>
        </w:tcPr>
        <w:p w:rsidR="004370A4" w:rsidRDefault="004370A4">
          <w:pPr>
            <w:pStyle w:val="Header"/>
            <w:spacing w:before="109"/>
          </w:pPr>
        </w:p>
      </w:tc>
      <w:tc>
        <w:tcPr>
          <w:tcW w:w="3180" w:type="dxa"/>
          <w:gridSpan w:val="2"/>
          <w:tcBorders>
            <w:left w:val="nil"/>
            <w:bottom w:val="single" w:sz="12" w:space="0" w:color="auto"/>
            <w:right w:val="nil"/>
          </w:tcBorders>
        </w:tcPr>
        <w:p w:rsidR="004370A4" w:rsidRDefault="004370A4">
          <w:pPr>
            <w:spacing w:before="240" w:line="240" w:lineRule="exact"/>
            <w:rPr>
              <w:rFonts w:ascii="Times New Roman"/>
            </w:rPr>
          </w:pPr>
          <w:r>
            <w:rPr>
              <w:rFonts w:ascii="Times New Roman"/>
            </w:rPr>
            <w:t>Distr.: General</w:t>
          </w:r>
        </w:p>
        <w:p w:rsidR="004370A4" w:rsidRDefault="00453017">
          <w:pPr>
            <w:pStyle w:val="H56"/>
            <w:keepNext w:val="0"/>
            <w:keepLines w:val="0"/>
            <w:tabs>
              <w:tab w:val="clear" w:pos="360"/>
            </w:tabs>
            <w:suppressAutoHyphens w:val="0"/>
            <w:spacing w:line="240" w:lineRule="exact"/>
            <w:outlineLvl w:val="9"/>
            <w:rPr>
              <w:rFonts w:ascii="Times New Roman" w:hint="eastAsia"/>
              <w:noProof w:val="0"/>
              <w:spacing w:val="0"/>
              <w:w w:val="100"/>
            </w:rPr>
          </w:pPr>
          <w:r>
            <w:rPr>
              <w:rFonts w:ascii="Times New Roman" w:hint="eastAsia"/>
              <w:noProof w:val="0"/>
              <w:spacing w:val="0"/>
              <w:w w:val="100"/>
            </w:rPr>
            <w:t>10</w:t>
          </w:r>
          <w:r>
            <w:rPr>
              <w:rFonts w:ascii="Times New Roman"/>
              <w:noProof w:val="0"/>
              <w:spacing w:val="0"/>
              <w:w w:val="100"/>
            </w:rPr>
            <w:t xml:space="preserve"> </w:t>
          </w:r>
          <w:r>
            <w:rPr>
              <w:rFonts w:ascii="Times New Roman" w:hint="eastAsia"/>
              <w:noProof w:val="0"/>
              <w:spacing w:val="0"/>
              <w:w w:val="100"/>
            </w:rPr>
            <w:t>J</w:t>
          </w:r>
          <w:r>
            <w:rPr>
              <w:rFonts w:ascii="Times New Roman"/>
              <w:noProof w:val="0"/>
              <w:spacing w:val="0"/>
              <w:w w:val="100"/>
            </w:rPr>
            <w:t>uly</w:t>
          </w:r>
          <w:r w:rsidR="004370A4">
            <w:rPr>
              <w:rFonts w:ascii="Times New Roman" w:hint="eastAsia"/>
              <w:noProof w:val="0"/>
              <w:spacing w:val="0"/>
              <w:w w:val="100"/>
            </w:rPr>
            <w:t xml:space="preserve"> </w:t>
          </w:r>
          <w:r w:rsidR="004370A4">
            <w:rPr>
              <w:rFonts w:ascii="Times New Roman"/>
              <w:noProof w:val="0"/>
              <w:spacing w:val="0"/>
              <w:w w:val="100"/>
            </w:rPr>
            <w:t>200</w:t>
          </w:r>
          <w:r w:rsidR="004370A4">
            <w:rPr>
              <w:rFonts w:ascii="Times New Roman" w:hint="eastAsia"/>
              <w:noProof w:val="0"/>
              <w:spacing w:val="0"/>
              <w:w w:val="100"/>
            </w:rPr>
            <w:t>9</w:t>
          </w:r>
        </w:p>
        <w:p w:rsidR="004370A4" w:rsidRDefault="004370A4">
          <w:pPr>
            <w:spacing w:line="240" w:lineRule="exact"/>
            <w:rPr>
              <w:rFonts w:ascii="Times New Roman"/>
            </w:rPr>
          </w:pPr>
        </w:p>
        <w:p w:rsidR="004370A4" w:rsidRDefault="004370A4">
          <w:pPr>
            <w:spacing w:line="240" w:lineRule="exact"/>
            <w:rPr>
              <w:rFonts w:ascii="Times New Roman"/>
            </w:rPr>
          </w:pPr>
          <w:r>
            <w:rPr>
              <w:rFonts w:ascii="Times New Roman"/>
            </w:rPr>
            <w:t>Chinese</w:t>
          </w:r>
        </w:p>
        <w:p w:rsidR="004370A4" w:rsidRDefault="004370A4">
          <w:pPr>
            <w:spacing w:line="240" w:lineRule="exact"/>
            <w:rPr>
              <w:rFonts w:ascii="Times New Roman"/>
            </w:rPr>
          </w:pPr>
          <w:r>
            <w:rPr>
              <w:rFonts w:ascii="Times New Roman"/>
            </w:rPr>
            <w:t>Original: English</w:t>
          </w:r>
        </w:p>
      </w:tc>
    </w:tr>
  </w:tbl>
  <w:p w:rsidR="004370A4" w:rsidRDefault="004370A4">
    <w:pPr>
      <w:pStyle w:val="Header"/>
      <w:rPr>
        <w:sz w:val="2"/>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DB20B88"/>
    <w:multiLevelType w:val="hybridMultilevel"/>
    <w:tmpl w:val="4B5C8DD2"/>
    <w:lvl w:ilvl="0" w:tplc="02DAE8CA">
      <w:start w:val="2"/>
      <w:numFmt w:val="decimal"/>
      <w:lvlText w:val="%1."/>
      <w:lvlJc w:val="left"/>
      <w:pPr>
        <w:tabs>
          <w:tab w:val="num" w:pos="420"/>
        </w:tabs>
        <w:ind w:left="420" w:hanging="420"/>
      </w:pPr>
      <w:rPr>
        <w:rFonts w:ascii="Times New Roman" w:hAnsi="Times New Roman" w:hint="eastAsia"/>
      </w:rPr>
    </w:lvl>
    <w:lvl w:ilvl="1" w:tplc="04090019">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
    <w:nsid w:val="1C8D7BBB"/>
    <w:multiLevelType w:val="hybridMultilevel"/>
    <w:tmpl w:val="E430C8DC"/>
    <w:lvl w:ilvl="0" w:tplc="97BC8702">
      <w:start w:val="1"/>
      <w:numFmt w:val="decimal"/>
      <w:lvlText w:val="%1."/>
      <w:lvlJc w:val="left"/>
      <w:pPr>
        <w:tabs>
          <w:tab w:val="num" w:pos="360"/>
        </w:tabs>
        <w:ind w:left="360" w:hanging="360"/>
      </w:pPr>
      <w:rPr>
        <w:rFonts w:hint="default"/>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2">
    <w:nsid w:val="313F0ABB"/>
    <w:multiLevelType w:val="hybridMultilevel"/>
    <w:tmpl w:val="4FD8A734"/>
    <w:lvl w:ilvl="0" w:tplc="89CA9E7A">
      <w:start w:val="1"/>
      <w:numFmt w:val="decimal"/>
      <w:lvlText w:val="%1."/>
      <w:lvlJc w:val="left"/>
      <w:pPr>
        <w:tabs>
          <w:tab w:val="num" w:pos="360"/>
        </w:tabs>
        <w:ind w:left="360" w:hanging="360"/>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3">
    <w:nsid w:val="3B7A6451"/>
    <w:multiLevelType w:val="hybridMultilevel"/>
    <w:tmpl w:val="08E6BB98"/>
    <w:lvl w:ilvl="0" w:tplc="6BC62014">
      <w:start w:val="1"/>
      <w:numFmt w:val="decimal"/>
      <w:lvlText w:val="%1."/>
      <w:lvlJc w:val="left"/>
      <w:pPr>
        <w:tabs>
          <w:tab w:val="num" w:pos="360"/>
        </w:tabs>
        <w:ind w:left="360" w:hanging="360"/>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4">
    <w:nsid w:val="3E1F72E8"/>
    <w:multiLevelType w:val="singleLevel"/>
    <w:tmpl w:val="E15AEEFA"/>
    <w:lvl w:ilvl="0">
      <w:start w:val="2"/>
      <w:numFmt w:val="upperLetter"/>
      <w:lvlText w:val="%1."/>
      <w:lvlJc w:val="left"/>
      <w:pPr>
        <w:tabs>
          <w:tab w:val="num" w:pos="420"/>
        </w:tabs>
        <w:ind w:left="420" w:hanging="420"/>
      </w:pPr>
      <w:rPr>
        <w:rFonts w:hint="default"/>
      </w:rPr>
    </w:lvl>
  </w:abstractNum>
  <w:abstractNum w:abstractNumId="5">
    <w:nsid w:val="484366AC"/>
    <w:multiLevelType w:val="hybridMultilevel"/>
    <w:tmpl w:val="6A2223D0"/>
    <w:lvl w:ilvl="0" w:tplc="8EEA3616">
      <w:start w:val="18"/>
      <w:numFmt w:val="decimal"/>
      <w:lvlText w:val="%1."/>
      <w:lvlJc w:val="left"/>
      <w:pPr>
        <w:tabs>
          <w:tab w:val="num" w:pos="420"/>
        </w:tabs>
        <w:ind w:left="420" w:hanging="420"/>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6">
    <w:nsid w:val="49382BDC"/>
    <w:multiLevelType w:val="hybridMultilevel"/>
    <w:tmpl w:val="7130B8EC"/>
    <w:lvl w:ilvl="0" w:tplc="6D76CAFA">
      <w:start w:val="11"/>
      <w:numFmt w:val="decimal"/>
      <w:lvlText w:val="%1."/>
      <w:lvlJc w:val="left"/>
      <w:pPr>
        <w:tabs>
          <w:tab w:val="num" w:pos="420"/>
        </w:tabs>
        <w:ind w:left="420" w:hanging="420"/>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7">
    <w:nsid w:val="4B454FFF"/>
    <w:multiLevelType w:val="hybridMultilevel"/>
    <w:tmpl w:val="A35A59E2"/>
    <w:lvl w:ilvl="0" w:tplc="926A520C">
      <w:start w:val="1"/>
      <w:numFmt w:val="decimal"/>
      <w:lvlText w:val="%1. "/>
      <w:lvlJc w:val="left"/>
      <w:pPr>
        <w:tabs>
          <w:tab w:val="num" w:pos="1620"/>
        </w:tabs>
        <w:ind w:left="1620" w:hanging="360"/>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8">
    <w:nsid w:val="57DC4CBD"/>
    <w:multiLevelType w:val="multilevel"/>
    <w:tmpl w:val="77F44150"/>
    <w:lvl w:ilvl="0">
      <w:start w:val="1"/>
      <w:numFmt w:val="chineseCountingThousand"/>
      <w:pStyle w:val="Heading1"/>
      <w:suff w:val="nothing"/>
      <w:lvlText w:val="第%1章"/>
      <w:lvlJc w:val="left"/>
      <w:pPr>
        <w:ind w:left="0" w:firstLine="0"/>
      </w:pPr>
    </w:lvl>
    <w:lvl w:ilvl="1">
      <w:start w:val="1"/>
      <w:numFmt w:val="none"/>
      <w:pStyle w:val="Heading2"/>
      <w:suff w:val="nothing"/>
      <w:lvlText w:val=""/>
      <w:lvlJc w:val="left"/>
      <w:pPr>
        <w:ind w:left="0" w:firstLine="0"/>
      </w:pPr>
    </w:lvl>
    <w:lvl w:ilvl="2">
      <w:start w:val="1"/>
      <w:numFmt w:val="none"/>
      <w:pStyle w:val="Heading3"/>
      <w:suff w:val="nothing"/>
      <w:lvlText w:val=""/>
      <w:lvlJc w:val="left"/>
      <w:pPr>
        <w:ind w:left="0" w:firstLine="0"/>
      </w:pPr>
    </w:lvl>
    <w:lvl w:ilvl="3">
      <w:start w:val="1"/>
      <w:numFmt w:val="none"/>
      <w:pStyle w:val="Heading4"/>
      <w:suff w:val="nothing"/>
      <w:lvlText w:val=""/>
      <w:lvlJc w:val="left"/>
      <w:pPr>
        <w:ind w:left="0" w:firstLine="0"/>
      </w:pPr>
    </w:lvl>
    <w:lvl w:ilvl="4">
      <w:start w:val="1"/>
      <w:numFmt w:val="none"/>
      <w:pStyle w:val="Heading5"/>
      <w:suff w:val="nothing"/>
      <w:lvlText w:val=""/>
      <w:lvlJc w:val="left"/>
      <w:pPr>
        <w:ind w:left="0" w:firstLine="0"/>
      </w:pPr>
    </w:lvl>
    <w:lvl w:ilvl="5">
      <w:start w:val="1"/>
      <w:numFmt w:val="none"/>
      <w:pStyle w:val="Heading6"/>
      <w:suff w:val="nothing"/>
      <w:lvlText w:val=""/>
      <w:lvlJc w:val="left"/>
      <w:pPr>
        <w:ind w:left="0" w:firstLine="0"/>
      </w:pPr>
    </w:lvl>
    <w:lvl w:ilvl="6">
      <w:start w:val="1"/>
      <w:numFmt w:val="none"/>
      <w:pStyle w:val="Heading7"/>
      <w:suff w:val="nothing"/>
      <w:lvlText w:val=""/>
      <w:lvlJc w:val="left"/>
      <w:pPr>
        <w:ind w:left="0" w:firstLine="0"/>
      </w:pPr>
    </w:lvl>
    <w:lvl w:ilvl="7">
      <w:start w:val="1"/>
      <w:numFmt w:val="none"/>
      <w:pStyle w:val="Heading8"/>
      <w:suff w:val="nothing"/>
      <w:lvlText w:val=""/>
      <w:lvlJc w:val="left"/>
      <w:pPr>
        <w:ind w:left="0" w:firstLine="0"/>
      </w:pPr>
    </w:lvl>
    <w:lvl w:ilvl="8">
      <w:start w:val="1"/>
      <w:numFmt w:val="none"/>
      <w:pStyle w:val="Heading9"/>
      <w:suff w:val="nothing"/>
      <w:lvlText w:val=""/>
      <w:lvlJc w:val="left"/>
      <w:pPr>
        <w:ind w:left="0" w:firstLine="0"/>
      </w:pPr>
    </w:lvl>
  </w:abstractNum>
  <w:abstractNum w:abstractNumId="9">
    <w:nsid w:val="5AAA01CF"/>
    <w:multiLevelType w:val="hybridMultilevel"/>
    <w:tmpl w:val="0394ABD0"/>
    <w:lvl w:ilvl="0" w:tplc="9EC0CF70">
      <w:start w:val="1"/>
      <w:numFmt w:val="ideographDigital"/>
      <w:lvlText w:val="%1"/>
      <w:lvlJc w:val="left"/>
      <w:pPr>
        <w:tabs>
          <w:tab w:val="num" w:pos="720"/>
        </w:tabs>
        <w:ind w:left="360" w:hanging="360"/>
      </w:pPr>
      <w:rPr>
        <w:rFonts w:ascii="Book Antiqua" w:eastAsia="STXihei" w:hAnsi="Book Antiqua" w:hint="default"/>
        <w:b/>
        <w:i w:val="0"/>
        <w:color w:val="auto"/>
        <w:sz w:val="21"/>
        <w:szCs w:val="21"/>
      </w:rPr>
    </w:lvl>
    <w:lvl w:ilvl="1" w:tplc="C09A5BA8">
      <w:start w:val="1"/>
      <w:numFmt w:val="decimal"/>
      <w:lvlText w:val="%2."/>
      <w:lvlJc w:val="left"/>
      <w:pPr>
        <w:tabs>
          <w:tab w:val="num" w:pos="840"/>
        </w:tabs>
        <w:ind w:left="420" w:firstLine="0"/>
      </w:pPr>
      <w:rPr>
        <w:rFonts w:hint="eastAsia"/>
        <w:b/>
        <w:i w:val="0"/>
        <w:color w:val="auto"/>
        <w:sz w:val="21"/>
        <w:szCs w:val="21"/>
      </w:r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0">
    <w:nsid w:val="7A1E2F4D"/>
    <w:multiLevelType w:val="hybridMultilevel"/>
    <w:tmpl w:val="1988C5FC"/>
    <w:lvl w:ilvl="0" w:tplc="1D64F90C">
      <w:start w:val="1"/>
      <w:numFmt w:val="lowerLetter"/>
      <w:lvlText w:val="%1)"/>
      <w:lvlJc w:val="left"/>
      <w:pPr>
        <w:tabs>
          <w:tab w:val="num" w:pos="420"/>
        </w:tabs>
        <w:ind w:left="420" w:hanging="420"/>
      </w:pPr>
      <w:rPr>
        <w:rFonts w:hint="eastAsia"/>
      </w:rPr>
    </w:lvl>
    <w:lvl w:ilvl="1" w:tplc="D29C55A2">
      <w:start w:val="1"/>
      <w:numFmt w:val="decimal"/>
      <w:lvlText w:val="%2."/>
      <w:lvlJc w:val="left"/>
      <w:pPr>
        <w:tabs>
          <w:tab w:val="num" w:pos="420"/>
        </w:tabs>
        <w:ind w:left="0" w:firstLine="0"/>
      </w:pPr>
      <w:rPr>
        <w:rFonts w:hint="eastAsia"/>
        <w:b w:val="0"/>
      </w:r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num w:numId="1">
    <w:abstractNumId w:val="8"/>
  </w:num>
  <w:num w:numId="2">
    <w:abstractNumId w:val="8"/>
  </w:num>
  <w:num w:numId="3">
    <w:abstractNumId w:val="8"/>
  </w:num>
  <w:num w:numId="4">
    <w:abstractNumId w:val="8"/>
  </w:num>
  <w:num w:numId="5">
    <w:abstractNumId w:val="8"/>
  </w:num>
  <w:num w:numId="6">
    <w:abstractNumId w:val="8"/>
  </w:num>
  <w:num w:numId="7">
    <w:abstractNumId w:val="8"/>
  </w:num>
  <w:num w:numId="8">
    <w:abstractNumId w:val="8"/>
  </w:num>
  <w:num w:numId="9">
    <w:abstractNumId w:val="8"/>
  </w:num>
  <w:num w:numId="10">
    <w:abstractNumId w:val="9"/>
  </w:num>
  <w:num w:numId="11">
    <w:abstractNumId w:val="0"/>
  </w:num>
  <w:num w:numId="12">
    <w:abstractNumId w:val="6"/>
  </w:num>
  <w:num w:numId="13">
    <w:abstractNumId w:val="5"/>
  </w:num>
  <w:num w:numId="14">
    <w:abstractNumId w:val="7"/>
  </w:num>
  <w:num w:numId="15">
    <w:abstractNumId w:val="1"/>
  </w:num>
  <w:num w:numId="16">
    <w:abstractNumId w:val="3"/>
  </w:num>
  <w:num w:numId="17">
    <w:abstractNumId w:val="4"/>
  </w:num>
  <w:num w:numId="18">
    <w:abstractNumId w:val="2"/>
  </w:num>
  <w:num w:numId="19">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bordersDoNotSurroundFooter/>
  <w:activeWritingStyle w:appName="MSWord" w:lang="zh-CN" w:vendorID="64" w:dllVersion="131077" w:nlCheck="1" w:checkStyle="1"/>
  <w:activeWritingStyle w:appName="MSWord" w:lang="en-US" w:vendorID="64" w:dllVersion="131077" w:nlCheck="1" w:checkStyle="1"/>
  <w:activeWritingStyle w:appName="MSWord" w:lang="en-US" w:vendorID="64" w:dllVersion="131078" w:nlCheck="1" w:checkStyle="1"/>
  <w:activeWritingStyle w:appName="MSWord" w:lang="en-GB" w:vendorID="64" w:dllVersion="131077" w:nlCheck="1" w:checkStyle="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431"/>
  <w:evenAndOddHeaders/>
  <w:drawingGridHorizontalSpacing w:val="2"/>
  <w:drawingGridVerticalSpacing w:val="3"/>
  <w:displayHorizontalDrawingGridEvery w:val="0"/>
  <w:displayVerticalDrawingGridEvery w:val="2"/>
  <w:characterSpacingControl w:val="compressPunctuation"/>
  <w:hdrShapeDefaults>
    <o:shapedefaults v:ext="edit" spidmax="3074"/>
    <o:shapelayout v:ext="edit">
      <o:idmap v:ext="edit" data="1"/>
    </o:shapelayout>
  </w:hdrShapeDefaults>
  <w:footnotePr>
    <w:footnote w:id="-1"/>
    <w:footnote w:id="0"/>
  </w:footnotePr>
  <w:endnotePr>
    <w:pos w:val="sectEnd"/>
    <w:numFmt w:val="decimal"/>
    <w:endnote w:id="-1"/>
    <w:endnote w:id="0"/>
  </w:endnotePr>
  <w:compat>
    <w:spaceForUL/>
    <w:balanceSingleByteDoubleByteWidth/>
    <w:doNotExpandShiftReturn/>
    <w:printColBlack/>
    <w:adjustLineHeightInTable/>
    <w:layoutRawTableWidth/>
    <w:doNotBreakWrappedTables/>
    <w:doNotSnapToGridInCell/>
    <w:selectFldWithFirstOrLastChar/>
    <w:growAutofit/>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barcode" w:val="*0931337*"/>
    <w:docVar w:name="CreationDt" w:val="19/03/2003 9:37: AM"/>
    <w:docVar w:name="DocCategory" w:val="SRMain"/>
    <w:docVar w:name="DocType" w:val="Final"/>
    <w:docVar w:name="FooterJN" w:val="09-31337 (C)"/>
    <w:docVar w:name="Jobn" w:val="09-31337 (C)"/>
    <w:docVar w:name="JobNo" w:val="0931337C"/>
    <w:docVar w:name="OandT" w:val="DLF"/>
    <w:docVar w:name="sss1" w:val="CEDAW/C/SR.884"/>
    <w:docVar w:name="Symbol1" w:val="CEDAW/C/SR.884"/>
    <w:docVar w:name="Symbol2" w:val="-"/>
  </w:docVars>
  <w:rsids>
    <w:rsidRoot w:val="001331A0"/>
    <w:rsid w:val="00060961"/>
    <w:rsid w:val="00094A81"/>
    <w:rsid w:val="000D1E3D"/>
    <w:rsid w:val="000E0E33"/>
    <w:rsid w:val="001331A0"/>
    <w:rsid w:val="0017683A"/>
    <w:rsid w:val="001E0B7D"/>
    <w:rsid w:val="00277364"/>
    <w:rsid w:val="0041260A"/>
    <w:rsid w:val="004370A4"/>
    <w:rsid w:val="00444278"/>
    <w:rsid w:val="00453017"/>
    <w:rsid w:val="00460A10"/>
    <w:rsid w:val="00465873"/>
    <w:rsid w:val="00477919"/>
    <w:rsid w:val="004A6B2B"/>
    <w:rsid w:val="004B5309"/>
    <w:rsid w:val="004D2C70"/>
    <w:rsid w:val="005A21A5"/>
    <w:rsid w:val="005D4822"/>
    <w:rsid w:val="005E175F"/>
    <w:rsid w:val="006306BA"/>
    <w:rsid w:val="0069104E"/>
    <w:rsid w:val="006A064D"/>
    <w:rsid w:val="006C6515"/>
    <w:rsid w:val="006D6F41"/>
    <w:rsid w:val="006D7349"/>
    <w:rsid w:val="006E7C3F"/>
    <w:rsid w:val="007A2EF7"/>
    <w:rsid w:val="007F466E"/>
    <w:rsid w:val="008145D4"/>
    <w:rsid w:val="008853B9"/>
    <w:rsid w:val="008C3F34"/>
    <w:rsid w:val="008D0047"/>
    <w:rsid w:val="008E0C7B"/>
    <w:rsid w:val="008F69D8"/>
    <w:rsid w:val="009D571A"/>
    <w:rsid w:val="009E60F0"/>
    <w:rsid w:val="00A70E89"/>
    <w:rsid w:val="00A77673"/>
    <w:rsid w:val="00AB62B5"/>
    <w:rsid w:val="00B1677B"/>
    <w:rsid w:val="00B324FF"/>
    <w:rsid w:val="00B807D6"/>
    <w:rsid w:val="00C302DE"/>
    <w:rsid w:val="00C33D63"/>
    <w:rsid w:val="00C47870"/>
    <w:rsid w:val="00CD02FA"/>
    <w:rsid w:val="00D972A7"/>
    <w:rsid w:val="00DE47DC"/>
    <w:rsid w:val="00E9374B"/>
    <w:rsid w:val="00F6658C"/>
    <w:rsid w:val="00F9102C"/>
    <w:rsid w:val="00FC71E9"/>
    <w:rsid w:val="00FF24B2"/>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2"/>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SimSu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pPr>
      <w:spacing w:line="320" w:lineRule="exact"/>
    </w:pPr>
    <w:rPr>
      <w:rFonts w:ascii="SimSun"/>
      <w:kern w:val="14"/>
      <w:sz w:val="21"/>
      <w:lang w:val="en-US" w:eastAsia="zh-CN"/>
    </w:rPr>
  </w:style>
  <w:style w:type="paragraph" w:styleId="Heading1">
    <w:name w:val="heading 1"/>
    <w:basedOn w:val="Normal"/>
    <w:next w:val="Normal"/>
    <w:qFormat/>
    <w:pPr>
      <w:keepNext/>
      <w:keepLines/>
      <w:numPr>
        <w:numId w:val="1"/>
      </w:numPr>
      <w:spacing w:before="340" w:after="330" w:line="578" w:lineRule="atLeast"/>
      <w:outlineLvl w:val="0"/>
    </w:pPr>
    <w:rPr>
      <w:b/>
      <w:bCs/>
      <w:kern w:val="44"/>
      <w:sz w:val="44"/>
      <w:szCs w:val="44"/>
    </w:rPr>
  </w:style>
  <w:style w:type="paragraph" w:styleId="Heading2">
    <w:name w:val="heading 2"/>
    <w:basedOn w:val="Normal"/>
    <w:next w:val="Normal"/>
    <w:qFormat/>
    <w:pPr>
      <w:keepNext/>
      <w:keepLines/>
      <w:numPr>
        <w:ilvl w:val="1"/>
        <w:numId w:val="2"/>
      </w:numPr>
      <w:spacing w:before="260" w:after="260" w:line="416" w:lineRule="atLeast"/>
      <w:outlineLvl w:val="1"/>
    </w:pPr>
    <w:rPr>
      <w:rFonts w:ascii="Arial" w:eastAsia="SimHei" w:hAnsi="Arial"/>
      <w:b/>
      <w:bCs/>
      <w:sz w:val="32"/>
      <w:szCs w:val="32"/>
    </w:rPr>
  </w:style>
  <w:style w:type="paragraph" w:styleId="Heading3">
    <w:name w:val="heading 3"/>
    <w:basedOn w:val="Normal"/>
    <w:next w:val="Normal"/>
    <w:qFormat/>
    <w:pPr>
      <w:keepNext/>
      <w:keepLines/>
      <w:numPr>
        <w:ilvl w:val="2"/>
        <w:numId w:val="3"/>
      </w:numPr>
      <w:spacing w:before="260" w:after="260" w:line="416" w:lineRule="atLeast"/>
      <w:outlineLvl w:val="2"/>
    </w:pPr>
    <w:rPr>
      <w:b/>
      <w:bCs/>
      <w:sz w:val="32"/>
      <w:szCs w:val="32"/>
    </w:rPr>
  </w:style>
  <w:style w:type="paragraph" w:styleId="Heading4">
    <w:name w:val="heading 4"/>
    <w:basedOn w:val="Normal"/>
    <w:next w:val="Normal"/>
    <w:qFormat/>
    <w:pPr>
      <w:keepNext/>
      <w:keepLines/>
      <w:numPr>
        <w:ilvl w:val="3"/>
        <w:numId w:val="4"/>
      </w:numPr>
      <w:spacing w:before="280" w:after="290" w:line="376" w:lineRule="atLeast"/>
      <w:outlineLvl w:val="3"/>
    </w:pPr>
    <w:rPr>
      <w:rFonts w:ascii="Arial" w:eastAsia="SimHei" w:hAnsi="Arial"/>
      <w:b/>
      <w:bCs/>
      <w:sz w:val="28"/>
      <w:szCs w:val="28"/>
    </w:rPr>
  </w:style>
  <w:style w:type="paragraph" w:styleId="Heading5">
    <w:name w:val="heading 5"/>
    <w:basedOn w:val="Normal"/>
    <w:next w:val="Normal"/>
    <w:qFormat/>
    <w:pPr>
      <w:keepNext/>
      <w:keepLines/>
      <w:numPr>
        <w:ilvl w:val="4"/>
        <w:numId w:val="5"/>
      </w:numPr>
      <w:spacing w:before="280" w:after="290" w:line="376" w:lineRule="atLeast"/>
      <w:outlineLvl w:val="4"/>
    </w:pPr>
    <w:rPr>
      <w:b/>
      <w:bCs/>
      <w:sz w:val="28"/>
      <w:szCs w:val="28"/>
    </w:rPr>
  </w:style>
  <w:style w:type="paragraph" w:styleId="Heading6">
    <w:name w:val="heading 6"/>
    <w:basedOn w:val="Normal"/>
    <w:next w:val="Normal"/>
    <w:qFormat/>
    <w:pPr>
      <w:keepNext/>
      <w:keepLines/>
      <w:numPr>
        <w:ilvl w:val="5"/>
        <w:numId w:val="6"/>
      </w:numPr>
      <w:spacing w:before="240" w:after="64" w:line="320" w:lineRule="atLeast"/>
      <w:outlineLvl w:val="5"/>
    </w:pPr>
    <w:rPr>
      <w:rFonts w:ascii="Arial" w:eastAsia="SimHei" w:hAnsi="Arial"/>
      <w:b/>
      <w:bCs/>
      <w:sz w:val="24"/>
    </w:rPr>
  </w:style>
  <w:style w:type="paragraph" w:styleId="Heading7">
    <w:name w:val="heading 7"/>
    <w:basedOn w:val="Normal"/>
    <w:next w:val="Normal"/>
    <w:qFormat/>
    <w:pPr>
      <w:keepNext/>
      <w:keepLines/>
      <w:numPr>
        <w:ilvl w:val="6"/>
        <w:numId w:val="7"/>
      </w:numPr>
      <w:spacing w:before="240" w:after="64" w:line="320" w:lineRule="atLeast"/>
      <w:outlineLvl w:val="6"/>
    </w:pPr>
    <w:rPr>
      <w:b/>
      <w:bCs/>
      <w:sz w:val="24"/>
    </w:rPr>
  </w:style>
  <w:style w:type="paragraph" w:styleId="Heading8">
    <w:name w:val="heading 8"/>
    <w:basedOn w:val="Normal"/>
    <w:next w:val="Normal"/>
    <w:qFormat/>
    <w:pPr>
      <w:keepNext/>
      <w:keepLines/>
      <w:numPr>
        <w:ilvl w:val="7"/>
        <w:numId w:val="8"/>
      </w:numPr>
      <w:spacing w:before="240" w:after="64" w:line="320" w:lineRule="atLeast"/>
      <w:outlineLvl w:val="7"/>
    </w:pPr>
    <w:rPr>
      <w:rFonts w:ascii="Arial" w:eastAsia="SimHei" w:hAnsi="Arial"/>
      <w:sz w:val="24"/>
    </w:rPr>
  </w:style>
  <w:style w:type="paragraph" w:styleId="Heading9">
    <w:name w:val="heading 9"/>
    <w:basedOn w:val="Normal"/>
    <w:next w:val="Normal"/>
    <w:qFormat/>
    <w:pPr>
      <w:keepNext/>
      <w:keepLines/>
      <w:numPr>
        <w:ilvl w:val="8"/>
        <w:numId w:val="9"/>
      </w:numPr>
      <w:spacing w:before="240" w:after="64" w:line="320" w:lineRule="atLeast"/>
      <w:outlineLvl w:val="8"/>
    </w:pPr>
    <w:rPr>
      <w:rFonts w:ascii="Arial" w:eastAsia="SimHei" w:hAnsi="Arial"/>
      <w:szCs w:val="21"/>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trPr>
      <w:hidden/>
    </w:trPr>
  </w:style>
  <w:style w:type="numbering" w:default="1" w:styleId="NoList">
    <w:name w:val="No List"/>
    <w:semiHidden/>
  </w:style>
  <w:style w:type="paragraph" w:customStyle="1" w:styleId="H1">
    <w:name w:val="_ H_1"/>
    <w:basedOn w:val="Normal"/>
    <w:next w:val="Normal"/>
    <w:pPr>
      <w:keepNext/>
      <w:keepLines/>
      <w:suppressAutoHyphens/>
      <w:outlineLvl w:val="0"/>
    </w:pPr>
    <w:rPr>
      <w:rFonts w:ascii="SimHei" w:eastAsia="SimHei"/>
      <w:color w:val="FF0000"/>
      <w:sz w:val="24"/>
    </w:rPr>
  </w:style>
  <w:style w:type="paragraph" w:customStyle="1" w:styleId="HCh">
    <w:name w:val="_ H _Ch"/>
    <w:basedOn w:val="H1"/>
    <w:next w:val="Normal"/>
    <w:pPr>
      <w:tabs>
        <w:tab w:val="left" w:pos="57"/>
      </w:tabs>
      <w:spacing w:line="400" w:lineRule="exact"/>
    </w:pPr>
    <w:rPr>
      <w:sz w:val="28"/>
    </w:rPr>
  </w:style>
  <w:style w:type="paragraph" w:customStyle="1" w:styleId="HM">
    <w:name w:val="_ H __M"/>
    <w:basedOn w:val="HCh"/>
    <w:next w:val="Normal"/>
    <w:rPr>
      <w:sz w:val="34"/>
    </w:rPr>
  </w:style>
  <w:style w:type="paragraph" w:customStyle="1" w:styleId="H23">
    <w:name w:val="_ H_2/3"/>
    <w:basedOn w:val="Normal"/>
    <w:next w:val="Normal"/>
    <w:pPr>
      <w:outlineLvl w:val="1"/>
    </w:pPr>
    <w:rPr>
      <w:rFonts w:ascii="SimHei" w:eastAsia="SimHei"/>
      <w:color w:val="FF0000"/>
      <w:spacing w:val="2"/>
    </w:rPr>
  </w:style>
  <w:style w:type="paragraph" w:customStyle="1" w:styleId="H4">
    <w:name w:val="_ H_4"/>
    <w:basedOn w:val="Normal"/>
    <w:next w:val="Normal"/>
    <w:pPr>
      <w:keepNext/>
      <w:keepLines/>
      <w:tabs>
        <w:tab w:val="left" w:pos="431"/>
      </w:tabs>
      <w:suppressAutoHyphens/>
      <w:outlineLvl w:val="3"/>
    </w:pPr>
    <w:rPr>
      <w:rFonts w:ascii="KaiTi_GB2312" w:eastAsia="KaiTi_GB2312"/>
      <w:noProof/>
      <w:color w:val="0000FF"/>
      <w:spacing w:val="3"/>
      <w:w w:val="103"/>
    </w:rPr>
  </w:style>
  <w:style w:type="paragraph" w:customStyle="1" w:styleId="H56">
    <w:name w:val="_ H_5/6"/>
    <w:basedOn w:val="Normal"/>
    <w:next w:val="Normal"/>
    <w:pPr>
      <w:keepNext/>
      <w:keepLines/>
      <w:tabs>
        <w:tab w:val="right" w:pos="360"/>
      </w:tabs>
      <w:suppressAutoHyphens/>
      <w:outlineLvl w:val="4"/>
    </w:pPr>
    <w:rPr>
      <w:noProof/>
      <w:spacing w:val="4"/>
      <w:w w:val="103"/>
    </w:rPr>
  </w:style>
  <w:style w:type="paragraph" w:customStyle="1" w:styleId="DualTxt">
    <w:name w:val="__Dual Txt"/>
    <w:basedOn w:val="Normal"/>
    <w:pPr>
      <w:tabs>
        <w:tab w:val="left" w:pos="432"/>
        <w:tab w:val="left" w:pos="864"/>
        <w:tab w:val="left" w:pos="1293"/>
        <w:tab w:val="left" w:pos="1724"/>
        <w:tab w:val="left" w:pos="2155"/>
        <w:tab w:val="left" w:pos="2586"/>
      </w:tabs>
      <w:spacing w:after="140"/>
      <w:jc w:val="both"/>
    </w:pPr>
  </w:style>
  <w:style w:type="paragraph" w:customStyle="1" w:styleId="SM">
    <w:name w:val="__S_M"/>
    <w:basedOn w:val="Normal"/>
    <w:next w:val="Normal"/>
    <w:pPr>
      <w:keepNext/>
      <w:keepLines/>
      <w:tabs>
        <w:tab w:val="right" w:leader="dot" w:pos="360"/>
      </w:tabs>
      <w:suppressAutoHyphens/>
      <w:spacing w:line="500" w:lineRule="exact"/>
      <w:ind w:left="1264" w:right="1264"/>
      <w:outlineLvl w:val="0"/>
    </w:pPr>
    <w:rPr>
      <w:rFonts w:ascii="SimHei" w:eastAsia="SimHei"/>
      <w:noProof/>
      <w:color w:val="FF0000"/>
      <w:spacing w:val="-4"/>
      <w:w w:val="98"/>
      <w:sz w:val="40"/>
    </w:rPr>
  </w:style>
  <w:style w:type="paragraph" w:customStyle="1" w:styleId="SL">
    <w:name w:val="__S_L"/>
    <w:basedOn w:val="SM"/>
    <w:next w:val="Normal"/>
    <w:pPr>
      <w:spacing w:line="640" w:lineRule="exact"/>
    </w:pPr>
    <w:rPr>
      <w:spacing w:val="-8"/>
      <w:w w:val="96"/>
      <w:sz w:val="57"/>
    </w:rPr>
  </w:style>
  <w:style w:type="paragraph" w:customStyle="1" w:styleId="SS">
    <w:name w:val="__S_S"/>
    <w:basedOn w:val="HCh"/>
    <w:next w:val="Normal"/>
    <w:pPr>
      <w:ind w:left="1264" w:right="1264"/>
    </w:pPr>
  </w:style>
  <w:style w:type="paragraph" w:customStyle="1" w:styleId="SingleTxt">
    <w:name w:val="__Single Txt"/>
    <w:basedOn w:val="Normal"/>
    <w:pPr>
      <w:tabs>
        <w:tab w:val="left" w:pos="1264"/>
        <w:tab w:val="left" w:pos="1695"/>
        <w:tab w:val="left" w:pos="2126"/>
        <w:tab w:val="left" w:pos="2557"/>
        <w:tab w:val="left" w:pos="2988"/>
        <w:tab w:val="left" w:pos="3419"/>
        <w:tab w:val="left" w:pos="3850"/>
        <w:tab w:val="left" w:pos="4281"/>
        <w:tab w:val="left" w:pos="4712"/>
        <w:tab w:val="left" w:pos="5143"/>
        <w:tab w:val="left" w:pos="5574"/>
        <w:tab w:val="left" w:pos="6005"/>
        <w:tab w:val="left" w:pos="6435"/>
      </w:tabs>
      <w:spacing w:after="140"/>
      <w:ind w:left="1264" w:right="1264"/>
      <w:jc w:val="both"/>
    </w:pPr>
  </w:style>
  <w:style w:type="paragraph" w:customStyle="1" w:styleId="Small">
    <w:name w:val="Small"/>
    <w:basedOn w:val="Normal"/>
    <w:next w:val="Normal"/>
    <w:pPr>
      <w:tabs>
        <w:tab w:val="right" w:pos="9965"/>
      </w:tabs>
      <w:spacing w:line="210" w:lineRule="exact"/>
    </w:pPr>
    <w:rPr>
      <w:noProof/>
      <w:spacing w:val="5"/>
      <w:w w:val="104"/>
      <w:sz w:val="17"/>
    </w:rPr>
  </w:style>
  <w:style w:type="paragraph" w:customStyle="1" w:styleId="SmallX">
    <w:name w:val="SmallX"/>
    <w:basedOn w:val="Small"/>
    <w:next w:val="Normal"/>
    <w:pPr>
      <w:spacing w:line="180" w:lineRule="exact"/>
      <w:jc w:val="right"/>
    </w:pPr>
    <w:rPr>
      <w:spacing w:val="6"/>
      <w:w w:val="106"/>
      <w:sz w:val="14"/>
    </w:rPr>
  </w:style>
  <w:style w:type="paragraph" w:customStyle="1" w:styleId="XLarge">
    <w:name w:val="XLarge"/>
    <w:basedOn w:val="HM"/>
    <w:pPr>
      <w:tabs>
        <w:tab w:val="right" w:leader="dot" w:pos="360"/>
      </w:tabs>
      <w:spacing w:line="390" w:lineRule="exact"/>
    </w:pPr>
    <w:rPr>
      <w:sz w:val="40"/>
    </w:rPr>
  </w:style>
  <w:style w:type="character" w:styleId="FootnoteReference">
    <w:name w:val="footnote reference"/>
    <w:semiHidden/>
    <w:rPr>
      <w:color w:val="FF00FF"/>
      <w:spacing w:val="0"/>
      <w:w w:val="150"/>
      <w:position w:val="0"/>
      <w:vertAlign w:val="superscript"/>
    </w:rPr>
  </w:style>
  <w:style w:type="character" w:styleId="EndnoteReference">
    <w:name w:val="endnote reference"/>
    <w:basedOn w:val="FootnoteReference"/>
    <w:semiHidden/>
    <w:rPr>
      <w:color w:val="FF00FF"/>
      <w:spacing w:val="0"/>
      <w:w w:val="150"/>
      <w:position w:val="0"/>
      <w:vertAlign w:val="superscript"/>
    </w:rPr>
  </w:style>
  <w:style w:type="paragraph" w:styleId="FootnoteText">
    <w:name w:val="footnote text"/>
    <w:basedOn w:val="Normal"/>
    <w:semiHidden/>
    <w:pPr>
      <w:tabs>
        <w:tab w:val="right" w:pos="418"/>
      </w:tabs>
      <w:spacing w:after="120" w:line="240" w:lineRule="exact"/>
      <w:ind w:left="170" w:hanging="170"/>
    </w:pPr>
    <w:rPr>
      <w:noProof/>
      <w:sz w:val="18"/>
    </w:rPr>
  </w:style>
  <w:style w:type="paragraph" w:styleId="EndnoteText">
    <w:name w:val="endnote text"/>
    <w:basedOn w:val="FootnoteText"/>
    <w:semiHidden/>
  </w:style>
  <w:style w:type="character" w:styleId="CommentReference">
    <w:name w:val="annotation reference"/>
    <w:semiHidden/>
    <w:rPr>
      <w:sz w:val="6"/>
    </w:rPr>
  </w:style>
  <w:style w:type="paragraph" w:styleId="PlainText">
    <w:name w:val="Plain Text"/>
    <w:basedOn w:val="Normal"/>
    <w:pPr>
      <w:tabs>
        <w:tab w:val="left" w:pos="431"/>
      </w:tabs>
      <w:spacing w:after="140"/>
    </w:pPr>
    <w:rPr>
      <w:rFonts w:hAnsi="Courier New" w:cs="Courier New"/>
      <w:szCs w:val="21"/>
    </w:rPr>
  </w:style>
  <w:style w:type="paragraph" w:styleId="NormalIndent">
    <w:name w:val="Normal Indent"/>
    <w:basedOn w:val="Normal"/>
    <w:pPr>
      <w:ind w:firstLine="431"/>
    </w:pPr>
  </w:style>
  <w:style w:type="paragraph" w:styleId="BodyText">
    <w:name w:val="Body Text"/>
    <w:basedOn w:val="Normal"/>
  </w:style>
  <w:style w:type="paragraph" w:styleId="BodyText2">
    <w:name w:val="Body Text 2"/>
    <w:basedOn w:val="Normal"/>
  </w:style>
  <w:style w:type="character" w:styleId="LineNumber">
    <w:name w:val="line number"/>
    <w:rPr>
      <w:sz w:val="14"/>
    </w:rPr>
  </w:style>
  <w:style w:type="paragraph" w:styleId="Header">
    <w:name w:val="header"/>
    <w:pPr>
      <w:tabs>
        <w:tab w:val="center" w:pos="4320"/>
        <w:tab w:val="right" w:pos="8640"/>
      </w:tabs>
    </w:pPr>
    <w:rPr>
      <w:noProof/>
      <w:sz w:val="18"/>
      <w:lang w:val="en-US" w:eastAsia="zh-CN"/>
    </w:rPr>
  </w:style>
  <w:style w:type="paragraph" w:styleId="Footer">
    <w:name w:val="footer"/>
    <w:pPr>
      <w:tabs>
        <w:tab w:val="center" w:pos="4320"/>
        <w:tab w:val="right" w:pos="8640"/>
      </w:tabs>
    </w:pPr>
    <w:rPr>
      <w:b/>
      <w:noProof/>
      <w:sz w:val="17"/>
      <w:lang w:val="en-US" w:eastAsia="zh-CN"/>
    </w:rPr>
  </w:style>
  <w:style w:type="paragraph" w:styleId="CommentText">
    <w:name w:val="annotation text"/>
    <w:basedOn w:val="Normal"/>
    <w:semiHidden/>
  </w:style>
  <w:style w:type="paragraph" w:customStyle="1" w:styleId="BalloonText1">
    <w:name w:val="Balloon Text1"/>
    <w:basedOn w:val="Normal"/>
    <w:semiHidden/>
    <w:rPr>
      <w:sz w:val="16"/>
      <w:szCs w:val="16"/>
    </w:rPr>
  </w:style>
  <w:style w:type="paragraph" w:customStyle="1" w:styleId="4">
    <w:name w:val="样式4"/>
    <w:basedOn w:val="Normal"/>
    <w:pPr>
      <w:widowControl w:val="0"/>
      <w:spacing w:line="240" w:lineRule="auto"/>
      <w:ind w:leftChars="600" w:left="600" w:rightChars="600" w:right="600" w:firstLineChars="200" w:firstLine="200"/>
      <w:jc w:val="both"/>
    </w:pPr>
    <w:rPr>
      <w:rFonts w:ascii="Bookman Old Style" w:eastAsia="FangSong_GB2312" w:hAnsi="Bookman Old Style"/>
      <w:kern w:val="2"/>
      <w:szCs w:val="21"/>
      <w:lang w:val="es-ES"/>
    </w:rPr>
  </w:style>
  <w:style w:type="paragraph" w:customStyle="1" w:styleId="2111">
    <w:name w:val="样式 正文2 + 段前: 1 行 段后: 1 行1"/>
    <w:basedOn w:val="2"/>
    <w:pPr>
      <w:numPr>
        <w:ilvl w:val="1"/>
        <w:numId w:val="10"/>
      </w:numPr>
      <w:spacing w:before="436" w:after="436"/>
    </w:pPr>
    <w:rPr>
      <w:szCs w:val="20"/>
    </w:rPr>
  </w:style>
  <w:style w:type="paragraph" w:customStyle="1" w:styleId="2">
    <w:name w:val="正文2"/>
    <w:basedOn w:val="Normal"/>
    <w:pPr>
      <w:widowControl w:val="0"/>
      <w:spacing w:beforeLines="100" w:before="100" w:afterLines="100" w:after="100" w:line="240" w:lineRule="auto"/>
      <w:jc w:val="both"/>
    </w:pPr>
    <w:rPr>
      <w:rFonts w:ascii="Times New Roman"/>
      <w:kern w:val="2"/>
      <w:szCs w:val="21"/>
    </w:rPr>
  </w:style>
  <w:style w:type="paragraph" w:customStyle="1" w:styleId="211111">
    <w:name w:val="样式 样式 正文2 + 段前: 1 行 段后: 1 行1 + 段前: 1 行 段后: 1 行"/>
    <w:basedOn w:val="2111"/>
    <w:pPr>
      <w:numPr>
        <w:ilvl w:val="0"/>
        <w:numId w:val="0"/>
      </w:numPr>
      <w:spacing w:beforeLines="50" w:before="50" w:afterLines="50" w:after="50"/>
    </w:pPr>
    <w:rPr>
      <w:rFonts w:ascii="Book Antiqua" w:eastAsia="KaiTi_GB2312" w:hAnsi="Book Antiqua"/>
      <w:szCs w:val="21"/>
    </w:rPr>
  </w:style>
  <w:style w:type="paragraph" w:styleId="BlockText">
    <w:name w:val="Block Text"/>
    <w:basedOn w:val="Normal"/>
    <w:pPr>
      <w:spacing w:before="60" w:after="120" w:line="240" w:lineRule="auto"/>
      <w:ind w:left="1264" w:right="1264"/>
      <w:jc w:val="both"/>
    </w:pPr>
    <w:rPr>
      <w:snapToGrid w:val="0"/>
      <w:w w:val="104"/>
      <w:sz w:val="18"/>
    </w:rPr>
  </w:style>
  <w:style w:type="paragraph" w:styleId="BalloonText">
    <w:name w:val="Balloon Text"/>
    <w:basedOn w:val="Normal"/>
    <w:semiHidden/>
    <w:rPr>
      <w:sz w:val="18"/>
      <w:szCs w:val="18"/>
    </w:rPr>
  </w:style>
  <w:style w:type="paragraph" w:styleId="BodyText3">
    <w:name w:val="Body Text 3"/>
    <w:basedOn w:val="Normal"/>
    <w:rsid w:val="00C47870"/>
    <w:pPr>
      <w:spacing w:after="120"/>
    </w:pPr>
    <w:rPr>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comments" Target="comments.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fontTable" Target="fontTable.xml"/></Relationships>
</file>

<file path=word/_rels/header3.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2</TotalTime>
  <Pages>1</Pages>
  <Words>1273</Words>
  <Characters>7258</Characters>
  <Application>Microsoft Office Word</Application>
  <DocSecurity>4</DocSecurity>
  <Lines>60</Lines>
  <Paragraphs>17</Paragraphs>
  <ScaleCrop>false</ScaleCrop>
  <Company>ctpc</Company>
  <LinksUpToDate>false</LinksUpToDate>
  <CharactersWithSpaces>8514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联合国</dc:title>
  <dc:subject/>
  <dc:creator>ctpc</dc:creator>
  <cp:keywords/>
  <cp:lastModifiedBy>CTPU User</cp:lastModifiedBy>
  <cp:revision>8</cp:revision>
  <cp:lastPrinted>2008-03-12T12:00:00Z</cp:lastPrinted>
  <dcterms:created xsi:type="dcterms:W3CDTF">2009-07-10T11:47:00Z</dcterms:created>
  <dcterms:modified xsi:type="dcterms:W3CDTF">2009-07-10T11:53:00Z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ymbol2">
    <vt:lpwstr/>
  </property>
  <property fmtid="{D5CDD505-2E9C-101B-9397-08002B2CF9AE}" pid="3" name="Translator">
    <vt:lpwstr/>
  </property>
  <property fmtid="{D5CDD505-2E9C-101B-9397-08002B2CF9AE}" pid="4" name="Operator">
    <vt:lpwstr>DLF</vt:lpwstr>
  </property>
  <property fmtid="{D5CDD505-2E9C-101B-9397-08002B2CF9AE}" pid="5" name="DraftPages">
    <vt:lpwstr> </vt:lpwstr>
  </property>
  <property fmtid="{D5CDD505-2E9C-101B-9397-08002B2CF9AE}" pid="6" name="Comment">
    <vt:lpwstr/>
  </property>
  <property fmtid="{D5CDD505-2E9C-101B-9397-08002B2CF9AE}" pid="7" name="JobNo">
    <vt:lpwstr>0931337C</vt:lpwstr>
  </property>
  <property fmtid="{D5CDD505-2E9C-101B-9397-08002B2CF9AE}" pid="8" name="Symbol1">
    <vt:lpwstr>CEDAW/C/SR.884</vt:lpwstr>
  </property>
  <property fmtid="{D5CDD505-2E9C-101B-9397-08002B2CF9AE}" pid="9" name="sss1">
    <vt:lpwstr>CEDAW/C/SR.884</vt:lpwstr>
  </property>
</Properties>
</file>