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0000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jc w:val="right"/>
              <w:rPr>
                <w:sz w:val="2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CAT</w:t>
            </w:r>
            <w:r>
              <w:rPr>
                <w:sz w:val="20"/>
                <w:lang w:val="en-US"/>
              </w:rPr>
              <w:t>/</w:t>
            </w:r>
            <w:r>
              <w:rPr>
                <w:sz w:val="20"/>
                <w:lang w:val="en-US"/>
              </w:rPr>
              <w:fldChar w:fldCharType="begin"/>
            </w:r>
            <w:r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>
              <w:rPr>
                <w:sz w:val="20"/>
                <w:lang w:val="en-US"/>
              </w:rPr>
              <w:fldChar w:fldCharType="separate"/>
            </w:r>
            <w:r>
              <w:rPr>
                <w:sz w:val="20"/>
                <w:lang w:val="en-US"/>
              </w:rPr>
              <w:t>C/FRA/Q/4-6</w:t>
            </w:r>
            <w:r>
              <w:rPr>
                <w:sz w:val="20"/>
                <w:lang w:val="en-US"/>
              </w:rPr>
              <w:fldChar w:fldCharType="end"/>
            </w:r>
          </w:p>
        </w:tc>
      </w:tr>
      <w:tr w:rsidR="0000000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240" w:after="0"/>
              <w:rPr>
                <w:sz w:val="20"/>
              </w:rPr>
            </w:pPr>
            <w:r>
              <w:rPr>
                <w:sz w:val="20"/>
                <w:lang w:val="en-US"/>
              </w:rPr>
              <w:t>Distr</w:t>
            </w:r>
            <w:r>
              <w:rPr>
                <w:sz w:val="20"/>
              </w:rPr>
              <w:t xml:space="preserve">.: </w:t>
            </w:r>
            <w:bookmarkStart w:id="0" w:name="ПолеСоСписком1"/>
            <w:r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sz w:val="20"/>
              </w:rPr>
              <w:instrText xml:space="preserve"> </w:instrText>
            </w:r>
            <w:r>
              <w:rPr>
                <w:sz w:val="20"/>
                <w:lang w:val="en-US"/>
              </w:rPr>
              <w:instrText>FORMDROPDOWN</w:instrText>
            </w:r>
            <w:r>
              <w:rPr>
                <w:sz w:val="20"/>
              </w:rPr>
              <w:instrText xml:space="preserve"> </w:instrText>
            </w:r>
            <w:r>
              <w:rPr>
                <w:sz w:val="20"/>
                <w:lang w:val="en-US"/>
              </w:rPr>
            </w:r>
            <w:r>
              <w:rPr>
                <w:sz w:val="20"/>
                <w:lang w:val="en-US"/>
              </w:rPr>
              <w:fldChar w:fldCharType="end"/>
            </w:r>
            <w:bookmarkEnd w:id="0"/>
          </w:p>
          <w:p w:rsidR="00000000" w:rsidRDefault="00000000">
            <w:pPr>
              <w:spacing w:before="0" w:after="0"/>
              <w:rPr>
                <w:sz w:val="20"/>
              </w:rPr>
            </w:pPr>
            <w:r>
              <w:rPr>
                <w:sz w:val="20"/>
                <w:lang w:val="en-US"/>
              </w:rPr>
              <w:fldChar w:fldCharType="begin"/>
            </w:r>
            <w:r>
              <w:rPr>
                <w:sz w:val="20"/>
              </w:rPr>
              <w:instrText xml:space="preserve"> </w:instrText>
            </w:r>
            <w:r>
              <w:rPr>
                <w:sz w:val="20"/>
                <w:lang w:val="en-US"/>
              </w:rPr>
              <w:instrText>FILLIN</w:instrText>
            </w:r>
            <w:r>
              <w:rPr>
                <w:sz w:val="20"/>
              </w:rPr>
              <w:instrText xml:space="preserve">  "Введите дату документа" \* </w:instrText>
            </w:r>
            <w:r>
              <w:rPr>
                <w:sz w:val="20"/>
                <w:lang w:val="en-US"/>
              </w:rPr>
              <w:instrText>MERGEFORMAT</w:instrText>
            </w:r>
            <w:r>
              <w:rPr>
                <w:sz w:val="20"/>
              </w:rPr>
              <w:instrText xml:space="preserve"> </w:instrText>
            </w:r>
            <w:r>
              <w:rPr>
                <w:sz w:val="20"/>
                <w:lang w:val="en-US"/>
              </w:rPr>
              <w:fldChar w:fldCharType="separate"/>
            </w:r>
            <w:r>
              <w:rPr>
                <w:sz w:val="20"/>
                <w:lang w:val="en-US"/>
              </w:rPr>
              <w:t>18 January 2010</w:t>
            </w:r>
            <w:r>
              <w:rPr>
                <w:sz w:val="20"/>
                <w:lang w:val="en-US"/>
              </w:rPr>
              <w:fldChar w:fldCharType="end"/>
            </w:r>
          </w:p>
          <w:p w:rsidR="00000000" w:rsidRDefault="00000000">
            <w:pPr>
              <w:spacing w:before="0" w:after="0"/>
              <w:rPr>
                <w:sz w:val="20"/>
              </w:rPr>
            </w:pPr>
            <w:r>
              <w:rPr>
                <w:sz w:val="20"/>
                <w:lang w:val="en-US"/>
              </w:rPr>
              <w:t>Russian</w:t>
            </w:r>
          </w:p>
          <w:p w:rsidR="00000000" w:rsidRDefault="00000000">
            <w:pPr>
              <w:spacing w:before="0" w:after="0"/>
              <w:rPr>
                <w:sz w:val="20"/>
              </w:rPr>
            </w:pPr>
            <w:r>
              <w:rPr>
                <w:sz w:val="20"/>
                <w:lang w:val="en-US"/>
              </w:rPr>
              <w:t>Original</w:t>
            </w:r>
            <w:r>
              <w:rPr>
                <w:sz w:val="20"/>
              </w:rPr>
              <w:t xml:space="preserve">: </w:t>
            </w:r>
            <w:bookmarkStart w:id="1" w:name="ПолеСоСписком2"/>
            <w:r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sz w:val="20"/>
              </w:rPr>
              <w:instrText xml:space="preserve"> </w:instrText>
            </w:r>
            <w:r>
              <w:rPr>
                <w:sz w:val="20"/>
                <w:lang w:val="en-US"/>
              </w:rPr>
              <w:instrText>FORMDROPDOWN</w:instrText>
            </w:r>
            <w:r>
              <w:rPr>
                <w:sz w:val="20"/>
              </w:rPr>
              <w:instrText xml:space="preserve"> </w:instrText>
            </w:r>
            <w:r>
              <w:rPr>
                <w:sz w:val="20"/>
                <w:lang w:val="en-US"/>
              </w:rPr>
            </w:r>
            <w:r>
              <w:rPr>
                <w:sz w:val="20"/>
                <w:lang w:val="en-US"/>
              </w:rPr>
              <w:fldChar w:fldCharType="end"/>
            </w:r>
            <w:bookmarkEnd w:id="1"/>
          </w:p>
          <w:p w:rsidR="00000000" w:rsidRDefault="00000000"/>
        </w:tc>
      </w:tr>
    </w:tbl>
    <w:p w:rsidR="00000000" w:rsidRDefault="00000000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Комитет против пыток</w:t>
      </w:r>
    </w:p>
    <w:p w:rsidR="00000000" w:rsidRDefault="00000000">
      <w:pPr>
        <w:rPr>
          <w:b/>
        </w:rPr>
      </w:pPr>
      <w:r>
        <w:rPr>
          <w:b/>
        </w:rPr>
        <w:t>Сорок четвертая сессия</w:t>
      </w:r>
    </w:p>
    <w:p w:rsidR="00000000" w:rsidRDefault="00000000">
      <w:r>
        <w:t>26 апреля − 14 мая 2010 года</w:t>
      </w:r>
    </w:p>
    <w:p w:rsidR="00000000" w:rsidRDefault="00000000">
      <w:pPr>
        <w:pStyle w:val="HChGR"/>
      </w:pPr>
      <w:r>
        <w:tab/>
      </w:r>
      <w:r>
        <w:tab/>
        <w:t>Перечень вопросов, которые надлежит затронуть в связи с рассмотрением периодических докладов, представленных государствами-участниками</w:t>
      </w:r>
    </w:p>
    <w:p w:rsidR="00000000" w:rsidRDefault="00000000">
      <w:pPr>
        <w:pStyle w:val="HChGR"/>
      </w:pPr>
      <w:r>
        <w:tab/>
      </w:r>
      <w:r>
        <w:tab/>
        <w:t>Четвертый-шестой периодические доклады Франции (CAT/C/FRA/4-6)</w:t>
      </w:r>
      <w:r>
        <w:footnoteReference w:customMarkFollows="1" w:id="1"/>
        <w:t xml:space="preserve">* </w:t>
      </w:r>
    </w:p>
    <w:p w:rsidR="00000000" w:rsidRDefault="00000000">
      <w:pPr>
        <w:pStyle w:val="H1GR"/>
      </w:pPr>
      <w:r>
        <w:tab/>
      </w:r>
      <w:r>
        <w:tab/>
        <w:t>Статьи 1 и 4</w:t>
      </w:r>
    </w:p>
    <w:p w:rsidR="00000000" w:rsidRDefault="00000000">
      <w:pPr>
        <w:pStyle w:val="SingleTxtGR"/>
      </w:pPr>
      <w:r>
        <w:t>1.</w:t>
      </w:r>
      <w:r>
        <w:tab/>
        <w:t>Принимая к сведению информацию, содержащуюся в пунктах 6−10 п</w:t>
      </w:r>
      <w:r>
        <w:t>е</w:t>
      </w:r>
      <w:r>
        <w:t>риодического доклада государства-участника, Комитет вновь обращает вним</w:t>
      </w:r>
      <w:r>
        <w:t>а</w:t>
      </w:r>
      <w:r>
        <w:t>ние на свою рекомендацию, включенную в пункт 5 своих предыдущих закл</w:t>
      </w:r>
      <w:r>
        <w:t>ю</w:t>
      </w:r>
      <w:r>
        <w:t>чительных замечаний (CAT/C/FRA/СО/3), в отношении включения в уголовное законодательство государства-участника определения пытки в строгом соотве</w:t>
      </w:r>
      <w:r>
        <w:t>т</w:t>
      </w:r>
      <w:r>
        <w:t>ствии со статьей 1 Конвенции, в котором проводится разграничение между а</w:t>
      </w:r>
      <w:r>
        <w:t>к</w:t>
      </w:r>
      <w:r>
        <w:t>тами пыток, совершаемых государственным должностным лицом или иным л</w:t>
      </w:r>
      <w:r>
        <w:t>и</w:t>
      </w:r>
      <w:r>
        <w:t>цом, выступающим в официальном качестве, или по их подстрекательству, или с их ведома и молчаливого согласия, и актами насилия в широком смысле, с</w:t>
      </w:r>
      <w:r>
        <w:t>о</w:t>
      </w:r>
      <w:r>
        <w:t>вершаемыми н</w:t>
      </w:r>
      <w:r>
        <w:t>е</w:t>
      </w:r>
      <w:r>
        <w:t>государственными субъектами.</w:t>
      </w:r>
    </w:p>
    <w:p w:rsidR="00000000" w:rsidRDefault="00000000">
      <w:pPr>
        <w:pStyle w:val="SingleTxtGR"/>
      </w:pPr>
      <w:r>
        <w:t>2.</w:t>
      </w:r>
      <w:r>
        <w:tab/>
        <w:t>На основе информации, представленной в пункте 10 доклада государства-участника, и в свете предыдущих заключительных замечаний Комитета (в пе</w:t>
      </w:r>
      <w:r>
        <w:t>р</w:t>
      </w:r>
      <w:r>
        <w:t>вую очередь рекомендации, включенной в пункт 5) и его замечания общего п</w:t>
      </w:r>
      <w:r>
        <w:t>о</w:t>
      </w:r>
      <w:r>
        <w:t>рядка № 2 (2007 год) об имплементации статьи 2 государствами-участниками, Комитет хотел бы получить информацию о последующих мерах, принятых в связи с его рекомендацией об отнесении пытки к разряду преступлений, к кот</w:t>
      </w:r>
      <w:r>
        <w:t>о</w:t>
      </w:r>
      <w:r>
        <w:t>рым не применяется срок давности, и о препятствиях на пути ее реализации.</w:t>
      </w:r>
    </w:p>
    <w:p w:rsidR="00000000" w:rsidRDefault="00000000">
      <w:pPr>
        <w:pStyle w:val="H1GR"/>
      </w:pPr>
      <w:r>
        <w:tab/>
      </w:r>
      <w:r>
        <w:tab/>
        <w:t>Статья 2</w:t>
      </w:r>
    </w:p>
    <w:p w:rsidR="00000000" w:rsidRDefault="00000000">
      <w:pPr>
        <w:pStyle w:val="SingleTxtGR"/>
      </w:pPr>
      <w:r>
        <w:t>3.</w:t>
      </w:r>
      <w:r>
        <w:tab/>
        <w:t>В отношении аудиовизуальной записи при задержаниях совершенноле</w:t>
      </w:r>
      <w:r>
        <w:t>т</w:t>
      </w:r>
      <w:r>
        <w:t>них лиц (пункт 69) просьба указать, все ли отделения полиции, где могут с</w:t>
      </w:r>
      <w:r>
        <w:t>о</w:t>
      </w:r>
      <w:r>
        <w:t>держаться задержанные лица, оборудованы видеокамерами, или намерено ли государство-участник принять для этого соответствующие меры. В случае н</w:t>
      </w:r>
      <w:r>
        <w:t>а</w:t>
      </w:r>
      <w:r>
        <w:t>личия соответствующих планов указать сроки установки такого оборудования. В отношении тех помещ</w:t>
      </w:r>
      <w:r>
        <w:t>е</w:t>
      </w:r>
      <w:r>
        <w:t>ний, где такие видеокамеры установлены, просьба указать меры, принятые для обеспечения их надл</w:t>
      </w:r>
      <w:r>
        <w:t>е</w:t>
      </w:r>
      <w:r>
        <w:t>жащего функционирования и наличия видеозаписей в случае поступления жалоб по поводу жестокого обр</w:t>
      </w:r>
      <w:r>
        <w:t>а</w:t>
      </w:r>
      <w:r>
        <w:t>щения со стороны сотрудников полиции. Просьба также указать допустимые исключения из принципа обязательного осуществления аудио- и видеозаписи (пункт 71) и юридические основания для этих исключений. Просьба указать меры, принимаемые в таких случаях для защиты задержанных лиц от возмо</w:t>
      </w:r>
      <w:r>
        <w:t>ж</w:t>
      </w:r>
      <w:r>
        <w:t>ного применения пыток или унижающего достоинство обращения.</w:t>
      </w:r>
    </w:p>
    <w:p w:rsidR="00000000" w:rsidRDefault="00000000">
      <w:pPr>
        <w:pStyle w:val="SingleTxtGR"/>
      </w:pPr>
      <w:r>
        <w:t>4.</w:t>
      </w:r>
      <w:r>
        <w:tab/>
        <w:t>В своих предыдущих заключительных замечаниях (</w:t>
      </w:r>
      <w:r>
        <w:rPr>
          <w:lang w:val="en-US"/>
        </w:rPr>
        <w:t>CCPR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FRA</w:t>
      </w:r>
      <w:r>
        <w:t>/</w:t>
      </w:r>
      <w:r>
        <w:rPr>
          <w:lang w:val="en-US"/>
        </w:rPr>
        <w:t>CO</w:t>
      </w:r>
      <w:r>
        <w:t>/4, пункт 19) Комитет по правам человека рекомендовал государству-участнику проявлять нетерпимость к жестокому обращению, совершаемому сотрудниками правоприменительных органов в отношении иностранных граждан, включая просителей убежища, которые содержатся под стражей в тюрьмах и в центрах административного задержания, а также создать адекватные системы для мон</w:t>
      </w:r>
      <w:r>
        <w:t>и</w:t>
      </w:r>
      <w:r>
        <w:t>торинга и пресечения злоупотреблений и принять меры, направленные на дал</w:t>
      </w:r>
      <w:r>
        <w:t>ь</w:t>
      </w:r>
      <w:r>
        <w:t>нейшее расширение учебно-образовательных возможностей для сотрудников правоприменительных органов. Просьба указать, какие меры были приняты для выполнения этой рекомендации. Просьба также указать, существует ли сист</w:t>
      </w:r>
      <w:r>
        <w:t>е</w:t>
      </w:r>
      <w:r>
        <w:t>матическая практика составления протокола медицинского освидетельствов</w:t>
      </w:r>
      <w:r>
        <w:t>а</w:t>
      </w:r>
      <w:r>
        <w:t>ния задержанных лиц, получивших травмы во время или после задержания. Просьба также представить информацию о мерах, принятых для обеспечения того, чтобы в связи с заявлениями о жестоком обращении со стороны сотрудн</w:t>
      </w:r>
      <w:r>
        <w:t>и</w:t>
      </w:r>
      <w:r>
        <w:t>ков правоприменительных органов проводились незамедлительные, беспр</w:t>
      </w:r>
      <w:r>
        <w:t>и</w:t>
      </w:r>
      <w:r>
        <w:t>страстные и эффективные расследования и чтобы виновные привлекались к о</w:t>
      </w:r>
      <w:r>
        <w:t>т</w:t>
      </w:r>
      <w:r>
        <w:t>ветственности и подвергались соответству</w:t>
      </w:r>
      <w:r>
        <w:t>ю</w:t>
      </w:r>
      <w:r>
        <w:t>щим наказаниям.</w:t>
      </w:r>
    </w:p>
    <w:p w:rsidR="00000000" w:rsidRDefault="00000000">
      <w:pPr>
        <w:pStyle w:val="SingleTxtGR"/>
      </w:pPr>
      <w:r>
        <w:t>5.</w:t>
      </w:r>
      <w:r>
        <w:tab/>
        <w:t>С момента вступления в силу закона № 2006-64 от 23 января 2006 года срок задержания по подозрению в причастности к терроризму может соста</w:t>
      </w:r>
      <w:r>
        <w:t>в</w:t>
      </w:r>
      <w:r>
        <w:t>лять шести суток (продление на 24 часа установленного до этого срока, соста</w:t>
      </w:r>
      <w:r>
        <w:t>в</w:t>
      </w:r>
      <w:r>
        <w:t>лявшего 96 часов, с возможностью единоразового продления на такой же срок), е</w:t>
      </w:r>
      <w:r>
        <w:t>с</w:t>
      </w:r>
      <w:r>
        <w:t>ли существует серьезный риск совершения террористического акта или если того настоятельно требуют интересы международного сотрудничества. Просьба указать, сколько раз применялась эта практика. Просьба также представить и</w:t>
      </w:r>
      <w:r>
        <w:t>н</w:t>
      </w:r>
      <w:r>
        <w:t>формацию о мерах, принятых государством-участником для обеспечения таким подозреваемым основных юридических гарантий, и в частности права о</w:t>
      </w:r>
      <w:r>
        <w:t>б</w:t>
      </w:r>
      <w:r>
        <w:t xml:space="preserve">щаться с адвокатом. </w:t>
      </w:r>
    </w:p>
    <w:p w:rsidR="00000000" w:rsidRDefault="00000000">
      <w:pPr>
        <w:pStyle w:val="SingleTxtGR"/>
      </w:pPr>
      <w:r>
        <w:t>6.</w:t>
      </w:r>
      <w:r>
        <w:tab/>
        <w:t>Просьба указать меры, принятые государством-участником для устран</w:t>
      </w:r>
      <w:r>
        <w:t>е</w:t>
      </w:r>
      <w:r>
        <w:t>ния озабоченности по поводу закона о "превентивном задержании", который позволяет задерживать лиц, осужденных по определенным статьям, после того как они отбудут срок лишения свободы, причем срок задержания, равный одн</w:t>
      </w:r>
      <w:r>
        <w:t>о</w:t>
      </w:r>
      <w:r>
        <w:t>му году, допускается продлевать неограниченное число раз, если соответс</w:t>
      </w:r>
      <w:r>
        <w:t>т</w:t>
      </w:r>
      <w:r>
        <w:t>вующие лица, по мнению властей, представляют опасность и с большой долей вероятности могут вернуться к совершению преступлений.</w:t>
      </w:r>
    </w:p>
    <w:p w:rsidR="00000000" w:rsidRDefault="00000000">
      <w:pPr>
        <w:pStyle w:val="SingleTxtGR"/>
      </w:pPr>
      <w:r>
        <w:br w:type="page"/>
        <w:t>7.</w:t>
      </w:r>
      <w:r>
        <w:tab/>
        <w:t xml:space="preserve">Просьба: </w:t>
      </w:r>
    </w:p>
    <w:p w:rsidR="00000000" w:rsidRDefault="00000000">
      <w:pPr>
        <w:pStyle w:val="SingleTxtGR"/>
      </w:pPr>
      <w:r>
        <w:tab/>
        <w:t>а)</w:t>
      </w:r>
      <w:r>
        <w:tab/>
        <w:t>представить подробную и обновленную информацию о применении электрошоковых пистолетов ("тазеров") в государстве-участнике, в том числе о законодательных и нормативных положениях, регламентирующих порядок их применения;</w:t>
      </w:r>
    </w:p>
    <w:p w:rsidR="00000000" w:rsidRDefault="00000000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уточнить, какие правоприменительные структуры уполномочены прим</w:t>
      </w:r>
      <w:r>
        <w:t>е</w:t>
      </w:r>
      <w:r>
        <w:t xml:space="preserve">нять их и в каких ситуациях; </w:t>
      </w:r>
    </w:p>
    <w:p w:rsidR="00000000" w:rsidRDefault="00000000">
      <w:pPr>
        <w:pStyle w:val="SingleTxtGR"/>
      </w:pPr>
      <w:r>
        <w:tab/>
        <w:t>с)</w:t>
      </w:r>
      <w:r>
        <w:tab/>
        <w:t>указать, предусмотрено ли обучение процедурам применения эле</w:t>
      </w:r>
      <w:r>
        <w:t>к</w:t>
      </w:r>
      <w:r>
        <w:t>трош</w:t>
      </w:r>
      <w:r>
        <w:t>о</w:t>
      </w:r>
      <w:r>
        <w:t>ковых пистолетов для сотрудников правоприменительных структур, уполномоченных применять эти устройства, и если да, то представить соотве</w:t>
      </w:r>
      <w:r>
        <w:t>т</w:t>
      </w:r>
      <w:r>
        <w:t>ствующую информацию;</w:t>
      </w:r>
    </w:p>
    <w:p w:rsidR="00000000" w:rsidRDefault="00000000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>указать, проводились ли во Франции исследования по изучению последствий применения электрошоковых пистолетов против людей, и если да, то представить информацию о полученных результатах; и</w:t>
      </w:r>
    </w:p>
    <w:p w:rsidR="00000000" w:rsidRDefault="00000000">
      <w:pPr>
        <w:pStyle w:val="SingleTxtGR"/>
      </w:pPr>
      <w:r>
        <w:tab/>
        <w:t>е)</w:t>
      </w:r>
      <w:r>
        <w:tab/>
        <w:t>указать, имеется ли в системе Национальной полиции механизм для сбора информации по каждому случаю применения электрошокового пи</w:t>
      </w:r>
      <w:r>
        <w:t>с</w:t>
      </w:r>
      <w:r>
        <w:t>толета, аналогичный тому, какой создан в Национальной жандармерии. В этом контексте просьба представить подробную информацию о постановлении Гос</w:t>
      </w:r>
      <w:r>
        <w:t>у</w:t>
      </w:r>
      <w:r>
        <w:t>дарственного совета от 2 сентября 2009 года, касающемся отмены декрета, санкционирующего применение "тазеров" служащими муниципальной пол</w:t>
      </w:r>
      <w:r>
        <w:t>и</w:t>
      </w:r>
      <w:r>
        <w:t>ции, и о м</w:t>
      </w:r>
      <w:r>
        <w:t>е</w:t>
      </w:r>
      <w:r>
        <w:t>рах, принятых во исполнение этого постановления.</w:t>
      </w:r>
    </w:p>
    <w:p w:rsidR="00000000" w:rsidRDefault="00000000">
      <w:pPr>
        <w:pStyle w:val="H1GR"/>
      </w:pPr>
      <w:r>
        <w:tab/>
      </w:r>
      <w:r>
        <w:tab/>
        <w:t>Статья 3</w:t>
      </w:r>
    </w:p>
    <w:p w:rsidR="00000000" w:rsidRDefault="00000000">
      <w:pPr>
        <w:pStyle w:val="SingleTxtGR"/>
      </w:pPr>
      <w:r>
        <w:t>8.</w:t>
      </w:r>
      <w:r>
        <w:tab/>
        <w:t>Просьба указать меры, принятые государством-участником за период, о</w:t>
      </w:r>
      <w:r>
        <w:t>х</w:t>
      </w:r>
      <w:r>
        <w:t>ватываемый его периодическим докладом, для предотвращения того, чтобы л</w:t>
      </w:r>
      <w:r>
        <w:t>ю</w:t>
      </w:r>
      <w:r>
        <w:t>бое лицо, которое может подвергнуться пыткам в случае его передачи в третье государство, не было выслано. В этом контексте просьба указать, интегриров</w:t>
      </w:r>
      <w:r>
        <w:t>а</w:t>
      </w:r>
      <w:r>
        <w:t>ло ли государство-участник в свою национальную правовую систему рамочное решение Совета Европейского союза от 13 июня 2002 года, касающееся евр</w:t>
      </w:r>
      <w:r>
        <w:t>о</w:t>
      </w:r>
      <w:r>
        <w:t>пейского постановления об аресте и процедур передачи лиц между государс</w:t>
      </w:r>
      <w:r>
        <w:t>т</w:t>
      </w:r>
      <w:r>
        <w:t>вами-членами и закрепляющее это обязательство. Если этого не было сделано, просьба указать причины. Просьба также указать меры, принятые для обесп</w:t>
      </w:r>
      <w:r>
        <w:t>е</w:t>
      </w:r>
      <w:r>
        <w:t>чения того, чтобы соответствующие лица имели право обжаловать решение о высылке с приост</w:t>
      </w:r>
      <w:r>
        <w:t>а</w:t>
      </w:r>
      <w:r>
        <w:t>новлением его исполнения.</w:t>
      </w:r>
    </w:p>
    <w:p w:rsidR="00000000" w:rsidRDefault="00000000">
      <w:pPr>
        <w:pStyle w:val="SingleTxtGR"/>
      </w:pPr>
      <w:r>
        <w:t>9.</w:t>
      </w:r>
      <w:r>
        <w:tab/>
        <w:t>Просьба указать, приняты ли эффективные меры для обеспечения посл</w:t>
      </w:r>
      <w:r>
        <w:t>е</w:t>
      </w:r>
      <w:r>
        <w:t>дующего наблюдения за положением высланных лиц. Просьба привести прим</w:t>
      </w:r>
      <w:r>
        <w:t>е</w:t>
      </w:r>
      <w:r>
        <w:t>ры случаев, когда французские власти отказывались от экстрадиции, принуд</w:t>
      </w:r>
      <w:r>
        <w:t>и</w:t>
      </w:r>
      <w:r>
        <w:t>тельного возвращения или высылки из опасений того, что соответствующие лица могут подвергнуться пыткам, и указать, на основе какой информации б</w:t>
      </w:r>
      <w:r>
        <w:t>ы</w:t>
      </w:r>
      <w:r>
        <w:t>ли приняты эти решения. Просьба также указать страны, представлявшие гос</w:t>
      </w:r>
      <w:r>
        <w:t>у</w:t>
      </w:r>
      <w:r>
        <w:t>дарству-участнику ходатайства о выдаче в порядке применения статьи 3, если таковые имели место. Просьба указать, кроме того, направляло ли государство участник такие ходата</w:t>
      </w:r>
      <w:r>
        <w:t>й</w:t>
      </w:r>
      <w:r>
        <w:t>ства и, если да, то в какие страны.</w:t>
      </w:r>
    </w:p>
    <w:p w:rsidR="00000000" w:rsidRDefault="00000000">
      <w:pPr>
        <w:pStyle w:val="SingleTxtGR"/>
      </w:pPr>
      <w:r>
        <w:t>10.</w:t>
      </w:r>
      <w:r>
        <w:tab/>
        <w:t>Просьба представить обновленную информацию о мерах, принятых гос</w:t>
      </w:r>
      <w:r>
        <w:t>у</w:t>
      </w:r>
      <w:r>
        <w:t>дарством-участником для: а) обеспечения того, чтобы иностранцы, не имеющие надлежащих документов, и просители убежища надлежащим образом инфо</w:t>
      </w:r>
      <w:r>
        <w:t>р</w:t>
      </w:r>
      <w:r>
        <w:t>мировались об имеющи</w:t>
      </w:r>
      <w:r>
        <w:t>х</w:t>
      </w:r>
      <w:r>
        <w:t xml:space="preserve">ся у них правах, включая право просить убежища </w:t>
      </w:r>
      <w:r>
        <w:br/>
        <w:t xml:space="preserve">и пользоваться бесплатной юридической помощью, и </w:t>
      </w:r>
      <w:r>
        <w:rPr>
          <w:lang w:val="en-US"/>
        </w:rPr>
        <w:t>b</w:t>
      </w:r>
      <w:r>
        <w:t xml:space="preserve">) того, чтобы лица, </w:t>
      </w:r>
      <w:r>
        <w:br/>
        <w:t>в отношении которых выносятся постановления о высылке, имели достаточно времени для подачи ходатайства о предоставлении убежища, пользовались у</w:t>
      </w:r>
      <w:r>
        <w:t>с</w:t>
      </w:r>
      <w:r>
        <w:t>лугами переводчика и могли осуществлять право на обжалование с приост</w:t>
      </w:r>
      <w:r>
        <w:t>а</w:t>
      </w:r>
      <w:r>
        <w:t>новлением исполнения вынесенного постановления. Принят ли упомянутый в пункте 19 доклада государства-участника проект декрета об интеграции во внутре</w:t>
      </w:r>
      <w:r>
        <w:t>н</w:t>
      </w:r>
      <w:r>
        <w:t>нюю правовую систему директивы 2005/85/СЕ от 1 декабря 2005 года?</w:t>
      </w:r>
    </w:p>
    <w:p w:rsidR="00000000" w:rsidRDefault="00000000">
      <w:pPr>
        <w:pStyle w:val="SingleTxtGR"/>
      </w:pPr>
      <w:r>
        <w:t>11.</w:t>
      </w:r>
      <w:r>
        <w:tab/>
        <w:t>В докладе Комиссара Совета Европы по правам человека приводится и</w:t>
      </w:r>
      <w:r>
        <w:t>н</w:t>
      </w:r>
      <w:r>
        <w:t>формация, согласно которой задержанные просители убежища доставляются в их консульства в целях получения консульского разрешения, в то время как их ходатайства о предоставлении убежища находятся на рассмотрении во Фра</w:t>
      </w:r>
      <w:r>
        <w:t>н</w:t>
      </w:r>
      <w:r>
        <w:t>цузском бюро защиты беженцев и апатридов (ФБЗБА). Такая практика ставит под угрозу не только просителей убежища, но и их родственников и близких. Просьба указать, какие меры приняты государством-участником для обеспеч</w:t>
      </w:r>
      <w:r>
        <w:t>е</w:t>
      </w:r>
      <w:r>
        <w:t>ния того, чтобы такая практика не применялась.</w:t>
      </w:r>
    </w:p>
    <w:p w:rsidR="00000000" w:rsidRDefault="00000000">
      <w:pPr>
        <w:pStyle w:val="SingleTxtGR"/>
      </w:pPr>
      <w:r>
        <w:t>12.</w:t>
      </w:r>
      <w:r>
        <w:tab/>
        <w:t>Просьба представить информацию в отношении гарантий, предусмотре</w:t>
      </w:r>
      <w:r>
        <w:t>н</w:t>
      </w:r>
      <w:r>
        <w:t>ных государством-участником, с тем чтобы ни один несопровождаемый нес</w:t>
      </w:r>
      <w:r>
        <w:t>о</w:t>
      </w:r>
      <w:r>
        <w:t>вершеннолетний, задержанный в зоне ожид</w:t>
      </w:r>
      <w:r>
        <w:t>а</w:t>
      </w:r>
      <w:r>
        <w:t>ния аэропорта, не высылался в свою страну происхождения или в страну транзита, в которой для него/нее с</w:t>
      </w:r>
      <w:r>
        <w:t>у</w:t>
      </w:r>
      <w:r>
        <w:t>ществует опасность быть подвергнутым(ой) пыткам либо жестокому, бесчел</w:t>
      </w:r>
      <w:r>
        <w:t>о</w:t>
      </w:r>
      <w:r>
        <w:t>вечному или ун</w:t>
      </w:r>
      <w:r>
        <w:t>и</w:t>
      </w:r>
      <w:r>
        <w:t>жающему достоинство обращению, включая торговлю людьми.</w:t>
      </w:r>
    </w:p>
    <w:p w:rsidR="00000000" w:rsidRDefault="00000000">
      <w:pPr>
        <w:pStyle w:val="SingleTxtGR"/>
      </w:pPr>
      <w:r>
        <w:t>13.</w:t>
      </w:r>
      <w:r>
        <w:tab/>
        <w:t>Просьба представить информацию о заявлениях, полученных в течение периода, охватываемого периодическим докладом государства-участника, кот</w:t>
      </w:r>
      <w:r>
        <w:t>о</w:t>
      </w:r>
      <w:r>
        <w:t>рые касаются коллективных арестов лиц для целей их помещения в центры а</w:t>
      </w:r>
      <w:r>
        <w:t>д</w:t>
      </w:r>
      <w:r>
        <w:t>министративного задержания в ожидании высылки в третьи страны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FRA</w:t>
      </w:r>
      <w:r>
        <w:t>/</w:t>
      </w:r>
      <w:r>
        <w:rPr>
          <w:lang w:val="en-US"/>
        </w:rPr>
        <w:t>CO</w:t>
      </w:r>
      <w:r>
        <w:t>/3, пункт 10).</w:t>
      </w:r>
    </w:p>
    <w:p w:rsidR="00000000" w:rsidRDefault="00000000">
      <w:pPr>
        <w:pStyle w:val="SingleTxtGR"/>
      </w:pPr>
      <w:r>
        <w:t>14.</w:t>
      </w:r>
      <w:r>
        <w:tab/>
        <w:t>Просьба представить подробную информацию об операции по ликвид</w:t>
      </w:r>
      <w:r>
        <w:t>а</w:t>
      </w:r>
      <w:r>
        <w:t>ции пос</w:t>
      </w:r>
      <w:r>
        <w:t>е</w:t>
      </w:r>
      <w:r>
        <w:t>лений мигрантов, не имеющих надлежащих документов, документов в районе Кале. В частности, просьба указать меры, принятые государством-участником для обеспечения того, чтобы ни одно лицо, в отношении которого существует опасность применения пыток в случае его выдворения в третью страну, не подвергалось высылке.</w:t>
      </w:r>
    </w:p>
    <w:p w:rsidR="00000000" w:rsidRDefault="00000000">
      <w:pPr>
        <w:pStyle w:val="SingleTxtGR"/>
      </w:pPr>
      <w:r>
        <w:t>15.</w:t>
      </w:r>
      <w:r>
        <w:tab/>
        <w:t>По вопросу о выполнении просьб, касающихся временных мер защиты, переданных Комитетом через посредничество своего Специального докладчика по новым жалобам и временным мерам защиты (в соответствии с пунктом 1 статьи 108 своих правил процедуры), и, принимая к сведению замечания гос</w:t>
      </w:r>
      <w:r>
        <w:t>у</w:t>
      </w:r>
      <w:r>
        <w:t>дарства-участника со ссылкой на замечания Комитета в связи с сообщен</w:t>
      </w:r>
      <w:r>
        <w:t>и</w:t>
      </w:r>
      <w:r>
        <w:t xml:space="preserve">ем № 300/2006, </w:t>
      </w:r>
      <w:r>
        <w:rPr>
          <w:i/>
        </w:rPr>
        <w:t>Тебурски против Франции</w:t>
      </w:r>
      <w:r>
        <w:t>, Комитет хотел бы знать, каким обр</w:t>
      </w:r>
      <w:r>
        <w:t>а</w:t>
      </w:r>
      <w:r>
        <w:t>зом государство-участник сочетает свою позицию и свою практику по этому вопросу с необходимостью соблюдения обязательств, налагаемых на него в с</w:t>
      </w:r>
      <w:r>
        <w:t>о</w:t>
      </w:r>
      <w:r>
        <w:t>ответствии со статьей 22 Конвенции, конечной целью которой является защита закрепленных в Ко</w:t>
      </w:r>
      <w:r>
        <w:t>н</w:t>
      </w:r>
      <w:r>
        <w:t>венции прав лиц, находящихся под его юрисдикцией.</w:t>
      </w:r>
    </w:p>
    <w:p w:rsidR="00000000" w:rsidRDefault="00000000">
      <w:pPr>
        <w:pStyle w:val="SingleTxtGR"/>
      </w:pPr>
      <w:r>
        <w:t>16.</w:t>
      </w:r>
      <w:r>
        <w:tab/>
        <w:t xml:space="preserve">Просьба представить Комитету информацию о мерах, принятых в связи с выводами Комитета в отношении сообщений № 195/2002, </w:t>
      </w:r>
      <w:r>
        <w:rPr>
          <w:i/>
        </w:rPr>
        <w:t>Брада против Фра</w:t>
      </w:r>
      <w:r>
        <w:rPr>
          <w:i/>
        </w:rPr>
        <w:t>н</w:t>
      </w:r>
      <w:r>
        <w:rPr>
          <w:i/>
        </w:rPr>
        <w:t>ции</w:t>
      </w:r>
      <w:r>
        <w:t xml:space="preserve"> (решение от 17 мая 2005 года) и № 300/2006, </w:t>
      </w:r>
      <w:r>
        <w:rPr>
          <w:i/>
        </w:rPr>
        <w:t>Тебурски против Франции</w:t>
      </w:r>
      <w:r>
        <w:t xml:space="preserve"> (решение от 1 мая 2007 года), по поводу которых Комитет счел, что высылка просителей убежища соответственно в Алжир и Тунис произведена в наруш</w:t>
      </w:r>
      <w:r>
        <w:t>е</w:t>
      </w:r>
      <w:r>
        <w:t>ние статьей 3 и 22 Конвенции. Просьба, в частности, представить подробную информацию о принятых в последнее время государством-участником мерах в отношении выяснения нынешнего места жительства просителей убежища и их дальнейшей судьбы.</w:t>
      </w:r>
    </w:p>
    <w:p w:rsidR="00000000" w:rsidRDefault="00000000">
      <w:pPr>
        <w:pStyle w:val="H1GR"/>
        <w:rPr>
          <w:lang w:val="en-US"/>
        </w:rPr>
      </w:pPr>
      <w:r>
        <w:tab/>
      </w:r>
      <w:r>
        <w:tab/>
        <w:t>Статьи 5, 6 и 7</w:t>
      </w:r>
    </w:p>
    <w:p w:rsidR="00000000" w:rsidRDefault="00000000">
      <w:pPr>
        <w:pStyle w:val="SingleTxtGR"/>
      </w:pPr>
      <w:r>
        <w:t>17.</w:t>
      </w:r>
      <w:r>
        <w:tab/>
        <w:t>Просьба указать меры, которые будут приняты государством-участником с целью выполнения рекомендации Комитета, касающейся внесения изменений в нынешний законопроект об адаптации внутреннего законодательства в соо</w:t>
      </w:r>
      <w:r>
        <w:t>т</w:t>
      </w:r>
      <w:r>
        <w:t>ветствии с требованиями Римского статута Международного уголовного суда с расширением универсальной компетенции (</w:t>
      </w:r>
      <w:r>
        <w:rPr>
          <w:lang w:val="fr-FR"/>
        </w:rPr>
        <w:t>CAT</w:t>
      </w:r>
      <w:r>
        <w:t>/</w:t>
      </w:r>
      <w:r>
        <w:rPr>
          <w:lang w:val="fr-FR"/>
        </w:rPr>
        <w:t>C</w:t>
      </w:r>
      <w:r>
        <w:t>/</w:t>
      </w:r>
      <w:r>
        <w:rPr>
          <w:lang w:val="fr-FR"/>
        </w:rPr>
        <w:t>FRA</w:t>
      </w:r>
      <w:r>
        <w:t>/</w:t>
      </w:r>
      <w:r>
        <w:rPr>
          <w:lang w:val="fr-FR"/>
        </w:rPr>
        <w:t>CO</w:t>
      </w:r>
      <w:r>
        <w:t>/3, пункт 13).</w:t>
      </w:r>
    </w:p>
    <w:p w:rsidR="00000000" w:rsidRDefault="00000000">
      <w:pPr>
        <w:pStyle w:val="SingleTxtGR"/>
      </w:pPr>
      <w:r>
        <w:t>18.</w:t>
      </w:r>
      <w:r>
        <w:tab/>
        <w:t>Просьба указать, заключило ли государство за период после представл</w:t>
      </w:r>
      <w:r>
        <w:t>е</w:t>
      </w:r>
      <w:r>
        <w:t>ния пр</w:t>
      </w:r>
      <w:r>
        <w:t>е</w:t>
      </w:r>
      <w:r>
        <w:t>дыдущего доклада новые договоры об экстрадиции, в том числе в связи с актами пыток. Просьба также указать примеры судебных решений, и случаи, когда государство санкционировало экстрадицию или отказывало в ней, с ук</w:t>
      </w:r>
      <w:r>
        <w:t>а</w:t>
      </w:r>
      <w:r>
        <w:t>занием соответству</w:t>
      </w:r>
      <w:r>
        <w:t>ю</w:t>
      </w:r>
      <w:r>
        <w:t>щих государств. Просьба, наконец, указать, получало или направляло ли государство-участник просьбы о судебной взаимопомощи по любым уголовно-процессуальным в</w:t>
      </w:r>
      <w:r>
        <w:t>о</w:t>
      </w:r>
      <w:r>
        <w:t>просам, связанным с актами пыток. Просьба также указать, имели ли место за период после представления пред</w:t>
      </w:r>
      <w:r>
        <w:t>ы</w:t>
      </w:r>
      <w:r>
        <w:t>дущего доклада какие-либо случаи, когда Франция использовала Конвенцию против пыток в качестве юридической основы в контексте экстрадиции лиц, о</w:t>
      </w:r>
      <w:r>
        <w:t>б</w:t>
      </w:r>
      <w:r>
        <w:t>виняемых в совершении актов пыток.</w:t>
      </w:r>
    </w:p>
    <w:p w:rsidR="00000000" w:rsidRDefault="00000000">
      <w:pPr>
        <w:pStyle w:val="H1GR"/>
      </w:pPr>
      <w:r>
        <w:tab/>
      </w:r>
      <w:r>
        <w:tab/>
        <w:t>Статья 10</w:t>
      </w:r>
    </w:p>
    <w:p w:rsidR="00000000" w:rsidRDefault="00000000">
      <w:pPr>
        <w:pStyle w:val="SingleTxtGR"/>
      </w:pPr>
      <w:r>
        <w:t>19.</w:t>
      </w:r>
      <w:r>
        <w:tab/>
        <w:t>Просьба описать меры, принятые для реформирования системы подг</w:t>
      </w:r>
      <w:r>
        <w:t>о</w:t>
      </w:r>
      <w:r>
        <w:t>товки сотрудников правоприменительных органов в целях предотвращения а</w:t>
      </w:r>
      <w:r>
        <w:t>к</w:t>
      </w:r>
      <w:r>
        <w:t>тов жестокого обращения со стороны этих сотрудников. Просьба указать, было ли обновлено Практическое руководство по служебной этике сотрудников Н</w:t>
      </w:r>
      <w:r>
        <w:t>а</w:t>
      </w:r>
      <w:r>
        <w:t>циональной полиции (</w:t>
      </w:r>
      <w:r>
        <w:rPr>
          <w:lang w:val="fr-FR"/>
        </w:rPr>
        <w:t>CAT</w:t>
      </w:r>
      <w:r>
        <w:t>/</w:t>
      </w:r>
      <w:r>
        <w:rPr>
          <w:lang w:val="fr-FR"/>
        </w:rPr>
        <w:t>C</w:t>
      </w:r>
      <w:r>
        <w:t>/</w:t>
      </w:r>
      <w:r>
        <w:rPr>
          <w:lang w:val="fr-FR"/>
        </w:rPr>
        <w:t>FRA</w:t>
      </w:r>
      <w:r>
        <w:t>/</w:t>
      </w:r>
      <w:r>
        <w:rPr>
          <w:lang w:val="fr-FR"/>
        </w:rPr>
        <w:t>CO</w:t>
      </w:r>
      <w:r>
        <w:t>/3, пункт 15), и представить информ</w:t>
      </w:r>
      <w:r>
        <w:t>а</w:t>
      </w:r>
      <w:r>
        <w:t>цию о мерах, принятых государством-участником для продления срока и соверше</w:t>
      </w:r>
      <w:r>
        <w:t>н</w:t>
      </w:r>
      <w:r>
        <w:t>ствования подготовки сотрудников правоприменительных органов и л</w:t>
      </w:r>
      <w:r>
        <w:t>ю</w:t>
      </w:r>
      <w:r>
        <w:t>бых лиц, которым поручено следить за соблюдением законов. Просьба также пре</w:t>
      </w:r>
      <w:r>
        <w:t>д</w:t>
      </w:r>
      <w:r>
        <w:t>ставить информацию о подготовке сотрудников правоприменительных о</w:t>
      </w:r>
      <w:r>
        <w:t>р</w:t>
      </w:r>
      <w:r>
        <w:t xml:space="preserve">ганов в вопросах применения метода иммобилизации задержанных в положении </w:t>
      </w:r>
      <w:r>
        <w:br/>
        <w:t>"л</w:t>
      </w:r>
      <w:r>
        <w:t>е</w:t>
      </w:r>
      <w:r>
        <w:t xml:space="preserve">жа лицом вниз", вследствие которого имели место случаи смерти ряда лиц. </w:t>
      </w:r>
    </w:p>
    <w:p w:rsidR="00000000" w:rsidRDefault="00000000">
      <w:pPr>
        <w:pStyle w:val="SingleTxtGR"/>
      </w:pPr>
      <w:r>
        <w:t>20.</w:t>
      </w:r>
      <w:r>
        <w:tab/>
        <w:t>Просьба уточнить, являются ли положения Конвенции составной частью программы подготовки персонала, отвечающего за применение законов, вкл</w:t>
      </w:r>
      <w:r>
        <w:t>ю</w:t>
      </w:r>
      <w:r>
        <w:t>чая персонал, отвечающий за содержание задержанных лиц, в том числе нес</w:t>
      </w:r>
      <w:r>
        <w:t>о</w:t>
      </w:r>
      <w:r>
        <w:t>вершеннолетних и лиц, страдающих психическими расстройствами, и перс</w:t>
      </w:r>
      <w:r>
        <w:t>о</w:t>
      </w:r>
      <w:r>
        <w:t>нал, отвечающий за высылку иностранцев. Включена ли в программу подгото</w:t>
      </w:r>
      <w:r>
        <w:t>в</w:t>
      </w:r>
      <w:r>
        <w:t>ки информация о возможных санкциях и мерах наказания, предусмотренных французским законодательством в случае нарушения положений Конвенции? Просьба также уточнить, включает ли эта программа подготовки подготовку для медицинских работников, призванных выявлять физические и психологич</w:t>
      </w:r>
      <w:r>
        <w:t>е</w:t>
      </w:r>
      <w:r>
        <w:t>ские признаки применения пыток к лицам, лишенным свободы, и обесп</w:t>
      </w:r>
      <w:r>
        <w:t>е</w:t>
      </w:r>
      <w:r>
        <w:t>чивать их реабилитацию в соответствии со Стамбульским протоколом. Если да, то просьба уточнить, наконец, кем осуществляется эта подготовка и какова мет</w:t>
      </w:r>
      <w:r>
        <w:t>о</w:t>
      </w:r>
      <w:r>
        <w:t>дология ее оценки.</w:t>
      </w:r>
    </w:p>
    <w:p w:rsidR="00000000" w:rsidRDefault="00000000">
      <w:pPr>
        <w:pStyle w:val="H1GR"/>
      </w:pPr>
      <w:r>
        <w:br w:type="page"/>
      </w:r>
      <w:r>
        <w:tab/>
      </w:r>
      <w:r>
        <w:tab/>
        <w:t>Статья 11</w:t>
      </w:r>
    </w:p>
    <w:p w:rsidR="00000000" w:rsidRDefault="00000000">
      <w:pPr>
        <w:pStyle w:val="SingleTxtGR"/>
      </w:pPr>
      <w:r>
        <w:t>21.</w:t>
      </w:r>
      <w:r>
        <w:tab/>
        <w:t>Просьба представить информацию о содержании докладов прокурора Республики о посещениях мест содержания под стражей, которые были пре</w:t>
      </w:r>
      <w:r>
        <w:t>д</w:t>
      </w:r>
      <w:r>
        <w:t>ставлены в Министерство юстиции. Планирует ли государство-участник опу</w:t>
      </w:r>
      <w:r>
        <w:t>б</w:t>
      </w:r>
      <w:r>
        <w:t>ликовать эти доклады? Если нет, то просьба пояснить причины.</w:t>
      </w:r>
    </w:p>
    <w:p w:rsidR="00000000" w:rsidRDefault="00000000">
      <w:pPr>
        <w:pStyle w:val="H1GR"/>
      </w:pPr>
      <w:r>
        <w:tab/>
      </w:r>
      <w:r>
        <w:tab/>
        <w:t>Статьи 12 и 13</w:t>
      </w:r>
    </w:p>
    <w:p w:rsidR="00000000" w:rsidRDefault="00000000">
      <w:pPr>
        <w:pStyle w:val="SingleTxtGR"/>
      </w:pPr>
      <w:r>
        <w:t>22.</w:t>
      </w:r>
      <w:r>
        <w:tab/>
        <w:t>Просьба привести примеры применения статьи 15-2 Уголовно-процессуального кодекса, которая предусматривает, что общая инспекция си</w:t>
      </w:r>
      <w:r>
        <w:t>с</w:t>
      </w:r>
      <w:r>
        <w:t>темы судебных органов может участвовать в расследованиях действий должн</w:t>
      </w:r>
      <w:r>
        <w:t>о</w:t>
      </w:r>
      <w:r>
        <w:t>стных лиц, в частности сотрудников полиции или жандармерии, которые явл</w:t>
      </w:r>
      <w:r>
        <w:t>я</w:t>
      </w:r>
      <w:r>
        <w:t>ются уголовными правонарушениями или хотя бы упущения с точки зрения профессиональной этики (пункт 123).</w:t>
      </w:r>
    </w:p>
    <w:p w:rsidR="00000000" w:rsidRDefault="00000000">
      <w:pPr>
        <w:pStyle w:val="SingleTxtGR"/>
      </w:pPr>
      <w:r>
        <w:t>23.</w:t>
      </w:r>
      <w:r>
        <w:tab/>
        <w:t>С учетом пункта 188 доклада государства-участника, в котором отмечено, что ст</w:t>
      </w:r>
      <w:r>
        <w:t>а</w:t>
      </w:r>
      <w:r>
        <w:t>тистические данные Министерства юстиции основаны на окончательных решениях об осуждении, заносимых в досье криминалистического учета, Ком</w:t>
      </w:r>
      <w:r>
        <w:t>и</w:t>
      </w:r>
      <w:r>
        <w:t>тет хотел бы получить дезагрегированные статистические данные, которыми располагает государство-участник, о количестве жалоб, расследований, суде</w:t>
      </w:r>
      <w:r>
        <w:t>б</w:t>
      </w:r>
      <w:r>
        <w:t>ных преследований и осуждений в связи с актами пыток или жестокого обр</w:t>
      </w:r>
      <w:r>
        <w:t>а</w:t>
      </w:r>
      <w:r>
        <w:t>щения, которые имели место в государстве-участнике за период после пре</w:t>
      </w:r>
      <w:r>
        <w:t>д</w:t>
      </w:r>
      <w:r>
        <w:t>ставления предыдущего доклада, представленного Комитету.</w:t>
      </w:r>
    </w:p>
    <w:p w:rsidR="00000000" w:rsidRDefault="00000000">
      <w:pPr>
        <w:pStyle w:val="SingleTxtGR"/>
      </w:pPr>
      <w:r>
        <w:t>24.</w:t>
      </w:r>
      <w:r>
        <w:tab/>
        <w:t>В дополнение к информации, представленной в пункте 136 доклада гос</w:t>
      </w:r>
      <w:r>
        <w:t>у</w:t>
      </w:r>
      <w:r>
        <w:t>дарства-участника, просьба представить точные данные о количестве случаев осуждения государственных должностных лиц или любых иных лиц, действ</w:t>
      </w:r>
      <w:r>
        <w:t>о</w:t>
      </w:r>
      <w:r>
        <w:t>вавших в официальном качестве или по их подстрекательству, с их ведома или молчаливого согласия, которые несут ответственность за акты пыток, и указать примененные к ним меры наказания. Просьба также указать, примен</w:t>
      </w:r>
      <w:r>
        <w:t>я</w:t>
      </w:r>
      <w:r>
        <w:t>ется ли в принципе к лицам, предположительно виновным в совершении таких актов, практика временного отстранения от исполнения служебных обязанностей или перевода на иные должности на время проведения расследования и разрешается ли им остаться в прежней должности после применения дисциплинарных сан</w:t>
      </w:r>
      <w:r>
        <w:t>к</w:t>
      </w:r>
      <w:r>
        <w:t>ций.</w:t>
      </w:r>
    </w:p>
    <w:p w:rsidR="00000000" w:rsidRDefault="00000000">
      <w:pPr>
        <w:pStyle w:val="SingleTxtGR"/>
      </w:pPr>
      <w:r>
        <w:t>25.</w:t>
      </w:r>
      <w:r>
        <w:tab/>
        <w:t>Просьба указать меры, принятые государством-участником для защиты лиц, сообщающих об актах насилия со стороны сотрудников правопримен</w:t>
      </w:r>
      <w:r>
        <w:t>и</w:t>
      </w:r>
      <w:r>
        <w:t>тельных органов, против актов запугивания, клеветы и возможных репрессий.</w:t>
      </w:r>
    </w:p>
    <w:p w:rsidR="00000000" w:rsidRDefault="00000000">
      <w:pPr>
        <w:pStyle w:val="SingleTxtGR"/>
      </w:pPr>
      <w:r>
        <w:t>26.</w:t>
      </w:r>
      <w:r>
        <w:tab/>
        <w:t>Согласно информации, полученной Комитетом, органы, отвечающие за применение законов, и судебные власти не всегда проводят расследования по заявлениям о жестоком обращении в соответствии с международными нормами, что фактически ведет к безнаказанности. Просьба прокомментировать эту и</w:t>
      </w:r>
      <w:r>
        <w:t>н</w:t>
      </w:r>
      <w:r>
        <w:t>формацию в свете статьи 12 Ко</w:t>
      </w:r>
      <w:r>
        <w:t>н</w:t>
      </w:r>
      <w:r>
        <w:t>венции.</w:t>
      </w:r>
    </w:p>
    <w:p w:rsidR="00000000" w:rsidRDefault="00000000">
      <w:pPr>
        <w:pStyle w:val="SingleTxtGR"/>
      </w:pPr>
      <w:r>
        <w:t>27.</w:t>
      </w:r>
      <w:r>
        <w:tab/>
        <w:t>Просьба указать меры, принятые для обеспечения углубленного, незав</w:t>
      </w:r>
      <w:r>
        <w:t>и</w:t>
      </w:r>
      <w:r>
        <w:t>симого и беспристрастного расследования по всем заявлениям об актах пыток или жестокого обращения и для привлечения виновных к ответственности.</w:t>
      </w:r>
      <w:r>
        <w:br/>
        <w:t xml:space="preserve">В частности, просьба представить подробную информацию по делу г-на </w:t>
      </w:r>
      <w:proofErr w:type="spellStart"/>
      <w:r>
        <w:t>Лауари</w:t>
      </w:r>
      <w:proofErr w:type="spellEnd"/>
      <w:r>
        <w:t xml:space="preserve"> </w:t>
      </w:r>
      <w:proofErr w:type="spellStart"/>
      <w:r>
        <w:t>Маамеди</w:t>
      </w:r>
      <w:proofErr w:type="spellEnd"/>
      <w:r>
        <w:t xml:space="preserve">. </w:t>
      </w:r>
    </w:p>
    <w:p w:rsidR="00000000" w:rsidRDefault="00000000">
      <w:pPr>
        <w:pStyle w:val="SingleTxtGR"/>
      </w:pPr>
      <w:r>
        <w:t>28.</w:t>
      </w:r>
      <w:r>
        <w:tab/>
        <w:t>Европейский комитет по предупреждению пыток и бесчеловечных или унижающих достоинство видов наказания или обращения (</w:t>
      </w:r>
      <w:proofErr w:type="spellStart"/>
      <w:r>
        <w:t>КПП</w:t>
      </w:r>
      <w:proofErr w:type="spellEnd"/>
      <w:r>
        <w:t>) рекомендовал государству-участнику провести аналитическое исследование по вопросу о з</w:t>
      </w:r>
      <w:r>
        <w:t>а</w:t>
      </w:r>
      <w:r>
        <w:t>явлениях относительно применения насилия сотрудниками правоприменител</w:t>
      </w:r>
      <w:r>
        <w:t>ь</w:t>
      </w:r>
      <w:r>
        <w:t>ных органов и просил сообщить о его содержании. Просьба указать, что было сделано для выполнения этой рекомендации, и представить информацию о р</w:t>
      </w:r>
      <w:r>
        <w:t>е</w:t>
      </w:r>
      <w:r>
        <w:t>зультатах пр</w:t>
      </w:r>
      <w:r>
        <w:t>и</w:t>
      </w:r>
      <w:r>
        <w:t>нятых мер.</w:t>
      </w:r>
    </w:p>
    <w:p w:rsidR="00000000" w:rsidRDefault="00000000">
      <w:pPr>
        <w:pStyle w:val="SingleTxtGR"/>
      </w:pPr>
      <w:r>
        <w:t>29.</w:t>
      </w:r>
      <w:r>
        <w:tab/>
        <w:t>Просьба указать, планирует ли государство-участник принять необход</w:t>
      </w:r>
      <w:r>
        <w:t>и</w:t>
      </w:r>
      <w:r>
        <w:t>мые меры, с тем чтобы любое лицо, утверждающее, что оно подверглось пы</w:t>
      </w:r>
      <w:r>
        <w:t>т</w:t>
      </w:r>
      <w:r>
        <w:t>кам или жестокому, бесчеловечному или унижающему достоинство обращению, могло непосредственно обращаться в Национальную комиссию по служебной этике сотрудников органов безопасности (</w:t>
      </w:r>
      <w:proofErr w:type="spellStart"/>
      <w:r>
        <w:t>НКСЭБ</w:t>
      </w:r>
      <w:proofErr w:type="spellEnd"/>
      <w:r>
        <w:t>) (</w:t>
      </w:r>
      <w:r>
        <w:rPr>
          <w:lang w:val="fr-FR"/>
        </w:rPr>
        <w:t>CAT</w:t>
      </w:r>
      <w:r>
        <w:t>/</w:t>
      </w:r>
      <w:r>
        <w:rPr>
          <w:lang w:val="fr-FR"/>
        </w:rPr>
        <w:t>C</w:t>
      </w:r>
      <w:r>
        <w:t>/</w:t>
      </w:r>
      <w:r>
        <w:rPr>
          <w:lang w:val="fr-FR"/>
        </w:rPr>
        <w:t>FRA</w:t>
      </w:r>
      <w:r>
        <w:t>/</w:t>
      </w:r>
      <w:r>
        <w:rPr>
          <w:lang w:val="fr-FR"/>
        </w:rPr>
        <w:t>CO</w:t>
      </w:r>
      <w:r>
        <w:t xml:space="preserve">/3, </w:t>
      </w:r>
      <w:r>
        <w:br/>
        <w:t>пункт 22). Если нет, то просьба разъяснить прич</w:t>
      </w:r>
      <w:r>
        <w:t>и</w:t>
      </w:r>
      <w:r>
        <w:t>ны.</w:t>
      </w:r>
    </w:p>
    <w:p w:rsidR="00000000" w:rsidRDefault="00000000">
      <w:pPr>
        <w:pStyle w:val="H1GR"/>
      </w:pPr>
      <w:r>
        <w:tab/>
      </w:r>
      <w:r>
        <w:tab/>
        <w:t>Статья 14</w:t>
      </w:r>
    </w:p>
    <w:p w:rsidR="00000000" w:rsidRDefault="00000000">
      <w:pPr>
        <w:pStyle w:val="SingleTxtGR"/>
      </w:pPr>
      <w:r>
        <w:t>30.</w:t>
      </w:r>
      <w:r>
        <w:tab/>
        <w:t>Просьба указать, обеспечивает ли Франция для жертв актов пыток или жестокого, бесчеловечного и унижающего достоинство обращения услуги ф</w:t>
      </w:r>
      <w:r>
        <w:t>и</w:t>
      </w:r>
      <w:r>
        <w:t xml:space="preserve">зической, психологической и социальной </w:t>
      </w:r>
      <w:proofErr w:type="spellStart"/>
      <w:r>
        <w:t>реадаптации</w:t>
      </w:r>
      <w:proofErr w:type="spellEnd"/>
      <w:r>
        <w:t xml:space="preserve"> и какое количество лиц воспользовались этими услугами. Просьба также сообщить, выплачивало ли г</w:t>
      </w:r>
      <w:r>
        <w:t>о</w:t>
      </w:r>
      <w:r>
        <w:t>сударство-участник компенсации потерпевшим после вынесения соответс</w:t>
      </w:r>
      <w:r>
        <w:t>т</w:t>
      </w:r>
      <w:r>
        <w:t>вующих решений по делам о применении пыток, и указать их размеры.</w:t>
      </w:r>
    </w:p>
    <w:p w:rsidR="00000000" w:rsidRDefault="00000000">
      <w:pPr>
        <w:pStyle w:val="H1GR"/>
      </w:pPr>
      <w:r>
        <w:tab/>
      </w:r>
      <w:r>
        <w:tab/>
        <w:t>Статья 16</w:t>
      </w:r>
    </w:p>
    <w:p w:rsidR="00000000" w:rsidRDefault="00000000">
      <w:pPr>
        <w:pStyle w:val="SingleTxtGR"/>
      </w:pPr>
      <w:r>
        <w:t>31.</w:t>
      </w:r>
      <w:r>
        <w:tab/>
        <w:t>Просьба представить дезагрегированные статистические данные о чи</w:t>
      </w:r>
      <w:r>
        <w:t>с</w:t>
      </w:r>
      <w:r>
        <w:t>ленности заключенных. Просьба также представить подробную информацию о мерах, принимаемых в настоящее время для решения проблемы переполненн</w:t>
      </w:r>
      <w:r>
        <w:t>о</w:t>
      </w:r>
      <w:r>
        <w:t>сти тюрем, которая достигла "тревожного уровня в некоторых учреждениях" (пункт 156). Просьба указать, наконец, планирует ли государство-участник ш</w:t>
      </w:r>
      <w:r>
        <w:t>и</w:t>
      </w:r>
      <w:r>
        <w:t>ре применять альтернативные меры наказания, не связанные с лишением св</w:t>
      </w:r>
      <w:r>
        <w:t>о</w:t>
      </w:r>
      <w:r>
        <w:t>боды.</w:t>
      </w:r>
    </w:p>
    <w:p w:rsidR="00000000" w:rsidRDefault="00000000">
      <w:pPr>
        <w:pStyle w:val="SingleTxtGR"/>
        <w:rPr>
          <w:szCs w:val="24"/>
        </w:rPr>
      </w:pPr>
      <w:r>
        <w:t>32.</w:t>
      </w:r>
      <w:r>
        <w:tab/>
        <w:t xml:space="preserve">Просьба: </w:t>
      </w:r>
      <w:r>
        <w:rPr>
          <w:szCs w:val="24"/>
          <w:lang w:val="fr-FR"/>
        </w:rPr>
        <w:t>a</w:t>
      </w:r>
      <w:r>
        <w:rPr>
          <w:szCs w:val="24"/>
        </w:rPr>
        <w:t>)</w:t>
      </w:r>
      <w:r>
        <w:t xml:space="preserve"> представить обновленную информацию о результатах работ по расширению и модернизации пенитенциарных центров в Новой Каледонии (пункт </w:t>
      </w:r>
      <w:r>
        <w:rPr>
          <w:szCs w:val="24"/>
        </w:rPr>
        <w:t>162);</w:t>
      </w:r>
      <w:r>
        <w:t xml:space="preserve"> </w:t>
      </w:r>
      <w:r>
        <w:rPr>
          <w:szCs w:val="24"/>
          <w:lang w:val="fr-FR"/>
        </w:rPr>
        <w:t>b</w:t>
      </w:r>
      <w:r>
        <w:rPr>
          <w:szCs w:val="24"/>
        </w:rPr>
        <w:t>)</w:t>
      </w:r>
      <w:r>
        <w:t xml:space="preserve"> указать, возобновлены ли работы по обновлению электрических сетей в центрах предварительного заключения (пункт </w:t>
      </w:r>
      <w:r>
        <w:rPr>
          <w:szCs w:val="24"/>
        </w:rPr>
        <w:t xml:space="preserve">164); и с) </w:t>
      </w:r>
      <w:r>
        <w:t>представить обновленную информацию о состоянии проектов структурной реорганизации тюрем, намеченных для Гваделупы, Гайаны, Ма</w:t>
      </w:r>
      <w:r>
        <w:t>р</w:t>
      </w:r>
      <w:r>
        <w:t xml:space="preserve">тиники и Новой Каледонии на </w:t>
      </w:r>
      <w:r>
        <w:rPr>
          <w:szCs w:val="24"/>
        </w:rPr>
        <w:t xml:space="preserve">2011−2012 годы </w:t>
      </w:r>
      <w:r>
        <w:t xml:space="preserve">(пункт </w:t>
      </w:r>
      <w:r>
        <w:rPr>
          <w:szCs w:val="24"/>
        </w:rPr>
        <w:t>169).</w:t>
      </w:r>
    </w:p>
    <w:p w:rsidR="00000000" w:rsidRDefault="00000000">
      <w:pPr>
        <w:pStyle w:val="SingleTxtGR"/>
      </w:pPr>
      <w:r>
        <w:t>33.</w:t>
      </w:r>
      <w:r>
        <w:tab/>
        <w:t>Просьба указать меры, принятые государством-участником в связи с в</w:t>
      </w:r>
      <w:r>
        <w:t>ы</w:t>
      </w:r>
      <w:r>
        <w:t xml:space="preserve">водами Европейского суда по правам человека по делу </w:t>
      </w:r>
      <w:proofErr w:type="spellStart"/>
      <w:r>
        <w:rPr>
          <w:i/>
        </w:rPr>
        <w:t>Хидер</w:t>
      </w:r>
      <w:proofErr w:type="spellEnd"/>
      <w:r>
        <w:rPr>
          <w:i/>
        </w:rPr>
        <w:t xml:space="preserve"> против Франции </w:t>
      </w:r>
      <w:r>
        <w:t xml:space="preserve">(№ 39364/05, 9 июля 2009 года), в отношении того, что условия содержания просителя убежища </w:t>
      </w:r>
      <w:proofErr w:type="spellStart"/>
      <w:r>
        <w:t>Хидера</w:t>
      </w:r>
      <w:proofErr w:type="spellEnd"/>
      <w:r>
        <w:t xml:space="preserve"> по их совокупному и повторяющемуся воздействию составляют бесчеловечное и унижающее достоинство обращение.</w:t>
      </w:r>
    </w:p>
    <w:p w:rsidR="00000000" w:rsidRDefault="00000000">
      <w:pPr>
        <w:pStyle w:val="SingleTxtGR"/>
      </w:pPr>
      <w:r>
        <w:t>34.</w:t>
      </w:r>
      <w:r>
        <w:tab/>
        <w:t>Просьба представить подробную и обновленную информацию о плане действий, направленном на предупреждение самоубийств в тюрьмах и ук</w:t>
      </w:r>
      <w:r>
        <w:t>а</w:t>
      </w:r>
      <w:r>
        <w:t xml:space="preserve">зать, как отнеслись к этому плану организации и специалисты, работающие в этой области. Намерено ли </w:t>
      </w:r>
      <w:r>
        <w:rPr>
          <w:szCs w:val="24"/>
        </w:rPr>
        <w:t xml:space="preserve">государство-участник опубликовать доклад </w:t>
      </w:r>
      <w:proofErr w:type="spellStart"/>
      <w:r>
        <w:rPr>
          <w:szCs w:val="24"/>
        </w:rPr>
        <w:t>Албранда</w:t>
      </w:r>
      <w:proofErr w:type="spellEnd"/>
      <w:r>
        <w:rPr>
          <w:szCs w:val="24"/>
        </w:rPr>
        <w:t xml:space="preserve"> о </w:t>
      </w:r>
      <w:r>
        <w:t>предупреждении самоубийств в тюрьмах? Если нет, то просьба разъяснить пр</w:t>
      </w:r>
      <w:r>
        <w:t>и</w:t>
      </w:r>
      <w:r>
        <w:t>чины.</w:t>
      </w:r>
    </w:p>
    <w:p w:rsidR="00000000" w:rsidRDefault="00000000">
      <w:pPr>
        <w:pStyle w:val="SingleTxtGR"/>
      </w:pPr>
      <w:r>
        <w:t>35.</w:t>
      </w:r>
      <w:r>
        <w:tab/>
        <w:t>Просьба указать, в какой мере закон о пенитенциарной системе, прин</w:t>
      </w:r>
      <w:r>
        <w:t>я</w:t>
      </w:r>
      <w:r>
        <w:t>тый сен</w:t>
      </w:r>
      <w:r>
        <w:t>а</w:t>
      </w:r>
      <w:r>
        <w:t>том в марте 2009 года по представлению Министра юстиции, отражает предложения, сфо</w:t>
      </w:r>
      <w:r>
        <w:t>р</w:t>
      </w:r>
      <w:r>
        <w:t>мулированные в ходе всеобщих консультаций, проведенных в январе 2006 года, а также рекомендации, сформулированные Комиссаром С</w:t>
      </w:r>
      <w:r>
        <w:t>о</w:t>
      </w:r>
      <w:r>
        <w:t>вета Европы по правам человека по итогам его визита во Францию в 2008 г</w:t>
      </w:r>
      <w:r>
        <w:t>о</w:t>
      </w:r>
      <w:r>
        <w:t>ду.</w:t>
      </w:r>
    </w:p>
    <w:p w:rsidR="00000000" w:rsidRDefault="00000000">
      <w:pPr>
        <w:pStyle w:val="SingleTxtGR"/>
      </w:pPr>
      <w:r>
        <w:t>36.</w:t>
      </w:r>
      <w:r>
        <w:tab/>
        <w:t>В своем решении от 27 марта 2008 года, которое было подтверждено в апелляционной инстанции 24 июня 2008 года, административный суд Руана осудил францу</w:t>
      </w:r>
      <w:r>
        <w:t>з</w:t>
      </w:r>
      <w:r>
        <w:t>ское государство в связи с условиями содержания под стражей, которые составляют "нес</w:t>
      </w:r>
      <w:r>
        <w:t>о</w:t>
      </w:r>
      <w:r>
        <w:t>блюдение норм гигиены и санитарии" и противоречат принципу "уважения человеческого достоинства". Просьба указать, какие м</w:t>
      </w:r>
      <w:r>
        <w:t>е</w:t>
      </w:r>
      <w:r>
        <w:t>ры были приняты в связи с этой рекомендацией. Просьба также указать, какие м</w:t>
      </w:r>
      <w:r>
        <w:t>е</w:t>
      </w:r>
      <w:r>
        <w:t>ры будут приняты в связи с недавним докладом Национальной комиссии по служебной этике сотрудников органов безопасности относительно условий с</w:t>
      </w:r>
      <w:r>
        <w:t>о</w:t>
      </w:r>
      <w:r>
        <w:t>держания и обращения с лицами, содержащимися в Парижском дворце прав</w:t>
      </w:r>
      <w:r>
        <w:t>о</w:t>
      </w:r>
      <w:r>
        <w:t>судия, и в частности в блоках для содержания задержанных и по</w:t>
      </w:r>
      <w:r>
        <w:t>д</w:t>
      </w:r>
      <w:r>
        <w:t>следственных лиц.</w:t>
      </w:r>
    </w:p>
    <w:p w:rsidR="00000000" w:rsidRDefault="00000000">
      <w:pPr>
        <w:pStyle w:val="SingleTxtGR"/>
      </w:pPr>
      <w:r>
        <w:t>37.</w:t>
      </w:r>
      <w:r>
        <w:tab/>
        <w:t>Согласно докладу Комиссара Совета Европы по правам человека прич</w:t>
      </w:r>
      <w:r>
        <w:t>и</w:t>
      </w:r>
      <w:r>
        <w:t>ны пер</w:t>
      </w:r>
      <w:r>
        <w:t>е</w:t>
      </w:r>
      <w:r>
        <w:t>полненности тюрем состоят главным образом в повышении степени строгости мер н</w:t>
      </w:r>
      <w:r>
        <w:t>а</w:t>
      </w:r>
      <w:r>
        <w:t>казания, назначаемых судебными органами, и в более широком применении практики заключения под стражу. Кроме того, эта тенденция м</w:t>
      </w:r>
      <w:r>
        <w:t>о</w:t>
      </w:r>
      <w:r>
        <w:t>жет усугубиться в результате вступления в силу закона от 10 августа 2007 года, к</w:t>
      </w:r>
      <w:r>
        <w:t>о</w:t>
      </w:r>
      <w:r>
        <w:t>торый устанавливает минимальные − именуемые "пороговыми" − меры наказ</w:t>
      </w:r>
      <w:r>
        <w:t>а</w:t>
      </w:r>
      <w:r>
        <w:t>ния для преступников-рецидивистов. Просьба прокомментировать эту инфо</w:t>
      </w:r>
      <w:r>
        <w:t>р</w:t>
      </w:r>
      <w:r>
        <w:t xml:space="preserve">мацию в свете статей 11 и 16 Конвенции и указать, намерено ли </w:t>
      </w:r>
      <w:r>
        <w:rPr>
          <w:szCs w:val="24"/>
        </w:rPr>
        <w:t>государс</w:t>
      </w:r>
      <w:r>
        <w:rPr>
          <w:szCs w:val="24"/>
        </w:rPr>
        <w:t>т</w:t>
      </w:r>
      <w:r>
        <w:rPr>
          <w:szCs w:val="24"/>
        </w:rPr>
        <w:t>во-участник внести изменения в этот закон.</w:t>
      </w:r>
    </w:p>
    <w:p w:rsidR="00000000" w:rsidRDefault="00000000">
      <w:pPr>
        <w:pStyle w:val="SingleTxtGR"/>
        <w:rPr>
          <w:szCs w:val="24"/>
        </w:rPr>
      </w:pPr>
      <w:r>
        <w:t>38.</w:t>
      </w:r>
      <w:r>
        <w:tab/>
        <w:t>Просьба дополнить информацию, содержащуюся в пунктах 111 и 112 доклада, представив Комитету дезагрегированные статистические данные о л</w:t>
      </w:r>
      <w:r>
        <w:t>и</w:t>
      </w:r>
      <w:r>
        <w:t xml:space="preserve">цах, содержащихся в одиночных камерах. С учетом пункта 114 доклада </w:t>
      </w:r>
      <w:r>
        <w:rPr>
          <w:szCs w:val="24"/>
        </w:rPr>
        <w:t>гос</w:t>
      </w:r>
      <w:r>
        <w:rPr>
          <w:szCs w:val="24"/>
        </w:rPr>
        <w:t>у</w:t>
      </w:r>
      <w:r>
        <w:rPr>
          <w:szCs w:val="24"/>
        </w:rPr>
        <w:t>дарства-участника просьба также указать, каким образом оцениваются физич</w:t>
      </w:r>
      <w:r>
        <w:rPr>
          <w:szCs w:val="24"/>
        </w:rPr>
        <w:t>е</w:t>
      </w:r>
      <w:r>
        <w:rPr>
          <w:szCs w:val="24"/>
        </w:rPr>
        <w:t>ские и психические последствия, которые может повлечь за собой продолж</w:t>
      </w:r>
      <w:r>
        <w:rPr>
          <w:szCs w:val="24"/>
        </w:rPr>
        <w:t>и</w:t>
      </w:r>
      <w:r>
        <w:rPr>
          <w:szCs w:val="24"/>
        </w:rPr>
        <w:t>тельное содержание в одиночной камере. Какие меры принимаются в случае негативной оценки?</w:t>
      </w:r>
    </w:p>
    <w:p w:rsidR="00000000" w:rsidRDefault="00000000">
      <w:pPr>
        <w:pStyle w:val="SingleTxtGR"/>
        <w:rPr>
          <w:szCs w:val="24"/>
        </w:rPr>
      </w:pPr>
      <w:r>
        <w:rPr>
          <w:szCs w:val="24"/>
        </w:rPr>
        <w:t>39.</w:t>
      </w:r>
      <w:r>
        <w:rPr>
          <w:szCs w:val="24"/>
        </w:rPr>
        <w:tab/>
        <w:t xml:space="preserve">В своем ответе на рекомендацию № 11, содержащуюся в докладе </w:t>
      </w:r>
      <w:proofErr w:type="spellStart"/>
      <w:r>
        <w:rPr>
          <w:szCs w:val="24"/>
        </w:rPr>
        <w:t>КПП</w:t>
      </w:r>
      <w:proofErr w:type="spellEnd"/>
      <w:r>
        <w:rPr>
          <w:szCs w:val="24"/>
        </w:rPr>
        <w:t xml:space="preserve"> о посещ</w:t>
      </w:r>
      <w:r>
        <w:rPr>
          <w:szCs w:val="24"/>
        </w:rPr>
        <w:t>е</w:t>
      </w:r>
      <w:r>
        <w:rPr>
          <w:szCs w:val="24"/>
        </w:rPr>
        <w:t>нии Франции с 27 сентября по 9 октября 2006 года, государство-участник объявило, что оно примет меры для улучшения условий содержания в центрах содержания под стражей, обеспечив соблюдение санитарно-бытовых норм и принципа уважения достоинства лиц, содержащихся под стражей, в ч</w:t>
      </w:r>
      <w:r>
        <w:rPr>
          <w:szCs w:val="24"/>
        </w:rPr>
        <w:t>а</w:t>
      </w:r>
      <w:r>
        <w:rPr>
          <w:szCs w:val="24"/>
        </w:rPr>
        <w:t xml:space="preserve">стности построить новый центр содержания под стражей на </w:t>
      </w:r>
      <w:proofErr w:type="spellStart"/>
      <w:r>
        <w:rPr>
          <w:szCs w:val="24"/>
        </w:rPr>
        <w:t>Майоте</w:t>
      </w:r>
      <w:proofErr w:type="spellEnd"/>
      <w:r>
        <w:rPr>
          <w:szCs w:val="24"/>
        </w:rPr>
        <w:t>, который будет отвечать таким требованиям. Просьба представить подробную и обно</w:t>
      </w:r>
      <w:r>
        <w:rPr>
          <w:szCs w:val="24"/>
        </w:rPr>
        <w:t>в</w:t>
      </w:r>
      <w:r>
        <w:rPr>
          <w:szCs w:val="24"/>
        </w:rPr>
        <w:t>ленную информацию о реализации этих проектов.</w:t>
      </w:r>
    </w:p>
    <w:p w:rsidR="00000000" w:rsidRDefault="00000000">
      <w:pPr>
        <w:pStyle w:val="SingleTxtGR"/>
        <w:rPr>
          <w:szCs w:val="24"/>
        </w:rPr>
      </w:pPr>
      <w:r>
        <w:rPr>
          <w:szCs w:val="24"/>
        </w:rPr>
        <w:t>40.</w:t>
      </w:r>
      <w:r>
        <w:rPr>
          <w:szCs w:val="24"/>
        </w:rPr>
        <w:tab/>
        <w:t>В докладе Комиссара Совета Европы по правам человека говорится о н</w:t>
      </w:r>
      <w:r>
        <w:rPr>
          <w:szCs w:val="24"/>
        </w:rPr>
        <w:t>а</w:t>
      </w:r>
      <w:r>
        <w:rPr>
          <w:szCs w:val="24"/>
        </w:rPr>
        <w:t>мерении государства-участника проводить "решительную политику в области рационализации мер наказания", с тем чтобы решить проблему переполненн</w:t>
      </w:r>
      <w:r>
        <w:rPr>
          <w:szCs w:val="24"/>
        </w:rPr>
        <w:t>о</w:t>
      </w:r>
      <w:r>
        <w:rPr>
          <w:szCs w:val="24"/>
        </w:rPr>
        <w:t>сти тюрем. Просьба пре</w:t>
      </w:r>
      <w:r>
        <w:rPr>
          <w:szCs w:val="24"/>
        </w:rPr>
        <w:t>д</w:t>
      </w:r>
      <w:r>
        <w:rPr>
          <w:szCs w:val="24"/>
        </w:rPr>
        <w:t xml:space="preserve">ставить обновленную информацию об осуществлении этой политики.  </w:t>
      </w:r>
    </w:p>
    <w:p w:rsidR="00000000" w:rsidRDefault="00000000">
      <w:pPr>
        <w:pStyle w:val="SingleTxtGR"/>
        <w:rPr>
          <w:szCs w:val="24"/>
        </w:rPr>
      </w:pPr>
      <w:r>
        <w:rPr>
          <w:szCs w:val="24"/>
        </w:rPr>
        <w:t>41.</w:t>
      </w:r>
      <w:r>
        <w:rPr>
          <w:szCs w:val="24"/>
        </w:rPr>
        <w:tab/>
        <w:t>Просьба указать, функционирует ли в настоящее время Национальная комиссия по проверке центров и мест для задержания и зон ожидания, и уто</w:t>
      </w:r>
      <w:r>
        <w:rPr>
          <w:szCs w:val="24"/>
        </w:rPr>
        <w:t>ч</w:t>
      </w:r>
      <w:r>
        <w:rPr>
          <w:szCs w:val="24"/>
        </w:rPr>
        <w:t>нить, какой механизм был создан для эффективного выполнения ее рекоменд</w:t>
      </w:r>
      <w:r>
        <w:rPr>
          <w:szCs w:val="24"/>
        </w:rPr>
        <w:t>а</w:t>
      </w:r>
      <w:r>
        <w:rPr>
          <w:szCs w:val="24"/>
        </w:rPr>
        <w:t>ций (</w:t>
      </w:r>
      <w:r>
        <w:rPr>
          <w:szCs w:val="24"/>
          <w:lang w:val="en-US"/>
        </w:rPr>
        <w:t>CAT</w:t>
      </w:r>
      <w:r>
        <w:rPr>
          <w:szCs w:val="24"/>
        </w:rPr>
        <w:t>/</w:t>
      </w:r>
      <w:r>
        <w:rPr>
          <w:szCs w:val="24"/>
          <w:lang w:val="en-US"/>
        </w:rPr>
        <w:t>C</w:t>
      </w:r>
      <w:r>
        <w:rPr>
          <w:szCs w:val="24"/>
        </w:rPr>
        <w:t>/</w:t>
      </w:r>
      <w:proofErr w:type="spellStart"/>
      <w:r>
        <w:rPr>
          <w:szCs w:val="24"/>
          <w:lang w:val="en-US"/>
        </w:rPr>
        <w:t>FRA</w:t>
      </w:r>
      <w:proofErr w:type="spellEnd"/>
      <w:r>
        <w:rPr>
          <w:szCs w:val="24"/>
        </w:rPr>
        <w:t>/</w:t>
      </w:r>
      <w:r>
        <w:rPr>
          <w:szCs w:val="24"/>
          <w:lang w:val="en-US"/>
        </w:rPr>
        <w:t>CO</w:t>
      </w:r>
      <w:r>
        <w:rPr>
          <w:szCs w:val="24"/>
        </w:rPr>
        <w:t xml:space="preserve">/3, пункт 18).  </w:t>
      </w:r>
    </w:p>
    <w:p w:rsidR="00000000" w:rsidRDefault="00000000">
      <w:pPr>
        <w:pStyle w:val="SingleTxtGR"/>
        <w:rPr>
          <w:color w:val="000000"/>
          <w:szCs w:val="24"/>
        </w:rPr>
      </w:pPr>
      <w:r>
        <w:rPr>
          <w:szCs w:val="24"/>
        </w:rPr>
        <w:t>42.</w:t>
      </w:r>
      <w:r>
        <w:rPr>
          <w:szCs w:val="24"/>
        </w:rPr>
        <w:tab/>
        <w:t xml:space="preserve">В 2006 году </w:t>
      </w:r>
      <w:proofErr w:type="spellStart"/>
      <w:r>
        <w:rPr>
          <w:szCs w:val="24"/>
        </w:rPr>
        <w:t>КПП</w:t>
      </w:r>
      <w:proofErr w:type="spellEnd"/>
      <w:r>
        <w:rPr>
          <w:szCs w:val="24"/>
        </w:rPr>
        <w:t xml:space="preserve"> рекомендовал гос</w:t>
      </w:r>
      <w:r>
        <w:rPr>
          <w:szCs w:val="24"/>
        </w:rPr>
        <w:t>у</w:t>
      </w:r>
      <w:r>
        <w:rPr>
          <w:szCs w:val="24"/>
        </w:rPr>
        <w:t>дарству-участнику разработать и осуществлять конкретную стратегию для решения проблемы насилия и запуг</w:t>
      </w:r>
      <w:r>
        <w:rPr>
          <w:szCs w:val="24"/>
        </w:rPr>
        <w:t>и</w:t>
      </w:r>
      <w:r>
        <w:rPr>
          <w:szCs w:val="24"/>
        </w:rPr>
        <w:t>вания среди лиц, содержащихся в центральном п</w:t>
      </w:r>
      <w:r>
        <w:rPr>
          <w:szCs w:val="24"/>
        </w:rPr>
        <w:t>е</w:t>
      </w:r>
      <w:r>
        <w:rPr>
          <w:szCs w:val="24"/>
        </w:rPr>
        <w:t xml:space="preserve">нитенциарном учреждении в </w:t>
      </w:r>
      <w:proofErr w:type="spellStart"/>
      <w:r>
        <w:rPr>
          <w:szCs w:val="24"/>
        </w:rPr>
        <w:t>Мулен-Изёре</w:t>
      </w:r>
      <w:proofErr w:type="spellEnd"/>
      <w:r>
        <w:rPr>
          <w:szCs w:val="24"/>
        </w:rPr>
        <w:t xml:space="preserve"> и в центре предварительного заключения в </w:t>
      </w:r>
      <w:proofErr w:type="spellStart"/>
      <w:r>
        <w:rPr>
          <w:szCs w:val="24"/>
        </w:rPr>
        <w:t>Сейсе</w:t>
      </w:r>
      <w:proofErr w:type="spellEnd"/>
      <w:r>
        <w:rPr>
          <w:szCs w:val="24"/>
        </w:rPr>
        <w:t xml:space="preserve"> (а также во всех других учреждениях, где имеются такие проблемы)</w:t>
      </w:r>
      <w:r>
        <w:rPr>
          <w:color w:val="000000"/>
          <w:szCs w:val="24"/>
        </w:rPr>
        <w:t>. Просьба представить и</w:t>
      </w:r>
      <w:r>
        <w:rPr>
          <w:color w:val="000000"/>
          <w:szCs w:val="24"/>
        </w:rPr>
        <w:t>н</w:t>
      </w:r>
      <w:r>
        <w:rPr>
          <w:color w:val="000000"/>
          <w:szCs w:val="24"/>
        </w:rPr>
        <w:t>формацию о мерах, принятых для выпо</w:t>
      </w:r>
      <w:r>
        <w:rPr>
          <w:color w:val="000000"/>
          <w:szCs w:val="24"/>
        </w:rPr>
        <w:t>л</w:t>
      </w:r>
      <w:r>
        <w:rPr>
          <w:color w:val="000000"/>
          <w:szCs w:val="24"/>
        </w:rPr>
        <w:t>нения этой рекомендации.</w:t>
      </w:r>
    </w:p>
    <w:p w:rsidR="00000000" w:rsidRDefault="00000000">
      <w:pPr>
        <w:pStyle w:val="SingleTxtGR"/>
        <w:rPr>
          <w:color w:val="000000"/>
          <w:szCs w:val="24"/>
        </w:rPr>
      </w:pPr>
      <w:r>
        <w:rPr>
          <w:color w:val="000000"/>
          <w:szCs w:val="24"/>
        </w:rPr>
        <w:t>43.</w:t>
      </w:r>
      <w:r>
        <w:rPr>
          <w:color w:val="000000"/>
          <w:szCs w:val="24"/>
        </w:rPr>
        <w:tab/>
        <w:t>Просьба представить обновленную информацию о мерах, принятых для улучшения услуг тюремной психиатрии в государстве-участнике и для сокр</w:t>
      </w:r>
      <w:r>
        <w:rPr>
          <w:color w:val="000000"/>
          <w:szCs w:val="24"/>
        </w:rPr>
        <w:t>а</w:t>
      </w:r>
      <w:r>
        <w:rPr>
          <w:color w:val="000000"/>
          <w:szCs w:val="24"/>
        </w:rPr>
        <w:t>щения числа сл</w:t>
      </w:r>
      <w:r>
        <w:rPr>
          <w:color w:val="000000"/>
          <w:szCs w:val="24"/>
        </w:rPr>
        <w:t>у</w:t>
      </w:r>
      <w:r>
        <w:rPr>
          <w:color w:val="000000"/>
          <w:szCs w:val="24"/>
        </w:rPr>
        <w:t>чаев психических расстройств среди заключенных.</w:t>
      </w:r>
    </w:p>
    <w:p w:rsidR="00000000" w:rsidRDefault="00000000">
      <w:pPr>
        <w:pStyle w:val="SingleTxtGR"/>
        <w:rPr>
          <w:color w:val="000000"/>
          <w:szCs w:val="24"/>
        </w:rPr>
      </w:pPr>
      <w:r>
        <w:rPr>
          <w:color w:val="000000"/>
          <w:szCs w:val="24"/>
        </w:rPr>
        <w:t>44.</w:t>
      </w:r>
      <w:r>
        <w:rPr>
          <w:color w:val="000000"/>
          <w:szCs w:val="24"/>
        </w:rPr>
        <w:tab/>
        <w:t>Каких результатов и какого прогресса удалось добиться со времени пр</w:t>
      </w:r>
      <w:r>
        <w:rPr>
          <w:color w:val="000000"/>
          <w:szCs w:val="24"/>
        </w:rPr>
        <w:t>и</w:t>
      </w:r>
      <w:r>
        <w:rPr>
          <w:color w:val="000000"/>
          <w:szCs w:val="24"/>
        </w:rPr>
        <w:t>нятия "Плана по созданию условий, обеспечивающих гуманное обращение, и усилению борьбы с бесчеловечным обращением" от 14 марта 2007 года и с к</w:t>
      </w:r>
      <w:r>
        <w:rPr>
          <w:color w:val="000000"/>
          <w:szCs w:val="24"/>
        </w:rPr>
        <w:t>а</w:t>
      </w:r>
      <w:r>
        <w:rPr>
          <w:color w:val="000000"/>
          <w:szCs w:val="24"/>
        </w:rPr>
        <w:t>кими препятствиями сталкивается государство-участник в ходе реализации эт</w:t>
      </w:r>
      <w:r>
        <w:rPr>
          <w:color w:val="000000"/>
          <w:szCs w:val="24"/>
        </w:rPr>
        <w:t>о</w:t>
      </w:r>
      <w:r>
        <w:rPr>
          <w:color w:val="000000"/>
          <w:szCs w:val="24"/>
        </w:rPr>
        <w:t>го плана и в борьбе с жестоким обращением с пожилыми людьми в целом? Просьба также представить информацию о средствах, выделенных государс</w:t>
      </w:r>
      <w:r>
        <w:rPr>
          <w:color w:val="000000"/>
          <w:szCs w:val="24"/>
        </w:rPr>
        <w:t>т</w:t>
      </w:r>
      <w:r>
        <w:rPr>
          <w:color w:val="000000"/>
          <w:szCs w:val="24"/>
        </w:rPr>
        <w:t xml:space="preserve">вом-участником на реализацию этого плана. </w:t>
      </w:r>
    </w:p>
    <w:p w:rsidR="00000000" w:rsidRDefault="00000000">
      <w:pPr>
        <w:pStyle w:val="SingleTxtGR"/>
        <w:rPr>
          <w:color w:val="000000"/>
          <w:szCs w:val="24"/>
        </w:rPr>
      </w:pPr>
      <w:r>
        <w:rPr>
          <w:color w:val="000000"/>
          <w:szCs w:val="24"/>
        </w:rPr>
        <w:t>45.</w:t>
      </w:r>
      <w:r>
        <w:rPr>
          <w:color w:val="000000"/>
          <w:szCs w:val="24"/>
        </w:rPr>
        <w:tab/>
        <w:t>Просьба представить информацию о мерах защиты от жестокого обращ</w:t>
      </w:r>
      <w:r>
        <w:rPr>
          <w:color w:val="000000"/>
          <w:szCs w:val="24"/>
        </w:rPr>
        <w:t>е</w:t>
      </w:r>
      <w:r>
        <w:rPr>
          <w:color w:val="000000"/>
          <w:szCs w:val="24"/>
        </w:rPr>
        <w:t>ния в отношении несопровождаемых несовершеннолетних в зонах ожидания аэропортов. Просьба, в частности, внести ясность в вопрос о содержании под стражей таких несовершеннолетних совместно со взрослыми, а также в связи с утверждениями о применении полицией к таким несовершеннолетним ун</w:t>
      </w:r>
      <w:r>
        <w:rPr>
          <w:color w:val="000000"/>
          <w:szCs w:val="24"/>
        </w:rPr>
        <w:t>и</w:t>
      </w:r>
      <w:r>
        <w:rPr>
          <w:color w:val="000000"/>
          <w:szCs w:val="24"/>
        </w:rPr>
        <w:t>жающего достоинство обращения в период их задержания в зоне ожидания а</w:t>
      </w:r>
      <w:r>
        <w:rPr>
          <w:color w:val="000000"/>
          <w:szCs w:val="24"/>
        </w:rPr>
        <w:t>э</w:t>
      </w:r>
      <w:r>
        <w:rPr>
          <w:color w:val="000000"/>
          <w:szCs w:val="24"/>
        </w:rPr>
        <w:t xml:space="preserve">ропортов или их отправки в свои страны происхождения или в страну транзита. </w:t>
      </w:r>
    </w:p>
    <w:p w:rsidR="00000000" w:rsidRDefault="00000000">
      <w:pPr>
        <w:pStyle w:val="SingleTxtGR"/>
        <w:rPr>
          <w:color w:val="000000"/>
          <w:szCs w:val="24"/>
        </w:rPr>
      </w:pPr>
      <w:r>
        <w:rPr>
          <w:color w:val="000000"/>
          <w:szCs w:val="24"/>
        </w:rPr>
        <w:t>46.</w:t>
      </w:r>
      <w:r>
        <w:rPr>
          <w:color w:val="000000"/>
          <w:szCs w:val="24"/>
        </w:rPr>
        <w:tab/>
        <w:t>Просьба указать, приняло ли государство-участник законодательные м</w:t>
      </w:r>
      <w:r>
        <w:rPr>
          <w:color w:val="000000"/>
          <w:szCs w:val="24"/>
        </w:rPr>
        <w:t>е</w:t>
      </w:r>
      <w:r>
        <w:rPr>
          <w:color w:val="000000"/>
          <w:szCs w:val="24"/>
        </w:rPr>
        <w:t>ры к тому, чтобы насилие в быту рассматривалось в качестве правонарушения. Ссылаясь на заключительные замечания Комитета по экономическим, социал</w:t>
      </w:r>
      <w:r>
        <w:rPr>
          <w:color w:val="000000"/>
          <w:szCs w:val="24"/>
        </w:rPr>
        <w:t>ь</w:t>
      </w:r>
      <w:r>
        <w:rPr>
          <w:color w:val="000000"/>
          <w:szCs w:val="24"/>
        </w:rPr>
        <w:t>ным и культурным правам (Е/</w:t>
      </w:r>
      <w:proofErr w:type="spellStart"/>
      <w:r>
        <w:rPr>
          <w:color w:val="000000"/>
          <w:szCs w:val="24"/>
        </w:rPr>
        <w:t>С.12</w:t>
      </w:r>
      <w:proofErr w:type="spellEnd"/>
      <w:r>
        <w:rPr>
          <w:color w:val="000000"/>
          <w:szCs w:val="24"/>
        </w:rPr>
        <w:t>/</w:t>
      </w:r>
      <w:proofErr w:type="spellStart"/>
      <w:r>
        <w:rPr>
          <w:color w:val="000000"/>
          <w:szCs w:val="24"/>
          <w:lang w:val="en-US"/>
        </w:rPr>
        <w:t>FRA</w:t>
      </w:r>
      <w:proofErr w:type="spellEnd"/>
      <w:r>
        <w:rPr>
          <w:color w:val="000000"/>
          <w:szCs w:val="24"/>
        </w:rPr>
        <w:t>/</w:t>
      </w:r>
      <w:r>
        <w:rPr>
          <w:color w:val="000000"/>
          <w:szCs w:val="24"/>
          <w:lang w:val="en-US"/>
        </w:rPr>
        <w:t>CO</w:t>
      </w:r>
      <w:r>
        <w:rPr>
          <w:color w:val="000000"/>
          <w:szCs w:val="24"/>
        </w:rPr>
        <w:t>/3, пункт 39) и Комитета по ликв</w:t>
      </w:r>
      <w:r>
        <w:rPr>
          <w:color w:val="000000"/>
          <w:szCs w:val="24"/>
        </w:rPr>
        <w:t>и</w:t>
      </w:r>
      <w:r>
        <w:rPr>
          <w:color w:val="000000"/>
          <w:szCs w:val="24"/>
        </w:rPr>
        <w:t>дации дискриминации в отношении женщин (</w:t>
      </w:r>
      <w:proofErr w:type="spellStart"/>
      <w:r>
        <w:rPr>
          <w:color w:val="000000"/>
          <w:szCs w:val="24"/>
          <w:lang w:val="en-US"/>
        </w:rPr>
        <w:t>CEDAW</w:t>
      </w:r>
      <w:proofErr w:type="spellEnd"/>
      <w:r>
        <w:rPr>
          <w:color w:val="000000"/>
          <w:szCs w:val="24"/>
        </w:rPr>
        <w:t>/</w:t>
      </w:r>
      <w:r>
        <w:rPr>
          <w:color w:val="000000"/>
          <w:szCs w:val="24"/>
          <w:lang w:val="en-US"/>
        </w:rPr>
        <w:t>C</w:t>
      </w:r>
      <w:r>
        <w:rPr>
          <w:color w:val="000000"/>
          <w:szCs w:val="24"/>
        </w:rPr>
        <w:t>/</w:t>
      </w:r>
      <w:proofErr w:type="spellStart"/>
      <w:r>
        <w:rPr>
          <w:color w:val="000000"/>
          <w:szCs w:val="24"/>
          <w:lang w:val="en-US"/>
        </w:rPr>
        <w:t>FRA</w:t>
      </w:r>
      <w:proofErr w:type="spellEnd"/>
      <w:r>
        <w:rPr>
          <w:color w:val="000000"/>
          <w:szCs w:val="24"/>
        </w:rPr>
        <w:t>/</w:t>
      </w:r>
      <w:r>
        <w:rPr>
          <w:color w:val="000000"/>
          <w:szCs w:val="24"/>
          <w:lang w:val="en-US"/>
        </w:rPr>
        <w:t>CO</w:t>
      </w:r>
      <w:r>
        <w:rPr>
          <w:color w:val="000000"/>
          <w:szCs w:val="24"/>
        </w:rPr>
        <w:t>/6, пункт 29), Комитет хотел бы получить информацию о мерах, принятых в целях информ</w:t>
      </w:r>
      <w:r>
        <w:rPr>
          <w:color w:val="000000"/>
          <w:szCs w:val="24"/>
        </w:rPr>
        <w:t>и</w:t>
      </w:r>
      <w:r>
        <w:rPr>
          <w:color w:val="000000"/>
          <w:szCs w:val="24"/>
        </w:rPr>
        <w:t xml:space="preserve">рования общественности о серьезности этого правонарушения, и о механизмах, которые имеются в распоряжении жертв насилия в быту. </w:t>
      </w:r>
    </w:p>
    <w:p w:rsidR="00000000" w:rsidRDefault="00000000">
      <w:pPr>
        <w:pStyle w:val="SingleTxtGR"/>
        <w:rPr>
          <w:color w:val="000000"/>
          <w:szCs w:val="24"/>
        </w:rPr>
      </w:pPr>
      <w:r>
        <w:rPr>
          <w:color w:val="000000"/>
          <w:szCs w:val="24"/>
        </w:rPr>
        <w:t>47.</w:t>
      </w:r>
      <w:r>
        <w:rPr>
          <w:color w:val="000000"/>
          <w:szCs w:val="24"/>
        </w:rPr>
        <w:tab/>
        <w:t>Просьба представить дезагрегированные статистические данные, позв</w:t>
      </w:r>
      <w:r>
        <w:rPr>
          <w:color w:val="000000"/>
          <w:szCs w:val="24"/>
        </w:rPr>
        <w:t>о</w:t>
      </w:r>
      <w:r>
        <w:rPr>
          <w:color w:val="000000"/>
          <w:szCs w:val="24"/>
        </w:rPr>
        <w:t>ляющие оценить масштабы торговли людьми и сексуальной эксплуатации, имеющей место в государстве-участнике. Просьба также указать, было ли пр</w:t>
      </w:r>
      <w:r>
        <w:rPr>
          <w:color w:val="000000"/>
          <w:szCs w:val="24"/>
        </w:rPr>
        <w:t>о</w:t>
      </w:r>
      <w:r>
        <w:rPr>
          <w:color w:val="000000"/>
          <w:szCs w:val="24"/>
        </w:rPr>
        <w:t>ведено всестороннее изучение вопроса о воздействии закона от 18 марта 2003 года, касающегося внутренней безопасности, который запрещает пасси</w:t>
      </w:r>
      <w:r>
        <w:rPr>
          <w:color w:val="000000"/>
          <w:szCs w:val="24"/>
        </w:rPr>
        <w:t>в</w:t>
      </w:r>
      <w:r>
        <w:rPr>
          <w:color w:val="000000"/>
          <w:szCs w:val="24"/>
        </w:rPr>
        <w:t>ное предложение сексуальных услуг, как это было рекоменд</w:t>
      </w:r>
      <w:r>
        <w:rPr>
          <w:color w:val="000000"/>
          <w:szCs w:val="24"/>
        </w:rPr>
        <w:t>о</w:t>
      </w:r>
      <w:r>
        <w:rPr>
          <w:color w:val="000000"/>
          <w:szCs w:val="24"/>
        </w:rPr>
        <w:t>вано Комитетом по ликвидации дискриминации в отношении же</w:t>
      </w:r>
      <w:r>
        <w:rPr>
          <w:color w:val="000000"/>
          <w:szCs w:val="24"/>
        </w:rPr>
        <w:t>н</w:t>
      </w:r>
      <w:r>
        <w:rPr>
          <w:color w:val="000000"/>
          <w:szCs w:val="24"/>
        </w:rPr>
        <w:t>щин.</w:t>
      </w:r>
    </w:p>
    <w:p w:rsidR="00000000" w:rsidRDefault="00000000">
      <w:pPr>
        <w:pStyle w:val="SingleTxtGR"/>
        <w:rPr>
          <w:color w:val="000000"/>
          <w:szCs w:val="24"/>
        </w:rPr>
      </w:pPr>
      <w:r>
        <w:rPr>
          <w:color w:val="000000"/>
          <w:szCs w:val="24"/>
        </w:rPr>
        <w:t>48.</w:t>
      </w:r>
      <w:r>
        <w:rPr>
          <w:color w:val="000000"/>
          <w:szCs w:val="24"/>
        </w:rPr>
        <w:tab/>
        <w:t>Просьба указать, какие законодательные меры приняты государством-участником для того, чтобы конкретно запретить телесные наказания во всех местах, в том числе в семьях, школах, детских учреждениях и в других местах по уходу за детьми. Какие меры были предприняты в рамках проводимой Сов</w:t>
      </w:r>
      <w:r>
        <w:rPr>
          <w:color w:val="000000"/>
          <w:szCs w:val="24"/>
        </w:rPr>
        <w:t>е</w:t>
      </w:r>
      <w:r>
        <w:rPr>
          <w:color w:val="000000"/>
          <w:szCs w:val="24"/>
        </w:rPr>
        <w:t>том Европы кампании по достижению полного запрещения всех форм теле</w:t>
      </w:r>
      <w:r>
        <w:rPr>
          <w:color w:val="000000"/>
          <w:szCs w:val="24"/>
        </w:rPr>
        <w:t>с</w:t>
      </w:r>
      <w:r>
        <w:rPr>
          <w:color w:val="000000"/>
          <w:szCs w:val="24"/>
        </w:rPr>
        <w:t xml:space="preserve">ных наказаний? </w:t>
      </w:r>
    </w:p>
    <w:p w:rsidR="00000000" w:rsidRDefault="00000000">
      <w:pPr>
        <w:pStyle w:val="H1GR"/>
      </w:pPr>
      <w:r>
        <w:tab/>
      </w:r>
      <w:r>
        <w:tab/>
        <w:t>Прочие вопросы</w:t>
      </w:r>
    </w:p>
    <w:p w:rsidR="00000000" w:rsidRDefault="00000000">
      <w:pPr>
        <w:pStyle w:val="SingleTxtGR"/>
        <w:rPr>
          <w:color w:val="000000"/>
          <w:szCs w:val="24"/>
        </w:rPr>
      </w:pPr>
      <w:r>
        <w:rPr>
          <w:color w:val="000000"/>
          <w:szCs w:val="24"/>
        </w:rPr>
        <w:t>49.</w:t>
      </w:r>
      <w:r>
        <w:rPr>
          <w:color w:val="000000"/>
          <w:szCs w:val="24"/>
        </w:rPr>
        <w:tab/>
        <w:t xml:space="preserve">В свете соответствующих резолюций Совета Безопасности Организации Объединенных Наций просьба представить информацию о законодательных, административных и иных мерах, принятых государством перед лицом </w:t>
      </w:r>
      <w:r>
        <w:rPr>
          <w:color w:val="000000"/>
          <w:szCs w:val="24"/>
        </w:rPr>
        <w:br/>
        <w:t>терр</w:t>
      </w:r>
      <w:r>
        <w:rPr>
          <w:color w:val="000000"/>
          <w:szCs w:val="24"/>
        </w:rPr>
        <w:t>о</w:t>
      </w:r>
      <w:r>
        <w:rPr>
          <w:color w:val="000000"/>
          <w:szCs w:val="24"/>
        </w:rPr>
        <w:t>ристических угроз, и описать последствия, которые могли иметь эти меры в сфере з</w:t>
      </w:r>
      <w:r>
        <w:rPr>
          <w:color w:val="000000"/>
          <w:szCs w:val="24"/>
        </w:rPr>
        <w:t>а</w:t>
      </w:r>
      <w:r>
        <w:rPr>
          <w:color w:val="000000"/>
          <w:szCs w:val="24"/>
        </w:rPr>
        <w:t>конодательства и на практике для гарантий в области прав человека.</w:t>
      </w:r>
    </w:p>
    <w:p w:rsidR="00000000" w:rsidRDefault="00000000">
      <w:pPr>
        <w:pStyle w:val="SingleTxtGR"/>
        <w:rPr>
          <w:color w:val="000000"/>
          <w:szCs w:val="24"/>
        </w:rPr>
      </w:pPr>
      <w:r>
        <w:rPr>
          <w:color w:val="000000"/>
          <w:szCs w:val="24"/>
        </w:rPr>
        <w:t>50.</w:t>
      </w:r>
      <w:r>
        <w:rPr>
          <w:color w:val="000000"/>
          <w:szCs w:val="24"/>
        </w:rPr>
        <w:tab/>
        <w:t>Комитет по правам человека в своих предыдущих заключительных зам</w:t>
      </w:r>
      <w:r>
        <w:rPr>
          <w:color w:val="000000"/>
          <w:szCs w:val="24"/>
        </w:rPr>
        <w:t>е</w:t>
      </w:r>
      <w:r>
        <w:rPr>
          <w:color w:val="000000"/>
          <w:szCs w:val="24"/>
        </w:rPr>
        <w:t>чаниях (</w:t>
      </w:r>
      <w:proofErr w:type="spellStart"/>
      <w:r>
        <w:rPr>
          <w:color w:val="000000"/>
          <w:szCs w:val="24"/>
          <w:lang w:val="en-US"/>
        </w:rPr>
        <w:t>CCPR</w:t>
      </w:r>
      <w:proofErr w:type="spellEnd"/>
      <w:r>
        <w:rPr>
          <w:color w:val="000000"/>
          <w:szCs w:val="24"/>
        </w:rPr>
        <w:t>/</w:t>
      </w:r>
      <w:r>
        <w:rPr>
          <w:color w:val="000000"/>
          <w:szCs w:val="24"/>
          <w:lang w:val="en-US"/>
        </w:rPr>
        <w:t>C</w:t>
      </w:r>
      <w:r>
        <w:rPr>
          <w:color w:val="000000"/>
          <w:szCs w:val="24"/>
        </w:rPr>
        <w:t>/</w:t>
      </w:r>
      <w:proofErr w:type="spellStart"/>
      <w:r>
        <w:rPr>
          <w:color w:val="000000"/>
          <w:szCs w:val="24"/>
          <w:lang w:val="en-US"/>
        </w:rPr>
        <w:t>FRA</w:t>
      </w:r>
      <w:proofErr w:type="spellEnd"/>
      <w:r>
        <w:rPr>
          <w:color w:val="000000"/>
          <w:szCs w:val="24"/>
        </w:rPr>
        <w:t>/</w:t>
      </w:r>
      <w:r>
        <w:rPr>
          <w:color w:val="000000"/>
          <w:szCs w:val="24"/>
          <w:lang w:val="en-US"/>
        </w:rPr>
        <w:t>CO</w:t>
      </w:r>
      <w:r>
        <w:rPr>
          <w:color w:val="000000"/>
          <w:szCs w:val="24"/>
        </w:rPr>
        <w:t>/4) рекомендовал государству-участнику предоста</w:t>
      </w:r>
      <w:r>
        <w:rPr>
          <w:color w:val="000000"/>
          <w:szCs w:val="24"/>
        </w:rPr>
        <w:t>в</w:t>
      </w:r>
      <w:r>
        <w:rPr>
          <w:color w:val="000000"/>
          <w:szCs w:val="24"/>
        </w:rPr>
        <w:t>лять задержанным по подозрению в терроризме лицам право на безотлагател</w:t>
      </w:r>
      <w:r>
        <w:rPr>
          <w:color w:val="000000"/>
          <w:szCs w:val="24"/>
        </w:rPr>
        <w:t>ь</w:t>
      </w:r>
      <w:r>
        <w:rPr>
          <w:color w:val="000000"/>
          <w:szCs w:val="24"/>
        </w:rPr>
        <w:t>ный доступ к адвокату; ограничить продолжительность досудебного содерж</w:t>
      </w:r>
      <w:r>
        <w:rPr>
          <w:color w:val="000000"/>
          <w:szCs w:val="24"/>
        </w:rPr>
        <w:t>а</w:t>
      </w:r>
      <w:r>
        <w:rPr>
          <w:color w:val="000000"/>
          <w:szCs w:val="24"/>
        </w:rPr>
        <w:t>ния под стражей и повысить роль "судей по вопросам свободы и содержания под стражей". Просьба представить информацию о мерах, принятых для в</w:t>
      </w:r>
      <w:r>
        <w:rPr>
          <w:color w:val="000000"/>
          <w:szCs w:val="24"/>
        </w:rPr>
        <w:t>ы</w:t>
      </w:r>
      <w:r>
        <w:rPr>
          <w:color w:val="000000"/>
          <w:szCs w:val="24"/>
        </w:rPr>
        <w:t>полнения этой рекоменд</w:t>
      </w:r>
      <w:r>
        <w:rPr>
          <w:color w:val="000000"/>
          <w:szCs w:val="24"/>
        </w:rPr>
        <w:t>а</w:t>
      </w:r>
      <w:r>
        <w:rPr>
          <w:color w:val="000000"/>
          <w:szCs w:val="24"/>
        </w:rPr>
        <w:t>ции.</w:t>
      </w:r>
    </w:p>
    <w:p w:rsidR="00000000" w:rsidRDefault="00000000">
      <w:pPr>
        <w:pStyle w:val="SingleTxtGR"/>
        <w:rPr>
          <w:color w:val="000000"/>
          <w:szCs w:val="24"/>
        </w:rPr>
      </w:pPr>
      <w:r>
        <w:rPr>
          <w:color w:val="000000"/>
          <w:szCs w:val="24"/>
        </w:rPr>
        <w:t>51.</w:t>
      </w:r>
      <w:r>
        <w:rPr>
          <w:color w:val="000000"/>
          <w:szCs w:val="24"/>
        </w:rPr>
        <w:tab/>
        <w:t>По вопросу о сочетании таких тем, как "национальная идентичность" и "иммиграция", нашедших выражение в названии Министерство иммиграции, интеграции, национальной идентичности и совместного развития, созданного в рамках нынешнего правительства, Комитет желал бы знать, каким образом г</w:t>
      </w:r>
      <w:r>
        <w:rPr>
          <w:color w:val="000000"/>
          <w:szCs w:val="24"/>
        </w:rPr>
        <w:t>о</w:t>
      </w:r>
      <w:r>
        <w:rPr>
          <w:color w:val="000000"/>
          <w:szCs w:val="24"/>
        </w:rPr>
        <w:t xml:space="preserve">сударство-участник предполагает не допускать актов дискриминации, которые могли бы явиться прямым следствием ассоциации этих понятий, сознавая, что такие акты дискриминации могут сами по себе являться возможным мотивом совершения актов пыток и жестокого обращения. </w:t>
      </w:r>
    </w:p>
    <w:p w:rsidR="00000000" w:rsidRDefault="00000000">
      <w:pPr>
        <w:pStyle w:val="SingleTxtGR"/>
        <w:rPr>
          <w:color w:val="000000"/>
          <w:szCs w:val="24"/>
        </w:rPr>
      </w:pPr>
      <w:r>
        <w:rPr>
          <w:color w:val="000000"/>
          <w:szCs w:val="24"/>
        </w:rPr>
        <w:t>52.</w:t>
      </w:r>
      <w:r>
        <w:rPr>
          <w:color w:val="000000"/>
          <w:szCs w:val="24"/>
        </w:rPr>
        <w:tab/>
        <w:t xml:space="preserve">Просьба указать, в какой мере рекомендации, содержащиеся в докладе </w:t>
      </w:r>
      <w:proofErr w:type="spellStart"/>
      <w:r>
        <w:rPr>
          <w:color w:val="000000"/>
          <w:szCs w:val="24"/>
        </w:rPr>
        <w:t>Леже</w:t>
      </w:r>
      <w:proofErr w:type="spellEnd"/>
      <w:r>
        <w:rPr>
          <w:color w:val="000000"/>
          <w:szCs w:val="24"/>
        </w:rPr>
        <w:t>, который, как представляется, предусматривает исключительные полн</w:t>
      </w:r>
      <w:r>
        <w:rPr>
          <w:color w:val="000000"/>
          <w:szCs w:val="24"/>
        </w:rPr>
        <w:t>о</w:t>
      </w:r>
      <w:r>
        <w:rPr>
          <w:color w:val="000000"/>
          <w:szCs w:val="24"/>
        </w:rPr>
        <w:t>мочия прокуратуры в вопросах проведения расследования и уголовного суд</w:t>
      </w:r>
      <w:r>
        <w:rPr>
          <w:color w:val="000000"/>
          <w:szCs w:val="24"/>
        </w:rPr>
        <w:t>о</w:t>
      </w:r>
      <w:r>
        <w:rPr>
          <w:color w:val="000000"/>
          <w:szCs w:val="24"/>
        </w:rPr>
        <w:t>производства, могут ограничивать возможность проведения беспристрастных расследований по заявлениям об актах пыток.</w:t>
      </w:r>
    </w:p>
    <w:p w:rsidR="00000000" w:rsidRDefault="00000000">
      <w:pPr>
        <w:pStyle w:val="SingleTxtGR"/>
        <w:rPr>
          <w:color w:val="000000"/>
          <w:szCs w:val="24"/>
        </w:rPr>
      </w:pPr>
      <w:r>
        <w:rPr>
          <w:color w:val="000000"/>
          <w:szCs w:val="24"/>
        </w:rPr>
        <w:t>53.</w:t>
      </w:r>
      <w:r>
        <w:rPr>
          <w:color w:val="000000"/>
          <w:szCs w:val="24"/>
        </w:rPr>
        <w:tab/>
        <w:t>Просьба указать, был ли принят проект закона о ратификации Факульт</w:t>
      </w:r>
      <w:r>
        <w:rPr>
          <w:color w:val="000000"/>
          <w:szCs w:val="24"/>
        </w:rPr>
        <w:t>а</w:t>
      </w:r>
      <w:r>
        <w:rPr>
          <w:color w:val="000000"/>
          <w:szCs w:val="24"/>
        </w:rPr>
        <w:t>тивного протокола к Конвенции (пункт 105), а также сообщить о сроках всту</w:t>
      </w:r>
      <w:r>
        <w:rPr>
          <w:color w:val="000000"/>
          <w:szCs w:val="24"/>
        </w:rPr>
        <w:t>п</w:t>
      </w:r>
      <w:r>
        <w:rPr>
          <w:color w:val="000000"/>
          <w:szCs w:val="24"/>
        </w:rPr>
        <w:t>ления в силу во Франции этого документа.</w:t>
      </w:r>
    </w:p>
    <w:p w:rsidR="00000000" w:rsidRDefault="00000000">
      <w:pPr>
        <w:pStyle w:val="SingleTxtGR"/>
      </w:pPr>
      <w:r>
        <w:rPr>
          <w:color w:val="000000"/>
          <w:szCs w:val="24"/>
        </w:rPr>
        <w:t>54.</w:t>
      </w:r>
      <w:r>
        <w:rPr>
          <w:color w:val="000000"/>
          <w:szCs w:val="24"/>
        </w:rPr>
        <w:tab/>
        <w:t>Просьба указать, какие меры были приняты государством-участником для шир</w:t>
      </w:r>
      <w:r>
        <w:rPr>
          <w:color w:val="000000"/>
          <w:szCs w:val="24"/>
        </w:rPr>
        <w:t>о</w:t>
      </w:r>
      <w:r>
        <w:rPr>
          <w:color w:val="000000"/>
          <w:szCs w:val="24"/>
        </w:rPr>
        <w:t xml:space="preserve">кого распространения докладов, которые он представляет Комитету, а также выводов и рекомендаций Комитета через средства массовой информации, официальные </w:t>
      </w:r>
      <w:proofErr w:type="spellStart"/>
      <w:r>
        <w:rPr>
          <w:color w:val="000000"/>
          <w:szCs w:val="24"/>
        </w:rPr>
        <w:t>вебсайты</w:t>
      </w:r>
      <w:proofErr w:type="spellEnd"/>
      <w:r>
        <w:rPr>
          <w:color w:val="000000"/>
          <w:szCs w:val="24"/>
        </w:rPr>
        <w:t xml:space="preserve"> и неправительственные организации.</w:t>
      </w:r>
    </w:p>
    <w:p w:rsidR="00000000" w:rsidRDefault="00000000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000000" w:rsidRDefault="00000000">
      <w:pPr>
        <w:pStyle w:val="SingleTxtGR"/>
      </w:pPr>
    </w:p>
    <w:sectPr w:rsidR="000000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rPr>
          <w:lang w:val="en-US"/>
        </w:rPr>
        <w:tab/>
      </w:r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GE.10-40179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b/>
        <w:sz w:val="18"/>
        <w:szCs w:val="18"/>
        <w:lang w:val="en-US"/>
      </w:rPr>
    </w:pPr>
    <w:r>
      <w:rPr>
        <w:lang w:val="en-US"/>
      </w:rPr>
      <w:t>GE.10-40179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sz w:val="20"/>
        <w:lang w:val="en-US"/>
      </w:rPr>
    </w:pPr>
    <w:r>
      <w:rPr>
        <w:sz w:val="20"/>
        <w:lang w:val="en-US"/>
      </w:rPr>
      <w:t>GE.10-40179  (R)    020210    030210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000000" w:rsidRDefault="00000000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>
        <w:rPr>
          <w:u w:val="single"/>
          <w:lang w:val="en-US"/>
        </w:rPr>
        <w:tab/>
      </w:r>
    </w:p>
    <w:p w:rsidR="00000000" w:rsidRDefault="00000000">
      <w:pPr>
        <w:pStyle w:val="Footer"/>
      </w:pPr>
    </w:p>
  </w:footnote>
  <w:footnote w:id="1">
    <w:p w:rsidR="00000000" w:rsidRDefault="00000000">
      <w:pPr>
        <w:pStyle w:val="FootnoteText"/>
        <w:rPr>
          <w:sz w:val="20"/>
          <w:lang w:val="ru-RU"/>
        </w:rPr>
      </w:pPr>
      <w:r>
        <w:tab/>
      </w:r>
      <w:r>
        <w:rPr>
          <w:rStyle w:val="FootnoteReference"/>
          <w:sz w:val="20"/>
          <w:vertAlign w:val="baseline"/>
          <w:lang w:val="ru-RU"/>
        </w:rPr>
        <w:t>*</w:t>
      </w:r>
      <w:r>
        <w:rPr>
          <w:lang w:val="ru-RU"/>
        </w:rPr>
        <w:tab/>
        <w:t xml:space="preserve">Номера пунктов, указанные в настоящем документе в скобках, соответствуют номерам пунктов доклада государства-участника, который опубликован под условным обозначением </w:t>
      </w:r>
      <w:r>
        <w:rPr>
          <w:lang w:val="en-US"/>
        </w:rPr>
        <w:t>CAT</w:t>
      </w:r>
      <w:r>
        <w:rPr>
          <w:lang w:val="ru-RU"/>
        </w:rPr>
        <w:t>/</w:t>
      </w:r>
      <w:r>
        <w:rPr>
          <w:lang w:val="en-US"/>
        </w:rPr>
        <w:t>C</w:t>
      </w:r>
      <w:r>
        <w:rPr>
          <w:lang w:val="ru-RU"/>
        </w:rPr>
        <w:t>/</w:t>
      </w:r>
      <w:r>
        <w:rPr>
          <w:lang w:val="en-US"/>
        </w:rPr>
        <w:t>FRA</w:t>
      </w:r>
      <w:r>
        <w:rPr>
          <w:lang w:val="ru-RU"/>
        </w:rPr>
        <w:t>/4-6.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lang w:val="en-US"/>
      </w:rPr>
      <w:t>CAT/C/FRA/Q/4-6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lang w:val="en-US"/>
      </w:rPr>
      <w:tab/>
      <w:t>CAT/C/FRA/Q/4-6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</w:style>
  <w:style w:type="paragraph" w:customStyle="1" w:styleId="SLGR">
    <w:name w:val="__S_L_GR"/>
    <w:basedOn w:val="Normal"/>
    <w:next w:val="Normal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pPr>
      <w:numPr>
        <w:numId w:val="4"/>
      </w:numPr>
    </w:pPr>
  </w:style>
  <w:style w:type="numbering" w:styleId="1ai">
    <w:name w:val="Outline List 1"/>
    <w:basedOn w:val="NoList"/>
    <w:semiHidden/>
    <w:pPr>
      <w:numPr>
        <w:numId w:val="5"/>
      </w:numPr>
    </w:pPr>
  </w:style>
  <w:style w:type="paragraph" w:styleId="HTMLAddress">
    <w:name w:val="HTML Address"/>
    <w:basedOn w:val="Normal"/>
    <w:semiHidden/>
    <w:rPr>
      <w:i/>
      <w:iCs/>
    </w:rPr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</w:style>
  <w:style w:type="paragraph" w:styleId="ListBullet5">
    <w:name w:val="List Bullet 5"/>
    <w:basedOn w:val="Normal"/>
    <w:semiHidden/>
    <w:pPr>
      <w:numPr>
        <w:numId w:val="10"/>
      </w:numPr>
    </w:pPr>
  </w:style>
  <w:style w:type="table" w:styleId="TableGrid">
    <w:name w:val="Table Grid"/>
    <w:basedOn w:val="TableNormal"/>
    <w:semiHidden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</w:style>
  <w:style w:type="paragraph" w:styleId="FootnoteText">
    <w:name w:val="footnote text"/>
    <w:aliases w:val="5_GR"/>
    <w:basedOn w:val="Normal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</w:style>
  <w:style w:type="table" w:styleId="TableWeb1">
    <w:name w:val="Table Web 1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Pr>
      <w:i/>
      <w:iCs/>
    </w:rPr>
  </w:style>
  <w:style w:type="paragraph" w:styleId="NoteHeading">
    <w:name w:val="Note Heading"/>
    <w:basedOn w:val="Normal"/>
    <w:next w:val="Normal"/>
    <w:semiHidden/>
  </w:style>
  <w:style w:type="table" w:styleId="TableElegant">
    <w:name w:val="Table Elegant"/>
    <w:basedOn w:val="TableNormal"/>
    <w:semiHidden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</w:style>
  <w:style w:type="paragraph" w:styleId="BodyTextFirstIndent">
    <w:name w:val="Body Text First Indent"/>
    <w:basedOn w:val="BodyText"/>
    <w:semiHidden/>
    <w:pPr>
      <w:ind w:firstLine="210"/>
    </w:pPr>
  </w:style>
  <w:style w:type="paragraph" w:styleId="BodyTextIndent">
    <w:name w:val="Body Text Indent"/>
    <w:basedOn w:val="Normal"/>
    <w:semiHidden/>
    <w:pPr>
      <w:ind w:left="283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ListBullet">
    <w:name w:val="List Bullet"/>
    <w:basedOn w:val="Normal"/>
    <w:semiHidden/>
    <w:pPr>
      <w:numPr>
        <w:numId w:val="6"/>
      </w:numPr>
    </w:pPr>
  </w:style>
  <w:style w:type="paragraph" w:styleId="ListBullet2">
    <w:name w:val="List Bullet 2"/>
    <w:basedOn w:val="Normal"/>
    <w:semiHidden/>
    <w:pPr>
      <w:numPr>
        <w:numId w:val="7"/>
      </w:numPr>
    </w:pPr>
  </w:style>
  <w:style w:type="paragraph" w:styleId="ListBullet3">
    <w:name w:val="List Bullet 3"/>
    <w:basedOn w:val="Normal"/>
    <w:semiHidden/>
    <w:pPr>
      <w:numPr>
        <w:numId w:val="8"/>
      </w:numPr>
    </w:pPr>
  </w:style>
  <w:style w:type="paragraph" w:styleId="ListBullet4">
    <w:name w:val="List Bullet 4"/>
    <w:basedOn w:val="Normal"/>
    <w:semiHidden/>
    <w:pPr>
      <w:numPr>
        <w:numId w:val="9"/>
      </w:numPr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</w:style>
  <w:style w:type="paragraph" w:styleId="ListNumber">
    <w:name w:val="List Number"/>
    <w:basedOn w:val="Normal"/>
    <w:semiHidden/>
    <w:pPr>
      <w:numPr>
        <w:numId w:val="11"/>
      </w:numPr>
    </w:pPr>
  </w:style>
  <w:style w:type="paragraph" w:styleId="ListNumber2">
    <w:name w:val="List Number 2"/>
    <w:basedOn w:val="Normal"/>
    <w:semiHidden/>
    <w:pPr>
      <w:numPr>
        <w:numId w:val="12"/>
      </w:numPr>
    </w:pPr>
  </w:style>
  <w:style w:type="paragraph" w:styleId="ListNumber3">
    <w:name w:val="List Number 3"/>
    <w:basedOn w:val="Normal"/>
    <w:semiHidden/>
    <w:pPr>
      <w:numPr>
        <w:numId w:val="13"/>
      </w:numPr>
    </w:pPr>
  </w:style>
  <w:style w:type="paragraph" w:styleId="ListNumber4">
    <w:name w:val="List Number 4"/>
    <w:basedOn w:val="Normal"/>
    <w:semiHidden/>
    <w:pPr>
      <w:numPr>
        <w:numId w:val="14"/>
      </w:numPr>
    </w:pPr>
  </w:style>
  <w:style w:type="paragraph" w:styleId="ListNumber5">
    <w:name w:val="List Number 5"/>
    <w:basedOn w:val="Normal"/>
    <w:semiHidden/>
    <w:pPr>
      <w:numPr>
        <w:numId w:val="15"/>
      </w:numPr>
    </w:pPr>
  </w:style>
  <w:style w:type="character" w:styleId="HTMLSample">
    <w:name w:val="HTML Sample"/>
    <w:semiHidden/>
    <w:rPr>
      <w:rFonts w:ascii="Courier New" w:hAnsi="Courier New" w:cs="Courier New"/>
    </w:rPr>
  </w:style>
  <w:style w:type="paragraph" w:styleId="EnvelopeReturn">
    <w:name w:val="envelope return"/>
    <w:basedOn w:val="Normal"/>
    <w:semiHidden/>
    <w:rPr>
      <w:rFonts w:ascii="Arial" w:hAnsi="Arial" w:cs="Arial"/>
    </w:rPr>
  </w:style>
  <w:style w:type="table" w:styleId="Table3Deffects1">
    <w:name w:val="Table 3D effects 1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Pr>
      <w:sz w:val="24"/>
    </w:rPr>
  </w:style>
  <w:style w:type="paragraph" w:styleId="NormalIndent">
    <w:name w:val="Normal Indent"/>
    <w:basedOn w:val="Normal"/>
    <w:semiHidden/>
    <w:pPr>
      <w:ind w:left="567"/>
    </w:pPr>
  </w:style>
  <w:style w:type="character" w:styleId="HTMLDefinition">
    <w:name w:val="HTML Definition"/>
    <w:semiHidden/>
    <w:rPr>
      <w:i/>
      <w:iCs/>
    </w:rPr>
  </w:style>
  <w:style w:type="paragraph" w:styleId="BodyText2">
    <w:name w:val="Body Text 2"/>
    <w:basedOn w:val="Normal"/>
    <w:semiHidden/>
    <w:pPr>
      <w:spacing w:line="480" w:lineRule="auto"/>
    </w:pPr>
  </w:style>
  <w:style w:type="paragraph" w:styleId="BodyText3">
    <w:name w:val="Body Text 3"/>
    <w:basedOn w:val="Normal"/>
    <w:semiHidden/>
    <w:rPr>
      <w:sz w:val="16"/>
      <w:szCs w:val="16"/>
    </w:rPr>
  </w:style>
  <w:style w:type="paragraph" w:styleId="BodyTextIndent2">
    <w:name w:val="Body Text Indent 2"/>
    <w:basedOn w:val="Normal"/>
    <w:semiHidden/>
    <w:pPr>
      <w:spacing w:line="480" w:lineRule="auto"/>
      <w:ind w:left="283"/>
    </w:pPr>
  </w:style>
  <w:style w:type="paragraph" w:styleId="BodyTextIndent3">
    <w:name w:val="Body Text Indent 3"/>
    <w:basedOn w:val="Normal"/>
    <w:semiHidden/>
    <w:pPr>
      <w:ind w:left="283"/>
    </w:pPr>
    <w:rPr>
      <w:sz w:val="16"/>
      <w:szCs w:val="16"/>
    </w:rPr>
  </w:style>
  <w:style w:type="character" w:styleId="HTMLVariable">
    <w:name w:val="HTML Variable"/>
    <w:semiHidden/>
    <w:rPr>
      <w:i/>
      <w:iCs/>
    </w:rPr>
  </w:style>
  <w:style w:type="character" w:styleId="HTMLTypewriter">
    <w:name w:val="HTML Typewriter"/>
    <w:semiHidden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pPr>
      <w:ind w:left="4252"/>
    </w:pPr>
  </w:style>
  <w:style w:type="paragraph" w:styleId="Salutation">
    <w:name w:val="Salutation"/>
    <w:basedOn w:val="Normal"/>
    <w:next w:val="Normal"/>
    <w:semiHidden/>
  </w:style>
  <w:style w:type="paragraph" w:styleId="ListContinue">
    <w:name w:val="List Continue"/>
    <w:basedOn w:val="Normal"/>
    <w:semiHidden/>
    <w:pPr>
      <w:ind w:left="283"/>
    </w:pPr>
  </w:style>
  <w:style w:type="paragraph" w:styleId="ListContinue2">
    <w:name w:val="List Continue 2"/>
    <w:basedOn w:val="Normal"/>
    <w:semiHidden/>
    <w:pPr>
      <w:ind w:left="566"/>
    </w:pPr>
  </w:style>
  <w:style w:type="paragraph" w:styleId="ListContinue3">
    <w:name w:val="List Continue 3"/>
    <w:basedOn w:val="Normal"/>
    <w:semiHidden/>
    <w:pPr>
      <w:ind w:left="849"/>
    </w:pPr>
  </w:style>
  <w:style w:type="paragraph" w:styleId="ListContinue4">
    <w:name w:val="List Continue 4"/>
    <w:basedOn w:val="Normal"/>
    <w:semiHidden/>
    <w:pPr>
      <w:ind w:left="1132"/>
    </w:pPr>
  </w:style>
  <w:style w:type="paragraph" w:styleId="ListContinue5">
    <w:name w:val="List Continue 5"/>
    <w:basedOn w:val="Normal"/>
    <w:semiHidden/>
    <w:pPr>
      <w:ind w:left="1415"/>
    </w:pPr>
  </w:style>
  <w:style w:type="character" w:styleId="FollowedHyperlink">
    <w:name w:val="FollowedHyperlink"/>
    <w:semiHidden/>
    <w:rPr>
      <w:color w:val="800080"/>
      <w:u w:val="single"/>
    </w:rPr>
  </w:style>
  <w:style w:type="table" w:styleId="TableSimple2">
    <w:name w:val="Table Simple 2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pPr>
      <w:ind w:left="4252"/>
    </w:pPr>
  </w:style>
  <w:style w:type="table" w:styleId="TableGrid1">
    <w:name w:val="Table Grid 1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HTMLPreformatted">
    <w:name w:val="HTML Preformatted"/>
    <w:basedOn w:val="Normal"/>
    <w:semiHidden/>
    <w:rPr>
      <w:rFonts w:ascii="Courier New" w:hAnsi="Courier New" w:cs="Courier New"/>
    </w:rPr>
  </w:style>
  <w:style w:type="numbering" w:styleId="ArticleSection">
    <w:name w:val="Outline List 3"/>
    <w:basedOn w:val="NoList"/>
    <w:semiHidden/>
    <w:pPr>
      <w:numPr>
        <w:numId w:val="16"/>
      </w:numPr>
    </w:pPr>
  </w:style>
  <w:style w:type="table" w:styleId="TableColumns1">
    <w:name w:val="Table Columns 1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Pr>
      <w:b/>
      <w:bCs/>
    </w:rPr>
  </w:style>
  <w:style w:type="table" w:styleId="TableList1">
    <w:name w:val="Table List 1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pPr>
      <w:ind w:left="1440" w:right="1440"/>
    </w:pPr>
  </w:style>
  <w:style w:type="character" w:styleId="HTMLCite">
    <w:name w:val="HTML Cite"/>
    <w:semiHidden/>
    <w:rPr>
      <w:i/>
      <w:iCs/>
    </w:rPr>
  </w:style>
  <w:style w:type="paragraph" w:styleId="E-mailSignature">
    <w:name w:val="E-mail Signature"/>
    <w:basedOn w:val="Normal"/>
    <w:semiHidden/>
  </w:style>
  <w:style w:type="character" w:styleId="Hyperlink">
    <w:name w:val="Hyperlink"/>
    <w:semiHidden/>
    <w:rPr>
      <w:color w:val="000000"/>
      <w:u w:val="single"/>
    </w:rPr>
  </w:style>
  <w:style w:type="paragraph" w:customStyle="1" w:styleId="H1GR">
    <w:name w:val="_ H_1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Pr>
      <w:sz w:val="16"/>
      <w:szCs w:val="16"/>
    </w:rPr>
  </w:style>
  <w:style w:type="table" w:customStyle="1" w:styleId="TabNum">
    <w:name w:val="_TabNum"/>
    <w:basedOn w:val="TableNormal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10</Pages>
  <Words>4253</Words>
  <Characters>24248</Characters>
  <Application>Microsoft Office Word</Application>
  <DocSecurity>4</DocSecurity>
  <Lines>202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1040179</vt:lpstr>
    </vt:vector>
  </TitlesOfParts>
  <Company>CSD</Company>
  <LinksUpToDate>false</LinksUpToDate>
  <CharactersWithSpaces>28445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1040179</dc:title>
  <dc:subject>Chipounov</dc:subject>
  <dc:creator>Людмила ЦЕПЕЛЕВА</dc:creator>
  <cp:keywords/>
  <dc:description/>
  <cp:lastModifiedBy>Людмила ЦЕПЕЛЕВА</cp:lastModifiedBy>
  <cp:revision>2</cp:revision>
  <cp:lastPrinted>2010-02-03T09:15:00Z</cp:lastPrinted>
  <dcterms:created xsi:type="dcterms:W3CDTF">2010-02-03T09:18:00Z</dcterms:created>
  <dcterms:modified xsi:type="dcterms:W3CDTF">2010-02-03T09:18:00Z</dcterms:modified>
</cp:coreProperties>
</file>