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426"/>
        <w:gridCol w:w="406"/>
        <w:gridCol w:w="4533"/>
      </w:tblGrid>
      <w:tr w:rsidR="006B3E27" w:rsidRPr="00DB7679" w14:paraId="4D036217" w14:textId="77777777" w:rsidTr="002572A4">
        <w:trPr>
          <w:trHeight w:hRule="exact" w:val="851"/>
        </w:trPr>
        <w:tc>
          <w:tcPr>
            <w:tcW w:w="1274" w:type="dxa"/>
            <w:tcBorders>
              <w:bottom w:val="single" w:sz="4" w:space="0" w:color="auto"/>
            </w:tcBorders>
          </w:tcPr>
          <w:p w14:paraId="12455776" w14:textId="77777777" w:rsidR="006B3E27" w:rsidRPr="00983870" w:rsidRDefault="006B3E27" w:rsidP="006E444F">
            <w:pPr>
              <w:bidi w:val="0"/>
              <w:jc w:val="right"/>
            </w:pPr>
          </w:p>
        </w:tc>
        <w:tc>
          <w:tcPr>
            <w:tcW w:w="3426" w:type="dxa"/>
            <w:tcBorders>
              <w:bottom w:val="single" w:sz="4" w:space="0" w:color="auto"/>
            </w:tcBorders>
            <w:vAlign w:val="bottom"/>
          </w:tcPr>
          <w:p w14:paraId="09391540" w14:textId="77777777"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4939" w:type="dxa"/>
            <w:gridSpan w:val="2"/>
            <w:tcBorders>
              <w:bottom w:val="single" w:sz="4" w:space="0" w:color="auto"/>
            </w:tcBorders>
            <w:vAlign w:val="bottom"/>
          </w:tcPr>
          <w:p w14:paraId="6DF0E162" w14:textId="6FF67818" w:rsidR="006B3E27" w:rsidRPr="00243C8A" w:rsidRDefault="00DD60CD" w:rsidP="002572A4">
            <w:pPr>
              <w:bidi w:val="0"/>
              <w:spacing w:after="20"/>
              <w:jc w:val="left"/>
              <w:rPr>
                <w:szCs w:val="20"/>
              </w:rPr>
            </w:pPr>
            <w:r>
              <w:rPr>
                <w:sz w:val="40"/>
                <w:szCs w:val="40"/>
              </w:rPr>
              <w:t>CRC</w:t>
            </w:r>
            <w:r w:rsidRPr="000C0C45">
              <w:t>/C/85/D/79/2019–</w:t>
            </w:r>
            <w:r w:rsidRPr="00070096">
              <w:rPr>
                <w:sz w:val="40"/>
                <w:szCs w:val="40"/>
              </w:rPr>
              <w:t>CRC</w:t>
            </w:r>
            <w:r>
              <w:t>/C/85/D/109/2019</w:t>
            </w:r>
          </w:p>
        </w:tc>
      </w:tr>
      <w:tr w:rsidR="006B3E27" w:rsidRPr="00DB7679" w14:paraId="37CBBCBF" w14:textId="77777777" w:rsidTr="002572A4">
        <w:trPr>
          <w:trHeight w:hRule="exact" w:val="2835"/>
        </w:trPr>
        <w:tc>
          <w:tcPr>
            <w:tcW w:w="1274" w:type="dxa"/>
            <w:tcBorders>
              <w:top w:val="single" w:sz="4" w:space="0" w:color="auto"/>
              <w:bottom w:val="single" w:sz="12" w:space="0" w:color="auto"/>
            </w:tcBorders>
          </w:tcPr>
          <w:p w14:paraId="15D6DF01" w14:textId="77777777" w:rsidR="006B3E27" w:rsidRPr="00DB7679" w:rsidRDefault="0059622A" w:rsidP="006E444F">
            <w:pPr>
              <w:jc w:val="center"/>
              <w:rPr>
                <w:rtl/>
              </w:rPr>
            </w:pPr>
            <w:r>
              <w:rPr>
                <w:noProof/>
              </w:rPr>
              <w:drawing>
                <wp:inline distT="0" distB="0" distL="0" distR="0" wp14:anchorId="1D74B888" wp14:editId="21D7EB7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32" w:type="dxa"/>
            <w:gridSpan w:val="2"/>
            <w:tcBorders>
              <w:top w:val="single" w:sz="4" w:space="0" w:color="auto"/>
              <w:bottom w:val="single" w:sz="12" w:space="0" w:color="auto"/>
            </w:tcBorders>
          </w:tcPr>
          <w:p w14:paraId="6F35EA40" w14:textId="0472ACF4"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 xml:space="preserve">تفاقية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4533" w:type="dxa"/>
            <w:tcBorders>
              <w:top w:val="single" w:sz="4" w:space="0" w:color="auto"/>
              <w:bottom w:val="single" w:sz="12" w:space="0" w:color="auto"/>
            </w:tcBorders>
          </w:tcPr>
          <w:p w14:paraId="02687EA2" w14:textId="77777777" w:rsidR="006B3E27" w:rsidRDefault="002572A4" w:rsidP="002572A4">
            <w:pPr>
              <w:bidi w:val="0"/>
              <w:spacing w:before="240"/>
              <w:jc w:val="left"/>
            </w:pPr>
            <w:r>
              <w:t>Distr.: General</w:t>
            </w:r>
          </w:p>
          <w:p w14:paraId="7DCEB72F" w14:textId="2BBC7FC7" w:rsidR="002572A4" w:rsidRDefault="00566EBF" w:rsidP="002572A4">
            <w:pPr>
              <w:bidi w:val="0"/>
              <w:jc w:val="left"/>
            </w:pPr>
            <w:r w:rsidRPr="000135B5">
              <w:rPr>
                <w:szCs w:val="20"/>
              </w:rPr>
              <w:t>2</w:t>
            </w:r>
            <w:r>
              <w:t xml:space="preserve"> November </w:t>
            </w:r>
            <w:r w:rsidRPr="000135B5">
              <w:rPr>
                <w:szCs w:val="20"/>
              </w:rPr>
              <w:t>2020</w:t>
            </w:r>
          </w:p>
          <w:p w14:paraId="7E5677F7" w14:textId="77777777" w:rsidR="002572A4" w:rsidRDefault="002572A4" w:rsidP="002572A4">
            <w:pPr>
              <w:bidi w:val="0"/>
              <w:jc w:val="left"/>
            </w:pPr>
            <w:r>
              <w:t>Arabic</w:t>
            </w:r>
          </w:p>
          <w:p w14:paraId="5645333E" w14:textId="77777777" w:rsidR="002572A4" w:rsidRPr="008B4BC6" w:rsidRDefault="002572A4" w:rsidP="002572A4">
            <w:pPr>
              <w:bidi w:val="0"/>
              <w:jc w:val="left"/>
            </w:pPr>
            <w:r>
              <w:t>Original: English</w:t>
            </w:r>
          </w:p>
        </w:tc>
      </w:tr>
    </w:tbl>
    <w:p w14:paraId="317065A5" w14:textId="77777777" w:rsidR="002572A4" w:rsidRPr="002572A4" w:rsidRDefault="002572A4" w:rsidP="002572A4">
      <w:pPr>
        <w:spacing w:before="120" w:after="120" w:line="360" w:lineRule="exact"/>
        <w:rPr>
          <w:b/>
          <w:bCs/>
          <w:sz w:val="26"/>
          <w:szCs w:val="36"/>
        </w:rPr>
      </w:pPr>
      <w:r w:rsidRPr="002572A4">
        <w:rPr>
          <w:b/>
          <w:bCs/>
          <w:sz w:val="26"/>
          <w:szCs w:val="36"/>
          <w:rtl/>
        </w:rPr>
        <w:t>‎لجنة حقوق الطفل‏</w:t>
      </w:r>
    </w:p>
    <w:p w14:paraId="3FF8483A" w14:textId="0BFB2C65" w:rsidR="002572A4" w:rsidRPr="002572A4" w:rsidRDefault="002572A4" w:rsidP="002572A4">
      <w:pPr>
        <w:pStyle w:val="HChGA"/>
      </w:pPr>
      <w:r w:rsidRPr="002572A4">
        <w:rPr>
          <w:rtl/>
        </w:rPr>
        <w:tab/>
      </w:r>
      <w:r w:rsidRPr="002572A4">
        <w:rPr>
          <w:rtl/>
        </w:rPr>
        <w:tab/>
        <w:t xml:space="preserve">قرار اعتمدته اللجنة بموجب البروتوكول الاختياري لاتفاقية حقوق الطفل المتعلق بإجراء تقديم البلاغات، بشأن البلاغين رقم </w:t>
      </w:r>
      <w:r w:rsidR="00994502">
        <w:rPr>
          <w:szCs w:val="28"/>
        </w:rPr>
        <w:t>79</w:t>
      </w:r>
      <w:r w:rsidRPr="002572A4">
        <w:rPr>
          <w:rtl/>
        </w:rPr>
        <w:t>/</w:t>
      </w:r>
      <w:r w:rsidR="00994502">
        <w:rPr>
          <w:rFonts w:hint="cs"/>
          <w:szCs w:val="28"/>
          <w:rtl/>
        </w:rPr>
        <w:t>2019</w:t>
      </w:r>
      <w:r w:rsidRPr="002572A4">
        <w:rPr>
          <w:rtl/>
        </w:rPr>
        <w:t xml:space="preserve"> ورقم </w:t>
      </w:r>
      <w:r w:rsidR="00994502">
        <w:rPr>
          <w:rFonts w:hint="cs"/>
          <w:szCs w:val="28"/>
          <w:rtl/>
        </w:rPr>
        <w:t>109</w:t>
      </w:r>
      <w:r w:rsidRPr="002572A4">
        <w:rPr>
          <w:rtl/>
        </w:rPr>
        <w:t>/</w:t>
      </w:r>
      <w:r w:rsidR="00994502">
        <w:rPr>
          <w:rFonts w:hint="cs"/>
          <w:szCs w:val="28"/>
          <w:rtl/>
        </w:rPr>
        <w:t>2019</w:t>
      </w:r>
      <w:r w:rsidR="0069392B" w:rsidRPr="0069392B">
        <w:rPr>
          <w:b w:val="0"/>
          <w:bCs w:val="0"/>
          <w:sz w:val="18"/>
          <w:szCs w:val="28"/>
          <w:rtl/>
        </w:rPr>
        <w:footnoteReference w:customMarkFollows="1" w:id="1"/>
        <w:t>*</w:t>
      </w:r>
      <w:r w:rsidR="0069392B" w:rsidRPr="0069392B">
        <w:rPr>
          <w:rFonts w:hint="cs"/>
          <w:b w:val="0"/>
          <w:bCs w:val="0"/>
          <w:sz w:val="18"/>
          <w:szCs w:val="28"/>
          <w:rtl/>
        </w:rPr>
        <w:t xml:space="preserve"> </w:t>
      </w:r>
      <w:r w:rsidR="0069392B" w:rsidRPr="0069392B">
        <w:rPr>
          <w:b w:val="0"/>
          <w:bCs w:val="0"/>
          <w:sz w:val="18"/>
          <w:szCs w:val="28"/>
          <w:rtl/>
        </w:rPr>
        <w:footnoteReference w:customMarkFollows="1" w:id="2"/>
        <w:t>**</w:t>
      </w:r>
    </w:p>
    <w:p w14:paraId="32F7B861" w14:textId="70E6CF46" w:rsidR="002572A4" w:rsidRPr="002572A4" w:rsidRDefault="002572A4" w:rsidP="002572A4">
      <w:pPr>
        <w:pStyle w:val="SingleTxtGA"/>
        <w:tabs>
          <w:tab w:val="clear" w:pos="2608"/>
          <w:tab w:val="clear" w:pos="3289"/>
          <w:tab w:val="clear" w:pos="3969"/>
        </w:tabs>
        <w:ind w:left="4649" w:hanging="2721"/>
      </w:pPr>
      <w:r w:rsidRPr="002572A4">
        <w:rPr>
          <w:i/>
          <w:iCs/>
          <w:rtl/>
        </w:rPr>
        <w:t>بلاغان مقدمان من</w:t>
      </w:r>
      <w:r w:rsidRPr="002572A4">
        <w:rPr>
          <w:rtl/>
        </w:rPr>
        <w:t>:</w:t>
      </w:r>
      <w:r w:rsidRPr="002572A4">
        <w:rPr>
          <w:rtl/>
        </w:rPr>
        <w:tab/>
        <w:t>ل.</w:t>
      </w:r>
      <w:r>
        <w:rPr>
          <w:rFonts w:hint="cs"/>
          <w:rtl/>
        </w:rPr>
        <w:t> </w:t>
      </w:r>
      <w:r w:rsidRPr="002572A4">
        <w:rPr>
          <w:rtl/>
        </w:rPr>
        <w:t>ه.، و</w:t>
      </w:r>
      <w:r>
        <w:rPr>
          <w:rtl/>
        </w:rPr>
        <w:t>ل. ه.</w:t>
      </w:r>
      <w:r w:rsidRPr="002572A4">
        <w:rPr>
          <w:rtl/>
        </w:rPr>
        <w:t>، و</w:t>
      </w:r>
      <w:r>
        <w:rPr>
          <w:rtl/>
        </w:rPr>
        <w:t>د. أ.</w:t>
      </w:r>
      <w:r w:rsidRPr="002572A4">
        <w:rPr>
          <w:rtl/>
        </w:rPr>
        <w:t xml:space="preserve">، </w:t>
      </w:r>
      <w:proofErr w:type="spellStart"/>
      <w:r w:rsidRPr="002572A4">
        <w:rPr>
          <w:rtl/>
        </w:rPr>
        <w:t>و</w:t>
      </w:r>
      <w:r>
        <w:rPr>
          <w:rtl/>
        </w:rPr>
        <w:t>س</w:t>
      </w:r>
      <w:proofErr w:type="spellEnd"/>
      <w:r>
        <w:rPr>
          <w:rtl/>
        </w:rPr>
        <w:t>. د.</w:t>
      </w:r>
      <w:r w:rsidRPr="002572A4">
        <w:rPr>
          <w:rtl/>
        </w:rPr>
        <w:t xml:space="preserve">، </w:t>
      </w:r>
      <w:proofErr w:type="spellStart"/>
      <w:r w:rsidRPr="002572A4">
        <w:rPr>
          <w:rtl/>
        </w:rPr>
        <w:t>و</w:t>
      </w:r>
      <w:r>
        <w:rPr>
          <w:rtl/>
        </w:rPr>
        <w:t>أ</w:t>
      </w:r>
      <w:proofErr w:type="spellEnd"/>
      <w:r>
        <w:rPr>
          <w:rtl/>
        </w:rPr>
        <w:t>. ف.</w:t>
      </w:r>
      <w:r w:rsidRPr="002572A4">
        <w:rPr>
          <w:rtl/>
        </w:rPr>
        <w:t xml:space="preserve"> (يمثلهم المحامي السيد </w:t>
      </w:r>
      <w:proofErr w:type="spellStart"/>
      <w:r w:rsidRPr="002572A4">
        <w:rPr>
          <w:rtl/>
        </w:rPr>
        <w:t>براديل</w:t>
      </w:r>
      <w:proofErr w:type="spellEnd"/>
      <w:r w:rsidRPr="002572A4">
        <w:rPr>
          <w:rtl/>
        </w:rPr>
        <w:t>)</w:t>
      </w:r>
    </w:p>
    <w:p w14:paraId="64693CE0" w14:textId="79867A83" w:rsidR="002572A4" w:rsidRPr="002572A4" w:rsidRDefault="002572A4" w:rsidP="002572A4">
      <w:pPr>
        <w:pStyle w:val="SingleTxtGA"/>
        <w:tabs>
          <w:tab w:val="clear" w:pos="2608"/>
          <w:tab w:val="clear" w:pos="3289"/>
          <w:tab w:val="clear" w:pos="3969"/>
        </w:tabs>
        <w:ind w:left="4649" w:hanging="2721"/>
        <w:rPr>
          <w:spacing w:val="-2"/>
        </w:rPr>
      </w:pPr>
      <w:r w:rsidRPr="002572A4">
        <w:rPr>
          <w:i/>
          <w:iCs/>
          <w:spacing w:val="-2"/>
          <w:rtl/>
        </w:rPr>
        <w:t>الأشخاص المدعى أنهم ضحايا</w:t>
      </w:r>
      <w:r w:rsidRPr="002572A4">
        <w:rPr>
          <w:spacing w:val="-2"/>
          <w:rtl/>
        </w:rPr>
        <w:t>:</w:t>
      </w:r>
      <w:r w:rsidRPr="002572A4">
        <w:rPr>
          <w:spacing w:val="-2"/>
          <w:rtl/>
        </w:rPr>
        <w:tab/>
        <w:t xml:space="preserve">س. ه.، </w:t>
      </w:r>
      <w:proofErr w:type="spellStart"/>
      <w:r w:rsidRPr="002572A4">
        <w:rPr>
          <w:spacing w:val="-2"/>
          <w:rtl/>
        </w:rPr>
        <w:t>وم</w:t>
      </w:r>
      <w:proofErr w:type="spellEnd"/>
      <w:r w:rsidRPr="002572A4">
        <w:rPr>
          <w:spacing w:val="-2"/>
          <w:rtl/>
        </w:rPr>
        <w:t xml:space="preserve">. أ.، </w:t>
      </w:r>
      <w:proofErr w:type="spellStart"/>
      <w:r w:rsidRPr="002572A4">
        <w:rPr>
          <w:spacing w:val="-2"/>
          <w:rtl/>
        </w:rPr>
        <w:t>وأ</w:t>
      </w:r>
      <w:proofErr w:type="spellEnd"/>
      <w:r w:rsidRPr="002572A4">
        <w:rPr>
          <w:spacing w:val="-2"/>
          <w:rtl/>
        </w:rPr>
        <w:t xml:space="preserve">. أ.، </w:t>
      </w:r>
      <w:proofErr w:type="spellStart"/>
      <w:r w:rsidRPr="002572A4">
        <w:rPr>
          <w:spacing w:val="-2"/>
          <w:rtl/>
        </w:rPr>
        <w:t>وج</w:t>
      </w:r>
      <w:proofErr w:type="spellEnd"/>
      <w:r w:rsidRPr="002572A4">
        <w:rPr>
          <w:spacing w:val="-2"/>
          <w:rtl/>
        </w:rPr>
        <w:t>.</w:t>
      </w:r>
      <w:r w:rsidRPr="002572A4">
        <w:rPr>
          <w:rFonts w:hint="cs"/>
          <w:spacing w:val="-2"/>
          <w:rtl/>
        </w:rPr>
        <w:t> </w:t>
      </w:r>
      <w:r w:rsidRPr="002572A4">
        <w:rPr>
          <w:spacing w:val="-2"/>
          <w:rtl/>
        </w:rPr>
        <w:t xml:space="preserve">أ.، </w:t>
      </w:r>
      <w:proofErr w:type="spellStart"/>
      <w:r w:rsidRPr="002572A4">
        <w:rPr>
          <w:spacing w:val="-2"/>
          <w:rtl/>
        </w:rPr>
        <w:t>وأ</w:t>
      </w:r>
      <w:proofErr w:type="spellEnd"/>
      <w:r w:rsidRPr="002572A4">
        <w:rPr>
          <w:spacing w:val="-2"/>
          <w:rtl/>
        </w:rPr>
        <w:t>.</w:t>
      </w:r>
      <w:r w:rsidRPr="002572A4">
        <w:rPr>
          <w:rFonts w:hint="cs"/>
          <w:spacing w:val="-2"/>
          <w:rtl/>
        </w:rPr>
        <w:t> </w:t>
      </w:r>
      <w:r w:rsidRPr="002572A4">
        <w:rPr>
          <w:spacing w:val="-2"/>
          <w:rtl/>
        </w:rPr>
        <w:t>أ.، ور.</w:t>
      </w:r>
      <w:r w:rsidRPr="002572A4">
        <w:rPr>
          <w:rFonts w:hint="cs"/>
          <w:spacing w:val="-2"/>
          <w:rtl/>
        </w:rPr>
        <w:t> </w:t>
      </w:r>
      <w:r w:rsidRPr="002572A4">
        <w:rPr>
          <w:spacing w:val="-2"/>
          <w:rtl/>
        </w:rPr>
        <w:t>أ.، ول.</w:t>
      </w:r>
      <w:r w:rsidRPr="002572A4">
        <w:rPr>
          <w:rFonts w:hint="cs"/>
          <w:spacing w:val="-2"/>
          <w:rtl/>
        </w:rPr>
        <w:t> </w:t>
      </w:r>
      <w:r w:rsidRPr="002572A4">
        <w:rPr>
          <w:spacing w:val="-2"/>
          <w:rtl/>
        </w:rPr>
        <w:t xml:space="preserve">ف.، </w:t>
      </w:r>
      <w:proofErr w:type="spellStart"/>
      <w:r w:rsidRPr="002572A4">
        <w:rPr>
          <w:spacing w:val="-2"/>
          <w:rtl/>
        </w:rPr>
        <w:t>وأ</w:t>
      </w:r>
      <w:proofErr w:type="spellEnd"/>
      <w:r w:rsidRPr="002572A4">
        <w:rPr>
          <w:spacing w:val="-2"/>
          <w:rtl/>
        </w:rPr>
        <w:t xml:space="preserve">. ف.، </w:t>
      </w:r>
      <w:proofErr w:type="spellStart"/>
      <w:r w:rsidRPr="002572A4">
        <w:rPr>
          <w:spacing w:val="-2"/>
          <w:rtl/>
        </w:rPr>
        <w:t>وس</w:t>
      </w:r>
      <w:proofErr w:type="spellEnd"/>
      <w:r w:rsidRPr="002572A4">
        <w:rPr>
          <w:spacing w:val="-2"/>
          <w:rtl/>
        </w:rPr>
        <w:t>.</w:t>
      </w:r>
      <w:r w:rsidRPr="002572A4">
        <w:rPr>
          <w:rFonts w:hint="cs"/>
          <w:spacing w:val="-2"/>
          <w:rtl/>
        </w:rPr>
        <w:t> </w:t>
      </w:r>
      <w:r w:rsidRPr="002572A4">
        <w:rPr>
          <w:spacing w:val="-2"/>
          <w:rtl/>
        </w:rPr>
        <w:t xml:space="preserve">ف.، </w:t>
      </w:r>
      <w:proofErr w:type="spellStart"/>
      <w:r w:rsidRPr="002572A4">
        <w:rPr>
          <w:spacing w:val="-2"/>
          <w:rtl/>
        </w:rPr>
        <w:t>ون</w:t>
      </w:r>
      <w:proofErr w:type="spellEnd"/>
      <w:r w:rsidRPr="002572A4">
        <w:rPr>
          <w:spacing w:val="-2"/>
          <w:rtl/>
        </w:rPr>
        <w:t>.</w:t>
      </w:r>
      <w:r w:rsidRPr="002572A4">
        <w:rPr>
          <w:rFonts w:hint="cs"/>
          <w:spacing w:val="-2"/>
          <w:rtl/>
        </w:rPr>
        <w:t> </w:t>
      </w:r>
      <w:r w:rsidRPr="002572A4">
        <w:rPr>
          <w:spacing w:val="-2"/>
          <w:rtl/>
        </w:rPr>
        <w:t xml:space="preserve">ف.، </w:t>
      </w:r>
      <w:proofErr w:type="spellStart"/>
      <w:r w:rsidRPr="002572A4">
        <w:rPr>
          <w:spacing w:val="-2"/>
          <w:rtl/>
        </w:rPr>
        <w:t>وأ</w:t>
      </w:r>
      <w:proofErr w:type="spellEnd"/>
      <w:r w:rsidRPr="002572A4">
        <w:rPr>
          <w:spacing w:val="-2"/>
          <w:rtl/>
        </w:rPr>
        <w:t>.</w:t>
      </w:r>
      <w:r w:rsidRPr="002572A4">
        <w:rPr>
          <w:rFonts w:hint="cs"/>
          <w:spacing w:val="-2"/>
          <w:rtl/>
        </w:rPr>
        <w:t> </w:t>
      </w:r>
      <w:r w:rsidRPr="002572A4">
        <w:rPr>
          <w:spacing w:val="-2"/>
          <w:rtl/>
        </w:rPr>
        <w:t>أ..</w:t>
      </w:r>
    </w:p>
    <w:p w14:paraId="34513CD6" w14:textId="77777777" w:rsidR="002572A4" w:rsidRPr="002572A4" w:rsidRDefault="002572A4" w:rsidP="002572A4">
      <w:pPr>
        <w:pStyle w:val="SingleTxtGA"/>
        <w:tabs>
          <w:tab w:val="clear" w:pos="2608"/>
          <w:tab w:val="clear" w:pos="3289"/>
          <w:tab w:val="clear" w:pos="3969"/>
        </w:tabs>
        <w:ind w:left="4649" w:hanging="2721"/>
      </w:pPr>
      <w:r w:rsidRPr="002572A4">
        <w:rPr>
          <w:i/>
          <w:iCs/>
          <w:rtl/>
        </w:rPr>
        <w:t>الدولة الطرف</w:t>
      </w:r>
      <w:r w:rsidRPr="002572A4">
        <w:rPr>
          <w:rtl/>
        </w:rPr>
        <w:t>:</w:t>
      </w:r>
      <w:r w:rsidRPr="002572A4">
        <w:rPr>
          <w:rtl/>
        </w:rPr>
        <w:tab/>
        <w:t>فرنسا</w:t>
      </w:r>
    </w:p>
    <w:p w14:paraId="2B97A0F4" w14:textId="77777777" w:rsidR="002572A4" w:rsidRPr="002572A4" w:rsidRDefault="002572A4" w:rsidP="002572A4">
      <w:pPr>
        <w:pStyle w:val="SingleTxtGA"/>
        <w:tabs>
          <w:tab w:val="clear" w:pos="2608"/>
          <w:tab w:val="clear" w:pos="3289"/>
          <w:tab w:val="clear" w:pos="3969"/>
        </w:tabs>
        <w:ind w:left="4649" w:hanging="2721"/>
      </w:pPr>
      <w:r w:rsidRPr="002572A4">
        <w:rPr>
          <w:i/>
          <w:iCs/>
          <w:rtl/>
        </w:rPr>
        <w:t>تاريخ تقديم البلاغين</w:t>
      </w:r>
      <w:r w:rsidRPr="002572A4">
        <w:rPr>
          <w:rtl/>
        </w:rPr>
        <w:t>:</w:t>
      </w:r>
      <w:r w:rsidRPr="002572A4">
        <w:rPr>
          <w:rFonts w:ascii="Arial" w:hAnsi="Arial" w:cs="Arial" w:hint="cs"/>
          <w:rtl/>
        </w:rPr>
        <w:t>‬</w:t>
      </w:r>
      <w:r w:rsidRPr="002572A4">
        <w:rPr>
          <w:rtl/>
        </w:rPr>
        <w:tab/>
      </w:r>
      <w:r w:rsidRPr="000135B5">
        <w:rPr>
          <w:szCs w:val="20"/>
          <w:rtl/>
        </w:rPr>
        <w:t>13</w:t>
      </w:r>
      <w:r w:rsidRPr="002572A4">
        <w:rPr>
          <w:rtl/>
        </w:rPr>
        <w:t xml:space="preserve"> آذار/مارس و</w:t>
      </w:r>
      <w:r w:rsidRPr="000135B5">
        <w:rPr>
          <w:szCs w:val="20"/>
          <w:rtl/>
        </w:rPr>
        <w:t>25</w:t>
      </w:r>
      <w:r w:rsidRPr="002572A4">
        <w:rPr>
          <w:rtl/>
        </w:rPr>
        <w:t xml:space="preserve"> تشرين الثاني/نوفمبر </w:t>
      </w:r>
      <w:r w:rsidRPr="000135B5">
        <w:rPr>
          <w:szCs w:val="20"/>
          <w:rtl/>
        </w:rPr>
        <w:t>2019</w:t>
      </w:r>
      <w:r w:rsidRPr="002572A4">
        <w:rPr>
          <w:rtl/>
        </w:rPr>
        <w:t xml:space="preserve"> (تاريخ تقديم الرسالة الأولى)</w:t>
      </w:r>
    </w:p>
    <w:p w14:paraId="730687DB" w14:textId="77777777" w:rsidR="002572A4" w:rsidRPr="002572A4" w:rsidRDefault="002572A4" w:rsidP="002572A4">
      <w:pPr>
        <w:pStyle w:val="SingleTxtGA"/>
        <w:tabs>
          <w:tab w:val="clear" w:pos="2608"/>
          <w:tab w:val="clear" w:pos="3289"/>
          <w:tab w:val="clear" w:pos="3969"/>
        </w:tabs>
        <w:ind w:left="4649" w:hanging="2721"/>
      </w:pPr>
      <w:r w:rsidRPr="002572A4">
        <w:rPr>
          <w:i/>
          <w:iCs/>
          <w:rtl/>
        </w:rPr>
        <w:t>تاريخ اعتماد القرار</w:t>
      </w:r>
      <w:r w:rsidRPr="002572A4">
        <w:rPr>
          <w:rtl/>
        </w:rPr>
        <w:t>:</w:t>
      </w:r>
      <w:r w:rsidRPr="002572A4">
        <w:rPr>
          <w:rtl/>
        </w:rPr>
        <w:tab/>
      </w:r>
      <w:r w:rsidRPr="000135B5">
        <w:rPr>
          <w:szCs w:val="20"/>
          <w:rtl/>
        </w:rPr>
        <w:t>30</w:t>
      </w:r>
      <w:r w:rsidRPr="002572A4">
        <w:rPr>
          <w:rtl/>
        </w:rPr>
        <w:t xml:space="preserve"> أيلول/سبتمبر </w:t>
      </w:r>
      <w:r w:rsidRPr="000135B5">
        <w:rPr>
          <w:szCs w:val="20"/>
          <w:rtl/>
        </w:rPr>
        <w:t>2020</w:t>
      </w:r>
    </w:p>
    <w:p w14:paraId="5C96C6E1" w14:textId="77777777" w:rsidR="002572A4" w:rsidRPr="002572A4" w:rsidRDefault="002572A4" w:rsidP="002572A4">
      <w:pPr>
        <w:pStyle w:val="SingleTxtGA"/>
        <w:tabs>
          <w:tab w:val="clear" w:pos="2608"/>
          <w:tab w:val="clear" w:pos="3289"/>
          <w:tab w:val="clear" w:pos="3969"/>
        </w:tabs>
        <w:ind w:left="4649" w:hanging="2721"/>
      </w:pPr>
      <w:r w:rsidRPr="002572A4">
        <w:rPr>
          <w:i/>
          <w:iCs/>
          <w:rtl/>
        </w:rPr>
        <w:t>الموضوع</w:t>
      </w:r>
      <w:r w:rsidRPr="002572A4">
        <w:rPr>
          <w:rtl/>
        </w:rPr>
        <w:t>:</w:t>
      </w:r>
      <w:r w:rsidRPr="002572A4">
        <w:rPr>
          <w:rtl/>
        </w:rPr>
        <w:tab/>
        <w:t>إعادة الأطفال الذين يرتبط آباؤهم بأنشطة إرهابية؛ وتدابير الحماية؛ والحق في الحياة؛ والحصول على الرعاية الطبية؛ والاحتجاز غير القانوني؛</w:t>
      </w:r>
    </w:p>
    <w:p w14:paraId="1F589C5A" w14:textId="77777777" w:rsidR="002572A4" w:rsidRPr="002572A4" w:rsidRDefault="002572A4" w:rsidP="002572A4">
      <w:pPr>
        <w:pStyle w:val="SingleTxtGA"/>
        <w:tabs>
          <w:tab w:val="clear" w:pos="2608"/>
          <w:tab w:val="clear" w:pos="3289"/>
          <w:tab w:val="clear" w:pos="3969"/>
        </w:tabs>
        <w:ind w:left="4649" w:hanging="2721"/>
      </w:pPr>
      <w:r w:rsidRPr="002572A4">
        <w:rPr>
          <w:i/>
          <w:iCs/>
          <w:rtl/>
        </w:rPr>
        <w:t>المسألة الإجرائية</w:t>
      </w:r>
      <w:r w:rsidRPr="002572A4">
        <w:rPr>
          <w:rtl/>
        </w:rPr>
        <w:t>:</w:t>
      </w:r>
      <w:r w:rsidRPr="002572A4">
        <w:rPr>
          <w:rtl/>
        </w:rPr>
        <w:tab/>
        <w:t>الولاية خارج الحدود الإقليمية</w:t>
      </w:r>
    </w:p>
    <w:p w14:paraId="2572F0C7" w14:textId="77777777" w:rsidR="002572A4" w:rsidRPr="002572A4" w:rsidRDefault="002572A4" w:rsidP="002572A4">
      <w:pPr>
        <w:pStyle w:val="SingleTxtGA"/>
        <w:tabs>
          <w:tab w:val="clear" w:pos="2608"/>
          <w:tab w:val="clear" w:pos="3289"/>
          <w:tab w:val="clear" w:pos="3969"/>
        </w:tabs>
        <w:ind w:left="4649" w:hanging="2721"/>
      </w:pPr>
      <w:r w:rsidRPr="002572A4">
        <w:rPr>
          <w:i/>
          <w:iCs/>
          <w:rtl/>
        </w:rPr>
        <w:t>مواد الاتفاقية</w:t>
      </w:r>
      <w:r w:rsidRPr="002572A4">
        <w:rPr>
          <w:rtl/>
        </w:rPr>
        <w:t>:</w:t>
      </w:r>
      <w:r w:rsidRPr="002572A4">
        <w:rPr>
          <w:rtl/>
        </w:rPr>
        <w:tab/>
      </w:r>
      <w:r w:rsidRPr="000135B5">
        <w:rPr>
          <w:szCs w:val="20"/>
          <w:rtl/>
        </w:rPr>
        <w:t>2</w:t>
      </w:r>
      <w:r w:rsidRPr="002572A4">
        <w:rPr>
          <w:rtl/>
        </w:rPr>
        <w:t xml:space="preserve"> و</w:t>
      </w:r>
      <w:r w:rsidRPr="000135B5">
        <w:rPr>
          <w:szCs w:val="20"/>
          <w:rtl/>
        </w:rPr>
        <w:t>3</w:t>
      </w:r>
      <w:r w:rsidRPr="002572A4">
        <w:rPr>
          <w:rtl/>
        </w:rPr>
        <w:t xml:space="preserve"> و</w:t>
      </w:r>
      <w:r w:rsidRPr="000135B5">
        <w:rPr>
          <w:szCs w:val="20"/>
          <w:rtl/>
        </w:rPr>
        <w:t>6</w:t>
      </w:r>
      <w:r w:rsidRPr="002572A4">
        <w:rPr>
          <w:rtl/>
        </w:rPr>
        <w:t xml:space="preserve"> و</w:t>
      </w:r>
      <w:r w:rsidRPr="000135B5">
        <w:rPr>
          <w:szCs w:val="20"/>
          <w:rtl/>
        </w:rPr>
        <w:t>20</w:t>
      </w:r>
      <w:r w:rsidRPr="002572A4">
        <w:rPr>
          <w:rtl/>
        </w:rPr>
        <w:t xml:space="preserve"> و</w:t>
      </w:r>
      <w:r w:rsidRPr="000135B5">
        <w:rPr>
          <w:szCs w:val="20"/>
          <w:rtl/>
        </w:rPr>
        <w:t>24</w:t>
      </w:r>
      <w:r w:rsidRPr="002572A4">
        <w:rPr>
          <w:rtl/>
        </w:rPr>
        <w:t xml:space="preserve"> و</w:t>
      </w:r>
      <w:r w:rsidRPr="000135B5">
        <w:rPr>
          <w:szCs w:val="20"/>
          <w:rtl/>
        </w:rPr>
        <w:t>37</w:t>
      </w:r>
    </w:p>
    <w:p w14:paraId="458BD217" w14:textId="6B57B9EE" w:rsidR="002572A4" w:rsidRPr="002572A4" w:rsidRDefault="002572A4" w:rsidP="002572A4">
      <w:pPr>
        <w:pStyle w:val="SingleTxtGA"/>
        <w:tabs>
          <w:tab w:val="clear" w:pos="2608"/>
          <w:tab w:val="clear" w:pos="3289"/>
          <w:tab w:val="clear" w:pos="3969"/>
        </w:tabs>
        <w:ind w:left="4649" w:hanging="2721"/>
      </w:pPr>
      <w:r w:rsidRPr="002572A4">
        <w:rPr>
          <w:i/>
          <w:iCs/>
          <w:rtl/>
        </w:rPr>
        <w:t>مواد البروتوكول الاختياري</w:t>
      </w:r>
      <w:r w:rsidRPr="002572A4">
        <w:rPr>
          <w:rtl/>
        </w:rPr>
        <w:t>:</w:t>
      </w:r>
      <w:r w:rsidRPr="002572A4">
        <w:rPr>
          <w:rtl/>
        </w:rPr>
        <w:tab/>
      </w:r>
      <w:r w:rsidRPr="000135B5">
        <w:rPr>
          <w:szCs w:val="20"/>
          <w:rtl/>
        </w:rPr>
        <w:t>5</w:t>
      </w:r>
      <w:r w:rsidRPr="002572A4">
        <w:rPr>
          <w:rtl/>
        </w:rPr>
        <w:t>(</w:t>
      </w:r>
      <w:r w:rsidRPr="000135B5">
        <w:rPr>
          <w:szCs w:val="20"/>
          <w:rtl/>
        </w:rPr>
        <w:t>1</w:t>
      </w:r>
      <w:r w:rsidRPr="002572A4">
        <w:rPr>
          <w:rtl/>
        </w:rPr>
        <w:t>)</w:t>
      </w:r>
      <w:r w:rsidR="00566EBF">
        <w:rPr>
          <w:rFonts w:hint="cs"/>
          <w:rtl/>
        </w:rPr>
        <w:t xml:space="preserve"> </w:t>
      </w:r>
      <w:r w:rsidRPr="002572A4">
        <w:rPr>
          <w:rtl/>
        </w:rPr>
        <w:t>-</w:t>
      </w:r>
      <w:r w:rsidR="00566EBF">
        <w:rPr>
          <w:rFonts w:hint="cs"/>
          <w:rtl/>
        </w:rPr>
        <w:t xml:space="preserve"> </w:t>
      </w:r>
      <w:r w:rsidRPr="002572A4">
        <w:rPr>
          <w:rtl/>
        </w:rPr>
        <w:t>(</w:t>
      </w:r>
      <w:r w:rsidRPr="000135B5">
        <w:rPr>
          <w:szCs w:val="20"/>
          <w:rtl/>
        </w:rPr>
        <w:t>2</w:t>
      </w:r>
      <w:r w:rsidRPr="002572A4">
        <w:rPr>
          <w:rtl/>
        </w:rPr>
        <w:t>) و</w:t>
      </w:r>
      <w:r w:rsidRPr="000135B5">
        <w:rPr>
          <w:szCs w:val="20"/>
          <w:rtl/>
        </w:rPr>
        <w:t>7</w:t>
      </w:r>
      <w:r w:rsidRPr="002572A4">
        <w:rPr>
          <w:rtl/>
        </w:rPr>
        <w:t>(ه) - (و)</w:t>
      </w:r>
    </w:p>
    <w:p w14:paraId="2007A75B" w14:textId="6DBC643C" w:rsidR="002572A4" w:rsidRPr="00566EBF" w:rsidRDefault="002572A4" w:rsidP="002572A4">
      <w:pPr>
        <w:pStyle w:val="SingleTxtGA"/>
      </w:pPr>
      <w:r w:rsidRPr="000135B5">
        <w:rPr>
          <w:szCs w:val="20"/>
          <w:rtl/>
        </w:rPr>
        <w:t>1</w:t>
      </w:r>
      <w:r w:rsidR="00566EBF" w:rsidRPr="00566EBF">
        <w:rPr>
          <w:rFonts w:hint="cs"/>
          <w:rtl/>
        </w:rPr>
        <w:t>-</w:t>
      </w:r>
      <w:r w:rsidRPr="000135B5">
        <w:rPr>
          <w:szCs w:val="20"/>
          <w:rtl/>
        </w:rPr>
        <w:t>1</w:t>
      </w:r>
      <w:r w:rsidRPr="00566EBF">
        <w:rPr>
          <w:rtl/>
        </w:rPr>
        <w:tab/>
        <w:t>أصحاب البلاغين هم ل. ه.، ول.</w:t>
      </w:r>
      <w:r w:rsidRPr="00566EBF">
        <w:rPr>
          <w:rFonts w:hint="cs"/>
          <w:rtl/>
        </w:rPr>
        <w:t> </w:t>
      </w:r>
      <w:r w:rsidRPr="00566EBF">
        <w:rPr>
          <w:rtl/>
        </w:rPr>
        <w:t>ه</w:t>
      </w:r>
      <w:r w:rsidRPr="00566EBF">
        <w:rPr>
          <w:rFonts w:hint="cs"/>
          <w:rtl/>
        </w:rPr>
        <w:t>.</w:t>
      </w:r>
      <w:r w:rsidRPr="00566EBF">
        <w:rPr>
          <w:rtl/>
        </w:rPr>
        <w:t>، ود. أ.، الذين يتصرفون نيابة عن أحفادهم (س.</w:t>
      </w:r>
      <w:r w:rsidR="000135B5">
        <w:rPr>
          <w:rFonts w:hint="cs"/>
          <w:rtl/>
        </w:rPr>
        <w:t> </w:t>
      </w:r>
      <w:r w:rsidRPr="00566EBF">
        <w:rPr>
          <w:rtl/>
        </w:rPr>
        <w:t xml:space="preserve">ه.، المولود عام </w:t>
      </w:r>
      <w:r w:rsidRPr="000135B5">
        <w:rPr>
          <w:szCs w:val="20"/>
          <w:rtl/>
        </w:rPr>
        <w:t>2017</w:t>
      </w:r>
      <w:r w:rsidRPr="00566EBF">
        <w:rPr>
          <w:rtl/>
        </w:rPr>
        <w:t xml:space="preserve">؛ </w:t>
      </w:r>
      <w:proofErr w:type="spellStart"/>
      <w:r w:rsidRPr="00566EBF">
        <w:rPr>
          <w:rtl/>
        </w:rPr>
        <w:t>وم</w:t>
      </w:r>
      <w:proofErr w:type="spellEnd"/>
      <w:r w:rsidRPr="00566EBF">
        <w:rPr>
          <w:rtl/>
        </w:rPr>
        <w:t xml:space="preserve">. أ. المولود عام </w:t>
      </w:r>
      <w:r w:rsidRPr="000135B5">
        <w:rPr>
          <w:szCs w:val="20"/>
          <w:rtl/>
        </w:rPr>
        <w:t>2013</w:t>
      </w:r>
      <w:r w:rsidRPr="00566EBF">
        <w:rPr>
          <w:rtl/>
        </w:rPr>
        <w:t xml:space="preserve">؛ </w:t>
      </w:r>
      <w:proofErr w:type="spellStart"/>
      <w:r w:rsidRPr="00566EBF">
        <w:rPr>
          <w:rtl/>
        </w:rPr>
        <w:t>وأ</w:t>
      </w:r>
      <w:proofErr w:type="spellEnd"/>
      <w:r w:rsidRPr="00566EBF">
        <w:rPr>
          <w:rtl/>
        </w:rPr>
        <w:t xml:space="preserve">. أ.، المولود عام </w:t>
      </w:r>
      <w:r w:rsidRPr="000135B5">
        <w:rPr>
          <w:szCs w:val="20"/>
          <w:rtl/>
        </w:rPr>
        <w:t>2014</w:t>
      </w:r>
      <w:r w:rsidRPr="00566EBF">
        <w:rPr>
          <w:rtl/>
        </w:rPr>
        <w:t xml:space="preserve">؛ </w:t>
      </w:r>
      <w:proofErr w:type="spellStart"/>
      <w:r w:rsidRPr="00566EBF">
        <w:rPr>
          <w:rtl/>
        </w:rPr>
        <w:t>وج</w:t>
      </w:r>
      <w:proofErr w:type="spellEnd"/>
      <w:r w:rsidRPr="00566EBF">
        <w:rPr>
          <w:rtl/>
        </w:rPr>
        <w:t>. أ.، المولود عام</w:t>
      </w:r>
      <w:r w:rsidR="000135B5">
        <w:rPr>
          <w:rFonts w:hint="cs"/>
          <w:rtl/>
        </w:rPr>
        <w:t> </w:t>
      </w:r>
      <w:r w:rsidRPr="000135B5">
        <w:rPr>
          <w:szCs w:val="20"/>
          <w:rtl/>
        </w:rPr>
        <w:t>2016</w:t>
      </w:r>
      <w:r w:rsidRPr="00566EBF">
        <w:rPr>
          <w:rtl/>
        </w:rPr>
        <w:t xml:space="preserve">؛ </w:t>
      </w:r>
      <w:proofErr w:type="spellStart"/>
      <w:r w:rsidRPr="00566EBF">
        <w:rPr>
          <w:rtl/>
        </w:rPr>
        <w:t>وأ</w:t>
      </w:r>
      <w:proofErr w:type="spellEnd"/>
      <w:r w:rsidRPr="00566EBF">
        <w:rPr>
          <w:rtl/>
        </w:rPr>
        <w:t>.</w:t>
      </w:r>
      <w:r w:rsidRPr="00566EBF">
        <w:rPr>
          <w:rFonts w:hint="cs"/>
          <w:rtl/>
        </w:rPr>
        <w:t> </w:t>
      </w:r>
      <w:r w:rsidRPr="00566EBF">
        <w:rPr>
          <w:rtl/>
        </w:rPr>
        <w:t xml:space="preserve">أ.، المولود عام </w:t>
      </w:r>
      <w:r w:rsidRPr="000135B5">
        <w:rPr>
          <w:szCs w:val="20"/>
          <w:rtl/>
        </w:rPr>
        <w:t>2017</w:t>
      </w:r>
      <w:r w:rsidRPr="00566EBF">
        <w:rPr>
          <w:rtl/>
        </w:rPr>
        <w:t xml:space="preserve">؛ ور. أ.، المولود عام </w:t>
      </w:r>
      <w:r w:rsidRPr="000135B5">
        <w:rPr>
          <w:szCs w:val="20"/>
          <w:rtl/>
        </w:rPr>
        <w:t>2018</w:t>
      </w:r>
      <w:r w:rsidRPr="00566EBF">
        <w:rPr>
          <w:rtl/>
        </w:rPr>
        <w:t xml:space="preserve">، </w:t>
      </w:r>
      <w:proofErr w:type="spellStart"/>
      <w:r w:rsidRPr="00566EBF">
        <w:rPr>
          <w:rtl/>
        </w:rPr>
        <w:t>وس</w:t>
      </w:r>
      <w:proofErr w:type="spellEnd"/>
      <w:r w:rsidRPr="00566EBF">
        <w:rPr>
          <w:rtl/>
        </w:rPr>
        <w:t xml:space="preserve">. د.، </w:t>
      </w:r>
      <w:proofErr w:type="spellStart"/>
      <w:r w:rsidRPr="00566EBF">
        <w:rPr>
          <w:rtl/>
        </w:rPr>
        <w:t>وأ</w:t>
      </w:r>
      <w:proofErr w:type="spellEnd"/>
      <w:r w:rsidRPr="00566EBF">
        <w:rPr>
          <w:rtl/>
        </w:rPr>
        <w:t xml:space="preserve">. ف.، اللذين يتصرفان </w:t>
      </w:r>
      <w:r w:rsidRPr="00566EBF">
        <w:rPr>
          <w:rtl/>
        </w:rPr>
        <w:lastRenderedPageBreak/>
        <w:t>نيابة عن ل.</w:t>
      </w:r>
      <w:r w:rsidRPr="00566EBF">
        <w:rPr>
          <w:rFonts w:hint="cs"/>
          <w:rtl/>
        </w:rPr>
        <w:t> </w:t>
      </w:r>
      <w:r w:rsidRPr="00566EBF">
        <w:rPr>
          <w:rtl/>
        </w:rPr>
        <w:t xml:space="preserve">ف.، المولود عام </w:t>
      </w:r>
      <w:r w:rsidRPr="000135B5">
        <w:rPr>
          <w:szCs w:val="20"/>
          <w:rtl/>
        </w:rPr>
        <w:t>2003</w:t>
      </w:r>
      <w:r w:rsidRPr="00566EBF">
        <w:rPr>
          <w:rtl/>
        </w:rPr>
        <w:t xml:space="preserve">؛ </w:t>
      </w:r>
      <w:proofErr w:type="spellStart"/>
      <w:r w:rsidRPr="00566EBF">
        <w:rPr>
          <w:rtl/>
        </w:rPr>
        <w:t>وأ</w:t>
      </w:r>
      <w:proofErr w:type="spellEnd"/>
      <w:r w:rsidRPr="00566EBF">
        <w:rPr>
          <w:rtl/>
        </w:rPr>
        <w:t xml:space="preserve">. ف.، المولود عام </w:t>
      </w:r>
      <w:r w:rsidRPr="000135B5">
        <w:rPr>
          <w:szCs w:val="20"/>
          <w:rtl/>
        </w:rPr>
        <w:t>2006</w:t>
      </w:r>
      <w:r w:rsidRPr="00566EBF">
        <w:rPr>
          <w:rtl/>
        </w:rPr>
        <w:t xml:space="preserve">؛ </w:t>
      </w:r>
      <w:proofErr w:type="spellStart"/>
      <w:r w:rsidRPr="00566EBF">
        <w:rPr>
          <w:rtl/>
        </w:rPr>
        <w:t>وس</w:t>
      </w:r>
      <w:proofErr w:type="spellEnd"/>
      <w:r w:rsidRPr="00566EBF">
        <w:rPr>
          <w:rtl/>
        </w:rPr>
        <w:t>.</w:t>
      </w:r>
      <w:r w:rsidRPr="00566EBF">
        <w:rPr>
          <w:rFonts w:hint="cs"/>
          <w:rtl/>
        </w:rPr>
        <w:t> </w:t>
      </w:r>
      <w:r w:rsidRPr="00566EBF">
        <w:rPr>
          <w:rtl/>
        </w:rPr>
        <w:t xml:space="preserve">ف.، المولود عام </w:t>
      </w:r>
      <w:r w:rsidRPr="000135B5">
        <w:rPr>
          <w:szCs w:val="20"/>
          <w:rtl/>
        </w:rPr>
        <w:t>2011</w:t>
      </w:r>
      <w:r w:rsidRPr="00566EBF">
        <w:rPr>
          <w:rtl/>
        </w:rPr>
        <w:t xml:space="preserve">؛ </w:t>
      </w:r>
      <w:proofErr w:type="spellStart"/>
      <w:r w:rsidRPr="00566EBF">
        <w:rPr>
          <w:rtl/>
        </w:rPr>
        <w:t>ون</w:t>
      </w:r>
      <w:proofErr w:type="spellEnd"/>
      <w:r w:rsidRPr="00566EBF">
        <w:rPr>
          <w:rtl/>
        </w:rPr>
        <w:t>.</w:t>
      </w:r>
      <w:r w:rsidRPr="00566EBF">
        <w:rPr>
          <w:rFonts w:hint="cs"/>
          <w:rtl/>
        </w:rPr>
        <w:t> </w:t>
      </w:r>
      <w:r w:rsidRPr="00566EBF">
        <w:rPr>
          <w:rtl/>
        </w:rPr>
        <w:t xml:space="preserve">ف. المولود عام </w:t>
      </w:r>
      <w:r w:rsidRPr="000135B5">
        <w:rPr>
          <w:szCs w:val="20"/>
          <w:rtl/>
        </w:rPr>
        <w:t>2014</w:t>
      </w:r>
      <w:r w:rsidRPr="00566EBF">
        <w:rPr>
          <w:rtl/>
        </w:rPr>
        <w:t>؛</w:t>
      </w:r>
      <w:bookmarkStart w:id="0" w:name="_GoBack"/>
      <w:bookmarkEnd w:id="0"/>
      <w:r w:rsidRPr="00566EBF">
        <w:rPr>
          <w:rtl/>
        </w:rPr>
        <w:t xml:space="preserve"> </w:t>
      </w:r>
      <w:proofErr w:type="spellStart"/>
      <w:r w:rsidRPr="00566EBF">
        <w:rPr>
          <w:rtl/>
        </w:rPr>
        <w:t>وأ</w:t>
      </w:r>
      <w:proofErr w:type="spellEnd"/>
      <w:r w:rsidRPr="00566EBF">
        <w:rPr>
          <w:rtl/>
        </w:rPr>
        <w:t>.</w:t>
      </w:r>
      <w:r w:rsidRPr="00566EBF">
        <w:rPr>
          <w:rFonts w:hint="cs"/>
          <w:rtl/>
        </w:rPr>
        <w:t> </w:t>
      </w:r>
      <w:r w:rsidRPr="00566EBF">
        <w:rPr>
          <w:rtl/>
        </w:rPr>
        <w:t xml:space="preserve">أ.، المولود عام </w:t>
      </w:r>
      <w:r w:rsidRPr="000135B5">
        <w:rPr>
          <w:szCs w:val="20"/>
          <w:rtl/>
        </w:rPr>
        <w:t>2017</w:t>
      </w:r>
      <w:r w:rsidRPr="00566EBF">
        <w:rPr>
          <w:rtl/>
        </w:rPr>
        <w:t xml:space="preserve">. وجميع الأطفال مواطنون فرنسيون يُزعم أن آباءهم تعاونوا مع ما يسمى تنظيم الدولة الإسلامية في العراق والشام. وولد بعض الأطفال في الجمهورية العربية السورية بينما سافر آخرون إلى هناك مع والديهم في سن مبكرة. وهم محتجزون حالياً في مخيمات روج وعين عيسى والهول في كردستان السورية، التي تسيطر عليها القوات الكردية. ويدعي أصحاب البلاغين أن حكومة فرنسا لم تتخذ التدابير اللازمة لإعادة الأطفال إلى فرنسا، وهو ما يدَّعون أنه يشكل انتهاكاً للمواد </w:t>
      </w:r>
      <w:r w:rsidRPr="000135B5">
        <w:rPr>
          <w:szCs w:val="20"/>
          <w:rtl/>
        </w:rPr>
        <w:t>2</w:t>
      </w:r>
      <w:r w:rsidRPr="00566EBF">
        <w:rPr>
          <w:rtl/>
        </w:rPr>
        <w:t xml:space="preserve"> و</w:t>
      </w:r>
      <w:r w:rsidRPr="000135B5">
        <w:rPr>
          <w:szCs w:val="20"/>
          <w:rtl/>
        </w:rPr>
        <w:t>3</w:t>
      </w:r>
      <w:r w:rsidRPr="00566EBF">
        <w:rPr>
          <w:rtl/>
        </w:rPr>
        <w:t xml:space="preserve"> و</w:t>
      </w:r>
      <w:r w:rsidRPr="000135B5">
        <w:rPr>
          <w:szCs w:val="20"/>
          <w:rtl/>
        </w:rPr>
        <w:t>6</w:t>
      </w:r>
      <w:r w:rsidRPr="00566EBF">
        <w:rPr>
          <w:rtl/>
        </w:rPr>
        <w:t xml:space="preserve"> و</w:t>
      </w:r>
      <w:r w:rsidRPr="000135B5">
        <w:rPr>
          <w:szCs w:val="20"/>
          <w:rtl/>
        </w:rPr>
        <w:t>20</w:t>
      </w:r>
      <w:r w:rsidRPr="00566EBF">
        <w:rPr>
          <w:rtl/>
        </w:rPr>
        <w:t xml:space="preserve"> و</w:t>
      </w:r>
      <w:r w:rsidRPr="000135B5">
        <w:rPr>
          <w:szCs w:val="20"/>
          <w:rtl/>
        </w:rPr>
        <w:t>24</w:t>
      </w:r>
      <w:r w:rsidRPr="00566EBF">
        <w:rPr>
          <w:rtl/>
        </w:rPr>
        <w:t xml:space="preserve"> و</w:t>
      </w:r>
      <w:r w:rsidRPr="000135B5">
        <w:rPr>
          <w:szCs w:val="20"/>
          <w:rtl/>
        </w:rPr>
        <w:t>37</w:t>
      </w:r>
      <w:r w:rsidRPr="00566EBF">
        <w:rPr>
          <w:rtl/>
        </w:rPr>
        <w:t xml:space="preserve"> من الاتفاقية. ويمثل أصحاب البلاغين محام. وقد دخل البروتوكول الاختياري حيز التنفيذ بالنسبة إلى الدولة الطرف في </w:t>
      </w:r>
      <w:r w:rsidRPr="000135B5">
        <w:rPr>
          <w:szCs w:val="20"/>
          <w:rtl/>
        </w:rPr>
        <w:t>7</w:t>
      </w:r>
      <w:r w:rsidRPr="00566EBF">
        <w:rPr>
          <w:rtl/>
        </w:rPr>
        <w:t xml:space="preserve"> كانون الثاني/يناير </w:t>
      </w:r>
      <w:r w:rsidRPr="000135B5">
        <w:rPr>
          <w:szCs w:val="20"/>
          <w:rtl/>
        </w:rPr>
        <w:t>2016</w:t>
      </w:r>
      <w:r w:rsidRPr="00566EBF">
        <w:rPr>
          <w:rtl/>
        </w:rPr>
        <w:t>.</w:t>
      </w:r>
    </w:p>
    <w:p w14:paraId="60AC1038" w14:textId="5F40E542" w:rsidR="002572A4" w:rsidRPr="00F943E5" w:rsidRDefault="002572A4" w:rsidP="002572A4">
      <w:pPr>
        <w:pStyle w:val="SingleTxtGA"/>
        <w:rPr>
          <w:rFonts w:hint="cs"/>
          <w:spacing w:val="-2"/>
          <w:rtl/>
        </w:rPr>
      </w:pPr>
      <w:r w:rsidRPr="00F943E5">
        <w:rPr>
          <w:spacing w:val="-2"/>
          <w:szCs w:val="20"/>
          <w:rtl/>
        </w:rPr>
        <w:t>1</w:t>
      </w:r>
      <w:r w:rsidR="00566EBF" w:rsidRPr="00F943E5">
        <w:rPr>
          <w:rFonts w:hint="cs"/>
          <w:spacing w:val="-2"/>
          <w:rtl/>
        </w:rPr>
        <w:t>-</w:t>
      </w:r>
      <w:r w:rsidRPr="00F943E5">
        <w:rPr>
          <w:spacing w:val="-2"/>
          <w:szCs w:val="20"/>
          <w:rtl/>
        </w:rPr>
        <w:t>2</w:t>
      </w:r>
      <w:r w:rsidRPr="00F943E5">
        <w:rPr>
          <w:spacing w:val="-2"/>
          <w:rtl/>
        </w:rPr>
        <w:tab/>
        <w:t xml:space="preserve">وفي </w:t>
      </w:r>
      <w:r w:rsidRPr="00F943E5">
        <w:rPr>
          <w:spacing w:val="-2"/>
          <w:szCs w:val="20"/>
          <w:rtl/>
        </w:rPr>
        <w:t>27</w:t>
      </w:r>
      <w:r w:rsidRPr="00F943E5">
        <w:rPr>
          <w:spacing w:val="-2"/>
          <w:rtl/>
        </w:rPr>
        <w:t xml:space="preserve"> آذار/مارس و</w:t>
      </w:r>
      <w:r w:rsidRPr="00F943E5">
        <w:rPr>
          <w:spacing w:val="-2"/>
          <w:szCs w:val="20"/>
          <w:rtl/>
        </w:rPr>
        <w:t>4</w:t>
      </w:r>
      <w:r w:rsidRPr="00F943E5">
        <w:rPr>
          <w:spacing w:val="-2"/>
          <w:rtl/>
        </w:rPr>
        <w:t xml:space="preserve"> كانون الأول/ديسمبر </w:t>
      </w:r>
      <w:r w:rsidRPr="00F943E5">
        <w:rPr>
          <w:spacing w:val="-2"/>
          <w:szCs w:val="20"/>
          <w:rtl/>
        </w:rPr>
        <w:t>2019</w:t>
      </w:r>
      <w:r w:rsidRPr="00F943E5">
        <w:rPr>
          <w:spacing w:val="-2"/>
          <w:rtl/>
        </w:rPr>
        <w:t xml:space="preserve">، وعملاً بالمادة </w:t>
      </w:r>
      <w:r w:rsidRPr="00F943E5">
        <w:rPr>
          <w:spacing w:val="-2"/>
          <w:szCs w:val="20"/>
          <w:rtl/>
        </w:rPr>
        <w:t>6</w:t>
      </w:r>
      <w:r w:rsidRPr="00F943E5">
        <w:rPr>
          <w:spacing w:val="-2"/>
          <w:rtl/>
        </w:rPr>
        <w:t xml:space="preserve"> من البروتوكول الاختياري، رفض الفريق العامل المعني بالبلاغات، نيابة عن اللجنة، طلب أصحاب البلاغين اتخاذ تدابير مؤقتة تتمثل في إعادة الأطفال إلى فرنسا. بيد أن اللجنة طلبت إلى الدولة الطرف أن تتخذ التدابير الدبلوماسية اللازمة لضمان حماية حق الأطفال في الحياة والسلامة، بما في ذلك الحصول على أي رعاية طبية قد يحتاجون إليها.</w:t>
      </w:r>
    </w:p>
    <w:p w14:paraId="43F71D18" w14:textId="77777777" w:rsidR="002572A4" w:rsidRPr="00566EBF" w:rsidRDefault="002572A4" w:rsidP="002572A4">
      <w:pPr>
        <w:pStyle w:val="H23GA"/>
      </w:pPr>
      <w:r w:rsidRPr="00566EBF">
        <w:rPr>
          <w:rtl/>
        </w:rPr>
        <w:tab/>
      </w:r>
      <w:r w:rsidRPr="00566EBF">
        <w:rPr>
          <w:rtl/>
        </w:rPr>
        <w:tab/>
        <w:t>الوقائع كما عرضها أصحاب البلاغين</w:t>
      </w:r>
    </w:p>
    <w:p w14:paraId="7A23F902" w14:textId="5734836E" w:rsidR="002572A4" w:rsidRPr="00566EBF" w:rsidRDefault="002572A4" w:rsidP="002572A4">
      <w:pPr>
        <w:pStyle w:val="H4GA"/>
      </w:pPr>
      <w:r w:rsidRPr="00566EBF">
        <w:rPr>
          <w:rtl/>
        </w:rPr>
        <w:tab/>
      </w:r>
      <w:r w:rsidRPr="00566EBF">
        <w:rPr>
          <w:rtl/>
        </w:rPr>
        <w:tab/>
        <w:t xml:space="preserve">البلاغ رقم </w:t>
      </w:r>
      <w:r w:rsidR="00566EBF" w:rsidRPr="000135B5">
        <w:rPr>
          <w:rFonts w:hint="cs"/>
          <w:szCs w:val="20"/>
          <w:rtl/>
        </w:rPr>
        <w:t>79</w:t>
      </w:r>
      <w:r w:rsidRPr="00566EBF">
        <w:rPr>
          <w:rtl/>
        </w:rPr>
        <w:t>/</w:t>
      </w:r>
      <w:r w:rsidR="00566EBF" w:rsidRPr="000135B5">
        <w:rPr>
          <w:rFonts w:hint="cs"/>
          <w:szCs w:val="20"/>
          <w:rtl/>
        </w:rPr>
        <w:t>2019</w:t>
      </w:r>
    </w:p>
    <w:p w14:paraId="5114B304" w14:textId="3385A4FF" w:rsidR="002572A4" w:rsidRPr="00566EBF" w:rsidRDefault="002572A4" w:rsidP="002572A4">
      <w:pPr>
        <w:pStyle w:val="SingleTxtGA"/>
      </w:pPr>
      <w:r w:rsidRPr="000135B5">
        <w:rPr>
          <w:szCs w:val="20"/>
          <w:rtl/>
        </w:rPr>
        <w:t>2</w:t>
      </w:r>
      <w:r w:rsidR="00566EBF">
        <w:rPr>
          <w:rFonts w:hint="cs"/>
          <w:rtl/>
        </w:rPr>
        <w:t>-</w:t>
      </w:r>
      <w:r w:rsidRPr="000135B5">
        <w:rPr>
          <w:szCs w:val="20"/>
          <w:rtl/>
        </w:rPr>
        <w:t>1</w:t>
      </w:r>
      <w:r w:rsidRPr="00566EBF">
        <w:rPr>
          <w:rtl/>
        </w:rPr>
        <w:tab/>
        <w:t>وفقاً لصاحبي البلاغ، غادر والدا س. ه. فرنسا إلى الجمهورية العربية السورية في نيسان/</w:t>
      </w:r>
      <w:r w:rsidR="000135B5">
        <w:rPr>
          <w:rFonts w:hint="cs"/>
          <w:rtl/>
        </w:rPr>
        <w:t xml:space="preserve"> </w:t>
      </w:r>
      <w:r w:rsidRPr="00566EBF">
        <w:rPr>
          <w:rtl/>
        </w:rPr>
        <w:t>أبريل</w:t>
      </w:r>
      <w:r w:rsidR="000135B5">
        <w:rPr>
          <w:rFonts w:hint="cs"/>
          <w:rtl/>
        </w:rPr>
        <w:t> </w:t>
      </w:r>
      <w:r w:rsidRPr="000135B5">
        <w:rPr>
          <w:szCs w:val="20"/>
          <w:rtl/>
        </w:rPr>
        <w:t>2016</w:t>
      </w:r>
      <w:r w:rsidRPr="00566EBF">
        <w:rPr>
          <w:rtl/>
        </w:rPr>
        <w:t xml:space="preserve"> للالتحاق بالجهاديين. وفي </w:t>
      </w:r>
      <w:r w:rsidRPr="000135B5">
        <w:rPr>
          <w:szCs w:val="20"/>
          <w:rtl/>
        </w:rPr>
        <w:t>14</w:t>
      </w:r>
      <w:r w:rsidRPr="00566EBF">
        <w:rPr>
          <w:rtl/>
        </w:rPr>
        <w:t xml:space="preserve"> تشرين الثاني/نوفمبر </w:t>
      </w:r>
      <w:r w:rsidRPr="000135B5">
        <w:rPr>
          <w:szCs w:val="20"/>
          <w:rtl/>
        </w:rPr>
        <w:t>2017</w:t>
      </w:r>
      <w:r w:rsidRPr="00566EBF">
        <w:rPr>
          <w:rtl/>
        </w:rPr>
        <w:t xml:space="preserve">، ولد س. ه. في الجمهورية العربية السورية. وفي </w:t>
      </w:r>
      <w:r w:rsidRPr="000135B5">
        <w:rPr>
          <w:szCs w:val="20"/>
          <w:rtl/>
        </w:rPr>
        <w:t>21</w:t>
      </w:r>
      <w:r w:rsidRPr="00566EBF">
        <w:rPr>
          <w:rtl/>
        </w:rPr>
        <w:t xml:space="preserve"> كانون الثاني/يناير </w:t>
      </w:r>
      <w:r w:rsidRPr="000135B5">
        <w:rPr>
          <w:szCs w:val="20"/>
          <w:rtl/>
        </w:rPr>
        <w:t>2018</w:t>
      </w:r>
      <w:r w:rsidRPr="00566EBF">
        <w:rPr>
          <w:rtl/>
        </w:rPr>
        <w:t xml:space="preserve">، حاولت العائلة مغادرة الجمهورية العربية السورية لكن عناصر الميليشيات الكردية أوقفوها. وفُصل س. ه. ووالدته عن الأب وأُودعا في الاحتجاز منذ ذلك الحين في مخيم عين عيسى الخاضع لسيطرة القوات الكردية. وتمكنت الأم من الاتصال بوالديها في فرنسا ووصفت الظروف الصحية السيئة التي تعانيها هي </w:t>
      </w:r>
      <w:proofErr w:type="spellStart"/>
      <w:r w:rsidRPr="00566EBF">
        <w:rPr>
          <w:rtl/>
        </w:rPr>
        <w:t>وس</w:t>
      </w:r>
      <w:proofErr w:type="spellEnd"/>
      <w:r w:rsidRPr="00566EBF">
        <w:rPr>
          <w:rtl/>
        </w:rPr>
        <w:t>. </w:t>
      </w:r>
      <w:proofErr w:type="gramStart"/>
      <w:r w:rsidRPr="00566EBF">
        <w:rPr>
          <w:rtl/>
        </w:rPr>
        <w:t>ه..</w:t>
      </w:r>
      <w:proofErr w:type="gramEnd"/>
      <w:r w:rsidRPr="00566EBF">
        <w:rPr>
          <w:rtl/>
        </w:rPr>
        <w:t xml:space="preserve"> </w:t>
      </w:r>
    </w:p>
    <w:p w14:paraId="222492DF" w14:textId="73119C4C" w:rsidR="002572A4" w:rsidRPr="00566EBF" w:rsidRDefault="002572A4" w:rsidP="002572A4">
      <w:pPr>
        <w:pStyle w:val="SingleTxtGA"/>
      </w:pPr>
      <w:r w:rsidRPr="000135B5">
        <w:rPr>
          <w:szCs w:val="20"/>
          <w:rtl/>
        </w:rPr>
        <w:t>2</w:t>
      </w:r>
      <w:r w:rsidR="00566EBF">
        <w:rPr>
          <w:rtl/>
        </w:rPr>
        <w:t>-</w:t>
      </w:r>
      <w:r w:rsidRPr="000135B5">
        <w:rPr>
          <w:szCs w:val="20"/>
          <w:rtl/>
        </w:rPr>
        <w:t>2</w:t>
      </w:r>
      <w:r w:rsidRPr="00566EBF">
        <w:rPr>
          <w:rtl/>
        </w:rPr>
        <w:tab/>
        <w:t xml:space="preserve">أما م. أ. فقد وُلدت في </w:t>
      </w:r>
      <w:r w:rsidRPr="000135B5">
        <w:rPr>
          <w:szCs w:val="20"/>
          <w:rtl/>
        </w:rPr>
        <w:t>7</w:t>
      </w:r>
      <w:r w:rsidRPr="00566EBF">
        <w:rPr>
          <w:rtl/>
        </w:rPr>
        <w:t xml:space="preserve"> كانون الثاني/يناير </w:t>
      </w:r>
      <w:r w:rsidRPr="000135B5">
        <w:rPr>
          <w:szCs w:val="20"/>
          <w:rtl/>
        </w:rPr>
        <w:t>2013</w:t>
      </w:r>
      <w:r w:rsidRPr="00566EBF">
        <w:rPr>
          <w:rtl/>
        </w:rPr>
        <w:t xml:space="preserve"> في فرنسا. وفي </w:t>
      </w:r>
      <w:r w:rsidRPr="000135B5">
        <w:rPr>
          <w:szCs w:val="20"/>
          <w:rtl/>
        </w:rPr>
        <w:t>17</w:t>
      </w:r>
      <w:r w:rsidRPr="00566EBF">
        <w:rPr>
          <w:rtl/>
        </w:rPr>
        <w:t xml:space="preserve"> أيار/مايو </w:t>
      </w:r>
      <w:r w:rsidRPr="000135B5">
        <w:rPr>
          <w:szCs w:val="20"/>
          <w:rtl/>
        </w:rPr>
        <w:t>2014</w:t>
      </w:r>
      <w:r w:rsidRPr="00566EBF">
        <w:rPr>
          <w:rtl/>
        </w:rPr>
        <w:t xml:space="preserve">، غادرت م. أ. ووالداها فرنسا إلى الجمهورية العربية السورية. وفي الجمهورية العربية السورية، أنجبت والدة م. أ. أربعة أطفال آخرين هم: أ. أ. المولود في </w:t>
      </w:r>
      <w:r w:rsidRPr="000135B5">
        <w:rPr>
          <w:szCs w:val="20"/>
          <w:rtl/>
        </w:rPr>
        <w:t>7</w:t>
      </w:r>
      <w:r w:rsidRPr="00566EBF">
        <w:rPr>
          <w:rtl/>
        </w:rPr>
        <w:t xml:space="preserve"> حزيران/يونيه </w:t>
      </w:r>
      <w:r w:rsidRPr="000135B5">
        <w:rPr>
          <w:szCs w:val="20"/>
          <w:rtl/>
        </w:rPr>
        <w:t>2014</w:t>
      </w:r>
      <w:r w:rsidRPr="00566EBF">
        <w:rPr>
          <w:rtl/>
        </w:rPr>
        <w:t xml:space="preserve">؛ </w:t>
      </w:r>
      <w:proofErr w:type="spellStart"/>
      <w:r w:rsidRPr="00566EBF">
        <w:rPr>
          <w:rtl/>
        </w:rPr>
        <w:t>وج</w:t>
      </w:r>
      <w:proofErr w:type="spellEnd"/>
      <w:r w:rsidRPr="00566EBF">
        <w:rPr>
          <w:rtl/>
        </w:rPr>
        <w:t>.</w:t>
      </w:r>
      <w:r w:rsidRPr="00566EBF">
        <w:rPr>
          <w:rFonts w:hint="cs"/>
          <w:rtl/>
        </w:rPr>
        <w:t> </w:t>
      </w:r>
      <w:r w:rsidRPr="00566EBF">
        <w:rPr>
          <w:rtl/>
        </w:rPr>
        <w:t xml:space="preserve">أ.، المولود في </w:t>
      </w:r>
      <w:r w:rsidRPr="000135B5">
        <w:rPr>
          <w:szCs w:val="20"/>
          <w:rtl/>
        </w:rPr>
        <w:t>7</w:t>
      </w:r>
      <w:r w:rsidRPr="00566EBF">
        <w:rPr>
          <w:rtl/>
        </w:rPr>
        <w:t xml:space="preserve"> شباط/فبراير </w:t>
      </w:r>
      <w:r w:rsidRPr="000135B5">
        <w:rPr>
          <w:szCs w:val="20"/>
          <w:rtl/>
        </w:rPr>
        <w:t>2016</w:t>
      </w:r>
      <w:r w:rsidRPr="00566EBF">
        <w:rPr>
          <w:rtl/>
        </w:rPr>
        <w:t xml:space="preserve">؛ </w:t>
      </w:r>
      <w:proofErr w:type="spellStart"/>
      <w:r w:rsidRPr="00566EBF">
        <w:rPr>
          <w:rtl/>
        </w:rPr>
        <w:t>وأ</w:t>
      </w:r>
      <w:proofErr w:type="spellEnd"/>
      <w:r w:rsidRPr="00566EBF">
        <w:rPr>
          <w:rtl/>
        </w:rPr>
        <w:t xml:space="preserve">. أ.، المولود في </w:t>
      </w:r>
      <w:r w:rsidRPr="000135B5">
        <w:rPr>
          <w:szCs w:val="20"/>
          <w:rtl/>
        </w:rPr>
        <w:t>5</w:t>
      </w:r>
      <w:r w:rsidRPr="00566EBF">
        <w:rPr>
          <w:rtl/>
        </w:rPr>
        <w:t xml:space="preserve"> نيسان/أبريل </w:t>
      </w:r>
      <w:r w:rsidRPr="000135B5">
        <w:rPr>
          <w:szCs w:val="20"/>
          <w:rtl/>
        </w:rPr>
        <w:t>2017</w:t>
      </w:r>
      <w:r w:rsidRPr="00566EBF">
        <w:rPr>
          <w:rtl/>
        </w:rPr>
        <w:t>؛ ور.</w:t>
      </w:r>
      <w:r w:rsidRPr="00566EBF">
        <w:rPr>
          <w:rFonts w:hint="cs"/>
          <w:rtl/>
        </w:rPr>
        <w:t> </w:t>
      </w:r>
      <w:r w:rsidRPr="00566EBF">
        <w:rPr>
          <w:rtl/>
        </w:rPr>
        <w:t xml:space="preserve">أ.، المولود في </w:t>
      </w:r>
      <w:r w:rsidRPr="000135B5">
        <w:rPr>
          <w:szCs w:val="20"/>
          <w:rtl/>
        </w:rPr>
        <w:t>30</w:t>
      </w:r>
      <w:r w:rsidRPr="00566EBF">
        <w:rPr>
          <w:rtl/>
        </w:rPr>
        <w:t xml:space="preserve"> تشرين الأول/</w:t>
      </w:r>
      <w:r w:rsidR="000135B5">
        <w:rPr>
          <w:rFonts w:hint="cs"/>
          <w:rtl/>
        </w:rPr>
        <w:t xml:space="preserve"> </w:t>
      </w:r>
      <w:r w:rsidRPr="00566EBF">
        <w:rPr>
          <w:rtl/>
        </w:rPr>
        <w:t xml:space="preserve">أكتوبر </w:t>
      </w:r>
      <w:r w:rsidRPr="000135B5">
        <w:rPr>
          <w:szCs w:val="20"/>
          <w:rtl/>
        </w:rPr>
        <w:t>2018</w:t>
      </w:r>
      <w:r w:rsidRPr="00566EBF">
        <w:rPr>
          <w:rtl/>
        </w:rPr>
        <w:t xml:space="preserve">. وفي </w:t>
      </w:r>
      <w:r w:rsidRPr="000135B5">
        <w:rPr>
          <w:szCs w:val="20"/>
          <w:rtl/>
        </w:rPr>
        <w:t>30</w:t>
      </w:r>
      <w:r w:rsidRPr="00566EBF">
        <w:rPr>
          <w:rtl/>
        </w:rPr>
        <w:t xml:space="preserve"> تشرين الأول/أكتوبر </w:t>
      </w:r>
      <w:r w:rsidRPr="000135B5">
        <w:rPr>
          <w:szCs w:val="20"/>
          <w:rtl/>
        </w:rPr>
        <w:t>2017</w:t>
      </w:r>
      <w:r w:rsidRPr="00566EBF">
        <w:rPr>
          <w:rtl/>
        </w:rPr>
        <w:t xml:space="preserve">، فقدت جدة م. أ. الاتصال بابنتها وأحفادها. وفي نهاية تشرين الثاني/نوفمبر </w:t>
      </w:r>
      <w:r w:rsidRPr="000135B5">
        <w:rPr>
          <w:szCs w:val="20"/>
          <w:rtl/>
        </w:rPr>
        <w:t>2018</w:t>
      </w:r>
      <w:r w:rsidRPr="00566EBF">
        <w:rPr>
          <w:rtl/>
        </w:rPr>
        <w:t>، تمكنت والدة م. أ. من الاتصال بالجدة وأبلغتها أن القوات الكردية تحتجزها مع أطفالها الخمسة منذ سبعة أشهر ونصف في مخيم روج. وأبلغتها أيضا</w:t>
      </w:r>
      <w:r w:rsidR="008D15E3">
        <w:rPr>
          <w:rFonts w:hint="cs"/>
          <w:rtl/>
        </w:rPr>
        <w:t>ً</w:t>
      </w:r>
      <w:r w:rsidRPr="00566EBF">
        <w:rPr>
          <w:rtl/>
        </w:rPr>
        <w:t xml:space="preserve"> بظروف الاحتجاز الصعبة جداً في المخيم والافتقار إلى الرعاية الطبية. ويعاني ج. أ. من نوبات الربو فيما يعاني أ. أ. من آلام شديدة في المعدة. </w:t>
      </w:r>
    </w:p>
    <w:p w14:paraId="7023367F" w14:textId="759CC748" w:rsidR="002572A4" w:rsidRPr="00566EBF" w:rsidRDefault="002572A4" w:rsidP="002572A4">
      <w:pPr>
        <w:pStyle w:val="H4GA"/>
      </w:pPr>
      <w:r w:rsidRPr="00566EBF">
        <w:rPr>
          <w:rtl/>
        </w:rPr>
        <w:tab/>
      </w:r>
      <w:r w:rsidRPr="00566EBF">
        <w:rPr>
          <w:rtl/>
        </w:rPr>
        <w:tab/>
        <w:t xml:space="preserve">البلاغ رقم </w:t>
      </w:r>
      <w:r w:rsidR="00566EBF" w:rsidRPr="000135B5">
        <w:rPr>
          <w:rFonts w:hint="cs"/>
          <w:szCs w:val="20"/>
          <w:rtl/>
        </w:rPr>
        <w:t>109</w:t>
      </w:r>
      <w:r w:rsidRPr="00566EBF">
        <w:rPr>
          <w:rtl/>
        </w:rPr>
        <w:t>/</w:t>
      </w:r>
      <w:r w:rsidR="00566EBF" w:rsidRPr="000135B5">
        <w:rPr>
          <w:rFonts w:hint="cs"/>
          <w:szCs w:val="20"/>
          <w:rtl/>
        </w:rPr>
        <w:t>2019</w:t>
      </w:r>
    </w:p>
    <w:p w14:paraId="11EE9CE7" w14:textId="2470C7B3" w:rsidR="002572A4" w:rsidRPr="00DD60CD" w:rsidRDefault="002572A4" w:rsidP="002572A4">
      <w:pPr>
        <w:pStyle w:val="SingleTxtGA"/>
        <w:rPr>
          <w:spacing w:val="-2"/>
        </w:rPr>
      </w:pPr>
      <w:r w:rsidRPr="000135B5">
        <w:rPr>
          <w:szCs w:val="20"/>
          <w:rtl/>
        </w:rPr>
        <w:t>2</w:t>
      </w:r>
      <w:r w:rsidR="00566EBF">
        <w:rPr>
          <w:rtl/>
        </w:rPr>
        <w:t>-</w:t>
      </w:r>
      <w:r w:rsidRPr="000135B5">
        <w:rPr>
          <w:szCs w:val="20"/>
          <w:rtl/>
        </w:rPr>
        <w:t>3</w:t>
      </w:r>
      <w:r w:rsidRPr="00566EBF">
        <w:rPr>
          <w:rtl/>
        </w:rPr>
        <w:tab/>
        <w:t>ولد ل.</w:t>
      </w:r>
      <w:r w:rsidRPr="00566EBF">
        <w:rPr>
          <w:rFonts w:hint="cs"/>
          <w:rtl/>
        </w:rPr>
        <w:t> </w:t>
      </w:r>
      <w:r w:rsidRPr="00566EBF">
        <w:rPr>
          <w:rtl/>
        </w:rPr>
        <w:t xml:space="preserve">ف.، </w:t>
      </w:r>
      <w:proofErr w:type="spellStart"/>
      <w:r w:rsidRPr="00566EBF">
        <w:rPr>
          <w:rtl/>
        </w:rPr>
        <w:t>وأ</w:t>
      </w:r>
      <w:proofErr w:type="spellEnd"/>
      <w:r w:rsidRPr="00566EBF">
        <w:rPr>
          <w:rtl/>
        </w:rPr>
        <w:t xml:space="preserve">. ف.، </w:t>
      </w:r>
      <w:proofErr w:type="spellStart"/>
      <w:r w:rsidRPr="00566EBF">
        <w:rPr>
          <w:rtl/>
        </w:rPr>
        <w:t>وس</w:t>
      </w:r>
      <w:proofErr w:type="spellEnd"/>
      <w:r w:rsidRPr="00566EBF">
        <w:rPr>
          <w:rtl/>
        </w:rPr>
        <w:t>.</w:t>
      </w:r>
      <w:r w:rsidRPr="00566EBF">
        <w:rPr>
          <w:rFonts w:hint="cs"/>
          <w:rtl/>
        </w:rPr>
        <w:t> </w:t>
      </w:r>
      <w:r w:rsidRPr="00566EBF">
        <w:rPr>
          <w:rtl/>
        </w:rPr>
        <w:t xml:space="preserve">ف. في فرنسا في </w:t>
      </w:r>
      <w:r w:rsidRPr="000135B5">
        <w:rPr>
          <w:szCs w:val="20"/>
          <w:rtl/>
        </w:rPr>
        <w:t>2003</w:t>
      </w:r>
      <w:r w:rsidRPr="00566EBF">
        <w:rPr>
          <w:rtl/>
        </w:rPr>
        <w:t xml:space="preserve"> و</w:t>
      </w:r>
      <w:r w:rsidRPr="000135B5">
        <w:rPr>
          <w:szCs w:val="20"/>
          <w:rtl/>
        </w:rPr>
        <w:t>2006</w:t>
      </w:r>
      <w:r w:rsidRPr="00566EBF">
        <w:rPr>
          <w:rtl/>
        </w:rPr>
        <w:t xml:space="preserve"> و</w:t>
      </w:r>
      <w:r w:rsidRPr="000135B5">
        <w:rPr>
          <w:szCs w:val="20"/>
          <w:rtl/>
        </w:rPr>
        <w:t>2011</w:t>
      </w:r>
      <w:r w:rsidRPr="00566EBF">
        <w:rPr>
          <w:rtl/>
        </w:rPr>
        <w:t xml:space="preserve"> على التوالي. ويقول صاحبا البلاغ إن والدي الأطفال تطرفا تدريجياً وغادرا فرنسا مع الأطفال إلى الأردن أولا</w:t>
      </w:r>
      <w:r w:rsidR="008D15E3">
        <w:rPr>
          <w:rFonts w:hint="cs"/>
          <w:rtl/>
        </w:rPr>
        <w:t>ً</w:t>
      </w:r>
      <w:r w:rsidRPr="00566EBF">
        <w:rPr>
          <w:rtl/>
        </w:rPr>
        <w:t xml:space="preserve"> في آب/</w:t>
      </w:r>
      <w:r w:rsidR="000135B5">
        <w:rPr>
          <w:rFonts w:hint="cs"/>
          <w:rtl/>
        </w:rPr>
        <w:t xml:space="preserve"> </w:t>
      </w:r>
      <w:r w:rsidRPr="000135B5">
        <w:rPr>
          <w:spacing w:val="-4"/>
          <w:rtl/>
        </w:rPr>
        <w:t xml:space="preserve">أغسطس </w:t>
      </w:r>
      <w:r w:rsidRPr="000135B5">
        <w:rPr>
          <w:spacing w:val="-4"/>
          <w:szCs w:val="20"/>
          <w:rtl/>
        </w:rPr>
        <w:t>2012</w:t>
      </w:r>
      <w:r w:rsidRPr="000135B5">
        <w:rPr>
          <w:spacing w:val="-4"/>
          <w:rtl/>
        </w:rPr>
        <w:t xml:space="preserve">، ثم إلى مصر في أيار/مايو </w:t>
      </w:r>
      <w:r w:rsidRPr="000135B5">
        <w:rPr>
          <w:spacing w:val="-4"/>
          <w:szCs w:val="20"/>
          <w:rtl/>
        </w:rPr>
        <w:t>2013</w:t>
      </w:r>
      <w:r w:rsidRPr="000135B5">
        <w:rPr>
          <w:spacing w:val="-4"/>
          <w:rtl/>
        </w:rPr>
        <w:t xml:space="preserve">، ثم إلى الجمهورية العربية السورية في </w:t>
      </w:r>
      <w:r w:rsidRPr="000135B5">
        <w:rPr>
          <w:spacing w:val="-4"/>
          <w:szCs w:val="20"/>
          <w:rtl/>
        </w:rPr>
        <w:t>23</w:t>
      </w:r>
      <w:r w:rsidRPr="000135B5">
        <w:rPr>
          <w:spacing w:val="-4"/>
          <w:rtl/>
        </w:rPr>
        <w:t xml:space="preserve"> تشرين الثاني/</w:t>
      </w:r>
      <w:r w:rsidR="000135B5">
        <w:rPr>
          <w:rFonts w:hint="cs"/>
          <w:rtl/>
        </w:rPr>
        <w:t xml:space="preserve"> </w:t>
      </w:r>
      <w:r w:rsidRPr="00566EBF">
        <w:rPr>
          <w:rtl/>
        </w:rPr>
        <w:t xml:space="preserve">نوفمبر </w:t>
      </w:r>
      <w:r w:rsidRPr="000135B5">
        <w:rPr>
          <w:szCs w:val="20"/>
          <w:rtl/>
        </w:rPr>
        <w:t>2013</w:t>
      </w:r>
      <w:r w:rsidRPr="00566EBF">
        <w:rPr>
          <w:rtl/>
        </w:rPr>
        <w:t xml:space="preserve">. وفي الجمهورية العربية السورية، وُلد الشقيق الرابع، ن. ف.، في </w:t>
      </w:r>
      <w:r w:rsidRPr="000135B5">
        <w:rPr>
          <w:szCs w:val="20"/>
          <w:rtl/>
        </w:rPr>
        <w:t>2</w:t>
      </w:r>
      <w:r w:rsidRPr="00566EBF">
        <w:rPr>
          <w:rtl/>
        </w:rPr>
        <w:t xml:space="preserve"> أيار/مايو </w:t>
      </w:r>
      <w:r w:rsidRPr="000135B5">
        <w:rPr>
          <w:szCs w:val="20"/>
          <w:rtl/>
        </w:rPr>
        <w:t>2014</w:t>
      </w:r>
      <w:r w:rsidRPr="00566EBF">
        <w:rPr>
          <w:rtl/>
        </w:rPr>
        <w:t xml:space="preserve">. </w:t>
      </w:r>
      <w:r w:rsidRPr="000135B5">
        <w:rPr>
          <w:spacing w:val="-2"/>
          <w:rtl/>
        </w:rPr>
        <w:t>وبعد</w:t>
      </w:r>
      <w:r w:rsidR="00DD60CD">
        <w:rPr>
          <w:rFonts w:hint="cs"/>
          <w:spacing w:val="-2"/>
          <w:rtl/>
        </w:rPr>
        <w:t> </w:t>
      </w:r>
      <w:r w:rsidRPr="000135B5">
        <w:rPr>
          <w:spacing w:val="-2"/>
          <w:rtl/>
        </w:rPr>
        <w:t>وفاة الوالد، تزوجت والدتهما من أحد مواطني الجمهورية العربية السورية الذي توفي أيضا</w:t>
      </w:r>
      <w:r w:rsidR="008D15E3">
        <w:rPr>
          <w:rFonts w:hint="cs"/>
          <w:spacing w:val="-2"/>
          <w:rtl/>
        </w:rPr>
        <w:t>ً</w:t>
      </w:r>
      <w:r w:rsidRPr="000135B5">
        <w:rPr>
          <w:spacing w:val="-2"/>
          <w:rtl/>
        </w:rPr>
        <w:t xml:space="preserve"> في وقت </w:t>
      </w:r>
      <w:r w:rsidRPr="000135B5">
        <w:rPr>
          <w:spacing w:val="-2"/>
          <w:rtl/>
        </w:rPr>
        <w:lastRenderedPageBreak/>
        <w:t xml:space="preserve">لاحق. وولد أ. أ. من هذا الزواج الثاني في </w:t>
      </w:r>
      <w:r w:rsidRPr="000135B5">
        <w:rPr>
          <w:spacing w:val="-2"/>
          <w:szCs w:val="20"/>
          <w:rtl/>
        </w:rPr>
        <w:t>18</w:t>
      </w:r>
      <w:r w:rsidRPr="000135B5">
        <w:rPr>
          <w:spacing w:val="-2"/>
          <w:rtl/>
        </w:rPr>
        <w:t xml:space="preserve"> كانون الثاني/يناير </w:t>
      </w:r>
      <w:r w:rsidRPr="000135B5">
        <w:rPr>
          <w:spacing w:val="-2"/>
          <w:szCs w:val="20"/>
          <w:rtl/>
        </w:rPr>
        <w:t>2017</w:t>
      </w:r>
      <w:r w:rsidRPr="000135B5">
        <w:rPr>
          <w:spacing w:val="-2"/>
          <w:rtl/>
        </w:rPr>
        <w:t xml:space="preserve">. وفي </w:t>
      </w:r>
      <w:r w:rsidRPr="000135B5">
        <w:rPr>
          <w:spacing w:val="-2"/>
          <w:szCs w:val="20"/>
          <w:rtl/>
        </w:rPr>
        <w:t>31</w:t>
      </w:r>
      <w:r w:rsidRPr="000135B5">
        <w:rPr>
          <w:spacing w:val="-2"/>
          <w:rtl/>
        </w:rPr>
        <w:t xml:space="preserve"> أيار/مايو </w:t>
      </w:r>
      <w:r w:rsidRPr="000135B5">
        <w:rPr>
          <w:spacing w:val="-2"/>
          <w:szCs w:val="20"/>
          <w:rtl/>
        </w:rPr>
        <w:t>2019</w:t>
      </w:r>
      <w:r w:rsidRPr="000135B5">
        <w:rPr>
          <w:spacing w:val="-2"/>
          <w:rtl/>
        </w:rPr>
        <w:t xml:space="preserve">، أبلغت والدة الأطفال والديها بأنها في الجمهورية العربية السورية، في مخيم روج، مع ابنها الأصغر أ. أ. وقد عاش </w:t>
      </w:r>
      <w:r w:rsidRPr="00DD60CD">
        <w:rPr>
          <w:spacing w:val="-2"/>
          <w:rtl/>
        </w:rPr>
        <w:t xml:space="preserve">أطفالها الأربعة الآخرون لدى عائلة زوجها الثاني، قبل نقلهم إلى مخيم روج في آب/أغسطس </w:t>
      </w:r>
      <w:r w:rsidRPr="00DD60CD">
        <w:rPr>
          <w:spacing w:val="-2"/>
          <w:szCs w:val="20"/>
          <w:rtl/>
        </w:rPr>
        <w:t>2019</w:t>
      </w:r>
      <w:r w:rsidRPr="00DD60CD">
        <w:rPr>
          <w:spacing w:val="-2"/>
          <w:rtl/>
        </w:rPr>
        <w:t>. وكانت والدة الأطفال قد أصيبت إصابة خطيرة في أذنها اليمنى أثناء إحدى الغارات، مما تسبب لها في صمم تام أحادي الجانب في تلك الأذن ويعاني أ. ف. من إصابات في قدمه اليسرى، ولذلك فهو يحتاج إلى إعادة تأهيل. ولم يتلق أي منهما الرعاية الطبية اللازمة، لأنها غير متوفرة في المخيم. ويتصل صاحبا البلاغ بابنتهما (والدة الأطفال) وبحفيدتهما ل.</w:t>
      </w:r>
      <w:r w:rsidRPr="00DD60CD">
        <w:rPr>
          <w:rFonts w:hint="cs"/>
          <w:spacing w:val="-2"/>
          <w:rtl/>
        </w:rPr>
        <w:t> </w:t>
      </w:r>
      <w:r w:rsidRPr="00DD60CD">
        <w:rPr>
          <w:spacing w:val="-2"/>
          <w:rtl/>
        </w:rPr>
        <w:t>أ. عبر الهاتف وعبر وسائل التواصل الاجتماعي. ويخشى صاحبا البلاغ أن تكون ل.</w:t>
      </w:r>
      <w:r w:rsidRPr="00DD60CD">
        <w:rPr>
          <w:rFonts w:hint="cs"/>
          <w:spacing w:val="-2"/>
          <w:rtl/>
        </w:rPr>
        <w:t> </w:t>
      </w:r>
      <w:r w:rsidRPr="00DD60CD">
        <w:rPr>
          <w:spacing w:val="-2"/>
          <w:rtl/>
        </w:rPr>
        <w:t xml:space="preserve">أ. البالغة </w:t>
      </w:r>
      <w:r w:rsidRPr="00DD60CD">
        <w:rPr>
          <w:spacing w:val="-2"/>
          <w:szCs w:val="20"/>
          <w:rtl/>
        </w:rPr>
        <w:t>16</w:t>
      </w:r>
      <w:r w:rsidRPr="00DD60CD">
        <w:rPr>
          <w:spacing w:val="-2"/>
          <w:rtl/>
        </w:rPr>
        <w:t xml:space="preserve"> عاماً قد زُوجت إلى أحد الرجال رغما</w:t>
      </w:r>
      <w:r w:rsidR="008D15E3" w:rsidRPr="00DD60CD">
        <w:rPr>
          <w:rFonts w:hint="cs"/>
          <w:spacing w:val="-2"/>
          <w:rtl/>
        </w:rPr>
        <w:t>ً</w:t>
      </w:r>
      <w:r w:rsidRPr="00DD60CD">
        <w:rPr>
          <w:spacing w:val="-2"/>
          <w:rtl/>
        </w:rPr>
        <w:t xml:space="preserve"> عنها.</w:t>
      </w:r>
    </w:p>
    <w:p w14:paraId="0A05F9A7" w14:textId="77777777" w:rsidR="002572A4" w:rsidRPr="00566EBF" w:rsidRDefault="002572A4" w:rsidP="002572A4">
      <w:pPr>
        <w:pStyle w:val="H4GA"/>
      </w:pPr>
      <w:r w:rsidRPr="00566EBF">
        <w:rPr>
          <w:rtl/>
        </w:rPr>
        <w:tab/>
      </w:r>
      <w:r w:rsidRPr="00566EBF">
        <w:rPr>
          <w:rtl/>
        </w:rPr>
        <w:tab/>
        <w:t>البلاغان</w:t>
      </w:r>
      <w:r w:rsidRPr="00566EBF">
        <w:rPr>
          <w:rFonts w:ascii="Arial" w:hAnsi="Arial" w:cs="Arial" w:hint="cs"/>
          <w:rtl/>
        </w:rPr>
        <w:t>‬</w:t>
      </w:r>
    </w:p>
    <w:p w14:paraId="224723D5" w14:textId="0513B07C" w:rsidR="002572A4" w:rsidRPr="00566EBF" w:rsidRDefault="002572A4" w:rsidP="002572A4">
      <w:pPr>
        <w:pStyle w:val="SingleTxtGA"/>
      </w:pPr>
      <w:r w:rsidRPr="000135B5">
        <w:rPr>
          <w:szCs w:val="20"/>
          <w:rtl/>
        </w:rPr>
        <w:t>2</w:t>
      </w:r>
      <w:r w:rsidR="00566EBF">
        <w:rPr>
          <w:rtl/>
        </w:rPr>
        <w:t>-</w:t>
      </w:r>
      <w:r w:rsidRPr="000135B5">
        <w:rPr>
          <w:szCs w:val="20"/>
          <w:rtl/>
        </w:rPr>
        <w:t>4</w:t>
      </w:r>
      <w:r w:rsidRPr="00566EBF">
        <w:rPr>
          <w:rtl/>
        </w:rPr>
        <w:tab/>
        <w:t xml:space="preserve">يؤكد أصحاب البلاغين أنهم أبقوا الدولة الطرف على علم بالتطورات المتعلقة بحالة أبنائهم وأحفادهم وبوضعهم في الجمهورية العربية السورية. </w:t>
      </w:r>
    </w:p>
    <w:p w14:paraId="1E3663A5" w14:textId="77777777" w:rsidR="002572A4" w:rsidRPr="00566EBF" w:rsidRDefault="002572A4" w:rsidP="002572A4">
      <w:pPr>
        <w:pStyle w:val="H4GA"/>
      </w:pPr>
      <w:r w:rsidRPr="00566EBF">
        <w:rPr>
          <w:rtl/>
        </w:rPr>
        <w:tab/>
      </w:r>
      <w:r w:rsidRPr="00566EBF">
        <w:rPr>
          <w:rtl/>
        </w:rPr>
        <w:tab/>
        <w:t xml:space="preserve">السياق العام كما قدمه أصحاب البلاغين </w:t>
      </w:r>
    </w:p>
    <w:p w14:paraId="27996C70" w14:textId="3368BBF9" w:rsidR="002572A4" w:rsidRPr="00566EBF" w:rsidRDefault="002572A4" w:rsidP="002572A4">
      <w:pPr>
        <w:pStyle w:val="SingleTxtGA"/>
      </w:pPr>
      <w:r w:rsidRPr="000135B5">
        <w:rPr>
          <w:szCs w:val="20"/>
          <w:rtl/>
        </w:rPr>
        <w:t>2</w:t>
      </w:r>
      <w:r w:rsidR="00566EBF">
        <w:rPr>
          <w:rtl/>
        </w:rPr>
        <w:t>-</w:t>
      </w:r>
      <w:r w:rsidRPr="000135B5">
        <w:rPr>
          <w:szCs w:val="20"/>
          <w:rtl/>
        </w:rPr>
        <w:t>5</w:t>
      </w:r>
      <w:r w:rsidRPr="00566EBF">
        <w:rPr>
          <w:rtl/>
        </w:rPr>
        <w:tab/>
        <w:t>ويؤكد أصحاب البلاغين أن عددا</w:t>
      </w:r>
      <w:r w:rsidR="008D15E3">
        <w:rPr>
          <w:rFonts w:hint="cs"/>
          <w:rtl/>
        </w:rPr>
        <w:t>ً</w:t>
      </w:r>
      <w:r w:rsidRPr="00566EBF">
        <w:rPr>
          <w:rtl/>
        </w:rPr>
        <w:t xml:space="preserve"> من مواطني فرنسا فروا، منذ بداية عام </w:t>
      </w:r>
      <w:r w:rsidRPr="000135B5">
        <w:rPr>
          <w:szCs w:val="20"/>
          <w:rtl/>
        </w:rPr>
        <w:t>2018</w:t>
      </w:r>
      <w:r w:rsidRPr="00566EBF">
        <w:rPr>
          <w:rtl/>
        </w:rPr>
        <w:t xml:space="preserve">، من تنظيم الدولة الإسلامية في العراق والشام واستسلموا للقوات الكردية في روج </w:t>
      </w:r>
      <w:proofErr w:type="spellStart"/>
      <w:r w:rsidRPr="00566EBF">
        <w:rPr>
          <w:rtl/>
        </w:rPr>
        <w:t>آفا</w:t>
      </w:r>
      <w:proofErr w:type="spellEnd"/>
      <w:r w:rsidRPr="00566EBF">
        <w:rPr>
          <w:rtl/>
        </w:rPr>
        <w:t>، وهي منطقة كردية تتمتع بالحكم الذاتي في شمال شرق الجمهورية العربية السورية، أملاً في العودة إلى فرنسا. ومن بين هؤلاء الأشخاص آباء وأمهات يُحتجزون حاليا</w:t>
      </w:r>
      <w:r w:rsidR="008D15E3">
        <w:rPr>
          <w:rFonts w:hint="cs"/>
          <w:rtl/>
        </w:rPr>
        <w:t>ً</w:t>
      </w:r>
      <w:r w:rsidRPr="00566EBF">
        <w:rPr>
          <w:rtl/>
        </w:rPr>
        <w:t xml:space="preserve"> في مخيمات الهول وعين عيسى وروج مع أطفالهم. ولا يوجد لدى الأطفال المحتجزين في المخيمات وثائق احتجاز ولا يخضعون لأية إجراءات قانونية محلية، لأن كردستان السورية ليست دولة. وقد أخطرت سلطات كردستان السورية السلطات الفرنسية بأنها لن</w:t>
      </w:r>
      <w:r w:rsidR="000135B5">
        <w:rPr>
          <w:rFonts w:hint="cs"/>
          <w:rtl/>
        </w:rPr>
        <w:t> </w:t>
      </w:r>
      <w:r w:rsidRPr="00566EBF">
        <w:rPr>
          <w:rtl/>
        </w:rPr>
        <w:t xml:space="preserve">تحاكم المحتجزين في المخيمات ولن تصدر أي أوامر ضدهم. </w:t>
      </w:r>
    </w:p>
    <w:p w14:paraId="43E1C0B5" w14:textId="398B5E24" w:rsidR="002572A4" w:rsidRPr="00566EBF" w:rsidRDefault="002572A4" w:rsidP="002572A4">
      <w:pPr>
        <w:pStyle w:val="SingleTxtGA"/>
      </w:pPr>
      <w:r w:rsidRPr="000135B5">
        <w:rPr>
          <w:szCs w:val="20"/>
          <w:rtl/>
        </w:rPr>
        <w:t>2</w:t>
      </w:r>
      <w:r w:rsidR="00566EBF">
        <w:rPr>
          <w:rtl/>
        </w:rPr>
        <w:t>-</w:t>
      </w:r>
      <w:r w:rsidRPr="000135B5">
        <w:rPr>
          <w:szCs w:val="20"/>
          <w:rtl/>
        </w:rPr>
        <w:t>6</w:t>
      </w:r>
      <w:r w:rsidRPr="00566EBF">
        <w:rPr>
          <w:rtl/>
        </w:rPr>
        <w:tab/>
        <w:t xml:space="preserve">وفي </w:t>
      </w:r>
      <w:r w:rsidRPr="000135B5">
        <w:rPr>
          <w:szCs w:val="20"/>
          <w:rtl/>
        </w:rPr>
        <w:t>9</w:t>
      </w:r>
      <w:r w:rsidRPr="00566EBF">
        <w:rPr>
          <w:rtl/>
        </w:rPr>
        <w:t xml:space="preserve"> تشرين الأول/أكتوبر </w:t>
      </w:r>
      <w:r w:rsidRPr="000135B5">
        <w:rPr>
          <w:szCs w:val="20"/>
          <w:rtl/>
        </w:rPr>
        <w:t>2019</w:t>
      </w:r>
      <w:r w:rsidRPr="00566EBF">
        <w:rPr>
          <w:rtl/>
        </w:rPr>
        <w:t xml:space="preserve">، شنت الحكومة التركية هجوماً عسكرياً على القوات الكردية في روج </w:t>
      </w:r>
      <w:proofErr w:type="spellStart"/>
      <w:r w:rsidRPr="00566EBF">
        <w:rPr>
          <w:rtl/>
        </w:rPr>
        <w:t>آفا</w:t>
      </w:r>
      <w:proofErr w:type="spellEnd"/>
      <w:r w:rsidRPr="00566EBF">
        <w:rPr>
          <w:rtl/>
        </w:rPr>
        <w:t xml:space="preserve"> عقب انسحاب القوات العسكرية للولايات المتحدة. وأدى القتال والغارات الجوية والقصف المدفعي في شمال شرق الجمهورية العربية السورية إلى مقتل عشرات المدنيين، فضلا</w:t>
      </w:r>
      <w:r w:rsidR="008D15E3">
        <w:rPr>
          <w:rFonts w:hint="cs"/>
          <w:rtl/>
        </w:rPr>
        <w:t>ً</w:t>
      </w:r>
      <w:r w:rsidRPr="00566EBF">
        <w:rPr>
          <w:rtl/>
        </w:rPr>
        <w:t xml:space="preserve"> عن تشريد آلاف آخرين إلى المناطق المتاخمة للحدود السورية. ووفقا</w:t>
      </w:r>
      <w:r w:rsidR="008D15E3">
        <w:rPr>
          <w:rFonts w:hint="cs"/>
          <w:rtl/>
        </w:rPr>
        <w:t>ً</w:t>
      </w:r>
      <w:r w:rsidRPr="00566EBF">
        <w:rPr>
          <w:rtl/>
        </w:rPr>
        <w:t xml:space="preserve"> للسلطات الكردية، فر </w:t>
      </w:r>
      <w:r w:rsidRPr="000135B5">
        <w:rPr>
          <w:szCs w:val="20"/>
          <w:rtl/>
        </w:rPr>
        <w:t>785</w:t>
      </w:r>
      <w:r w:rsidRPr="00566EBF">
        <w:rPr>
          <w:rtl/>
        </w:rPr>
        <w:t xml:space="preserve"> عضوا</w:t>
      </w:r>
      <w:r w:rsidR="008D15E3">
        <w:rPr>
          <w:rFonts w:hint="cs"/>
          <w:rtl/>
        </w:rPr>
        <w:t>ً</w:t>
      </w:r>
      <w:r w:rsidRPr="00566EBF">
        <w:rPr>
          <w:rtl/>
        </w:rPr>
        <w:t xml:space="preserve"> من أعضاء تنظيم الدولة الإسلامية، ومعهم نساء وأطفال فرنسيون، من مخيم عين عيسى الذي كان آنذاك غير محروس</w:t>
      </w:r>
      <w:r w:rsidR="000135B5" w:rsidRPr="000135B5">
        <w:rPr>
          <w:vertAlign w:val="superscript"/>
          <w:rtl/>
        </w:rPr>
        <w:t>(</w:t>
      </w:r>
      <w:r w:rsidR="000135B5" w:rsidRPr="000135B5">
        <w:rPr>
          <w:rFonts w:cs="Times New Roman"/>
          <w:position w:val="4"/>
          <w:vertAlign w:val="superscript"/>
        </w:rPr>
        <w:footnoteReference w:id="3"/>
      </w:r>
      <w:r w:rsidR="000135B5" w:rsidRPr="000135B5">
        <w:rPr>
          <w:vertAlign w:val="superscript"/>
          <w:rtl/>
        </w:rPr>
        <w:t>)</w:t>
      </w:r>
      <w:r w:rsidR="00566EBF" w:rsidRPr="00566EBF">
        <w:rPr>
          <w:rFonts w:hint="cs"/>
          <w:rtl/>
        </w:rPr>
        <w:t>.</w:t>
      </w:r>
      <w:r w:rsidRPr="00566EBF">
        <w:rPr>
          <w:rtl/>
        </w:rPr>
        <w:t xml:space="preserve"> وفي </w:t>
      </w:r>
      <w:r w:rsidRPr="000135B5">
        <w:rPr>
          <w:szCs w:val="20"/>
          <w:rtl/>
        </w:rPr>
        <w:t>13</w:t>
      </w:r>
      <w:r w:rsidRPr="00566EBF">
        <w:rPr>
          <w:rtl/>
        </w:rPr>
        <w:t xml:space="preserve"> تشرين الأول/أكتوبر، أبرمت القوات الكردية اتفاقاً مع حكومة بشار الأسد بشأن نشر قواتها المسلحة بالقرب من الحدود التركية من أجل صد الهجوم</w:t>
      </w:r>
      <w:r w:rsidR="000135B5" w:rsidRPr="000135B5">
        <w:rPr>
          <w:vertAlign w:val="superscript"/>
          <w:rtl/>
        </w:rPr>
        <w:t>(</w:t>
      </w:r>
      <w:r w:rsidR="000135B5" w:rsidRPr="000135B5">
        <w:rPr>
          <w:rFonts w:cs="Times New Roman"/>
          <w:position w:val="4"/>
          <w:vertAlign w:val="superscript"/>
        </w:rPr>
        <w:footnoteReference w:id="4"/>
      </w:r>
      <w:r w:rsidR="000135B5" w:rsidRPr="000135B5">
        <w:rPr>
          <w:vertAlign w:val="superscript"/>
          <w:rtl/>
        </w:rPr>
        <w:t>)</w:t>
      </w:r>
      <w:r w:rsidR="00566EBF" w:rsidRPr="00566EBF">
        <w:rPr>
          <w:rFonts w:hint="cs"/>
          <w:rtl/>
        </w:rPr>
        <w:t>.</w:t>
      </w:r>
      <w:r w:rsidRPr="00566EBF">
        <w:rPr>
          <w:rtl/>
        </w:rPr>
        <w:t xml:space="preserve"> وفي </w:t>
      </w:r>
      <w:r w:rsidRPr="000135B5">
        <w:rPr>
          <w:szCs w:val="20"/>
          <w:rtl/>
        </w:rPr>
        <w:t>22</w:t>
      </w:r>
      <w:r w:rsidRPr="00566EBF">
        <w:rPr>
          <w:rtl/>
        </w:rPr>
        <w:t xml:space="preserve"> تشرين الأول/أكتوبر، تعهدت تركيا بعدم استئناف هجومها العسكري في شمال الجمهورية العربية السورية مقابل التزام من الاتحاد الروسي بضمان انسحاب القوات الكردية على طول الحدود</w:t>
      </w:r>
      <w:r w:rsidR="000135B5" w:rsidRPr="000135B5">
        <w:rPr>
          <w:vertAlign w:val="superscript"/>
          <w:rtl/>
        </w:rPr>
        <w:t>(</w:t>
      </w:r>
      <w:r w:rsidR="000135B5" w:rsidRPr="000135B5">
        <w:rPr>
          <w:rFonts w:cs="Times New Roman"/>
          <w:position w:val="4"/>
          <w:vertAlign w:val="superscript"/>
        </w:rPr>
        <w:footnoteReference w:id="5"/>
      </w:r>
      <w:r w:rsidR="000135B5" w:rsidRPr="000135B5">
        <w:rPr>
          <w:vertAlign w:val="superscript"/>
          <w:rtl/>
        </w:rPr>
        <w:t>)</w:t>
      </w:r>
      <w:r w:rsidR="00566EBF" w:rsidRPr="00566EBF">
        <w:rPr>
          <w:rFonts w:hint="cs"/>
          <w:rtl/>
        </w:rPr>
        <w:t>.</w:t>
      </w:r>
      <w:r w:rsidRPr="00566EBF">
        <w:rPr>
          <w:rtl/>
        </w:rPr>
        <w:t xml:space="preserve"> وفي </w:t>
      </w:r>
      <w:r w:rsidRPr="000135B5">
        <w:rPr>
          <w:szCs w:val="20"/>
          <w:rtl/>
        </w:rPr>
        <w:t>30</w:t>
      </w:r>
      <w:r w:rsidRPr="00566EBF">
        <w:rPr>
          <w:rtl/>
        </w:rPr>
        <w:t xml:space="preserve"> تشرين الأول/أكتوبر، أُعلن عن الانسحاب الكامل للقوات الكردية من الحدود السورية الشمالية مع تركيا</w:t>
      </w:r>
      <w:r w:rsidR="000135B5" w:rsidRPr="000135B5">
        <w:rPr>
          <w:vertAlign w:val="superscript"/>
          <w:rtl/>
        </w:rPr>
        <w:t>(</w:t>
      </w:r>
      <w:r w:rsidR="000135B5" w:rsidRPr="000135B5">
        <w:rPr>
          <w:rFonts w:cs="Times New Roman"/>
          <w:position w:val="4"/>
          <w:vertAlign w:val="superscript"/>
        </w:rPr>
        <w:footnoteReference w:id="6"/>
      </w:r>
      <w:r w:rsidR="000135B5" w:rsidRPr="000135B5">
        <w:rPr>
          <w:vertAlign w:val="superscript"/>
          <w:rtl/>
        </w:rPr>
        <w:t>)</w:t>
      </w:r>
      <w:r w:rsidR="00566EBF" w:rsidRPr="00566EBF">
        <w:rPr>
          <w:rFonts w:hint="cs"/>
          <w:rtl/>
        </w:rPr>
        <w:t>.</w:t>
      </w:r>
      <w:r w:rsidRPr="00566EBF">
        <w:rPr>
          <w:rtl/>
        </w:rPr>
        <w:t xml:space="preserve"> ومع ذلك، لم</w:t>
      </w:r>
      <w:r w:rsidR="000135B5">
        <w:rPr>
          <w:rFonts w:hint="cs"/>
          <w:rtl/>
        </w:rPr>
        <w:t> </w:t>
      </w:r>
      <w:r w:rsidRPr="00566EBF">
        <w:rPr>
          <w:rtl/>
        </w:rPr>
        <w:t xml:space="preserve">تُثَر مسألة السيطرة على المخيمات الكردية. وهكذا، رغم أن المخيمات في شمال الجمهورية العربية </w:t>
      </w:r>
      <w:r w:rsidRPr="00566EBF">
        <w:rPr>
          <w:rtl/>
        </w:rPr>
        <w:lastRenderedPageBreak/>
        <w:t>السورية تخضع حاليا</w:t>
      </w:r>
      <w:r w:rsidR="008D15E3">
        <w:rPr>
          <w:rFonts w:hint="cs"/>
          <w:rtl/>
        </w:rPr>
        <w:t>ً</w:t>
      </w:r>
      <w:r w:rsidRPr="00566EBF">
        <w:rPr>
          <w:rtl/>
        </w:rPr>
        <w:t xml:space="preserve"> لسيطرة القوات الكردية، من المرجح أن يتغير هذا الوضع، مما يجعل مصير جميع الرعايا الفرنسيين، بمن فيهم الأطفال (الذين يتراوح عددهم بين </w:t>
      </w:r>
      <w:r w:rsidRPr="000135B5">
        <w:rPr>
          <w:szCs w:val="20"/>
          <w:rtl/>
        </w:rPr>
        <w:t>270</w:t>
      </w:r>
      <w:r w:rsidRPr="00566EBF">
        <w:rPr>
          <w:rtl/>
        </w:rPr>
        <w:t xml:space="preserve"> و</w:t>
      </w:r>
      <w:r w:rsidRPr="000135B5">
        <w:rPr>
          <w:szCs w:val="20"/>
          <w:rtl/>
        </w:rPr>
        <w:t>320</w:t>
      </w:r>
      <w:r w:rsidRPr="00566EBF">
        <w:rPr>
          <w:rtl/>
        </w:rPr>
        <w:t>) غامضا</w:t>
      </w:r>
      <w:r w:rsidR="00566EBF" w:rsidRPr="00566EBF">
        <w:rPr>
          <w:rFonts w:hint="cs"/>
          <w:rtl/>
        </w:rPr>
        <w:t>ً</w:t>
      </w:r>
      <w:r w:rsidR="000135B5" w:rsidRPr="000135B5">
        <w:rPr>
          <w:vertAlign w:val="superscript"/>
          <w:rtl/>
        </w:rPr>
        <w:t>(</w:t>
      </w:r>
      <w:r w:rsidR="000135B5" w:rsidRPr="000135B5">
        <w:rPr>
          <w:rFonts w:cs="Times New Roman"/>
          <w:position w:val="4"/>
          <w:vertAlign w:val="superscript"/>
        </w:rPr>
        <w:footnoteReference w:id="7"/>
      </w:r>
      <w:r w:rsidR="000135B5" w:rsidRPr="000135B5">
        <w:rPr>
          <w:vertAlign w:val="superscript"/>
          <w:rtl/>
        </w:rPr>
        <w:t>)</w:t>
      </w:r>
      <w:r w:rsidR="00566EBF" w:rsidRPr="00566EBF">
        <w:rPr>
          <w:rFonts w:hint="cs"/>
          <w:rtl/>
        </w:rPr>
        <w:t>.</w:t>
      </w:r>
    </w:p>
    <w:p w14:paraId="46AAA630" w14:textId="77777777" w:rsidR="002572A4" w:rsidRPr="00566EBF" w:rsidRDefault="002572A4" w:rsidP="002572A4">
      <w:pPr>
        <w:pStyle w:val="H4GA"/>
      </w:pPr>
      <w:r w:rsidRPr="00566EBF">
        <w:rPr>
          <w:rtl/>
        </w:rPr>
        <w:tab/>
      </w:r>
      <w:r w:rsidRPr="00566EBF">
        <w:rPr>
          <w:rtl/>
        </w:rPr>
        <w:tab/>
        <w:t xml:space="preserve">بشأن مسألة الإعادة إلى الوطن </w:t>
      </w:r>
    </w:p>
    <w:p w14:paraId="1BB64F63" w14:textId="6BB19415" w:rsidR="002572A4" w:rsidRPr="00566EBF" w:rsidRDefault="002572A4" w:rsidP="002572A4">
      <w:pPr>
        <w:pStyle w:val="SingleTxtGA"/>
      </w:pPr>
      <w:r w:rsidRPr="000135B5">
        <w:rPr>
          <w:szCs w:val="20"/>
          <w:rtl/>
        </w:rPr>
        <w:t>2</w:t>
      </w:r>
      <w:r w:rsidR="00566EBF">
        <w:rPr>
          <w:rtl/>
        </w:rPr>
        <w:t>-</w:t>
      </w:r>
      <w:r w:rsidRPr="000135B5">
        <w:rPr>
          <w:szCs w:val="20"/>
          <w:rtl/>
        </w:rPr>
        <w:t>7</w:t>
      </w:r>
      <w:r w:rsidRPr="00566EBF">
        <w:rPr>
          <w:rtl/>
        </w:rPr>
        <w:tab/>
        <w:t xml:space="preserve">وفي بداية عام </w:t>
      </w:r>
      <w:r w:rsidRPr="000135B5">
        <w:rPr>
          <w:szCs w:val="20"/>
          <w:rtl/>
        </w:rPr>
        <w:t>2018</w:t>
      </w:r>
      <w:r w:rsidRPr="00566EBF">
        <w:rPr>
          <w:rtl/>
        </w:rPr>
        <w:t>، أعرب قادة الأكراد السوريين مراراً عن رغبتهم في إعادة جميع الرعايا الأجانب المحتجزين في المخيمات إلى بلدانهم الأصلية</w:t>
      </w:r>
      <w:r w:rsidR="000135B5" w:rsidRPr="000135B5">
        <w:rPr>
          <w:vertAlign w:val="superscript"/>
          <w:rtl/>
        </w:rPr>
        <w:t>(</w:t>
      </w:r>
      <w:r w:rsidR="000135B5" w:rsidRPr="000135B5">
        <w:rPr>
          <w:rFonts w:cs="Times New Roman"/>
          <w:position w:val="4"/>
          <w:vertAlign w:val="superscript"/>
        </w:rPr>
        <w:footnoteReference w:id="8"/>
      </w:r>
      <w:r w:rsidR="000135B5" w:rsidRPr="000135B5">
        <w:rPr>
          <w:vertAlign w:val="superscript"/>
          <w:rtl/>
        </w:rPr>
        <w:t>)</w:t>
      </w:r>
      <w:r w:rsidR="00566EBF" w:rsidRPr="00566EBF">
        <w:rPr>
          <w:rFonts w:hint="cs"/>
          <w:rtl/>
        </w:rPr>
        <w:t>.</w:t>
      </w:r>
      <w:r w:rsidRPr="00566EBF">
        <w:rPr>
          <w:rtl/>
        </w:rPr>
        <w:t xml:space="preserve"> وحتى تاريخ تقديم الرسالة الأولى، كانت دول مثل كندا وهولندا والبرتغال والاتحاد الروسي تنظم إعادة رعاياها إلى أوطانهم. وشدد رئيس هيئة العدل في المنطقة الكردية، عبد الباسط </w:t>
      </w:r>
      <w:proofErr w:type="spellStart"/>
      <w:r w:rsidRPr="00566EBF">
        <w:rPr>
          <w:rtl/>
        </w:rPr>
        <w:t>أوسو</w:t>
      </w:r>
      <w:proofErr w:type="spellEnd"/>
      <w:r w:rsidRPr="00566EBF">
        <w:rPr>
          <w:rtl/>
        </w:rPr>
        <w:t xml:space="preserve">، على ضرورة محاكمة الجهاديين الأجانب في بلدانهم وعلى أن تتحمل الدول الأصلية المسؤولية عن رعاياها. وأشارت منظمة </w:t>
      </w:r>
      <w:proofErr w:type="spellStart"/>
      <w:r w:rsidRPr="00566EBF">
        <w:rPr>
          <w:rtl/>
        </w:rPr>
        <w:t>هيومن</w:t>
      </w:r>
      <w:proofErr w:type="spellEnd"/>
      <w:r w:rsidRPr="00566EBF">
        <w:rPr>
          <w:rtl/>
        </w:rPr>
        <w:t xml:space="preserve"> </w:t>
      </w:r>
      <w:proofErr w:type="spellStart"/>
      <w:r w:rsidRPr="00566EBF">
        <w:rPr>
          <w:rtl/>
        </w:rPr>
        <w:t>رايتس</w:t>
      </w:r>
      <w:proofErr w:type="spellEnd"/>
      <w:r w:rsidRPr="00566EBF">
        <w:rPr>
          <w:rtl/>
        </w:rPr>
        <w:t xml:space="preserve"> </w:t>
      </w:r>
      <w:proofErr w:type="spellStart"/>
      <w:r w:rsidRPr="00566EBF">
        <w:rPr>
          <w:rtl/>
        </w:rPr>
        <w:t>ووتش</w:t>
      </w:r>
      <w:proofErr w:type="spellEnd"/>
      <w:r w:rsidRPr="00566EBF">
        <w:rPr>
          <w:rtl/>
        </w:rPr>
        <w:t xml:space="preserve"> أيضاً إلى أن السلطات الكردية لم توجه رسمياً إلى النساء اللواتي عدن إلى العراق والجمهورية العربية السورية أي تهمة بارتكاب أي جريمة، وهي تحتفظ بالنساء على أساس أن دولهن الأصلية ستعيدهن إلى أوطانهن.</w:t>
      </w:r>
    </w:p>
    <w:p w14:paraId="3C105B89" w14:textId="59AC6A7E" w:rsidR="002572A4" w:rsidRPr="00566EBF" w:rsidRDefault="002572A4" w:rsidP="002572A4">
      <w:pPr>
        <w:pStyle w:val="SingleTxtGA"/>
      </w:pPr>
      <w:r w:rsidRPr="000135B5">
        <w:rPr>
          <w:szCs w:val="20"/>
          <w:rtl/>
        </w:rPr>
        <w:t>2</w:t>
      </w:r>
      <w:r w:rsidR="00566EBF">
        <w:rPr>
          <w:rtl/>
        </w:rPr>
        <w:t>-</w:t>
      </w:r>
      <w:r w:rsidRPr="000135B5">
        <w:rPr>
          <w:szCs w:val="20"/>
          <w:rtl/>
        </w:rPr>
        <w:t>8</w:t>
      </w:r>
      <w:r w:rsidRPr="00566EBF">
        <w:rPr>
          <w:rtl/>
        </w:rPr>
        <w:tab/>
        <w:t xml:space="preserve">وفي آذار/مارس </w:t>
      </w:r>
      <w:r w:rsidRPr="000135B5">
        <w:rPr>
          <w:szCs w:val="20"/>
          <w:rtl/>
        </w:rPr>
        <w:t>2018</w:t>
      </w:r>
      <w:r w:rsidRPr="00566EBF">
        <w:rPr>
          <w:rtl/>
        </w:rPr>
        <w:t>، رد رئيس ديوان رئيس الجمهورية الفرنسية إيمانويل ماكرون، على أصحاب البلاغين، قائلا</w:t>
      </w:r>
      <w:r w:rsidR="008D15E3">
        <w:rPr>
          <w:rFonts w:hint="cs"/>
          <w:rtl/>
        </w:rPr>
        <w:t>ً</w:t>
      </w:r>
      <w:r w:rsidRPr="00566EBF">
        <w:rPr>
          <w:rtl/>
        </w:rPr>
        <w:t xml:space="preserve"> إن للقُصَّر الفرنسيين في العراق أو الجمهورية العربية السورية، الحق في التمتع بحماية الدولة وفي الحصول على الرعاية وفقاً للقواعد المتعلقة بحماية القصر والمعادين إلى الوطن، شريطة أن تكون السلطات المحلية قد استبعدت مسؤوليتهم الجنائية. وبالإضافة إلى ذلك، وفي أوائل عام</w:t>
      </w:r>
      <w:r w:rsidR="000135B5">
        <w:rPr>
          <w:rFonts w:hint="cs"/>
          <w:rtl/>
        </w:rPr>
        <w:t> </w:t>
      </w:r>
      <w:r w:rsidRPr="000135B5">
        <w:rPr>
          <w:szCs w:val="20"/>
          <w:rtl/>
        </w:rPr>
        <w:t>2018</w:t>
      </w:r>
      <w:r w:rsidRPr="00566EBF">
        <w:rPr>
          <w:rtl/>
        </w:rPr>
        <w:t xml:space="preserve">، قدم الرئيس الفرنسي تأكيدات بأن حالة هؤلاء الأطفال ستعالج على أساس كل حالة على حدة. ورغم هذه التصريحات، لم تتخذ الدولة الطرف أي تدابير واضحة لحماية الأطفال الفرنسيين المحتجزين تعسفاً في كردستان السورية أو لإعادتهم إلى الوطن. وفي رسالة مؤرخة </w:t>
      </w:r>
      <w:r w:rsidRPr="000135B5">
        <w:rPr>
          <w:szCs w:val="20"/>
          <w:rtl/>
        </w:rPr>
        <w:t>26</w:t>
      </w:r>
      <w:r w:rsidRPr="00566EBF">
        <w:rPr>
          <w:rtl/>
        </w:rPr>
        <w:t xml:space="preserve"> شباط/</w:t>
      </w:r>
      <w:r w:rsidR="000135B5">
        <w:rPr>
          <w:rFonts w:hint="cs"/>
          <w:rtl/>
        </w:rPr>
        <w:t xml:space="preserve"> </w:t>
      </w:r>
      <w:r w:rsidRPr="00566EBF">
        <w:rPr>
          <w:rtl/>
        </w:rPr>
        <w:t>فبراير</w:t>
      </w:r>
      <w:r w:rsidR="000135B5">
        <w:rPr>
          <w:rFonts w:hint="cs"/>
          <w:rtl/>
        </w:rPr>
        <w:t> </w:t>
      </w:r>
      <w:r w:rsidRPr="000135B5">
        <w:rPr>
          <w:szCs w:val="20"/>
          <w:rtl/>
        </w:rPr>
        <w:t>2019</w:t>
      </w:r>
      <w:r w:rsidRPr="00566EBF">
        <w:rPr>
          <w:rtl/>
        </w:rPr>
        <w:t>، رفض رئيس ديوان رئيس الجمهورية السماح بإعادة الأطفال الذين يمثلهم أصحاب البلاغين إلى أوطانهم. لكن الدولة الطرف، وفقا</w:t>
      </w:r>
      <w:r w:rsidR="008D15E3">
        <w:rPr>
          <w:rFonts w:hint="cs"/>
          <w:rtl/>
        </w:rPr>
        <w:t>ً</w:t>
      </w:r>
      <w:r w:rsidRPr="00566EBF">
        <w:rPr>
          <w:rtl/>
        </w:rPr>
        <w:t xml:space="preserve"> لأصحاب البلاغ، تتواصل بانتظام مع ممثلي القوات الكردية في روج </w:t>
      </w:r>
      <w:proofErr w:type="spellStart"/>
      <w:r w:rsidRPr="00566EBF">
        <w:rPr>
          <w:rtl/>
        </w:rPr>
        <w:t>آفا</w:t>
      </w:r>
      <w:proofErr w:type="spellEnd"/>
      <w:r w:rsidRPr="00566EBF">
        <w:rPr>
          <w:rtl/>
        </w:rPr>
        <w:t>، وهي قوات لها ممثلية دائمة في باريس، رغم أنها ليست دولة. وسبق للسلطات الكردية أن أوضحت أنها لا تملك الوسائل اللازمة لإطعام ورعاية النساء والأطفال الفرنسيين المحتجزين في مخيمات روج وعين عيسى والهول في كردستان السورية.</w:t>
      </w:r>
    </w:p>
    <w:p w14:paraId="5A94770D" w14:textId="77777777" w:rsidR="002572A4" w:rsidRPr="00566EBF" w:rsidRDefault="002572A4" w:rsidP="002572A4">
      <w:pPr>
        <w:pStyle w:val="H4GA"/>
      </w:pPr>
      <w:r w:rsidRPr="00566EBF">
        <w:rPr>
          <w:rtl/>
        </w:rPr>
        <w:tab/>
      </w:r>
      <w:r w:rsidRPr="00566EBF">
        <w:rPr>
          <w:rtl/>
        </w:rPr>
        <w:tab/>
        <w:t xml:space="preserve">الظروف الإنسانية للأطفال في المخيمات </w:t>
      </w:r>
    </w:p>
    <w:p w14:paraId="0CA8173A" w14:textId="7BDE251D" w:rsidR="002572A4" w:rsidRPr="00566EBF" w:rsidRDefault="002572A4" w:rsidP="002572A4">
      <w:pPr>
        <w:pStyle w:val="SingleTxtGA"/>
      </w:pPr>
      <w:r w:rsidRPr="000135B5">
        <w:rPr>
          <w:szCs w:val="20"/>
          <w:rtl/>
        </w:rPr>
        <w:t>2</w:t>
      </w:r>
      <w:r w:rsidR="00566EBF">
        <w:rPr>
          <w:rtl/>
        </w:rPr>
        <w:t>-</w:t>
      </w:r>
      <w:r w:rsidRPr="000135B5">
        <w:rPr>
          <w:szCs w:val="20"/>
          <w:rtl/>
        </w:rPr>
        <w:t>9</w:t>
      </w:r>
      <w:r w:rsidRPr="00566EBF">
        <w:rPr>
          <w:rtl/>
        </w:rPr>
        <w:tab/>
        <w:t>ويؤكد أصحاب البلاغين أن الأطفال في معسكرات الاعتقال التي تسيطر عليها القوات الكردية، والكثير منهم دون سن السادسة، يسدُّون بالكاد رمقهم، وهم موجودون في منطقة حرب، ويواجهون ظروفاً صحية لا إنسانية ويفتقرون إلى الاحتياجات الأساسية (الماء والغذاء والرعاية الصحية)، ولذلك يواجهون خطراً داهماً يمكن أن يتسبب في وفاة أو إصابة</w:t>
      </w:r>
      <w:r w:rsidR="000135B5" w:rsidRPr="000135B5">
        <w:rPr>
          <w:vertAlign w:val="superscript"/>
          <w:rtl/>
        </w:rPr>
        <w:t>(</w:t>
      </w:r>
      <w:r w:rsidR="000135B5" w:rsidRPr="000135B5">
        <w:rPr>
          <w:rFonts w:cs="Times New Roman"/>
          <w:position w:val="4"/>
          <w:vertAlign w:val="superscript"/>
        </w:rPr>
        <w:footnoteReference w:id="9"/>
      </w:r>
      <w:r w:rsidR="000135B5" w:rsidRPr="000135B5">
        <w:rPr>
          <w:vertAlign w:val="superscript"/>
          <w:rtl/>
        </w:rPr>
        <w:t>)</w:t>
      </w:r>
      <w:r w:rsidR="00566EBF" w:rsidRPr="00566EBF">
        <w:rPr>
          <w:rFonts w:hint="cs"/>
          <w:rtl/>
        </w:rPr>
        <w:t>.</w:t>
      </w:r>
      <w:r w:rsidRPr="00566EBF">
        <w:rPr>
          <w:rtl/>
        </w:rPr>
        <w:t xml:space="preserve"> وهم يعيشون في ظروف مزرية للغاية، ويُحتجزون في خيام. وينقل أصحاب البلاغين عن منظمة الصحة العالمية أن ما لا يقل عن </w:t>
      </w:r>
      <w:r w:rsidRPr="000135B5">
        <w:rPr>
          <w:szCs w:val="20"/>
          <w:rtl/>
        </w:rPr>
        <w:t>29</w:t>
      </w:r>
      <w:r w:rsidRPr="00566EBF">
        <w:rPr>
          <w:rtl/>
        </w:rPr>
        <w:t xml:space="preserve"> طفلاً ماتوا في مخيم الهول بسبب انخفاض في حرارة الجسم خلال شتاء </w:t>
      </w:r>
      <w:r w:rsidRPr="000135B5">
        <w:rPr>
          <w:szCs w:val="20"/>
          <w:rtl/>
        </w:rPr>
        <w:t>2018</w:t>
      </w:r>
      <w:r w:rsidRPr="00566EBF">
        <w:rPr>
          <w:rtl/>
        </w:rPr>
        <w:t>-</w:t>
      </w:r>
      <w:r w:rsidRPr="000135B5">
        <w:rPr>
          <w:szCs w:val="20"/>
          <w:rtl/>
        </w:rPr>
        <w:t>2019</w:t>
      </w:r>
      <w:r w:rsidRPr="00566EBF">
        <w:rPr>
          <w:rtl/>
        </w:rPr>
        <w:t>، أثناء فرار عائلاتهم من آخر مجمع من مجمعات تنظيم الدولة الإسلامية</w:t>
      </w:r>
      <w:r w:rsidR="000135B5" w:rsidRPr="000135B5">
        <w:rPr>
          <w:vertAlign w:val="superscript"/>
          <w:rtl/>
        </w:rPr>
        <w:t>(</w:t>
      </w:r>
      <w:r w:rsidR="000135B5" w:rsidRPr="000135B5">
        <w:rPr>
          <w:rFonts w:cs="Times New Roman"/>
          <w:position w:val="4"/>
          <w:vertAlign w:val="superscript"/>
        </w:rPr>
        <w:footnoteReference w:id="10"/>
      </w:r>
      <w:r w:rsidR="000135B5" w:rsidRPr="000135B5">
        <w:rPr>
          <w:vertAlign w:val="superscript"/>
          <w:rtl/>
        </w:rPr>
        <w:t>)</w:t>
      </w:r>
      <w:r w:rsidR="00566EBF" w:rsidRPr="00566EBF">
        <w:rPr>
          <w:rFonts w:hint="cs"/>
          <w:rtl/>
        </w:rPr>
        <w:t>.</w:t>
      </w:r>
      <w:r w:rsidRPr="00566EBF">
        <w:rPr>
          <w:rtl/>
        </w:rPr>
        <w:t xml:space="preserve"> </w:t>
      </w:r>
    </w:p>
    <w:p w14:paraId="278FB5F5" w14:textId="77777777" w:rsidR="002572A4" w:rsidRPr="00566EBF" w:rsidRDefault="002572A4" w:rsidP="002572A4">
      <w:pPr>
        <w:pStyle w:val="H4GA"/>
      </w:pPr>
      <w:r w:rsidRPr="00566EBF">
        <w:rPr>
          <w:rtl/>
        </w:rPr>
        <w:lastRenderedPageBreak/>
        <w:tab/>
      </w:r>
      <w:r w:rsidRPr="00566EBF">
        <w:rPr>
          <w:rtl/>
        </w:rPr>
        <w:tab/>
        <w:t>استنفاد سبل الانتصاف المحلية</w:t>
      </w:r>
    </w:p>
    <w:p w14:paraId="4F444016" w14:textId="7756A996" w:rsidR="002572A4" w:rsidRPr="00566EBF" w:rsidRDefault="002572A4" w:rsidP="002572A4">
      <w:pPr>
        <w:pStyle w:val="SingleTxtGA"/>
      </w:pPr>
      <w:r w:rsidRPr="000135B5">
        <w:rPr>
          <w:szCs w:val="20"/>
          <w:rtl/>
        </w:rPr>
        <w:t>2</w:t>
      </w:r>
      <w:r w:rsidR="00566EBF">
        <w:rPr>
          <w:rtl/>
        </w:rPr>
        <w:t>-</w:t>
      </w:r>
      <w:r w:rsidRPr="000135B5">
        <w:rPr>
          <w:szCs w:val="20"/>
          <w:rtl/>
        </w:rPr>
        <w:t>10</w:t>
      </w:r>
      <w:r w:rsidRPr="00566EBF">
        <w:rPr>
          <w:rtl/>
        </w:rPr>
        <w:tab/>
        <w:t xml:space="preserve">ويلاحظ أصحاب البلاغين أنهم تقدموا بعدة طلبات رسمية إلى الدولة الطرف لإعادة الأطفال إلى أوطانهم دون جدوى. </w:t>
      </w:r>
    </w:p>
    <w:p w14:paraId="085B5BCB" w14:textId="7BDA70BE" w:rsidR="002572A4" w:rsidRPr="00566EBF" w:rsidRDefault="002572A4" w:rsidP="002572A4">
      <w:pPr>
        <w:pStyle w:val="SingleTxtGA"/>
      </w:pPr>
      <w:r w:rsidRPr="000135B5">
        <w:rPr>
          <w:szCs w:val="20"/>
          <w:rtl/>
        </w:rPr>
        <w:t>2</w:t>
      </w:r>
      <w:r w:rsidR="00566EBF">
        <w:rPr>
          <w:rtl/>
        </w:rPr>
        <w:t>-</w:t>
      </w:r>
      <w:r w:rsidRPr="000135B5">
        <w:rPr>
          <w:szCs w:val="20"/>
          <w:rtl/>
        </w:rPr>
        <w:t>11</w:t>
      </w:r>
      <w:r w:rsidRPr="00566EBF">
        <w:rPr>
          <w:rtl/>
        </w:rPr>
        <w:tab/>
        <w:t>ويحتج أصحاب البلاغين بأن سبل الانتصاف المحلية في الدولة الطرف غير متاحة وغير فعالة في سياق جميع طلبات الحماية و/أو الإعادة إلى الوطن للأطفال وأمهاتهم. ودرجت المحاكم على إعلان عدم الاختصاص، فقد أعلنت محكمة باريس الإدارية عدم اختصاصها في سياق طلب اتخاذ تدابير مؤقتة، باعتبار أن موضوع الشكوى مسألة دبلوماسية وليست مسؤولية إدارية للدولة الطرف. فقد وصفت المحكمة الإدارية قرار تنفيذ تدابير الحماية بأنه "عمل من أعمال الحكومة" ليس لقاضي المحكمة الإدارية أي سلطة فيه. ولذلك، لا تختص أي محكمة فرنسية بالبت في موقف فرنسا تجاه الأطفال الفرنسيين المحتجزين في المخيمات الكردية.</w:t>
      </w:r>
    </w:p>
    <w:p w14:paraId="33DD3F62" w14:textId="77777777" w:rsidR="002572A4" w:rsidRPr="00566EBF" w:rsidRDefault="002572A4" w:rsidP="002572A4">
      <w:pPr>
        <w:pStyle w:val="H4GA"/>
      </w:pPr>
      <w:r w:rsidRPr="00566EBF">
        <w:rPr>
          <w:rtl/>
        </w:rPr>
        <w:tab/>
      </w:r>
      <w:r w:rsidRPr="00566EBF">
        <w:rPr>
          <w:rtl/>
        </w:rPr>
        <w:tab/>
        <w:t xml:space="preserve">ولاية الدولة الطرف </w:t>
      </w:r>
    </w:p>
    <w:p w14:paraId="49D554C3" w14:textId="47D0332B" w:rsidR="002572A4" w:rsidRPr="00566EBF" w:rsidRDefault="002572A4" w:rsidP="002572A4">
      <w:pPr>
        <w:pStyle w:val="SingleTxtGA"/>
      </w:pPr>
      <w:r w:rsidRPr="000135B5">
        <w:rPr>
          <w:szCs w:val="20"/>
          <w:rtl/>
        </w:rPr>
        <w:t>2</w:t>
      </w:r>
      <w:r w:rsidR="00566EBF">
        <w:rPr>
          <w:rtl/>
        </w:rPr>
        <w:t>-</w:t>
      </w:r>
      <w:r w:rsidRPr="000135B5">
        <w:rPr>
          <w:szCs w:val="20"/>
          <w:rtl/>
        </w:rPr>
        <w:t>12</w:t>
      </w:r>
      <w:r w:rsidRPr="00566EBF">
        <w:rPr>
          <w:rtl/>
        </w:rPr>
        <w:tab/>
        <w:t xml:space="preserve">وفي البلاغ رقم </w:t>
      </w:r>
      <w:r w:rsidR="00994502">
        <w:rPr>
          <w:rFonts w:hint="cs"/>
          <w:szCs w:val="20"/>
          <w:rtl/>
        </w:rPr>
        <w:t>109</w:t>
      </w:r>
      <w:r w:rsidRPr="00566EBF">
        <w:rPr>
          <w:rtl/>
        </w:rPr>
        <w:t>/</w:t>
      </w:r>
      <w:r w:rsidR="00994502">
        <w:rPr>
          <w:rFonts w:hint="cs"/>
          <w:szCs w:val="20"/>
          <w:rtl/>
        </w:rPr>
        <w:t>2019</w:t>
      </w:r>
      <w:r w:rsidRPr="00566EBF">
        <w:rPr>
          <w:rtl/>
        </w:rPr>
        <w:t xml:space="preserve">، يجادل أصحاب البلاغ بأن استمرار وجود الأطفال في المخيمات الخاضعة لسيطرة القوات الكردية يرجع ل "سبب وحيد" هو قرار فرنسا عدم إعادتهم إلى وطنهم. </w:t>
      </w:r>
      <w:proofErr w:type="spellStart"/>
      <w:r w:rsidRPr="00566EBF">
        <w:rPr>
          <w:rtl/>
        </w:rPr>
        <w:t>ويحاجج</w:t>
      </w:r>
      <w:proofErr w:type="spellEnd"/>
      <w:r w:rsidRPr="00566EBF">
        <w:rPr>
          <w:rtl/>
        </w:rPr>
        <w:t xml:space="preserve"> أصحاب البلاغ أيضاً بأن الدولة الطرف قد تمارس ولايتها خارج حدودها الإقليمية في بعض الظروف. وقد تأكدت هذه الإمكانية في عدد كبير من القضايا المعروضة على المحكمة الأوروبية لحقوق الإنسان والتي يمكن فيها التمييز بين حالتين</w:t>
      </w:r>
      <w:r w:rsidRPr="00566EBF">
        <w:t>:</w:t>
      </w:r>
      <w:r w:rsidRPr="00566EBF">
        <w:rPr>
          <w:rtl/>
        </w:rPr>
        <w:t xml:space="preserve"> </w:t>
      </w:r>
    </w:p>
    <w:p w14:paraId="1821A598" w14:textId="54ECAA26" w:rsidR="002572A4" w:rsidRPr="00566EBF" w:rsidRDefault="002572A4" w:rsidP="002572A4">
      <w:pPr>
        <w:pStyle w:val="SingleTxtGA"/>
      </w:pPr>
      <w:r w:rsidRPr="00566EBF">
        <w:rPr>
          <w:rtl/>
        </w:rPr>
        <w:tab/>
        <w:t>(أ)</w:t>
      </w:r>
      <w:r w:rsidRPr="00566EBF">
        <w:rPr>
          <w:rtl/>
        </w:rPr>
        <w:tab/>
        <w:t xml:space="preserve">الأعمال التي تنفذ خارج الأراضي الوطنية: عندما يستفيد الأفراد الموجودون خارج الأراضي الوطنية من الحقوق التي تكفلها اتفاقية حماية حقوق الإنسان والحريات الأساسية (الاتفاقية الأوروبية لحقوق الإنسان) نتيجة "عمل الدولة خارج الحدود الإقليمية" كما في حالة التدخل العسكري في إقليم أجنبي؛ </w:t>
      </w:r>
    </w:p>
    <w:p w14:paraId="5DDA6925" w14:textId="1E28ECB1" w:rsidR="002572A4" w:rsidRPr="00566EBF" w:rsidRDefault="002572A4" w:rsidP="002572A4">
      <w:pPr>
        <w:pStyle w:val="SingleTxtGA"/>
      </w:pPr>
      <w:r w:rsidRPr="00566EBF">
        <w:rPr>
          <w:rtl/>
        </w:rPr>
        <w:tab/>
        <w:t>(ب)</w:t>
      </w:r>
      <w:r w:rsidRPr="00566EBF">
        <w:rPr>
          <w:rtl/>
        </w:rPr>
        <w:tab/>
        <w:t>الأعمال التي تُحدث آثاراً خارج الأراضي الوطنية: عندما يستفيد الأفراد الموجودون خارج الأراضي الوطنية من الحقوق التي تكفلها الاتفاقية الأوروبية لحقوق الإنسان نتيجة لعمل وطني محض تقوم به الدولة تجاههم ويؤثر تأثيراً مباشراً على وضعهم القانوني</w:t>
      </w:r>
      <w:r w:rsidR="000135B5" w:rsidRPr="000135B5">
        <w:rPr>
          <w:vertAlign w:val="superscript"/>
          <w:rtl/>
        </w:rPr>
        <w:t>(</w:t>
      </w:r>
      <w:r w:rsidR="000135B5" w:rsidRPr="000135B5">
        <w:rPr>
          <w:rFonts w:cs="Times New Roman"/>
          <w:position w:val="4"/>
          <w:vertAlign w:val="superscript"/>
        </w:rPr>
        <w:footnoteReference w:id="11"/>
      </w:r>
      <w:r w:rsidR="000135B5" w:rsidRPr="000135B5">
        <w:rPr>
          <w:vertAlign w:val="superscript"/>
          <w:rtl/>
        </w:rPr>
        <w:t>)</w:t>
      </w:r>
      <w:r w:rsidR="00566EBF" w:rsidRPr="00566EBF">
        <w:rPr>
          <w:rFonts w:hint="cs"/>
          <w:rtl/>
        </w:rPr>
        <w:t>.</w:t>
      </w:r>
      <w:r w:rsidRPr="00566EBF">
        <w:rPr>
          <w:rtl/>
        </w:rPr>
        <w:t xml:space="preserve"> </w:t>
      </w:r>
    </w:p>
    <w:p w14:paraId="1F00A1BC" w14:textId="3E20C12E" w:rsidR="002572A4" w:rsidRPr="00DD60CD" w:rsidRDefault="002572A4" w:rsidP="002572A4">
      <w:pPr>
        <w:pStyle w:val="SingleTxtGA"/>
        <w:rPr>
          <w:spacing w:val="-4"/>
        </w:rPr>
      </w:pPr>
      <w:r w:rsidRPr="00DD60CD">
        <w:rPr>
          <w:spacing w:val="-4"/>
          <w:szCs w:val="20"/>
          <w:rtl/>
        </w:rPr>
        <w:t>2</w:t>
      </w:r>
      <w:r w:rsidR="00566EBF" w:rsidRPr="00DD60CD">
        <w:rPr>
          <w:spacing w:val="-4"/>
          <w:rtl/>
        </w:rPr>
        <w:t>-</w:t>
      </w:r>
      <w:r w:rsidRPr="00DD60CD">
        <w:rPr>
          <w:spacing w:val="-4"/>
          <w:szCs w:val="20"/>
          <w:rtl/>
        </w:rPr>
        <w:t>13</w:t>
      </w:r>
      <w:r w:rsidRPr="00DD60CD">
        <w:rPr>
          <w:spacing w:val="-4"/>
          <w:rtl/>
        </w:rPr>
        <w:tab/>
        <w:t>ويدَّعي أصحاب البلاغين أن هذا التفريق يستند إلى السوابق القضائية للمحكمة الأوروبية لحقوق الإنسان</w:t>
      </w:r>
      <w:r w:rsidR="000135B5" w:rsidRPr="00DD60CD">
        <w:rPr>
          <w:spacing w:val="-4"/>
          <w:vertAlign w:val="superscript"/>
          <w:rtl/>
        </w:rPr>
        <w:t>(</w:t>
      </w:r>
      <w:r w:rsidR="000135B5" w:rsidRPr="00DD60CD">
        <w:rPr>
          <w:rFonts w:cs="Times New Roman"/>
          <w:spacing w:val="-4"/>
          <w:position w:val="4"/>
          <w:vertAlign w:val="superscript"/>
        </w:rPr>
        <w:footnoteReference w:id="12"/>
      </w:r>
      <w:r w:rsidR="000135B5" w:rsidRPr="00DD60CD">
        <w:rPr>
          <w:spacing w:val="-4"/>
          <w:vertAlign w:val="superscript"/>
          <w:rtl/>
        </w:rPr>
        <w:t>)</w:t>
      </w:r>
      <w:r w:rsidR="00566EBF" w:rsidRPr="00DD60CD">
        <w:rPr>
          <w:rFonts w:hint="cs"/>
          <w:spacing w:val="-4"/>
          <w:rtl/>
        </w:rPr>
        <w:t>.</w:t>
      </w:r>
      <w:r w:rsidRPr="00DD60CD">
        <w:rPr>
          <w:spacing w:val="-4"/>
          <w:rtl/>
        </w:rPr>
        <w:t xml:space="preserve"> وعلاوة على ذلك، رأت المحكمة الأوروبية لحقوق الإنسان أن طلب التسليم الذي تقدمه إحدى الدول لسلطات دولة أخرى يوجِد صلة قضائية بين الدولة التي أصدرت الطلب والشخص موضوع الطلب. ولذلك، يمكن اعتبار أي تصرف داخل الأراضي الوطنية حصراً ممارسةً للولاية القضائية بالمعنى المقصود في المادة </w:t>
      </w:r>
      <w:r w:rsidRPr="00DD60CD">
        <w:rPr>
          <w:spacing w:val="-4"/>
          <w:szCs w:val="20"/>
          <w:rtl/>
        </w:rPr>
        <w:t>1</w:t>
      </w:r>
      <w:r w:rsidRPr="00DD60CD">
        <w:rPr>
          <w:spacing w:val="-4"/>
          <w:rtl/>
        </w:rPr>
        <w:t xml:space="preserve"> من الاتفاقية الأوروبية لحقوق الإنسان</w:t>
      </w:r>
      <w:r w:rsidR="000135B5" w:rsidRPr="00DD60CD">
        <w:rPr>
          <w:spacing w:val="-4"/>
          <w:vertAlign w:val="superscript"/>
          <w:rtl/>
        </w:rPr>
        <w:t>(</w:t>
      </w:r>
      <w:r w:rsidR="000135B5" w:rsidRPr="00DD60CD">
        <w:rPr>
          <w:rFonts w:cs="Times New Roman"/>
          <w:spacing w:val="-4"/>
          <w:position w:val="4"/>
          <w:vertAlign w:val="superscript"/>
        </w:rPr>
        <w:footnoteReference w:id="13"/>
      </w:r>
      <w:r w:rsidR="000135B5" w:rsidRPr="00DD60CD">
        <w:rPr>
          <w:spacing w:val="-4"/>
          <w:vertAlign w:val="superscript"/>
          <w:rtl/>
        </w:rPr>
        <w:t>)</w:t>
      </w:r>
      <w:r w:rsidR="00566EBF" w:rsidRPr="00DD60CD">
        <w:rPr>
          <w:rFonts w:hint="cs"/>
          <w:spacing w:val="-4"/>
          <w:rtl/>
        </w:rPr>
        <w:t>.</w:t>
      </w:r>
      <w:r w:rsidRPr="00DD60CD">
        <w:rPr>
          <w:spacing w:val="-4"/>
          <w:rtl/>
        </w:rPr>
        <w:t xml:space="preserve"> وفي قضية </w:t>
      </w:r>
      <w:r w:rsidRPr="00DD60CD">
        <w:rPr>
          <w:i/>
          <w:iCs/>
          <w:spacing w:val="-4"/>
          <w:rtl/>
        </w:rPr>
        <w:t>ندى ضد سويسرا</w:t>
      </w:r>
      <w:r w:rsidRPr="00DD60CD">
        <w:rPr>
          <w:spacing w:val="-4"/>
          <w:rtl/>
        </w:rPr>
        <w:t xml:space="preserve">، أدت القرارات </w:t>
      </w:r>
      <w:r w:rsidRPr="00DD60CD">
        <w:rPr>
          <w:spacing w:val="-4"/>
          <w:rtl/>
        </w:rPr>
        <w:lastRenderedPageBreak/>
        <w:t xml:space="preserve">التي اتخذتها السلطات الإدارية بعدم السماح بدخول أحد الأشخاص إلى أراضيها الوطنية إلى نشوء صلة قضائية مع ذلك الشخص. ولذلك، يجوز للدولة أن تمارس ولايتها القضائية بالمعنى المقصود في المادة </w:t>
      </w:r>
      <w:r w:rsidRPr="00DD60CD">
        <w:rPr>
          <w:spacing w:val="-4"/>
          <w:szCs w:val="20"/>
          <w:rtl/>
        </w:rPr>
        <w:t>1</w:t>
      </w:r>
      <w:r w:rsidRPr="00DD60CD">
        <w:rPr>
          <w:spacing w:val="-4"/>
          <w:rtl/>
        </w:rPr>
        <w:t xml:space="preserve"> من الاتفاقية الأوروبية لحقوق الإنسان عندما يؤثر ذلك تأثيرا</w:t>
      </w:r>
      <w:r w:rsidR="008D15E3" w:rsidRPr="00DD60CD">
        <w:rPr>
          <w:rFonts w:hint="cs"/>
          <w:spacing w:val="-4"/>
          <w:rtl/>
        </w:rPr>
        <w:t>ً</w:t>
      </w:r>
      <w:r w:rsidRPr="00DD60CD">
        <w:rPr>
          <w:spacing w:val="-4"/>
          <w:rtl/>
        </w:rPr>
        <w:t xml:space="preserve"> مباشرا</w:t>
      </w:r>
      <w:r w:rsidR="008D15E3" w:rsidRPr="00DD60CD">
        <w:rPr>
          <w:rFonts w:hint="cs"/>
          <w:spacing w:val="-4"/>
          <w:rtl/>
        </w:rPr>
        <w:t>ً</w:t>
      </w:r>
      <w:r w:rsidRPr="00DD60CD">
        <w:rPr>
          <w:spacing w:val="-4"/>
          <w:rtl/>
        </w:rPr>
        <w:t xml:space="preserve"> على حالة أشخاص خارج أراضيها الوطنية، من خلال أفعال تُتخذ على أراضيها</w:t>
      </w:r>
      <w:r w:rsidR="000135B5" w:rsidRPr="00DD60CD">
        <w:rPr>
          <w:spacing w:val="-4"/>
          <w:vertAlign w:val="superscript"/>
          <w:rtl/>
        </w:rPr>
        <w:t>(</w:t>
      </w:r>
      <w:r w:rsidR="000135B5" w:rsidRPr="00DD60CD">
        <w:rPr>
          <w:rFonts w:cs="Times New Roman"/>
          <w:spacing w:val="-4"/>
          <w:position w:val="4"/>
          <w:vertAlign w:val="superscript"/>
        </w:rPr>
        <w:footnoteReference w:id="14"/>
      </w:r>
      <w:r w:rsidR="000135B5" w:rsidRPr="00DD60CD">
        <w:rPr>
          <w:spacing w:val="-4"/>
          <w:vertAlign w:val="superscript"/>
          <w:rtl/>
        </w:rPr>
        <w:t>)</w:t>
      </w:r>
      <w:r w:rsidR="00566EBF" w:rsidRPr="00DD60CD">
        <w:rPr>
          <w:rFonts w:hint="cs"/>
          <w:spacing w:val="-4"/>
          <w:rtl/>
        </w:rPr>
        <w:t>.</w:t>
      </w:r>
      <w:r w:rsidRPr="00DD60CD">
        <w:rPr>
          <w:spacing w:val="-4"/>
          <w:rtl/>
        </w:rPr>
        <w:t xml:space="preserve"> وهذا التفسير يتفق مع القانون الدولي العام، لأنه يعترف بوجود صلة قانونية محددة بين الدولة ومواطنيها. ويُعرَّف اختصاص الدولة بأنه "صلاحيتها القانونية في التصرف، وبالتالي صلاحيتها في تقرير ما إذا كان الأمر يتطلب تصرفا</w:t>
      </w:r>
      <w:r w:rsidR="008D15E3" w:rsidRPr="00DD60CD">
        <w:rPr>
          <w:rFonts w:hint="cs"/>
          <w:spacing w:val="-4"/>
          <w:rtl/>
        </w:rPr>
        <w:t>ً</w:t>
      </w:r>
      <w:r w:rsidRPr="00DD60CD">
        <w:rPr>
          <w:spacing w:val="-4"/>
          <w:rtl/>
        </w:rPr>
        <w:t xml:space="preserve"> منها، وفي هذه الحالة تقرير كيفية التصرف، أي باعتماد الوسائل التشريعية أو التنفيذية أو القضائية"، وللدولة ولاية قضائية على مواطنيها أينما كانوا</w:t>
      </w:r>
      <w:r w:rsidR="000135B5" w:rsidRPr="00DD60CD">
        <w:rPr>
          <w:spacing w:val="-4"/>
          <w:vertAlign w:val="superscript"/>
          <w:rtl/>
        </w:rPr>
        <w:t>(</w:t>
      </w:r>
      <w:r w:rsidR="000135B5" w:rsidRPr="00DD60CD">
        <w:rPr>
          <w:rFonts w:cs="Times New Roman"/>
          <w:spacing w:val="-4"/>
          <w:position w:val="4"/>
          <w:vertAlign w:val="superscript"/>
        </w:rPr>
        <w:footnoteReference w:id="15"/>
      </w:r>
      <w:r w:rsidR="000135B5" w:rsidRPr="00DD60CD">
        <w:rPr>
          <w:spacing w:val="-4"/>
          <w:vertAlign w:val="superscript"/>
          <w:rtl/>
        </w:rPr>
        <w:t>)</w:t>
      </w:r>
      <w:r w:rsidR="00566EBF" w:rsidRPr="00DD60CD">
        <w:rPr>
          <w:rFonts w:hint="cs"/>
          <w:spacing w:val="-4"/>
          <w:rtl/>
        </w:rPr>
        <w:t>.</w:t>
      </w:r>
      <w:r w:rsidRPr="00DD60CD">
        <w:rPr>
          <w:spacing w:val="-4"/>
          <w:rtl/>
        </w:rPr>
        <w:t xml:space="preserve"> ويضيف أصحاب البلاغين أن هذا التحليل يتماشى مع الاختصاص الواسع جداً الذي يتعين بموجبه على السلطات الفرنسية أن تلاحق قضائياً من يُزعم أنهم ارتكبوا جرائم جنائية في الخارج</w:t>
      </w:r>
      <w:r w:rsidR="000135B5" w:rsidRPr="00DD60CD">
        <w:rPr>
          <w:spacing w:val="-4"/>
          <w:vertAlign w:val="superscript"/>
          <w:rtl/>
        </w:rPr>
        <w:t>(</w:t>
      </w:r>
      <w:r w:rsidR="000135B5" w:rsidRPr="00DD60CD">
        <w:rPr>
          <w:rFonts w:cs="Times New Roman"/>
          <w:spacing w:val="-4"/>
          <w:position w:val="4"/>
          <w:vertAlign w:val="superscript"/>
        </w:rPr>
        <w:footnoteReference w:id="16"/>
      </w:r>
      <w:r w:rsidR="000135B5" w:rsidRPr="00DD60CD">
        <w:rPr>
          <w:spacing w:val="-4"/>
          <w:vertAlign w:val="superscript"/>
          <w:rtl/>
        </w:rPr>
        <w:t>)</w:t>
      </w:r>
      <w:r w:rsidR="00566EBF" w:rsidRPr="00DD60CD">
        <w:rPr>
          <w:rFonts w:hint="cs"/>
          <w:spacing w:val="-4"/>
          <w:rtl/>
        </w:rPr>
        <w:t>،</w:t>
      </w:r>
      <w:r w:rsidRPr="00DD60CD">
        <w:rPr>
          <w:spacing w:val="-4"/>
          <w:rtl/>
        </w:rPr>
        <w:t xml:space="preserve"> وهو أمر يكون دافعه حماية الرعايا الفرنسيين. </w:t>
      </w:r>
    </w:p>
    <w:p w14:paraId="76497559" w14:textId="51D6A300" w:rsidR="002572A4" w:rsidRPr="00566EBF" w:rsidRDefault="002572A4" w:rsidP="002572A4">
      <w:pPr>
        <w:pStyle w:val="SingleTxtGA"/>
      </w:pPr>
      <w:r w:rsidRPr="000135B5">
        <w:rPr>
          <w:szCs w:val="20"/>
          <w:rtl/>
        </w:rPr>
        <w:t>2</w:t>
      </w:r>
      <w:r w:rsidR="00566EBF">
        <w:rPr>
          <w:rtl/>
        </w:rPr>
        <w:t>-</w:t>
      </w:r>
      <w:r w:rsidRPr="000135B5">
        <w:rPr>
          <w:szCs w:val="20"/>
          <w:rtl/>
        </w:rPr>
        <w:t>14</w:t>
      </w:r>
      <w:r w:rsidRPr="00566EBF">
        <w:rPr>
          <w:rtl/>
        </w:rPr>
        <w:tab/>
        <w:t xml:space="preserve">ويضيف أصحاب البلاغين أن قرار عدم الموافقة على طلباتهم لم يكن مبرراً بأي استحالة مادية أو قانونية لتنفيذ عمليات الإعادة إلى الوطن. ويؤكد أصحاب البلاغين أن الأطفال لم يُحتجزوا كنتيجة مباشرة لسيطرة السلطات في شمال شرق الجمهورية العربية السورية على المخيمات والأفراد المعنيين، بل إن "السبب الوحيد" لاحتجازهم هو التدابير التي اتخذتها الدولة الطرف، أي قرارها عدم إعادة الأطفال وأمهاتهم إلى وطنهم. ومع ذلك، أعادت الدولة الطرف ما لا يقل عن </w:t>
      </w:r>
      <w:r w:rsidRPr="000135B5">
        <w:rPr>
          <w:szCs w:val="20"/>
          <w:rtl/>
        </w:rPr>
        <w:t>17</w:t>
      </w:r>
      <w:r w:rsidRPr="00566EBF">
        <w:rPr>
          <w:rtl/>
        </w:rPr>
        <w:t xml:space="preserve"> طفلا</w:t>
      </w:r>
      <w:r w:rsidR="008D15E3">
        <w:rPr>
          <w:rFonts w:hint="cs"/>
          <w:rtl/>
        </w:rPr>
        <w:t>ً</w:t>
      </w:r>
      <w:r w:rsidRPr="00566EBF">
        <w:rPr>
          <w:rtl/>
        </w:rPr>
        <w:t xml:space="preserve"> فرنسيا</w:t>
      </w:r>
      <w:r w:rsidR="008D15E3">
        <w:rPr>
          <w:rFonts w:hint="cs"/>
          <w:rtl/>
        </w:rPr>
        <w:t>ً</w:t>
      </w:r>
      <w:r w:rsidRPr="00566EBF">
        <w:rPr>
          <w:rtl/>
        </w:rPr>
        <w:t xml:space="preserve">، بينهم </w:t>
      </w:r>
      <w:r w:rsidRPr="000135B5">
        <w:rPr>
          <w:szCs w:val="20"/>
          <w:rtl/>
        </w:rPr>
        <w:t>15</w:t>
      </w:r>
      <w:r w:rsidRPr="00566EBF">
        <w:rPr>
          <w:rtl/>
        </w:rPr>
        <w:t xml:space="preserve"> يتيما، من الجمهورية العربية السورية منذ آذار/مارس </w:t>
      </w:r>
      <w:r w:rsidRPr="000135B5">
        <w:rPr>
          <w:szCs w:val="20"/>
          <w:rtl/>
        </w:rPr>
        <w:t>2019</w:t>
      </w:r>
      <w:r w:rsidR="000135B5" w:rsidRPr="000135B5">
        <w:rPr>
          <w:vertAlign w:val="superscript"/>
          <w:rtl/>
        </w:rPr>
        <w:t>(</w:t>
      </w:r>
      <w:r w:rsidR="000135B5" w:rsidRPr="000135B5">
        <w:rPr>
          <w:rFonts w:cs="Times New Roman"/>
          <w:position w:val="4"/>
          <w:vertAlign w:val="superscript"/>
        </w:rPr>
        <w:footnoteReference w:id="17"/>
      </w:r>
      <w:r w:rsidR="000135B5" w:rsidRPr="000135B5">
        <w:rPr>
          <w:vertAlign w:val="superscript"/>
          <w:rtl/>
        </w:rPr>
        <w:t>)</w:t>
      </w:r>
      <w:r w:rsidR="00566EBF" w:rsidRPr="00566EBF">
        <w:rPr>
          <w:rFonts w:hint="cs"/>
          <w:rtl/>
        </w:rPr>
        <w:t>.</w:t>
      </w:r>
      <w:r w:rsidRPr="00566EBF">
        <w:rPr>
          <w:rtl/>
        </w:rPr>
        <w:t xml:space="preserve"> </w:t>
      </w:r>
    </w:p>
    <w:p w14:paraId="7B27BF2E" w14:textId="2EB97972" w:rsidR="002572A4" w:rsidRPr="00566EBF" w:rsidRDefault="002572A4" w:rsidP="002572A4">
      <w:pPr>
        <w:pStyle w:val="SingleTxtGA"/>
      </w:pPr>
      <w:r w:rsidRPr="000135B5">
        <w:rPr>
          <w:szCs w:val="20"/>
          <w:rtl/>
        </w:rPr>
        <w:t>2</w:t>
      </w:r>
      <w:r w:rsidR="00566EBF">
        <w:rPr>
          <w:rtl/>
        </w:rPr>
        <w:t>-</w:t>
      </w:r>
      <w:r w:rsidRPr="000135B5">
        <w:rPr>
          <w:szCs w:val="20"/>
          <w:rtl/>
        </w:rPr>
        <w:t>15</w:t>
      </w:r>
      <w:r w:rsidRPr="00566EBF">
        <w:rPr>
          <w:rtl/>
        </w:rPr>
        <w:tab/>
        <w:t>ويذكّر أصحاب البلاغين أيضاً بأن الاجتهادات القضائية الراسخة للمحكمة الأوروبية لحقوق الإنسان بشأن الولاية خارج الحدود الوطنية تؤكد صلة الدول الأطراف بالمسؤولية عن مصير مواطنيها استنادا</w:t>
      </w:r>
      <w:r w:rsidR="008D15E3">
        <w:rPr>
          <w:rFonts w:hint="cs"/>
          <w:rtl/>
        </w:rPr>
        <w:t>ً</w:t>
      </w:r>
      <w:r w:rsidRPr="00566EBF">
        <w:rPr>
          <w:rtl/>
        </w:rPr>
        <w:t xml:space="preserve"> إلى "التأثير الحاسم" الذي تتمتع به على السلطة التي تحتجزهم أو تمسك بهم، حتى ولو كان ذلك خارج حدود أراضيها الوطنية</w:t>
      </w:r>
      <w:r w:rsidR="000135B5" w:rsidRPr="000135B5">
        <w:rPr>
          <w:vertAlign w:val="superscript"/>
          <w:rtl/>
        </w:rPr>
        <w:t>(</w:t>
      </w:r>
      <w:r w:rsidR="000135B5" w:rsidRPr="000135B5">
        <w:rPr>
          <w:rFonts w:cs="Times New Roman"/>
          <w:position w:val="4"/>
          <w:vertAlign w:val="superscript"/>
        </w:rPr>
        <w:footnoteReference w:id="18"/>
      </w:r>
      <w:r w:rsidR="000135B5" w:rsidRPr="000135B5">
        <w:rPr>
          <w:vertAlign w:val="superscript"/>
          <w:rtl/>
        </w:rPr>
        <w:t>)</w:t>
      </w:r>
      <w:r w:rsidR="00566EBF" w:rsidRPr="00566EBF">
        <w:rPr>
          <w:rFonts w:hint="cs"/>
          <w:rtl/>
        </w:rPr>
        <w:t>.</w:t>
      </w:r>
      <w:r w:rsidRPr="00566EBF">
        <w:rPr>
          <w:rtl/>
        </w:rPr>
        <w:t xml:space="preserve"> ولذلك، لا تشترط المحكمة الأوروبية لحقوق الإنسان مشاركة وكلاء الدولة الطرف مشاركة مباشرة، لكنها تتحقق، في جملة أمور، مما إذا كانت الدولة "امتنعت عن اتخاذ إجراء لمنع الانتهاكات التي يُزعم أنها ارتكبت"</w:t>
      </w:r>
      <w:r w:rsidR="000135B5" w:rsidRPr="000135B5">
        <w:rPr>
          <w:vertAlign w:val="superscript"/>
          <w:rtl/>
        </w:rPr>
        <w:t>(</w:t>
      </w:r>
      <w:r w:rsidR="000135B5" w:rsidRPr="000135B5">
        <w:rPr>
          <w:rFonts w:cs="Times New Roman"/>
          <w:position w:val="4"/>
          <w:vertAlign w:val="superscript"/>
        </w:rPr>
        <w:footnoteReference w:id="19"/>
      </w:r>
      <w:r w:rsidR="000135B5" w:rsidRPr="000135B5">
        <w:rPr>
          <w:vertAlign w:val="superscript"/>
          <w:rtl/>
        </w:rPr>
        <w:t>)</w:t>
      </w:r>
      <w:r w:rsidR="00566EBF" w:rsidRPr="00566EBF">
        <w:rPr>
          <w:rFonts w:hint="cs"/>
          <w:rtl/>
        </w:rPr>
        <w:t>.</w:t>
      </w:r>
      <w:r w:rsidRPr="00566EBF">
        <w:rPr>
          <w:rtl/>
        </w:rPr>
        <w:t xml:space="preserve"> وفيما يتعلق بالنزاع في العراق والجمهورية العربية السورية، تتدخل الدولة الطرف في شمال الجمهورية العربية السورية كجزء من عملية </w:t>
      </w:r>
      <w:r w:rsidRPr="00566EBF">
        <w:rPr>
          <w:rtl/>
        </w:rPr>
        <w:lastRenderedPageBreak/>
        <w:t xml:space="preserve">الشمال العسكرية منذ عام </w:t>
      </w:r>
      <w:r w:rsidRPr="000135B5">
        <w:rPr>
          <w:szCs w:val="20"/>
          <w:rtl/>
        </w:rPr>
        <w:t>2015</w:t>
      </w:r>
      <w:r w:rsidR="000135B5" w:rsidRPr="000135B5">
        <w:rPr>
          <w:vertAlign w:val="superscript"/>
          <w:rtl/>
        </w:rPr>
        <w:t>(</w:t>
      </w:r>
      <w:r w:rsidR="000135B5" w:rsidRPr="000135B5">
        <w:rPr>
          <w:rFonts w:cs="Times New Roman"/>
          <w:position w:val="4"/>
          <w:vertAlign w:val="superscript"/>
        </w:rPr>
        <w:footnoteReference w:id="20"/>
      </w:r>
      <w:r w:rsidR="000135B5" w:rsidRPr="000135B5">
        <w:rPr>
          <w:vertAlign w:val="superscript"/>
          <w:rtl/>
        </w:rPr>
        <w:t>)</w:t>
      </w:r>
      <w:r w:rsidR="00566EBF" w:rsidRPr="00566EBF">
        <w:rPr>
          <w:rFonts w:hint="cs"/>
          <w:rtl/>
        </w:rPr>
        <w:t>.</w:t>
      </w:r>
      <w:r w:rsidRPr="00566EBF">
        <w:rPr>
          <w:rtl/>
        </w:rPr>
        <w:t xml:space="preserve"> ولذلك، تعمل الدولة الطرف على تحقيق الاستقرار في المناطق التي تحررت من سيطرة تنظيم الدولة الإسلامية في شمال الجمهورية العربية السورية</w:t>
      </w:r>
      <w:r w:rsidR="000135B5" w:rsidRPr="000135B5">
        <w:rPr>
          <w:vertAlign w:val="superscript"/>
          <w:rtl/>
        </w:rPr>
        <w:t>(</w:t>
      </w:r>
      <w:r w:rsidR="000135B5" w:rsidRPr="000135B5">
        <w:rPr>
          <w:rFonts w:cs="Times New Roman"/>
          <w:position w:val="4"/>
          <w:vertAlign w:val="superscript"/>
        </w:rPr>
        <w:footnoteReference w:id="21"/>
      </w:r>
      <w:r w:rsidR="000135B5" w:rsidRPr="000135B5">
        <w:rPr>
          <w:vertAlign w:val="superscript"/>
          <w:rtl/>
        </w:rPr>
        <w:t>)</w:t>
      </w:r>
      <w:r w:rsidRPr="00566EBF">
        <w:rPr>
          <w:rtl/>
        </w:rPr>
        <w:t xml:space="preserve"> وعلى هيكلة "الحكم" في تلك المنطقة. وتحقيقا</w:t>
      </w:r>
      <w:r w:rsidR="008D15E3">
        <w:rPr>
          <w:rFonts w:hint="cs"/>
          <w:rtl/>
        </w:rPr>
        <w:t>ً</w:t>
      </w:r>
      <w:r w:rsidRPr="00566EBF">
        <w:rPr>
          <w:rtl/>
        </w:rPr>
        <w:t xml:space="preserve"> لهذه الغاية، أرست فرنسا شراكة عسكرية ودبلوماسية مع قوات سوريا الديمقراطية، فساعدت على وجه الخصوص في إقامة حوار مع تركيا</w:t>
      </w:r>
      <w:r w:rsidR="000135B5" w:rsidRPr="000135B5">
        <w:rPr>
          <w:vertAlign w:val="superscript"/>
          <w:rtl/>
        </w:rPr>
        <w:t>(</w:t>
      </w:r>
      <w:r w:rsidR="000135B5" w:rsidRPr="000135B5">
        <w:rPr>
          <w:rFonts w:cs="Times New Roman"/>
          <w:position w:val="4"/>
          <w:vertAlign w:val="superscript"/>
        </w:rPr>
        <w:footnoteReference w:id="22"/>
      </w:r>
      <w:r w:rsidR="000135B5" w:rsidRPr="000135B5">
        <w:rPr>
          <w:vertAlign w:val="superscript"/>
          <w:rtl/>
        </w:rPr>
        <w:t>)</w:t>
      </w:r>
      <w:r w:rsidRPr="00566EBF">
        <w:rPr>
          <w:rtl/>
        </w:rPr>
        <w:t xml:space="preserve"> في إطار "مكافحة مشتركة" للإرهاب. وفي هذا السياق، تمكنت الدولة الطرف أيضاً من إعادة الأطفال الفرنسيين إلى وطنهم (انظر الفقرة </w:t>
      </w:r>
      <w:r w:rsidRPr="000135B5">
        <w:rPr>
          <w:szCs w:val="20"/>
          <w:rtl/>
        </w:rPr>
        <w:t>5</w:t>
      </w:r>
      <w:r w:rsidRPr="00566EBF">
        <w:rPr>
          <w:rtl/>
        </w:rPr>
        <w:t>-</w:t>
      </w:r>
      <w:r w:rsidRPr="000135B5">
        <w:rPr>
          <w:szCs w:val="20"/>
          <w:rtl/>
        </w:rPr>
        <w:t>5</w:t>
      </w:r>
      <w:r w:rsidRPr="00566EBF">
        <w:rPr>
          <w:rtl/>
        </w:rPr>
        <w:t xml:space="preserve"> أدناه)، وشكرت قوات سوريا الديمقراطية على تعاونها الذي جعل تلك النتيجة ممكنة</w:t>
      </w:r>
      <w:r w:rsidR="000135B5" w:rsidRPr="000135B5">
        <w:rPr>
          <w:vertAlign w:val="superscript"/>
          <w:rtl/>
        </w:rPr>
        <w:t>(</w:t>
      </w:r>
      <w:r w:rsidR="000135B5" w:rsidRPr="000135B5">
        <w:rPr>
          <w:rFonts w:cs="Times New Roman"/>
          <w:position w:val="4"/>
          <w:vertAlign w:val="superscript"/>
        </w:rPr>
        <w:footnoteReference w:id="23"/>
      </w:r>
      <w:r w:rsidR="000135B5" w:rsidRPr="000135B5">
        <w:rPr>
          <w:vertAlign w:val="superscript"/>
          <w:rtl/>
        </w:rPr>
        <w:t>)</w:t>
      </w:r>
      <w:r w:rsidR="00566EBF" w:rsidRPr="00566EBF">
        <w:rPr>
          <w:rFonts w:hint="cs"/>
          <w:rtl/>
        </w:rPr>
        <w:t>.</w:t>
      </w:r>
      <w:r w:rsidRPr="00566EBF">
        <w:rPr>
          <w:rtl/>
        </w:rPr>
        <w:t xml:space="preserve"> وبالإضافة إلى ذلك، دعمت الدولة الطرف عدداً من جماعات المعارضة، ولا سيما الجماعات الكردية، إذ اعتبرتها من الشركاء الموثوقين في محاربة تنظيم الدولة الإسلامية</w:t>
      </w:r>
      <w:r w:rsidR="000135B5" w:rsidRPr="000135B5">
        <w:rPr>
          <w:vertAlign w:val="superscript"/>
          <w:rtl/>
        </w:rPr>
        <w:t>(</w:t>
      </w:r>
      <w:r w:rsidR="000135B5" w:rsidRPr="000135B5">
        <w:rPr>
          <w:rFonts w:cs="Times New Roman"/>
          <w:position w:val="4"/>
          <w:vertAlign w:val="superscript"/>
        </w:rPr>
        <w:footnoteReference w:id="24"/>
      </w:r>
      <w:r w:rsidR="000135B5" w:rsidRPr="000135B5">
        <w:rPr>
          <w:vertAlign w:val="superscript"/>
          <w:rtl/>
        </w:rPr>
        <w:t>)</w:t>
      </w:r>
      <w:r w:rsidR="00566EBF" w:rsidRPr="00566EBF">
        <w:rPr>
          <w:rFonts w:hint="cs"/>
          <w:rtl/>
        </w:rPr>
        <w:t>.</w:t>
      </w:r>
      <w:r w:rsidRPr="00566EBF">
        <w:rPr>
          <w:rtl/>
        </w:rPr>
        <w:t xml:space="preserve"> ولذلك، يدفع أصحاب البلاغين بأن الدولة الطرف تمارس نفوذاً عسكرياً وسياسياً - ولا يقتصر دورها فقط على تقديم الدعم - في هذا المجال ولها تأثيرها فيما يتعلق بحالة الأطفال الفرنسيين وأمهاتهم المحتجزين لدى قوات سوريا الديمقراطية، وهو أمر يندرج ضمن تعهدات فرنسا الملزمة بموجب المعاهدات</w:t>
      </w:r>
      <w:r w:rsidR="000135B5" w:rsidRPr="000135B5">
        <w:rPr>
          <w:vertAlign w:val="superscript"/>
          <w:rtl/>
        </w:rPr>
        <w:t>(</w:t>
      </w:r>
      <w:r w:rsidR="000135B5" w:rsidRPr="000135B5">
        <w:rPr>
          <w:rFonts w:cs="Times New Roman"/>
          <w:position w:val="4"/>
          <w:vertAlign w:val="superscript"/>
        </w:rPr>
        <w:footnoteReference w:id="25"/>
      </w:r>
      <w:r w:rsidR="000135B5" w:rsidRPr="000135B5">
        <w:rPr>
          <w:vertAlign w:val="superscript"/>
          <w:rtl/>
        </w:rPr>
        <w:t>)</w:t>
      </w:r>
      <w:r w:rsidR="00566EBF" w:rsidRPr="00566EBF">
        <w:rPr>
          <w:rFonts w:hint="cs"/>
          <w:rtl/>
        </w:rPr>
        <w:t>.</w:t>
      </w:r>
      <w:r w:rsidRPr="00566EBF">
        <w:rPr>
          <w:rtl/>
        </w:rPr>
        <w:t xml:space="preserve"> </w:t>
      </w:r>
    </w:p>
    <w:p w14:paraId="3EDE3E9F" w14:textId="77777777" w:rsidR="002572A4" w:rsidRPr="00566EBF" w:rsidRDefault="002572A4" w:rsidP="002572A4">
      <w:pPr>
        <w:pStyle w:val="H23GA"/>
      </w:pPr>
      <w:r w:rsidRPr="00566EBF">
        <w:rPr>
          <w:rtl/>
        </w:rPr>
        <w:tab/>
      </w:r>
      <w:r w:rsidRPr="00566EBF">
        <w:rPr>
          <w:rtl/>
        </w:rPr>
        <w:tab/>
        <w:t xml:space="preserve">الشكوى </w:t>
      </w:r>
    </w:p>
    <w:p w14:paraId="6F153DCA" w14:textId="211C81C3" w:rsidR="002572A4" w:rsidRPr="001C46E4" w:rsidRDefault="002572A4" w:rsidP="002572A4">
      <w:pPr>
        <w:pStyle w:val="SingleTxtGA"/>
        <w:rPr>
          <w:spacing w:val="-6"/>
        </w:rPr>
      </w:pPr>
      <w:r w:rsidRPr="001C46E4">
        <w:rPr>
          <w:spacing w:val="-6"/>
          <w:szCs w:val="20"/>
          <w:rtl/>
        </w:rPr>
        <w:t>3</w:t>
      </w:r>
      <w:r w:rsidR="00566EBF" w:rsidRPr="001C46E4">
        <w:rPr>
          <w:spacing w:val="-6"/>
          <w:rtl/>
        </w:rPr>
        <w:t>-</w:t>
      </w:r>
      <w:r w:rsidRPr="001C46E4">
        <w:rPr>
          <w:spacing w:val="-6"/>
          <w:szCs w:val="20"/>
          <w:rtl/>
        </w:rPr>
        <w:t>1</w:t>
      </w:r>
      <w:r w:rsidRPr="001C46E4">
        <w:rPr>
          <w:spacing w:val="-6"/>
          <w:rtl/>
        </w:rPr>
        <w:tab/>
        <w:t xml:space="preserve">يجادل أصحاب البلاغين بأن الدولة الطرف، بتقاعسها عن العمل، تنتهك المواد </w:t>
      </w:r>
      <w:r w:rsidRPr="001C46E4">
        <w:rPr>
          <w:spacing w:val="-6"/>
          <w:szCs w:val="20"/>
          <w:rtl/>
        </w:rPr>
        <w:t>2</w:t>
      </w:r>
      <w:r w:rsidRPr="001C46E4">
        <w:rPr>
          <w:spacing w:val="-6"/>
          <w:rtl/>
        </w:rPr>
        <w:t xml:space="preserve"> و</w:t>
      </w:r>
      <w:r w:rsidRPr="001C46E4">
        <w:rPr>
          <w:spacing w:val="-6"/>
          <w:szCs w:val="20"/>
          <w:rtl/>
        </w:rPr>
        <w:t>3</w:t>
      </w:r>
      <w:r w:rsidRPr="001C46E4">
        <w:rPr>
          <w:spacing w:val="-6"/>
          <w:rtl/>
        </w:rPr>
        <w:t xml:space="preserve"> و</w:t>
      </w:r>
      <w:r w:rsidRPr="001C46E4">
        <w:rPr>
          <w:spacing w:val="-6"/>
          <w:szCs w:val="20"/>
          <w:rtl/>
        </w:rPr>
        <w:t>6</w:t>
      </w:r>
      <w:r w:rsidRPr="001C46E4">
        <w:rPr>
          <w:spacing w:val="-6"/>
          <w:rtl/>
        </w:rPr>
        <w:t xml:space="preserve"> و</w:t>
      </w:r>
      <w:r w:rsidRPr="001C46E4">
        <w:rPr>
          <w:spacing w:val="-6"/>
          <w:szCs w:val="20"/>
          <w:rtl/>
        </w:rPr>
        <w:t>20</w:t>
      </w:r>
      <w:r w:rsidRPr="001C46E4">
        <w:rPr>
          <w:spacing w:val="-6"/>
          <w:rtl/>
        </w:rPr>
        <w:t xml:space="preserve"> و</w:t>
      </w:r>
      <w:r w:rsidRPr="001C46E4">
        <w:rPr>
          <w:spacing w:val="-6"/>
          <w:szCs w:val="20"/>
          <w:rtl/>
        </w:rPr>
        <w:t>24</w:t>
      </w:r>
      <w:r w:rsidRPr="001C46E4">
        <w:rPr>
          <w:spacing w:val="-6"/>
          <w:rtl/>
        </w:rPr>
        <w:t xml:space="preserve"> و</w:t>
      </w:r>
      <w:r w:rsidRPr="001C46E4">
        <w:rPr>
          <w:spacing w:val="-6"/>
          <w:szCs w:val="20"/>
          <w:rtl/>
        </w:rPr>
        <w:t>37</w:t>
      </w:r>
      <w:r w:rsidRPr="001C46E4">
        <w:rPr>
          <w:spacing w:val="-6"/>
          <w:rtl/>
        </w:rPr>
        <w:t xml:space="preserve"> من اتفاقية حقوق الطفل. ويؤكدون أن الدولة الطرف لم تتخذ التدابير المناسبة لضمان احترام الحقوق المنصوص عليها في الاتفاقية (المادة </w:t>
      </w:r>
      <w:r w:rsidRPr="001C46E4">
        <w:rPr>
          <w:spacing w:val="-6"/>
          <w:szCs w:val="20"/>
          <w:rtl/>
        </w:rPr>
        <w:t>2</w:t>
      </w:r>
      <w:r w:rsidRPr="001C46E4">
        <w:rPr>
          <w:spacing w:val="-6"/>
          <w:rtl/>
        </w:rPr>
        <w:t xml:space="preserve">)؛ وضمان حصول الأطفال على الحماية والرعاية اللازمتين في حالة عدم تمكن الوالدين أو غيرهما من الأوصياء القانونيين من توفيرهما (المادة </w:t>
      </w:r>
      <w:r w:rsidRPr="001C46E4">
        <w:rPr>
          <w:spacing w:val="-6"/>
          <w:szCs w:val="20"/>
          <w:rtl/>
        </w:rPr>
        <w:t>3</w:t>
      </w:r>
      <w:r w:rsidRPr="001C46E4">
        <w:rPr>
          <w:spacing w:val="-6"/>
          <w:rtl/>
        </w:rPr>
        <w:t xml:space="preserve">)؛ وضمان الحق في الحياة وبقاء الأطفال ونموهم (المادة </w:t>
      </w:r>
      <w:r w:rsidRPr="001C46E4">
        <w:rPr>
          <w:spacing w:val="-6"/>
          <w:szCs w:val="20"/>
          <w:rtl/>
        </w:rPr>
        <w:t>6</w:t>
      </w:r>
      <w:r w:rsidRPr="001C46E4">
        <w:rPr>
          <w:spacing w:val="-6"/>
          <w:rtl/>
        </w:rPr>
        <w:t xml:space="preserve">)؛ وتوفير حماية خاصة لهم في سياق الحرمان من البيئة العائلية (المادة </w:t>
      </w:r>
      <w:r w:rsidRPr="001C46E4">
        <w:rPr>
          <w:spacing w:val="-6"/>
          <w:szCs w:val="20"/>
          <w:rtl/>
        </w:rPr>
        <w:t>20</w:t>
      </w:r>
      <w:r w:rsidRPr="001C46E4">
        <w:rPr>
          <w:spacing w:val="-6"/>
          <w:rtl/>
        </w:rPr>
        <w:t xml:space="preserve">)؛ وضمان الحصول على خدمات الرعاية الصحية (المادة </w:t>
      </w:r>
      <w:r w:rsidRPr="001C46E4">
        <w:rPr>
          <w:spacing w:val="-6"/>
          <w:szCs w:val="20"/>
          <w:rtl/>
        </w:rPr>
        <w:t>24</w:t>
      </w:r>
      <w:r w:rsidRPr="001C46E4">
        <w:rPr>
          <w:spacing w:val="-6"/>
          <w:rtl/>
        </w:rPr>
        <w:t xml:space="preserve">)؛ وضمان حمايتهم من الاحتجاز غير القانوني (المادة </w:t>
      </w:r>
      <w:r w:rsidRPr="001C46E4">
        <w:rPr>
          <w:spacing w:val="-6"/>
          <w:szCs w:val="20"/>
          <w:rtl/>
        </w:rPr>
        <w:t>37</w:t>
      </w:r>
      <w:r w:rsidRPr="001C46E4">
        <w:rPr>
          <w:spacing w:val="-6"/>
          <w:rtl/>
        </w:rPr>
        <w:t>).</w:t>
      </w:r>
    </w:p>
    <w:p w14:paraId="1CF05B08" w14:textId="1C74E95A" w:rsidR="002572A4" w:rsidRPr="00566EBF" w:rsidRDefault="002572A4" w:rsidP="002572A4">
      <w:pPr>
        <w:pStyle w:val="SingleTxtGA"/>
      </w:pPr>
      <w:r w:rsidRPr="000135B5">
        <w:rPr>
          <w:szCs w:val="20"/>
          <w:rtl/>
        </w:rPr>
        <w:t>3</w:t>
      </w:r>
      <w:r w:rsidR="00566EBF">
        <w:rPr>
          <w:rtl/>
        </w:rPr>
        <w:t>-</w:t>
      </w:r>
      <w:r w:rsidRPr="000135B5">
        <w:rPr>
          <w:szCs w:val="20"/>
          <w:rtl/>
        </w:rPr>
        <w:t>2</w:t>
      </w:r>
      <w:r w:rsidRPr="00566EBF">
        <w:rPr>
          <w:rtl/>
        </w:rPr>
        <w:tab/>
        <w:t>ويؤكد أصحاب البلاغين أن الدولة الطرف على علم تام بالظروف الصحية المؤسفة التي وجد الأطفال أنفسهم فيها. وكانت الدولة الطرف على علم بأن الأطفال قد احتُجزوا في منطقة نزاع مسلح وأنهم كانوا معرضين لخطر الوفاة وخطر الإصابة بجروح خطيرة، لجملة أسباب بينها عدم توفر أي دعم طبي للمخيمات، مما يزيد من خطر الإصابة بالأمراض والعلل، بالإضافة إلى الإصابات التي كان بعضهم يعاني منها أصلا</w:t>
      </w:r>
      <w:r w:rsidR="008D15E3">
        <w:rPr>
          <w:rFonts w:hint="cs"/>
          <w:rtl/>
        </w:rPr>
        <w:t>ً</w:t>
      </w:r>
      <w:r w:rsidRPr="00566EBF">
        <w:rPr>
          <w:rtl/>
        </w:rPr>
        <w:t xml:space="preserve">. </w:t>
      </w:r>
      <w:proofErr w:type="spellStart"/>
      <w:r w:rsidRPr="00566EBF">
        <w:rPr>
          <w:rtl/>
        </w:rPr>
        <w:t>ويحاجج</w:t>
      </w:r>
      <w:proofErr w:type="spellEnd"/>
      <w:r w:rsidRPr="00566EBF">
        <w:rPr>
          <w:rtl/>
        </w:rPr>
        <w:t xml:space="preserve"> أصحاب البلاغين بأن الدولة الطرف رفضت تنفيذ أي تدابير ضرورية، على الرغم من كل ذلك.</w:t>
      </w:r>
    </w:p>
    <w:p w14:paraId="4BE10411" w14:textId="2BBD9AD7" w:rsidR="002572A4" w:rsidRPr="001C46E4" w:rsidRDefault="002572A4" w:rsidP="002572A4">
      <w:pPr>
        <w:pStyle w:val="SingleTxtGA"/>
        <w:rPr>
          <w:spacing w:val="-4"/>
        </w:rPr>
      </w:pPr>
      <w:r w:rsidRPr="001C46E4">
        <w:rPr>
          <w:spacing w:val="-4"/>
          <w:szCs w:val="20"/>
          <w:rtl/>
        </w:rPr>
        <w:t>3</w:t>
      </w:r>
      <w:r w:rsidR="00566EBF" w:rsidRPr="001C46E4">
        <w:rPr>
          <w:spacing w:val="-4"/>
          <w:rtl/>
        </w:rPr>
        <w:t>-</w:t>
      </w:r>
      <w:r w:rsidRPr="001C46E4">
        <w:rPr>
          <w:spacing w:val="-4"/>
          <w:szCs w:val="20"/>
          <w:rtl/>
        </w:rPr>
        <w:t>3</w:t>
      </w:r>
      <w:r w:rsidRPr="001C46E4">
        <w:rPr>
          <w:spacing w:val="-4"/>
          <w:rtl/>
        </w:rPr>
        <w:tab/>
        <w:t>ويطلب أصحاب البلاغين إلى الدولة الطرف: (أ) تحديد الأطفال المولودين في فرنسا أو</w:t>
      </w:r>
      <w:r w:rsidR="001C46E4" w:rsidRPr="001C46E4">
        <w:rPr>
          <w:rFonts w:hint="cs"/>
          <w:spacing w:val="-4"/>
          <w:rtl/>
        </w:rPr>
        <w:t> </w:t>
      </w:r>
      <w:r w:rsidRPr="001C46E4">
        <w:rPr>
          <w:spacing w:val="-4"/>
          <w:rtl/>
        </w:rPr>
        <w:t xml:space="preserve">لأبوين فرنسيين في مخيمات الهول وعين عيسى وروج في أقرب وقت ممكن؛ (ب) توفير الطعام والماء والرعاية الطبية </w:t>
      </w:r>
      <w:r w:rsidRPr="001C46E4">
        <w:rPr>
          <w:spacing w:val="-4"/>
          <w:rtl/>
        </w:rPr>
        <w:lastRenderedPageBreak/>
        <w:t xml:space="preserve">لهؤلاء الأطفال؛ (ج) إعادتهم إلى الأراضي الفرنسية؛ (د) مساعدة الأطفال من خلال خدمات حماية الطفل لدى وصولهم إلى الأراضي الفرنسية؛ (ه) توفير أي تدابير أخرى لحمايتهم، إذا اقتضى الأمر. </w:t>
      </w:r>
    </w:p>
    <w:p w14:paraId="1265E8EE" w14:textId="77777777" w:rsidR="002572A4" w:rsidRPr="00566EBF" w:rsidRDefault="002572A4" w:rsidP="002572A4">
      <w:pPr>
        <w:pStyle w:val="H23GA"/>
      </w:pPr>
      <w:r w:rsidRPr="00566EBF">
        <w:rPr>
          <w:rtl/>
        </w:rPr>
        <w:tab/>
      </w:r>
      <w:r w:rsidRPr="00566EBF">
        <w:rPr>
          <w:rtl/>
        </w:rPr>
        <w:tab/>
        <w:t>ملاحظات الدولة الطرف بشأن المقبولية</w:t>
      </w:r>
    </w:p>
    <w:p w14:paraId="6AA5A363" w14:textId="23E9F064" w:rsidR="002572A4" w:rsidRPr="00566EBF" w:rsidRDefault="002572A4" w:rsidP="002572A4">
      <w:pPr>
        <w:pStyle w:val="SingleTxtGA"/>
      </w:pPr>
      <w:r w:rsidRPr="000135B5">
        <w:rPr>
          <w:szCs w:val="20"/>
          <w:rtl/>
        </w:rPr>
        <w:t>4</w:t>
      </w:r>
      <w:r w:rsidR="00566EBF">
        <w:rPr>
          <w:rtl/>
        </w:rPr>
        <w:t>-</w:t>
      </w:r>
      <w:r w:rsidRPr="000135B5">
        <w:rPr>
          <w:szCs w:val="20"/>
          <w:rtl/>
        </w:rPr>
        <w:t>1</w:t>
      </w:r>
      <w:r w:rsidRPr="00566EBF">
        <w:rPr>
          <w:rtl/>
        </w:rPr>
        <w:tab/>
        <w:t xml:space="preserve">ترى الدولة الطرف، في ورقتي المعلومات اللتين قدمتهما في </w:t>
      </w:r>
      <w:r w:rsidRPr="000135B5">
        <w:rPr>
          <w:szCs w:val="20"/>
          <w:rtl/>
        </w:rPr>
        <w:t>28</w:t>
      </w:r>
      <w:r w:rsidRPr="00566EBF">
        <w:rPr>
          <w:rtl/>
        </w:rPr>
        <w:t xml:space="preserve"> أيار/مايو </w:t>
      </w:r>
      <w:r w:rsidRPr="000135B5">
        <w:rPr>
          <w:szCs w:val="20"/>
          <w:rtl/>
        </w:rPr>
        <w:t>2019</w:t>
      </w:r>
      <w:r w:rsidRPr="00566EBF">
        <w:rPr>
          <w:rtl/>
        </w:rPr>
        <w:t xml:space="preserve"> و</w:t>
      </w:r>
      <w:r w:rsidRPr="000135B5">
        <w:rPr>
          <w:szCs w:val="20"/>
          <w:rtl/>
        </w:rPr>
        <w:t>5</w:t>
      </w:r>
      <w:r w:rsidRPr="00566EBF">
        <w:rPr>
          <w:rtl/>
        </w:rPr>
        <w:t xml:space="preserve"> شباط/</w:t>
      </w:r>
      <w:r w:rsidR="001C46E4">
        <w:rPr>
          <w:rFonts w:hint="cs"/>
          <w:rtl/>
        </w:rPr>
        <w:t xml:space="preserve"> </w:t>
      </w:r>
      <w:r w:rsidRPr="00566EBF">
        <w:rPr>
          <w:rtl/>
        </w:rPr>
        <w:t xml:space="preserve">فبراير </w:t>
      </w:r>
      <w:r w:rsidRPr="000135B5">
        <w:rPr>
          <w:szCs w:val="20"/>
          <w:rtl/>
        </w:rPr>
        <w:t>2020</w:t>
      </w:r>
      <w:r w:rsidRPr="00566EBF">
        <w:rPr>
          <w:rtl/>
        </w:rPr>
        <w:t>، عدم مقبولية البلاغين لافتقار مقدميهما إلى الصفة القانونية، ولأن الدولة الطرف لا تملك الولاية القضائية اللازمة فيما يتعلق بالأطفال.</w:t>
      </w:r>
    </w:p>
    <w:p w14:paraId="6F79FE41" w14:textId="5652E179" w:rsidR="002572A4" w:rsidRPr="00566EBF" w:rsidRDefault="002572A4" w:rsidP="002572A4">
      <w:pPr>
        <w:pStyle w:val="SingleTxtGA"/>
      </w:pPr>
      <w:r w:rsidRPr="000135B5">
        <w:rPr>
          <w:szCs w:val="20"/>
          <w:rtl/>
        </w:rPr>
        <w:t>4</w:t>
      </w:r>
      <w:r w:rsidR="00566EBF">
        <w:rPr>
          <w:rtl/>
        </w:rPr>
        <w:t>-</w:t>
      </w:r>
      <w:r w:rsidRPr="000135B5">
        <w:rPr>
          <w:szCs w:val="20"/>
          <w:rtl/>
        </w:rPr>
        <w:t>2</w:t>
      </w:r>
      <w:r w:rsidRPr="00566EBF">
        <w:rPr>
          <w:rtl/>
        </w:rPr>
        <w:tab/>
        <w:t xml:space="preserve">وتشير الدولة الطرف إلى المادة </w:t>
      </w:r>
      <w:r w:rsidRPr="000135B5">
        <w:rPr>
          <w:szCs w:val="20"/>
          <w:rtl/>
        </w:rPr>
        <w:t>5</w:t>
      </w:r>
      <w:r w:rsidRPr="00566EBF">
        <w:rPr>
          <w:rtl/>
        </w:rPr>
        <w:t xml:space="preserve"> من البروتوكول الاختياري، وتدفع بأن أصحاب البلاغين لم</w:t>
      </w:r>
      <w:r w:rsidR="001C46E4">
        <w:rPr>
          <w:rFonts w:hint="cs"/>
          <w:rtl/>
        </w:rPr>
        <w:t> </w:t>
      </w:r>
      <w:r w:rsidRPr="00566EBF">
        <w:rPr>
          <w:rtl/>
        </w:rPr>
        <w:t xml:space="preserve">يثبتوا أنهم يتصرفون بموافقة الأطفال أو أمهاتهم. وتقول الدولة الطرف إن الأمهات ما زلن </w:t>
      </w:r>
      <w:proofErr w:type="spellStart"/>
      <w:r w:rsidRPr="00566EBF">
        <w:rPr>
          <w:rtl/>
        </w:rPr>
        <w:t>الوصيات</w:t>
      </w:r>
      <w:proofErr w:type="spellEnd"/>
      <w:r w:rsidRPr="00566EBF">
        <w:rPr>
          <w:rtl/>
        </w:rPr>
        <w:t xml:space="preserve"> القانونيات على الأطفال، ولذلك فإن موافقتهن مطلوبة، لا سيما في ضوء طلب إعادة الأطفال إلى أوطانهم. وفيما يتعلق بالبلاغ رقم </w:t>
      </w:r>
      <w:r w:rsidR="00994502">
        <w:rPr>
          <w:rFonts w:hint="cs"/>
          <w:szCs w:val="20"/>
          <w:rtl/>
        </w:rPr>
        <w:t>79</w:t>
      </w:r>
      <w:r w:rsidRPr="00566EBF">
        <w:rPr>
          <w:rtl/>
        </w:rPr>
        <w:t>/</w:t>
      </w:r>
      <w:r w:rsidR="00994502">
        <w:rPr>
          <w:rFonts w:hint="cs"/>
          <w:szCs w:val="20"/>
          <w:rtl/>
        </w:rPr>
        <w:t>2019</w:t>
      </w:r>
      <w:r w:rsidRPr="00566EBF">
        <w:rPr>
          <w:rtl/>
        </w:rPr>
        <w:t>، تضيف الدولة الطرف أن صاحبي البلاغ لم يقدما أي</w:t>
      </w:r>
      <w:r w:rsidR="008D15E3">
        <w:rPr>
          <w:rFonts w:hint="cs"/>
          <w:rtl/>
        </w:rPr>
        <w:t> </w:t>
      </w:r>
      <w:r w:rsidRPr="00566EBF">
        <w:rPr>
          <w:rtl/>
        </w:rPr>
        <w:t xml:space="preserve">سجلات أسرية تثبت علاقتهم بالأشخاص موضوع البلاغ. </w:t>
      </w:r>
    </w:p>
    <w:p w14:paraId="361BF608" w14:textId="66F203DB" w:rsidR="002572A4" w:rsidRPr="001C46E4" w:rsidRDefault="002572A4" w:rsidP="002572A4">
      <w:pPr>
        <w:pStyle w:val="SingleTxtGA"/>
        <w:rPr>
          <w:spacing w:val="-4"/>
        </w:rPr>
      </w:pPr>
      <w:r w:rsidRPr="001C46E4">
        <w:rPr>
          <w:spacing w:val="-4"/>
          <w:szCs w:val="20"/>
          <w:rtl/>
        </w:rPr>
        <w:t>4</w:t>
      </w:r>
      <w:r w:rsidR="00566EBF" w:rsidRPr="001C46E4">
        <w:rPr>
          <w:spacing w:val="-4"/>
          <w:rtl/>
        </w:rPr>
        <w:t>-</w:t>
      </w:r>
      <w:r w:rsidRPr="001C46E4">
        <w:rPr>
          <w:spacing w:val="-4"/>
          <w:szCs w:val="20"/>
          <w:rtl/>
        </w:rPr>
        <w:t>3</w:t>
      </w:r>
      <w:r w:rsidRPr="001C46E4">
        <w:rPr>
          <w:spacing w:val="-4"/>
          <w:rtl/>
        </w:rPr>
        <w:tab/>
        <w:t>وتذكّر الدولة الطرف بأن على اللجنة أن تتحقق من أن الأطفال، وليس أصحاب البلاغين، يقعون في نطاق الولاية القضائية للدولة الطرف. ومن شأن التحليل العكسي أن يؤدي، بحكم الواقع، إلى التطبيق الشامل للاتفاقية، خلافا</w:t>
      </w:r>
      <w:r w:rsidR="008D15E3">
        <w:rPr>
          <w:rFonts w:hint="cs"/>
          <w:spacing w:val="-4"/>
          <w:rtl/>
        </w:rPr>
        <w:t>ً</w:t>
      </w:r>
      <w:r w:rsidRPr="001C46E4">
        <w:rPr>
          <w:spacing w:val="-4"/>
          <w:rtl/>
        </w:rPr>
        <w:t xml:space="preserve"> لنصها. وتدفع الدولة الطرف بأنها لم توافق إلا على احترام الحقوق المنصوص عليها في الاتفاقية في الحالات التي تقع ضمن سيادتها واختصاصها والتي من المرجح أن تكون لها سيطرة فعلية عليها. وتدفع الدولة الطرف بعدم جواز مساءلتها عن حالات لم تتسبب فيها، وهي حالات لا تملك السيطرة الفعلية عليها، وتمثل أفعالا</w:t>
      </w:r>
      <w:r w:rsidR="008D15E3">
        <w:rPr>
          <w:rFonts w:hint="cs"/>
          <w:spacing w:val="-4"/>
          <w:rtl/>
        </w:rPr>
        <w:t>ً</w:t>
      </w:r>
      <w:r w:rsidRPr="001C46E4">
        <w:rPr>
          <w:spacing w:val="-4"/>
          <w:rtl/>
        </w:rPr>
        <w:t xml:space="preserve"> تقوم بها دول أخرى أو جهات فاعلة من غير الدول. </w:t>
      </w:r>
    </w:p>
    <w:p w14:paraId="69BA5277" w14:textId="44467168" w:rsidR="002572A4" w:rsidRPr="00566EBF" w:rsidRDefault="002572A4" w:rsidP="002572A4">
      <w:pPr>
        <w:pStyle w:val="SingleTxtGA"/>
      </w:pPr>
      <w:r w:rsidRPr="000135B5">
        <w:rPr>
          <w:szCs w:val="20"/>
          <w:rtl/>
        </w:rPr>
        <w:t>4</w:t>
      </w:r>
      <w:r w:rsidR="00566EBF">
        <w:rPr>
          <w:rtl/>
        </w:rPr>
        <w:t>-</w:t>
      </w:r>
      <w:r w:rsidRPr="000135B5">
        <w:rPr>
          <w:szCs w:val="20"/>
          <w:rtl/>
        </w:rPr>
        <w:t>4</w:t>
      </w:r>
      <w:r w:rsidRPr="00566EBF">
        <w:rPr>
          <w:rtl/>
        </w:rPr>
        <w:tab/>
        <w:t xml:space="preserve">وتشير الدولة الطرف إلى المادة </w:t>
      </w:r>
      <w:r w:rsidRPr="000135B5">
        <w:rPr>
          <w:szCs w:val="20"/>
          <w:rtl/>
        </w:rPr>
        <w:t>29</w:t>
      </w:r>
      <w:r w:rsidRPr="00566EBF">
        <w:rPr>
          <w:rtl/>
        </w:rPr>
        <w:t xml:space="preserve"> من اتفاقية فيينا لقانون المعاهدات، وإلى قرار المحكمة الأوروبية لحقوق الإنسان في قضية </w:t>
      </w:r>
      <w:proofErr w:type="spellStart"/>
      <w:r w:rsidRPr="00DD60CD">
        <w:rPr>
          <w:i/>
          <w:iCs/>
          <w:rtl/>
        </w:rPr>
        <w:t>بنكوفيتش</w:t>
      </w:r>
      <w:proofErr w:type="spellEnd"/>
      <w:r w:rsidRPr="00DD60CD">
        <w:rPr>
          <w:i/>
          <w:iCs/>
          <w:rtl/>
        </w:rPr>
        <w:t xml:space="preserve"> وآخرون ضد </w:t>
      </w:r>
      <w:proofErr w:type="gramStart"/>
      <w:r w:rsidRPr="00DD60CD">
        <w:rPr>
          <w:i/>
          <w:iCs/>
          <w:rtl/>
        </w:rPr>
        <w:t>بلجيكا</w:t>
      </w:r>
      <w:r w:rsidR="000135B5" w:rsidRPr="000135B5">
        <w:rPr>
          <w:vertAlign w:val="superscript"/>
          <w:rtl/>
        </w:rPr>
        <w:t>(</w:t>
      </w:r>
      <w:proofErr w:type="gramEnd"/>
      <w:r w:rsidR="000135B5" w:rsidRPr="000135B5">
        <w:rPr>
          <w:rFonts w:cs="Times New Roman"/>
          <w:position w:val="4"/>
          <w:vertAlign w:val="superscript"/>
        </w:rPr>
        <w:footnoteReference w:id="26"/>
      </w:r>
      <w:r w:rsidR="000135B5" w:rsidRPr="000135B5">
        <w:rPr>
          <w:vertAlign w:val="superscript"/>
          <w:rtl/>
        </w:rPr>
        <w:t>)</w:t>
      </w:r>
      <w:r w:rsidRPr="00566EBF">
        <w:rPr>
          <w:rtl/>
        </w:rPr>
        <w:t xml:space="preserve"> وإلى السوابق القضائية للجنة مناهضة التعذيب</w:t>
      </w:r>
      <w:r w:rsidR="000135B5" w:rsidRPr="000135B5">
        <w:rPr>
          <w:vertAlign w:val="superscript"/>
          <w:rtl/>
        </w:rPr>
        <w:t>(</w:t>
      </w:r>
      <w:r w:rsidR="000135B5" w:rsidRPr="000135B5">
        <w:rPr>
          <w:rFonts w:cs="Times New Roman"/>
          <w:position w:val="4"/>
          <w:vertAlign w:val="superscript"/>
        </w:rPr>
        <w:footnoteReference w:id="27"/>
      </w:r>
      <w:r w:rsidR="000135B5" w:rsidRPr="000135B5">
        <w:rPr>
          <w:vertAlign w:val="superscript"/>
          <w:rtl/>
        </w:rPr>
        <w:t>)</w:t>
      </w:r>
      <w:r w:rsidR="00566EBF" w:rsidRPr="00566EBF">
        <w:rPr>
          <w:rFonts w:hint="cs"/>
          <w:rtl/>
        </w:rPr>
        <w:t>.</w:t>
      </w:r>
      <w:r w:rsidRPr="00566EBF">
        <w:rPr>
          <w:rtl/>
        </w:rPr>
        <w:t xml:space="preserve"> وهي تدفع بأن مفهوم الولاية القضائية في القانون الدولي العام هو مفهوم إقليمي في المقام الأول، ما لم تبين المعاهدة مقاصد مختلفة أو ما لم يُثبت ذلك بطريقة أخرى، وبأن ولاية الدولة خارج الحدود الإقليمية تنبع من السيطرة الفعلية التي يمكن أن تمارسها خارج حدودها</w:t>
      </w:r>
      <w:r w:rsidR="000135B5" w:rsidRPr="000135B5">
        <w:rPr>
          <w:vertAlign w:val="superscript"/>
          <w:rtl/>
        </w:rPr>
        <w:t>(</w:t>
      </w:r>
      <w:r w:rsidR="000135B5" w:rsidRPr="000135B5">
        <w:rPr>
          <w:rFonts w:cs="Times New Roman"/>
          <w:position w:val="4"/>
          <w:vertAlign w:val="superscript"/>
        </w:rPr>
        <w:footnoteReference w:id="28"/>
      </w:r>
      <w:r w:rsidR="000135B5" w:rsidRPr="000135B5">
        <w:rPr>
          <w:vertAlign w:val="superscript"/>
          <w:rtl/>
        </w:rPr>
        <w:t>)</w:t>
      </w:r>
      <w:r w:rsidR="00566EBF" w:rsidRPr="00566EBF">
        <w:rPr>
          <w:rFonts w:hint="cs"/>
          <w:rtl/>
        </w:rPr>
        <w:t>.</w:t>
      </w:r>
      <w:r w:rsidRPr="00566EBF">
        <w:rPr>
          <w:rtl/>
        </w:rPr>
        <w:t xml:space="preserve"> وتشير الدولة الطرف إلى الاجتهادات القضائية للمحكمة الأوروبية لحقوق الإنسان</w:t>
      </w:r>
      <w:r w:rsidR="000135B5" w:rsidRPr="000135B5">
        <w:rPr>
          <w:vertAlign w:val="superscript"/>
          <w:rtl/>
        </w:rPr>
        <w:t>(</w:t>
      </w:r>
      <w:r w:rsidR="000135B5" w:rsidRPr="000135B5">
        <w:rPr>
          <w:rFonts w:cs="Times New Roman"/>
          <w:position w:val="4"/>
          <w:vertAlign w:val="superscript"/>
        </w:rPr>
        <w:footnoteReference w:id="29"/>
      </w:r>
      <w:r w:rsidR="000135B5" w:rsidRPr="000135B5">
        <w:rPr>
          <w:vertAlign w:val="superscript"/>
          <w:rtl/>
        </w:rPr>
        <w:t>)</w:t>
      </w:r>
      <w:r w:rsidRPr="00566EBF">
        <w:rPr>
          <w:rtl/>
        </w:rPr>
        <w:t xml:space="preserve"> ومحكمة العدل الدولية</w:t>
      </w:r>
      <w:r w:rsidR="000135B5" w:rsidRPr="000135B5">
        <w:rPr>
          <w:vertAlign w:val="superscript"/>
          <w:rtl/>
        </w:rPr>
        <w:t>(</w:t>
      </w:r>
      <w:r w:rsidR="000135B5" w:rsidRPr="000135B5">
        <w:rPr>
          <w:rFonts w:cs="Times New Roman"/>
          <w:position w:val="4"/>
          <w:vertAlign w:val="superscript"/>
        </w:rPr>
        <w:footnoteReference w:id="30"/>
      </w:r>
      <w:r w:rsidR="000135B5" w:rsidRPr="000135B5">
        <w:rPr>
          <w:vertAlign w:val="superscript"/>
          <w:rtl/>
        </w:rPr>
        <w:t>)</w:t>
      </w:r>
      <w:r w:rsidRPr="00566EBF">
        <w:rPr>
          <w:rtl/>
        </w:rPr>
        <w:t xml:space="preserve"> ولجنة البلدان الأمريكية لحقوق الإنسان</w:t>
      </w:r>
      <w:r w:rsidR="000135B5" w:rsidRPr="000135B5">
        <w:rPr>
          <w:vertAlign w:val="superscript"/>
          <w:rtl/>
        </w:rPr>
        <w:t>(</w:t>
      </w:r>
      <w:r w:rsidR="000135B5" w:rsidRPr="000135B5">
        <w:rPr>
          <w:rFonts w:cs="Times New Roman"/>
          <w:position w:val="4"/>
          <w:vertAlign w:val="superscript"/>
        </w:rPr>
        <w:footnoteReference w:id="31"/>
      </w:r>
      <w:r w:rsidR="000135B5" w:rsidRPr="000135B5">
        <w:rPr>
          <w:vertAlign w:val="superscript"/>
          <w:rtl/>
        </w:rPr>
        <w:t>)</w:t>
      </w:r>
      <w:r w:rsidR="00566EBF" w:rsidRPr="00566EBF">
        <w:rPr>
          <w:rFonts w:hint="cs"/>
          <w:rtl/>
        </w:rPr>
        <w:t>،</w:t>
      </w:r>
      <w:r w:rsidRPr="00566EBF">
        <w:rPr>
          <w:rtl/>
        </w:rPr>
        <w:t xml:space="preserve"> وتشير إلى أنه لكي يخضع الأطفال للولاية القضائية للدولة الطرف، يجب على أصحاب البلاغين إثبات خضوعهم للسيطرة الفعلية لفرنسا، سواء من خلال </w:t>
      </w:r>
      <w:r w:rsidRPr="00566EBF">
        <w:rPr>
          <w:rtl/>
        </w:rPr>
        <w:lastRenderedPageBreak/>
        <w:t xml:space="preserve">وكلائها أو من خلال سلطة محلية تكون لفرنسا سيطرة كبيرة عليها بحيث تصبح تلك السلطة معتمدة عليها في الواقع. </w:t>
      </w:r>
      <w:bookmarkStart w:id="1" w:name="_Hlk4247944"/>
    </w:p>
    <w:p w14:paraId="2BFA9CF6" w14:textId="6D8AC6D1" w:rsidR="002572A4" w:rsidRPr="001C46E4" w:rsidRDefault="002572A4" w:rsidP="002572A4">
      <w:pPr>
        <w:pStyle w:val="SingleTxtGA"/>
        <w:rPr>
          <w:spacing w:val="-2"/>
        </w:rPr>
      </w:pPr>
      <w:r w:rsidRPr="001C46E4">
        <w:rPr>
          <w:spacing w:val="-2"/>
          <w:szCs w:val="20"/>
          <w:rtl/>
        </w:rPr>
        <w:t>4</w:t>
      </w:r>
      <w:r w:rsidR="00566EBF" w:rsidRPr="001C46E4">
        <w:rPr>
          <w:spacing w:val="-2"/>
          <w:rtl/>
        </w:rPr>
        <w:t>-</w:t>
      </w:r>
      <w:r w:rsidRPr="001C46E4">
        <w:rPr>
          <w:spacing w:val="-2"/>
          <w:szCs w:val="20"/>
          <w:rtl/>
        </w:rPr>
        <w:t>5</w:t>
      </w:r>
      <w:r w:rsidRPr="001C46E4">
        <w:rPr>
          <w:spacing w:val="-2"/>
          <w:rtl/>
        </w:rPr>
        <w:tab/>
        <w:t>وفي هذه الحالة، تلاحظ الدولة الطرف أن أصحاب البلاغين لم يقدموا أي دليل على أن فرنسا مارست سيطرة فعلية على المخيمات في شمال شرق الجمهورية العربية السورية. وعلى العكس من ذلك، يقر أصحاب البلاغين أنفسهم بأن الأطفال محتجزون لدى القوات الكردية ويخضعون لسيطرتهم. وتلاحظ الدولة الطرف أن فرنسا لا تمارس، أولاً، أي سيطرة أو سلطة على الأطفال من خلال موظفيها، لأن المخيمات في شمال شرق الجمهورية العربية السورية تخضع لسيطرة السلطات الأجنبية وحدها. ثانياً، تدحض الدولة الطرف الحجة القائلة بأن فرنسا تمارس أي سيطرة إقليمية على المخيمات في شمال الجمهورية العربية السورية. ورغم أن فرنسا منخرطة في التحالف الدولي الذي يقيم شراكة واتصالات عملياتية مع قوات سوريا الديمقراطية في الحرب ضد تنظيم الدولة الإسلامية، فإن ذلك لا</w:t>
      </w:r>
      <w:r w:rsidR="001C46E4" w:rsidRPr="001C46E4">
        <w:rPr>
          <w:rFonts w:hint="cs"/>
          <w:spacing w:val="-2"/>
          <w:rtl/>
        </w:rPr>
        <w:t> </w:t>
      </w:r>
      <w:r w:rsidRPr="001C46E4">
        <w:rPr>
          <w:spacing w:val="-2"/>
          <w:rtl/>
        </w:rPr>
        <w:t>يعني أن لها سيطرة فعلية على المخيمات في شمال شرق الجمهورية العربية السورية. ولا يعني ذلك أيضا</w:t>
      </w:r>
      <w:r w:rsidR="008D15E3">
        <w:rPr>
          <w:rFonts w:hint="cs"/>
          <w:spacing w:val="-2"/>
          <w:rtl/>
        </w:rPr>
        <w:t>ً</w:t>
      </w:r>
      <w:r w:rsidRPr="001C46E4">
        <w:rPr>
          <w:spacing w:val="-2"/>
          <w:rtl/>
        </w:rPr>
        <w:t xml:space="preserve"> أن هناك علاقة تبعية تجعل قوات سوريا الديمقراطية إدارة محلية تابعة لفرنسا. ومن شأن هذا التفسير أن يوسع نطاق ولاية فرنسا لتشمل أي إقليم تسيطر عليه دولة تقيم معها علاقات أو شراكة عسكرية. </w:t>
      </w:r>
    </w:p>
    <w:p w14:paraId="48645B43" w14:textId="7FFA2D18" w:rsidR="002572A4" w:rsidRPr="00566EBF" w:rsidRDefault="002572A4" w:rsidP="002572A4">
      <w:pPr>
        <w:pStyle w:val="SingleTxtGA"/>
      </w:pPr>
      <w:r w:rsidRPr="000135B5">
        <w:rPr>
          <w:szCs w:val="20"/>
          <w:rtl/>
        </w:rPr>
        <w:t>4</w:t>
      </w:r>
      <w:r w:rsidR="00566EBF">
        <w:rPr>
          <w:rtl/>
        </w:rPr>
        <w:t>-</w:t>
      </w:r>
      <w:r w:rsidRPr="000135B5">
        <w:rPr>
          <w:szCs w:val="20"/>
          <w:rtl/>
        </w:rPr>
        <w:t>6</w:t>
      </w:r>
      <w:r w:rsidRPr="00566EBF">
        <w:rPr>
          <w:rtl/>
        </w:rPr>
        <w:tab/>
        <w:t xml:space="preserve">وفيما يتعلق بالبلاغ رقم </w:t>
      </w:r>
      <w:r w:rsidR="00994502">
        <w:rPr>
          <w:rFonts w:hint="cs"/>
          <w:szCs w:val="20"/>
          <w:rtl/>
        </w:rPr>
        <w:t>109</w:t>
      </w:r>
      <w:r w:rsidRPr="00566EBF">
        <w:rPr>
          <w:rtl/>
        </w:rPr>
        <w:t>/</w:t>
      </w:r>
      <w:r w:rsidR="00994502">
        <w:rPr>
          <w:rFonts w:hint="cs"/>
          <w:szCs w:val="20"/>
          <w:rtl/>
        </w:rPr>
        <w:t>2019</w:t>
      </w:r>
      <w:r w:rsidRPr="00566EBF">
        <w:rPr>
          <w:rtl/>
        </w:rPr>
        <w:t>، تدفع الدولة الطرف كذلك بأنه في مسألة أثر القرار المحلي خارج الحدود الإقليمية، لا تتصل السوابق القضائية التي استشهد بها أصحاب البلاغ بالموضوع، بالنظر إلى اختلاف الحالات، وهي لا تثبت وجود معيار جديد لممارسة الدولة لولايتها خارج الحدود الإقليمية. ووفقاً للدولة الطرف، من الخطأ أن يفترض أصحاب البلاغ وجود تمييز راسخ بين الأفعال التي تتم خارج الأراضي الوطنية والأفعال التي تُحدث آثاراً خارج الأراضي الوطنية. وإذا ما اعتُمد رأي أصحاب البلاغين، فهذا يعني أن الأفعال التي تُحدث آثارا</w:t>
      </w:r>
      <w:r w:rsidR="008D15E3">
        <w:rPr>
          <w:rFonts w:hint="cs"/>
          <w:rtl/>
        </w:rPr>
        <w:t>ً</w:t>
      </w:r>
      <w:r w:rsidRPr="00566EBF">
        <w:rPr>
          <w:rtl/>
        </w:rPr>
        <w:t xml:space="preserve"> خارج الإقليم الوطني قد تضع جميع الأفراد الموجودين خارج إقليم الدولة الطرف والذين يتأثرون بتلك الأفعال تحت الولاية القضائية للدولة الطرف. ولذلك، تعترض الدولة الطرف على الحجة القائلة بأن الاتفاقية تنطبق على هؤلاء الأطفال بسبب القرار المزعوم الذي اتخذته حكومة فرنسا بعدم إعادتهم إلى الوطن. لذا تشدد الدولة الطرف على أن المحكمة الأوروبية لحقوق الإنسان لم تؤكد أبداً المبدأ القائل بأن الأفراد الموجودين خارج إقليم دولة طرف ما يصبحون خاضعين للولاية القضائية لتلك الدولة، نتيجة لقرار وطني ليس إلا. </w:t>
      </w:r>
    </w:p>
    <w:p w14:paraId="4D0E07A2" w14:textId="3761C133" w:rsidR="002572A4" w:rsidRPr="00566EBF" w:rsidRDefault="002572A4" w:rsidP="002572A4">
      <w:pPr>
        <w:pStyle w:val="SingleTxtGA"/>
      </w:pPr>
      <w:r w:rsidRPr="000135B5">
        <w:rPr>
          <w:szCs w:val="20"/>
          <w:rtl/>
        </w:rPr>
        <w:t>4</w:t>
      </w:r>
      <w:r w:rsidR="00566EBF">
        <w:rPr>
          <w:rtl/>
        </w:rPr>
        <w:t>-</w:t>
      </w:r>
      <w:r w:rsidRPr="000135B5">
        <w:rPr>
          <w:szCs w:val="20"/>
          <w:rtl/>
        </w:rPr>
        <w:t>7</w:t>
      </w:r>
      <w:r w:rsidRPr="00566EBF">
        <w:rPr>
          <w:rtl/>
        </w:rPr>
        <w:tab/>
        <w:t>وفيما يتعلق بحجج أصحاب البلاغين بشأن وجود حلقة اختصاص، تدفع الدولة الطرف بأن أصحاب البلاغين يخلطون بين مفهومين: وفقاً للسوابق القضائية للمحكمة الأوروبية لحقوق الإنسان، فإن حلقة الاختصاص بين مقدمي الطلبات والدولة التي يُلتمس مسؤوليتها لا تستند إلى جنسية مقدمي الطلبات بل إلى الشروع في إجراءات مدنية أو جنائية بموجب القانون المحلي. وعلاوة على ذلك، لا يتضح من مبادئ القانون الدولي العام، أو أحكام المحكمة الأوروبية لحقوق الإنسان واجتهاداتها القضائية، أو اتفاقية حقوق الطفل، أو العهد الدولي الخاص بالحقوق المدنية والسياسية أو</w:t>
      </w:r>
      <w:r w:rsidR="001C46E4">
        <w:rPr>
          <w:rFonts w:hint="cs"/>
          <w:rtl/>
        </w:rPr>
        <w:t> </w:t>
      </w:r>
      <w:r w:rsidRPr="00566EBF">
        <w:rPr>
          <w:rtl/>
        </w:rPr>
        <w:t xml:space="preserve">أي معاهدة أخرى، أن ثمة صلة بين الاختصاص والجنسية. وفي هذا الصدد، تلاحظ الدولة الطرف أن أصحاب البلاغين يخلطون بين مفهوم الولاية القضائية الشخصية للدولة - أي السلطات الراسخة التي تمارسها الدولة على مواطنيها في الخارج بسبب صلة الجنسية - وولاية الدولة خارج الحدود الإقليمية - أي الشروط القانونية التي يمكن أن تُعتبر الدولة في ظلها مسؤولة عن أفعال تؤدى أو تنتج آثاراً خارج حدودها. ولذلك، لا يوجد ما يبرر تأكيد أصحاب البلاغين أن قضية الأطفال المحتجزين في شمال شرق الجمهورية العربية السورية تقع في نطاق اختصاص الدولة الطرف لمجرد أنهم يحملون الجنسية الفرنسية. وعلاوة على ذلك، تلاحظ الدولة الطرف أن هذا النهج من شأنه أن يُحدث تمييزاً لأنه يوفر حماية معززة لمواطني الدولة الطرف الموجودين في الخارج، وهي حماية لا تُمنح لغير المواطنين. </w:t>
      </w:r>
      <w:r w:rsidRPr="00566EBF">
        <w:rPr>
          <w:rtl/>
        </w:rPr>
        <w:lastRenderedPageBreak/>
        <w:t xml:space="preserve">ومن شأن هذا الوضع أن يكون مخالفاً لمنطق نظام الاتفاقية، الذي يهدف إلى حماية جميع الأفراد من انتهاكات الدول الأطراف للاتفاقية، بغض النظر عن جنسيتهم. </w:t>
      </w:r>
    </w:p>
    <w:p w14:paraId="2E47BA14" w14:textId="3BA0E496" w:rsidR="002572A4" w:rsidRPr="00566EBF" w:rsidRDefault="002572A4" w:rsidP="002572A4">
      <w:pPr>
        <w:pStyle w:val="SingleTxtGA"/>
      </w:pPr>
      <w:r w:rsidRPr="000135B5">
        <w:rPr>
          <w:szCs w:val="20"/>
          <w:rtl/>
        </w:rPr>
        <w:t>4</w:t>
      </w:r>
      <w:r w:rsidR="00566EBF">
        <w:rPr>
          <w:rtl/>
        </w:rPr>
        <w:t>-</w:t>
      </w:r>
      <w:r w:rsidRPr="000135B5">
        <w:rPr>
          <w:szCs w:val="20"/>
          <w:rtl/>
        </w:rPr>
        <w:t>8</w:t>
      </w:r>
      <w:r w:rsidRPr="00566EBF">
        <w:rPr>
          <w:rtl/>
        </w:rPr>
        <w:tab/>
        <w:t>وتؤكد الدولة الطرف أن قبول التعليل الذي قدمه أصحاب البلاغين سيكون، بحكم الواقع، بمثابة قبول للولاية القضائية العالمية للدولة، لأن مجرد عدم تصرف الدولة الطرف بناء على طلبهم إعادة الأطفال إلى الوطن من شأنه أن يؤدي إلى توسيع نطاق ولاية فرنسا لتشمل الأطفال المحتجزين في شمال شرق الجمهورية العربية السورية، ويجعل السلطات الفرنسية مسؤولة عن سوء المعاملة التي يُزعم أنهم تعرضوا لها هناك. وترى الدولة الطرف أن هذه الحجة تعني بالتالي أن بإمكان أي مواطن أن يطلب تدخل دولة جنسيته، بسبب الحالة التي يعيشها في إقليم دولة أخرى ذات سيادة، لكي تصبح الدولة الأولى مسؤولة، بسبب رفضها التدخل، عن الانتهاكات المحتملة للاتفاقية التي ترتكب في الدولة الثانية أو من جانب تلك الدولة. وهذا المفهوم يعني أن الدولة تمارس ولايتها القضائية على حالة تحدث في الخارج، ولا تتحكم بها، على أساس أن الانتهاك لا يزال قائما</w:t>
      </w:r>
      <w:r w:rsidR="008D15E3">
        <w:rPr>
          <w:rFonts w:hint="cs"/>
          <w:rtl/>
        </w:rPr>
        <w:t>ً</w:t>
      </w:r>
      <w:r w:rsidRPr="00566EBF">
        <w:rPr>
          <w:rtl/>
        </w:rPr>
        <w:t xml:space="preserve"> بسبب تقاعسها المزعوم. وبحسب هذا النهج، سيكون على الدول التزامات إيجابية بالتدخل ووضع حد لجميع انتهاكات حقوق الطفل المرتكبة في دول أخرى، عندما يُطلب منها ذلك، بما في ذلك عن طريق استخدام الوسائل العسكرية. ومن شأن هذا النهج أن يثير مشاكل خطيرة بموجب القانون الدولي، لأنه من المرجح أن يتعارض مع مبدأ سيادة الدولة التي يُرتكب فيها الانتهاك المزعوم. وعلاوة على ذلك، من المحتمل أن يوسع ذلك نطاق ولاية الدول الأطراف إلى ما يتجاوز ما تعهدت به لدى تصديقها الاتفاقية.</w:t>
      </w:r>
    </w:p>
    <w:p w14:paraId="10BA5E25" w14:textId="77777777" w:rsidR="002572A4" w:rsidRPr="00566EBF" w:rsidRDefault="002572A4" w:rsidP="002572A4">
      <w:pPr>
        <w:pStyle w:val="H23GA"/>
      </w:pPr>
      <w:r w:rsidRPr="00566EBF">
        <w:rPr>
          <w:rtl/>
        </w:rPr>
        <w:tab/>
      </w:r>
      <w:r w:rsidRPr="00566EBF">
        <w:rPr>
          <w:rtl/>
        </w:rPr>
        <w:tab/>
        <w:t>تعليقات أصحاب البلاغين على ملاحظات الدولة الطرف</w:t>
      </w:r>
    </w:p>
    <w:p w14:paraId="58BA72DA" w14:textId="6D752E46" w:rsidR="002572A4" w:rsidRPr="00566EBF" w:rsidRDefault="002572A4" w:rsidP="002572A4">
      <w:pPr>
        <w:pStyle w:val="SingleTxtGA"/>
      </w:pPr>
      <w:r w:rsidRPr="000135B5">
        <w:rPr>
          <w:szCs w:val="20"/>
          <w:rtl/>
        </w:rPr>
        <w:t>5</w:t>
      </w:r>
      <w:r w:rsidR="00566EBF">
        <w:rPr>
          <w:rtl/>
        </w:rPr>
        <w:t>-</w:t>
      </w:r>
      <w:r w:rsidRPr="000135B5">
        <w:rPr>
          <w:szCs w:val="20"/>
          <w:rtl/>
        </w:rPr>
        <w:t>1</w:t>
      </w:r>
      <w:r w:rsidRPr="00566EBF">
        <w:rPr>
          <w:rtl/>
        </w:rPr>
        <w:tab/>
        <w:t xml:space="preserve">في </w:t>
      </w:r>
      <w:r w:rsidRPr="000135B5">
        <w:rPr>
          <w:szCs w:val="20"/>
          <w:rtl/>
        </w:rPr>
        <w:t>28</w:t>
      </w:r>
      <w:r w:rsidRPr="00566EBF">
        <w:rPr>
          <w:rtl/>
        </w:rPr>
        <w:t xml:space="preserve"> آب/أغسطس </w:t>
      </w:r>
      <w:r w:rsidRPr="000135B5">
        <w:rPr>
          <w:szCs w:val="20"/>
          <w:rtl/>
        </w:rPr>
        <w:t>2019</w:t>
      </w:r>
      <w:r w:rsidRPr="00566EBF">
        <w:rPr>
          <w:rtl/>
        </w:rPr>
        <w:t xml:space="preserve"> و</w:t>
      </w:r>
      <w:r w:rsidRPr="000135B5">
        <w:rPr>
          <w:szCs w:val="20"/>
          <w:rtl/>
        </w:rPr>
        <w:t>5</w:t>
      </w:r>
      <w:r w:rsidRPr="00566EBF">
        <w:rPr>
          <w:rtl/>
        </w:rPr>
        <w:t xml:space="preserve"> آذار/مارس </w:t>
      </w:r>
      <w:r w:rsidRPr="000135B5">
        <w:rPr>
          <w:szCs w:val="20"/>
          <w:rtl/>
        </w:rPr>
        <w:t>2020</w:t>
      </w:r>
      <w:r w:rsidRPr="00566EBF">
        <w:rPr>
          <w:rtl/>
        </w:rPr>
        <w:t xml:space="preserve">، قدم أصحاب البلاغين تعليقاتهم رداً على ملاحظات الدولة الطرف. ويذكر أصحاب البلاغين أن المخيمات الثلاثة في شمال الجمهورية العربية السورية لا تزال حتى الآن تحت سيطرة القوات الكردية السورية. ويؤكدون مجدداً أن سبل الانتصاف المحلية قد استنفدت لعدم وجود سبيل انتصاف متاح وفعال من شأنه أن يجبر الدولة الطرف على تنفيذ تدابير الحماية اللازمة. </w:t>
      </w:r>
    </w:p>
    <w:p w14:paraId="03D504FE" w14:textId="20D4C9F6" w:rsidR="002572A4" w:rsidRPr="00566EBF" w:rsidRDefault="002572A4" w:rsidP="002572A4">
      <w:pPr>
        <w:pStyle w:val="SingleTxtGA"/>
      </w:pPr>
      <w:r w:rsidRPr="000135B5">
        <w:rPr>
          <w:szCs w:val="20"/>
          <w:rtl/>
        </w:rPr>
        <w:t>5</w:t>
      </w:r>
      <w:r w:rsidR="00566EBF">
        <w:rPr>
          <w:rtl/>
        </w:rPr>
        <w:t>-</w:t>
      </w:r>
      <w:r w:rsidRPr="000135B5">
        <w:rPr>
          <w:szCs w:val="20"/>
          <w:rtl/>
        </w:rPr>
        <w:t>2</w:t>
      </w:r>
      <w:r w:rsidRPr="00566EBF">
        <w:rPr>
          <w:rtl/>
        </w:rPr>
        <w:tab/>
        <w:t xml:space="preserve">ويذكّر أصحاب البلاغين بأنه يجوز، وفقاً للمادة </w:t>
      </w:r>
      <w:r w:rsidRPr="000135B5">
        <w:rPr>
          <w:szCs w:val="20"/>
          <w:rtl/>
        </w:rPr>
        <w:t>5</w:t>
      </w:r>
      <w:r w:rsidRPr="00566EBF">
        <w:rPr>
          <w:rtl/>
        </w:rPr>
        <w:t xml:space="preserve"> من البروتوكول الاختياري، تقديم البلاغات من قبل فرد أو مجموعة من الأفراد أو بالنيابة عنه(م). وأصحاب البلاغين هم الأسلاف المباشرين للأطفال (الأجداد). والموافقة التي تحتج بها الدولة الطرف ليست معياراً واضحاً لا من أحكام اللجنة ولا من أي حكم في الاتفاقية. ومن شأن ذلك أن يجعل من المستحيل عملياً تطبيق الاتفاقية على الأطفال المنفصلين في منطقة نزاع. بل على العكس من ذلك، تنص المادة </w:t>
      </w:r>
      <w:r w:rsidRPr="000135B5">
        <w:rPr>
          <w:szCs w:val="20"/>
          <w:rtl/>
        </w:rPr>
        <w:t>5</w:t>
      </w:r>
      <w:r w:rsidRPr="00566EBF">
        <w:rPr>
          <w:rtl/>
        </w:rPr>
        <w:t>(</w:t>
      </w:r>
      <w:r w:rsidRPr="000135B5">
        <w:rPr>
          <w:szCs w:val="20"/>
          <w:rtl/>
        </w:rPr>
        <w:t>2</w:t>
      </w:r>
      <w:r w:rsidRPr="00566EBF">
        <w:rPr>
          <w:rtl/>
        </w:rPr>
        <w:t>) من البروتوكول الاختياري على أن البلاغات المقدمة نيابة عن الأفراد تكون بموافقتهم ما لم يكن بوسع صاحب البلاغ أن يبرر التصرف نيابة عنهم دون الحصول على هذه الموافقة. وفي هذه القضية، يتعلق البلاغان بأطفال تتراوح أعمارهم بين سنتين و</w:t>
      </w:r>
      <w:r w:rsidRPr="000135B5">
        <w:rPr>
          <w:szCs w:val="20"/>
          <w:rtl/>
        </w:rPr>
        <w:t>16</w:t>
      </w:r>
      <w:r w:rsidRPr="00566EBF">
        <w:rPr>
          <w:rtl/>
        </w:rPr>
        <w:t xml:space="preserve"> سنة ولا يستطيعون فهم الخطر الذي يتعرضون له، ولا يمكنهم، بأي</w:t>
      </w:r>
      <w:r w:rsidR="001C46E4">
        <w:rPr>
          <w:rFonts w:hint="cs"/>
          <w:rtl/>
        </w:rPr>
        <w:t> </w:t>
      </w:r>
      <w:r w:rsidRPr="00566EBF">
        <w:rPr>
          <w:rtl/>
        </w:rPr>
        <w:t xml:space="preserve">حال من الأحوال، إبداء رأي أو إعطاء موافقة. وبالإضافة إلى ذلك، لا يمكن لهؤلاء الأطفال تقديم موافقتهم الملموسة إلى اللجنة لافتقارهم إلى أي وسيلة اتصال (هاتف ذكي أو حاسوب أو حتى ورقة). غير أن الأمهات قد منحن، من خلال مكالمات هاتفية، موافقتهن على تقديم البلاغين. وأخيراً، يجب تقييم المقبولية أساساً على أساس مصلحة الطفل الفضلى، ومن الواضح أن هذين البلاغين يخدمان مصالح الأطفال الفضلى لأن الهدف هو إنهاء احتجازهم في ظروف مزرية تهدد حياتهم. </w:t>
      </w:r>
    </w:p>
    <w:p w14:paraId="1E2D380D" w14:textId="7B9DC589" w:rsidR="002572A4" w:rsidRPr="00566EBF" w:rsidRDefault="002572A4" w:rsidP="002572A4">
      <w:pPr>
        <w:pStyle w:val="SingleTxtGA"/>
      </w:pPr>
      <w:r w:rsidRPr="000135B5">
        <w:rPr>
          <w:szCs w:val="20"/>
          <w:rtl/>
        </w:rPr>
        <w:t>5</w:t>
      </w:r>
      <w:r w:rsidR="00566EBF">
        <w:rPr>
          <w:rtl/>
        </w:rPr>
        <w:t>-</w:t>
      </w:r>
      <w:r w:rsidRPr="000135B5">
        <w:rPr>
          <w:szCs w:val="20"/>
          <w:rtl/>
        </w:rPr>
        <w:t>3</w:t>
      </w:r>
      <w:r w:rsidRPr="00566EBF">
        <w:rPr>
          <w:rtl/>
        </w:rPr>
        <w:tab/>
        <w:t xml:space="preserve">وفيما يتعلق بالبلاغ رقم </w:t>
      </w:r>
      <w:r w:rsidR="00994502">
        <w:rPr>
          <w:rFonts w:hint="cs"/>
          <w:szCs w:val="20"/>
          <w:rtl/>
        </w:rPr>
        <w:t>79</w:t>
      </w:r>
      <w:r w:rsidRPr="00566EBF">
        <w:rPr>
          <w:rtl/>
        </w:rPr>
        <w:t>/</w:t>
      </w:r>
      <w:r w:rsidR="00994502">
        <w:rPr>
          <w:rFonts w:hint="cs"/>
          <w:szCs w:val="20"/>
          <w:rtl/>
        </w:rPr>
        <w:t>2019</w:t>
      </w:r>
      <w:r w:rsidRPr="00566EBF">
        <w:rPr>
          <w:rtl/>
        </w:rPr>
        <w:t xml:space="preserve">، يذكِّر صاحبا البلاغ بأن تقديم الأمهات لسجل عائلي للحالة المدنية لتصديق بنوتهن للأطفال ليس شرطاً رسمياً لإثبات البنوة بين الأطفال وآبائهم. ومع ذلك، </w:t>
      </w:r>
      <w:r w:rsidRPr="00566EBF">
        <w:rPr>
          <w:rtl/>
        </w:rPr>
        <w:lastRenderedPageBreak/>
        <w:t xml:space="preserve">يقدم صاحبا هذا البلاغ سجلات الأسرة التي تثبت علاقتهما بكل من م. أ.، </w:t>
      </w:r>
      <w:proofErr w:type="spellStart"/>
      <w:r w:rsidRPr="00566EBF">
        <w:rPr>
          <w:rtl/>
        </w:rPr>
        <w:t>وأ</w:t>
      </w:r>
      <w:proofErr w:type="spellEnd"/>
      <w:r w:rsidRPr="00566EBF">
        <w:rPr>
          <w:rtl/>
        </w:rPr>
        <w:t>.</w:t>
      </w:r>
      <w:r w:rsidRPr="00566EBF">
        <w:rPr>
          <w:rFonts w:hint="cs"/>
          <w:rtl/>
        </w:rPr>
        <w:t> </w:t>
      </w:r>
      <w:r w:rsidRPr="00566EBF">
        <w:rPr>
          <w:rtl/>
        </w:rPr>
        <w:t>أ</w:t>
      </w:r>
      <w:r w:rsidRPr="00566EBF">
        <w:rPr>
          <w:rFonts w:hint="cs"/>
          <w:rtl/>
        </w:rPr>
        <w:t>.</w:t>
      </w:r>
      <w:r w:rsidRPr="00566EBF">
        <w:rPr>
          <w:rtl/>
        </w:rPr>
        <w:t xml:space="preserve">، </w:t>
      </w:r>
      <w:proofErr w:type="spellStart"/>
      <w:r w:rsidRPr="00566EBF">
        <w:rPr>
          <w:rtl/>
        </w:rPr>
        <w:t>وج.أ</w:t>
      </w:r>
      <w:proofErr w:type="spellEnd"/>
      <w:r w:rsidRPr="00566EBF">
        <w:rPr>
          <w:rtl/>
        </w:rPr>
        <w:t xml:space="preserve">.، </w:t>
      </w:r>
      <w:proofErr w:type="spellStart"/>
      <w:r w:rsidRPr="00566EBF">
        <w:rPr>
          <w:rtl/>
        </w:rPr>
        <w:t>وأ</w:t>
      </w:r>
      <w:proofErr w:type="spellEnd"/>
      <w:r w:rsidRPr="00566EBF">
        <w:rPr>
          <w:rtl/>
        </w:rPr>
        <w:t>.</w:t>
      </w:r>
      <w:r w:rsidRPr="00566EBF">
        <w:rPr>
          <w:rFonts w:hint="cs"/>
          <w:rtl/>
        </w:rPr>
        <w:t> </w:t>
      </w:r>
      <w:r w:rsidRPr="00566EBF">
        <w:rPr>
          <w:rtl/>
        </w:rPr>
        <w:t>أ.، ور.</w:t>
      </w:r>
      <w:r w:rsidRPr="00566EBF">
        <w:rPr>
          <w:rFonts w:hint="cs"/>
          <w:rtl/>
        </w:rPr>
        <w:t> </w:t>
      </w:r>
      <w:r w:rsidRPr="00566EBF">
        <w:rPr>
          <w:rtl/>
        </w:rPr>
        <w:t xml:space="preserve">أ.، </w:t>
      </w:r>
      <w:proofErr w:type="spellStart"/>
      <w:r w:rsidRPr="00566EBF">
        <w:rPr>
          <w:rtl/>
        </w:rPr>
        <w:t>وس</w:t>
      </w:r>
      <w:proofErr w:type="spellEnd"/>
      <w:r w:rsidRPr="00566EBF">
        <w:rPr>
          <w:rtl/>
        </w:rPr>
        <w:t>. </w:t>
      </w:r>
      <w:proofErr w:type="gramStart"/>
      <w:r w:rsidRPr="00566EBF">
        <w:rPr>
          <w:rtl/>
        </w:rPr>
        <w:t>ه..</w:t>
      </w:r>
      <w:proofErr w:type="gramEnd"/>
    </w:p>
    <w:p w14:paraId="47CC11E8" w14:textId="0E6C4EF9" w:rsidR="002572A4" w:rsidRPr="00566EBF" w:rsidRDefault="002572A4" w:rsidP="002572A4">
      <w:pPr>
        <w:pStyle w:val="SingleTxtGA"/>
      </w:pPr>
      <w:r w:rsidRPr="000135B5">
        <w:rPr>
          <w:szCs w:val="20"/>
          <w:rtl/>
        </w:rPr>
        <w:t>5</w:t>
      </w:r>
      <w:r w:rsidR="00566EBF">
        <w:rPr>
          <w:rtl/>
        </w:rPr>
        <w:t>-</w:t>
      </w:r>
      <w:r w:rsidRPr="000135B5">
        <w:rPr>
          <w:szCs w:val="20"/>
          <w:rtl/>
        </w:rPr>
        <w:t>4</w:t>
      </w:r>
      <w:r w:rsidRPr="00566EBF">
        <w:rPr>
          <w:rtl/>
        </w:rPr>
        <w:tab/>
        <w:t xml:space="preserve">وفيما يتعلق بالولاية القضائية للدولة الطرف، يؤكد أصحاب البلاغين أن الدولة الطرف لم ترفض طلب الإعادة إلى الوطن فحسب، بل رفضت أيضاً وضع حد لحالة الانتهاكات الجسيمة للحقوق الأساسية للقُصَّر الفرنسيين رغم الإخطارات المتعددة بشأن هذه المسألة. </w:t>
      </w:r>
    </w:p>
    <w:p w14:paraId="7AD7BA2F" w14:textId="480407C4" w:rsidR="002572A4" w:rsidRPr="00566EBF" w:rsidRDefault="002572A4" w:rsidP="002572A4">
      <w:pPr>
        <w:pStyle w:val="SingleTxtGA"/>
      </w:pPr>
      <w:r w:rsidRPr="000135B5">
        <w:rPr>
          <w:szCs w:val="20"/>
          <w:rtl/>
        </w:rPr>
        <w:t>5</w:t>
      </w:r>
      <w:r w:rsidR="00566EBF">
        <w:rPr>
          <w:rtl/>
        </w:rPr>
        <w:t>-</w:t>
      </w:r>
      <w:r w:rsidRPr="000135B5">
        <w:rPr>
          <w:szCs w:val="20"/>
          <w:rtl/>
        </w:rPr>
        <w:t>5</w:t>
      </w:r>
      <w:r w:rsidRPr="00566EBF">
        <w:rPr>
          <w:rtl/>
        </w:rPr>
        <w:tab/>
        <w:t xml:space="preserve">في </w:t>
      </w:r>
      <w:r w:rsidRPr="000135B5">
        <w:rPr>
          <w:szCs w:val="20"/>
          <w:rtl/>
        </w:rPr>
        <w:t>26</w:t>
      </w:r>
      <w:r w:rsidRPr="00566EBF">
        <w:rPr>
          <w:rtl/>
        </w:rPr>
        <w:t xml:space="preserve"> أيلول/سبتمبر </w:t>
      </w:r>
      <w:r w:rsidRPr="000135B5">
        <w:rPr>
          <w:szCs w:val="20"/>
          <w:rtl/>
        </w:rPr>
        <w:t>2019</w:t>
      </w:r>
      <w:r w:rsidRPr="00566EBF">
        <w:rPr>
          <w:rtl/>
        </w:rPr>
        <w:t xml:space="preserve">، قدم أصحاب البلاغ رقم </w:t>
      </w:r>
      <w:r w:rsidR="00994502">
        <w:rPr>
          <w:rFonts w:hint="cs"/>
          <w:szCs w:val="20"/>
          <w:rtl/>
        </w:rPr>
        <w:t>79</w:t>
      </w:r>
      <w:r w:rsidRPr="00566EBF">
        <w:rPr>
          <w:rtl/>
        </w:rPr>
        <w:t>/</w:t>
      </w:r>
      <w:r w:rsidR="00994502">
        <w:rPr>
          <w:rFonts w:hint="cs"/>
          <w:szCs w:val="20"/>
          <w:rtl/>
        </w:rPr>
        <w:t>2019</w:t>
      </w:r>
      <w:r w:rsidRPr="00566EBF">
        <w:rPr>
          <w:rtl/>
        </w:rPr>
        <w:t xml:space="preserve"> تقريراً اعتمدته اللجنة الوطنية الاستشارية لحقوق الإنسان في جلسة عامة. وخلصت هذه اللجنة إلى أن استمرار رفض إعادة جميع الأطفال من الجنسية الفرنسية المحتجزين في مخيمات روج </w:t>
      </w:r>
      <w:proofErr w:type="spellStart"/>
      <w:r w:rsidRPr="00566EBF">
        <w:rPr>
          <w:rtl/>
        </w:rPr>
        <w:t>آفا</w:t>
      </w:r>
      <w:proofErr w:type="spellEnd"/>
      <w:r w:rsidRPr="00566EBF">
        <w:rPr>
          <w:rtl/>
        </w:rPr>
        <w:t xml:space="preserve"> إلى وطنهم سيشكل انتهاكاً واضحاً للحقوق الأساسية واعتداءً خطيراً على قيم الجمهورية الفرنسية، بما في ذلك دستورها، وعلى المصالح الفضلى للأطفال. ولذلك، طلبت اللجنة إلى الدولة الطرف أن تعيد الأطفال وأي آباء أو أمهات يوجدون معهم حالياً إلى الأراضي الفرنسية في أقرب وقت ممكن. </w:t>
      </w:r>
    </w:p>
    <w:p w14:paraId="410E9329" w14:textId="77777777" w:rsidR="002572A4" w:rsidRPr="00566EBF" w:rsidRDefault="002572A4" w:rsidP="002572A4">
      <w:pPr>
        <w:pStyle w:val="H23GA"/>
      </w:pPr>
      <w:r w:rsidRPr="00566EBF">
        <w:rPr>
          <w:rtl/>
        </w:rPr>
        <w:tab/>
      </w:r>
      <w:r w:rsidRPr="00566EBF">
        <w:rPr>
          <w:rtl/>
        </w:rPr>
        <w:tab/>
        <w:t>ملاحظات إضافية من الدولة الطرف</w:t>
      </w:r>
    </w:p>
    <w:p w14:paraId="67306FEC" w14:textId="266E1381" w:rsidR="002572A4" w:rsidRPr="00566EBF" w:rsidRDefault="002572A4" w:rsidP="002572A4">
      <w:pPr>
        <w:pStyle w:val="SingleTxtGA"/>
      </w:pPr>
      <w:r w:rsidRPr="000135B5">
        <w:rPr>
          <w:szCs w:val="20"/>
          <w:rtl/>
        </w:rPr>
        <w:t>6</w:t>
      </w:r>
      <w:r w:rsidRPr="00566EBF">
        <w:rPr>
          <w:rtl/>
        </w:rPr>
        <w:t>-</w:t>
      </w:r>
      <w:r w:rsidRPr="00566EBF">
        <w:rPr>
          <w:rtl/>
        </w:rPr>
        <w:tab/>
        <w:t xml:space="preserve">أبلغت الدولة الطرف اللجنة، في رسالتها الصادرة في </w:t>
      </w:r>
      <w:r w:rsidRPr="000135B5">
        <w:rPr>
          <w:szCs w:val="20"/>
          <w:rtl/>
        </w:rPr>
        <w:t>17</w:t>
      </w:r>
      <w:r w:rsidRPr="00566EBF">
        <w:rPr>
          <w:rtl/>
        </w:rPr>
        <w:t xml:space="preserve"> كانون الأول/ديسمبر </w:t>
      </w:r>
      <w:r w:rsidRPr="000135B5">
        <w:rPr>
          <w:szCs w:val="20"/>
          <w:rtl/>
        </w:rPr>
        <w:t>2019</w:t>
      </w:r>
      <w:r w:rsidRPr="00566EBF">
        <w:rPr>
          <w:rtl/>
        </w:rPr>
        <w:t xml:space="preserve">، والمتعلقة بالبلاغ رقم </w:t>
      </w:r>
      <w:r w:rsidR="00994502">
        <w:rPr>
          <w:rFonts w:hint="cs"/>
          <w:szCs w:val="20"/>
          <w:rtl/>
        </w:rPr>
        <w:t>79</w:t>
      </w:r>
      <w:r w:rsidRPr="00566EBF">
        <w:rPr>
          <w:rtl/>
        </w:rPr>
        <w:t>/</w:t>
      </w:r>
      <w:r w:rsidR="00994502">
        <w:rPr>
          <w:rFonts w:hint="cs"/>
          <w:szCs w:val="20"/>
          <w:rtl/>
        </w:rPr>
        <w:t>2019</w:t>
      </w:r>
      <w:r w:rsidRPr="00566EBF">
        <w:rPr>
          <w:rtl/>
        </w:rPr>
        <w:t xml:space="preserve">، بأن س. ه. ووالدته قد خضعا في </w:t>
      </w:r>
      <w:r w:rsidRPr="000135B5">
        <w:rPr>
          <w:szCs w:val="20"/>
          <w:rtl/>
        </w:rPr>
        <w:t>9</w:t>
      </w:r>
      <w:r w:rsidRPr="00566EBF">
        <w:rPr>
          <w:rtl/>
        </w:rPr>
        <w:t xml:space="preserve"> كانون الأول/ديسمبر </w:t>
      </w:r>
      <w:r w:rsidRPr="000135B5">
        <w:rPr>
          <w:szCs w:val="20"/>
          <w:rtl/>
        </w:rPr>
        <w:t>2019</w:t>
      </w:r>
      <w:r w:rsidRPr="00566EBF">
        <w:rPr>
          <w:rtl/>
        </w:rPr>
        <w:t xml:space="preserve"> لعملية طرد إداري من جانب السلطات التركية إلى فرنسا. وأصدرت السلطة القضائية المختصة قرارا</w:t>
      </w:r>
      <w:r w:rsidR="008D15E3">
        <w:rPr>
          <w:rFonts w:hint="cs"/>
          <w:rtl/>
        </w:rPr>
        <w:t>ً</w:t>
      </w:r>
      <w:r w:rsidRPr="00566EBF">
        <w:rPr>
          <w:rtl/>
        </w:rPr>
        <w:t xml:space="preserve"> بإيداع س. ه.، لدى وصوله إلى فرنسا، لدى مكتب الرعاية الاجتماعية للأطفال. ونتيجة لذلك، لم</w:t>
      </w:r>
      <w:r w:rsidR="001C46E4">
        <w:rPr>
          <w:rFonts w:hint="cs"/>
          <w:rtl/>
        </w:rPr>
        <w:t> </w:t>
      </w:r>
      <w:r w:rsidRPr="00566EBF">
        <w:rPr>
          <w:rtl/>
        </w:rPr>
        <w:t xml:space="preserve">يعد س. ه. محتجزاً في مخيم تسيطر عليه قوات سوريا الديمقراطية، ولم يعد يتعرض لانتهاكات مزعومة للحقوق المنصوص عليها في الاتفاقية. ولذلك تطلب الدولة الطرف إلى اللجنة أن تعلن عدم مقبولية البلاغ المتعلق ب س. ه. الذي يبدو واضحاً أن قضيته لا تستند إلى أساس سليم بموجب المادة </w:t>
      </w:r>
      <w:r w:rsidRPr="000135B5">
        <w:rPr>
          <w:szCs w:val="20"/>
          <w:rtl/>
        </w:rPr>
        <w:t>7</w:t>
      </w:r>
      <w:r w:rsidRPr="00566EBF">
        <w:rPr>
          <w:rtl/>
        </w:rPr>
        <w:t>(و) من البروتوكول الاختياري للاتفاقية.</w:t>
      </w:r>
    </w:p>
    <w:p w14:paraId="48429D61" w14:textId="77777777" w:rsidR="002572A4" w:rsidRPr="00566EBF" w:rsidRDefault="002572A4" w:rsidP="002572A4">
      <w:pPr>
        <w:pStyle w:val="H23GA"/>
      </w:pPr>
      <w:r w:rsidRPr="00566EBF">
        <w:rPr>
          <w:rtl/>
        </w:rPr>
        <w:tab/>
      </w:r>
      <w:r w:rsidRPr="00566EBF">
        <w:rPr>
          <w:rtl/>
        </w:rPr>
        <w:tab/>
        <w:t>ملاحظات إضافية من أصحاب البلاغين</w:t>
      </w:r>
    </w:p>
    <w:p w14:paraId="3E9C7A9D" w14:textId="6F61B402" w:rsidR="002572A4" w:rsidRPr="001C46E4" w:rsidRDefault="002572A4" w:rsidP="001C46E4">
      <w:pPr>
        <w:pStyle w:val="SingleTxtGA"/>
        <w:spacing w:after="100" w:line="358" w:lineRule="exact"/>
        <w:rPr>
          <w:spacing w:val="-2"/>
        </w:rPr>
      </w:pPr>
      <w:r w:rsidRPr="001C46E4">
        <w:rPr>
          <w:spacing w:val="-2"/>
          <w:szCs w:val="20"/>
          <w:rtl/>
        </w:rPr>
        <w:t>7</w:t>
      </w:r>
      <w:r w:rsidRPr="001C46E4">
        <w:rPr>
          <w:spacing w:val="-2"/>
          <w:rtl/>
        </w:rPr>
        <w:t>-</w:t>
      </w:r>
      <w:r w:rsidRPr="001C46E4">
        <w:rPr>
          <w:spacing w:val="-2"/>
          <w:rtl/>
        </w:rPr>
        <w:tab/>
        <w:t xml:space="preserve">يحتج أصحاب البلاغين، في رسالتهم المقدمة في </w:t>
      </w:r>
      <w:r w:rsidRPr="001C46E4">
        <w:rPr>
          <w:spacing w:val="-2"/>
          <w:szCs w:val="20"/>
          <w:rtl/>
        </w:rPr>
        <w:t>20</w:t>
      </w:r>
      <w:r w:rsidRPr="001C46E4">
        <w:rPr>
          <w:spacing w:val="-2"/>
          <w:rtl/>
        </w:rPr>
        <w:t xml:space="preserve"> تموز/يوليه </w:t>
      </w:r>
      <w:r w:rsidRPr="001C46E4">
        <w:rPr>
          <w:spacing w:val="-2"/>
          <w:szCs w:val="20"/>
          <w:rtl/>
        </w:rPr>
        <w:t>2020</w:t>
      </w:r>
      <w:r w:rsidRPr="001C46E4">
        <w:rPr>
          <w:spacing w:val="-2"/>
          <w:rtl/>
        </w:rPr>
        <w:t xml:space="preserve"> بشأن البلاغ رقم</w:t>
      </w:r>
      <w:r w:rsidR="001C46E4" w:rsidRPr="001C46E4">
        <w:rPr>
          <w:rFonts w:hint="cs"/>
          <w:spacing w:val="-2"/>
          <w:rtl/>
        </w:rPr>
        <w:t> </w:t>
      </w:r>
      <w:r w:rsidR="001C46E4" w:rsidRPr="001C46E4">
        <w:rPr>
          <w:rFonts w:hint="cs"/>
          <w:spacing w:val="-2"/>
          <w:szCs w:val="20"/>
          <w:rtl/>
        </w:rPr>
        <w:t>79</w:t>
      </w:r>
      <w:r w:rsidRPr="001C46E4">
        <w:rPr>
          <w:spacing w:val="-2"/>
          <w:rtl/>
        </w:rPr>
        <w:t>/</w:t>
      </w:r>
      <w:r w:rsidR="001C46E4" w:rsidRPr="001C46E4">
        <w:rPr>
          <w:rFonts w:hint="cs"/>
          <w:spacing w:val="-2"/>
          <w:szCs w:val="20"/>
          <w:rtl/>
        </w:rPr>
        <w:t>2019</w:t>
      </w:r>
      <w:r w:rsidRPr="001C46E4">
        <w:rPr>
          <w:spacing w:val="-2"/>
          <w:rtl/>
        </w:rPr>
        <w:t xml:space="preserve">، بأنه لا ينبغي إعلان عدم مقبولية البلاغ فيما يتعلق ب س. ه. ويدفعون بأن س. ه. احتُجز تعسفياً لمدة سنتين تقريباً في مخيم عين عيسى، في ظروف أثرت على سلامته النفسية والبدنية، دون اتخاذ الدولة الطرف أي تدابير لحماية هذا الشخص، رغم الطلبات المتعددة التي قدمتها أسرته. ثم طردت القوات الكردية والدته من مخيم عين عيسى واضطرا إلى الاختباء من الجماعات المسلحة الأخرى. وتمكنا في نهاية المطاف من الفرار إلى تركيا. وعندئذ فقط قبلت الدولة الطرف إعادتهما إلى فرنسا، وفقاً ل "بروتوكول </w:t>
      </w:r>
      <w:proofErr w:type="spellStart"/>
      <w:r w:rsidRPr="001C46E4">
        <w:rPr>
          <w:spacing w:val="-2"/>
          <w:rtl/>
        </w:rPr>
        <w:t>كازينوف</w:t>
      </w:r>
      <w:proofErr w:type="spellEnd"/>
      <w:r w:rsidRPr="001C46E4">
        <w:rPr>
          <w:spacing w:val="-2"/>
          <w:rtl/>
        </w:rPr>
        <w:t xml:space="preserve">"، الذي ينص على وجوب تسليم الرعايا الفرنسيين الذين يُعتقلون في تركيا لدى عودتهم من الجمهورية العربية السورية إلى السلطات الفرنسية. ووفقاً لأصحاب البلاغين، لا يمكن للدولة الطرف أن تحتج بعدم مقبولية البلاغ في هذا الصدد لأن السلطات التركية أجبرت فرنسا على إعادة س. ه إلى الوطن. ولا تزال الآثار الناجمة عن انتهاكات الاتفاقية قائمة، ويطلب أصحاب البلاغين من اللجنة أن تعلن أن المواد </w:t>
      </w:r>
      <w:r w:rsidRPr="001C46E4">
        <w:rPr>
          <w:spacing w:val="-2"/>
          <w:szCs w:val="20"/>
          <w:rtl/>
        </w:rPr>
        <w:t>2</w:t>
      </w:r>
      <w:r w:rsidRPr="001C46E4">
        <w:rPr>
          <w:spacing w:val="-2"/>
          <w:rtl/>
        </w:rPr>
        <w:t xml:space="preserve"> و</w:t>
      </w:r>
      <w:r w:rsidRPr="001C46E4">
        <w:rPr>
          <w:spacing w:val="-2"/>
          <w:szCs w:val="20"/>
          <w:rtl/>
        </w:rPr>
        <w:t>3</w:t>
      </w:r>
      <w:r w:rsidRPr="001C46E4">
        <w:rPr>
          <w:spacing w:val="-2"/>
          <w:rtl/>
        </w:rPr>
        <w:t xml:space="preserve"> و</w:t>
      </w:r>
      <w:r w:rsidRPr="001C46E4">
        <w:rPr>
          <w:spacing w:val="-2"/>
          <w:szCs w:val="20"/>
          <w:rtl/>
        </w:rPr>
        <w:t>6</w:t>
      </w:r>
      <w:r w:rsidRPr="001C46E4">
        <w:rPr>
          <w:spacing w:val="-2"/>
          <w:rtl/>
        </w:rPr>
        <w:t xml:space="preserve"> و</w:t>
      </w:r>
      <w:r w:rsidRPr="001C46E4">
        <w:rPr>
          <w:spacing w:val="-2"/>
          <w:szCs w:val="20"/>
          <w:rtl/>
        </w:rPr>
        <w:t>20</w:t>
      </w:r>
      <w:r w:rsidRPr="001C46E4">
        <w:rPr>
          <w:spacing w:val="-2"/>
          <w:rtl/>
        </w:rPr>
        <w:t xml:space="preserve"> و</w:t>
      </w:r>
      <w:r w:rsidRPr="001C46E4">
        <w:rPr>
          <w:spacing w:val="-2"/>
          <w:szCs w:val="20"/>
          <w:rtl/>
        </w:rPr>
        <w:t>24</w:t>
      </w:r>
      <w:r w:rsidRPr="001C46E4">
        <w:rPr>
          <w:spacing w:val="-2"/>
          <w:rtl/>
        </w:rPr>
        <w:t xml:space="preserve"> و</w:t>
      </w:r>
      <w:r w:rsidRPr="001C46E4">
        <w:rPr>
          <w:spacing w:val="-2"/>
          <w:szCs w:val="20"/>
          <w:rtl/>
        </w:rPr>
        <w:t>37</w:t>
      </w:r>
      <w:r w:rsidRPr="001C46E4">
        <w:rPr>
          <w:spacing w:val="-2"/>
          <w:rtl/>
        </w:rPr>
        <w:t xml:space="preserve"> مقبولة فيما يتعلق ب</w:t>
      </w:r>
      <w:r w:rsidR="001C46E4">
        <w:rPr>
          <w:rFonts w:hint="cs"/>
          <w:spacing w:val="-2"/>
          <w:rtl/>
        </w:rPr>
        <w:t>‍ </w:t>
      </w:r>
      <w:r w:rsidRPr="001C46E4">
        <w:rPr>
          <w:spacing w:val="-2"/>
          <w:rtl/>
        </w:rPr>
        <w:t>س. </w:t>
      </w:r>
      <w:proofErr w:type="gramStart"/>
      <w:r w:rsidRPr="001C46E4">
        <w:rPr>
          <w:spacing w:val="-2"/>
          <w:rtl/>
        </w:rPr>
        <w:t>ه..</w:t>
      </w:r>
      <w:proofErr w:type="gramEnd"/>
    </w:p>
    <w:p w14:paraId="1418B3DA" w14:textId="77777777" w:rsidR="002572A4" w:rsidRPr="00566EBF" w:rsidRDefault="002572A4" w:rsidP="002572A4">
      <w:pPr>
        <w:pStyle w:val="H23GA"/>
      </w:pPr>
      <w:r w:rsidRPr="00566EBF">
        <w:rPr>
          <w:rtl/>
        </w:rPr>
        <w:lastRenderedPageBreak/>
        <w:tab/>
      </w:r>
      <w:r w:rsidRPr="00566EBF">
        <w:rPr>
          <w:rtl/>
        </w:rPr>
        <w:tab/>
        <w:t>ورقات معلومات مقدمة من أطراف ثالثة</w:t>
      </w:r>
    </w:p>
    <w:p w14:paraId="12B86B5E" w14:textId="6A2C5000" w:rsidR="002572A4" w:rsidRPr="00566EBF" w:rsidRDefault="002572A4" w:rsidP="001C46E4">
      <w:pPr>
        <w:pStyle w:val="SingleTxtGA"/>
        <w:spacing w:after="100" w:line="358" w:lineRule="exact"/>
      </w:pPr>
      <w:r w:rsidRPr="000135B5">
        <w:rPr>
          <w:szCs w:val="20"/>
          <w:rtl/>
        </w:rPr>
        <w:t>8</w:t>
      </w:r>
      <w:r w:rsidR="00566EBF">
        <w:rPr>
          <w:rtl/>
        </w:rPr>
        <w:t>-</w:t>
      </w:r>
      <w:r w:rsidRPr="000135B5">
        <w:rPr>
          <w:szCs w:val="20"/>
          <w:rtl/>
        </w:rPr>
        <w:t>1</w:t>
      </w:r>
      <w:r w:rsidRPr="00566EBF">
        <w:rPr>
          <w:rtl/>
        </w:rPr>
        <w:tab/>
        <w:t>بناء على دعوة اللجنة، قدم ثلاثة خبراء</w:t>
      </w:r>
      <w:r w:rsidR="000135B5" w:rsidRPr="000135B5">
        <w:rPr>
          <w:vertAlign w:val="superscript"/>
          <w:rtl/>
        </w:rPr>
        <w:t>(</w:t>
      </w:r>
      <w:r w:rsidR="000135B5" w:rsidRPr="000135B5">
        <w:rPr>
          <w:rFonts w:cs="Times New Roman"/>
          <w:position w:val="4"/>
          <w:vertAlign w:val="superscript"/>
        </w:rPr>
        <w:footnoteReference w:id="32"/>
      </w:r>
      <w:r w:rsidR="000135B5" w:rsidRPr="000135B5">
        <w:rPr>
          <w:vertAlign w:val="superscript"/>
          <w:rtl/>
        </w:rPr>
        <w:t>)</w:t>
      </w:r>
      <w:r w:rsidRPr="00566EBF">
        <w:rPr>
          <w:rtl/>
        </w:rPr>
        <w:t xml:space="preserve"> من الاتحاد المعني بالالتزامات خارج نطاق الولاية القضائية وفريق من </w:t>
      </w:r>
      <w:r w:rsidRPr="000135B5">
        <w:rPr>
          <w:szCs w:val="20"/>
          <w:rtl/>
        </w:rPr>
        <w:t>31</w:t>
      </w:r>
      <w:r w:rsidRPr="00566EBF">
        <w:rPr>
          <w:rtl/>
        </w:rPr>
        <w:t xml:space="preserve"> خبيراً من جامعات مختلفة مداخلة طرف ثالث في </w:t>
      </w:r>
      <w:r w:rsidRPr="000135B5">
        <w:rPr>
          <w:szCs w:val="20"/>
          <w:rtl/>
        </w:rPr>
        <w:t>10</w:t>
      </w:r>
      <w:r w:rsidRPr="00566EBF">
        <w:rPr>
          <w:rtl/>
        </w:rPr>
        <w:t xml:space="preserve"> حزيران/يونيه </w:t>
      </w:r>
      <w:r w:rsidRPr="000135B5">
        <w:rPr>
          <w:szCs w:val="20"/>
          <w:rtl/>
        </w:rPr>
        <w:t>2020</w:t>
      </w:r>
      <w:r w:rsidRPr="00566EBF">
        <w:rPr>
          <w:rtl/>
        </w:rPr>
        <w:t xml:space="preserve"> بشأن مسألة الالتزامات المتعلقة بحقوق الإنسان خارج الحدود الإقليمية. </w:t>
      </w:r>
    </w:p>
    <w:p w14:paraId="47FBBF54" w14:textId="77777777" w:rsidR="002572A4" w:rsidRPr="00566EBF" w:rsidRDefault="002572A4" w:rsidP="002572A4">
      <w:pPr>
        <w:pStyle w:val="H4GA"/>
      </w:pPr>
      <w:r w:rsidRPr="00566EBF">
        <w:rPr>
          <w:rtl/>
        </w:rPr>
        <w:tab/>
      </w:r>
      <w:r w:rsidRPr="00566EBF">
        <w:rPr>
          <w:rtl/>
        </w:rPr>
        <w:tab/>
        <w:t>ورقة معلومات مقدمة من الاتحاد المعني بالالتزامات خارج نطاق الولاية القضائية</w:t>
      </w:r>
    </w:p>
    <w:p w14:paraId="1FE7CC9D" w14:textId="6FBFDA21" w:rsidR="002572A4" w:rsidRPr="00566EBF" w:rsidRDefault="002572A4" w:rsidP="001C46E4">
      <w:pPr>
        <w:pStyle w:val="SingleTxtGA"/>
        <w:spacing w:after="100" w:line="358" w:lineRule="exact"/>
      </w:pPr>
      <w:r w:rsidRPr="000135B5">
        <w:rPr>
          <w:szCs w:val="20"/>
          <w:rtl/>
        </w:rPr>
        <w:t>8</w:t>
      </w:r>
      <w:r w:rsidR="00566EBF">
        <w:rPr>
          <w:rtl/>
        </w:rPr>
        <w:t>-</w:t>
      </w:r>
      <w:r w:rsidRPr="000135B5">
        <w:rPr>
          <w:szCs w:val="20"/>
          <w:rtl/>
        </w:rPr>
        <w:t>2</w:t>
      </w:r>
      <w:r w:rsidRPr="00566EBF">
        <w:rPr>
          <w:rtl/>
        </w:rPr>
        <w:tab/>
        <w:t>وأشار الخبراء أولاً إلى مبادئ ماسترخت بشأن التزامات الدول خارج حدودها الوطنية في مجال الحقوق الاقتصادية والاجتماعية والثقافية، ولاحظوا أن على الدولة التزامات باحترام الحقوق الاقتصادية والاجتماعية والثقافية وحمايتها وإعمالها عندما تفضي أفعالها أو حالات امتناعها إلى آثار متوقعة على تمتعها بها، سواء داخل إقليمها أو خارجه</w:t>
      </w:r>
      <w:r w:rsidR="000135B5" w:rsidRPr="000135B5">
        <w:rPr>
          <w:vertAlign w:val="superscript"/>
          <w:rtl/>
        </w:rPr>
        <w:t>(</w:t>
      </w:r>
      <w:r w:rsidR="000135B5" w:rsidRPr="000135B5">
        <w:rPr>
          <w:rFonts w:cs="Times New Roman"/>
          <w:position w:val="4"/>
          <w:vertAlign w:val="superscript"/>
        </w:rPr>
        <w:footnoteReference w:id="33"/>
      </w:r>
      <w:r w:rsidR="000135B5" w:rsidRPr="000135B5">
        <w:rPr>
          <w:vertAlign w:val="superscript"/>
          <w:rtl/>
        </w:rPr>
        <w:t>)</w:t>
      </w:r>
      <w:r w:rsidR="00566EBF" w:rsidRPr="00566EBF">
        <w:rPr>
          <w:rFonts w:hint="cs"/>
          <w:rtl/>
        </w:rPr>
        <w:t>.</w:t>
      </w:r>
      <w:r w:rsidRPr="00566EBF">
        <w:rPr>
          <w:rtl/>
        </w:rPr>
        <w:t xml:space="preserve"> وأضافوا أن القانون الدولي يحظر الولاية القابلة للتنفيذ خارج الحدود الإقليمية ما لم يسمح بذلك صراحة القانون العرفي أو معاهدة دولية</w:t>
      </w:r>
      <w:r w:rsidR="000135B5" w:rsidRPr="000135B5">
        <w:rPr>
          <w:vertAlign w:val="superscript"/>
          <w:rtl/>
        </w:rPr>
        <w:t>(</w:t>
      </w:r>
      <w:r w:rsidR="000135B5" w:rsidRPr="000135B5">
        <w:rPr>
          <w:rFonts w:cs="Times New Roman"/>
          <w:position w:val="4"/>
          <w:vertAlign w:val="superscript"/>
        </w:rPr>
        <w:footnoteReference w:id="34"/>
      </w:r>
      <w:r w:rsidR="000135B5" w:rsidRPr="000135B5">
        <w:rPr>
          <w:vertAlign w:val="superscript"/>
          <w:rtl/>
        </w:rPr>
        <w:t>)</w:t>
      </w:r>
      <w:r w:rsidR="00566EBF" w:rsidRPr="00566EBF">
        <w:rPr>
          <w:rFonts w:hint="cs"/>
          <w:rtl/>
        </w:rPr>
        <w:t>.</w:t>
      </w:r>
      <w:r w:rsidRPr="00566EBF">
        <w:rPr>
          <w:rtl/>
        </w:rPr>
        <w:t xml:space="preserve"> وبموجب القانون العرفي الدولي، يحق للدول، بل وربما يجب عليها، حماية مواطنيها، وإيلاء الأولوية لحماية الأطفال</w:t>
      </w:r>
      <w:r w:rsidR="000135B5" w:rsidRPr="000135B5">
        <w:rPr>
          <w:vertAlign w:val="superscript"/>
          <w:rtl/>
        </w:rPr>
        <w:t>(</w:t>
      </w:r>
      <w:r w:rsidR="000135B5" w:rsidRPr="000135B5">
        <w:rPr>
          <w:rFonts w:cs="Times New Roman"/>
          <w:position w:val="4"/>
          <w:vertAlign w:val="superscript"/>
        </w:rPr>
        <w:footnoteReference w:id="35"/>
      </w:r>
      <w:r w:rsidR="000135B5" w:rsidRPr="000135B5">
        <w:rPr>
          <w:vertAlign w:val="superscript"/>
          <w:rtl/>
        </w:rPr>
        <w:t>)</w:t>
      </w:r>
      <w:r w:rsidR="00566EBF" w:rsidRPr="00566EBF">
        <w:rPr>
          <w:rFonts w:hint="cs"/>
          <w:rtl/>
        </w:rPr>
        <w:t>.</w:t>
      </w:r>
      <w:r w:rsidRPr="00566EBF">
        <w:rPr>
          <w:rtl/>
        </w:rPr>
        <w:t xml:space="preserve"> وبالإضافة إلى ذلك، لا يُسمح بممارسة الولاية (التنظيمية) أو القضائية خارج الحدود الإقليمية إلا بقدر ما تكون هناك صلة كافية بين الدولة التي تمارسها والحدث الذي يجري تنظيمه أو الفصل فيه خارج الحدود الإقليمية.</w:t>
      </w:r>
    </w:p>
    <w:p w14:paraId="1AA1675F" w14:textId="4E2364A8" w:rsidR="002572A4" w:rsidRPr="00566EBF" w:rsidRDefault="002572A4" w:rsidP="001C46E4">
      <w:pPr>
        <w:pStyle w:val="SingleTxtGA"/>
        <w:spacing w:after="100" w:line="358" w:lineRule="exact"/>
      </w:pPr>
      <w:r w:rsidRPr="000135B5">
        <w:rPr>
          <w:szCs w:val="20"/>
          <w:rtl/>
        </w:rPr>
        <w:t>8</w:t>
      </w:r>
      <w:r w:rsidR="00566EBF">
        <w:rPr>
          <w:rtl/>
        </w:rPr>
        <w:t>-</w:t>
      </w:r>
      <w:r w:rsidRPr="000135B5">
        <w:rPr>
          <w:szCs w:val="20"/>
          <w:rtl/>
        </w:rPr>
        <w:t>3</w:t>
      </w:r>
      <w:r w:rsidRPr="00566EBF">
        <w:rPr>
          <w:rtl/>
        </w:rPr>
        <w:tab/>
        <w:t>وفي هذه القضية: (أ) تمتنع الدولة الطرف عن اتخاذ تدابير في أقرب وقت ممكن وإلى أقصى حد من الموارد المتاحة لحماية حقوق الطفل وإعمالها؛ (ب) كان الضرر متوقعاً؛ (ج) توجد الدولة الطرف في وضع يمكنها من ممارسة نفوذ حاسم أو من اتخاذ تدابير؛ (د) يحق للدولة الطرف ممارسة الولاية القضائية في هذه القضية لأنها تستطيع بسط سلطتها؛ (ه)</w:t>
      </w:r>
      <w:r w:rsidR="001C46E4">
        <w:rPr>
          <w:rFonts w:hint="cs"/>
          <w:rtl/>
        </w:rPr>
        <w:t xml:space="preserve"> </w:t>
      </w:r>
      <w:r w:rsidRPr="00566EBF">
        <w:rPr>
          <w:rtl/>
        </w:rPr>
        <w:t xml:space="preserve">يقع على الدولة الطرف التزام بحماية الأطفال، وضمان تمتعهم بحقوق الإنسان الخاصة بهم، والتي قد تشمل إخراجهم من هذه المخيمات؛ (و) ينبغي ألا يُترك التزام الدولة الطرف بحماية حقوق الأطفال لإرادة دول أخرى. </w:t>
      </w:r>
    </w:p>
    <w:p w14:paraId="3D07742A" w14:textId="60EE099A" w:rsidR="002572A4" w:rsidRPr="00566EBF" w:rsidRDefault="002572A4" w:rsidP="001C46E4">
      <w:pPr>
        <w:pStyle w:val="SingleTxtGA"/>
        <w:spacing w:after="100" w:line="358" w:lineRule="exact"/>
      </w:pPr>
      <w:r w:rsidRPr="000135B5">
        <w:rPr>
          <w:szCs w:val="20"/>
          <w:rtl/>
        </w:rPr>
        <w:t>8</w:t>
      </w:r>
      <w:r w:rsidR="00566EBF">
        <w:rPr>
          <w:rtl/>
        </w:rPr>
        <w:t>-</w:t>
      </w:r>
      <w:r w:rsidRPr="000135B5">
        <w:rPr>
          <w:szCs w:val="20"/>
          <w:rtl/>
        </w:rPr>
        <w:t>4</w:t>
      </w:r>
      <w:r w:rsidRPr="00566EBF">
        <w:rPr>
          <w:rtl/>
        </w:rPr>
        <w:tab/>
        <w:t xml:space="preserve">وخلص الخبراء إلى أن على اللجنة أن تقرر على أساس مصالح الأطفال الفضلى. ومن شأن عدم قبول القضية أن يؤدي إلى عدم وصول الضحايا المزعومين إلى العدالة. ولا يوجد، برأي الخبراء، سبب لعدم المقبولية فيما يتعلق بالولاية القضائية للدولة الطرف أو اللجنة. وأخيراً، يمكن للدولة الطرف أن تعتمد تدابير تستند إلى مبادئ التعاون الدولي أو أن تتخذ تدابير دبلوماسية تكفل احترام المبادئ الدولية المتعلقة بسيادة الدول. وهكذا أوصى الطرف الثالث المتدخل بأن تعتبر اللجنة القضية مقبولة. </w:t>
      </w:r>
    </w:p>
    <w:p w14:paraId="62004220" w14:textId="4EED2CF8" w:rsidR="002572A4" w:rsidRPr="00566EBF" w:rsidRDefault="002572A4" w:rsidP="002572A4">
      <w:pPr>
        <w:pStyle w:val="H4GA"/>
      </w:pPr>
      <w:r w:rsidRPr="00566EBF">
        <w:rPr>
          <w:rtl/>
        </w:rPr>
        <w:lastRenderedPageBreak/>
        <w:tab/>
      </w:r>
      <w:r w:rsidRPr="00566EBF">
        <w:rPr>
          <w:rtl/>
        </w:rPr>
        <w:tab/>
        <w:t xml:space="preserve">ورقة معلومات مشتركة قدمتها مجموعة من </w:t>
      </w:r>
      <w:r w:rsidRPr="000135B5">
        <w:rPr>
          <w:szCs w:val="20"/>
          <w:rtl/>
        </w:rPr>
        <w:t>31</w:t>
      </w:r>
      <w:r w:rsidRPr="00566EBF">
        <w:rPr>
          <w:rtl/>
        </w:rPr>
        <w:t xml:space="preserve"> أكاديمياً</w:t>
      </w:r>
      <w:r w:rsidR="000135B5" w:rsidRPr="000135B5">
        <w:rPr>
          <w:vertAlign w:val="superscript"/>
          <w:rtl/>
        </w:rPr>
        <w:t>(</w:t>
      </w:r>
      <w:r w:rsidR="000135B5" w:rsidRPr="000135B5">
        <w:rPr>
          <w:rFonts w:cs="Times New Roman"/>
          <w:i w:val="0"/>
          <w:position w:val="4"/>
          <w:vertAlign w:val="superscript"/>
        </w:rPr>
        <w:footnoteReference w:id="36"/>
      </w:r>
      <w:r w:rsidR="000135B5" w:rsidRPr="000135B5">
        <w:rPr>
          <w:vertAlign w:val="superscript"/>
          <w:rtl/>
        </w:rPr>
        <w:t>)</w:t>
      </w:r>
    </w:p>
    <w:p w14:paraId="3EF5C1C8" w14:textId="67EEFA80" w:rsidR="002572A4" w:rsidRPr="00566EBF" w:rsidRDefault="002572A4" w:rsidP="002572A4">
      <w:pPr>
        <w:pStyle w:val="SingleTxtGA"/>
      </w:pPr>
      <w:r w:rsidRPr="000135B5">
        <w:rPr>
          <w:szCs w:val="20"/>
          <w:rtl/>
        </w:rPr>
        <w:t>8</w:t>
      </w:r>
      <w:r w:rsidR="00566EBF">
        <w:rPr>
          <w:rtl/>
        </w:rPr>
        <w:t>-</w:t>
      </w:r>
      <w:r w:rsidRPr="000135B5">
        <w:rPr>
          <w:szCs w:val="20"/>
          <w:rtl/>
        </w:rPr>
        <w:t>5</w:t>
      </w:r>
      <w:r w:rsidRPr="00566EBF">
        <w:rPr>
          <w:rtl/>
        </w:rPr>
        <w:tab/>
        <w:t>ولاحظ الخبراء أن الولاية خارج الحدود الإقليمية ليست مستبعدة بموجب اتفاقية حقوق الطفل، وأن الأعمال التحضيرية تشير إلى أن الطابع الإقليمي قد استبعد صراحة من الاتفاقية</w:t>
      </w:r>
      <w:r w:rsidR="000135B5" w:rsidRPr="000135B5">
        <w:rPr>
          <w:vertAlign w:val="superscript"/>
          <w:rtl/>
        </w:rPr>
        <w:t>(</w:t>
      </w:r>
      <w:r w:rsidR="000135B5" w:rsidRPr="000135B5">
        <w:rPr>
          <w:rFonts w:cs="Times New Roman"/>
          <w:position w:val="4"/>
          <w:vertAlign w:val="superscript"/>
        </w:rPr>
        <w:footnoteReference w:id="37"/>
      </w:r>
      <w:r w:rsidR="000135B5" w:rsidRPr="000135B5">
        <w:rPr>
          <w:vertAlign w:val="superscript"/>
          <w:rtl/>
        </w:rPr>
        <w:t>)</w:t>
      </w:r>
      <w:r w:rsidR="00566EBF" w:rsidRPr="00566EBF">
        <w:rPr>
          <w:rFonts w:hint="cs"/>
          <w:rtl/>
        </w:rPr>
        <w:t>.</w:t>
      </w:r>
      <w:r w:rsidRPr="00566EBF">
        <w:rPr>
          <w:rtl/>
        </w:rPr>
        <w:t xml:space="preserve"> وعلى الدول الأطراف في الاتفاقية التزامات تتعلق بحقوق الأطفال خارج أقاليمها</w:t>
      </w:r>
      <w:r w:rsidR="000135B5" w:rsidRPr="000135B5">
        <w:rPr>
          <w:vertAlign w:val="superscript"/>
          <w:rtl/>
        </w:rPr>
        <w:t>(</w:t>
      </w:r>
      <w:r w:rsidR="000135B5" w:rsidRPr="000135B5">
        <w:rPr>
          <w:rFonts w:cs="Times New Roman"/>
          <w:position w:val="4"/>
          <w:vertAlign w:val="superscript"/>
        </w:rPr>
        <w:footnoteReference w:id="38"/>
      </w:r>
      <w:r w:rsidR="000135B5" w:rsidRPr="000135B5">
        <w:rPr>
          <w:vertAlign w:val="superscript"/>
          <w:rtl/>
        </w:rPr>
        <w:t>)</w:t>
      </w:r>
      <w:r w:rsidR="00566EBF" w:rsidRPr="00566EBF">
        <w:rPr>
          <w:rFonts w:hint="cs"/>
          <w:rtl/>
        </w:rPr>
        <w:t>.</w:t>
      </w:r>
      <w:r w:rsidRPr="00566EBF">
        <w:rPr>
          <w:rtl/>
        </w:rPr>
        <w:t xml:space="preserve"> وفي سياق الهجرة، رأت اللجنة أنه ينبغي للدول، بموجب الاتفاقية، أن تتحمل جزءا</w:t>
      </w:r>
      <w:r w:rsidR="008D15E3">
        <w:rPr>
          <w:rFonts w:hint="cs"/>
          <w:rtl/>
        </w:rPr>
        <w:t>ً</w:t>
      </w:r>
      <w:r w:rsidRPr="00566EBF">
        <w:rPr>
          <w:rtl/>
        </w:rPr>
        <w:t xml:space="preserve"> من المسؤولية خارج نطاق الولاية القضائية عن حماية رعاياها من الأطفال المتواجدين خارج أراضيها، وذلك بوضع سياسات وخدمات قنصلية</w:t>
      </w:r>
      <w:r w:rsidR="000135B5" w:rsidRPr="000135B5">
        <w:rPr>
          <w:vertAlign w:val="superscript"/>
          <w:rtl/>
        </w:rPr>
        <w:t>(</w:t>
      </w:r>
      <w:r w:rsidR="000135B5" w:rsidRPr="000135B5">
        <w:rPr>
          <w:rFonts w:cs="Times New Roman"/>
          <w:position w:val="4"/>
          <w:vertAlign w:val="superscript"/>
        </w:rPr>
        <w:footnoteReference w:id="39"/>
      </w:r>
      <w:r w:rsidR="000135B5" w:rsidRPr="000135B5">
        <w:rPr>
          <w:vertAlign w:val="superscript"/>
          <w:rtl/>
        </w:rPr>
        <w:t>)</w:t>
      </w:r>
      <w:r w:rsidRPr="00566EBF">
        <w:rPr>
          <w:rtl/>
        </w:rPr>
        <w:t xml:space="preserve"> تستجيب لاحتياجات الأطفال أو حتى باتخاذ تدابير "للمساعدة في عودة سالمة وطوعية وكريمة للأطفال من سوريا"</w:t>
      </w:r>
      <w:r w:rsidR="000135B5" w:rsidRPr="000135B5">
        <w:rPr>
          <w:vertAlign w:val="superscript"/>
          <w:rtl/>
        </w:rPr>
        <w:t>(</w:t>
      </w:r>
      <w:r w:rsidR="000135B5" w:rsidRPr="000135B5">
        <w:rPr>
          <w:rFonts w:cs="Times New Roman"/>
          <w:position w:val="4"/>
          <w:vertAlign w:val="superscript"/>
        </w:rPr>
        <w:footnoteReference w:id="40"/>
      </w:r>
      <w:r w:rsidR="000135B5" w:rsidRPr="000135B5">
        <w:rPr>
          <w:vertAlign w:val="superscript"/>
          <w:rtl/>
        </w:rPr>
        <w:t>)</w:t>
      </w:r>
      <w:r w:rsidR="00566EBF" w:rsidRPr="00566EBF">
        <w:rPr>
          <w:rFonts w:hint="cs"/>
          <w:rtl/>
        </w:rPr>
        <w:t>.</w:t>
      </w:r>
      <w:r w:rsidRPr="00566EBF">
        <w:rPr>
          <w:rtl/>
        </w:rPr>
        <w:t xml:space="preserve"> ولا تعترض الدولة الطرف على الصلة بين الدولة الطرف </w:t>
      </w:r>
      <w:r w:rsidRPr="00566EBF">
        <w:rPr>
          <w:rtl/>
        </w:rPr>
        <w:lastRenderedPageBreak/>
        <w:t>والأطفال من خلال جنسيتهم الفرنسية. وعلاوة على ذلك، هناك أمثلة على دول توسع نطاق ولايتها القضائية فيما يتعلق بالأطفال المتأثرين بالإرهاب</w:t>
      </w:r>
      <w:r w:rsidR="000135B5" w:rsidRPr="000135B5">
        <w:rPr>
          <w:vertAlign w:val="superscript"/>
          <w:rtl/>
        </w:rPr>
        <w:t>(</w:t>
      </w:r>
      <w:r w:rsidR="000135B5" w:rsidRPr="000135B5">
        <w:rPr>
          <w:rFonts w:cs="Times New Roman"/>
          <w:position w:val="4"/>
          <w:vertAlign w:val="superscript"/>
        </w:rPr>
        <w:footnoteReference w:id="41"/>
      </w:r>
      <w:r w:rsidR="000135B5" w:rsidRPr="000135B5">
        <w:rPr>
          <w:vertAlign w:val="superscript"/>
          <w:rtl/>
        </w:rPr>
        <w:t>)</w:t>
      </w:r>
      <w:r w:rsidR="00566EBF" w:rsidRPr="00566EBF">
        <w:rPr>
          <w:rFonts w:hint="cs"/>
          <w:rtl/>
        </w:rPr>
        <w:t>.</w:t>
      </w:r>
      <w:r w:rsidRPr="00566EBF">
        <w:rPr>
          <w:rtl/>
        </w:rPr>
        <w:t xml:space="preserve"> وبالإضافة إلى ذلك، أوصت كيانات متعددة في الأمم المتحدة الدول الأعضاء بإتاحة عودة المقاتلين الأجانب وأسرهم، بمن فيهم الأطفال</w:t>
      </w:r>
      <w:r w:rsidR="000135B5" w:rsidRPr="000135B5">
        <w:rPr>
          <w:vertAlign w:val="superscript"/>
          <w:rtl/>
        </w:rPr>
        <w:t>(</w:t>
      </w:r>
      <w:r w:rsidR="000135B5" w:rsidRPr="000135B5">
        <w:rPr>
          <w:rFonts w:cs="Times New Roman"/>
          <w:position w:val="4"/>
          <w:vertAlign w:val="superscript"/>
        </w:rPr>
        <w:footnoteReference w:id="42"/>
      </w:r>
      <w:r w:rsidR="000135B5" w:rsidRPr="000135B5">
        <w:rPr>
          <w:vertAlign w:val="superscript"/>
          <w:rtl/>
        </w:rPr>
        <w:t>)</w:t>
      </w:r>
      <w:r w:rsidR="00566EBF" w:rsidRPr="00566EBF">
        <w:rPr>
          <w:rFonts w:hint="cs"/>
          <w:rtl/>
        </w:rPr>
        <w:t>.</w:t>
      </w:r>
      <w:r w:rsidRPr="00566EBF">
        <w:rPr>
          <w:rtl/>
        </w:rPr>
        <w:t xml:space="preserve"> </w:t>
      </w:r>
    </w:p>
    <w:p w14:paraId="7517EEAB" w14:textId="41CD347D" w:rsidR="002572A4" w:rsidRPr="00566EBF" w:rsidRDefault="002572A4" w:rsidP="002572A4">
      <w:pPr>
        <w:pStyle w:val="SingleTxtGA"/>
      </w:pPr>
      <w:r w:rsidRPr="000135B5">
        <w:rPr>
          <w:szCs w:val="20"/>
          <w:rtl/>
        </w:rPr>
        <w:t>8</w:t>
      </w:r>
      <w:r w:rsidR="00566EBF">
        <w:rPr>
          <w:rtl/>
        </w:rPr>
        <w:t>-</w:t>
      </w:r>
      <w:r w:rsidRPr="000135B5">
        <w:rPr>
          <w:szCs w:val="20"/>
          <w:rtl/>
        </w:rPr>
        <w:t>6</w:t>
      </w:r>
      <w:r w:rsidRPr="00566EBF">
        <w:rPr>
          <w:rtl/>
        </w:rPr>
        <w:tab/>
        <w:t xml:space="preserve">والسؤال هو ما إذا كان عدم اتخاذ الدولة إجراء لحماية حقوق مواطنيها من الأطفال المتواجدين في الخارج قد يؤدي إلى نشوء مسؤولية قانونية دولية عن انتهاكات الحقوق المنصوص عليها في الاتفاقية، وهي مسألة تختلف بحكم الواقع عن مسألة الاجتهادات القضائية القائمة للمحكمة الأوروبية لحقوق الإنسان ومحكمة البلدان الأمريكية لحقوق الإنسان. ومن بين النُهج المتبعة استبعاد الطابع الإقليمي، كما اقترح القاضي جيوفاني </w:t>
      </w:r>
      <w:proofErr w:type="spellStart"/>
      <w:r w:rsidRPr="00566EBF">
        <w:rPr>
          <w:rtl/>
        </w:rPr>
        <w:t>بونيلو</w:t>
      </w:r>
      <w:proofErr w:type="spellEnd"/>
      <w:r w:rsidRPr="00566EBF">
        <w:rPr>
          <w:rtl/>
        </w:rPr>
        <w:t xml:space="preserve"> في رأيه المُوافق في قضية </w:t>
      </w:r>
      <w:r w:rsidRPr="00DD60CD">
        <w:rPr>
          <w:i/>
          <w:iCs/>
          <w:rtl/>
        </w:rPr>
        <w:t>السكيني وآخرون ضد المملكة المتحدة</w:t>
      </w:r>
      <w:r w:rsidRPr="00566EBF">
        <w:rPr>
          <w:rtl/>
        </w:rPr>
        <w:t xml:space="preserve">. وباختصار، لاحظ القاضي </w:t>
      </w:r>
      <w:proofErr w:type="spellStart"/>
      <w:r w:rsidRPr="00566EBF">
        <w:rPr>
          <w:rtl/>
        </w:rPr>
        <w:t>بونيلو</w:t>
      </w:r>
      <w:proofErr w:type="spellEnd"/>
      <w:r w:rsidRPr="00566EBF">
        <w:rPr>
          <w:rtl/>
        </w:rPr>
        <w:t xml:space="preserve"> أن "الولاية القضائية تنشأ عن مجرد تحمل التزامات [حقوق الإنسان] وعن القدرة على الوفاء بها (أو عدم الوفاء بها)". </w:t>
      </w:r>
    </w:p>
    <w:p w14:paraId="322C0E3B" w14:textId="071ADFF6" w:rsidR="002572A4" w:rsidRPr="001C46E4" w:rsidRDefault="002572A4" w:rsidP="002572A4">
      <w:pPr>
        <w:pStyle w:val="SingleTxtGA"/>
        <w:rPr>
          <w:spacing w:val="-4"/>
        </w:rPr>
      </w:pPr>
      <w:r w:rsidRPr="001C46E4">
        <w:rPr>
          <w:spacing w:val="-4"/>
          <w:szCs w:val="20"/>
          <w:rtl/>
        </w:rPr>
        <w:t>8</w:t>
      </w:r>
      <w:r w:rsidR="00566EBF" w:rsidRPr="001C46E4">
        <w:rPr>
          <w:spacing w:val="-4"/>
          <w:rtl/>
        </w:rPr>
        <w:t>-</w:t>
      </w:r>
      <w:r w:rsidRPr="001C46E4">
        <w:rPr>
          <w:spacing w:val="-4"/>
          <w:szCs w:val="20"/>
          <w:rtl/>
        </w:rPr>
        <w:t>7</w:t>
      </w:r>
      <w:r w:rsidRPr="001C46E4">
        <w:rPr>
          <w:spacing w:val="-4"/>
          <w:rtl/>
        </w:rPr>
        <w:tab/>
        <w:t>ويرى الخبراء أن طبيعة الالتزامات التي تقع على عاتق الدولة الطرف خارج إقليمها يمكن أن تفسر على أنها مماثلة لتلك التي تميز الحالات التي تمارس فيها دول متعددة ولايات قضائية متزامنة على إقليم ما. ولذلك، رغم أن الدولة الطرف لا تسيطر سيطرة فعلية في المنطقة، فإن عليها التزامات إيجابية باتخاذ جميع التدابير المناسبة واتباع جميع السبل القانونية والدبلوماسية المتاحة لها لحماية حقوق الأطفال</w:t>
      </w:r>
      <w:r w:rsidR="000135B5" w:rsidRPr="001C46E4">
        <w:rPr>
          <w:spacing w:val="-4"/>
          <w:vertAlign w:val="superscript"/>
          <w:rtl/>
        </w:rPr>
        <w:t>(</w:t>
      </w:r>
      <w:r w:rsidR="000135B5" w:rsidRPr="001C46E4">
        <w:rPr>
          <w:rFonts w:cs="Times New Roman"/>
          <w:spacing w:val="-4"/>
          <w:position w:val="4"/>
          <w:vertAlign w:val="superscript"/>
        </w:rPr>
        <w:footnoteReference w:id="43"/>
      </w:r>
      <w:r w:rsidR="000135B5" w:rsidRPr="001C46E4">
        <w:rPr>
          <w:spacing w:val="-4"/>
          <w:vertAlign w:val="superscript"/>
          <w:rtl/>
        </w:rPr>
        <w:t>)</w:t>
      </w:r>
      <w:r w:rsidR="00566EBF" w:rsidRPr="001C46E4">
        <w:rPr>
          <w:rFonts w:hint="cs"/>
          <w:spacing w:val="-4"/>
          <w:rtl/>
        </w:rPr>
        <w:t>.</w:t>
      </w:r>
      <w:r w:rsidRPr="001C46E4">
        <w:rPr>
          <w:spacing w:val="-4"/>
          <w:rtl/>
        </w:rPr>
        <w:t xml:space="preserve"> </w:t>
      </w:r>
    </w:p>
    <w:p w14:paraId="5F2ACDDD" w14:textId="2DB62E69" w:rsidR="002572A4" w:rsidRPr="00566EBF" w:rsidRDefault="002572A4" w:rsidP="002572A4">
      <w:pPr>
        <w:pStyle w:val="SingleTxtGA"/>
      </w:pPr>
      <w:r w:rsidRPr="000135B5">
        <w:rPr>
          <w:szCs w:val="20"/>
          <w:rtl/>
        </w:rPr>
        <w:t>8</w:t>
      </w:r>
      <w:r w:rsidR="00566EBF">
        <w:rPr>
          <w:rtl/>
        </w:rPr>
        <w:t>-</w:t>
      </w:r>
      <w:r w:rsidRPr="000135B5">
        <w:rPr>
          <w:szCs w:val="20"/>
          <w:rtl/>
        </w:rPr>
        <w:t>8</w:t>
      </w:r>
      <w:r w:rsidRPr="00566EBF">
        <w:rPr>
          <w:rtl/>
        </w:rPr>
        <w:tab/>
        <w:t xml:space="preserve">ويخلص الطرف الثالث المتدخل إلى أنه ينبغي مراعاة الجوانب السياقية التالية: (أ) الخطر البالغ المتمثل في التعرض لضرر لا يمكن إصلاحه، وحالة الضعف الشديد للأطفال؛ (ب) عدم قدرة الوالدين على حماية أطفالهما؛ (ج) عدم قدرة دولة الإقليم على تولي الولاية القضائية على الأطفال أو عدم رغبتها في ذلك؛ (د) قدرة الدولة الطرف على حماية مواطنيها من خلال ممارسة حقها في الحماية الدبلوماسية؛ (ه) أن العوامل المذكورة تحول دون الإفراط في توسيع نطاق ولاية دولة الجنسية خارج الحدود الإقليمية، وذلك بقصرها على حالات استثنائية. ولذلك يرى الخبراء أن اللجنة ينبغي أن تضع نهجاً مرناً يركز على حقوق الطفل إزاء تطبيق الاتفاقية خارج الحدود الإقليمية، ويستجيب للسياقات القانونية </w:t>
      </w:r>
      <w:proofErr w:type="spellStart"/>
      <w:r w:rsidRPr="00566EBF">
        <w:rPr>
          <w:rtl/>
        </w:rPr>
        <w:t>والوقائعية</w:t>
      </w:r>
      <w:proofErr w:type="spellEnd"/>
      <w:r w:rsidRPr="00566EBF">
        <w:rPr>
          <w:rtl/>
        </w:rPr>
        <w:t xml:space="preserve"> المتزايدة التعقيد، ويأخذ في الاعتبار المخاطر البالغة التي يتعرض لها الأطفال المعنيون. ويمكن أن يستند هذا النهج إلى الركائز التي صاغتها اللجنة في تعليقها العام رقم </w:t>
      </w:r>
      <w:r w:rsidRPr="000135B5">
        <w:rPr>
          <w:szCs w:val="20"/>
          <w:rtl/>
        </w:rPr>
        <w:t>16</w:t>
      </w:r>
      <w:r w:rsidRPr="00566EBF">
        <w:rPr>
          <w:rtl/>
        </w:rPr>
        <w:t>(</w:t>
      </w:r>
      <w:r w:rsidRPr="000135B5">
        <w:rPr>
          <w:szCs w:val="20"/>
          <w:rtl/>
        </w:rPr>
        <w:t>2013</w:t>
      </w:r>
      <w:r w:rsidRPr="00566EBF">
        <w:rPr>
          <w:rtl/>
        </w:rPr>
        <w:t>)، والسمات الخاصة للاتفاقية والعوامل السياقية.</w:t>
      </w:r>
    </w:p>
    <w:bookmarkEnd w:id="1"/>
    <w:p w14:paraId="08288EB9" w14:textId="77777777" w:rsidR="002572A4" w:rsidRPr="00566EBF" w:rsidRDefault="002572A4" w:rsidP="002572A4">
      <w:pPr>
        <w:pStyle w:val="H23GA"/>
      </w:pPr>
      <w:r w:rsidRPr="00566EBF">
        <w:rPr>
          <w:rtl/>
        </w:rPr>
        <w:tab/>
      </w:r>
      <w:r w:rsidRPr="00566EBF">
        <w:rPr>
          <w:rtl/>
        </w:rPr>
        <w:tab/>
        <w:t>المسائل والإجراءات المعروضة على اللجنة</w:t>
      </w:r>
    </w:p>
    <w:p w14:paraId="16F81737" w14:textId="77777777" w:rsidR="002572A4" w:rsidRPr="00566EBF" w:rsidRDefault="002572A4" w:rsidP="002572A4">
      <w:pPr>
        <w:pStyle w:val="H4GA"/>
      </w:pPr>
      <w:r w:rsidRPr="00566EBF">
        <w:rPr>
          <w:rtl/>
        </w:rPr>
        <w:tab/>
      </w:r>
      <w:r w:rsidRPr="00566EBF">
        <w:rPr>
          <w:rtl/>
        </w:rPr>
        <w:tab/>
        <w:t>النظر في المقبولية</w:t>
      </w:r>
    </w:p>
    <w:p w14:paraId="469F61D0" w14:textId="2F18EE9A" w:rsidR="002572A4" w:rsidRPr="00566EBF" w:rsidRDefault="002572A4" w:rsidP="002572A4">
      <w:pPr>
        <w:pStyle w:val="SingleTxtGA"/>
      </w:pPr>
      <w:r w:rsidRPr="000135B5">
        <w:rPr>
          <w:szCs w:val="20"/>
          <w:rtl/>
        </w:rPr>
        <w:t>9</w:t>
      </w:r>
      <w:r w:rsidR="00566EBF">
        <w:rPr>
          <w:rtl/>
        </w:rPr>
        <w:t>-</w:t>
      </w:r>
      <w:r w:rsidRPr="000135B5">
        <w:rPr>
          <w:szCs w:val="20"/>
          <w:rtl/>
        </w:rPr>
        <w:t>1</w:t>
      </w:r>
      <w:r w:rsidRPr="00566EBF">
        <w:rPr>
          <w:rtl/>
        </w:rPr>
        <w:tab/>
        <w:t xml:space="preserve">قبل النظر في أي ادعاء يرد في بلاغ ما، يجب على اللجنة أن تقرر، وفقاً للمادة </w:t>
      </w:r>
      <w:r w:rsidRPr="000135B5">
        <w:rPr>
          <w:szCs w:val="20"/>
          <w:rtl/>
        </w:rPr>
        <w:t>20</w:t>
      </w:r>
      <w:r w:rsidRPr="00566EBF">
        <w:rPr>
          <w:rtl/>
        </w:rPr>
        <w:t xml:space="preserve"> من نظامها الداخلي، ما إذا كان البلاغ مقبولاً أم لا بموجب البروتوكول الاختياري. </w:t>
      </w:r>
    </w:p>
    <w:p w14:paraId="6B783151" w14:textId="3E75C14C" w:rsidR="002572A4" w:rsidRPr="00566EBF" w:rsidRDefault="002572A4" w:rsidP="002572A4">
      <w:pPr>
        <w:pStyle w:val="SingleTxtGA"/>
      </w:pPr>
      <w:r w:rsidRPr="000135B5">
        <w:rPr>
          <w:szCs w:val="20"/>
          <w:rtl/>
        </w:rPr>
        <w:lastRenderedPageBreak/>
        <w:t>9</w:t>
      </w:r>
      <w:r w:rsidR="00566EBF">
        <w:rPr>
          <w:rtl/>
        </w:rPr>
        <w:t>-</w:t>
      </w:r>
      <w:r w:rsidRPr="000135B5">
        <w:rPr>
          <w:szCs w:val="20"/>
          <w:rtl/>
        </w:rPr>
        <w:t>2</w:t>
      </w:r>
      <w:r w:rsidRPr="00566EBF">
        <w:rPr>
          <w:rtl/>
        </w:rPr>
        <w:tab/>
        <w:t xml:space="preserve">وتلاحظ اللجنة بيان أصحاب البلاغين بأن سبل الانتصاف المحلية غير متاحة في الدولة الطرف وغير فعالة في سياق جميع طلبات حماية الأطفال وأمهاتهم و/أو إعادتهم إلى الوطن. وتلاحظ اللجنة كذلك أن الدولة الطرف لم تدحض هذه الادعاءات. ومن ثم، ترى اللجنة عدم وجود أي عقبة أمام مقبولية البلاغ بموجب الفقرة </w:t>
      </w:r>
      <w:r w:rsidRPr="000135B5">
        <w:rPr>
          <w:szCs w:val="20"/>
          <w:rtl/>
        </w:rPr>
        <w:t>7</w:t>
      </w:r>
      <w:r w:rsidRPr="00566EBF">
        <w:rPr>
          <w:rtl/>
        </w:rPr>
        <w:t>(ه) من البروتوكول الاختياري.</w:t>
      </w:r>
    </w:p>
    <w:p w14:paraId="7D08D893" w14:textId="1F5C9929" w:rsidR="002572A4" w:rsidRPr="00566EBF" w:rsidRDefault="002572A4" w:rsidP="002572A4">
      <w:pPr>
        <w:pStyle w:val="SingleTxtGA"/>
      </w:pPr>
      <w:r w:rsidRPr="000135B5">
        <w:rPr>
          <w:szCs w:val="20"/>
          <w:rtl/>
        </w:rPr>
        <w:t>9</w:t>
      </w:r>
      <w:r w:rsidR="00566EBF">
        <w:rPr>
          <w:rtl/>
        </w:rPr>
        <w:t>-</w:t>
      </w:r>
      <w:r w:rsidRPr="000135B5">
        <w:rPr>
          <w:szCs w:val="20"/>
          <w:rtl/>
        </w:rPr>
        <w:t>3</w:t>
      </w:r>
      <w:r w:rsidRPr="00566EBF">
        <w:rPr>
          <w:rtl/>
        </w:rPr>
        <w:tab/>
        <w:t xml:space="preserve">وتحيط اللجنة علماً بما قالته الدولة الطرف ولم يطعن فيه أحد وهو أن س. ه. ووالدته قد أعيدا من تركيا إلى فرنسا في </w:t>
      </w:r>
      <w:r w:rsidRPr="000135B5">
        <w:rPr>
          <w:szCs w:val="20"/>
          <w:rtl/>
        </w:rPr>
        <w:t>9</w:t>
      </w:r>
      <w:r w:rsidRPr="00566EBF">
        <w:rPr>
          <w:rtl/>
        </w:rPr>
        <w:t xml:space="preserve"> كانون الأول/ديسمبر </w:t>
      </w:r>
      <w:r w:rsidRPr="000135B5">
        <w:rPr>
          <w:szCs w:val="20"/>
          <w:rtl/>
        </w:rPr>
        <w:t>2019</w:t>
      </w:r>
      <w:r w:rsidRPr="00566EBF">
        <w:rPr>
          <w:rtl/>
        </w:rPr>
        <w:t xml:space="preserve">. وفي ضوء هذه المعلومات، ترى اللجنة أن البلاغ القائم على عدم قيام الدولة الطرف بإعادة س. ه. إلى الوطن قد أصبح </w:t>
      </w:r>
      <w:proofErr w:type="spellStart"/>
      <w:r w:rsidRPr="00566EBF">
        <w:rPr>
          <w:rtl/>
        </w:rPr>
        <w:t>لاغيا</w:t>
      </w:r>
      <w:r w:rsidR="00DD60CD">
        <w:rPr>
          <w:rFonts w:hint="cs"/>
          <w:rtl/>
        </w:rPr>
        <w:t>ً</w:t>
      </w:r>
      <w:proofErr w:type="spellEnd"/>
      <w:r w:rsidRPr="00566EBF">
        <w:rPr>
          <w:rtl/>
        </w:rPr>
        <w:t>، ولذلك ينبغي وقف النظر فيه.</w:t>
      </w:r>
    </w:p>
    <w:p w14:paraId="57696BD3" w14:textId="0994329D" w:rsidR="002572A4" w:rsidRPr="00566EBF" w:rsidRDefault="002572A4" w:rsidP="002572A4">
      <w:pPr>
        <w:pStyle w:val="SingleTxtGA"/>
      </w:pPr>
      <w:r w:rsidRPr="000135B5">
        <w:rPr>
          <w:szCs w:val="20"/>
          <w:rtl/>
        </w:rPr>
        <w:t>9</w:t>
      </w:r>
      <w:r w:rsidR="00566EBF">
        <w:rPr>
          <w:rtl/>
        </w:rPr>
        <w:t>-</w:t>
      </w:r>
      <w:r w:rsidRPr="000135B5">
        <w:rPr>
          <w:szCs w:val="20"/>
          <w:rtl/>
        </w:rPr>
        <w:t>4</w:t>
      </w:r>
      <w:r w:rsidRPr="00566EBF">
        <w:rPr>
          <w:rtl/>
        </w:rPr>
        <w:tab/>
        <w:t xml:space="preserve">وتلاحظ اللجنة حجة الدولة الطرف بأن أصحاب البلاغين لم يثبتوا أنهم تصرفوا بموافقة الأطفال أو بموافقة أمهاتهم، خلافاً للشروط الواردة في المادة </w:t>
      </w:r>
      <w:r w:rsidRPr="000135B5">
        <w:rPr>
          <w:szCs w:val="20"/>
          <w:rtl/>
        </w:rPr>
        <w:t>5</w:t>
      </w:r>
      <w:r w:rsidRPr="00566EBF">
        <w:rPr>
          <w:rtl/>
        </w:rPr>
        <w:t xml:space="preserve"> من البروتوكول الاختياري. وتلاحظ اللجنة حجة أصحاب البلاغين ومفادها: (أ) أن البلاغين يتعلقا بأطفال تتراوح أعمارهم بين سنتين و</w:t>
      </w:r>
      <w:r w:rsidRPr="000135B5">
        <w:rPr>
          <w:szCs w:val="20"/>
          <w:rtl/>
        </w:rPr>
        <w:t>16</w:t>
      </w:r>
      <w:r w:rsidRPr="00566EBF">
        <w:rPr>
          <w:rtl/>
        </w:rPr>
        <w:t xml:space="preserve"> سنة وهم لا يستطيعون فهم الخطر الذي </w:t>
      </w:r>
      <w:proofErr w:type="spellStart"/>
      <w:r w:rsidRPr="00566EBF">
        <w:rPr>
          <w:rtl/>
        </w:rPr>
        <w:t>يواجهونه</w:t>
      </w:r>
      <w:proofErr w:type="spellEnd"/>
      <w:r w:rsidRPr="00566EBF">
        <w:rPr>
          <w:rtl/>
        </w:rPr>
        <w:t xml:space="preserve"> وليس بوسعهم إعطاء الموافقة؛ (ب) أن عدم وجود وسائل اتصال يجعل من المستحيل تقديم موافقة ملموسة اللجنة؛ أن الأمهات منحن، من خلال مكالمة هاتفية، موافقتهن على تقديم البلاغات. أن البلاغين يخدمان بوضوح مصالح الأطفال الفضلى لأن الهدف هو إنهاء احتجازهم في ظروف مزرية تهدد حياتهم. تذكِّر اللجنة بأن المادة </w:t>
      </w:r>
      <w:r w:rsidRPr="000135B5">
        <w:rPr>
          <w:szCs w:val="20"/>
          <w:rtl/>
        </w:rPr>
        <w:t>5</w:t>
      </w:r>
      <w:r w:rsidRPr="00566EBF">
        <w:rPr>
          <w:rtl/>
        </w:rPr>
        <w:t>(</w:t>
      </w:r>
      <w:r w:rsidRPr="000135B5">
        <w:rPr>
          <w:szCs w:val="20"/>
          <w:rtl/>
        </w:rPr>
        <w:t>2</w:t>
      </w:r>
      <w:r w:rsidRPr="00566EBF">
        <w:rPr>
          <w:rtl/>
        </w:rPr>
        <w:t xml:space="preserve">) من البروتوكول الاختياري تقضي بأنه حيثما يُقدم بلاغ نيابة عن فرد أو مجموعة أفراد، يكون ذلك بموافقتهم إلا إذا استطاع صاحب البلاغ أن يُبرر تصرفه نيابة عنهم دون الحصول على تلك الموافقة." ولا تؤيد اللجنة تقييم أصحاب البلاغين بأن سن الأطفال لا يتيح لهم إعطاء الموافقة لأصحاب البلاغين بالتصرف نيابة عنهم أمام اللجنة. وباستثناء الأطفال الأصغر سناً، ينبغي افتراض قدرة جميع الأطفال الآخرين على تكوين رأي وتقديم موافقتهم في هذا الصدد. بيد أن اللجنة تلاحظ أن اتصال الأطفال، في الظروف الخاصة للحالات الراهنة، محدود بأصحاب البلاغين، وذلك عن طريق أمهاتهم </w:t>
      </w:r>
      <w:proofErr w:type="spellStart"/>
      <w:r w:rsidRPr="00566EBF">
        <w:rPr>
          <w:rtl/>
        </w:rPr>
        <w:t>الوصيات</w:t>
      </w:r>
      <w:proofErr w:type="spellEnd"/>
      <w:r w:rsidRPr="00566EBF">
        <w:rPr>
          <w:rtl/>
        </w:rPr>
        <w:t xml:space="preserve"> عليهم واللاتي أعطين موافقتهن عن طريق الهاتف. ولا توجد إمكانية واقعية لهم لتقديم موافقة خطية، ويبدو أن البلاغات قُدمت مراعاة لمصالحهم الفضلى وبهدف حماية حقوقهم وتعزيزها. ولذلك، ترى اللجنة أن المادة </w:t>
      </w:r>
      <w:r w:rsidRPr="000135B5">
        <w:rPr>
          <w:szCs w:val="20"/>
          <w:rtl/>
        </w:rPr>
        <w:t>7</w:t>
      </w:r>
      <w:r w:rsidRPr="00566EBF">
        <w:rPr>
          <w:rtl/>
        </w:rPr>
        <w:t>(ه) من البروتوكول الاختياري لا تحول دون قبول هذين البلاغين.</w:t>
      </w:r>
    </w:p>
    <w:p w14:paraId="025A5134" w14:textId="1721A51F" w:rsidR="002572A4" w:rsidRPr="00566EBF" w:rsidRDefault="002572A4" w:rsidP="002572A4">
      <w:pPr>
        <w:pStyle w:val="SingleTxtGA"/>
      </w:pPr>
      <w:r w:rsidRPr="000135B5">
        <w:rPr>
          <w:szCs w:val="20"/>
          <w:rtl/>
        </w:rPr>
        <w:t>9</w:t>
      </w:r>
      <w:r w:rsidR="00566EBF">
        <w:rPr>
          <w:rtl/>
        </w:rPr>
        <w:t>-</w:t>
      </w:r>
      <w:r w:rsidRPr="000135B5">
        <w:rPr>
          <w:szCs w:val="20"/>
          <w:rtl/>
        </w:rPr>
        <w:t>5</w:t>
      </w:r>
      <w:r w:rsidRPr="00566EBF">
        <w:rPr>
          <w:rtl/>
        </w:rPr>
        <w:tab/>
        <w:t xml:space="preserve">وفيما يتعلق بمسألة الولاية القضائية، تلاحظ اللجنة حجة الدولة الطرف بأنه لا يمكن مساءلتها عن حالات لم تنشئها، وهي حالات لا سيطرة لها عليها فعلياً، وهي أفعال تقوم بها دول أخرى أو جهات فاعلة من غير الدول، لمجرد أن الأطفال هم رعاياها. وتدفع الدولة الطرف أيضاً بأن الأطفال لا يخضعون للولاية القضائية للدولة الطرف لأنهم ليسوا تحت السيطرة الفعلية للدولة الطرف، سواء من خلال موظفيها أو من خلال سلطة محلية تسيطر عليها الدولة الطرف. </w:t>
      </w:r>
    </w:p>
    <w:p w14:paraId="5DE9D94F" w14:textId="646F9BDC" w:rsidR="002572A4" w:rsidRPr="00566EBF" w:rsidRDefault="002572A4" w:rsidP="002572A4">
      <w:pPr>
        <w:pStyle w:val="SingleTxtGA"/>
      </w:pPr>
      <w:r w:rsidRPr="000135B5">
        <w:rPr>
          <w:szCs w:val="20"/>
          <w:rtl/>
        </w:rPr>
        <w:t>9</w:t>
      </w:r>
      <w:r w:rsidR="00566EBF">
        <w:rPr>
          <w:rtl/>
        </w:rPr>
        <w:t>-</w:t>
      </w:r>
      <w:r w:rsidRPr="000135B5">
        <w:rPr>
          <w:szCs w:val="20"/>
          <w:rtl/>
        </w:rPr>
        <w:t>6</w:t>
      </w:r>
      <w:r w:rsidRPr="00566EBF">
        <w:rPr>
          <w:rtl/>
        </w:rPr>
        <w:tab/>
        <w:t>واللجنة مدعوة إلى تحديد ما إذا كان الأطفال المحتجزون في المخيمات في شمال شرق الجمهورية العربية السورية يخضعون للاختصاص الشخصي للدولة الطرف. وتذكّر اللجنة بأن الدول ملزمة، بموجب الاتفاقية، باحترام وضمان حقوق الأطفال الخاضعين لولايتها، لكن الاتفاقية لا تقصر ولاية الدولة على "الإقليم"</w:t>
      </w:r>
      <w:r w:rsidR="000135B5" w:rsidRPr="000135B5">
        <w:rPr>
          <w:vertAlign w:val="superscript"/>
          <w:rtl/>
        </w:rPr>
        <w:t>(</w:t>
      </w:r>
      <w:r w:rsidR="000135B5" w:rsidRPr="000135B5">
        <w:rPr>
          <w:rFonts w:cs="Times New Roman"/>
          <w:position w:val="4"/>
          <w:vertAlign w:val="superscript"/>
        </w:rPr>
        <w:footnoteReference w:id="44"/>
      </w:r>
      <w:r w:rsidR="000135B5" w:rsidRPr="000135B5">
        <w:rPr>
          <w:vertAlign w:val="superscript"/>
          <w:rtl/>
        </w:rPr>
        <w:t>)</w:t>
      </w:r>
      <w:r w:rsidR="00566EBF" w:rsidRPr="00566EBF">
        <w:rPr>
          <w:rFonts w:hint="cs"/>
          <w:rtl/>
        </w:rPr>
        <w:t>.</w:t>
      </w:r>
      <w:r w:rsidRPr="00566EBF">
        <w:rPr>
          <w:rtl/>
        </w:rPr>
        <w:t xml:space="preserve"> وقد يكون للدولة أيضا</w:t>
      </w:r>
      <w:r w:rsidR="008D15E3">
        <w:rPr>
          <w:rFonts w:hint="cs"/>
          <w:rtl/>
        </w:rPr>
        <w:t>ً</w:t>
      </w:r>
      <w:r w:rsidRPr="00566EBF">
        <w:rPr>
          <w:rtl/>
        </w:rPr>
        <w:t xml:space="preserve"> ولاية قضائية فيما يتعلق بالأفعال التي تُنفذ، أو</w:t>
      </w:r>
      <w:r w:rsidR="001C46E4">
        <w:rPr>
          <w:rFonts w:hint="cs"/>
          <w:rtl/>
        </w:rPr>
        <w:t> </w:t>
      </w:r>
      <w:r w:rsidRPr="00566EBF">
        <w:rPr>
          <w:rtl/>
        </w:rPr>
        <w:t>تترتب عليها آثار، خارج حدودها الوطنية</w:t>
      </w:r>
      <w:r w:rsidR="000135B5" w:rsidRPr="000135B5">
        <w:rPr>
          <w:vertAlign w:val="superscript"/>
          <w:rtl/>
        </w:rPr>
        <w:t>(</w:t>
      </w:r>
      <w:r w:rsidR="000135B5" w:rsidRPr="000135B5">
        <w:rPr>
          <w:rFonts w:cs="Times New Roman"/>
          <w:position w:val="4"/>
          <w:vertAlign w:val="superscript"/>
        </w:rPr>
        <w:footnoteReference w:id="45"/>
      </w:r>
      <w:r w:rsidR="000135B5" w:rsidRPr="000135B5">
        <w:rPr>
          <w:vertAlign w:val="superscript"/>
          <w:rtl/>
        </w:rPr>
        <w:t>)</w:t>
      </w:r>
      <w:r w:rsidR="00566EBF" w:rsidRPr="00566EBF">
        <w:rPr>
          <w:rFonts w:hint="cs"/>
          <w:rtl/>
        </w:rPr>
        <w:t>.</w:t>
      </w:r>
      <w:r w:rsidRPr="00566EBF">
        <w:rPr>
          <w:rtl/>
        </w:rPr>
        <w:t xml:space="preserve"> وفي سياق الهجرة، رأت اللجنة أنه ينبغي للدول </w:t>
      </w:r>
      <w:r w:rsidRPr="00566EBF">
        <w:rPr>
          <w:rtl/>
        </w:rPr>
        <w:lastRenderedPageBreak/>
        <w:t xml:space="preserve">بموجب الاتفاقية أن تتحمل المسؤولية خارج </w:t>
      </w:r>
      <w:proofErr w:type="spellStart"/>
      <w:r w:rsidRPr="00566EBF">
        <w:rPr>
          <w:rtl/>
        </w:rPr>
        <w:t>إقليهما</w:t>
      </w:r>
      <w:proofErr w:type="spellEnd"/>
      <w:r w:rsidRPr="00566EBF">
        <w:rPr>
          <w:rtl/>
        </w:rPr>
        <w:t xml:space="preserve"> عن حماية الأطفال من رعاياها المتواجدين خارج أراضيها من خلال الحماية القنصلية المراعية لحقوق الطفل</w:t>
      </w:r>
      <w:r w:rsidR="000135B5" w:rsidRPr="000135B5">
        <w:rPr>
          <w:vertAlign w:val="superscript"/>
          <w:rtl/>
        </w:rPr>
        <w:t>(</w:t>
      </w:r>
      <w:r w:rsidR="000135B5" w:rsidRPr="000135B5">
        <w:rPr>
          <w:rFonts w:cs="Times New Roman"/>
          <w:position w:val="4"/>
          <w:vertAlign w:val="superscript"/>
        </w:rPr>
        <w:footnoteReference w:id="46"/>
      </w:r>
      <w:r w:rsidR="000135B5" w:rsidRPr="000135B5">
        <w:rPr>
          <w:vertAlign w:val="superscript"/>
          <w:rtl/>
        </w:rPr>
        <w:t>)</w:t>
      </w:r>
      <w:r w:rsidR="00566EBF" w:rsidRPr="00566EBF">
        <w:rPr>
          <w:rFonts w:hint="cs"/>
          <w:rtl/>
        </w:rPr>
        <w:t>.</w:t>
      </w:r>
      <w:r w:rsidRPr="00566EBF">
        <w:rPr>
          <w:rtl/>
        </w:rPr>
        <w:t xml:space="preserve"> واعتبرت اللجنة، في قرارها بشأن قضية </w:t>
      </w:r>
      <w:r w:rsidRPr="00DD60CD">
        <w:rPr>
          <w:i/>
          <w:iCs/>
          <w:rtl/>
        </w:rPr>
        <w:t>س.</w:t>
      </w:r>
      <w:r w:rsidR="00DD60CD" w:rsidRPr="00DD60CD">
        <w:rPr>
          <w:rFonts w:hint="cs"/>
          <w:i/>
          <w:iCs/>
          <w:rtl/>
        </w:rPr>
        <w:t xml:space="preserve"> </w:t>
      </w:r>
      <w:r w:rsidRPr="00DD60CD">
        <w:rPr>
          <w:i/>
          <w:iCs/>
          <w:rtl/>
        </w:rPr>
        <w:t>إ</w:t>
      </w:r>
      <w:r w:rsidR="00DD60CD" w:rsidRPr="00DD60CD">
        <w:rPr>
          <w:rFonts w:hint="cs"/>
          <w:i/>
          <w:iCs/>
          <w:rtl/>
        </w:rPr>
        <w:t>.</w:t>
      </w:r>
      <w:r w:rsidRPr="00DD60CD">
        <w:rPr>
          <w:i/>
          <w:iCs/>
          <w:rtl/>
        </w:rPr>
        <w:t xml:space="preserve"> ضد بلجيكا</w:t>
      </w:r>
      <w:r w:rsidRPr="00566EBF">
        <w:rPr>
          <w:rtl/>
        </w:rPr>
        <w:t xml:space="preserve"> أن بلجيكا تتمتع بالولاية القضائية لضمان حقوق طفل موجود في المغرب كان قد انفصل عن زوجين أحدهما بلجيكي والآخر مغربي بعد أن استقبلاه في إطار نظام </w:t>
      </w:r>
      <w:proofErr w:type="gramStart"/>
      <w:r w:rsidRPr="00566EBF">
        <w:rPr>
          <w:rtl/>
        </w:rPr>
        <w:t>الكفالة</w:t>
      </w:r>
      <w:r w:rsidR="000135B5" w:rsidRPr="000135B5">
        <w:rPr>
          <w:vertAlign w:val="superscript"/>
          <w:rtl/>
        </w:rPr>
        <w:t>(</w:t>
      </w:r>
      <w:proofErr w:type="gramEnd"/>
      <w:r w:rsidR="000135B5" w:rsidRPr="000135B5">
        <w:rPr>
          <w:rFonts w:cs="Times New Roman"/>
          <w:position w:val="4"/>
          <w:vertAlign w:val="superscript"/>
        </w:rPr>
        <w:footnoteReference w:id="47"/>
      </w:r>
      <w:r w:rsidR="000135B5" w:rsidRPr="000135B5">
        <w:rPr>
          <w:vertAlign w:val="superscript"/>
          <w:rtl/>
        </w:rPr>
        <w:t>)</w:t>
      </w:r>
      <w:r w:rsidR="00566EBF" w:rsidRPr="00566EBF">
        <w:rPr>
          <w:rFonts w:hint="cs"/>
          <w:rtl/>
        </w:rPr>
        <w:t>.</w:t>
      </w:r>
      <w:r w:rsidRPr="00566EBF">
        <w:rPr>
          <w:rtl/>
        </w:rPr>
        <w:t xml:space="preserve"> </w:t>
      </w:r>
    </w:p>
    <w:p w14:paraId="6F4285FD" w14:textId="4B0654E4" w:rsidR="002572A4" w:rsidRPr="00566EBF" w:rsidRDefault="002572A4" w:rsidP="002572A4">
      <w:pPr>
        <w:pStyle w:val="SingleTxtGA"/>
      </w:pPr>
      <w:r w:rsidRPr="000135B5">
        <w:rPr>
          <w:szCs w:val="20"/>
          <w:rtl/>
        </w:rPr>
        <w:t>9</w:t>
      </w:r>
      <w:r w:rsidR="00566EBF">
        <w:rPr>
          <w:rtl/>
        </w:rPr>
        <w:t>-</w:t>
      </w:r>
      <w:r w:rsidRPr="000135B5">
        <w:rPr>
          <w:szCs w:val="20"/>
          <w:rtl/>
        </w:rPr>
        <w:t>7</w:t>
      </w:r>
      <w:r w:rsidRPr="00566EBF">
        <w:rPr>
          <w:rtl/>
        </w:rPr>
        <w:tab/>
        <w:t>وفي هذه القضية، تلاحظ اللجنة أنه لا جدال في أن أصحاب البلاغين أبلغوا الدولة الطرف بحالة الضعف الشديد للأطفال المحتجزين في مخيمات للاجئين في منطقة نزاع. وقد ذكرت تقارير دولية أن ظروف الاحتجاز مزرية، وقد أُبلغت سلطات الدولة الطرف بها عن طريق شكاوى مختلفة قدمها أصحاب البلاغين على الصعيد الوطني</w:t>
      </w:r>
      <w:r w:rsidR="000135B5" w:rsidRPr="000135B5">
        <w:rPr>
          <w:vertAlign w:val="superscript"/>
          <w:rtl/>
        </w:rPr>
        <w:t>(</w:t>
      </w:r>
      <w:r w:rsidR="000135B5" w:rsidRPr="000135B5">
        <w:rPr>
          <w:rFonts w:cs="Times New Roman"/>
          <w:position w:val="4"/>
          <w:vertAlign w:val="superscript"/>
        </w:rPr>
        <w:footnoteReference w:id="48"/>
      </w:r>
      <w:r w:rsidR="000135B5" w:rsidRPr="000135B5">
        <w:rPr>
          <w:vertAlign w:val="superscript"/>
          <w:rtl/>
        </w:rPr>
        <w:t>)</w:t>
      </w:r>
      <w:r w:rsidR="00566EBF" w:rsidRPr="00566EBF">
        <w:rPr>
          <w:rFonts w:hint="cs"/>
          <w:rtl/>
        </w:rPr>
        <w:t>.</w:t>
      </w:r>
      <w:r w:rsidRPr="00566EBF">
        <w:rPr>
          <w:rtl/>
        </w:rPr>
        <w:t xml:space="preserve"> وتشكل ظروف الاحتجاز خطراً وشيكاً يتمثل في إلحاق ضرر لا يمكن إصلاحه بحياة الأطفال وسلامتهم البدنية والعقلية ونموهم. وتسلم اللجنة بأن جهة فاعلة من غير الدول هي التي تسيطر فعليا</w:t>
      </w:r>
      <w:r w:rsidR="008D15E3">
        <w:rPr>
          <w:rFonts w:hint="cs"/>
          <w:rtl/>
        </w:rPr>
        <w:t>ً</w:t>
      </w:r>
      <w:r w:rsidRPr="00566EBF">
        <w:rPr>
          <w:rtl/>
        </w:rPr>
        <w:t xml:space="preserve"> على المخيمات، وبأن هذه الجهة أعلنت عدم امتلاكها للوسائل أو لم تبد الإرادة اللازمة لرعاية الأطفال والنساء المحتجزين في المخيمات، وأنها تتوقع أن تعيدهم بلدان جنسيتهم إليها. وتلاحظ اللجنة أيضاً أن لجنة التحقيق الدولية المستقلة المعنية بالجمهورية العربية السورية أوصت البلدان الأصلية للمقاتلين الأجانب باتخاذ خطوات فورية لإعادة هؤلاء الأطفال إلى أوطانهم في أقرب وقت ممكن</w:t>
      </w:r>
      <w:r w:rsidR="000135B5" w:rsidRPr="000135B5">
        <w:rPr>
          <w:vertAlign w:val="superscript"/>
          <w:rtl/>
        </w:rPr>
        <w:t>(</w:t>
      </w:r>
      <w:r w:rsidR="000135B5" w:rsidRPr="000135B5">
        <w:rPr>
          <w:rFonts w:cs="Times New Roman"/>
          <w:position w:val="4"/>
          <w:vertAlign w:val="superscript"/>
        </w:rPr>
        <w:footnoteReference w:id="49"/>
      </w:r>
      <w:r w:rsidR="000135B5" w:rsidRPr="000135B5">
        <w:rPr>
          <w:vertAlign w:val="superscript"/>
          <w:rtl/>
        </w:rPr>
        <w:t>)</w:t>
      </w:r>
      <w:r w:rsidR="00566EBF" w:rsidRPr="00566EBF">
        <w:rPr>
          <w:rFonts w:hint="cs"/>
          <w:rtl/>
        </w:rPr>
        <w:t>.</w:t>
      </w:r>
      <w:r w:rsidRPr="00566EBF">
        <w:rPr>
          <w:rtl/>
        </w:rPr>
        <w:t xml:space="preserve"> وفي ظل ظروف هذه القضية، تلاحظ اللجنة أن الدولة الطرف، بوصفها دولة جنسية الأطفال، لديها القدرة والسلطة على حماية حقوق الأطفال المعنيين باتخاذ إجراءات لإعادتهم إليها أو على توفير استجابات قنصلية أخرى. وتشمل هذه الظروف علاقة الدولة الطرف بالسلطات الكردية، واستعداد هذه السلطات للتعاون، وحقيقة مفادها أن الدولة الطرف أعادت بالفعل ما لا يقل عن </w:t>
      </w:r>
      <w:r w:rsidRPr="000135B5">
        <w:rPr>
          <w:szCs w:val="20"/>
          <w:rtl/>
        </w:rPr>
        <w:t>17</w:t>
      </w:r>
      <w:r w:rsidRPr="00566EBF">
        <w:rPr>
          <w:rtl/>
        </w:rPr>
        <w:t xml:space="preserve"> طفلاً فرنسياً من مخيمات كردستان السورية منذ آذار/مارس </w:t>
      </w:r>
      <w:r w:rsidRPr="000135B5">
        <w:rPr>
          <w:szCs w:val="20"/>
          <w:rtl/>
        </w:rPr>
        <w:t>2019</w:t>
      </w:r>
      <w:r w:rsidRPr="00566EBF">
        <w:rPr>
          <w:rtl/>
        </w:rPr>
        <w:t>.</w:t>
      </w:r>
    </w:p>
    <w:p w14:paraId="661B2708" w14:textId="53964B5F" w:rsidR="002572A4" w:rsidRPr="00566EBF" w:rsidRDefault="002572A4" w:rsidP="002572A4">
      <w:pPr>
        <w:pStyle w:val="SingleTxtGA"/>
      </w:pPr>
      <w:r w:rsidRPr="000135B5">
        <w:rPr>
          <w:szCs w:val="20"/>
          <w:rtl/>
        </w:rPr>
        <w:t>10</w:t>
      </w:r>
      <w:r w:rsidRPr="00566EBF">
        <w:rPr>
          <w:rtl/>
        </w:rPr>
        <w:t>-</w:t>
      </w:r>
      <w:r w:rsidRPr="00566EBF">
        <w:rPr>
          <w:rtl/>
        </w:rPr>
        <w:tab/>
        <w:t xml:space="preserve">وفي ضوء ما تقدم، تخلص اللجنة إلى أن الدولة الطرف تمارس اختصاصها على الأطفال الذين هم موضوع البلاغين رقم </w:t>
      </w:r>
      <w:r w:rsidR="00994502">
        <w:rPr>
          <w:rFonts w:hint="cs"/>
          <w:szCs w:val="20"/>
          <w:rtl/>
        </w:rPr>
        <w:t>79</w:t>
      </w:r>
      <w:r w:rsidRPr="00566EBF">
        <w:rPr>
          <w:rtl/>
        </w:rPr>
        <w:t>/</w:t>
      </w:r>
      <w:r w:rsidR="00994502">
        <w:rPr>
          <w:rFonts w:hint="cs"/>
          <w:szCs w:val="20"/>
          <w:rtl/>
        </w:rPr>
        <w:t>2019</w:t>
      </w:r>
      <w:r w:rsidRPr="00566EBF">
        <w:rPr>
          <w:rtl/>
        </w:rPr>
        <w:t xml:space="preserve"> ورقم </w:t>
      </w:r>
      <w:r w:rsidR="00994502">
        <w:rPr>
          <w:rFonts w:hint="cs"/>
          <w:szCs w:val="20"/>
          <w:rtl/>
        </w:rPr>
        <w:t>109</w:t>
      </w:r>
      <w:r w:rsidRPr="00566EBF">
        <w:rPr>
          <w:rtl/>
        </w:rPr>
        <w:t>/</w:t>
      </w:r>
      <w:r w:rsidR="00994502">
        <w:rPr>
          <w:rFonts w:hint="cs"/>
          <w:szCs w:val="20"/>
          <w:rtl/>
        </w:rPr>
        <w:t>2019</w:t>
      </w:r>
      <w:r w:rsidRPr="00566EBF">
        <w:rPr>
          <w:rtl/>
        </w:rPr>
        <w:t xml:space="preserve">، وأن ادعاءات أصحاب البلاغين بموجب المواد </w:t>
      </w:r>
      <w:r w:rsidRPr="000135B5">
        <w:rPr>
          <w:szCs w:val="20"/>
          <w:rtl/>
        </w:rPr>
        <w:t>2</w:t>
      </w:r>
      <w:r w:rsidRPr="00566EBF">
        <w:rPr>
          <w:rtl/>
        </w:rPr>
        <w:t xml:space="preserve"> و</w:t>
      </w:r>
      <w:r w:rsidRPr="000135B5">
        <w:rPr>
          <w:szCs w:val="20"/>
          <w:rtl/>
        </w:rPr>
        <w:t>3</w:t>
      </w:r>
      <w:r w:rsidRPr="00566EBF">
        <w:rPr>
          <w:rtl/>
        </w:rPr>
        <w:t xml:space="preserve"> و</w:t>
      </w:r>
      <w:r w:rsidRPr="000135B5">
        <w:rPr>
          <w:szCs w:val="20"/>
          <w:rtl/>
        </w:rPr>
        <w:t>6</w:t>
      </w:r>
      <w:r w:rsidRPr="00566EBF">
        <w:rPr>
          <w:rtl/>
        </w:rPr>
        <w:t xml:space="preserve"> و</w:t>
      </w:r>
      <w:r w:rsidRPr="000135B5">
        <w:rPr>
          <w:szCs w:val="20"/>
          <w:rtl/>
        </w:rPr>
        <w:t>20</w:t>
      </w:r>
      <w:r w:rsidRPr="00566EBF">
        <w:rPr>
          <w:rtl/>
        </w:rPr>
        <w:t xml:space="preserve"> و</w:t>
      </w:r>
      <w:r w:rsidRPr="000135B5">
        <w:rPr>
          <w:szCs w:val="20"/>
          <w:rtl/>
        </w:rPr>
        <w:t>24</w:t>
      </w:r>
      <w:r w:rsidRPr="00566EBF">
        <w:rPr>
          <w:rtl/>
        </w:rPr>
        <w:t xml:space="preserve"> و</w:t>
      </w:r>
      <w:r w:rsidRPr="000135B5">
        <w:rPr>
          <w:szCs w:val="20"/>
          <w:rtl/>
        </w:rPr>
        <w:t>37</w:t>
      </w:r>
      <w:r w:rsidRPr="00566EBF">
        <w:rPr>
          <w:rtl/>
        </w:rPr>
        <w:t xml:space="preserve"> من الاتفاقية قد تم إثباتها بما فيه الكفاية. وتعلن اللجنة قبول البلاغين.</w:t>
      </w:r>
    </w:p>
    <w:p w14:paraId="3AB53BF1" w14:textId="77777777" w:rsidR="002572A4" w:rsidRPr="00566EBF" w:rsidRDefault="002572A4" w:rsidP="002572A4">
      <w:pPr>
        <w:pStyle w:val="SingleTxtGA"/>
      </w:pPr>
      <w:r w:rsidRPr="000135B5">
        <w:rPr>
          <w:szCs w:val="20"/>
          <w:rtl/>
        </w:rPr>
        <w:t>11</w:t>
      </w:r>
      <w:r w:rsidRPr="00566EBF">
        <w:rPr>
          <w:rtl/>
        </w:rPr>
        <w:t>-</w:t>
      </w:r>
      <w:r w:rsidRPr="00566EBF">
        <w:rPr>
          <w:rtl/>
        </w:rPr>
        <w:tab/>
        <w:t>وبناءً عليه، تقرر اللجنة ما يلي:</w:t>
      </w:r>
    </w:p>
    <w:p w14:paraId="55C964D1" w14:textId="2D063F9E" w:rsidR="002572A4" w:rsidRPr="00566EBF" w:rsidRDefault="002572A4" w:rsidP="002572A4">
      <w:pPr>
        <w:pStyle w:val="SingleTxtGA"/>
      </w:pPr>
      <w:r w:rsidRPr="00566EBF">
        <w:rPr>
          <w:rtl/>
        </w:rPr>
        <w:tab/>
        <w:t>(أ)</w:t>
      </w:r>
      <w:r w:rsidRPr="00566EBF">
        <w:rPr>
          <w:rtl/>
        </w:rPr>
        <w:tab/>
        <w:t xml:space="preserve">أن يتوقف النظر في البلاغ رقم </w:t>
      </w:r>
      <w:r w:rsidR="00994502">
        <w:rPr>
          <w:rFonts w:hint="cs"/>
          <w:szCs w:val="20"/>
          <w:rtl/>
        </w:rPr>
        <w:t>79</w:t>
      </w:r>
      <w:r w:rsidRPr="00566EBF">
        <w:rPr>
          <w:rtl/>
        </w:rPr>
        <w:t>/</w:t>
      </w:r>
      <w:r w:rsidR="00994502">
        <w:rPr>
          <w:rFonts w:hint="cs"/>
          <w:szCs w:val="20"/>
          <w:rtl/>
        </w:rPr>
        <w:t>2019</w:t>
      </w:r>
      <w:r w:rsidRPr="00566EBF">
        <w:rPr>
          <w:rtl/>
        </w:rPr>
        <w:t xml:space="preserve"> فيما يتعلق ب س. ه.؛</w:t>
      </w:r>
    </w:p>
    <w:p w14:paraId="2A2D7EB8" w14:textId="3D3F897D" w:rsidR="002572A4" w:rsidRPr="00566EBF" w:rsidRDefault="002572A4" w:rsidP="002572A4">
      <w:pPr>
        <w:pStyle w:val="SingleTxtGA"/>
      </w:pPr>
      <w:r w:rsidRPr="00566EBF">
        <w:rPr>
          <w:rtl/>
        </w:rPr>
        <w:tab/>
        <w:t>(ب)</w:t>
      </w:r>
      <w:r w:rsidRPr="00566EBF">
        <w:rPr>
          <w:rtl/>
        </w:rPr>
        <w:tab/>
        <w:t xml:space="preserve">أن البلاغين رقم </w:t>
      </w:r>
      <w:r w:rsidR="00994502">
        <w:rPr>
          <w:rFonts w:hint="cs"/>
          <w:szCs w:val="20"/>
          <w:rtl/>
        </w:rPr>
        <w:t>79</w:t>
      </w:r>
      <w:r w:rsidRPr="00566EBF">
        <w:rPr>
          <w:rtl/>
        </w:rPr>
        <w:t>/</w:t>
      </w:r>
      <w:r w:rsidR="00994502">
        <w:rPr>
          <w:rFonts w:hint="cs"/>
          <w:szCs w:val="20"/>
          <w:rtl/>
        </w:rPr>
        <w:t>2019</w:t>
      </w:r>
      <w:r w:rsidRPr="00566EBF">
        <w:rPr>
          <w:rtl/>
        </w:rPr>
        <w:t xml:space="preserve"> ورقم </w:t>
      </w:r>
      <w:r w:rsidR="00994502">
        <w:rPr>
          <w:rFonts w:hint="cs"/>
          <w:szCs w:val="20"/>
          <w:rtl/>
        </w:rPr>
        <w:t>109</w:t>
      </w:r>
      <w:r w:rsidRPr="00566EBF">
        <w:rPr>
          <w:rtl/>
        </w:rPr>
        <w:t>/</w:t>
      </w:r>
      <w:r w:rsidR="00994502">
        <w:rPr>
          <w:rFonts w:hint="cs"/>
          <w:szCs w:val="20"/>
          <w:rtl/>
        </w:rPr>
        <w:t>2019</w:t>
      </w:r>
      <w:r w:rsidRPr="00566EBF">
        <w:rPr>
          <w:rtl/>
        </w:rPr>
        <w:t xml:space="preserve"> المودعين نيابة عن الأطفال المتبقين، مقبولان فيما يثيرانه من قضايا بموجب المواد </w:t>
      </w:r>
      <w:r w:rsidRPr="000135B5">
        <w:rPr>
          <w:szCs w:val="20"/>
          <w:rtl/>
        </w:rPr>
        <w:t>2</w:t>
      </w:r>
      <w:r w:rsidRPr="00566EBF">
        <w:rPr>
          <w:rtl/>
        </w:rPr>
        <w:t xml:space="preserve"> و</w:t>
      </w:r>
      <w:r w:rsidRPr="000135B5">
        <w:rPr>
          <w:szCs w:val="20"/>
          <w:rtl/>
        </w:rPr>
        <w:t>3</w:t>
      </w:r>
      <w:r w:rsidRPr="00566EBF">
        <w:rPr>
          <w:rtl/>
        </w:rPr>
        <w:t xml:space="preserve"> و</w:t>
      </w:r>
      <w:r w:rsidRPr="000135B5">
        <w:rPr>
          <w:szCs w:val="20"/>
          <w:rtl/>
        </w:rPr>
        <w:t>6</w:t>
      </w:r>
      <w:r w:rsidRPr="00566EBF">
        <w:rPr>
          <w:rtl/>
        </w:rPr>
        <w:t xml:space="preserve"> و</w:t>
      </w:r>
      <w:r w:rsidRPr="000135B5">
        <w:rPr>
          <w:szCs w:val="20"/>
          <w:rtl/>
        </w:rPr>
        <w:t>20</w:t>
      </w:r>
      <w:r w:rsidRPr="00566EBF">
        <w:rPr>
          <w:rtl/>
        </w:rPr>
        <w:t xml:space="preserve"> و</w:t>
      </w:r>
      <w:r w:rsidRPr="000135B5">
        <w:rPr>
          <w:szCs w:val="20"/>
          <w:rtl/>
        </w:rPr>
        <w:t>24</w:t>
      </w:r>
      <w:r w:rsidRPr="00566EBF">
        <w:rPr>
          <w:rtl/>
        </w:rPr>
        <w:t xml:space="preserve"> و</w:t>
      </w:r>
      <w:r w:rsidRPr="000135B5">
        <w:rPr>
          <w:szCs w:val="20"/>
          <w:rtl/>
        </w:rPr>
        <w:t>37</w:t>
      </w:r>
      <w:r w:rsidRPr="00566EBF">
        <w:rPr>
          <w:rtl/>
        </w:rPr>
        <w:t xml:space="preserve"> من الاتفاقية</w:t>
      </w:r>
      <w:r w:rsidR="008D15E3">
        <w:rPr>
          <w:rFonts w:hint="cs"/>
          <w:rtl/>
        </w:rPr>
        <w:t>؛</w:t>
      </w:r>
    </w:p>
    <w:p w14:paraId="2E6315B0" w14:textId="77777777" w:rsidR="002572A4" w:rsidRPr="00566EBF" w:rsidRDefault="002572A4" w:rsidP="002572A4">
      <w:pPr>
        <w:pStyle w:val="SingleTxtGA"/>
      </w:pPr>
      <w:r w:rsidRPr="00566EBF">
        <w:rPr>
          <w:rtl/>
        </w:rPr>
        <w:tab/>
        <w:t>(ج)</w:t>
      </w:r>
      <w:r w:rsidRPr="00566EBF">
        <w:rPr>
          <w:rtl/>
        </w:rPr>
        <w:tab/>
        <w:t>أن يُحال هذا القرار إلى أصحاب البلاغين وإلى الدولة الطرف، لإحاطتها علماً به.</w:t>
      </w:r>
    </w:p>
    <w:p w14:paraId="45AB22F2" w14:textId="3C404C81" w:rsidR="002572A4" w:rsidRPr="002572A4" w:rsidRDefault="002572A4" w:rsidP="00994502">
      <w:pPr>
        <w:spacing w:before="120" w:line="340" w:lineRule="exact"/>
        <w:jc w:val="center"/>
        <w:rPr>
          <w:u w:val="single"/>
          <w:rtl/>
        </w:rPr>
      </w:pPr>
      <w:r>
        <w:rPr>
          <w:u w:val="single"/>
          <w:rtl/>
        </w:rPr>
        <w:tab/>
      </w:r>
      <w:r>
        <w:rPr>
          <w:u w:val="single"/>
          <w:rtl/>
        </w:rPr>
        <w:tab/>
      </w:r>
      <w:r>
        <w:rPr>
          <w:u w:val="single"/>
          <w:rtl/>
        </w:rPr>
        <w:tab/>
      </w:r>
    </w:p>
    <w:sectPr w:rsidR="002572A4" w:rsidRPr="002572A4" w:rsidSect="00FD5B3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7AE9D7" w14:textId="77777777" w:rsidR="000135B5" w:rsidRPr="002901D9" w:rsidRDefault="000135B5" w:rsidP="002901D9">
      <w:pPr>
        <w:spacing w:after="60" w:line="240" w:lineRule="auto"/>
        <w:rPr>
          <w:i/>
          <w:iCs/>
        </w:rPr>
      </w:pPr>
      <w:r>
        <w:rPr>
          <w:rFonts w:hint="cs"/>
          <w:i/>
          <w:iCs/>
          <w:rtl/>
        </w:rPr>
        <w:t>الحواشي</w:t>
      </w:r>
    </w:p>
  </w:endnote>
  <w:endnote w:type="continuationSeparator" w:id="0">
    <w:p w14:paraId="75C51FD0" w14:textId="77777777" w:rsidR="000135B5" w:rsidRDefault="000135B5"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C0B0ED" w14:textId="77777777" w:rsidR="000135B5" w:rsidRPr="002572A4" w:rsidRDefault="000135B5" w:rsidP="002572A4">
    <w:pPr>
      <w:pStyle w:val="Footer"/>
      <w:tabs>
        <w:tab w:val="right" w:pos="9598"/>
      </w:tabs>
      <w:rPr>
        <w:sz w:val="17"/>
      </w:rPr>
    </w:pPr>
    <w:r>
      <w:rPr>
        <w:sz w:val="17"/>
      </w:rPr>
      <w:t>GE.20-14468</w:t>
    </w:r>
    <w:r>
      <w:rPr>
        <w:sz w:val="17"/>
      </w:rPr>
      <w:tab/>
    </w:r>
    <w:r w:rsidRPr="002572A4">
      <w:rPr>
        <w:b/>
        <w:sz w:val="18"/>
      </w:rPr>
      <w:fldChar w:fldCharType="begin"/>
    </w:r>
    <w:r w:rsidRPr="002572A4">
      <w:rPr>
        <w:b/>
        <w:sz w:val="18"/>
      </w:rPr>
      <w:instrText xml:space="preserve"> PAGE  \* MERGEFORMAT </w:instrText>
    </w:r>
    <w:r w:rsidRPr="002572A4">
      <w:rPr>
        <w:b/>
        <w:sz w:val="18"/>
      </w:rPr>
      <w:fldChar w:fldCharType="separate"/>
    </w:r>
    <w:r>
      <w:rPr>
        <w:b/>
        <w:sz w:val="18"/>
      </w:rPr>
      <w:t>2</w:t>
    </w:r>
    <w:r w:rsidRPr="002572A4">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3EE68" w14:textId="77777777" w:rsidR="000135B5" w:rsidRPr="002572A4" w:rsidRDefault="000135B5" w:rsidP="006959B0">
    <w:pPr>
      <w:pStyle w:val="Footer"/>
      <w:tabs>
        <w:tab w:val="right" w:pos="9599"/>
      </w:tabs>
      <w:jc w:val="left"/>
      <w:rPr>
        <w:b/>
        <w:sz w:val="18"/>
        <w:lang w:val="en-US"/>
      </w:rPr>
    </w:pPr>
    <w:r w:rsidRPr="002572A4">
      <w:rPr>
        <w:b/>
        <w:sz w:val="18"/>
        <w:lang w:val="en-US"/>
      </w:rPr>
      <w:fldChar w:fldCharType="begin"/>
    </w:r>
    <w:r w:rsidRPr="002572A4">
      <w:rPr>
        <w:b/>
        <w:sz w:val="18"/>
        <w:lang w:val="en-US"/>
      </w:rPr>
      <w:instrText xml:space="preserve"> PAGE  \* MERGEFORMAT </w:instrText>
    </w:r>
    <w:r w:rsidRPr="002572A4">
      <w:rPr>
        <w:b/>
        <w:sz w:val="18"/>
        <w:lang w:val="en-US"/>
      </w:rPr>
      <w:fldChar w:fldCharType="separate"/>
    </w:r>
    <w:r w:rsidRPr="002572A4">
      <w:rPr>
        <w:b/>
        <w:noProof/>
        <w:sz w:val="18"/>
        <w:lang w:val="en-US"/>
      </w:rPr>
      <w:t>3</w:t>
    </w:r>
    <w:r w:rsidRPr="002572A4">
      <w:rPr>
        <w:b/>
        <w:sz w:val="18"/>
        <w:lang w:val="en-US"/>
      </w:rPr>
      <w:fldChar w:fldCharType="end"/>
    </w:r>
    <w:r>
      <w:rPr>
        <w:b/>
        <w:sz w:val="18"/>
        <w:lang w:val="en-US"/>
      </w:rPr>
      <w:tab/>
    </w:r>
    <w:r>
      <w:rPr>
        <w:sz w:val="17"/>
        <w:lang w:val="en-US"/>
      </w:rPr>
      <w:t>GE.20-14468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87DD9E" w14:textId="77777777" w:rsidR="000135B5" w:rsidRDefault="000135B5" w:rsidP="006E444F">
    <w:pPr>
      <w:pStyle w:val="Footer"/>
      <w:spacing w:before="360"/>
      <w:jc w:val="right"/>
      <w:rPr>
        <w:sz w:val="20"/>
        <w:szCs w:val="20"/>
      </w:rPr>
    </w:pPr>
    <w:r>
      <w:rPr>
        <w:sz w:val="20"/>
        <w:szCs w:val="20"/>
      </w:rPr>
      <w:t>GE.20-14468</w:t>
    </w:r>
    <w:r>
      <w:rPr>
        <w:noProof/>
        <w:lang w:val="en-US"/>
      </w:rPr>
      <w:drawing>
        <wp:anchor distT="0" distB="0" distL="114300" distR="114300" simplePos="0" relativeHeight="251664384" behindDoc="1" locked="1" layoutInCell="0" allowOverlap="1" wp14:anchorId="76F6DC18" wp14:editId="776682E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1E4DE4D8" w14:textId="77777777" w:rsidR="000135B5" w:rsidRPr="00FD5B3C" w:rsidRDefault="000135B5" w:rsidP="00FD5B3C">
    <w:pPr>
      <w:pStyle w:val="Footer"/>
      <w:jc w:val="right"/>
      <w:rPr>
        <w:rFonts w:ascii="C39T30Lfz" w:hAnsi="C39T30Lfz"/>
        <w:sz w:val="56"/>
        <w:szCs w:val="20"/>
      </w:rPr>
    </w:pPr>
    <w:r>
      <w:rPr>
        <w:rFonts w:ascii="C39T30Lfz" w:hAnsi="C39T30Lfz"/>
        <w:sz w:val="56"/>
        <w:szCs w:val="20"/>
      </w:rPr>
      <w:t>*2014468*</w:t>
    </w:r>
    <w:r>
      <w:rPr>
        <w:rFonts w:ascii="C39T30Lfz" w:hAnsi="C39T30Lfz"/>
        <w:noProof/>
        <w:sz w:val="56"/>
        <w:szCs w:val="20"/>
      </w:rPr>
      <w:drawing>
        <wp:anchor distT="0" distB="0" distL="114300" distR="114300" simplePos="0" relativeHeight="251660288" behindDoc="0" locked="0" layoutInCell="1" allowOverlap="1" wp14:anchorId="5CA268BF" wp14:editId="5D9958AD">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6EA0AA" w14:textId="77777777" w:rsidR="000135B5" w:rsidRDefault="000135B5" w:rsidP="00CB28F9">
      <w:pPr>
        <w:pStyle w:val="Footer"/>
        <w:bidi/>
        <w:spacing w:after="80" w:line="200" w:lineRule="exact"/>
        <w:ind w:left="680"/>
      </w:pPr>
      <w:r>
        <w:rPr>
          <w:rtl/>
        </w:rPr>
        <w:t>__________</w:t>
      </w:r>
    </w:p>
  </w:footnote>
  <w:footnote w:type="continuationSeparator" w:id="0">
    <w:p w14:paraId="30B34F61" w14:textId="77777777" w:rsidR="000135B5" w:rsidRDefault="000135B5" w:rsidP="00656392">
      <w:pPr>
        <w:spacing w:line="240" w:lineRule="auto"/>
      </w:pPr>
      <w:r>
        <w:continuationSeparator/>
      </w:r>
    </w:p>
  </w:footnote>
  <w:footnote w:id="1">
    <w:p w14:paraId="3707CAED" w14:textId="53AA9B90" w:rsidR="000135B5" w:rsidRPr="00566EBF" w:rsidRDefault="000135B5" w:rsidP="000135B5">
      <w:pPr>
        <w:pStyle w:val="FootnoteText1"/>
        <w:rPr>
          <w:rtl/>
        </w:rPr>
      </w:pPr>
      <w:r w:rsidRPr="00566EBF">
        <w:rPr>
          <w:rtl/>
        </w:rPr>
        <w:t>*</w:t>
      </w:r>
      <w:r w:rsidRPr="00566EBF">
        <w:rPr>
          <w:rtl/>
        </w:rPr>
        <w:tab/>
        <w:t>اعتمدتهما اللجنة في دورتها الخامسة والثمانين (</w:t>
      </w:r>
      <w:r w:rsidRPr="000135B5">
        <w:rPr>
          <w:szCs w:val="18"/>
          <w:rtl/>
        </w:rPr>
        <w:t>14</w:t>
      </w:r>
      <w:r w:rsidRPr="00566EBF">
        <w:rPr>
          <w:rtl/>
        </w:rPr>
        <w:t xml:space="preserve"> أيلول/سبتمبر - </w:t>
      </w:r>
      <w:r w:rsidRPr="000135B5">
        <w:rPr>
          <w:szCs w:val="18"/>
          <w:rtl/>
        </w:rPr>
        <w:t>1</w:t>
      </w:r>
      <w:r w:rsidRPr="00566EBF">
        <w:rPr>
          <w:rtl/>
        </w:rPr>
        <w:t xml:space="preserve"> تشرين الأول/أكتوبر </w:t>
      </w:r>
      <w:r w:rsidRPr="000135B5">
        <w:rPr>
          <w:szCs w:val="18"/>
          <w:rtl/>
        </w:rPr>
        <w:t>2020</w:t>
      </w:r>
      <w:r w:rsidRPr="00566EBF">
        <w:rPr>
          <w:rtl/>
        </w:rPr>
        <w:t>).</w:t>
      </w:r>
    </w:p>
  </w:footnote>
  <w:footnote w:id="2">
    <w:p w14:paraId="3AAE40A1" w14:textId="645698F2" w:rsidR="000135B5" w:rsidRPr="00566EBF" w:rsidRDefault="000135B5" w:rsidP="000135B5">
      <w:pPr>
        <w:pStyle w:val="FootnoteText1"/>
        <w:rPr>
          <w:rtl/>
        </w:rPr>
      </w:pPr>
      <w:r w:rsidRPr="00566EBF">
        <w:rPr>
          <w:rtl/>
        </w:rPr>
        <w:t>**</w:t>
      </w:r>
      <w:r w:rsidRPr="00566EBF">
        <w:rPr>
          <w:rtl/>
        </w:rPr>
        <w:tab/>
        <w:t xml:space="preserve">شارك في دراسة هذين البلاغين أعضاء اللجنة التالية أسماؤهم: سوزان أهو أسوما، وهند الأيوبي الإدريسي، وبراغي </w:t>
      </w:r>
      <w:proofErr w:type="spellStart"/>
      <w:r w:rsidRPr="00566EBF">
        <w:rPr>
          <w:rtl/>
        </w:rPr>
        <w:t>غودبراندسون</w:t>
      </w:r>
      <w:proofErr w:type="spellEnd"/>
      <w:r w:rsidRPr="00566EBF">
        <w:rPr>
          <w:rtl/>
        </w:rPr>
        <w:t xml:space="preserve">، وفيليب جافي، وأولغا أ. </w:t>
      </w:r>
      <w:proofErr w:type="spellStart"/>
      <w:r w:rsidRPr="00566EBF">
        <w:rPr>
          <w:rtl/>
        </w:rPr>
        <w:t>خازوفا</w:t>
      </w:r>
      <w:proofErr w:type="spellEnd"/>
      <w:r w:rsidRPr="00566EBF">
        <w:rPr>
          <w:rtl/>
        </w:rPr>
        <w:t xml:space="preserve">، وجهاد ماضي، </w:t>
      </w:r>
      <w:proofErr w:type="spellStart"/>
      <w:r w:rsidRPr="00566EBF">
        <w:rPr>
          <w:rtl/>
        </w:rPr>
        <w:t>وبينيام</w:t>
      </w:r>
      <w:proofErr w:type="spellEnd"/>
      <w:r w:rsidRPr="00566EBF">
        <w:rPr>
          <w:rtl/>
        </w:rPr>
        <w:t xml:space="preserve"> داويت مزمور، وأوتاني </w:t>
      </w:r>
      <w:proofErr w:type="spellStart"/>
      <w:r w:rsidRPr="00566EBF">
        <w:rPr>
          <w:rtl/>
        </w:rPr>
        <w:t>ميكيكو</w:t>
      </w:r>
      <w:proofErr w:type="spellEnd"/>
      <w:r w:rsidRPr="00566EBF">
        <w:rPr>
          <w:rtl/>
        </w:rPr>
        <w:t xml:space="preserve">، ولويس </w:t>
      </w:r>
      <w:proofErr w:type="spellStart"/>
      <w:r w:rsidRPr="00566EBF">
        <w:rPr>
          <w:rtl/>
        </w:rPr>
        <w:t>إرنستو</w:t>
      </w:r>
      <w:proofErr w:type="spellEnd"/>
      <w:r w:rsidRPr="00566EBF">
        <w:rPr>
          <w:rtl/>
        </w:rPr>
        <w:t xml:space="preserve"> </w:t>
      </w:r>
      <w:proofErr w:type="spellStart"/>
      <w:r w:rsidRPr="00566EBF">
        <w:rPr>
          <w:rtl/>
        </w:rPr>
        <w:t>بيدرنيرا</w:t>
      </w:r>
      <w:proofErr w:type="spellEnd"/>
      <w:r w:rsidRPr="00566EBF">
        <w:rPr>
          <w:rtl/>
        </w:rPr>
        <w:t xml:space="preserve"> رينا، وخوسيه أنجيل </w:t>
      </w:r>
      <w:proofErr w:type="spellStart"/>
      <w:r w:rsidRPr="00566EBF">
        <w:rPr>
          <w:rtl/>
        </w:rPr>
        <w:t>روغيث</w:t>
      </w:r>
      <w:proofErr w:type="spellEnd"/>
      <w:r w:rsidRPr="00566EBF">
        <w:rPr>
          <w:rtl/>
        </w:rPr>
        <w:t xml:space="preserve"> </w:t>
      </w:r>
      <w:proofErr w:type="spellStart"/>
      <w:r w:rsidRPr="00566EBF">
        <w:rPr>
          <w:rtl/>
        </w:rPr>
        <w:t>رييس</w:t>
      </w:r>
      <w:proofErr w:type="spellEnd"/>
      <w:r w:rsidRPr="00566EBF">
        <w:rPr>
          <w:rtl/>
        </w:rPr>
        <w:t xml:space="preserve">، وآن ماري </w:t>
      </w:r>
      <w:proofErr w:type="spellStart"/>
      <w:r w:rsidRPr="00566EBF">
        <w:rPr>
          <w:rtl/>
        </w:rPr>
        <w:t>سكيلتون</w:t>
      </w:r>
      <w:proofErr w:type="spellEnd"/>
      <w:r w:rsidRPr="00566EBF">
        <w:rPr>
          <w:rtl/>
        </w:rPr>
        <w:t xml:space="preserve">، وفيلينا </w:t>
      </w:r>
      <w:proofErr w:type="spellStart"/>
      <w:r w:rsidRPr="00566EBF">
        <w:rPr>
          <w:rtl/>
        </w:rPr>
        <w:t>تودوروفا</w:t>
      </w:r>
      <w:proofErr w:type="spellEnd"/>
      <w:r w:rsidRPr="00566EBF">
        <w:rPr>
          <w:rtl/>
        </w:rPr>
        <w:t xml:space="preserve">، </w:t>
      </w:r>
      <w:proofErr w:type="spellStart"/>
      <w:r w:rsidRPr="00566EBF">
        <w:rPr>
          <w:rtl/>
        </w:rPr>
        <w:t>وريناتي</w:t>
      </w:r>
      <w:proofErr w:type="spellEnd"/>
      <w:r w:rsidRPr="00566EBF">
        <w:rPr>
          <w:rtl/>
        </w:rPr>
        <w:t xml:space="preserve"> وينتر.</w:t>
      </w:r>
    </w:p>
  </w:footnote>
  <w:footnote w:id="3">
    <w:p w14:paraId="023E4483" w14:textId="66CB72E7" w:rsidR="000135B5" w:rsidRPr="00DD60CD" w:rsidRDefault="000135B5" w:rsidP="000135B5">
      <w:pPr>
        <w:pStyle w:val="FootnoteText1"/>
        <w:rPr>
          <w:lang w:val="fr-CH"/>
        </w:rPr>
      </w:pPr>
      <w:r>
        <w:rPr>
          <w:rtl/>
        </w:rPr>
        <w:t>(</w:t>
      </w:r>
      <w:r w:rsidRPr="000135B5">
        <w:rPr>
          <w:rFonts w:cs="Times New Roman"/>
        </w:rPr>
        <w:footnoteRef/>
      </w:r>
      <w:r>
        <w:rPr>
          <w:rtl/>
        </w:rPr>
        <w:t>)</w:t>
      </w:r>
      <w:r w:rsidRPr="00566EBF">
        <w:rPr>
          <w:rtl/>
        </w:rPr>
        <w:tab/>
      </w:r>
      <w:r w:rsidRPr="00DD60CD">
        <w:rPr>
          <w:lang w:val="fr-CH" w:eastAsia="zh-TW" w:bidi="en-GB"/>
        </w:rPr>
        <w:t xml:space="preserve">Le Nouvel </w:t>
      </w:r>
      <w:proofErr w:type="spellStart"/>
      <w:r w:rsidRPr="00DD60CD">
        <w:rPr>
          <w:lang w:val="fr-CH" w:eastAsia="zh-TW" w:bidi="en-GB"/>
        </w:rPr>
        <w:t>Osbervateur</w:t>
      </w:r>
      <w:proofErr w:type="spellEnd"/>
      <w:r w:rsidRPr="00DD60CD">
        <w:rPr>
          <w:lang w:val="fr-CH" w:eastAsia="zh-TW" w:bidi="en-GB"/>
        </w:rPr>
        <w:t xml:space="preserve"> and Agence France Presse, “Syrie: près de </w:t>
      </w:r>
      <w:r w:rsidRPr="00DD60CD">
        <w:rPr>
          <w:szCs w:val="18"/>
          <w:lang w:val="fr-CH" w:eastAsia="zh-TW" w:bidi="en-GB"/>
        </w:rPr>
        <w:t>800</w:t>
      </w:r>
      <w:r w:rsidRPr="00DD60CD">
        <w:rPr>
          <w:lang w:val="fr-CH" w:eastAsia="zh-TW" w:bidi="en-GB"/>
        </w:rPr>
        <w:t xml:space="preserve"> proches de membres de l’EI ont fui un camps de </w:t>
      </w:r>
      <w:proofErr w:type="gramStart"/>
      <w:r w:rsidRPr="00DD60CD">
        <w:rPr>
          <w:lang w:val="fr-CH" w:eastAsia="zh-TW" w:bidi="en-GB"/>
        </w:rPr>
        <w:t>déplacés”,</w:t>
      </w:r>
      <w:proofErr w:type="gramEnd"/>
      <w:r w:rsidRPr="00DD60CD">
        <w:rPr>
          <w:lang w:val="fr-CH" w:eastAsia="zh-TW" w:bidi="en-GB"/>
        </w:rPr>
        <w:t xml:space="preserve"> </w:t>
      </w:r>
      <w:r w:rsidRPr="00DD60CD">
        <w:rPr>
          <w:szCs w:val="18"/>
          <w:lang w:val="fr-CH" w:eastAsia="zh-TW" w:bidi="en-GB"/>
        </w:rPr>
        <w:t>13</w:t>
      </w:r>
      <w:r w:rsidRPr="00DD60CD">
        <w:rPr>
          <w:lang w:val="fr-CH" w:eastAsia="zh-TW" w:bidi="en-GB"/>
        </w:rPr>
        <w:t xml:space="preserve"> </w:t>
      </w:r>
      <w:proofErr w:type="spellStart"/>
      <w:r w:rsidRPr="00DD60CD">
        <w:rPr>
          <w:lang w:val="fr-CH" w:eastAsia="zh-TW" w:bidi="en-GB"/>
        </w:rPr>
        <w:t>October</w:t>
      </w:r>
      <w:proofErr w:type="spellEnd"/>
      <w:r w:rsidRPr="00DD60CD">
        <w:rPr>
          <w:lang w:val="fr-CH" w:eastAsia="zh-TW" w:bidi="en-GB"/>
        </w:rPr>
        <w:t xml:space="preserve"> </w:t>
      </w:r>
      <w:r w:rsidRPr="00DD60CD">
        <w:rPr>
          <w:szCs w:val="18"/>
          <w:lang w:val="fr-CH" w:eastAsia="zh-TW" w:bidi="en-GB"/>
        </w:rPr>
        <w:t>2019</w:t>
      </w:r>
      <w:r w:rsidRPr="00566EBF">
        <w:rPr>
          <w:rtl/>
          <w:lang w:eastAsia="zh-TW"/>
        </w:rPr>
        <w:t>.</w:t>
      </w:r>
    </w:p>
  </w:footnote>
  <w:footnote w:id="4">
    <w:p w14:paraId="64E2BF7C" w14:textId="65108D67" w:rsidR="000135B5" w:rsidRPr="00DD60CD" w:rsidRDefault="000135B5" w:rsidP="000135B5">
      <w:pPr>
        <w:pStyle w:val="FootnoteText1"/>
        <w:rPr>
          <w:lang w:val="fr-CH"/>
        </w:rPr>
      </w:pPr>
      <w:r>
        <w:rPr>
          <w:rtl/>
        </w:rPr>
        <w:t>(</w:t>
      </w:r>
      <w:r w:rsidRPr="000135B5">
        <w:rPr>
          <w:rFonts w:cs="Times New Roman"/>
        </w:rPr>
        <w:footnoteRef/>
      </w:r>
      <w:r>
        <w:rPr>
          <w:rtl/>
        </w:rPr>
        <w:t>)</w:t>
      </w:r>
      <w:r w:rsidRPr="00566EBF">
        <w:rPr>
          <w:rtl/>
        </w:rPr>
        <w:tab/>
      </w:r>
      <w:r w:rsidRPr="00DD60CD">
        <w:rPr>
          <w:lang w:val="fr-CH"/>
        </w:rPr>
        <w:t xml:space="preserve">Radio France International, “Syrie: accord entre les Kurdes et Damas contre l’offensive </w:t>
      </w:r>
      <w:proofErr w:type="gramStart"/>
      <w:r w:rsidRPr="00DD60CD">
        <w:rPr>
          <w:lang w:val="fr-CH"/>
        </w:rPr>
        <w:t>turque”,</w:t>
      </w:r>
      <w:proofErr w:type="gramEnd"/>
      <w:r w:rsidRPr="00DD60CD">
        <w:rPr>
          <w:lang w:val="fr-CH"/>
        </w:rPr>
        <w:t xml:space="preserve"> </w:t>
      </w:r>
      <w:r w:rsidRPr="00DD60CD">
        <w:rPr>
          <w:szCs w:val="18"/>
          <w:lang w:val="fr-CH"/>
        </w:rPr>
        <w:t>13</w:t>
      </w:r>
      <w:r w:rsidRPr="00DD60CD">
        <w:rPr>
          <w:lang w:val="fr-CH"/>
        </w:rPr>
        <w:t xml:space="preserve"> </w:t>
      </w:r>
      <w:proofErr w:type="spellStart"/>
      <w:r w:rsidRPr="00DD60CD">
        <w:rPr>
          <w:lang w:val="fr-CH"/>
        </w:rPr>
        <w:t>October</w:t>
      </w:r>
      <w:proofErr w:type="spellEnd"/>
      <w:r w:rsidRPr="00DD60CD">
        <w:rPr>
          <w:lang w:val="fr-CH"/>
        </w:rPr>
        <w:t xml:space="preserve"> </w:t>
      </w:r>
      <w:r w:rsidRPr="00DD60CD">
        <w:rPr>
          <w:szCs w:val="18"/>
          <w:lang w:val="fr-CH"/>
        </w:rPr>
        <w:t>2019</w:t>
      </w:r>
      <w:r w:rsidRPr="00566EBF">
        <w:rPr>
          <w:rtl/>
        </w:rPr>
        <w:t>.</w:t>
      </w:r>
      <w:r w:rsidR="00994502">
        <w:rPr>
          <w:rtl/>
        </w:rPr>
        <w:t xml:space="preserve"> </w:t>
      </w:r>
    </w:p>
  </w:footnote>
  <w:footnote w:id="5">
    <w:p w14:paraId="43C89A52" w14:textId="6F5BC358" w:rsidR="000135B5" w:rsidRPr="00DD60CD" w:rsidRDefault="000135B5" w:rsidP="000135B5">
      <w:pPr>
        <w:pStyle w:val="FootnoteText1"/>
        <w:rPr>
          <w:lang w:val="fr-CH"/>
        </w:rPr>
      </w:pPr>
      <w:r>
        <w:rPr>
          <w:rtl/>
        </w:rPr>
        <w:t>(</w:t>
      </w:r>
      <w:r w:rsidRPr="000135B5">
        <w:rPr>
          <w:rFonts w:cs="Times New Roman"/>
        </w:rPr>
        <w:footnoteRef/>
      </w:r>
      <w:r>
        <w:rPr>
          <w:rtl/>
        </w:rPr>
        <w:t>)</w:t>
      </w:r>
      <w:r w:rsidRPr="00566EBF">
        <w:rPr>
          <w:rtl/>
        </w:rPr>
        <w:tab/>
      </w:r>
      <w:r w:rsidRPr="00DD60CD">
        <w:rPr>
          <w:lang w:val="fr-CH"/>
        </w:rPr>
        <w:t xml:space="preserve">Ibid., “Syrie: ce que prévoit l’accord conclu par Poutine et </w:t>
      </w:r>
      <w:proofErr w:type="gramStart"/>
      <w:r w:rsidRPr="00DD60CD">
        <w:rPr>
          <w:lang w:val="fr-CH"/>
        </w:rPr>
        <w:t>Erdogan”,</w:t>
      </w:r>
      <w:proofErr w:type="gramEnd"/>
      <w:r w:rsidRPr="00DD60CD">
        <w:rPr>
          <w:lang w:val="fr-CH"/>
        </w:rPr>
        <w:t xml:space="preserve"> </w:t>
      </w:r>
      <w:r w:rsidRPr="00DD60CD">
        <w:rPr>
          <w:szCs w:val="18"/>
          <w:lang w:val="fr-CH"/>
        </w:rPr>
        <w:t>22</w:t>
      </w:r>
      <w:r w:rsidRPr="00DD60CD">
        <w:rPr>
          <w:lang w:val="fr-CH"/>
        </w:rPr>
        <w:t xml:space="preserve"> </w:t>
      </w:r>
      <w:proofErr w:type="spellStart"/>
      <w:r w:rsidRPr="00DD60CD">
        <w:rPr>
          <w:lang w:val="fr-CH"/>
        </w:rPr>
        <w:t>October</w:t>
      </w:r>
      <w:proofErr w:type="spellEnd"/>
      <w:r w:rsidRPr="00DD60CD">
        <w:rPr>
          <w:lang w:val="fr-CH"/>
        </w:rPr>
        <w:t xml:space="preserve"> </w:t>
      </w:r>
      <w:r w:rsidRPr="00DD60CD">
        <w:rPr>
          <w:szCs w:val="18"/>
          <w:lang w:val="fr-CH"/>
        </w:rPr>
        <w:t>2019</w:t>
      </w:r>
      <w:r w:rsidRPr="00566EBF">
        <w:rPr>
          <w:rtl/>
        </w:rPr>
        <w:t>.</w:t>
      </w:r>
      <w:r w:rsidR="00994502">
        <w:rPr>
          <w:rtl/>
        </w:rPr>
        <w:t xml:space="preserve"> </w:t>
      </w:r>
    </w:p>
  </w:footnote>
  <w:footnote w:id="6">
    <w:p w14:paraId="2ECC6D91" w14:textId="7E6CDAC0" w:rsidR="000135B5" w:rsidRPr="00DD60CD" w:rsidRDefault="000135B5" w:rsidP="000135B5">
      <w:pPr>
        <w:pStyle w:val="FootnoteText1"/>
        <w:rPr>
          <w:lang w:val="fr-CH"/>
        </w:rPr>
      </w:pPr>
      <w:r>
        <w:rPr>
          <w:rtl/>
        </w:rPr>
        <w:t>(</w:t>
      </w:r>
      <w:r w:rsidRPr="000135B5">
        <w:rPr>
          <w:rFonts w:cs="Times New Roman"/>
        </w:rPr>
        <w:footnoteRef/>
      </w:r>
      <w:r>
        <w:rPr>
          <w:rtl/>
        </w:rPr>
        <w:t>)</w:t>
      </w:r>
      <w:r w:rsidRPr="00566EBF">
        <w:rPr>
          <w:rtl/>
        </w:rPr>
        <w:tab/>
      </w:r>
      <w:r w:rsidRPr="00DD60CD">
        <w:rPr>
          <w:lang w:val="fr-CH"/>
        </w:rPr>
        <w:t xml:space="preserve">L’Express and Agence France Presse, “Les Kurdes ont achevé leur retrait du nord de la </w:t>
      </w:r>
      <w:proofErr w:type="gramStart"/>
      <w:r w:rsidRPr="00DD60CD">
        <w:rPr>
          <w:lang w:val="fr-CH"/>
        </w:rPr>
        <w:t>Syrie”,</w:t>
      </w:r>
      <w:proofErr w:type="gramEnd"/>
      <w:r w:rsidRPr="00DD60CD">
        <w:rPr>
          <w:lang w:val="fr-CH"/>
        </w:rPr>
        <w:t xml:space="preserve"> </w:t>
      </w:r>
      <w:r w:rsidRPr="00DD60CD">
        <w:rPr>
          <w:szCs w:val="18"/>
          <w:lang w:val="fr-CH"/>
        </w:rPr>
        <w:t>30</w:t>
      </w:r>
      <w:r w:rsidRPr="00DD60CD">
        <w:rPr>
          <w:lang w:val="fr-CH"/>
        </w:rPr>
        <w:t xml:space="preserve"> </w:t>
      </w:r>
      <w:proofErr w:type="spellStart"/>
      <w:r w:rsidRPr="00DD60CD">
        <w:rPr>
          <w:lang w:val="fr-CH"/>
        </w:rPr>
        <w:t>October</w:t>
      </w:r>
      <w:proofErr w:type="spellEnd"/>
      <w:r w:rsidRPr="00DD60CD">
        <w:rPr>
          <w:lang w:val="fr-CH"/>
        </w:rPr>
        <w:t xml:space="preserve"> </w:t>
      </w:r>
      <w:r w:rsidRPr="00DD60CD">
        <w:rPr>
          <w:szCs w:val="18"/>
          <w:lang w:val="fr-CH"/>
        </w:rPr>
        <w:t>2019</w:t>
      </w:r>
      <w:r w:rsidRPr="00566EBF">
        <w:rPr>
          <w:rtl/>
        </w:rPr>
        <w:t>.</w:t>
      </w:r>
      <w:r w:rsidR="00994502">
        <w:rPr>
          <w:rtl/>
        </w:rPr>
        <w:t xml:space="preserve"> </w:t>
      </w:r>
    </w:p>
  </w:footnote>
  <w:footnote w:id="7">
    <w:p w14:paraId="6C7BCBCA" w14:textId="57563416" w:rsidR="000135B5" w:rsidRPr="00DD60CD" w:rsidRDefault="000135B5" w:rsidP="00DD60CD">
      <w:pPr>
        <w:pStyle w:val="FootnoteText1"/>
        <w:spacing w:line="240" w:lineRule="exact"/>
        <w:rPr>
          <w:lang w:val="fr-CH"/>
        </w:rPr>
      </w:pPr>
      <w:r>
        <w:rPr>
          <w:rtl/>
        </w:rPr>
        <w:t>(</w:t>
      </w:r>
      <w:r w:rsidRPr="000135B5">
        <w:rPr>
          <w:rFonts w:cs="Times New Roman"/>
        </w:rPr>
        <w:footnoteRef/>
      </w:r>
      <w:r>
        <w:rPr>
          <w:rtl/>
        </w:rPr>
        <w:t>)</w:t>
      </w:r>
      <w:r w:rsidRPr="00566EBF">
        <w:rPr>
          <w:rtl/>
        </w:rPr>
        <w:tab/>
      </w:r>
      <w:r w:rsidRPr="00DD60CD">
        <w:rPr>
          <w:lang w:val="fr-CH" w:eastAsia="zh-TW" w:bidi="en-GB"/>
        </w:rPr>
        <w:t xml:space="preserve">Anne-Bénédicte </w:t>
      </w:r>
      <w:proofErr w:type="spellStart"/>
      <w:r w:rsidRPr="00DD60CD">
        <w:rPr>
          <w:lang w:val="fr-CH" w:eastAsia="zh-TW" w:bidi="en-GB"/>
        </w:rPr>
        <w:t>Hoffner</w:t>
      </w:r>
      <w:proofErr w:type="spellEnd"/>
      <w:r w:rsidRPr="00DD60CD">
        <w:rPr>
          <w:lang w:val="fr-CH" w:eastAsia="zh-TW" w:bidi="en-GB"/>
        </w:rPr>
        <w:t xml:space="preserve">, “En Syrie, l’avenir incertain des djihadistes </w:t>
      </w:r>
      <w:proofErr w:type="gramStart"/>
      <w:r w:rsidRPr="00DD60CD">
        <w:rPr>
          <w:lang w:val="fr-CH" w:eastAsia="zh-TW" w:bidi="en-GB"/>
        </w:rPr>
        <w:t>français”,</w:t>
      </w:r>
      <w:proofErr w:type="gramEnd"/>
      <w:r w:rsidRPr="00DD60CD">
        <w:rPr>
          <w:lang w:val="fr-CH" w:eastAsia="zh-TW" w:bidi="en-GB"/>
        </w:rPr>
        <w:t xml:space="preserve"> La Croix, </w:t>
      </w:r>
      <w:r w:rsidRPr="00DD60CD">
        <w:rPr>
          <w:szCs w:val="18"/>
          <w:lang w:val="fr-CH" w:eastAsia="zh-TW" w:bidi="en-GB"/>
        </w:rPr>
        <w:t>29</w:t>
      </w:r>
      <w:r w:rsidRPr="00DD60CD">
        <w:rPr>
          <w:lang w:val="fr-CH" w:eastAsia="zh-TW" w:bidi="en-GB"/>
        </w:rPr>
        <w:t xml:space="preserve"> </w:t>
      </w:r>
      <w:proofErr w:type="spellStart"/>
      <w:r w:rsidRPr="00DD60CD">
        <w:rPr>
          <w:lang w:val="fr-CH" w:eastAsia="zh-TW" w:bidi="en-GB"/>
        </w:rPr>
        <w:t>October</w:t>
      </w:r>
      <w:proofErr w:type="spellEnd"/>
      <w:r w:rsidRPr="00DD60CD">
        <w:rPr>
          <w:lang w:val="fr-CH" w:eastAsia="zh-TW" w:bidi="en-GB"/>
        </w:rPr>
        <w:t xml:space="preserve"> </w:t>
      </w:r>
      <w:r w:rsidRPr="00DD60CD">
        <w:rPr>
          <w:szCs w:val="18"/>
          <w:lang w:val="fr-CH" w:eastAsia="zh-TW" w:bidi="en-GB"/>
        </w:rPr>
        <w:t>2019</w:t>
      </w:r>
      <w:r w:rsidRPr="00566EBF">
        <w:rPr>
          <w:rtl/>
          <w:lang w:eastAsia="zh-TW"/>
        </w:rPr>
        <w:t>.</w:t>
      </w:r>
    </w:p>
  </w:footnote>
  <w:footnote w:id="8">
    <w:p w14:paraId="168AE411" w14:textId="71980DBC" w:rsidR="000135B5" w:rsidRPr="00DD60CD" w:rsidRDefault="000135B5" w:rsidP="00DD60CD">
      <w:pPr>
        <w:pStyle w:val="FootnoteText1"/>
        <w:spacing w:line="240" w:lineRule="exact"/>
        <w:rPr>
          <w:lang w:val="fr-CH"/>
        </w:rPr>
      </w:pPr>
      <w:r>
        <w:rPr>
          <w:rtl/>
        </w:rPr>
        <w:t>(</w:t>
      </w:r>
      <w:r w:rsidRPr="000135B5">
        <w:rPr>
          <w:rFonts w:cs="Times New Roman"/>
        </w:rPr>
        <w:footnoteRef/>
      </w:r>
      <w:r>
        <w:rPr>
          <w:rtl/>
        </w:rPr>
        <w:t>)</w:t>
      </w:r>
      <w:r w:rsidRPr="00566EBF">
        <w:rPr>
          <w:rtl/>
        </w:rPr>
        <w:tab/>
      </w:r>
      <w:r w:rsidRPr="00DD60CD">
        <w:rPr>
          <w:lang w:val="fr-CH"/>
        </w:rPr>
        <w:t xml:space="preserve">Gwendoline </w:t>
      </w:r>
      <w:proofErr w:type="spellStart"/>
      <w:r w:rsidRPr="00DD60CD">
        <w:rPr>
          <w:lang w:val="fr-CH"/>
        </w:rPr>
        <w:t>Debono</w:t>
      </w:r>
      <w:proofErr w:type="spellEnd"/>
      <w:r w:rsidRPr="00DD60CD">
        <w:rPr>
          <w:lang w:val="fr-CH"/>
        </w:rPr>
        <w:t xml:space="preserve">, “Syrie: les Kurdes ne veulent plus garder les </w:t>
      </w:r>
      <w:proofErr w:type="spellStart"/>
      <w:r w:rsidRPr="00DD60CD">
        <w:rPr>
          <w:lang w:val="fr-CH"/>
        </w:rPr>
        <w:t>dijihadistes</w:t>
      </w:r>
      <w:proofErr w:type="spellEnd"/>
      <w:r w:rsidRPr="00DD60CD">
        <w:rPr>
          <w:lang w:val="fr-CH"/>
        </w:rPr>
        <w:t xml:space="preserve"> français de </w:t>
      </w:r>
      <w:proofErr w:type="gramStart"/>
      <w:r w:rsidRPr="00DD60CD">
        <w:rPr>
          <w:lang w:val="fr-CH"/>
        </w:rPr>
        <w:t>Daech”,</w:t>
      </w:r>
      <w:proofErr w:type="gramEnd"/>
      <w:r w:rsidRPr="00DD60CD">
        <w:rPr>
          <w:lang w:val="fr-CH"/>
        </w:rPr>
        <w:t xml:space="preserve"> </w:t>
      </w:r>
      <w:proofErr w:type="spellStart"/>
      <w:r w:rsidRPr="00DD60CD">
        <w:rPr>
          <w:i/>
          <w:iCs/>
          <w:lang w:val="fr-CH"/>
        </w:rPr>
        <w:t>Europe</w:t>
      </w:r>
      <w:r w:rsidRPr="00DD60CD">
        <w:rPr>
          <w:i/>
          <w:iCs/>
          <w:szCs w:val="18"/>
          <w:lang w:val="fr-CH"/>
        </w:rPr>
        <w:t>1</w:t>
      </w:r>
      <w:proofErr w:type="spellEnd"/>
      <w:r w:rsidRPr="00DD60CD">
        <w:rPr>
          <w:lang w:val="fr-CH"/>
        </w:rPr>
        <w:t xml:space="preserve">, </w:t>
      </w:r>
      <w:r w:rsidRPr="00DD60CD">
        <w:rPr>
          <w:szCs w:val="18"/>
          <w:lang w:val="fr-CH"/>
        </w:rPr>
        <w:t>13</w:t>
      </w:r>
      <w:r w:rsidRPr="00DD60CD">
        <w:rPr>
          <w:lang w:val="fr-CH"/>
        </w:rPr>
        <w:t xml:space="preserve"> April </w:t>
      </w:r>
      <w:r w:rsidRPr="00DD60CD">
        <w:rPr>
          <w:szCs w:val="18"/>
          <w:lang w:val="fr-CH"/>
        </w:rPr>
        <w:t>2018</w:t>
      </w:r>
      <w:r w:rsidRPr="00566EBF">
        <w:rPr>
          <w:rtl/>
        </w:rPr>
        <w:t>.</w:t>
      </w:r>
      <w:r w:rsidR="00994502">
        <w:rPr>
          <w:rtl/>
        </w:rPr>
        <w:t xml:space="preserve"> </w:t>
      </w:r>
    </w:p>
  </w:footnote>
  <w:footnote w:id="9">
    <w:p w14:paraId="7B70941B" w14:textId="444E74D6" w:rsidR="000135B5" w:rsidRPr="00566EBF" w:rsidRDefault="000135B5" w:rsidP="00DD60CD">
      <w:pPr>
        <w:pStyle w:val="FootnoteText1"/>
        <w:spacing w:line="240" w:lineRule="exact"/>
        <w:rPr>
          <w:rtl/>
        </w:rPr>
      </w:pPr>
      <w:r>
        <w:rPr>
          <w:rtl/>
        </w:rPr>
        <w:t>(</w:t>
      </w:r>
      <w:r w:rsidRPr="000135B5">
        <w:rPr>
          <w:rFonts w:cs="Times New Roman"/>
        </w:rPr>
        <w:footnoteRef/>
      </w:r>
      <w:r>
        <w:rPr>
          <w:rtl/>
        </w:rPr>
        <w:t>)</w:t>
      </w:r>
      <w:r w:rsidRPr="00566EBF">
        <w:rPr>
          <w:rtl/>
        </w:rPr>
        <w:tab/>
      </w:r>
      <w:r w:rsidRPr="00DD60CD">
        <w:rPr>
          <w:lang w:val="fr-CH" w:eastAsia="zh-TW" w:bidi="en-GB"/>
        </w:rPr>
        <w:t xml:space="preserve">Luc Mathieu and Chloé </w:t>
      </w:r>
      <w:proofErr w:type="spellStart"/>
      <w:r w:rsidRPr="00DD60CD">
        <w:rPr>
          <w:lang w:val="fr-CH" w:eastAsia="zh-TW" w:bidi="en-GB"/>
        </w:rPr>
        <w:t>Pilorget-Rezzouk</w:t>
      </w:r>
      <w:proofErr w:type="spellEnd"/>
      <w:r w:rsidRPr="00DD60CD">
        <w:rPr>
          <w:lang w:val="fr-CH" w:eastAsia="zh-TW" w:bidi="en-GB"/>
        </w:rPr>
        <w:t xml:space="preserve">, “Jihadistes et leurs familles: le défi du </w:t>
      </w:r>
      <w:proofErr w:type="gramStart"/>
      <w:r w:rsidRPr="00DD60CD">
        <w:rPr>
          <w:lang w:val="fr-CH" w:eastAsia="zh-TW" w:bidi="en-GB"/>
        </w:rPr>
        <w:t>retour”,</w:t>
      </w:r>
      <w:proofErr w:type="gramEnd"/>
      <w:r w:rsidRPr="00DD60CD">
        <w:rPr>
          <w:lang w:val="fr-CH" w:eastAsia="zh-TW" w:bidi="en-GB"/>
        </w:rPr>
        <w:t xml:space="preserve"> </w:t>
      </w:r>
      <w:r w:rsidRPr="00DD60CD">
        <w:rPr>
          <w:i/>
          <w:iCs/>
          <w:lang w:val="fr-CH" w:eastAsia="zh-TW" w:bidi="en-GB"/>
        </w:rPr>
        <w:t>Libération</w:t>
      </w:r>
      <w:r w:rsidRPr="00DD60CD">
        <w:rPr>
          <w:lang w:val="fr-CH" w:eastAsia="zh-TW" w:bidi="en-GB"/>
        </w:rPr>
        <w:t xml:space="preserve">, </w:t>
      </w:r>
      <w:r w:rsidRPr="00DD60CD">
        <w:rPr>
          <w:szCs w:val="18"/>
          <w:lang w:val="fr-CH" w:eastAsia="zh-TW" w:bidi="en-GB"/>
        </w:rPr>
        <w:t>31</w:t>
      </w:r>
      <w:r w:rsidRPr="00DD60CD">
        <w:rPr>
          <w:lang w:val="fr-CH" w:eastAsia="zh-TW" w:bidi="en-GB"/>
        </w:rPr>
        <w:t xml:space="preserve"> </w:t>
      </w:r>
      <w:proofErr w:type="spellStart"/>
      <w:r w:rsidRPr="00DD60CD">
        <w:rPr>
          <w:lang w:val="fr-CH" w:eastAsia="zh-TW" w:bidi="en-GB"/>
        </w:rPr>
        <w:t>January</w:t>
      </w:r>
      <w:proofErr w:type="spellEnd"/>
      <w:r w:rsidRPr="00DD60CD">
        <w:rPr>
          <w:lang w:val="fr-CH" w:eastAsia="zh-TW" w:bidi="en-GB"/>
        </w:rPr>
        <w:t xml:space="preserve"> </w:t>
      </w:r>
      <w:r w:rsidRPr="00DD60CD">
        <w:rPr>
          <w:szCs w:val="18"/>
          <w:lang w:val="fr-CH" w:eastAsia="zh-TW" w:bidi="en-GB"/>
        </w:rPr>
        <w:t>2019</w:t>
      </w:r>
      <w:r w:rsidRPr="00DD60CD">
        <w:rPr>
          <w:lang w:val="fr-CH" w:eastAsia="zh-TW" w:bidi="en-GB"/>
        </w:rPr>
        <w:t xml:space="preserve">; Sophie Parmentier, “Enfants de djihadistes en Syrie: ‘Il faut les sauver, et il y a </w:t>
      </w:r>
      <w:proofErr w:type="spellStart"/>
      <w:r w:rsidRPr="00DD60CD">
        <w:rPr>
          <w:lang w:val="fr-CH" w:eastAsia="zh-TW" w:bidi="en-GB"/>
        </w:rPr>
        <w:t>urgence!</w:t>
      </w:r>
      <w:r w:rsidRPr="00DD60CD">
        <w:rPr>
          <w:szCs w:val="18"/>
          <w:lang w:val="fr-CH" w:eastAsia="zh-TW" w:bidi="en-GB"/>
        </w:rPr>
        <w:t>27</w:t>
      </w:r>
      <w:proofErr w:type="spellEnd"/>
      <w:r w:rsidRPr="00DD60CD">
        <w:rPr>
          <w:lang w:val="fr-CH" w:eastAsia="zh-TW" w:bidi="en-GB"/>
        </w:rPr>
        <w:t xml:space="preserve"> </w:t>
      </w:r>
      <w:proofErr w:type="spellStart"/>
      <w:r w:rsidRPr="00DD60CD">
        <w:rPr>
          <w:lang w:val="fr-CH" w:eastAsia="zh-TW" w:bidi="en-GB"/>
        </w:rPr>
        <w:t>December</w:t>
      </w:r>
      <w:proofErr w:type="spellEnd"/>
      <w:r w:rsidRPr="00DD60CD">
        <w:rPr>
          <w:lang w:val="fr-CH" w:eastAsia="zh-TW" w:bidi="en-GB"/>
        </w:rPr>
        <w:t xml:space="preserve"> </w:t>
      </w:r>
      <w:r w:rsidRPr="00DD60CD">
        <w:rPr>
          <w:szCs w:val="18"/>
          <w:lang w:val="fr-CH" w:eastAsia="zh-TW" w:bidi="en-GB"/>
        </w:rPr>
        <w:t>2018</w:t>
      </w:r>
      <w:r w:rsidRPr="00566EBF">
        <w:rPr>
          <w:rFonts w:hint="cs"/>
          <w:rtl/>
        </w:rPr>
        <w:t>.</w:t>
      </w:r>
    </w:p>
  </w:footnote>
  <w:footnote w:id="10">
    <w:p w14:paraId="1442B523" w14:textId="3878E9C4" w:rsidR="000135B5" w:rsidRPr="00DD60CD" w:rsidRDefault="000135B5" w:rsidP="000135B5">
      <w:pPr>
        <w:pStyle w:val="FootnoteText1"/>
        <w:rPr>
          <w:spacing w:val="-6"/>
          <w:lang w:val="fr-CH"/>
        </w:rPr>
      </w:pPr>
      <w:r w:rsidRPr="000135B5">
        <w:rPr>
          <w:spacing w:val="-6"/>
          <w:rtl/>
        </w:rPr>
        <w:t>(</w:t>
      </w:r>
      <w:r w:rsidRPr="000135B5">
        <w:rPr>
          <w:rFonts w:cs="Times New Roman"/>
          <w:spacing w:val="-6"/>
        </w:rPr>
        <w:footnoteRef/>
      </w:r>
      <w:r w:rsidRPr="000135B5">
        <w:rPr>
          <w:spacing w:val="-6"/>
          <w:rtl/>
        </w:rPr>
        <w:t>)</w:t>
      </w:r>
      <w:r w:rsidRPr="000135B5">
        <w:rPr>
          <w:spacing w:val="-6"/>
          <w:rtl/>
        </w:rPr>
        <w:tab/>
      </w:r>
      <w:r w:rsidRPr="00DD60CD">
        <w:rPr>
          <w:spacing w:val="-6"/>
          <w:lang w:val="fr-CH"/>
        </w:rPr>
        <w:t xml:space="preserve">Le Figaro and Agence France Presse, “Syrie, le froid hivernal a tué </w:t>
      </w:r>
      <w:r w:rsidRPr="00DD60CD">
        <w:rPr>
          <w:spacing w:val="-6"/>
          <w:szCs w:val="18"/>
          <w:lang w:val="fr-CH"/>
        </w:rPr>
        <w:t>29</w:t>
      </w:r>
      <w:r w:rsidRPr="00DD60CD">
        <w:rPr>
          <w:spacing w:val="-6"/>
          <w:lang w:val="fr-CH"/>
        </w:rPr>
        <w:t xml:space="preserve"> enfants (ONU</w:t>
      </w:r>
      <w:proofErr w:type="gramStart"/>
      <w:r w:rsidRPr="00DD60CD">
        <w:rPr>
          <w:spacing w:val="-6"/>
          <w:lang w:val="fr-CH"/>
        </w:rPr>
        <w:t>)”,</w:t>
      </w:r>
      <w:proofErr w:type="gramEnd"/>
      <w:r w:rsidRPr="00DD60CD">
        <w:rPr>
          <w:spacing w:val="-6"/>
          <w:lang w:val="fr-CH"/>
        </w:rPr>
        <w:t xml:space="preserve"> </w:t>
      </w:r>
      <w:r w:rsidRPr="00DD60CD">
        <w:rPr>
          <w:spacing w:val="-6"/>
          <w:szCs w:val="18"/>
          <w:lang w:val="fr-CH"/>
        </w:rPr>
        <w:t>31</w:t>
      </w:r>
      <w:r w:rsidRPr="00DD60CD">
        <w:rPr>
          <w:spacing w:val="-6"/>
          <w:lang w:val="fr-CH"/>
        </w:rPr>
        <w:t xml:space="preserve"> </w:t>
      </w:r>
      <w:proofErr w:type="spellStart"/>
      <w:r w:rsidRPr="00DD60CD">
        <w:rPr>
          <w:spacing w:val="-6"/>
          <w:lang w:val="fr-CH"/>
        </w:rPr>
        <w:t>January</w:t>
      </w:r>
      <w:proofErr w:type="spellEnd"/>
      <w:r w:rsidRPr="00DD60CD">
        <w:rPr>
          <w:spacing w:val="-6"/>
          <w:lang w:val="fr-CH"/>
        </w:rPr>
        <w:t xml:space="preserve"> </w:t>
      </w:r>
      <w:r w:rsidRPr="00DD60CD">
        <w:rPr>
          <w:spacing w:val="-6"/>
          <w:szCs w:val="18"/>
          <w:lang w:val="fr-CH"/>
        </w:rPr>
        <w:t>2019</w:t>
      </w:r>
      <w:r w:rsidRPr="000135B5">
        <w:rPr>
          <w:spacing w:val="-6"/>
          <w:rtl/>
        </w:rPr>
        <w:t>.</w:t>
      </w:r>
      <w:r w:rsidR="00994502">
        <w:rPr>
          <w:spacing w:val="-6"/>
          <w:rtl/>
        </w:rPr>
        <w:t xml:space="preserve"> </w:t>
      </w:r>
    </w:p>
  </w:footnote>
  <w:footnote w:id="11">
    <w:p w14:paraId="230D1746" w14:textId="58767571" w:rsidR="000135B5" w:rsidRPr="00566EBF" w:rsidRDefault="000135B5" w:rsidP="00DD60CD">
      <w:pPr>
        <w:pStyle w:val="FootnoteText1"/>
        <w:spacing w:line="240" w:lineRule="exact"/>
      </w:pPr>
      <w:r>
        <w:rPr>
          <w:rtl/>
        </w:rPr>
        <w:t>(</w:t>
      </w:r>
      <w:r w:rsidRPr="000135B5">
        <w:rPr>
          <w:rFonts w:cs="Times New Roman"/>
        </w:rPr>
        <w:footnoteRef/>
      </w:r>
      <w:r>
        <w:rPr>
          <w:rtl/>
        </w:rPr>
        <w:t>)</w:t>
      </w:r>
      <w:r w:rsidRPr="00566EBF">
        <w:rPr>
          <w:rtl/>
        </w:rPr>
        <w:tab/>
      </w:r>
      <w:r w:rsidRPr="00566EBF">
        <w:rPr>
          <w:lang w:eastAsia="zh-TW" w:bidi="en-GB"/>
        </w:rPr>
        <w:t xml:space="preserve">Marko Milanovic, </w:t>
      </w:r>
      <w:r w:rsidRPr="001D0236">
        <w:rPr>
          <w:i/>
          <w:iCs/>
          <w:lang w:eastAsia="zh-TW" w:bidi="en-GB"/>
        </w:rPr>
        <w:t>Extraterritorial Application of Human Rights Treaties: Law, Principles and Policy</w:t>
      </w:r>
      <w:r w:rsidRPr="00566EBF">
        <w:rPr>
          <w:lang w:eastAsia="zh-TW" w:bidi="en-GB"/>
        </w:rPr>
        <w:t xml:space="preserve"> (Oxford University Press, </w:t>
      </w:r>
      <w:proofErr w:type="gramStart"/>
      <w:r w:rsidRPr="000135B5">
        <w:rPr>
          <w:szCs w:val="18"/>
          <w:lang w:eastAsia="zh-TW" w:bidi="en-GB"/>
        </w:rPr>
        <w:t>2011</w:t>
      </w:r>
      <w:r w:rsidRPr="00566EBF">
        <w:rPr>
          <w:lang w:eastAsia="zh-TW" w:bidi="en-GB"/>
        </w:rPr>
        <w:t>),</w:t>
      </w:r>
      <w:proofErr w:type="gramEnd"/>
      <w:r w:rsidRPr="00566EBF">
        <w:rPr>
          <w:lang w:eastAsia="zh-TW" w:bidi="en-GB"/>
        </w:rPr>
        <w:t xml:space="preserve"> p. </w:t>
      </w:r>
      <w:r w:rsidRPr="000135B5">
        <w:rPr>
          <w:szCs w:val="18"/>
          <w:lang w:eastAsia="zh-TW" w:bidi="en-GB"/>
        </w:rPr>
        <w:t>8</w:t>
      </w:r>
      <w:r w:rsidRPr="00566EBF">
        <w:rPr>
          <w:lang w:eastAsia="zh-TW" w:bidi="en-GB"/>
        </w:rPr>
        <w:t>: “extraterritorial application does not require an extraterritorial state act but solely that the individual concerned is located outside the state territory, while the injury to his rights may as well take place inside it</w:t>
      </w:r>
      <w:r w:rsidRPr="00566EBF">
        <w:t>”</w:t>
      </w:r>
      <w:r w:rsidRPr="00566EBF">
        <w:rPr>
          <w:rtl/>
          <w:lang w:eastAsia="zh-TW"/>
        </w:rPr>
        <w:t>.</w:t>
      </w:r>
    </w:p>
  </w:footnote>
  <w:footnote w:id="12">
    <w:p w14:paraId="449EE646" w14:textId="5FBAFD1D" w:rsidR="000135B5" w:rsidRPr="00566EBF" w:rsidRDefault="000135B5" w:rsidP="00DD60CD">
      <w:pPr>
        <w:pStyle w:val="FootnoteText1"/>
        <w:spacing w:line="240" w:lineRule="exact"/>
      </w:pPr>
      <w:r>
        <w:rPr>
          <w:rtl/>
        </w:rPr>
        <w:t>(</w:t>
      </w:r>
      <w:r w:rsidRPr="000135B5">
        <w:rPr>
          <w:rFonts w:cs="Times New Roman"/>
        </w:rPr>
        <w:footnoteRef/>
      </w:r>
      <w:r>
        <w:rPr>
          <w:rtl/>
        </w:rPr>
        <w:t>)</w:t>
      </w:r>
      <w:r w:rsidRPr="00566EBF">
        <w:rPr>
          <w:rtl/>
        </w:rPr>
        <w:tab/>
      </w:r>
      <w:r w:rsidRPr="00566EBF">
        <w:rPr>
          <w:lang w:eastAsia="zh-TW" w:bidi="en-GB"/>
        </w:rPr>
        <w:t xml:space="preserve">European Court of Human Rights, </w:t>
      </w:r>
      <w:proofErr w:type="spellStart"/>
      <w:r w:rsidRPr="001D0236">
        <w:rPr>
          <w:i/>
          <w:iCs/>
          <w:lang w:eastAsia="zh-TW" w:bidi="en-GB"/>
        </w:rPr>
        <w:t>Ilascu</w:t>
      </w:r>
      <w:proofErr w:type="spellEnd"/>
      <w:r w:rsidRPr="001D0236">
        <w:rPr>
          <w:i/>
          <w:iCs/>
          <w:lang w:eastAsia="zh-TW" w:bidi="en-GB"/>
        </w:rPr>
        <w:t xml:space="preserve"> and others v. Moldova and Russia</w:t>
      </w:r>
      <w:r w:rsidRPr="00566EBF">
        <w:rPr>
          <w:lang w:eastAsia="zh-TW" w:bidi="en-GB"/>
        </w:rPr>
        <w:t xml:space="preserve">, application No. </w:t>
      </w:r>
      <w:r w:rsidRPr="000135B5">
        <w:rPr>
          <w:szCs w:val="18"/>
          <w:lang w:eastAsia="zh-TW" w:bidi="en-GB"/>
        </w:rPr>
        <w:t>48787</w:t>
      </w:r>
      <w:r w:rsidRPr="00566EBF">
        <w:rPr>
          <w:lang w:eastAsia="zh-TW" w:bidi="en-GB"/>
        </w:rPr>
        <w:t>/</w:t>
      </w:r>
      <w:r w:rsidRPr="000135B5">
        <w:rPr>
          <w:szCs w:val="18"/>
          <w:lang w:eastAsia="zh-TW" w:bidi="en-GB"/>
        </w:rPr>
        <w:t>99</w:t>
      </w:r>
      <w:r w:rsidRPr="00566EBF">
        <w:rPr>
          <w:lang w:eastAsia="zh-TW" w:bidi="en-GB"/>
        </w:rPr>
        <w:t xml:space="preserve">, judgment of </w:t>
      </w:r>
      <w:r w:rsidRPr="000135B5">
        <w:rPr>
          <w:szCs w:val="18"/>
          <w:lang w:eastAsia="zh-TW" w:bidi="en-GB"/>
        </w:rPr>
        <w:t>8</w:t>
      </w:r>
      <w:r w:rsidRPr="00566EBF">
        <w:rPr>
          <w:lang w:eastAsia="zh-TW" w:bidi="en-GB"/>
        </w:rPr>
        <w:t xml:space="preserve"> July </w:t>
      </w:r>
      <w:r w:rsidRPr="000135B5">
        <w:rPr>
          <w:szCs w:val="18"/>
          <w:lang w:eastAsia="zh-TW" w:bidi="en-GB"/>
        </w:rPr>
        <w:t>2004</w:t>
      </w:r>
      <w:r w:rsidRPr="00566EBF">
        <w:rPr>
          <w:lang w:eastAsia="zh-TW" w:bidi="en-GB"/>
        </w:rPr>
        <w:t xml:space="preserve">, para. </w:t>
      </w:r>
      <w:r w:rsidRPr="000135B5">
        <w:rPr>
          <w:szCs w:val="18"/>
          <w:lang w:eastAsia="zh-TW" w:bidi="en-GB"/>
        </w:rPr>
        <w:t>314</w:t>
      </w:r>
      <w:r w:rsidRPr="00566EBF">
        <w:rPr>
          <w:lang w:eastAsia="zh-TW" w:bidi="en-GB"/>
        </w:rPr>
        <w:t xml:space="preserve">; </w:t>
      </w:r>
      <w:proofErr w:type="spellStart"/>
      <w:r w:rsidRPr="001D0236">
        <w:rPr>
          <w:i/>
          <w:iCs/>
          <w:lang w:eastAsia="zh-TW" w:bidi="en-GB"/>
        </w:rPr>
        <w:t>Drozd</w:t>
      </w:r>
      <w:proofErr w:type="spellEnd"/>
      <w:r w:rsidRPr="001D0236">
        <w:rPr>
          <w:i/>
          <w:iCs/>
          <w:lang w:eastAsia="zh-TW" w:bidi="en-GB"/>
        </w:rPr>
        <w:t xml:space="preserve"> and Janousek v. France and Spain</w:t>
      </w:r>
      <w:r w:rsidRPr="00566EBF">
        <w:rPr>
          <w:lang w:eastAsia="zh-TW" w:bidi="en-GB"/>
        </w:rPr>
        <w:t xml:space="preserve">, application No. </w:t>
      </w:r>
      <w:r w:rsidRPr="000135B5">
        <w:rPr>
          <w:szCs w:val="18"/>
          <w:lang w:eastAsia="zh-TW" w:bidi="en-GB"/>
        </w:rPr>
        <w:t>12747</w:t>
      </w:r>
      <w:r w:rsidRPr="00566EBF">
        <w:rPr>
          <w:lang w:eastAsia="zh-TW" w:bidi="en-GB"/>
        </w:rPr>
        <w:t>/</w:t>
      </w:r>
      <w:r w:rsidRPr="000135B5">
        <w:rPr>
          <w:szCs w:val="18"/>
          <w:lang w:eastAsia="zh-TW" w:bidi="en-GB"/>
        </w:rPr>
        <w:t>8726</w:t>
      </w:r>
      <w:r w:rsidRPr="00566EBF">
        <w:rPr>
          <w:lang w:eastAsia="zh-TW" w:bidi="en-GB"/>
        </w:rPr>
        <w:t xml:space="preserve">, judgment of </w:t>
      </w:r>
      <w:r w:rsidRPr="000135B5">
        <w:rPr>
          <w:szCs w:val="18"/>
          <w:lang w:eastAsia="zh-TW" w:bidi="en-GB"/>
        </w:rPr>
        <w:t>26</w:t>
      </w:r>
      <w:r w:rsidRPr="00566EBF">
        <w:rPr>
          <w:lang w:eastAsia="zh-TW" w:bidi="en-GB"/>
        </w:rPr>
        <w:t xml:space="preserve"> June </w:t>
      </w:r>
      <w:r w:rsidRPr="000135B5">
        <w:rPr>
          <w:szCs w:val="18"/>
          <w:lang w:eastAsia="zh-TW" w:bidi="en-GB"/>
        </w:rPr>
        <w:t>1992</w:t>
      </w:r>
      <w:r w:rsidRPr="00566EBF">
        <w:rPr>
          <w:lang w:eastAsia="zh-TW" w:bidi="en-GB"/>
        </w:rPr>
        <w:t xml:space="preserve">, para. </w:t>
      </w:r>
      <w:r w:rsidRPr="000135B5">
        <w:rPr>
          <w:szCs w:val="18"/>
          <w:lang w:eastAsia="zh-TW" w:bidi="en-GB"/>
        </w:rPr>
        <w:t>91</w:t>
      </w:r>
      <w:r w:rsidRPr="00566EBF">
        <w:rPr>
          <w:lang w:eastAsia="zh-TW" w:bidi="en-GB"/>
        </w:rPr>
        <w:t xml:space="preserve">; </w:t>
      </w:r>
      <w:proofErr w:type="spellStart"/>
      <w:r w:rsidRPr="001D0236">
        <w:rPr>
          <w:i/>
          <w:iCs/>
          <w:lang w:eastAsia="zh-TW" w:bidi="en-GB"/>
        </w:rPr>
        <w:t>Sejdovic</w:t>
      </w:r>
      <w:proofErr w:type="spellEnd"/>
      <w:r w:rsidRPr="001D0236">
        <w:rPr>
          <w:i/>
          <w:iCs/>
          <w:lang w:eastAsia="zh-TW" w:bidi="en-GB"/>
        </w:rPr>
        <w:t xml:space="preserve"> v. Italy</w:t>
      </w:r>
      <w:r w:rsidRPr="00566EBF">
        <w:rPr>
          <w:lang w:eastAsia="zh-TW" w:bidi="en-GB"/>
        </w:rPr>
        <w:t xml:space="preserve">, application No. </w:t>
      </w:r>
      <w:r w:rsidRPr="000135B5">
        <w:rPr>
          <w:szCs w:val="18"/>
          <w:lang w:eastAsia="zh-TW" w:bidi="en-GB"/>
        </w:rPr>
        <w:t>56581</w:t>
      </w:r>
      <w:r w:rsidRPr="00566EBF">
        <w:rPr>
          <w:lang w:eastAsia="zh-TW" w:bidi="en-GB"/>
        </w:rPr>
        <w:t>/</w:t>
      </w:r>
      <w:r w:rsidRPr="000135B5">
        <w:rPr>
          <w:szCs w:val="18"/>
          <w:lang w:eastAsia="zh-TW" w:bidi="en-GB"/>
        </w:rPr>
        <w:t>001</w:t>
      </w:r>
      <w:r w:rsidRPr="00566EBF">
        <w:rPr>
          <w:lang w:eastAsia="zh-TW" w:bidi="en-GB"/>
        </w:rPr>
        <w:t xml:space="preserve">, judgment of </w:t>
      </w:r>
      <w:r w:rsidRPr="000135B5">
        <w:rPr>
          <w:szCs w:val="18"/>
          <w:lang w:eastAsia="zh-TW" w:bidi="en-GB"/>
        </w:rPr>
        <w:t>1</w:t>
      </w:r>
      <w:r w:rsidRPr="00566EBF">
        <w:rPr>
          <w:lang w:eastAsia="zh-TW" w:bidi="en-GB"/>
        </w:rPr>
        <w:t xml:space="preserve"> March </w:t>
      </w:r>
      <w:r w:rsidRPr="000135B5">
        <w:rPr>
          <w:szCs w:val="18"/>
          <w:lang w:eastAsia="zh-TW" w:bidi="en-GB"/>
        </w:rPr>
        <w:t>2006</w:t>
      </w:r>
      <w:r w:rsidRPr="00566EBF">
        <w:rPr>
          <w:rtl/>
          <w:lang w:eastAsia="zh-TW"/>
        </w:rPr>
        <w:t>.</w:t>
      </w:r>
    </w:p>
  </w:footnote>
  <w:footnote w:id="13">
    <w:p w14:paraId="75A3CA3E" w14:textId="5AD90ABD"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يستشهد أصحاب البلاغين بالمحكمة الأوروبية لحقوق الإنسان، قضية </w:t>
      </w:r>
      <w:r w:rsidRPr="001D0236">
        <w:rPr>
          <w:i/>
          <w:iCs/>
          <w:rtl/>
          <w:lang w:eastAsia="zh-TW"/>
        </w:rPr>
        <w:t xml:space="preserve">ستيفنز ضد مالطة (رقم </w:t>
      </w:r>
      <w:r w:rsidRPr="000135B5">
        <w:rPr>
          <w:i/>
          <w:iCs/>
          <w:szCs w:val="18"/>
          <w:rtl/>
          <w:lang w:eastAsia="zh-TW"/>
        </w:rPr>
        <w:t>1</w:t>
      </w:r>
      <w:r w:rsidRPr="001D0236">
        <w:rPr>
          <w:i/>
          <w:iCs/>
          <w:rtl/>
          <w:lang w:eastAsia="zh-TW"/>
        </w:rPr>
        <w:t>)</w:t>
      </w:r>
      <w:r w:rsidRPr="00566EBF">
        <w:rPr>
          <w:rtl/>
          <w:lang w:eastAsia="zh-TW"/>
        </w:rPr>
        <w:t>، الطلب رقم</w:t>
      </w:r>
      <w:r>
        <w:rPr>
          <w:rFonts w:hint="cs"/>
          <w:rtl/>
          <w:lang w:eastAsia="zh-TW"/>
        </w:rPr>
        <w:t> </w:t>
      </w:r>
      <w:r w:rsidRPr="000135B5">
        <w:rPr>
          <w:szCs w:val="18"/>
          <w:rtl/>
          <w:lang w:eastAsia="zh-TW"/>
        </w:rPr>
        <w:t>11956</w:t>
      </w:r>
      <w:r w:rsidRPr="00566EBF">
        <w:rPr>
          <w:rtl/>
          <w:lang w:eastAsia="zh-TW"/>
        </w:rPr>
        <w:t>/</w:t>
      </w:r>
      <w:r w:rsidRPr="000135B5">
        <w:rPr>
          <w:szCs w:val="18"/>
          <w:rtl/>
          <w:lang w:eastAsia="zh-TW"/>
        </w:rPr>
        <w:t>07</w:t>
      </w:r>
      <w:r w:rsidRPr="00566EBF">
        <w:rPr>
          <w:rtl/>
          <w:lang w:eastAsia="zh-TW"/>
        </w:rPr>
        <w:t xml:space="preserve">، الحكم المؤرخ </w:t>
      </w:r>
      <w:r w:rsidRPr="000135B5">
        <w:rPr>
          <w:szCs w:val="18"/>
          <w:rtl/>
          <w:lang w:eastAsia="zh-TW"/>
        </w:rPr>
        <w:t>21</w:t>
      </w:r>
      <w:r w:rsidRPr="00566EBF">
        <w:rPr>
          <w:rtl/>
          <w:lang w:eastAsia="zh-TW"/>
        </w:rPr>
        <w:t xml:space="preserve"> نيسان/أبريل </w:t>
      </w:r>
      <w:r w:rsidRPr="000135B5">
        <w:rPr>
          <w:szCs w:val="18"/>
          <w:rtl/>
          <w:lang w:eastAsia="zh-TW"/>
        </w:rPr>
        <w:t>2009</w:t>
      </w:r>
      <w:r w:rsidRPr="00566EBF">
        <w:rPr>
          <w:rtl/>
          <w:lang w:eastAsia="zh-TW"/>
        </w:rPr>
        <w:t xml:space="preserve"> (</w:t>
      </w:r>
      <w:r w:rsidRPr="00566EBF">
        <w:rPr>
          <w:lang w:eastAsia="zh-TW" w:bidi="en-GB"/>
        </w:rPr>
        <w:t xml:space="preserve">European Court of Human Rights, Stephens v. Malta (No. </w:t>
      </w:r>
      <w:r w:rsidRPr="000135B5">
        <w:rPr>
          <w:szCs w:val="18"/>
          <w:lang w:eastAsia="zh-TW" w:bidi="en-GB"/>
        </w:rPr>
        <w:t>1</w:t>
      </w:r>
      <w:r w:rsidRPr="00566EBF">
        <w:rPr>
          <w:lang w:eastAsia="zh-TW" w:bidi="en-GB"/>
        </w:rPr>
        <w:t xml:space="preserve">), application No. </w:t>
      </w:r>
      <w:r w:rsidRPr="000135B5">
        <w:rPr>
          <w:szCs w:val="18"/>
          <w:lang w:eastAsia="zh-TW" w:bidi="en-GB"/>
        </w:rPr>
        <w:t>11956</w:t>
      </w:r>
      <w:r w:rsidRPr="00566EBF">
        <w:rPr>
          <w:lang w:eastAsia="zh-TW" w:bidi="en-GB"/>
        </w:rPr>
        <w:t>/</w:t>
      </w:r>
      <w:r w:rsidRPr="000135B5">
        <w:rPr>
          <w:szCs w:val="18"/>
          <w:lang w:eastAsia="zh-TW" w:bidi="en-GB"/>
        </w:rPr>
        <w:t>07</w:t>
      </w:r>
      <w:r w:rsidRPr="00566EBF">
        <w:rPr>
          <w:lang w:eastAsia="zh-TW" w:bidi="en-GB"/>
        </w:rPr>
        <w:t xml:space="preserve">, judgment of </w:t>
      </w:r>
      <w:r w:rsidRPr="000135B5">
        <w:rPr>
          <w:szCs w:val="18"/>
          <w:lang w:eastAsia="zh-TW" w:bidi="en-GB"/>
        </w:rPr>
        <w:t>21</w:t>
      </w:r>
      <w:r w:rsidRPr="00566EBF">
        <w:rPr>
          <w:lang w:eastAsia="zh-TW" w:bidi="en-GB"/>
        </w:rPr>
        <w:t xml:space="preserve"> April </w:t>
      </w:r>
      <w:r w:rsidRPr="000135B5">
        <w:rPr>
          <w:szCs w:val="18"/>
          <w:lang w:eastAsia="zh-TW" w:bidi="en-GB"/>
        </w:rPr>
        <w:t>2009</w:t>
      </w:r>
      <w:r w:rsidRPr="00566EBF">
        <w:rPr>
          <w:rtl/>
          <w:lang w:eastAsia="zh-TW"/>
        </w:rPr>
        <w:t>).</w:t>
      </w:r>
    </w:p>
  </w:footnote>
  <w:footnote w:id="14">
    <w:p w14:paraId="1C09B963" w14:textId="51BEF764"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European Court of Human Rights, </w:t>
      </w:r>
      <w:r w:rsidRPr="001D0236">
        <w:rPr>
          <w:i/>
          <w:iCs/>
          <w:lang w:eastAsia="zh-TW" w:bidi="en-GB"/>
        </w:rPr>
        <w:t>Nada v. Switzerland</w:t>
      </w:r>
      <w:r w:rsidRPr="00566EBF">
        <w:rPr>
          <w:lang w:eastAsia="zh-TW" w:bidi="en-GB"/>
        </w:rPr>
        <w:t xml:space="preserve">, application No. </w:t>
      </w:r>
      <w:r w:rsidRPr="000135B5">
        <w:rPr>
          <w:szCs w:val="18"/>
          <w:lang w:eastAsia="zh-TW" w:bidi="en-GB"/>
        </w:rPr>
        <w:t>10593</w:t>
      </w:r>
      <w:r w:rsidRPr="00566EBF">
        <w:rPr>
          <w:lang w:eastAsia="zh-TW" w:bidi="en-GB"/>
        </w:rPr>
        <w:t>/</w:t>
      </w:r>
      <w:r w:rsidRPr="000135B5">
        <w:rPr>
          <w:szCs w:val="18"/>
          <w:lang w:eastAsia="zh-TW" w:bidi="en-GB"/>
        </w:rPr>
        <w:t>08</w:t>
      </w:r>
      <w:r w:rsidRPr="00566EBF">
        <w:rPr>
          <w:lang w:eastAsia="zh-TW" w:bidi="en-GB"/>
        </w:rPr>
        <w:t xml:space="preserve">, judgment of </w:t>
      </w:r>
      <w:r w:rsidRPr="000135B5">
        <w:rPr>
          <w:szCs w:val="18"/>
          <w:lang w:eastAsia="zh-TW" w:bidi="en-GB"/>
        </w:rPr>
        <w:t>12</w:t>
      </w:r>
      <w:r w:rsidRPr="00566EBF">
        <w:rPr>
          <w:lang w:eastAsia="zh-TW" w:bidi="en-GB"/>
        </w:rPr>
        <w:t xml:space="preserve"> September </w:t>
      </w:r>
      <w:r w:rsidRPr="000135B5">
        <w:rPr>
          <w:szCs w:val="18"/>
          <w:lang w:eastAsia="zh-TW" w:bidi="en-GB"/>
        </w:rPr>
        <w:t>2012</w:t>
      </w:r>
      <w:r w:rsidRPr="00566EBF">
        <w:rPr>
          <w:lang w:eastAsia="zh-TW" w:bidi="en-GB"/>
        </w:rPr>
        <w:t xml:space="preserve">, paras. </w:t>
      </w:r>
      <w:r w:rsidRPr="000135B5">
        <w:rPr>
          <w:szCs w:val="18"/>
          <w:lang w:eastAsia="zh-TW" w:bidi="en-GB"/>
        </w:rPr>
        <w:t>121</w:t>
      </w:r>
      <w:r w:rsidRPr="00566EBF">
        <w:rPr>
          <w:lang w:eastAsia="zh-TW" w:bidi="en-GB"/>
        </w:rPr>
        <w:t>–</w:t>
      </w:r>
      <w:r w:rsidRPr="000135B5">
        <w:rPr>
          <w:szCs w:val="18"/>
          <w:lang w:eastAsia="zh-TW" w:bidi="en-GB"/>
        </w:rPr>
        <w:t>122</w:t>
      </w:r>
      <w:r w:rsidRPr="00566EBF">
        <w:rPr>
          <w:rtl/>
          <w:lang w:eastAsia="zh-TW"/>
        </w:rPr>
        <w:t>.</w:t>
      </w:r>
    </w:p>
  </w:footnote>
  <w:footnote w:id="15">
    <w:p w14:paraId="5C514780" w14:textId="7706313D"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Bernard H. </w:t>
      </w:r>
      <w:proofErr w:type="spellStart"/>
      <w:r w:rsidRPr="00566EBF">
        <w:rPr>
          <w:lang w:eastAsia="zh-TW" w:bidi="en-GB"/>
        </w:rPr>
        <w:t>Oxman</w:t>
      </w:r>
      <w:proofErr w:type="spellEnd"/>
      <w:r w:rsidRPr="00566EBF">
        <w:rPr>
          <w:lang w:eastAsia="zh-TW" w:bidi="en-GB"/>
        </w:rPr>
        <w:t xml:space="preserve">, “jurisdiction of States”, entry in </w:t>
      </w:r>
      <w:r w:rsidRPr="001D0236">
        <w:rPr>
          <w:i/>
          <w:iCs/>
          <w:lang w:eastAsia="zh-TW" w:bidi="en-GB"/>
        </w:rPr>
        <w:t>Max Planck Encyclopedia of Public International Law</w:t>
      </w:r>
      <w:r w:rsidRPr="00566EBF">
        <w:rPr>
          <w:lang w:eastAsia="zh-TW" w:bidi="en-GB"/>
        </w:rPr>
        <w:t xml:space="preserve">; European Court of Human Rights, </w:t>
      </w:r>
      <w:r w:rsidRPr="001D0236">
        <w:rPr>
          <w:i/>
          <w:iCs/>
          <w:lang w:eastAsia="zh-TW" w:bidi="en-GB"/>
        </w:rPr>
        <w:t>Cyprus v. Turkey</w:t>
      </w:r>
      <w:r w:rsidRPr="00566EBF">
        <w:rPr>
          <w:lang w:eastAsia="zh-TW" w:bidi="en-GB"/>
        </w:rPr>
        <w:t xml:space="preserve">, application No. </w:t>
      </w:r>
      <w:r w:rsidRPr="000135B5">
        <w:rPr>
          <w:szCs w:val="18"/>
          <w:lang w:eastAsia="zh-TW" w:bidi="en-GB"/>
        </w:rPr>
        <w:t>25781</w:t>
      </w:r>
      <w:r w:rsidRPr="00566EBF">
        <w:rPr>
          <w:lang w:eastAsia="zh-TW" w:bidi="en-GB"/>
        </w:rPr>
        <w:t>/</w:t>
      </w:r>
      <w:r w:rsidRPr="000135B5">
        <w:rPr>
          <w:szCs w:val="18"/>
          <w:lang w:eastAsia="zh-TW" w:bidi="en-GB"/>
        </w:rPr>
        <w:t>94</w:t>
      </w:r>
      <w:r w:rsidRPr="00566EBF">
        <w:rPr>
          <w:lang w:eastAsia="zh-TW" w:bidi="en-GB"/>
        </w:rPr>
        <w:t xml:space="preserve">, judgment of </w:t>
      </w:r>
      <w:r w:rsidRPr="000135B5">
        <w:rPr>
          <w:szCs w:val="18"/>
          <w:lang w:eastAsia="zh-TW" w:bidi="en-GB"/>
        </w:rPr>
        <w:t>10</w:t>
      </w:r>
      <w:r w:rsidRPr="00566EBF">
        <w:rPr>
          <w:lang w:eastAsia="zh-TW" w:bidi="en-GB"/>
        </w:rPr>
        <w:t xml:space="preserve"> May </w:t>
      </w:r>
      <w:r w:rsidRPr="000135B5">
        <w:rPr>
          <w:szCs w:val="18"/>
          <w:lang w:eastAsia="zh-TW" w:bidi="en-GB"/>
        </w:rPr>
        <w:t>2001</w:t>
      </w:r>
      <w:r w:rsidRPr="00566EBF">
        <w:rPr>
          <w:rtl/>
          <w:lang w:eastAsia="zh-TW"/>
        </w:rPr>
        <w:t>.</w:t>
      </w:r>
    </w:p>
  </w:footnote>
  <w:footnote w:id="16">
    <w:p w14:paraId="30B290E9" w14:textId="589A8BBE"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994502">
        <w:rPr>
          <w:spacing w:val="2"/>
          <w:rtl/>
        </w:rPr>
        <w:t xml:space="preserve">انظر المواد من </w:t>
      </w:r>
      <w:r w:rsidRPr="00994502">
        <w:rPr>
          <w:spacing w:val="2"/>
          <w:szCs w:val="18"/>
          <w:rtl/>
        </w:rPr>
        <w:t>689</w:t>
      </w:r>
      <w:r w:rsidRPr="00994502">
        <w:rPr>
          <w:spacing w:val="2"/>
          <w:rtl/>
        </w:rPr>
        <w:t xml:space="preserve"> إلى </w:t>
      </w:r>
      <w:r w:rsidRPr="00994502">
        <w:rPr>
          <w:spacing w:val="2"/>
          <w:szCs w:val="18"/>
          <w:rtl/>
        </w:rPr>
        <w:t>693</w:t>
      </w:r>
      <w:r w:rsidRPr="00994502">
        <w:rPr>
          <w:spacing w:val="2"/>
          <w:rtl/>
        </w:rPr>
        <w:t xml:space="preserve"> من قانون الإجراءات الجنائية.</w:t>
      </w:r>
      <w:r w:rsidRPr="00994502">
        <w:rPr>
          <w:rFonts w:ascii="Arial" w:hAnsi="Arial" w:cs="Arial" w:hint="cs"/>
          <w:spacing w:val="2"/>
          <w:rtl/>
        </w:rPr>
        <w:t>‬</w:t>
      </w:r>
      <w:r w:rsidRPr="00994502">
        <w:rPr>
          <w:spacing w:val="2"/>
          <w:rtl/>
        </w:rPr>
        <w:t xml:space="preserve"> </w:t>
      </w:r>
      <w:r w:rsidRPr="00994502">
        <w:rPr>
          <w:rFonts w:ascii="Traditional Arabic" w:hAnsi="Traditional Arabic" w:hint="cs"/>
          <w:spacing w:val="2"/>
          <w:rtl/>
        </w:rPr>
        <w:t>انظر</w:t>
      </w:r>
      <w:r w:rsidRPr="00994502">
        <w:rPr>
          <w:spacing w:val="2"/>
          <w:rtl/>
        </w:rPr>
        <w:t xml:space="preserve"> </w:t>
      </w:r>
      <w:r w:rsidRPr="00994502">
        <w:rPr>
          <w:rFonts w:ascii="Traditional Arabic" w:hAnsi="Traditional Arabic" w:hint="cs"/>
          <w:spacing w:val="2"/>
          <w:rtl/>
        </w:rPr>
        <w:t>أيضاً</w:t>
      </w:r>
      <w:r w:rsidRPr="00994502">
        <w:rPr>
          <w:spacing w:val="2"/>
          <w:rtl/>
        </w:rPr>
        <w:t xml:space="preserve"> </w:t>
      </w:r>
      <w:r w:rsidRPr="00994502">
        <w:rPr>
          <w:rFonts w:ascii="Traditional Arabic" w:hAnsi="Traditional Arabic" w:hint="cs"/>
          <w:spacing w:val="2"/>
          <w:rtl/>
        </w:rPr>
        <w:t>محكمة</w:t>
      </w:r>
      <w:r w:rsidRPr="00994502">
        <w:rPr>
          <w:spacing w:val="2"/>
          <w:rtl/>
        </w:rPr>
        <w:t xml:space="preserve"> </w:t>
      </w:r>
      <w:r w:rsidRPr="00994502">
        <w:rPr>
          <w:rFonts w:ascii="Traditional Arabic" w:hAnsi="Traditional Arabic" w:hint="cs"/>
          <w:spacing w:val="2"/>
          <w:rtl/>
        </w:rPr>
        <w:t>النقض،</w:t>
      </w:r>
      <w:r w:rsidRPr="00994502">
        <w:rPr>
          <w:spacing w:val="2"/>
          <w:rtl/>
        </w:rPr>
        <w:t xml:space="preserve"> </w:t>
      </w:r>
      <w:r w:rsidRPr="00994502">
        <w:rPr>
          <w:rFonts w:ascii="Traditional Arabic" w:hAnsi="Traditional Arabic" w:hint="cs"/>
          <w:spacing w:val="2"/>
          <w:rtl/>
        </w:rPr>
        <w:t>الدائرة</w:t>
      </w:r>
      <w:r w:rsidRPr="00994502">
        <w:rPr>
          <w:spacing w:val="2"/>
          <w:rtl/>
        </w:rPr>
        <w:t xml:space="preserve"> </w:t>
      </w:r>
      <w:r w:rsidRPr="00994502">
        <w:rPr>
          <w:rFonts w:ascii="Traditional Arabic" w:hAnsi="Traditional Arabic" w:hint="cs"/>
          <w:spacing w:val="2"/>
          <w:rtl/>
        </w:rPr>
        <w:t>الجنائية،</w:t>
      </w:r>
      <w:r w:rsidRPr="00994502">
        <w:rPr>
          <w:spacing w:val="2"/>
          <w:rtl/>
        </w:rPr>
        <w:t xml:space="preserve"> </w:t>
      </w:r>
      <w:r w:rsidRPr="00994502">
        <w:rPr>
          <w:rFonts w:ascii="Traditional Arabic" w:hAnsi="Traditional Arabic" w:hint="cs"/>
          <w:spacing w:val="2"/>
          <w:rtl/>
        </w:rPr>
        <w:t>القضية</w:t>
      </w:r>
      <w:r w:rsidRPr="00994502">
        <w:rPr>
          <w:spacing w:val="2"/>
          <w:rtl/>
        </w:rPr>
        <w:t xml:space="preserve"> </w:t>
      </w:r>
      <w:r w:rsidRPr="00994502">
        <w:rPr>
          <w:rFonts w:ascii="Traditional Arabic" w:hAnsi="Traditional Arabic" w:hint="cs"/>
          <w:spacing w:val="2"/>
          <w:rtl/>
        </w:rPr>
        <w:t>رقم</w:t>
      </w:r>
      <w:r w:rsidR="00994502" w:rsidRPr="00994502">
        <w:rPr>
          <w:rFonts w:hint="cs"/>
          <w:spacing w:val="2"/>
          <w:rtl/>
        </w:rPr>
        <w:t> </w:t>
      </w:r>
      <w:r w:rsidRPr="00994502">
        <w:rPr>
          <w:spacing w:val="2"/>
          <w:szCs w:val="18"/>
          <w:rtl/>
        </w:rPr>
        <w:t>17</w:t>
      </w:r>
      <w:r w:rsidRPr="00994502">
        <w:rPr>
          <w:spacing w:val="2"/>
          <w:rtl/>
        </w:rPr>
        <w:t>-</w:t>
      </w:r>
      <w:r w:rsidRPr="000135B5">
        <w:rPr>
          <w:szCs w:val="18"/>
          <w:rtl/>
        </w:rPr>
        <w:t>86</w:t>
      </w:r>
      <w:r w:rsidRPr="00566EBF">
        <w:rPr>
          <w:rtl/>
        </w:rPr>
        <w:t>.</w:t>
      </w:r>
      <w:r w:rsidRPr="000135B5">
        <w:rPr>
          <w:szCs w:val="18"/>
          <w:rtl/>
        </w:rPr>
        <w:t>640</w:t>
      </w:r>
      <w:r w:rsidRPr="00566EBF">
        <w:rPr>
          <w:rFonts w:ascii="Traditional Arabic" w:hAnsi="Traditional Arabic" w:hint="cs"/>
          <w:rtl/>
        </w:rPr>
        <w:t>،</w:t>
      </w:r>
      <w:r w:rsidRPr="00566EBF">
        <w:rPr>
          <w:rtl/>
        </w:rPr>
        <w:t xml:space="preserve"> </w:t>
      </w:r>
      <w:r w:rsidRPr="000135B5">
        <w:rPr>
          <w:szCs w:val="18"/>
          <w:rtl/>
        </w:rPr>
        <w:t>12</w:t>
      </w:r>
      <w:r w:rsidRPr="00566EBF">
        <w:rPr>
          <w:rtl/>
        </w:rPr>
        <w:t xml:space="preserve"> </w:t>
      </w:r>
      <w:r w:rsidRPr="00566EBF">
        <w:rPr>
          <w:rFonts w:ascii="Traditional Arabic" w:hAnsi="Traditional Arabic" w:hint="cs"/>
          <w:rtl/>
        </w:rPr>
        <w:t>حزيران</w:t>
      </w:r>
      <w:r w:rsidRPr="00566EBF">
        <w:rPr>
          <w:rtl/>
        </w:rPr>
        <w:t>/</w:t>
      </w:r>
      <w:r w:rsidRPr="00566EBF">
        <w:rPr>
          <w:rFonts w:ascii="Traditional Arabic" w:hAnsi="Traditional Arabic" w:hint="cs"/>
          <w:rtl/>
        </w:rPr>
        <w:t>يونيه</w:t>
      </w:r>
      <w:r w:rsidRPr="00566EBF">
        <w:rPr>
          <w:rtl/>
        </w:rPr>
        <w:t xml:space="preserve"> </w:t>
      </w:r>
      <w:r w:rsidRPr="000135B5">
        <w:rPr>
          <w:szCs w:val="18"/>
          <w:rtl/>
        </w:rPr>
        <w:t>2018</w:t>
      </w:r>
      <w:r w:rsidRPr="00566EBF">
        <w:rPr>
          <w:rFonts w:ascii="Traditional Arabic" w:hAnsi="Traditional Arabic" w:hint="cs"/>
          <w:rtl/>
        </w:rPr>
        <w:t>،</w:t>
      </w:r>
      <w:r w:rsidRPr="00566EBF">
        <w:rPr>
          <w:rtl/>
        </w:rPr>
        <w:t xml:space="preserve"> </w:t>
      </w:r>
      <w:r w:rsidRPr="00566EBF">
        <w:rPr>
          <w:rFonts w:ascii="Traditional Arabic" w:hAnsi="Traditional Arabic" w:hint="cs"/>
          <w:rtl/>
        </w:rPr>
        <w:t>التي</w:t>
      </w:r>
      <w:r w:rsidRPr="00566EBF">
        <w:rPr>
          <w:rtl/>
        </w:rPr>
        <w:t xml:space="preserve"> </w:t>
      </w:r>
      <w:r w:rsidRPr="00566EBF">
        <w:rPr>
          <w:rFonts w:ascii="Traditional Arabic" w:hAnsi="Traditional Arabic" w:hint="cs"/>
          <w:rtl/>
        </w:rPr>
        <w:t>بينت</w:t>
      </w:r>
      <w:r w:rsidRPr="00566EBF">
        <w:rPr>
          <w:rtl/>
        </w:rPr>
        <w:t xml:space="preserve"> </w:t>
      </w:r>
      <w:r w:rsidRPr="00566EBF">
        <w:rPr>
          <w:rFonts w:ascii="Traditional Arabic" w:hAnsi="Traditional Arabic" w:hint="cs"/>
          <w:rtl/>
        </w:rPr>
        <w:t>أن</w:t>
      </w:r>
      <w:r w:rsidRPr="00566EBF">
        <w:rPr>
          <w:rtl/>
        </w:rPr>
        <w:t xml:space="preserve"> </w:t>
      </w:r>
      <w:r w:rsidRPr="00566EBF">
        <w:rPr>
          <w:rFonts w:ascii="Traditional Arabic" w:hAnsi="Traditional Arabic" w:hint="cs"/>
          <w:rtl/>
        </w:rPr>
        <w:t>قواعد</w:t>
      </w:r>
      <w:r w:rsidRPr="00566EBF">
        <w:rPr>
          <w:rtl/>
        </w:rPr>
        <w:t xml:space="preserve"> </w:t>
      </w:r>
      <w:r w:rsidRPr="00566EBF">
        <w:rPr>
          <w:rFonts w:ascii="Traditional Arabic" w:hAnsi="Traditional Arabic" w:hint="cs"/>
          <w:rtl/>
        </w:rPr>
        <w:t>الولاية</w:t>
      </w:r>
      <w:r w:rsidRPr="00566EBF">
        <w:rPr>
          <w:rtl/>
        </w:rPr>
        <w:t xml:space="preserve"> </w:t>
      </w:r>
      <w:r w:rsidRPr="00566EBF">
        <w:rPr>
          <w:rFonts w:ascii="Traditional Arabic" w:hAnsi="Traditional Arabic" w:hint="cs"/>
          <w:rtl/>
        </w:rPr>
        <w:t>خارج</w:t>
      </w:r>
      <w:r w:rsidRPr="00566EBF">
        <w:rPr>
          <w:rtl/>
        </w:rPr>
        <w:t xml:space="preserve"> </w:t>
      </w:r>
      <w:r w:rsidRPr="00566EBF">
        <w:rPr>
          <w:rFonts w:ascii="Traditional Arabic" w:hAnsi="Traditional Arabic" w:hint="cs"/>
          <w:rtl/>
        </w:rPr>
        <w:t>الحدود</w:t>
      </w:r>
      <w:r w:rsidRPr="00566EBF">
        <w:rPr>
          <w:rtl/>
        </w:rPr>
        <w:t xml:space="preserve"> </w:t>
      </w:r>
      <w:r w:rsidRPr="00566EBF">
        <w:rPr>
          <w:rFonts w:ascii="Traditional Arabic" w:hAnsi="Traditional Arabic" w:hint="cs"/>
          <w:rtl/>
        </w:rPr>
        <w:t>الإقليمية</w:t>
      </w:r>
      <w:r w:rsidRPr="00566EBF">
        <w:rPr>
          <w:rtl/>
        </w:rPr>
        <w:t xml:space="preserve"> </w:t>
      </w:r>
      <w:r w:rsidRPr="00566EBF">
        <w:rPr>
          <w:rFonts w:ascii="Traditional Arabic" w:hAnsi="Traditional Arabic" w:hint="cs"/>
          <w:rtl/>
        </w:rPr>
        <w:t>في</w:t>
      </w:r>
      <w:r w:rsidRPr="00566EBF">
        <w:rPr>
          <w:rtl/>
        </w:rPr>
        <w:t xml:space="preserve"> </w:t>
      </w:r>
      <w:r w:rsidRPr="00566EBF">
        <w:rPr>
          <w:rFonts w:ascii="Traditional Arabic" w:hAnsi="Traditional Arabic" w:hint="cs"/>
          <w:rtl/>
        </w:rPr>
        <w:t>القانون</w:t>
      </w:r>
      <w:r w:rsidRPr="00566EBF">
        <w:rPr>
          <w:rtl/>
        </w:rPr>
        <w:t xml:space="preserve"> </w:t>
      </w:r>
      <w:r w:rsidRPr="00566EBF">
        <w:rPr>
          <w:rFonts w:ascii="Traditional Arabic" w:hAnsi="Traditional Arabic" w:hint="cs"/>
          <w:rtl/>
        </w:rPr>
        <w:t>الجنائي</w:t>
      </w:r>
      <w:r w:rsidRPr="00566EBF">
        <w:rPr>
          <w:rtl/>
        </w:rPr>
        <w:t xml:space="preserve"> </w:t>
      </w:r>
      <w:r w:rsidRPr="00566EBF">
        <w:rPr>
          <w:rFonts w:ascii="Traditional Arabic" w:hAnsi="Traditional Arabic" w:hint="cs"/>
          <w:rtl/>
        </w:rPr>
        <w:t>ال</w:t>
      </w:r>
      <w:r w:rsidRPr="00566EBF">
        <w:rPr>
          <w:rtl/>
        </w:rPr>
        <w:t xml:space="preserve">فرنسي التي تتيح للضحايا المباشرين، من الجنسية الفرنسية، الحصول في فرنسا على محاكمة الجناة في جريمة مرتكبة في الخارج والحصول على تعويض عن أي ضرر ناتج عن الجريمة المذكورة، تُفسَّر بالمبدأ القائل بأن فرنسا ملزمة بضمان حماية رعاياها (انظر </w:t>
      </w:r>
      <w:r w:rsidRPr="00566EBF">
        <w:t>www.courdecassation.fr/jurisprudence_</w:t>
      </w:r>
      <w:r w:rsidRPr="000135B5">
        <w:rPr>
          <w:szCs w:val="18"/>
        </w:rPr>
        <w:t>2</w:t>
      </w:r>
      <w:r w:rsidRPr="00566EBF">
        <w:t>/qpc_</w:t>
      </w:r>
      <w:r w:rsidRPr="000135B5">
        <w:rPr>
          <w:szCs w:val="18"/>
        </w:rPr>
        <w:t>3396</w:t>
      </w:r>
      <w:r w:rsidRPr="00566EBF">
        <w:t>/</w:t>
      </w:r>
      <w:r w:rsidRPr="000135B5">
        <w:rPr>
          <w:szCs w:val="18"/>
        </w:rPr>
        <w:t>1598</w:t>
      </w:r>
      <w:r w:rsidRPr="00566EBF">
        <w:t>_</w:t>
      </w:r>
      <w:r w:rsidRPr="000135B5">
        <w:rPr>
          <w:szCs w:val="18"/>
        </w:rPr>
        <w:t>12</w:t>
      </w:r>
      <w:r w:rsidRPr="00566EBF">
        <w:t>_</w:t>
      </w:r>
      <w:r w:rsidRPr="000135B5">
        <w:rPr>
          <w:szCs w:val="18"/>
        </w:rPr>
        <w:t>39336</w:t>
      </w:r>
      <w:r w:rsidRPr="00566EBF">
        <w:t>.html</w:t>
      </w:r>
      <w:r w:rsidRPr="00566EBF">
        <w:rPr>
          <w:rtl/>
        </w:rPr>
        <w:t>).</w:t>
      </w:r>
    </w:p>
  </w:footnote>
  <w:footnote w:id="17">
    <w:p w14:paraId="5F4BD628" w14:textId="68F259C0"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w:t>
      </w:r>
      <w:r w:rsidRPr="00566EBF">
        <w:rPr>
          <w:lang w:eastAsia="zh-TW" w:bidi="en-GB"/>
        </w:rPr>
        <w:t>https://uk.ambafrance.org/Rapatriement-de-</w:t>
      </w:r>
      <w:r w:rsidRPr="000135B5">
        <w:rPr>
          <w:szCs w:val="18"/>
          <w:lang w:eastAsia="zh-TW" w:bidi="en-GB"/>
        </w:rPr>
        <w:t>12</w:t>
      </w:r>
      <w:r w:rsidRPr="00566EBF">
        <w:rPr>
          <w:lang w:eastAsia="zh-TW" w:bidi="en-GB"/>
        </w:rPr>
        <w:t>-enfants-mineurs-orphelins-ou-isoles</w:t>
      </w:r>
      <w:r w:rsidRPr="00566EBF">
        <w:rPr>
          <w:rtl/>
          <w:lang w:eastAsia="zh-TW"/>
        </w:rPr>
        <w:t>. انظر أيضا</w:t>
      </w:r>
      <w:r>
        <w:rPr>
          <w:rFonts w:hint="cs"/>
          <w:rtl/>
          <w:lang w:eastAsia="zh-TW"/>
        </w:rPr>
        <w:t>ً</w:t>
      </w:r>
      <w:r w:rsidRPr="00566EBF">
        <w:rPr>
          <w:rtl/>
          <w:lang w:eastAsia="zh-TW"/>
        </w:rPr>
        <w:t xml:space="preserve"> </w:t>
      </w:r>
      <w:r w:rsidRPr="00566EBF">
        <w:rPr>
          <w:lang w:eastAsia="zh-TW" w:bidi="en-GB"/>
        </w:rPr>
        <w:t xml:space="preserve">Elise Vincent and Nathalie </w:t>
      </w:r>
      <w:proofErr w:type="spellStart"/>
      <w:r w:rsidRPr="00566EBF">
        <w:rPr>
          <w:lang w:eastAsia="zh-TW" w:bidi="en-GB"/>
        </w:rPr>
        <w:t>Guibert</w:t>
      </w:r>
      <w:proofErr w:type="spellEnd"/>
      <w:r w:rsidRPr="00566EBF">
        <w:rPr>
          <w:lang w:eastAsia="zh-TW" w:bidi="en-GB"/>
        </w:rPr>
        <w:t xml:space="preserve">, “La France a </w:t>
      </w:r>
      <w:proofErr w:type="spellStart"/>
      <w:r w:rsidRPr="00566EBF">
        <w:rPr>
          <w:lang w:eastAsia="zh-TW" w:bidi="en-GB"/>
        </w:rPr>
        <w:t>rapatrié</w:t>
      </w:r>
      <w:proofErr w:type="spellEnd"/>
      <w:r w:rsidRPr="00566EBF">
        <w:rPr>
          <w:lang w:eastAsia="zh-TW" w:bidi="en-GB"/>
        </w:rPr>
        <w:t xml:space="preserve"> de </w:t>
      </w:r>
      <w:proofErr w:type="spellStart"/>
      <w:r w:rsidRPr="00566EBF">
        <w:rPr>
          <w:lang w:eastAsia="zh-TW" w:bidi="en-GB"/>
        </w:rPr>
        <w:t>Syrie</w:t>
      </w:r>
      <w:proofErr w:type="spellEnd"/>
      <w:r w:rsidRPr="00566EBF">
        <w:rPr>
          <w:lang w:eastAsia="zh-TW" w:bidi="en-GB"/>
        </w:rPr>
        <w:t xml:space="preserve"> </w:t>
      </w:r>
      <w:r w:rsidRPr="000135B5">
        <w:rPr>
          <w:szCs w:val="18"/>
          <w:lang w:eastAsia="zh-TW" w:bidi="en-GB"/>
        </w:rPr>
        <w:t>5</w:t>
      </w:r>
      <w:r w:rsidRPr="00566EBF">
        <w:rPr>
          <w:lang w:eastAsia="zh-TW" w:bidi="en-GB"/>
        </w:rPr>
        <w:t xml:space="preserve"> enfants </w:t>
      </w:r>
      <w:proofErr w:type="spellStart"/>
      <w:r w:rsidRPr="00566EBF">
        <w:rPr>
          <w:lang w:eastAsia="zh-TW" w:bidi="en-GB"/>
        </w:rPr>
        <w:t>orphelins</w:t>
      </w:r>
      <w:proofErr w:type="spellEnd"/>
      <w:r w:rsidRPr="00566EBF">
        <w:rPr>
          <w:lang w:eastAsia="zh-TW" w:bidi="en-GB"/>
        </w:rPr>
        <w:t xml:space="preserve"> de </w:t>
      </w:r>
      <w:proofErr w:type="spellStart"/>
      <w:r w:rsidRPr="00566EBF">
        <w:rPr>
          <w:lang w:eastAsia="zh-TW" w:bidi="en-GB"/>
        </w:rPr>
        <w:t>djihadistes</w:t>
      </w:r>
      <w:proofErr w:type="spellEnd"/>
      <w:r w:rsidRPr="00566EBF">
        <w:rPr>
          <w:lang w:eastAsia="zh-TW" w:bidi="en-GB"/>
        </w:rPr>
        <w:t xml:space="preserve">”, </w:t>
      </w:r>
      <w:r w:rsidRPr="001D0236">
        <w:rPr>
          <w:i/>
          <w:iCs/>
          <w:lang w:eastAsia="zh-TW" w:bidi="en-GB"/>
        </w:rPr>
        <w:t>Le Monde</w:t>
      </w:r>
      <w:r w:rsidRPr="00566EBF">
        <w:rPr>
          <w:lang w:eastAsia="zh-TW" w:bidi="en-GB"/>
        </w:rPr>
        <w:t xml:space="preserve">, </w:t>
      </w:r>
      <w:r w:rsidRPr="000135B5">
        <w:rPr>
          <w:szCs w:val="18"/>
          <w:lang w:eastAsia="zh-TW" w:bidi="en-GB"/>
        </w:rPr>
        <w:t>15</w:t>
      </w:r>
      <w:r w:rsidRPr="00566EBF">
        <w:rPr>
          <w:lang w:eastAsia="zh-TW" w:bidi="en-GB"/>
        </w:rPr>
        <w:t xml:space="preserve"> March </w:t>
      </w:r>
      <w:r w:rsidRPr="000135B5">
        <w:rPr>
          <w:szCs w:val="18"/>
          <w:lang w:eastAsia="zh-TW" w:bidi="en-GB"/>
        </w:rPr>
        <w:t>2019</w:t>
      </w:r>
      <w:r w:rsidRPr="00566EBF">
        <w:rPr>
          <w:rtl/>
          <w:lang w:eastAsia="zh-TW"/>
        </w:rPr>
        <w:t>.</w:t>
      </w:r>
    </w:p>
  </w:footnote>
  <w:footnote w:id="18">
    <w:p w14:paraId="34A298BC" w14:textId="64CC9BD0"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European Court of Human Rights, </w:t>
      </w:r>
      <w:proofErr w:type="spellStart"/>
      <w:r w:rsidRPr="001D0236">
        <w:rPr>
          <w:i/>
          <w:iCs/>
          <w:lang w:eastAsia="zh-TW" w:bidi="en-GB"/>
        </w:rPr>
        <w:t>Ilascu</w:t>
      </w:r>
      <w:proofErr w:type="spellEnd"/>
      <w:r w:rsidRPr="001D0236">
        <w:rPr>
          <w:i/>
          <w:iCs/>
          <w:lang w:eastAsia="zh-TW" w:bidi="en-GB"/>
        </w:rPr>
        <w:t xml:space="preserve"> and others v. Moldova and Russia</w:t>
      </w:r>
      <w:r w:rsidRPr="00566EBF">
        <w:rPr>
          <w:lang w:eastAsia="zh-TW" w:bidi="en-GB"/>
        </w:rPr>
        <w:t xml:space="preserve"> and </w:t>
      </w:r>
      <w:r w:rsidRPr="001D0236">
        <w:rPr>
          <w:i/>
          <w:iCs/>
          <w:lang w:eastAsia="zh-TW" w:bidi="en-GB"/>
        </w:rPr>
        <w:t xml:space="preserve">Sargsyan v. </w:t>
      </w:r>
      <w:proofErr w:type="spellStart"/>
      <w:r w:rsidRPr="001D0236">
        <w:rPr>
          <w:i/>
          <w:iCs/>
          <w:lang w:eastAsia="zh-TW" w:bidi="en-GB"/>
        </w:rPr>
        <w:t>Azerbaidjan</w:t>
      </w:r>
      <w:proofErr w:type="spellEnd"/>
      <w:r w:rsidRPr="00566EBF">
        <w:rPr>
          <w:lang w:eastAsia="zh-TW" w:bidi="en-GB"/>
        </w:rPr>
        <w:t xml:space="preserve">, application No. </w:t>
      </w:r>
      <w:r w:rsidRPr="000135B5">
        <w:rPr>
          <w:szCs w:val="18"/>
          <w:lang w:eastAsia="zh-TW" w:bidi="en-GB"/>
        </w:rPr>
        <w:t>40167</w:t>
      </w:r>
      <w:r w:rsidRPr="00566EBF">
        <w:rPr>
          <w:lang w:eastAsia="zh-TW" w:bidi="en-GB"/>
        </w:rPr>
        <w:t>/</w:t>
      </w:r>
      <w:r w:rsidRPr="000135B5">
        <w:rPr>
          <w:szCs w:val="18"/>
          <w:lang w:eastAsia="zh-TW" w:bidi="en-GB"/>
        </w:rPr>
        <w:t>06</w:t>
      </w:r>
      <w:r w:rsidRPr="00566EBF">
        <w:rPr>
          <w:lang w:eastAsia="zh-TW" w:bidi="en-GB"/>
        </w:rPr>
        <w:t xml:space="preserve">, judgment of </w:t>
      </w:r>
      <w:r w:rsidRPr="000135B5">
        <w:rPr>
          <w:szCs w:val="18"/>
          <w:lang w:eastAsia="zh-TW" w:bidi="en-GB"/>
        </w:rPr>
        <w:t>16</w:t>
      </w:r>
      <w:r w:rsidRPr="00566EBF">
        <w:rPr>
          <w:lang w:eastAsia="zh-TW" w:bidi="en-GB"/>
        </w:rPr>
        <w:t xml:space="preserve"> June </w:t>
      </w:r>
      <w:r w:rsidRPr="000135B5">
        <w:rPr>
          <w:szCs w:val="18"/>
          <w:lang w:eastAsia="zh-TW" w:bidi="en-GB"/>
        </w:rPr>
        <w:t>2015</w:t>
      </w:r>
      <w:r w:rsidRPr="00566EBF">
        <w:rPr>
          <w:lang w:eastAsia="zh-TW" w:bidi="en-GB"/>
        </w:rPr>
        <w:t xml:space="preserve">, para. </w:t>
      </w:r>
      <w:r w:rsidRPr="000135B5">
        <w:rPr>
          <w:szCs w:val="18"/>
          <w:lang w:eastAsia="zh-TW" w:bidi="en-GB"/>
        </w:rPr>
        <w:t>128</w:t>
      </w:r>
      <w:r w:rsidRPr="00566EBF">
        <w:rPr>
          <w:rtl/>
          <w:lang w:eastAsia="zh-TW"/>
        </w:rPr>
        <w:t>.</w:t>
      </w:r>
    </w:p>
  </w:footnote>
  <w:footnote w:id="19">
    <w:p w14:paraId="34249DB8" w14:textId="3589CCED"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Ibid., </w:t>
      </w:r>
      <w:proofErr w:type="spellStart"/>
      <w:r w:rsidRPr="001D0236">
        <w:rPr>
          <w:i/>
          <w:iCs/>
          <w:lang w:eastAsia="zh-TW" w:bidi="en-GB"/>
        </w:rPr>
        <w:t>Ilascu</w:t>
      </w:r>
      <w:proofErr w:type="spellEnd"/>
      <w:r w:rsidRPr="001D0236">
        <w:rPr>
          <w:i/>
          <w:iCs/>
          <w:lang w:eastAsia="zh-TW" w:bidi="en-GB"/>
        </w:rPr>
        <w:t xml:space="preserve"> and others v. Moldova and Russia</w:t>
      </w:r>
      <w:r w:rsidRPr="00566EBF">
        <w:rPr>
          <w:lang w:eastAsia="zh-TW" w:bidi="en-GB"/>
        </w:rPr>
        <w:t xml:space="preserve">, para. </w:t>
      </w:r>
      <w:r w:rsidRPr="000135B5">
        <w:rPr>
          <w:szCs w:val="18"/>
          <w:lang w:eastAsia="zh-TW" w:bidi="en-GB"/>
        </w:rPr>
        <w:t>393</w:t>
      </w:r>
      <w:r w:rsidRPr="00566EBF">
        <w:rPr>
          <w:rtl/>
          <w:lang w:eastAsia="zh-TW"/>
        </w:rPr>
        <w:t>.</w:t>
      </w:r>
    </w:p>
  </w:footnote>
  <w:footnote w:id="20">
    <w:p w14:paraId="20FF421F" w14:textId="087627FF" w:rsidR="000135B5" w:rsidRPr="00DD60CD" w:rsidRDefault="000135B5" w:rsidP="000135B5">
      <w:pPr>
        <w:pStyle w:val="FootnoteText1"/>
        <w:rPr>
          <w:rFonts w:hint="cs"/>
          <w:spacing w:val="-4"/>
          <w:rtl/>
        </w:rPr>
      </w:pPr>
      <w:r w:rsidRPr="00DD60CD">
        <w:rPr>
          <w:spacing w:val="-4"/>
          <w:rtl/>
        </w:rPr>
        <w:t>(</w:t>
      </w:r>
      <w:r w:rsidRPr="00DD60CD">
        <w:rPr>
          <w:rFonts w:cs="Times New Roman"/>
          <w:spacing w:val="-4"/>
        </w:rPr>
        <w:footnoteRef/>
      </w:r>
      <w:r w:rsidRPr="00DD60CD">
        <w:rPr>
          <w:spacing w:val="-4"/>
          <w:rtl/>
        </w:rPr>
        <w:t>)</w:t>
      </w:r>
      <w:r w:rsidRPr="00DD60CD">
        <w:rPr>
          <w:spacing w:val="-4"/>
          <w:rtl/>
        </w:rPr>
        <w:tab/>
        <w:t xml:space="preserve">انظر </w:t>
      </w:r>
      <w:r w:rsidRPr="00DD60CD">
        <w:rPr>
          <w:spacing w:val="-4"/>
        </w:rPr>
        <w:t>www.defense.gouv.fr/layout/set/print/content/download/</w:t>
      </w:r>
      <w:r w:rsidRPr="00DD60CD">
        <w:rPr>
          <w:spacing w:val="-4"/>
          <w:szCs w:val="18"/>
        </w:rPr>
        <w:t>523399</w:t>
      </w:r>
      <w:r w:rsidRPr="00DD60CD">
        <w:rPr>
          <w:spacing w:val="-4"/>
        </w:rPr>
        <w:t>/</w:t>
      </w:r>
      <w:r w:rsidRPr="00DD60CD">
        <w:rPr>
          <w:spacing w:val="-4"/>
          <w:szCs w:val="18"/>
        </w:rPr>
        <w:t>8773207</w:t>
      </w:r>
      <w:r w:rsidRPr="00DD60CD">
        <w:rPr>
          <w:spacing w:val="-4"/>
        </w:rPr>
        <w:t>/version/</w:t>
      </w:r>
      <w:r w:rsidRPr="00DD60CD">
        <w:rPr>
          <w:spacing w:val="-4"/>
          <w:szCs w:val="18"/>
        </w:rPr>
        <w:t>1</w:t>
      </w:r>
      <w:r w:rsidRPr="00DD60CD">
        <w:rPr>
          <w:spacing w:val="-4"/>
        </w:rPr>
        <w:t>/file/</w:t>
      </w:r>
      <w:r w:rsidRPr="00DD60CD">
        <w:rPr>
          <w:spacing w:val="-4"/>
          <w:szCs w:val="18"/>
        </w:rPr>
        <w:t>20170713</w:t>
      </w:r>
      <w:r w:rsidRPr="00DD60CD">
        <w:rPr>
          <w:spacing w:val="-4"/>
        </w:rPr>
        <w:t>+</w:t>
      </w:r>
      <w:r w:rsidR="00DD60CD" w:rsidRPr="00DD60CD">
        <w:rPr>
          <w:spacing w:val="-4"/>
        </w:rPr>
        <w:br/>
      </w:r>
      <w:proofErr w:type="spellStart"/>
      <w:r w:rsidRPr="00DD60CD">
        <w:rPr>
          <w:spacing w:val="-4"/>
        </w:rPr>
        <w:t>Dossier+de+presse+op%C</w:t>
      </w:r>
      <w:r w:rsidRPr="00DD60CD">
        <w:rPr>
          <w:spacing w:val="-4"/>
          <w:szCs w:val="18"/>
        </w:rPr>
        <w:t>3</w:t>
      </w:r>
      <w:r w:rsidRPr="00DD60CD">
        <w:rPr>
          <w:spacing w:val="-4"/>
        </w:rPr>
        <w:t>%A</w:t>
      </w:r>
      <w:r w:rsidRPr="00DD60CD">
        <w:rPr>
          <w:spacing w:val="-4"/>
          <w:szCs w:val="18"/>
        </w:rPr>
        <w:t>9</w:t>
      </w:r>
      <w:r w:rsidRPr="00DD60CD">
        <w:rPr>
          <w:spacing w:val="-4"/>
        </w:rPr>
        <w:t>ration+Chammal+FEV+</w:t>
      </w:r>
      <w:r w:rsidRPr="00DD60CD">
        <w:rPr>
          <w:spacing w:val="-4"/>
          <w:szCs w:val="18"/>
        </w:rPr>
        <w:t>18</w:t>
      </w:r>
      <w:r w:rsidRPr="00DD60CD">
        <w:rPr>
          <w:spacing w:val="-4"/>
        </w:rPr>
        <w:t>+VF.pdf</w:t>
      </w:r>
      <w:proofErr w:type="spellEnd"/>
      <w:r w:rsidRPr="00DD60CD">
        <w:rPr>
          <w:spacing w:val="-4"/>
          <w:rtl/>
        </w:rPr>
        <w:t>. انظر أيضا</w:t>
      </w:r>
      <w:r w:rsidRPr="00DD60CD">
        <w:rPr>
          <w:rFonts w:hint="cs"/>
          <w:spacing w:val="-4"/>
          <w:rtl/>
        </w:rPr>
        <w:t>ً</w:t>
      </w:r>
      <w:r w:rsidRPr="00DD60CD">
        <w:rPr>
          <w:spacing w:val="-4"/>
          <w:rtl/>
        </w:rPr>
        <w:t xml:space="preserve"> قرار مجلس الأمن </w:t>
      </w:r>
      <w:r w:rsidRPr="00DD60CD">
        <w:rPr>
          <w:spacing w:val="-4"/>
          <w:szCs w:val="18"/>
          <w:rtl/>
        </w:rPr>
        <w:t>2249</w:t>
      </w:r>
      <w:r w:rsidRPr="00DD60CD">
        <w:rPr>
          <w:spacing w:val="-4"/>
          <w:rtl/>
        </w:rPr>
        <w:t>(</w:t>
      </w:r>
      <w:r w:rsidRPr="00DD60CD">
        <w:rPr>
          <w:spacing w:val="-4"/>
          <w:szCs w:val="18"/>
          <w:rtl/>
        </w:rPr>
        <w:t>2015</w:t>
      </w:r>
      <w:r w:rsidRPr="00DD60CD">
        <w:rPr>
          <w:spacing w:val="-4"/>
          <w:rtl/>
        </w:rPr>
        <w:t>).</w:t>
      </w:r>
    </w:p>
  </w:footnote>
  <w:footnote w:id="21">
    <w:p w14:paraId="43C9FF3B" w14:textId="15B6FC79"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قرار المدافع عن الحقوق رقم </w:t>
      </w:r>
      <w:r w:rsidRPr="000135B5">
        <w:rPr>
          <w:szCs w:val="18"/>
          <w:rtl/>
          <w:lang w:eastAsia="zh-TW"/>
        </w:rPr>
        <w:t>2019</w:t>
      </w:r>
      <w:r w:rsidRPr="00566EBF">
        <w:rPr>
          <w:rtl/>
          <w:lang w:eastAsia="zh-TW"/>
        </w:rPr>
        <w:t>-</w:t>
      </w:r>
      <w:r w:rsidRPr="000135B5">
        <w:rPr>
          <w:szCs w:val="18"/>
          <w:rtl/>
          <w:lang w:eastAsia="zh-TW"/>
        </w:rPr>
        <w:t>129</w:t>
      </w:r>
      <w:r w:rsidRPr="00566EBF">
        <w:rPr>
          <w:rtl/>
          <w:lang w:eastAsia="zh-TW"/>
        </w:rPr>
        <w:t xml:space="preserve"> المؤرخ </w:t>
      </w:r>
      <w:r w:rsidRPr="000135B5">
        <w:rPr>
          <w:szCs w:val="18"/>
          <w:rtl/>
          <w:lang w:eastAsia="zh-TW"/>
        </w:rPr>
        <w:t>22</w:t>
      </w:r>
      <w:r w:rsidRPr="00566EBF">
        <w:rPr>
          <w:rtl/>
          <w:lang w:eastAsia="zh-TW"/>
        </w:rPr>
        <w:t xml:space="preserve"> أيار/مايو </w:t>
      </w:r>
      <w:r w:rsidRPr="000135B5">
        <w:rPr>
          <w:szCs w:val="18"/>
          <w:rtl/>
          <w:lang w:eastAsia="zh-TW"/>
        </w:rPr>
        <w:t>2019</w:t>
      </w:r>
      <w:r w:rsidRPr="00566EBF">
        <w:rPr>
          <w:rtl/>
          <w:lang w:eastAsia="zh-TW"/>
        </w:rPr>
        <w:t xml:space="preserve"> بشأن إبقاء الأطفال الفرنسيين وأمهاتهم في المخيمات الخاضعة لسيطرة قوات سوريا الديمقراطية في شمال الجمهورية العربية السورية.</w:t>
      </w:r>
    </w:p>
  </w:footnote>
  <w:footnote w:id="22">
    <w:p w14:paraId="4F3BBE2A" w14:textId="7D93DE30"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w:t>
      </w:r>
      <w:r w:rsidRPr="00566EBF">
        <w:rPr>
          <w:lang w:eastAsia="zh-TW" w:bidi="en-GB"/>
        </w:rPr>
        <w:t>www.elysee.fr/emmanuel-macron/</w:t>
      </w:r>
      <w:r w:rsidRPr="000135B5">
        <w:rPr>
          <w:szCs w:val="18"/>
          <w:lang w:eastAsia="zh-TW" w:bidi="en-GB"/>
        </w:rPr>
        <w:t>2018</w:t>
      </w:r>
      <w:r w:rsidRPr="00566EBF">
        <w:rPr>
          <w:lang w:eastAsia="zh-TW" w:bidi="en-GB"/>
        </w:rPr>
        <w:t>/</w:t>
      </w:r>
      <w:r w:rsidRPr="000135B5">
        <w:rPr>
          <w:szCs w:val="18"/>
          <w:lang w:eastAsia="zh-TW" w:bidi="en-GB"/>
        </w:rPr>
        <w:t>03</w:t>
      </w:r>
      <w:r w:rsidRPr="00566EBF">
        <w:rPr>
          <w:lang w:eastAsia="zh-TW" w:bidi="en-GB"/>
        </w:rPr>
        <w:t>/</w:t>
      </w:r>
      <w:r w:rsidRPr="000135B5">
        <w:rPr>
          <w:szCs w:val="18"/>
          <w:lang w:eastAsia="zh-TW" w:bidi="en-GB"/>
        </w:rPr>
        <w:t>30</w:t>
      </w:r>
      <w:r w:rsidRPr="00566EBF">
        <w:rPr>
          <w:lang w:eastAsia="zh-TW" w:bidi="en-GB"/>
        </w:rPr>
        <w:t>/entretien-du-president-de-la-republique-avec-une-delegation-syrienne</w:t>
      </w:r>
      <w:r w:rsidRPr="00566EBF">
        <w:rPr>
          <w:rtl/>
          <w:lang w:eastAsia="zh-TW"/>
        </w:rPr>
        <w:t>.</w:t>
      </w:r>
    </w:p>
  </w:footnote>
  <w:footnote w:id="23">
    <w:p w14:paraId="018A39DE" w14:textId="59C5EEC8" w:rsidR="000135B5" w:rsidRPr="000135B5" w:rsidRDefault="000135B5" w:rsidP="000135B5">
      <w:pPr>
        <w:pStyle w:val="FootnoteText1"/>
        <w:rPr>
          <w:spacing w:val="-2"/>
        </w:rPr>
      </w:pPr>
      <w:r w:rsidRPr="000135B5">
        <w:rPr>
          <w:spacing w:val="-2"/>
          <w:rtl/>
        </w:rPr>
        <w:t>(</w:t>
      </w:r>
      <w:r w:rsidRPr="000135B5">
        <w:rPr>
          <w:rFonts w:cs="Times New Roman"/>
          <w:spacing w:val="-2"/>
        </w:rPr>
        <w:footnoteRef/>
      </w:r>
      <w:r w:rsidRPr="000135B5">
        <w:rPr>
          <w:spacing w:val="-2"/>
          <w:rtl/>
        </w:rPr>
        <w:t>)</w:t>
      </w:r>
      <w:r w:rsidRPr="000135B5">
        <w:rPr>
          <w:spacing w:val="-2"/>
          <w:rtl/>
        </w:rPr>
        <w:tab/>
      </w:r>
      <w:r w:rsidRPr="000135B5">
        <w:rPr>
          <w:spacing w:val="-2"/>
          <w:rtl/>
          <w:lang w:eastAsia="zh-TW"/>
        </w:rPr>
        <w:t xml:space="preserve">انظر </w:t>
      </w:r>
      <w:r w:rsidRPr="000135B5">
        <w:rPr>
          <w:spacing w:val="-2"/>
          <w:lang w:eastAsia="zh-TW" w:bidi="en-GB"/>
        </w:rPr>
        <w:t>www.diplomatie.gouv.fr/fr/dossiers-pays/syrie/evenements/actualites-</w:t>
      </w:r>
      <w:r w:rsidRPr="000135B5">
        <w:rPr>
          <w:spacing w:val="-2"/>
          <w:szCs w:val="18"/>
          <w:lang w:eastAsia="zh-TW" w:bidi="en-GB"/>
        </w:rPr>
        <w:t>2019</w:t>
      </w:r>
      <w:r w:rsidRPr="000135B5">
        <w:rPr>
          <w:spacing w:val="-2"/>
          <w:lang w:eastAsia="zh-TW" w:bidi="en-GB"/>
        </w:rPr>
        <w:t>/article/communique-du-ministere-de-l-europe-et-des-affaires-etrangeres-</w:t>
      </w:r>
      <w:r w:rsidRPr="000135B5">
        <w:rPr>
          <w:spacing w:val="-2"/>
          <w:szCs w:val="18"/>
          <w:lang w:eastAsia="zh-TW" w:bidi="en-GB"/>
        </w:rPr>
        <w:t>15</w:t>
      </w:r>
      <w:r w:rsidRPr="000135B5">
        <w:rPr>
          <w:spacing w:val="-2"/>
          <w:lang w:eastAsia="zh-TW" w:bidi="en-GB"/>
        </w:rPr>
        <w:t>-</w:t>
      </w:r>
      <w:r w:rsidRPr="000135B5">
        <w:rPr>
          <w:spacing w:val="-2"/>
          <w:szCs w:val="18"/>
          <w:lang w:eastAsia="zh-TW" w:bidi="en-GB"/>
        </w:rPr>
        <w:t>03</w:t>
      </w:r>
      <w:r w:rsidRPr="000135B5">
        <w:rPr>
          <w:spacing w:val="-2"/>
          <w:lang w:eastAsia="zh-TW" w:bidi="en-GB"/>
        </w:rPr>
        <w:t>-</w:t>
      </w:r>
      <w:r w:rsidRPr="000135B5">
        <w:rPr>
          <w:spacing w:val="-2"/>
          <w:szCs w:val="18"/>
          <w:lang w:eastAsia="zh-TW" w:bidi="en-GB"/>
        </w:rPr>
        <w:t>19</w:t>
      </w:r>
      <w:r w:rsidRPr="000135B5">
        <w:rPr>
          <w:spacing w:val="-2"/>
          <w:rtl/>
          <w:lang w:eastAsia="zh-TW"/>
        </w:rPr>
        <w:t>.</w:t>
      </w:r>
    </w:p>
  </w:footnote>
  <w:footnote w:id="24">
    <w:p w14:paraId="1EE9BE71" w14:textId="56C58BA9"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w:t>
      </w:r>
      <w:r w:rsidRPr="00566EBF">
        <w:rPr>
          <w:lang w:eastAsia="zh-TW" w:bidi="en-GB"/>
        </w:rPr>
        <w:t>www.senat.fr/compte-rendu-commissions/affaires-etrangeres_archives.html#Session</w:t>
      </w:r>
      <w:r w:rsidRPr="000135B5">
        <w:rPr>
          <w:szCs w:val="18"/>
          <w:lang w:eastAsia="zh-TW" w:bidi="en-GB"/>
        </w:rPr>
        <w:t>2019</w:t>
      </w:r>
      <w:r w:rsidRPr="00566EBF">
        <w:rPr>
          <w:rtl/>
          <w:lang w:eastAsia="zh-TW"/>
        </w:rPr>
        <w:t>.</w:t>
      </w:r>
    </w:p>
  </w:footnote>
  <w:footnote w:id="25">
    <w:p w14:paraId="5DBD1B98" w14:textId="4605A6E3"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قرار المدافع عن الحقوق رقم </w:t>
      </w:r>
      <w:r w:rsidRPr="000135B5">
        <w:rPr>
          <w:szCs w:val="18"/>
          <w:rtl/>
          <w:lang w:eastAsia="zh-TW"/>
        </w:rPr>
        <w:t>2019</w:t>
      </w:r>
      <w:r w:rsidRPr="00566EBF">
        <w:rPr>
          <w:rtl/>
          <w:lang w:eastAsia="zh-TW"/>
        </w:rPr>
        <w:t>-</w:t>
      </w:r>
      <w:r w:rsidRPr="000135B5">
        <w:rPr>
          <w:szCs w:val="18"/>
          <w:rtl/>
          <w:lang w:eastAsia="zh-TW"/>
        </w:rPr>
        <w:t>129</w:t>
      </w:r>
      <w:r w:rsidRPr="00566EBF">
        <w:rPr>
          <w:rtl/>
          <w:lang w:eastAsia="zh-TW"/>
        </w:rPr>
        <w:t xml:space="preserve"> المؤرخ </w:t>
      </w:r>
      <w:r w:rsidRPr="000135B5">
        <w:rPr>
          <w:szCs w:val="18"/>
          <w:rtl/>
          <w:lang w:eastAsia="zh-TW"/>
        </w:rPr>
        <w:t>22</w:t>
      </w:r>
      <w:r w:rsidRPr="00566EBF">
        <w:rPr>
          <w:rtl/>
          <w:lang w:eastAsia="zh-TW"/>
        </w:rPr>
        <w:t xml:space="preserve"> أيار/مايو </w:t>
      </w:r>
      <w:r w:rsidRPr="000135B5">
        <w:rPr>
          <w:szCs w:val="18"/>
          <w:rtl/>
          <w:lang w:eastAsia="zh-TW"/>
        </w:rPr>
        <w:t>2019</w:t>
      </w:r>
      <w:r w:rsidRPr="00566EBF">
        <w:rPr>
          <w:rtl/>
          <w:lang w:eastAsia="zh-TW"/>
        </w:rPr>
        <w:t>.</w:t>
      </w:r>
    </w:p>
  </w:footnote>
  <w:footnote w:id="26">
    <w:p w14:paraId="4BF7430A" w14:textId="7FBAD532"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الطلب رقم </w:t>
      </w:r>
      <w:r w:rsidRPr="000135B5">
        <w:rPr>
          <w:szCs w:val="18"/>
          <w:rtl/>
          <w:lang w:eastAsia="zh-TW"/>
        </w:rPr>
        <w:t>52207</w:t>
      </w:r>
      <w:r w:rsidRPr="00566EBF">
        <w:rPr>
          <w:rtl/>
          <w:lang w:eastAsia="zh-TW"/>
        </w:rPr>
        <w:t>/</w:t>
      </w:r>
      <w:r w:rsidRPr="000135B5">
        <w:rPr>
          <w:szCs w:val="18"/>
          <w:rtl/>
          <w:lang w:eastAsia="zh-TW"/>
        </w:rPr>
        <w:t>99</w:t>
      </w:r>
      <w:r w:rsidRPr="00566EBF">
        <w:rPr>
          <w:rtl/>
          <w:lang w:eastAsia="zh-TW"/>
        </w:rPr>
        <w:t xml:space="preserve">، القرار المؤرخ </w:t>
      </w:r>
      <w:r w:rsidRPr="000135B5">
        <w:rPr>
          <w:szCs w:val="18"/>
          <w:rtl/>
          <w:lang w:eastAsia="zh-TW"/>
        </w:rPr>
        <w:t>12</w:t>
      </w:r>
      <w:r w:rsidRPr="00566EBF">
        <w:rPr>
          <w:rtl/>
          <w:lang w:eastAsia="zh-TW"/>
        </w:rPr>
        <w:t xml:space="preserve"> كانون الأول/ديسمبر </w:t>
      </w:r>
      <w:r w:rsidRPr="000135B5">
        <w:rPr>
          <w:szCs w:val="18"/>
          <w:rtl/>
          <w:lang w:eastAsia="zh-TW"/>
        </w:rPr>
        <w:t>2001</w:t>
      </w:r>
      <w:r w:rsidRPr="00566EBF">
        <w:rPr>
          <w:rtl/>
          <w:lang w:eastAsia="zh-TW"/>
        </w:rPr>
        <w:t xml:space="preserve">، الفقرات </w:t>
      </w:r>
      <w:r w:rsidRPr="000135B5">
        <w:rPr>
          <w:szCs w:val="18"/>
          <w:rtl/>
          <w:lang w:eastAsia="zh-TW"/>
        </w:rPr>
        <w:t>59</w:t>
      </w:r>
      <w:r w:rsidRPr="00566EBF">
        <w:rPr>
          <w:rtl/>
          <w:lang w:eastAsia="zh-TW"/>
        </w:rPr>
        <w:t xml:space="preserve"> وما بعدها.</w:t>
      </w:r>
    </w:p>
  </w:footnote>
  <w:footnote w:id="27">
    <w:p w14:paraId="4267752B" w14:textId="1A919BDA" w:rsidR="000135B5" w:rsidRPr="00566EBF" w:rsidRDefault="000135B5" w:rsidP="000135B5">
      <w:pPr>
        <w:pStyle w:val="FootnoteText1"/>
      </w:pPr>
      <w:r>
        <w:rPr>
          <w:rtl/>
        </w:rPr>
        <w:t>(</w:t>
      </w:r>
      <w:r w:rsidRPr="000135B5">
        <w:rPr>
          <w:rFonts w:cs="Times New Roman"/>
        </w:rPr>
        <w:footnoteRef/>
      </w:r>
      <w:r>
        <w:rPr>
          <w:rtl/>
        </w:rPr>
        <w:t>)</w:t>
      </w:r>
      <w:r w:rsidRPr="00566EBF">
        <w:rPr>
          <w:rtl/>
        </w:rPr>
        <w:tab/>
        <w:t xml:space="preserve">قضية </w:t>
      </w:r>
      <w:proofErr w:type="spellStart"/>
      <w:r w:rsidRPr="001D0236">
        <w:rPr>
          <w:i/>
          <w:iCs/>
          <w:rtl/>
        </w:rPr>
        <w:t>رويتمان</w:t>
      </w:r>
      <w:proofErr w:type="spellEnd"/>
      <w:r w:rsidRPr="001D0236">
        <w:rPr>
          <w:i/>
          <w:iCs/>
          <w:rtl/>
        </w:rPr>
        <w:t xml:space="preserve"> </w:t>
      </w:r>
      <w:proofErr w:type="spellStart"/>
      <w:r w:rsidRPr="001D0236">
        <w:rPr>
          <w:i/>
          <w:iCs/>
          <w:rtl/>
        </w:rPr>
        <w:t>روزنمان</w:t>
      </w:r>
      <w:proofErr w:type="spellEnd"/>
      <w:r w:rsidRPr="001D0236">
        <w:rPr>
          <w:i/>
          <w:iCs/>
          <w:rtl/>
        </w:rPr>
        <w:t xml:space="preserve"> ضد إسبانيا</w:t>
      </w:r>
      <w:r w:rsidRPr="00566EBF">
        <w:rPr>
          <w:rtl/>
        </w:rPr>
        <w:t xml:space="preserve"> (</w:t>
      </w:r>
      <w:r w:rsidRPr="00566EBF">
        <w:t>CAT/C/</w:t>
      </w:r>
      <w:r w:rsidRPr="000135B5">
        <w:rPr>
          <w:szCs w:val="18"/>
        </w:rPr>
        <w:t>28</w:t>
      </w:r>
      <w:r w:rsidRPr="00566EBF">
        <w:t>/D/</w:t>
      </w:r>
      <w:r w:rsidRPr="000135B5">
        <w:rPr>
          <w:szCs w:val="18"/>
        </w:rPr>
        <w:t>176</w:t>
      </w:r>
      <w:r w:rsidRPr="00566EBF">
        <w:t>/</w:t>
      </w:r>
      <w:r w:rsidRPr="000135B5">
        <w:rPr>
          <w:szCs w:val="18"/>
        </w:rPr>
        <w:t>2000</w:t>
      </w:r>
      <w:r w:rsidRPr="00566EBF">
        <w:rPr>
          <w:rtl/>
        </w:rPr>
        <w:t xml:space="preserve"> و</w:t>
      </w:r>
      <w:r w:rsidRPr="00566EBF">
        <w:t>Co</w:t>
      </w:r>
      <w:r w:rsidR="00994502">
        <w:t>r</w:t>
      </w:r>
      <w:r w:rsidRPr="00566EBF">
        <w:t>r.</w:t>
      </w:r>
      <w:r w:rsidRPr="000135B5">
        <w:rPr>
          <w:szCs w:val="18"/>
        </w:rPr>
        <w:t>1</w:t>
      </w:r>
      <w:r w:rsidRPr="00566EBF">
        <w:rPr>
          <w:rtl/>
        </w:rPr>
        <w:t xml:space="preserve">)، الفقرة </w:t>
      </w:r>
      <w:r w:rsidRPr="000135B5">
        <w:rPr>
          <w:szCs w:val="18"/>
          <w:rtl/>
        </w:rPr>
        <w:t>6</w:t>
      </w:r>
      <w:r w:rsidRPr="00566EBF">
        <w:rPr>
          <w:rtl/>
        </w:rPr>
        <w:t>-</w:t>
      </w:r>
      <w:r w:rsidRPr="000135B5">
        <w:rPr>
          <w:szCs w:val="18"/>
          <w:rtl/>
        </w:rPr>
        <w:t>6</w:t>
      </w:r>
      <w:r w:rsidRPr="00566EBF">
        <w:rPr>
          <w:rtl/>
        </w:rPr>
        <w:t xml:space="preserve">؛ وقضية </w:t>
      </w:r>
      <w:r w:rsidRPr="001D0236">
        <w:rPr>
          <w:i/>
          <w:iCs/>
          <w:rtl/>
        </w:rPr>
        <w:t>ز. ضد أستراليا</w:t>
      </w:r>
      <w:r w:rsidRPr="00566EBF">
        <w:rPr>
          <w:rtl/>
        </w:rPr>
        <w:t xml:space="preserve"> (</w:t>
      </w:r>
      <w:r w:rsidRPr="00566EBF">
        <w:t>CAT/C/</w:t>
      </w:r>
      <w:r w:rsidRPr="000135B5">
        <w:rPr>
          <w:szCs w:val="18"/>
        </w:rPr>
        <w:t>53</w:t>
      </w:r>
      <w:r w:rsidRPr="00566EBF">
        <w:t>/D/</w:t>
      </w:r>
      <w:r w:rsidRPr="000135B5">
        <w:rPr>
          <w:szCs w:val="18"/>
        </w:rPr>
        <w:t>511</w:t>
      </w:r>
      <w:r w:rsidRPr="00566EBF">
        <w:t>/</w:t>
      </w:r>
      <w:r w:rsidRPr="000135B5">
        <w:rPr>
          <w:szCs w:val="18"/>
        </w:rPr>
        <w:t>2012</w:t>
      </w:r>
      <w:r w:rsidRPr="00566EBF">
        <w:rPr>
          <w:rtl/>
        </w:rPr>
        <w:t xml:space="preserve">)؛ وقضية </w:t>
      </w:r>
      <w:r w:rsidRPr="001D0236">
        <w:rPr>
          <w:i/>
          <w:iCs/>
          <w:rtl/>
        </w:rPr>
        <w:t>عجيزة ضد السويد</w:t>
      </w:r>
      <w:r w:rsidRPr="00566EBF">
        <w:rPr>
          <w:rtl/>
        </w:rPr>
        <w:t xml:space="preserve"> (</w:t>
      </w:r>
      <w:r w:rsidRPr="00566EBF">
        <w:t>CAT/C/</w:t>
      </w:r>
      <w:r w:rsidRPr="000135B5">
        <w:rPr>
          <w:szCs w:val="18"/>
        </w:rPr>
        <w:t>34</w:t>
      </w:r>
      <w:r w:rsidRPr="00566EBF">
        <w:t>/D/</w:t>
      </w:r>
      <w:r w:rsidRPr="000135B5">
        <w:rPr>
          <w:szCs w:val="18"/>
        </w:rPr>
        <w:t>233</w:t>
      </w:r>
      <w:r w:rsidRPr="00566EBF">
        <w:t>/</w:t>
      </w:r>
      <w:r w:rsidRPr="000135B5">
        <w:rPr>
          <w:szCs w:val="18"/>
        </w:rPr>
        <w:t>2003</w:t>
      </w:r>
      <w:r w:rsidRPr="00566EBF">
        <w:rPr>
          <w:rtl/>
        </w:rPr>
        <w:t>).</w:t>
      </w:r>
      <w:r w:rsidR="00994502">
        <w:rPr>
          <w:rtl/>
        </w:rPr>
        <w:t xml:space="preserve"> </w:t>
      </w:r>
    </w:p>
  </w:footnote>
  <w:footnote w:id="28">
    <w:p w14:paraId="4B526641" w14:textId="590E7454"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وتحيل الدولة الطرف إلى التعليق العام المشترك رقم </w:t>
      </w:r>
      <w:r w:rsidRPr="000135B5">
        <w:rPr>
          <w:szCs w:val="18"/>
          <w:rtl/>
          <w:lang w:eastAsia="zh-TW"/>
        </w:rPr>
        <w:t>3</w:t>
      </w:r>
      <w:r w:rsidRPr="00566EBF">
        <w:rPr>
          <w:rtl/>
          <w:lang w:eastAsia="zh-TW"/>
        </w:rPr>
        <w:t xml:space="preserve"> للجنة المعنية بحماية حقوق جميع العمال المهاجرين وأفراد أسرهم/</w:t>
      </w:r>
      <w:r w:rsidR="00994502">
        <w:rPr>
          <w:rFonts w:hint="cs"/>
          <w:rtl/>
          <w:lang w:eastAsia="zh-TW"/>
        </w:rPr>
        <w:t xml:space="preserve"> </w:t>
      </w:r>
      <w:r w:rsidRPr="00566EBF">
        <w:rPr>
          <w:rtl/>
          <w:lang w:eastAsia="zh-TW"/>
        </w:rPr>
        <w:t>رقم</w:t>
      </w:r>
      <w:r w:rsidR="00994502">
        <w:rPr>
          <w:rFonts w:hint="cs"/>
          <w:rtl/>
          <w:lang w:eastAsia="zh-TW"/>
        </w:rPr>
        <w:t> </w:t>
      </w:r>
      <w:r w:rsidR="00994502">
        <w:rPr>
          <w:rFonts w:hint="cs"/>
          <w:szCs w:val="18"/>
          <w:rtl/>
          <w:lang w:eastAsia="zh-TW"/>
        </w:rPr>
        <w:t>22</w:t>
      </w:r>
      <w:r w:rsidRPr="00566EBF">
        <w:rPr>
          <w:rtl/>
          <w:lang w:eastAsia="zh-TW"/>
        </w:rPr>
        <w:t>(</w:t>
      </w:r>
      <w:r w:rsidRPr="000135B5">
        <w:rPr>
          <w:szCs w:val="18"/>
          <w:rtl/>
          <w:lang w:eastAsia="zh-TW"/>
        </w:rPr>
        <w:t>2017</w:t>
      </w:r>
      <w:r w:rsidRPr="00566EBF">
        <w:rPr>
          <w:rtl/>
          <w:lang w:eastAsia="zh-TW"/>
        </w:rPr>
        <w:t xml:space="preserve">) للجنة حقوق الطفل، الفقرة </w:t>
      </w:r>
      <w:r w:rsidRPr="000135B5">
        <w:rPr>
          <w:szCs w:val="18"/>
          <w:rtl/>
          <w:lang w:eastAsia="zh-TW"/>
        </w:rPr>
        <w:t>12</w:t>
      </w:r>
      <w:r w:rsidRPr="00566EBF">
        <w:rPr>
          <w:rtl/>
          <w:lang w:eastAsia="zh-TW"/>
        </w:rPr>
        <w:t xml:space="preserve">. والتعليق العام رقم </w:t>
      </w:r>
      <w:r w:rsidRPr="000135B5">
        <w:rPr>
          <w:szCs w:val="18"/>
          <w:rtl/>
          <w:lang w:eastAsia="zh-TW"/>
        </w:rPr>
        <w:t>31</w:t>
      </w:r>
      <w:r w:rsidRPr="00566EBF">
        <w:rPr>
          <w:rtl/>
          <w:lang w:eastAsia="zh-TW"/>
        </w:rPr>
        <w:t>(</w:t>
      </w:r>
      <w:r w:rsidRPr="000135B5">
        <w:rPr>
          <w:szCs w:val="18"/>
          <w:rtl/>
          <w:lang w:eastAsia="zh-TW"/>
        </w:rPr>
        <w:t>2004</w:t>
      </w:r>
      <w:r w:rsidRPr="00566EBF">
        <w:rPr>
          <w:rtl/>
          <w:lang w:eastAsia="zh-TW"/>
        </w:rPr>
        <w:t xml:space="preserve">) الصادر عن اللجنة المعنية بحقوق الإنسان؛ </w:t>
      </w:r>
      <w:r w:rsidRPr="00566EBF">
        <w:rPr>
          <w:lang w:eastAsia="zh-TW" w:bidi="en-GB"/>
        </w:rPr>
        <w:t xml:space="preserve">European Court of Human Rights, </w:t>
      </w:r>
      <w:r w:rsidRPr="001D0236">
        <w:rPr>
          <w:i/>
          <w:iCs/>
          <w:lang w:eastAsia="zh-TW" w:bidi="en-GB"/>
        </w:rPr>
        <w:t xml:space="preserve">Al </w:t>
      </w:r>
      <w:proofErr w:type="spellStart"/>
      <w:r w:rsidRPr="001D0236">
        <w:rPr>
          <w:i/>
          <w:iCs/>
          <w:lang w:eastAsia="zh-TW" w:bidi="en-GB"/>
        </w:rPr>
        <w:t>Skeini</w:t>
      </w:r>
      <w:proofErr w:type="spellEnd"/>
      <w:r w:rsidRPr="001D0236">
        <w:rPr>
          <w:i/>
          <w:iCs/>
          <w:lang w:eastAsia="zh-TW" w:bidi="en-GB"/>
        </w:rPr>
        <w:t xml:space="preserve"> and others v. United Kingdom</w:t>
      </w:r>
      <w:r w:rsidRPr="00566EBF">
        <w:rPr>
          <w:lang w:eastAsia="zh-TW" w:bidi="en-GB"/>
        </w:rPr>
        <w:t xml:space="preserve">, application No. </w:t>
      </w:r>
      <w:r w:rsidRPr="000135B5">
        <w:rPr>
          <w:szCs w:val="18"/>
          <w:lang w:eastAsia="zh-TW" w:bidi="en-GB"/>
        </w:rPr>
        <w:t>55721</w:t>
      </w:r>
      <w:r w:rsidRPr="00566EBF">
        <w:rPr>
          <w:lang w:eastAsia="zh-TW" w:bidi="en-GB"/>
        </w:rPr>
        <w:t>/</w:t>
      </w:r>
      <w:r w:rsidRPr="000135B5">
        <w:rPr>
          <w:szCs w:val="18"/>
          <w:lang w:eastAsia="zh-TW" w:bidi="en-GB"/>
        </w:rPr>
        <w:t>07</w:t>
      </w:r>
      <w:r w:rsidRPr="00566EBF">
        <w:rPr>
          <w:lang w:eastAsia="zh-TW" w:bidi="en-GB"/>
        </w:rPr>
        <w:t xml:space="preserve">, judgment of </w:t>
      </w:r>
      <w:r w:rsidRPr="000135B5">
        <w:rPr>
          <w:szCs w:val="18"/>
          <w:lang w:eastAsia="zh-TW" w:bidi="en-GB"/>
        </w:rPr>
        <w:t>7</w:t>
      </w:r>
      <w:r w:rsidRPr="00566EBF">
        <w:rPr>
          <w:lang w:eastAsia="zh-TW" w:bidi="en-GB"/>
        </w:rPr>
        <w:t xml:space="preserve"> July </w:t>
      </w:r>
      <w:r w:rsidRPr="000135B5">
        <w:rPr>
          <w:szCs w:val="18"/>
          <w:lang w:eastAsia="zh-TW" w:bidi="en-GB"/>
        </w:rPr>
        <w:t>2011</w:t>
      </w:r>
      <w:r w:rsidRPr="00566EBF">
        <w:rPr>
          <w:lang w:eastAsia="zh-TW" w:bidi="en-GB"/>
        </w:rPr>
        <w:t xml:space="preserve">, para. </w:t>
      </w:r>
      <w:r w:rsidRPr="000135B5">
        <w:rPr>
          <w:szCs w:val="18"/>
          <w:lang w:eastAsia="zh-TW" w:bidi="en-GB"/>
        </w:rPr>
        <w:t>138</w:t>
      </w:r>
      <w:r w:rsidRPr="00566EBF">
        <w:rPr>
          <w:lang w:eastAsia="zh-TW" w:bidi="en-GB"/>
        </w:rPr>
        <w:t xml:space="preserve">; Inter-American Commission on Human Rights, </w:t>
      </w:r>
      <w:r w:rsidRPr="001D0236">
        <w:rPr>
          <w:i/>
          <w:iCs/>
          <w:lang w:eastAsia="zh-TW" w:bidi="en-GB"/>
        </w:rPr>
        <w:t xml:space="preserve">Djamel </w:t>
      </w:r>
      <w:proofErr w:type="spellStart"/>
      <w:r w:rsidRPr="001D0236">
        <w:rPr>
          <w:i/>
          <w:iCs/>
          <w:lang w:eastAsia="zh-TW" w:bidi="en-GB"/>
        </w:rPr>
        <w:t>Ameziane</w:t>
      </w:r>
      <w:proofErr w:type="spellEnd"/>
      <w:r w:rsidRPr="001D0236">
        <w:rPr>
          <w:i/>
          <w:iCs/>
          <w:lang w:eastAsia="zh-TW" w:bidi="en-GB"/>
        </w:rPr>
        <w:t xml:space="preserve"> v. United States</w:t>
      </w:r>
      <w:r w:rsidRPr="00566EBF">
        <w:rPr>
          <w:lang w:eastAsia="zh-TW" w:bidi="en-GB"/>
        </w:rPr>
        <w:t xml:space="preserve">, </w:t>
      </w:r>
      <w:r w:rsidRPr="000135B5">
        <w:rPr>
          <w:szCs w:val="18"/>
          <w:lang w:eastAsia="zh-TW" w:bidi="en-GB"/>
        </w:rPr>
        <w:t>20</w:t>
      </w:r>
      <w:r w:rsidRPr="00566EBF">
        <w:rPr>
          <w:lang w:eastAsia="zh-TW" w:bidi="en-GB"/>
        </w:rPr>
        <w:t xml:space="preserve"> March </w:t>
      </w:r>
      <w:r w:rsidRPr="000135B5">
        <w:rPr>
          <w:szCs w:val="18"/>
          <w:lang w:eastAsia="zh-TW" w:bidi="en-GB"/>
        </w:rPr>
        <w:t>2012</w:t>
      </w:r>
      <w:r w:rsidRPr="00566EBF">
        <w:rPr>
          <w:lang w:eastAsia="zh-TW" w:bidi="en-GB"/>
        </w:rPr>
        <w:t xml:space="preserve">, para. </w:t>
      </w:r>
      <w:r w:rsidRPr="000135B5">
        <w:rPr>
          <w:szCs w:val="18"/>
          <w:lang w:eastAsia="zh-TW" w:bidi="en-GB"/>
        </w:rPr>
        <w:t>30</w:t>
      </w:r>
      <w:r w:rsidRPr="00566EBF">
        <w:rPr>
          <w:rtl/>
          <w:lang w:eastAsia="zh-TW"/>
        </w:rPr>
        <w:t>.</w:t>
      </w:r>
    </w:p>
  </w:footnote>
  <w:footnote w:id="29">
    <w:p w14:paraId="27D2DEC2" w14:textId="0061951C"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1D0236">
        <w:rPr>
          <w:i/>
          <w:iCs/>
          <w:lang w:eastAsia="zh-TW" w:bidi="en-GB"/>
        </w:rPr>
        <w:t xml:space="preserve">Al </w:t>
      </w:r>
      <w:proofErr w:type="spellStart"/>
      <w:r w:rsidRPr="001D0236">
        <w:rPr>
          <w:i/>
          <w:iCs/>
          <w:lang w:eastAsia="zh-TW" w:bidi="en-GB"/>
        </w:rPr>
        <w:t>Skeini</w:t>
      </w:r>
      <w:proofErr w:type="spellEnd"/>
      <w:r w:rsidRPr="001D0236">
        <w:rPr>
          <w:i/>
          <w:iCs/>
          <w:lang w:eastAsia="zh-TW" w:bidi="en-GB"/>
        </w:rPr>
        <w:t xml:space="preserve"> and others v. United Kingdom</w:t>
      </w:r>
      <w:r w:rsidRPr="00566EBF">
        <w:rPr>
          <w:lang w:eastAsia="zh-TW" w:bidi="en-GB"/>
        </w:rPr>
        <w:t xml:space="preserve">, para. </w:t>
      </w:r>
      <w:r w:rsidRPr="000135B5">
        <w:rPr>
          <w:szCs w:val="18"/>
          <w:lang w:eastAsia="zh-TW" w:bidi="en-GB"/>
        </w:rPr>
        <w:t>134</w:t>
      </w:r>
      <w:r w:rsidRPr="00566EBF">
        <w:rPr>
          <w:rtl/>
          <w:lang w:eastAsia="zh-TW"/>
        </w:rPr>
        <w:t>.</w:t>
      </w:r>
    </w:p>
  </w:footnote>
  <w:footnote w:id="30">
    <w:p w14:paraId="3C400480" w14:textId="1C4B9C81"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1D0236">
        <w:rPr>
          <w:i/>
          <w:iCs/>
          <w:rtl/>
          <w:lang w:eastAsia="zh-TW"/>
        </w:rPr>
        <w:t xml:space="preserve">فتوى محكمة العدل الدولية بشأن الآثار القانونية الناشئة عن تشييد جدار في الأرض الفلسطينية المحتلة </w:t>
      </w:r>
      <w:r w:rsidRPr="001D0236">
        <w:rPr>
          <w:i/>
          <w:iCs/>
          <w:lang w:eastAsia="zh-TW" w:bidi="en-GB"/>
        </w:rPr>
        <w:t xml:space="preserve">Legal Consequences of the Construction of a Wall in the Occupied Palestinian Territory, Advisory Opinion, I.C.J. Reports </w:t>
      </w:r>
      <w:r w:rsidRPr="000135B5">
        <w:rPr>
          <w:i/>
          <w:iCs/>
          <w:szCs w:val="18"/>
          <w:lang w:eastAsia="zh-TW" w:bidi="en-GB"/>
        </w:rPr>
        <w:t>2004</w:t>
      </w:r>
      <w:r w:rsidRPr="00566EBF">
        <w:rPr>
          <w:lang w:eastAsia="zh-TW" w:bidi="en-GB"/>
        </w:rPr>
        <w:t xml:space="preserve">, p. </w:t>
      </w:r>
      <w:r w:rsidRPr="000135B5">
        <w:rPr>
          <w:szCs w:val="18"/>
          <w:lang w:eastAsia="zh-TW" w:bidi="en-GB"/>
        </w:rPr>
        <w:t>136</w:t>
      </w:r>
      <w:r w:rsidRPr="00566EBF">
        <w:rPr>
          <w:lang w:eastAsia="zh-TW" w:bidi="en-GB"/>
        </w:rPr>
        <w:t xml:space="preserve">, at p. </w:t>
      </w:r>
      <w:r w:rsidRPr="000135B5">
        <w:rPr>
          <w:szCs w:val="18"/>
          <w:lang w:eastAsia="zh-TW" w:bidi="en-GB"/>
        </w:rPr>
        <w:t>179</w:t>
      </w:r>
      <w:r w:rsidRPr="00566EBF">
        <w:rPr>
          <w:lang w:eastAsia="zh-TW" w:bidi="en-GB"/>
        </w:rPr>
        <w:t xml:space="preserve">, paras. </w:t>
      </w:r>
      <w:r w:rsidRPr="000135B5">
        <w:rPr>
          <w:szCs w:val="18"/>
          <w:lang w:eastAsia="zh-TW" w:bidi="en-GB"/>
        </w:rPr>
        <w:t>109</w:t>
      </w:r>
      <w:r w:rsidRPr="00566EBF">
        <w:rPr>
          <w:lang w:eastAsia="zh-TW" w:bidi="en-GB"/>
        </w:rPr>
        <w:t>–</w:t>
      </w:r>
      <w:r w:rsidRPr="000135B5">
        <w:rPr>
          <w:szCs w:val="18"/>
          <w:lang w:eastAsia="zh-TW" w:bidi="en-GB"/>
        </w:rPr>
        <w:t>111</w:t>
      </w:r>
      <w:r w:rsidRPr="00566EBF">
        <w:rPr>
          <w:rtl/>
          <w:lang w:eastAsia="zh-TW"/>
        </w:rPr>
        <w:t>.</w:t>
      </w:r>
    </w:p>
  </w:footnote>
  <w:footnote w:id="31">
    <w:p w14:paraId="5D797307" w14:textId="2572E8B2"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1D0236">
        <w:rPr>
          <w:i/>
          <w:iCs/>
          <w:lang w:eastAsia="zh-TW" w:bidi="en-GB"/>
        </w:rPr>
        <w:t xml:space="preserve">Djamel </w:t>
      </w:r>
      <w:proofErr w:type="spellStart"/>
      <w:r w:rsidRPr="001D0236">
        <w:rPr>
          <w:i/>
          <w:iCs/>
          <w:lang w:eastAsia="zh-TW" w:bidi="en-GB"/>
        </w:rPr>
        <w:t>Ameziane</w:t>
      </w:r>
      <w:proofErr w:type="spellEnd"/>
      <w:r w:rsidRPr="001D0236">
        <w:rPr>
          <w:i/>
          <w:iCs/>
          <w:lang w:eastAsia="zh-TW" w:bidi="en-GB"/>
        </w:rPr>
        <w:t xml:space="preserve"> v. United States</w:t>
      </w:r>
      <w:r w:rsidRPr="00566EBF">
        <w:rPr>
          <w:lang w:eastAsia="zh-TW" w:bidi="en-GB"/>
        </w:rPr>
        <w:t xml:space="preserve">, paras. </w:t>
      </w:r>
      <w:r w:rsidRPr="000135B5">
        <w:rPr>
          <w:szCs w:val="18"/>
          <w:lang w:eastAsia="zh-TW" w:bidi="en-GB"/>
        </w:rPr>
        <w:t>30</w:t>
      </w:r>
      <w:r w:rsidRPr="00566EBF">
        <w:rPr>
          <w:lang w:eastAsia="zh-TW" w:bidi="en-GB"/>
        </w:rPr>
        <w:t>–</w:t>
      </w:r>
      <w:r w:rsidRPr="000135B5">
        <w:rPr>
          <w:szCs w:val="18"/>
          <w:lang w:eastAsia="zh-TW" w:bidi="en-GB"/>
        </w:rPr>
        <w:t>35</w:t>
      </w:r>
      <w:r w:rsidRPr="00566EBF">
        <w:rPr>
          <w:rtl/>
          <w:lang w:eastAsia="zh-TW"/>
        </w:rPr>
        <w:t>.</w:t>
      </w:r>
    </w:p>
  </w:footnote>
  <w:footnote w:id="32">
    <w:p w14:paraId="4106015E" w14:textId="2367E0F7"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Ana María Suárez Franco (FIAN </w:t>
      </w:r>
      <w:proofErr w:type="gramStart"/>
      <w:r w:rsidRPr="00566EBF">
        <w:rPr>
          <w:lang w:eastAsia="zh-TW" w:bidi="en-GB"/>
        </w:rPr>
        <w:t>International),</w:t>
      </w:r>
      <w:proofErr w:type="gramEnd"/>
      <w:r w:rsidRPr="00566EBF">
        <w:rPr>
          <w:lang w:eastAsia="zh-TW" w:bidi="en-GB"/>
        </w:rPr>
        <w:t xml:space="preserve"> Mark Gibney (University of North Carolina at Asheville, United States of America, and Raoul Wallenberg Institute in Lund, Sweden) and Neetu Sharma (Centre for Child and the Law at the National Law School of India University, India)</w:t>
      </w:r>
      <w:r w:rsidRPr="00566EBF">
        <w:rPr>
          <w:rtl/>
          <w:lang w:eastAsia="zh-TW"/>
        </w:rPr>
        <w:t>.</w:t>
      </w:r>
    </w:p>
  </w:footnote>
  <w:footnote w:id="33">
    <w:p w14:paraId="6E4FCEE5" w14:textId="1C3D26C9"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w:t>
      </w:r>
      <w:r w:rsidRPr="00566EBF">
        <w:rPr>
          <w:lang w:eastAsia="zh-TW" w:bidi="en-GB"/>
        </w:rPr>
        <w:t>www.fidh.org/IMG/pdf/maastricht-eto-principles-uk_web.pdf</w:t>
      </w:r>
      <w:r w:rsidRPr="00566EBF">
        <w:rPr>
          <w:rtl/>
          <w:lang w:eastAsia="zh-TW"/>
        </w:rPr>
        <w:t>.</w:t>
      </w:r>
    </w:p>
  </w:footnote>
  <w:footnote w:id="34">
    <w:p w14:paraId="272A96AC" w14:textId="16570134"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Permanent Court of International Justice, </w:t>
      </w:r>
      <w:r w:rsidRPr="001D0236">
        <w:rPr>
          <w:i/>
          <w:iCs/>
          <w:lang w:eastAsia="zh-TW" w:bidi="en-GB"/>
        </w:rPr>
        <w:t xml:space="preserve">The Case of the S.S. Lotus (France v. </w:t>
      </w:r>
      <w:proofErr w:type="gramStart"/>
      <w:r w:rsidRPr="001D0236">
        <w:rPr>
          <w:i/>
          <w:iCs/>
          <w:lang w:eastAsia="zh-TW" w:bidi="en-GB"/>
        </w:rPr>
        <w:t>Turkey)</w:t>
      </w:r>
      <w:r w:rsidRPr="00566EBF">
        <w:rPr>
          <w:lang w:eastAsia="zh-TW" w:bidi="en-GB"/>
        </w:rPr>
        <w:t>,</w:t>
      </w:r>
      <w:proofErr w:type="gramEnd"/>
      <w:r w:rsidRPr="00566EBF">
        <w:rPr>
          <w:lang w:eastAsia="zh-TW" w:bidi="en-GB"/>
        </w:rPr>
        <w:t xml:space="preserve"> judgment of </w:t>
      </w:r>
      <w:r w:rsidRPr="000135B5">
        <w:rPr>
          <w:szCs w:val="18"/>
          <w:lang w:eastAsia="zh-TW" w:bidi="en-GB"/>
        </w:rPr>
        <w:t>7</w:t>
      </w:r>
      <w:r w:rsidRPr="00566EBF">
        <w:rPr>
          <w:lang w:eastAsia="zh-TW" w:bidi="en-GB"/>
        </w:rPr>
        <w:t xml:space="preserve"> September </w:t>
      </w:r>
      <w:r w:rsidRPr="000135B5">
        <w:rPr>
          <w:szCs w:val="18"/>
          <w:lang w:eastAsia="zh-TW" w:bidi="en-GB"/>
        </w:rPr>
        <w:t>1927</w:t>
      </w:r>
      <w:r w:rsidRPr="00566EBF">
        <w:rPr>
          <w:rtl/>
          <w:lang w:eastAsia="zh-TW"/>
        </w:rPr>
        <w:t>.</w:t>
      </w:r>
    </w:p>
  </w:footnote>
  <w:footnote w:id="35">
    <w:p w14:paraId="2E20288A" w14:textId="44A6DA37"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Andrew W.R. Thomson, “Doctrine of the protection of nationals abroad: rise of the non-combatant evacuation </w:t>
      </w:r>
      <w:proofErr w:type="gramStart"/>
      <w:r w:rsidRPr="00566EBF">
        <w:rPr>
          <w:lang w:eastAsia="zh-TW" w:bidi="en-GB"/>
        </w:rPr>
        <w:t>operation”,</w:t>
      </w:r>
      <w:proofErr w:type="gramEnd"/>
      <w:r w:rsidRPr="00566EBF">
        <w:rPr>
          <w:lang w:eastAsia="zh-TW" w:bidi="en-GB"/>
        </w:rPr>
        <w:t xml:space="preserve"> </w:t>
      </w:r>
      <w:r w:rsidRPr="001D0236">
        <w:rPr>
          <w:i/>
          <w:iCs/>
          <w:lang w:eastAsia="zh-TW" w:bidi="en-GB"/>
        </w:rPr>
        <w:t>Washington University Global Studies Law Review</w:t>
      </w:r>
      <w:r w:rsidRPr="00566EBF">
        <w:rPr>
          <w:lang w:eastAsia="zh-TW" w:bidi="en-GB"/>
        </w:rPr>
        <w:t xml:space="preserve">, vol. </w:t>
      </w:r>
      <w:r w:rsidRPr="000135B5">
        <w:rPr>
          <w:szCs w:val="18"/>
          <w:lang w:eastAsia="zh-TW" w:bidi="en-GB"/>
        </w:rPr>
        <w:t>11</w:t>
      </w:r>
      <w:r w:rsidRPr="00566EBF">
        <w:rPr>
          <w:lang w:eastAsia="zh-TW" w:bidi="en-GB"/>
        </w:rPr>
        <w:t xml:space="preserve"> No. </w:t>
      </w:r>
      <w:r w:rsidRPr="000135B5">
        <w:rPr>
          <w:szCs w:val="18"/>
          <w:lang w:eastAsia="zh-TW" w:bidi="en-GB"/>
        </w:rPr>
        <w:t>3</w:t>
      </w:r>
      <w:r w:rsidRPr="00566EBF">
        <w:t xml:space="preserve"> (</w:t>
      </w:r>
      <w:r w:rsidRPr="000135B5">
        <w:rPr>
          <w:szCs w:val="18"/>
        </w:rPr>
        <w:t>2012</w:t>
      </w:r>
      <w:r w:rsidRPr="00566EBF">
        <w:t>)</w:t>
      </w:r>
      <w:r w:rsidRPr="00566EBF">
        <w:rPr>
          <w:rtl/>
          <w:lang w:eastAsia="zh-TW"/>
        </w:rPr>
        <w:t>.</w:t>
      </w:r>
    </w:p>
  </w:footnote>
  <w:footnote w:id="36">
    <w:p w14:paraId="7BE311FD" w14:textId="5B936C01" w:rsidR="000135B5" w:rsidRPr="001C46E4" w:rsidRDefault="000135B5" w:rsidP="000135B5">
      <w:pPr>
        <w:pStyle w:val="FootnoteText1"/>
        <w:rPr>
          <w:spacing w:val="-2"/>
        </w:rPr>
      </w:pPr>
      <w:r w:rsidRPr="001C46E4">
        <w:rPr>
          <w:spacing w:val="-2"/>
          <w:rtl/>
        </w:rPr>
        <w:t>(</w:t>
      </w:r>
      <w:r w:rsidRPr="001C46E4">
        <w:rPr>
          <w:rFonts w:cs="Times New Roman"/>
          <w:spacing w:val="-2"/>
        </w:rPr>
        <w:footnoteRef/>
      </w:r>
      <w:r w:rsidRPr="001C46E4">
        <w:rPr>
          <w:spacing w:val="-2"/>
          <w:rtl/>
        </w:rPr>
        <w:t>)</w:t>
      </w:r>
      <w:r w:rsidRPr="001C46E4">
        <w:rPr>
          <w:spacing w:val="-2"/>
          <w:rtl/>
        </w:rPr>
        <w:tab/>
      </w:r>
      <w:r w:rsidRPr="001C46E4">
        <w:rPr>
          <w:spacing w:val="-2"/>
          <w:rtl/>
          <w:lang w:eastAsia="zh-TW"/>
        </w:rPr>
        <w:t xml:space="preserve">المعدون: ووتر </w:t>
      </w:r>
      <w:proofErr w:type="spellStart"/>
      <w:r w:rsidRPr="001C46E4">
        <w:rPr>
          <w:spacing w:val="-2"/>
          <w:rtl/>
          <w:lang w:eastAsia="zh-TW"/>
        </w:rPr>
        <w:t>فاندنهول</w:t>
      </w:r>
      <w:proofErr w:type="spellEnd"/>
      <w:r w:rsidRPr="001C46E4">
        <w:rPr>
          <w:spacing w:val="-2"/>
          <w:rtl/>
          <w:lang w:eastAsia="zh-TW"/>
        </w:rPr>
        <w:t xml:space="preserve"> وغامزي </w:t>
      </w:r>
      <w:proofErr w:type="spellStart"/>
      <w:r w:rsidRPr="001C46E4">
        <w:rPr>
          <w:spacing w:val="-2"/>
          <w:rtl/>
          <w:lang w:eastAsia="zh-TW"/>
        </w:rPr>
        <w:t>إرديم</w:t>
      </w:r>
      <w:proofErr w:type="spellEnd"/>
      <w:r w:rsidRPr="001C46E4">
        <w:rPr>
          <w:spacing w:val="-2"/>
          <w:rtl/>
          <w:lang w:eastAsia="zh-TW"/>
        </w:rPr>
        <w:t xml:space="preserve"> </w:t>
      </w:r>
      <w:proofErr w:type="spellStart"/>
      <w:r w:rsidRPr="001C46E4">
        <w:rPr>
          <w:spacing w:val="-2"/>
          <w:rtl/>
          <w:lang w:eastAsia="zh-TW"/>
        </w:rPr>
        <w:t>توركيللي</w:t>
      </w:r>
      <w:proofErr w:type="spellEnd"/>
      <w:r w:rsidRPr="001C46E4">
        <w:rPr>
          <w:spacing w:val="-2"/>
          <w:rtl/>
          <w:lang w:eastAsia="zh-TW"/>
        </w:rPr>
        <w:t xml:space="preserve"> (مجموعة بحوث القانون والتنمية، جامعة </w:t>
      </w:r>
      <w:proofErr w:type="spellStart"/>
      <w:r w:rsidRPr="001C46E4">
        <w:rPr>
          <w:spacing w:val="-2"/>
          <w:rtl/>
          <w:lang w:eastAsia="zh-TW"/>
        </w:rPr>
        <w:t>أنتويرب</w:t>
      </w:r>
      <w:proofErr w:type="spellEnd"/>
      <w:r w:rsidRPr="001C46E4">
        <w:rPr>
          <w:spacing w:val="-2"/>
          <w:rtl/>
          <w:lang w:eastAsia="zh-TW"/>
        </w:rPr>
        <w:t xml:space="preserve">، بلجيكا)، وميدا </w:t>
      </w:r>
      <w:proofErr w:type="spellStart"/>
      <w:r w:rsidRPr="001C46E4">
        <w:rPr>
          <w:spacing w:val="-2"/>
          <w:rtl/>
          <w:lang w:eastAsia="zh-TW"/>
        </w:rPr>
        <w:t>كوزنز</w:t>
      </w:r>
      <w:proofErr w:type="spellEnd"/>
      <w:r w:rsidRPr="001C46E4">
        <w:rPr>
          <w:spacing w:val="-2"/>
          <w:rtl/>
          <w:lang w:eastAsia="zh-TW"/>
        </w:rPr>
        <w:t xml:space="preserve"> (جامعة سيدني الغربية، أستراليا، وجامعة </w:t>
      </w:r>
      <w:proofErr w:type="spellStart"/>
      <w:r w:rsidRPr="001C46E4">
        <w:rPr>
          <w:spacing w:val="-2"/>
          <w:rtl/>
          <w:lang w:eastAsia="zh-TW"/>
        </w:rPr>
        <w:t>كوازولو</w:t>
      </w:r>
      <w:proofErr w:type="spellEnd"/>
      <w:r w:rsidRPr="001C46E4">
        <w:rPr>
          <w:spacing w:val="-2"/>
          <w:rtl/>
          <w:lang w:eastAsia="zh-TW"/>
        </w:rPr>
        <w:t xml:space="preserve"> - </w:t>
      </w:r>
      <w:proofErr w:type="spellStart"/>
      <w:r w:rsidRPr="001C46E4">
        <w:rPr>
          <w:spacing w:val="-2"/>
          <w:rtl/>
          <w:lang w:eastAsia="zh-TW"/>
        </w:rPr>
        <w:t>ناتال</w:t>
      </w:r>
      <w:proofErr w:type="spellEnd"/>
      <w:r w:rsidRPr="001C46E4">
        <w:rPr>
          <w:spacing w:val="-2"/>
          <w:rtl/>
          <w:lang w:eastAsia="zh-TW"/>
        </w:rPr>
        <w:t xml:space="preserve">، جنوب أفريقيا) وتون ليفارد وكريسي </w:t>
      </w:r>
      <w:proofErr w:type="spellStart"/>
      <w:r w:rsidRPr="001C46E4">
        <w:rPr>
          <w:spacing w:val="-2"/>
          <w:rtl/>
          <w:lang w:eastAsia="zh-TW"/>
        </w:rPr>
        <w:t>سانديلوسكي</w:t>
      </w:r>
      <w:proofErr w:type="spellEnd"/>
      <w:r w:rsidRPr="001C46E4">
        <w:rPr>
          <w:spacing w:val="-2"/>
          <w:rtl/>
          <w:lang w:eastAsia="zh-TW"/>
        </w:rPr>
        <w:t xml:space="preserve"> - </w:t>
      </w:r>
      <w:proofErr w:type="spellStart"/>
      <w:r w:rsidRPr="001C46E4">
        <w:rPr>
          <w:spacing w:val="-2"/>
          <w:rtl/>
          <w:lang w:eastAsia="zh-TW"/>
        </w:rPr>
        <w:t>بوسمان</w:t>
      </w:r>
      <w:proofErr w:type="spellEnd"/>
      <w:r w:rsidRPr="001C46E4">
        <w:rPr>
          <w:spacing w:val="-2"/>
          <w:rtl/>
          <w:lang w:eastAsia="zh-TW"/>
        </w:rPr>
        <w:t xml:space="preserve"> (كلية </w:t>
      </w:r>
      <w:proofErr w:type="spellStart"/>
      <w:r w:rsidRPr="001C46E4">
        <w:rPr>
          <w:spacing w:val="-2"/>
          <w:rtl/>
          <w:lang w:eastAsia="zh-TW"/>
        </w:rPr>
        <w:t>لايدن</w:t>
      </w:r>
      <w:proofErr w:type="spellEnd"/>
      <w:r w:rsidRPr="001C46E4">
        <w:rPr>
          <w:spacing w:val="-2"/>
          <w:rtl/>
          <w:lang w:eastAsia="zh-TW"/>
        </w:rPr>
        <w:t xml:space="preserve"> للقانون، جامعة </w:t>
      </w:r>
      <w:proofErr w:type="spellStart"/>
      <w:r w:rsidRPr="001C46E4">
        <w:rPr>
          <w:spacing w:val="-2"/>
          <w:rtl/>
          <w:lang w:eastAsia="zh-TW"/>
        </w:rPr>
        <w:t>لايدن</w:t>
      </w:r>
      <w:proofErr w:type="spellEnd"/>
      <w:r w:rsidRPr="001C46E4">
        <w:rPr>
          <w:spacing w:val="-2"/>
          <w:rtl/>
          <w:lang w:eastAsia="zh-TW"/>
        </w:rPr>
        <w:t xml:space="preserve">، هولندا). الموقعون: كارين </w:t>
      </w:r>
      <w:proofErr w:type="spellStart"/>
      <w:r w:rsidRPr="001C46E4">
        <w:rPr>
          <w:spacing w:val="-2"/>
          <w:rtl/>
          <w:lang w:eastAsia="zh-TW"/>
        </w:rPr>
        <w:t>آرتس</w:t>
      </w:r>
      <w:proofErr w:type="spellEnd"/>
      <w:r w:rsidRPr="001C46E4">
        <w:rPr>
          <w:spacing w:val="-2"/>
          <w:rtl/>
          <w:lang w:eastAsia="zh-TW"/>
        </w:rPr>
        <w:t xml:space="preserve"> (المعهد الدولي للدراسات الاجتماعية في لاهاي، وهو جزء من جامعة </w:t>
      </w:r>
      <w:proofErr w:type="spellStart"/>
      <w:r w:rsidRPr="001C46E4">
        <w:rPr>
          <w:spacing w:val="-2"/>
          <w:rtl/>
          <w:lang w:eastAsia="zh-TW"/>
        </w:rPr>
        <w:t>إيراسموس</w:t>
      </w:r>
      <w:proofErr w:type="spellEnd"/>
      <w:r w:rsidRPr="001C46E4">
        <w:rPr>
          <w:spacing w:val="-2"/>
          <w:rtl/>
          <w:lang w:eastAsia="zh-TW"/>
        </w:rPr>
        <w:t xml:space="preserve"> روتردام، هولندا)، </w:t>
      </w:r>
      <w:proofErr w:type="spellStart"/>
      <w:r w:rsidRPr="001C46E4">
        <w:rPr>
          <w:spacing w:val="-2"/>
          <w:rtl/>
          <w:lang w:eastAsia="zh-TW"/>
        </w:rPr>
        <w:t>ووارن</w:t>
      </w:r>
      <w:proofErr w:type="spellEnd"/>
      <w:r w:rsidRPr="001C46E4">
        <w:rPr>
          <w:spacing w:val="-2"/>
          <w:rtl/>
          <w:lang w:eastAsia="zh-TW"/>
        </w:rPr>
        <w:t xml:space="preserve"> </w:t>
      </w:r>
      <w:proofErr w:type="spellStart"/>
      <w:r w:rsidRPr="001C46E4">
        <w:rPr>
          <w:spacing w:val="-2"/>
          <w:rtl/>
          <w:lang w:eastAsia="zh-TW"/>
        </w:rPr>
        <w:t>بينفورد</w:t>
      </w:r>
      <w:proofErr w:type="spellEnd"/>
      <w:r w:rsidRPr="001C46E4">
        <w:rPr>
          <w:spacing w:val="-2"/>
          <w:rtl/>
          <w:lang w:eastAsia="zh-TW"/>
        </w:rPr>
        <w:t xml:space="preserve"> (كلية الحقوق بجامعة </w:t>
      </w:r>
      <w:proofErr w:type="spellStart"/>
      <w:r w:rsidRPr="001C46E4">
        <w:rPr>
          <w:spacing w:val="-2"/>
          <w:rtl/>
          <w:lang w:eastAsia="zh-TW"/>
        </w:rPr>
        <w:t>ويلاميت</w:t>
      </w:r>
      <w:proofErr w:type="spellEnd"/>
      <w:r w:rsidRPr="001C46E4">
        <w:rPr>
          <w:spacing w:val="-2"/>
          <w:rtl/>
          <w:lang w:eastAsia="zh-TW"/>
        </w:rPr>
        <w:t xml:space="preserve">، الولايات المتحدة)، ولورا </w:t>
      </w:r>
      <w:proofErr w:type="spellStart"/>
      <w:r w:rsidRPr="001C46E4">
        <w:rPr>
          <w:spacing w:val="-2"/>
          <w:rtl/>
          <w:lang w:eastAsia="zh-TW"/>
        </w:rPr>
        <w:t>كاربانتو</w:t>
      </w:r>
      <w:proofErr w:type="spellEnd"/>
      <w:r w:rsidRPr="001C46E4">
        <w:rPr>
          <w:spacing w:val="-2"/>
          <w:rtl/>
          <w:lang w:eastAsia="zh-TW"/>
        </w:rPr>
        <w:t xml:space="preserve"> (جامعة </w:t>
      </w:r>
      <w:proofErr w:type="spellStart"/>
      <w:r w:rsidRPr="001C46E4">
        <w:rPr>
          <w:spacing w:val="-2"/>
          <w:rtl/>
          <w:lang w:eastAsia="zh-TW"/>
        </w:rPr>
        <w:t>جنوة</w:t>
      </w:r>
      <w:proofErr w:type="spellEnd"/>
      <w:r w:rsidRPr="001C46E4">
        <w:rPr>
          <w:spacing w:val="-2"/>
          <w:rtl/>
          <w:lang w:eastAsia="zh-TW"/>
        </w:rPr>
        <w:t xml:space="preserve">، إيطاليا)، وبابلو </w:t>
      </w:r>
      <w:proofErr w:type="spellStart"/>
      <w:r w:rsidRPr="001C46E4">
        <w:rPr>
          <w:spacing w:val="-2"/>
          <w:rtl/>
          <w:lang w:eastAsia="zh-TW"/>
        </w:rPr>
        <w:t>ثيرياني</w:t>
      </w:r>
      <w:proofErr w:type="spellEnd"/>
      <w:r w:rsidRPr="001C46E4">
        <w:rPr>
          <w:spacing w:val="-2"/>
          <w:rtl/>
          <w:lang w:eastAsia="zh-TW"/>
        </w:rPr>
        <w:t xml:space="preserve"> </w:t>
      </w:r>
      <w:proofErr w:type="spellStart"/>
      <w:r w:rsidRPr="001C46E4">
        <w:rPr>
          <w:spacing w:val="-2"/>
          <w:rtl/>
          <w:lang w:eastAsia="zh-TW"/>
        </w:rPr>
        <w:t>ثيرناداس</w:t>
      </w:r>
      <w:proofErr w:type="spellEnd"/>
      <w:r w:rsidRPr="001C46E4">
        <w:rPr>
          <w:spacing w:val="-2"/>
          <w:rtl/>
          <w:lang w:eastAsia="zh-TW"/>
        </w:rPr>
        <w:t xml:space="preserve"> (جامعة </w:t>
      </w:r>
      <w:proofErr w:type="spellStart"/>
      <w:r w:rsidRPr="001C46E4">
        <w:rPr>
          <w:spacing w:val="-2"/>
          <w:rtl/>
          <w:lang w:eastAsia="zh-TW"/>
        </w:rPr>
        <w:t>ناثيونال</w:t>
      </w:r>
      <w:proofErr w:type="spellEnd"/>
      <w:r w:rsidRPr="001C46E4">
        <w:rPr>
          <w:spacing w:val="-2"/>
          <w:rtl/>
          <w:lang w:eastAsia="zh-TW"/>
        </w:rPr>
        <w:t xml:space="preserve"> دي </w:t>
      </w:r>
      <w:proofErr w:type="spellStart"/>
      <w:r w:rsidRPr="001C46E4">
        <w:rPr>
          <w:spacing w:val="-2"/>
          <w:rtl/>
          <w:lang w:eastAsia="zh-TW"/>
        </w:rPr>
        <w:t>لانوس</w:t>
      </w:r>
      <w:proofErr w:type="spellEnd"/>
      <w:r w:rsidRPr="001C46E4">
        <w:rPr>
          <w:spacing w:val="-2"/>
          <w:rtl/>
          <w:lang w:eastAsia="zh-TW"/>
        </w:rPr>
        <w:t xml:space="preserve">، الأرجنتين)، </w:t>
      </w:r>
      <w:proofErr w:type="spellStart"/>
      <w:r w:rsidRPr="001C46E4">
        <w:rPr>
          <w:spacing w:val="-2"/>
          <w:rtl/>
          <w:lang w:eastAsia="zh-TW"/>
        </w:rPr>
        <w:t>وأويفي</w:t>
      </w:r>
      <w:proofErr w:type="spellEnd"/>
      <w:r w:rsidRPr="001C46E4">
        <w:rPr>
          <w:spacing w:val="-2"/>
          <w:rtl/>
          <w:lang w:eastAsia="zh-TW"/>
        </w:rPr>
        <w:t xml:space="preserve"> دالي (وحدة حقوق الطفل الأوروبية، جامعة ليفربول، المملكة المتحدة لبريطانيا العظمى وأيرلندا الشمالية)، وبينا دي كوستا (قسم العلاقات الدولية) في الجامعة الوطنية الأسترالية، أستراليا)، وإلين </w:t>
      </w:r>
      <w:proofErr w:type="spellStart"/>
      <w:r w:rsidRPr="001C46E4">
        <w:rPr>
          <w:spacing w:val="-2"/>
          <w:rtl/>
          <w:lang w:eastAsia="zh-TW"/>
        </w:rPr>
        <w:t>ديسميت</w:t>
      </w:r>
      <w:proofErr w:type="spellEnd"/>
      <w:r w:rsidRPr="001C46E4">
        <w:rPr>
          <w:spacing w:val="-2"/>
          <w:rtl/>
          <w:lang w:eastAsia="zh-TW"/>
        </w:rPr>
        <w:t xml:space="preserve"> (جامعة غنت، بلجيكا)، </w:t>
      </w:r>
      <w:proofErr w:type="spellStart"/>
      <w:r w:rsidRPr="001C46E4">
        <w:rPr>
          <w:spacing w:val="-2"/>
          <w:rtl/>
          <w:lang w:eastAsia="zh-TW"/>
        </w:rPr>
        <w:t>وياب</w:t>
      </w:r>
      <w:proofErr w:type="spellEnd"/>
      <w:r w:rsidRPr="001C46E4">
        <w:rPr>
          <w:spacing w:val="-2"/>
          <w:rtl/>
          <w:lang w:eastAsia="zh-TW"/>
        </w:rPr>
        <w:t xml:space="preserve"> إ. دويك (جامعة فريجي أمستردام، هولندا)، ونيكولاس </w:t>
      </w:r>
      <w:proofErr w:type="spellStart"/>
      <w:r w:rsidRPr="001C46E4">
        <w:rPr>
          <w:spacing w:val="-2"/>
          <w:rtl/>
          <w:lang w:eastAsia="zh-TW"/>
        </w:rPr>
        <w:t>إسبيخو</w:t>
      </w:r>
      <w:proofErr w:type="spellEnd"/>
      <w:r w:rsidRPr="001C46E4">
        <w:rPr>
          <w:spacing w:val="-2"/>
          <w:rtl/>
          <w:lang w:eastAsia="zh-TW"/>
        </w:rPr>
        <w:t xml:space="preserve"> </w:t>
      </w:r>
      <w:proofErr w:type="spellStart"/>
      <w:r w:rsidRPr="001C46E4">
        <w:rPr>
          <w:spacing w:val="-2"/>
          <w:rtl/>
          <w:lang w:eastAsia="zh-TW"/>
        </w:rPr>
        <w:t>ياكسيك</w:t>
      </w:r>
      <w:proofErr w:type="spellEnd"/>
      <w:r w:rsidRPr="001C46E4">
        <w:rPr>
          <w:spacing w:val="-2"/>
          <w:rtl/>
          <w:lang w:eastAsia="zh-TW"/>
        </w:rPr>
        <w:t xml:space="preserve"> (مركز الدراسات الدستورية بالمحكمة العليا في المكسيك وكلية </w:t>
      </w:r>
      <w:proofErr w:type="spellStart"/>
      <w:r w:rsidRPr="001C46E4">
        <w:rPr>
          <w:spacing w:val="-2"/>
          <w:rtl/>
          <w:lang w:eastAsia="zh-TW"/>
        </w:rPr>
        <w:t>إكستر</w:t>
      </w:r>
      <w:proofErr w:type="spellEnd"/>
      <w:r w:rsidRPr="001C46E4">
        <w:rPr>
          <w:spacing w:val="-2"/>
          <w:rtl/>
          <w:lang w:eastAsia="zh-TW"/>
        </w:rPr>
        <w:t xml:space="preserve">، جامعة أكسفورد، المملكة المتحدة)، ومايكل غارسيا </w:t>
      </w:r>
      <w:proofErr w:type="spellStart"/>
      <w:r w:rsidRPr="001C46E4">
        <w:rPr>
          <w:spacing w:val="-2"/>
          <w:rtl/>
          <w:lang w:eastAsia="zh-TW"/>
        </w:rPr>
        <w:t>بوشينيك</w:t>
      </w:r>
      <w:proofErr w:type="spellEnd"/>
      <w:r w:rsidRPr="001C46E4">
        <w:rPr>
          <w:spacing w:val="-2"/>
          <w:rtl/>
          <w:lang w:eastAsia="zh-TW"/>
        </w:rPr>
        <w:t xml:space="preserve"> (معهد دراسة حقوق الإنسان، جامعة كولومبيا، الولايات المتحدة)، وكاثرين </w:t>
      </w:r>
      <w:proofErr w:type="spellStart"/>
      <w:r w:rsidRPr="001C46E4">
        <w:rPr>
          <w:spacing w:val="-2"/>
          <w:rtl/>
          <w:lang w:eastAsia="zh-TW"/>
        </w:rPr>
        <w:t>هولينغسورث</w:t>
      </w:r>
      <w:proofErr w:type="spellEnd"/>
      <w:r w:rsidRPr="001C46E4">
        <w:rPr>
          <w:spacing w:val="-2"/>
          <w:rtl/>
          <w:lang w:eastAsia="zh-TW"/>
        </w:rPr>
        <w:t xml:space="preserve"> (جامعة نيوكاسل، المملكة المتحدة)، </w:t>
      </w:r>
      <w:proofErr w:type="spellStart"/>
      <w:r w:rsidRPr="001C46E4">
        <w:rPr>
          <w:spacing w:val="-2"/>
          <w:rtl/>
          <w:lang w:eastAsia="zh-TW"/>
        </w:rPr>
        <w:t>وأورسولا</w:t>
      </w:r>
      <w:proofErr w:type="spellEnd"/>
      <w:r w:rsidRPr="001C46E4">
        <w:rPr>
          <w:spacing w:val="-2"/>
          <w:rtl/>
          <w:lang w:eastAsia="zh-TW"/>
        </w:rPr>
        <w:t xml:space="preserve"> </w:t>
      </w:r>
      <w:proofErr w:type="spellStart"/>
      <w:r w:rsidRPr="001C46E4">
        <w:rPr>
          <w:spacing w:val="-2"/>
          <w:rtl/>
          <w:lang w:eastAsia="zh-TW"/>
        </w:rPr>
        <w:t>كيلكيلي</w:t>
      </w:r>
      <w:proofErr w:type="spellEnd"/>
      <w:r w:rsidRPr="001C46E4">
        <w:rPr>
          <w:spacing w:val="-2"/>
          <w:rtl/>
          <w:lang w:eastAsia="zh-TW"/>
        </w:rPr>
        <w:t xml:space="preserve"> (مدرسة الحقوق في كلية كورك الجامعية، أيرلندا)، وتاليا </w:t>
      </w:r>
      <w:proofErr w:type="spellStart"/>
      <w:r w:rsidRPr="001C46E4">
        <w:rPr>
          <w:spacing w:val="-2"/>
          <w:rtl/>
          <w:lang w:eastAsia="zh-TW"/>
        </w:rPr>
        <w:t>كروغر</w:t>
      </w:r>
      <w:proofErr w:type="spellEnd"/>
      <w:r w:rsidRPr="001C46E4">
        <w:rPr>
          <w:spacing w:val="-2"/>
          <w:rtl/>
          <w:lang w:eastAsia="zh-TW"/>
        </w:rPr>
        <w:t xml:space="preserve"> (جامعة </w:t>
      </w:r>
      <w:proofErr w:type="spellStart"/>
      <w:r w:rsidRPr="001C46E4">
        <w:rPr>
          <w:spacing w:val="-2"/>
          <w:rtl/>
          <w:lang w:eastAsia="zh-TW"/>
        </w:rPr>
        <w:t>أنتويرب</w:t>
      </w:r>
      <w:proofErr w:type="spellEnd"/>
      <w:r w:rsidRPr="001C46E4">
        <w:rPr>
          <w:spacing w:val="-2"/>
          <w:rtl/>
          <w:lang w:eastAsia="zh-TW"/>
        </w:rPr>
        <w:t xml:space="preserve">، بلجيكا)، وسارة </w:t>
      </w:r>
      <w:proofErr w:type="spellStart"/>
      <w:r w:rsidRPr="001C46E4">
        <w:rPr>
          <w:spacing w:val="-2"/>
          <w:rtl/>
          <w:lang w:eastAsia="zh-TW"/>
        </w:rPr>
        <w:t>ليمبيرشتز</w:t>
      </w:r>
      <w:proofErr w:type="spellEnd"/>
      <w:r w:rsidRPr="001C46E4">
        <w:rPr>
          <w:spacing w:val="-2"/>
          <w:rtl/>
          <w:lang w:eastAsia="zh-TW"/>
        </w:rPr>
        <w:t xml:space="preserve"> (جامعة </w:t>
      </w:r>
      <w:proofErr w:type="spellStart"/>
      <w:r w:rsidRPr="001C46E4">
        <w:rPr>
          <w:spacing w:val="-2"/>
          <w:rtl/>
          <w:lang w:eastAsia="zh-TW"/>
        </w:rPr>
        <w:t>أنتويرب</w:t>
      </w:r>
      <w:proofErr w:type="spellEnd"/>
      <w:r w:rsidRPr="001C46E4">
        <w:rPr>
          <w:spacing w:val="-2"/>
          <w:rtl/>
          <w:lang w:eastAsia="zh-TW"/>
        </w:rPr>
        <w:t xml:space="preserve">، بلجيكا)، وجيرني لينار </w:t>
      </w:r>
      <w:proofErr w:type="spellStart"/>
      <w:r w:rsidRPr="001C46E4">
        <w:rPr>
          <w:spacing w:val="-2"/>
          <w:rtl/>
          <w:lang w:eastAsia="zh-TW"/>
        </w:rPr>
        <w:t>تشيرنيتش</w:t>
      </w:r>
      <w:proofErr w:type="spellEnd"/>
      <w:r w:rsidRPr="001C46E4">
        <w:rPr>
          <w:spacing w:val="-2"/>
          <w:rtl/>
          <w:lang w:eastAsia="zh-TW"/>
        </w:rPr>
        <w:t xml:space="preserve"> (كلية الدراسات الحكومية والأوروبية، الجامعة الجديدة، سلوفينيا)، ولورا </w:t>
      </w:r>
      <w:proofErr w:type="spellStart"/>
      <w:r w:rsidRPr="001C46E4">
        <w:rPr>
          <w:spacing w:val="-2"/>
          <w:rtl/>
          <w:lang w:eastAsia="zh-TW"/>
        </w:rPr>
        <w:t>لاندي</w:t>
      </w:r>
      <w:proofErr w:type="spellEnd"/>
      <w:r w:rsidRPr="001C46E4">
        <w:rPr>
          <w:spacing w:val="-2"/>
          <w:rtl/>
          <w:lang w:eastAsia="zh-TW"/>
        </w:rPr>
        <w:t xml:space="preserve"> (كلية العلوم الاجتماعية والتعليم والعمل الاجتماعي، جامعة كوينز، </w:t>
      </w:r>
      <w:proofErr w:type="spellStart"/>
      <w:r w:rsidRPr="001C46E4">
        <w:rPr>
          <w:spacing w:val="-2"/>
          <w:rtl/>
          <w:lang w:eastAsia="zh-TW"/>
        </w:rPr>
        <w:t>بلفاست</w:t>
      </w:r>
      <w:proofErr w:type="spellEnd"/>
      <w:r w:rsidRPr="001C46E4">
        <w:rPr>
          <w:spacing w:val="-2"/>
          <w:rtl/>
          <w:lang w:eastAsia="zh-TW"/>
        </w:rPr>
        <w:t xml:space="preserve">، المملكة المتحدة)، ونيكولاس مون (جامعة </w:t>
      </w:r>
      <w:proofErr w:type="spellStart"/>
      <w:r w:rsidRPr="001C46E4">
        <w:rPr>
          <w:spacing w:val="-2"/>
          <w:rtl/>
          <w:lang w:eastAsia="zh-TW"/>
        </w:rPr>
        <w:t>وايكاتو</w:t>
      </w:r>
      <w:proofErr w:type="spellEnd"/>
      <w:r w:rsidRPr="001C46E4">
        <w:rPr>
          <w:spacing w:val="-2"/>
          <w:rtl/>
          <w:lang w:eastAsia="zh-TW"/>
        </w:rPr>
        <w:t xml:space="preserve">، نيوزيلندا)، </w:t>
      </w:r>
      <w:proofErr w:type="spellStart"/>
      <w:r w:rsidRPr="001C46E4">
        <w:rPr>
          <w:spacing w:val="-2"/>
          <w:rtl/>
          <w:lang w:eastAsia="zh-TW"/>
        </w:rPr>
        <w:t>ومانفريد</w:t>
      </w:r>
      <w:proofErr w:type="spellEnd"/>
      <w:r w:rsidRPr="001C46E4">
        <w:rPr>
          <w:spacing w:val="-2"/>
          <w:rtl/>
          <w:lang w:eastAsia="zh-TW"/>
        </w:rPr>
        <w:t xml:space="preserve"> نوفاك (الحرم الجامعي العالمي لحقوق الإنسان، البندقية، إيطاليا)، ونعوم </w:t>
      </w:r>
      <w:proofErr w:type="spellStart"/>
      <w:r w:rsidRPr="001C46E4">
        <w:rPr>
          <w:spacing w:val="-2"/>
          <w:rtl/>
          <w:lang w:eastAsia="zh-TW"/>
        </w:rPr>
        <w:t>بيليغ</w:t>
      </w:r>
      <w:proofErr w:type="spellEnd"/>
      <w:r w:rsidRPr="001C46E4">
        <w:rPr>
          <w:spacing w:val="-2"/>
          <w:rtl/>
          <w:lang w:eastAsia="zh-TW"/>
        </w:rPr>
        <w:t xml:space="preserve"> (كلية الحقوق، جامعة نيو ساوث ويلز، أستراليا)، وبيتر ر. </w:t>
      </w:r>
      <w:proofErr w:type="spellStart"/>
      <w:r w:rsidRPr="001C46E4">
        <w:rPr>
          <w:spacing w:val="-2"/>
          <w:rtl/>
          <w:lang w:eastAsia="zh-TW"/>
        </w:rPr>
        <w:t>رودريغز</w:t>
      </w:r>
      <w:proofErr w:type="spellEnd"/>
      <w:r w:rsidRPr="001C46E4">
        <w:rPr>
          <w:spacing w:val="-2"/>
          <w:rtl/>
          <w:lang w:eastAsia="zh-TW"/>
        </w:rPr>
        <w:t xml:space="preserve"> (جامعة </w:t>
      </w:r>
      <w:proofErr w:type="spellStart"/>
      <w:r w:rsidRPr="001C46E4">
        <w:rPr>
          <w:spacing w:val="-2"/>
          <w:rtl/>
          <w:lang w:eastAsia="zh-TW"/>
        </w:rPr>
        <w:t>لايدن</w:t>
      </w:r>
      <w:proofErr w:type="spellEnd"/>
      <w:r w:rsidRPr="001C46E4">
        <w:rPr>
          <w:spacing w:val="-2"/>
          <w:rtl/>
          <w:lang w:eastAsia="zh-TW"/>
        </w:rPr>
        <w:t xml:space="preserve">، هولندا)، </w:t>
      </w:r>
      <w:proofErr w:type="spellStart"/>
      <w:r w:rsidRPr="001C46E4">
        <w:rPr>
          <w:spacing w:val="-2"/>
          <w:rtl/>
          <w:lang w:eastAsia="zh-TW"/>
        </w:rPr>
        <w:t>وكيرستن</w:t>
      </w:r>
      <w:proofErr w:type="spellEnd"/>
      <w:r w:rsidRPr="001C46E4">
        <w:rPr>
          <w:spacing w:val="-2"/>
          <w:rtl/>
          <w:lang w:eastAsia="zh-TW"/>
        </w:rPr>
        <w:t xml:space="preserve"> </w:t>
      </w:r>
      <w:proofErr w:type="spellStart"/>
      <w:r w:rsidRPr="001C46E4">
        <w:rPr>
          <w:spacing w:val="-2"/>
          <w:rtl/>
          <w:lang w:eastAsia="zh-TW"/>
        </w:rPr>
        <w:t>ساندبرغ</w:t>
      </w:r>
      <w:proofErr w:type="spellEnd"/>
      <w:r w:rsidRPr="001C46E4">
        <w:rPr>
          <w:spacing w:val="-2"/>
          <w:rtl/>
          <w:lang w:eastAsia="zh-TW"/>
        </w:rPr>
        <w:t xml:space="preserve"> (قسم القانون العام والدولي، جامعة أوسلو، النرويج)، وجوليا سلوت نيلسن (جامعة </w:t>
      </w:r>
      <w:proofErr w:type="spellStart"/>
      <w:r w:rsidRPr="001C46E4">
        <w:rPr>
          <w:spacing w:val="-2"/>
          <w:rtl/>
          <w:lang w:eastAsia="zh-TW"/>
        </w:rPr>
        <w:t>لايدن</w:t>
      </w:r>
      <w:proofErr w:type="spellEnd"/>
      <w:r w:rsidRPr="001C46E4">
        <w:rPr>
          <w:spacing w:val="-2"/>
          <w:rtl/>
          <w:lang w:eastAsia="zh-TW"/>
        </w:rPr>
        <w:t xml:space="preserve">، هولندا، وجامعة ويسترن كيب، جنوب أفريقيا)، وهيلين </w:t>
      </w:r>
      <w:proofErr w:type="spellStart"/>
      <w:r w:rsidRPr="001C46E4">
        <w:rPr>
          <w:spacing w:val="-2"/>
          <w:rtl/>
          <w:lang w:eastAsia="zh-TW"/>
        </w:rPr>
        <w:t>ستالفورد</w:t>
      </w:r>
      <w:proofErr w:type="spellEnd"/>
      <w:r w:rsidRPr="001C46E4">
        <w:rPr>
          <w:spacing w:val="-2"/>
          <w:rtl/>
          <w:lang w:eastAsia="zh-TW"/>
        </w:rPr>
        <w:t xml:space="preserve"> (وحدة حقوق الطفل الأوروبية، جامعة ليفربول، المملكة المتحدة)، وريبيكا </w:t>
      </w:r>
      <w:proofErr w:type="spellStart"/>
      <w:r w:rsidRPr="001C46E4">
        <w:rPr>
          <w:spacing w:val="-2"/>
          <w:rtl/>
          <w:lang w:eastAsia="zh-TW"/>
        </w:rPr>
        <w:t>ثوربورن</w:t>
      </w:r>
      <w:proofErr w:type="spellEnd"/>
      <w:r w:rsidRPr="001C46E4">
        <w:rPr>
          <w:spacing w:val="-2"/>
          <w:rtl/>
          <w:lang w:eastAsia="zh-TW"/>
        </w:rPr>
        <w:t xml:space="preserve"> </w:t>
      </w:r>
      <w:proofErr w:type="spellStart"/>
      <w:r w:rsidRPr="001C46E4">
        <w:rPr>
          <w:spacing w:val="-2"/>
          <w:rtl/>
          <w:lang w:eastAsia="zh-TW"/>
        </w:rPr>
        <w:t>ستيرن</w:t>
      </w:r>
      <w:proofErr w:type="spellEnd"/>
      <w:r w:rsidRPr="001C46E4">
        <w:rPr>
          <w:spacing w:val="-2"/>
          <w:rtl/>
          <w:lang w:eastAsia="zh-TW"/>
        </w:rPr>
        <w:t xml:space="preserve"> (جامعة أوبسالا، السويد)، وتارا فان هو (كلية الحقوق ومركز حقوق الإنسان، جامعة </w:t>
      </w:r>
      <w:proofErr w:type="spellStart"/>
      <w:r w:rsidRPr="001C46E4">
        <w:rPr>
          <w:spacing w:val="-2"/>
          <w:rtl/>
          <w:lang w:eastAsia="zh-TW"/>
        </w:rPr>
        <w:t>إسيكس</w:t>
      </w:r>
      <w:proofErr w:type="spellEnd"/>
      <w:r w:rsidRPr="001C46E4">
        <w:rPr>
          <w:spacing w:val="-2"/>
          <w:rtl/>
          <w:lang w:eastAsia="zh-TW"/>
        </w:rPr>
        <w:t xml:space="preserve">، المملكة المتحدة) </w:t>
      </w:r>
      <w:proofErr w:type="spellStart"/>
      <w:r w:rsidRPr="001C46E4">
        <w:rPr>
          <w:spacing w:val="-2"/>
          <w:rtl/>
          <w:lang w:eastAsia="zh-TW"/>
        </w:rPr>
        <w:t>وجينسكي</w:t>
      </w:r>
      <w:proofErr w:type="spellEnd"/>
      <w:r w:rsidRPr="001C46E4">
        <w:rPr>
          <w:spacing w:val="-2"/>
          <w:rtl/>
          <w:lang w:eastAsia="zh-TW"/>
        </w:rPr>
        <w:t xml:space="preserve"> </w:t>
      </w:r>
      <w:proofErr w:type="spellStart"/>
      <w:r w:rsidRPr="001C46E4">
        <w:rPr>
          <w:spacing w:val="-2"/>
          <w:rtl/>
          <w:lang w:eastAsia="zh-TW"/>
        </w:rPr>
        <w:t>فيرهلين</w:t>
      </w:r>
      <w:proofErr w:type="spellEnd"/>
      <w:r w:rsidRPr="001C46E4">
        <w:rPr>
          <w:spacing w:val="-2"/>
          <w:rtl/>
          <w:lang w:eastAsia="zh-TW"/>
        </w:rPr>
        <w:t xml:space="preserve"> (قسم الدراسات المتعددة التخصصات للقانون والقانون الخاص وقانون الأعمال، جامعة غنت، بلجيكا).</w:t>
      </w:r>
    </w:p>
  </w:footnote>
  <w:footnote w:id="37">
    <w:p w14:paraId="4131FA63" w14:textId="5D99452E"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وفي أولى مشاريع المادة </w:t>
      </w:r>
      <w:r w:rsidRPr="000135B5">
        <w:rPr>
          <w:szCs w:val="18"/>
          <w:rtl/>
          <w:lang w:eastAsia="zh-TW"/>
        </w:rPr>
        <w:t>2</w:t>
      </w:r>
      <w:r w:rsidRPr="00566EBF">
        <w:rPr>
          <w:rtl/>
          <w:lang w:eastAsia="zh-TW"/>
        </w:rPr>
        <w:t>(</w:t>
      </w:r>
      <w:r w:rsidRPr="000135B5">
        <w:rPr>
          <w:szCs w:val="18"/>
          <w:rtl/>
          <w:lang w:eastAsia="zh-TW"/>
        </w:rPr>
        <w:t>1</w:t>
      </w:r>
      <w:r w:rsidRPr="00566EBF">
        <w:rPr>
          <w:rtl/>
          <w:lang w:eastAsia="zh-TW"/>
        </w:rPr>
        <w:t xml:space="preserve">)، رُبط انطباق اتفاقية حقوق الطفل صراحة بالولاية القضائية للدولة وبإقليمها. وفي نهاية المطاف، لم يُترك شرط الربط بإقليم الدولة خارج نص المادة </w:t>
      </w:r>
      <w:r w:rsidRPr="000135B5">
        <w:rPr>
          <w:szCs w:val="18"/>
          <w:rtl/>
          <w:lang w:eastAsia="zh-TW"/>
        </w:rPr>
        <w:t>2</w:t>
      </w:r>
      <w:r w:rsidRPr="00566EBF">
        <w:rPr>
          <w:rtl/>
          <w:lang w:eastAsia="zh-TW"/>
        </w:rPr>
        <w:t xml:space="preserve"> عن قصد، ولا تعكس صيغتها النهائية سوى مفهوم الولاية القضائية، مما يشير إلى أن الأطراف التي صاغت المادة لم تقصد أن الولاية القضائية بموجب الاتفاقية إقليمية بحتة. </w:t>
      </w:r>
      <w:r w:rsidRPr="00566EBF">
        <w:rPr>
          <w:lang w:eastAsia="zh-TW" w:bidi="en-GB"/>
        </w:rPr>
        <w:t xml:space="preserve">Bruce Abramson, </w:t>
      </w:r>
      <w:r w:rsidRPr="001D0236">
        <w:rPr>
          <w:i/>
          <w:iCs/>
          <w:lang w:eastAsia="zh-TW" w:bidi="en-GB"/>
        </w:rPr>
        <w:t xml:space="preserve">A Commentary on the United Nations Convention on the Rights of the Child. Article </w:t>
      </w:r>
      <w:r w:rsidRPr="000135B5">
        <w:rPr>
          <w:i/>
          <w:iCs/>
          <w:szCs w:val="18"/>
          <w:lang w:eastAsia="zh-TW" w:bidi="en-GB"/>
        </w:rPr>
        <w:t>2</w:t>
      </w:r>
      <w:r w:rsidRPr="001D0236">
        <w:rPr>
          <w:i/>
          <w:iCs/>
          <w:lang w:eastAsia="zh-TW" w:bidi="en-GB"/>
        </w:rPr>
        <w:t>: The Right of Non-Discrimination</w:t>
      </w:r>
      <w:r w:rsidRPr="00566EBF">
        <w:rPr>
          <w:lang w:eastAsia="zh-TW" w:bidi="en-GB"/>
        </w:rPr>
        <w:t xml:space="preserve"> (</w:t>
      </w:r>
      <w:proofErr w:type="spellStart"/>
      <w:r w:rsidRPr="00566EBF">
        <w:rPr>
          <w:lang w:eastAsia="zh-TW" w:bidi="en-GB"/>
        </w:rPr>
        <w:t>Martinus</w:t>
      </w:r>
      <w:proofErr w:type="spellEnd"/>
      <w:r w:rsidRPr="00566EBF">
        <w:rPr>
          <w:lang w:eastAsia="zh-TW" w:bidi="en-GB"/>
        </w:rPr>
        <w:t xml:space="preserve"> </w:t>
      </w:r>
      <w:proofErr w:type="spellStart"/>
      <w:r w:rsidRPr="00566EBF">
        <w:rPr>
          <w:lang w:eastAsia="zh-TW" w:bidi="en-GB"/>
        </w:rPr>
        <w:t>Nijhoff</w:t>
      </w:r>
      <w:proofErr w:type="spellEnd"/>
      <w:r w:rsidRPr="00566EBF">
        <w:rPr>
          <w:lang w:eastAsia="zh-TW" w:bidi="en-GB"/>
        </w:rPr>
        <w:t xml:space="preserve"> Publishers, </w:t>
      </w:r>
      <w:r w:rsidRPr="000135B5">
        <w:rPr>
          <w:szCs w:val="18"/>
          <w:lang w:eastAsia="zh-TW" w:bidi="en-GB"/>
        </w:rPr>
        <w:t>2008</w:t>
      </w:r>
      <w:r w:rsidRPr="00566EBF">
        <w:rPr>
          <w:lang w:eastAsia="zh-TW" w:bidi="en-GB"/>
        </w:rPr>
        <w:t xml:space="preserve">); Maarten den </w:t>
      </w:r>
      <w:proofErr w:type="spellStart"/>
      <w:r w:rsidRPr="00566EBF">
        <w:rPr>
          <w:lang w:eastAsia="zh-TW" w:bidi="en-GB"/>
        </w:rPr>
        <w:t>Heijer</w:t>
      </w:r>
      <w:proofErr w:type="spellEnd"/>
      <w:r w:rsidRPr="00566EBF">
        <w:rPr>
          <w:lang w:eastAsia="zh-TW" w:bidi="en-GB"/>
        </w:rPr>
        <w:t xml:space="preserve"> and Rick Lawson, “Extraterritorial human rights and the concept of ‘jurisdiction’”, in </w:t>
      </w:r>
      <w:r w:rsidRPr="000135B5">
        <w:rPr>
          <w:i/>
          <w:iCs/>
          <w:lang w:eastAsia="zh-TW" w:bidi="en-GB"/>
        </w:rPr>
        <w:t>Global Justice, State Duties: The Extraterritorial Scope of Economic, Social and Cultural Rights in International Law</w:t>
      </w:r>
      <w:r w:rsidRPr="00566EBF">
        <w:rPr>
          <w:lang w:eastAsia="zh-TW" w:bidi="en-GB"/>
        </w:rPr>
        <w:t xml:space="preserve">, Malcolm Langford and others, eds., (Cambridge University Press, </w:t>
      </w:r>
      <w:r w:rsidRPr="000135B5">
        <w:rPr>
          <w:szCs w:val="18"/>
          <w:lang w:eastAsia="zh-TW" w:bidi="en-GB"/>
        </w:rPr>
        <w:t>2013</w:t>
      </w:r>
      <w:r w:rsidRPr="00566EBF">
        <w:rPr>
          <w:lang w:eastAsia="zh-TW" w:bidi="en-GB"/>
        </w:rPr>
        <w:t xml:space="preserve">); Sharon Detrick, ed., </w:t>
      </w:r>
      <w:r w:rsidRPr="000135B5">
        <w:rPr>
          <w:i/>
          <w:iCs/>
          <w:lang w:eastAsia="zh-TW" w:bidi="en-GB"/>
        </w:rPr>
        <w:t xml:space="preserve">The United Nations Convention on the Rights of the Child: A Guide to the “Travaux </w:t>
      </w:r>
      <w:proofErr w:type="spellStart"/>
      <w:r w:rsidRPr="000135B5">
        <w:rPr>
          <w:i/>
          <w:iCs/>
          <w:lang w:eastAsia="zh-TW" w:bidi="en-GB"/>
        </w:rPr>
        <w:t>Préparatoires</w:t>
      </w:r>
      <w:proofErr w:type="spellEnd"/>
      <w:r w:rsidRPr="000135B5">
        <w:rPr>
          <w:i/>
          <w:iCs/>
          <w:lang w:eastAsia="zh-TW" w:bidi="en-GB"/>
        </w:rPr>
        <w:t>”</w:t>
      </w:r>
      <w:r w:rsidRPr="00566EBF">
        <w:rPr>
          <w:lang w:eastAsia="zh-TW" w:bidi="en-GB"/>
        </w:rPr>
        <w:t xml:space="preserve"> (</w:t>
      </w:r>
      <w:proofErr w:type="spellStart"/>
      <w:r w:rsidRPr="00566EBF">
        <w:rPr>
          <w:lang w:eastAsia="zh-TW" w:bidi="en-GB"/>
        </w:rPr>
        <w:t>Martinus</w:t>
      </w:r>
      <w:proofErr w:type="spellEnd"/>
      <w:r w:rsidRPr="00566EBF">
        <w:rPr>
          <w:lang w:eastAsia="zh-TW" w:bidi="en-GB"/>
        </w:rPr>
        <w:t xml:space="preserve"> </w:t>
      </w:r>
      <w:proofErr w:type="spellStart"/>
      <w:r w:rsidRPr="00566EBF">
        <w:rPr>
          <w:lang w:eastAsia="zh-TW" w:bidi="en-GB"/>
        </w:rPr>
        <w:t>Nijhoff</w:t>
      </w:r>
      <w:proofErr w:type="spellEnd"/>
      <w:r w:rsidRPr="00566EBF">
        <w:rPr>
          <w:lang w:eastAsia="zh-TW" w:bidi="en-GB"/>
        </w:rPr>
        <w:t xml:space="preserve"> Publishers, </w:t>
      </w:r>
      <w:r w:rsidRPr="000135B5">
        <w:rPr>
          <w:szCs w:val="18"/>
          <w:lang w:eastAsia="zh-TW" w:bidi="en-GB"/>
        </w:rPr>
        <w:t>1992</w:t>
      </w:r>
      <w:r w:rsidRPr="00566EBF">
        <w:rPr>
          <w:lang w:eastAsia="zh-TW" w:bidi="en-GB"/>
        </w:rPr>
        <w:t>)</w:t>
      </w:r>
      <w:r w:rsidRPr="00566EBF">
        <w:rPr>
          <w:rtl/>
          <w:lang w:eastAsia="zh-TW"/>
        </w:rPr>
        <w:t>.</w:t>
      </w:r>
    </w:p>
  </w:footnote>
  <w:footnote w:id="38">
    <w:p w14:paraId="2AAE5336" w14:textId="5BABA5FF"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في جملة أمور، </w:t>
      </w:r>
      <w:r w:rsidRPr="00566EBF">
        <w:rPr>
          <w:lang w:eastAsia="zh-TW" w:bidi="en-GB"/>
        </w:rPr>
        <w:t xml:space="preserve">Den </w:t>
      </w:r>
      <w:proofErr w:type="spellStart"/>
      <w:r w:rsidRPr="00566EBF">
        <w:rPr>
          <w:lang w:eastAsia="zh-TW" w:bidi="en-GB"/>
        </w:rPr>
        <w:t>Heijer</w:t>
      </w:r>
      <w:proofErr w:type="spellEnd"/>
      <w:r w:rsidRPr="00566EBF">
        <w:rPr>
          <w:lang w:eastAsia="zh-TW" w:bidi="en-GB"/>
        </w:rPr>
        <w:t xml:space="preserve"> and Lawson, “Extraterritorial human rights and the concept of ‘jurisdiction’”; Detrick, </w:t>
      </w:r>
      <w:r w:rsidRPr="000135B5">
        <w:rPr>
          <w:i/>
          <w:iCs/>
          <w:lang w:eastAsia="zh-TW" w:bidi="en-GB"/>
        </w:rPr>
        <w:t>The United Nations Convention on the Rights of the Child</w:t>
      </w:r>
      <w:r w:rsidRPr="00566EBF">
        <w:rPr>
          <w:lang w:eastAsia="zh-TW" w:bidi="en-GB"/>
        </w:rPr>
        <w:t xml:space="preserve">; and </w:t>
      </w:r>
      <w:proofErr w:type="spellStart"/>
      <w:r w:rsidRPr="00566EBF">
        <w:rPr>
          <w:lang w:eastAsia="zh-TW" w:bidi="en-GB"/>
        </w:rPr>
        <w:t>Wouter</w:t>
      </w:r>
      <w:proofErr w:type="spellEnd"/>
      <w:r w:rsidRPr="00566EBF">
        <w:rPr>
          <w:lang w:eastAsia="zh-TW" w:bidi="en-GB"/>
        </w:rPr>
        <w:t xml:space="preserve"> </w:t>
      </w:r>
      <w:proofErr w:type="spellStart"/>
      <w:r w:rsidRPr="00566EBF">
        <w:rPr>
          <w:lang w:eastAsia="zh-TW" w:bidi="en-GB"/>
        </w:rPr>
        <w:t>Vandenhole</w:t>
      </w:r>
      <w:proofErr w:type="spellEnd"/>
      <w:r w:rsidRPr="00566EBF">
        <w:rPr>
          <w:lang w:eastAsia="zh-TW" w:bidi="en-GB"/>
        </w:rPr>
        <w:t xml:space="preserve">, “Economic, social and cultural rights in the CRC: is there a legal obligation to cooperate internationally for development?”, </w:t>
      </w:r>
      <w:r w:rsidRPr="000135B5">
        <w:rPr>
          <w:i/>
          <w:iCs/>
          <w:lang w:eastAsia="zh-TW" w:bidi="en-GB"/>
        </w:rPr>
        <w:t>International Journal of Children’s Rights</w:t>
      </w:r>
      <w:r w:rsidRPr="00566EBF">
        <w:rPr>
          <w:lang w:eastAsia="zh-TW" w:bidi="en-GB"/>
        </w:rPr>
        <w:t xml:space="preserve">, vol. </w:t>
      </w:r>
      <w:r w:rsidRPr="000135B5">
        <w:rPr>
          <w:szCs w:val="18"/>
          <w:lang w:eastAsia="zh-TW" w:bidi="en-GB"/>
        </w:rPr>
        <w:t>17</w:t>
      </w:r>
      <w:r w:rsidRPr="00566EBF">
        <w:rPr>
          <w:lang w:eastAsia="zh-TW" w:bidi="en-GB"/>
        </w:rPr>
        <w:t xml:space="preserve">, No. </w:t>
      </w:r>
      <w:r w:rsidRPr="000135B5">
        <w:rPr>
          <w:szCs w:val="18"/>
          <w:lang w:eastAsia="zh-TW" w:bidi="en-GB"/>
        </w:rPr>
        <w:t>1</w:t>
      </w:r>
      <w:r w:rsidRPr="00566EBF">
        <w:rPr>
          <w:lang w:eastAsia="zh-TW" w:bidi="en-GB"/>
        </w:rPr>
        <w:t xml:space="preserve"> (</w:t>
      </w:r>
      <w:r w:rsidRPr="000135B5">
        <w:rPr>
          <w:szCs w:val="18"/>
          <w:lang w:eastAsia="zh-TW" w:bidi="en-GB"/>
        </w:rPr>
        <w:t>2009</w:t>
      </w:r>
      <w:r w:rsidRPr="00566EBF">
        <w:rPr>
          <w:lang w:eastAsia="zh-TW" w:bidi="en-GB"/>
        </w:rPr>
        <w:t xml:space="preserve">) pp. </w:t>
      </w:r>
      <w:r w:rsidRPr="000135B5">
        <w:rPr>
          <w:szCs w:val="18"/>
          <w:lang w:eastAsia="zh-TW" w:bidi="en-GB"/>
        </w:rPr>
        <w:t>23</w:t>
      </w:r>
      <w:r w:rsidRPr="00566EBF">
        <w:rPr>
          <w:lang w:eastAsia="zh-TW" w:bidi="en-GB"/>
        </w:rPr>
        <w:t>–</w:t>
      </w:r>
      <w:r w:rsidRPr="000135B5">
        <w:rPr>
          <w:szCs w:val="18"/>
          <w:lang w:eastAsia="zh-TW" w:bidi="en-GB"/>
        </w:rPr>
        <w:t>63</w:t>
      </w:r>
      <w:r w:rsidRPr="00566EBF">
        <w:rPr>
          <w:rtl/>
          <w:lang w:eastAsia="zh-TW"/>
        </w:rPr>
        <w:t>.</w:t>
      </w:r>
    </w:p>
  </w:footnote>
  <w:footnote w:id="39">
    <w:p w14:paraId="234ACB2C" w14:textId="5E819ECE"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التعليق العام المشترك رقم </w:t>
      </w:r>
      <w:r w:rsidRPr="000135B5">
        <w:rPr>
          <w:szCs w:val="18"/>
          <w:rtl/>
          <w:lang w:eastAsia="zh-TW"/>
        </w:rPr>
        <w:t>4</w:t>
      </w:r>
      <w:r w:rsidRPr="00566EBF">
        <w:rPr>
          <w:rtl/>
          <w:lang w:eastAsia="zh-TW"/>
        </w:rPr>
        <w:t xml:space="preserve"> للجنة المعنية بحماية حقوق جميع العمال المهاجرين وأفراد أسرهم، والتعليق العام رقم</w:t>
      </w:r>
      <w:r w:rsidR="001C46E4">
        <w:rPr>
          <w:rFonts w:hint="cs"/>
          <w:rtl/>
          <w:lang w:eastAsia="zh-TW"/>
        </w:rPr>
        <w:t> </w:t>
      </w:r>
      <w:r w:rsidRPr="000135B5">
        <w:rPr>
          <w:szCs w:val="18"/>
          <w:rtl/>
          <w:lang w:eastAsia="zh-TW"/>
        </w:rPr>
        <w:t>23</w:t>
      </w:r>
      <w:r w:rsidRPr="00566EBF">
        <w:rPr>
          <w:rtl/>
          <w:lang w:eastAsia="zh-TW"/>
        </w:rPr>
        <w:t>(</w:t>
      </w:r>
      <w:r w:rsidRPr="000135B5">
        <w:rPr>
          <w:szCs w:val="18"/>
          <w:rtl/>
          <w:lang w:eastAsia="zh-TW"/>
        </w:rPr>
        <w:t>2017</w:t>
      </w:r>
      <w:r w:rsidRPr="00566EBF">
        <w:rPr>
          <w:rtl/>
          <w:lang w:eastAsia="zh-TW"/>
        </w:rPr>
        <w:t xml:space="preserve">) للجنة حقوق الطفل، الفقرتان </w:t>
      </w:r>
      <w:r w:rsidRPr="000135B5">
        <w:rPr>
          <w:szCs w:val="18"/>
          <w:rtl/>
          <w:lang w:eastAsia="zh-TW"/>
        </w:rPr>
        <w:t>17</w:t>
      </w:r>
      <w:r w:rsidRPr="00566EBF">
        <w:rPr>
          <w:rtl/>
          <w:lang w:eastAsia="zh-TW"/>
        </w:rPr>
        <w:t>(ه) و</w:t>
      </w:r>
      <w:r w:rsidRPr="000135B5">
        <w:rPr>
          <w:szCs w:val="18"/>
          <w:rtl/>
          <w:lang w:eastAsia="zh-TW"/>
        </w:rPr>
        <w:t>19</w:t>
      </w:r>
      <w:r w:rsidRPr="00566EBF">
        <w:rPr>
          <w:rtl/>
          <w:lang w:eastAsia="zh-TW"/>
        </w:rPr>
        <w:t>.</w:t>
      </w:r>
    </w:p>
  </w:footnote>
  <w:footnote w:id="40">
    <w:p w14:paraId="1886B6FC" w14:textId="2DB37998"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CRC/C/SYR/CO/</w:t>
      </w:r>
      <w:r w:rsidRPr="000135B5">
        <w:rPr>
          <w:szCs w:val="18"/>
          <w:lang w:eastAsia="zh-TW" w:bidi="en-GB"/>
        </w:rPr>
        <w:t>5</w:t>
      </w:r>
      <w:r w:rsidRPr="00566EBF">
        <w:rPr>
          <w:rtl/>
          <w:lang w:eastAsia="zh-TW"/>
        </w:rPr>
        <w:t xml:space="preserve">، الفقرة </w:t>
      </w:r>
      <w:r w:rsidRPr="000135B5">
        <w:rPr>
          <w:szCs w:val="18"/>
          <w:rtl/>
          <w:lang w:eastAsia="zh-TW"/>
        </w:rPr>
        <w:t>47</w:t>
      </w:r>
      <w:r w:rsidRPr="00566EBF">
        <w:rPr>
          <w:rtl/>
          <w:lang w:eastAsia="zh-TW"/>
        </w:rPr>
        <w:t>.</w:t>
      </w:r>
    </w:p>
  </w:footnote>
  <w:footnote w:id="41">
    <w:p w14:paraId="052B4C4E" w14:textId="062B7769"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 xml:space="preserve">Rik </w:t>
      </w:r>
      <w:proofErr w:type="spellStart"/>
      <w:r w:rsidRPr="00566EBF">
        <w:rPr>
          <w:lang w:eastAsia="zh-TW" w:bidi="en-GB"/>
        </w:rPr>
        <w:t>Coolsaet</w:t>
      </w:r>
      <w:proofErr w:type="spellEnd"/>
      <w:r w:rsidRPr="00566EBF">
        <w:rPr>
          <w:lang w:eastAsia="zh-TW" w:bidi="en-GB"/>
        </w:rPr>
        <w:t xml:space="preserve"> and Thomas Renard, “Foreign fighters and the terrorist threat in Belgium”, Royal Institute for International Relations, </w:t>
      </w:r>
      <w:r w:rsidRPr="000135B5">
        <w:rPr>
          <w:szCs w:val="18"/>
          <w:lang w:eastAsia="zh-TW" w:bidi="en-GB"/>
        </w:rPr>
        <w:t>10</w:t>
      </w:r>
      <w:r w:rsidRPr="00566EBF">
        <w:rPr>
          <w:lang w:eastAsia="zh-TW" w:bidi="en-GB"/>
        </w:rPr>
        <w:t xml:space="preserve"> January </w:t>
      </w:r>
      <w:r w:rsidRPr="000135B5">
        <w:rPr>
          <w:szCs w:val="18"/>
          <w:lang w:eastAsia="zh-TW" w:bidi="en-GB"/>
        </w:rPr>
        <w:t>2020</w:t>
      </w:r>
      <w:r w:rsidR="001C46E4">
        <w:rPr>
          <w:rFonts w:hint="cs"/>
          <w:rtl/>
          <w:lang w:eastAsia="zh-TW"/>
        </w:rPr>
        <w:t>؛</w:t>
      </w:r>
      <w:r w:rsidRPr="00566EBF">
        <w:rPr>
          <w:rtl/>
          <w:lang w:eastAsia="zh-TW"/>
        </w:rPr>
        <w:t xml:space="preserve"> ألمانيا، المحكمة الإدارية العليا في برلين </w:t>
      </w:r>
      <w:proofErr w:type="spellStart"/>
      <w:r w:rsidRPr="00566EBF">
        <w:rPr>
          <w:rtl/>
          <w:lang w:eastAsia="zh-TW"/>
        </w:rPr>
        <w:t>وبراندنبورغ</w:t>
      </w:r>
      <w:proofErr w:type="spellEnd"/>
      <w:r w:rsidRPr="00566EBF">
        <w:rPr>
          <w:rtl/>
          <w:lang w:eastAsia="zh-TW"/>
        </w:rPr>
        <w:t xml:space="preserve">، القرار المؤرخ </w:t>
      </w:r>
      <w:r w:rsidRPr="000135B5">
        <w:rPr>
          <w:szCs w:val="18"/>
          <w:rtl/>
          <w:lang w:eastAsia="zh-TW"/>
        </w:rPr>
        <w:t>6</w:t>
      </w:r>
      <w:r w:rsidRPr="00566EBF">
        <w:rPr>
          <w:rtl/>
          <w:lang w:eastAsia="zh-TW"/>
        </w:rPr>
        <w:t xml:space="preserve"> تشرين الثاني/نوفمبر </w:t>
      </w:r>
      <w:r w:rsidRPr="000135B5">
        <w:rPr>
          <w:szCs w:val="18"/>
          <w:rtl/>
          <w:lang w:eastAsia="zh-TW"/>
        </w:rPr>
        <w:t>2019</w:t>
      </w:r>
      <w:r w:rsidRPr="00566EBF">
        <w:rPr>
          <w:rtl/>
          <w:lang w:eastAsia="zh-TW"/>
        </w:rPr>
        <w:t xml:space="preserve"> بشأن إعادة أفراد تنظيم الدولة الإسلامية الألمان إلى وطنهم؛ </w:t>
      </w:r>
      <w:r w:rsidRPr="00566EBF">
        <w:rPr>
          <w:lang w:eastAsia="zh-TW" w:bidi="en-GB"/>
        </w:rPr>
        <w:t xml:space="preserve">The New Arab, “Syrian Kurds repatriate Islamic State orphans to Austria”, </w:t>
      </w:r>
      <w:r w:rsidRPr="000135B5">
        <w:rPr>
          <w:szCs w:val="18"/>
          <w:lang w:eastAsia="zh-TW" w:bidi="en-GB"/>
        </w:rPr>
        <w:t>3</w:t>
      </w:r>
      <w:r w:rsidRPr="00566EBF">
        <w:rPr>
          <w:lang w:eastAsia="zh-TW" w:bidi="en-GB"/>
        </w:rPr>
        <w:t xml:space="preserve"> October </w:t>
      </w:r>
      <w:r w:rsidRPr="000135B5">
        <w:rPr>
          <w:szCs w:val="18"/>
          <w:lang w:eastAsia="zh-TW" w:bidi="en-GB"/>
        </w:rPr>
        <w:t>2019</w:t>
      </w:r>
      <w:r w:rsidRPr="00566EBF">
        <w:rPr>
          <w:lang w:eastAsia="zh-TW" w:bidi="en-GB"/>
        </w:rPr>
        <w:t xml:space="preserve">; Australia, Counter-Terrorism (Temporary Exclusion Orders) Act </w:t>
      </w:r>
      <w:r w:rsidRPr="000135B5">
        <w:rPr>
          <w:szCs w:val="18"/>
          <w:lang w:eastAsia="zh-TW" w:bidi="en-GB"/>
        </w:rPr>
        <w:t>2019</w:t>
      </w:r>
      <w:r w:rsidRPr="00566EBF">
        <w:rPr>
          <w:lang w:eastAsia="zh-TW" w:bidi="en-GB"/>
        </w:rPr>
        <w:t xml:space="preserve">, sects. </w:t>
      </w:r>
      <w:r w:rsidRPr="000135B5">
        <w:rPr>
          <w:szCs w:val="18"/>
          <w:lang w:eastAsia="zh-TW" w:bidi="en-GB"/>
        </w:rPr>
        <w:t>10</w:t>
      </w:r>
      <w:r w:rsidRPr="00566EBF">
        <w:rPr>
          <w:lang w:eastAsia="zh-TW" w:bidi="en-GB"/>
        </w:rPr>
        <w:t xml:space="preserve"> (</w:t>
      </w:r>
      <w:r w:rsidRPr="000135B5">
        <w:rPr>
          <w:szCs w:val="18"/>
          <w:lang w:eastAsia="zh-TW" w:bidi="en-GB"/>
        </w:rPr>
        <w:t>3</w:t>
      </w:r>
      <w:r w:rsidR="001C46E4">
        <w:rPr>
          <w:lang w:eastAsia="zh-TW"/>
        </w:rPr>
        <w:t>)</w:t>
      </w:r>
      <w:r w:rsidR="001C46E4" w:rsidRPr="00EC339C">
        <w:rPr>
          <w:noProof/>
          <w:szCs w:val="18"/>
          <w:lang w:eastAsia="zh-CN"/>
        </w:rPr>
        <w:t>–(4)</w:t>
      </w:r>
      <w:r w:rsidRPr="00566EBF">
        <w:rPr>
          <w:rtl/>
          <w:lang w:eastAsia="zh-TW"/>
        </w:rPr>
        <w:t>.</w:t>
      </w:r>
    </w:p>
  </w:footnote>
  <w:footnote w:id="42">
    <w:p w14:paraId="2CF86636" w14:textId="7FC21012"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A/HRC/</w:t>
      </w:r>
      <w:r w:rsidRPr="000135B5">
        <w:rPr>
          <w:szCs w:val="18"/>
          <w:lang w:eastAsia="zh-TW" w:bidi="en-GB"/>
        </w:rPr>
        <w:t>40</w:t>
      </w:r>
      <w:r w:rsidRPr="00566EBF">
        <w:rPr>
          <w:lang w:eastAsia="zh-TW" w:bidi="en-GB"/>
        </w:rPr>
        <w:t>/</w:t>
      </w:r>
      <w:r w:rsidRPr="000135B5">
        <w:rPr>
          <w:szCs w:val="18"/>
          <w:lang w:eastAsia="zh-TW" w:bidi="en-GB"/>
        </w:rPr>
        <w:t>28</w:t>
      </w:r>
      <w:r w:rsidRPr="00566EBF">
        <w:rPr>
          <w:rtl/>
          <w:lang w:eastAsia="zh-TW"/>
        </w:rPr>
        <w:t xml:space="preserve">، الفقرة </w:t>
      </w:r>
      <w:r w:rsidRPr="000135B5">
        <w:rPr>
          <w:szCs w:val="18"/>
          <w:rtl/>
          <w:lang w:eastAsia="zh-TW"/>
        </w:rPr>
        <w:t>66</w:t>
      </w:r>
      <w:r w:rsidRPr="00566EBF">
        <w:rPr>
          <w:rtl/>
          <w:lang w:eastAsia="zh-TW"/>
        </w:rPr>
        <w:t xml:space="preserve">. </w:t>
      </w:r>
      <w:r w:rsidRPr="00566EBF">
        <w:rPr>
          <w:lang w:eastAsia="zh-TW" w:bidi="en-GB"/>
        </w:rPr>
        <w:t>A/HRC/</w:t>
      </w:r>
      <w:r w:rsidRPr="000135B5">
        <w:rPr>
          <w:szCs w:val="18"/>
          <w:lang w:eastAsia="zh-TW" w:bidi="en-GB"/>
        </w:rPr>
        <w:t>40</w:t>
      </w:r>
      <w:r w:rsidRPr="00566EBF">
        <w:rPr>
          <w:lang w:eastAsia="zh-TW" w:bidi="en-GB"/>
        </w:rPr>
        <w:t>/</w:t>
      </w:r>
      <w:r w:rsidRPr="000135B5">
        <w:rPr>
          <w:szCs w:val="18"/>
          <w:lang w:eastAsia="zh-TW" w:bidi="en-GB"/>
        </w:rPr>
        <w:t>52</w:t>
      </w:r>
      <w:r w:rsidRPr="00566EBF">
        <w:rPr>
          <w:lang w:eastAsia="zh-TW" w:bidi="en-GB"/>
        </w:rPr>
        <w:t>/Add.</w:t>
      </w:r>
      <w:r w:rsidRPr="000135B5">
        <w:rPr>
          <w:szCs w:val="18"/>
          <w:lang w:eastAsia="zh-TW" w:bidi="en-GB"/>
        </w:rPr>
        <w:t>4</w:t>
      </w:r>
      <w:r w:rsidRPr="00566EBF">
        <w:rPr>
          <w:rtl/>
          <w:lang w:eastAsia="zh-TW"/>
        </w:rPr>
        <w:t xml:space="preserve">، الفقرة </w:t>
      </w:r>
      <w:r w:rsidRPr="000135B5">
        <w:rPr>
          <w:szCs w:val="18"/>
          <w:rtl/>
          <w:lang w:eastAsia="zh-TW"/>
        </w:rPr>
        <w:t>47</w:t>
      </w:r>
      <w:r w:rsidRPr="00566EBF">
        <w:rPr>
          <w:rtl/>
          <w:lang w:eastAsia="zh-TW"/>
        </w:rPr>
        <w:t>.</w:t>
      </w:r>
    </w:p>
  </w:footnote>
  <w:footnote w:id="43">
    <w:p w14:paraId="2D0E8888" w14:textId="6DA0002D" w:rsidR="000135B5" w:rsidRPr="00566EBF" w:rsidRDefault="000135B5" w:rsidP="000135B5">
      <w:pPr>
        <w:pStyle w:val="FootnoteText1"/>
      </w:pPr>
      <w:r>
        <w:rPr>
          <w:rtl/>
        </w:rPr>
        <w:t>(</w:t>
      </w:r>
      <w:r w:rsidRPr="000135B5">
        <w:rPr>
          <w:rFonts w:cs="Times New Roman"/>
        </w:rPr>
        <w:footnoteRef/>
      </w:r>
      <w:r>
        <w:rPr>
          <w:rtl/>
        </w:rPr>
        <w:t>)</w:t>
      </w:r>
      <w:r w:rsidRPr="00566EBF">
        <w:rPr>
          <w:rtl/>
        </w:rPr>
        <w:tab/>
        <w:t xml:space="preserve">المحكمة الأوروبية لحقوق الإنسان، قضية </w:t>
      </w:r>
      <w:proofErr w:type="spellStart"/>
      <w:r w:rsidRPr="000135B5">
        <w:rPr>
          <w:i/>
          <w:iCs/>
          <w:rtl/>
        </w:rPr>
        <w:t>إيلاسكو</w:t>
      </w:r>
      <w:proofErr w:type="spellEnd"/>
      <w:r w:rsidRPr="000135B5">
        <w:rPr>
          <w:i/>
          <w:iCs/>
          <w:rtl/>
        </w:rPr>
        <w:t xml:space="preserve"> وآخرون ضد مولدوفا وروسيا</w:t>
      </w:r>
      <w:r w:rsidRPr="00566EBF">
        <w:rPr>
          <w:rtl/>
        </w:rPr>
        <w:t>.</w:t>
      </w:r>
    </w:p>
  </w:footnote>
  <w:footnote w:id="44">
    <w:p w14:paraId="69395C2F" w14:textId="48A33010" w:rsidR="000135B5" w:rsidRPr="00566EBF" w:rsidRDefault="000135B5" w:rsidP="000135B5">
      <w:pPr>
        <w:pStyle w:val="FootnoteText1"/>
      </w:pPr>
      <w:r>
        <w:rPr>
          <w:rtl/>
        </w:rPr>
        <w:t>(</w:t>
      </w:r>
      <w:r w:rsidRPr="000135B5">
        <w:rPr>
          <w:rFonts w:cs="Times New Roman"/>
        </w:rPr>
        <w:footnoteRef/>
      </w:r>
      <w:r>
        <w:rPr>
          <w:rtl/>
        </w:rPr>
        <w:t>)</w:t>
      </w:r>
      <w:r w:rsidRPr="00566EBF">
        <w:rPr>
          <w:rtl/>
        </w:rPr>
        <w:tab/>
        <w:t>استُبعد الاختصاص الإقليمي عمدا</w:t>
      </w:r>
      <w:r>
        <w:rPr>
          <w:rFonts w:hint="cs"/>
          <w:rtl/>
        </w:rPr>
        <w:t>ً</w:t>
      </w:r>
      <w:r w:rsidRPr="00566EBF">
        <w:rPr>
          <w:rtl/>
        </w:rPr>
        <w:t xml:space="preserve"> من المادة </w:t>
      </w:r>
      <w:r w:rsidRPr="000135B5">
        <w:rPr>
          <w:szCs w:val="18"/>
          <w:rtl/>
        </w:rPr>
        <w:t>2</w:t>
      </w:r>
      <w:r w:rsidRPr="00566EBF">
        <w:rPr>
          <w:rtl/>
        </w:rPr>
        <w:t>(</w:t>
      </w:r>
      <w:r w:rsidRPr="000135B5">
        <w:rPr>
          <w:szCs w:val="18"/>
          <w:rtl/>
        </w:rPr>
        <w:t>1</w:t>
      </w:r>
      <w:r w:rsidRPr="00566EBF">
        <w:rPr>
          <w:rtl/>
        </w:rPr>
        <w:t xml:space="preserve">) من الاتفاقية. انظر مفوضية الأمم المتحدة لحقوق الإنسان، </w:t>
      </w:r>
      <w:r w:rsidRPr="000135B5">
        <w:rPr>
          <w:i/>
          <w:iCs/>
          <w:rtl/>
        </w:rPr>
        <w:t>التاريخ التشريعي لاتفاقية حقوق الطفل: المجلد الأول</w:t>
      </w:r>
      <w:r w:rsidRPr="00566EBF">
        <w:rPr>
          <w:rtl/>
        </w:rPr>
        <w:t xml:space="preserve">، (نيويورك، الأمم المتحدة، </w:t>
      </w:r>
      <w:r w:rsidRPr="000135B5">
        <w:rPr>
          <w:szCs w:val="18"/>
          <w:rtl/>
        </w:rPr>
        <w:t>2007</w:t>
      </w:r>
      <w:r w:rsidRPr="00566EBF">
        <w:rPr>
          <w:rtl/>
        </w:rPr>
        <w:t xml:space="preserve">)، الصفحات </w:t>
      </w:r>
      <w:r w:rsidRPr="000135B5">
        <w:rPr>
          <w:szCs w:val="18"/>
          <w:rtl/>
        </w:rPr>
        <w:t>332</w:t>
      </w:r>
      <w:r w:rsidRPr="00566EBF">
        <w:rPr>
          <w:rtl/>
        </w:rPr>
        <w:t>-</w:t>
      </w:r>
      <w:r w:rsidRPr="000135B5">
        <w:rPr>
          <w:szCs w:val="18"/>
          <w:rtl/>
        </w:rPr>
        <w:t>333</w:t>
      </w:r>
      <w:r w:rsidRPr="00566EBF">
        <w:rPr>
          <w:rtl/>
        </w:rPr>
        <w:t>.</w:t>
      </w:r>
    </w:p>
  </w:footnote>
  <w:footnote w:id="45">
    <w:p w14:paraId="6C6D5DED" w14:textId="7EA00620" w:rsidR="000135B5" w:rsidRPr="00994502" w:rsidRDefault="000135B5" w:rsidP="000135B5">
      <w:pPr>
        <w:pStyle w:val="FootnoteText1"/>
        <w:rPr>
          <w:spacing w:val="-2"/>
        </w:rPr>
      </w:pPr>
      <w:r w:rsidRPr="00994502">
        <w:rPr>
          <w:spacing w:val="-2"/>
          <w:rtl/>
        </w:rPr>
        <w:t>(</w:t>
      </w:r>
      <w:r w:rsidRPr="00994502">
        <w:rPr>
          <w:rFonts w:cs="Times New Roman"/>
          <w:spacing w:val="-2"/>
        </w:rPr>
        <w:footnoteRef/>
      </w:r>
      <w:r w:rsidRPr="00994502">
        <w:rPr>
          <w:spacing w:val="-2"/>
          <w:rtl/>
        </w:rPr>
        <w:t>)</w:t>
      </w:r>
      <w:r w:rsidRPr="00994502">
        <w:rPr>
          <w:spacing w:val="-2"/>
          <w:rtl/>
        </w:rPr>
        <w:tab/>
      </w:r>
      <w:r w:rsidRPr="00994502">
        <w:rPr>
          <w:spacing w:val="-2"/>
        </w:rPr>
        <w:t>A/</w:t>
      </w:r>
      <w:r w:rsidRPr="00994502">
        <w:rPr>
          <w:spacing w:val="-2"/>
          <w:szCs w:val="18"/>
        </w:rPr>
        <w:t>70</w:t>
      </w:r>
      <w:r w:rsidRPr="00994502">
        <w:rPr>
          <w:spacing w:val="-2"/>
        </w:rPr>
        <w:t>/</w:t>
      </w:r>
      <w:r w:rsidRPr="00994502">
        <w:rPr>
          <w:spacing w:val="-2"/>
          <w:szCs w:val="18"/>
        </w:rPr>
        <w:t>303</w:t>
      </w:r>
      <w:r w:rsidRPr="00994502">
        <w:rPr>
          <w:spacing w:val="-2"/>
          <w:rtl/>
        </w:rPr>
        <w:t xml:space="preserve">، الفقرة </w:t>
      </w:r>
      <w:r w:rsidRPr="00994502">
        <w:rPr>
          <w:spacing w:val="-2"/>
          <w:szCs w:val="18"/>
          <w:rtl/>
        </w:rPr>
        <w:t>33</w:t>
      </w:r>
      <w:r w:rsidRPr="00994502">
        <w:rPr>
          <w:spacing w:val="-2"/>
          <w:rtl/>
        </w:rPr>
        <w:t xml:space="preserve">. </w:t>
      </w:r>
      <w:r w:rsidRPr="00994502">
        <w:rPr>
          <w:spacing w:val="-2"/>
        </w:rPr>
        <w:t>www.ohchr.org/Documents/Issues/Terrorism/UNSRsPublicJurisdictionAnalysis</w:t>
      </w:r>
      <w:r w:rsidR="001C46E4" w:rsidRPr="00994502">
        <w:rPr>
          <w:spacing w:val="-2"/>
          <w:szCs w:val="18"/>
        </w:rPr>
        <w:br/>
      </w:r>
      <w:r w:rsidRPr="00994502">
        <w:rPr>
          <w:spacing w:val="-2"/>
          <w:szCs w:val="18"/>
        </w:rPr>
        <w:t>2020</w:t>
      </w:r>
      <w:r w:rsidRPr="00994502">
        <w:rPr>
          <w:spacing w:val="-2"/>
        </w:rPr>
        <w:t xml:space="preserve">.pdf, para. </w:t>
      </w:r>
      <w:r w:rsidRPr="00994502">
        <w:rPr>
          <w:spacing w:val="-2"/>
          <w:szCs w:val="18"/>
        </w:rPr>
        <w:t>8</w:t>
      </w:r>
      <w:r w:rsidRPr="00994502">
        <w:rPr>
          <w:spacing w:val="-2"/>
          <w:rtl/>
        </w:rPr>
        <w:t>.</w:t>
      </w:r>
      <w:r w:rsidR="00994502">
        <w:rPr>
          <w:spacing w:val="-2"/>
          <w:rtl/>
        </w:rPr>
        <w:t xml:space="preserve"> </w:t>
      </w:r>
    </w:p>
  </w:footnote>
  <w:footnote w:id="46">
    <w:p w14:paraId="6B28DA76" w14:textId="1DA199BB" w:rsidR="000135B5" w:rsidRPr="00566EBF" w:rsidRDefault="000135B5" w:rsidP="000135B5">
      <w:pPr>
        <w:pStyle w:val="FootnoteText1"/>
      </w:pPr>
      <w:r>
        <w:rPr>
          <w:rtl/>
        </w:rPr>
        <w:t>(</w:t>
      </w:r>
      <w:r w:rsidRPr="000135B5">
        <w:rPr>
          <w:rFonts w:cs="Times New Roman"/>
        </w:rPr>
        <w:footnoteRef/>
      </w:r>
      <w:r>
        <w:rPr>
          <w:rtl/>
        </w:rPr>
        <w:t>)</w:t>
      </w:r>
      <w:r w:rsidRPr="00566EBF">
        <w:rPr>
          <w:rtl/>
        </w:rPr>
        <w:tab/>
        <w:t xml:space="preserve">التعليق العام المشترك رقم </w:t>
      </w:r>
      <w:r w:rsidRPr="000135B5">
        <w:rPr>
          <w:szCs w:val="18"/>
          <w:rtl/>
        </w:rPr>
        <w:t>4</w:t>
      </w:r>
      <w:r w:rsidRPr="00566EBF">
        <w:rPr>
          <w:rtl/>
        </w:rPr>
        <w:t xml:space="preserve"> للجنة المعنية بحماية حقوق جميع العمال المهاجرين وأفراد أسرهم، والتعليق العام رقم </w:t>
      </w:r>
      <w:r w:rsidRPr="000135B5">
        <w:rPr>
          <w:szCs w:val="18"/>
          <w:rtl/>
        </w:rPr>
        <w:t>23</w:t>
      </w:r>
      <w:r w:rsidRPr="00566EBF">
        <w:rPr>
          <w:rtl/>
        </w:rPr>
        <w:t xml:space="preserve"> للجنة حقوق الطفل (</w:t>
      </w:r>
      <w:r w:rsidRPr="000135B5">
        <w:rPr>
          <w:szCs w:val="18"/>
          <w:rtl/>
        </w:rPr>
        <w:t>2017</w:t>
      </w:r>
      <w:r w:rsidRPr="00566EBF">
        <w:rPr>
          <w:rtl/>
        </w:rPr>
        <w:t xml:space="preserve">)، الفقرتان </w:t>
      </w:r>
      <w:r w:rsidRPr="000135B5">
        <w:rPr>
          <w:szCs w:val="18"/>
          <w:rtl/>
        </w:rPr>
        <w:t>17</w:t>
      </w:r>
      <w:r w:rsidRPr="00566EBF">
        <w:rPr>
          <w:rtl/>
        </w:rPr>
        <w:t>(ه) و</w:t>
      </w:r>
      <w:r w:rsidRPr="000135B5">
        <w:rPr>
          <w:szCs w:val="18"/>
          <w:rtl/>
        </w:rPr>
        <w:t>19</w:t>
      </w:r>
      <w:r w:rsidRPr="00566EBF">
        <w:rPr>
          <w:rtl/>
        </w:rPr>
        <w:t>.</w:t>
      </w:r>
      <w:r w:rsidR="00994502">
        <w:rPr>
          <w:rtl/>
        </w:rPr>
        <w:t xml:space="preserve"> </w:t>
      </w:r>
    </w:p>
  </w:footnote>
  <w:footnote w:id="47">
    <w:p w14:paraId="418FE0F7" w14:textId="1BE68BDB"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lang w:eastAsia="zh-TW" w:bidi="en-GB"/>
        </w:rPr>
        <w:t>CRC/C/</w:t>
      </w:r>
      <w:r w:rsidRPr="000135B5">
        <w:rPr>
          <w:szCs w:val="18"/>
          <w:lang w:eastAsia="zh-TW" w:bidi="en-GB"/>
        </w:rPr>
        <w:t>79</w:t>
      </w:r>
      <w:r w:rsidRPr="00566EBF">
        <w:rPr>
          <w:lang w:eastAsia="zh-TW" w:bidi="en-GB"/>
        </w:rPr>
        <w:t>/D/</w:t>
      </w:r>
      <w:r w:rsidRPr="000135B5">
        <w:rPr>
          <w:szCs w:val="18"/>
          <w:lang w:eastAsia="zh-TW" w:bidi="en-GB"/>
        </w:rPr>
        <w:t>12</w:t>
      </w:r>
      <w:r w:rsidRPr="00566EBF">
        <w:rPr>
          <w:lang w:eastAsia="zh-TW" w:bidi="en-GB"/>
        </w:rPr>
        <w:t>/</w:t>
      </w:r>
      <w:r w:rsidRPr="000135B5">
        <w:rPr>
          <w:szCs w:val="18"/>
          <w:lang w:eastAsia="zh-TW" w:bidi="en-GB"/>
        </w:rPr>
        <w:t>2017</w:t>
      </w:r>
      <w:r w:rsidRPr="00566EBF">
        <w:rPr>
          <w:rtl/>
          <w:lang w:eastAsia="zh-TW"/>
        </w:rPr>
        <w:t>.</w:t>
      </w:r>
    </w:p>
  </w:footnote>
  <w:footnote w:id="48">
    <w:p w14:paraId="44CBADFA" w14:textId="53CDA12E" w:rsidR="000135B5" w:rsidRPr="00566EBF" w:rsidRDefault="000135B5" w:rsidP="000135B5">
      <w:pPr>
        <w:pStyle w:val="FootnoteText1"/>
      </w:pPr>
      <w:r>
        <w:rPr>
          <w:rtl/>
        </w:rPr>
        <w:t>(</w:t>
      </w:r>
      <w:r w:rsidRPr="000135B5">
        <w:rPr>
          <w:rFonts w:cs="Times New Roman"/>
        </w:rPr>
        <w:footnoteRef/>
      </w:r>
      <w:r>
        <w:rPr>
          <w:rtl/>
        </w:rPr>
        <w:t>)</w:t>
      </w:r>
      <w:r w:rsidRPr="00566EBF">
        <w:rPr>
          <w:rtl/>
        </w:rPr>
        <w:tab/>
      </w:r>
      <w:r w:rsidRPr="00566EBF">
        <w:rPr>
          <w:rtl/>
          <w:lang w:eastAsia="zh-TW"/>
        </w:rPr>
        <w:t xml:space="preserve">انظر ورقة غرفة الاجتماع التي قدمتها لجنة التحقيق الدولية المستقلة المعنية بالجمهورية العربية السورية إلى مجلس حقوق الإنسان في دورته الثالثة والأربعين. متاح في: </w:t>
      </w:r>
      <w:r w:rsidRPr="00566EBF">
        <w:rPr>
          <w:lang w:eastAsia="zh-TW" w:bidi="en-GB"/>
        </w:rPr>
        <w:t>www.ohchr.org/EN/HRBodies/HRC/RegularSessions/</w:t>
      </w:r>
      <w:r w:rsidR="001C46E4">
        <w:rPr>
          <w:lang w:eastAsia="zh-TW" w:bidi="en-GB"/>
        </w:rPr>
        <w:br/>
      </w:r>
      <w:r w:rsidRPr="00566EBF">
        <w:rPr>
          <w:lang w:eastAsia="zh-TW" w:bidi="en-GB"/>
        </w:rPr>
        <w:t>Session</w:t>
      </w:r>
      <w:r w:rsidRPr="000135B5">
        <w:rPr>
          <w:szCs w:val="18"/>
          <w:lang w:eastAsia="zh-TW" w:bidi="en-GB"/>
        </w:rPr>
        <w:t>43</w:t>
      </w:r>
      <w:r w:rsidRPr="00566EBF">
        <w:rPr>
          <w:lang w:eastAsia="zh-TW" w:bidi="en-GB"/>
        </w:rPr>
        <w:t>/Pages/ListReports.aspx</w:t>
      </w:r>
      <w:r w:rsidRPr="00566EBF">
        <w:rPr>
          <w:rtl/>
          <w:lang w:eastAsia="zh-TW"/>
        </w:rPr>
        <w:t>.</w:t>
      </w:r>
    </w:p>
  </w:footnote>
  <w:footnote w:id="49">
    <w:p w14:paraId="756C6D7C" w14:textId="5CD1AE1E" w:rsidR="000135B5" w:rsidRPr="00566EBF" w:rsidRDefault="000135B5" w:rsidP="000135B5">
      <w:pPr>
        <w:pStyle w:val="FootnoteText1"/>
      </w:pPr>
      <w:r>
        <w:rPr>
          <w:rtl/>
        </w:rPr>
        <w:t>(</w:t>
      </w:r>
      <w:r w:rsidRPr="000135B5">
        <w:rPr>
          <w:rFonts w:cs="Times New Roman"/>
        </w:rPr>
        <w:footnoteRef/>
      </w:r>
      <w:r>
        <w:rPr>
          <w:rtl/>
        </w:rPr>
        <w:t>)</w:t>
      </w:r>
      <w:r w:rsidRPr="00566EBF">
        <w:rPr>
          <w:rtl/>
        </w:rPr>
        <w:tab/>
        <w:t xml:space="preserve">المرجع نفسه، الفقرة </w:t>
      </w:r>
      <w:r w:rsidRPr="000135B5">
        <w:rPr>
          <w:szCs w:val="18"/>
          <w:rtl/>
        </w:rPr>
        <w:t>99</w:t>
      </w:r>
      <w:r w:rsidRPr="00566EBF">
        <w:rPr>
          <w:rtl/>
        </w:rPr>
        <w:t xml:space="preserve">(ج).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ADB90F" w14:textId="05D68B8F" w:rsidR="000135B5" w:rsidRDefault="00DD60CD" w:rsidP="00DD60CD">
    <w:pPr>
      <w:pStyle w:val="Header"/>
      <w:pBdr>
        <w:bottom w:val="single" w:sz="4" w:space="1" w:color="auto"/>
      </w:pBdr>
      <w:spacing w:after="120"/>
      <w:jc w:val="right"/>
    </w:pPr>
    <w:r>
      <w:t>CRC/C/85/D/79/2019</w:t>
    </w:r>
    <w:r>
      <w:br/>
      <w:t>CRC/C/85/D/109/2019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D95268" w14:textId="54E05B11" w:rsidR="000135B5" w:rsidRDefault="00DD60CD" w:rsidP="00DD60CD">
    <w:pPr>
      <w:pStyle w:val="Header"/>
      <w:pBdr>
        <w:bottom w:val="single" w:sz="4" w:space="1" w:color="auto"/>
      </w:pBdr>
      <w:spacing w:after="120"/>
      <w:jc w:val="left"/>
    </w:pPr>
    <w:r>
      <w:t>CRC/C/85/D/79/2019</w:t>
    </w:r>
    <w:r>
      <w:br/>
      <w:t>CRC/C/85/D/109/2019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397F2A"/>
    <w:rsid w:val="000076D5"/>
    <w:rsid w:val="000135B5"/>
    <w:rsid w:val="00043663"/>
    <w:rsid w:val="000505CF"/>
    <w:rsid w:val="000D701C"/>
    <w:rsid w:val="000E2A71"/>
    <w:rsid w:val="00160263"/>
    <w:rsid w:val="00181F96"/>
    <w:rsid w:val="001A1371"/>
    <w:rsid w:val="001B346A"/>
    <w:rsid w:val="001C46E4"/>
    <w:rsid w:val="001D0236"/>
    <w:rsid w:val="001D5AC0"/>
    <w:rsid w:val="001E1CAD"/>
    <w:rsid w:val="001E290D"/>
    <w:rsid w:val="002144FA"/>
    <w:rsid w:val="0023469A"/>
    <w:rsid w:val="00243C8A"/>
    <w:rsid w:val="002572A4"/>
    <w:rsid w:val="00267A0E"/>
    <w:rsid w:val="002901D9"/>
    <w:rsid w:val="002976C2"/>
    <w:rsid w:val="002D2D42"/>
    <w:rsid w:val="003260FF"/>
    <w:rsid w:val="00343D95"/>
    <w:rsid w:val="00374341"/>
    <w:rsid w:val="00397F2A"/>
    <w:rsid w:val="003C50EA"/>
    <w:rsid w:val="003D1062"/>
    <w:rsid w:val="00420D7B"/>
    <w:rsid w:val="00450B21"/>
    <w:rsid w:val="00453B63"/>
    <w:rsid w:val="00455780"/>
    <w:rsid w:val="0045649E"/>
    <w:rsid w:val="004A14A6"/>
    <w:rsid w:val="004B0A1C"/>
    <w:rsid w:val="004D298E"/>
    <w:rsid w:val="00523BAE"/>
    <w:rsid w:val="0054472E"/>
    <w:rsid w:val="005662A9"/>
    <w:rsid w:val="00566EBF"/>
    <w:rsid w:val="005827D4"/>
    <w:rsid w:val="0059622A"/>
    <w:rsid w:val="005A52C3"/>
    <w:rsid w:val="005C5878"/>
    <w:rsid w:val="005C7CEA"/>
    <w:rsid w:val="005D3C0B"/>
    <w:rsid w:val="005E5217"/>
    <w:rsid w:val="005F0FA4"/>
    <w:rsid w:val="005F30EE"/>
    <w:rsid w:val="0060473A"/>
    <w:rsid w:val="00656392"/>
    <w:rsid w:val="0068781D"/>
    <w:rsid w:val="0069392B"/>
    <w:rsid w:val="006959B0"/>
    <w:rsid w:val="006B3E27"/>
    <w:rsid w:val="006B6507"/>
    <w:rsid w:val="006C104C"/>
    <w:rsid w:val="006E444F"/>
    <w:rsid w:val="00733704"/>
    <w:rsid w:val="0078071A"/>
    <w:rsid w:val="00852A9A"/>
    <w:rsid w:val="00864A8A"/>
    <w:rsid w:val="008D15E3"/>
    <w:rsid w:val="008F49E1"/>
    <w:rsid w:val="0090370F"/>
    <w:rsid w:val="009269D2"/>
    <w:rsid w:val="00942135"/>
    <w:rsid w:val="009521B0"/>
    <w:rsid w:val="00994130"/>
    <w:rsid w:val="00994502"/>
    <w:rsid w:val="009A7E9F"/>
    <w:rsid w:val="009E5018"/>
    <w:rsid w:val="00A12B37"/>
    <w:rsid w:val="00A65558"/>
    <w:rsid w:val="00AB6758"/>
    <w:rsid w:val="00B13763"/>
    <w:rsid w:val="00B477A4"/>
    <w:rsid w:val="00B54045"/>
    <w:rsid w:val="00C438D7"/>
    <w:rsid w:val="00C81B50"/>
    <w:rsid w:val="00CB28F9"/>
    <w:rsid w:val="00CD1801"/>
    <w:rsid w:val="00D10EF1"/>
    <w:rsid w:val="00D42810"/>
    <w:rsid w:val="00D914A7"/>
    <w:rsid w:val="00DD13C3"/>
    <w:rsid w:val="00DD596E"/>
    <w:rsid w:val="00DD60CD"/>
    <w:rsid w:val="00DD621E"/>
    <w:rsid w:val="00DF0575"/>
    <w:rsid w:val="00E1003C"/>
    <w:rsid w:val="00E70E04"/>
    <w:rsid w:val="00E76499"/>
    <w:rsid w:val="00EC05A7"/>
    <w:rsid w:val="00EC4B6B"/>
    <w:rsid w:val="00EF1EE5"/>
    <w:rsid w:val="00F763B4"/>
    <w:rsid w:val="00F900C3"/>
    <w:rsid w:val="00F943E5"/>
    <w:rsid w:val="00FD2424"/>
    <w:rsid w:val="00FD5B3C"/>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B886E6"/>
  <w15:docId w15:val="{311E571E-65E9-414C-BBCE-D59F907C4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2572A4"/>
    <w:pPr>
      <w:keepNext/>
      <w:keepLines/>
      <w:tabs>
        <w:tab w:val="right" w:pos="1021"/>
      </w:tabs>
      <w:spacing w:before="240" w:after="120" w:line="380" w:lineRule="exact"/>
      <w:ind w:left="1247" w:right="1247" w:hanging="1247"/>
    </w:pPr>
    <w:rPr>
      <w:b/>
      <w:bCs/>
      <w:szCs w:val="28"/>
      <w:lang w:eastAsia="ar-SA"/>
    </w:rPr>
  </w:style>
  <w:style w:type="paragraph" w:customStyle="1" w:styleId="H4GA">
    <w:name w:val="_ H_4_GA"/>
    <w:basedOn w:val="Normal"/>
    <w:next w:val="Normal"/>
    <w:qFormat/>
    <w:rsid w:val="002572A4"/>
    <w:pPr>
      <w:keepNext/>
      <w:keepLines/>
      <w:tabs>
        <w:tab w:val="right" w:pos="1021"/>
      </w:tabs>
      <w:suppressAutoHyphens/>
      <w:spacing w:before="240" w:after="120" w:line="360" w:lineRule="exact"/>
      <w:ind w:left="1247" w:right="1247" w:hanging="1247"/>
    </w:pPr>
    <w:rPr>
      <w:i/>
      <w:iCs/>
      <w:szCs w:val="28"/>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2572A4"/>
    <w:pPr>
      <w:tabs>
        <w:tab w:val="left" w:pos="1928"/>
        <w:tab w:val="left" w:pos="2608"/>
        <w:tab w:val="left" w:pos="3289"/>
        <w:tab w:val="left" w:pos="3969"/>
        <w:tab w:val="left" w:pos="4649"/>
        <w:tab w:val="left" w:pos="5330"/>
      </w:tabs>
      <w:spacing w:after="120" w:line="360" w:lineRule="exact"/>
      <w:ind w:left="1247" w:right="1247"/>
    </w:pPr>
    <w:rPr>
      <w:szCs w:val="28"/>
    </w:r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69392B"/>
    <w:pPr>
      <w:spacing w:after="60" w:line="280" w:lineRule="exact"/>
      <w:ind w:left="1247" w:right="1247" w:hanging="567"/>
    </w:pPr>
    <w:rPr>
      <w:sz w:val="18"/>
      <w:szCs w:val="24"/>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link w:val="HChGChar"/>
    <w:qFormat/>
    <w:rsid w:val="002572A4"/>
    <w:pPr>
      <w:keepNext/>
      <w:keepLines/>
      <w:tabs>
        <w:tab w:val="right" w:pos="851"/>
      </w:tabs>
      <w:suppressAutoHyphens/>
      <w:bidi w:val="0"/>
      <w:spacing w:before="360" w:after="240" w:line="300" w:lineRule="exact"/>
      <w:ind w:left="1134" w:right="1134" w:hanging="1134"/>
      <w:jc w:val="left"/>
      <w:outlineLvl w:val="1"/>
    </w:pPr>
    <w:rPr>
      <w:rFonts w:eastAsia="SimSun" w:hAnsiTheme="minorHAnsi"/>
      <w:b/>
      <w:sz w:val="28"/>
      <w:lang w:val="en-GB" w:eastAsia="zh-CN"/>
    </w:rPr>
  </w:style>
  <w:style w:type="paragraph" w:customStyle="1" w:styleId="H23G">
    <w:name w:val="_ H_2/3_G"/>
    <w:basedOn w:val="Normal"/>
    <w:next w:val="Normal"/>
    <w:link w:val="H23GChar"/>
    <w:qFormat/>
    <w:rsid w:val="002572A4"/>
    <w:pPr>
      <w:keepNext/>
      <w:keepLines/>
      <w:tabs>
        <w:tab w:val="right" w:pos="851"/>
      </w:tabs>
      <w:suppressAutoHyphens/>
      <w:bidi w:val="0"/>
      <w:spacing w:before="240" w:after="120" w:line="240" w:lineRule="exact"/>
      <w:ind w:left="1134" w:right="1134" w:hanging="1134"/>
      <w:jc w:val="left"/>
      <w:outlineLvl w:val="3"/>
    </w:pPr>
    <w:rPr>
      <w:rFonts w:eastAsia="SimSun" w:hAnsiTheme="minorHAnsi"/>
      <w:b/>
      <w:lang w:val="en-GB" w:eastAsia="zh-CN"/>
    </w:rPr>
  </w:style>
  <w:style w:type="paragraph" w:customStyle="1" w:styleId="H4G">
    <w:name w:val="_ H_4_G"/>
    <w:basedOn w:val="Normal"/>
    <w:next w:val="Normal"/>
    <w:qFormat/>
    <w:rsid w:val="002572A4"/>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lang w:val="en-GB" w:eastAsia="zh-CN"/>
    </w:rPr>
  </w:style>
  <w:style w:type="paragraph" w:customStyle="1" w:styleId="SingleTxtG">
    <w:name w:val="_ Single Txt_G"/>
    <w:basedOn w:val="Normal"/>
    <w:link w:val="SingleTxtGChar"/>
    <w:qFormat/>
    <w:rsid w:val="002572A4"/>
    <w:pPr>
      <w:suppressAutoHyphens/>
      <w:bidi w:val="0"/>
      <w:spacing w:after="120"/>
      <w:ind w:left="1134" w:right="1134"/>
      <w:jc w:val="both"/>
    </w:pPr>
    <w:rPr>
      <w:rFonts w:eastAsia="SimSun" w:hAnsiTheme="minorHAnsi"/>
      <w:lang w:val="en-GB" w:eastAsia="zh-CN"/>
    </w:rPr>
  </w:style>
  <w:style w:type="character" w:customStyle="1" w:styleId="HChGChar">
    <w:name w:val="_ H _Ch_G Char"/>
    <w:link w:val="HChG"/>
    <w:locked/>
    <w:rsid w:val="002572A4"/>
    <w:rPr>
      <w:rFonts w:ascii="Times New Roman" w:eastAsia="SimSun" w:cs="Traditional Arabic"/>
      <w:b/>
      <w:sz w:val="28"/>
      <w:szCs w:val="30"/>
      <w:lang w:val="en-GB" w:eastAsia="zh-CN"/>
    </w:rPr>
  </w:style>
  <w:style w:type="character" w:customStyle="1" w:styleId="H23GChar">
    <w:name w:val="_ H_2/3_G Char"/>
    <w:link w:val="H23G"/>
    <w:locked/>
    <w:rsid w:val="002572A4"/>
    <w:rPr>
      <w:rFonts w:ascii="Times New Roman" w:eastAsia="SimSun" w:cs="Traditional Arabic"/>
      <w:b/>
      <w:sz w:val="20"/>
      <w:szCs w:val="30"/>
      <w:lang w:val="en-GB" w:eastAsia="zh-CN"/>
    </w:rPr>
  </w:style>
  <w:style w:type="character" w:customStyle="1" w:styleId="SingleTxtGChar">
    <w:name w:val="_ Single Txt_G Char"/>
    <w:link w:val="SingleTxtG"/>
    <w:rsid w:val="002572A4"/>
    <w:rPr>
      <w:rFonts w:ascii="Times New Roman" w:eastAsia="SimSun" w:cs="Traditional Arabic"/>
      <w:sz w:val="20"/>
      <w:szCs w:val="30"/>
      <w:lang w:val="en-GB" w:eastAsia="zh-CN"/>
    </w:rPr>
  </w:style>
  <w:style w:type="character" w:styleId="Hyperlink">
    <w:name w:val="Hyperlink"/>
    <w:basedOn w:val="DefaultParagraphFont"/>
    <w:uiPriority w:val="99"/>
    <w:unhideWhenUsed/>
    <w:rsid w:val="001C46E4"/>
    <w:rPr>
      <w:color w:val="0000FF" w:themeColor="hyperlink"/>
      <w:u w:val="single"/>
    </w:rPr>
  </w:style>
  <w:style w:type="character" w:styleId="UnresolvedMention">
    <w:name w:val="Unresolved Mention"/>
    <w:basedOn w:val="DefaultParagraphFont"/>
    <w:uiPriority w:val="99"/>
    <w:semiHidden/>
    <w:unhideWhenUsed/>
    <w:rsid w:val="001C46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DC6F50-3D65-451B-8C7D-6A7C6C39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10</TotalTime>
  <Pages>16</Pages>
  <Words>6154</Words>
  <Characters>30868</Characters>
  <Application>Microsoft Office Word</Application>
  <DocSecurity>0</DocSecurity>
  <Lines>457</Lines>
  <Paragraphs>94</Paragraphs>
  <ScaleCrop>false</ScaleCrop>
  <HeadingPairs>
    <vt:vector size="2" baseType="variant">
      <vt:variant>
        <vt:lpstr>Title</vt:lpstr>
      </vt:variant>
      <vt:variant>
        <vt:i4>1</vt:i4>
      </vt:variant>
    </vt:vector>
  </HeadingPairs>
  <TitlesOfParts>
    <vt:vector size="1" baseType="lpstr">
      <vt:lpstr>CRC/C/85/D/79/2019-CRC/C/85/D/109/2019</vt:lpstr>
    </vt:vector>
  </TitlesOfParts>
  <Company>DCM</Company>
  <LinksUpToDate>false</LinksUpToDate>
  <CharactersWithSpaces>36965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CRC/C/85/D/79/2019-CRC/C/85/D/109/2019</dc:title>
  <dc:subject>2014468A</dc:subject>
  <dc:creator>bah/MBZ</dc:creator>
  <cp:keywords>ODS No.2027665</cp:keywords>
  <dc:description/>
  <cp:lastModifiedBy>Ibrahim Balan</cp:lastModifiedBy>
  <cp:revision>3</cp:revision>
  <dcterms:created xsi:type="dcterms:W3CDTF">2020-11-19T11:23:00Z</dcterms:created>
  <dcterms:modified xsi:type="dcterms:W3CDTF">2020-11-19T12:43:00Z</dcterms:modified>
</cp:coreProperties>
</file>