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F1A" w:rsidRDefault="00386F1A" w:rsidP="00386F1A">
      <w:pPr>
        <w:spacing w:line="240" w:lineRule="auto"/>
        <w:jc w:val="left"/>
        <w:rPr>
          <w:szCs w:val="6"/>
        </w:rPr>
        <w:sectPr w:rsidR="00386F1A" w:rsidSect="00386F1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106B6" w:rsidRDefault="00F106B6" w:rsidP="00F106B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t>اللجنة المعنية بالقضاء على التمييز ضد المرأة</w:t>
      </w:r>
    </w:p>
    <w:p w:rsidR="00B26753" w:rsidRPr="00B26753" w:rsidRDefault="00B26753" w:rsidP="00B26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الفريق العامل لما قبل الدورات</w:t>
      </w:r>
    </w:p>
    <w:p w:rsidR="00F106B6" w:rsidRDefault="00F106B6" w:rsidP="00B2675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 xml:space="preserve">الدورتان الأربعون </w:t>
      </w:r>
      <w:r w:rsidR="00B26753">
        <w:rPr>
          <w:rFonts w:hint="cs"/>
          <w:rtl/>
        </w:rPr>
        <w:t xml:space="preserve">والحادية </w:t>
      </w:r>
      <w:r>
        <w:rPr>
          <w:rtl/>
        </w:rPr>
        <w:t xml:space="preserve">والأربعون </w:t>
      </w:r>
    </w:p>
    <w:p w:rsidR="00F106B6" w:rsidRDefault="00B26753" w:rsidP="00F106B6">
      <w:pPr>
        <w:tabs>
          <w:tab w:val="left" w:pos="662"/>
          <w:tab w:val="left" w:pos="1267"/>
          <w:tab w:val="left" w:pos="1987"/>
          <w:tab w:val="left" w:pos="2650"/>
        </w:tabs>
        <w:rPr>
          <w:rtl/>
        </w:rPr>
      </w:pPr>
      <w:r>
        <w:rPr>
          <w:rtl/>
        </w:rPr>
        <w:t>16-20 تموز/</w:t>
      </w:r>
      <w:r w:rsidR="00F106B6">
        <w:rPr>
          <w:rtl/>
        </w:rPr>
        <w:t>يوليه 2007</w:t>
      </w:r>
    </w:p>
    <w:p w:rsidR="00F106B6" w:rsidRPr="00F106B6" w:rsidRDefault="00F106B6" w:rsidP="00F106B6">
      <w:pPr>
        <w:pStyle w:val="SingleTxt"/>
        <w:spacing w:after="0" w:line="120" w:lineRule="exact"/>
        <w:rPr>
          <w:sz w:val="10"/>
          <w:rtl/>
        </w:rPr>
      </w:pPr>
    </w:p>
    <w:p w:rsidR="00F106B6" w:rsidRPr="00F106B6" w:rsidRDefault="00F106B6" w:rsidP="00F106B6">
      <w:pPr>
        <w:pStyle w:val="SingleTxt"/>
        <w:spacing w:after="0" w:line="120" w:lineRule="exact"/>
        <w:rPr>
          <w:sz w:val="10"/>
          <w:rtl/>
        </w:rPr>
      </w:pPr>
    </w:p>
    <w:p w:rsidR="00F106B6" w:rsidRPr="00F106B6" w:rsidRDefault="00F106B6" w:rsidP="00F106B6">
      <w:pPr>
        <w:pStyle w:val="SingleTxt"/>
        <w:spacing w:after="0" w:line="120" w:lineRule="exact"/>
        <w:rPr>
          <w:sz w:val="10"/>
          <w:rtl/>
        </w:rPr>
      </w:pPr>
    </w:p>
    <w:p w:rsidR="00F106B6" w:rsidRDefault="00F106B6" w:rsidP="00F106B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قائمة المسائل والأسئلة المطروحة للنظر في التقارير الدورية</w:t>
      </w:r>
    </w:p>
    <w:p w:rsidR="00F106B6" w:rsidRDefault="00F106B6" w:rsidP="00F106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بوليفيا</w:t>
      </w:r>
    </w:p>
    <w:p w:rsidR="00F106B6" w:rsidRDefault="00F106B6" w:rsidP="00F106B6">
      <w:pPr>
        <w:pStyle w:val="SingleTxt"/>
        <w:rPr>
          <w:rFonts w:hint="cs"/>
          <w:rtl/>
        </w:rPr>
      </w:pPr>
      <w:r>
        <w:rPr>
          <w:rtl/>
        </w:rPr>
        <w:tab/>
        <w:t>نظر الفريق العامل لما قبل الدورات في تقرير بوليفيا الجامع للتقارير الدورية الثاني والثالث والرابع (</w:t>
      </w:r>
      <w:r>
        <w:t>CEDAW/C/BOL/2-4</w:t>
      </w:r>
      <w:r>
        <w:rPr>
          <w:rtl/>
        </w:rPr>
        <w:t>).</w:t>
      </w:r>
    </w:p>
    <w:p w:rsidR="00F106B6" w:rsidRPr="00F106B6" w:rsidRDefault="00F106B6" w:rsidP="00F106B6">
      <w:pPr>
        <w:pStyle w:val="SingleTxt"/>
        <w:spacing w:after="0" w:line="120" w:lineRule="exact"/>
        <w:rPr>
          <w:rFonts w:hint="cs"/>
          <w:sz w:val="10"/>
          <w:rtl/>
        </w:rPr>
      </w:pPr>
    </w:p>
    <w:p w:rsidR="00F106B6" w:rsidRDefault="00F106B6" w:rsidP="00F106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تشريعات وآليات النهوض بالمرأة والخطط الوطنية</w:t>
      </w:r>
    </w:p>
    <w:p w:rsidR="00F106B6" w:rsidRDefault="00F106B6" w:rsidP="00B26753">
      <w:pPr>
        <w:pStyle w:val="SingleTxt"/>
        <w:rPr>
          <w:rtl/>
        </w:rPr>
      </w:pPr>
      <w:r>
        <w:rPr>
          <w:rtl/>
        </w:rPr>
        <w:t>1</w:t>
      </w:r>
      <w:r>
        <w:rPr>
          <w:rFonts w:hint="cs"/>
          <w:rtl/>
        </w:rPr>
        <w:t xml:space="preserve"> </w:t>
      </w:r>
      <w:r>
        <w:rPr>
          <w:rtl/>
        </w:rPr>
        <w:t>-</w:t>
      </w:r>
      <w:r>
        <w:rPr>
          <w:rFonts w:hint="cs"/>
          <w:rtl/>
        </w:rPr>
        <w:tab/>
      </w:r>
      <w:r>
        <w:rPr>
          <w:rtl/>
        </w:rPr>
        <w:t>يرجى تقديم البيانات المتعلقة بتنفيذ الخطة الوطنية 2000-</w:t>
      </w:r>
      <w:r w:rsidR="00B26753">
        <w:rPr>
          <w:rFonts w:hint="cs"/>
          <w:rtl/>
        </w:rPr>
        <w:t xml:space="preserve">2010 </w:t>
      </w:r>
      <w:r>
        <w:rPr>
          <w:rtl/>
        </w:rPr>
        <w:t xml:space="preserve">للقضاء التدريجي على </w:t>
      </w:r>
      <w:r>
        <w:rPr>
          <w:rFonts w:hint="cs"/>
          <w:rtl/>
        </w:rPr>
        <w:t xml:space="preserve">عمالة </w:t>
      </w:r>
      <w:r>
        <w:rPr>
          <w:rtl/>
        </w:rPr>
        <w:t xml:space="preserve">الأطفال التي أقرها كونغرس بوليفيا فضلا عن أي بيانات بشأن </w:t>
      </w:r>
      <w:r>
        <w:rPr>
          <w:rFonts w:hint="cs"/>
          <w:rtl/>
        </w:rPr>
        <w:t xml:space="preserve">إمكانية إدماج </w:t>
      </w:r>
      <w:r>
        <w:rPr>
          <w:rtl/>
        </w:rPr>
        <w:t>معاهدات حقوق الإنسان في تشريعاتكم. ويرجى كذلك تقديم بيانات بشأن أعداد الأطفال المشمولين بهذه العمالة.</w:t>
      </w:r>
    </w:p>
    <w:p w:rsidR="00F106B6" w:rsidRDefault="00F106B6" w:rsidP="00F106B6">
      <w:pPr>
        <w:pStyle w:val="SingleTxt"/>
        <w:rPr>
          <w:rtl/>
        </w:rPr>
      </w:pPr>
      <w:r>
        <w:rPr>
          <w:rtl/>
        </w:rPr>
        <w:t>2</w:t>
      </w:r>
      <w:r>
        <w:rPr>
          <w:rFonts w:hint="cs"/>
          <w:rtl/>
        </w:rPr>
        <w:t xml:space="preserve"> </w:t>
      </w:r>
      <w:r>
        <w:rPr>
          <w:rtl/>
        </w:rPr>
        <w:t>-</w:t>
      </w:r>
      <w:r>
        <w:rPr>
          <w:rFonts w:hint="cs"/>
          <w:rtl/>
        </w:rPr>
        <w:tab/>
      </w:r>
      <w:r>
        <w:rPr>
          <w:rtl/>
        </w:rPr>
        <w:t>في الفقرة 41</w:t>
      </w:r>
      <w:r>
        <w:rPr>
          <w:rFonts w:hint="cs"/>
          <w:rtl/>
        </w:rPr>
        <w:t xml:space="preserve"> من التقرير</w:t>
      </w:r>
      <w:r>
        <w:rPr>
          <w:rtl/>
        </w:rPr>
        <w:t>، ترد قائمة بالقوانين التم</w:t>
      </w:r>
      <w:r>
        <w:rPr>
          <w:rFonts w:hint="cs"/>
          <w:rtl/>
        </w:rPr>
        <w:t>ي</w:t>
      </w:r>
      <w:r>
        <w:rPr>
          <w:rtl/>
        </w:rPr>
        <w:t xml:space="preserve">يزية ضد المرأة وترد مقترحات ترمي إلى تعديلها وتنقيحها وتحليلها وما إلى ذلك، </w:t>
      </w:r>
      <w:r>
        <w:rPr>
          <w:rFonts w:hint="cs"/>
          <w:rtl/>
        </w:rPr>
        <w:t xml:space="preserve">يرجى تقديم معلومات حديثة </w:t>
      </w:r>
      <w:r>
        <w:rPr>
          <w:rtl/>
        </w:rPr>
        <w:t>عن الأشواط التي قطعت في تلك العمليات والقوانين. و</w:t>
      </w:r>
      <w:r>
        <w:rPr>
          <w:rFonts w:hint="cs"/>
          <w:rtl/>
        </w:rPr>
        <w:t xml:space="preserve">يرجى </w:t>
      </w:r>
      <w:r>
        <w:rPr>
          <w:rtl/>
        </w:rPr>
        <w:t xml:space="preserve">على وجه التحديد </w:t>
      </w:r>
      <w:r>
        <w:rPr>
          <w:rFonts w:hint="cs"/>
          <w:rtl/>
        </w:rPr>
        <w:t xml:space="preserve">تقديم </w:t>
      </w:r>
      <w:r>
        <w:rPr>
          <w:rtl/>
        </w:rPr>
        <w:t>تفاصيل بشأن مواد قانون مناهضة التحرش السياسي (الفقرة 139) والأشواط التي قطعت نحو إقراره.</w:t>
      </w:r>
    </w:p>
    <w:p w:rsidR="00F106B6" w:rsidRDefault="00F106B6" w:rsidP="00F106B6">
      <w:pPr>
        <w:pStyle w:val="SingleTxt"/>
        <w:rPr>
          <w:rtl/>
        </w:rPr>
      </w:pPr>
      <w:r>
        <w:rPr>
          <w:rtl/>
        </w:rPr>
        <w:t>3</w:t>
      </w:r>
      <w:r>
        <w:rPr>
          <w:rFonts w:hint="cs"/>
          <w:rtl/>
        </w:rPr>
        <w:t xml:space="preserve"> </w:t>
      </w:r>
      <w:r>
        <w:rPr>
          <w:rtl/>
        </w:rPr>
        <w:t>-</w:t>
      </w:r>
      <w:r>
        <w:rPr>
          <w:rFonts w:hint="cs"/>
          <w:rtl/>
        </w:rPr>
        <w:tab/>
      </w:r>
      <w:r>
        <w:rPr>
          <w:rtl/>
        </w:rPr>
        <w:t>يرد في التقرير أن قانون الحقوق الجنسية والإنجابية لا يزال معطلا لدى السلطة التشريعية (الفقرة 288 من التقرير).</w:t>
      </w:r>
      <w:r>
        <w:rPr>
          <w:rFonts w:hint="cs"/>
          <w:rtl/>
        </w:rPr>
        <w:t xml:space="preserve"> يرجى تقديم </w:t>
      </w:r>
      <w:r>
        <w:rPr>
          <w:rtl/>
        </w:rPr>
        <w:t>معلومات بشأن مواده والعقبات التي تحول دون إقراره والجهود المبذولة حاليا للتعجيل ب</w:t>
      </w:r>
      <w:r>
        <w:rPr>
          <w:rFonts w:hint="cs"/>
          <w:rtl/>
        </w:rPr>
        <w:t>إ</w:t>
      </w:r>
      <w:r>
        <w:rPr>
          <w:rtl/>
        </w:rPr>
        <w:t>قراره وتنفيذه.</w:t>
      </w:r>
    </w:p>
    <w:p w:rsidR="00F106B6" w:rsidRDefault="00F106B6" w:rsidP="00F106B6">
      <w:pPr>
        <w:pStyle w:val="SingleTxt"/>
        <w:rPr>
          <w:rtl/>
        </w:rPr>
      </w:pPr>
      <w:r>
        <w:rPr>
          <w:rtl/>
        </w:rPr>
        <w:t>4</w:t>
      </w:r>
      <w:r>
        <w:rPr>
          <w:rFonts w:hint="cs"/>
          <w:rtl/>
        </w:rPr>
        <w:t xml:space="preserve"> </w:t>
      </w:r>
      <w:r>
        <w:rPr>
          <w:rtl/>
        </w:rPr>
        <w:t>-</w:t>
      </w:r>
      <w:r>
        <w:rPr>
          <w:rFonts w:hint="cs"/>
          <w:rtl/>
        </w:rPr>
        <w:tab/>
      </w:r>
      <w:r>
        <w:rPr>
          <w:rtl/>
        </w:rPr>
        <w:t>في تقرير المقررة الخاصة المعنية بالعنف ضد المرأة وأسبابه و</w:t>
      </w:r>
      <w:r>
        <w:rPr>
          <w:rFonts w:hint="cs"/>
          <w:rtl/>
        </w:rPr>
        <w:t xml:space="preserve">عواقبه </w:t>
      </w:r>
      <w:r>
        <w:rPr>
          <w:rtl/>
        </w:rPr>
        <w:t>(</w:t>
      </w:r>
      <w:r>
        <w:t>E</w:t>
      </w:r>
      <w:r w:rsidR="00B26753">
        <w:t>/</w:t>
      </w:r>
      <w:r>
        <w:t>CN.4/2003/75/Add.1</w:t>
      </w:r>
      <w:r w:rsidR="00B26753">
        <w:rPr>
          <w:rFonts w:hint="cs"/>
          <w:rtl/>
        </w:rPr>
        <w:t>،</w:t>
      </w:r>
      <w:r>
        <w:rPr>
          <w:rFonts w:hint="cs"/>
          <w:rtl/>
        </w:rPr>
        <w:t xml:space="preserve"> الفقرة 1302</w:t>
      </w:r>
      <w:r>
        <w:rPr>
          <w:rtl/>
        </w:rPr>
        <w:t>) يرد أن المادة 317 من القانون الجنائي لا تنص على عقوبات أو جزاءات على أعمال الاغتصاب والاعتداء الجنسي أو الاختطاف إذا ما</w:t>
      </w:r>
      <w:r>
        <w:rPr>
          <w:rFonts w:hint="cs"/>
          <w:rtl/>
        </w:rPr>
        <w:t> </w:t>
      </w:r>
      <w:r>
        <w:rPr>
          <w:rtl/>
        </w:rPr>
        <w:t xml:space="preserve">عقد الجاني زواجه على ضحيته وتم زواجها منه برضاها. </w:t>
      </w:r>
      <w:r>
        <w:rPr>
          <w:rFonts w:hint="cs"/>
          <w:rtl/>
        </w:rPr>
        <w:t xml:space="preserve">يرجى ذكر </w:t>
      </w:r>
      <w:r>
        <w:rPr>
          <w:rtl/>
        </w:rPr>
        <w:t>الجهود المبذولة لتعديل هذه المادة.</w:t>
      </w:r>
    </w:p>
    <w:p w:rsidR="00F106B6" w:rsidRDefault="00F106B6" w:rsidP="00F106B6">
      <w:pPr>
        <w:pStyle w:val="SingleTxt"/>
        <w:rPr>
          <w:rtl/>
        </w:rPr>
      </w:pPr>
      <w:r>
        <w:rPr>
          <w:rtl/>
        </w:rPr>
        <w:t>5</w:t>
      </w:r>
      <w:r>
        <w:rPr>
          <w:rFonts w:hint="cs"/>
          <w:rtl/>
        </w:rPr>
        <w:t xml:space="preserve"> </w:t>
      </w:r>
      <w:r>
        <w:rPr>
          <w:rtl/>
        </w:rPr>
        <w:t>-</w:t>
      </w:r>
      <w:r>
        <w:rPr>
          <w:rFonts w:hint="cs"/>
          <w:rtl/>
        </w:rPr>
        <w:tab/>
      </w:r>
      <w:r>
        <w:rPr>
          <w:rtl/>
        </w:rPr>
        <w:t>يس</w:t>
      </w:r>
      <w:r w:rsidR="00B26753">
        <w:rPr>
          <w:rFonts w:hint="cs"/>
          <w:rtl/>
        </w:rPr>
        <w:t>ّ</w:t>
      </w:r>
      <w:r>
        <w:rPr>
          <w:rtl/>
        </w:rPr>
        <w:t xml:space="preserve">لم في التقرير بأن </w:t>
      </w:r>
      <w:r>
        <w:rPr>
          <w:rFonts w:hint="cs"/>
          <w:rtl/>
        </w:rPr>
        <w:t>أ</w:t>
      </w:r>
      <w:r>
        <w:rPr>
          <w:rtl/>
        </w:rPr>
        <w:t xml:space="preserve">حد العيوب الرئيسية للقانون رقم 1674 لمكافحة العنف </w:t>
      </w:r>
      <w:r>
        <w:rPr>
          <w:rFonts w:hint="cs"/>
          <w:rtl/>
        </w:rPr>
        <w:t xml:space="preserve">العائلي أو </w:t>
      </w:r>
      <w:r>
        <w:rPr>
          <w:rtl/>
        </w:rPr>
        <w:t xml:space="preserve">المنزلي أنه قانون وقائي لا عقابي. ويرد أيضا أن هذا القانون قد نقح ولكنه لا يزال وقائيا (الفقرتان 77-78). </w:t>
      </w:r>
      <w:r>
        <w:rPr>
          <w:rFonts w:hint="cs"/>
          <w:rtl/>
        </w:rPr>
        <w:t xml:space="preserve">يرجى إيضاح </w:t>
      </w:r>
      <w:r>
        <w:rPr>
          <w:rtl/>
        </w:rPr>
        <w:t>فحوى تنقيح القانون رقم 1674 لمكافحة العنف العائلي أو المنزلي والعوامل التي تمنع تحو</w:t>
      </w:r>
      <w:r>
        <w:rPr>
          <w:rFonts w:hint="cs"/>
          <w:rtl/>
        </w:rPr>
        <w:t>ّ</w:t>
      </w:r>
      <w:r>
        <w:rPr>
          <w:rtl/>
        </w:rPr>
        <w:t>ل ذلك القانون إلى قانون عقابي، و</w:t>
      </w:r>
      <w:r>
        <w:rPr>
          <w:rFonts w:hint="cs"/>
          <w:rtl/>
        </w:rPr>
        <w:t xml:space="preserve">يرجى </w:t>
      </w:r>
      <w:r>
        <w:rPr>
          <w:rtl/>
        </w:rPr>
        <w:t xml:space="preserve">كذلك </w:t>
      </w:r>
      <w:r>
        <w:rPr>
          <w:rFonts w:hint="cs"/>
          <w:rtl/>
        </w:rPr>
        <w:t xml:space="preserve">ذكر </w:t>
      </w:r>
      <w:r>
        <w:rPr>
          <w:rtl/>
        </w:rPr>
        <w:t xml:space="preserve">أي إجراءات أخرى اتخذت في هذا الصدد. </w:t>
      </w:r>
      <w:r w:rsidR="00B26753">
        <w:rPr>
          <w:rFonts w:hint="cs"/>
          <w:rtl/>
        </w:rPr>
        <w:t>و</w:t>
      </w:r>
      <w:r>
        <w:rPr>
          <w:rFonts w:hint="cs"/>
          <w:rtl/>
        </w:rPr>
        <w:t xml:space="preserve">هل لكم أن تبينوا </w:t>
      </w:r>
      <w:r>
        <w:rPr>
          <w:rtl/>
        </w:rPr>
        <w:t>كذلك الإجراءات التي اتخذت لتعزيز القانون الجديد وتأمين تنفيذه الفعال، و</w:t>
      </w:r>
      <w:r>
        <w:rPr>
          <w:rFonts w:hint="cs"/>
          <w:rtl/>
        </w:rPr>
        <w:t>يرجى</w:t>
      </w:r>
      <w:r>
        <w:rPr>
          <w:rtl/>
        </w:rPr>
        <w:t xml:space="preserve"> كذلك </w:t>
      </w:r>
      <w:r>
        <w:rPr>
          <w:rFonts w:hint="cs"/>
          <w:rtl/>
        </w:rPr>
        <w:t xml:space="preserve">ذكر </w:t>
      </w:r>
      <w:r>
        <w:rPr>
          <w:rtl/>
        </w:rPr>
        <w:t>الأثر الذي ترتب عليه حتى الآن.</w:t>
      </w:r>
    </w:p>
    <w:p w:rsidR="00F106B6" w:rsidRDefault="00F106B6" w:rsidP="00F106B6">
      <w:pPr>
        <w:pStyle w:val="SingleTxt"/>
        <w:rPr>
          <w:rtl/>
        </w:rPr>
      </w:pPr>
      <w:r>
        <w:rPr>
          <w:rtl/>
        </w:rPr>
        <w:t>6</w:t>
      </w:r>
      <w:r>
        <w:rPr>
          <w:rFonts w:hint="cs"/>
          <w:rtl/>
        </w:rPr>
        <w:t xml:space="preserve"> </w:t>
      </w:r>
      <w:r>
        <w:rPr>
          <w:rtl/>
        </w:rPr>
        <w:t>-</w:t>
      </w:r>
      <w:r>
        <w:rPr>
          <w:rFonts w:hint="cs"/>
          <w:rtl/>
        </w:rPr>
        <w:tab/>
      </w:r>
      <w:r>
        <w:rPr>
          <w:rtl/>
        </w:rPr>
        <w:t>يرد في التقرير أن السن الدنيا للزواج بالنسبة للذكور هي 16 عاما و</w:t>
      </w:r>
      <w:r>
        <w:rPr>
          <w:rFonts w:hint="cs"/>
          <w:rtl/>
        </w:rPr>
        <w:t xml:space="preserve">أنها </w:t>
      </w:r>
      <w:r>
        <w:rPr>
          <w:rtl/>
        </w:rPr>
        <w:t xml:space="preserve">14 عاما بالنسبة للإناث (الفقرة 367). </w:t>
      </w:r>
      <w:r>
        <w:rPr>
          <w:rFonts w:hint="cs"/>
          <w:rtl/>
        </w:rPr>
        <w:t xml:space="preserve">يرجى تقديم </w:t>
      </w:r>
      <w:r>
        <w:rPr>
          <w:rtl/>
        </w:rPr>
        <w:t xml:space="preserve">معلومات بشأن ما إن كانت توجد خطط لتعديل هذا القانون لتصبح السن الدنيا لزواج الإناث مساوية للسن الدنيا لزواج الذكور امتثالا بذلك لأحكام اتفاقية حقوق الطفل. </w:t>
      </w:r>
    </w:p>
    <w:p w:rsidR="00F106B6" w:rsidRDefault="00F106B6" w:rsidP="00F106B6">
      <w:pPr>
        <w:pStyle w:val="SingleTxt"/>
        <w:rPr>
          <w:rtl/>
        </w:rPr>
      </w:pPr>
      <w:r>
        <w:rPr>
          <w:rtl/>
        </w:rPr>
        <w:t>7</w:t>
      </w:r>
      <w:r>
        <w:rPr>
          <w:rFonts w:hint="cs"/>
          <w:rtl/>
        </w:rPr>
        <w:t xml:space="preserve"> </w:t>
      </w:r>
      <w:r>
        <w:rPr>
          <w:rtl/>
        </w:rPr>
        <w:t>-</w:t>
      </w:r>
      <w:r>
        <w:rPr>
          <w:rFonts w:hint="cs"/>
          <w:rtl/>
        </w:rPr>
        <w:tab/>
      </w:r>
      <w:r>
        <w:rPr>
          <w:rtl/>
        </w:rPr>
        <w:t>يرد في التقرير أنه تمت الموافقة بموجب المرسوم رقم 24864 على الهيكل الهرمي للوحدات ال</w:t>
      </w:r>
      <w:r w:rsidR="00B26753">
        <w:rPr>
          <w:rtl/>
        </w:rPr>
        <w:t>جنسانية في المقاطعات (الفقرة 49</w:t>
      </w:r>
      <w:r>
        <w:rPr>
          <w:rtl/>
        </w:rPr>
        <w:t xml:space="preserve">). </w:t>
      </w:r>
      <w:r>
        <w:rPr>
          <w:rFonts w:hint="cs"/>
          <w:rtl/>
        </w:rPr>
        <w:t xml:space="preserve">يرجى ذكر </w:t>
      </w:r>
      <w:r>
        <w:rPr>
          <w:rtl/>
        </w:rPr>
        <w:t>الأشواط التي قطعت في تنفيذ هذا المرسوم وما إذا كان قد تم تسهيل تعميم المنظور الجنساني في المقاطعات والبلديات .</w:t>
      </w:r>
    </w:p>
    <w:p w:rsidR="00B26753" w:rsidRPr="00B26753" w:rsidRDefault="00B26753" w:rsidP="00B2675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106B6" w:rsidRDefault="00F106B6" w:rsidP="00F106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العنف ضد المرأة</w:t>
      </w:r>
    </w:p>
    <w:p w:rsidR="00F106B6" w:rsidRDefault="00F106B6" w:rsidP="00F106B6">
      <w:pPr>
        <w:pStyle w:val="SingleTxt"/>
        <w:rPr>
          <w:rtl/>
        </w:rPr>
      </w:pPr>
      <w:r>
        <w:rPr>
          <w:rtl/>
        </w:rPr>
        <w:t>8</w:t>
      </w:r>
      <w:r>
        <w:rPr>
          <w:rFonts w:hint="cs"/>
          <w:rtl/>
        </w:rPr>
        <w:t xml:space="preserve"> </w:t>
      </w:r>
      <w:r>
        <w:rPr>
          <w:rtl/>
        </w:rPr>
        <w:t>-</w:t>
      </w:r>
      <w:r>
        <w:rPr>
          <w:rFonts w:hint="cs"/>
          <w:rtl/>
        </w:rPr>
        <w:tab/>
      </w:r>
      <w:r>
        <w:rPr>
          <w:rtl/>
        </w:rPr>
        <w:t>يرد في التقرير أنه ظهرت في الآونة الأخيرة أشكال خطيرة جدا من الاعتداءات الجنسية على النساء والطفلات تنتهي في حالات عديدة بالقتل (الفقرة 50). ويرد كذلك في تقرير المقررة الخاصة (</w:t>
      </w:r>
      <w:r>
        <w:t>E</w:t>
      </w:r>
      <w:r w:rsidR="00B26753">
        <w:t>/</w:t>
      </w:r>
      <w:r>
        <w:t>CN.4/2003/75/Add.1</w:t>
      </w:r>
      <w:r w:rsidR="00B26753">
        <w:rPr>
          <w:rFonts w:hint="cs"/>
          <w:rtl/>
        </w:rPr>
        <w:t>،</w:t>
      </w:r>
      <w:r>
        <w:rPr>
          <w:rtl/>
        </w:rPr>
        <w:t xml:space="preserve"> </w:t>
      </w:r>
      <w:r>
        <w:rPr>
          <w:rFonts w:hint="cs"/>
          <w:rtl/>
        </w:rPr>
        <w:t>الفقرة 1307)</w:t>
      </w:r>
      <w:r>
        <w:rPr>
          <w:rtl/>
        </w:rPr>
        <w:t>، أن طفلات الشوارع كثيرا ما يتعرضن للاعتداءات الجنسية وسوء المعاملة دون أ</w:t>
      </w:r>
      <w:r>
        <w:rPr>
          <w:rFonts w:hint="cs"/>
          <w:rtl/>
        </w:rPr>
        <w:t>ي</w:t>
      </w:r>
      <w:r>
        <w:rPr>
          <w:rtl/>
        </w:rPr>
        <w:t xml:space="preserve"> تدخل </w:t>
      </w:r>
      <w:r>
        <w:rPr>
          <w:rFonts w:hint="cs"/>
          <w:rtl/>
        </w:rPr>
        <w:t xml:space="preserve">لصالحهن </w:t>
      </w:r>
      <w:r>
        <w:rPr>
          <w:rtl/>
        </w:rPr>
        <w:t>من جانب قوات الأمن.</w:t>
      </w:r>
      <w:r>
        <w:rPr>
          <w:rFonts w:hint="cs"/>
          <w:rtl/>
        </w:rPr>
        <w:t xml:space="preserve"> </w:t>
      </w:r>
      <w:r>
        <w:rPr>
          <w:rtl/>
        </w:rPr>
        <w:t>ويرد في التقرير ذاته أن هناك شكاوى بشأن أعمال عنف ضد العاملات في مزارع نبتة الكوكا. فهل لكم أن تقدموا مزيدا من التفاصيل عن هذه الحالات وتقدموا معلومات عن التدابير التي اتخذت في هذا الصدد.</w:t>
      </w:r>
    </w:p>
    <w:p w:rsidR="00F106B6" w:rsidRDefault="00F106B6" w:rsidP="00F106B6">
      <w:pPr>
        <w:pStyle w:val="SingleTxt"/>
        <w:rPr>
          <w:rtl/>
        </w:rPr>
      </w:pPr>
      <w:r>
        <w:rPr>
          <w:rFonts w:hint="cs"/>
          <w:rtl/>
        </w:rPr>
        <w:t xml:space="preserve">9 </w:t>
      </w:r>
      <w:r>
        <w:rPr>
          <w:rtl/>
        </w:rPr>
        <w:t>-</w:t>
      </w:r>
      <w:r>
        <w:rPr>
          <w:rFonts w:hint="cs"/>
          <w:rtl/>
        </w:rPr>
        <w:tab/>
      </w:r>
      <w:r>
        <w:rPr>
          <w:rtl/>
        </w:rPr>
        <w:t>ما هي بالضبط الأنشطة التي تم الاضطلاع بها للتعريف بقانون حماية ضحايا الجرائم المرتكبة ضد الحرية الجنسية و</w:t>
      </w:r>
      <w:r>
        <w:rPr>
          <w:rFonts w:hint="cs"/>
          <w:rtl/>
        </w:rPr>
        <w:t>ل</w:t>
      </w:r>
      <w:r>
        <w:rPr>
          <w:rtl/>
        </w:rPr>
        <w:t xml:space="preserve">تنفيذ هذا القانون (الفقرة 58). </w:t>
      </w:r>
      <w:r>
        <w:rPr>
          <w:rFonts w:hint="cs"/>
          <w:rtl/>
        </w:rPr>
        <w:t xml:space="preserve">يرجى ذكر </w:t>
      </w:r>
      <w:r>
        <w:rPr>
          <w:rtl/>
        </w:rPr>
        <w:t>مستوى التغطية وما إذا كانت الجهود تشمل المرأة في المناطق الريفية ومن نساء الشعوب الأصلية.</w:t>
      </w:r>
    </w:p>
    <w:p w:rsidR="00F106B6" w:rsidRDefault="00F106B6" w:rsidP="00B26753">
      <w:pPr>
        <w:pStyle w:val="SingleTxt"/>
        <w:rPr>
          <w:rtl/>
        </w:rPr>
      </w:pPr>
      <w:r>
        <w:rPr>
          <w:rtl/>
        </w:rPr>
        <w:t>10</w:t>
      </w:r>
      <w:r>
        <w:rPr>
          <w:rFonts w:hint="cs"/>
          <w:rtl/>
        </w:rPr>
        <w:t xml:space="preserve"> </w:t>
      </w:r>
      <w:r>
        <w:rPr>
          <w:rtl/>
        </w:rPr>
        <w:t>-</w:t>
      </w:r>
      <w:r>
        <w:rPr>
          <w:rFonts w:hint="cs"/>
          <w:rtl/>
        </w:rPr>
        <w:tab/>
      </w:r>
      <w:r>
        <w:rPr>
          <w:rtl/>
        </w:rPr>
        <w:t xml:space="preserve">تعرب المقررة الخاصة في تقريرها عن القلق إزاء الطريقة التي تعالج بها قضايا العنف المنزلي حيث تعطي السلطات الأولوية </w:t>
      </w:r>
      <w:r>
        <w:rPr>
          <w:rFonts w:hint="cs"/>
          <w:rtl/>
        </w:rPr>
        <w:t xml:space="preserve">لالتئام شمل </w:t>
      </w:r>
      <w:r>
        <w:rPr>
          <w:rtl/>
        </w:rPr>
        <w:t>الأسرة ب</w:t>
      </w:r>
      <w:r>
        <w:rPr>
          <w:rFonts w:hint="cs"/>
          <w:rtl/>
        </w:rPr>
        <w:t>إ</w:t>
      </w:r>
      <w:r>
        <w:rPr>
          <w:rtl/>
        </w:rPr>
        <w:t xml:space="preserve">رغام الطرفين على المصالحة تغليبا </w:t>
      </w:r>
      <w:r>
        <w:rPr>
          <w:rFonts w:hint="cs"/>
          <w:rtl/>
        </w:rPr>
        <w:t xml:space="preserve">لمصلحة </w:t>
      </w:r>
      <w:r>
        <w:rPr>
          <w:rtl/>
        </w:rPr>
        <w:t xml:space="preserve">الأبناء وعن قلقها إزاء المشكلة التي تواجه المرأة في إثبات تعرضها للعنف في الحالات التي </w:t>
      </w:r>
      <w:r>
        <w:rPr>
          <w:rFonts w:hint="cs"/>
          <w:rtl/>
        </w:rPr>
        <w:t xml:space="preserve">لا </w:t>
      </w:r>
      <w:r>
        <w:rPr>
          <w:rtl/>
        </w:rPr>
        <w:t xml:space="preserve">تكون </w:t>
      </w:r>
      <w:r w:rsidR="00B26753">
        <w:rPr>
          <w:rFonts w:hint="cs"/>
          <w:rtl/>
        </w:rPr>
        <w:t>آ</w:t>
      </w:r>
      <w:r>
        <w:rPr>
          <w:rtl/>
        </w:rPr>
        <w:t xml:space="preserve">ثار هذا العنف بادية للعيان. ويرد في التقرير أيضا أن فرق </w:t>
      </w:r>
      <w:r>
        <w:rPr>
          <w:rFonts w:hint="cs"/>
          <w:rtl/>
        </w:rPr>
        <w:t xml:space="preserve">حماية الأسرة </w:t>
      </w:r>
      <w:r>
        <w:rPr>
          <w:rtl/>
        </w:rPr>
        <w:t>أسندت لنفسها مهام ليست من مهامها كتناولها لقضايا يفترض أن يتناولها القضاة (</w:t>
      </w:r>
      <w:r>
        <w:t>E</w:t>
      </w:r>
      <w:r w:rsidR="00B26753">
        <w:t>/</w:t>
      </w:r>
      <w:r>
        <w:t>CN.4/2003/75/Add.1</w:t>
      </w:r>
      <w:r w:rsidR="00B26753">
        <w:rPr>
          <w:rFonts w:hint="cs"/>
          <w:rtl/>
        </w:rPr>
        <w:t>،</w:t>
      </w:r>
      <w:r w:rsidR="00054A22">
        <w:rPr>
          <w:rFonts w:hint="cs"/>
          <w:rtl/>
        </w:rPr>
        <w:t xml:space="preserve"> الفقرة 1309).</w:t>
      </w:r>
      <w:r>
        <w:rPr>
          <w:rtl/>
        </w:rPr>
        <w:t xml:space="preserve"> فما الإجراءات التي اتخذت لمواجهة هذه الحالات؟ </w:t>
      </w:r>
    </w:p>
    <w:p w:rsidR="00F106B6" w:rsidRDefault="00F106B6" w:rsidP="00054A22">
      <w:pPr>
        <w:pStyle w:val="SingleTxt"/>
        <w:rPr>
          <w:rFonts w:hint="cs"/>
          <w:rtl/>
        </w:rPr>
      </w:pPr>
      <w:r>
        <w:rPr>
          <w:rtl/>
        </w:rPr>
        <w:t>11</w:t>
      </w:r>
      <w:r w:rsidR="00054A22">
        <w:rPr>
          <w:rFonts w:hint="cs"/>
          <w:rtl/>
        </w:rPr>
        <w:t xml:space="preserve"> </w:t>
      </w:r>
      <w:r>
        <w:rPr>
          <w:rtl/>
        </w:rPr>
        <w:t>-</w:t>
      </w:r>
      <w:r w:rsidR="00054A22">
        <w:rPr>
          <w:rFonts w:hint="cs"/>
          <w:rtl/>
        </w:rPr>
        <w:tab/>
        <w:t xml:space="preserve">يرجى ذكر </w:t>
      </w:r>
      <w:r>
        <w:rPr>
          <w:rtl/>
        </w:rPr>
        <w:t>الأثر الذي ترتب على برنامج مكافحة العنف في المدراس الذي وضع لمنع جميع أشكال العنف والتمييز داخل المدارس وخارجها (</w:t>
      </w:r>
      <w:r>
        <w:t>E</w:t>
      </w:r>
      <w:r w:rsidR="00B26753">
        <w:t>/</w:t>
      </w:r>
      <w:r>
        <w:t>CN.4/2003/75/Add.1</w:t>
      </w:r>
      <w:r w:rsidR="00B26753">
        <w:rPr>
          <w:rFonts w:hint="cs"/>
          <w:rtl/>
        </w:rPr>
        <w:t>،</w:t>
      </w:r>
      <w:r w:rsidR="00054A22">
        <w:rPr>
          <w:rFonts w:hint="cs"/>
          <w:rtl/>
        </w:rPr>
        <w:t xml:space="preserve"> الفقرة</w:t>
      </w:r>
      <w:r w:rsidR="00054A22">
        <w:rPr>
          <w:rFonts w:hint="eastAsia"/>
          <w:rtl/>
        </w:rPr>
        <w:t> </w:t>
      </w:r>
      <w:r w:rsidR="00054A22">
        <w:rPr>
          <w:rFonts w:hint="cs"/>
          <w:rtl/>
        </w:rPr>
        <w:t>1305)</w:t>
      </w:r>
      <w:r w:rsidR="00B26753">
        <w:rPr>
          <w:rFonts w:hint="cs"/>
          <w:rtl/>
        </w:rPr>
        <w:t>.</w:t>
      </w:r>
    </w:p>
    <w:p w:rsidR="00054A22" w:rsidRPr="00054A22" w:rsidRDefault="00054A22" w:rsidP="00054A22">
      <w:pPr>
        <w:pStyle w:val="SingleTxt"/>
        <w:spacing w:after="0" w:line="120" w:lineRule="exact"/>
        <w:rPr>
          <w:rFonts w:hint="cs"/>
          <w:sz w:val="10"/>
          <w:rtl/>
        </w:rPr>
      </w:pPr>
    </w:p>
    <w:p w:rsidR="00F106B6" w:rsidRDefault="00054A22" w:rsidP="00054A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106B6">
        <w:rPr>
          <w:rtl/>
        </w:rPr>
        <w:t xml:space="preserve">أعمال الاتجار والاستغلال في البغاء </w:t>
      </w:r>
    </w:p>
    <w:p w:rsidR="00F106B6" w:rsidRDefault="00F106B6" w:rsidP="006F53C8">
      <w:pPr>
        <w:pStyle w:val="SingleTxt"/>
        <w:rPr>
          <w:rtl/>
        </w:rPr>
      </w:pPr>
      <w:r>
        <w:rPr>
          <w:rtl/>
        </w:rPr>
        <w:t>12</w:t>
      </w:r>
      <w:r w:rsidR="00054A22">
        <w:rPr>
          <w:rFonts w:hint="cs"/>
          <w:rtl/>
        </w:rPr>
        <w:t xml:space="preserve"> </w:t>
      </w:r>
      <w:r>
        <w:rPr>
          <w:rtl/>
        </w:rPr>
        <w:t>-</w:t>
      </w:r>
      <w:r w:rsidR="00054A22">
        <w:rPr>
          <w:rFonts w:hint="cs"/>
          <w:rtl/>
        </w:rPr>
        <w:tab/>
      </w:r>
      <w:r w:rsidR="006F53C8">
        <w:rPr>
          <w:rFonts w:hint="cs"/>
          <w:rtl/>
        </w:rPr>
        <w:t xml:space="preserve">يرجى ذكر </w:t>
      </w:r>
      <w:r>
        <w:rPr>
          <w:rtl/>
        </w:rPr>
        <w:t xml:space="preserve">المرحلة التي بلغتها المبادرة الرامية إلى توقيع اتفاق مع السوق المشتركة </w:t>
      </w:r>
      <w:r w:rsidR="006F53C8">
        <w:rPr>
          <w:rFonts w:hint="cs"/>
          <w:rtl/>
        </w:rPr>
        <w:t xml:space="preserve">للجنوب </w:t>
      </w:r>
      <w:r>
        <w:rPr>
          <w:rtl/>
        </w:rPr>
        <w:t>للعمل على نحو منسق من أجل القضاء على أعمال الاتجار بالنساء وتهريبهن لأغراض البغاء (الفقرة 127)، وما إن كان من المعتزم اتخاذ مبادرات من هذا القبيل بالاشتراك مع بلدان أخرى في منطقة الأنديز.</w:t>
      </w:r>
    </w:p>
    <w:p w:rsidR="00F106B6" w:rsidRDefault="00F106B6" w:rsidP="006F53C8">
      <w:pPr>
        <w:pStyle w:val="SingleTxt"/>
        <w:rPr>
          <w:rtl/>
        </w:rPr>
      </w:pPr>
      <w:r>
        <w:rPr>
          <w:rtl/>
        </w:rPr>
        <w:t>13</w:t>
      </w:r>
      <w:r w:rsidR="006F53C8">
        <w:rPr>
          <w:rFonts w:hint="cs"/>
          <w:rtl/>
        </w:rPr>
        <w:t xml:space="preserve"> </w:t>
      </w:r>
      <w:r>
        <w:rPr>
          <w:rtl/>
        </w:rPr>
        <w:t>-</w:t>
      </w:r>
      <w:r w:rsidR="006F53C8">
        <w:rPr>
          <w:rFonts w:hint="cs"/>
          <w:rtl/>
        </w:rPr>
        <w:tab/>
      </w:r>
      <w:r>
        <w:rPr>
          <w:rtl/>
        </w:rPr>
        <w:t xml:space="preserve">ترد إشارة في التقرير إلى دراسة عن </w:t>
      </w:r>
      <w:r w:rsidR="006F53C8">
        <w:rPr>
          <w:rFonts w:hint="cs"/>
          <w:rtl/>
        </w:rPr>
        <w:t>الاتجار ب</w:t>
      </w:r>
      <w:r>
        <w:rPr>
          <w:rtl/>
        </w:rPr>
        <w:t xml:space="preserve">الطفلات والمراهقات أجرتها الهيئة الدولية للدفاع عن الطفولة في عام 1968. </w:t>
      </w:r>
      <w:r w:rsidR="006F53C8">
        <w:rPr>
          <w:rFonts w:hint="cs"/>
          <w:rtl/>
        </w:rPr>
        <w:t xml:space="preserve">يرجى ذكر </w:t>
      </w:r>
      <w:r>
        <w:rPr>
          <w:rtl/>
        </w:rPr>
        <w:t xml:space="preserve">ما إذا كانت </w:t>
      </w:r>
      <w:r w:rsidR="006F53C8">
        <w:rPr>
          <w:rFonts w:hint="cs"/>
          <w:rtl/>
        </w:rPr>
        <w:t>قد أ</w:t>
      </w:r>
      <w:r>
        <w:rPr>
          <w:rtl/>
        </w:rPr>
        <w:t>جريت دراسات أخرى بشأن هذا الموضوع وما إذا كان من المعتزم إنشاء آلية دائمة لرصد المعلومات. وترد في الفقرة 113 إشارة إلى وجود قانون قيد الصياغة لمكافحة الاتجار بالأطفال. يرجى تقديم معلومات عن عملية مناقشته وإقراره.</w:t>
      </w:r>
    </w:p>
    <w:p w:rsidR="00F106B6" w:rsidRDefault="00F106B6" w:rsidP="006F53C8">
      <w:pPr>
        <w:pStyle w:val="SingleTxt"/>
        <w:rPr>
          <w:rtl/>
        </w:rPr>
      </w:pPr>
      <w:r>
        <w:rPr>
          <w:rtl/>
        </w:rPr>
        <w:t>14</w:t>
      </w:r>
      <w:r w:rsidR="006F53C8">
        <w:rPr>
          <w:rFonts w:hint="cs"/>
          <w:rtl/>
        </w:rPr>
        <w:t xml:space="preserve"> </w:t>
      </w:r>
      <w:r>
        <w:rPr>
          <w:rtl/>
        </w:rPr>
        <w:t>-</w:t>
      </w:r>
      <w:r w:rsidR="006F53C8">
        <w:rPr>
          <w:rFonts w:hint="cs"/>
          <w:rtl/>
        </w:rPr>
        <w:tab/>
      </w:r>
      <w:r>
        <w:rPr>
          <w:rtl/>
        </w:rPr>
        <w:t xml:space="preserve">يرد في التقرير أن هناك </w:t>
      </w:r>
      <w:r w:rsidR="006F53C8">
        <w:rPr>
          <w:rFonts w:hint="cs"/>
          <w:rtl/>
        </w:rPr>
        <w:t xml:space="preserve">تشريعا قيد الصياغة </w:t>
      </w:r>
      <w:r>
        <w:rPr>
          <w:rtl/>
        </w:rPr>
        <w:t xml:space="preserve">بشأن النساء اللائي يمارسن البغاء </w:t>
      </w:r>
      <w:r w:rsidR="006F53C8">
        <w:rPr>
          <w:rtl/>
        </w:rPr>
        <w:t>(الفقرة</w:t>
      </w:r>
      <w:r w:rsidR="006F53C8">
        <w:rPr>
          <w:rFonts w:hint="cs"/>
          <w:rtl/>
        </w:rPr>
        <w:t> </w:t>
      </w:r>
      <w:r>
        <w:rPr>
          <w:rtl/>
        </w:rPr>
        <w:t xml:space="preserve">27). </w:t>
      </w:r>
      <w:r w:rsidR="006F53C8">
        <w:rPr>
          <w:rFonts w:hint="cs"/>
          <w:rtl/>
        </w:rPr>
        <w:t xml:space="preserve">يرجى تقديم </w:t>
      </w:r>
      <w:r>
        <w:rPr>
          <w:rtl/>
        </w:rPr>
        <w:t>مزيد</w:t>
      </w:r>
      <w:r w:rsidR="006F53C8">
        <w:rPr>
          <w:rtl/>
        </w:rPr>
        <w:t xml:space="preserve"> من المعلومات بشأن هذا التشريع </w:t>
      </w:r>
      <w:r w:rsidR="006F53C8">
        <w:rPr>
          <w:rFonts w:hint="cs"/>
          <w:rtl/>
        </w:rPr>
        <w:t xml:space="preserve">وهل لكم أن تذكروا </w:t>
      </w:r>
      <w:r>
        <w:rPr>
          <w:rtl/>
        </w:rPr>
        <w:t>كذلك الجهود المب</w:t>
      </w:r>
      <w:r w:rsidR="006F53C8">
        <w:rPr>
          <w:rtl/>
        </w:rPr>
        <w:t xml:space="preserve">ذولة لتحديد أسباب هذه الظاهرة، </w:t>
      </w:r>
      <w:r w:rsidR="006F53C8">
        <w:rPr>
          <w:rFonts w:hint="cs"/>
          <w:rtl/>
        </w:rPr>
        <w:t xml:space="preserve">إلى جانب </w:t>
      </w:r>
      <w:r>
        <w:rPr>
          <w:rtl/>
        </w:rPr>
        <w:t>تحديد السمات المميزة للنساء اللاتي يمارسن البغاء (العمر، الأصل الإثني، وما إلى ذلك). و</w:t>
      </w:r>
      <w:r w:rsidR="006F53C8">
        <w:rPr>
          <w:rFonts w:hint="cs"/>
          <w:rtl/>
        </w:rPr>
        <w:t xml:space="preserve">يرجى أيضا بيان </w:t>
      </w:r>
      <w:r>
        <w:rPr>
          <w:rtl/>
        </w:rPr>
        <w:t>مدى علاقة البحث المشار إليه في الفقرة 126 من التقرير بهذه الأمور.</w:t>
      </w:r>
    </w:p>
    <w:p w:rsidR="00B26753" w:rsidRPr="00B26753" w:rsidRDefault="00B26753" w:rsidP="00B2675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106B6" w:rsidRDefault="006F53C8" w:rsidP="006F53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106B6">
        <w:rPr>
          <w:rtl/>
        </w:rPr>
        <w:t>القوالب النمطية والتعليم</w:t>
      </w:r>
    </w:p>
    <w:p w:rsidR="00F106B6" w:rsidRDefault="00F106B6" w:rsidP="006F53C8">
      <w:pPr>
        <w:pStyle w:val="SingleTxt"/>
        <w:rPr>
          <w:rtl/>
        </w:rPr>
      </w:pPr>
      <w:r>
        <w:rPr>
          <w:rtl/>
        </w:rPr>
        <w:t>15</w:t>
      </w:r>
      <w:r w:rsidR="006F53C8">
        <w:rPr>
          <w:rFonts w:hint="cs"/>
          <w:rtl/>
        </w:rPr>
        <w:t xml:space="preserve"> </w:t>
      </w:r>
      <w:r>
        <w:rPr>
          <w:rtl/>
        </w:rPr>
        <w:t>-</w:t>
      </w:r>
      <w:r w:rsidR="006F53C8">
        <w:rPr>
          <w:rFonts w:hint="cs"/>
          <w:rtl/>
        </w:rPr>
        <w:tab/>
      </w:r>
      <w:r>
        <w:rPr>
          <w:rtl/>
        </w:rPr>
        <w:t xml:space="preserve">تستحق الجهود المبذولة </w:t>
      </w:r>
      <w:r w:rsidR="006F53C8">
        <w:rPr>
          <w:rFonts w:hint="cs"/>
          <w:rtl/>
        </w:rPr>
        <w:t>ا</w:t>
      </w:r>
      <w:r>
        <w:rPr>
          <w:rtl/>
        </w:rPr>
        <w:t xml:space="preserve">نطلاقا من إصلاح التعليم </w:t>
      </w:r>
      <w:r w:rsidR="006F53C8">
        <w:rPr>
          <w:rFonts w:hint="cs"/>
          <w:rtl/>
        </w:rPr>
        <w:t xml:space="preserve">كثيرا من الثناء </w:t>
      </w:r>
      <w:r>
        <w:rPr>
          <w:rtl/>
        </w:rPr>
        <w:t>حيث أنها تعمم موضوع المساواة بين الجنسين (الفقرة 83 من التقرير). يرجى تقديم المؤشرات التي تبين أثرها وبيان التدابير الأخرى التي اتخذت للقضاء على القوالب النمطية والأنماط الثقافية الجاهزة التمييزية ضد المرأة، وبيان ما إذا كانت توجد من بين تلك التدابير مبادرات تشرك وسائط الإعلام.</w:t>
      </w:r>
    </w:p>
    <w:p w:rsidR="00F106B6" w:rsidRDefault="00F106B6" w:rsidP="006F53C8">
      <w:pPr>
        <w:pStyle w:val="SingleTxt"/>
        <w:rPr>
          <w:rtl/>
        </w:rPr>
      </w:pPr>
      <w:r>
        <w:rPr>
          <w:rtl/>
        </w:rPr>
        <w:t>16</w:t>
      </w:r>
      <w:r w:rsidR="006F53C8">
        <w:rPr>
          <w:rFonts w:hint="cs"/>
          <w:rtl/>
        </w:rPr>
        <w:t xml:space="preserve"> </w:t>
      </w:r>
      <w:r>
        <w:rPr>
          <w:rtl/>
        </w:rPr>
        <w:t>-</w:t>
      </w:r>
      <w:r w:rsidR="006F53C8">
        <w:rPr>
          <w:rFonts w:hint="cs"/>
          <w:rtl/>
        </w:rPr>
        <w:tab/>
      </w:r>
      <w:r>
        <w:rPr>
          <w:rtl/>
        </w:rPr>
        <w:t xml:space="preserve">يرد في التقرير أن التمييز ضد المرأة في مجال التعليم </w:t>
      </w:r>
      <w:r w:rsidR="006F53C8">
        <w:rPr>
          <w:rFonts w:hint="cs"/>
          <w:rtl/>
        </w:rPr>
        <w:t xml:space="preserve">في بوليفيا ينعكس </w:t>
      </w:r>
      <w:r>
        <w:rPr>
          <w:rtl/>
        </w:rPr>
        <w:t xml:space="preserve">في فرص التحاقها بالتعليم وإنما في استمرارها فيه (الفقرة 88). </w:t>
      </w:r>
      <w:r w:rsidR="006F53C8">
        <w:rPr>
          <w:rFonts w:hint="cs"/>
          <w:rtl/>
        </w:rPr>
        <w:t xml:space="preserve">يرجى ذكر </w:t>
      </w:r>
      <w:r>
        <w:rPr>
          <w:rtl/>
        </w:rPr>
        <w:t xml:space="preserve">ما إذا كانت </w:t>
      </w:r>
      <w:r w:rsidR="006F53C8">
        <w:rPr>
          <w:rFonts w:hint="cs"/>
          <w:rtl/>
        </w:rPr>
        <w:t xml:space="preserve">قد </w:t>
      </w:r>
      <w:r>
        <w:rPr>
          <w:rtl/>
        </w:rPr>
        <w:t>أجريت دراسات تحدد وتحلل أسباب تدنى معدل استم</w:t>
      </w:r>
      <w:r w:rsidR="00B26753">
        <w:rPr>
          <w:rtl/>
        </w:rPr>
        <w:t>رار الطفلات والشابات في التعليم</w:t>
      </w:r>
      <w:r>
        <w:rPr>
          <w:rtl/>
        </w:rPr>
        <w:t>، و</w:t>
      </w:r>
      <w:r w:rsidR="006F53C8">
        <w:rPr>
          <w:rFonts w:hint="cs"/>
          <w:rtl/>
        </w:rPr>
        <w:t>يرجى تقديم</w:t>
      </w:r>
      <w:r>
        <w:rPr>
          <w:rtl/>
        </w:rPr>
        <w:t xml:space="preserve"> نتائج هذه الدر</w:t>
      </w:r>
      <w:r w:rsidR="006F53C8">
        <w:rPr>
          <w:rFonts w:hint="cs"/>
          <w:rtl/>
        </w:rPr>
        <w:t>ا</w:t>
      </w:r>
      <w:r>
        <w:rPr>
          <w:rtl/>
        </w:rPr>
        <w:t>سات، إن وجدت</w:t>
      </w:r>
      <w:r w:rsidR="006F53C8">
        <w:rPr>
          <w:rFonts w:hint="cs"/>
          <w:rtl/>
        </w:rPr>
        <w:t>،</w:t>
      </w:r>
      <w:r>
        <w:rPr>
          <w:rtl/>
        </w:rPr>
        <w:t xml:space="preserve"> </w:t>
      </w:r>
      <w:r w:rsidR="006F53C8">
        <w:rPr>
          <w:rFonts w:hint="cs"/>
          <w:rtl/>
        </w:rPr>
        <w:t xml:space="preserve">إلى جانب تقديم بيانات إحصائية بشأن الحالات </w:t>
      </w:r>
      <w:r>
        <w:rPr>
          <w:rtl/>
        </w:rPr>
        <w:t xml:space="preserve">موزعة حسب نوع الجنس، ومعدلي الاستمرار والتسرب المدرسي حسب الأعمار، ومراحل التعليم، والمناطق الريفية، والمناطق الحضرية، </w:t>
      </w:r>
      <w:r w:rsidR="006F53C8">
        <w:rPr>
          <w:rFonts w:hint="cs"/>
          <w:rtl/>
        </w:rPr>
        <w:t xml:space="preserve">مع ذكر </w:t>
      </w:r>
      <w:r>
        <w:rPr>
          <w:rtl/>
        </w:rPr>
        <w:t>الأسباب الرئيسية للتسرب المدرسي بالنسبة للطفلات والشابات.</w:t>
      </w:r>
    </w:p>
    <w:p w:rsidR="00F106B6" w:rsidRDefault="00F106B6" w:rsidP="006F53C8">
      <w:pPr>
        <w:pStyle w:val="SingleTxt"/>
        <w:rPr>
          <w:rtl/>
        </w:rPr>
      </w:pPr>
      <w:r>
        <w:rPr>
          <w:rtl/>
        </w:rPr>
        <w:t>17</w:t>
      </w:r>
      <w:r w:rsidR="006F53C8">
        <w:rPr>
          <w:rFonts w:hint="cs"/>
          <w:rtl/>
        </w:rPr>
        <w:t xml:space="preserve"> </w:t>
      </w:r>
      <w:r>
        <w:rPr>
          <w:rtl/>
        </w:rPr>
        <w:t>-</w:t>
      </w:r>
      <w:r w:rsidR="006F53C8">
        <w:rPr>
          <w:rFonts w:hint="cs"/>
          <w:rtl/>
        </w:rPr>
        <w:tab/>
        <w:t xml:space="preserve">يرجى تقديم بيانات </w:t>
      </w:r>
      <w:r>
        <w:rPr>
          <w:rtl/>
        </w:rPr>
        <w:t xml:space="preserve">بشأن عدد المسجلين في الدراسات الجامعية وعدد المواظبين والذين </w:t>
      </w:r>
      <w:r w:rsidR="006F53C8">
        <w:rPr>
          <w:rFonts w:hint="cs"/>
          <w:rtl/>
        </w:rPr>
        <w:t xml:space="preserve">يتمون </w:t>
      </w:r>
      <w:r>
        <w:rPr>
          <w:rtl/>
        </w:rPr>
        <w:t>تعليمهم</w:t>
      </w:r>
      <w:r w:rsidR="006F53C8">
        <w:rPr>
          <w:rFonts w:hint="cs"/>
          <w:rtl/>
        </w:rPr>
        <w:t>،</w:t>
      </w:r>
      <w:r>
        <w:rPr>
          <w:rtl/>
        </w:rPr>
        <w:t xml:space="preserve"> موزعة حسب نوع الجنس وال</w:t>
      </w:r>
      <w:r w:rsidR="006F53C8">
        <w:rPr>
          <w:rFonts w:hint="cs"/>
          <w:rtl/>
        </w:rPr>
        <w:t>تخصصات</w:t>
      </w:r>
      <w:r>
        <w:rPr>
          <w:rtl/>
        </w:rPr>
        <w:t xml:space="preserve">، وبيانات </w:t>
      </w:r>
      <w:r w:rsidR="006F53C8">
        <w:rPr>
          <w:rFonts w:hint="cs"/>
          <w:rtl/>
        </w:rPr>
        <w:t xml:space="preserve">حديثة </w:t>
      </w:r>
      <w:r>
        <w:rPr>
          <w:rtl/>
        </w:rPr>
        <w:t>عن الإحصاءات والمؤشرات المدرجة في التقرير التي يعود تا</w:t>
      </w:r>
      <w:r w:rsidR="006F53C8">
        <w:rPr>
          <w:rtl/>
        </w:rPr>
        <w:t>ريخها إلى عام 2001 فقط وإلى عام</w:t>
      </w:r>
      <w:r w:rsidR="006F53C8">
        <w:rPr>
          <w:rFonts w:hint="cs"/>
          <w:rtl/>
        </w:rPr>
        <w:t> </w:t>
      </w:r>
      <w:r>
        <w:rPr>
          <w:rtl/>
        </w:rPr>
        <w:t>2002 في بعض الحالات.</w:t>
      </w:r>
    </w:p>
    <w:p w:rsidR="00B26753" w:rsidRPr="00B26753" w:rsidRDefault="00B26753" w:rsidP="00B2675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106B6" w:rsidRDefault="006F53C8" w:rsidP="006F53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106B6">
        <w:rPr>
          <w:rtl/>
        </w:rPr>
        <w:t>الحياة السياسية والحياة العامة</w:t>
      </w:r>
    </w:p>
    <w:p w:rsidR="00F106B6" w:rsidRDefault="00F106B6" w:rsidP="006F53C8">
      <w:pPr>
        <w:pStyle w:val="SingleTxt"/>
        <w:rPr>
          <w:rtl/>
        </w:rPr>
      </w:pPr>
      <w:r>
        <w:rPr>
          <w:rtl/>
        </w:rPr>
        <w:t>18</w:t>
      </w:r>
      <w:r w:rsidR="006F53C8">
        <w:rPr>
          <w:rFonts w:hint="cs"/>
          <w:rtl/>
        </w:rPr>
        <w:t xml:space="preserve"> </w:t>
      </w:r>
      <w:r>
        <w:rPr>
          <w:rtl/>
        </w:rPr>
        <w:t>-</w:t>
      </w:r>
      <w:r w:rsidR="006F53C8">
        <w:rPr>
          <w:rFonts w:hint="cs"/>
          <w:rtl/>
        </w:rPr>
        <w:tab/>
      </w:r>
      <w:r>
        <w:rPr>
          <w:rtl/>
        </w:rPr>
        <w:t xml:space="preserve">يرد في التقرير أنه قد تم إقرار قانون الأحزاب السياسية الذي ينص على </w:t>
      </w:r>
      <w:r w:rsidR="006F53C8">
        <w:rPr>
          <w:rFonts w:hint="cs"/>
          <w:rtl/>
        </w:rPr>
        <w:t>أ</w:t>
      </w:r>
      <w:r>
        <w:rPr>
          <w:rtl/>
        </w:rPr>
        <w:t>لا تقل نسبة مشاركة المرأة عن 30 في المائة، وأنه تم في عام 2004 إقرار</w:t>
      </w:r>
      <w:r w:rsidR="00B26753">
        <w:rPr>
          <w:rFonts w:hint="cs"/>
          <w:rtl/>
        </w:rPr>
        <w:t xml:space="preserve"> </w:t>
      </w:r>
      <w:r>
        <w:rPr>
          <w:rtl/>
        </w:rPr>
        <w:t xml:space="preserve">”قانون تجمعات المواطنين والسكان الأصليين“ (الفقرة 33)، وأنه </w:t>
      </w:r>
      <w:r w:rsidR="006F53C8">
        <w:rPr>
          <w:rFonts w:hint="cs"/>
          <w:rtl/>
        </w:rPr>
        <w:t>”</w:t>
      </w:r>
      <w:r>
        <w:rPr>
          <w:rtl/>
        </w:rPr>
        <w:t xml:space="preserve">لم يتسنَّ </w:t>
      </w:r>
      <w:r w:rsidR="006F53C8">
        <w:rPr>
          <w:rFonts w:hint="cs"/>
          <w:rtl/>
        </w:rPr>
        <w:t xml:space="preserve">حتى الآن </w:t>
      </w:r>
      <w:r>
        <w:rPr>
          <w:rtl/>
        </w:rPr>
        <w:t>بلوغ الهدفين المحددين بشأن نسبتي الــ 30 و 50 في المائ</w:t>
      </w:r>
      <w:r w:rsidR="006F53C8">
        <w:rPr>
          <w:rFonts w:hint="cs"/>
          <w:rtl/>
        </w:rPr>
        <w:t>ة</w:t>
      </w:r>
      <w:r>
        <w:rPr>
          <w:rtl/>
        </w:rPr>
        <w:t>‘‘</w:t>
      </w:r>
      <w:r w:rsidR="006F53C8">
        <w:rPr>
          <w:rFonts w:hint="cs"/>
          <w:rtl/>
        </w:rPr>
        <w:t xml:space="preserve"> </w:t>
      </w:r>
      <w:r>
        <w:rPr>
          <w:rtl/>
        </w:rPr>
        <w:t xml:space="preserve">(الفقرة 34). </w:t>
      </w:r>
      <w:r w:rsidR="006F53C8">
        <w:rPr>
          <w:rFonts w:hint="cs"/>
          <w:rtl/>
        </w:rPr>
        <w:t xml:space="preserve">يرجى ذكر أسباب </w:t>
      </w:r>
      <w:r>
        <w:rPr>
          <w:rtl/>
        </w:rPr>
        <w:t>عدم بلوغ النسبتين و</w:t>
      </w:r>
      <w:r w:rsidR="006F53C8">
        <w:rPr>
          <w:rFonts w:hint="cs"/>
          <w:rtl/>
        </w:rPr>
        <w:t xml:space="preserve">كذلك تقديم </w:t>
      </w:r>
      <w:r>
        <w:rPr>
          <w:rtl/>
        </w:rPr>
        <w:t xml:space="preserve">معلومات عما اتخذ من تدابير لزيادة مشاركة النساء بمن فيهن نساء الشعوب الأصلية. </w:t>
      </w:r>
      <w:r w:rsidR="006F53C8">
        <w:rPr>
          <w:rFonts w:hint="cs"/>
          <w:rtl/>
        </w:rPr>
        <w:t xml:space="preserve">يرجى أيضا تقديم </w:t>
      </w:r>
      <w:r>
        <w:rPr>
          <w:rtl/>
        </w:rPr>
        <w:t xml:space="preserve">معلومات عن أثر القانون والجهود المبذولة لتنفيذه فضلا عن بيانات </w:t>
      </w:r>
      <w:r w:rsidR="006F53C8">
        <w:rPr>
          <w:rFonts w:hint="cs"/>
          <w:rtl/>
        </w:rPr>
        <w:t xml:space="preserve">حديثة </w:t>
      </w:r>
      <w:r>
        <w:rPr>
          <w:rtl/>
        </w:rPr>
        <w:t>بش</w:t>
      </w:r>
      <w:r w:rsidR="006F53C8">
        <w:rPr>
          <w:rFonts w:hint="cs"/>
          <w:rtl/>
        </w:rPr>
        <w:t>أ</w:t>
      </w:r>
      <w:r>
        <w:rPr>
          <w:rtl/>
        </w:rPr>
        <w:t xml:space="preserve">ن تمثيل المرأة في جهازي الحكم الوطني والمحلي، </w:t>
      </w:r>
      <w:r w:rsidR="006F53C8">
        <w:rPr>
          <w:rFonts w:hint="cs"/>
          <w:rtl/>
        </w:rPr>
        <w:t xml:space="preserve">بما في ذلك </w:t>
      </w:r>
      <w:r>
        <w:rPr>
          <w:rtl/>
        </w:rPr>
        <w:t>تمثيل المرأة من نساء الشعوب الأصلية.</w:t>
      </w:r>
    </w:p>
    <w:p w:rsidR="00F106B6" w:rsidRDefault="00F106B6" w:rsidP="006F53C8">
      <w:pPr>
        <w:pStyle w:val="SingleTxt"/>
        <w:rPr>
          <w:rtl/>
        </w:rPr>
      </w:pPr>
      <w:r>
        <w:rPr>
          <w:rtl/>
        </w:rPr>
        <w:t>19</w:t>
      </w:r>
      <w:r w:rsidR="006F53C8">
        <w:rPr>
          <w:rFonts w:hint="cs"/>
          <w:rtl/>
        </w:rPr>
        <w:t xml:space="preserve"> </w:t>
      </w:r>
      <w:r>
        <w:rPr>
          <w:rtl/>
        </w:rPr>
        <w:t>-</w:t>
      </w:r>
      <w:r w:rsidR="006F53C8">
        <w:rPr>
          <w:rFonts w:hint="cs"/>
          <w:rtl/>
        </w:rPr>
        <w:tab/>
      </w:r>
      <w:r>
        <w:rPr>
          <w:rtl/>
        </w:rPr>
        <w:t>يرد في التقرير أن بعض أسباب عدم التحاق ا</w:t>
      </w:r>
      <w:r w:rsidR="006F53C8">
        <w:rPr>
          <w:rtl/>
        </w:rPr>
        <w:t>لمرأة بمناصب سياسية تعزى إلى ’’</w:t>
      </w:r>
      <w:r>
        <w:rPr>
          <w:rtl/>
        </w:rPr>
        <w:t>ظروف العمل السيئة وعبء الأعمال المنزلية‘‘</w:t>
      </w:r>
      <w:r w:rsidR="006F53C8">
        <w:rPr>
          <w:rFonts w:hint="cs"/>
          <w:rtl/>
        </w:rPr>
        <w:t xml:space="preserve"> </w:t>
      </w:r>
      <w:r>
        <w:rPr>
          <w:rtl/>
        </w:rPr>
        <w:t>(الفقرة 155). وترد في التقرير أيضا إشارة إلى حالات ’’أرغمت وأجبرت فيها المرأة على التنحي‘‘</w:t>
      </w:r>
      <w:r w:rsidR="006F53C8">
        <w:rPr>
          <w:rFonts w:hint="cs"/>
          <w:rtl/>
        </w:rPr>
        <w:t xml:space="preserve"> </w:t>
      </w:r>
      <w:r>
        <w:rPr>
          <w:rtl/>
        </w:rPr>
        <w:t>(ويتصل هذا الأمر بما يسمى ’’التحرش السياسي‘‘ (الفقرة 156).</w:t>
      </w:r>
      <w:r w:rsidR="006F53C8">
        <w:rPr>
          <w:rFonts w:hint="cs"/>
          <w:rtl/>
        </w:rPr>
        <w:t xml:space="preserve"> يرجى ذكر </w:t>
      </w:r>
      <w:r>
        <w:rPr>
          <w:rtl/>
        </w:rPr>
        <w:t>التدابير التي اتخذت أو المعتزم اتخاذها في هذا الصدد.</w:t>
      </w:r>
    </w:p>
    <w:p w:rsidR="006F53C8" w:rsidRPr="006F53C8" w:rsidRDefault="006F53C8" w:rsidP="006F53C8">
      <w:pPr>
        <w:pStyle w:val="SingleTxt"/>
        <w:spacing w:after="0" w:line="120" w:lineRule="exact"/>
        <w:rPr>
          <w:sz w:val="10"/>
          <w:rtl/>
        </w:rPr>
      </w:pPr>
    </w:p>
    <w:p w:rsidR="00F106B6" w:rsidRDefault="006F53C8" w:rsidP="006F53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106B6">
        <w:rPr>
          <w:rtl/>
        </w:rPr>
        <w:t>فرص العمل</w:t>
      </w:r>
    </w:p>
    <w:p w:rsidR="00F106B6" w:rsidRDefault="00F106B6" w:rsidP="006F53C8">
      <w:pPr>
        <w:pStyle w:val="SingleTxt"/>
        <w:rPr>
          <w:rtl/>
        </w:rPr>
      </w:pPr>
      <w:r>
        <w:rPr>
          <w:rtl/>
        </w:rPr>
        <w:t>20</w:t>
      </w:r>
      <w:r w:rsidR="006F53C8">
        <w:rPr>
          <w:rFonts w:hint="cs"/>
          <w:rtl/>
        </w:rPr>
        <w:t xml:space="preserve"> </w:t>
      </w:r>
      <w:r>
        <w:rPr>
          <w:rtl/>
        </w:rPr>
        <w:t>-</w:t>
      </w:r>
      <w:r w:rsidR="006F53C8">
        <w:rPr>
          <w:rFonts w:hint="cs"/>
          <w:rtl/>
        </w:rPr>
        <w:tab/>
      </w:r>
      <w:r>
        <w:rPr>
          <w:rtl/>
        </w:rPr>
        <w:t>تعرض الفقرات 208-218 التشريعات القائمة في مجال العمل. ويرد أيضا في التقرير أن المؤسسات لا تلتزم بالمادتين 56 و</w:t>
      </w:r>
      <w:r w:rsidR="00B26753">
        <w:rPr>
          <w:rFonts w:hint="cs"/>
          <w:rtl/>
        </w:rPr>
        <w:t xml:space="preserve"> </w:t>
      </w:r>
      <w:r>
        <w:rPr>
          <w:rtl/>
        </w:rPr>
        <w:t>57 من المرسوم التنظيمي للقانون المتعلق بترتيبات إنشاء دور حضانة (الفقرة 213). يرجى ذكر الإجراءات المتخذة لتأمين الامتثال لقوانين العمل وذكر ما إن كانت هناك آليات رقابية، والجزاءات المنطبقة في حالة عدم احترام القوانين، والقضايا التي عرضت على القضاء.</w:t>
      </w:r>
    </w:p>
    <w:p w:rsidR="00F106B6" w:rsidRDefault="00F106B6" w:rsidP="006F53C8">
      <w:pPr>
        <w:pStyle w:val="SingleTxt"/>
        <w:rPr>
          <w:rtl/>
        </w:rPr>
      </w:pPr>
      <w:r>
        <w:rPr>
          <w:rtl/>
        </w:rPr>
        <w:t>21</w:t>
      </w:r>
      <w:r w:rsidR="006F53C8">
        <w:rPr>
          <w:rFonts w:hint="cs"/>
          <w:rtl/>
        </w:rPr>
        <w:t xml:space="preserve"> </w:t>
      </w:r>
      <w:r>
        <w:rPr>
          <w:rtl/>
        </w:rPr>
        <w:t>-</w:t>
      </w:r>
      <w:r w:rsidR="006F53C8">
        <w:rPr>
          <w:rFonts w:hint="cs"/>
          <w:rtl/>
        </w:rPr>
        <w:tab/>
        <w:t xml:space="preserve">يرجى تقديم </w:t>
      </w:r>
      <w:r>
        <w:rPr>
          <w:rtl/>
        </w:rPr>
        <w:t xml:space="preserve">معلومات بشأن انتشار التحرش الجنسي في القطاع العام والقطاع الخاص. وكذلك </w:t>
      </w:r>
      <w:r w:rsidR="006F53C8">
        <w:rPr>
          <w:rFonts w:hint="cs"/>
          <w:rtl/>
        </w:rPr>
        <w:t xml:space="preserve">تقديم </w:t>
      </w:r>
      <w:r>
        <w:rPr>
          <w:rtl/>
        </w:rPr>
        <w:t xml:space="preserve">معلومات، إن وجدت، بشأن ما إن كانت هناك خطة لاعتماد تشريعات وبرامج </w:t>
      </w:r>
      <w:r w:rsidR="006F53C8">
        <w:rPr>
          <w:rFonts w:hint="cs"/>
          <w:rtl/>
        </w:rPr>
        <w:t>ل</w:t>
      </w:r>
      <w:r>
        <w:rPr>
          <w:rtl/>
        </w:rPr>
        <w:t>مكافحته.</w:t>
      </w:r>
    </w:p>
    <w:p w:rsidR="00F106B6" w:rsidRDefault="00F106B6" w:rsidP="004A1202">
      <w:pPr>
        <w:pStyle w:val="SingleTxt"/>
        <w:rPr>
          <w:rtl/>
        </w:rPr>
      </w:pPr>
      <w:r>
        <w:rPr>
          <w:rtl/>
        </w:rPr>
        <w:t>22</w:t>
      </w:r>
      <w:r w:rsidR="006F53C8">
        <w:rPr>
          <w:rFonts w:hint="cs"/>
          <w:rtl/>
        </w:rPr>
        <w:t xml:space="preserve"> </w:t>
      </w:r>
      <w:r>
        <w:rPr>
          <w:rtl/>
        </w:rPr>
        <w:t>-</w:t>
      </w:r>
      <w:r w:rsidR="006F53C8">
        <w:rPr>
          <w:rFonts w:hint="cs"/>
          <w:rtl/>
        </w:rPr>
        <w:tab/>
      </w:r>
      <w:r>
        <w:rPr>
          <w:rtl/>
        </w:rPr>
        <w:t>يصف التقرير مختلف أشكال التمييز التي تستهدف المرأة البوليفية في مجال العمل (</w:t>
      </w:r>
      <w:r w:rsidR="006F53C8">
        <w:rPr>
          <w:rFonts w:hint="cs"/>
          <w:rtl/>
        </w:rPr>
        <w:t xml:space="preserve">مثلا، </w:t>
      </w:r>
      <w:r>
        <w:rPr>
          <w:rtl/>
        </w:rPr>
        <w:t>على مستوى الأجور</w:t>
      </w:r>
      <w:r w:rsidR="00B26753">
        <w:rPr>
          <w:rFonts w:hint="cs"/>
          <w:rtl/>
        </w:rPr>
        <w:t>)</w:t>
      </w:r>
      <w:r>
        <w:rPr>
          <w:rtl/>
        </w:rPr>
        <w:t xml:space="preserve"> (الفقرة</w:t>
      </w:r>
      <w:r w:rsidR="00B26753">
        <w:rPr>
          <w:rFonts w:hint="cs"/>
          <w:rtl/>
        </w:rPr>
        <w:t xml:space="preserve"> </w:t>
      </w:r>
      <w:r w:rsidR="006F53C8">
        <w:rPr>
          <w:rFonts w:hint="cs"/>
          <w:rtl/>
        </w:rPr>
        <w:t>236</w:t>
      </w:r>
      <w:r>
        <w:rPr>
          <w:rtl/>
        </w:rPr>
        <w:t>)</w:t>
      </w:r>
      <w:r w:rsidR="006F53C8">
        <w:rPr>
          <w:rFonts w:hint="cs"/>
          <w:rtl/>
        </w:rPr>
        <w:t>؛</w:t>
      </w:r>
      <w:r>
        <w:rPr>
          <w:rtl/>
        </w:rPr>
        <w:t xml:space="preserve"> وفرص العمل (الفقرة 238)</w:t>
      </w:r>
      <w:r w:rsidR="006F53C8">
        <w:rPr>
          <w:rFonts w:hint="cs"/>
          <w:rtl/>
        </w:rPr>
        <w:t>؛</w:t>
      </w:r>
      <w:r>
        <w:rPr>
          <w:rtl/>
        </w:rPr>
        <w:t xml:space="preserve"> وفي تقسيم المهن بين الجنسين (الفقرة 239)؛ ووجود النساء بأعداد تفوق أعداد الرجال في القطاعات التي تكون فيها الأجور منخفضة (الفقرة 235)؛ ويشير التقرير إلى الخطة الاقتصادية الحكومية والاستراتيجية الوطنية للتنمية الزراعية والريفية باعتبارهما من </w:t>
      </w:r>
      <w:r w:rsidR="006F53C8">
        <w:rPr>
          <w:rFonts w:hint="cs"/>
          <w:rtl/>
        </w:rPr>
        <w:t>الأ</w:t>
      </w:r>
      <w:r>
        <w:rPr>
          <w:rtl/>
        </w:rPr>
        <w:t xml:space="preserve">شكال </w:t>
      </w:r>
      <w:r w:rsidR="006F53C8">
        <w:rPr>
          <w:rFonts w:hint="cs"/>
          <w:rtl/>
        </w:rPr>
        <w:t xml:space="preserve">التي يعتزم بها </w:t>
      </w:r>
      <w:r>
        <w:rPr>
          <w:rtl/>
        </w:rPr>
        <w:t xml:space="preserve">تحسين حالة وظروف المرأة. </w:t>
      </w:r>
      <w:r w:rsidR="004A1202">
        <w:rPr>
          <w:rFonts w:hint="cs"/>
          <w:rtl/>
        </w:rPr>
        <w:t xml:space="preserve">يرجى ذكر </w:t>
      </w:r>
      <w:r>
        <w:rPr>
          <w:rtl/>
        </w:rPr>
        <w:t xml:space="preserve">التدابير المعتزم اتخاذها أو التي تم اتخاذها في سياق هذه الخطط للقضاء على التمييز ضد المرأة في جميع هذه المجالات. </w:t>
      </w:r>
      <w:r w:rsidR="004A1202">
        <w:rPr>
          <w:rFonts w:hint="cs"/>
          <w:rtl/>
        </w:rPr>
        <w:t xml:space="preserve">كما يرجى تقديم </w:t>
      </w:r>
      <w:r>
        <w:rPr>
          <w:rtl/>
        </w:rPr>
        <w:t xml:space="preserve">معلومات بشأن النتائج التي </w:t>
      </w:r>
      <w:r w:rsidR="004A1202">
        <w:rPr>
          <w:rFonts w:hint="cs"/>
          <w:rtl/>
        </w:rPr>
        <w:t>ت</w:t>
      </w:r>
      <w:r>
        <w:rPr>
          <w:rtl/>
        </w:rPr>
        <w:t>حققت حتى الآن.</w:t>
      </w:r>
    </w:p>
    <w:p w:rsidR="00F106B6" w:rsidRDefault="00F106B6" w:rsidP="004A1202">
      <w:pPr>
        <w:pStyle w:val="SingleTxt"/>
        <w:rPr>
          <w:rtl/>
        </w:rPr>
      </w:pPr>
      <w:r>
        <w:rPr>
          <w:rtl/>
        </w:rPr>
        <w:t>23</w:t>
      </w:r>
      <w:r w:rsidR="004A1202">
        <w:rPr>
          <w:rFonts w:hint="cs"/>
          <w:rtl/>
        </w:rPr>
        <w:t xml:space="preserve"> </w:t>
      </w:r>
      <w:r>
        <w:rPr>
          <w:rtl/>
        </w:rPr>
        <w:t>-</w:t>
      </w:r>
      <w:r w:rsidR="004A1202">
        <w:rPr>
          <w:rFonts w:hint="cs"/>
          <w:rtl/>
        </w:rPr>
        <w:tab/>
        <w:t xml:space="preserve">يرجى تقديم مزيد </w:t>
      </w:r>
      <w:r>
        <w:rPr>
          <w:rtl/>
        </w:rPr>
        <w:t xml:space="preserve">من المعلومات عن ظروف الشابات والطفلات المشتغلات في الأعمال المنزلية. </w:t>
      </w:r>
      <w:r w:rsidR="004A1202">
        <w:rPr>
          <w:rFonts w:hint="cs"/>
          <w:rtl/>
        </w:rPr>
        <w:t xml:space="preserve">هل لكم أن تحددوا </w:t>
      </w:r>
      <w:r>
        <w:rPr>
          <w:rtl/>
        </w:rPr>
        <w:t>ما إن كانت شبكة الضمان الاجتماعي تغطي هؤلاء النساء والطفلات.</w:t>
      </w:r>
    </w:p>
    <w:p w:rsidR="004A1202" w:rsidRPr="004A1202" w:rsidRDefault="004A1202" w:rsidP="004A1202">
      <w:pPr>
        <w:pStyle w:val="SingleTxt"/>
        <w:spacing w:after="0" w:line="120" w:lineRule="exact"/>
        <w:rPr>
          <w:sz w:val="10"/>
          <w:rtl/>
        </w:rPr>
      </w:pPr>
    </w:p>
    <w:p w:rsidR="00F106B6" w:rsidRDefault="004A1202" w:rsidP="004A12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F106B6">
        <w:rPr>
          <w:rtl/>
        </w:rPr>
        <w:t>الصحة</w:t>
      </w:r>
    </w:p>
    <w:p w:rsidR="00F106B6" w:rsidRDefault="00F106B6" w:rsidP="006208D1">
      <w:pPr>
        <w:pStyle w:val="SingleTxt"/>
        <w:rPr>
          <w:rtl/>
        </w:rPr>
      </w:pPr>
      <w:r>
        <w:rPr>
          <w:rtl/>
        </w:rPr>
        <w:t>24</w:t>
      </w:r>
      <w:r w:rsidR="004A1202">
        <w:rPr>
          <w:rFonts w:hint="cs"/>
          <w:rtl/>
        </w:rPr>
        <w:t xml:space="preserve"> </w:t>
      </w:r>
      <w:r>
        <w:rPr>
          <w:rtl/>
        </w:rPr>
        <w:t>-</w:t>
      </w:r>
      <w:r w:rsidR="004A1202">
        <w:rPr>
          <w:rFonts w:hint="cs"/>
          <w:rtl/>
        </w:rPr>
        <w:tab/>
      </w:r>
      <w:r w:rsidR="006208D1">
        <w:rPr>
          <w:rFonts w:hint="cs"/>
          <w:rtl/>
        </w:rPr>
        <w:t xml:space="preserve">يرجى ذكر </w:t>
      </w:r>
      <w:r>
        <w:rPr>
          <w:rtl/>
        </w:rPr>
        <w:t>ما إذا كانت الخطط الوطنية للصحة، بما فيها البرنامج الوطني للصحة الجنسية والصحة الإنجابية، والخطة الوطنية لمكافحة سرطان عنق الرحم (2004-2008)، والخطة الوطنية لصحة المراهقين والمراهقات ونماءهم المتكامل</w:t>
      </w:r>
      <w:r w:rsidR="00B26753">
        <w:rPr>
          <w:rFonts w:hint="cs"/>
          <w:rtl/>
        </w:rPr>
        <w:t xml:space="preserve"> </w:t>
      </w:r>
      <w:r w:rsidR="00B26753">
        <w:rPr>
          <w:rtl/>
        </w:rPr>
        <w:t>(</w:t>
      </w:r>
      <w:r>
        <w:rPr>
          <w:rtl/>
        </w:rPr>
        <w:t xml:space="preserve">الفقرة 24) قد جرى تنفيذها </w:t>
      </w:r>
      <w:r w:rsidR="006208D1">
        <w:rPr>
          <w:rFonts w:hint="cs"/>
          <w:rtl/>
        </w:rPr>
        <w:t xml:space="preserve">ويرجى ذكر </w:t>
      </w:r>
      <w:r>
        <w:rPr>
          <w:rtl/>
        </w:rPr>
        <w:t xml:space="preserve">النتائج التي </w:t>
      </w:r>
      <w:r w:rsidR="006208D1">
        <w:rPr>
          <w:rFonts w:hint="cs"/>
          <w:rtl/>
        </w:rPr>
        <w:t>ت</w:t>
      </w:r>
      <w:r>
        <w:rPr>
          <w:rtl/>
        </w:rPr>
        <w:t xml:space="preserve">حققت إن </w:t>
      </w:r>
      <w:r w:rsidR="006208D1">
        <w:rPr>
          <w:rFonts w:hint="cs"/>
          <w:rtl/>
        </w:rPr>
        <w:t xml:space="preserve">كانت قد </w:t>
      </w:r>
      <w:r>
        <w:rPr>
          <w:rtl/>
        </w:rPr>
        <w:t xml:space="preserve">نفذت. </w:t>
      </w:r>
      <w:r w:rsidR="006208D1">
        <w:rPr>
          <w:rFonts w:hint="cs"/>
          <w:rtl/>
        </w:rPr>
        <w:t xml:space="preserve">هل لكم أن تقدموا مزيدا من المعلومات بشأن تغطية تلك الخطط، </w:t>
      </w:r>
      <w:r>
        <w:rPr>
          <w:rtl/>
        </w:rPr>
        <w:t xml:space="preserve">موزعة حسب المناطق الريفية والمناطق الحضرية، </w:t>
      </w:r>
      <w:r w:rsidR="006208D1">
        <w:rPr>
          <w:rFonts w:hint="cs"/>
          <w:rtl/>
        </w:rPr>
        <w:t xml:space="preserve">إلى جانب </w:t>
      </w:r>
      <w:r>
        <w:rPr>
          <w:rtl/>
        </w:rPr>
        <w:t>معلومات عن السمات المميزة للمستفيدات من تلك الخطط.</w:t>
      </w:r>
    </w:p>
    <w:p w:rsidR="00F106B6" w:rsidRDefault="00F106B6" w:rsidP="006208D1">
      <w:pPr>
        <w:pStyle w:val="SingleTxt"/>
        <w:rPr>
          <w:rtl/>
        </w:rPr>
      </w:pPr>
      <w:r>
        <w:rPr>
          <w:rtl/>
        </w:rPr>
        <w:t>25</w:t>
      </w:r>
      <w:r w:rsidR="006208D1">
        <w:rPr>
          <w:rFonts w:hint="cs"/>
          <w:rtl/>
        </w:rPr>
        <w:t xml:space="preserve"> </w:t>
      </w:r>
      <w:r>
        <w:rPr>
          <w:rtl/>
        </w:rPr>
        <w:t>-</w:t>
      </w:r>
      <w:r w:rsidR="006208D1">
        <w:rPr>
          <w:rFonts w:hint="cs"/>
          <w:rtl/>
        </w:rPr>
        <w:tab/>
        <w:t xml:space="preserve">يرجى ذكر </w:t>
      </w:r>
      <w:r>
        <w:rPr>
          <w:rtl/>
        </w:rPr>
        <w:t xml:space="preserve">ما إذا كانت أجريت تقييمات لتحديد العقبات المحتمل </w:t>
      </w:r>
      <w:r w:rsidR="006208D1">
        <w:rPr>
          <w:rFonts w:hint="cs"/>
          <w:rtl/>
        </w:rPr>
        <w:t xml:space="preserve">أن تواجهها </w:t>
      </w:r>
      <w:r>
        <w:rPr>
          <w:rtl/>
        </w:rPr>
        <w:t xml:space="preserve">المرأة للوصول إلى الخدمات، وبخاصة المرأة من سكان المناطق الريفية ونساء الشعوب الأصلية، </w:t>
      </w:r>
      <w:r w:rsidR="006208D1">
        <w:rPr>
          <w:rFonts w:hint="cs"/>
          <w:rtl/>
        </w:rPr>
        <w:t xml:space="preserve">وبيان </w:t>
      </w:r>
      <w:r>
        <w:rPr>
          <w:rtl/>
        </w:rPr>
        <w:t xml:space="preserve">ما إن كن بحاجة إلى بطاقة هوية وطنية للوصول إلى تلك الخدمات، وإذا ما كان هذا هو الحال، </w:t>
      </w:r>
      <w:r w:rsidR="006208D1">
        <w:rPr>
          <w:rFonts w:hint="cs"/>
          <w:rtl/>
        </w:rPr>
        <w:t xml:space="preserve">يرجى ذكر </w:t>
      </w:r>
      <w:r>
        <w:rPr>
          <w:rtl/>
        </w:rPr>
        <w:t>التدابير التي سيتم اتخاذها في هذا الصدد.</w:t>
      </w:r>
    </w:p>
    <w:p w:rsidR="00F106B6" w:rsidRDefault="00F106B6" w:rsidP="006208D1">
      <w:pPr>
        <w:pStyle w:val="SingleTxt"/>
        <w:rPr>
          <w:rtl/>
        </w:rPr>
      </w:pPr>
      <w:r>
        <w:rPr>
          <w:rtl/>
        </w:rPr>
        <w:t>26</w:t>
      </w:r>
      <w:r w:rsidR="006208D1">
        <w:rPr>
          <w:rFonts w:hint="cs"/>
          <w:rtl/>
        </w:rPr>
        <w:t xml:space="preserve"> </w:t>
      </w:r>
      <w:r>
        <w:rPr>
          <w:rtl/>
        </w:rPr>
        <w:t>-</w:t>
      </w:r>
      <w:r w:rsidR="006208D1">
        <w:rPr>
          <w:rFonts w:hint="cs"/>
          <w:rtl/>
        </w:rPr>
        <w:tab/>
        <w:t xml:space="preserve">يرجى ذكر </w:t>
      </w:r>
      <w:r>
        <w:rPr>
          <w:rtl/>
        </w:rPr>
        <w:t xml:space="preserve">الإجراءات التي اتخذت أو المزمع اتخاذها لتعزيز التربية الجنسية والإنجابية </w:t>
      </w:r>
      <w:r w:rsidR="006208D1">
        <w:rPr>
          <w:rFonts w:hint="cs"/>
          <w:rtl/>
        </w:rPr>
        <w:t xml:space="preserve">لمن هم في سن المراهقة، </w:t>
      </w:r>
      <w:r>
        <w:rPr>
          <w:rtl/>
        </w:rPr>
        <w:t xml:space="preserve">وبخاصة في المدارس ليتسنى تخفيض المعدلات المرتفعة لحالات الحمل بين المراهقات وانتقال </w:t>
      </w:r>
      <w:r w:rsidR="006208D1">
        <w:rPr>
          <w:rFonts w:hint="cs"/>
          <w:rtl/>
        </w:rPr>
        <w:t xml:space="preserve">الأمراض </w:t>
      </w:r>
      <w:r>
        <w:rPr>
          <w:rtl/>
        </w:rPr>
        <w:t xml:space="preserve">فضلا عن تخفيض معدل </w:t>
      </w:r>
      <w:r w:rsidR="006208D1">
        <w:rPr>
          <w:rFonts w:hint="cs"/>
          <w:rtl/>
        </w:rPr>
        <w:t>ال</w:t>
      </w:r>
      <w:r>
        <w:rPr>
          <w:rtl/>
        </w:rPr>
        <w:t xml:space="preserve">وفيات </w:t>
      </w:r>
      <w:r w:rsidR="006208D1">
        <w:rPr>
          <w:rFonts w:hint="cs"/>
          <w:rtl/>
        </w:rPr>
        <w:t xml:space="preserve">النفاسية ووفيات الأطفال حديثي الولادة </w:t>
      </w:r>
      <w:r>
        <w:rPr>
          <w:rtl/>
        </w:rPr>
        <w:t>(الفقرتان 292 و</w:t>
      </w:r>
      <w:r w:rsidR="006208D1">
        <w:rPr>
          <w:rFonts w:hint="cs"/>
          <w:rtl/>
        </w:rPr>
        <w:t xml:space="preserve"> </w:t>
      </w:r>
      <w:r>
        <w:rPr>
          <w:rtl/>
        </w:rPr>
        <w:t>296).</w:t>
      </w:r>
    </w:p>
    <w:p w:rsidR="00F106B6" w:rsidRDefault="00F106B6" w:rsidP="005D7C21">
      <w:pPr>
        <w:pStyle w:val="SingleTxt"/>
        <w:rPr>
          <w:rFonts w:hint="cs"/>
          <w:rtl/>
        </w:rPr>
      </w:pPr>
      <w:r>
        <w:rPr>
          <w:rtl/>
        </w:rPr>
        <w:t>27</w:t>
      </w:r>
      <w:r w:rsidR="006208D1">
        <w:rPr>
          <w:rFonts w:hint="cs"/>
          <w:rtl/>
        </w:rPr>
        <w:t xml:space="preserve"> </w:t>
      </w:r>
      <w:r>
        <w:rPr>
          <w:rtl/>
        </w:rPr>
        <w:t>-</w:t>
      </w:r>
      <w:r w:rsidR="006208D1">
        <w:rPr>
          <w:rFonts w:hint="cs"/>
          <w:rtl/>
        </w:rPr>
        <w:tab/>
      </w:r>
      <w:r>
        <w:rPr>
          <w:rtl/>
        </w:rPr>
        <w:t>يرجى تقديم معلومات بشأن التدابير القانونية المنصوص عليها لتجنب حالات ا</w:t>
      </w:r>
      <w:r w:rsidR="005D7C21">
        <w:rPr>
          <w:rFonts w:hint="cs"/>
          <w:rtl/>
        </w:rPr>
        <w:t>لإ</w:t>
      </w:r>
      <w:r>
        <w:rPr>
          <w:rtl/>
        </w:rPr>
        <w:t xml:space="preserve">جهاض غير القانوني وغير المأمون، وبخاصة فيما يتعلق بالنظم التي تجيز </w:t>
      </w:r>
      <w:r w:rsidR="005D7C21">
        <w:rPr>
          <w:rFonts w:hint="cs"/>
          <w:rtl/>
        </w:rPr>
        <w:t xml:space="preserve">إنهاء </w:t>
      </w:r>
      <w:r>
        <w:rPr>
          <w:rtl/>
        </w:rPr>
        <w:t>الحمل في الحالات التي يسمح فيها القانون بذلك.</w:t>
      </w:r>
    </w:p>
    <w:p w:rsidR="005D7C21" w:rsidRPr="005D7C21" w:rsidRDefault="005D7C21" w:rsidP="005D7C21">
      <w:pPr>
        <w:pStyle w:val="SingleTxt"/>
        <w:spacing w:after="0" w:line="120" w:lineRule="exact"/>
        <w:rPr>
          <w:rFonts w:hint="cs"/>
          <w:sz w:val="10"/>
          <w:rtl/>
        </w:rPr>
      </w:pPr>
    </w:p>
    <w:p w:rsidR="00F106B6" w:rsidRDefault="005D7C21" w:rsidP="006A69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106B6">
        <w:rPr>
          <w:rtl/>
        </w:rPr>
        <w:t>نساء الشعوب الأصلية و</w:t>
      </w:r>
      <w:r w:rsidR="006A6903">
        <w:rPr>
          <w:rFonts w:hint="cs"/>
          <w:rtl/>
        </w:rPr>
        <w:t>النساء الريفيات</w:t>
      </w:r>
    </w:p>
    <w:p w:rsidR="00F106B6" w:rsidRDefault="00F106B6" w:rsidP="006A6903">
      <w:pPr>
        <w:pStyle w:val="SingleTxt"/>
        <w:rPr>
          <w:rtl/>
        </w:rPr>
      </w:pPr>
      <w:r>
        <w:rPr>
          <w:rtl/>
        </w:rPr>
        <w:t>28</w:t>
      </w:r>
      <w:r w:rsidR="005D7C21">
        <w:rPr>
          <w:rFonts w:hint="cs"/>
          <w:rtl/>
        </w:rPr>
        <w:t xml:space="preserve"> </w:t>
      </w:r>
      <w:r>
        <w:rPr>
          <w:rtl/>
        </w:rPr>
        <w:t>-</w:t>
      </w:r>
      <w:r w:rsidR="005D7C21">
        <w:rPr>
          <w:rFonts w:hint="cs"/>
          <w:rtl/>
        </w:rPr>
        <w:tab/>
      </w:r>
      <w:r w:rsidR="006A6903">
        <w:rPr>
          <w:rFonts w:hint="cs"/>
          <w:rtl/>
        </w:rPr>
        <w:t xml:space="preserve">يرجى ذكر </w:t>
      </w:r>
      <w:r>
        <w:rPr>
          <w:rtl/>
        </w:rPr>
        <w:t xml:space="preserve">المرحلة التي بلغها التحاق الطفلات </w:t>
      </w:r>
      <w:r w:rsidR="006A6903">
        <w:rPr>
          <w:rFonts w:hint="cs"/>
          <w:rtl/>
        </w:rPr>
        <w:t xml:space="preserve">الريفيات </w:t>
      </w:r>
      <w:r>
        <w:rPr>
          <w:rtl/>
        </w:rPr>
        <w:t xml:space="preserve">بالتعليم واستمرارهن فيه، والنتائج </w:t>
      </w:r>
      <w:r w:rsidR="006A6903">
        <w:rPr>
          <w:rFonts w:hint="cs"/>
          <w:rtl/>
        </w:rPr>
        <w:t xml:space="preserve">التي تحققت، وكذلك تقديم </w:t>
      </w:r>
      <w:r>
        <w:rPr>
          <w:rtl/>
        </w:rPr>
        <w:t xml:space="preserve">معلومات بشأن ما إن كانت توجد آلية لرصد وتقييم التحاقهن بالتعليم واستمرارهن فيه. </w:t>
      </w:r>
      <w:r w:rsidR="006A6903">
        <w:rPr>
          <w:rFonts w:hint="cs"/>
          <w:rtl/>
        </w:rPr>
        <w:t xml:space="preserve">يرجى كذلك ذكر </w:t>
      </w:r>
      <w:r>
        <w:rPr>
          <w:rtl/>
        </w:rPr>
        <w:t xml:space="preserve">ما إن كان التفكير اتجه نحو </w:t>
      </w:r>
      <w:r w:rsidR="006A6903">
        <w:rPr>
          <w:rFonts w:hint="cs"/>
          <w:rtl/>
        </w:rPr>
        <w:t xml:space="preserve">إمكانية </w:t>
      </w:r>
      <w:r>
        <w:rPr>
          <w:rtl/>
        </w:rPr>
        <w:t xml:space="preserve">تدابير خاصة مؤقتة في جميع مراحل التعليم </w:t>
      </w:r>
      <w:r w:rsidR="006A6903">
        <w:rPr>
          <w:rFonts w:hint="cs"/>
          <w:rtl/>
        </w:rPr>
        <w:t xml:space="preserve">لصالح </w:t>
      </w:r>
      <w:r>
        <w:rPr>
          <w:rtl/>
        </w:rPr>
        <w:t>الطفلات أو المرأة من نساء الشعوب الأصلية أو القادمة من المناطق الريفية، وذلك عملا بالمادة 4</w:t>
      </w:r>
      <w:r w:rsidR="006A6903">
        <w:rPr>
          <w:rtl/>
        </w:rPr>
        <w:t>-1 من الاتفاقية والتوصية العامة</w:t>
      </w:r>
      <w:r w:rsidR="006A6903">
        <w:rPr>
          <w:rFonts w:hint="cs"/>
          <w:rtl/>
        </w:rPr>
        <w:t> </w:t>
      </w:r>
      <w:r>
        <w:rPr>
          <w:rtl/>
        </w:rPr>
        <w:t>25.</w:t>
      </w:r>
    </w:p>
    <w:p w:rsidR="00F106B6" w:rsidRDefault="00F106B6" w:rsidP="00B26753">
      <w:pPr>
        <w:pStyle w:val="SingleTxt"/>
        <w:rPr>
          <w:rtl/>
        </w:rPr>
      </w:pPr>
      <w:r>
        <w:rPr>
          <w:rtl/>
        </w:rPr>
        <w:t>29</w:t>
      </w:r>
      <w:r w:rsidR="006A6903">
        <w:rPr>
          <w:rFonts w:hint="cs"/>
          <w:rtl/>
        </w:rPr>
        <w:t xml:space="preserve"> </w:t>
      </w:r>
      <w:r>
        <w:rPr>
          <w:rtl/>
        </w:rPr>
        <w:t>-</w:t>
      </w:r>
      <w:r w:rsidR="006A6903">
        <w:rPr>
          <w:rFonts w:hint="cs"/>
          <w:rtl/>
        </w:rPr>
        <w:tab/>
      </w:r>
      <w:r>
        <w:rPr>
          <w:rtl/>
        </w:rPr>
        <w:t>يسلم التقرير بأن المخصصات العائلية لا تستفيد بها النساء اللائي يعملن لحسابهن الخاص</w:t>
      </w:r>
      <w:r w:rsidR="006A6903">
        <w:rPr>
          <w:rFonts w:hint="cs"/>
          <w:rtl/>
        </w:rPr>
        <w:t xml:space="preserve"> أو اللائي لا يتقاضين راتبا شهريا أو إعانات ولا يستفدن من الضمان الاجتماعي </w:t>
      </w:r>
      <w:bookmarkStart w:id="1" w:name="TmpSave"/>
      <w:bookmarkEnd w:id="1"/>
      <w:r>
        <w:rPr>
          <w:rtl/>
        </w:rPr>
        <w:t>(الفقرة 318) ، ويرد في الفقرة (319) أن معظم النساء يعملن في القطاع غير الرسمي (</w:t>
      </w:r>
      <w:r w:rsidR="00B26753">
        <w:rPr>
          <w:rFonts w:hint="cs"/>
          <w:rtl/>
        </w:rPr>
        <w:t>ال</w:t>
      </w:r>
      <w:r>
        <w:rPr>
          <w:rtl/>
        </w:rPr>
        <w:t xml:space="preserve">فقرة </w:t>
      </w:r>
      <w:r w:rsidR="00B26753">
        <w:rPr>
          <w:rFonts w:hint="cs"/>
          <w:rtl/>
        </w:rPr>
        <w:t>2</w:t>
      </w:r>
      <w:r>
        <w:rPr>
          <w:rtl/>
        </w:rPr>
        <w:t>17) أو يعملن لتحقيق الكفاف لأسرهن (</w:t>
      </w:r>
      <w:r w:rsidR="00B26753">
        <w:rPr>
          <w:rFonts w:hint="cs"/>
          <w:rtl/>
        </w:rPr>
        <w:t xml:space="preserve">الفقرة </w:t>
      </w:r>
      <w:r>
        <w:rPr>
          <w:rtl/>
        </w:rPr>
        <w:t xml:space="preserve">319) كما هو حال المرأة من نساء الشعوب الأصلية. فما هي البرامج المزمع القيام </w:t>
      </w:r>
      <w:r w:rsidR="00B26753">
        <w:rPr>
          <w:rFonts w:hint="cs"/>
          <w:rtl/>
        </w:rPr>
        <w:t xml:space="preserve">بها </w:t>
      </w:r>
      <w:r>
        <w:rPr>
          <w:rtl/>
        </w:rPr>
        <w:t>لصالح هؤلاء النساء اللائي يشكلن أغلبية النساء؟</w:t>
      </w:r>
    </w:p>
    <w:p w:rsidR="00F106B6" w:rsidRDefault="00F106B6" w:rsidP="006A6903">
      <w:pPr>
        <w:pStyle w:val="SingleTxt"/>
        <w:rPr>
          <w:rtl/>
        </w:rPr>
      </w:pPr>
      <w:r>
        <w:rPr>
          <w:rtl/>
        </w:rPr>
        <w:t>30</w:t>
      </w:r>
      <w:r w:rsidR="006A6903">
        <w:rPr>
          <w:rFonts w:hint="cs"/>
          <w:rtl/>
        </w:rPr>
        <w:t xml:space="preserve"> </w:t>
      </w:r>
      <w:r>
        <w:rPr>
          <w:rtl/>
        </w:rPr>
        <w:t>-</w:t>
      </w:r>
      <w:r w:rsidR="006A6903">
        <w:rPr>
          <w:rFonts w:hint="cs"/>
          <w:rtl/>
        </w:rPr>
        <w:tab/>
      </w:r>
      <w:r>
        <w:rPr>
          <w:rtl/>
        </w:rPr>
        <w:t>يرجى تقديم معلومات بشأن الظروف المعيشية للنساء البوليفيات المنحدرات من أصول أفريقية وبشأن فرص حصولهن على الخدمات الأساسية.</w:t>
      </w:r>
    </w:p>
    <w:p w:rsidR="00F106B6" w:rsidRDefault="00F106B6" w:rsidP="006A6903">
      <w:pPr>
        <w:pStyle w:val="SingleTxt"/>
        <w:rPr>
          <w:rtl/>
        </w:rPr>
      </w:pPr>
      <w:r>
        <w:rPr>
          <w:rtl/>
        </w:rPr>
        <w:t>31</w:t>
      </w:r>
      <w:r w:rsidR="006A6903">
        <w:rPr>
          <w:rFonts w:hint="cs"/>
          <w:rtl/>
        </w:rPr>
        <w:t xml:space="preserve"> </w:t>
      </w:r>
      <w:r>
        <w:rPr>
          <w:rtl/>
        </w:rPr>
        <w:t>-</w:t>
      </w:r>
      <w:r w:rsidR="006A6903">
        <w:rPr>
          <w:rFonts w:hint="cs"/>
          <w:rtl/>
        </w:rPr>
        <w:tab/>
        <w:t xml:space="preserve">يرجى ذكر </w:t>
      </w:r>
      <w:r>
        <w:rPr>
          <w:rtl/>
        </w:rPr>
        <w:t>الإجراءات المحددة التي اتخذت لتنفيذ توصية لجنة حقوق الطفل (</w:t>
      </w:r>
      <w:r>
        <w:t>CRC/C/15/Add. 256</w:t>
      </w:r>
      <w:r w:rsidR="006A6903">
        <w:rPr>
          <w:rFonts w:hint="cs"/>
          <w:rtl/>
        </w:rPr>
        <w:t>، الفقرتان 25-26</w:t>
      </w:r>
      <w:r>
        <w:rPr>
          <w:rtl/>
        </w:rPr>
        <w:t>) فيما يتعلق باستمرار التمييز ضد الطفلات من بنات الشعوب الأصلية، والطفلات ذوات الإعاقة والطفلات اللائي يعشن في المناطق الريفية من حيث القيد في سجل الولادات، وارتفاع معدلات وفيات الأطفال بينهن.</w:t>
      </w:r>
    </w:p>
    <w:p w:rsidR="00CD3849" w:rsidRDefault="00F106B6" w:rsidP="006E1A16">
      <w:pPr>
        <w:pStyle w:val="SingleTxt"/>
        <w:rPr>
          <w:rFonts w:hint="cs"/>
          <w:rtl/>
        </w:rPr>
      </w:pPr>
      <w:r>
        <w:rPr>
          <w:rtl/>
        </w:rPr>
        <w:t>32</w:t>
      </w:r>
      <w:r w:rsidR="006E1A16">
        <w:rPr>
          <w:rFonts w:hint="cs"/>
          <w:rtl/>
        </w:rPr>
        <w:t xml:space="preserve"> </w:t>
      </w:r>
      <w:r>
        <w:rPr>
          <w:rtl/>
        </w:rPr>
        <w:t>-</w:t>
      </w:r>
      <w:r w:rsidR="006E1A16">
        <w:rPr>
          <w:rFonts w:hint="cs"/>
          <w:rtl/>
        </w:rPr>
        <w:tab/>
        <w:t xml:space="preserve">يرجى ذكر </w:t>
      </w:r>
      <w:r>
        <w:rPr>
          <w:rtl/>
        </w:rPr>
        <w:t xml:space="preserve">الإجراءات التي اتخذت لتأمين </w:t>
      </w:r>
      <w:r w:rsidR="006E1A16">
        <w:rPr>
          <w:rFonts w:hint="cs"/>
          <w:rtl/>
        </w:rPr>
        <w:t xml:space="preserve">إمكانية حصول </w:t>
      </w:r>
      <w:r>
        <w:rPr>
          <w:rtl/>
        </w:rPr>
        <w:t xml:space="preserve">المرأة في المناطق الريفية ومن نساء الشعوب الأصلية </w:t>
      </w:r>
      <w:r w:rsidR="006E1A16">
        <w:rPr>
          <w:rFonts w:hint="cs"/>
          <w:rtl/>
        </w:rPr>
        <w:t xml:space="preserve">على </w:t>
      </w:r>
      <w:r>
        <w:rPr>
          <w:rtl/>
        </w:rPr>
        <w:t>ملكية الأراضي وحق التصرف فيها وما إن كانت تلك الإجراءات تتضمن تقديم دورات تدريبية.</w:t>
      </w:r>
    </w:p>
    <w:p w:rsidR="006E1A16" w:rsidRPr="005F0309" w:rsidRDefault="005F0309" w:rsidP="005F030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E1A16" w:rsidRPr="005F0309" w:rsidSect="00386F1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0T23:06:00Z" w:initials="Start">
    <w:p w:rsidR="0013663A" w:rsidRDefault="0013663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NO&gt;&gt;N0748519A&lt;&lt;ODS JOB NO&gt;&gt;</w:t>
      </w:r>
    </w:p>
    <w:p w:rsidR="0013663A" w:rsidRDefault="0013663A">
      <w:pPr>
        <w:pStyle w:val="CommentText"/>
      </w:pPr>
      <w:r>
        <w:t>&lt;&lt;ODS DOC SYMBOL1&gt;&gt;CEDAW/C/BOL/Q/4&lt;&lt;ODS DOC SYMBOL1&gt;&gt;</w:t>
      </w:r>
    </w:p>
    <w:p w:rsidR="0013663A" w:rsidRDefault="001366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63A" w:rsidRDefault="0013663A" w:rsidP="00386F1A">
      <w:pPr>
        <w:pStyle w:val="Footer"/>
      </w:pPr>
      <w:r>
        <w:separator/>
      </w:r>
    </w:p>
  </w:endnote>
  <w:endnote w:type="continuationSeparator" w:id="0">
    <w:p w:rsidR="0013663A" w:rsidRDefault="0013663A" w:rsidP="00386F1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663A">
      <w:tblPrEx>
        <w:tblCellMar>
          <w:top w:w="0" w:type="dxa"/>
          <w:bottom w:w="0" w:type="dxa"/>
        </w:tblCellMar>
      </w:tblPrEx>
      <w:tc>
        <w:tcPr>
          <w:tcW w:w="5033" w:type="dxa"/>
          <w:shd w:val="clear" w:color="auto" w:fill="auto"/>
        </w:tcPr>
        <w:p w:rsidR="0013663A" w:rsidRPr="00386F1A" w:rsidRDefault="0013663A" w:rsidP="00386F1A">
          <w:pPr>
            <w:pStyle w:val="Footer"/>
            <w:jc w:val="right"/>
            <w:rPr>
              <w:w w:val="103"/>
            </w:rPr>
          </w:pPr>
          <w:r>
            <w:rPr>
              <w:w w:val="103"/>
            </w:rPr>
            <w:fldChar w:fldCharType="begin"/>
          </w:r>
          <w:r>
            <w:rPr>
              <w:w w:val="103"/>
            </w:rPr>
            <w:instrText xml:space="preserve"> PAGE  \* MERGEFORMAT </w:instrText>
          </w:r>
          <w:r>
            <w:rPr>
              <w:w w:val="103"/>
            </w:rPr>
            <w:fldChar w:fldCharType="separate"/>
          </w:r>
          <w:r w:rsidR="00C40FCD">
            <w:rPr>
              <w:w w:val="103"/>
            </w:rPr>
            <w:t>6</w:t>
          </w:r>
          <w:r>
            <w:rPr>
              <w:w w:val="103"/>
            </w:rPr>
            <w:fldChar w:fldCharType="end"/>
          </w:r>
        </w:p>
      </w:tc>
      <w:tc>
        <w:tcPr>
          <w:tcW w:w="5033" w:type="dxa"/>
          <w:shd w:val="clear" w:color="auto" w:fill="auto"/>
        </w:tcPr>
        <w:p w:rsidR="0013663A" w:rsidRPr="00386F1A" w:rsidRDefault="0013663A" w:rsidP="00386F1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07-48519</w:t>
          </w:r>
          <w:r>
            <w:rPr>
              <w:b w:val="0"/>
              <w:w w:val="103"/>
            </w:rPr>
            <w:fldChar w:fldCharType="end"/>
          </w:r>
        </w:p>
      </w:tc>
    </w:tr>
  </w:tbl>
  <w:p w:rsidR="0013663A" w:rsidRPr="00386F1A" w:rsidRDefault="0013663A" w:rsidP="00386F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3663A">
      <w:tblPrEx>
        <w:tblCellMar>
          <w:top w:w="0" w:type="dxa"/>
          <w:bottom w:w="0" w:type="dxa"/>
        </w:tblCellMar>
      </w:tblPrEx>
      <w:tc>
        <w:tcPr>
          <w:tcW w:w="5033" w:type="dxa"/>
          <w:shd w:val="clear" w:color="auto" w:fill="auto"/>
        </w:tcPr>
        <w:p w:rsidR="0013663A" w:rsidRPr="00386F1A" w:rsidRDefault="0013663A" w:rsidP="00386F1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07-48519</w:t>
          </w:r>
          <w:r>
            <w:rPr>
              <w:b w:val="0"/>
              <w:w w:val="103"/>
            </w:rPr>
            <w:fldChar w:fldCharType="end"/>
          </w:r>
        </w:p>
      </w:tc>
      <w:tc>
        <w:tcPr>
          <w:tcW w:w="5033" w:type="dxa"/>
          <w:shd w:val="clear" w:color="auto" w:fill="auto"/>
        </w:tcPr>
        <w:p w:rsidR="0013663A" w:rsidRPr="00386F1A" w:rsidRDefault="0013663A" w:rsidP="00386F1A">
          <w:pPr>
            <w:pStyle w:val="Footer"/>
            <w:rPr>
              <w:w w:val="103"/>
            </w:rPr>
          </w:pPr>
          <w:r>
            <w:rPr>
              <w:w w:val="103"/>
            </w:rPr>
            <w:fldChar w:fldCharType="begin"/>
          </w:r>
          <w:r>
            <w:rPr>
              <w:w w:val="103"/>
            </w:rPr>
            <w:instrText xml:space="preserve"> PAGE  \* MERGEFORMAT </w:instrText>
          </w:r>
          <w:r>
            <w:rPr>
              <w:w w:val="103"/>
            </w:rPr>
            <w:fldChar w:fldCharType="separate"/>
          </w:r>
          <w:r w:rsidR="00C40FCD">
            <w:rPr>
              <w:w w:val="103"/>
            </w:rPr>
            <w:t>7</w:t>
          </w:r>
          <w:r>
            <w:rPr>
              <w:w w:val="103"/>
            </w:rPr>
            <w:fldChar w:fldCharType="end"/>
          </w:r>
        </w:p>
      </w:tc>
    </w:tr>
  </w:tbl>
  <w:p w:rsidR="0013663A" w:rsidRPr="00386F1A" w:rsidRDefault="0013663A" w:rsidP="00386F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63A" w:rsidRDefault="0013663A">
    <w:pPr>
      <w:pStyle w:val="Footer"/>
    </w:pPr>
  </w:p>
  <w:p w:rsidR="0013663A" w:rsidRDefault="0013663A" w:rsidP="00386F1A">
    <w:pPr>
      <w:pStyle w:val="Footer"/>
      <w:jc w:val="right"/>
      <w:rPr>
        <w:rFonts w:cs="Times New Roman"/>
        <w:b w:val="0"/>
        <w:w w:val="103"/>
        <w:sz w:val="20"/>
      </w:rPr>
    </w:pPr>
    <w:r>
      <w:rPr>
        <w:rFonts w:cs="Times New Roman"/>
        <w:b w:val="0"/>
        <w:w w:val="103"/>
        <w:sz w:val="20"/>
      </w:rPr>
      <w:t xml:space="preserve">100907    100907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07-48519 (A)</w:t>
    </w:r>
    <w:r>
      <w:rPr>
        <w:rFonts w:cs="Times New Roman"/>
        <w:b w:val="0"/>
        <w:w w:val="103"/>
        <w:sz w:val="20"/>
      </w:rPr>
      <w:fldChar w:fldCharType="end"/>
    </w:r>
  </w:p>
  <w:p w:rsidR="0013663A" w:rsidRPr="00386F1A" w:rsidRDefault="0013663A" w:rsidP="00386F1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*0748519*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63A" w:rsidRDefault="0013663A" w:rsidP="00386F1A">
      <w:pPr>
        <w:pStyle w:val="Footer"/>
      </w:pPr>
      <w:r>
        <w:separator/>
      </w:r>
    </w:p>
  </w:footnote>
  <w:footnote w:type="continuationSeparator" w:id="0">
    <w:p w:rsidR="0013663A" w:rsidRDefault="0013663A" w:rsidP="00386F1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13663A">
      <w:tblPrEx>
        <w:tblCellMar>
          <w:top w:w="0" w:type="dxa"/>
          <w:bottom w:w="0" w:type="dxa"/>
        </w:tblCellMar>
      </w:tblPrEx>
      <w:trPr>
        <w:trHeight w:hRule="exact" w:val="864"/>
        <w:jc w:val="center"/>
      </w:trPr>
      <w:tc>
        <w:tcPr>
          <w:tcW w:w="5033" w:type="dxa"/>
          <w:shd w:val="clear" w:color="auto" w:fill="auto"/>
          <w:vAlign w:val="bottom"/>
        </w:tcPr>
        <w:p w:rsidR="0013663A" w:rsidRDefault="0013663A" w:rsidP="00386F1A">
          <w:pPr>
            <w:pStyle w:val="Header"/>
            <w:bidi/>
            <w:jc w:val="right"/>
          </w:pPr>
        </w:p>
      </w:tc>
      <w:tc>
        <w:tcPr>
          <w:tcW w:w="5033" w:type="dxa"/>
          <w:shd w:val="clear" w:color="auto" w:fill="auto"/>
          <w:vAlign w:val="bottom"/>
        </w:tcPr>
        <w:p w:rsidR="0013663A" w:rsidRPr="00386F1A" w:rsidRDefault="0013663A" w:rsidP="00386F1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CEDAW/C/BOL/Q/4</w:t>
          </w:r>
          <w:r>
            <w:rPr>
              <w:w w:val="103"/>
            </w:rPr>
            <w:fldChar w:fldCharType="end"/>
          </w:r>
        </w:p>
      </w:tc>
    </w:tr>
  </w:tbl>
  <w:p w:rsidR="0013663A" w:rsidRPr="00386F1A" w:rsidRDefault="0013663A" w:rsidP="00386F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13663A">
      <w:tblPrEx>
        <w:tblCellMar>
          <w:top w:w="0" w:type="dxa"/>
          <w:bottom w:w="0" w:type="dxa"/>
        </w:tblCellMar>
      </w:tblPrEx>
      <w:trPr>
        <w:trHeight w:hRule="exact" w:val="864"/>
        <w:jc w:val="center"/>
      </w:trPr>
      <w:tc>
        <w:tcPr>
          <w:tcW w:w="5033" w:type="dxa"/>
          <w:shd w:val="clear" w:color="auto" w:fill="auto"/>
          <w:vAlign w:val="bottom"/>
        </w:tcPr>
        <w:p w:rsidR="0013663A" w:rsidRPr="00386F1A" w:rsidRDefault="0013663A" w:rsidP="00386F1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CEDAW/C/BOL/Q/4</w:t>
          </w:r>
          <w:r>
            <w:rPr>
              <w:w w:val="103"/>
            </w:rPr>
            <w:fldChar w:fldCharType="end"/>
          </w:r>
        </w:p>
      </w:tc>
      <w:tc>
        <w:tcPr>
          <w:tcW w:w="5033" w:type="dxa"/>
          <w:shd w:val="clear" w:color="auto" w:fill="auto"/>
          <w:vAlign w:val="bottom"/>
        </w:tcPr>
        <w:p w:rsidR="0013663A" w:rsidRDefault="0013663A" w:rsidP="00386F1A">
          <w:pPr>
            <w:pStyle w:val="Header"/>
          </w:pPr>
        </w:p>
      </w:tc>
    </w:tr>
  </w:tbl>
  <w:p w:rsidR="0013663A" w:rsidRPr="00386F1A" w:rsidRDefault="0013663A" w:rsidP="00386F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3663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3663A" w:rsidRDefault="0013663A" w:rsidP="00386F1A">
          <w:pPr>
            <w:pStyle w:val="Header"/>
            <w:spacing w:after="120"/>
          </w:pPr>
        </w:p>
      </w:tc>
      <w:tc>
        <w:tcPr>
          <w:tcW w:w="1786" w:type="dxa"/>
          <w:tcBorders>
            <w:bottom w:val="single" w:sz="4" w:space="0" w:color="auto"/>
          </w:tcBorders>
          <w:shd w:val="clear" w:color="auto" w:fill="auto"/>
          <w:vAlign w:val="bottom"/>
        </w:tcPr>
        <w:p w:rsidR="0013663A" w:rsidRPr="00386F1A" w:rsidRDefault="0013663A" w:rsidP="00386F1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3663A" w:rsidRDefault="0013663A" w:rsidP="00386F1A">
          <w:pPr>
            <w:pStyle w:val="Header"/>
            <w:spacing w:after="120"/>
          </w:pPr>
        </w:p>
      </w:tc>
      <w:tc>
        <w:tcPr>
          <w:tcW w:w="6523" w:type="dxa"/>
          <w:gridSpan w:val="3"/>
          <w:tcBorders>
            <w:bottom w:val="single" w:sz="4" w:space="0" w:color="auto"/>
          </w:tcBorders>
          <w:shd w:val="clear" w:color="auto" w:fill="auto"/>
          <w:vAlign w:val="bottom"/>
        </w:tcPr>
        <w:p w:rsidR="0013663A" w:rsidRPr="00386F1A" w:rsidRDefault="0013663A" w:rsidP="00386F1A">
          <w:pPr>
            <w:spacing w:line="380" w:lineRule="exact"/>
            <w:jc w:val="right"/>
          </w:pPr>
          <w:r>
            <w:rPr>
              <w:sz w:val="40"/>
            </w:rPr>
            <w:t>CEDAW</w:t>
          </w:r>
          <w:r>
            <w:t>/C/BOL/Q/4</w:t>
          </w:r>
        </w:p>
      </w:tc>
    </w:tr>
    <w:tr w:rsidR="0013663A" w:rsidRPr="00386F1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3663A" w:rsidRDefault="0013663A" w:rsidP="00386F1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663A" w:rsidRPr="00386F1A" w:rsidRDefault="0013663A" w:rsidP="00386F1A">
          <w:pPr>
            <w:pStyle w:val="Header"/>
            <w:spacing w:before="109"/>
            <w:jc w:val="right"/>
          </w:pPr>
        </w:p>
      </w:tc>
      <w:tc>
        <w:tcPr>
          <w:tcW w:w="5227" w:type="dxa"/>
          <w:gridSpan w:val="3"/>
          <w:tcBorders>
            <w:top w:val="single" w:sz="4" w:space="0" w:color="auto"/>
            <w:bottom w:val="single" w:sz="12" w:space="0" w:color="auto"/>
          </w:tcBorders>
          <w:shd w:val="clear" w:color="auto" w:fill="auto"/>
        </w:tcPr>
        <w:p w:rsidR="0013663A" w:rsidRPr="00386F1A" w:rsidRDefault="0013663A" w:rsidP="00386F1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3663A" w:rsidRPr="00386F1A" w:rsidRDefault="0013663A" w:rsidP="00386F1A">
          <w:pPr>
            <w:pStyle w:val="Header"/>
            <w:spacing w:before="109"/>
          </w:pPr>
        </w:p>
      </w:tc>
      <w:tc>
        <w:tcPr>
          <w:tcW w:w="3100" w:type="dxa"/>
          <w:gridSpan w:val="2"/>
          <w:tcBorders>
            <w:top w:val="single" w:sz="4" w:space="0" w:color="auto"/>
            <w:bottom w:val="single" w:sz="12" w:space="0" w:color="auto"/>
          </w:tcBorders>
          <w:shd w:val="clear" w:color="auto" w:fill="auto"/>
        </w:tcPr>
        <w:p w:rsidR="0013663A" w:rsidRDefault="0013663A" w:rsidP="00386F1A">
          <w:pPr>
            <w:bidi w:val="0"/>
            <w:spacing w:before="240" w:line="240" w:lineRule="exact"/>
          </w:pPr>
          <w:r>
            <w:t>Distr.: General</w:t>
          </w:r>
        </w:p>
        <w:p w:rsidR="0013663A" w:rsidRDefault="0013663A" w:rsidP="00386F1A">
          <w:pPr>
            <w:bidi w:val="0"/>
            <w:spacing w:line="240" w:lineRule="exact"/>
            <w:jc w:val="left"/>
          </w:pPr>
          <w:r>
            <w:t>16 October 2007</w:t>
          </w:r>
        </w:p>
        <w:p w:rsidR="0013663A" w:rsidRDefault="0013663A" w:rsidP="00386F1A">
          <w:pPr>
            <w:bidi w:val="0"/>
            <w:spacing w:line="240" w:lineRule="exact"/>
            <w:jc w:val="left"/>
          </w:pPr>
          <w:r>
            <w:t>Arabic</w:t>
          </w:r>
        </w:p>
        <w:p w:rsidR="0013663A" w:rsidRPr="00386F1A" w:rsidRDefault="0013663A" w:rsidP="00386F1A">
          <w:pPr>
            <w:bidi w:val="0"/>
            <w:spacing w:line="240" w:lineRule="exact"/>
            <w:jc w:val="left"/>
          </w:pPr>
          <w:r>
            <w:t>Original: Spanish</w:t>
          </w:r>
        </w:p>
      </w:tc>
    </w:tr>
  </w:tbl>
  <w:p w:rsidR="0013663A" w:rsidRPr="00386F1A" w:rsidRDefault="0013663A" w:rsidP="00386F1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8519*"/>
    <w:docVar w:name="CreationDt" w:val="10/09/2007 08:481 م"/>
    <w:docVar w:name="DocCategory" w:val="Doc"/>
    <w:docVar w:name="DocType" w:val="Final"/>
    <w:docVar w:name="FooterJN" w:val="07-48519"/>
    <w:docVar w:name="Jobn" w:val="07-48519 (A)"/>
    <w:docVar w:name="jobnDT" w:val="07-48524 (A)   100907"/>
    <w:docVar w:name="jobnDTDT" w:val="07-48524 (A)   100907   100907"/>
    <w:docVar w:name="JobNo" w:val="0748519A"/>
    <w:docVar w:name="OandT" w:val=" "/>
    <w:docVar w:name="sss1" w:val="CEDAW/C/BOL/Q/4"/>
    <w:docVar w:name="sss2" w:val="-"/>
    <w:docVar w:name="Symbol1" w:val="CEDAW/C/BOL/Q/4"/>
    <w:docVar w:name="Symbol2" w:val="-"/>
  </w:docVars>
  <w:rsids>
    <w:rsidRoot w:val="00D41372"/>
    <w:rsid w:val="00005972"/>
    <w:rsid w:val="00042425"/>
    <w:rsid w:val="00054A22"/>
    <w:rsid w:val="0006648F"/>
    <w:rsid w:val="00087310"/>
    <w:rsid w:val="0009732C"/>
    <w:rsid w:val="000C4EED"/>
    <w:rsid w:val="000D2CEC"/>
    <w:rsid w:val="00101EE8"/>
    <w:rsid w:val="00113349"/>
    <w:rsid w:val="0013663A"/>
    <w:rsid w:val="001519A9"/>
    <w:rsid w:val="001737F8"/>
    <w:rsid w:val="00187870"/>
    <w:rsid w:val="001F6786"/>
    <w:rsid w:val="002416C5"/>
    <w:rsid w:val="00266F59"/>
    <w:rsid w:val="00272B6C"/>
    <w:rsid w:val="0027623A"/>
    <w:rsid w:val="00290F2F"/>
    <w:rsid w:val="002937DA"/>
    <w:rsid w:val="002A09C6"/>
    <w:rsid w:val="002C2AF2"/>
    <w:rsid w:val="002C4E1B"/>
    <w:rsid w:val="003042C5"/>
    <w:rsid w:val="00312162"/>
    <w:rsid w:val="003501D5"/>
    <w:rsid w:val="00371AC4"/>
    <w:rsid w:val="00383CA8"/>
    <w:rsid w:val="00386F1A"/>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0852"/>
    <w:rsid w:val="004A1202"/>
    <w:rsid w:val="004A2886"/>
    <w:rsid w:val="004B14A0"/>
    <w:rsid w:val="004C7225"/>
    <w:rsid w:val="004D1B0C"/>
    <w:rsid w:val="004F1402"/>
    <w:rsid w:val="0050659B"/>
    <w:rsid w:val="00524A2E"/>
    <w:rsid w:val="005279DE"/>
    <w:rsid w:val="00534772"/>
    <w:rsid w:val="00537FCD"/>
    <w:rsid w:val="00545F76"/>
    <w:rsid w:val="005545BB"/>
    <w:rsid w:val="00556882"/>
    <w:rsid w:val="00561E43"/>
    <w:rsid w:val="0057078E"/>
    <w:rsid w:val="005838F5"/>
    <w:rsid w:val="00587FA1"/>
    <w:rsid w:val="00591B45"/>
    <w:rsid w:val="005A0F73"/>
    <w:rsid w:val="005A2EA3"/>
    <w:rsid w:val="005C2ECE"/>
    <w:rsid w:val="005D7C21"/>
    <w:rsid w:val="005F0309"/>
    <w:rsid w:val="00616E82"/>
    <w:rsid w:val="006208D1"/>
    <w:rsid w:val="006218A3"/>
    <w:rsid w:val="006564CE"/>
    <w:rsid w:val="00663F64"/>
    <w:rsid w:val="00696B7A"/>
    <w:rsid w:val="006A6903"/>
    <w:rsid w:val="006C38EE"/>
    <w:rsid w:val="006E1A16"/>
    <w:rsid w:val="006F53C8"/>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A3793"/>
    <w:rsid w:val="00AC002C"/>
    <w:rsid w:val="00AC6CDD"/>
    <w:rsid w:val="00AD38D0"/>
    <w:rsid w:val="00AE108C"/>
    <w:rsid w:val="00AF1A53"/>
    <w:rsid w:val="00AF7AC7"/>
    <w:rsid w:val="00B05ADC"/>
    <w:rsid w:val="00B26753"/>
    <w:rsid w:val="00B272BE"/>
    <w:rsid w:val="00B42AAA"/>
    <w:rsid w:val="00B9542C"/>
    <w:rsid w:val="00B95560"/>
    <w:rsid w:val="00BA7FAB"/>
    <w:rsid w:val="00BC2F4C"/>
    <w:rsid w:val="00BC4A05"/>
    <w:rsid w:val="00BD7AD1"/>
    <w:rsid w:val="00BF0B15"/>
    <w:rsid w:val="00BF1793"/>
    <w:rsid w:val="00C12CBB"/>
    <w:rsid w:val="00C25A2D"/>
    <w:rsid w:val="00C260F8"/>
    <w:rsid w:val="00C40FCD"/>
    <w:rsid w:val="00C43FBE"/>
    <w:rsid w:val="00C449C6"/>
    <w:rsid w:val="00C564B0"/>
    <w:rsid w:val="00C6283F"/>
    <w:rsid w:val="00C814A5"/>
    <w:rsid w:val="00C96573"/>
    <w:rsid w:val="00CD0BB8"/>
    <w:rsid w:val="00CD3849"/>
    <w:rsid w:val="00CF7384"/>
    <w:rsid w:val="00D2343D"/>
    <w:rsid w:val="00D30EAE"/>
    <w:rsid w:val="00D318F1"/>
    <w:rsid w:val="00D40B0E"/>
    <w:rsid w:val="00D41372"/>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106B6"/>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86F1A"/>
    <w:rPr>
      <w:szCs w:val="20"/>
    </w:rPr>
  </w:style>
  <w:style w:type="paragraph" w:styleId="CommentSubject">
    <w:name w:val="annotation subject"/>
    <w:basedOn w:val="CommentText"/>
    <w:next w:val="CommentText"/>
    <w:semiHidden/>
    <w:rsid w:val="00386F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1667</Words>
  <Characters>9508</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Emil.Sharabi</dc:creator>
  <cp:keywords/>
  <dc:description/>
  <cp:lastModifiedBy>Emil.Sharabi</cp:lastModifiedBy>
  <cp:revision>4</cp:revision>
  <cp:lastPrinted>2007-09-10T22:06:00Z</cp:lastPrinted>
  <dcterms:created xsi:type="dcterms:W3CDTF">2007-09-10T22:29:00Z</dcterms:created>
  <dcterms:modified xsi:type="dcterms:W3CDTF">2007-09-10T22:30:00Z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CEDAW/C/BOL/Q/4</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0748519A</vt:lpwstr>
  </property>
</Properties>
</file>