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1E4BE8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85839A6" w14:textId="77777777" w:rsidR="002D5AAC" w:rsidRDefault="002D5AAC" w:rsidP="004E16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BA8525F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36CE1C6" w14:textId="1E163CAC" w:rsidR="002D5AAC" w:rsidRDefault="004E1629" w:rsidP="004E1629">
            <w:pPr>
              <w:jc w:val="right"/>
            </w:pPr>
            <w:r w:rsidRPr="004E1629">
              <w:rPr>
                <w:sz w:val="40"/>
              </w:rPr>
              <w:t>CMW</w:t>
            </w:r>
            <w:r>
              <w:t>/C/URY/CO/2</w:t>
            </w:r>
          </w:p>
        </w:tc>
      </w:tr>
      <w:tr w:rsidR="002D5AAC" w14:paraId="14ACB78D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530177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4443054" wp14:editId="06FEDB3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6BE136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8D01E83" w14:textId="77777777" w:rsidR="002D5AAC" w:rsidRDefault="004E1629" w:rsidP="007A2AE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4AA71989" w14:textId="77777777" w:rsidR="004E1629" w:rsidRDefault="004E1629" w:rsidP="004E1629">
            <w:pPr>
              <w:spacing w:line="240" w:lineRule="exact"/>
            </w:pPr>
            <w:r>
              <w:t xml:space="preserve">4 </w:t>
            </w:r>
            <w:proofErr w:type="spellStart"/>
            <w:r>
              <w:t>January</w:t>
            </w:r>
            <w:proofErr w:type="spellEnd"/>
            <w:r>
              <w:t xml:space="preserve"> 2024</w:t>
            </w:r>
          </w:p>
          <w:p w14:paraId="7895B8CA" w14:textId="77777777" w:rsidR="004E1629" w:rsidRDefault="004E1629" w:rsidP="004E1629">
            <w:pPr>
              <w:spacing w:line="240" w:lineRule="exact"/>
            </w:pPr>
            <w:r>
              <w:t>Russian</w:t>
            </w:r>
          </w:p>
          <w:p w14:paraId="40ABAA30" w14:textId="64AFB2F7" w:rsidR="004E1629" w:rsidRPr="006D479F" w:rsidRDefault="004E1629" w:rsidP="004E1629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Spanish</w:t>
            </w:r>
            <w:proofErr w:type="spellEnd"/>
          </w:p>
        </w:tc>
      </w:tr>
    </w:tbl>
    <w:p w14:paraId="087D74FE" w14:textId="7F79A947" w:rsidR="004E1629" w:rsidRPr="004E1629" w:rsidRDefault="004E1629" w:rsidP="004E1629">
      <w:pPr>
        <w:spacing w:before="120"/>
        <w:rPr>
          <w:b/>
          <w:sz w:val="24"/>
          <w:szCs w:val="24"/>
        </w:rPr>
      </w:pPr>
      <w:r w:rsidRPr="004E1629">
        <w:rPr>
          <w:b/>
          <w:bCs/>
          <w:sz w:val="24"/>
          <w:szCs w:val="24"/>
        </w:rPr>
        <w:t xml:space="preserve">Комитет по защите прав всех </w:t>
      </w:r>
      <w:r>
        <w:rPr>
          <w:b/>
          <w:bCs/>
          <w:sz w:val="24"/>
          <w:szCs w:val="24"/>
        </w:rPr>
        <w:br/>
      </w:r>
      <w:r w:rsidRPr="004E1629">
        <w:rPr>
          <w:b/>
          <w:bCs/>
          <w:sz w:val="24"/>
          <w:szCs w:val="24"/>
        </w:rPr>
        <w:t>трудящихся-мигрантов и членов их семей</w:t>
      </w:r>
    </w:p>
    <w:p w14:paraId="4FFDE0C8" w14:textId="77777777" w:rsidR="004E1629" w:rsidRPr="00496865" w:rsidRDefault="004E1629" w:rsidP="004E1629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Уругвая</w:t>
      </w:r>
      <w:r w:rsidRPr="004E162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9A52E73" w14:textId="7046490C" w:rsidR="004E1629" w:rsidRPr="00496865" w:rsidRDefault="004E1629" w:rsidP="004E1629">
      <w:pPr>
        <w:pStyle w:val="SingleTxtG"/>
        <w:tabs>
          <w:tab w:val="clear" w:pos="1701"/>
          <w:tab w:val="clear" w:pos="2268"/>
          <w:tab w:val="clear" w:pos="2835"/>
        </w:tabs>
      </w:pPr>
      <w:bookmarkStart w:id="0" w:name="_Hlk98746163"/>
      <w:r>
        <w:t>1.</w:t>
      </w:r>
      <w:r>
        <w:tab/>
        <w:t>Комитет рассмотрел второй периодический доклад Уругвая</w:t>
      </w:r>
      <w:r>
        <w:rPr>
          <w:rStyle w:val="aa"/>
        </w:rPr>
        <w:footnoteReference w:id="2"/>
      </w:r>
      <w:r>
        <w:t xml:space="preserve"> на своих 533-м и 534-м заседаниях</w:t>
      </w:r>
      <w:r w:rsidRPr="00682FA9">
        <w:rPr>
          <w:rStyle w:val="aa"/>
        </w:rPr>
        <w:footnoteReference w:id="3"/>
      </w:r>
      <w:r>
        <w:t>, состоявшихся 28 ноября 2023 года, и на своем 550-м заседании, состоявшемся 8 декабря 2023 года, принял следующие заключительные замечания.</w:t>
      </w:r>
    </w:p>
    <w:bookmarkEnd w:id="0"/>
    <w:p w14:paraId="30F3CACB" w14:textId="70FE9625" w:rsidR="004E1629" w:rsidRPr="00496865" w:rsidRDefault="004E1629" w:rsidP="004E1629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13B79F7F" w14:textId="77777777" w:rsidR="004E1629" w:rsidRPr="00496865" w:rsidRDefault="004E1629" w:rsidP="004E1629">
      <w:pPr>
        <w:pStyle w:val="SingleTxtG"/>
      </w:pPr>
      <w:bookmarkStart w:id="1" w:name="_Hlk98746071"/>
      <w:r>
        <w:t>2.</w:t>
      </w:r>
      <w:r>
        <w:tab/>
        <w:t>Комитет приветствует представление второго периодического доклада государства-участника, который должен был быть представлен в 2019 году, ответы на перечень вопросов</w:t>
      </w:r>
      <w:r w:rsidRPr="00682FA9">
        <w:rPr>
          <w:rStyle w:val="aa"/>
        </w:rPr>
        <w:footnoteReference w:id="4"/>
      </w:r>
      <w:r>
        <w:t>, а также дополнительную информацию, представленную в ходе диалога делегацией во главе с министром жилищного строительства и обустройства территории. В состав делегации входили также представители Министерства иностранных дел, Министерства внутренних дел, Министерства труда и социального обеспечения, Министерства здравоохранения, Министерства жилищного строительства и обустройства территории, Министерства социального развития, Верховного суда, Уругвайского института по делам детей и подростков, Банка социального обеспечения и Постоянного представительства Уругвая при Отделении Организации Объединенных Наций и других международных организациях в Женеве.</w:t>
      </w:r>
    </w:p>
    <w:bookmarkEnd w:id="1"/>
    <w:p w14:paraId="066E8523" w14:textId="77777777" w:rsidR="004E1629" w:rsidRPr="00496865" w:rsidRDefault="004E1629" w:rsidP="004E1629">
      <w:pPr>
        <w:pStyle w:val="SingleTxtG"/>
      </w:pPr>
      <w:r>
        <w:t>3.</w:t>
      </w:r>
      <w:r>
        <w:tab/>
        <w:t>Комитет выражает признательность за открытый и конструктивный диалог, состоявшийся с делегацией высокого уровня, а также высоко оценивает подробную информацию, полученную от представителей государства-участника, и конструктивный подход к заседаниям, позволивший совместно проанализировать и обсудить различные вопросы. Он благодарит также за направление ответов и дополнительной информации в течение 24 часов после диалога.</w:t>
      </w:r>
    </w:p>
    <w:p w14:paraId="58F63374" w14:textId="77777777" w:rsidR="004E1629" w:rsidRPr="00496865" w:rsidRDefault="004E1629" w:rsidP="004E1629">
      <w:pPr>
        <w:pStyle w:val="SingleTxtG"/>
      </w:pPr>
      <w:r>
        <w:t>4.</w:t>
      </w:r>
      <w:r>
        <w:tab/>
        <w:t>Комитет признает, что Уругвай традиционно является страной происхождения трудящихся-мигрантов и что в последние годы наблюдается увеличение потока трудящихся, оседающих в государстве-участнике, а также постоянное возвращение его граждан, что превращает его в принимающую страну. Комитет с обеспокоенностью отмечает, что, будучи страной происхождения, транзита и назначения, государство-участник по-прежнему сталкивается с проблемами в области защиты прав трудящихся-мигрантов и членов их семей.</w:t>
      </w:r>
    </w:p>
    <w:p w14:paraId="7820DBA1" w14:textId="77777777" w:rsidR="004E1629" w:rsidRPr="00496865" w:rsidRDefault="004E1629" w:rsidP="004E1629">
      <w:pPr>
        <w:pStyle w:val="SingleTxtG"/>
        <w:keepLines/>
      </w:pPr>
      <w:r>
        <w:lastRenderedPageBreak/>
        <w:t>5.</w:t>
      </w:r>
      <w:r>
        <w:tab/>
        <w:t>Комитет принимает к сведению, что уругвайцы в числе прочего проживают в ряде стран, входящих в Южноамериканский общий рынок (МЕРКОСУР), и, следовательно, могут пользоваться преимуществами, предусмотренными соглашениями МЕРКОСУР.</w:t>
      </w:r>
    </w:p>
    <w:p w14:paraId="1F969E4F" w14:textId="2952D65A" w:rsidR="004E1629" w:rsidRPr="00496865" w:rsidRDefault="004E1629" w:rsidP="004E1629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7044090C" w14:textId="7BCE0AB1" w:rsidR="004E1629" w:rsidRPr="00496865" w:rsidRDefault="004E1629" w:rsidP="004E1629">
      <w:pPr>
        <w:pStyle w:val="SingleTxtG"/>
      </w:pPr>
      <w:r>
        <w:t>6.</w:t>
      </w:r>
      <w:r>
        <w:tab/>
        <w:t>Комитет приветствует усилия государства-участника и принятые им меры по поощрению и защите прав трудящихся-мигрантов и членов их семей. Комитет с удовлетворением отмечает ратификацию в июне 2020 года Конвенции Международной организации труда (МОТ) 2019 года (</w:t>
      </w:r>
      <w:r>
        <w:t>№ </w:t>
      </w:r>
      <w:r>
        <w:t>190) об искоренении насилия и домогательств в сфере труда.</w:t>
      </w:r>
      <w:bookmarkStart w:id="2" w:name="_Hlk104909953"/>
      <w:bookmarkEnd w:id="2"/>
    </w:p>
    <w:p w14:paraId="7D1C1514" w14:textId="77777777" w:rsidR="004E1629" w:rsidRPr="00496865" w:rsidRDefault="004E1629" w:rsidP="004E1629">
      <w:pPr>
        <w:pStyle w:val="SingleTxtG"/>
      </w:pPr>
      <w:r>
        <w:t>7.</w:t>
      </w:r>
      <w:r>
        <w:tab/>
        <w:t>Комитет признает, что государство-участник занимается созданием нормативной базы на основе национального законодательства и двусторонних и многосторонних соглашений о сотрудничестве. Комитет приветствует принятие следующих законодательных и институциональных мер:</w:t>
      </w:r>
    </w:p>
    <w:p w14:paraId="3961AD0E" w14:textId="20117CD2" w:rsidR="004E1629" w:rsidRPr="00496865" w:rsidRDefault="004E1629" w:rsidP="004E1629">
      <w:pPr>
        <w:pStyle w:val="SingleTxtG"/>
      </w:pPr>
      <w:r>
        <w:tab/>
      </w:r>
      <w:r>
        <w:t>a)</w:t>
      </w:r>
      <w:r>
        <w:tab/>
        <w:t xml:space="preserve">постановление </w:t>
      </w:r>
      <w:r>
        <w:t>№ </w:t>
      </w:r>
      <w:r>
        <w:t>620/018 Министерства экономики и финансов от декабря 2018 года, освобождающее от уплаты визового сбора лиц, находящихся в ситуации социально-экономической уязвимости;</w:t>
      </w:r>
    </w:p>
    <w:p w14:paraId="7338D79C" w14:textId="2460FE9D" w:rsidR="004E1629" w:rsidRPr="00496865" w:rsidRDefault="004E1629" w:rsidP="004E1629">
      <w:pPr>
        <w:pStyle w:val="SingleTxtG"/>
      </w:pPr>
      <w:r>
        <w:tab/>
      </w:r>
      <w:r>
        <w:t>b)</w:t>
      </w:r>
      <w:r>
        <w:tab/>
        <w:t xml:space="preserve">Закон </w:t>
      </w:r>
      <w:r>
        <w:t>№ </w:t>
      </w:r>
      <w:r>
        <w:t xml:space="preserve">19.535 от сентября 2017 года, который признает ассоциации уругвайцев, проживающих за рубежом, в национальных нормативных актах путем внесения изменений в статью 74 Закона </w:t>
      </w:r>
      <w:r>
        <w:t>№ </w:t>
      </w:r>
      <w:r>
        <w:t>18.250;</w:t>
      </w:r>
    </w:p>
    <w:p w14:paraId="66B48098" w14:textId="0A97D975" w:rsidR="004E1629" w:rsidRPr="00496865" w:rsidRDefault="004E1629" w:rsidP="004E1629">
      <w:pPr>
        <w:pStyle w:val="SingleTxtG"/>
      </w:pPr>
      <w:r>
        <w:tab/>
      </w:r>
      <w:r>
        <w:t>c)</w:t>
      </w:r>
      <w:r>
        <w:tab/>
        <w:t xml:space="preserve">Закон </w:t>
      </w:r>
      <w:r>
        <w:t>№ </w:t>
      </w:r>
      <w:r>
        <w:t>19.362 от декабря 2015 года, предоставляющий гражданство по происхождению родившимся за границей внукам уругвайцев, родившихся на территории страны;</w:t>
      </w:r>
    </w:p>
    <w:p w14:paraId="35B62A0D" w14:textId="453320CC" w:rsidR="004E1629" w:rsidRPr="00496865" w:rsidRDefault="004E1629" w:rsidP="004E1629">
      <w:pPr>
        <w:pStyle w:val="SingleTxtG"/>
      </w:pPr>
      <w:r>
        <w:tab/>
      </w:r>
      <w:r>
        <w:t>d)</w:t>
      </w:r>
      <w:r>
        <w:tab/>
        <w:t xml:space="preserve">Закон </w:t>
      </w:r>
      <w:r>
        <w:t>№ </w:t>
      </w:r>
      <w:r>
        <w:t>19.254 от августа 2014 года, который предоставляет гражданам стран МЕРКОСУР, включая ассоциированные государства, и иностранным членам семей уругвайцев прямой доступ к постоянному виду на жительство.</w:t>
      </w:r>
    </w:p>
    <w:p w14:paraId="2877FE9B" w14:textId="77777777" w:rsidR="004E1629" w:rsidRPr="00496865" w:rsidRDefault="004E1629" w:rsidP="004E1629">
      <w:pPr>
        <w:pStyle w:val="SingleTxtG"/>
      </w:pPr>
      <w:r>
        <w:t>8.</w:t>
      </w:r>
      <w:r>
        <w:tab/>
        <w:t>Комитет приветствует двусторонние соглашения, подписанные государством-участником в отношении трудящихся-мигрантов, в частности соглашения «Отпуск и работа», подписанные с Германией, Королевством Нидерландов, Францией и Швецией.</w:t>
      </w:r>
    </w:p>
    <w:p w14:paraId="1E6F3788" w14:textId="77777777" w:rsidR="004E1629" w:rsidRPr="00496865" w:rsidRDefault="004E1629" w:rsidP="004E1629">
      <w:pPr>
        <w:pStyle w:val="SingleTxtG"/>
      </w:pPr>
      <w:r>
        <w:t>9.</w:t>
      </w:r>
      <w:r>
        <w:tab/>
        <w:t>Кроме того, Комитет с удовлетворением отмечает принятие следующих институциональных и политических мер:</w:t>
      </w:r>
    </w:p>
    <w:p w14:paraId="2BB2313A" w14:textId="656BF73B" w:rsidR="004E1629" w:rsidRPr="00496865" w:rsidRDefault="004E1629" w:rsidP="004E1629">
      <w:pPr>
        <w:pStyle w:val="SingleTxtG"/>
      </w:pPr>
      <w:r>
        <w:tab/>
      </w:r>
      <w:r>
        <w:t>a)</w:t>
      </w:r>
      <w:r>
        <w:tab/>
        <w:t>создание в мае 2017 года в Министерстве труда и социального обеспечения подразделения по вопросам миграции, которое, помимо прочих функций, занимается поощрением достойного труда для трудящихся-мигрантов и мониторингом выполнения международных соглашений, касающихся труда и социального обеспечения;</w:t>
      </w:r>
    </w:p>
    <w:p w14:paraId="6E174939" w14:textId="79F871E4" w:rsidR="004E1629" w:rsidRPr="00496865" w:rsidRDefault="004E1629" w:rsidP="004E1629">
      <w:pPr>
        <w:pStyle w:val="SingleTxtG"/>
      </w:pPr>
      <w:r>
        <w:tab/>
      </w:r>
      <w:r>
        <w:t>b)</w:t>
      </w:r>
      <w:r>
        <w:tab/>
        <w:t>утверждение в августе 2016 года Рамочного документа по миграционной политике в Уругвае, в котором устанавливаются принципы, цели и общие стратегические направления национальной миграционной политики на краткосрочную, среднесрочную и долгосрочную перспективу;</w:t>
      </w:r>
    </w:p>
    <w:p w14:paraId="0E60F0AB" w14:textId="4B362167" w:rsidR="004E1629" w:rsidRPr="00496865" w:rsidRDefault="004E1629" w:rsidP="004E1629">
      <w:pPr>
        <w:pStyle w:val="SingleTxtG"/>
      </w:pPr>
      <w:r>
        <w:tab/>
      </w:r>
      <w:r>
        <w:t>c)</w:t>
      </w:r>
      <w:r>
        <w:tab/>
        <w:t>создание в 2014 году Исполнительного секретариата Национального совета по миграции и расширение участия Консультативного совета по миграции в работе Национального совета по миграции с целью улучшения коммуникации и координации с гражданским обществом.</w:t>
      </w:r>
    </w:p>
    <w:p w14:paraId="37FD8565" w14:textId="77777777" w:rsidR="004E1629" w:rsidRPr="00496865" w:rsidRDefault="004E1629" w:rsidP="004E1629">
      <w:pPr>
        <w:pStyle w:val="SingleTxtG"/>
      </w:pPr>
      <w:r>
        <w:t>10.</w:t>
      </w:r>
      <w:r>
        <w:tab/>
        <w:t xml:space="preserve">Комитет положительно оценивает голосование государства-участника в поддержку Глобального договора о безопасной, упорядоченной и легальной миграции, принятого Генеральной Ассамблеей в ее резолюции 73/195, и рекомендует государству-участнику продолжать усилия по его реализации в рамках международных обязательств, содержащихся в Конвенции, учитывая, что оба </w:t>
      </w:r>
      <w:r>
        <w:lastRenderedPageBreak/>
        <w:t>международных договора имеют совпадения по вопросам защиты прав трудящихся-мигрантов и членов их семей.</w:t>
      </w:r>
    </w:p>
    <w:p w14:paraId="13F35327" w14:textId="77777777" w:rsidR="004E1629" w:rsidRPr="00496865" w:rsidRDefault="004E1629" w:rsidP="004E1629">
      <w:pPr>
        <w:pStyle w:val="SingleTxtG"/>
      </w:pPr>
      <w:r>
        <w:t>11.</w:t>
      </w:r>
      <w:r>
        <w:tab/>
        <w:t>Комитет принимает к сведению создание Национального механизма подготовки докладов и мониторинга выполнения рекомендаций для сбора данных с целью подготовки периодических докладов, а также тот факт, что доклад, представленный государством-участником, был подготовлен с использованием упомянутого механизма.</w:t>
      </w:r>
    </w:p>
    <w:p w14:paraId="78C9C260" w14:textId="23B8954A" w:rsidR="004E1629" w:rsidRPr="00496865" w:rsidRDefault="004E1629" w:rsidP="004E1629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6F32DA74" w14:textId="4EB183FF" w:rsidR="004E1629" w:rsidRPr="00496865" w:rsidRDefault="004E1629" w:rsidP="004E1629">
      <w:pPr>
        <w:pStyle w:val="H23G"/>
      </w:pPr>
      <w:r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(статьи 73 и 84)</w:t>
      </w:r>
    </w:p>
    <w:p w14:paraId="0CF37E78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74476B7A" w14:textId="77777777" w:rsidR="004E1629" w:rsidRPr="00496865" w:rsidRDefault="004E1629" w:rsidP="004E1629">
      <w:pPr>
        <w:pStyle w:val="SingleTxtG"/>
      </w:pPr>
      <w:r>
        <w:t>12.</w:t>
      </w:r>
      <w:r>
        <w:tab/>
        <w:t>Комитет выражает сожаление по поводу отсутствия информации о применении Конвенции в судах и других органах государства-участника.</w:t>
      </w:r>
    </w:p>
    <w:p w14:paraId="72F315C3" w14:textId="77777777" w:rsidR="004E1629" w:rsidRPr="00496865" w:rsidRDefault="004E1629" w:rsidP="004E1629">
      <w:pPr>
        <w:pStyle w:val="SingleTxtG"/>
        <w:rPr>
          <w:b/>
          <w:bCs/>
        </w:rPr>
      </w:pPr>
      <w:bookmarkStart w:id="3" w:name="_Hlk100230174"/>
      <w:r>
        <w:t>13.</w:t>
      </w:r>
      <w:r>
        <w:tab/>
      </w:r>
      <w:r>
        <w:rPr>
          <w:b/>
          <w:bCs/>
        </w:rPr>
        <w:t>Повторяя свою ранее вынесенную рекомендацию</w:t>
      </w:r>
      <w:r w:rsidRPr="005951F4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представить в своем следующем периодическом докладе информацию о применении Конвенции в национальных судах и других государственных органах, а также о мерах, принятых для содействия повышению осведомленности общественности, распространению и осуществлению Конвенции.</w:t>
      </w:r>
    </w:p>
    <w:bookmarkEnd w:id="3"/>
    <w:p w14:paraId="7296D026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Статья 76</w:t>
      </w:r>
    </w:p>
    <w:p w14:paraId="1EBC3AD1" w14:textId="77777777" w:rsidR="004E1629" w:rsidRPr="00496865" w:rsidRDefault="004E1629" w:rsidP="004E1629">
      <w:pPr>
        <w:pStyle w:val="SingleTxtG"/>
      </w:pPr>
      <w:r>
        <w:t>14.</w:t>
      </w:r>
      <w:r>
        <w:tab/>
        <w:t>Комитет с удовлетворением отмечает, что государство-участник сделало заявление в соответствии со статьей 77 Конвенции, и отмечает, что государство-участник еще не сделало заявления в соответствии со статьей 76 Конвенции, в которой признается компетенция Комитета получать сообщения от государств-участников.</w:t>
      </w:r>
    </w:p>
    <w:p w14:paraId="362924E4" w14:textId="77777777" w:rsidR="004E1629" w:rsidRPr="00496865" w:rsidRDefault="004E1629" w:rsidP="004E1629">
      <w:pPr>
        <w:pStyle w:val="SingleTxtG"/>
      </w:pPr>
      <w:r>
        <w:t>15.</w:t>
      </w:r>
      <w:r>
        <w:tab/>
      </w:r>
      <w:r>
        <w:rPr>
          <w:b/>
          <w:bCs/>
        </w:rPr>
        <w:t>Комитет призывает государство-участник как можно сделать заявление в соответствии со статьей 76 Конвенции и признать компетенцию Комитета получать сообщения от государств-участников и от отдельных лиц.</w:t>
      </w:r>
    </w:p>
    <w:p w14:paraId="637904CF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34BA6C11" w14:textId="19D90A3D" w:rsidR="004E1629" w:rsidRPr="00496865" w:rsidRDefault="004E1629" w:rsidP="004E1629">
      <w:pPr>
        <w:pStyle w:val="SingleTxtG"/>
      </w:pPr>
      <w:r>
        <w:t>16.</w:t>
      </w:r>
      <w:r>
        <w:tab/>
        <w:t>Комитет замечает, что государство-участник ратифицировало основные договоры по правам человека, а также несколько конвенций МОТ. Вместе с тем он замечает, что государство-участник еще не ратифицировало Конвенцию МОТ 1975 года о трудящихся-мигрантах (дополнительные положения) (</w:t>
      </w:r>
      <w:r>
        <w:t>№ </w:t>
      </w:r>
      <w:r>
        <w:t>143), Конвенцию МОТ 2006 года об основах, содействующих безопасности и гигиене труда (</w:t>
      </w:r>
      <w:r>
        <w:t>№ </w:t>
      </w:r>
      <w:r>
        <w:t>187), и</w:t>
      </w:r>
      <w:r w:rsidR="00941679">
        <w:rPr>
          <w:lang w:val="en-US"/>
        </w:rPr>
        <w:t> </w:t>
      </w:r>
      <w:r>
        <w:t>Протокол 2014 года к Конвенции 1930 года о принудительном труде (</w:t>
      </w:r>
      <w:r>
        <w:t>№ </w:t>
      </w:r>
      <w:r>
        <w:t>29).</w:t>
      </w:r>
    </w:p>
    <w:p w14:paraId="6ED08D1B" w14:textId="058103CD" w:rsidR="004E1629" w:rsidRPr="00496865" w:rsidRDefault="004E1629" w:rsidP="004E1629">
      <w:pPr>
        <w:pStyle w:val="SingleTxtG"/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ратифицировать Конвенцию МОТ 1975 года о трудящихся-мигрантах (дополнительные положения) (</w:t>
      </w:r>
      <w:r>
        <w:rPr>
          <w:b/>
          <w:bCs/>
        </w:rPr>
        <w:t>№ </w:t>
      </w:r>
      <w:r>
        <w:rPr>
          <w:b/>
          <w:bCs/>
        </w:rPr>
        <w:t>143), Конвенцию МОТ 2006 года об основах, содействующих безопасности и гигиене труда (</w:t>
      </w:r>
      <w:r>
        <w:rPr>
          <w:b/>
          <w:bCs/>
        </w:rPr>
        <w:t>№ </w:t>
      </w:r>
      <w:r>
        <w:rPr>
          <w:b/>
          <w:bCs/>
        </w:rPr>
        <w:t>187), и Протокол 2014 года к Конвенции 1930 года о принудительном труде (</w:t>
      </w:r>
      <w:r>
        <w:rPr>
          <w:b/>
          <w:bCs/>
        </w:rPr>
        <w:t>№ </w:t>
      </w:r>
      <w:r>
        <w:rPr>
          <w:b/>
          <w:bCs/>
        </w:rPr>
        <w:t>29).</w:t>
      </w:r>
    </w:p>
    <w:p w14:paraId="51C24935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Политика и стратегия</w:t>
      </w:r>
    </w:p>
    <w:p w14:paraId="257F4E99" w14:textId="77777777" w:rsidR="004E1629" w:rsidRPr="00496865" w:rsidRDefault="004E1629" w:rsidP="004E1629">
      <w:pPr>
        <w:pStyle w:val="SingleTxtG"/>
      </w:pPr>
      <w:r>
        <w:t>18.</w:t>
      </w:r>
      <w:r>
        <w:tab/>
        <w:t xml:space="preserve">Комитет с удовлетворением отмечает начало реализации в августе 2022 года Национального плана интеграции мигрантов, просителей убежища и беженцев, который координируется Национальным советом по миграции и осуществляется при широком участии государственных учреждений государства-участника, гражданского общества, частного сектора и учреждений Организации Объединенных Наций. Однако Комитет обеспокоен тем, что План все еще ожидает официального утверждения </w:t>
      </w:r>
      <w:r>
        <w:lastRenderedPageBreak/>
        <w:t>исполнительной властью для его эффективного и всеобъемлющего осуществления. Кроме того, Комитет обеспокоен недостаточностью выделенных кадровых, технических и финансовых ресурсов, необходимых учреждениям, участвующим в Плане, для достижения поставленных целей, а также для получения статистических данных о мигрантах и организации подготовки по вопросам их прав.</w:t>
      </w:r>
    </w:p>
    <w:p w14:paraId="1FF6FCFB" w14:textId="77777777" w:rsidR="004E1629" w:rsidRPr="00496865" w:rsidRDefault="004E1629" w:rsidP="004E1629">
      <w:pPr>
        <w:pStyle w:val="SingleTxtG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незамедлительно утвердить и эффективно и всесторонне осуществлять Национальный план интеграции мигрантов, просителей убежища и беженцев и выделить для этого необходимый объем кадровых, технических и финансовых ресурсов в соответствии со своими обязательствами по Конвенции и в консультации с гражданским обществом и структурами, задействованными в подготовке Национального плана, с тем чтобы обеспечить их участие.</w:t>
      </w:r>
    </w:p>
    <w:p w14:paraId="6153E1E7" w14:textId="77777777" w:rsidR="004E1629" w:rsidRPr="00496865" w:rsidRDefault="004E1629" w:rsidP="004E1629">
      <w:pPr>
        <w:pStyle w:val="SingleTxtG"/>
      </w:pPr>
      <w:r>
        <w:t>20.</w:t>
      </w:r>
      <w:r>
        <w:tab/>
        <w:t>Комитет с обеспокоенностью отмечает, что в условиях отсутствия доступа к государственным программам или специализированным услугам бесплатных юридических консультаций процесс поддержки и интеграции трудящихся-мигрантов и членов их семей по-прежнему в значительной степени зависит от усилий международного сотрудничества и организаций гражданского общества, прилагаемых в рамках гуманитарной помощи и проектов по включению в трудовую деятельность.</w:t>
      </w:r>
    </w:p>
    <w:p w14:paraId="6A0E4803" w14:textId="77777777" w:rsidR="004E1629" w:rsidRPr="00496865" w:rsidRDefault="004E1629" w:rsidP="004E1629">
      <w:pPr>
        <w:pStyle w:val="SingleTxtG"/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укрепить свою институциональную базу для обеспечения трудящимся-мигрантам и членам их семей доступа к государственным программам и бесплатным социальным услугам, в том числе к включению в трудовую деятельность, психосоциальной поддержке, юридической помощи и консультациям по миграционным документам.</w:t>
      </w:r>
    </w:p>
    <w:p w14:paraId="40ED86E9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735D8117" w14:textId="3919846F" w:rsidR="004E1629" w:rsidRPr="00496865" w:rsidRDefault="004E1629" w:rsidP="004E1629">
      <w:pPr>
        <w:pStyle w:val="SingleTxtG"/>
      </w:pPr>
      <w:r>
        <w:t>22.</w:t>
      </w:r>
      <w:r>
        <w:tab/>
        <w:t xml:space="preserve">Комитет с обеспокоенностью отмечает информацию о том, что Постоянный секретариат Комиссии по делам беженцев не располагает достаточными финансовыми и кадровыми ресурсами для реагирования и обеспечения эффективного управления системой. Кроме того, Комитет обеспокоен отсутствием конкретных внутренних правил и протоколов, обеспечивающих применение при процедурах определения статуса беженца и лица без гражданства подхода, учитывающего гендерные факторы, возраст и инвалидность. Комитет с обеспокоенностью отмечает также, что несмотря на упорядочение миграционных процедур, изложенных в Указе </w:t>
      </w:r>
      <w:r>
        <w:t>№ </w:t>
      </w:r>
      <w:r>
        <w:t>45/023, возросли трудности с получением видов на жительство, включая виды на жительство для граждан государств-участников и ассоциированных государств МЕРКОСУР, особенно в связи с длительностью и стоимостью процедур.</w:t>
      </w:r>
    </w:p>
    <w:p w14:paraId="652E5780" w14:textId="087EC022" w:rsidR="004E1629" w:rsidRPr="00496865" w:rsidRDefault="004E1629" w:rsidP="004E1629">
      <w:pPr>
        <w:pStyle w:val="SingleTxtG"/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предоставить Постоянному секретариату Комиссии по делам беженцев необходимые кадровые, технические и финансовые ресурсы для выполнения его мандата и обеспечить применение в правилах и процедурах определения статуса беженца и лица без гражданства подхода, учитывающего гендерные факторы, возраст и инвалидность.</w:t>
      </w:r>
      <w:r>
        <w:t xml:space="preserve"> </w:t>
      </w:r>
      <w:r>
        <w:rPr>
          <w:b/>
          <w:bCs/>
        </w:rPr>
        <w:t>Комитет рекомендует как можно скорее принять все надлежащие меры для того, чтобы гарантировать наличие и доступность процедур получения видов на жительство, особенно тех, которые касаются лиц, находящихся в ситуациях социальной и экономической уязвимости, в том числе на основе Соглашения о пребывании граждан государств</w:t>
      </w:r>
      <w:r>
        <w:rPr>
          <w:b/>
          <w:bCs/>
        </w:rPr>
        <w:t xml:space="preserve"> — </w:t>
      </w:r>
      <w:r>
        <w:rPr>
          <w:b/>
          <w:bCs/>
        </w:rPr>
        <w:t>участников МЕРКОСУР.</w:t>
      </w:r>
    </w:p>
    <w:p w14:paraId="3DDFA4FD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7C94F6F" w14:textId="77777777" w:rsidR="004E1629" w:rsidRPr="00496865" w:rsidRDefault="004E1629" w:rsidP="004E1629">
      <w:pPr>
        <w:pStyle w:val="SingleTxtG"/>
      </w:pPr>
      <w:r>
        <w:t>24.</w:t>
      </w:r>
      <w:r>
        <w:tab/>
        <w:t xml:space="preserve">Комитет с удовлетворением отмечает включение в Национальную перепись населения 2023 года конкретных вопросов, позволяющих собирать данные о миграционных потоках и характеристиках и интеграции трудящихся-мигрантов и членов их семей, а также проводить сбор и обработку информации о детском труде в рамках Национального обследования детского труда, которое будет включать в себя сведения в разбивке по гражданству. Вместе с тем Комитет с обеспокоенностью отмечает недостаточную координацию действий Национального института </w:t>
      </w:r>
      <w:r>
        <w:lastRenderedPageBreak/>
        <w:t>статистики и других соответствующих государственных органов в деле подготовки и распространения статистических данных о миграции, а также отсутствие обновленной информации о социальном, экономическом и образовательном положении трудящихся-мигрантов и членов их семей, включая просителей убежища и беженцев, что позволило бы провести исторический и сопоставительный анализ осуществления государством-участником прав, закрепленных в Конвенции. Комитет обеспокоен также тем, что непрерывное обследование домашних хозяйств, проводимое Национальным институтом статистики и являющееся основным источником обновленной информации о миграции, не содержит данных о групповом жилье, таком как пансионы или доходные дома, в которых проживают мигранты, находящиеся в уязвимом положении.</w:t>
      </w:r>
    </w:p>
    <w:p w14:paraId="10F920C8" w14:textId="77777777" w:rsidR="004E1629" w:rsidRPr="00496865" w:rsidRDefault="004E1629" w:rsidP="004E1629">
      <w:pPr>
        <w:pStyle w:val="SingleTxtG"/>
      </w:pPr>
      <w:bookmarkStart w:id="4" w:name="_Hlk5180366"/>
      <w:r>
        <w:t>25.</w:t>
      </w:r>
      <w:r>
        <w:tab/>
      </w:r>
      <w:r>
        <w:rPr>
          <w:b/>
          <w:bCs/>
        </w:rPr>
        <w:t>Повторяя свою ранее вынесенную рекомендацию</w:t>
      </w:r>
      <w:r w:rsidRPr="005951F4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 активизировать усилия по улучшению межведомственной координации между различными государственными органами, участвующими в подготовке и распространении статистических данных о миграции.</w:t>
      </w:r>
      <w:r>
        <w:t xml:space="preserve"> </w:t>
      </w:r>
      <w:r>
        <w:rPr>
          <w:b/>
          <w:bCs/>
        </w:rPr>
        <w:t>Кроме того, Комитет призывает государство-участник обеспечить широкий сбор данных о миграции, в том числе о мигрантах, находящихся в уязвимом положении, а также принять меры по обобщению данных, собранных в ходе переписи населения 2023 года, непрерывного обследования домашних хозяйств и других инструментов сбора информации о мигрантах и их семьях, а также по их использованию в качестве ключевого компонента для разработки, осуществления и оценки политики и программ, направленных на защиту всех прав, признанных в Конвенции и других договорах.</w:t>
      </w:r>
      <w:bookmarkStart w:id="5" w:name="_Hlk151562987"/>
      <w:bookmarkEnd w:id="5"/>
    </w:p>
    <w:p w14:paraId="406B48C3" w14:textId="77777777" w:rsidR="004E1629" w:rsidRPr="00496865" w:rsidRDefault="004E1629" w:rsidP="004E1629">
      <w:pPr>
        <w:pStyle w:val="H23G"/>
      </w:pPr>
      <w:r>
        <w:tab/>
      </w: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6ED32BD7" w14:textId="77777777" w:rsidR="004E1629" w:rsidRPr="00496865" w:rsidRDefault="004E1629" w:rsidP="004E1629">
      <w:pPr>
        <w:pStyle w:val="SingleTxtG"/>
      </w:pPr>
      <w:r>
        <w:t>26.</w:t>
      </w:r>
      <w:r>
        <w:tab/>
        <w:t>Комитет принимает к сведению курсы обучения и профессиональной подготовки, проводимые в сотрудничестве и координации с Международной организацией по миграции и гражданским обществом, включая научные круги, в целях укрепления потенциала государственных служащих в области прав человека, а также обязательств государства-участника согласно Конвенции. Однако Комитет обеспокоен тем, что не реализуется достаточного количества мероприятий по подготовке, распространению сведений и информационно-разъяснительной работе по вопросам применения Конвенции среди представителей разных уровней исполнительной и судебной власти, в органах управления на уровне департаментов и местных властей, а также среди сотрудников пограничных служб, полиции, служб социального обеспечения и трудовых инспекций. Комитет обеспокоен также недостаточным распространением информации о Конвенции среди трудящихся-мигрантов в государстве-участнике и за рубежом.</w:t>
      </w:r>
    </w:p>
    <w:p w14:paraId="3645D07D" w14:textId="77777777" w:rsidR="004E1629" w:rsidRPr="00496865" w:rsidRDefault="004E1629" w:rsidP="004E1629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F5C2F24" w14:textId="1ABF35D0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a)</w:t>
      </w:r>
      <w:r w:rsidRPr="004E1629">
        <w:rPr>
          <w:b/>
          <w:bCs/>
        </w:rPr>
        <w:tab/>
        <w:t>укреплять и расширять программы обучения и профессиональной подготовки по вопросам прав, закрепленных в Конвенции, для сотрудников государственных органов, занимающихся вопросами миграции, включая сотрудников правоохранительных органов и пограничной службы, судей, прокуроров, трудовых инспекторов, а также представителей органов управления на уровне департаментов и местных властей;</w:t>
      </w:r>
      <w:bookmarkStart w:id="6" w:name="_Hlk100230199"/>
      <w:bookmarkEnd w:id="6"/>
    </w:p>
    <w:p w14:paraId="7E8948D9" w14:textId="3480280E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b)</w:t>
      </w:r>
      <w:r w:rsidRPr="004E1629">
        <w:rPr>
          <w:b/>
          <w:bCs/>
        </w:rPr>
        <w:tab/>
        <w:t>внедрить эффективные механизмы оценки и анализа воздействия программ профессиональной подготовки, добиваясь того, чтобы большее число защитников и судей применяли положения Конвенции и замечания общего порядка в качестве основы для обжалования дел, если речь идет о защитниках, или для вынесения решений, если речь идет о судьях;</w:t>
      </w:r>
    </w:p>
    <w:p w14:paraId="73BCA5B0" w14:textId="338D8378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lastRenderedPageBreak/>
        <w:tab/>
      </w:r>
      <w:r w:rsidRPr="004E1629">
        <w:rPr>
          <w:b/>
          <w:bCs/>
        </w:rPr>
        <w:t>c)</w:t>
      </w:r>
      <w:r w:rsidRPr="004E1629">
        <w:rPr>
          <w:b/>
          <w:bCs/>
        </w:rPr>
        <w:tab/>
        <w:t>следить за тем, чтобы трудящиеся-мигранты как в государстве-участнике, так и за рубежом имели доступ к информации о своих правах, признанных в Конвенции;</w:t>
      </w:r>
    </w:p>
    <w:p w14:paraId="272D50B1" w14:textId="56F95906" w:rsidR="004E1629" w:rsidRPr="00496865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d)</w:t>
      </w:r>
      <w:r>
        <w:tab/>
      </w:r>
      <w:r>
        <w:rPr>
          <w:b/>
          <w:bCs/>
        </w:rPr>
        <w:t>укреплять сотрудничество с университетами, организациями гражданского общества и средствами массовой информации в целях распространения информации о Конвенции и содействия ее осуществлению, особенно в приграничных районах.</w:t>
      </w:r>
    </w:p>
    <w:p w14:paraId="107D649B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35893AAB" w14:textId="77777777" w:rsidR="004E1629" w:rsidRPr="00496865" w:rsidRDefault="004E1629" w:rsidP="004E1629">
      <w:pPr>
        <w:pStyle w:val="SingleTxtG"/>
      </w:pPr>
      <w:r>
        <w:t>28.</w:t>
      </w:r>
      <w:r>
        <w:tab/>
        <w:t>Комитет принимает к сведению информацию о том, что в мае 2016 года Национальное правозащитное учреждение и Управление омбудсмена было аккредитовано Глобальным альянсом национальных правозащитных учреждений и получило статус «А». Тем не менее Комитет обеспокоен отсутствием информации о независимости и ресурсах, которыми располагает Национальное правозащитное учреждение и Управление омбудсмена для выполнения своего мандата.</w:t>
      </w:r>
    </w:p>
    <w:p w14:paraId="6C9C79FA" w14:textId="77777777" w:rsidR="004E1629" w:rsidRPr="00496865" w:rsidRDefault="004E1629" w:rsidP="004E1629">
      <w:pPr>
        <w:pStyle w:val="SingleTxtG"/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включить в свой следующий доклад дополнительную информацию о полномочиях Национального правозащитного учреждения и Управления омбудсмена в плане защиты прав человека всех трудящихся-мигрантов и членов их семей в соответствии с Конвенцией и рекомендует укрепить его независимость и функционирование данного учреждения, обеспечив кадровые, технические и финансовые ресурсы, позволяющие ему выполнять свой мандат.</w:t>
      </w:r>
      <w:bookmarkEnd w:id="4"/>
    </w:p>
    <w:p w14:paraId="4A004D14" w14:textId="454C8158" w:rsidR="004E1629" w:rsidRPr="00496865" w:rsidRDefault="004E1629" w:rsidP="004E1629">
      <w:pPr>
        <w:pStyle w:val="H23G"/>
      </w:pPr>
      <w:r>
        <w:rPr>
          <w:bCs/>
        </w:rPr>
        <w:tab/>
      </w:r>
      <w:r>
        <w:rPr>
          <w:bCs/>
        </w:rPr>
        <w:t>2.</w:t>
      </w:r>
      <w:r>
        <w:rPr>
          <w:bCs/>
        </w:rPr>
        <w:tab/>
        <w:t>Общие принципы (статьи 7 и 83)</w:t>
      </w:r>
    </w:p>
    <w:p w14:paraId="0899C96B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0ED0B67C" w14:textId="753C99BF" w:rsidR="004E1629" w:rsidRPr="00496865" w:rsidRDefault="004E1629" w:rsidP="004E1629">
      <w:pPr>
        <w:pStyle w:val="SingleTxtG"/>
      </w:pPr>
      <w:r>
        <w:t>30.</w:t>
      </w:r>
      <w:r>
        <w:tab/>
        <w:t>Комитет принимает к сведению меры, принятые государством-участником для борьбы с дискриминацией и ксенофобией, для укрепления механизмов подачи жалоб и для содействия полному осуществлению прав человека трудящихся-мигрантов наравне с гражданами страны. Тем не менее Комитет обеспокоен отсутствием конкретного закона, запрещающего дискриминацию, возможной отменой положений по этой теме, закрепленных в Законе об аудиовизуальных коммуникационных услугах, а также ростом числа проявлений дискриминации и ксенофобии в отношении мигрантов и беженцев, что имеет серьезные последствия на уровне интеграции, в</w:t>
      </w:r>
      <w:r>
        <w:t> </w:t>
      </w:r>
      <w:r>
        <w:t>частности в плане доступа к имеющимся рабочим местам, заработной платы, условий труда и профессионального роста. Кроме того, Комитет с обеспокоенностью отмечает отсутствие информации о влиянии деятельности Почетной комиссии по борьбе с расизмом, ксенофобией и любыми другими формами дискриминации на случаи дискриминации в отношении мигрантов. Комитет обеспокоен также отсутствием информации о мерах, принятых для обеспечения гендерного равенства в миграционной политике, в частности для доступа трудящихся-мигранток к рабочим местам в организованном секторе.</w:t>
      </w:r>
    </w:p>
    <w:p w14:paraId="77F577C1" w14:textId="77777777" w:rsidR="004E1629" w:rsidRPr="00496865" w:rsidRDefault="004E1629" w:rsidP="004E1629">
      <w:pPr>
        <w:pStyle w:val="SingleTxtG"/>
      </w:pPr>
      <w:r>
        <w:t>31.</w:t>
      </w:r>
      <w:r>
        <w:tab/>
      </w:r>
      <w:r>
        <w:rPr>
          <w:b/>
          <w:bCs/>
        </w:rPr>
        <w:t>Комитет повторяет свою ранее вынесенную рекомендацию</w:t>
      </w:r>
      <w:r w:rsidRPr="005951F4">
        <w:rPr>
          <w:rStyle w:val="aa"/>
        </w:rPr>
        <w:footnoteReference w:id="7"/>
      </w:r>
      <w:r>
        <w:rPr>
          <w:b/>
          <w:bCs/>
        </w:rPr>
        <w:t xml:space="preserve"> и рекомендует государству-участнику ввести в действие конкретное законодательство, запрещающее дискриминацию, и укрепить механизмы подачи жалоб, избегая при этом отмены существующих положений, направленных на предотвращение ненавистнических высказываний в средствах массовой информации.</w:t>
      </w:r>
      <w:r>
        <w:t xml:space="preserve"> </w:t>
      </w:r>
      <w:r>
        <w:rPr>
          <w:b/>
          <w:bCs/>
        </w:rPr>
        <w:t>Комитет рекомендует государству-участнику гарантировать участие Почетной комиссии по борьбе с расизмом, ксенофобией и любыми другими формами дискриминации в разработке и проведении государственной политики, касающейся трудящихся-мигрантов и членов их семей, и обеспечить ее кадровыми и бюджетными ресурсами, необходимыми для выполнения ее мандата.</w:t>
      </w:r>
      <w:r>
        <w:t xml:space="preserve"> </w:t>
      </w:r>
      <w:r>
        <w:rPr>
          <w:b/>
          <w:bCs/>
        </w:rPr>
        <w:t xml:space="preserve">Комитет рекомендует также государству-участнику в сотрудничестве со средствами массовой информации активизировать усилия по повышению осведомленности широкой </w:t>
      </w:r>
      <w:r>
        <w:rPr>
          <w:b/>
          <w:bCs/>
        </w:rPr>
        <w:lastRenderedPageBreak/>
        <w:t>общественности о борьбе с дискриминацией в отношении трудящихся-мигрантов и членов их семей и принять все необходимые меры для обеспечения гендерного равенства в миграционной политике, в частности меры по ликвидации как дискриминации в отношении мигранток, так и всех форм гендерного насилия в отношении женщин, а также в осуществлении их прав.</w:t>
      </w:r>
      <w:r>
        <w:t xml:space="preserve"> </w:t>
      </w:r>
      <w:r>
        <w:rPr>
          <w:b/>
          <w:bCs/>
        </w:rPr>
        <w:t>Кроме того, он рекомендует государству-участнику провести, в том числе среди государственных служащих, информационно-просветительские кампании о правах и присутствии мигрантов на его территории, с тем чтобы избежать любых проявлений дискриминации или использования дискриминационных высказываний в их адрес.</w:t>
      </w:r>
    </w:p>
    <w:p w14:paraId="1F00169C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Эффективные средства правовой защиты</w:t>
      </w:r>
    </w:p>
    <w:p w14:paraId="61701CF0" w14:textId="77777777" w:rsidR="004E1629" w:rsidRPr="00496865" w:rsidRDefault="004E1629" w:rsidP="004E1629">
      <w:pPr>
        <w:pStyle w:val="SingleTxtG"/>
      </w:pPr>
      <w:r>
        <w:t>32.</w:t>
      </w:r>
      <w:r>
        <w:tab/>
        <w:t>Комитет принимает к сведению деятельность по укреплению распространения информации об имеющихся механизмах подачи жалоб на нарушения прав</w:t>
      </w:r>
      <w:r w:rsidRPr="00E05E10">
        <w:t xml:space="preserve"> </w:t>
      </w:r>
      <w:r>
        <w:t>человека и получения эффективных средств правовой защиты. Однако Комитет обеспокоен тем, что доступ трудящихся-мигрантов к правосудию остается ограниченным, поскольку они не знают, как получить доступ к механизмам подачи жалоб и средствам правовой защиты, на которые они имеют право.</w:t>
      </w:r>
    </w:p>
    <w:p w14:paraId="2512FADB" w14:textId="77777777" w:rsidR="004E1629" w:rsidRPr="00496865" w:rsidRDefault="004E1629" w:rsidP="004E1629">
      <w:pPr>
        <w:pStyle w:val="SingleTxtG"/>
      </w:pPr>
      <w:r>
        <w:t>33.</w:t>
      </w:r>
      <w:r>
        <w:tab/>
      </w:r>
      <w:r>
        <w:rPr>
          <w:b/>
          <w:bCs/>
        </w:rPr>
        <w:t>Комитет повторяет свою ранее вынесенную рекомендацию</w:t>
      </w:r>
      <w:r w:rsidRPr="005951F4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 обеспечить, чтобы трудящиеся-мигранты и члены их семей имели доступ к соответствующей практической информации о существующих в государстве-участнике механизмах подачи жалоб и получения возмещения ущерба в компетентных судебных органах, а также о наличии юридической помощи.</w:t>
      </w:r>
    </w:p>
    <w:p w14:paraId="642E6AF7" w14:textId="15F56729" w:rsidR="004E1629" w:rsidRPr="00496865" w:rsidRDefault="004E1629" w:rsidP="004E1629">
      <w:pPr>
        <w:pStyle w:val="H23G"/>
      </w:pPr>
      <w:r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(статьи 8–35)</w:t>
      </w:r>
    </w:p>
    <w:p w14:paraId="63CA638A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Трудовые права</w:t>
      </w:r>
    </w:p>
    <w:p w14:paraId="66598EDB" w14:textId="77777777" w:rsidR="004E1629" w:rsidRPr="00496865" w:rsidRDefault="004E1629" w:rsidP="004E1629">
      <w:pPr>
        <w:pStyle w:val="SingleTxtG"/>
      </w:pPr>
      <w:r>
        <w:t>34.</w:t>
      </w:r>
      <w:r>
        <w:tab/>
        <w:t>Комитет с удовлетворением отмечает создание в 2017 году подразделения по вопросам миграции в Министерстве труда и социального обеспечения. Вместе с тем Комитет обеспокоен сохранением дискриминации в отношении трудящихся-мигрантов, в частности в плане доступа к рабочим местам, вознаграждения, условий труда и профессионального роста, отсутствием достаточного количества трудовых инспекций в неформальных секторах, на что указывала делегация в ходе конструктивного диалога, а также уровнем неформальной и нестабильной занятости трудящихся-мигрантов. Он обеспокоен также тем, что, несмотря на принятые меры, трудящиеся-мигранты по-прежнему сталкиваются с трудностями при признании своих трудовых навыков и дипломов и свидетельств об образовании для того, чтобы иметь возможность выполнять работу по полученной специальности. Кроме того, Комитет с обеспокоенностью отмечает сохраняющиеся проблемы, связанные с эффективной защитой трудящихся-мигранток, работающих в качестве домашней прислуги, в частности женщин с неурегулированным статусом, которые по-прежнему уязвимы к ненадлежащим условиям труда.</w:t>
      </w:r>
    </w:p>
    <w:p w14:paraId="14CA4CB7" w14:textId="77777777" w:rsidR="004E1629" w:rsidRPr="00496865" w:rsidRDefault="004E1629" w:rsidP="004E1629">
      <w:pPr>
        <w:pStyle w:val="SingleTxtG"/>
      </w:pPr>
      <w:r>
        <w:t>35.</w:t>
      </w:r>
      <w:r>
        <w:tab/>
      </w:r>
      <w:r>
        <w:rPr>
          <w:b/>
          <w:bCs/>
        </w:rPr>
        <w:t>Комитет повторяет свою ранее вынесенную рекомендацию</w:t>
      </w:r>
      <w:r w:rsidRPr="005951F4">
        <w:rPr>
          <w:rStyle w:val="aa"/>
        </w:rPr>
        <w:footnoteReference w:id="9"/>
      </w:r>
      <w:r>
        <w:rPr>
          <w:b/>
          <w:bCs/>
        </w:rPr>
        <w:t xml:space="preserve"> и призывает государство-участник активизировать усилия по обеспечению того, чтобы трудящиеся-мигранты, в частности трудящиеся-мигрантки, работающие в качестве домашней прислуги, пользовались теми же условиями труда и гарантиями, что и граждане страны</w:t>
      </w:r>
      <w:r>
        <w:t xml:space="preserve">. </w:t>
      </w:r>
      <w:r>
        <w:rPr>
          <w:b/>
          <w:bCs/>
        </w:rPr>
        <w:t>Он рекомендует также принять необходимые меры для проведения регулярных трудовых инспекций в секторах неформальной экономики в рамках политики, направленной на поощрение официальной и защищенной занятости для всех трудящихся-мигрантов.</w:t>
      </w:r>
      <w:r>
        <w:t xml:space="preserve"> </w:t>
      </w:r>
      <w:r>
        <w:rPr>
          <w:b/>
          <w:bCs/>
        </w:rPr>
        <w:t xml:space="preserve">Комитет рекомендует активизировать усилия по как можно более быстрому и эффективному признанию дипломов и свидетельств об образовании и трудовых </w:t>
      </w:r>
      <w:r>
        <w:rPr>
          <w:b/>
          <w:bCs/>
        </w:rPr>
        <w:lastRenderedPageBreak/>
        <w:t>навыков, приобретенных трудящимися-мигрантами за пределами государства-участника.</w:t>
      </w:r>
    </w:p>
    <w:p w14:paraId="2FEDC433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Здравоохранение</w:t>
      </w:r>
    </w:p>
    <w:p w14:paraId="4F8CA973" w14:textId="7CCA8BA2" w:rsidR="004E1629" w:rsidRPr="00496865" w:rsidRDefault="004E1629" w:rsidP="004E1629">
      <w:pPr>
        <w:pStyle w:val="SingleTxtG"/>
      </w:pPr>
      <w:r>
        <w:t>36.</w:t>
      </w:r>
      <w:r>
        <w:tab/>
        <w:t xml:space="preserve">Комитет приветствует меры, принятые государством-участником для обеспечения доступа трудящихся-мигрантов и членов их семей к медико-санитарному обслуживанию, включая психиатрическую помощь. Вместе с тем Комитет обеспокоен основанным на Законе </w:t>
      </w:r>
      <w:r>
        <w:t>№ </w:t>
      </w:r>
      <w:r>
        <w:t>18.987 требованием о годичном пребывании мигранток в стране для получения доступа к услугам по добровольному прерыванию беременности.</w:t>
      </w:r>
    </w:p>
    <w:p w14:paraId="624D8135" w14:textId="384B5E86" w:rsidR="004E1629" w:rsidRPr="00496865" w:rsidRDefault="004E1629" w:rsidP="004E1629">
      <w:pPr>
        <w:pStyle w:val="SingleTxtG"/>
      </w:pPr>
      <w:r>
        <w:t>37.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Закон </w:t>
      </w:r>
      <w:r>
        <w:rPr>
          <w:b/>
          <w:bCs/>
        </w:rPr>
        <w:t>№ </w:t>
      </w:r>
      <w:r>
        <w:rPr>
          <w:b/>
          <w:bCs/>
        </w:rPr>
        <w:t>18.987, с тем чтобы обеспечить мигранткам возможность пользоваться правами, признанными в этом законе, наравне с гражданами страны.</w:t>
      </w:r>
    </w:p>
    <w:p w14:paraId="5262C5B0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Убежище</w:t>
      </w:r>
    </w:p>
    <w:p w14:paraId="3246DF4F" w14:textId="77777777" w:rsidR="004E1629" w:rsidRPr="00496865" w:rsidRDefault="004E1629" w:rsidP="004E1629">
      <w:pPr>
        <w:pStyle w:val="SingleTxtG"/>
      </w:pPr>
      <w:r>
        <w:t>38.</w:t>
      </w:r>
      <w:r>
        <w:tab/>
        <w:t>Комитет принимает к сведению значительное увеличение в последние годы числа мигрантов, ищущих убежище (статус беженца) в государстве-участнике, и меры, принятые для ускорения процедур их оценки и проверки. Вместе с тем его беспокоит значительное отставание в обработке этих запросов.</w:t>
      </w:r>
    </w:p>
    <w:p w14:paraId="63F1A287" w14:textId="77777777" w:rsidR="004E1629" w:rsidRPr="00496865" w:rsidRDefault="004E1629" w:rsidP="004E1629">
      <w:pPr>
        <w:pStyle w:val="SingleTxtG"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ускорению рассмотрения ходатайств о предоставлении статуса беженца и обеспечить, чтобы Комиссия по делам беженцев была обеспечена необходимыми кадровыми, техническими и финансовыми ресурсами для этой цели.</w:t>
      </w:r>
    </w:p>
    <w:p w14:paraId="47F50429" w14:textId="77777777" w:rsidR="004E1629" w:rsidRPr="00496865" w:rsidRDefault="004E1629" w:rsidP="004E1629">
      <w:pPr>
        <w:pStyle w:val="SingleTxtG"/>
      </w:pPr>
      <w:r>
        <w:t>40.</w:t>
      </w:r>
      <w:r>
        <w:tab/>
        <w:t>Комитет обеспокоен сообщениями о том, что для изменения миграционного статуса с беженца на резидента кубинские беженцы должны обязательно покинуть страну и вернуться обратно.</w:t>
      </w:r>
    </w:p>
    <w:p w14:paraId="1DAD810C" w14:textId="77777777" w:rsidR="004E1629" w:rsidRPr="00496865" w:rsidRDefault="004E1629" w:rsidP="004E1629">
      <w:pPr>
        <w:pStyle w:val="SingleTxtG"/>
      </w:pPr>
      <w:r>
        <w:t>41.</w:t>
      </w:r>
      <w:r>
        <w:tab/>
      </w:r>
      <w:r>
        <w:rPr>
          <w:b/>
          <w:bCs/>
        </w:rPr>
        <w:t>Комитет настоятельно призывает государство-участник адаптировать внутренние правила и процедуры, с тем чтобы облегчить лицам, признанным беженцами, оперативные и разумные способы получения статуса резидента.</w:t>
      </w:r>
    </w:p>
    <w:p w14:paraId="243C6F45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Гражданство</w:t>
      </w:r>
    </w:p>
    <w:p w14:paraId="3D856F9A" w14:textId="77777777" w:rsidR="004E1629" w:rsidRPr="00496865" w:rsidRDefault="004E1629" w:rsidP="004E1629">
      <w:pPr>
        <w:pStyle w:val="SingleTxtG"/>
      </w:pPr>
      <w:r>
        <w:t>42.</w:t>
      </w:r>
      <w:r>
        <w:tab/>
        <w:t xml:space="preserve">Комитет обеспокоен нормативным различием, проводимым между гражданством по происхождению и приобретенным гражданством, а также влиянием указанного различия на полное осуществление прав трудящихся-мигрантов и членов их семей, в том числе в плане права на свободу передвижения, права на гражданство и предотвращения </w:t>
      </w:r>
      <w:proofErr w:type="spellStart"/>
      <w:r>
        <w:t>безгражданства</w:t>
      </w:r>
      <w:proofErr w:type="spellEnd"/>
      <w:r>
        <w:t>.</w:t>
      </w:r>
    </w:p>
    <w:p w14:paraId="43173000" w14:textId="77777777" w:rsidR="004E1629" w:rsidRPr="00496865" w:rsidRDefault="004E1629" w:rsidP="004E1629">
      <w:pPr>
        <w:pStyle w:val="SingleTxtG"/>
      </w:pPr>
      <w:r>
        <w:t>43.</w:t>
      </w:r>
      <w:r>
        <w:tab/>
      </w:r>
      <w:r>
        <w:rPr>
          <w:b/>
          <w:bCs/>
        </w:rPr>
        <w:t>Комитет призывает государство-участник принять необходимые законодательные и/или административные меры для обеспечения того, чтобы трудящиеся-мигранты, имеющие «приобретенное гражданство», могли в полной мере осуществлять свои права наравне с гражданами страны, включая пересмотр порядка выдачи паспортов во избежание ограничения их права на свободу передвижения.</w:t>
      </w:r>
      <w:r>
        <w:t xml:space="preserve"> </w:t>
      </w:r>
      <w:r>
        <w:rPr>
          <w:b/>
          <w:bCs/>
        </w:rPr>
        <w:t>Кроме того, он рекомендует государству-участнику рассмотреть возможность принятия мер по облегчению доступа мигрантов, проживающих в государстве-участнике, к уругвайскому гражданству через обычные каналы натурализации.</w:t>
      </w:r>
      <w:r>
        <w:t xml:space="preserve"> </w:t>
      </w:r>
      <w:r>
        <w:rPr>
          <w:b/>
          <w:bCs/>
        </w:rPr>
        <w:t>Наконец, он рекомендует принять меры по содействию признанию уругвайского гражданства в качестве обычного механизма защиты прав уязвимых лиц, включая несопровождаемых детей, лиц без гражданства и беженцев.</w:t>
      </w:r>
    </w:p>
    <w:p w14:paraId="6B994DA8" w14:textId="00468A7D" w:rsidR="004E1629" w:rsidRPr="00496865" w:rsidRDefault="004E1629" w:rsidP="004E1629">
      <w:pPr>
        <w:pStyle w:val="H23G"/>
      </w:pPr>
      <w:r>
        <w:rPr>
          <w:bCs/>
        </w:rPr>
        <w:lastRenderedPageBreak/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урегулированный статус (статьи 36–56)</w:t>
      </w:r>
    </w:p>
    <w:p w14:paraId="7345282E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Мигрантки</w:t>
      </w:r>
    </w:p>
    <w:p w14:paraId="3F235A2E" w14:textId="77777777" w:rsidR="004E1629" w:rsidRPr="00496865" w:rsidRDefault="004E1629" w:rsidP="004E1629">
      <w:pPr>
        <w:pStyle w:val="SingleTxtG"/>
      </w:pPr>
      <w:r>
        <w:t>44.</w:t>
      </w:r>
      <w:r>
        <w:tab/>
        <w:t>Комитет с обеспокоенностью отмечает скудость информации о доступе к услугам поддержки для трудящихся-мигранток, в частности работающих в качестве домашней прислуги.</w:t>
      </w:r>
    </w:p>
    <w:p w14:paraId="4A477F16" w14:textId="77777777" w:rsidR="004E1629" w:rsidRPr="00496865" w:rsidRDefault="004E1629" w:rsidP="004E1629">
      <w:pPr>
        <w:pStyle w:val="SingleTxtG"/>
      </w:pPr>
      <w:r>
        <w:t>45.</w:t>
      </w:r>
      <w:r>
        <w:tab/>
      </w:r>
      <w:r>
        <w:rPr>
          <w:b/>
          <w:bCs/>
        </w:rPr>
        <w:t>Ссылаясь на рекомендацию Комитета по ликвидации дискриминации в отношении женщин</w:t>
      </w:r>
      <w:r w:rsidRPr="005951F4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 укрепить меры по защите трудящихся-мигранток, в частности работающих в качестве домашней прислуги, путем расширения кампаний по информированию широкой общественности об их правах и обеспечения им доступа к информации о механизмах подачи жалоб.</w:t>
      </w:r>
    </w:p>
    <w:p w14:paraId="33E349CE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Дети-мигранты и подростки-мигранты</w:t>
      </w:r>
    </w:p>
    <w:p w14:paraId="3193435F" w14:textId="77777777" w:rsidR="004E1629" w:rsidRPr="00496865" w:rsidRDefault="004E1629" w:rsidP="004E1629">
      <w:pPr>
        <w:pStyle w:val="SingleTxtG"/>
      </w:pPr>
      <w:r>
        <w:t>46.</w:t>
      </w:r>
      <w:r>
        <w:tab/>
        <w:t>Комитет с удовлетворением отмечает принятие в декабре 2022 года Протокола об оказании помощи на границе детям-иностранцам и подросткам-иностранцам, не имеющим документов, в соответствии с Региональным руководством МЕРКОСУР по выявлению и удовлетворению особых потребностей детей-мигрантов и подростков-мигрантов в защите их прав. В нем обращается внимание на необходимость принятия всех необходимых мер, включая оперативные меры и меры по межведомственной координации, для обеспечения его эффективной реализации.</w:t>
      </w:r>
    </w:p>
    <w:p w14:paraId="798C5DB0" w14:textId="6F5E33E1" w:rsidR="004E1629" w:rsidRPr="00496865" w:rsidRDefault="004E1629" w:rsidP="004E1629">
      <w:pPr>
        <w:pStyle w:val="SingleTxtG"/>
      </w:pPr>
      <w:r>
        <w:t>47.</w:t>
      </w:r>
      <w:r>
        <w:tab/>
      </w:r>
      <w:r>
        <w:rPr>
          <w:b/>
          <w:bCs/>
        </w:rPr>
        <w:t>Комитет призывает государство-участник принять все необходимые меры для всесторонней защиты прав детей, особенно несопровождаемых и разлученных с родителями, а также детей с неурегулированным миграционным статусом, в контексте миграции, включая укрепление сотрудничества между Уругвайским институтом по делам детей и подростков</w:t>
      </w:r>
      <w:r>
        <w:rPr>
          <w:b/>
          <w:bCs/>
        </w:rPr>
        <w:t xml:space="preserve"> — </w:t>
      </w:r>
      <w:r>
        <w:rPr>
          <w:b/>
          <w:bCs/>
        </w:rPr>
        <w:t>как руководящим органом</w:t>
      </w:r>
      <w:r>
        <w:rPr>
          <w:b/>
          <w:bCs/>
        </w:rPr>
        <w:t xml:space="preserve"> — </w:t>
      </w:r>
      <w:r>
        <w:rPr>
          <w:b/>
          <w:bCs/>
        </w:rPr>
        <w:t xml:space="preserve">и органами по вопросам миграции, предоставления убежища, социальной защиты, оказания помощи жертвам торговли людьми и другими, а также обеспечить, чтобы в основе процедур и решений лежал принцип наилучшего обеспечения интересов ребенка и чтобы они основывались на стандартах, установленных в совместных замечаниях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3 и </w:t>
      </w:r>
      <w:r>
        <w:rPr>
          <w:b/>
          <w:bCs/>
        </w:rPr>
        <w:t>№ </w:t>
      </w:r>
      <w:r>
        <w:rPr>
          <w:b/>
          <w:bCs/>
        </w:rPr>
        <w:t>4 Комитета по защите прав всех трудящихся-мигрантов и членов их семей/</w:t>
      </w:r>
      <w:r>
        <w:rPr>
          <w:b/>
          <w:bCs/>
        </w:rPr>
        <w:t>№ </w:t>
      </w:r>
      <w:r>
        <w:rPr>
          <w:b/>
          <w:bCs/>
        </w:rPr>
        <w:t xml:space="preserve">22 и </w:t>
      </w:r>
      <w:r>
        <w:rPr>
          <w:b/>
          <w:bCs/>
        </w:rPr>
        <w:t>№ </w:t>
      </w:r>
      <w:r>
        <w:rPr>
          <w:b/>
          <w:bCs/>
        </w:rPr>
        <w:t>23 Комитета по правам ребенка (2017).</w:t>
      </w:r>
    </w:p>
    <w:p w14:paraId="18F32266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427B6777" w14:textId="77777777" w:rsidR="004E1629" w:rsidRPr="00496865" w:rsidRDefault="004E1629" w:rsidP="004E1629">
      <w:pPr>
        <w:pStyle w:val="SingleTxtG"/>
      </w:pPr>
      <w:r>
        <w:t>48.</w:t>
      </w:r>
      <w:r>
        <w:tab/>
        <w:t>Комитет обеспокоен полученной информацией о случаях проявления ксенофобии в отношении детей-мигрантов</w:t>
      </w:r>
      <w:r w:rsidRPr="00276526">
        <w:t xml:space="preserve"> </w:t>
      </w:r>
      <w:r>
        <w:t>в школьной среде. Комитет с обеспокоенностью отмечает также отсутствие информации о доступе мигрантов с неурегулированным статусом к высшему образованию.</w:t>
      </w:r>
    </w:p>
    <w:p w14:paraId="133D13DA" w14:textId="77777777" w:rsidR="004E1629" w:rsidRPr="00496865" w:rsidRDefault="004E1629" w:rsidP="004E1629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рамках образовательной политики, программ по борьбе с расизмом и Национального плана интеграции мигрантов, просителей убежища и беженцев усилить меры по предотвращению дискриминации, ксенофобии и расизма в отношении детей-мигрантов в школах путем поощрения программ, направленных на инклюзивное и межкультурное гражданское воспитание.</w:t>
      </w:r>
      <w:r>
        <w:t xml:space="preserve"> </w:t>
      </w:r>
      <w:r>
        <w:rPr>
          <w:b/>
          <w:bCs/>
        </w:rPr>
        <w:t>Кроме того, Комитет призывает государство-участник включить в свой следующий периодический доклад информацию о доступе мигрантов с неурегулированным статусом к высшему образованию.</w:t>
      </w:r>
    </w:p>
    <w:p w14:paraId="292F60F2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Жилище</w:t>
      </w:r>
    </w:p>
    <w:p w14:paraId="19A6FA16" w14:textId="77777777" w:rsidR="004E1629" w:rsidRPr="00496865" w:rsidRDefault="004E1629" w:rsidP="004E1629">
      <w:pPr>
        <w:pStyle w:val="SingleTxtG"/>
      </w:pPr>
      <w:r>
        <w:t>50.</w:t>
      </w:r>
      <w:r>
        <w:tab/>
        <w:t xml:space="preserve">Комитет с удовлетворением отмечает меры, принятые государством-участником для обеспечения доступа трудящихся-мигрантов и членов их семей, особенно тех, кто находится в уязвимом положении, к достойному временному жилью. </w:t>
      </w:r>
      <w:r>
        <w:lastRenderedPageBreak/>
        <w:t>Однако Комитет обеспокоен тем, что этих мер недостаточно для облегчения их доступа к надлежащему постоянному жилью, а также озабочен случаями принудительного выселения семей трудящихся-мигрантов, в результате которых дети и семьи оказываются на улице. Кроме того, вызывает обеспокоенность отсутствие долгосрочных стратегий по обеспечению постоянным жильем.</w:t>
      </w:r>
    </w:p>
    <w:p w14:paraId="35D4CD1F" w14:textId="77777777" w:rsidR="004E1629" w:rsidRPr="00496865" w:rsidRDefault="004E1629" w:rsidP="004E1629">
      <w:pPr>
        <w:pStyle w:val="SingleTxtG"/>
      </w:pPr>
      <w:r>
        <w:t>51.</w:t>
      </w:r>
      <w:r>
        <w:tab/>
      </w:r>
      <w:r>
        <w:rPr>
          <w:b/>
          <w:bCs/>
        </w:rPr>
        <w:t>Комитет призывает государство-участник продолжать и укреплять инициативы по предоставлению трудящимся-мигрантам, находящимся в уязвимом положении, адекватного, доступного и недорогого временного жилья, в том числе меры по недопущению того, чтобы трудящиеся-мигранты и их семьи, включая детей, оказывались на улице, а также принять стратегии по облегчению их доступа к постоянному жилью.</w:t>
      </w:r>
    </w:p>
    <w:p w14:paraId="3FCE01C4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Голосование</w:t>
      </w:r>
    </w:p>
    <w:p w14:paraId="5D269E6F" w14:textId="0486E465" w:rsidR="004E1629" w:rsidRPr="00496865" w:rsidRDefault="004E1629" w:rsidP="004E1629">
      <w:pPr>
        <w:pStyle w:val="SingleTxtG"/>
      </w:pPr>
      <w:r>
        <w:t>52.</w:t>
      </w:r>
      <w:r>
        <w:tab/>
        <w:t xml:space="preserve">Комитет принимает к сведению принятие в 2018 году Закона </w:t>
      </w:r>
      <w:r>
        <w:t>№ </w:t>
      </w:r>
      <w:r>
        <w:t>19.654 о правах и обязанностях гражданина, в соответствии с которым была создана комиссия по анализу правовых альтернатив для осуществления консульского голосования и обеспечения реализации права голоса уругвайцами, проживающими за рубежом, а</w:t>
      </w:r>
      <w:r w:rsidR="00941679">
        <w:rPr>
          <w:lang w:val="en-US"/>
        </w:rPr>
        <w:t> </w:t>
      </w:r>
      <w:r>
        <w:t xml:space="preserve">также вынесенное в 2020 году решение Верховного суда о признании некоторых статей Закона </w:t>
      </w:r>
      <w:r>
        <w:t>№ </w:t>
      </w:r>
      <w:r>
        <w:t>19.654 неконституционными. Комитет обеспокоен тем, что, несмотря на информацию, содержавшуюся в докладах, представленных в 2013 и 2023 годах, до</w:t>
      </w:r>
      <w:r w:rsidR="00941679">
        <w:rPr>
          <w:lang w:val="en-US"/>
        </w:rPr>
        <w:t> </w:t>
      </w:r>
      <w:r>
        <w:t>сих пор не приняты надлежащие меры для обеспечения эффективного осуществления права голоса уругвайскими трудящимися-мигрантами за рубежом в соответствии со статьей 41 Конвенции и предыдущей рекомендацией Комитета.</w:t>
      </w:r>
    </w:p>
    <w:p w14:paraId="2D98E72F" w14:textId="77777777" w:rsidR="004E1629" w:rsidRPr="00496865" w:rsidRDefault="004E1629" w:rsidP="004E1629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повторяет свою ранее вынесенную рекомендацию государству-участнику принять все необходимые меры для обеспечения эффективного пользования находящимися за рубежом уругвайскими трудящимися-мигрантами правом голоса</w:t>
      </w:r>
      <w:r w:rsidRPr="005951F4">
        <w:rPr>
          <w:rStyle w:val="aa"/>
        </w:rPr>
        <w:footnoteReference w:id="11"/>
      </w:r>
      <w:r>
        <w:rPr>
          <w:b/>
          <w:bCs/>
        </w:rPr>
        <w:t>.</w:t>
      </w:r>
    </w:p>
    <w:p w14:paraId="5DE9CE43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</w:p>
    <w:p w14:paraId="6D9AD886" w14:textId="6D14DF00" w:rsidR="004E1629" w:rsidRPr="00496865" w:rsidRDefault="004E1629" w:rsidP="004E1629">
      <w:pPr>
        <w:pStyle w:val="SingleTxtG"/>
      </w:pPr>
      <w:r>
        <w:t>54.</w:t>
      </w:r>
      <w:r>
        <w:tab/>
        <w:t xml:space="preserve">Комитет принимает к сведению информацию о механизмах, принятых государством-участником для облегчения доступа трудящихся-мигрантов и членов их семей к удостоверениям личности и регистрации в системе социального обеспечения. Комитет отмечает также изменения в правовом режиме социального обеспечения и в критериях, касающихся подтверждения постоянного проживания для получения доступа к не основанным на взносах пенсиям по старости и по инвалидности. Однако Комитет обеспокоен тем, что, хотя эти изменения представляют собой важный шаг вперед по сравнению с предыдущей системой, требование о десятилетнем проживании в стране оказывает особое влияние на мигрантов и их семьи, ограничивая осуществление ими права на социальное обеспечение, в том числе в случае детей, родители которых не укладываются в требуемый срок, как это предусмотрено в статье 8 Закона </w:t>
      </w:r>
      <w:r>
        <w:t>№ </w:t>
      </w:r>
      <w:r>
        <w:t>18.250.</w:t>
      </w:r>
    </w:p>
    <w:p w14:paraId="68717401" w14:textId="49CB6B1F" w:rsidR="004E1629" w:rsidRPr="00496865" w:rsidRDefault="004E1629" w:rsidP="004E1629">
      <w:pPr>
        <w:pStyle w:val="SingleTxtG"/>
      </w:pPr>
      <w:r>
        <w:t>55.</w:t>
      </w:r>
      <w:r>
        <w:tab/>
      </w:r>
      <w:r>
        <w:rPr>
          <w:b/>
          <w:bCs/>
        </w:rPr>
        <w:t>Комитет повторяет свою ранее вынесенную рекомендацию</w:t>
      </w:r>
      <w:r w:rsidRPr="005951F4">
        <w:rPr>
          <w:rStyle w:val="aa"/>
        </w:rPr>
        <w:footnoteReference w:id="12"/>
      </w:r>
      <w:r>
        <w:rPr>
          <w:b/>
          <w:bCs/>
        </w:rPr>
        <w:t xml:space="preserve"> и рекомендует государству-участнику рассмотреть вопрос о пересмотре правового режима социального обеспечения с целью гарантирования того, чтобы требования к доступу к не основанным на взносах пенсиям, направленным на социальную защиту лиц, находящихся в уязвимом положении, были совместимы с Конвенцией и положениями статьи 8 Закона </w:t>
      </w:r>
      <w:r>
        <w:rPr>
          <w:b/>
          <w:bCs/>
        </w:rPr>
        <w:t>№ </w:t>
      </w:r>
      <w:r>
        <w:rPr>
          <w:b/>
          <w:bCs/>
        </w:rPr>
        <w:t>18.250.</w:t>
      </w:r>
    </w:p>
    <w:p w14:paraId="637C36C8" w14:textId="72EC5109" w:rsidR="004E1629" w:rsidRPr="00496865" w:rsidRDefault="004E1629" w:rsidP="004E1629">
      <w:pPr>
        <w:pStyle w:val="H23G"/>
      </w:pPr>
      <w:r>
        <w:rPr>
          <w:bCs/>
        </w:rPr>
        <w:lastRenderedPageBreak/>
        <w:tab/>
      </w:r>
      <w:r>
        <w:rPr>
          <w:bCs/>
        </w:rPr>
        <w:t>5.</w:t>
      </w:r>
      <w:r>
        <w:rPr>
          <w:bCs/>
        </w:rPr>
        <w:tab/>
        <w:t>Содействие созданию нормальных, справедливых, гуманных и законных условий в связи с международной миграцией трудящихся и членов их семей (статьи 64–71)</w:t>
      </w:r>
    </w:p>
    <w:p w14:paraId="2F4E907E" w14:textId="77777777" w:rsidR="004E1629" w:rsidRPr="00496865" w:rsidRDefault="004E1629" w:rsidP="004E1629">
      <w:pPr>
        <w:pStyle w:val="H23G"/>
      </w:pPr>
      <w:r>
        <w:tab/>
      </w:r>
      <w:r>
        <w:tab/>
      </w:r>
      <w:r>
        <w:tab/>
      </w:r>
      <w:r>
        <w:rPr>
          <w:bCs/>
        </w:rPr>
        <w:t>Торговля людьми</w:t>
      </w:r>
    </w:p>
    <w:p w14:paraId="7409F295" w14:textId="2A79D7C8" w:rsidR="004E1629" w:rsidRPr="00496865" w:rsidRDefault="004E1629" w:rsidP="004E1629">
      <w:pPr>
        <w:pStyle w:val="SingleTxtG"/>
      </w:pPr>
      <w:r>
        <w:t>56.</w:t>
      </w:r>
      <w:r>
        <w:tab/>
        <w:t>Комитет с обеспокоенностью отмечает расширение в государстве-участнике явления торговли людьми, особенно мигрантками, в целях трудовой и сексуальной эксплуатации. Кроме того, Комитет обеспокоен случаями двойной эксплуатации</w:t>
      </w:r>
      <w:r>
        <w:t xml:space="preserve"> — </w:t>
      </w:r>
      <w:r>
        <w:t>трудовой и сексуальной</w:t>
      </w:r>
      <w:r>
        <w:t xml:space="preserve"> — </w:t>
      </w:r>
      <w:r>
        <w:t>мигранток, работающих в качестве домашней прислуги.</w:t>
      </w:r>
    </w:p>
    <w:p w14:paraId="3CAC42E7" w14:textId="77777777" w:rsidR="004E1629" w:rsidRPr="00496865" w:rsidRDefault="004E1629" w:rsidP="004E1629">
      <w:pPr>
        <w:pStyle w:val="SingleTxtG"/>
      </w:pPr>
      <w:r>
        <w:t>57.</w:t>
      </w:r>
      <w:r>
        <w:tab/>
      </w:r>
      <w:r>
        <w:rPr>
          <w:b/>
          <w:bCs/>
        </w:rPr>
        <w:t>Ссылаясь на свою ранее вынесенную рекомендацию</w:t>
      </w:r>
      <w:r w:rsidRPr="005951F4">
        <w:rPr>
          <w:rStyle w:val="aa"/>
        </w:rPr>
        <w:footnoteReference w:id="13"/>
      </w:r>
      <w:r>
        <w:rPr>
          <w:b/>
          <w:bCs/>
        </w:rPr>
        <w:t>, а также в соответствии с Конвенцией и Рекомендуемыми принципами и руководящими положениями по вопросу о правах человека и торговле людьми Комитет рекомендует государству-участнику:</w:t>
      </w:r>
    </w:p>
    <w:p w14:paraId="378F6CAA" w14:textId="6EEDC5CC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a)</w:t>
      </w:r>
      <w:r w:rsidRPr="004E1629">
        <w:rPr>
          <w:b/>
          <w:bCs/>
        </w:rPr>
        <w:tab/>
        <w:t>ускорить принятие комплексного закона о борьбе с торговлей людьми и правил, гарантирующих применение этого закона в соответствии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преступности;</w:t>
      </w:r>
    </w:p>
    <w:p w14:paraId="144879F2" w14:textId="32CA02F2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b)</w:t>
      </w:r>
      <w:r w:rsidRPr="004E1629">
        <w:rPr>
          <w:b/>
          <w:bCs/>
        </w:rPr>
        <w:tab/>
        <w:t>предусмотреть среди населения информационно-разъяснительную работу по данному вопросу, уделяя особое внимание защите детей и подростков, и проводить кампании по повышению осведомленности общественности о рисках торговли людьми, а также предоставлять трудящимся-мигрантам возможности для получения дохода, финансовую поддержку, юридическую помощь, горячие линии и информацию перед отъездом;</w:t>
      </w:r>
    </w:p>
    <w:p w14:paraId="3B7AF7A1" w14:textId="0ADFBDAE" w:rsidR="004E1629" w:rsidRPr="004E1629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c)</w:t>
      </w:r>
      <w:r w:rsidRPr="004E1629">
        <w:rPr>
          <w:b/>
          <w:bCs/>
        </w:rPr>
        <w:tab/>
        <w:t>следить за тем, чтобы жертвы торговли людьми имели надлежащий доступ к услугам поддержки, включая приюты, консультационные услуги и программы реабилитации, и предоставлять достаточное финансирование и/или субсидии для покрытия расходов на аренду помещений и коммунальные услуги приютам, находящимся в ведении неправительственных организаций;</w:t>
      </w:r>
    </w:p>
    <w:p w14:paraId="777AB699" w14:textId="447C85CA" w:rsidR="004E1629" w:rsidRPr="00496865" w:rsidRDefault="004E1629" w:rsidP="004E1629">
      <w:pPr>
        <w:pStyle w:val="SingleTxtG"/>
        <w:rPr>
          <w:b/>
          <w:bCs/>
        </w:rPr>
      </w:pPr>
      <w:r w:rsidRPr="004E1629">
        <w:rPr>
          <w:b/>
          <w:bCs/>
        </w:rPr>
        <w:tab/>
      </w:r>
      <w:r w:rsidRPr="004E1629">
        <w:rPr>
          <w:b/>
          <w:bCs/>
        </w:rPr>
        <w:t>d)</w:t>
      </w:r>
      <w:r>
        <w:tab/>
      </w:r>
      <w:r>
        <w:rPr>
          <w:b/>
          <w:bCs/>
        </w:rPr>
        <w:t>следить за тем, чтобы проводилось оперативное, эффективное и беспристрастное расследование всех актов торговли людьми, в частности связанных с сексуальной эксплуатацией, а также судебное преследование и наказание виновных в них лиц, в том числе в тех случаях, когда соучастниками в подобных преступлениях являются государственные должностные лица;</w:t>
      </w:r>
    </w:p>
    <w:p w14:paraId="39BC06FD" w14:textId="78257E75" w:rsidR="004E1629" w:rsidRPr="00496865" w:rsidRDefault="004E1629" w:rsidP="004E1629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усилить подготовку сотрудников правоохранительных органов, судей, прокуроров, трудовых инспекторов, преподавателей, медицинских работников и сотрудников посольств и консульств государства-участника с учетом гендерных вопросов и потребностей детей и шире распространять информацию о торговле людьми и оказании помощи жертвам;</w:t>
      </w:r>
    </w:p>
    <w:p w14:paraId="7D64F80A" w14:textId="517133CE" w:rsidR="004E1629" w:rsidRPr="00496865" w:rsidRDefault="004E1629" w:rsidP="004E1629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f)</w:t>
      </w:r>
      <w:r>
        <w:tab/>
      </w:r>
      <w:r>
        <w:rPr>
          <w:b/>
          <w:bCs/>
        </w:rPr>
        <w:t>укреплять международное, региональное и двустороннее сотрудничество путем разработки совместных со странами происхождения, транзита и назначения планов действий по предупреждению торговли людьми и выявлению сетей организованной преступности, а также сотрудничать с прокуратурами других стран в целях задержания, привлечения к ответственности и наказания преступников;</w:t>
      </w:r>
    </w:p>
    <w:p w14:paraId="258C998F" w14:textId="7EDD55DA" w:rsidR="004E1629" w:rsidRPr="00496865" w:rsidRDefault="004E1629" w:rsidP="004E1629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g)</w:t>
      </w:r>
      <w:r>
        <w:tab/>
      </w:r>
      <w:r>
        <w:rPr>
          <w:b/>
          <w:bCs/>
        </w:rPr>
        <w:t>разработать механизмы воссоединения семьи и установления личности мигрантов, не имеющих документов, удостоверяющих личность, с целью предупреждения торговли людьми и разлучения мигрантов с членами их семьи на неопределенный срок;</w:t>
      </w:r>
    </w:p>
    <w:p w14:paraId="1DEBDB97" w14:textId="0C337B3E" w:rsidR="004E1629" w:rsidRPr="00496865" w:rsidRDefault="004E1629" w:rsidP="004E1629">
      <w:pPr>
        <w:pStyle w:val="SingleTxtG"/>
      </w:pPr>
      <w:r>
        <w:rPr>
          <w:b/>
          <w:bCs/>
        </w:rPr>
        <w:lastRenderedPageBreak/>
        <w:tab/>
      </w:r>
      <w:r>
        <w:rPr>
          <w:b/>
          <w:bCs/>
        </w:rPr>
        <w:t>h)</w:t>
      </w:r>
      <w:r>
        <w:tab/>
      </w:r>
      <w:r>
        <w:rPr>
          <w:b/>
          <w:bCs/>
        </w:rPr>
        <w:t>гарантировать систематические сбор и анализ данных о торговле людьми с разбивкой по возрасту, полу, гражданству жертв и формам торговли людьми.</w:t>
      </w:r>
    </w:p>
    <w:p w14:paraId="7C54051F" w14:textId="12181DBE" w:rsidR="004E1629" w:rsidRPr="00496865" w:rsidRDefault="004E1629" w:rsidP="004E1629">
      <w:pPr>
        <w:pStyle w:val="H23G"/>
        <w:rPr>
          <w:color w:val="000000" w:themeColor="text1"/>
        </w:rPr>
      </w:pPr>
      <w:r>
        <w:rPr>
          <w:bCs/>
        </w:rPr>
        <w:tab/>
      </w:r>
      <w:r>
        <w:rPr>
          <w:bCs/>
        </w:rPr>
        <w:t>6.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3E556B3A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6DFF5860" w14:textId="77777777" w:rsidR="004E1629" w:rsidRPr="00496865" w:rsidRDefault="004E1629" w:rsidP="004E1629">
      <w:pPr>
        <w:pStyle w:val="SingleTxtG"/>
      </w:pPr>
      <w:r>
        <w:t>58.</w:t>
      </w:r>
      <w:r>
        <w:tab/>
      </w:r>
      <w:r>
        <w:rPr>
          <w:b/>
          <w:bCs/>
        </w:rPr>
        <w:t>Комитет призывает государство-участник обеспечить широкое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государственных министерств, законодательных и судебных органов, компетентных местных властей, а также неправительственных организаций и других субъектов гражданского общества.</w:t>
      </w:r>
    </w:p>
    <w:p w14:paraId="77EE3F93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</w:p>
    <w:p w14:paraId="0A09EF67" w14:textId="583F0DA0" w:rsidR="004E1629" w:rsidRPr="00496865" w:rsidRDefault="004E1629" w:rsidP="004E1629">
      <w:pPr>
        <w:pStyle w:val="SingleTxtG"/>
        <w:rPr>
          <w:b/>
          <w:bCs/>
          <w:color w:val="000000" w:themeColor="text1"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</w:t>
      </w:r>
      <w:r w:rsidR="00941679">
        <w:rPr>
          <w:b/>
          <w:bCs/>
          <w:lang w:val="en-US"/>
        </w:rPr>
        <w:t> </w:t>
      </w:r>
      <w:r>
        <w:rPr>
          <w:b/>
          <w:bCs/>
        </w:rPr>
        <w:t>соответствии с Повесткой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рекомендует также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3A3205C7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2C148873" w14:textId="4D647D54" w:rsidR="004E1629" w:rsidRPr="00496865" w:rsidRDefault="004E1629" w:rsidP="004E1629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предлагает государству-участнику представить в течение двух лет (</w:t>
      </w:r>
      <w:r>
        <w:rPr>
          <w:b/>
          <w:bCs/>
        </w:rPr>
        <w:t xml:space="preserve">т. е. </w:t>
      </w:r>
      <w:r>
        <w:rPr>
          <w:b/>
          <w:bCs/>
        </w:rPr>
        <w:t xml:space="preserve">к 2 января 2026 года) письменную информацию о выполнении рекомендаций, содержащихся в пунктах 19 (Национальный план интеграции), </w:t>
      </w:r>
      <w:r w:rsidR="00941679">
        <w:rPr>
          <w:b/>
          <w:bCs/>
        </w:rPr>
        <w:br/>
      </w:r>
      <w:r>
        <w:rPr>
          <w:b/>
          <w:bCs/>
        </w:rPr>
        <w:t>35</w:t>
      </w:r>
      <w:r w:rsidR="00941679" w:rsidRPr="00941679">
        <w:rPr>
          <w:b/>
          <w:bCs/>
        </w:rPr>
        <w:t xml:space="preserve"> </w:t>
      </w:r>
      <w:r>
        <w:rPr>
          <w:b/>
          <w:bCs/>
        </w:rPr>
        <w:t>и 45 (домашняя прислуга), 43 (гражданство) и 57 (торговля людьми) настоящего документа.</w:t>
      </w:r>
    </w:p>
    <w:p w14:paraId="2AC35F7F" w14:textId="77777777" w:rsidR="004E1629" w:rsidRPr="00496865" w:rsidRDefault="004E1629" w:rsidP="004E1629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4335C10" w14:textId="77777777" w:rsidR="004E1629" w:rsidRPr="00496865" w:rsidRDefault="004E1629" w:rsidP="004E1629">
      <w:pPr>
        <w:pStyle w:val="SingleTxtG"/>
      </w:pPr>
      <w:bookmarkStart w:id="8" w:name="_Hlk98754877"/>
      <w:r>
        <w:t>61.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не позднее 2 января 2029 года.</w:t>
      </w:r>
      <w:r>
        <w:t xml:space="preserve"> </w:t>
      </w:r>
      <w:r>
        <w:rPr>
          <w:b/>
          <w:bCs/>
        </w:rPr>
        <w:t>Комитет утвердит перечень вопросов до представления доклада на одной из своих сессий, предшествующих этой дате, в соответствии с упрощенной процедурой представления докладов, если только государство-участник не сделает однозначного выбора в пользу традиционной процедуры представления докладов для своего третьего периодического доклада.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докладов по конкретным договорам</w:t>
      </w:r>
      <w:r w:rsidRPr="005951F4">
        <w:rPr>
          <w:rStyle w:val="aa"/>
        </w:rPr>
        <w:footnoteReference w:id="14"/>
      </w:r>
      <w:r>
        <w:rPr>
          <w:b/>
          <w:bCs/>
        </w:rPr>
        <w:t>.</w:t>
      </w:r>
      <w:bookmarkEnd w:id="8"/>
    </w:p>
    <w:p w14:paraId="31AC84FC" w14:textId="13FF55AA" w:rsidR="00381C24" w:rsidRPr="004E1629" w:rsidRDefault="004E1629" w:rsidP="004E162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E1629" w:rsidSect="004E162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15494" w14:textId="77777777" w:rsidR="009156B8" w:rsidRPr="00A312BC" w:rsidRDefault="009156B8" w:rsidP="00A312BC"/>
  </w:endnote>
  <w:endnote w:type="continuationSeparator" w:id="0">
    <w:p w14:paraId="1CA75E62" w14:textId="77777777" w:rsidR="009156B8" w:rsidRPr="00A312BC" w:rsidRDefault="009156B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9A7B" w14:textId="28982AAA" w:rsidR="004E1629" w:rsidRPr="004E1629" w:rsidRDefault="004E1629">
    <w:pPr>
      <w:pStyle w:val="a8"/>
    </w:pPr>
    <w:r w:rsidRPr="004E1629">
      <w:rPr>
        <w:b/>
        <w:sz w:val="18"/>
      </w:rPr>
      <w:fldChar w:fldCharType="begin"/>
    </w:r>
    <w:r w:rsidRPr="004E1629">
      <w:rPr>
        <w:b/>
        <w:sz w:val="18"/>
      </w:rPr>
      <w:instrText xml:space="preserve"> PAGE  \* MERGEFORMAT </w:instrText>
    </w:r>
    <w:r w:rsidRPr="004E1629">
      <w:rPr>
        <w:b/>
        <w:sz w:val="18"/>
      </w:rPr>
      <w:fldChar w:fldCharType="separate"/>
    </w:r>
    <w:r w:rsidRPr="004E1629">
      <w:rPr>
        <w:b/>
        <w:noProof/>
        <w:sz w:val="18"/>
      </w:rPr>
      <w:t>2</w:t>
    </w:r>
    <w:r w:rsidRPr="004E1629">
      <w:rPr>
        <w:b/>
        <w:sz w:val="18"/>
      </w:rPr>
      <w:fldChar w:fldCharType="end"/>
    </w:r>
    <w:r>
      <w:rPr>
        <w:b/>
        <w:sz w:val="18"/>
      </w:rPr>
      <w:tab/>
    </w:r>
    <w:r>
      <w:t>GE.23-25290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FC668" w14:textId="0A19B842" w:rsidR="004E1629" w:rsidRPr="004E1629" w:rsidRDefault="004E1629" w:rsidP="004E1629">
    <w:pPr>
      <w:pStyle w:val="a8"/>
      <w:tabs>
        <w:tab w:val="clear" w:pos="9639"/>
        <w:tab w:val="right" w:pos="9638"/>
      </w:tabs>
      <w:rPr>
        <w:b/>
        <w:sz w:val="18"/>
      </w:rPr>
    </w:pPr>
    <w:r>
      <w:t>GE.23-25290</w:t>
    </w:r>
    <w:r>
      <w:tab/>
    </w:r>
    <w:r w:rsidRPr="004E1629">
      <w:rPr>
        <w:b/>
        <w:sz w:val="18"/>
      </w:rPr>
      <w:fldChar w:fldCharType="begin"/>
    </w:r>
    <w:r w:rsidRPr="004E1629">
      <w:rPr>
        <w:b/>
        <w:sz w:val="18"/>
      </w:rPr>
      <w:instrText xml:space="preserve"> PAGE  \* MERGEFORMAT </w:instrText>
    </w:r>
    <w:r w:rsidRPr="004E1629">
      <w:rPr>
        <w:b/>
        <w:sz w:val="18"/>
      </w:rPr>
      <w:fldChar w:fldCharType="separate"/>
    </w:r>
    <w:r w:rsidRPr="004E1629">
      <w:rPr>
        <w:b/>
        <w:noProof/>
        <w:sz w:val="18"/>
      </w:rPr>
      <w:t>3</w:t>
    </w:r>
    <w:r w:rsidRPr="004E16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0F37" w14:textId="1F2A4FCB" w:rsidR="00042B72" w:rsidRPr="008E570A" w:rsidRDefault="004E1629" w:rsidP="004E162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FB30337" wp14:editId="2126130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23-25290 </w:t>
    </w:r>
    <w:r w:rsidR="008E570A">
      <w:t xml:space="preserve">  </w:t>
    </w:r>
    <w:r>
      <w:t>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794D63" wp14:editId="0CE1CE3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E570A">
      <w:t xml:space="preserve">   </w:t>
    </w:r>
    <w:r w:rsidR="008E570A">
      <w:rPr>
        <w:lang w:val="en-US"/>
      </w:rPr>
      <w:t>180124   130224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B7DA7" w14:textId="77777777" w:rsidR="009156B8" w:rsidRPr="001075E9" w:rsidRDefault="009156B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DE1762" w14:textId="77777777" w:rsidR="009156B8" w:rsidRDefault="009156B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5F8BE1" w14:textId="77777777" w:rsidR="004E1629" w:rsidRPr="00496865" w:rsidRDefault="004E1629" w:rsidP="004E1629">
      <w:pPr>
        <w:pStyle w:val="ad"/>
        <w:jc w:val="both"/>
      </w:pPr>
      <w:r>
        <w:tab/>
      </w:r>
      <w:r w:rsidRPr="008E570A">
        <w:rPr>
          <w:sz w:val="20"/>
        </w:rPr>
        <w:t>*</w:t>
      </w:r>
      <w:r>
        <w:tab/>
        <w:t>Приняты Комитетом на его тридцать седьмой сессии (27 ноября — 8 декабря 2023 года).</w:t>
      </w:r>
    </w:p>
  </w:footnote>
  <w:footnote w:id="2">
    <w:p w14:paraId="01C3ADBC" w14:textId="663C505D" w:rsidR="004E1629" w:rsidRPr="004E1629" w:rsidRDefault="004E1629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4E1629">
          <w:rPr>
            <w:rStyle w:val="af1"/>
            <w:lang w:val="de-CH"/>
          </w:rPr>
          <w:t>CMW/C/URY/2</w:t>
        </w:r>
      </w:hyperlink>
      <w:r w:rsidRPr="00496865">
        <w:rPr>
          <w:lang w:val="de-CH"/>
        </w:rPr>
        <w:t>.</w:t>
      </w:r>
    </w:p>
  </w:footnote>
  <w:footnote w:id="3">
    <w:p w14:paraId="1BA63C5B" w14:textId="1E81C1C9" w:rsidR="004E1629" w:rsidRPr="00496865" w:rsidRDefault="004E1629" w:rsidP="004E1629">
      <w:pPr>
        <w:pStyle w:val="ad"/>
        <w:widowControl w:val="0"/>
        <w:rPr>
          <w:lang w:val="de-CH"/>
        </w:rPr>
      </w:pPr>
      <w:r w:rsidRPr="00496865">
        <w:rPr>
          <w:lang w:val="de-CH"/>
        </w:rPr>
        <w:tab/>
      </w:r>
      <w:r>
        <w:rPr>
          <w:rStyle w:val="aa"/>
        </w:rPr>
        <w:footnoteRef/>
      </w:r>
      <w:r w:rsidRPr="00496865">
        <w:rPr>
          <w:lang w:val="de-CH"/>
        </w:rPr>
        <w:tab/>
      </w:r>
      <w:hyperlink r:id="rId2" w:history="1">
        <w:r w:rsidRPr="004E1629">
          <w:rPr>
            <w:rStyle w:val="af1"/>
            <w:lang w:val="de-CH"/>
          </w:rPr>
          <w:t>CMW/C/SR.533</w:t>
        </w:r>
      </w:hyperlink>
      <w:r w:rsidRPr="00496865">
        <w:rPr>
          <w:lang w:val="de-CH"/>
        </w:rPr>
        <w:t xml:space="preserve"> </w:t>
      </w:r>
      <w:r>
        <w:t>и</w:t>
      </w:r>
      <w:r w:rsidRPr="00496865">
        <w:rPr>
          <w:lang w:val="de-CH"/>
        </w:rPr>
        <w:t xml:space="preserve"> </w:t>
      </w:r>
      <w:hyperlink r:id="rId3" w:history="1">
        <w:r w:rsidRPr="004E1629">
          <w:rPr>
            <w:rStyle w:val="af1"/>
            <w:lang w:val="de-CH"/>
          </w:rPr>
          <w:t>CMW/C/SR.534</w:t>
        </w:r>
      </w:hyperlink>
      <w:r w:rsidRPr="00496865">
        <w:rPr>
          <w:lang w:val="de-CH"/>
        </w:rPr>
        <w:t>.</w:t>
      </w:r>
    </w:p>
  </w:footnote>
  <w:footnote w:id="4">
    <w:p w14:paraId="536637E3" w14:textId="314249A5" w:rsidR="004E1629" w:rsidRPr="00496865" w:rsidRDefault="004E1629" w:rsidP="004E1629">
      <w:pPr>
        <w:pStyle w:val="ad"/>
        <w:widowControl w:val="0"/>
        <w:rPr>
          <w:lang w:val="en-US"/>
        </w:rPr>
      </w:pPr>
      <w:r w:rsidRPr="00496865">
        <w:rPr>
          <w:lang w:val="de-CH"/>
        </w:rPr>
        <w:tab/>
      </w:r>
      <w:r>
        <w:rPr>
          <w:rStyle w:val="aa"/>
        </w:rPr>
        <w:footnoteRef/>
      </w:r>
      <w:r w:rsidRPr="00496865">
        <w:rPr>
          <w:lang w:val="en-US"/>
        </w:rPr>
        <w:tab/>
      </w:r>
      <w:hyperlink r:id="rId4" w:history="1">
        <w:r w:rsidRPr="004E1629">
          <w:rPr>
            <w:rStyle w:val="af1"/>
            <w:lang w:val="en-US"/>
          </w:rPr>
          <w:t>CMW/C/URY/RQ/2</w:t>
        </w:r>
      </w:hyperlink>
      <w:r w:rsidRPr="00496865">
        <w:rPr>
          <w:lang w:val="en-US"/>
        </w:rPr>
        <w:t>.</w:t>
      </w:r>
    </w:p>
  </w:footnote>
  <w:footnote w:id="5">
    <w:p w14:paraId="137AEE96" w14:textId="4968B067" w:rsidR="004E1629" w:rsidRPr="00496865" w:rsidRDefault="004E1629" w:rsidP="004E1629">
      <w:pPr>
        <w:pStyle w:val="ad"/>
        <w:widowControl w:val="0"/>
        <w:rPr>
          <w:lang w:val="en-US"/>
        </w:rPr>
      </w:pPr>
      <w:r w:rsidRPr="00496865">
        <w:rPr>
          <w:lang w:val="en-US"/>
        </w:rPr>
        <w:tab/>
      </w:r>
      <w:r>
        <w:rPr>
          <w:rStyle w:val="aa"/>
        </w:rPr>
        <w:footnoteRef/>
      </w:r>
      <w:r w:rsidRPr="00496865">
        <w:rPr>
          <w:lang w:val="en-US"/>
        </w:rPr>
        <w:tab/>
      </w:r>
      <w:hyperlink r:id="rId5" w:history="1">
        <w:r w:rsidRPr="004E1629">
          <w:rPr>
            <w:rStyle w:val="af1"/>
            <w:lang w:val="en-US"/>
          </w:rPr>
          <w:t>CMW/C/URY/CO/1</w:t>
        </w:r>
      </w:hyperlink>
      <w:r w:rsidRPr="00496865">
        <w:rPr>
          <w:lang w:val="en-US"/>
        </w:rPr>
        <w:t xml:space="preserve">, </w:t>
      </w:r>
      <w:r>
        <w:t>п</w:t>
      </w:r>
      <w:r w:rsidRPr="00496865">
        <w:rPr>
          <w:lang w:val="en-US"/>
        </w:rPr>
        <w:t>. 12.</w:t>
      </w:r>
    </w:p>
  </w:footnote>
  <w:footnote w:id="6">
    <w:p w14:paraId="6E1FB247" w14:textId="77777777" w:rsidR="004E1629" w:rsidRPr="00496865" w:rsidRDefault="004E1629" w:rsidP="004E1629">
      <w:pPr>
        <w:pStyle w:val="ad"/>
        <w:widowControl w:val="0"/>
      </w:pPr>
      <w:r w:rsidRPr="00496865">
        <w:rPr>
          <w:lang w:val="en-US"/>
        </w:rPr>
        <w:tab/>
      </w:r>
      <w:r>
        <w:rPr>
          <w:rStyle w:val="aa"/>
        </w:rPr>
        <w:footnoteRef/>
      </w:r>
      <w:r>
        <w:tab/>
        <w:t>Там же, п. 14.</w:t>
      </w:r>
    </w:p>
  </w:footnote>
  <w:footnote w:id="7">
    <w:p w14:paraId="51073A10" w14:textId="77777777" w:rsidR="004E1629" w:rsidRPr="00496865" w:rsidRDefault="004E1629" w:rsidP="004E1629">
      <w:pPr>
        <w:pStyle w:val="ad"/>
        <w:widowControl w:val="0"/>
      </w:pPr>
      <w:r w:rsidRPr="005951F4">
        <w:tab/>
      </w:r>
      <w:r>
        <w:rPr>
          <w:rStyle w:val="aa"/>
        </w:rPr>
        <w:footnoteRef/>
      </w:r>
      <w:r>
        <w:tab/>
        <w:t>Там же, п. 20.</w:t>
      </w:r>
      <w:bookmarkStart w:id="7" w:name="_Hlk154476023"/>
      <w:bookmarkEnd w:id="7"/>
    </w:p>
  </w:footnote>
  <w:footnote w:id="8">
    <w:p w14:paraId="1D4B63C9" w14:textId="77777777" w:rsidR="004E1629" w:rsidRPr="00496865" w:rsidRDefault="004E1629" w:rsidP="004E1629">
      <w:pPr>
        <w:pStyle w:val="ad"/>
        <w:widowControl w:val="0"/>
      </w:pPr>
      <w:r w:rsidRPr="005951F4">
        <w:tab/>
      </w:r>
      <w:r>
        <w:rPr>
          <w:rStyle w:val="aa"/>
        </w:rPr>
        <w:footnoteRef/>
      </w:r>
      <w:r>
        <w:tab/>
        <w:t>Там же, п. 22.</w:t>
      </w:r>
    </w:p>
  </w:footnote>
  <w:footnote w:id="9">
    <w:p w14:paraId="703FE60A" w14:textId="77777777" w:rsidR="004E1629" w:rsidRPr="00496865" w:rsidRDefault="004E1629" w:rsidP="004E1629">
      <w:pPr>
        <w:pStyle w:val="ad"/>
        <w:widowControl w:val="0"/>
      </w:pPr>
      <w:r w:rsidRPr="005951F4">
        <w:tab/>
      </w:r>
      <w:r>
        <w:rPr>
          <w:rStyle w:val="aa"/>
        </w:rPr>
        <w:footnoteRef/>
      </w:r>
      <w:r>
        <w:tab/>
        <w:t>Там же, п. 24.</w:t>
      </w:r>
    </w:p>
  </w:footnote>
  <w:footnote w:id="10">
    <w:p w14:paraId="5E690D89" w14:textId="03BF1852" w:rsidR="004E1629" w:rsidRPr="00496865" w:rsidRDefault="004E1629" w:rsidP="004E1629">
      <w:pPr>
        <w:pStyle w:val="ad"/>
        <w:widowControl w:val="0"/>
        <w:rPr>
          <w:lang w:val="en-US"/>
        </w:rPr>
      </w:pPr>
      <w:r w:rsidRPr="005951F4">
        <w:tab/>
      </w:r>
      <w:r>
        <w:rPr>
          <w:rStyle w:val="aa"/>
        </w:rPr>
        <w:footnoteRef/>
      </w:r>
      <w:r w:rsidRPr="00496865">
        <w:rPr>
          <w:lang w:val="en-US"/>
        </w:rPr>
        <w:tab/>
      </w:r>
      <w:hyperlink r:id="rId6" w:history="1">
        <w:r w:rsidRPr="004E1629">
          <w:rPr>
            <w:rStyle w:val="af1"/>
            <w:lang w:val="en-US"/>
          </w:rPr>
          <w:t>CEDAW/C/URY/CO/8-9</w:t>
        </w:r>
      </w:hyperlink>
      <w:r w:rsidRPr="00496865">
        <w:rPr>
          <w:lang w:val="en-US"/>
        </w:rPr>
        <w:t xml:space="preserve">, </w:t>
      </w:r>
      <w:r>
        <w:t>п</w:t>
      </w:r>
      <w:r w:rsidRPr="00496865">
        <w:rPr>
          <w:lang w:val="en-US"/>
        </w:rPr>
        <w:t>. 34 c).</w:t>
      </w:r>
    </w:p>
  </w:footnote>
  <w:footnote w:id="11">
    <w:p w14:paraId="7F391D01" w14:textId="7F4F5599" w:rsidR="004E1629" w:rsidRPr="00496865" w:rsidRDefault="004E1629" w:rsidP="004E1629">
      <w:pPr>
        <w:pStyle w:val="ad"/>
        <w:widowControl w:val="0"/>
        <w:rPr>
          <w:lang w:val="en-US"/>
        </w:rPr>
      </w:pPr>
      <w:r w:rsidRPr="00496865">
        <w:rPr>
          <w:lang w:val="en-US"/>
        </w:rPr>
        <w:tab/>
      </w:r>
      <w:r>
        <w:rPr>
          <w:rStyle w:val="aa"/>
        </w:rPr>
        <w:footnoteRef/>
      </w:r>
      <w:r w:rsidRPr="00496865">
        <w:rPr>
          <w:lang w:val="en-US"/>
        </w:rPr>
        <w:tab/>
      </w:r>
      <w:hyperlink r:id="rId7" w:history="1">
        <w:r w:rsidRPr="004E1629">
          <w:rPr>
            <w:rStyle w:val="af1"/>
            <w:lang w:val="en-US"/>
          </w:rPr>
          <w:t>CMW/C/URY/CO/1</w:t>
        </w:r>
      </w:hyperlink>
      <w:r w:rsidRPr="00496865">
        <w:rPr>
          <w:lang w:val="en-US"/>
        </w:rPr>
        <w:t xml:space="preserve">, </w:t>
      </w:r>
      <w:r>
        <w:t>п</w:t>
      </w:r>
      <w:r w:rsidRPr="00496865">
        <w:rPr>
          <w:lang w:val="en-US"/>
        </w:rPr>
        <w:t>. 30.</w:t>
      </w:r>
    </w:p>
  </w:footnote>
  <w:footnote w:id="12">
    <w:p w14:paraId="4D1AA034" w14:textId="77777777" w:rsidR="004E1629" w:rsidRPr="00496865" w:rsidRDefault="004E1629" w:rsidP="004E1629">
      <w:pPr>
        <w:pStyle w:val="ad"/>
        <w:widowControl w:val="0"/>
      </w:pPr>
      <w:r w:rsidRPr="00496865">
        <w:rPr>
          <w:lang w:val="en-US"/>
        </w:rPr>
        <w:tab/>
      </w:r>
      <w:r>
        <w:rPr>
          <w:rStyle w:val="aa"/>
        </w:rPr>
        <w:footnoteRef/>
      </w:r>
      <w:r>
        <w:tab/>
        <w:t>Там же, п. 32.</w:t>
      </w:r>
    </w:p>
  </w:footnote>
  <w:footnote w:id="13">
    <w:p w14:paraId="1180DA03" w14:textId="77777777" w:rsidR="004E1629" w:rsidRPr="00496865" w:rsidRDefault="004E1629" w:rsidP="004E1629">
      <w:pPr>
        <w:pStyle w:val="ad"/>
        <w:widowControl w:val="0"/>
      </w:pPr>
      <w:r>
        <w:tab/>
      </w:r>
      <w:r>
        <w:rPr>
          <w:rStyle w:val="aa"/>
        </w:rPr>
        <w:footnoteRef/>
      </w:r>
      <w:r>
        <w:tab/>
        <w:t>Там же, п. 46.</w:t>
      </w:r>
    </w:p>
  </w:footnote>
  <w:footnote w:id="14">
    <w:p w14:paraId="173866E1" w14:textId="36A935D5" w:rsidR="004E1629" w:rsidRPr="005951F4" w:rsidRDefault="004E1629" w:rsidP="004E1629">
      <w:pPr>
        <w:pStyle w:val="ad"/>
        <w:widowControl w:val="0"/>
      </w:pPr>
      <w:r w:rsidRPr="005951F4">
        <w:tab/>
      </w:r>
      <w:r>
        <w:rPr>
          <w:rStyle w:val="aa"/>
        </w:rPr>
        <w:footnoteRef/>
      </w:r>
      <w:r>
        <w:tab/>
      </w:r>
      <w:hyperlink r:id="rId8" w:history="1">
        <w:r w:rsidRPr="004E1629">
          <w:rPr>
            <w:rStyle w:val="af1"/>
          </w:rPr>
          <w:t>HRI/GEN.2/Rev.6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0CF7" w14:textId="4C51E76A" w:rsidR="004E1629" w:rsidRPr="004E1629" w:rsidRDefault="004E1629">
    <w:pPr>
      <w:pStyle w:val="a5"/>
    </w:pPr>
    <w:fldSimple w:instr=" TITLE  \* MERGEFORMAT ">
      <w:r w:rsidR="006C3CAB">
        <w:t>CMW/C/URY/CO/2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475BE" w14:textId="780EF330" w:rsidR="004E1629" w:rsidRPr="004E1629" w:rsidRDefault="004E1629" w:rsidP="004E1629">
    <w:pPr>
      <w:pStyle w:val="a5"/>
      <w:jc w:val="right"/>
    </w:pPr>
    <w:fldSimple w:instr=" TITLE  \* MERGEFORMAT ">
      <w:r w:rsidR="006C3CAB">
        <w:t>CMW/C/URY/CO/2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B8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16D3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4E1629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3CAB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B69E7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8E570A"/>
    <w:rsid w:val="00900A96"/>
    <w:rsid w:val="00906890"/>
    <w:rsid w:val="00911BE4"/>
    <w:rsid w:val="009156B8"/>
    <w:rsid w:val="0093403D"/>
    <w:rsid w:val="00941679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60F0C"/>
    <w:rsid w:val="00C62B71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3B80C"/>
  <w15:docId w15:val="{D3B9CB75-42B4-4785-8A98-B57FDDB0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16 Point,4_G,BVI fnr,Footnote,Footnote Refernece,Footnote symbol,Fußnotenzeichen_Raxen,Superscript 6 Point,Texto de nota al pie,ftref,referencia nota al pie,4_Footnote text,Footnote text,Appel note de bas de p.,callout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,Char,F1,FOOTNOTES,Footnote Text Char Char,Footnote Text Char Char Char,Fußnote,Geneva,fn,fn Cha,footnote text Char,ft,ft Char,ft Char Char,ft Char Char Char,single space,single space Char,single space Char Char Cha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Char Знак,F1 Знак,FOOTNOTES Знак,Footnote Text Char Char Знак,Footnote Text Char Char Char Знак,Fußnote Знак,Geneva Знак,fn Знак,fn Cha Знак,footnote text Char Знак,ft Знак,ft Char Знак,ft Char Char Знак"/>
    <w:basedOn w:val="a0"/>
    <w:link w:val="ad"/>
    <w:qFormat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HChGChar">
    <w:name w:val="_ H _Ch_G Char"/>
    <w:link w:val="HChG"/>
    <w:rsid w:val="004E1629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qFormat/>
    <w:rsid w:val="004E1629"/>
    <w:rPr>
      <w:lang w:val="ru-RU" w:eastAsia="en-US"/>
    </w:rPr>
  </w:style>
  <w:style w:type="character" w:customStyle="1" w:styleId="H23GChar">
    <w:name w:val="_ H_2/3_G Char"/>
    <w:link w:val="H23G"/>
    <w:locked/>
    <w:rsid w:val="004E1629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4E16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GEN.2/Rev.6" TargetMode="External"/><Relationship Id="rId3" Type="http://schemas.openxmlformats.org/officeDocument/2006/relationships/hyperlink" Target="http://undocs.org/ru/CMW/C/SR.534" TargetMode="External"/><Relationship Id="rId7" Type="http://schemas.openxmlformats.org/officeDocument/2006/relationships/hyperlink" Target="http://undocs.org/ru/CMW/C/URY/CO/1" TargetMode="External"/><Relationship Id="rId2" Type="http://schemas.openxmlformats.org/officeDocument/2006/relationships/hyperlink" Target="http://undocs.org/ru/CMW/C/SR.533" TargetMode="External"/><Relationship Id="rId1" Type="http://schemas.openxmlformats.org/officeDocument/2006/relationships/hyperlink" Target="http://undocs.org/ru/CMW/C/URY/2" TargetMode="External"/><Relationship Id="rId6" Type="http://schemas.openxmlformats.org/officeDocument/2006/relationships/hyperlink" Target="http://undocs.org/ru/CEDAW/C/URY/CO/8-9" TargetMode="External"/><Relationship Id="rId5" Type="http://schemas.openxmlformats.org/officeDocument/2006/relationships/hyperlink" Target="http://undocs.org/ru/CMW/C/URY/CO/1" TargetMode="External"/><Relationship Id="rId4" Type="http://schemas.openxmlformats.org/officeDocument/2006/relationships/hyperlink" Target="http://undocs.org/ru/CMW/C/URY/RQ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D02FC-DF9B-49B9-ADD0-762315366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12</Pages>
  <Words>4421</Words>
  <Characters>31750</Characters>
  <Application>Microsoft Office Word</Application>
  <DocSecurity>0</DocSecurity>
  <Lines>569</Lines>
  <Paragraphs>123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CMW/C/URY/CO/2</vt:lpstr>
      <vt:lpstr>A/</vt:lpstr>
      <vt:lpstr>A/</vt:lpstr>
      <vt:lpstr>A/</vt:lpstr>
    </vt:vector>
  </TitlesOfParts>
  <Company>DCM</Company>
  <LinksUpToDate>false</LinksUpToDate>
  <CharactersWithSpaces>36129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CMW/C/URY/CO/2</dc:title>
  <dc:subject/>
  <dc:creator>Larisa MAYKOVSKAYA</dc:creator>
  <cp:keywords/>
  <cp:lastModifiedBy>Larisa MAYKOVSKAYA</cp:lastModifiedBy>
  <cp:revision>3</cp:revision>
  <cp:lastPrinted>2024-02-13T10:19:00Z</cp:lastPrinted>
  <dcterms:created xsi:type="dcterms:W3CDTF">2024-02-13T10:19:00Z</dcterms:created>
  <dcterms:modified xsi:type="dcterms:W3CDTF">2024-02-13T10:20:00Z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