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C175A6" w14:paraId="342ED007" w14:textId="77777777" w:rsidTr="005B51C4">
        <w:trPr>
          <w:trHeight w:hRule="exact" w:val="851"/>
        </w:trPr>
        <w:tc>
          <w:tcPr>
            <w:tcW w:w="1274" w:type="dxa"/>
            <w:tcBorders>
              <w:bottom w:val="single" w:sz="4" w:space="0" w:color="auto"/>
            </w:tcBorders>
            <w:shd w:val="clear" w:color="auto" w:fill="auto"/>
          </w:tcPr>
          <w:p w14:paraId="259C767D" w14:textId="77777777" w:rsidR="006B3E27" w:rsidRPr="00C175A6" w:rsidRDefault="006B3E27" w:rsidP="00C1259E">
            <w:pPr>
              <w:kinsoku w:val="0"/>
              <w:overflowPunct w:val="0"/>
              <w:autoSpaceDE w:val="0"/>
              <w:autoSpaceDN w:val="0"/>
              <w:adjustRightInd w:val="0"/>
              <w:snapToGrid w:val="0"/>
              <w:jc w:val="center"/>
              <w:rPr>
                <w:rFonts w:hint="cs"/>
                <w:sz w:val="56"/>
                <w:szCs w:val="56"/>
                <w:rtl/>
              </w:rPr>
            </w:pPr>
          </w:p>
        </w:tc>
        <w:tc>
          <w:tcPr>
            <w:tcW w:w="4537" w:type="dxa"/>
            <w:tcBorders>
              <w:bottom w:val="single" w:sz="4" w:space="0" w:color="auto"/>
            </w:tcBorders>
            <w:shd w:val="clear" w:color="auto" w:fill="auto"/>
            <w:vAlign w:val="bottom"/>
          </w:tcPr>
          <w:p w14:paraId="7E7A70A0" w14:textId="77777777" w:rsidR="006B3E27" w:rsidRPr="00C175A6" w:rsidRDefault="006B3E27" w:rsidP="00730446">
            <w:pPr>
              <w:spacing w:after="80" w:line="480" w:lineRule="exact"/>
              <w:ind w:left="57"/>
              <w:rPr>
                <w:sz w:val="30"/>
                <w:szCs w:val="30"/>
                <w:rtl/>
              </w:rPr>
            </w:pPr>
            <w:r w:rsidRPr="00C175A6">
              <w:rPr>
                <w:rFonts w:hint="cs"/>
                <w:sz w:val="30"/>
                <w:szCs w:val="30"/>
                <w:rtl/>
              </w:rPr>
              <w:t>الأمم المتحدة</w:t>
            </w:r>
          </w:p>
        </w:tc>
        <w:tc>
          <w:tcPr>
            <w:tcW w:w="3828" w:type="dxa"/>
            <w:tcBorders>
              <w:bottom w:val="single" w:sz="4" w:space="0" w:color="auto"/>
            </w:tcBorders>
            <w:shd w:val="clear" w:color="auto" w:fill="auto"/>
            <w:vAlign w:val="bottom"/>
          </w:tcPr>
          <w:p w14:paraId="3A3F9473" w14:textId="078B9BED" w:rsidR="006B3E27" w:rsidRPr="00A5559C" w:rsidRDefault="00A5559C" w:rsidP="00A5559C">
            <w:pPr>
              <w:bidi w:val="0"/>
              <w:rPr>
                <w:szCs w:val="20"/>
              </w:rPr>
            </w:pPr>
            <w:r w:rsidRPr="0098637C">
              <w:rPr>
                <w:sz w:val="40"/>
                <w:szCs w:val="20"/>
              </w:rPr>
              <w:t>CCPR</w:t>
            </w:r>
            <w:r w:rsidRPr="0098637C">
              <w:rPr>
                <w:szCs w:val="20"/>
              </w:rPr>
              <w:t>/C/</w:t>
            </w:r>
            <w:r w:rsidRPr="00944B83">
              <w:rPr>
                <w:szCs w:val="20"/>
              </w:rPr>
              <w:t>135</w:t>
            </w:r>
            <w:r w:rsidRPr="0098637C">
              <w:rPr>
                <w:szCs w:val="20"/>
              </w:rPr>
              <w:t>/</w:t>
            </w:r>
            <w:r w:rsidRPr="00944B83">
              <w:rPr>
                <w:szCs w:val="20"/>
              </w:rPr>
              <w:t>2</w:t>
            </w:r>
            <w:r w:rsidRPr="0098637C">
              <w:rPr>
                <w:szCs w:val="20"/>
              </w:rPr>
              <w:t>/Add.</w:t>
            </w:r>
            <w:r w:rsidRPr="00944B83">
              <w:rPr>
                <w:szCs w:val="20"/>
              </w:rPr>
              <w:t>1</w:t>
            </w:r>
          </w:p>
        </w:tc>
      </w:tr>
      <w:tr w:rsidR="006B3E27" w:rsidRPr="00C175A6" w14:paraId="1676F277" w14:textId="77777777" w:rsidTr="005B51C4">
        <w:trPr>
          <w:trHeight w:hRule="exact" w:val="2835"/>
        </w:trPr>
        <w:tc>
          <w:tcPr>
            <w:tcW w:w="1274" w:type="dxa"/>
            <w:tcBorders>
              <w:top w:val="single" w:sz="4" w:space="0" w:color="auto"/>
              <w:bottom w:val="single" w:sz="12" w:space="0" w:color="auto"/>
            </w:tcBorders>
            <w:shd w:val="clear" w:color="auto" w:fill="auto"/>
          </w:tcPr>
          <w:p w14:paraId="02EF64A1" w14:textId="77777777" w:rsidR="006B3E27" w:rsidRPr="00C175A6" w:rsidRDefault="00E2228E" w:rsidP="009A0CFB">
            <w:pPr>
              <w:spacing w:before="120"/>
              <w:jc w:val="center"/>
              <w:rPr>
                <w:sz w:val="56"/>
                <w:szCs w:val="56"/>
                <w:rtl/>
              </w:rPr>
            </w:pPr>
            <w:r w:rsidRPr="00C175A6">
              <w:rPr>
                <w:noProof/>
                <w:sz w:val="56"/>
                <w:szCs w:val="56"/>
              </w:rPr>
              <w:drawing>
                <wp:inline distT="0" distB="0" distL="0" distR="0" wp14:anchorId="005D9158" wp14:editId="209D8176">
                  <wp:extent cx="628015" cy="607060"/>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07060"/>
                          </a:xfrm>
                          <a:prstGeom prst="rect">
                            <a:avLst/>
                          </a:prstGeom>
                          <a:noFill/>
                          <a:ln>
                            <a:noFill/>
                          </a:ln>
                        </pic:spPr>
                      </pic:pic>
                    </a:graphicData>
                  </a:graphic>
                </wp:inline>
              </w:drawing>
            </w:r>
          </w:p>
        </w:tc>
        <w:tc>
          <w:tcPr>
            <w:tcW w:w="4537" w:type="dxa"/>
            <w:tcBorders>
              <w:top w:val="single" w:sz="4" w:space="0" w:color="auto"/>
              <w:bottom w:val="single" w:sz="12" w:space="0" w:color="auto"/>
            </w:tcBorders>
            <w:shd w:val="clear" w:color="auto" w:fill="auto"/>
          </w:tcPr>
          <w:p w14:paraId="34F41DED" w14:textId="77777777" w:rsidR="006B3E27" w:rsidRPr="00944B83" w:rsidRDefault="00ED7442" w:rsidP="00730446">
            <w:pPr>
              <w:spacing w:before="120" w:after="40" w:line="640" w:lineRule="exact"/>
              <w:ind w:left="57"/>
              <w:rPr>
                <w:b/>
                <w:bCs/>
                <w:sz w:val="46"/>
                <w:szCs w:val="46"/>
              </w:rPr>
            </w:pPr>
            <w:r w:rsidRPr="00944B83">
              <w:rPr>
                <w:rFonts w:hint="cs"/>
                <w:b/>
                <w:bCs/>
                <w:sz w:val="46"/>
                <w:szCs w:val="46"/>
                <w:rtl/>
              </w:rPr>
              <w:t>العهد الدولي الخاص بالحقوق المدنية والسياسية</w:t>
            </w:r>
          </w:p>
        </w:tc>
        <w:tc>
          <w:tcPr>
            <w:tcW w:w="3828" w:type="dxa"/>
            <w:tcBorders>
              <w:top w:val="single" w:sz="4" w:space="0" w:color="auto"/>
              <w:bottom w:val="single" w:sz="12" w:space="0" w:color="auto"/>
            </w:tcBorders>
            <w:shd w:val="clear" w:color="auto" w:fill="auto"/>
          </w:tcPr>
          <w:p w14:paraId="0F1311EE" w14:textId="28355FFD" w:rsidR="006B3E27" w:rsidRDefault="00A5559C" w:rsidP="004B27E0">
            <w:pPr>
              <w:bidi w:val="0"/>
              <w:spacing w:before="240"/>
              <w:rPr>
                <w:szCs w:val="20"/>
              </w:rPr>
            </w:pPr>
            <w:r>
              <w:rPr>
                <w:szCs w:val="20"/>
              </w:rPr>
              <w:t>Dist</w:t>
            </w:r>
            <w:r w:rsidR="0098637C" w:rsidRPr="0098637C">
              <w:rPr>
                <w:szCs w:val="20"/>
              </w:rPr>
              <w:t>r.:</w:t>
            </w:r>
            <w:r>
              <w:rPr>
                <w:szCs w:val="20"/>
              </w:rPr>
              <w:t xml:space="preserve"> </w:t>
            </w:r>
            <w:r w:rsidR="002819BC">
              <w:rPr>
                <w:szCs w:val="20"/>
              </w:rPr>
              <w:t>G</w:t>
            </w:r>
            <w:r>
              <w:rPr>
                <w:szCs w:val="20"/>
              </w:rPr>
              <w:t>eneral</w:t>
            </w:r>
          </w:p>
          <w:p w14:paraId="0F00934D" w14:textId="4D6CB706" w:rsidR="00A5559C" w:rsidRDefault="002819BC" w:rsidP="00A5559C">
            <w:pPr>
              <w:bidi w:val="0"/>
              <w:spacing w:line="240" w:lineRule="exact"/>
              <w:jc w:val="left"/>
              <w:rPr>
                <w:szCs w:val="20"/>
              </w:rPr>
            </w:pPr>
            <w:r w:rsidRPr="00944B83">
              <w:rPr>
                <w:szCs w:val="20"/>
              </w:rPr>
              <w:t>20</w:t>
            </w:r>
            <w:r>
              <w:rPr>
                <w:szCs w:val="20"/>
              </w:rPr>
              <w:t xml:space="preserve"> September </w:t>
            </w:r>
            <w:r w:rsidR="00A5559C" w:rsidRPr="00944B83">
              <w:rPr>
                <w:szCs w:val="20"/>
              </w:rPr>
              <w:t>2022</w:t>
            </w:r>
          </w:p>
          <w:p w14:paraId="30E4350C" w14:textId="77777777" w:rsidR="00A5559C" w:rsidRDefault="00A5559C" w:rsidP="00A5559C">
            <w:pPr>
              <w:bidi w:val="0"/>
              <w:spacing w:line="240" w:lineRule="exact"/>
              <w:jc w:val="left"/>
              <w:rPr>
                <w:szCs w:val="20"/>
              </w:rPr>
            </w:pPr>
            <w:r>
              <w:rPr>
                <w:szCs w:val="20"/>
              </w:rPr>
              <w:t>Arabic</w:t>
            </w:r>
          </w:p>
          <w:p w14:paraId="142CD1BD" w14:textId="2929E081" w:rsidR="00A5559C" w:rsidRPr="00A5559C" w:rsidRDefault="00A5559C" w:rsidP="00A5559C">
            <w:pPr>
              <w:bidi w:val="0"/>
              <w:spacing w:line="240" w:lineRule="exact"/>
              <w:jc w:val="left"/>
              <w:rPr>
                <w:szCs w:val="20"/>
              </w:rPr>
            </w:pPr>
            <w:r>
              <w:rPr>
                <w:szCs w:val="20"/>
              </w:rPr>
              <w:t>Origina</w:t>
            </w:r>
            <w:r w:rsidR="0098637C" w:rsidRPr="0098637C">
              <w:rPr>
                <w:szCs w:val="20"/>
              </w:rPr>
              <w:t xml:space="preserve">l: </w:t>
            </w:r>
            <w:r>
              <w:rPr>
                <w:szCs w:val="20"/>
              </w:rPr>
              <w:t>English</w:t>
            </w:r>
          </w:p>
        </w:tc>
      </w:tr>
    </w:tbl>
    <w:p w14:paraId="1DC20289" w14:textId="77777777" w:rsidR="002819BC" w:rsidRPr="00944B83" w:rsidRDefault="002819BC" w:rsidP="002819BC">
      <w:pPr>
        <w:pStyle w:val="SingleTxtGA"/>
        <w:spacing w:before="120" w:after="0"/>
        <w:ind w:left="0" w:right="283"/>
        <w:jc w:val="left"/>
        <w:rPr>
          <w:b/>
          <w:bCs/>
          <w:sz w:val="26"/>
          <w:szCs w:val="26"/>
          <w:lang w:val="ar-SA" w:eastAsia="zh-TW" w:bidi="en-GB"/>
        </w:rPr>
      </w:pPr>
      <w:r w:rsidRPr="00944B83">
        <w:rPr>
          <w:b/>
          <w:bCs/>
          <w:sz w:val="26"/>
          <w:szCs w:val="26"/>
          <w:rtl/>
        </w:rPr>
        <w:t>اللجنة المعنية بحقوق الإنسان</w:t>
      </w:r>
    </w:p>
    <w:p w14:paraId="36E803B5" w14:textId="0209515C" w:rsidR="002819BC" w:rsidRPr="00944B83" w:rsidRDefault="002819BC" w:rsidP="002819BC">
      <w:pPr>
        <w:pStyle w:val="HChGA"/>
        <w:rPr>
          <w:lang w:val="en-US" w:eastAsia="zh-TW" w:bidi="en-GB"/>
        </w:rPr>
      </w:pPr>
      <w:r w:rsidRPr="00944B83">
        <w:rPr>
          <w:rtl/>
        </w:rPr>
        <w:tab/>
      </w:r>
      <w:r w:rsidRPr="00944B83">
        <w:rPr>
          <w:rtl/>
        </w:rPr>
        <w:tab/>
        <w:t>تقرير عن متابعة الملاحظات الختامية للجنة المعنية بحقوق الإنسان</w:t>
      </w:r>
      <w:bookmarkStart w:id="0" w:name="_Toc506807534"/>
      <w:bookmarkEnd w:id="0"/>
      <w:r w:rsidRPr="00944B83">
        <w:rPr>
          <w:rStyle w:val="FootnoteReference"/>
          <w:sz w:val="26"/>
          <w:szCs w:val="26"/>
          <w:vertAlign w:val="baseline"/>
          <w:rtl/>
          <w:lang w:val="en-US" w:eastAsia="zh-TW"/>
        </w:rPr>
        <w:footnoteReference w:customMarkFollows="1" w:id="1"/>
        <w:t>*</w:t>
      </w:r>
    </w:p>
    <w:p w14:paraId="7DE30A98" w14:textId="77777777" w:rsidR="002819BC" w:rsidRPr="00944B83" w:rsidRDefault="002819BC" w:rsidP="002819BC">
      <w:pPr>
        <w:pStyle w:val="H23GA"/>
        <w:rPr>
          <w:lang w:val="ar-SA" w:eastAsia="zh-TW" w:bidi="en-GB"/>
        </w:rPr>
      </w:pPr>
      <w:r w:rsidRPr="00944B83">
        <w:rPr>
          <w:rtl/>
        </w:rPr>
        <w:tab/>
      </w:r>
      <w:r w:rsidRPr="00944B83">
        <w:rPr>
          <w:rtl/>
        </w:rPr>
        <w:tab/>
        <w:t>إضافة</w:t>
      </w:r>
    </w:p>
    <w:p w14:paraId="0A1A733E" w14:textId="77777777" w:rsidR="002819BC" w:rsidRPr="00944B83" w:rsidRDefault="002819BC" w:rsidP="002819BC">
      <w:pPr>
        <w:pStyle w:val="HChGA"/>
        <w:rPr>
          <w:lang w:val="ar-SA" w:eastAsia="zh-TW" w:bidi="en-GB"/>
        </w:rPr>
      </w:pPr>
      <w:r w:rsidRPr="00944B83">
        <w:rPr>
          <w:rtl/>
        </w:rPr>
        <w:tab/>
      </w:r>
      <w:r w:rsidRPr="00944B83">
        <w:rPr>
          <w:rtl/>
        </w:rPr>
        <w:tab/>
        <w:t>تقييم المعلومات المتعلقة بمتابعة الملاحظات الختامية بشأن البحرين</w:t>
      </w:r>
    </w:p>
    <w:p w14:paraId="33C3B51E" w14:textId="3FD211C1" w:rsidR="002819BC" w:rsidRPr="002819BC" w:rsidRDefault="002819BC" w:rsidP="0098637C">
      <w:pPr>
        <w:pStyle w:val="SingleTxtGA"/>
        <w:tabs>
          <w:tab w:val="clear" w:pos="1928"/>
          <w:tab w:val="clear" w:pos="2608"/>
          <w:tab w:val="clear" w:pos="3289"/>
          <w:tab w:val="clear" w:pos="3969"/>
          <w:tab w:val="clear" w:pos="4649"/>
          <w:tab w:val="clear" w:pos="5330"/>
        </w:tabs>
        <w:ind w:left="5670" w:hanging="3742"/>
      </w:pPr>
      <w:r w:rsidRPr="00944B83">
        <w:rPr>
          <w:i/>
          <w:iCs/>
          <w:rtl/>
        </w:rPr>
        <w:t>الملاحظات الختامية (الدورة 12</w:t>
      </w:r>
      <w:r w:rsidR="0098637C" w:rsidRPr="00944B83">
        <w:rPr>
          <w:i/>
          <w:iCs/>
          <w:rtl/>
        </w:rPr>
        <w:t>3):</w:t>
      </w:r>
      <w:r w:rsidR="0098637C" w:rsidRPr="0098637C">
        <w:rPr>
          <w:rtl/>
        </w:rPr>
        <w:tab/>
      </w:r>
      <w:r>
        <w:rPr>
          <w:rtl/>
        </w:rPr>
        <w:tab/>
      </w:r>
      <w:hyperlink r:id="rId9" w:history="1">
        <w:r w:rsidRPr="0098637C">
          <w:rPr>
            <w:rStyle w:val="Hyperlink"/>
            <w:lang w:val="en-US"/>
          </w:rPr>
          <w:t>CCPR/C/BHR/CO/</w:t>
        </w:r>
        <w:r w:rsidRPr="00944B83">
          <w:rPr>
            <w:rStyle w:val="Hyperlink"/>
            <w:lang w:val="en-US"/>
          </w:rPr>
          <w:t>1</w:t>
        </w:r>
      </w:hyperlink>
      <w:r w:rsidRPr="002819BC">
        <w:rPr>
          <w:rtl/>
        </w:rPr>
        <w:t xml:space="preserve">، </w:t>
      </w:r>
      <w:r w:rsidRPr="00944B83">
        <w:rPr>
          <w:rtl/>
        </w:rPr>
        <w:t>19</w:t>
      </w:r>
      <w:r w:rsidRPr="002819BC">
        <w:rPr>
          <w:rtl/>
        </w:rPr>
        <w:t xml:space="preserve"> تموز/</w:t>
      </w:r>
      <w:r>
        <w:rPr>
          <w:rFonts w:hint="cs"/>
          <w:rtl/>
        </w:rPr>
        <w:t xml:space="preserve"> </w:t>
      </w:r>
      <w:r w:rsidRPr="002819BC">
        <w:rPr>
          <w:rtl/>
        </w:rPr>
        <w:t xml:space="preserve">يوليه </w:t>
      </w:r>
      <w:r w:rsidRPr="00944B83">
        <w:rPr>
          <w:rtl/>
        </w:rPr>
        <w:t>2018</w:t>
      </w:r>
    </w:p>
    <w:p w14:paraId="7607FE16" w14:textId="1FEB7609" w:rsidR="002819BC" w:rsidRPr="002819BC" w:rsidRDefault="002819BC" w:rsidP="00944B83">
      <w:pPr>
        <w:pStyle w:val="SingleTxtGA"/>
        <w:tabs>
          <w:tab w:val="clear" w:pos="1928"/>
          <w:tab w:val="clear" w:pos="2608"/>
          <w:tab w:val="clear" w:pos="3289"/>
          <w:tab w:val="clear" w:pos="3969"/>
          <w:tab w:val="clear" w:pos="4649"/>
          <w:tab w:val="clear" w:pos="5330"/>
        </w:tabs>
        <w:ind w:left="5670" w:hanging="3742"/>
      </w:pPr>
      <w:r w:rsidRPr="00944B83">
        <w:rPr>
          <w:i/>
          <w:iCs/>
          <w:rtl/>
        </w:rPr>
        <w:t>الفقرات المشمولة بالمتابعة:</w:t>
      </w:r>
      <w:r>
        <w:rPr>
          <w:rtl/>
        </w:rPr>
        <w:tab/>
      </w:r>
      <w:r w:rsidRPr="00944B83">
        <w:rPr>
          <w:rtl/>
        </w:rPr>
        <w:t>14</w:t>
      </w:r>
      <w:r w:rsidRPr="002819BC">
        <w:rPr>
          <w:rtl/>
        </w:rPr>
        <w:t xml:space="preserve"> و</w:t>
      </w:r>
      <w:r w:rsidRPr="00944B83">
        <w:rPr>
          <w:rtl/>
        </w:rPr>
        <w:t>32</w:t>
      </w:r>
      <w:r w:rsidRPr="002819BC">
        <w:rPr>
          <w:rtl/>
        </w:rPr>
        <w:t xml:space="preserve"> و</w:t>
      </w:r>
      <w:r w:rsidRPr="00944B83">
        <w:rPr>
          <w:rtl/>
        </w:rPr>
        <w:t>54</w:t>
      </w:r>
    </w:p>
    <w:p w14:paraId="2BAB890E" w14:textId="071FBC8F" w:rsidR="002819BC" w:rsidRPr="002819BC" w:rsidRDefault="002819BC" w:rsidP="0098637C">
      <w:pPr>
        <w:pStyle w:val="SingleTxtGA"/>
        <w:tabs>
          <w:tab w:val="clear" w:pos="1928"/>
          <w:tab w:val="clear" w:pos="2608"/>
          <w:tab w:val="clear" w:pos="3289"/>
          <w:tab w:val="clear" w:pos="3969"/>
          <w:tab w:val="clear" w:pos="4649"/>
          <w:tab w:val="clear" w:pos="5330"/>
        </w:tabs>
        <w:ind w:left="5670" w:hanging="3742"/>
        <w:rPr>
          <w:spacing w:val="-6"/>
        </w:rPr>
      </w:pPr>
      <w:r w:rsidRPr="00944B83">
        <w:rPr>
          <w:i/>
          <w:iCs/>
          <w:rtl/>
        </w:rPr>
        <w:t>المعلومات الواردة من الدولة الطرف:</w:t>
      </w:r>
      <w:r w:rsidRPr="00944B83">
        <w:rPr>
          <w:i/>
          <w:iCs/>
          <w:rtl/>
        </w:rPr>
        <w:tab/>
      </w:r>
      <w:r w:rsidRPr="002819BC">
        <w:rPr>
          <w:spacing w:val="-6"/>
          <w:rtl/>
        </w:rPr>
        <w:tab/>
      </w:r>
      <w:hyperlink r:id="rId10" w:history="1">
        <w:r w:rsidRPr="0098637C">
          <w:rPr>
            <w:rStyle w:val="Hyperlink"/>
            <w:spacing w:val="-6"/>
            <w:lang w:val="en-US"/>
          </w:rPr>
          <w:t>CCPR/C/BHR/FCO/</w:t>
        </w:r>
        <w:r w:rsidRPr="00944B83">
          <w:rPr>
            <w:rStyle w:val="Hyperlink"/>
            <w:spacing w:val="-6"/>
            <w:lang w:val="en-US"/>
          </w:rPr>
          <w:t>1</w:t>
        </w:r>
      </w:hyperlink>
      <w:r w:rsidRPr="002819BC">
        <w:rPr>
          <w:spacing w:val="-6"/>
          <w:rtl/>
        </w:rPr>
        <w:t xml:space="preserve">، </w:t>
      </w:r>
      <w:r w:rsidRPr="00944B83">
        <w:rPr>
          <w:spacing w:val="-6"/>
          <w:rtl/>
        </w:rPr>
        <w:t>14</w:t>
      </w:r>
      <w:r w:rsidRPr="002819BC">
        <w:rPr>
          <w:spacing w:val="-6"/>
          <w:rtl/>
        </w:rPr>
        <w:t xml:space="preserve"> حزيران/</w:t>
      </w:r>
      <w:r w:rsidRPr="002819BC">
        <w:rPr>
          <w:rFonts w:hint="cs"/>
          <w:spacing w:val="-6"/>
          <w:rtl/>
        </w:rPr>
        <w:t xml:space="preserve"> </w:t>
      </w:r>
      <w:proofErr w:type="gramStart"/>
      <w:r w:rsidRPr="002819BC">
        <w:rPr>
          <w:spacing w:val="-6"/>
          <w:rtl/>
        </w:rPr>
        <w:t>يونيه</w:t>
      </w:r>
      <w:proofErr w:type="gramEnd"/>
      <w:r w:rsidRPr="002819BC">
        <w:rPr>
          <w:spacing w:val="-6"/>
          <w:rtl/>
        </w:rPr>
        <w:t xml:space="preserve"> </w:t>
      </w:r>
      <w:r w:rsidRPr="00944B83">
        <w:rPr>
          <w:spacing w:val="-6"/>
          <w:rtl/>
        </w:rPr>
        <w:t>2021</w:t>
      </w:r>
    </w:p>
    <w:p w14:paraId="6EB5A9B0" w14:textId="70B15709" w:rsidR="002819BC" w:rsidRPr="002819BC" w:rsidRDefault="002819BC" w:rsidP="002819BC">
      <w:pPr>
        <w:pStyle w:val="SingleTxtGA"/>
        <w:tabs>
          <w:tab w:val="clear" w:pos="1928"/>
          <w:tab w:val="clear" w:pos="2608"/>
          <w:tab w:val="clear" w:pos="3289"/>
          <w:tab w:val="clear" w:pos="3969"/>
          <w:tab w:val="clear" w:pos="4649"/>
          <w:tab w:val="clear" w:pos="5330"/>
        </w:tabs>
        <w:ind w:left="5670" w:hanging="3742"/>
      </w:pPr>
      <w:r w:rsidRPr="00944B83">
        <w:rPr>
          <w:i/>
          <w:iCs/>
          <w:rtl/>
        </w:rPr>
        <w:t>المعلومات الواردة من الجهات صاحبة المصلحة:</w:t>
      </w:r>
      <w:r>
        <w:rPr>
          <w:rtl/>
        </w:rPr>
        <w:tab/>
      </w:r>
      <w:hyperlink r:id="rId11" w:history="1">
        <w:r w:rsidRPr="0098637C">
          <w:rPr>
            <w:rStyle w:val="Hyperlink"/>
            <w:rtl/>
          </w:rPr>
          <w:t>جمعية الوفاق الوطني الإسلامية</w:t>
        </w:r>
      </w:hyperlink>
      <w:r w:rsidRPr="002819BC">
        <w:rPr>
          <w:rtl/>
        </w:rPr>
        <w:t xml:space="preserve">، </w:t>
      </w:r>
      <w:r w:rsidRPr="00944B83">
        <w:rPr>
          <w:rtl/>
        </w:rPr>
        <w:t>14</w:t>
      </w:r>
      <w:r w:rsidRPr="002819BC">
        <w:rPr>
          <w:rtl/>
        </w:rPr>
        <w:t xml:space="preserve"> نيسان/أبريل </w:t>
      </w:r>
      <w:r w:rsidRPr="00944B83">
        <w:rPr>
          <w:rtl/>
        </w:rPr>
        <w:t>2022</w:t>
      </w:r>
      <w:r w:rsidRPr="002819BC">
        <w:rPr>
          <w:rtl/>
        </w:rPr>
        <w:t xml:space="preserve">؛ </w:t>
      </w:r>
      <w:hyperlink r:id="rId12" w:history="1">
        <w:r w:rsidRPr="0098637C">
          <w:rPr>
            <w:rStyle w:val="Hyperlink"/>
            <w:rtl/>
          </w:rPr>
          <w:t>منظمة أمريكيون من أجل الديمقراطية وحقوق الإنسان في البحرين</w:t>
        </w:r>
      </w:hyperlink>
      <w:r w:rsidRPr="002819BC">
        <w:rPr>
          <w:rtl/>
        </w:rPr>
        <w:t xml:space="preserve">، </w:t>
      </w:r>
      <w:r w:rsidRPr="00944B83">
        <w:rPr>
          <w:rtl/>
        </w:rPr>
        <w:t>12</w:t>
      </w:r>
      <w:r w:rsidRPr="002819BC">
        <w:rPr>
          <w:rtl/>
        </w:rPr>
        <w:t xml:space="preserve"> نيسان/أبريل </w:t>
      </w:r>
      <w:r w:rsidRPr="00944B83">
        <w:rPr>
          <w:rtl/>
        </w:rPr>
        <w:t>2022</w:t>
      </w:r>
      <w:r w:rsidRPr="002819BC">
        <w:rPr>
          <w:rtl/>
        </w:rPr>
        <w:t xml:space="preserve">؛ </w:t>
      </w:r>
      <w:hyperlink r:id="rId13" w:history="1">
        <w:r w:rsidRPr="0098637C">
          <w:rPr>
            <w:rStyle w:val="Hyperlink"/>
            <w:rtl/>
          </w:rPr>
          <w:t>منتدى البحرين لحقوق الإنسان</w:t>
        </w:r>
      </w:hyperlink>
      <w:r w:rsidRPr="002819BC">
        <w:rPr>
          <w:rtl/>
        </w:rPr>
        <w:t xml:space="preserve">، </w:t>
      </w:r>
      <w:r w:rsidRPr="00944B83">
        <w:rPr>
          <w:rtl/>
        </w:rPr>
        <w:t>15</w:t>
      </w:r>
      <w:r w:rsidRPr="002819BC">
        <w:rPr>
          <w:rtl/>
        </w:rPr>
        <w:t xml:space="preserve"> نيسان/أبريل </w:t>
      </w:r>
      <w:r w:rsidRPr="00944B83">
        <w:rPr>
          <w:rtl/>
        </w:rPr>
        <w:t>2022</w:t>
      </w:r>
      <w:r w:rsidRPr="002819BC">
        <w:rPr>
          <w:rtl/>
        </w:rPr>
        <w:t xml:space="preserve">؛ </w:t>
      </w:r>
      <w:hyperlink r:id="rId14" w:history="1">
        <w:r w:rsidRPr="0098637C">
          <w:rPr>
            <w:rStyle w:val="Hyperlink"/>
            <w:rtl/>
          </w:rPr>
          <w:t>المركز الدولي لدعم الحقوق والحريات</w:t>
        </w:r>
      </w:hyperlink>
      <w:r w:rsidRPr="002819BC">
        <w:rPr>
          <w:rtl/>
        </w:rPr>
        <w:t xml:space="preserve">، </w:t>
      </w:r>
      <w:r w:rsidRPr="00944B83">
        <w:rPr>
          <w:rtl/>
        </w:rPr>
        <w:t>15</w:t>
      </w:r>
      <w:r w:rsidRPr="002819BC">
        <w:rPr>
          <w:rtl/>
        </w:rPr>
        <w:t xml:space="preserve"> نيسان/أبريل </w:t>
      </w:r>
      <w:r w:rsidRPr="00944B83">
        <w:rPr>
          <w:rtl/>
        </w:rPr>
        <w:t>2022</w:t>
      </w:r>
      <w:r w:rsidRPr="002819BC">
        <w:rPr>
          <w:rtl/>
        </w:rPr>
        <w:t xml:space="preserve">؛ </w:t>
      </w:r>
      <w:hyperlink r:id="rId15" w:history="1">
        <w:r w:rsidRPr="0098637C">
          <w:rPr>
            <w:rStyle w:val="Hyperlink"/>
            <w:rtl/>
          </w:rPr>
          <w:t>منظمة سلام للديمقراطية وحقوق الإنسان</w:t>
        </w:r>
      </w:hyperlink>
      <w:r w:rsidRPr="002819BC">
        <w:rPr>
          <w:rtl/>
        </w:rPr>
        <w:t xml:space="preserve">، </w:t>
      </w:r>
      <w:r w:rsidRPr="00944B83">
        <w:rPr>
          <w:rtl/>
        </w:rPr>
        <w:t>14</w:t>
      </w:r>
      <w:r w:rsidRPr="002819BC">
        <w:rPr>
          <w:rtl/>
        </w:rPr>
        <w:t xml:space="preserve"> نيسان/أبريل </w:t>
      </w:r>
      <w:r w:rsidRPr="00944B83">
        <w:rPr>
          <w:rtl/>
        </w:rPr>
        <w:t>2022</w:t>
      </w:r>
      <w:r w:rsidRPr="002819BC">
        <w:rPr>
          <w:rtl/>
        </w:rPr>
        <w:t>؛</w:t>
      </w:r>
    </w:p>
    <w:p w14:paraId="4A3BA957" w14:textId="7B9A828B" w:rsidR="002819BC" w:rsidRPr="002819BC" w:rsidRDefault="002819BC" w:rsidP="00944B83">
      <w:pPr>
        <w:pStyle w:val="SingleTxtGA"/>
        <w:tabs>
          <w:tab w:val="clear" w:pos="1928"/>
          <w:tab w:val="clear" w:pos="2608"/>
          <w:tab w:val="clear" w:pos="3289"/>
          <w:tab w:val="clear" w:pos="3969"/>
          <w:tab w:val="clear" w:pos="4649"/>
          <w:tab w:val="clear" w:pos="5330"/>
        </w:tabs>
        <w:ind w:left="5670" w:hanging="3742"/>
      </w:pPr>
      <w:r w:rsidRPr="00944B83">
        <w:rPr>
          <w:i/>
          <w:iCs/>
          <w:rtl/>
        </w:rPr>
        <w:t>تقييم اللجنة:</w:t>
      </w:r>
      <w:r>
        <w:rPr>
          <w:rtl/>
        </w:rPr>
        <w:tab/>
      </w:r>
      <w:r w:rsidRPr="00944B83">
        <w:rPr>
          <w:rtl/>
        </w:rPr>
        <w:t>14</w:t>
      </w:r>
      <w:r w:rsidRPr="002819BC">
        <w:rPr>
          <w:rtl/>
        </w:rPr>
        <w:t>[جيم] و</w:t>
      </w:r>
      <w:r w:rsidRPr="00944B83">
        <w:rPr>
          <w:rtl/>
        </w:rPr>
        <w:t>32</w:t>
      </w:r>
      <w:r w:rsidRPr="002819BC">
        <w:rPr>
          <w:rtl/>
        </w:rPr>
        <w:t>[جيم] و</w:t>
      </w:r>
      <w:r w:rsidRPr="00944B83">
        <w:rPr>
          <w:rtl/>
        </w:rPr>
        <w:t>54</w:t>
      </w:r>
      <w:r w:rsidRPr="002819BC">
        <w:rPr>
          <w:rtl/>
        </w:rPr>
        <w:t>[هاء][جيم]</w:t>
      </w:r>
    </w:p>
    <w:p w14:paraId="6DDC57BA" w14:textId="69D04C64" w:rsidR="002819BC" w:rsidRPr="00944B83" w:rsidRDefault="002819BC" w:rsidP="002819BC">
      <w:pPr>
        <w:pStyle w:val="H1GA"/>
        <w:rPr>
          <w:lang w:val="ar-SA" w:eastAsia="zh-TW" w:bidi="en-GB"/>
        </w:rPr>
      </w:pPr>
      <w:r w:rsidRPr="00944B83">
        <w:rPr>
          <w:rtl/>
        </w:rPr>
        <w:lastRenderedPageBreak/>
        <w:tab/>
      </w:r>
      <w:r w:rsidRPr="00944B83">
        <w:rPr>
          <w:rtl/>
        </w:rPr>
        <w:tab/>
        <w:t>الفقرة 1</w:t>
      </w:r>
      <w:r w:rsidR="0098637C" w:rsidRPr="00944B83">
        <w:rPr>
          <w:rtl/>
        </w:rPr>
        <w:t xml:space="preserve">4: </w:t>
      </w:r>
      <w:r w:rsidRPr="00944B83">
        <w:rPr>
          <w:rtl/>
        </w:rPr>
        <w:t>المحاكم العسكرية</w:t>
      </w:r>
      <w:bookmarkStart w:id="1" w:name="_Toc529980685"/>
      <w:bookmarkEnd w:id="1"/>
      <w:r w:rsidR="0098637C" w:rsidRPr="009F4C23">
        <w:rPr>
          <w:rStyle w:val="FootnoteReference"/>
          <w:rFonts w:ascii="Simplified Arabic" w:hAnsi="Simplified Arabic"/>
          <w:b w:val="0"/>
          <w:bCs w:val="0"/>
          <w:sz w:val="22"/>
          <w:szCs w:val="22"/>
          <w:rtl/>
        </w:rPr>
        <w:t>(</w:t>
      </w:r>
      <w:r w:rsidR="0098637C" w:rsidRPr="00944B83">
        <w:rPr>
          <w:rStyle w:val="FootnoteReference"/>
          <w:rFonts w:ascii="Simplified Arabic" w:hAnsi="Simplified Arabic"/>
          <w:b w:val="0"/>
          <w:bCs w:val="0"/>
          <w:sz w:val="22"/>
          <w:szCs w:val="22"/>
          <w:lang w:val="en-US"/>
        </w:rPr>
        <w:footnoteReference w:id="2"/>
      </w:r>
      <w:r w:rsidRPr="009F4C23">
        <w:rPr>
          <w:rFonts w:hint="cs"/>
          <w:b w:val="0"/>
          <w:bCs w:val="0"/>
          <w:sz w:val="22"/>
          <w:szCs w:val="22"/>
          <w:vertAlign w:val="superscript"/>
          <w:rtl/>
        </w:rPr>
        <w:t>)</w:t>
      </w:r>
    </w:p>
    <w:p w14:paraId="391E74B4" w14:textId="77777777" w:rsidR="002819BC" w:rsidRPr="00944B83" w:rsidRDefault="002819BC" w:rsidP="002819BC">
      <w:pPr>
        <w:pStyle w:val="H23GA"/>
        <w:rPr>
          <w:rFonts w:eastAsiaTheme="minorEastAsia"/>
          <w:lang w:val="ar-SA" w:eastAsia="zh-TW" w:bidi="en-GB"/>
        </w:rPr>
      </w:pPr>
      <w:r w:rsidRPr="00944B83">
        <w:rPr>
          <w:rtl/>
        </w:rPr>
        <w:tab/>
      </w:r>
      <w:r w:rsidRPr="00944B83">
        <w:rPr>
          <w:rtl/>
        </w:rPr>
        <w:tab/>
        <w:t>ملخص المعلومات الواردة من الدولة الطرف</w:t>
      </w:r>
    </w:p>
    <w:p w14:paraId="606FFA3A" w14:textId="419CAC17" w:rsidR="002819BC" w:rsidRPr="002819BC" w:rsidRDefault="002819BC" w:rsidP="002819BC">
      <w:pPr>
        <w:pStyle w:val="SingleTxtGA"/>
        <w:rPr>
          <w:lang w:val="ar-SA" w:eastAsia="zh-TW" w:bidi="en-GB"/>
        </w:rPr>
      </w:pPr>
      <w:r w:rsidRPr="002819BC">
        <w:rPr>
          <w:rtl/>
        </w:rPr>
        <w:tab/>
        <w:t xml:space="preserve">أُجري تعديل نيسان/أبريل </w:t>
      </w:r>
      <w:r w:rsidRPr="00944B83">
        <w:rPr>
          <w:rtl/>
        </w:rPr>
        <w:t>2017</w:t>
      </w:r>
      <w:r w:rsidRPr="002819BC">
        <w:rPr>
          <w:rtl/>
        </w:rPr>
        <w:t xml:space="preserve"> على الدستور في سياق جهود الدولة الرامية إلى مكافحة العمليات الإرهابية والتهديدات المتزايدة. ونتيجة لذلك، جرى تعديل قانون القضاء العسكري لإدخال استثناء يجوز بموجبه للنائب العام، بموافقة المحاكم العسكرية، أن يحيل إلى تلك المحاكم أياً من الجرائم الواردة في قانون حماية المجتمع من الأعمال الإرهابية أو أي من الجرائم المخلة بأمن الدولة الواردة في الفصلين الأول والثاني من الباب الأول من القسم الخاص من قانون العقوبات والجرائم ذات الصلة (المادة </w:t>
      </w:r>
      <w:r w:rsidRPr="00944B83">
        <w:rPr>
          <w:rtl/>
        </w:rPr>
        <w:t>17</w:t>
      </w:r>
      <w:r w:rsidRPr="002819BC">
        <w:rPr>
          <w:rtl/>
        </w:rPr>
        <w:t xml:space="preserve"> مكرراً ثانياً</w:t>
      </w:r>
      <w:r w:rsidR="0098637C" w:rsidRPr="0098637C">
        <w:rPr>
          <w:rtl/>
        </w:rPr>
        <w:t xml:space="preserve">). </w:t>
      </w:r>
      <w:r w:rsidRPr="002819BC">
        <w:rPr>
          <w:rtl/>
        </w:rPr>
        <w:t>ويظل الاختصاص الأساسي لهذه الجرائم مع المحاكم العادية، ما لم يقرر المدعي العام بشكل استثنائي إحالتها إلى المحاكم العسكرية. وتعقد المحاكم العسكرية جلسات علنية ولديها محاكم استئناف ونقض. وتُطبَّق في المحاكم العسكرية نفس الضمانات التي تُطبَّق في المحاكم المدنية. وبموجب قانون المؤسسات الوطنية لحقوق الإنسان، يُسمَح للمؤسسة بحضور جلسات المحكمة.</w:t>
      </w:r>
    </w:p>
    <w:p w14:paraId="42DF5EEF" w14:textId="77777777" w:rsidR="002819BC" w:rsidRPr="00944B83" w:rsidRDefault="002819BC" w:rsidP="002819BC">
      <w:pPr>
        <w:pStyle w:val="H23GA"/>
        <w:rPr>
          <w:lang w:val="ar-SA" w:eastAsia="zh-TW" w:bidi="en-GB"/>
        </w:rPr>
      </w:pPr>
      <w:r w:rsidRPr="00944B83">
        <w:rPr>
          <w:rtl/>
        </w:rPr>
        <w:tab/>
      </w:r>
      <w:r w:rsidRPr="00944B83">
        <w:rPr>
          <w:rtl/>
        </w:rPr>
        <w:tab/>
        <w:t>ملخص المعلومات الواردة من الجهات صاحبة المصلحة</w:t>
      </w:r>
    </w:p>
    <w:p w14:paraId="24838D89" w14:textId="190E08D2" w:rsidR="0098637C" w:rsidRPr="0098637C" w:rsidRDefault="002819BC" w:rsidP="002819BC">
      <w:pPr>
        <w:pStyle w:val="SingleTxtGA"/>
        <w:rPr>
          <w:rFonts w:eastAsiaTheme="minorEastAsia"/>
          <w:lang w:val="ar-SA" w:eastAsia="zh-TW" w:bidi="en-GB"/>
        </w:rPr>
      </w:pPr>
      <w:r>
        <w:rPr>
          <w:rFonts w:eastAsiaTheme="minorEastAsia"/>
          <w:rtl/>
        </w:rPr>
        <w:tab/>
      </w:r>
      <w:r w:rsidRPr="002819BC">
        <w:rPr>
          <w:rFonts w:eastAsiaTheme="minorEastAsia"/>
          <w:rtl/>
        </w:rPr>
        <w:t xml:space="preserve">وفقاً لمنظمة أمريكيون من أجل الديمقراطية وحقوق الإنسان في البحرين، لم </w:t>
      </w:r>
      <w:r w:rsidRPr="002819BC">
        <w:rPr>
          <w:rFonts w:eastAsiaTheme="minorEastAsia"/>
          <w:rtl/>
          <w:lang w:val="fr-CH"/>
        </w:rPr>
        <w:t>يخضع</w:t>
      </w:r>
      <w:r w:rsidRPr="002819BC">
        <w:rPr>
          <w:rFonts w:eastAsiaTheme="minorEastAsia"/>
          <w:rtl/>
        </w:rPr>
        <w:t xml:space="preserve"> تعديل عام</w:t>
      </w:r>
      <w:r>
        <w:rPr>
          <w:rFonts w:eastAsiaTheme="minorEastAsia" w:hint="cs"/>
          <w:rtl/>
        </w:rPr>
        <w:t> </w:t>
      </w:r>
      <w:r w:rsidRPr="00944B83">
        <w:rPr>
          <w:rFonts w:eastAsiaTheme="minorEastAsia"/>
          <w:rtl/>
        </w:rPr>
        <w:t>2017</w:t>
      </w:r>
      <w:r w:rsidRPr="002819BC">
        <w:rPr>
          <w:rFonts w:eastAsiaTheme="minorEastAsia"/>
          <w:rtl/>
        </w:rPr>
        <w:t xml:space="preserve"> لمراجعة رسمية. وقد أدت الإجراءات التي اتخذتها الحكومة إلى تفاقم المخالفات القضائية وانعدام الشفافية في نظام العدالة الجنائية. ولم ترد أي أنباء عن محاكمة مدنيين أمام محاكم عسكرية منذ عام </w:t>
      </w:r>
      <w:r w:rsidRPr="00944B83">
        <w:rPr>
          <w:rFonts w:eastAsiaTheme="minorEastAsia"/>
          <w:rtl/>
        </w:rPr>
        <w:t>201</w:t>
      </w:r>
      <w:r w:rsidR="0098637C" w:rsidRPr="00944B83">
        <w:rPr>
          <w:rFonts w:eastAsiaTheme="minorEastAsia"/>
          <w:rtl/>
        </w:rPr>
        <w:t>8</w:t>
      </w:r>
      <w:r w:rsidR="0098637C" w:rsidRPr="0098637C">
        <w:rPr>
          <w:rFonts w:eastAsiaTheme="minorEastAsia"/>
          <w:rtl/>
        </w:rPr>
        <w:t>.</w:t>
      </w:r>
    </w:p>
    <w:p w14:paraId="3F10AFDD" w14:textId="5E64E183" w:rsidR="002819BC" w:rsidRPr="002819BC" w:rsidRDefault="0098637C" w:rsidP="002819BC">
      <w:pPr>
        <w:pStyle w:val="SingleTxtGA"/>
        <w:rPr>
          <w:rFonts w:eastAsiaTheme="minorEastAsia"/>
          <w:lang w:val="ar-SA" w:eastAsia="zh-TW" w:bidi="en-GB"/>
        </w:rPr>
      </w:pPr>
      <w:r>
        <w:rPr>
          <w:rFonts w:eastAsiaTheme="minorEastAsia"/>
          <w:rtl/>
        </w:rPr>
        <w:tab/>
      </w:r>
      <w:r w:rsidR="002819BC" w:rsidRPr="002819BC">
        <w:rPr>
          <w:rFonts w:eastAsiaTheme="minorEastAsia"/>
          <w:rtl/>
        </w:rPr>
        <w:t>ويقدم منتدى البحرين لحقوق الإنسان قائمة من الانتهاكات المحتملة لحق المدنيين في محاكمة عادلة في حال محاكمتهم أمام محاكم عسكرية، مع الإشارة إلى أحكام محددة من قانون القضاء العسكري.</w:t>
      </w:r>
    </w:p>
    <w:p w14:paraId="7E37899F" w14:textId="77777777" w:rsidR="002819BC" w:rsidRPr="00944B83" w:rsidRDefault="002819BC" w:rsidP="002819BC">
      <w:pPr>
        <w:pStyle w:val="H23GA"/>
        <w:rPr>
          <w:rFonts w:eastAsiaTheme="minorEastAsia"/>
          <w:lang w:val="ar-SA" w:eastAsia="zh-TW" w:bidi="en-GB"/>
        </w:rPr>
      </w:pPr>
      <w:r w:rsidRPr="00944B83">
        <w:rPr>
          <w:rFonts w:eastAsiaTheme="minorEastAsia"/>
          <w:rtl/>
        </w:rPr>
        <w:tab/>
      </w:r>
      <w:r w:rsidRPr="00944B83">
        <w:rPr>
          <w:rFonts w:eastAsiaTheme="minorEastAsia"/>
          <w:rtl/>
        </w:rPr>
        <w:tab/>
        <w:t>تقييم اللجنة</w:t>
      </w:r>
    </w:p>
    <w:p w14:paraId="33A79EE2" w14:textId="6C605C88" w:rsidR="002819BC" w:rsidRPr="0098637C" w:rsidRDefault="0098637C" w:rsidP="0098637C">
      <w:pPr>
        <w:pStyle w:val="SingleTxtGA"/>
        <w:rPr>
          <w:lang w:val="en-US" w:eastAsia="zh-TW" w:bidi="en-GB"/>
        </w:rPr>
      </w:pPr>
      <w:r>
        <w:rPr>
          <w:rtl/>
        </w:rPr>
        <w:t>[</w:t>
      </w:r>
      <w:r w:rsidR="002819BC" w:rsidRPr="002819BC">
        <w:rPr>
          <w:rtl/>
        </w:rPr>
        <w:t>جيم</w:t>
      </w:r>
      <w:r>
        <w:rPr>
          <w:rtl/>
        </w:rPr>
        <w:t>]</w:t>
      </w:r>
    </w:p>
    <w:p w14:paraId="40872356" w14:textId="1C59DE7B" w:rsidR="002819BC" w:rsidRPr="002819BC" w:rsidRDefault="002819BC" w:rsidP="002819BC">
      <w:pPr>
        <w:pStyle w:val="SingleTxtGA"/>
        <w:rPr>
          <w:rFonts w:eastAsiaTheme="minorEastAsia"/>
          <w:lang w:val="ar-SA" w:eastAsia="zh-TW" w:bidi="en-GB"/>
        </w:rPr>
      </w:pPr>
      <w:r w:rsidRPr="002819BC">
        <w:rPr>
          <w:rFonts w:eastAsiaTheme="minorEastAsia"/>
          <w:rtl/>
        </w:rPr>
        <w:tab/>
        <w:t xml:space="preserve">تحيط اللجنة علماً بالمعلومات المتعلقة بتعديل الدستور لعام </w:t>
      </w:r>
      <w:r w:rsidRPr="00944B83">
        <w:rPr>
          <w:rFonts w:eastAsiaTheme="minorEastAsia"/>
          <w:rtl/>
        </w:rPr>
        <w:t>2017</w:t>
      </w:r>
      <w:r w:rsidRPr="002819BC">
        <w:rPr>
          <w:rFonts w:eastAsiaTheme="minorEastAsia"/>
          <w:rtl/>
        </w:rPr>
        <w:t xml:space="preserve"> والضمانات المتاحة في إجراءات المحاكم العسكرية. غير أنها تأسف لعدم وجود معلومات عن أي تدابير اتُّخِذَت بعد اعتماد ملاحظاتها الختامية لمراجعة تعديل عام </w:t>
      </w:r>
      <w:r w:rsidRPr="00944B83">
        <w:rPr>
          <w:rFonts w:eastAsiaTheme="minorEastAsia"/>
          <w:rtl/>
        </w:rPr>
        <w:t>2017</w:t>
      </w:r>
      <w:r w:rsidRPr="002819BC">
        <w:rPr>
          <w:rFonts w:eastAsiaTheme="minorEastAsia"/>
          <w:rtl/>
        </w:rPr>
        <w:t xml:space="preserve"> من أجل ضمان منع المحاكم العسكرية من ممارسة اختصاصها على المدنيين. وتكرر اللجنة تأكيد توصيتها.</w:t>
      </w:r>
    </w:p>
    <w:p w14:paraId="1B636EEA" w14:textId="73E4D9F7" w:rsidR="002819BC" w:rsidRPr="00944B83" w:rsidRDefault="002819BC" w:rsidP="002819BC">
      <w:pPr>
        <w:pStyle w:val="H1GA"/>
        <w:rPr>
          <w:lang w:val="ar-SA" w:eastAsia="zh-TW" w:bidi="en-GB"/>
        </w:rPr>
      </w:pPr>
      <w:r w:rsidRPr="00944B83">
        <w:rPr>
          <w:rtl/>
        </w:rPr>
        <w:tab/>
      </w:r>
      <w:r w:rsidRPr="00944B83">
        <w:rPr>
          <w:rtl/>
        </w:rPr>
        <w:tab/>
        <w:t>الفقرة 3</w:t>
      </w:r>
      <w:r w:rsidR="0098637C" w:rsidRPr="00944B83">
        <w:rPr>
          <w:rtl/>
        </w:rPr>
        <w:t xml:space="preserve">2: </w:t>
      </w:r>
      <w:r w:rsidRPr="00944B83">
        <w:rPr>
          <w:rtl/>
        </w:rPr>
        <w:t>عقوبة الإعدام</w:t>
      </w:r>
      <w:bookmarkStart w:id="2" w:name="_Toc529980694"/>
      <w:bookmarkEnd w:id="2"/>
    </w:p>
    <w:p w14:paraId="50A2C439" w14:textId="77777777" w:rsidR="002819BC" w:rsidRPr="00944B83" w:rsidRDefault="002819BC" w:rsidP="002819BC">
      <w:pPr>
        <w:pStyle w:val="H23GA"/>
        <w:rPr>
          <w:rFonts w:eastAsiaTheme="minorEastAsia"/>
          <w:lang w:val="ar-SA" w:eastAsia="zh-TW" w:bidi="en-GB"/>
        </w:rPr>
      </w:pPr>
      <w:r w:rsidRPr="00944B83">
        <w:rPr>
          <w:rFonts w:eastAsiaTheme="minorEastAsia"/>
          <w:rtl/>
        </w:rPr>
        <w:tab/>
      </w:r>
      <w:r w:rsidRPr="00944B83">
        <w:rPr>
          <w:rFonts w:eastAsiaTheme="minorEastAsia"/>
          <w:rtl/>
        </w:rPr>
        <w:tab/>
        <w:t>ملخص المعلومات الواردة من الدولة الطرف</w:t>
      </w:r>
    </w:p>
    <w:p w14:paraId="0F4EA7E9" w14:textId="6A2A0B8A" w:rsidR="002819BC" w:rsidRPr="002819BC" w:rsidRDefault="002819BC" w:rsidP="002819BC">
      <w:pPr>
        <w:pStyle w:val="SingleTxtGA"/>
        <w:rPr>
          <w:lang w:val="ar-SA" w:eastAsia="zh-TW" w:bidi="en-GB"/>
        </w:rPr>
      </w:pPr>
      <w:r>
        <w:rPr>
          <w:rtl/>
        </w:rPr>
        <w:tab/>
      </w:r>
      <w:r w:rsidRPr="002819BC">
        <w:rPr>
          <w:rtl/>
        </w:rPr>
        <w:t xml:space="preserve">ليست عقوبة الإعدام محظورة في حد ذاتها بموجب القانون الدولي، وتتفق ممارسة الدولة في هذا الصدد مع الضمانات التي تكفل حماية حقوق أولئك الذين يواجهون عقوبة الإعدام، على النحو المبين في قرار المجلس الاقتصادي والاجتماعي </w:t>
      </w:r>
      <w:r w:rsidRPr="00944B83">
        <w:rPr>
          <w:rtl/>
        </w:rPr>
        <w:t>1984</w:t>
      </w:r>
      <w:r w:rsidRPr="002819BC">
        <w:rPr>
          <w:rtl/>
        </w:rPr>
        <w:t>/</w:t>
      </w:r>
      <w:r w:rsidRPr="00944B83">
        <w:rPr>
          <w:rtl/>
        </w:rPr>
        <w:t>5</w:t>
      </w:r>
      <w:r w:rsidR="0098637C" w:rsidRPr="00944B83">
        <w:rPr>
          <w:rtl/>
        </w:rPr>
        <w:t>0</w:t>
      </w:r>
      <w:r w:rsidR="0098637C" w:rsidRPr="0098637C">
        <w:rPr>
          <w:rtl/>
        </w:rPr>
        <w:t xml:space="preserve">. </w:t>
      </w:r>
      <w:r w:rsidRPr="002819BC">
        <w:rPr>
          <w:rtl/>
        </w:rPr>
        <w:t xml:space="preserve">ولا يمكن أن تُطبَّق عقوبة الإعدام إلا على أشد الجرائم خطورة على المجتمع، ويجب أن يكون المتهم ممثلاً بمحامٍ أو أن تضع الدولة محامياً في خدمته. وتنص جميع أحكام الإعدام على الضمانات الأساسية للمحاكمة العادلة وتخضع للاستئناف الإلزامي. </w:t>
      </w:r>
      <w:r w:rsidRPr="002819BC">
        <w:rPr>
          <w:rtl/>
        </w:rPr>
        <w:lastRenderedPageBreak/>
        <w:t>ويتطلب فرضها قراراً بالإجماع من القضاة المعنيين ولا تُنفَّذ إلا بموافقة الملك. فهو يمكنه إلغاء عقوبة الإعدام وتخفيفها في حالات معينة. ويجوز إعادة حكم الإعدام إلى محكمة النقض لمراجعتها، مما ينتج عنه وقف التنفيذ ريثما يصدر حكم نهائي. ولا يمكن تطبيق عقوبة الإعدام على النساء الحوامل أو</w:t>
      </w:r>
      <w:r w:rsidR="00C4235F">
        <w:rPr>
          <w:rFonts w:hint="cs"/>
          <w:rtl/>
        </w:rPr>
        <w:t> </w:t>
      </w:r>
      <w:r w:rsidRPr="002819BC">
        <w:rPr>
          <w:rtl/>
        </w:rPr>
        <w:t>الأحداث. ولا يمكن في حالات عقوبة الإعدام أن تُؤخذ اعترافات المتهم في الحسبان. ونادراً ما تُنفَّذ عقوبة الإعدام. وإذا ما وافقت دول أخرى، وخاصة دول المنطقة، على مراجعة عقوبة الإعدام أو إلغاءها، فإن البحرين ستنظر بجدية في هذا الأمر.</w:t>
      </w:r>
    </w:p>
    <w:p w14:paraId="578C4A05" w14:textId="77777777" w:rsidR="002819BC" w:rsidRPr="00944B83" w:rsidRDefault="002819BC" w:rsidP="002819BC">
      <w:pPr>
        <w:pStyle w:val="H23G"/>
        <w:bidi/>
        <w:textDirection w:val="tbRlV"/>
        <w:rPr>
          <w:rFonts w:eastAsiaTheme="minorEastAsia" w:hAnsi="Times New Roman" w:cs="Simplified Arabic" w:hint="default"/>
          <w:sz w:val="22"/>
          <w:szCs w:val="22"/>
          <w:lang w:val="ar-SA" w:eastAsia="zh-TW" w:bidi="en-GB"/>
        </w:rPr>
      </w:pPr>
      <w:r w:rsidRPr="00944B83">
        <w:rPr>
          <w:rFonts w:eastAsiaTheme="minorEastAsia" w:hAnsi="Times New Roman" w:cs="Simplified Arabic"/>
          <w:sz w:val="22"/>
          <w:szCs w:val="22"/>
          <w:rtl/>
        </w:rPr>
        <w:tab/>
      </w:r>
      <w:r w:rsidRPr="00944B83">
        <w:rPr>
          <w:rFonts w:eastAsiaTheme="minorEastAsia" w:hAnsi="Times New Roman" w:cs="Simplified Arabic"/>
          <w:sz w:val="22"/>
          <w:szCs w:val="22"/>
          <w:rtl/>
        </w:rPr>
        <w:tab/>
      </w:r>
      <w:r w:rsidRPr="00944B83">
        <w:rPr>
          <w:rFonts w:eastAsiaTheme="minorEastAsia" w:hAnsi="Times New Roman" w:cs="Simplified Arabic"/>
          <w:bCs/>
          <w:sz w:val="22"/>
          <w:szCs w:val="22"/>
          <w:rtl/>
        </w:rPr>
        <w:t>ملخص المعلومات الواردة من الجهات صاحبة المصلحة</w:t>
      </w:r>
    </w:p>
    <w:p w14:paraId="3C007A62" w14:textId="7B611301" w:rsidR="002819BC" w:rsidRPr="002819BC" w:rsidRDefault="002819BC" w:rsidP="002819BC">
      <w:pPr>
        <w:pStyle w:val="SingleTxtGA"/>
        <w:rPr>
          <w:rFonts w:eastAsiaTheme="minorEastAsia"/>
          <w:lang w:val="ar-SA" w:eastAsia="zh-TW" w:bidi="en-GB"/>
        </w:rPr>
      </w:pPr>
      <w:r>
        <w:rPr>
          <w:rFonts w:eastAsiaTheme="minorEastAsia"/>
          <w:rtl/>
        </w:rPr>
        <w:tab/>
      </w:r>
      <w:r w:rsidRPr="002819BC">
        <w:rPr>
          <w:rFonts w:eastAsiaTheme="minorEastAsia"/>
          <w:rtl/>
        </w:rPr>
        <w:t>وفقاً لمنظمة أمريكيون من أجل الديمقراطية وحقوق الإنسان في البحرين ومنظمة سلام للديمقراطية وحقوق الإنسان، زاد عدد أحكام الإعدام وعدد الأشخاص المحكوم عليهم بالإعدام الذين يواجهون الإعدام الوشيك وعدد عمليات الإعدام الفعلية في العقد الماضي، كما زاد معدل الإعدام نسبة لعدد الأفراد. وتدعي منظمة أمريكيون من أجل الديمقراطية وحقوق الإنسان في البحرين أن عقوبة الإعدام فُرِضَت على جرائم أخرى غير الجرائم الأكثر خطورة، بما في ذلك جرائم المخدرات غير المميتة، وبطريقة تميز ضد الرعايا الأجانب، وتحديداً مواطني بنغلاديش. وتدعي أيضاً أن زيادة فرض عقوبة الإعدام ترتبط ارتباطاً مباشراً بإصدار تشريعات فضفاضة على نحو مفرط لمكافحة الإرهاب.</w:t>
      </w:r>
    </w:p>
    <w:p w14:paraId="7963CFE6" w14:textId="47519347" w:rsidR="002819BC" w:rsidRPr="002819BC" w:rsidRDefault="002819BC" w:rsidP="002819BC">
      <w:pPr>
        <w:pStyle w:val="SingleTxtGA"/>
        <w:rPr>
          <w:lang w:val="ar-SA" w:eastAsia="zh-TW" w:bidi="en-GB"/>
        </w:rPr>
      </w:pPr>
      <w:r>
        <w:rPr>
          <w:rtl/>
        </w:rPr>
        <w:tab/>
      </w:r>
      <w:r w:rsidRPr="002819BC">
        <w:rPr>
          <w:rtl/>
        </w:rPr>
        <w:t xml:space="preserve">وتشير منظمة أمريكيون من أجل الديمقراطية وحقوق الإنسان في البحرين إلى أن </w:t>
      </w:r>
      <w:r w:rsidRPr="00944B83">
        <w:rPr>
          <w:rtl/>
        </w:rPr>
        <w:t>26</w:t>
      </w:r>
      <w:r w:rsidRPr="002819BC">
        <w:rPr>
          <w:rtl/>
        </w:rPr>
        <w:t xml:space="preserve"> شخصاً يوجدون حالياً في جناح المحكوم عليهم بالإعدام. وأدرجت منظمة سلام للديمقراطية وحقوق الإنسان </w:t>
      </w:r>
      <w:r w:rsidRPr="00944B83">
        <w:rPr>
          <w:rtl/>
        </w:rPr>
        <w:t>12</w:t>
      </w:r>
      <w:r w:rsidRPr="002819BC">
        <w:rPr>
          <w:rtl/>
        </w:rPr>
        <w:t xml:space="preserve"> شخصاً في قائمة المحكوم عليهم بالإعدام بين كانون الثاني/يناير </w:t>
      </w:r>
      <w:r w:rsidRPr="00944B83">
        <w:rPr>
          <w:rtl/>
        </w:rPr>
        <w:t>2018</w:t>
      </w:r>
      <w:r w:rsidRPr="002819BC">
        <w:rPr>
          <w:rtl/>
        </w:rPr>
        <w:t xml:space="preserve"> وتموز/يوليه </w:t>
      </w:r>
      <w:r w:rsidRPr="00944B83">
        <w:rPr>
          <w:rtl/>
        </w:rPr>
        <w:t>202</w:t>
      </w:r>
      <w:r w:rsidR="0098637C" w:rsidRPr="00944B83">
        <w:rPr>
          <w:rtl/>
        </w:rPr>
        <w:t>0</w:t>
      </w:r>
      <w:r w:rsidR="0098637C" w:rsidRPr="0098637C">
        <w:rPr>
          <w:rtl/>
        </w:rPr>
        <w:t xml:space="preserve">. </w:t>
      </w:r>
      <w:r w:rsidRPr="002819BC">
        <w:rPr>
          <w:rtl/>
        </w:rPr>
        <w:t>وتشير</w:t>
      </w:r>
      <w:r w:rsidR="0098637C">
        <w:rPr>
          <w:rFonts w:hint="cs"/>
          <w:rtl/>
        </w:rPr>
        <w:t xml:space="preserve"> </w:t>
      </w:r>
      <w:r w:rsidRPr="0098637C">
        <w:rPr>
          <w:rtl/>
        </w:rPr>
        <w:t xml:space="preserve">المنظمتان إلى أن علي العرب وأحمد الملالي ومواطناً </w:t>
      </w:r>
      <w:proofErr w:type="spellStart"/>
      <w:r w:rsidRPr="0098637C">
        <w:rPr>
          <w:rtl/>
        </w:rPr>
        <w:t>بنغلاديشياً</w:t>
      </w:r>
      <w:proofErr w:type="spellEnd"/>
      <w:r w:rsidRPr="0098637C">
        <w:rPr>
          <w:rtl/>
        </w:rPr>
        <w:t xml:space="preserve"> لم يُذكَر اسمه أُعدموا في </w:t>
      </w:r>
      <w:r w:rsidRPr="00944B83">
        <w:rPr>
          <w:rtl/>
        </w:rPr>
        <w:t>26</w:t>
      </w:r>
      <w:r w:rsidRPr="0098637C">
        <w:rPr>
          <w:rtl/>
        </w:rPr>
        <w:t xml:space="preserve"> تموز/</w:t>
      </w:r>
      <w:r w:rsidR="0098637C">
        <w:rPr>
          <w:rFonts w:hint="cs"/>
          <w:rtl/>
        </w:rPr>
        <w:t xml:space="preserve"> </w:t>
      </w:r>
      <w:r w:rsidRPr="0098637C">
        <w:rPr>
          <w:rtl/>
        </w:rPr>
        <w:t xml:space="preserve">يوليه </w:t>
      </w:r>
      <w:r w:rsidRPr="00944B83">
        <w:rPr>
          <w:rtl/>
        </w:rPr>
        <w:t>2019</w:t>
      </w:r>
      <w:r w:rsidRPr="0098637C">
        <w:rPr>
          <w:rtl/>
        </w:rPr>
        <w:t>،</w:t>
      </w:r>
      <w:r w:rsidRPr="002819BC">
        <w:rPr>
          <w:rtl/>
        </w:rPr>
        <w:t xml:space="preserve"> على الرغم من شكاوى الإيذاء وسوء المعاملة واستخدام التعذيب لانتزاع اعترافاتهم، وأن الاعترافات المنتزعة تحت التعذيب والتهديدات الموجهة لأفراد الأسرة قد استُخدِمت للحكم بالإعدام على محمد رمضان وحسين علي موسى. وتلاحظ منظمة أمريكيون من أجل الديمقراطية وحقوق الإنسان في البحرين أيضاً استخدام التعذيب وانتهاكات ضمانات المحاكمة العادلة في قضيتي ماهر الخباز وسلمان عيسى سلمان.</w:t>
      </w:r>
    </w:p>
    <w:p w14:paraId="052BA3A5" w14:textId="0E01284D" w:rsidR="002819BC" w:rsidRPr="002819BC" w:rsidRDefault="002819BC" w:rsidP="002819BC">
      <w:pPr>
        <w:pStyle w:val="SingleTxtGA"/>
        <w:rPr>
          <w:lang w:val="ar-SA" w:eastAsia="zh-TW" w:bidi="en-GB"/>
        </w:rPr>
      </w:pPr>
      <w:r>
        <w:rPr>
          <w:rtl/>
        </w:rPr>
        <w:tab/>
      </w:r>
      <w:r w:rsidRPr="002819BC">
        <w:rPr>
          <w:rtl/>
        </w:rPr>
        <w:t>ووفقاً لمنتدى البحرين لحقوق الإنسان، وقعت قضايا عقوبة الإعدام بموجب قانون العقوبات وقانون العقوبات العسكري وقانون حماية المجتمع من الأعمال الإرهابية في أيدي القضاء العسكري، مما</w:t>
      </w:r>
      <w:r w:rsidR="00C4235F">
        <w:rPr>
          <w:rFonts w:hint="cs"/>
          <w:rtl/>
        </w:rPr>
        <w:t> </w:t>
      </w:r>
      <w:r w:rsidRPr="002819BC">
        <w:rPr>
          <w:rtl/>
        </w:rPr>
        <w:t>زاد من خطر فرض عقوبة الإعدام على أعضاء المعارضة ونشطاء حقوق الإنسان.</w:t>
      </w:r>
    </w:p>
    <w:p w14:paraId="7631926E" w14:textId="77777777" w:rsidR="002819BC" w:rsidRPr="00944B83" w:rsidRDefault="002819BC" w:rsidP="002819BC">
      <w:pPr>
        <w:pStyle w:val="H23GA"/>
        <w:rPr>
          <w:lang w:val="ar-SA" w:eastAsia="zh-TW" w:bidi="en-GB"/>
        </w:rPr>
      </w:pPr>
      <w:r w:rsidRPr="00944B83">
        <w:rPr>
          <w:rtl/>
        </w:rPr>
        <w:tab/>
      </w:r>
      <w:r w:rsidRPr="00944B83">
        <w:rPr>
          <w:rtl/>
        </w:rPr>
        <w:tab/>
        <w:t>تقييم اللجنة</w:t>
      </w:r>
    </w:p>
    <w:p w14:paraId="66CB8D94" w14:textId="626FC462" w:rsidR="002819BC" w:rsidRPr="002819BC" w:rsidRDefault="0098637C" w:rsidP="0098637C">
      <w:pPr>
        <w:pStyle w:val="SingleTxtGA"/>
        <w:rPr>
          <w:lang w:val="ar-SA" w:eastAsia="zh-TW" w:bidi="en-GB"/>
        </w:rPr>
      </w:pPr>
      <w:r>
        <w:rPr>
          <w:rFonts w:hint="cs"/>
          <w:rtl/>
        </w:rPr>
        <w:t>[</w:t>
      </w:r>
      <w:r w:rsidR="002819BC" w:rsidRPr="002819BC">
        <w:rPr>
          <w:rtl/>
        </w:rPr>
        <w:t>جيم</w:t>
      </w:r>
      <w:r>
        <w:rPr>
          <w:rFonts w:hint="cs"/>
          <w:rtl/>
        </w:rPr>
        <w:t>]</w:t>
      </w:r>
    </w:p>
    <w:p w14:paraId="2A035E47" w14:textId="74CDDFE8" w:rsidR="002819BC" w:rsidRPr="002819BC" w:rsidRDefault="0098637C" w:rsidP="002819BC">
      <w:pPr>
        <w:pStyle w:val="SingleTxtGA"/>
        <w:rPr>
          <w:lang w:val="ar-SA" w:eastAsia="zh-TW" w:bidi="en-GB"/>
        </w:rPr>
      </w:pPr>
      <w:r>
        <w:rPr>
          <w:rtl/>
        </w:rPr>
        <w:tab/>
      </w:r>
      <w:r w:rsidR="002819BC" w:rsidRPr="002819BC">
        <w:rPr>
          <w:rtl/>
        </w:rPr>
        <w:t xml:space="preserve">تحيط اللجنة علماً بالمعلومات المتعلقة بالضمانات في قضايا عقوبة الإعدام وباعتزام الدولة الطرف النظر في إلغاء عقوبة الإعدام إن فعلت ذلك دول أخرى. غير أنها تأسف لعدم وجود معلومات عن أي تدابير محددة اتُّخِذَت لإعادة العمل بالوقف الاختياري لعقوبة الإعدام وضمان </w:t>
      </w:r>
      <w:r w:rsidR="002819BC" w:rsidRPr="002819BC">
        <w:rPr>
          <w:rtl/>
          <w:lang w:val="fr-CH"/>
        </w:rPr>
        <w:t>ألا تُفرَض</w:t>
      </w:r>
      <w:r w:rsidR="002819BC" w:rsidRPr="002819BC">
        <w:rPr>
          <w:rtl/>
        </w:rPr>
        <w:t xml:space="preserve"> إلا على أشد الجرائم خطورة وألا تفرضها المحاكم العسكرية.</w:t>
      </w:r>
    </w:p>
    <w:p w14:paraId="5E4498C4" w14:textId="377B13D2" w:rsidR="002819BC" w:rsidRPr="002819BC" w:rsidRDefault="0098637C" w:rsidP="002819BC">
      <w:pPr>
        <w:pStyle w:val="SingleTxtGA"/>
        <w:rPr>
          <w:lang w:val="ar-SA" w:eastAsia="zh-TW" w:bidi="en-GB"/>
        </w:rPr>
      </w:pPr>
      <w:r>
        <w:rPr>
          <w:rtl/>
        </w:rPr>
        <w:tab/>
      </w:r>
      <w:r w:rsidR="002819BC" w:rsidRPr="002819BC">
        <w:rPr>
          <w:rtl/>
        </w:rPr>
        <w:t>وتكرر اللجنة توصياتها وتطلب ما يلي: (أ) معلومات عن التحقيقات في حالات استخدام التعذيب لانتزاع الاعترافات وانتهاكات الضمانات الإجرائية في قضايا عقوبة الإعدام، ونتائجها؛ (ب)</w:t>
      </w:r>
      <w:r>
        <w:rPr>
          <w:rFonts w:hint="cs"/>
          <w:rtl/>
        </w:rPr>
        <w:t> </w:t>
      </w:r>
      <w:r w:rsidR="002819BC" w:rsidRPr="002819BC">
        <w:rPr>
          <w:rtl/>
        </w:rPr>
        <w:t>إحصاءات عن أحكام الإعدام وعمليات الإعدام خلال الفترة المشمولة بالتقرير، مصنفة حسب العمر والجنس والجنسية ونوع</w:t>
      </w:r>
      <w:r w:rsidR="002819BC">
        <w:rPr>
          <w:rFonts w:hint="cs"/>
          <w:rtl/>
        </w:rPr>
        <w:t> </w:t>
      </w:r>
      <w:r w:rsidR="002819BC" w:rsidRPr="002819BC">
        <w:rPr>
          <w:rtl/>
        </w:rPr>
        <w:t>الجريمة.</w:t>
      </w:r>
    </w:p>
    <w:p w14:paraId="08A58248" w14:textId="13C2401D" w:rsidR="002819BC" w:rsidRPr="00944B83" w:rsidRDefault="002819BC" w:rsidP="002819BC">
      <w:pPr>
        <w:pStyle w:val="H1GA"/>
        <w:rPr>
          <w:lang w:val="ar-SA" w:eastAsia="zh-TW" w:bidi="en-GB"/>
        </w:rPr>
      </w:pPr>
      <w:r w:rsidRPr="00944B83">
        <w:rPr>
          <w:rtl/>
        </w:rPr>
        <w:lastRenderedPageBreak/>
        <w:tab/>
      </w:r>
      <w:r w:rsidRPr="00944B83">
        <w:rPr>
          <w:rtl/>
        </w:rPr>
        <w:tab/>
        <w:t>الفقرة 5</w:t>
      </w:r>
      <w:r w:rsidR="0098637C" w:rsidRPr="00944B83">
        <w:rPr>
          <w:rtl/>
        </w:rPr>
        <w:t xml:space="preserve">4: </w:t>
      </w:r>
      <w:r w:rsidRPr="00944B83">
        <w:rPr>
          <w:rtl/>
        </w:rPr>
        <w:t>حرية التعبير</w:t>
      </w:r>
    </w:p>
    <w:p w14:paraId="5083A6EC" w14:textId="77777777" w:rsidR="002819BC" w:rsidRPr="00944B83" w:rsidRDefault="002819BC" w:rsidP="002819BC">
      <w:pPr>
        <w:pStyle w:val="H23G"/>
        <w:bidi/>
        <w:textDirection w:val="tbRlV"/>
        <w:rPr>
          <w:rFonts w:eastAsiaTheme="minorEastAsia" w:hAnsi="Times New Roman" w:cs="Simplified Arabic" w:hint="default"/>
          <w:sz w:val="22"/>
          <w:szCs w:val="22"/>
          <w:lang w:val="ar-SA" w:eastAsia="zh-TW" w:bidi="en-GB"/>
        </w:rPr>
      </w:pPr>
      <w:r w:rsidRPr="00944B83">
        <w:rPr>
          <w:rFonts w:eastAsiaTheme="minorEastAsia" w:hAnsi="Times New Roman" w:cs="Simplified Arabic"/>
          <w:sz w:val="22"/>
          <w:szCs w:val="22"/>
          <w:rtl/>
        </w:rPr>
        <w:tab/>
      </w:r>
      <w:r w:rsidRPr="00944B83">
        <w:rPr>
          <w:rFonts w:eastAsiaTheme="minorEastAsia" w:hAnsi="Times New Roman" w:cs="Simplified Arabic"/>
          <w:sz w:val="22"/>
          <w:szCs w:val="22"/>
          <w:rtl/>
        </w:rPr>
        <w:tab/>
      </w:r>
      <w:r w:rsidRPr="00944B83">
        <w:rPr>
          <w:rFonts w:eastAsiaTheme="minorEastAsia" w:hAnsi="Times New Roman" w:cs="Simplified Arabic"/>
          <w:bCs/>
          <w:sz w:val="22"/>
          <w:szCs w:val="22"/>
          <w:rtl/>
        </w:rPr>
        <w:t>ملخص المعلومات الواردة من الدولة الطرف</w:t>
      </w:r>
    </w:p>
    <w:p w14:paraId="65A7905C" w14:textId="3EB8FDA2" w:rsidR="002819BC" w:rsidRPr="002819BC" w:rsidRDefault="002819BC" w:rsidP="002819BC">
      <w:pPr>
        <w:pStyle w:val="SingleTxtG"/>
        <w:bidi/>
        <w:textDirection w:val="tbRlV"/>
        <w:rPr>
          <w:rFonts w:eastAsiaTheme="minorEastAsia" w:hAnsi="Times New Roman" w:cs="Simplified Arabic" w:hint="default"/>
          <w:sz w:val="22"/>
          <w:szCs w:val="22"/>
          <w:lang w:val="ar-SA" w:eastAsia="zh-TW" w:bidi="en-GB"/>
        </w:rPr>
      </w:pPr>
      <w:r>
        <w:rPr>
          <w:rFonts w:eastAsiaTheme="minorEastAsia" w:hAnsi="Times New Roman" w:cs="Simplified Arabic" w:hint="default"/>
          <w:sz w:val="22"/>
          <w:szCs w:val="22"/>
          <w:rtl/>
        </w:rPr>
        <w:tab/>
      </w:r>
      <w:r w:rsidRPr="002819BC">
        <w:rPr>
          <w:rFonts w:eastAsiaTheme="minorEastAsia" w:hAnsi="Times New Roman" w:cs="Simplified Arabic"/>
          <w:sz w:val="22"/>
          <w:szCs w:val="22"/>
          <w:rtl/>
        </w:rPr>
        <w:t xml:space="preserve">لا تتخذ السلطات أي تدابير قانونية للتحقيق في الأنشطة </w:t>
      </w:r>
      <w:proofErr w:type="gramStart"/>
      <w:r w:rsidRPr="002819BC">
        <w:rPr>
          <w:rFonts w:eastAsiaTheme="minorEastAsia" w:hAnsi="Times New Roman" w:cs="Simplified Arabic"/>
          <w:sz w:val="22"/>
          <w:szCs w:val="22"/>
          <w:rtl/>
        </w:rPr>
        <w:t>السياسية</w:t>
      </w:r>
      <w:proofErr w:type="gramEnd"/>
      <w:r w:rsidRPr="002819BC">
        <w:rPr>
          <w:rFonts w:eastAsiaTheme="minorEastAsia" w:hAnsi="Times New Roman" w:cs="Simplified Arabic"/>
          <w:sz w:val="22"/>
          <w:szCs w:val="22"/>
          <w:rtl/>
        </w:rPr>
        <w:t xml:space="preserve"> أو الحقوقية أو الاجتماعية أو لإقامة دعاوى قضائية بشأن المشاركة فيها. ولا تُوجَّه التهم إلى أي شخص ما لم يكن هناك دليل واضح على أنه ارتكب جريمة يحددها القانون. ولا يجرم القانون النشاط السياسي والممارسة العامة لحرية التعبير. والتشريعات والقوانين وآليات الجبر الوطنية كافية لمنع انتهاك هذه الحقوق. وتهدف جميع المبادئ التوجيهية الوطنية إلى النهوض بحقوق الإنسان وتعزيز ممارسة هذه الحقوق من خلال القنوات الوطنية التي تنظمها.</w:t>
      </w:r>
    </w:p>
    <w:p w14:paraId="685A1773" w14:textId="59E71441" w:rsidR="002819BC" w:rsidRPr="002819BC" w:rsidRDefault="002819BC" w:rsidP="002819BC">
      <w:pPr>
        <w:pStyle w:val="SingleTxtGA"/>
        <w:rPr>
          <w:lang w:val="ar-SA" w:eastAsia="zh-TW" w:bidi="en-GB"/>
        </w:rPr>
      </w:pPr>
      <w:r>
        <w:rPr>
          <w:rtl/>
        </w:rPr>
        <w:tab/>
      </w:r>
      <w:r w:rsidRPr="002819BC">
        <w:rPr>
          <w:rtl/>
        </w:rPr>
        <w:t xml:space="preserve">وتشدد التعديلات التي أُدخِلَت على قانون تنظيم الصحافة والطباعة والنشر المعروض حالياً على المجلس التشريعي، الذي أقره مجلس الوزراء في </w:t>
      </w:r>
      <w:r w:rsidRPr="00944B83">
        <w:rPr>
          <w:rtl/>
        </w:rPr>
        <w:t>5</w:t>
      </w:r>
      <w:r w:rsidRPr="002819BC">
        <w:rPr>
          <w:rtl/>
        </w:rPr>
        <w:t xml:space="preserve"> نيسان/أبريل </w:t>
      </w:r>
      <w:r w:rsidRPr="00944B83">
        <w:rPr>
          <w:rtl/>
        </w:rPr>
        <w:t>2021</w:t>
      </w:r>
      <w:r w:rsidRPr="002819BC">
        <w:rPr>
          <w:rtl/>
        </w:rPr>
        <w:t>، على عدم سجن الصحفيين في قضايا النشر. وتتضمن هذه التعديلات أيضاً إضافة فصل عن الإعلام الإلكتروني وتنظيم المواقع الإلكترونية وحسابات المؤسسات الإعلامية، وإدراج تعريفات جديدة لمواكبة تطور وسائل الإعلام.</w:t>
      </w:r>
    </w:p>
    <w:p w14:paraId="6342848C" w14:textId="77777777" w:rsidR="002819BC" w:rsidRPr="00944B83" w:rsidRDefault="002819BC" w:rsidP="002819BC">
      <w:pPr>
        <w:pStyle w:val="H23G"/>
        <w:bidi/>
        <w:textDirection w:val="tbRlV"/>
        <w:rPr>
          <w:rFonts w:eastAsiaTheme="minorEastAsia" w:hAnsi="Times New Roman" w:cs="Simplified Arabic" w:hint="default"/>
          <w:sz w:val="22"/>
          <w:szCs w:val="22"/>
          <w:lang w:val="ar-SA" w:eastAsia="zh-TW" w:bidi="en-GB"/>
        </w:rPr>
      </w:pPr>
      <w:r w:rsidRPr="00944B83">
        <w:rPr>
          <w:rFonts w:eastAsiaTheme="minorEastAsia" w:hAnsi="Times New Roman" w:cs="Simplified Arabic"/>
          <w:sz w:val="22"/>
          <w:szCs w:val="22"/>
          <w:rtl/>
        </w:rPr>
        <w:tab/>
      </w:r>
      <w:r w:rsidRPr="00944B83">
        <w:rPr>
          <w:rFonts w:eastAsiaTheme="minorEastAsia" w:hAnsi="Times New Roman" w:cs="Simplified Arabic"/>
          <w:sz w:val="22"/>
          <w:szCs w:val="22"/>
          <w:rtl/>
        </w:rPr>
        <w:tab/>
      </w:r>
      <w:r w:rsidRPr="00944B83">
        <w:rPr>
          <w:rFonts w:eastAsiaTheme="minorEastAsia" w:hAnsi="Times New Roman" w:cs="Simplified Arabic"/>
          <w:bCs/>
          <w:sz w:val="22"/>
          <w:szCs w:val="22"/>
          <w:rtl/>
        </w:rPr>
        <w:t>ملخص المعلومات الواردة من الجهات صاحبة المصلحة</w:t>
      </w:r>
    </w:p>
    <w:p w14:paraId="09E3CCAC" w14:textId="07B4407A" w:rsidR="002819BC" w:rsidRPr="002819BC" w:rsidRDefault="0098637C" w:rsidP="002819BC">
      <w:pPr>
        <w:pStyle w:val="SingleTxtGA"/>
        <w:rPr>
          <w:lang w:val="ar-SA" w:eastAsia="zh-TW" w:bidi="en-GB"/>
        </w:rPr>
      </w:pPr>
      <w:r>
        <w:rPr>
          <w:rtl/>
        </w:rPr>
        <w:tab/>
      </w:r>
      <w:r w:rsidR="002819BC" w:rsidRPr="002819BC">
        <w:rPr>
          <w:rtl/>
        </w:rPr>
        <w:t>(أ)</w:t>
      </w:r>
      <w:r w:rsidR="002819BC" w:rsidRPr="002819BC">
        <w:rPr>
          <w:rtl/>
        </w:rPr>
        <w:tab/>
        <w:t>وفقاً لمنظمة أمريكيون من أجل الديمقراطية وحقوق الإنسان في البحرين، من الواضح أن انتقاد الحكومة شيء غير مقبول. وأبلغت جمعية الوفاق الوطني الإسلامية عن الانتقام من أمينها العام الشيخ علي سلمان بسبب انتقاده للمسؤولين الحكوميين والمؤسسات. ووفقاً لمنظمة سلام للديمقراطية وحقوق</w:t>
      </w:r>
      <w:r w:rsidR="002819BC">
        <w:rPr>
          <w:rFonts w:hint="cs"/>
          <w:rtl/>
        </w:rPr>
        <w:t xml:space="preserve"> </w:t>
      </w:r>
      <w:r w:rsidR="002819BC" w:rsidRPr="002819BC">
        <w:rPr>
          <w:rtl/>
        </w:rPr>
        <w:t>الإنسان، يمكن للملك أن يستخدم الصياغة الغامضة لتشريع الجنسية ضد منتقديه، بمن فيهم الصحفيون.</w:t>
      </w:r>
      <w:r w:rsidR="002819BC">
        <w:rPr>
          <w:rFonts w:hint="cs"/>
          <w:rtl/>
        </w:rPr>
        <w:t> </w:t>
      </w:r>
      <w:r w:rsidR="002819BC" w:rsidRPr="002819BC">
        <w:rPr>
          <w:rtl/>
        </w:rPr>
        <w:t>وفي إحدى الحالات، اتُّهِم الفنان قحطان القحطاني بإهانة هيئة تنظيمية وإساءة استخدام أجهزة الاتصالات لأنه أعاد توجيه رسالة على وسائل التواصل الاجتماعي تعبر عن انتقاده لإعادة تعيين وزير شؤون</w:t>
      </w:r>
      <w:r w:rsidR="002819BC">
        <w:rPr>
          <w:rFonts w:hint="cs"/>
          <w:rtl/>
        </w:rPr>
        <w:t> </w:t>
      </w:r>
      <w:r w:rsidR="002819BC" w:rsidRPr="002819BC">
        <w:rPr>
          <w:rtl/>
        </w:rPr>
        <w:t>الإعلام.</w:t>
      </w:r>
    </w:p>
    <w:p w14:paraId="032FA5D9" w14:textId="291A2BFD" w:rsidR="002819BC" w:rsidRPr="002819BC" w:rsidRDefault="0098637C" w:rsidP="002819BC">
      <w:pPr>
        <w:pStyle w:val="SingleTxtGA"/>
        <w:rPr>
          <w:lang w:val="ar-SA" w:eastAsia="zh-TW" w:bidi="en-GB"/>
        </w:rPr>
      </w:pPr>
      <w:r>
        <w:rPr>
          <w:rtl/>
        </w:rPr>
        <w:tab/>
      </w:r>
      <w:r w:rsidR="002819BC" w:rsidRPr="002819BC">
        <w:rPr>
          <w:rtl/>
        </w:rPr>
        <w:t>(ب)</w:t>
      </w:r>
      <w:r w:rsidR="002819BC" w:rsidRPr="002819BC">
        <w:rPr>
          <w:rtl/>
        </w:rPr>
        <w:tab/>
        <w:t>لم تُقدَّم أي معلومات عن التشهير.</w:t>
      </w:r>
    </w:p>
    <w:p w14:paraId="55FA349F" w14:textId="6C164E11" w:rsidR="002819BC" w:rsidRPr="002819BC" w:rsidRDefault="0098637C" w:rsidP="002819BC">
      <w:pPr>
        <w:pStyle w:val="SingleTxtGA"/>
        <w:rPr>
          <w:lang w:val="ar-SA" w:eastAsia="zh-TW" w:bidi="en-GB"/>
        </w:rPr>
      </w:pPr>
      <w:r>
        <w:rPr>
          <w:rtl/>
        </w:rPr>
        <w:tab/>
      </w:r>
      <w:r w:rsidR="002819BC" w:rsidRPr="002819BC">
        <w:rPr>
          <w:rtl/>
        </w:rPr>
        <w:t>(ج)</w:t>
      </w:r>
      <w:r w:rsidR="002819BC" w:rsidRPr="002819BC">
        <w:rPr>
          <w:rtl/>
        </w:rPr>
        <w:tab/>
        <w:t xml:space="preserve">تشير منظمة سلام للديمقراطية وحقوق الإنسان إلى أن المدافعين عن حقوق الإنسان عبد الهادي الخواجة وعبد الجليل </w:t>
      </w:r>
      <w:proofErr w:type="spellStart"/>
      <w:r w:rsidR="002819BC" w:rsidRPr="002819BC">
        <w:rPr>
          <w:rtl/>
        </w:rPr>
        <w:t>السنكيس</w:t>
      </w:r>
      <w:proofErr w:type="spellEnd"/>
      <w:r w:rsidR="002819BC" w:rsidRPr="002819BC">
        <w:rPr>
          <w:rtl/>
        </w:rPr>
        <w:t xml:space="preserve"> وناجي فتيل ما زالوا رهن الاحتجاز.</w:t>
      </w:r>
    </w:p>
    <w:p w14:paraId="7AC199D8" w14:textId="3572DEFC" w:rsidR="002819BC" w:rsidRPr="002819BC" w:rsidRDefault="0098637C" w:rsidP="002819BC">
      <w:pPr>
        <w:pStyle w:val="SingleTxtGA"/>
        <w:rPr>
          <w:lang w:val="ar-SA" w:eastAsia="zh-TW" w:bidi="en-GB"/>
        </w:rPr>
      </w:pPr>
      <w:r>
        <w:rPr>
          <w:rtl/>
        </w:rPr>
        <w:tab/>
      </w:r>
      <w:r w:rsidR="002819BC" w:rsidRPr="002819BC">
        <w:rPr>
          <w:rtl/>
        </w:rPr>
        <w:t>(د)</w:t>
      </w:r>
      <w:r w:rsidR="002819BC" w:rsidRPr="002819BC">
        <w:rPr>
          <w:rtl/>
        </w:rPr>
        <w:tab/>
        <w:t>تشير منظمة سلام للديمقراطية وحقوق الإنسان إلى أنه على الرغم من تعديل عام</w:t>
      </w:r>
      <w:r>
        <w:rPr>
          <w:rFonts w:hint="cs"/>
          <w:rtl/>
        </w:rPr>
        <w:t> </w:t>
      </w:r>
      <w:r w:rsidR="002819BC" w:rsidRPr="00944B83">
        <w:rPr>
          <w:rtl/>
        </w:rPr>
        <w:t>2021</w:t>
      </w:r>
      <w:r w:rsidR="002819BC" w:rsidRPr="002819BC">
        <w:rPr>
          <w:rtl/>
        </w:rPr>
        <w:t xml:space="preserve"> لقانون الصحافة والطباعة والنشر، واستبدال الغرامات بأحكام السجن، فإن قانون العقوبات </w:t>
      </w:r>
      <w:r w:rsidR="002819BC" w:rsidRPr="00944B83">
        <w:rPr>
          <w:spacing w:val="-4"/>
          <w:rtl/>
        </w:rPr>
        <w:t>لا</w:t>
      </w:r>
      <w:r w:rsidRPr="00944B83">
        <w:rPr>
          <w:rFonts w:hint="cs"/>
          <w:spacing w:val="-4"/>
          <w:rtl/>
        </w:rPr>
        <w:t> </w:t>
      </w:r>
      <w:r w:rsidR="002819BC" w:rsidRPr="00944B83">
        <w:rPr>
          <w:spacing w:val="-4"/>
          <w:rtl/>
        </w:rPr>
        <w:t>يزال يسمح بالسجن، وتعتمد الحكومة على هذا القانون لمعاقبة المدافعين عن حقوق الإنسان والصحفيين</w:t>
      </w:r>
      <w:r w:rsidR="002819BC" w:rsidRPr="002819BC">
        <w:rPr>
          <w:rtl/>
        </w:rPr>
        <w:t xml:space="preserve">. </w:t>
      </w:r>
      <w:r w:rsidR="002819BC" w:rsidRPr="00944B83">
        <w:rPr>
          <w:spacing w:val="-4"/>
          <w:rtl/>
        </w:rPr>
        <w:t>وتشير جمعية الوفاق الوطني الإسلامية إلى أن المادة 165 من قانون العقوبات طُبِّقَت بطريقة تنتهك حرية</w:t>
      </w:r>
      <w:r w:rsidR="002819BC" w:rsidRPr="002819BC">
        <w:rPr>
          <w:rtl/>
        </w:rPr>
        <w:t xml:space="preserve"> الرأي والتعبير.</w:t>
      </w:r>
    </w:p>
    <w:p w14:paraId="7037DB64" w14:textId="437132AF" w:rsidR="002819BC" w:rsidRPr="005A4F30" w:rsidRDefault="0098637C" w:rsidP="002819BC">
      <w:pPr>
        <w:pStyle w:val="SingleTxtGA"/>
        <w:rPr>
          <w:spacing w:val="-4"/>
          <w:lang w:val="ar-SA" w:eastAsia="zh-TW" w:bidi="en-GB"/>
        </w:rPr>
      </w:pPr>
      <w:r>
        <w:rPr>
          <w:rtl/>
        </w:rPr>
        <w:tab/>
      </w:r>
      <w:r w:rsidR="002819BC" w:rsidRPr="002819BC">
        <w:rPr>
          <w:rtl/>
        </w:rPr>
        <w:t>ووفقاً لمنظمة أمريكيون من أجل الديمقراطية وحقوق الإنسان في البحرين، وسّع تعديل عام</w:t>
      </w:r>
      <w:r>
        <w:rPr>
          <w:rFonts w:hint="cs"/>
          <w:rtl/>
        </w:rPr>
        <w:t> </w:t>
      </w:r>
      <w:r w:rsidR="002819BC" w:rsidRPr="00944B83">
        <w:rPr>
          <w:rtl/>
        </w:rPr>
        <w:t>2021</w:t>
      </w:r>
      <w:r w:rsidR="002819BC" w:rsidRPr="002819BC">
        <w:rPr>
          <w:rtl/>
        </w:rPr>
        <w:t xml:space="preserve"> لقانون الصحافة والطباعة والنشر الولاية القضائية الحكومية لتشمل الإنترنت والمحتوى الرقمي. وتُستخدَم المواد </w:t>
      </w:r>
      <w:r w:rsidR="002819BC" w:rsidRPr="00944B83">
        <w:rPr>
          <w:rtl/>
        </w:rPr>
        <w:t>19</w:t>
      </w:r>
      <w:r w:rsidR="002819BC" w:rsidRPr="002819BC">
        <w:rPr>
          <w:rtl/>
        </w:rPr>
        <w:t xml:space="preserve"> و</w:t>
      </w:r>
      <w:r w:rsidR="002819BC" w:rsidRPr="00944B83">
        <w:rPr>
          <w:rtl/>
        </w:rPr>
        <w:t>20</w:t>
      </w:r>
      <w:r w:rsidR="002819BC" w:rsidRPr="002819BC">
        <w:rPr>
          <w:rtl/>
        </w:rPr>
        <w:t xml:space="preserve"> و</w:t>
      </w:r>
      <w:r w:rsidR="002819BC" w:rsidRPr="00944B83">
        <w:rPr>
          <w:rtl/>
        </w:rPr>
        <w:t>70</w:t>
      </w:r>
      <w:r w:rsidR="002819BC" w:rsidRPr="002819BC">
        <w:rPr>
          <w:rtl/>
        </w:rPr>
        <w:t xml:space="preserve"> و</w:t>
      </w:r>
      <w:r w:rsidR="002819BC" w:rsidRPr="00944B83">
        <w:rPr>
          <w:rtl/>
        </w:rPr>
        <w:t>78</w:t>
      </w:r>
      <w:r w:rsidR="002819BC" w:rsidRPr="002819BC">
        <w:rPr>
          <w:rtl/>
        </w:rPr>
        <w:t xml:space="preserve"> من ذلك القانون لترهيب ومقاضاة الصحفيين والمدافعين عن حقوق الإنسان العاملين على الإنترنت أو في الخارج. ويمكن أيضاً معاقبة النقد عبر الإنترنت بموجب قانون الجرائم الإلكترونية. وأعلنت وزارة الداخلية في عام </w:t>
      </w:r>
      <w:r w:rsidR="002819BC" w:rsidRPr="00944B83">
        <w:rPr>
          <w:rtl/>
        </w:rPr>
        <w:t>2019</w:t>
      </w:r>
      <w:r w:rsidR="002819BC" w:rsidRPr="002819BC">
        <w:rPr>
          <w:rtl/>
        </w:rPr>
        <w:t xml:space="preserve"> أن من الممكن مقاضاة أي شخص يتفاعل مع حسابات وسائل التواصل الاجتماعي التي "تحرض على الفتنة وتهدد السلم المدني". وتذكر منظمة أمريكيون من أجل الديمقراطية وحقوق الإنسان في البحرين ومنظمة سلام للديمقراطية وحقوق الإنسان </w:t>
      </w:r>
      <w:r w:rsidR="002819BC" w:rsidRPr="005A4F30">
        <w:rPr>
          <w:spacing w:val="-4"/>
          <w:rtl/>
        </w:rPr>
        <w:t>حالات نشطاء وصحفيين اتُّهِموا بانتقادهم للسلطات على الإنترنت، بما في ذلك رئيس مركز البحرين لحقوق الإنسان، نبيل رجب، الذي أُدين لنشره رسائل على وسائل التواصل الاجتماعي تتضمن هذه</w:t>
      </w:r>
      <w:r w:rsidR="005A4F30" w:rsidRPr="005A4F30">
        <w:rPr>
          <w:rFonts w:hint="cs"/>
          <w:spacing w:val="-4"/>
          <w:rtl/>
        </w:rPr>
        <w:t xml:space="preserve"> </w:t>
      </w:r>
      <w:r w:rsidR="002819BC" w:rsidRPr="005A4F30">
        <w:rPr>
          <w:spacing w:val="-4"/>
          <w:rtl/>
        </w:rPr>
        <w:t>الانتقادات.</w:t>
      </w:r>
    </w:p>
    <w:p w14:paraId="29E88922" w14:textId="6BC5704A" w:rsidR="002819BC" w:rsidRPr="002819BC" w:rsidRDefault="0098637C" w:rsidP="002819BC">
      <w:pPr>
        <w:pStyle w:val="SingleTxtGA"/>
        <w:rPr>
          <w:lang w:val="ar-SA" w:eastAsia="zh-TW" w:bidi="en-GB"/>
        </w:rPr>
      </w:pPr>
      <w:r>
        <w:rPr>
          <w:rtl/>
        </w:rPr>
        <w:lastRenderedPageBreak/>
        <w:tab/>
      </w:r>
      <w:r w:rsidR="002819BC" w:rsidRPr="002819BC">
        <w:rPr>
          <w:rtl/>
        </w:rPr>
        <w:t>(هـ)</w:t>
      </w:r>
      <w:r w:rsidR="002819BC" w:rsidRPr="002819BC">
        <w:rPr>
          <w:rtl/>
        </w:rPr>
        <w:tab/>
        <w:t xml:space="preserve">وفقاً لمنظمة أمريكيون من أجل الديمقراطية وحقوق الإنسان في البحرين، تعرض </w:t>
      </w:r>
      <w:r w:rsidR="002819BC" w:rsidRPr="00944B83">
        <w:rPr>
          <w:spacing w:val="-4"/>
          <w:rtl/>
        </w:rPr>
        <w:t>الصحفيان نزيهة سيد وموسى عبد علي للتعذيب وسوء المعاملة بسبب تغطيتهما لانتهاكات حقوق الإنسان</w:t>
      </w:r>
      <w:r w:rsidR="002819BC" w:rsidRPr="002819BC">
        <w:rPr>
          <w:rtl/>
        </w:rPr>
        <w:t xml:space="preserve">. وفي آب/أغسطس </w:t>
      </w:r>
      <w:r w:rsidR="002819BC" w:rsidRPr="00944B83">
        <w:rPr>
          <w:rtl/>
        </w:rPr>
        <w:t>2021</w:t>
      </w:r>
      <w:r w:rsidR="002819BC" w:rsidRPr="002819BC">
        <w:rPr>
          <w:rtl/>
        </w:rPr>
        <w:t>، اكتشفت وسائل إعلام مستقلة أن تسعة نشطاء استُهدِفوا في عامي</w:t>
      </w:r>
      <w:r>
        <w:rPr>
          <w:rFonts w:hint="cs"/>
          <w:rtl/>
        </w:rPr>
        <w:t> </w:t>
      </w:r>
      <w:r w:rsidR="002819BC" w:rsidRPr="00944B83">
        <w:rPr>
          <w:rtl/>
        </w:rPr>
        <w:t>2020</w:t>
      </w:r>
      <w:r w:rsidR="002819BC" w:rsidRPr="002819BC">
        <w:rPr>
          <w:rtl/>
        </w:rPr>
        <w:t xml:space="preserve"> و</w:t>
      </w:r>
      <w:r w:rsidR="002819BC" w:rsidRPr="00944B83">
        <w:rPr>
          <w:rtl/>
        </w:rPr>
        <w:t>2021</w:t>
      </w:r>
      <w:r w:rsidR="002819BC" w:rsidRPr="002819BC">
        <w:rPr>
          <w:rtl/>
        </w:rPr>
        <w:t xml:space="preserve"> ببرامج تجسس اشترتها الحكومة.</w:t>
      </w:r>
    </w:p>
    <w:p w14:paraId="58E1B64A" w14:textId="1250264A" w:rsidR="002819BC" w:rsidRPr="002819BC" w:rsidRDefault="002819BC" w:rsidP="002819BC">
      <w:pPr>
        <w:pStyle w:val="SingleTxtGA"/>
        <w:rPr>
          <w:lang w:val="ar-SA" w:eastAsia="zh-TW" w:bidi="en-GB"/>
        </w:rPr>
      </w:pPr>
      <w:r>
        <w:rPr>
          <w:rtl/>
        </w:rPr>
        <w:tab/>
      </w:r>
      <w:r w:rsidRPr="002819BC">
        <w:rPr>
          <w:rtl/>
        </w:rPr>
        <w:t xml:space="preserve">ووفقاً للمركز الدولي لدعم الحقوق والحريات، بدأت البحرين، في كانون الثاني/يناير </w:t>
      </w:r>
      <w:r w:rsidRPr="00944B83">
        <w:rPr>
          <w:rtl/>
        </w:rPr>
        <w:t>2019</w:t>
      </w:r>
      <w:r w:rsidRPr="002819BC">
        <w:rPr>
          <w:rtl/>
        </w:rPr>
        <w:t>، في استغلال عضويتها في لجنة المنظمات غير الحكومية للانتقام من منظمات حقوق الإنسان التي قدمت تقارير إلى الأمم المتحدة بشأن الانتهاكات المستمرة لحقوق الإنسان في البحرين. وقد دأبت البحرين على منع المركز من الحصول على المركز الاستشاري لدى المجلس الاقتصادي والاجتماعي.</w:t>
      </w:r>
    </w:p>
    <w:p w14:paraId="661B2606" w14:textId="77777777" w:rsidR="002819BC" w:rsidRPr="00944B83" w:rsidRDefault="002819BC" w:rsidP="002819BC">
      <w:pPr>
        <w:pStyle w:val="H23GA"/>
        <w:rPr>
          <w:lang w:val="en-US" w:eastAsia="zh-TW" w:bidi="en-GB"/>
        </w:rPr>
      </w:pPr>
      <w:r w:rsidRPr="00944B83">
        <w:rPr>
          <w:rtl/>
        </w:rPr>
        <w:tab/>
      </w:r>
      <w:r w:rsidRPr="00944B83">
        <w:rPr>
          <w:rtl/>
        </w:rPr>
        <w:tab/>
        <w:t>تقييم اللجنة</w:t>
      </w:r>
    </w:p>
    <w:p w14:paraId="3A8E98A9" w14:textId="57088C73" w:rsidR="002819BC" w:rsidRPr="002819BC" w:rsidRDefault="002819BC" w:rsidP="002819BC">
      <w:pPr>
        <w:pStyle w:val="SingleTxtGA"/>
        <w:rPr>
          <w:lang w:val="ar-SA" w:eastAsia="zh-TW" w:bidi="en-GB"/>
        </w:rPr>
      </w:pPr>
      <w:r w:rsidRPr="002819BC">
        <w:rPr>
          <w:rtl/>
        </w:rPr>
        <w:t>[هاء</w:t>
      </w:r>
      <w:r w:rsidR="0098637C" w:rsidRPr="0098637C">
        <w:rPr>
          <w:rtl/>
        </w:rPr>
        <w:t xml:space="preserve">]: </w:t>
      </w:r>
      <w:r w:rsidRPr="002819BC">
        <w:rPr>
          <w:rtl/>
        </w:rPr>
        <w:t>(أ)</w:t>
      </w:r>
    </w:p>
    <w:p w14:paraId="0B835521" w14:textId="1071A705" w:rsidR="002819BC" w:rsidRPr="002819BC" w:rsidRDefault="0098637C" w:rsidP="002819BC">
      <w:pPr>
        <w:pStyle w:val="SingleTxtGA"/>
        <w:rPr>
          <w:rFonts w:eastAsiaTheme="minorEastAsia"/>
          <w:lang w:val="ar-SA" w:eastAsia="zh-TW" w:bidi="en-GB"/>
        </w:rPr>
      </w:pPr>
      <w:r>
        <w:rPr>
          <w:rFonts w:eastAsiaTheme="minorEastAsia"/>
          <w:rtl/>
        </w:rPr>
        <w:tab/>
      </w:r>
      <w:r w:rsidR="002819BC" w:rsidRPr="002819BC">
        <w:rPr>
          <w:rFonts w:eastAsiaTheme="minorEastAsia"/>
          <w:rtl/>
        </w:rPr>
        <w:t>تعرب اللجنة عن أسفها لأن الدولة الطرف تعتبر التشريعات والقوانين وآليات الجبر الوطنية كافية لمنع انتهاك حرية التعبير. وتكرر اللجنة تأكيد توصيتها.</w:t>
      </w:r>
    </w:p>
    <w:p w14:paraId="48657C46" w14:textId="076741BD" w:rsidR="002819BC" w:rsidRPr="002819BC" w:rsidRDefault="002819BC" w:rsidP="002819BC">
      <w:pPr>
        <w:pStyle w:val="SingleTxtGA"/>
        <w:rPr>
          <w:rFonts w:eastAsiaTheme="minorEastAsia"/>
          <w:lang w:val="ar-SA" w:eastAsia="zh-TW" w:bidi="en-GB"/>
        </w:rPr>
      </w:pPr>
      <w:r w:rsidRPr="002819BC">
        <w:rPr>
          <w:rFonts w:eastAsiaTheme="minorEastAsia"/>
          <w:rtl/>
        </w:rPr>
        <w:t>[جيم</w:t>
      </w:r>
      <w:r w:rsidR="0098637C" w:rsidRPr="0098637C">
        <w:rPr>
          <w:rFonts w:eastAsiaTheme="minorEastAsia"/>
          <w:rtl/>
        </w:rPr>
        <w:t xml:space="preserve">]: </w:t>
      </w:r>
      <w:r w:rsidRPr="002819BC">
        <w:rPr>
          <w:rFonts w:eastAsiaTheme="minorEastAsia"/>
          <w:rtl/>
        </w:rPr>
        <w:t>(ب) و(ج) و(د) و(ه)</w:t>
      </w:r>
    </w:p>
    <w:p w14:paraId="785D667D" w14:textId="73212016" w:rsidR="002819BC" w:rsidRPr="00944B83" w:rsidRDefault="0098637C" w:rsidP="002819BC">
      <w:pPr>
        <w:pStyle w:val="SingleTxtGA"/>
        <w:rPr>
          <w:rFonts w:eastAsiaTheme="minorEastAsia"/>
          <w:bCs/>
          <w:lang w:val="ar-SA" w:eastAsia="zh-TW" w:bidi="en-GB"/>
        </w:rPr>
      </w:pPr>
      <w:r>
        <w:rPr>
          <w:rFonts w:eastAsiaTheme="minorEastAsia"/>
          <w:rtl/>
        </w:rPr>
        <w:tab/>
      </w:r>
      <w:r w:rsidR="002819BC" w:rsidRPr="002819BC">
        <w:rPr>
          <w:rFonts w:eastAsiaTheme="minorEastAsia"/>
          <w:rtl/>
        </w:rPr>
        <w:t xml:space="preserve">تعرب اللجنة عن أسفها لعدم وجود معلومات عن التدابير المتخذة لإلغاء تجريم التشهير وتطبيق القانون الجنائي فقط في أكثر الحالات خطورة، وللإفراج عن أي شخص محتجز لمجرد ممارسته السلمية لحقوقه. وتكرر اللجنة توصياتها وتطلب معلومات عن </w:t>
      </w:r>
      <w:proofErr w:type="gramStart"/>
      <w:r w:rsidR="002819BC" w:rsidRPr="002819BC">
        <w:rPr>
          <w:rFonts w:eastAsiaTheme="minorEastAsia"/>
          <w:rtl/>
        </w:rPr>
        <w:t>نوايا</w:t>
      </w:r>
      <w:proofErr w:type="gramEnd"/>
      <w:r w:rsidR="002819BC" w:rsidRPr="002819BC">
        <w:rPr>
          <w:rFonts w:eastAsiaTheme="minorEastAsia"/>
          <w:rtl/>
        </w:rPr>
        <w:t xml:space="preserve"> الإفراج عن ثلاثة مدافعين عن حقوق الإنسان: عبد الهادي الخواجة، وعبد الجليل </w:t>
      </w:r>
      <w:proofErr w:type="spellStart"/>
      <w:r w:rsidR="002819BC" w:rsidRPr="002819BC">
        <w:rPr>
          <w:rFonts w:eastAsiaTheme="minorEastAsia"/>
          <w:rtl/>
        </w:rPr>
        <w:t>السنكيس</w:t>
      </w:r>
      <w:proofErr w:type="spellEnd"/>
      <w:r w:rsidR="002819BC" w:rsidRPr="002819BC">
        <w:rPr>
          <w:rFonts w:eastAsiaTheme="minorEastAsia"/>
          <w:rtl/>
        </w:rPr>
        <w:t>، وناجي فتيل.</w:t>
      </w:r>
    </w:p>
    <w:p w14:paraId="3231BA2E" w14:textId="58D8F1D0" w:rsidR="002819BC" w:rsidRPr="00944B83" w:rsidRDefault="0098637C" w:rsidP="002819BC">
      <w:pPr>
        <w:pStyle w:val="SingleTxtGA"/>
        <w:rPr>
          <w:rFonts w:eastAsiaTheme="minorEastAsia"/>
          <w:bCs/>
          <w:lang w:val="en-US" w:eastAsia="zh-TW" w:bidi="en-GB"/>
        </w:rPr>
      </w:pPr>
      <w:r>
        <w:rPr>
          <w:rFonts w:eastAsiaTheme="minorEastAsia"/>
          <w:rtl/>
        </w:rPr>
        <w:tab/>
      </w:r>
      <w:r w:rsidR="002819BC" w:rsidRPr="002819BC">
        <w:rPr>
          <w:rFonts w:eastAsiaTheme="minorEastAsia"/>
          <w:rtl/>
        </w:rPr>
        <w:t xml:space="preserve">وعلى الرغم من أن اللجنة ترحب بالمعلومات المتعلقة بحظر سجن الصحفيين بموجب قانون الصحافة والطباعة والنشر المعدَّل، فإنها تعرب عن أسفها لعدم وجود معلومات عن التدابير الأخرى المتخذة لاستعراض وتعديل أحكام قانون العقوبات والمرسوم بقانون رقم </w:t>
      </w:r>
      <w:r w:rsidR="002819BC" w:rsidRPr="00944B83">
        <w:rPr>
          <w:rFonts w:eastAsiaTheme="minorEastAsia"/>
          <w:rtl/>
        </w:rPr>
        <w:t>47</w:t>
      </w:r>
      <w:r w:rsidR="002819BC" w:rsidRPr="002819BC">
        <w:rPr>
          <w:rFonts w:eastAsiaTheme="minorEastAsia"/>
          <w:rtl/>
        </w:rPr>
        <w:t xml:space="preserve"> واللوائح المتعلقة بالحقوق الرقمية. وتكرر اللجنة توصياتها وتطلب معلومات عن: (أ) القيود المفروضة على حرية التعبير على شبكة الإنترنت، بما في ذلك من خلال التعديلات التي أدخلت في عام </w:t>
      </w:r>
      <w:r w:rsidR="002819BC" w:rsidRPr="00944B83">
        <w:rPr>
          <w:rFonts w:eastAsiaTheme="minorEastAsia"/>
          <w:rtl/>
        </w:rPr>
        <w:t>2021</w:t>
      </w:r>
      <w:r w:rsidR="002819BC" w:rsidRPr="002819BC">
        <w:rPr>
          <w:rFonts w:eastAsiaTheme="minorEastAsia"/>
          <w:rtl/>
        </w:rPr>
        <w:t xml:space="preserve"> على قانون الصحافة والطباعة والنشر والإعلان الصادر عن وزارة الداخلية في عام </w:t>
      </w:r>
      <w:r w:rsidR="002819BC" w:rsidRPr="00944B83">
        <w:rPr>
          <w:rFonts w:eastAsiaTheme="minorEastAsia"/>
          <w:rtl/>
        </w:rPr>
        <w:t>2019</w:t>
      </w:r>
      <w:r w:rsidR="002819BC" w:rsidRPr="002819BC">
        <w:rPr>
          <w:rFonts w:eastAsiaTheme="minorEastAsia"/>
          <w:rtl/>
        </w:rPr>
        <w:t xml:space="preserve"> بشأن استخدام وسائل التواصل الاجتماعي؛ (ب) زيادة استهداف أنشطة الصحفيين والمدافعين عن حقوق الإنسان على الإنترنت، بما في ذلك من خلال استخدام برامج التجسس الحاسوبي للمراقبة.</w:t>
      </w:r>
    </w:p>
    <w:p w14:paraId="38C0386C" w14:textId="15C1A24A" w:rsidR="002819BC" w:rsidRPr="002819BC" w:rsidRDefault="0098637C" w:rsidP="002819BC">
      <w:pPr>
        <w:pStyle w:val="SingleTxtGA"/>
        <w:rPr>
          <w:rFonts w:eastAsiaTheme="minorEastAsia"/>
          <w:lang w:val="ar-SA" w:eastAsia="zh-TW" w:bidi="en-GB"/>
        </w:rPr>
      </w:pPr>
      <w:r>
        <w:rPr>
          <w:rFonts w:eastAsiaTheme="minorEastAsia"/>
          <w:rtl/>
        </w:rPr>
        <w:tab/>
      </w:r>
      <w:r w:rsidR="002819BC" w:rsidRPr="002819BC">
        <w:rPr>
          <w:rFonts w:eastAsiaTheme="minorEastAsia"/>
          <w:rtl/>
        </w:rPr>
        <w:t>وتعرب اللجنة عن أسفها لعدم وجود معلومات عن التدابير المتخذة لحماية الصحفيين والناشطين والمدافعين عن حقوق الإنسان، والتحقيق في أي انتهاكات ضدهم، وتقديم الجناة إلى العدالة. وتكرر توصيتها وتطلب معلومات عن التقارير المتعلقة بالأعمال الانتقامية ضد منظمات حقوق الإنسان التي قدمت تقارير إلى الأمم المتحدة</w:t>
      </w:r>
    </w:p>
    <w:p w14:paraId="41416C8A" w14:textId="19F5F9D7" w:rsidR="002819BC" w:rsidRPr="002819BC" w:rsidRDefault="002819BC" w:rsidP="002819BC">
      <w:pPr>
        <w:pStyle w:val="SingleTxtGA"/>
        <w:rPr>
          <w:rFonts w:eastAsiaTheme="minorEastAsia"/>
          <w:lang w:val="ar-SA" w:eastAsia="zh-TW" w:bidi="en-GB"/>
        </w:rPr>
      </w:pPr>
      <w:r w:rsidRPr="00944B83">
        <w:rPr>
          <w:rFonts w:eastAsiaTheme="minorEastAsia"/>
          <w:b/>
          <w:bCs/>
          <w:rtl/>
        </w:rPr>
        <w:t>الإجراء الموصى به</w:t>
      </w:r>
      <w:r w:rsidRPr="002819BC">
        <w:rPr>
          <w:rFonts w:eastAsiaTheme="minorEastAsia"/>
          <w:rtl/>
        </w:rPr>
        <w:t>: ينبغي توجيه رسالة إلى الدولة الطرف لإبلاغها بوقف إجراء المتابعة. وينبغي إدراج المعلومات المطلوبة في التقرير الدوري المقبل للدولة الطرف.</w:t>
      </w:r>
    </w:p>
    <w:p w14:paraId="31FAD1FE" w14:textId="58024B0C" w:rsidR="0098637C" w:rsidRPr="0098637C" w:rsidRDefault="002819BC" w:rsidP="002819BC">
      <w:pPr>
        <w:pStyle w:val="SingleTxtGA"/>
        <w:rPr>
          <w:rFonts w:eastAsiaTheme="minorEastAsia"/>
          <w:lang w:val="ar-SA" w:eastAsia="zh-TW" w:bidi="en-GB"/>
        </w:rPr>
      </w:pPr>
      <w:r w:rsidRPr="00944B83">
        <w:rPr>
          <w:rFonts w:eastAsiaTheme="minorEastAsia"/>
          <w:b/>
          <w:bCs/>
          <w:rtl/>
        </w:rPr>
        <w:t>موعد تقديم التقرير الدوري المقبل</w:t>
      </w:r>
      <w:r w:rsidRPr="002819BC">
        <w:rPr>
          <w:rFonts w:eastAsiaTheme="minorEastAsia"/>
          <w:rtl/>
        </w:rPr>
        <w:t xml:space="preserve">: عام </w:t>
      </w:r>
      <w:r w:rsidRPr="00944B83">
        <w:rPr>
          <w:rFonts w:eastAsiaTheme="minorEastAsia"/>
          <w:rtl/>
        </w:rPr>
        <w:t>2027</w:t>
      </w:r>
      <w:r w:rsidRPr="002819BC">
        <w:rPr>
          <w:rFonts w:eastAsiaTheme="minorEastAsia"/>
          <w:rtl/>
        </w:rPr>
        <w:t xml:space="preserve"> (سيجرى الاستعراض القطري في عام </w:t>
      </w:r>
      <w:r w:rsidRPr="00944B83">
        <w:rPr>
          <w:rFonts w:eastAsiaTheme="minorEastAsia"/>
          <w:rtl/>
        </w:rPr>
        <w:t>2028</w:t>
      </w:r>
      <w:r w:rsidRPr="002819BC">
        <w:rPr>
          <w:rFonts w:eastAsiaTheme="minorEastAsia"/>
          <w:rtl/>
        </w:rPr>
        <w:t xml:space="preserve"> وفقاً لجولة الاستعراض ال</w:t>
      </w:r>
      <w:r w:rsidR="00D20DAF">
        <w:rPr>
          <w:rFonts w:eastAsiaTheme="minorEastAsia" w:hint="cs"/>
          <w:rtl/>
        </w:rPr>
        <w:t>م</w:t>
      </w:r>
      <w:r w:rsidRPr="002819BC">
        <w:rPr>
          <w:rFonts w:eastAsiaTheme="minorEastAsia"/>
          <w:rtl/>
        </w:rPr>
        <w:t>توقعة</w:t>
      </w:r>
      <w:r w:rsidR="0098637C" w:rsidRPr="0098637C">
        <w:rPr>
          <w:rFonts w:eastAsiaTheme="minorEastAsia"/>
          <w:rtl/>
        </w:rPr>
        <w:t>).</w:t>
      </w:r>
    </w:p>
    <w:p w14:paraId="7182944B" w14:textId="7E56CCC5" w:rsidR="002819BC" w:rsidRPr="002819BC" w:rsidRDefault="002819BC" w:rsidP="002819BC">
      <w:pPr>
        <w:pStyle w:val="SingleTxtGA"/>
        <w:jc w:val="center"/>
        <w:rPr>
          <w:u w:val="single"/>
          <w:rtl/>
        </w:rPr>
      </w:pPr>
      <w:r>
        <w:rPr>
          <w:u w:val="single"/>
          <w:rtl/>
        </w:rPr>
        <w:tab/>
      </w:r>
      <w:r>
        <w:rPr>
          <w:u w:val="single"/>
          <w:rtl/>
        </w:rPr>
        <w:tab/>
      </w:r>
      <w:r>
        <w:rPr>
          <w:u w:val="single"/>
          <w:rtl/>
        </w:rPr>
        <w:tab/>
      </w:r>
    </w:p>
    <w:sectPr w:rsidR="002819BC" w:rsidRPr="002819BC" w:rsidSect="00A5559C">
      <w:headerReference w:type="even" r:id="rId16"/>
      <w:headerReference w:type="default" r:id="rId17"/>
      <w:footerReference w:type="even" r:id="rId18"/>
      <w:footerReference w:type="default" r:id="rId19"/>
      <w:footerReference w:type="first" r:id="rId20"/>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224830" w14:textId="77777777" w:rsidR="00AD4A4A" w:rsidRPr="002901D9" w:rsidRDefault="00AD4A4A" w:rsidP="00DC4D4B">
      <w:pPr>
        <w:spacing w:after="60" w:line="240" w:lineRule="auto"/>
        <w:ind w:left="57"/>
        <w:rPr>
          <w:i/>
          <w:iCs/>
        </w:rPr>
      </w:pPr>
      <w:r>
        <w:rPr>
          <w:rFonts w:hint="cs"/>
          <w:i/>
          <w:iCs/>
          <w:rtl/>
        </w:rPr>
        <w:t>الحواشي</w:t>
      </w:r>
    </w:p>
  </w:endnote>
  <w:endnote w:type="continuationSeparator" w:id="0">
    <w:p w14:paraId="49E34A2C" w14:textId="77777777" w:rsidR="00AD4A4A" w:rsidRDefault="00AD4A4A"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C16F4C" w14:textId="1B4CBE05" w:rsidR="00C1259E" w:rsidRPr="00C1259E" w:rsidRDefault="00C1259E" w:rsidP="00C1259E">
    <w:pPr>
      <w:pStyle w:val="Footer"/>
      <w:tabs>
        <w:tab w:val="right" w:pos="9638"/>
      </w:tabs>
      <w:rPr>
        <w:b/>
        <w:sz w:val="18"/>
        <w:lang w:val="en-US"/>
      </w:rPr>
    </w:pPr>
    <w:r>
      <w:rPr>
        <w:lang w:val="en-US"/>
      </w:rPr>
      <w:t>GE.22-14908</w:t>
    </w:r>
    <w:r>
      <w:rPr>
        <w:lang w:val="en-US"/>
      </w:rPr>
      <w:tab/>
    </w:r>
    <w:r w:rsidRPr="00C1259E">
      <w:rPr>
        <w:b/>
        <w:sz w:val="18"/>
        <w:lang w:val="en-US"/>
      </w:rPr>
      <w:fldChar w:fldCharType="begin"/>
    </w:r>
    <w:r w:rsidRPr="00C1259E">
      <w:rPr>
        <w:b/>
        <w:sz w:val="18"/>
        <w:lang w:val="en-US"/>
      </w:rPr>
      <w:instrText xml:space="preserve"> PAGE  \* MERGEFORMAT </w:instrText>
    </w:r>
    <w:r w:rsidRPr="00C1259E">
      <w:rPr>
        <w:b/>
        <w:sz w:val="18"/>
        <w:lang w:val="en-US"/>
      </w:rPr>
      <w:fldChar w:fldCharType="separate"/>
    </w:r>
    <w:r w:rsidRPr="00C1259E">
      <w:rPr>
        <w:b/>
        <w:noProof/>
        <w:sz w:val="18"/>
        <w:lang w:val="en-US"/>
      </w:rPr>
      <w:t>2</w:t>
    </w:r>
    <w:r w:rsidRPr="00C1259E">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417E7E" w14:textId="657A745D" w:rsidR="006959B0" w:rsidRPr="00C1259E" w:rsidRDefault="00C1259E" w:rsidP="00C1259E">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GE.22-14908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F5DDA7" w14:textId="08510416" w:rsidR="00DE50B1" w:rsidRPr="00C1259E" w:rsidRDefault="00C1259E" w:rsidP="00C1259E">
    <w:pPr>
      <w:pStyle w:val="Footer"/>
      <w:spacing w:before="600"/>
      <w:ind w:left="567"/>
      <w:jc w:val="right"/>
      <w:rPr>
        <w:sz w:val="20"/>
        <w:lang w:val="en-US"/>
      </w:rPr>
    </w:pPr>
    <w:r>
      <w:rPr>
        <w:sz w:val="20"/>
        <w:lang w:val="en-US"/>
      </w:rPr>
      <w:t>GE.</w:t>
    </w:r>
    <w:r w:rsidR="00652221">
      <w:rPr>
        <w:noProof/>
      </w:rPr>
      <w:drawing>
        <wp:anchor distT="0" distB="0" distL="114300" distR="114300" simplePos="0" relativeHeight="251658240" behindDoc="1" locked="1" layoutInCell="0" allowOverlap="1" wp14:anchorId="66DEC581" wp14:editId="27011FD2">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22-14908 (A)</w:t>
    </w:r>
    <w:r>
      <w:rPr>
        <w:noProof/>
        <w:sz w:val="20"/>
        <w:lang w:val="en-US"/>
      </w:rPr>
      <w:drawing>
        <wp:anchor distT="0" distB="0" distL="114300" distR="114300" simplePos="0" relativeHeight="251659264" behindDoc="0" locked="0" layoutInCell="1" allowOverlap="1" wp14:anchorId="47DF1B06" wp14:editId="7F11F871">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7C50F4" w14:textId="77777777" w:rsidR="00AD4A4A" w:rsidRPr="008A49D2" w:rsidRDefault="00AD4A4A" w:rsidP="008A49D2">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66995C71" w14:textId="77777777" w:rsidR="00AD4A4A" w:rsidRDefault="00AD4A4A" w:rsidP="00656392">
      <w:pPr>
        <w:spacing w:line="240" w:lineRule="auto"/>
      </w:pPr>
      <w:r>
        <w:continuationSeparator/>
      </w:r>
    </w:p>
  </w:footnote>
  <w:footnote w:id="1">
    <w:p w14:paraId="5718CBBD" w14:textId="44980C50" w:rsidR="002819BC" w:rsidRPr="002819BC" w:rsidRDefault="002819BC" w:rsidP="002819BC">
      <w:pPr>
        <w:pStyle w:val="FootnoteText1"/>
        <w:rPr>
          <w:rtl/>
        </w:rPr>
      </w:pPr>
      <w:r>
        <w:rPr>
          <w:rtl/>
        </w:rPr>
        <w:t>*</w:t>
      </w:r>
      <w:r>
        <w:rPr>
          <w:rtl/>
        </w:rPr>
        <w:tab/>
      </w:r>
      <w:r w:rsidRPr="005E4EDA">
        <w:rPr>
          <w:rFonts w:ascii="Simplified Arabic" w:hAnsi="Simplified Arabic"/>
          <w:rtl/>
        </w:rPr>
        <w:t xml:space="preserve">اعتمدته اللجنة في دورتها </w:t>
      </w:r>
      <w:r w:rsidRPr="00944B83">
        <w:rPr>
          <w:rFonts w:ascii="Simplified Arabic" w:hAnsi="Simplified Arabic"/>
          <w:rtl/>
        </w:rPr>
        <w:t>135</w:t>
      </w:r>
      <w:r w:rsidRPr="005E4EDA">
        <w:rPr>
          <w:rFonts w:ascii="Simplified Arabic" w:hAnsi="Simplified Arabic"/>
          <w:rtl/>
        </w:rPr>
        <w:t xml:space="preserve"> (</w:t>
      </w:r>
      <w:r w:rsidRPr="00944B83">
        <w:rPr>
          <w:rFonts w:ascii="Simplified Arabic" w:hAnsi="Simplified Arabic"/>
          <w:rtl/>
        </w:rPr>
        <w:t>27</w:t>
      </w:r>
      <w:r w:rsidRPr="005E4EDA">
        <w:rPr>
          <w:rFonts w:ascii="Simplified Arabic" w:hAnsi="Simplified Arabic"/>
          <w:rtl/>
        </w:rPr>
        <w:t xml:space="preserve"> حزيران/</w:t>
      </w:r>
      <w:proofErr w:type="gramStart"/>
      <w:r w:rsidRPr="005E4EDA">
        <w:rPr>
          <w:rFonts w:ascii="Simplified Arabic" w:hAnsi="Simplified Arabic"/>
          <w:rtl/>
        </w:rPr>
        <w:t>يونيه</w:t>
      </w:r>
      <w:proofErr w:type="gramEnd"/>
      <w:r w:rsidRPr="005E4EDA">
        <w:rPr>
          <w:rFonts w:ascii="Simplified Arabic" w:hAnsi="Simplified Arabic"/>
          <w:rtl/>
        </w:rPr>
        <w:t xml:space="preserve"> - </w:t>
      </w:r>
      <w:r w:rsidRPr="00944B83">
        <w:rPr>
          <w:rFonts w:ascii="Simplified Arabic" w:hAnsi="Simplified Arabic"/>
          <w:rtl/>
        </w:rPr>
        <w:t>27</w:t>
      </w:r>
      <w:r w:rsidRPr="005E4EDA">
        <w:rPr>
          <w:rFonts w:ascii="Simplified Arabic" w:hAnsi="Simplified Arabic"/>
          <w:rtl/>
        </w:rPr>
        <w:t xml:space="preserve"> تموز/يوليه </w:t>
      </w:r>
      <w:r w:rsidRPr="00944B83">
        <w:rPr>
          <w:rFonts w:ascii="Simplified Arabic" w:hAnsi="Simplified Arabic"/>
          <w:rtl/>
        </w:rPr>
        <w:t>2022</w:t>
      </w:r>
      <w:r w:rsidR="0098637C" w:rsidRPr="0098637C">
        <w:rPr>
          <w:rFonts w:ascii="Simplified Arabic" w:hAnsi="Simplified Arabic"/>
          <w:rtl/>
        </w:rPr>
        <w:t xml:space="preserve">). </w:t>
      </w:r>
    </w:p>
  </w:footnote>
  <w:footnote w:id="2">
    <w:p w14:paraId="770F8ABE" w14:textId="77777777" w:rsidR="0098637C" w:rsidRPr="005E4EDA" w:rsidRDefault="0098637C" w:rsidP="002819BC">
      <w:pPr>
        <w:pStyle w:val="FootnoteText1"/>
        <w:textDirection w:val="tbRlV"/>
        <w:rPr>
          <w:rFonts w:ascii="Simplified Arabic" w:hAnsi="Simplified Arabic"/>
          <w:lang w:val="ar-SA" w:eastAsia="zh-TW" w:bidi="en-GB"/>
        </w:rPr>
      </w:pPr>
      <w:r w:rsidRPr="002819BC">
        <w:rPr>
          <w:rtl/>
        </w:rPr>
        <w:t>(</w:t>
      </w:r>
      <w:r w:rsidRPr="00944B83">
        <w:footnoteRef/>
      </w:r>
      <w:r w:rsidRPr="002819BC">
        <w:rPr>
          <w:rtl/>
        </w:rPr>
        <w:t>)</w:t>
      </w:r>
      <w:r>
        <w:rPr>
          <w:rFonts w:ascii="Simplified Arabic" w:hAnsi="Simplified Arabic"/>
          <w:rtl/>
        </w:rPr>
        <w:tab/>
      </w:r>
      <w:r w:rsidRPr="002819BC">
        <w:rPr>
          <w:rtl/>
        </w:rPr>
        <w:t>الفقرات</w:t>
      </w:r>
      <w:r w:rsidRPr="005E4EDA">
        <w:rPr>
          <w:rFonts w:ascii="Simplified Arabic" w:hAnsi="Simplified Arabic"/>
          <w:rtl/>
        </w:rPr>
        <w:t xml:space="preserve"> التي تتضمن توصيات اللجنة غير مستنسخة في هذه الوثيقة بسبب الحد الأقصى لعدد الكلمات المحدد في الفقرة </w:t>
      </w:r>
      <w:r w:rsidRPr="00944B83">
        <w:rPr>
          <w:rFonts w:ascii="Simplified Arabic" w:hAnsi="Simplified Arabic"/>
          <w:rtl/>
        </w:rPr>
        <w:t>15</w:t>
      </w:r>
      <w:r w:rsidRPr="005E4EDA">
        <w:rPr>
          <w:rFonts w:ascii="Simplified Arabic" w:hAnsi="Simplified Arabic"/>
          <w:rtl/>
        </w:rPr>
        <w:t xml:space="preserve"> من قرار الجمعية العامة </w:t>
      </w:r>
      <w:r w:rsidRPr="00944B83">
        <w:rPr>
          <w:rFonts w:ascii="Simplified Arabic" w:hAnsi="Simplified Arabic"/>
          <w:rtl/>
        </w:rPr>
        <w:t>68</w:t>
      </w:r>
      <w:r w:rsidRPr="005E4EDA">
        <w:rPr>
          <w:rFonts w:ascii="Simplified Arabic" w:hAnsi="Simplified Arabic"/>
          <w:rtl/>
        </w:rPr>
        <w:t>/</w:t>
      </w:r>
      <w:r w:rsidRPr="00944B83">
        <w:rPr>
          <w:rFonts w:ascii="Simplified Arabic" w:hAnsi="Simplified Arabic"/>
          <w:rtl/>
        </w:rPr>
        <w:t>268</w:t>
      </w:r>
      <w:r w:rsidRPr="0098637C">
        <w:rPr>
          <w:rFonts w:ascii="Simplified Arabic" w:hAnsi="Simplified Arabic"/>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958526" w14:textId="3345227C" w:rsidR="00C1259E" w:rsidRPr="00C1259E" w:rsidRDefault="00C1259E" w:rsidP="00C1259E">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CCPR/C/135/2/Add.1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EEA6C9" w14:textId="0D787FF4" w:rsidR="00C1259E" w:rsidRPr="00C1259E" w:rsidRDefault="00C1259E" w:rsidP="00C1259E">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CCPR/C/135/2/Add.1</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50155477">
    <w:abstractNumId w:val="15"/>
  </w:num>
  <w:num w:numId="2" w16cid:durableId="1693385271">
    <w:abstractNumId w:val="12"/>
  </w:num>
  <w:num w:numId="3" w16cid:durableId="507059314">
    <w:abstractNumId w:val="2"/>
  </w:num>
  <w:num w:numId="4" w16cid:durableId="880362405">
    <w:abstractNumId w:val="11"/>
  </w:num>
  <w:num w:numId="5" w16cid:durableId="989476261">
    <w:abstractNumId w:val="8"/>
  </w:num>
  <w:num w:numId="6" w16cid:durableId="813449510">
    <w:abstractNumId w:val="5"/>
  </w:num>
  <w:num w:numId="7" w16cid:durableId="748578300">
    <w:abstractNumId w:val="17"/>
  </w:num>
  <w:num w:numId="8" w16cid:durableId="237907482">
    <w:abstractNumId w:val="2"/>
  </w:num>
  <w:num w:numId="9" w16cid:durableId="1600797213">
    <w:abstractNumId w:val="11"/>
  </w:num>
  <w:num w:numId="10" w16cid:durableId="573129042">
    <w:abstractNumId w:val="5"/>
  </w:num>
  <w:num w:numId="11" w16cid:durableId="442383754">
    <w:abstractNumId w:val="17"/>
  </w:num>
  <w:num w:numId="12" w16cid:durableId="1403404427">
    <w:abstractNumId w:val="2"/>
  </w:num>
  <w:num w:numId="13" w16cid:durableId="2083793836">
    <w:abstractNumId w:val="11"/>
  </w:num>
  <w:num w:numId="14" w16cid:durableId="1063140512">
    <w:abstractNumId w:val="8"/>
  </w:num>
  <w:num w:numId="15" w16cid:durableId="1864048419">
    <w:abstractNumId w:val="5"/>
  </w:num>
  <w:num w:numId="16" w16cid:durableId="2063405534">
    <w:abstractNumId w:val="17"/>
  </w:num>
  <w:num w:numId="17" w16cid:durableId="204754286">
    <w:abstractNumId w:val="4"/>
  </w:num>
  <w:num w:numId="18" w16cid:durableId="1095589681">
    <w:abstractNumId w:val="3"/>
  </w:num>
  <w:num w:numId="19" w16cid:durableId="351417489">
    <w:abstractNumId w:val="16"/>
  </w:num>
  <w:num w:numId="20" w16cid:durableId="1638684654">
    <w:abstractNumId w:val="13"/>
  </w:num>
  <w:num w:numId="21" w16cid:durableId="1834251151">
    <w:abstractNumId w:val="1"/>
  </w:num>
  <w:num w:numId="22" w16cid:durableId="1096025069">
    <w:abstractNumId w:val="14"/>
  </w:num>
  <w:num w:numId="23" w16cid:durableId="650595237">
    <w:abstractNumId w:val="0"/>
  </w:num>
  <w:num w:numId="24" w16cid:durableId="300506378">
    <w:abstractNumId w:val="9"/>
  </w:num>
  <w:num w:numId="25" w16cid:durableId="217401504">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64397338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99217896">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205601922">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850489203">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1680739423">
    <w:abstractNumId w:val="7"/>
  </w:num>
  <w:num w:numId="31" w16cid:durableId="1157695298">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144592210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2"/>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4A4A"/>
    <w:rsid w:val="000076D5"/>
    <w:rsid w:val="00043663"/>
    <w:rsid w:val="000437B8"/>
    <w:rsid w:val="000505CF"/>
    <w:rsid w:val="000D701C"/>
    <w:rsid w:val="000E2A71"/>
    <w:rsid w:val="0014419E"/>
    <w:rsid w:val="00145577"/>
    <w:rsid w:val="00160263"/>
    <w:rsid w:val="00181F96"/>
    <w:rsid w:val="001872B1"/>
    <w:rsid w:val="001A1371"/>
    <w:rsid w:val="001B043F"/>
    <w:rsid w:val="001B346A"/>
    <w:rsid w:val="001E1CAD"/>
    <w:rsid w:val="001E290D"/>
    <w:rsid w:val="002144FA"/>
    <w:rsid w:val="0023469A"/>
    <w:rsid w:val="00243C8A"/>
    <w:rsid w:val="00267A0E"/>
    <w:rsid w:val="002819BC"/>
    <w:rsid w:val="002901D9"/>
    <w:rsid w:val="002976C2"/>
    <w:rsid w:val="003068BC"/>
    <w:rsid w:val="003260FF"/>
    <w:rsid w:val="00343D95"/>
    <w:rsid w:val="00363A18"/>
    <w:rsid w:val="00374341"/>
    <w:rsid w:val="003B4237"/>
    <w:rsid w:val="003D1062"/>
    <w:rsid w:val="00402051"/>
    <w:rsid w:val="00420D7B"/>
    <w:rsid w:val="00450B21"/>
    <w:rsid w:val="00453B63"/>
    <w:rsid w:val="00455780"/>
    <w:rsid w:val="0046323F"/>
    <w:rsid w:val="004B0A1C"/>
    <w:rsid w:val="004B27E0"/>
    <w:rsid w:val="004D298E"/>
    <w:rsid w:val="005044B3"/>
    <w:rsid w:val="00517BC9"/>
    <w:rsid w:val="0054472E"/>
    <w:rsid w:val="005662A9"/>
    <w:rsid w:val="005827D4"/>
    <w:rsid w:val="0058508B"/>
    <w:rsid w:val="0059622A"/>
    <w:rsid w:val="005A4F30"/>
    <w:rsid w:val="005B51C4"/>
    <w:rsid w:val="005C0061"/>
    <w:rsid w:val="005C5878"/>
    <w:rsid w:val="005C7CEA"/>
    <w:rsid w:val="005D3C0B"/>
    <w:rsid w:val="005E5217"/>
    <w:rsid w:val="005F0FA4"/>
    <w:rsid w:val="005F30EE"/>
    <w:rsid w:val="005F5271"/>
    <w:rsid w:val="0060473A"/>
    <w:rsid w:val="00617024"/>
    <w:rsid w:val="00621120"/>
    <w:rsid w:val="00652221"/>
    <w:rsid w:val="00656392"/>
    <w:rsid w:val="006645EC"/>
    <w:rsid w:val="0068781D"/>
    <w:rsid w:val="006959B0"/>
    <w:rsid w:val="006B3E27"/>
    <w:rsid w:val="006B6507"/>
    <w:rsid w:val="006C104C"/>
    <w:rsid w:val="006C632E"/>
    <w:rsid w:val="00717FB3"/>
    <w:rsid w:val="00730446"/>
    <w:rsid w:val="00733704"/>
    <w:rsid w:val="0078071A"/>
    <w:rsid w:val="00787022"/>
    <w:rsid w:val="00787E1E"/>
    <w:rsid w:val="00852A9A"/>
    <w:rsid w:val="008A49D2"/>
    <w:rsid w:val="008F49E1"/>
    <w:rsid w:val="0090370F"/>
    <w:rsid w:val="009077C3"/>
    <w:rsid w:val="009269D2"/>
    <w:rsid w:val="00942135"/>
    <w:rsid w:val="00944B83"/>
    <w:rsid w:val="009521B0"/>
    <w:rsid w:val="00957437"/>
    <w:rsid w:val="00982139"/>
    <w:rsid w:val="0098637C"/>
    <w:rsid w:val="009867A8"/>
    <w:rsid w:val="00991F44"/>
    <w:rsid w:val="00996849"/>
    <w:rsid w:val="009A0CFB"/>
    <w:rsid w:val="009A7E9F"/>
    <w:rsid w:val="009C17EC"/>
    <w:rsid w:val="009E5018"/>
    <w:rsid w:val="009F4C23"/>
    <w:rsid w:val="00A03700"/>
    <w:rsid w:val="00A053F2"/>
    <w:rsid w:val="00A12B37"/>
    <w:rsid w:val="00A54828"/>
    <w:rsid w:val="00A5559C"/>
    <w:rsid w:val="00A97E1F"/>
    <w:rsid w:val="00AB512E"/>
    <w:rsid w:val="00AB6758"/>
    <w:rsid w:val="00AB727F"/>
    <w:rsid w:val="00AD4A4A"/>
    <w:rsid w:val="00B13763"/>
    <w:rsid w:val="00B477A4"/>
    <w:rsid w:val="00B54045"/>
    <w:rsid w:val="00B63ADD"/>
    <w:rsid w:val="00BB09A0"/>
    <w:rsid w:val="00C1259E"/>
    <w:rsid w:val="00C175A6"/>
    <w:rsid w:val="00C41DCF"/>
    <w:rsid w:val="00C4235F"/>
    <w:rsid w:val="00C42AF7"/>
    <w:rsid w:val="00C438D7"/>
    <w:rsid w:val="00C62C20"/>
    <w:rsid w:val="00C81B50"/>
    <w:rsid w:val="00C902EF"/>
    <w:rsid w:val="00CB0011"/>
    <w:rsid w:val="00CB6622"/>
    <w:rsid w:val="00CD1801"/>
    <w:rsid w:val="00CF56F9"/>
    <w:rsid w:val="00CF65C6"/>
    <w:rsid w:val="00D00A89"/>
    <w:rsid w:val="00D10EF1"/>
    <w:rsid w:val="00D20DAF"/>
    <w:rsid w:val="00D42810"/>
    <w:rsid w:val="00D60DD5"/>
    <w:rsid w:val="00D914A7"/>
    <w:rsid w:val="00DC4D4B"/>
    <w:rsid w:val="00DD13C3"/>
    <w:rsid w:val="00DD596E"/>
    <w:rsid w:val="00DD621E"/>
    <w:rsid w:val="00DE50B1"/>
    <w:rsid w:val="00DF0138"/>
    <w:rsid w:val="00DF0575"/>
    <w:rsid w:val="00E2228E"/>
    <w:rsid w:val="00E70E04"/>
    <w:rsid w:val="00E77E6C"/>
    <w:rsid w:val="00E83ED5"/>
    <w:rsid w:val="00EC05A7"/>
    <w:rsid w:val="00EC4B6B"/>
    <w:rsid w:val="00EC68A5"/>
    <w:rsid w:val="00ED7442"/>
    <w:rsid w:val="00EE3202"/>
    <w:rsid w:val="00EF1EE5"/>
    <w:rsid w:val="00EF5C43"/>
    <w:rsid w:val="00F10DAB"/>
    <w:rsid w:val="00F460D4"/>
    <w:rsid w:val="00F46D42"/>
    <w:rsid w:val="00F763B4"/>
    <w:rsid w:val="00F900C3"/>
    <w:rsid w:val="00FC6EDD"/>
    <w:rsid w:val="00FD46E2"/>
    <w:rsid w:val="00FE502A"/>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1D3E5FC"/>
  <w15:docId w15:val="{4515C7AB-4E65-4B7B-AC68-96C76E8934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4237"/>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3B4237"/>
    <w:pPr>
      <w:bidi w:val="0"/>
      <w:outlineLvl w:val="0"/>
    </w:pPr>
  </w:style>
  <w:style w:type="paragraph" w:styleId="Heading2">
    <w:name w:val="heading 2"/>
    <w:basedOn w:val="Normal"/>
    <w:next w:val="Normal"/>
    <w:link w:val="Heading2Char"/>
    <w:uiPriority w:val="9"/>
    <w:unhideWhenUsed/>
    <w:rsid w:val="003B4237"/>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3B4237"/>
    <w:pPr>
      <w:keepNext/>
      <w:keepLines/>
      <w:spacing w:before="200"/>
      <w:outlineLvl w:val="2"/>
    </w:pPr>
    <w:rPr>
      <w:b/>
      <w:bCs/>
      <w:color w:val="4F81BD"/>
    </w:rPr>
  </w:style>
  <w:style w:type="paragraph" w:styleId="Heading4">
    <w:name w:val="heading 4"/>
    <w:basedOn w:val="Normal"/>
    <w:next w:val="Normal"/>
    <w:link w:val="Heading4Char"/>
    <w:uiPriority w:val="9"/>
    <w:unhideWhenUsed/>
    <w:rsid w:val="003B4237"/>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3B4237"/>
    <w:pPr>
      <w:keepNext/>
      <w:keepLines/>
      <w:spacing w:before="200"/>
      <w:outlineLvl w:val="4"/>
    </w:pPr>
    <w:rPr>
      <w:color w:val="243F60"/>
    </w:rPr>
  </w:style>
  <w:style w:type="paragraph" w:styleId="Heading6">
    <w:name w:val="heading 6"/>
    <w:basedOn w:val="Normal"/>
    <w:next w:val="Normal"/>
    <w:link w:val="Heading6Char"/>
    <w:uiPriority w:val="9"/>
    <w:unhideWhenUsed/>
    <w:rsid w:val="003B4237"/>
    <w:pPr>
      <w:keepNext/>
      <w:keepLines/>
      <w:spacing w:before="200"/>
      <w:outlineLvl w:val="5"/>
    </w:pPr>
    <w:rPr>
      <w:i/>
      <w:iCs/>
      <w:color w:val="243F60"/>
    </w:rPr>
  </w:style>
  <w:style w:type="paragraph" w:styleId="Heading7">
    <w:name w:val="heading 7"/>
    <w:basedOn w:val="Normal"/>
    <w:next w:val="Normal"/>
    <w:link w:val="Heading7Char"/>
    <w:uiPriority w:val="9"/>
    <w:unhideWhenUsed/>
    <w:rsid w:val="003B4237"/>
    <w:pPr>
      <w:keepNext/>
      <w:keepLines/>
      <w:spacing w:before="200"/>
      <w:outlineLvl w:val="6"/>
    </w:pPr>
    <w:rPr>
      <w:i/>
      <w:iCs/>
      <w:color w:val="404040"/>
    </w:rPr>
  </w:style>
  <w:style w:type="paragraph" w:styleId="Heading8">
    <w:name w:val="heading 8"/>
    <w:basedOn w:val="Normal"/>
    <w:next w:val="Normal"/>
    <w:link w:val="Heading8Char"/>
    <w:uiPriority w:val="9"/>
    <w:unhideWhenUsed/>
    <w:rsid w:val="003B4237"/>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3B4237"/>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3B4237"/>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3B4237"/>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3B4237"/>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3B4237"/>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3B4237"/>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3B4237"/>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3B4237"/>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3B4237"/>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3B4237"/>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3B4237"/>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3B4237"/>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3B4237"/>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3B4237"/>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3B4237"/>
    <w:pPr>
      <w:numPr>
        <w:numId w:val="5"/>
      </w:numPr>
      <w:bidi w:val="0"/>
    </w:pPr>
    <w:rPr>
      <w:lang w:val="en-US"/>
    </w:rPr>
  </w:style>
  <w:style w:type="paragraph" w:customStyle="1" w:styleId="Roman1GA">
    <w:name w:val="_Roman 1_GA"/>
    <w:basedOn w:val="Bullet1GA"/>
    <w:qFormat/>
    <w:rsid w:val="003B4237"/>
    <w:pPr>
      <w:numPr>
        <w:numId w:val="6"/>
      </w:numPr>
      <w:tabs>
        <w:tab w:val="clear" w:pos="2310"/>
        <w:tab w:val="left" w:pos="2486"/>
      </w:tabs>
      <w:ind w:left="2486" w:hanging="378"/>
    </w:pPr>
  </w:style>
  <w:style w:type="paragraph" w:customStyle="1" w:styleId="Roman2GA">
    <w:name w:val="_Roman 2_GA"/>
    <w:basedOn w:val="Bullet2GA"/>
    <w:qFormat/>
    <w:rsid w:val="003B4237"/>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3B4237"/>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3B4237"/>
    <w:rPr>
      <w:rFonts w:ascii="Times New Roman" w:eastAsia="PMingLiU" w:hAnsi="Times New Roman" w:cs="Simplified Arabic"/>
      <w:sz w:val="18"/>
      <w:lang w:val="en-GB" w:eastAsia="en-US"/>
    </w:rPr>
  </w:style>
  <w:style w:type="character" w:customStyle="1" w:styleId="EndtnoteReference">
    <w:name w:val="Endtnote Reference"/>
    <w:aliases w:val="1_GA"/>
    <w:qFormat/>
    <w:rsid w:val="003B4237"/>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3B4237"/>
    <w:pPr>
      <w:suppressAutoHyphens/>
      <w:bidi w:val="0"/>
      <w:spacing w:line="240" w:lineRule="auto"/>
    </w:pPr>
    <w:rPr>
      <w:sz w:val="16"/>
      <w:lang w:val="en-GB"/>
    </w:rPr>
  </w:style>
  <w:style w:type="character" w:customStyle="1" w:styleId="FooterChar">
    <w:name w:val="Footer Char"/>
    <w:aliases w:val="3_GA Char,3_G Char"/>
    <w:link w:val="Footer"/>
    <w:rsid w:val="003B4237"/>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3B4237"/>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3B4237"/>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3B4237"/>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3B4237"/>
    <w:rPr>
      <w:rFonts w:ascii="Times New Roman" w:eastAsia="PMingLiU" w:hAnsi="Times New Roman" w:cs="Simplified Arabic"/>
      <w:sz w:val="22"/>
      <w:szCs w:val="22"/>
      <w:lang w:val="en-GB" w:eastAsia="en-US"/>
    </w:rPr>
  </w:style>
  <w:style w:type="character" w:styleId="PageNumber">
    <w:name w:val="page number"/>
    <w:aliases w:val="7_GA,7_G"/>
    <w:qFormat/>
    <w:rsid w:val="003B4237"/>
    <w:rPr>
      <w:rFonts w:ascii="Times New Roman Bold" w:hAnsi="Times New Roman Bold"/>
      <w:b/>
      <w:i w:val="0"/>
      <w:sz w:val="18"/>
      <w:szCs w:val="18"/>
    </w:rPr>
  </w:style>
  <w:style w:type="paragraph" w:customStyle="1" w:styleId="XXLargeGA">
    <w:name w:val="XXLarge_GA"/>
    <w:basedOn w:val="Normal"/>
    <w:next w:val="SingleTxtGA"/>
    <w:qFormat/>
    <w:rsid w:val="003B4237"/>
    <w:pPr>
      <w:suppressAutoHyphens/>
      <w:spacing w:line="820" w:lineRule="exact"/>
    </w:pPr>
    <w:rPr>
      <w:spacing w:val="-8"/>
      <w:w w:val="96"/>
      <w:sz w:val="57"/>
      <w:szCs w:val="86"/>
      <w:lang w:val="en-GB"/>
    </w:rPr>
  </w:style>
  <w:style w:type="character" w:customStyle="1" w:styleId="Heading2Char">
    <w:name w:val="Heading 2 Char"/>
    <w:link w:val="Heading2"/>
    <w:uiPriority w:val="9"/>
    <w:rsid w:val="003B4237"/>
    <w:rPr>
      <w:rFonts w:ascii="Times New Roman" w:eastAsia="PMingLiU" w:hAnsi="Times New Roman" w:cs="Simplified Arabic"/>
      <w:b/>
      <w:bCs/>
      <w:color w:val="4F81BD"/>
      <w:sz w:val="26"/>
      <w:szCs w:val="26"/>
      <w:lang w:eastAsia="en-US"/>
    </w:rPr>
  </w:style>
  <w:style w:type="character" w:customStyle="1" w:styleId="Heading3Char">
    <w:name w:val="Heading 3 Char"/>
    <w:link w:val="Heading3"/>
    <w:uiPriority w:val="9"/>
    <w:rsid w:val="003B4237"/>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3B4237"/>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3B4237"/>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3B4237"/>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3B4237"/>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3B4237"/>
    <w:rPr>
      <w:rFonts w:ascii="Times New Roman" w:eastAsia="PMingLiU" w:hAnsi="Times New Roman" w:cs="Simplified Arabic"/>
      <w:color w:val="404040"/>
      <w:lang w:eastAsia="en-US"/>
    </w:rPr>
  </w:style>
  <w:style w:type="character" w:customStyle="1" w:styleId="Heading9Char">
    <w:name w:val="Heading 9 Char"/>
    <w:link w:val="Heading9"/>
    <w:uiPriority w:val="9"/>
    <w:rsid w:val="003B4237"/>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3B4237"/>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3B4237"/>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3B4237"/>
    <w:pPr>
      <w:numPr>
        <w:ilvl w:val="1"/>
      </w:numPr>
    </w:pPr>
    <w:rPr>
      <w:i/>
      <w:iCs/>
      <w:color w:val="4F81BD"/>
      <w:spacing w:val="15"/>
      <w:sz w:val="24"/>
      <w:szCs w:val="24"/>
    </w:rPr>
  </w:style>
  <w:style w:type="character" w:customStyle="1" w:styleId="SubtitleChar">
    <w:name w:val="Subtitle Char"/>
    <w:link w:val="Subtitle"/>
    <w:uiPriority w:val="11"/>
    <w:rsid w:val="003B4237"/>
    <w:rPr>
      <w:rFonts w:ascii="Times New Roman" w:eastAsia="PMingLiU" w:hAnsi="Times New Roman" w:cs="Simplified Arabic"/>
      <w:i/>
      <w:iCs/>
      <w:color w:val="4F81BD"/>
      <w:spacing w:val="15"/>
      <w:sz w:val="24"/>
      <w:szCs w:val="24"/>
      <w:lang w:eastAsia="en-US"/>
    </w:rPr>
  </w:style>
  <w:style w:type="character" w:styleId="Strong">
    <w:name w:val="Strong"/>
    <w:uiPriority w:val="22"/>
    <w:rsid w:val="003B4237"/>
    <w:rPr>
      <w:b/>
      <w:bCs/>
    </w:rPr>
  </w:style>
  <w:style w:type="table" w:styleId="TableGrid">
    <w:name w:val="Table Grid"/>
    <w:basedOn w:val="TableNormal"/>
    <w:rsid w:val="003B4237"/>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3B4237"/>
    <w:rPr>
      <w:color w:val="0000FF"/>
      <w:u w:val="none"/>
    </w:rPr>
  </w:style>
  <w:style w:type="paragraph" w:styleId="TOC1">
    <w:name w:val="toc 1"/>
    <w:basedOn w:val="Normal"/>
    <w:link w:val="TOC1Char"/>
    <w:autoRedefine/>
    <w:uiPriority w:val="39"/>
    <w:unhideWhenUsed/>
    <w:rsid w:val="003B4237"/>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3B4237"/>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3B4237"/>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3B4237"/>
    <w:rPr>
      <w:rFonts w:eastAsia="DengXian"/>
      <w:color w:val="auto"/>
      <w:sz w:val="20"/>
      <w:szCs w:val="20"/>
      <w:u w:val="none"/>
      <w:lang w:eastAsia="zh-CN" w:bidi="ar-EG"/>
    </w:rPr>
  </w:style>
  <w:style w:type="paragraph" w:styleId="TOC4">
    <w:name w:val="toc 4"/>
    <w:basedOn w:val="Normal"/>
    <w:link w:val="TOC4Char"/>
    <w:autoRedefine/>
    <w:uiPriority w:val="39"/>
    <w:unhideWhenUsed/>
    <w:rsid w:val="003B4237"/>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3B4237"/>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3B4237"/>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3B4237"/>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3B4237"/>
    <w:rPr>
      <w:rFonts w:ascii="Times New Roman" w:eastAsia="PMingLiU" w:hAnsi="Times New Roman" w:cs="Simplified Arabic"/>
      <w:sz w:val="22"/>
      <w:szCs w:val="22"/>
      <w:lang w:val="en-GB" w:eastAsia="en-US"/>
    </w:rPr>
  </w:style>
  <w:style w:type="character" w:customStyle="1" w:styleId="TOC1Char">
    <w:name w:val="TOC 1 Char"/>
    <w:basedOn w:val="DefaultParagraphFont"/>
    <w:link w:val="TOC1"/>
    <w:uiPriority w:val="39"/>
    <w:rsid w:val="003B4237"/>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3B4237"/>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3B4237"/>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3B4237"/>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3B4237"/>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3B4237"/>
    <w:rPr>
      <w:rFonts w:ascii="Times New Roman" w:eastAsia="PMingLiU" w:hAnsi="Times New Roman" w:cs="Simplified Arabic"/>
      <w:lang w:val="en-GB" w:eastAsia="en-US"/>
    </w:rPr>
  </w:style>
  <w:style w:type="paragraph" w:customStyle="1" w:styleId="NormalA">
    <w:name w:val="Normal_A"/>
    <w:basedOn w:val="Normal"/>
    <w:qFormat/>
    <w:rsid w:val="003B4237"/>
  </w:style>
  <w:style w:type="paragraph" w:customStyle="1" w:styleId="FootnoteGA">
    <w:name w:val="_Footnote_GA"/>
    <w:basedOn w:val="Normal"/>
    <w:qFormat/>
    <w:rsid w:val="003B4237"/>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3B4237"/>
    <w:rPr>
      <w:sz w:val="44"/>
      <w:szCs w:val="44"/>
      <w:lang w:val="en-US" w:bidi="ar-DZ"/>
    </w:rPr>
  </w:style>
  <w:style w:type="paragraph" w:customStyle="1" w:styleId="FootnoteGA0">
    <w:name w:val="Footnote_GA"/>
    <w:basedOn w:val="Normal"/>
    <w:qFormat/>
    <w:rsid w:val="003B4237"/>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3B4237"/>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3B4237"/>
    <w:pPr>
      <w:spacing w:line="240" w:lineRule="exact"/>
    </w:pPr>
    <w:rPr>
      <w:spacing w:val="6"/>
      <w:w w:val="106"/>
      <w:sz w:val="14"/>
      <w:szCs w:val="21"/>
    </w:rPr>
  </w:style>
  <w:style w:type="paragraph" w:customStyle="1" w:styleId="Original">
    <w:name w:val="Original"/>
    <w:basedOn w:val="Normal"/>
    <w:next w:val="Normal"/>
    <w:qFormat/>
    <w:rsid w:val="003B4237"/>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3B4237"/>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3B4237"/>
    <w:rPr>
      <w:rFonts w:asciiTheme="minorHAnsi" w:eastAsiaTheme="minorEastAsia" w:hAnsiTheme="minorHAnsi" w:cstheme="minorBidi"/>
      <w:sz w:val="24"/>
      <w:szCs w:val="24"/>
      <w:lang w:val="fr-FR" w:eastAsia="fr-FR"/>
    </w:rPr>
  </w:style>
  <w:style w:type="paragraph" w:styleId="TOC7">
    <w:name w:val="toc 7"/>
    <w:basedOn w:val="Normal"/>
    <w:next w:val="Normal"/>
    <w:autoRedefine/>
    <w:uiPriority w:val="39"/>
    <w:unhideWhenUsed/>
    <w:rsid w:val="00996849"/>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96849"/>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96849"/>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3B4237"/>
    <w:rPr>
      <w:lang w:val="en-US" w:eastAsia="zh-TW"/>
    </w:rPr>
  </w:style>
  <w:style w:type="paragraph" w:customStyle="1" w:styleId="STitleMGA">
    <w:name w:val="S_Title_M_GA"/>
    <w:basedOn w:val="SMGA"/>
    <w:qFormat/>
    <w:rsid w:val="003B4237"/>
    <w:rPr>
      <w:lang w:eastAsia="zh-TW"/>
    </w:rPr>
  </w:style>
  <w:style w:type="paragraph" w:customStyle="1" w:styleId="STitleSGA">
    <w:name w:val="S_Title_S_GA"/>
    <w:basedOn w:val="SSGA"/>
    <w:qFormat/>
    <w:rsid w:val="003B4237"/>
    <w:rPr>
      <w:lang w:eastAsia="zh-TW"/>
    </w:rPr>
  </w:style>
  <w:style w:type="paragraph" w:customStyle="1" w:styleId="HChG">
    <w:name w:val="_ H _Ch_G"/>
    <w:basedOn w:val="Normal"/>
    <w:next w:val="Normal"/>
    <w:rsid w:val="002819BC"/>
    <w:pPr>
      <w:keepNext/>
      <w:keepLines/>
      <w:tabs>
        <w:tab w:val="right" w:pos="851"/>
      </w:tabs>
      <w:suppressAutoHyphens/>
      <w:bidi w:val="0"/>
      <w:spacing w:before="360" w:after="240" w:line="300" w:lineRule="exact"/>
      <w:ind w:left="1134" w:right="1134" w:hanging="1134"/>
      <w:jc w:val="left"/>
      <w:outlineLvl w:val="1"/>
    </w:pPr>
    <w:rPr>
      <w:rFonts w:eastAsia="SimSun" w:hAnsiTheme="minorHAnsi" w:cs="Traditional Arabic" w:hint="cs"/>
      <w:b/>
      <w:sz w:val="28"/>
      <w:szCs w:val="30"/>
      <w:lang w:val="en-GB" w:eastAsia="zh-CN"/>
    </w:rPr>
  </w:style>
  <w:style w:type="paragraph" w:customStyle="1" w:styleId="H1G">
    <w:name w:val="_ H_1_G"/>
    <w:basedOn w:val="Normal"/>
    <w:next w:val="Normal"/>
    <w:rsid w:val="002819BC"/>
    <w:pPr>
      <w:keepNext/>
      <w:keepLines/>
      <w:tabs>
        <w:tab w:val="right" w:pos="851"/>
      </w:tabs>
      <w:suppressAutoHyphens/>
      <w:bidi w:val="0"/>
      <w:spacing w:before="360" w:after="240" w:line="270" w:lineRule="exact"/>
      <w:ind w:left="1134" w:right="1134" w:hanging="1134"/>
      <w:jc w:val="left"/>
      <w:outlineLvl w:val="2"/>
    </w:pPr>
    <w:rPr>
      <w:rFonts w:eastAsia="SimSun" w:hAnsiTheme="minorHAnsi" w:cs="Traditional Arabic" w:hint="cs"/>
      <w:b/>
      <w:sz w:val="24"/>
      <w:szCs w:val="30"/>
      <w:lang w:val="en-GB" w:eastAsia="zh-CN"/>
    </w:rPr>
  </w:style>
  <w:style w:type="paragraph" w:customStyle="1" w:styleId="H23G">
    <w:name w:val="_ H_2/3_G"/>
    <w:basedOn w:val="Normal"/>
    <w:next w:val="Normal"/>
    <w:rsid w:val="002819BC"/>
    <w:pPr>
      <w:keepNext/>
      <w:keepLines/>
      <w:tabs>
        <w:tab w:val="right" w:pos="851"/>
      </w:tabs>
      <w:suppressAutoHyphens/>
      <w:bidi w:val="0"/>
      <w:spacing w:before="240" w:after="120" w:line="240" w:lineRule="exact"/>
      <w:ind w:left="1134" w:right="1134" w:hanging="1134"/>
      <w:jc w:val="left"/>
      <w:outlineLvl w:val="3"/>
    </w:pPr>
    <w:rPr>
      <w:rFonts w:eastAsia="SimSun" w:hAnsiTheme="minorHAnsi" w:cs="Traditional Arabic" w:hint="cs"/>
      <w:b/>
      <w:szCs w:val="30"/>
      <w:lang w:val="en-GB" w:eastAsia="zh-CN"/>
    </w:rPr>
  </w:style>
  <w:style w:type="paragraph" w:customStyle="1" w:styleId="SingleTxtG">
    <w:name w:val="_ Single Txt_G"/>
    <w:basedOn w:val="Normal"/>
    <w:rsid w:val="002819BC"/>
    <w:pPr>
      <w:tabs>
        <w:tab w:val="left" w:pos="1701"/>
        <w:tab w:val="left" w:pos="2268"/>
      </w:tabs>
      <w:suppressAutoHyphens/>
      <w:bidi w:val="0"/>
      <w:spacing w:after="120"/>
      <w:ind w:left="1134" w:right="1134"/>
      <w:jc w:val="both"/>
    </w:pPr>
    <w:rPr>
      <w:rFonts w:eastAsia="SimSun" w:hAnsiTheme="minorHAnsi" w:cs="Traditional Arabic" w:hint="cs"/>
      <w:szCs w:val="30"/>
      <w:lang w:val="en-GB" w:eastAsia="zh-CN"/>
    </w:rPr>
  </w:style>
  <w:style w:type="paragraph" w:styleId="FootnoteText">
    <w:name w:val="footnote text"/>
    <w:aliases w:val="5_G"/>
    <w:basedOn w:val="Normal"/>
    <w:link w:val="FootnoteTextChar"/>
    <w:rsid w:val="002819BC"/>
    <w:pPr>
      <w:tabs>
        <w:tab w:val="right" w:pos="1021"/>
      </w:tabs>
      <w:suppressAutoHyphens/>
      <w:bidi w:val="0"/>
      <w:spacing w:line="220" w:lineRule="exact"/>
      <w:ind w:left="1134" w:right="1134" w:hanging="1134"/>
      <w:jc w:val="left"/>
    </w:pPr>
    <w:rPr>
      <w:rFonts w:eastAsia="SimSun" w:hAnsiTheme="minorHAnsi" w:cs="Traditional Arabic" w:hint="cs"/>
      <w:sz w:val="18"/>
      <w:szCs w:val="30"/>
      <w:lang w:val="en-GB" w:eastAsia="zh-CN"/>
    </w:rPr>
  </w:style>
  <w:style w:type="character" w:customStyle="1" w:styleId="FootnoteTextChar">
    <w:name w:val="Footnote Text Char"/>
    <w:aliases w:val="5_G Char"/>
    <w:basedOn w:val="DefaultParagraphFont"/>
    <w:link w:val="FootnoteText"/>
    <w:rsid w:val="002819BC"/>
    <w:rPr>
      <w:rFonts w:ascii="Times New Roman" w:eastAsia="SimSun" w:hAnsiTheme="minorHAnsi" w:cs="Traditional Arabic"/>
      <w:sz w:val="18"/>
      <w:szCs w:val="30"/>
      <w:lang w:val="en-GB" w:eastAsia="zh-CN"/>
    </w:rPr>
  </w:style>
  <w:style w:type="character" w:styleId="FootnoteReference">
    <w:name w:val="footnote reference"/>
    <w:aliases w:val="4_G"/>
    <w:rsid w:val="002819BC"/>
    <w:rPr>
      <w:rFonts w:ascii="Times New Roman" w:hAnsi="Times New Roman"/>
      <w:sz w:val="18"/>
      <w:vertAlign w:val="superscript"/>
    </w:rPr>
  </w:style>
  <w:style w:type="character" w:styleId="UnresolvedMention">
    <w:name w:val="Unresolved Mention"/>
    <w:basedOn w:val="DefaultParagraphFont"/>
    <w:uiPriority w:val="99"/>
    <w:semiHidden/>
    <w:unhideWhenUsed/>
    <w:rsid w:val="0098637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1605;&#1606;&#1578;&#1583;&#1609;%20&#1575;&#1604;&#1576;&#1581;&#1585;&#1610;&#1606;%20&#1604;&#1581;&#1602;&#1608;&#1602;%20&#1575;&#1604;&#1573;&#1606;&#1587;&#1575;&#1606;"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1605;&#1606;&#1592;&#1605;&#1577;%20&#1571;&#1605;&#1585;&#1610;&#1603;&#1610;&#1608;&#1606;%20&#1605;&#1606;%20&#1571;&#1580;&#1604;%20&#1575;&#1604;&#1583;&#1610;&#1605;&#1602;&#1585;&#1575;&#1591;&#1610;&#1577;%20&#1608;&#1581;&#1602;&#1608;&#1602;%20&#1575;&#1604;&#1573;&#1606;&#1587;&#1575;&#1606;%20&#1601;&#1610;%20&#1575;&#1604;&#1576;&#1581;&#1585;&#1610;&#1606;"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1580;&#1605;&#1593;&#1610;&#1577;%20&#1575;&#1604;&#1608;&#1601;&#1575;&#1602;%20&#1575;&#1604;&#1608;&#1591;&#1606;&#1610;%20&#1575;&#1604;&#1573;&#1587;&#1604;&#1575;&#1605;&#1610;&#1577;" TargetMode="External"/><Relationship Id="rId5" Type="http://schemas.openxmlformats.org/officeDocument/2006/relationships/webSettings" Target="webSettings.xml"/><Relationship Id="rId15" Type="http://schemas.openxmlformats.org/officeDocument/2006/relationships/hyperlink" Target="&#1605;&#1606;&#1592;&#1605;&#1577;%20&#1587;&#1604;&#1575;&#1605;%20&#1604;&#1604;&#1583;&#1610;&#1605;&#1602;&#1585;&#1575;&#1591;&#1610;&#1577;%20&#1608;&#1581;&#1602;&#1608;&#1602;%20&#1575;&#1604;&#1573;&#1606;&#1587;&#1575;&#1606;" TargetMode="External"/><Relationship Id="rId10" Type="http://schemas.openxmlformats.org/officeDocument/2006/relationships/hyperlink" Target="https://undocs.org/ar/CCPR/C/BHR/FCO/1"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undocs.org/ar/CCPR/C/BHR/CO/1" TargetMode="External"/><Relationship Id="rId14" Type="http://schemas.openxmlformats.org/officeDocument/2006/relationships/hyperlink" Target="&#1575;&#1604;&#1605;&#1585;&#1603;&#1586;%20&#1575;&#1604;&#1583;&#1608;&#1604;&#1610;%20&#1604;&#1583;&#1593;&#1605;%20&#1575;&#1604;&#1581;&#1602;&#1608;&#1602;%20&#1608;&#1575;&#1604;&#1581;&#1585;&#1610;&#1575;&#1578;"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4B3873-BCCC-420E-8601-D67A16A86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1745</Words>
  <Characters>9947</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CCPR/C/135/2/Add.1</vt:lpstr>
    </vt:vector>
  </TitlesOfParts>
  <Company>DCM</Company>
  <LinksUpToDate>false</LinksUpToDate>
  <CharactersWithSpaces>11669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CCPR/C/135/2/Add.1</dc:title>
  <dc:subject>GE.2214908(A)</dc:subject>
  <dc:creator>Muntaha BUHNAM - ASE</dc:creator>
  <cp:keywords>GE.2249467(A)</cp:keywords>
  <dc:description>Distr.: General
20 September 2022
Arabic
Original: English</dc:description>
  <cp:lastModifiedBy>Gamal Mohamed Abdelhamid Mahmoud</cp:lastModifiedBy>
  <cp:revision>2</cp:revision>
  <dcterms:created xsi:type="dcterms:W3CDTF">2022-10-26T09:05:00Z</dcterms:created>
  <dcterms:modified xsi:type="dcterms:W3CDTF">2022-10-26T09:05:00Z</dcterms:modified>
  <cp:category>Finale</cp:category>
</cp:coreProperties>
</file>