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rFonts w:hint="eastAsia"/>
        </w:rPr>
      </w:pPr>
      <w:r>
        <w:rPr>
          <w:rFonts w:hint="eastAsia"/>
        </w:rPr>
        <w:t>经济、社会、文化权利委员会</w:t>
      </w:r>
    </w:p>
    <w:p w:rsidR="00000000" w:rsidRDefault="00000000">
      <w:pPr>
        <w:rPr>
          <w:rFonts w:hint="eastAsia"/>
        </w:rPr>
      </w:pPr>
      <w:r>
        <w:rPr>
          <w:rFonts w:hint="eastAsia"/>
        </w:rPr>
        <w:t>第二十八届会议</w:t>
      </w:r>
    </w:p>
    <w:p w:rsidR="00000000" w:rsidRDefault="00000000">
      <w:pPr>
        <w:rPr>
          <w:rFonts w:hint="eastAsia"/>
        </w:rPr>
      </w:pPr>
      <w:r>
        <w:rPr>
          <w:rFonts w:hint="eastAsia"/>
        </w:rPr>
        <w:t>2002</w:t>
      </w:r>
      <w:r>
        <w:rPr>
          <w:rFonts w:hint="eastAsia"/>
        </w:rPr>
        <w:t>年</w:t>
      </w:r>
      <w:r>
        <w:rPr>
          <w:rFonts w:hint="eastAsia"/>
        </w:rPr>
        <w:t>4</w:t>
      </w:r>
      <w:r>
        <w:rPr>
          <w:rFonts w:hint="eastAsia"/>
        </w:rPr>
        <w:t>月</w:t>
      </w:r>
      <w:r>
        <w:rPr>
          <w:rFonts w:hint="eastAsia"/>
        </w:rPr>
        <w:t>29</w:t>
      </w:r>
      <w:r>
        <w:rPr>
          <w:rFonts w:hint="eastAsia"/>
        </w:rPr>
        <w:t>日至</w:t>
      </w:r>
      <w:r>
        <w:rPr>
          <w:rFonts w:hint="eastAsia"/>
        </w:rPr>
        <w:t>5</w:t>
      </w:r>
      <w:r>
        <w:rPr>
          <w:rFonts w:hint="eastAsia"/>
        </w:rPr>
        <w:t>月</w:t>
      </w:r>
      <w:r>
        <w:rPr>
          <w:rFonts w:hint="eastAsia"/>
        </w:rPr>
        <w:t>17</w:t>
      </w:r>
      <w:r>
        <w:rPr>
          <w:rFonts w:hint="eastAsia"/>
        </w:rPr>
        <w:t>日</w:t>
      </w:r>
    </w:p>
    <w:p w:rsidR="00000000" w:rsidRDefault="00000000">
      <w:pPr>
        <w:rPr>
          <w:rFonts w:hint="eastAsia"/>
        </w:rPr>
      </w:pPr>
    </w:p>
    <w:p w:rsidR="00000000" w:rsidRDefault="00000000">
      <w:pPr>
        <w:pStyle w:val="Heading2"/>
        <w:rPr>
          <w:rFonts w:hint="eastAsia"/>
        </w:rPr>
      </w:pPr>
      <w:r>
        <w:rPr>
          <w:rFonts w:hint="eastAsia"/>
        </w:rPr>
        <w:t>审议缔约国根据《公约》第</w:t>
      </w:r>
      <w:r>
        <w:rPr>
          <w:rFonts w:hint="eastAsia"/>
        </w:rPr>
        <w:t>16</w:t>
      </w:r>
      <w:r>
        <w:rPr>
          <w:rFonts w:hint="eastAsia"/>
        </w:rPr>
        <w:t>和第</w:t>
      </w:r>
      <w:r>
        <w:rPr>
          <w:rFonts w:hint="eastAsia"/>
        </w:rPr>
        <w:t>17</w:t>
      </w:r>
      <w:r>
        <w:rPr>
          <w:rFonts w:hint="eastAsia"/>
        </w:rPr>
        <w:t>条</w:t>
      </w:r>
      <w:r>
        <w:br/>
      </w:r>
      <w:r>
        <w:rPr>
          <w:rFonts w:hint="eastAsia"/>
        </w:rPr>
        <w:t>提交的报告</w:t>
      </w:r>
    </w:p>
    <w:p w:rsidR="00000000" w:rsidRDefault="00000000">
      <w:pPr>
        <w:pStyle w:val="Heading3"/>
        <w:rPr>
          <w:rFonts w:hint="eastAsia"/>
        </w:rPr>
      </w:pPr>
      <w:r>
        <w:rPr>
          <w:rFonts w:hint="eastAsia"/>
        </w:rPr>
        <w:t>经济、社会、文化权利委员会的</w:t>
      </w:r>
      <w:r>
        <w:br/>
      </w:r>
      <w:r>
        <w:rPr>
          <w:rFonts w:hint="eastAsia"/>
        </w:rPr>
        <w:t>结论性意见</w:t>
      </w:r>
    </w:p>
    <w:p w:rsidR="00000000" w:rsidRDefault="00000000">
      <w:pPr>
        <w:pStyle w:val="Heading3"/>
        <w:rPr>
          <w:rFonts w:hint="eastAsia"/>
        </w:rPr>
      </w:pPr>
      <w:r>
        <w:rPr>
          <w:rFonts w:hint="eastAsia"/>
        </w:rPr>
        <w:t>爱</w:t>
      </w:r>
      <w:r>
        <w:rPr>
          <w:rFonts w:hint="eastAsia"/>
        </w:rPr>
        <w:t xml:space="preserve"> </w:t>
      </w:r>
      <w:r>
        <w:rPr>
          <w:rFonts w:hint="eastAsia"/>
        </w:rPr>
        <w:t>尔</w:t>
      </w:r>
      <w:r>
        <w:rPr>
          <w:rFonts w:hint="eastAsia"/>
        </w:rPr>
        <w:t xml:space="preserve"> </w:t>
      </w:r>
      <w:r>
        <w:rPr>
          <w:rFonts w:hint="eastAsia"/>
        </w:rPr>
        <w:t>兰</w:t>
      </w:r>
    </w:p>
    <w:p w:rsidR="00000000" w:rsidRDefault="00000000">
      <w:pPr>
        <w:spacing w:after="320"/>
        <w:rPr>
          <w:rFonts w:hint="eastAsia"/>
        </w:rPr>
      </w:pPr>
      <w:r>
        <w:rPr>
          <w:rFonts w:hint="eastAsia"/>
        </w:rPr>
        <w:tab/>
        <w:t xml:space="preserve">1.  </w:t>
      </w:r>
      <w:r>
        <w:rPr>
          <w:rFonts w:hint="eastAsia"/>
        </w:rPr>
        <w:t>经济、社会、文化权利委员会在</w:t>
      </w:r>
      <w:r>
        <w:rPr>
          <w:rFonts w:hint="eastAsia"/>
        </w:rPr>
        <w:t>2002</w:t>
      </w:r>
      <w:r>
        <w:rPr>
          <w:rFonts w:hint="eastAsia"/>
        </w:rPr>
        <w:t>年</w:t>
      </w:r>
      <w:r>
        <w:rPr>
          <w:rFonts w:hint="eastAsia"/>
        </w:rPr>
        <w:t>5</w:t>
      </w:r>
      <w:r>
        <w:rPr>
          <w:rFonts w:hint="eastAsia"/>
        </w:rPr>
        <w:t>月</w:t>
      </w:r>
      <w:r>
        <w:rPr>
          <w:rFonts w:hint="eastAsia"/>
        </w:rPr>
        <w:t>1</w:t>
      </w:r>
      <w:r>
        <w:rPr>
          <w:rFonts w:hint="eastAsia"/>
        </w:rPr>
        <w:t>日和</w:t>
      </w:r>
      <w:r>
        <w:rPr>
          <w:rFonts w:hint="eastAsia"/>
        </w:rPr>
        <w:t>2</w:t>
      </w:r>
      <w:r>
        <w:rPr>
          <w:rFonts w:hint="eastAsia"/>
        </w:rPr>
        <w:t>日举行的第</w:t>
      </w:r>
      <w:r>
        <w:rPr>
          <w:rFonts w:hint="eastAsia"/>
        </w:rPr>
        <w:t>6</w:t>
      </w:r>
      <w:r>
        <w:rPr>
          <w:rFonts w:hint="eastAsia"/>
        </w:rPr>
        <w:t>和第</w:t>
      </w:r>
      <w:r>
        <w:rPr>
          <w:rFonts w:hint="eastAsia"/>
        </w:rPr>
        <w:t>7</w:t>
      </w:r>
      <w:r>
        <w:rPr>
          <w:rFonts w:hint="eastAsia"/>
        </w:rPr>
        <w:t>次会议上</w:t>
      </w:r>
      <w:r>
        <w:rPr>
          <w:rFonts w:hint="eastAsia"/>
        </w:rPr>
        <w:t>(E/C</w:t>
      </w:r>
      <w:r>
        <w:t>.</w:t>
      </w:r>
      <w:r>
        <w:rPr>
          <w:rFonts w:hint="eastAsia"/>
        </w:rPr>
        <w:t>12/2002/SR</w:t>
      </w:r>
      <w:r>
        <w:t>.</w:t>
      </w:r>
      <w:r>
        <w:rPr>
          <w:rFonts w:hint="eastAsia"/>
        </w:rPr>
        <w:t>6</w:t>
      </w:r>
      <w:r>
        <w:rPr>
          <w:rFonts w:hint="eastAsia"/>
        </w:rPr>
        <w:t>和</w:t>
      </w:r>
      <w:r>
        <w:rPr>
          <w:rFonts w:hint="eastAsia"/>
        </w:rPr>
        <w:t>7)</w:t>
      </w:r>
      <w:r>
        <w:rPr>
          <w:rFonts w:hint="eastAsia"/>
        </w:rPr>
        <w:t>，审议了爱尔兰关于《经济、社会、文化权利国际公约》执行情况的第二次定期报告</w:t>
      </w:r>
      <w:r>
        <w:rPr>
          <w:rFonts w:hint="eastAsia"/>
        </w:rPr>
        <w:t>(E/1990/6/</w:t>
      </w:r>
      <w:r>
        <w:t>Add.29)</w:t>
      </w:r>
      <w:r>
        <w:rPr>
          <w:rFonts w:hint="eastAsia"/>
        </w:rPr>
        <w:t>，并在</w:t>
      </w:r>
      <w:r>
        <w:rPr>
          <w:rFonts w:hint="eastAsia"/>
        </w:rPr>
        <w:t>2002</w:t>
      </w:r>
      <w:r>
        <w:rPr>
          <w:rFonts w:hint="eastAsia"/>
        </w:rPr>
        <w:t>年</w:t>
      </w:r>
      <w:r>
        <w:rPr>
          <w:rFonts w:hint="eastAsia"/>
        </w:rPr>
        <w:t>5</w:t>
      </w:r>
      <w:r>
        <w:rPr>
          <w:rFonts w:hint="eastAsia"/>
        </w:rPr>
        <w:t>月</w:t>
      </w:r>
      <w:r>
        <w:rPr>
          <w:rFonts w:hint="eastAsia"/>
        </w:rPr>
        <w:t>10</w:t>
      </w:r>
      <w:r>
        <w:rPr>
          <w:rFonts w:hint="eastAsia"/>
        </w:rPr>
        <w:t>日举行的第</w:t>
      </w:r>
      <w:r>
        <w:rPr>
          <w:rFonts w:hint="eastAsia"/>
        </w:rPr>
        <w:t>17</w:t>
      </w:r>
      <w:r>
        <w:rPr>
          <w:rFonts w:hint="eastAsia"/>
        </w:rPr>
        <w:t>次会议上通过了以下结论性意见。</w:t>
      </w:r>
    </w:p>
    <w:p w:rsidR="00000000" w:rsidRDefault="00000000">
      <w:pPr>
        <w:pStyle w:val="Heading3"/>
        <w:rPr>
          <w:rFonts w:hint="eastAsia"/>
        </w:rPr>
      </w:pPr>
      <w:r>
        <w:rPr>
          <w:rFonts w:hint="eastAsia"/>
          <w:u w:val="none"/>
        </w:rPr>
        <w:t>A</w:t>
      </w:r>
      <w:r>
        <w:rPr>
          <w:u w:val="none"/>
        </w:rPr>
        <w:t>.</w:t>
      </w:r>
      <w:r>
        <w:rPr>
          <w:rFonts w:hint="eastAsia"/>
          <w:u w:val="none"/>
        </w:rPr>
        <w:t xml:space="preserve">  </w:t>
      </w:r>
      <w:r>
        <w:rPr>
          <w:rFonts w:hint="eastAsia"/>
        </w:rPr>
        <w:t>导</w:t>
      </w:r>
      <w:r>
        <w:rPr>
          <w:rFonts w:hint="eastAsia"/>
        </w:rPr>
        <w:t xml:space="preserve">  </w:t>
      </w:r>
      <w:r>
        <w:rPr>
          <w:rFonts w:hint="eastAsia"/>
        </w:rPr>
        <w:t>言</w:t>
      </w:r>
    </w:p>
    <w:p w:rsidR="00000000" w:rsidRDefault="00000000">
      <w:pPr>
        <w:rPr>
          <w:rFonts w:hint="eastAsia"/>
        </w:rPr>
      </w:pPr>
      <w:r>
        <w:rPr>
          <w:rFonts w:hint="eastAsia"/>
        </w:rPr>
        <w:tab/>
        <w:t xml:space="preserve">2.  </w:t>
      </w:r>
      <w:r>
        <w:rPr>
          <w:rFonts w:hint="eastAsia"/>
        </w:rPr>
        <w:t>委员会欢迎爱尔兰提出的第二次定期报告，编写的报告在总体上符合委员会的准则。委员会特别表示赞赏缔约国在报告中单独列出了一章，对委员会在</w:t>
      </w:r>
      <w:r>
        <w:rPr>
          <w:rFonts w:hint="eastAsia"/>
        </w:rPr>
        <w:t>1999</w:t>
      </w:r>
      <w:r>
        <w:rPr>
          <w:rFonts w:hint="eastAsia"/>
        </w:rPr>
        <w:t>年通过的有关缔约国初次报告的结论性意见采取的后续行动做了说明。</w:t>
      </w:r>
    </w:p>
    <w:p w:rsidR="00000000" w:rsidRDefault="00000000">
      <w:pPr>
        <w:spacing w:after="320"/>
        <w:rPr>
          <w:rFonts w:hint="eastAsia"/>
        </w:rPr>
      </w:pPr>
      <w:r>
        <w:rPr>
          <w:rFonts w:hint="eastAsia"/>
        </w:rPr>
        <w:tab/>
        <w:t xml:space="preserve">3.  </w:t>
      </w:r>
      <w:r>
        <w:rPr>
          <w:rFonts w:hint="eastAsia"/>
        </w:rPr>
        <w:t>委员会欢迎与代表团进行的建设性对话，代表团中包括了大批在《公约》规定的有关问题上熟悉情况的政府官员。</w:t>
      </w:r>
    </w:p>
    <w:p w:rsidR="00000000" w:rsidRDefault="00000000">
      <w:pPr>
        <w:pStyle w:val="Heading3"/>
        <w:rPr>
          <w:rFonts w:hint="eastAsia"/>
        </w:rPr>
      </w:pPr>
      <w:r>
        <w:rPr>
          <w:rFonts w:hint="eastAsia"/>
          <w:u w:val="none"/>
        </w:rPr>
        <w:t>B</w:t>
      </w:r>
      <w:r>
        <w:rPr>
          <w:u w:val="none"/>
        </w:rPr>
        <w:t>.</w:t>
      </w:r>
      <w:r>
        <w:rPr>
          <w:rFonts w:hint="eastAsia"/>
          <w:u w:val="none"/>
        </w:rPr>
        <w:t xml:space="preserve">  </w:t>
      </w:r>
      <w:r>
        <w:rPr>
          <w:rFonts w:hint="eastAsia"/>
        </w:rPr>
        <w:t>积极方面</w:t>
      </w:r>
    </w:p>
    <w:p w:rsidR="00000000" w:rsidRDefault="00000000">
      <w:pPr>
        <w:rPr>
          <w:rFonts w:hint="eastAsia"/>
        </w:rPr>
      </w:pPr>
      <w:r>
        <w:rPr>
          <w:rFonts w:hint="eastAsia"/>
        </w:rPr>
        <w:tab/>
        <w:t xml:space="preserve">4.  </w:t>
      </w:r>
      <w:r>
        <w:rPr>
          <w:rFonts w:hint="eastAsia"/>
        </w:rPr>
        <w:t>委员会赞赏地注意到</w:t>
      </w:r>
      <w:r>
        <w:t>，</w:t>
      </w:r>
      <w:r>
        <w:rPr>
          <w:rFonts w:hint="eastAsia"/>
        </w:rPr>
        <w:t>缔约国在</w:t>
      </w:r>
      <w:r>
        <w:rPr>
          <w:rFonts w:hint="eastAsia"/>
        </w:rPr>
        <w:t>2000</w:t>
      </w:r>
      <w:r>
        <w:rPr>
          <w:rFonts w:hint="eastAsia"/>
        </w:rPr>
        <w:t>年</w:t>
      </w:r>
      <w:r>
        <w:rPr>
          <w:rFonts w:hint="eastAsia"/>
        </w:rPr>
        <w:t>11</w:t>
      </w:r>
      <w:r>
        <w:rPr>
          <w:rFonts w:hint="eastAsia"/>
        </w:rPr>
        <w:t>月批准了</w:t>
      </w:r>
      <w:r>
        <w:rPr>
          <w:rFonts w:hint="eastAsia"/>
        </w:rPr>
        <w:t>1996</w:t>
      </w:r>
      <w:r>
        <w:rPr>
          <w:rFonts w:hint="eastAsia"/>
        </w:rPr>
        <w:t>年修订的《欧洲社会宪章》和</w:t>
      </w:r>
      <w:r>
        <w:rPr>
          <w:rFonts w:hint="eastAsia"/>
        </w:rPr>
        <w:t>1995</w:t>
      </w:r>
      <w:r>
        <w:rPr>
          <w:rFonts w:hint="eastAsia"/>
        </w:rPr>
        <w:t>年的《欧洲社会宪章附加议定书》，以及在</w:t>
      </w:r>
      <w:r>
        <w:rPr>
          <w:rFonts w:hint="eastAsia"/>
        </w:rPr>
        <w:t>2000</w:t>
      </w:r>
      <w:r>
        <w:rPr>
          <w:rFonts w:hint="eastAsia"/>
        </w:rPr>
        <w:t>年</w:t>
      </w:r>
      <w:r>
        <w:rPr>
          <w:rFonts w:hint="eastAsia"/>
        </w:rPr>
        <w:t>12</w:t>
      </w:r>
      <w:r>
        <w:rPr>
          <w:rFonts w:hint="eastAsia"/>
        </w:rPr>
        <w:t>月批准了《消除一切形式种族歧视国际公约》。</w:t>
      </w:r>
    </w:p>
    <w:p w:rsidR="00000000" w:rsidRDefault="00000000">
      <w:pPr>
        <w:rPr>
          <w:rFonts w:hint="eastAsia"/>
        </w:rPr>
      </w:pPr>
      <w:r>
        <w:rPr>
          <w:rFonts w:hint="eastAsia"/>
        </w:rPr>
        <w:tab/>
        <w:t xml:space="preserve">5.  </w:t>
      </w:r>
      <w:r>
        <w:rPr>
          <w:rFonts w:hint="eastAsia"/>
        </w:rPr>
        <w:t>委员会赞赏地注意到，根据《就业平等法》</w:t>
      </w:r>
      <w:r>
        <w:rPr>
          <w:rFonts w:hint="eastAsia"/>
        </w:rPr>
        <w:t>(1998</w:t>
      </w:r>
      <w:r>
        <w:rPr>
          <w:rFonts w:hint="eastAsia"/>
        </w:rPr>
        <w:t>年</w:t>
      </w:r>
      <w:r>
        <w:rPr>
          <w:rFonts w:hint="eastAsia"/>
        </w:rPr>
        <w:t>)</w:t>
      </w:r>
      <w:r>
        <w:rPr>
          <w:rFonts w:hint="eastAsia"/>
        </w:rPr>
        <w:t>，在</w:t>
      </w:r>
      <w:r>
        <w:rPr>
          <w:rFonts w:hint="eastAsia"/>
        </w:rPr>
        <w:t>1999</w:t>
      </w:r>
      <w:r>
        <w:rPr>
          <w:rFonts w:hint="eastAsia"/>
        </w:rPr>
        <w:t>年</w:t>
      </w:r>
      <w:r>
        <w:rPr>
          <w:rFonts w:hint="eastAsia"/>
        </w:rPr>
        <w:t>10</w:t>
      </w:r>
      <w:r>
        <w:rPr>
          <w:rFonts w:hint="eastAsia"/>
        </w:rPr>
        <w:t>月成立了平等事务局，赞赏地注意到《平等地位法》在</w:t>
      </w:r>
      <w:r>
        <w:rPr>
          <w:rFonts w:hint="eastAsia"/>
        </w:rPr>
        <w:t>2000</w:t>
      </w:r>
      <w:r>
        <w:rPr>
          <w:rFonts w:hint="eastAsia"/>
        </w:rPr>
        <w:t>年</w:t>
      </w:r>
      <w:r>
        <w:rPr>
          <w:rFonts w:hint="eastAsia"/>
        </w:rPr>
        <w:t>10</w:t>
      </w:r>
      <w:r>
        <w:rPr>
          <w:rFonts w:hint="eastAsia"/>
        </w:rPr>
        <w:t>月生效。</w:t>
      </w:r>
    </w:p>
    <w:p w:rsidR="00000000" w:rsidRDefault="00000000">
      <w:pPr>
        <w:rPr>
          <w:rFonts w:hint="eastAsia"/>
        </w:rPr>
      </w:pPr>
      <w:r>
        <w:rPr>
          <w:rFonts w:hint="eastAsia"/>
        </w:rPr>
        <w:tab/>
        <w:t xml:space="preserve">6.  </w:t>
      </w:r>
      <w:r>
        <w:rPr>
          <w:rFonts w:hint="eastAsia"/>
        </w:rPr>
        <w:t>委员会称赞缔约国根据《人权委员会法》</w:t>
      </w:r>
      <w:r>
        <w:rPr>
          <w:rFonts w:hint="eastAsia"/>
        </w:rPr>
        <w:t>(2000</w:t>
      </w:r>
      <w:r>
        <w:rPr>
          <w:rFonts w:hint="eastAsia"/>
        </w:rPr>
        <w:t>年</w:t>
      </w:r>
      <w:r>
        <w:rPr>
          <w:rFonts w:hint="eastAsia"/>
        </w:rPr>
        <w:t>)</w:t>
      </w:r>
      <w:r>
        <w:rPr>
          <w:rFonts w:hint="eastAsia"/>
        </w:rPr>
        <w:t>，成立了人权委员会。</w:t>
      </w:r>
    </w:p>
    <w:p w:rsidR="00000000" w:rsidRDefault="00000000">
      <w:pPr>
        <w:rPr>
          <w:rFonts w:hint="eastAsia"/>
        </w:rPr>
      </w:pPr>
      <w:r>
        <w:rPr>
          <w:rFonts w:hint="eastAsia"/>
        </w:rPr>
        <w:tab/>
        <w:t xml:space="preserve">7.  </w:t>
      </w:r>
      <w:r>
        <w:rPr>
          <w:rFonts w:hint="eastAsia"/>
        </w:rPr>
        <w:t>委员会还称赞缔约国采取了立法措施，制止家庭暴力行为，根除学校中的体罚现象。</w:t>
      </w:r>
    </w:p>
    <w:p w:rsidR="00000000" w:rsidRDefault="00000000">
      <w:pPr>
        <w:rPr>
          <w:rFonts w:hint="eastAsia"/>
        </w:rPr>
      </w:pPr>
      <w:r>
        <w:rPr>
          <w:rFonts w:hint="eastAsia"/>
        </w:rPr>
        <w:tab/>
        <w:t xml:space="preserve">8.  </w:t>
      </w:r>
      <w:r>
        <w:rPr>
          <w:rFonts w:hint="eastAsia"/>
        </w:rPr>
        <w:t>委员会赞赏地注意到，自审议缔约国的初次报告以来，失业率持续下降，即从</w:t>
      </w:r>
      <w:r>
        <w:rPr>
          <w:rFonts w:hint="eastAsia"/>
        </w:rPr>
        <w:t>1999</w:t>
      </w:r>
      <w:r>
        <w:rPr>
          <w:rFonts w:hint="eastAsia"/>
        </w:rPr>
        <w:t>年的</w:t>
      </w:r>
      <w:r>
        <w:rPr>
          <w:rFonts w:hint="eastAsia"/>
        </w:rPr>
        <w:t>6%</w:t>
      </w:r>
      <w:r>
        <w:rPr>
          <w:rFonts w:hint="eastAsia"/>
        </w:rPr>
        <w:t>下降到</w:t>
      </w:r>
      <w:r>
        <w:rPr>
          <w:rFonts w:hint="eastAsia"/>
        </w:rPr>
        <w:t>2001</w:t>
      </w:r>
      <w:r>
        <w:rPr>
          <w:rFonts w:hint="eastAsia"/>
        </w:rPr>
        <w:t>年的</w:t>
      </w:r>
      <w:r>
        <w:rPr>
          <w:rFonts w:hint="eastAsia"/>
        </w:rPr>
        <w:t>4.3%</w:t>
      </w:r>
      <w:r>
        <w:rPr>
          <w:rFonts w:hint="eastAsia"/>
        </w:rPr>
        <w:t>，特别是长期失业率的大幅度下降，从</w:t>
      </w:r>
      <w:r>
        <w:rPr>
          <w:rFonts w:hint="eastAsia"/>
        </w:rPr>
        <w:t>1996</w:t>
      </w:r>
      <w:r>
        <w:rPr>
          <w:rFonts w:hint="eastAsia"/>
        </w:rPr>
        <w:t>年的</w:t>
      </w:r>
      <w:r>
        <w:rPr>
          <w:rFonts w:hint="eastAsia"/>
        </w:rPr>
        <w:t>9%</w:t>
      </w:r>
      <w:r>
        <w:rPr>
          <w:rFonts w:hint="eastAsia"/>
        </w:rPr>
        <w:t>以上，下降到</w:t>
      </w:r>
      <w:r>
        <w:rPr>
          <w:rFonts w:hint="eastAsia"/>
        </w:rPr>
        <w:t>2001</w:t>
      </w:r>
      <w:r>
        <w:rPr>
          <w:rFonts w:hint="eastAsia"/>
        </w:rPr>
        <w:t>年的</w:t>
      </w:r>
      <w:r>
        <w:rPr>
          <w:rFonts w:hint="eastAsia"/>
        </w:rPr>
        <w:t>1.2%</w:t>
      </w:r>
      <w:r>
        <w:rPr>
          <w:rFonts w:hint="eastAsia"/>
        </w:rPr>
        <w:t>。</w:t>
      </w:r>
    </w:p>
    <w:p w:rsidR="00000000" w:rsidRDefault="00000000">
      <w:pPr>
        <w:rPr>
          <w:rFonts w:hint="eastAsia"/>
        </w:rPr>
      </w:pPr>
      <w:r>
        <w:rPr>
          <w:rFonts w:hint="eastAsia"/>
        </w:rPr>
        <w:tab/>
        <w:t xml:space="preserve">9.  </w:t>
      </w:r>
      <w:r>
        <w:rPr>
          <w:rFonts w:hint="eastAsia"/>
        </w:rPr>
        <w:t>委员会欢迎从</w:t>
      </w:r>
      <w:r>
        <w:rPr>
          <w:rFonts w:hint="eastAsia"/>
        </w:rPr>
        <w:t>2000</w:t>
      </w:r>
      <w:r>
        <w:rPr>
          <w:rFonts w:hint="eastAsia"/>
        </w:rPr>
        <w:t>年</w:t>
      </w:r>
      <w:r>
        <w:rPr>
          <w:rFonts w:hint="eastAsia"/>
        </w:rPr>
        <w:t>4</w:t>
      </w:r>
      <w:r>
        <w:rPr>
          <w:rFonts w:hint="eastAsia"/>
        </w:rPr>
        <w:t>月起实行最低工资制。</w:t>
      </w:r>
    </w:p>
    <w:p w:rsidR="00000000" w:rsidRDefault="00000000">
      <w:pPr>
        <w:spacing w:after="320"/>
        <w:rPr>
          <w:rFonts w:hint="eastAsia"/>
        </w:rPr>
      </w:pPr>
      <w:r>
        <w:rPr>
          <w:rFonts w:hint="eastAsia"/>
        </w:rPr>
        <w:tab/>
        <w:t xml:space="preserve">10.  </w:t>
      </w:r>
      <w:r>
        <w:rPr>
          <w:rFonts w:hint="eastAsia"/>
        </w:rPr>
        <w:t>委员会还欢迎缔约国根据在“建立一个包容性社会”</w:t>
      </w:r>
      <w:r>
        <w:rPr>
          <w:rFonts w:hint="eastAsia"/>
        </w:rPr>
        <w:t>(2002</w:t>
      </w:r>
      <w:r>
        <w:rPr>
          <w:rFonts w:hint="eastAsia"/>
        </w:rPr>
        <w:t>年</w:t>
      </w:r>
      <w:r>
        <w:rPr>
          <w:rFonts w:hint="eastAsia"/>
        </w:rPr>
        <w:t>2</w:t>
      </w:r>
      <w:r>
        <w:rPr>
          <w:rFonts w:hint="eastAsia"/>
        </w:rPr>
        <w:t>月</w:t>
      </w:r>
      <w:r>
        <w:rPr>
          <w:rFonts w:hint="eastAsia"/>
        </w:rPr>
        <w:t>)</w:t>
      </w:r>
      <w:r>
        <w:rPr>
          <w:rFonts w:hint="eastAsia"/>
        </w:rPr>
        <w:t>中提出的要求，修订了“国家除贫战略”</w:t>
      </w:r>
      <w:r>
        <w:rPr>
          <w:rFonts w:hint="eastAsia"/>
        </w:rPr>
        <w:t>(</w:t>
      </w:r>
      <w:r>
        <w:t>N</w:t>
      </w:r>
      <w:r>
        <w:rPr>
          <w:rFonts w:hint="eastAsia"/>
        </w:rPr>
        <w:t>APS)</w:t>
      </w:r>
      <w:r>
        <w:rPr>
          <w:rFonts w:hint="eastAsia"/>
        </w:rPr>
        <w:t>。</w:t>
      </w:r>
    </w:p>
    <w:p w:rsidR="00000000" w:rsidRDefault="00000000">
      <w:pPr>
        <w:pStyle w:val="Heading3"/>
        <w:rPr>
          <w:rFonts w:hint="eastAsia"/>
        </w:rPr>
      </w:pPr>
      <w:r>
        <w:rPr>
          <w:rFonts w:hint="eastAsia"/>
          <w:u w:val="none"/>
        </w:rPr>
        <w:tab/>
        <w:t>C</w:t>
      </w:r>
      <w:r>
        <w:rPr>
          <w:u w:val="none"/>
        </w:rPr>
        <w:t>.</w:t>
      </w:r>
      <w:r>
        <w:rPr>
          <w:rFonts w:hint="eastAsia"/>
          <w:u w:val="none"/>
        </w:rPr>
        <w:t xml:space="preserve">  </w:t>
      </w:r>
      <w:r>
        <w:rPr>
          <w:rFonts w:hint="eastAsia"/>
        </w:rPr>
        <w:t>妨碍执行《公约》的因素和困难</w:t>
      </w:r>
    </w:p>
    <w:p w:rsidR="00000000" w:rsidRDefault="00000000">
      <w:pPr>
        <w:spacing w:after="320"/>
        <w:rPr>
          <w:rFonts w:hint="eastAsia"/>
        </w:rPr>
      </w:pPr>
      <w:r>
        <w:rPr>
          <w:rFonts w:hint="eastAsia"/>
        </w:rPr>
        <w:tab/>
        <w:t xml:space="preserve">11.  </w:t>
      </w:r>
      <w:r>
        <w:rPr>
          <w:rFonts w:hint="eastAsia"/>
        </w:rPr>
        <w:t>委员会注意到缔约国目前有利的经济状况，认为没有任何难以克服的因素和困难，妨碍缔约国有效执行《公约》。</w:t>
      </w:r>
    </w:p>
    <w:p w:rsidR="00000000" w:rsidRDefault="00000000">
      <w:pPr>
        <w:pStyle w:val="Heading3"/>
        <w:rPr>
          <w:rFonts w:hint="eastAsia"/>
        </w:rPr>
      </w:pPr>
      <w:r>
        <w:rPr>
          <w:rFonts w:hint="eastAsia"/>
          <w:u w:val="none"/>
        </w:rPr>
        <w:t>D</w:t>
      </w:r>
      <w:r>
        <w:rPr>
          <w:u w:val="none"/>
        </w:rPr>
        <w:t>.</w:t>
      </w:r>
      <w:r>
        <w:rPr>
          <w:rFonts w:hint="eastAsia"/>
          <w:u w:val="none"/>
        </w:rPr>
        <w:t xml:space="preserve">  </w:t>
      </w:r>
      <w:r>
        <w:rPr>
          <w:rFonts w:hint="eastAsia"/>
        </w:rPr>
        <w:t>主要关注问题</w:t>
      </w:r>
    </w:p>
    <w:p w:rsidR="00000000" w:rsidRDefault="00000000">
      <w:pPr>
        <w:rPr>
          <w:rFonts w:hint="eastAsia"/>
        </w:rPr>
      </w:pPr>
      <w:r>
        <w:rPr>
          <w:rFonts w:hint="eastAsia"/>
        </w:rPr>
        <w:tab/>
        <w:t xml:space="preserve">12.  </w:t>
      </w:r>
      <w:r>
        <w:rPr>
          <w:rFonts w:hint="eastAsia"/>
        </w:rPr>
        <w:t>委员会遗憾地指出，尽管委员会曾在</w:t>
      </w:r>
      <w:r>
        <w:rPr>
          <w:rFonts w:hint="eastAsia"/>
        </w:rPr>
        <w:t>1999</w:t>
      </w:r>
      <w:r>
        <w:rPr>
          <w:rFonts w:hint="eastAsia"/>
        </w:rPr>
        <w:t>年提出建议，但缔约国却没有采取行动，将《公约》收入或反映进国内立法，也未能提供有关案例法的资料，表明法院曾援引《公约》及《公约》中所载的权利。</w:t>
      </w:r>
    </w:p>
    <w:p w:rsidR="00000000" w:rsidRDefault="00000000">
      <w:pPr>
        <w:rPr>
          <w:rFonts w:hint="eastAsia"/>
        </w:rPr>
      </w:pPr>
      <w:r>
        <w:rPr>
          <w:rFonts w:hint="eastAsia"/>
        </w:rPr>
        <w:tab/>
        <w:t xml:space="preserve">13.  </w:t>
      </w:r>
      <w:r>
        <w:rPr>
          <w:rFonts w:hint="eastAsia"/>
        </w:rPr>
        <w:t>委员会感到关注的是，根据《人权委员会法》</w:t>
      </w:r>
      <w:r>
        <w:rPr>
          <w:rFonts w:hint="eastAsia"/>
        </w:rPr>
        <w:t>(2000</w:t>
      </w:r>
      <w:r>
        <w:rPr>
          <w:rFonts w:hint="eastAsia"/>
        </w:rPr>
        <w:t>年</w:t>
      </w:r>
      <w:r>
        <w:rPr>
          <w:rFonts w:hint="eastAsia"/>
        </w:rPr>
        <w:t>)</w:t>
      </w:r>
      <w:r>
        <w:rPr>
          <w:rFonts w:hint="eastAsia"/>
        </w:rPr>
        <w:t>成立的人权委员会尚未开始活动。</w:t>
      </w:r>
    </w:p>
    <w:p w:rsidR="00000000" w:rsidRDefault="00000000">
      <w:pPr>
        <w:rPr>
          <w:rFonts w:hint="eastAsia"/>
        </w:rPr>
      </w:pPr>
      <w:r>
        <w:rPr>
          <w:rFonts w:hint="eastAsia"/>
        </w:rPr>
        <w:tab/>
        <w:t xml:space="preserve">14.  </w:t>
      </w:r>
      <w:r>
        <w:rPr>
          <w:rFonts w:hint="eastAsia"/>
        </w:rPr>
        <w:t>委员会感到遗憾的是，《残疾人法案》并没有像委员会在以前的结论性意见中建议的那样，采取基于人权的方针。此外，委员会感到遗憾的是，《残疾人法案》第</w:t>
      </w:r>
      <w:r>
        <w:rPr>
          <w:rFonts w:hint="eastAsia"/>
        </w:rPr>
        <w:t>47</w:t>
      </w:r>
      <w:r>
        <w:rPr>
          <w:rFonts w:hint="eastAsia"/>
        </w:rPr>
        <w:t>节载有一条规定，企图取消残疾人在“法案”的任何规定得不到执行的情况下，寻求司法补救的权利。</w:t>
      </w:r>
    </w:p>
    <w:p w:rsidR="00000000" w:rsidRDefault="00000000">
      <w:pPr>
        <w:rPr>
          <w:rFonts w:hint="eastAsia"/>
        </w:rPr>
      </w:pPr>
      <w:r>
        <w:rPr>
          <w:rFonts w:hint="eastAsia"/>
        </w:rPr>
        <w:tab/>
        <w:t xml:space="preserve">15.  </w:t>
      </w:r>
      <w:r>
        <w:rPr>
          <w:rFonts w:hint="eastAsia"/>
        </w:rPr>
        <w:t>委员会对患有身体和精神残疾的人继续受到歧视感到关注，特别是在就业、社会安全福利、教育和卫生等领域。委员会特别感到关注的是，残疾人，包括在残疾人福利工厂工作的人，不享有雇员的地位，从而也无资格享有最低工资安排；而如果他们确实享受了最低工资安排，则又可能失去获得免费医疗的权利。</w:t>
      </w:r>
    </w:p>
    <w:p w:rsidR="00000000" w:rsidRDefault="00000000">
      <w:pPr>
        <w:rPr>
          <w:rFonts w:hint="eastAsia"/>
        </w:rPr>
      </w:pPr>
      <w:r>
        <w:rPr>
          <w:rFonts w:hint="eastAsia"/>
        </w:rPr>
        <w:tab/>
        <w:t xml:space="preserve">16.  </w:t>
      </w:r>
      <w:r>
        <w:rPr>
          <w:rFonts w:hint="eastAsia"/>
        </w:rPr>
        <w:t>委员会感到遗憾的是，对委员会</w:t>
      </w:r>
      <w:r>
        <w:rPr>
          <w:rFonts w:hint="eastAsia"/>
        </w:rPr>
        <w:t>1999</w:t>
      </w:r>
      <w:r>
        <w:rPr>
          <w:rFonts w:hint="eastAsia"/>
        </w:rPr>
        <w:t>年的一项建议，缔约国尚未采取任何措施，即《宪法》有关法律面前人人平等的第</w:t>
      </w:r>
      <w:r>
        <w:rPr>
          <w:rFonts w:hint="eastAsia"/>
        </w:rPr>
        <w:t>40.1</w:t>
      </w:r>
      <w:r>
        <w:rPr>
          <w:rFonts w:hint="eastAsia"/>
        </w:rPr>
        <w:t>条与《公约》第</w:t>
      </w:r>
      <w:r>
        <w:rPr>
          <w:rFonts w:hint="eastAsia"/>
        </w:rPr>
        <w:t>2</w:t>
      </w:r>
      <w:r>
        <w:rPr>
          <w:rFonts w:hint="eastAsia"/>
        </w:rPr>
        <w:t>和第</w:t>
      </w:r>
      <w:r>
        <w:rPr>
          <w:rFonts w:hint="eastAsia"/>
        </w:rPr>
        <w:t>3</w:t>
      </w:r>
      <w:r>
        <w:rPr>
          <w:rFonts w:hint="eastAsia"/>
        </w:rPr>
        <w:t>条提出的不歧视原则不一致的问题。</w:t>
      </w:r>
    </w:p>
    <w:p w:rsidR="00000000" w:rsidRDefault="00000000">
      <w:pPr>
        <w:rPr>
          <w:rFonts w:hint="eastAsia"/>
        </w:rPr>
      </w:pPr>
      <w:r>
        <w:rPr>
          <w:rFonts w:hint="eastAsia"/>
        </w:rPr>
        <w:tab/>
        <w:t xml:space="preserve">17.  </w:t>
      </w:r>
      <w:r>
        <w:rPr>
          <w:rFonts w:hint="eastAsia"/>
        </w:rPr>
        <w:t>在《公约》第</w:t>
      </w:r>
      <w:r>
        <w:rPr>
          <w:rFonts w:hint="eastAsia"/>
        </w:rPr>
        <w:t>7</w:t>
      </w:r>
      <w:r>
        <w:rPr>
          <w:rFonts w:hint="eastAsia"/>
        </w:rPr>
        <w:t>、第</w:t>
      </w:r>
      <w:r>
        <w:rPr>
          <w:rFonts w:hint="eastAsia"/>
        </w:rPr>
        <w:t>9</w:t>
      </w:r>
      <w:r>
        <w:rPr>
          <w:rFonts w:hint="eastAsia"/>
        </w:rPr>
        <w:t>和第</w:t>
      </w:r>
      <w:r>
        <w:rPr>
          <w:rFonts w:hint="eastAsia"/>
        </w:rPr>
        <w:t>11</w:t>
      </w:r>
      <w:r>
        <w:rPr>
          <w:rFonts w:hint="eastAsia"/>
        </w:rPr>
        <w:t>条规定的义务方面，委员会对缔约国制定的最低工资和福利津贴水平不足感到关注。</w:t>
      </w:r>
    </w:p>
    <w:p w:rsidR="00000000" w:rsidRDefault="00000000">
      <w:pPr>
        <w:rPr>
          <w:rFonts w:hint="eastAsia"/>
        </w:rPr>
      </w:pPr>
      <w:r>
        <w:rPr>
          <w:rFonts w:hint="eastAsia"/>
        </w:rPr>
        <w:tab/>
        <w:t xml:space="preserve">18.  </w:t>
      </w:r>
      <w:r>
        <w:rPr>
          <w:rFonts w:hint="eastAsia"/>
        </w:rPr>
        <w:t>委员会感到关注的是，尽管委员会已在</w:t>
      </w:r>
      <w:r>
        <w:rPr>
          <w:rFonts w:hint="eastAsia"/>
        </w:rPr>
        <w:t>1999</w:t>
      </w:r>
      <w:r>
        <w:rPr>
          <w:rFonts w:hint="eastAsia"/>
        </w:rPr>
        <w:t>年提出意见</w:t>
      </w:r>
      <w:r>
        <w:rPr>
          <w:rFonts w:hint="eastAsia"/>
        </w:rPr>
        <w:t>(</w:t>
      </w:r>
      <w:r>
        <w:rPr>
          <w:rFonts w:hint="eastAsia"/>
        </w:rPr>
        <w:t>第</w:t>
      </w:r>
      <w:r>
        <w:rPr>
          <w:rFonts w:hint="eastAsia"/>
        </w:rPr>
        <w:t>19</w:t>
      </w:r>
      <w:r>
        <w:rPr>
          <w:rFonts w:hint="eastAsia"/>
        </w:rPr>
        <w:t>段</w:t>
      </w:r>
      <w:r>
        <w:rPr>
          <w:rFonts w:hint="eastAsia"/>
        </w:rPr>
        <w:t>)</w:t>
      </w:r>
      <w:r>
        <w:rPr>
          <w:rFonts w:hint="eastAsia"/>
        </w:rPr>
        <w:t>，但缔约国对允许工会进行集体谈判继续设置障碍，未经批准的工会会员参加罢工行动，有可能受到解雇。</w:t>
      </w:r>
    </w:p>
    <w:p w:rsidR="00000000" w:rsidRDefault="00000000">
      <w:pPr>
        <w:rPr>
          <w:rFonts w:hint="eastAsia"/>
        </w:rPr>
      </w:pPr>
      <w:r>
        <w:rPr>
          <w:rFonts w:hint="eastAsia"/>
        </w:rPr>
        <w:tab/>
        <w:t xml:space="preserve">19.  </w:t>
      </w:r>
      <w:r>
        <w:rPr>
          <w:rFonts w:hint="eastAsia"/>
        </w:rPr>
        <w:t>委员会感到关注的是，尽管委员会在</w:t>
      </w:r>
      <w:r>
        <w:rPr>
          <w:rFonts w:hint="eastAsia"/>
        </w:rPr>
        <w:t>1999</w:t>
      </w:r>
      <w:r>
        <w:rPr>
          <w:rFonts w:hint="eastAsia"/>
        </w:rPr>
        <w:t>年提出了建议</w:t>
      </w:r>
      <w:r>
        <w:rPr>
          <w:rFonts w:hint="eastAsia"/>
        </w:rPr>
        <w:t>(</w:t>
      </w:r>
      <w:r>
        <w:rPr>
          <w:rFonts w:hint="eastAsia"/>
        </w:rPr>
        <w:t>第</w:t>
      </w:r>
      <w:r>
        <w:rPr>
          <w:rFonts w:hint="eastAsia"/>
        </w:rPr>
        <w:t>12</w:t>
      </w:r>
      <w:r>
        <w:rPr>
          <w:rFonts w:hint="eastAsia"/>
        </w:rPr>
        <w:t>段</w:t>
      </w:r>
      <w:r>
        <w:rPr>
          <w:rFonts w:hint="eastAsia"/>
        </w:rPr>
        <w:t>)</w:t>
      </w:r>
      <w:r>
        <w:rPr>
          <w:rFonts w:hint="eastAsia"/>
        </w:rPr>
        <w:t>，但缔约国仍未对国家除贫战略采取基于人权的方针。</w:t>
      </w:r>
    </w:p>
    <w:p w:rsidR="00000000" w:rsidRDefault="00000000">
      <w:pPr>
        <w:rPr>
          <w:rFonts w:hint="eastAsia"/>
        </w:rPr>
      </w:pPr>
      <w:r>
        <w:rPr>
          <w:rFonts w:hint="eastAsia"/>
        </w:rPr>
        <w:tab/>
        <w:t xml:space="preserve">20.  </w:t>
      </w:r>
      <w:r>
        <w:rPr>
          <w:rFonts w:hint="eastAsia"/>
        </w:rPr>
        <w:t>委员会感到关注的是：</w:t>
      </w:r>
      <w:r>
        <w:t>(a)</w:t>
      </w:r>
      <w:r>
        <w:rPr>
          <w:rFonts w:hint="eastAsia"/>
        </w:rPr>
        <w:t xml:space="preserve"> </w:t>
      </w:r>
      <w:r>
        <w:rPr>
          <w:rFonts w:hint="eastAsia"/>
        </w:rPr>
        <w:t>很多新的家庭得不到适足和能够支付的住房。和</w:t>
      </w:r>
      <w:r>
        <w:t>(b)</w:t>
      </w:r>
      <w:r>
        <w:rPr>
          <w:rFonts w:hint="eastAsia"/>
        </w:rPr>
        <w:t xml:space="preserve"> </w:t>
      </w:r>
      <w:r>
        <w:rPr>
          <w:rFonts w:hint="eastAsia"/>
        </w:rPr>
        <w:t>大约有</w:t>
      </w:r>
      <w:r>
        <w:rPr>
          <w:rFonts w:hint="eastAsia"/>
        </w:rPr>
        <w:t>1,200</w:t>
      </w:r>
      <w:r>
        <w:rPr>
          <w:rFonts w:hint="eastAsia"/>
        </w:rPr>
        <w:t>个吉普赛人家庭仍生活在路旁的帐篷里，得不到饮水和适当的卫生设施，并有可能受到强迫驱逐。</w:t>
      </w:r>
    </w:p>
    <w:p w:rsidR="00000000" w:rsidRDefault="00000000">
      <w:pPr>
        <w:rPr>
          <w:rFonts w:hint="eastAsia"/>
        </w:rPr>
      </w:pPr>
      <w:r>
        <w:rPr>
          <w:rFonts w:hint="eastAsia"/>
        </w:rPr>
        <w:tab/>
        <w:t xml:space="preserve">21.  </w:t>
      </w:r>
      <w:r>
        <w:rPr>
          <w:rFonts w:hint="eastAsia"/>
        </w:rPr>
        <w:t>委员会感到关注，一大批智力残疾的人，他们的健康状况本可允许他们生活在社区，但却被收容在精神病医院，与患有精神病或精神问题的人住在一起，尽管缔约国已作出努力，将他们转移到较为合适的医疗环境。</w:t>
      </w:r>
    </w:p>
    <w:p w:rsidR="00000000" w:rsidRDefault="00000000">
      <w:pPr>
        <w:spacing w:after="320"/>
        <w:rPr>
          <w:rFonts w:hint="eastAsia"/>
        </w:rPr>
      </w:pPr>
      <w:r>
        <w:rPr>
          <w:rFonts w:hint="eastAsia"/>
        </w:rPr>
        <w:tab/>
        <w:t xml:space="preserve">22.  </w:t>
      </w:r>
      <w:r>
        <w:rPr>
          <w:rFonts w:hint="eastAsia"/>
        </w:rPr>
        <w:t>委员会遗憾地注意到，委员会有关健康权的第</w:t>
      </w:r>
      <w:r>
        <w:rPr>
          <w:rFonts w:hint="eastAsia"/>
        </w:rPr>
        <w:t>14</w:t>
      </w:r>
      <w:r>
        <w:rPr>
          <w:rFonts w:hint="eastAsia"/>
        </w:rPr>
        <w:t>号一般性意见第</w:t>
      </w:r>
      <w:r>
        <w:rPr>
          <w:rFonts w:hint="eastAsia"/>
        </w:rPr>
        <w:t>54</w:t>
      </w:r>
      <w:r>
        <w:rPr>
          <w:rFonts w:hint="eastAsia"/>
        </w:rPr>
        <w:t>段中提出的在获得卫生设施和服务方面不歧视和平等的原则，包括这项原则和其他原则在内的人权框架，并未收入最近发表的“国家卫生战略”。委员会还感到遗憾的是，缔约国未能对参加国家和私营机构保险的病人，对他们在公立医院接受治疗，实行统一的等候排名办法。</w:t>
      </w:r>
    </w:p>
    <w:p w:rsidR="00000000" w:rsidRDefault="00000000">
      <w:pPr>
        <w:pStyle w:val="Heading3"/>
        <w:rPr>
          <w:rFonts w:hint="eastAsia"/>
        </w:rPr>
      </w:pPr>
      <w:r>
        <w:rPr>
          <w:rFonts w:hint="eastAsia"/>
          <w:u w:val="none"/>
        </w:rPr>
        <w:t>E</w:t>
      </w:r>
      <w:r>
        <w:rPr>
          <w:u w:val="none"/>
        </w:rPr>
        <w:t>.</w:t>
      </w:r>
      <w:r>
        <w:rPr>
          <w:rFonts w:hint="eastAsia"/>
          <w:u w:val="none"/>
        </w:rPr>
        <w:t xml:space="preserve">  </w:t>
      </w:r>
      <w:r>
        <w:rPr>
          <w:rFonts w:hint="eastAsia"/>
        </w:rPr>
        <w:t>意见和建议</w:t>
      </w:r>
    </w:p>
    <w:p w:rsidR="00000000" w:rsidRDefault="00000000">
      <w:pPr>
        <w:rPr>
          <w:rFonts w:hint="eastAsia"/>
        </w:rPr>
      </w:pPr>
      <w:r>
        <w:rPr>
          <w:rFonts w:hint="eastAsia"/>
        </w:rPr>
        <w:tab/>
        <w:t xml:space="preserve">23.  </w:t>
      </w:r>
      <w:r>
        <w:rPr>
          <w:rFonts w:hint="eastAsia"/>
        </w:rPr>
        <w:t>委员会申明，所有经济、社会和文化权利都是可以受理的，重申委员会先前的建议</w:t>
      </w:r>
      <w:r>
        <w:rPr>
          <w:rFonts w:hint="eastAsia"/>
        </w:rPr>
        <w:t>(</w:t>
      </w:r>
      <w:r>
        <w:rPr>
          <w:rFonts w:hint="eastAsia"/>
        </w:rPr>
        <w:t>见委员会</w:t>
      </w:r>
      <w:r>
        <w:rPr>
          <w:rFonts w:hint="eastAsia"/>
        </w:rPr>
        <w:t>1999</w:t>
      </w:r>
      <w:r>
        <w:rPr>
          <w:rFonts w:hint="eastAsia"/>
        </w:rPr>
        <w:t>年结论性意见第</w:t>
      </w:r>
      <w:r>
        <w:rPr>
          <w:rFonts w:hint="eastAsia"/>
        </w:rPr>
        <w:t>22</w:t>
      </w:r>
      <w:r>
        <w:rPr>
          <w:rFonts w:hint="eastAsia"/>
        </w:rPr>
        <w:t>段</w:t>
      </w:r>
      <w:r>
        <w:rPr>
          <w:rFonts w:hint="eastAsia"/>
        </w:rPr>
        <w:t>)</w:t>
      </w:r>
      <w:r>
        <w:rPr>
          <w:rFonts w:hint="eastAsia"/>
        </w:rPr>
        <w:t>，积极建议缔约国在拟议的《宪法》修正案中以及在其他国内立法中，收入经济、社会和文化权利。委员会指出，不论在批准一项国际文书后国际法是通过什么制度结合进本国法律制度的</w:t>
      </w:r>
      <w:r>
        <w:rPr>
          <w:rFonts w:hint="eastAsia"/>
        </w:rPr>
        <w:t>(</w:t>
      </w:r>
      <w:r>
        <w:rPr>
          <w:rFonts w:hint="eastAsia"/>
        </w:rPr>
        <w:t>一元论或二元论</w:t>
      </w:r>
      <w:r>
        <w:rPr>
          <w:rFonts w:hint="eastAsia"/>
        </w:rPr>
        <w:t>)</w:t>
      </w:r>
      <w:r>
        <w:rPr>
          <w:rFonts w:hint="eastAsia"/>
        </w:rPr>
        <w:t>，缔约国都有义务遵守国际法，并在国内法律制度中使之全面生效。在这方面，委员会愿提请缔约国注意委员会关于在国内实施《公约》的第</w:t>
      </w:r>
      <w:r>
        <w:rPr>
          <w:rFonts w:hint="eastAsia"/>
        </w:rPr>
        <w:t>9</w:t>
      </w:r>
      <w:r>
        <w:rPr>
          <w:rFonts w:hint="eastAsia"/>
        </w:rPr>
        <w:t>号一般性意见。</w:t>
      </w:r>
    </w:p>
    <w:p w:rsidR="00000000" w:rsidRDefault="00000000">
      <w:pPr>
        <w:rPr>
          <w:rFonts w:hint="eastAsia"/>
        </w:rPr>
      </w:pPr>
      <w:r>
        <w:rPr>
          <w:rFonts w:hint="eastAsia"/>
        </w:rPr>
        <w:tab/>
        <w:t xml:space="preserve">24.  </w:t>
      </w:r>
      <w:r>
        <w:rPr>
          <w:rFonts w:hint="eastAsia"/>
        </w:rPr>
        <w:t>委员会请缔约国在它的下一次定期报告中，说明人权委员会为促进经济、社会和文化权利采取的措施。</w:t>
      </w:r>
    </w:p>
    <w:p w:rsidR="00000000" w:rsidRDefault="00000000">
      <w:pPr>
        <w:rPr>
          <w:rFonts w:hint="eastAsia"/>
        </w:rPr>
      </w:pPr>
      <w:r>
        <w:rPr>
          <w:rFonts w:hint="eastAsia"/>
        </w:rPr>
        <w:tab/>
        <w:t xml:space="preserve">25.  </w:t>
      </w:r>
      <w:r>
        <w:rPr>
          <w:rFonts w:hint="eastAsia"/>
        </w:rPr>
        <w:t>委员会积极建议缔约国在《残疾人法案》上采取基于人权的方针。具体而言，委员会建议删除《残疾人法案》第</w:t>
      </w:r>
      <w:r>
        <w:rPr>
          <w:rFonts w:hint="eastAsia"/>
        </w:rPr>
        <w:t>47</w:t>
      </w:r>
      <w:r>
        <w:rPr>
          <w:rFonts w:hint="eastAsia"/>
        </w:rPr>
        <w:t>节的一个条款，该条旨在剥夺残疾人享有获得司法补救的权利。</w:t>
      </w:r>
    </w:p>
    <w:p w:rsidR="00000000" w:rsidRDefault="00000000">
      <w:pPr>
        <w:rPr>
          <w:rFonts w:hint="eastAsia"/>
        </w:rPr>
      </w:pPr>
      <w:r>
        <w:rPr>
          <w:rFonts w:hint="eastAsia"/>
        </w:rPr>
        <w:tab/>
        <w:t xml:space="preserve">26.  </w:t>
      </w:r>
      <w:r>
        <w:rPr>
          <w:rFonts w:hint="eastAsia"/>
        </w:rPr>
        <w:t>委员会建议，缔约国尽快开展并完成对残疾人福利工厂的全面审查，考虑采取立法或其他措施，使残疾人既能享有完全的就业地位，又能保留享受免费医疗的权利。</w:t>
      </w:r>
    </w:p>
    <w:p w:rsidR="00000000" w:rsidRDefault="00000000">
      <w:pPr>
        <w:rPr>
          <w:rFonts w:hint="eastAsia"/>
        </w:rPr>
      </w:pPr>
      <w:r>
        <w:rPr>
          <w:rFonts w:hint="eastAsia"/>
        </w:rPr>
        <w:tab/>
        <w:t xml:space="preserve">27.  </w:t>
      </w:r>
      <w:r>
        <w:rPr>
          <w:rFonts w:hint="eastAsia"/>
        </w:rPr>
        <w:t>委员会还建议，由各党派参加的议会委员会根据《公约》第</w:t>
      </w:r>
      <w:r>
        <w:rPr>
          <w:rFonts w:hint="eastAsia"/>
        </w:rPr>
        <w:t>2</w:t>
      </w:r>
      <w:r>
        <w:rPr>
          <w:rFonts w:hint="eastAsia"/>
        </w:rPr>
        <w:t>条第</w:t>
      </w:r>
      <w:r>
        <w:rPr>
          <w:rFonts w:hint="eastAsia"/>
        </w:rPr>
        <w:t>2</w:t>
      </w:r>
      <w:r>
        <w:rPr>
          <w:rFonts w:hint="eastAsia"/>
        </w:rPr>
        <w:t>款和第</w:t>
      </w:r>
      <w:r>
        <w:rPr>
          <w:rFonts w:hint="eastAsia"/>
        </w:rPr>
        <w:t>3</w:t>
      </w:r>
      <w:r>
        <w:rPr>
          <w:rFonts w:hint="eastAsia"/>
        </w:rPr>
        <w:t>条规定的不歧视原则，立即考虑修订《宪法》关于法律面前人人平等的第</w:t>
      </w:r>
      <w:r>
        <w:rPr>
          <w:rFonts w:hint="eastAsia"/>
        </w:rPr>
        <w:t>40</w:t>
      </w:r>
      <w:r>
        <w:rPr>
          <w:rFonts w:hint="eastAsia"/>
        </w:rPr>
        <w:t>条第</w:t>
      </w:r>
      <w:r>
        <w:rPr>
          <w:rFonts w:hint="eastAsia"/>
        </w:rPr>
        <w:t>1</w:t>
      </w:r>
      <w:r>
        <w:rPr>
          <w:rFonts w:hint="eastAsia"/>
        </w:rPr>
        <w:t>款。</w:t>
      </w:r>
    </w:p>
    <w:p w:rsidR="00000000" w:rsidRDefault="00000000">
      <w:pPr>
        <w:rPr>
          <w:rFonts w:hint="eastAsia"/>
        </w:rPr>
      </w:pPr>
      <w:r>
        <w:rPr>
          <w:rFonts w:hint="eastAsia"/>
        </w:rPr>
        <w:tab/>
        <w:t xml:space="preserve">28.  </w:t>
      </w:r>
      <w:r>
        <w:rPr>
          <w:rFonts w:hint="eastAsia"/>
        </w:rPr>
        <w:t>委员会敦促缔约国重新考虑确定最低工资和福利支付水平的方法，确保采用的方法符合缔约国对《公约》第</w:t>
      </w:r>
      <w:r>
        <w:rPr>
          <w:rFonts w:hint="eastAsia"/>
        </w:rPr>
        <w:t>7</w:t>
      </w:r>
      <w:r>
        <w:rPr>
          <w:rFonts w:hint="eastAsia"/>
        </w:rPr>
        <w:t>、第</w:t>
      </w:r>
      <w:r>
        <w:rPr>
          <w:rFonts w:hint="eastAsia"/>
        </w:rPr>
        <w:t>9</w:t>
      </w:r>
      <w:r>
        <w:rPr>
          <w:rFonts w:hint="eastAsia"/>
        </w:rPr>
        <w:t>和第</w:t>
      </w:r>
      <w:r>
        <w:rPr>
          <w:rFonts w:hint="eastAsia"/>
        </w:rPr>
        <w:t>11</w:t>
      </w:r>
      <w:r>
        <w:rPr>
          <w:rFonts w:hint="eastAsia"/>
        </w:rPr>
        <w:t>条的义务。</w:t>
      </w:r>
    </w:p>
    <w:p w:rsidR="00000000" w:rsidRDefault="00000000">
      <w:pPr>
        <w:rPr>
          <w:rFonts w:hint="eastAsia"/>
        </w:rPr>
      </w:pPr>
      <w:r>
        <w:rPr>
          <w:rFonts w:hint="eastAsia"/>
        </w:rPr>
        <w:tab/>
        <w:t xml:space="preserve">29.  </w:t>
      </w:r>
      <w:r>
        <w:rPr>
          <w:rFonts w:hint="eastAsia"/>
        </w:rPr>
        <w:t>委员会建议，缔约国在法律和实际上充分保护工会进行集体谈判的权利。</w:t>
      </w:r>
    </w:p>
    <w:p w:rsidR="00000000" w:rsidRDefault="00000000">
      <w:pPr>
        <w:rPr>
          <w:rFonts w:hint="eastAsia"/>
        </w:rPr>
      </w:pPr>
      <w:r>
        <w:rPr>
          <w:rFonts w:hint="eastAsia"/>
        </w:rPr>
        <w:tab/>
        <w:t xml:space="preserve">30.  </w:t>
      </w:r>
      <w:r>
        <w:rPr>
          <w:rFonts w:hint="eastAsia"/>
        </w:rPr>
        <w:t>委员会注意到，</w:t>
      </w:r>
      <w:r>
        <w:rPr>
          <w:rFonts w:hint="eastAsia"/>
        </w:rPr>
        <w:t>1999</w:t>
      </w:r>
      <w:r>
        <w:rPr>
          <w:rFonts w:hint="eastAsia"/>
        </w:rPr>
        <w:t>年对《家庭暴力法》</w:t>
      </w:r>
      <w:r>
        <w:rPr>
          <w:rFonts w:hint="eastAsia"/>
        </w:rPr>
        <w:t>(1996</w:t>
      </w:r>
      <w:r>
        <w:rPr>
          <w:rFonts w:hint="eastAsia"/>
        </w:rPr>
        <w:t>年</w:t>
      </w:r>
      <w:r>
        <w:rPr>
          <w:rFonts w:hint="eastAsia"/>
        </w:rPr>
        <w:t>)</w:t>
      </w:r>
      <w:r>
        <w:rPr>
          <w:rFonts w:hint="eastAsia"/>
        </w:rPr>
        <w:t>进行了审查，委员会请缔约国在它的下一份定期报告中说明对审查提出的建议采取的措施，包括，但并不限于，有关制定一个“干预家庭暴力问题试验项目”的建议。</w:t>
      </w:r>
    </w:p>
    <w:p w:rsidR="00000000" w:rsidRDefault="00000000">
      <w:pPr>
        <w:rPr>
          <w:rFonts w:hint="eastAsia"/>
        </w:rPr>
      </w:pPr>
      <w:r>
        <w:rPr>
          <w:rFonts w:hint="eastAsia"/>
        </w:rPr>
        <w:tab/>
        <w:t xml:space="preserve">31.  </w:t>
      </w:r>
      <w:r>
        <w:rPr>
          <w:rFonts w:hint="eastAsia"/>
        </w:rPr>
        <w:t>委员会敦促缔约国：</w:t>
      </w:r>
      <w:r>
        <w:rPr>
          <w:rFonts w:hint="eastAsia"/>
        </w:rPr>
        <w:t xml:space="preserve">(1) </w:t>
      </w:r>
      <w:r>
        <w:rPr>
          <w:rFonts w:hint="eastAsia"/>
        </w:rPr>
        <w:t>确保消除贫困局得到足够的资源，并能有效履行法定的咨询职能；</w:t>
      </w:r>
      <w:r>
        <w:rPr>
          <w:rFonts w:hint="eastAsia"/>
        </w:rPr>
        <w:t xml:space="preserve">(2) </w:t>
      </w:r>
      <w:r>
        <w:rPr>
          <w:rFonts w:hint="eastAsia"/>
        </w:rPr>
        <w:t>充分重视消除贫困局的研究和建议；和</w:t>
      </w:r>
      <w:r>
        <w:rPr>
          <w:rFonts w:hint="eastAsia"/>
        </w:rPr>
        <w:t xml:space="preserve">(3) </w:t>
      </w:r>
      <w:r>
        <w:rPr>
          <w:rFonts w:hint="eastAsia"/>
        </w:rPr>
        <w:t>根据委员会有关贫困问题的声明</w:t>
      </w:r>
      <w:r>
        <w:rPr>
          <w:rFonts w:hint="eastAsia"/>
        </w:rPr>
        <w:t>(E/C</w:t>
      </w:r>
      <w:r>
        <w:t>.</w:t>
      </w:r>
      <w:r>
        <w:rPr>
          <w:rFonts w:hint="eastAsia"/>
        </w:rPr>
        <w:t>12/2001/10, 2001</w:t>
      </w:r>
      <w:r>
        <w:rPr>
          <w:rFonts w:hint="eastAsia"/>
        </w:rPr>
        <w:t>年</w:t>
      </w:r>
      <w:r>
        <w:rPr>
          <w:rFonts w:hint="eastAsia"/>
        </w:rPr>
        <w:t>5</w:t>
      </w:r>
      <w:r>
        <w:rPr>
          <w:rFonts w:hint="eastAsia"/>
        </w:rPr>
        <w:t>月</w:t>
      </w:r>
      <w:r>
        <w:rPr>
          <w:rFonts w:hint="eastAsia"/>
        </w:rPr>
        <w:t>10</w:t>
      </w:r>
      <w:r>
        <w:rPr>
          <w:rFonts w:hint="eastAsia"/>
        </w:rPr>
        <w:t>日</w:t>
      </w:r>
      <w:r>
        <w:rPr>
          <w:rFonts w:hint="eastAsia"/>
        </w:rPr>
        <w:t>)</w:t>
      </w:r>
      <w:r>
        <w:rPr>
          <w:rFonts w:hint="eastAsia"/>
        </w:rPr>
        <w:t>，将人权结合进国家除贫战略。在这方面，委员会重申，缔约国有义务将《公约》规定的权利定为国内法可执行的权利，委员会还确认，不论缔约国是否采取这项措施，它都负有法律义务，将经济、社会和文化权利结合进国家除贫战略。</w:t>
      </w:r>
    </w:p>
    <w:p w:rsidR="00000000" w:rsidRDefault="00000000">
      <w:pPr>
        <w:rPr>
          <w:rFonts w:hint="eastAsia"/>
        </w:rPr>
      </w:pPr>
      <w:r>
        <w:rPr>
          <w:rFonts w:hint="eastAsia"/>
        </w:rPr>
        <w:tab/>
        <w:t xml:space="preserve">32.  </w:t>
      </w:r>
      <w:r>
        <w:rPr>
          <w:rFonts w:hint="eastAsia"/>
        </w:rPr>
        <w:t>委员会还敦促缔约国加速它的社会住房计划，减少得到社会住房的等待时间。此外，缔约国还应加强努力：</w:t>
      </w:r>
      <w:r>
        <w:t>(a)</w:t>
      </w:r>
      <w:r>
        <w:rPr>
          <w:rFonts w:hint="eastAsia"/>
        </w:rPr>
        <w:t xml:space="preserve"> </w:t>
      </w:r>
      <w:r>
        <w:rPr>
          <w:rFonts w:hint="eastAsia"/>
        </w:rPr>
        <w:t>尽早为仍生活在路边帐篷中缺少适当设施的</w:t>
      </w:r>
      <w:r>
        <w:rPr>
          <w:rFonts w:hint="eastAsia"/>
        </w:rPr>
        <w:t>1,200</w:t>
      </w:r>
      <w:r>
        <w:rPr>
          <w:rFonts w:hint="eastAsia"/>
        </w:rPr>
        <w:t>个吉普赛人家庭提供另外的住所，遵守本委员会的第</w:t>
      </w:r>
      <w:r>
        <w:rPr>
          <w:rFonts w:hint="eastAsia"/>
        </w:rPr>
        <w:t>4</w:t>
      </w:r>
      <w:r>
        <w:rPr>
          <w:rFonts w:hint="eastAsia"/>
        </w:rPr>
        <w:t>和第</w:t>
      </w:r>
      <w:r>
        <w:rPr>
          <w:rFonts w:hint="eastAsia"/>
        </w:rPr>
        <w:t>7</w:t>
      </w:r>
      <w:r>
        <w:rPr>
          <w:rFonts w:hint="eastAsia"/>
        </w:rPr>
        <w:t>号一般性意见；和</w:t>
      </w:r>
      <w:r>
        <w:t>(b)</w:t>
      </w:r>
      <w:r>
        <w:rPr>
          <w:rFonts w:hint="eastAsia"/>
        </w:rPr>
        <w:t xml:space="preserve"> </w:t>
      </w:r>
      <w:r>
        <w:rPr>
          <w:rFonts w:hint="eastAsia"/>
        </w:rPr>
        <w:t>实现它在</w:t>
      </w:r>
      <w:r>
        <w:rPr>
          <w:rFonts w:hint="eastAsia"/>
        </w:rPr>
        <w:t>2004</w:t>
      </w:r>
      <w:r>
        <w:rPr>
          <w:rFonts w:hint="eastAsia"/>
        </w:rPr>
        <w:t>年前解决所有必须的吉普赛人住房的目标。</w:t>
      </w:r>
    </w:p>
    <w:p w:rsidR="00000000" w:rsidRDefault="00000000">
      <w:pPr>
        <w:rPr>
          <w:rFonts w:hint="eastAsia"/>
        </w:rPr>
      </w:pPr>
      <w:r>
        <w:rPr>
          <w:rFonts w:hint="eastAsia"/>
        </w:rPr>
        <w:tab/>
        <w:t xml:space="preserve">33.  </w:t>
      </w:r>
      <w:r>
        <w:rPr>
          <w:rFonts w:hint="eastAsia"/>
        </w:rPr>
        <w:t>委员会请缔约国在它的下一份定期报告中提供最新的准确资料，包括统计数字，有关为吉普赛人家庭提供适当住所采取措施的情况。</w:t>
      </w:r>
    </w:p>
    <w:p w:rsidR="00000000" w:rsidRDefault="00000000">
      <w:pPr>
        <w:rPr>
          <w:rFonts w:hint="eastAsia"/>
        </w:rPr>
      </w:pPr>
      <w:r>
        <w:rPr>
          <w:rFonts w:hint="eastAsia"/>
        </w:rPr>
        <w:tab/>
        <w:t xml:space="preserve">34.  </w:t>
      </w:r>
      <w:r>
        <w:rPr>
          <w:rFonts w:hint="eastAsia"/>
        </w:rPr>
        <w:t>委员会重申它在</w:t>
      </w:r>
      <w:r>
        <w:rPr>
          <w:rFonts w:hint="eastAsia"/>
        </w:rPr>
        <w:t>1999</w:t>
      </w:r>
      <w:r>
        <w:rPr>
          <w:rFonts w:hint="eastAsia"/>
        </w:rPr>
        <w:t>年提出的建议，对那些智力残疾，但却并未患有严重精神病而仍住在精神病院的人，缔约国应尽快将他们转移到较为合适的医疗环境。</w:t>
      </w:r>
    </w:p>
    <w:p w:rsidR="00000000" w:rsidRDefault="00000000">
      <w:pPr>
        <w:rPr>
          <w:rFonts w:hint="eastAsia"/>
        </w:rPr>
      </w:pPr>
      <w:r>
        <w:rPr>
          <w:rFonts w:hint="eastAsia"/>
        </w:rPr>
        <w:tab/>
        <w:t xml:space="preserve">35.  </w:t>
      </w:r>
      <w:r>
        <w:rPr>
          <w:rFonts w:hint="eastAsia"/>
        </w:rPr>
        <w:t>委员会建议，缔约国审查最近公布的《国家卫生战略》，以便根据第</w:t>
      </w:r>
      <w:r>
        <w:rPr>
          <w:rFonts w:hint="eastAsia"/>
        </w:rPr>
        <w:t>14</w:t>
      </w:r>
      <w:r>
        <w:rPr>
          <w:rFonts w:hint="eastAsia"/>
        </w:rPr>
        <w:t>号一般性意见第</w:t>
      </w:r>
      <w:r>
        <w:rPr>
          <w:rFonts w:hint="eastAsia"/>
        </w:rPr>
        <w:t>54</w:t>
      </w:r>
      <w:r>
        <w:rPr>
          <w:rFonts w:hint="eastAsia"/>
        </w:rPr>
        <w:t>段提出的在获得卫生设施和服务方面不歧视和平等的原则，在该项战略中包括一个人权框架。委员会还敦促缔约国对到公立医院接受治疗的私营和公营保险机构保险的病人，实行统一的排名等候制度。</w:t>
      </w:r>
    </w:p>
    <w:p w:rsidR="00000000" w:rsidRDefault="00000000">
      <w:pPr>
        <w:rPr>
          <w:rFonts w:hint="eastAsia"/>
        </w:rPr>
      </w:pPr>
      <w:r>
        <w:rPr>
          <w:rFonts w:hint="eastAsia"/>
        </w:rPr>
        <w:tab/>
        <w:t xml:space="preserve">36.  </w:t>
      </w:r>
      <w:r>
        <w:rPr>
          <w:rFonts w:hint="eastAsia"/>
        </w:rPr>
        <w:t>委员会敦促缔约国颁布法律，将宪法规定的免费接受小学教育的权利扩大到所有在教育方面有特殊需要的成年人。</w:t>
      </w:r>
    </w:p>
    <w:p w:rsidR="00000000" w:rsidRDefault="00000000">
      <w:pPr>
        <w:rPr>
          <w:rFonts w:hint="eastAsia"/>
        </w:rPr>
      </w:pPr>
      <w:r>
        <w:rPr>
          <w:rFonts w:hint="eastAsia"/>
        </w:rPr>
        <w:tab/>
        <w:t xml:space="preserve">37.  </w:t>
      </w:r>
      <w:r>
        <w:rPr>
          <w:rFonts w:hint="eastAsia"/>
        </w:rPr>
        <w:t>委员会鼓励缔约国作为各种国际组织的成员，包括国际货币基金组织和世界银行等国际金融机构，尽其所能，确保这些组织的政策和决定符合缔约国对公约的义务，特别是第</w:t>
      </w:r>
      <w:r>
        <w:rPr>
          <w:rFonts w:hint="eastAsia"/>
        </w:rPr>
        <w:t>2</w:t>
      </w:r>
      <w:r>
        <w:rPr>
          <w:rFonts w:hint="eastAsia"/>
        </w:rPr>
        <w:t>条第</w:t>
      </w:r>
      <w:r>
        <w:rPr>
          <w:rFonts w:hint="eastAsia"/>
        </w:rPr>
        <w:t>1</w:t>
      </w:r>
      <w:r>
        <w:rPr>
          <w:rFonts w:hint="eastAsia"/>
        </w:rPr>
        <w:t>款、第</w:t>
      </w:r>
      <w:r>
        <w:rPr>
          <w:rFonts w:hint="eastAsia"/>
        </w:rPr>
        <w:t>11</w:t>
      </w:r>
      <w:r>
        <w:rPr>
          <w:rFonts w:hint="eastAsia"/>
        </w:rPr>
        <w:t>、第</w:t>
      </w:r>
      <w:r>
        <w:rPr>
          <w:rFonts w:hint="eastAsia"/>
        </w:rPr>
        <w:t>15</w:t>
      </w:r>
      <w:r>
        <w:rPr>
          <w:rFonts w:hint="eastAsia"/>
        </w:rPr>
        <w:t>、第</w:t>
      </w:r>
      <w:r>
        <w:rPr>
          <w:rFonts w:hint="eastAsia"/>
        </w:rPr>
        <w:t>22</w:t>
      </w:r>
      <w:r>
        <w:rPr>
          <w:rFonts w:hint="eastAsia"/>
        </w:rPr>
        <w:t>和第</w:t>
      </w:r>
      <w:r>
        <w:rPr>
          <w:rFonts w:hint="eastAsia"/>
        </w:rPr>
        <w:t>23</w:t>
      </w:r>
      <w:r>
        <w:rPr>
          <w:rFonts w:hint="eastAsia"/>
        </w:rPr>
        <w:t>条中有关国际援助和合作的义务。</w:t>
      </w:r>
    </w:p>
    <w:p w:rsidR="00000000" w:rsidRDefault="00000000">
      <w:pPr>
        <w:rPr>
          <w:rFonts w:hint="eastAsia"/>
        </w:rPr>
      </w:pPr>
      <w:r>
        <w:rPr>
          <w:rFonts w:hint="eastAsia"/>
        </w:rPr>
        <w:tab/>
        <w:t xml:space="preserve">38.  </w:t>
      </w:r>
      <w:r>
        <w:rPr>
          <w:rFonts w:hint="eastAsia"/>
        </w:rPr>
        <w:t>委员会敦促缔约国确保它对国际发展援助的贡献，在</w:t>
      </w:r>
      <w:r>
        <w:rPr>
          <w:rFonts w:hint="eastAsia"/>
        </w:rPr>
        <w:t>2002</w:t>
      </w:r>
      <w:r>
        <w:rPr>
          <w:rFonts w:hint="eastAsia"/>
        </w:rPr>
        <w:t>年底前达到国民生产总值的</w:t>
      </w:r>
      <w:r>
        <w:rPr>
          <w:rFonts w:hint="eastAsia"/>
        </w:rPr>
        <w:t>0.45%(</w:t>
      </w:r>
      <w:r>
        <w:rPr>
          <w:rFonts w:hint="eastAsia"/>
        </w:rPr>
        <w:t>见委员会对缔约国初次报告的结论性意见第</w:t>
      </w:r>
      <w:r>
        <w:rPr>
          <w:rFonts w:hint="eastAsia"/>
        </w:rPr>
        <w:t>4</w:t>
      </w:r>
      <w:r>
        <w:rPr>
          <w:rFonts w:hint="eastAsia"/>
        </w:rPr>
        <w:t>段</w:t>
      </w:r>
      <w:r>
        <w:rPr>
          <w:rFonts w:hint="eastAsia"/>
        </w:rPr>
        <w:t>)</w:t>
      </w:r>
      <w:r>
        <w:rPr>
          <w:rFonts w:hint="eastAsia"/>
        </w:rPr>
        <w:t>，确保每年的数字增加，尽快达到联合国提出的国民生产总值</w:t>
      </w:r>
      <w:r>
        <w:rPr>
          <w:rFonts w:hint="eastAsia"/>
        </w:rPr>
        <w:t>0.7%</w:t>
      </w:r>
      <w:r>
        <w:rPr>
          <w:rFonts w:hint="eastAsia"/>
        </w:rPr>
        <w:t>的目标。</w:t>
      </w:r>
    </w:p>
    <w:p w:rsidR="00000000" w:rsidRDefault="00000000">
      <w:pPr>
        <w:rPr>
          <w:rFonts w:hint="eastAsia"/>
        </w:rPr>
      </w:pPr>
      <w:r>
        <w:rPr>
          <w:rFonts w:hint="eastAsia"/>
        </w:rPr>
        <w:tab/>
        <w:t xml:space="preserve">39.  </w:t>
      </w:r>
      <w:r>
        <w:rPr>
          <w:rFonts w:hint="eastAsia"/>
        </w:rPr>
        <w:t>委员会请缔约国向社会各阶层广为散发本结论性意见，特别是向国家官员和司法机构的人员，并在它的下一份定期报告中向委员会报告为执行这些建议采取的一切措施。委员会还鼓励缔约国在编写它的第</w:t>
      </w:r>
      <w:r>
        <w:rPr>
          <w:rFonts w:hint="eastAsia"/>
        </w:rPr>
        <w:t>3</w:t>
      </w:r>
      <w:r>
        <w:rPr>
          <w:rFonts w:hint="eastAsia"/>
        </w:rPr>
        <w:t>份定期报告中，继续邀请非政府组织和公民社会的其他成员参加。</w:t>
      </w:r>
    </w:p>
    <w:p w:rsidR="00000000" w:rsidRDefault="00000000">
      <w:pPr>
        <w:rPr>
          <w:rFonts w:hint="eastAsia"/>
        </w:rPr>
      </w:pPr>
      <w:r>
        <w:rPr>
          <w:rFonts w:hint="eastAsia"/>
        </w:rPr>
        <w:tab/>
        <w:t xml:space="preserve">40.  </w:t>
      </w:r>
      <w:r>
        <w:rPr>
          <w:rFonts w:hint="eastAsia"/>
        </w:rPr>
        <w:t>最后，委员会请缔约国于</w:t>
      </w:r>
      <w:r>
        <w:rPr>
          <w:rFonts w:hint="eastAsia"/>
        </w:rPr>
        <w:t>2007</w:t>
      </w:r>
      <w:r>
        <w:rPr>
          <w:rFonts w:hint="eastAsia"/>
        </w:rPr>
        <w:t>年</w:t>
      </w:r>
      <w:r>
        <w:rPr>
          <w:rFonts w:hint="eastAsia"/>
        </w:rPr>
        <w:t>6</w:t>
      </w:r>
      <w:r>
        <w:rPr>
          <w:rFonts w:hint="eastAsia"/>
        </w:rPr>
        <w:t>月</w:t>
      </w:r>
      <w:r>
        <w:rPr>
          <w:rFonts w:hint="eastAsia"/>
        </w:rPr>
        <w:t>30</w:t>
      </w:r>
      <w:r>
        <w:rPr>
          <w:rFonts w:hint="eastAsia"/>
        </w:rPr>
        <w:t>日前提出它的第</w:t>
      </w:r>
      <w:r>
        <w:rPr>
          <w:rFonts w:hint="eastAsia"/>
        </w:rPr>
        <w:t>3</w:t>
      </w:r>
      <w:r>
        <w:rPr>
          <w:rFonts w:hint="eastAsia"/>
        </w:rPr>
        <w:t>次定期报告，并在报告中收入为执行本结论性意见中委员会的各项建议，而采取措施的详细情况。</w:t>
      </w:r>
    </w:p>
    <w:p w:rsidR="00000000" w:rsidRDefault="00000000"/>
    <w:p w:rsidR="00000000" w:rsidRDefault="00000000">
      <w:pPr>
        <w:rPr>
          <w:rFonts w:hint="eastAsia"/>
        </w:rPr>
      </w:pPr>
    </w:p>
    <w:p w:rsidR="00000000" w:rsidRDefault="00000000">
      <w:pPr>
        <w:jc w:val="center"/>
      </w:pPr>
      <w:r>
        <w:t>--  --  --  --  --</w:t>
      </w:r>
    </w:p>
    <w:p w:rsidR="00000000" w:rsidRDefault="00000000"/>
    <w:sectPr w:rsidR="00000000">
      <w:headerReference w:type="even" r:id="rId7"/>
      <w:headerReference w:type="default" r:id="rId8"/>
      <w:headerReference w:type="first" r:id="rId9"/>
      <w:footerReference w:type="first" r:id="rId10"/>
      <w:endnotePr>
        <w:numFmt w:val="decimal"/>
      </w:endnotePr>
      <w:pgSz w:w="11907" w:h="16840" w:code="9"/>
      <w:pgMar w:top="1985" w:right="851" w:bottom="1985" w:left="1701" w:header="794" w:footer="1191" w:gutter="0"/>
      <w:cols w:space="425"/>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keepNext/>
        <w:spacing w:before="320" w:after="240"/>
        <w:jc w:val="center"/>
      </w:pPr>
      <w:r>
        <w:rPr>
          <w:rFonts w:hint="eastAsia"/>
          <w:u w:val="single"/>
        </w:rPr>
        <w:t>注</w:t>
      </w:r>
    </w:p>
  </w:endnote>
  <w:endnote w:type="continuationSeparator" w:id="0">
    <w:p w:rsidR="00000000" w:rsidRDefault="00000000">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SimHei">
    <w:altName w:val="黑体"/>
    <w:panose1 w:val="02010609060101010101"/>
    <w:charset w:val="86"/>
    <w:family w:val="modern"/>
    <w:pitch w:val="fixed"/>
    <w:sig w:usb0="800002BF" w:usb1="38CF7CFA" w:usb2="00000016" w:usb3="00000000" w:csb0="00040001" w:csb1="00000000"/>
  </w:font>
  <w:font w:name="Courier New">
    <w:panose1 w:val="02070309020205020404"/>
    <w:charset w:val="00"/>
    <w:family w:val="modern"/>
    <w:pitch w:val="fixed"/>
    <w:sig w:usb0="E0002AFF" w:usb1="C0007843" w:usb2="00000009" w:usb3="00000000" w:csb0="000001FF" w:csb1="00000000"/>
  </w:font>
  <w:font w:name="KaiTi_GB2312">
    <w:altName w:val="楷体_GB2312"/>
    <w:panose1 w:val="02010609060101010101"/>
    <w:charset w:val="86"/>
    <w:family w:val="modern"/>
    <w:pitch w:val="fixed"/>
    <w:sig w:usb0="00000001" w:usb1="080E0000" w:usb2="00000010" w:usb3="00000000" w:csb0="00040000" w:csb1="00000000"/>
  </w:font>
  <w:font w:name="Univers Bold">
    <w:altName w:val="Arial"/>
    <w:panose1 w:val="00000000000000000000"/>
    <w:charset w:val="00"/>
    <w:family w:val="swiss"/>
    <w:notTrueType/>
    <w:pitch w:val="default"/>
    <w:sig w:usb0="00000003" w:usb1="00000000" w:usb2="00000000" w:usb3="00000000" w:csb0="00000001" w:csb1="00000000"/>
  </w:font>
  <w:font w:name="Univers (WN)">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2460"/>
      <w:gridCol w:w="1050"/>
      <w:gridCol w:w="6061"/>
    </w:tblGrid>
    <w:tr w:rsidR="00000000">
      <w:tblPrEx>
        <w:tblCellMar>
          <w:top w:w="0" w:type="dxa"/>
          <w:bottom w:w="0" w:type="dxa"/>
        </w:tblCellMar>
      </w:tblPrEx>
      <w:tc>
        <w:tcPr>
          <w:tcW w:w="2460" w:type="dxa"/>
        </w:tcPr>
        <w:p w:rsidR="00000000" w:rsidRDefault="00000000">
          <w:pPr>
            <w:pStyle w:val="Footer"/>
          </w:pPr>
          <w:r>
            <w:t>GE. 02-42409 (C)</w:t>
          </w:r>
        </w:p>
      </w:tc>
      <w:tc>
        <w:tcPr>
          <w:tcW w:w="1050" w:type="dxa"/>
        </w:tcPr>
        <w:p w:rsidR="00000000" w:rsidRDefault="00000000">
          <w:pPr>
            <w:pStyle w:val="Footer"/>
          </w:pPr>
          <w:r>
            <w:t>250602</w:t>
          </w:r>
        </w:p>
      </w:tc>
      <w:tc>
        <w:tcPr>
          <w:tcW w:w="6061" w:type="dxa"/>
        </w:tcPr>
        <w:p w:rsidR="00000000" w:rsidRDefault="00000000">
          <w:pPr>
            <w:pStyle w:val="Footer"/>
          </w:pPr>
          <w:r>
            <w:t>270602</w:t>
          </w:r>
        </w:p>
      </w:tc>
    </w:tr>
  </w:tbl>
  <w:p w:rsidR="00000000" w:rsidRDefault="0000000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1R2"/>
      <w:framePr w:w="0" w:hRule="auto" w:hSpace="0" w:wrap="auto" w:vAnchor="margin" w:hAnchor="text" w:xAlign="left" w:yAlign="inline"/>
    </w:pPr>
    <w:r>
      <w:t>E/C.12/1/Add.77</w:t>
    </w:r>
  </w:p>
  <w:p w:rsidR="00000000" w:rsidRDefault="00000000">
    <w:pPr>
      <w:pStyle w:val="1R2"/>
      <w:framePr w:w="0" w:hRule="auto" w:hSpace="0" w:wrap="auto" w:vAnchor="margin" w:hAnchor="text" w:xAlign="left" w:yAlign="inline"/>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1R2"/>
      <w:framePr w:w="0" w:hRule="auto" w:hSpace="0" w:wrap="auto" w:vAnchor="margin" w:hAnchor="text" w:xAlign="left" w:yAlign="inline"/>
    </w:pPr>
    <w:r>
      <w:tab/>
    </w:r>
    <w:r>
      <w:tab/>
    </w:r>
    <w:r>
      <w:tab/>
    </w:r>
    <w:r>
      <w:tab/>
      <w:t>E/C.12/1/Add.77</w:t>
    </w:r>
  </w:p>
  <w:p w:rsidR="00000000" w:rsidRDefault="00000000">
    <w:pPr>
      <w:pStyle w:val="1R2"/>
      <w:framePr w:w="0" w:hRule="auto" w:hSpace="0" w:wrap="auto" w:vAnchor="margin" w:hAnchor="text" w:xAlign="left" w:yAlign="inline"/>
    </w:pPr>
    <w:r>
      <w:tab/>
    </w:r>
    <w:r>
      <w:tab/>
    </w:r>
    <w:r>
      <w:tab/>
    </w:r>
    <w: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5</w:t>
    </w:r>
    <w:r>
      <w:rPr>
        <w:rStyle w:val="PageNumber"/>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a1"/>
    </w:pPr>
    <w:r>
      <w:rPr>
        <w:noProof/>
      </w:rPr>
      <w:pict>
        <v:rect id="_x0000_s1025" style="position:absolute;margin-left:541.05pt;margin-top:59.05pt;width:30.05pt;height:36pt;z-index:-5;mso-position-horizontal-relative:page;mso-position-vertical-relative:page" o:allowincell="f" filled="f" stroked="f" strokeweight="0">
          <v:textbox inset="0,0,0,0">
            <w:txbxContent>
              <w:p w:rsidR="00000000" w:rsidRDefault="00000000">
                <w:pPr>
                  <w:pStyle w:val="1R1"/>
                  <w:rPr>
                    <w:rFonts w:ascii="Univers Bold" w:hAnsi="Univers Bold"/>
                  </w:rPr>
                </w:pPr>
                <w:r>
                  <w:t>E</w:t>
                </w:r>
              </w:p>
            </w:txbxContent>
          </v:textbox>
          <w10:wrap anchorx="page" anchory="page"/>
        </v:rect>
      </w:pict>
    </w:r>
  </w:p>
  <w:p w:rsidR="00000000" w:rsidRDefault="00000000">
    <w:pPr>
      <w:pStyle w:val="a1"/>
      <w:spacing w:after="160"/>
    </w:pPr>
    <w:r>
      <w:fldChar w:fldCharType="begin"/>
    </w:r>
    <w:r>
      <w:instrText xml:space="preserve">PRIVATE </w:instrText>
    </w:r>
    <w:r>
      <w:fldChar w:fldCharType="end"/>
    </w:r>
  </w:p>
  <w:p w:rsidR="00000000" w:rsidRDefault="00000000">
    <w:pPr>
      <w:pStyle w:val="1L"/>
      <w:framePr w:w="1438" w:wrap="around"/>
    </w:pPr>
    <w:r>
      <w:rPr>
        <w:noProof/>
      </w:rPr>
      <w:pict>
        <v:rect id="_x0000_s1026" style="position:absolute;left:0;text-align:left;margin-left:-12pt;margin-top:95.45pt;width:492.05pt;height:.95pt;z-index:-4;mso-position-horizontal-relative:margin;mso-position-vertical-relative:page" o:allowincell="f" fillcolor="black" stroked="f" strokeweight=".1pt">
          <v:fill color2="black"/>
          <w10:wrap anchorx="margin" anchory="page"/>
        </v:rect>
      </w:pict>
    </w:r>
    <w:r>
      <w:rPr>
        <w:rFonts w:hint="eastAsia"/>
      </w:rPr>
      <w:t>联合国</w:t>
    </w:r>
  </w:p>
  <w:p w:rsidR="00000000" w:rsidRDefault="00000000">
    <w:pPr>
      <w:pStyle w:val="a1"/>
    </w:pPr>
    <w:r>
      <w:pict>
        <v:rect id="_x0000_s1029" style="position:absolute;margin-left:66.7pt;margin-top:110.5pt;width:66.05pt;height:56pt;z-index:-1;mso-position-horizontal-relative:page;mso-position-vertical-relative:page" o:allowincell="f" filled="f" stroked="f" strokeweight="0">
          <v:textbox inset="0,0,0,0">
            <w:txbxContent>
              <w:p w:rsidR="00000000" w:rsidRDefault="00000000">
                <w:pPr>
                  <w:pStyle w:val="UNLOGO"/>
                  <w:rPr>
                    <w:sz w:val="2"/>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6pt;height:56.25pt" fillcolor="window">
                      <v:imagedata r:id="rId1" o:title="" croptop="-107f" cropbottom="-92f" cropleft="-3348f" cropright="-3348f"/>
                    </v:shape>
                  </w:pict>
                </w:r>
              </w:p>
            </w:txbxContent>
          </v:textbox>
          <w10:wrap anchorx="page" anchory="page"/>
        </v:rect>
      </w:pict>
    </w:r>
  </w:p>
  <w:p w:rsidR="00000000" w:rsidRDefault="00000000">
    <w:pPr>
      <w:pStyle w:val="1R2"/>
      <w:framePr w:wrap="around"/>
    </w:pPr>
    <w:r>
      <w:t>Distr.</w:t>
    </w:r>
  </w:p>
  <w:p w:rsidR="00000000" w:rsidRDefault="00000000">
    <w:pPr>
      <w:pStyle w:val="1R2"/>
      <w:framePr w:wrap="around"/>
    </w:pPr>
    <w:r>
      <w:t>GENERAL</w:t>
    </w:r>
  </w:p>
  <w:p w:rsidR="00000000" w:rsidRDefault="00000000">
    <w:pPr>
      <w:pStyle w:val="1R2"/>
      <w:framePr w:wrap="around"/>
    </w:pPr>
  </w:p>
  <w:p w:rsidR="00000000" w:rsidRDefault="00000000">
    <w:pPr>
      <w:pStyle w:val="1R2"/>
      <w:framePr w:wrap="around"/>
    </w:pPr>
    <w:r>
      <w:t>E/C.12/1/Add.77</w:t>
    </w:r>
  </w:p>
  <w:p w:rsidR="00000000" w:rsidRDefault="00000000">
    <w:pPr>
      <w:pStyle w:val="1R2"/>
      <w:framePr w:wrap="around"/>
    </w:pPr>
    <w:r>
      <w:t>5 June 2002</w:t>
    </w:r>
  </w:p>
  <w:p w:rsidR="00000000" w:rsidRDefault="00000000">
    <w:pPr>
      <w:pStyle w:val="1R2"/>
      <w:framePr w:wrap="around"/>
    </w:pPr>
    <w:r>
      <w:t>CHINESE</w:t>
    </w:r>
  </w:p>
  <w:p w:rsidR="00000000" w:rsidRDefault="00000000">
    <w:pPr>
      <w:pStyle w:val="1R2"/>
      <w:framePr w:wrap="around"/>
    </w:pPr>
    <w:r>
      <w:t>Original:</w:t>
    </w:r>
    <w:r>
      <w:tab/>
      <w:t>ENGLISH</w:t>
    </w:r>
  </w:p>
  <w:p w:rsidR="00000000" w:rsidRDefault="00000000">
    <w:pPr>
      <w:pStyle w:val="a1"/>
    </w:pPr>
  </w:p>
  <w:p w:rsidR="00000000" w:rsidRDefault="00000000">
    <w:pPr>
      <w:pStyle w:val="a1"/>
    </w:pPr>
  </w:p>
  <w:p w:rsidR="00000000" w:rsidRDefault="00000000">
    <w:pPr>
      <w:pStyle w:val="a1"/>
    </w:pPr>
    <w:r>
      <w:pict>
        <v:rect id="_x0000_s1027" style="position:absolute;margin-left:151.05pt;margin-top:121.45pt;width:192.05pt;height:31.25pt;z-index:-3;mso-position-horizontal-relative:page;mso-position-vertical-relative:page" o:allowincell="f" filled="f" stroked="f" strokeweight="0">
          <v:textbox inset="0,0,0,0">
            <w:txbxContent>
              <w:p w:rsidR="00000000" w:rsidRDefault="00000000">
                <w:pPr>
                  <w:pStyle w:val="1m1"/>
                </w:pPr>
                <w:r>
                  <w:rPr>
                    <w:rFonts w:hint="eastAsia"/>
                  </w:rPr>
                  <w:t>经济及社会理事会</w:t>
                </w:r>
              </w:p>
            </w:txbxContent>
          </v:textbox>
          <w10:wrap anchorx="page" anchory="page"/>
        </v:rect>
      </w:pict>
    </w:r>
  </w:p>
  <w:p w:rsidR="00000000" w:rsidRDefault="00000000">
    <w:pPr>
      <w:pStyle w:val="a1"/>
    </w:pPr>
    <w:r>
      <w:pict>
        <v:rect id="_x0000_s1028" style="position:absolute;margin-left:-12pt;margin-top:235.85pt;width:492.05pt;height:.05pt;z-index:-2;mso-position-horizontal-relative:margin;mso-position-vertical-relative:page" o:allowincell="f" fillcolor="black" strokeweight="4pt">
          <v:fill color2="black"/>
          <w10:wrap anchorx="margin" anchory="page"/>
        </v:rect>
      </w:pict>
    </w:r>
  </w:p>
  <w:p w:rsidR="00000000" w:rsidRDefault="00000000">
    <w:pPr>
      <w:pStyle w:val="a1"/>
    </w:pPr>
  </w:p>
  <w:p w:rsidR="00000000" w:rsidRDefault="00000000">
    <w:pPr>
      <w:pStyle w:val="a1"/>
    </w:pPr>
  </w:p>
  <w:p w:rsidR="00000000" w:rsidRDefault="00000000">
    <w:pPr>
      <w:pStyle w:val="a1"/>
    </w:pPr>
    <w:r>
      <w:fldChar w:fldCharType="begin"/>
    </w:r>
    <w:r>
      <w:instrText>ADVANCE \Y 252.30</w:instrText>
    </w:r>
    <w:r>
      <w:fldChar w:fldCharType="end"/>
    </w:r>
  </w:p>
  <w:p w:rsidR="00000000" w:rsidRDefault="00000000">
    <w:pPr>
      <w:pStyle w:val="a1"/>
    </w:pPr>
  </w:p>
  <w:p w:rsidR="00000000" w:rsidRDefault="00000000">
    <w:pPr>
      <w:pStyle w:val="a1"/>
    </w:pPr>
  </w:p>
  <w:p w:rsidR="00000000" w:rsidRDefault="00000000">
    <w:pPr>
      <w:pStyle w:val="a1"/>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140562"/>
    <w:multiLevelType w:val="singleLevel"/>
    <w:tmpl w:val="08A4E756"/>
    <w:lvl w:ilvl="0">
      <w:start w:val="1"/>
      <w:numFmt w:val="lowerLetter"/>
      <w:lvlText w:val="(%1)"/>
      <w:lvlJc w:val="left"/>
      <w:pPr>
        <w:tabs>
          <w:tab w:val="num" w:pos="1531"/>
        </w:tabs>
        <w:ind w:left="1531" w:hanging="510"/>
      </w:pPr>
      <w:rPr>
        <w:rFonts w:hint="eastAsia"/>
      </w:rPr>
    </w:lvl>
  </w:abstractNum>
  <w:abstractNum w:abstractNumId="1">
    <w:nsid w:val="22E44274"/>
    <w:multiLevelType w:val="hybridMultilevel"/>
    <w:tmpl w:val="684A63C8"/>
    <w:lvl w:ilvl="0" w:tplc="EAC4FBBC">
      <w:start w:val="1"/>
      <w:numFmt w:val="chineseCountingThousand"/>
      <w:lvlText w:val="(%1)"/>
      <w:lvlJc w:val="right"/>
      <w:pPr>
        <w:tabs>
          <w:tab w:val="num" w:pos="1531"/>
        </w:tabs>
        <w:ind w:left="1531" w:hanging="170"/>
      </w:pPr>
      <w:rPr>
        <w:rFonts w:ascii="Times New Roman" w:eastAsia="SimSun" w:hAnsi="Times New Roman" w:hint="default"/>
        <w:b w:val="0"/>
        <w:i w:val="0"/>
        <w:snapToGrid w:val="0"/>
        <w:spacing w:val="0"/>
        <w:w w:val="100"/>
        <w:kern w:val="0"/>
        <w:position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32D95CC5"/>
    <w:multiLevelType w:val="singleLevel"/>
    <w:tmpl w:val="C92E6F64"/>
    <w:lvl w:ilvl="0">
      <w:start w:val="1"/>
      <w:numFmt w:val="lowerLetter"/>
      <w:lvlText w:val="(%1)"/>
      <w:legacy w:legacy="1" w:legacySpace="0" w:legacyIndent="425"/>
      <w:lvlJc w:val="left"/>
      <w:pPr>
        <w:ind w:left="1446" w:hanging="425"/>
      </w:pPr>
    </w:lvl>
  </w:abstractNum>
  <w:abstractNum w:abstractNumId="3">
    <w:nsid w:val="33BF5892"/>
    <w:multiLevelType w:val="singleLevel"/>
    <w:tmpl w:val="B2E22F84"/>
    <w:lvl w:ilvl="0">
      <w:start w:val="1"/>
      <w:numFmt w:val="chineseCountingThousand"/>
      <w:lvlText w:val="(%1)"/>
      <w:lvlJc w:val="left"/>
      <w:pPr>
        <w:tabs>
          <w:tab w:val="num" w:pos="1021"/>
        </w:tabs>
        <w:ind w:left="1021" w:hanging="511"/>
      </w:pPr>
      <w:rPr>
        <w:rFonts w:hint="eastAsia"/>
        <w:sz w:val="21"/>
      </w:rPr>
    </w:lvl>
  </w:abstractNum>
  <w:abstractNum w:abstractNumId="4">
    <w:nsid w:val="39D90235"/>
    <w:multiLevelType w:val="singleLevel"/>
    <w:tmpl w:val="5366C8E2"/>
    <w:lvl w:ilvl="0">
      <w:start w:val="1"/>
      <w:numFmt w:val="bullet"/>
      <w:pStyle w:val="a"/>
      <w:lvlText w:val=""/>
      <w:lvlJc w:val="left"/>
      <w:pPr>
        <w:tabs>
          <w:tab w:val="num" w:pos="510"/>
        </w:tabs>
        <w:ind w:left="510" w:hanging="510"/>
      </w:pPr>
      <w:rPr>
        <w:rFonts w:ascii="Symbol" w:hAnsi="Symbol" w:hint="default"/>
      </w:rPr>
    </w:lvl>
  </w:abstractNum>
  <w:abstractNum w:abstractNumId="5">
    <w:nsid w:val="507317FD"/>
    <w:multiLevelType w:val="singleLevel"/>
    <w:tmpl w:val="4DFAD5FA"/>
    <w:lvl w:ilvl="0">
      <w:start w:val="1"/>
      <w:numFmt w:val="bullet"/>
      <w:pStyle w:val="a0"/>
      <w:lvlText w:val=""/>
      <w:lvlJc w:val="left"/>
      <w:pPr>
        <w:tabs>
          <w:tab w:val="num" w:pos="510"/>
        </w:tabs>
        <w:ind w:left="510" w:hanging="510"/>
      </w:pPr>
      <w:rPr>
        <w:rFonts w:ascii="Symbol" w:hAnsi="Symbol" w:hint="default"/>
        <w:sz w:val="16"/>
      </w:rPr>
    </w:lvl>
  </w:abstractNum>
  <w:abstractNum w:abstractNumId="6">
    <w:nsid w:val="77350EFD"/>
    <w:multiLevelType w:val="hybridMultilevel"/>
    <w:tmpl w:val="69E6189C"/>
    <w:lvl w:ilvl="0" w:tplc="6FC2CCC8">
      <w:start w:val="1"/>
      <w:numFmt w:val="decimal"/>
      <w:lvlText w:val="(%1)"/>
      <w:lvlJc w:val="right"/>
      <w:pPr>
        <w:tabs>
          <w:tab w:val="num" w:pos="1531"/>
        </w:tabs>
        <w:ind w:left="1531" w:hanging="227"/>
      </w:pPr>
      <w:rPr>
        <w:rFonts w:ascii="Times New Roman" w:hAnsi="Times New Roman" w:hint="default"/>
        <w:b w:val="0"/>
        <w:i w:val="0"/>
        <w:snapToGrid w:val="0"/>
        <w:spacing w:val="0"/>
        <w:w w:val="100"/>
        <w:kern w:val="0"/>
        <w:position w:val="3"/>
        <w:sz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3"/>
  </w:num>
  <w:num w:numId="2">
    <w:abstractNumId w:val="5"/>
  </w:num>
  <w:num w:numId="3">
    <w:abstractNumId w:val="4"/>
  </w:num>
  <w:num w:numId="4">
    <w:abstractNumId w:val="2"/>
  </w:num>
  <w:num w:numId="5">
    <w:abstractNumId w:val="3"/>
  </w:num>
  <w:num w:numId="6">
    <w:abstractNumId w:val="5"/>
  </w:num>
  <w:num w:numId="7">
    <w:abstractNumId w:val="4"/>
  </w:num>
  <w:num w:numId="8">
    <w:abstractNumId w:val="2"/>
  </w:num>
  <w:num w:numId="9">
    <w:abstractNumId w:val="3"/>
  </w:num>
  <w:num w:numId="10">
    <w:abstractNumId w:val="5"/>
  </w:num>
  <w:num w:numId="11">
    <w:abstractNumId w:val="4"/>
  </w:num>
  <w:num w:numId="12">
    <w:abstractNumId w:val="2"/>
  </w:num>
  <w:num w:numId="13">
    <w:abstractNumId w:val="3"/>
  </w:num>
  <w:num w:numId="14">
    <w:abstractNumId w:val="5"/>
  </w:num>
  <w:num w:numId="15">
    <w:abstractNumId w:val="4"/>
  </w:num>
  <w:num w:numId="16">
    <w:abstractNumId w:val="5"/>
  </w:num>
  <w:num w:numId="17">
    <w:abstractNumId w:val="4"/>
  </w:num>
  <w:num w:numId="18">
    <w:abstractNumId w:val="0"/>
  </w:num>
  <w:num w:numId="19">
    <w:abstractNumId w:val="5"/>
  </w:num>
  <w:num w:numId="20">
    <w:abstractNumId w:val="4"/>
  </w:num>
  <w:num w:numId="21">
    <w:abstractNumId w:val="6"/>
  </w:num>
  <w:num w:numId="22">
    <w:abstractNumId w:val="1"/>
  </w:num>
  <w:num w:numId="23">
    <w:abstractNumId w:val="1"/>
  </w:num>
  <w:num w:numId="24">
    <w:abstractNumId w:val="5"/>
  </w:num>
  <w:num w:numId="2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attachedTemplate r:id="rId1"/>
  <w:doNotTrackMoves/>
  <w:defaultTabStop w:val="510"/>
  <w:evenAndOddHeaders/>
  <w:drawingGridHorizontalSpacing w:val="120"/>
  <w:drawingGridVerticalSpacing w:val="104"/>
  <w:displayHorizontalDrawingGridEvery w:val="0"/>
  <w:displayVerticalDrawingGridEvery w:val="3"/>
  <w:noPunctuationKerning/>
  <w:characterSpacingControl w:val="doNotCompress"/>
  <w:hdrShapeDefaults>
    <o:shapedefaults v:ext="edit" spidmax="3074"/>
    <o:shapelayout v:ext="edit">
      <o:idmap v:ext="edit" data="1"/>
    </o:shapelayout>
  </w:hdrShapeDefaults>
  <w:footnotePr>
    <w:footnote w:id="-1"/>
    <w:footnote w:id="0"/>
  </w:footnotePr>
  <w:endnotePr>
    <w:numFmt w:val="decimal"/>
    <w:endnote w:id="-1"/>
    <w:endnote w:id="0"/>
  </w:endnotePr>
  <w:compat>
    <w:spaceForUL/>
    <w:balanceSingleByteDoubleByteWidth/>
    <w:doNotLeaveBackslashAlone/>
    <w:ulTrailSpace/>
    <w:doNotExpandShiftReturn/>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overflowPunct w:val="0"/>
      <w:adjustRightInd w:val="0"/>
      <w:snapToGrid w:val="0"/>
      <w:spacing w:line="336" w:lineRule="auto"/>
      <w:jc w:val="both"/>
    </w:pPr>
    <w:rPr>
      <w:snapToGrid w:val="0"/>
      <w:spacing w:val="10"/>
      <w:sz w:val="24"/>
      <w:lang w:val="en-US" w:eastAsia="zh-CN"/>
    </w:rPr>
  </w:style>
  <w:style w:type="paragraph" w:styleId="Heading1">
    <w:name w:val="heading 1"/>
    <w:basedOn w:val="Normal"/>
    <w:next w:val="Normal"/>
    <w:qFormat/>
    <w:pPr>
      <w:keepNext/>
      <w:keepLines/>
      <w:widowControl w:val="0"/>
      <w:spacing w:after="320" w:line="288" w:lineRule="auto"/>
      <w:jc w:val="center"/>
      <w:outlineLvl w:val="0"/>
    </w:pPr>
    <w:rPr>
      <w:b/>
      <w:snapToGrid/>
      <w:color w:val="000000"/>
      <w:kern w:val="32"/>
      <w:sz w:val="30"/>
    </w:rPr>
  </w:style>
  <w:style w:type="paragraph" w:styleId="Heading2">
    <w:name w:val="heading 2"/>
    <w:basedOn w:val="Normal"/>
    <w:next w:val="Normal"/>
    <w:qFormat/>
    <w:pPr>
      <w:keepNext/>
      <w:keepLines/>
      <w:widowControl w:val="0"/>
      <w:spacing w:after="320" w:line="288" w:lineRule="auto"/>
      <w:jc w:val="center"/>
      <w:outlineLvl w:val="1"/>
    </w:pPr>
    <w:rPr>
      <w:snapToGrid/>
      <w:color w:val="000000"/>
      <w:kern w:val="28"/>
      <w:sz w:val="28"/>
    </w:rPr>
  </w:style>
  <w:style w:type="paragraph" w:styleId="Heading3">
    <w:name w:val="heading 3"/>
    <w:basedOn w:val="Normal"/>
    <w:next w:val="Normal"/>
    <w:qFormat/>
    <w:pPr>
      <w:keepNext/>
      <w:keepLines/>
      <w:widowControl w:val="0"/>
      <w:spacing w:after="320"/>
      <w:jc w:val="center"/>
      <w:outlineLvl w:val="2"/>
    </w:pPr>
    <w:rPr>
      <w:snapToGrid/>
      <w:color w:val="000000"/>
      <w:kern w:val="28"/>
      <w:u w:val="single"/>
    </w:rPr>
  </w:style>
  <w:style w:type="paragraph" w:styleId="Heading4">
    <w:name w:val="heading 4"/>
    <w:basedOn w:val="Normal"/>
    <w:next w:val="Normal"/>
    <w:qFormat/>
    <w:pPr>
      <w:keepNext/>
      <w:keepLines/>
      <w:widowControl w:val="0"/>
      <w:spacing w:after="240"/>
      <w:jc w:val="left"/>
      <w:outlineLvl w:val="3"/>
    </w:pPr>
    <w:rPr>
      <w:snapToGrid/>
      <w:color w:val="000000"/>
      <w:u w:val="single"/>
    </w:rPr>
  </w:style>
  <w:style w:type="paragraph" w:styleId="Heading5">
    <w:name w:val="heading 5"/>
    <w:basedOn w:val="Normal"/>
    <w:next w:val="Normal"/>
    <w:qFormat/>
    <w:pPr>
      <w:keepNext/>
      <w:keepLines/>
      <w:widowControl w:val="0"/>
      <w:tabs>
        <w:tab w:val="left" w:pos="1021"/>
        <w:tab w:val="left" w:pos="1531"/>
        <w:tab w:val="left" w:pos="2041"/>
        <w:tab w:val="left" w:pos="2552"/>
      </w:tabs>
      <w:adjustRightInd/>
      <w:snapToGrid/>
      <w:spacing w:after="240"/>
      <w:outlineLvl w:val="4"/>
    </w:pPr>
    <w:rPr>
      <w:rFonts w:eastAsia="SimHei"/>
      <w:spacing w:val="0"/>
      <w:kern w:val="2"/>
    </w:rPr>
  </w:style>
  <w:style w:type="paragraph" w:styleId="Heading6">
    <w:name w:val="heading 6"/>
    <w:basedOn w:val="Normal"/>
    <w:next w:val="Normal"/>
    <w:qFormat/>
    <w:pPr>
      <w:keepNext/>
      <w:keepLines/>
      <w:widowControl w:val="0"/>
      <w:tabs>
        <w:tab w:val="left" w:pos="510"/>
      </w:tabs>
      <w:adjustRightInd/>
      <w:snapToGrid/>
      <w:spacing w:after="240"/>
      <w:outlineLvl w:val="5"/>
    </w:pPr>
    <w:rPr>
      <w:spacing w:val="0"/>
      <w:kern w:val="2"/>
    </w:rPr>
  </w:style>
  <w:style w:type="paragraph" w:styleId="Heading7">
    <w:name w:val="heading 7"/>
    <w:basedOn w:val="Normal"/>
    <w:next w:val="Normal"/>
    <w:qFormat/>
    <w:pPr>
      <w:keepNext/>
      <w:keepLines/>
      <w:widowControl w:val="0"/>
      <w:tabs>
        <w:tab w:val="left" w:pos="1021"/>
        <w:tab w:val="left" w:pos="1191"/>
      </w:tabs>
      <w:adjustRightInd/>
      <w:snapToGrid/>
      <w:spacing w:after="200"/>
      <w:outlineLvl w:val="6"/>
    </w:pPr>
    <w:rPr>
      <w:spacing w:val="0"/>
      <w:kern w:val="2"/>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widowControl w:val="0"/>
      <w:tabs>
        <w:tab w:val="left" w:pos="1202"/>
        <w:tab w:val="left" w:pos="6124"/>
        <w:tab w:val="left" w:pos="6634"/>
        <w:tab w:val="left" w:pos="7144"/>
        <w:tab w:val="left" w:pos="7655"/>
        <w:tab w:val="left" w:pos="8165"/>
      </w:tabs>
      <w:spacing w:line="264" w:lineRule="auto"/>
      <w:jc w:val="left"/>
    </w:pPr>
    <w:rPr>
      <w:rFonts w:ascii="Courier New" w:hAnsi="Courier New"/>
      <w:snapToGrid/>
      <w:spacing w:val="0"/>
      <w:sz w:val="20"/>
    </w:rPr>
  </w:style>
  <w:style w:type="paragraph" w:styleId="Footer">
    <w:name w:val="footer"/>
    <w:basedOn w:val="Normal"/>
    <w:semiHidden/>
    <w:pPr>
      <w:widowControl w:val="0"/>
      <w:tabs>
        <w:tab w:val="left" w:pos="510"/>
        <w:tab w:val="left" w:pos="1021"/>
        <w:tab w:val="left" w:pos="1531"/>
      </w:tabs>
      <w:spacing w:line="264" w:lineRule="auto"/>
      <w:jc w:val="left"/>
    </w:pPr>
    <w:rPr>
      <w:rFonts w:ascii="Courier New" w:hAnsi="Courier New"/>
      <w:snapToGrid/>
      <w:spacing w:val="0"/>
      <w:sz w:val="20"/>
    </w:rPr>
  </w:style>
  <w:style w:type="character" w:styleId="PageNumber">
    <w:name w:val="page number"/>
    <w:semiHidden/>
    <w:rPr>
      <w:rFonts w:ascii="Courier New" w:eastAsia="SimSun" w:hAnsi="Courier New"/>
      <w:spacing w:val="0"/>
      <w:w w:val="100"/>
      <w:position w:val="0"/>
      <w:sz w:val="20"/>
    </w:rPr>
  </w:style>
  <w:style w:type="paragraph" w:styleId="FootnoteText">
    <w:name w:val="footnote text"/>
    <w:basedOn w:val="Normal"/>
    <w:semiHidden/>
    <w:pPr>
      <w:keepLines/>
      <w:widowControl w:val="0"/>
      <w:spacing w:line="288" w:lineRule="auto"/>
      <w:ind w:firstLine="510"/>
    </w:pPr>
    <w:rPr>
      <w:rFonts w:eastAsia="KaiTi_GB2312"/>
      <w:snapToGrid/>
      <w:spacing w:val="0"/>
    </w:rPr>
  </w:style>
  <w:style w:type="character" w:styleId="FootnoteReference">
    <w:name w:val="footnote reference"/>
    <w:semiHidden/>
    <w:rPr>
      <w:rFonts w:ascii="Times New Roman" w:eastAsia="KaiTi_GB2312" w:hAnsi="Times New Roman"/>
      <w:b/>
      <w:color w:val="0000FF"/>
      <w:spacing w:val="0"/>
      <w:sz w:val="24"/>
      <w:vertAlign w:val="superscript"/>
    </w:rPr>
  </w:style>
  <w:style w:type="paragraph" w:customStyle="1" w:styleId="a1">
    <w:name w:val="首页页眉"/>
    <w:basedOn w:val="Normal"/>
    <w:pPr>
      <w:widowControl w:val="0"/>
      <w:tabs>
        <w:tab w:val="left" w:pos="510"/>
      </w:tabs>
      <w:suppressAutoHyphens/>
      <w:spacing w:line="288" w:lineRule="auto"/>
      <w:jc w:val="left"/>
    </w:pPr>
    <w:rPr>
      <w:rFonts w:ascii="Univers Bold" w:hAnsi="Univers Bold"/>
      <w:snapToGrid/>
      <w:spacing w:val="0"/>
    </w:rPr>
  </w:style>
  <w:style w:type="paragraph" w:customStyle="1" w:styleId="a2">
    <w:name w:val="表决"/>
    <w:basedOn w:val="Normal"/>
    <w:pPr>
      <w:ind w:left="2042" w:hanging="1021"/>
    </w:pPr>
  </w:style>
  <w:style w:type="paragraph" w:styleId="NormalIndent">
    <w:name w:val="Normal Indent"/>
    <w:basedOn w:val="Normal"/>
    <w:semiHidden/>
    <w:pPr>
      <w:widowControl w:val="0"/>
      <w:ind w:firstLine="510"/>
    </w:pPr>
  </w:style>
  <w:style w:type="paragraph" w:customStyle="1" w:styleId="a3">
    <w:name w:val="目录页次"/>
    <w:basedOn w:val="Normal"/>
    <w:pPr>
      <w:widowControl w:val="0"/>
      <w:tabs>
        <w:tab w:val="left" w:pos="510"/>
        <w:tab w:val="left" w:pos="1021"/>
        <w:tab w:val="left" w:pos="1531"/>
        <w:tab w:val="left" w:pos="2041"/>
        <w:tab w:val="right" w:leader="dot" w:pos="8392"/>
        <w:tab w:val="right" w:pos="9185"/>
      </w:tabs>
      <w:ind w:left="510" w:right="1701" w:hanging="510"/>
    </w:pPr>
  </w:style>
  <w:style w:type="paragraph" w:customStyle="1" w:styleId="1L">
    <w:name w:val="页眉1L"/>
    <w:basedOn w:val="Normal"/>
    <w:pPr>
      <w:framePr w:w="1542" w:h="627" w:hSpace="180" w:wrap="around" w:vAnchor="page" w:hAnchor="page" w:x="1469" w:y="1390"/>
      <w:widowControl w:val="0"/>
      <w:tabs>
        <w:tab w:val="left" w:pos="1021"/>
        <w:tab w:val="left" w:pos="1531"/>
      </w:tabs>
      <w:spacing w:line="240" w:lineRule="auto"/>
    </w:pPr>
    <w:rPr>
      <w:rFonts w:ascii="SimHei" w:eastAsia="SimHei"/>
      <w:snapToGrid/>
      <w:spacing w:val="60"/>
      <w:sz w:val="32"/>
    </w:rPr>
  </w:style>
  <w:style w:type="paragraph" w:customStyle="1" w:styleId="1R1">
    <w:name w:val="页眉1R1"/>
    <w:basedOn w:val="Normal"/>
    <w:pPr>
      <w:widowControl w:val="0"/>
      <w:tabs>
        <w:tab w:val="left" w:pos="1021"/>
        <w:tab w:val="left" w:pos="1531"/>
      </w:tabs>
      <w:suppressAutoHyphens/>
      <w:spacing w:line="240" w:lineRule="auto"/>
    </w:pPr>
    <w:rPr>
      <w:rFonts w:ascii="Univers (WN)" w:hAnsi="Univers (WN)"/>
      <w:b/>
      <w:snapToGrid/>
      <w:spacing w:val="0"/>
      <w:sz w:val="60"/>
    </w:rPr>
  </w:style>
  <w:style w:type="paragraph" w:customStyle="1" w:styleId="1m2">
    <w:name w:val="页眉1m2"/>
    <w:basedOn w:val="Normal"/>
    <w:pPr>
      <w:widowControl w:val="0"/>
      <w:tabs>
        <w:tab w:val="left" w:pos="1021"/>
        <w:tab w:val="left" w:pos="1531"/>
      </w:tabs>
      <w:suppressAutoHyphens/>
      <w:spacing w:line="360" w:lineRule="auto"/>
    </w:pPr>
    <w:rPr>
      <w:rFonts w:ascii="SimHei" w:eastAsia="SimHei"/>
      <w:snapToGrid/>
      <w:spacing w:val="60"/>
      <w:sz w:val="40"/>
    </w:rPr>
  </w:style>
  <w:style w:type="paragraph" w:customStyle="1" w:styleId="1m1">
    <w:name w:val="页眉1m1"/>
    <w:basedOn w:val="Normal"/>
    <w:pPr>
      <w:widowControl w:val="0"/>
      <w:tabs>
        <w:tab w:val="left" w:pos="1021"/>
        <w:tab w:val="left" w:pos="1531"/>
      </w:tabs>
      <w:suppressAutoHyphens/>
      <w:spacing w:line="360" w:lineRule="auto"/>
    </w:pPr>
    <w:rPr>
      <w:rFonts w:ascii="SimHei" w:eastAsia="SimHei"/>
      <w:snapToGrid/>
      <w:spacing w:val="40"/>
      <w:sz w:val="40"/>
    </w:rPr>
  </w:style>
  <w:style w:type="paragraph" w:customStyle="1" w:styleId="1R2">
    <w:name w:val="页眉1R2"/>
    <w:basedOn w:val="Normal"/>
    <w:pPr>
      <w:framePr w:w="3101" w:h="1977" w:hSpace="180" w:wrap="around" w:vAnchor="page" w:hAnchor="page" w:x="8549" w:y="2638"/>
      <w:tabs>
        <w:tab w:val="left" w:pos="1202"/>
        <w:tab w:val="left" w:pos="6124"/>
        <w:tab w:val="left" w:pos="6634"/>
        <w:tab w:val="left" w:pos="7144"/>
        <w:tab w:val="left" w:pos="7655"/>
        <w:tab w:val="left" w:pos="8165"/>
      </w:tabs>
      <w:spacing w:line="264" w:lineRule="auto"/>
      <w:jc w:val="left"/>
    </w:pPr>
    <w:rPr>
      <w:rFonts w:ascii="Courier New" w:hAnsi="Courier New"/>
      <w:sz w:val="20"/>
    </w:rPr>
  </w:style>
  <w:style w:type="paragraph" w:customStyle="1" w:styleId="a4">
    <w:name w:val="目录段页次"/>
    <w:basedOn w:val="Normal"/>
    <w:pPr>
      <w:widowControl w:val="0"/>
      <w:tabs>
        <w:tab w:val="left" w:pos="510"/>
        <w:tab w:val="left" w:pos="1021"/>
        <w:tab w:val="left" w:pos="1531"/>
        <w:tab w:val="left" w:pos="2041"/>
        <w:tab w:val="right" w:leader="dot" w:pos="6804"/>
        <w:tab w:val="right" w:pos="7371"/>
        <w:tab w:val="center" w:pos="7541"/>
        <w:tab w:val="left" w:pos="7711"/>
        <w:tab w:val="right" w:pos="9185"/>
      </w:tabs>
      <w:ind w:left="510" w:right="3402" w:hanging="510"/>
    </w:pPr>
  </w:style>
  <w:style w:type="paragraph" w:customStyle="1" w:styleId="UNLOGO">
    <w:name w:val="UNLOGO"/>
    <w:basedOn w:val="Normal"/>
    <w:pPr>
      <w:suppressAutoHyphens/>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val="en-US" w:eastAsia="zh-CN"/>
    </w:rPr>
  </w:style>
  <w:style w:type="paragraph" w:styleId="EndnoteText">
    <w:name w:val="endnote text"/>
    <w:basedOn w:val="FootnoteText"/>
    <w:semiHidden/>
    <w:rPr>
      <w:snapToGrid w:val="0"/>
    </w:rPr>
  </w:style>
  <w:style w:type="paragraph" w:customStyle="1" w:styleId="a5">
    <w:name w:val="居中页眉"/>
    <w:basedOn w:val="Header"/>
    <w:pPr>
      <w:tabs>
        <w:tab w:val="left" w:pos="1202"/>
      </w:tabs>
      <w:snapToGrid/>
      <w:spacing w:line="288" w:lineRule="auto"/>
    </w:pPr>
  </w:style>
  <w:style w:type="paragraph" w:customStyle="1" w:styleId="a6">
    <w:name w:val="悬挂"/>
    <w:basedOn w:val="Normal"/>
    <w:pPr>
      <w:ind w:left="1531" w:hanging="510"/>
    </w:pPr>
  </w:style>
  <w:style w:type="paragraph" w:customStyle="1" w:styleId="a0">
    <w:name w:val="悬挂符号－"/>
    <w:basedOn w:val="a6"/>
    <w:pPr>
      <w:numPr>
        <w:numId w:val="24"/>
      </w:numPr>
      <w:tabs>
        <w:tab w:val="clear" w:pos="510"/>
      </w:tabs>
    </w:pPr>
  </w:style>
  <w:style w:type="paragraph" w:customStyle="1" w:styleId="a7">
    <w:name w:val="目录段次"/>
    <w:basedOn w:val="Normal"/>
    <w:pPr>
      <w:widowControl w:val="0"/>
      <w:tabs>
        <w:tab w:val="left" w:pos="510"/>
        <w:tab w:val="left" w:pos="1021"/>
        <w:tab w:val="left" w:pos="1531"/>
        <w:tab w:val="left" w:pos="2041"/>
        <w:tab w:val="right" w:leader="dot" w:pos="7677"/>
        <w:tab w:val="right" w:pos="8335"/>
        <w:tab w:val="center" w:pos="8505"/>
        <w:tab w:val="left" w:pos="8675"/>
      </w:tabs>
      <w:spacing w:line="288" w:lineRule="auto"/>
      <w:ind w:left="510" w:right="2552" w:hanging="510"/>
    </w:pPr>
  </w:style>
  <w:style w:type="paragraph" w:customStyle="1" w:styleId="a">
    <w:name w:val="悬挂符号●"/>
    <w:basedOn w:val="Normal"/>
    <w:pPr>
      <w:numPr>
        <w:numId w:val="25"/>
      </w:numPr>
      <w:tabs>
        <w:tab w:val="clear" w:pos="510"/>
      </w:tabs>
    </w:pPr>
  </w:style>
  <w:style w:type="paragraph" w:customStyle="1" w:styleId="x">
    <w:name w:val="悬挂[(x)"/>
    <w:basedOn w:val="Normal"/>
    <w:pPr>
      <w:ind w:left="1531" w:hanging="595"/>
    </w:pPr>
  </w:style>
  <w:style w:type="paragraph" w:customStyle="1" w:styleId="12cm">
    <w:name w:val="12cm落款"/>
    <w:basedOn w:val="Normal"/>
    <w:pPr>
      <w:keepLines/>
      <w:widowControl w:val="0"/>
      <w:tabs>
        <w:tab w:val="left" w:pos="510"/>
      </w:tabs>
      <w:spacing w:before="160" w:after="280" w:line="288" w:lineRule="auto"/>
      <w:ind w:left="6804"/>
      <w:jc w:val="left"/>
    </w:pPr>
    <w:rPr>
      <w:snapToGrid/>
      <w:spacing w:val="0"/>
    </w:rPr>
  </w:style>
  <w:style w:type="paragraph" w:customStyle="1" w:styleId="9cm">
    <w:name w:val="9cm落款"/>
    <w:basedOn w:val="Normal"/>
    <w:pPr>
      <w:keepLines/>
      <w:widowControl w:val="0"/>
      <w:tabs>
        <w:tab w:val="left" w:pos="510"/>
      </w:tabs>
      <w:spacing w:before="160" w:after="280" w:line="288" w:lineRule="auto"/>
      <w:ind w:left="5103"/>
      <w:jc w:val="left"/>
    </w:pPr>
    <w:rPr>
      <w:snapToGrid/>
    </w:rPr>
  </w:style>
  <w:style w:type="paragraph" w:customStyle="1" w:styleId="x0">
    <w:name w:val="悬挂“(x)"/>
    <w:basedOn w:val="Normal"/>
    <w:pPr>
      <w:adjustRightInd/>
      <w:ind w:left="1531" w:hanging="794"/>
    </w:pPr>
  </w:style>
  <w:style w:type="character" w:styleId="EndnoteReference">
    <w:name w:val="endnote reference"/>
    <w:semiHidden/>
    <w:rPr>
      <w:rFonts w:ascii="Times New Roman" w:eastAsia="KaiTi_GB2312" w:hAnsi="Times New Roman"/>
      <w:b/>
      <w:color w:val="0000FF"/>
      <w:spacing w:val="0"/>
      <w:sz w:val="24"/>
      <w:vertAlign w:val="superscript"/>
    </w:rPr>
  </w:style>
  <w:style w:type="paragraph" w:customStyle="1" w:styleId="a8">
    <w:name w:val="黑体标题"/>
    <w:next w:val="Normal"/>
    <w:pPr>
      <w:keepNext/>
      <w:keepLines/>
      <w:widowControl w:val="0"/>
      <w:adjustRightInd w:val="0"/>
      <w:spacing w:after="320" w:line="336" w:lineRule="auto"/>
      <w:jc w:val="center"/>
      <w:textAlignment w:val="baseline"/>
    </w:pPr>
    <w:rPr>
      <w:rFonts w:ascii="Univers (WN)" w:eastAsia="SimHei" w:hAnsi="Univers (WN)"/>
      <w:spacing w:val="10"/>
      <w:kern w:val="24"/>
      <w:sz w:val="24"/>
      <w:lang w:val="en-US" w:eastAsia="zh-CN"/>
    </w:rPr>
  </w:style>
  <w:style w:type="paragraph" w:customStyle="1" w:styleId="a9">
    <w:name w:val="楷体"/>
    <w:basedOn w:val="Normal"/>
    <w:pPr>
      <w:widowControl w:val="0"/>
    </w:pPr>
    <w:rPr>
      <w:rFonts w:eastAsia="KaiTi_GB2312"/>
      <w:snapToGrid/>
      <w:spacing w:val="0"/>
    </w:rPr>
  </w:style>
  <w:style w:type="paragraph" w:customStyle="1" w:styleId="aa">
    <w:name w:val="表中文字"/>
    <w:basedOn w:val="Normal"/>
    <w:pPr>
      <w:spacing w:line="320" w:lineRule="exact"/>
    </w:pPr>
    <w:rPr>
      <w:spacing w:val="0"/>
      <w:sz w:val="21"/>
    </w:rPr>
  </w:style>
  <w:style w:type="paragraph" w:customStyle="1" w:styleId="ab">
    <w:name w:val="横眉"/>
    <w:basedOn w:val="Header"/>
    <w:autoRedefine/>
    <w:pPr>
      <w:tabs>
        <w:tab w:val="left" w:pos="1202"/>
      </w:tabs>
      <w:snapToGrid/>
      <w:spacing w:line="160" w:lineRule="exact"/>
    </w:pPr>
  </w:style>
  <w:style w:type="paragraph" w:customStyle="1" w:styleId="ac">
    <w:name w:val="目录"/>
    <w:basedOn w:val="Normal"/>
    <w:autoRedefine/>
    <w:pPr>
      <w:widowControl w:val="0"/>
      <w:tabs>
        <w:tab w:val="left" w:pos="510"/>
        <w:tab w:val="left" w:pos="7201"/>
        <w:tab w:val="left" w:pos="7711"/>
        <w:tab w:val="left" w:pos="8618"/>
        <w:tab w:val="right" w:pos="9356"/>
      </w:tabs>
      <w:spacing w:line="360" w:lineRule="auto"/>
      <w:jc w:val="left"/>
    </w:pPr>
    <w:rPr>
      <w:rFonts w:eastAsia="KaiTi_GB2312"/>
      <w:noProof/>
      <w:snapToGrid/>
      <w:spacing w:val="0"/>
    </w:rPr>
  </w:style>
  <w:style w:type="paragraph" w:styleId="BodyText">
    <w:name w:val="Body Text"/>
    <w:basedOn w:val="Normal"/>
    <w:semiHidden/>
    <w:pPr>
      <w:widowControl w:val="0"/>
    </w:pPr>
    <w:rPr>
      <w:snapToGrid/>
    </w:rPr>
  </w:style>
  <w:style w:type="paragraph" w:customStyle="1" w:styleId="cdL1">
    <w:name w:val="cdL1"/>
    <w:basedOn w:val="Normal"/>
    <w:pPr>
      <w:widowControl w:val="0"/>
      <w:tabs>
        <w:tab w:val="left" w:pos="510"/>
      </w:tabs>
    </w:pPr>
    <w:rPr>
      <w:snapToGrid/>
      <w:spacing w:val="0"/>
    </w:rPr>
  </w:style>
  <w:style w:type="paragraph" w:customStyle="1" w:styleId="ad">
    <w:name w:val="正文缩进"/>
    <w:basedOn w:val="Normal"/>
    <w:pPr>
      <w:ind w:left="1021" w:firstLine="51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_rels/settings.xml.rels><?xml version="1.0" encoding="UTF-8" standalone="yes"?>
<Relationships xmlns="http://schemas.openxmlformats.org/package/2006/relationships"><Relationship Id="rId1" Type="http://schemas.openxmlformats.org/officeDocument/2006/relationships/attachedTemplate" Target="file:///C:\WINDOWS\TEMPLATE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15</TotalTime>
  <Pages>1</Pages>
  <Words>570</Words>
  <Characters>3249</Characters>
  <Application>Microsoft Office Word</Application>
  <DocSecurity>4</DocSecurity>
  <Lines>27</Lines>
  <Paragraphs>6</Paragraphs>
  <ScaleCrop>false</ScaleCrop>
  <HeadingPairs>
    <vt:vector size="4" baseType="variant">
      <vt:variant>
        <vt:lpstr>题目</vt:lpstr>
      </vt:variant>
      <vt:variant>
        <vt:i4>1</vt:i4>
      </vt:variant>
      <vt:variant>
        <vt:lpstr>标题</vt:lpstr>
      </vt:variant>
      <vt:variant>
        <vt:i4>8</vt:i4>
      </vt:variant>
    </vt:vector>
  </HeadingPairs>
  <TitlesOfParts>
    <vt:vector size="9" baseType="lpstr">
      <vt:lpstr>E.dot</vt:lpstr>
      <vt:lpstr>    审议缔约国根据《公约》第16和第17条 提交的报告</vt:lpstr>
      <vt:lpstr>        经济、社会、文化权利委员会的 结论性意见</vt:lpstr>
      <vt:lpstr>        爱 尔 兰</vt:lpstr>
      <vt:lpstr>        A.  导  言</vt:lpstr>
      <vt:lpstr>        B.  积极方面</vt:lpstr>
      <vt:lpstr>        C.  妨碍执行《公约》的因素和困难</vt:lpstr>
      <vt:lpstr>        D.  主要关注问题</vt:lpstr>
      <vt:lpstr>        E.  意见和建议</vt:lpstr>
    </vt:vector>
  </TitlesOfParts>
  <Company>ONU</Company>
  <LinksUpToDate>false</LinksUpToDate>
  <CharactersWithSpaces>3990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E.dot</dc:title>
  <dc:subject/>
  <dc:creator>Kong</dc:creator>
  <cp:keywords/>
  <cp:lastModifiedBy>CHANG</cp:lastModifiedBy>
  <cp:revision>7</cp:revision>
  <cp:lastPrinted>2002-06-26T11:53:00Z</cp:lastPrinted>
  <dcterms:created xsi:type="dcterms:W3CDTF">2002-06-26T11:46:00Z</dcterms:created>
  <dcterms:modified xsi:type="dcterms:W3CDTF">2002-06-27T13:42:00Z</dcterms:modified>
</cp:coreProperties>
</file>