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2"/>
        <w:spacing w:before="240"/>
      </w:pPr>
    </w:p>
    <w:p w:rsidR="00000000" w:rsidRDefault="00000000">
      <w:pPr>
        <w:pStyle w:val="Heading2"/>
        <w:spacing w:before="240"/>
        <w:rPr>
          <w:rFonts w:hint="eastAsia"/>
          <w:color w:val="000000"/>
        </w:rPr>
      </w:pPr>
      <w:r>
        <w:rPr>
          <w:rFonts w:hint="eastAsia"/>
        </w:rPr>
        <w:t>缔约国根据《儿童权利公约》关于买卖儿童、儿童卖淫和</w:t>
      </w:r>
      <w:r>
        <w:br/>
      </w:r>
      <w:r>
        <w:rPr>
          <w:rFonts w:hint="eastAsia"/>
        </w:rPr>
        <w:t>儿童色情制品问题的任择议定书第</w:t>
      </w:r>
      <w:r>
        <w:rPr>
          <w:rFonts w:hint="eastAsia"/>
          <w:bCs/>
          <w:snapToGrid/>
          <w:kern w:val="0"/>
        </w:rPr>
        <w:t>12</w:t>
      </w:r>
      <w:r>
        <w:rPr>
          <w:rFonts w:hint="eastAsia"/>
        </w:rPr>
        <w:t>条</w:t>
      </w:r>
      <w:r>
        <w:rPr>
          <w:rFonts w:hint="eastAsia"/>
          <w:color w:val="000000"/>
        </w:rPr>
        <w:t>第</w:t>
      </w:r>
      <w:r>
        <w:rPr>
          <w:rFonts w:hint="eastAsia"/>
          <w:bCs/>
          <w:snapToGrid/>
          <w:color w:val="000000"/>
          <w:kern w:val="0"/>
        </w:rPr>
        <w:t>1</w:t>
      </w:r>
      <w:r>
        <w:rPr>
          <w:rFonts w:hint="eastAsia"/>
          <w:color w:val="000000"/>
        </w:rPr>
        <w:t>款</w:t>
      </w:r>
      <w:r>
        <w:br/>
      </w:r>
      <w:r>
        <w:rPr>
          <w:rFonts w:hint="eastAsia"/>
          <w:color w:val="000000"/>
        </w:rPr>
        <w:t>提交初次报告的修订准则</w:t>
      </w:r>
    </w:p>
    <w:p w:rsidR="00000000" w:rsidRDefault="00000000">
      <w:pPr>
        <w:pStyle w:val="Heading3"/>
        <w:spacing w:beforeAutospacing="1" w:line="312" w:lineRule="auto"/>
        <w:rPr>
          <w:snapToGrid/>
          <w:kern w:val="0"/>
          <w:u w:val="none"/>
        </w:rPr>
      </w:pPr>
      <w:r>
        <w:rPr>
          <w:rFonts w:hint="eastAsia"/>
          <w:snapToGrid/>
          <w:kern w:val="0"/>
          <w:u w:val="none"/>
        </w:rPr>
        <w:t>委员会第四十三届会议于</w:t>
      </w:r>
      <w:r>
        <w:rPr>
          <w:rFonts w:hint="eastAsia"/>
          <w:snapToGrid/>
          <w:kern w:val="0"/>
          <w:u w:val="none"/>
        </w:rPr>
        <w:t>2006</w:t>
      </w:r>
      <w:r>
        <w:rPr>
          <w:rFonts w:hint="eastAsia"/>
          <w:snapToGrid/>
          <w:kern w:val="0"/>
          <w:u w:val="none"/>
        </w:rPr>
        <w:t>年</w:t>
      </w:r>
      <w:r>
        <w:rPr>
          <w:rFonts w:hint="eastAsia"/>
          <w:snapToGrid/>
          <w:kern w:val="0"/>
          <w:u w:val="none"/>
        </w:rPr>
        <w:t>9</w:t>
      </w:r>
      <w:r>
        <w:rPr>
          <w:rFonts w:hint="eastAsia"/>
          <w:snapToGrid/>
          <w:kern w:val="0"/>
          <w:u w:val="none"/>
        </w:rPr>
        <w:t>月</w:t>
      </w:r>
      <w:r>
        <w:rPr>
          <w:rFonts w:hint="eastAsia"/>
          <w:snapToGrid/>
          <w:kern w:val="0"/>
          <w:u w:val="none"/>
        </w:rPr>
        <w:t>29</w:t>
      </w:r>
      <w:r>
        <w:rPr>
          <w:rFonts w:hint="eastAsia"/>
          <w:snapToGrid/>
          <w:kern w:val="0"/>
          <w:u w:val="none"/>
        </w:rPr>
        <w:t>日通过</w:t>
      </w:r>
    </w:p>
    <w:p w:rsidR="00000000" w:rsidRDefault="00000000"/>
    <w:p w:rsidR="00000000" w:rsidRDefault="00000000">
      <w:pPr>
        <w:pStyle w:val="Heading2"/>
        <w:spacing w:beforeAutospacing="1" w:after="240" w:line="312" w:lineRule="auto"/>
        <w:rPr>
          <w:snapToGrid/>
          <w:kern w:val="0"/>
        </w:rPr>
      </w:pPr>
      <w:r>
        <w:rPr>
          <w:rFonts w:hint="eastAsia"/>
          <w:snapToGrid/>
          <w:kern w:val="0"/>
        </w:rPr>
        <w:t>导</w:t>
      </w:r>
      <w:r>
        <w:rPr>
          <w:snapToGrid/>
          <w:kern w:val="0"/>
        </w:rPr>
        <w:t xml:space="preserve">  </w:t>
      </w:r>
      <w:r>
        <w:rPr>
          <w:rFonts w:hint="eastAsia"/>
          <w:snapToGrid/>
          <w:kern w:val="0"/>
        </w:rPr>
        <w:t>言</w:t>
      </w:r>
    </w:p>
    <w:p w:rsidR="00000000" w:rsidRDefault="00000000">
      <w:pPr>
        <w:rPr>
          <w:rFonts w:hint="eastAsia"/>
        </w:rPr>
      </w:pPr>
      <w:r>
        <w:tab/>
      </w:r>
      <w:r>
        <w:rPr>
          <w:rFonts w:hint="eastAsia"/>
        </w:rPr>
        <w:t>根据任择议定书第</w:t>
      </w:r>
      <w:r>
        <w:rPr>
          <w:rFonts w:hint="eastAsia"/>
        </w:rPr>
        <w:t>12</w:t>
      </w:r>
      <w:r>
        <w:rPr>
          <w:rFonts w:hint="eastAsia"/>
        </w:rPr>
        <w:t>条第</w:t>
      </w:r>
      <w:r>
        <w:rPr>
          <w:rFonts w:hint="eastAsia"/>
        </w:rPr>
        <w:t>1</w:t>
      </w:r>
      <w:r>
        <w:rPr>
          <w:rFonts w:hint="eastAsia"/>
        </w:rPr>
        <w:t>款，每一缔约国应在议定书生效后两年内向儿童权利委员会</w:t>
      </w:r>
      <w:r>
        <w:rPr>
          <w:rFonts w:hint="eastAsia"/>
        </w:rPr>
        <w:t>(</w:t>
      </w:r>
      <w:r>
        <w:rPr>
          <w:rFonts w:hint="eastAsia"/>
        </w:rPr>
        <w:t>“委员会”</w:t>
      </w:r>
      <w:r>
        <w:rPr>
          <w:rFonts w:hint="eastAsia"/>
        </w:rPr>
        <w:t>)</w:t>
      </w:r>
      <w:r>
        <w:rPr>
          <w:rFonts w:hint="eastAsia"/>
        </w:rPr>
        <w:t>提交一份报告，提供其为执行议定书的规定而采取的各项措施的详尽资料。其后，根据该议定书提交其初次报告的每一缔约国应在其根据《公约》第</w:t>
      </w:r>
      <w:r>
        <w:rPr>
          <w:rFonts w:hint="eastAsia"/>
        </w:rPr>
        <w:t>44</w:t>
      </w:r>
      <w:r>
        <w:rPr>
          <w:rFonts w:hint="eastAsia"/>
        </w:rPr>
        <w:t>条</w:t>
      </w:r>
      <w:r>
        <w:rPr>
          <w:rFonts w:hint="eastAsia"/>
        </w:rPr>
        <w:t>1(b)</w:t>
      </w:r>
      <w:r>
        <w:rPr>
          <w:rFonts w:hint="eastAsia"/>
        </w:rPr>
        <w:t>款提交的报告中列入执行议定书的任何进一步资料。非《公约》缔约国的任择议定书缔约国应在本议定书生效后两年内及其后每五年提交一份报告。</w:t>
      </w:r>
    </w:p>
    <w:p w:rsidR="00000000" w:rsidRDefault="00000000">
      <w:r>
        <w:rPr>
          <w:rFonts w:hint="eastAsia"/>
        </w:rPr>
        <w:tab/>
      </w:r>
      <w:r>
        <w:rPr>
          <w:rFonts w:hint="eastAsia"/>
        </w:rPr>
        <w:t>缔约国根据任择议定书第</w:t>
      </w:r>
      <w:r>
        <w:rPr>
          <w:rFonts w:hint="eastAsia"/>
        </w:rPr>
        <w:t>12</w:t>
      </w:r>
      <w:r>
        <w:rPr>
          <w:rFonts w:hint="eastAsia"/>
        </w:rPr>
        <w:t>条第</w:t>
      </w:r>
      <w:r>
        <w:rPr>
          <w:rFonts w:hint="eastAsia"/>
        </w:rPr>
        <w:t>1</w:t>
      </w:r>
      <w:r>
        <w:rPr>
          <w:rFonts w:hint="eastAsia"/>
        </w:rPr>
        <w:t>款提交的初次报告的准则由委员会在</w:t>
      </w:r>
      <w:r>
        <w:rPr>
          <w:rFonts w:hint="eastAsia"/>
        </w:rPr>
        <w:t>2002</w:t>
      </w:r>
      <w:r>
        <w:rPr>
          <w:rFonts w:hint="eastAsia"/>
        </w:rPr>
        <w:t>年</w:t>
      </w:r>
      <w:r>
        <w:rPr>
          <w:rFonts w:hint="eastAsia"/>
        </w:rPr>
        <w:t>2</w:t>
      </w:r>
      <w:r>
        <w:rPr>
          <w:rFonts w:hint="eastAsia"/>
        </w:rPr>
        <w:t>月</w:t>
      </w:r>
      <w:r>
        <w:rPr>
          <w:rFonts w:hint="eastAsia"/>
        </w:rPr>
        <w:t>1</w:t>
      </w:r>
      <w:r>
        <w:rPr>
          <w:rFonts w:hint="eastAsia"/>
        </w:rPr>
        <w:t>日第</w:t>
      </w:r>
      <w:r>
        <w:rPr>
          <w:rFonts w:hint="eastAsia"/>
        </w:rPr>
        <w:t>777</w:t>
      </w:r>
      <w:r>
        <w:rPr>
          <w:rFonts w:hint="eastAsia"/>
        </w:rPr>
        <w:t>次会议上通过。经过对所收到的报告进行审查，委员会又通过了经修订的准则，以便协助尚未提交报告的缔约国更好地了解委员会认为对于了解和评估各缔约国在履行义务方面取得的进展所必要的资料和数据，以及对于使委员会能够向这些国家提出适当的意见和建议所必要的资料和数据。</w:t>
      </w:r>
    </w:p>
    <w:p w:rsidR="00000000" w:rsidRDefault="00000000">
      <w:pPr>
        <w:rPr>
          <w:rFonts w:hint="eastAsia"/>
        </w:rPr>
      </w:pPr>
      <w:r>
        <w:br w:type="page"/>
      </w:r>
      <w:r>
        <w:rPr>
          <w:rFonts w:hint="eastAsia"/>
        </w:rPr>
        <w:tab/>
      </w:r>
      <w:r>
        <w:rPr>
          <w:rFonts w:hint="eastAsia"/>
        </w:rPr>
        <w:t>经修订的准则分为八节。第一节载有报告过程的一般准则，第二节讲述数据，第三节讲述与议定书有关的一般执行措施。第四至第八节讲述议定书所确认的实质性义务：第四节讲述防止</w:t>
      </w:r>
      <w:r>
        <w:rPr>
          <w:rFonts w:hint="eastAsia"/>
          <w:color w:val="000000"/>
        </w:rPr>
        <w:t>买卖儿童、儿童卖淫和儿童色情制品问题；</w:t>
      </w:r>
      <w:r>
        <w:rPr>
          <w:rFonts w:hint="eastAsia"/>
        </w:rPr>
        <w:t>第五节讲述对这些行径治罪的问题及有关事项；第六节讲述保护受害儿童权利问题；第七节讲述国际援助和合作问题；第八节述及国家法或国际法的其他有关规定。</w:t>
      </w:r>
    </w:p>
    <w:p w:rsidR="00000000" w:rsidRDefault="00000000">
      <w:pPr>
        <w:spacing w:after="320" w:line="326" w:lineRule="auto"/>
        <w:rPr>
          <w:rFonts w:hint="eastAsia"/>
        </w:rPr>
      </w:pPr>
      <w:r>
        <w:rPr>
          <w:rFonts w:hint="eastAsia"/>
        </w:rPr>
        <w:tab/>
      </w:r>
      <w:r>
        <w:rPr>
          <w:rFonts w:hint="eastAsia"/>
        </w:rPr>
        <w:t>委员会特别希望提请各缔约国注意这些准则的附件，这些附件对某些问题提供了额外的指导，并且进一步指出缔约国编写一份关于议定书执行情况的全面报告所需要的资料。</w:t>
      </w:r>
    </w:p>
    <w:p w:rsidR="00000000" w:rsidRDefault="00000000">
      <w:pPr>
        <w:pStyle w:val="Heading2"/>
        <w:spacing w:line="326" w:lineRule="auto"/>
        <w:rPr>
          <w:rFonts w:hint="eastAsia"/>
          <w:kern w:val="0"/>
        </w:rPr>
      </w:pPr>
      <w:r>
        <w:rPr>
          <w:rFonts w:hint="eastAsia"/>
          <w:kern w:val="0"/>
        </w:rPr>
        <w:t>一、一般准则</w:t>
      </w:r>
    </w:p>
    <w:p w:rsidR="00000000" w:rsidRDefault="00000000">
      <w:pPr>
        <w:spacing w:line="326" w:lineRule="auto"/>
        <w:rPr>
          <w:rFonts w:hint="eastAsia"/>
        </w:rPr>
      </w:pPr>
      <w:r>
        <w:rPr>
          <w:rFonts w:hint="eastAsia"/>
        </w:rPr>
        <w:tab/>
        <w:t>1.</w:t>
      </w:r>
      <w:r>
        <w:rPr>
          <w:rFonts w:hint="eastAsia"/>
        </w:rPr>
        <w:tab/>
      </w:r>
      <w:r>
        <w:rPr>
          <w:rFonts w:hint="eastAsia"/>
        </w:rPr>
        <w:t>根据任择议定书第</w:t>
      </w:r>
      <w:r>
        <w:rPr>
          <w:rFonts w:hint="eastAsia"/>
        </w:rPr>
        <w:t>12</w:t>
      </w:r>
      <w:r>
        <w:rPr>
          <w:rFonts w:hint="eastAsia"/>
        </w:rPr>
        <w:t>条第</w:t>
      </w:r>
      <w:r>
        <w:rPr>
          <w:rFonts w:hint="eastAsia"/>
        </w:rPr>
        <w:t>1</w:t>
      </w:r>
      <w:r>
        <w:rPr>
          <w:rFonts w:hint="eastAsia"/>
        </w:rPr>
        <w:t>款提交的报告应包含叙述编撰该报告的过程，其中包括政府组织和非政府组织</w:t>
      </w:r>
      <w:r>
        <w:rPr>
          <w:rFonts w:hint="eastAsia"/>
        </w:rPr>
        <w:t>/</w:t>
      </w:r>
      <w:r>
        <w:rPr>
          <w:rFonts w:hint="eastAsia"/>
        </w:rPr>
        <w:t>机构参与起草和宣传报告的情况。联邦制缔约国和有属地或自治区政府的缔约国的报告，应载有介绍联邦各州和属地或自治区如何参与报告工作的概括和分析性的资料。</w:t>
      </w:r>
    </w:p>
    <w:p w:rsidR="00000000" w:rsidRDefault="00000000">
      <w:pPr>
        <w:spacing w:line="326" w:lineRule="auto"/>
        <w:rPr>
          <w:rFonts w:hint="eastAsia"/>
        </w:rPr>
      </w:pPr>
      <w:r>
        <w:rPr>
          <w:rFonts w:hint="eastAsia"/>
        </w:rPr>
        <w:tab/>
        <w:t>2.</w:t>
      </w:r>
      <w:r>
        <w:rPr>
          <w:rFonts w:hint="eastAsia"/>
        </w:rPr>
        <w:tab/>
      </w:r>
      <w:r>
        <w:rPr>
          <w:rFonts w:hint="eastAsia"/>
        </w:rPr>
        <w:t>报告应当表明，在设计和执行缔约国在议定书下所采取的措施时，怎样考虑到《公约》的一般原则，即：不歧视；保障儿童的最大利益；保障儿童的生命、生存和发展权；以及尊重儿童的意见</w:t>
      </w:r>
      <w:r>
        <w:rPr>
          <w:rFonts w:hint="eastAsia"/>
        </w:rPr>
        <w:t>(</w:t>
      </w:r>
      <w:r>
        <w:rPr>
          <w:rFonts w:hint="eastAsia"/>
        </w:rPr>
        <w:t>参看附件</w:t>
      </w:r>
      <w:r>
        <w:rPr>
          <w:rFonts w:hint="eastAsia"/>
        </w:rPr>
        <w:t>)</w:t>
      </w:r>
      <w:r>
        <w:rPr>
          <w:rFonts w:hint="eastAsia"/>
        </w:rPr>
        <w:t>。</w:t>
      </w:r>
    </w:p>
    <w:p w:rsidR="00000000" w:rsidRDefault="00000000">
      <w:pPr>
        <w:spacing w:line="326" w:lineRule="auto"/>
        <w:rPr>
          <w:rFonts w:hint="eastAsia"/>
        </w:rPr>
      </w:pPr>
      <w:r>
        <w:rPr>
          <w:rFonts w:hint="eastAsia"/>
        </w:rPr>
        <w:tab/>
        <w:t>3.</w:t>
      </w:r>
      <w:r>
        <w:rPr>
          <w:rFonts w:hint="eastAsia"/>
        </w:rPr>
        <w:tab/>
      </w:r>
      <w:r>
        <w:rPr>
          <w:rFonts w:hint="eastAsia"/>
        </w:rPr>
        <w:t>由于议定书意在进一步执行《儿童权利公约》，特别是第</w:t>
      </w:r>
      <w:r>
        <w:rPr>
          <w:rFonts w:hint="eastAsia"/>
        </w:rPr>
        <w:t>1</w:t>
      </w:r>
      <w:r>
        <w:rPr>
          <w:rFonts w:hint="eastAsia"/>
        </w:rPr>
        <w:t>、</w:t>
      </w:r>
      <w:r>
        <w:rPr>
          <w:rFonts w:hint="eastAsia"/>
        </w:rPr>
        <w:t>11</w:t>
      </w:r>
      <w:r>
        <w:rPr>
          <w:rFonts w:hint="eastAsia"/>
        </w:rPr>
        <w:t>、</w:t>
      </w:r>
      <w:r>
        <w:rPr>
          <w:rFonts w:hint="eastAsia"/>
        </w:rPr>
        <w:t>21</w:t>
      </w:r>
      <w:r>
        <w:rPr>
          <w:rFonts w:hint="eastAsia"/>
        </w:rPr>
        <w:t>、</w:t>
      </w:r>
      <w:r>
        <w:rPr>
          <w:rFonts w:hint="eastAsia"/>
        </w:rPr>
        <w:t>32</w:t>
      </w:r>
      <w:r>
        <w:rPr>
          <w:rFonts w:hint="eastAsia"/>
        </w:rPr>
        <w:t>、</w:t>
      </w:r>
      <w:r>
        <w:rPr>
          <w:rFonts w:hint="eastAsia"/>
        </w:rPr>
        <w:t>34</w:t>
      </w:r>
      <w:r>
        <w:rPr>
          <w:rFonts w:hint="eastAsia"/>
        </w:rPr>
        <w:t>、</w:t>
      </w:r>
      <w:r>
        <w:rPr>
          <w:rFonts w:hint="eastAsia"/>
        </w:rPr>
        <w:t>35</w:t>
      </w:r>
      <w:r>
        <w:rPr>
          <w:rFonts w:hint="eastAsia"/>
        </w:rPr>
        <w:t>和</w:t>
      </w:r>
      <w:r>
        <w:rPr>
          <w:rFonts w:hint="eastAsia"/>
        </w:rPr>
        <w:t>36</w:t>
      </w:r>
      <w:r>
        <w:rPr>
          <w:rFonts w:hint="eastAsia"/>
        </w:rPr>
        <w:t>条，因此，根据第</w:t>
      </w:r>
      <w:r>
        <w:rPr>
          <w:rFonts w:hint="eastAsia"/>
        </w:rPr>
        <w:t>12</w:t>
      </w:r>
      <w:r>
        <w:rPr>
          <w:rFonts w:hint="eastAsia"/>
        </w:rPr>
        <w:t>条提交的报告应说明为执行议定书而采取的措施如何及在多大程度上促进《公约》的执行，特别是以上所列各条。</w:t>
      </w:r>
    </w:p>
    <w:p w:rsidR="00000000" w:rsidRDefault="00000000">
      <w:pPr>
        <w:spacing w:line="326" w:lineRule="auto"/>
        <w:ind w:firstLine="510"/>
        <w:rPr>
          <w:rFonts w:hint="eastAsia"/>
        </w:rPr>
      </w:pPr>
      <w:r>
        <w:rPr>
          <w:rFonts w:hint="eastAsia"/>
        </w:rPr>
        <w:t xml:space="preserve">4.  </w:t>
      </w:r>
      <w:r>
        <w:rPr>
          <w:rFonts w:hint="eastAsia"/>
        </w:rPr>
        <w:t>报告应载有关于议定书在缔约国国内法中的法律地位及其在一切有关的国内司法管辖中的适用性的资料。</w:t>
      </w:r>
    </w:p>
    <w:p w:rsidR="00000000" w:rsidRDefault="00000000">
      <w:pPr>
        <w:spacing w:line="326" w:lineRule="auto"/>
        <w:ind w:firstLine="510"/>
        <w:rPr>
          <w:rFonts w:hint="eastAsia"/>
        </w:rPr>
      </w:pPr>
      <w:r>
        <w:rPr>
          <w:rFonts w:hint="eastAsia"/>
        </w:rPr>
        <w:t>5.</w:t>
      </w:r>
      <w:r>
        <w:rPr>
          <w:rFonts w:hint="eastAsia"/>
        </w:rPr>
        <w:tab/>
      </w:r>
      <w:r>
        <w:rPr>
          <w:rFonts w:hint="eastAsia"/>
        </w:rPr>
        <w:t>还请缔约国在相关时在报告中列入关于其是否有意向撤销对议定书所作的任何保留的资料。</w:t>
      </w:r>
    </w:p>
    <w:p w:rsidR="00000000" w:rsidRDefault="00000000">
      <w:pPr>
        <w:spacing w:line="326" w:lineRule="auto"/>
        <w:ind w:firstLine="510"/>
        <w:rPr>
          <w:rFonts w:hint="eastAsia"/>
        </w:rPr>
      </w:pPr>
      <w:r>
        <w:rPr>
          <w:rFonts w:hint="eastAsia"/>
        </w:rPr>
        <w:t>6.</w:t>
      </w:r>
      <w:r>
        <w:rPr>
          <w:rFonts w:hint="eastAsia"/>
        </w:rPr>
        <w:tab/>
      </w:r>
      <w:r>
        <w:rPr>
          <w:rFonts w:hint="eastAsia"/>
        </w:rPr>
        <w:t>除了关于为执行议定书所采取的措施的情况之外，报告还应包括：</w:t>
      </w:r>
    </w:p>
    <w:p w:rsidR="00000000" w:rsidRDefault="00000000">
      <w:pPr>
        <w:numPr>
          <w:ilvl w:val="1"/>
          <w:numId w:val="13"/>
        </w:numPr>
        <w:tabs>
          <w:tab w:val="clear" w:pos="1217"/>
        </w:tabs>
        <w:spacing w:line="326" w:lineRule="auto"/>
        <w:ind w:left="1531"/>
        <w:rPr>
          <w:rFonts w:hint="eastAsia"/>
          <w:color w:val="000000"/>
        </w:rPr>
      </w:pPr>
      <w:r>
        <w:rPr>
          <w:rFonts w:hint="eastAsia"/>
        </w:rPr>
        <w:t>在消除</w:t>
      </w:r>
      <w:r>
        <w:rPr>
          <w:rFonts w:hint="eastAsia"/>
          <w:color w:val="000000"/>
        </w:rPr>
        <w:t>买卖儿童、儿童卖淫和儿童色情制品以及确保保护享受议定书所列权利方面取得的进展的资料，包括所具备的可量化的有关数据；</w:t>
      </w:r>
    </w:p>
    <w:p w:rsidR="00000000" w:rsidRDefault="00000000">
      <w:pPr>
        <w:numPr>
          <w:ilvl w:val="1"/>
          <w:numId w:val="13"/>
        </w:numPr>
        <w:tabs>
          <w:tab w:val="clear" w:pos="1217"/>
        </w:tabs>
        <w:spacing w:line="326" w:lineRule="auto"/>
        <w:ind w:left="1531"/>
        <w:rPr>
          <w:rFonts w:hint="eastAsia"/>
        </w:rPr>
      </w:pPr>
      <w:r>
        <w:rPr>
          <w:rFonts w:hint="eastAsia"/>
          <w:color w:val="000000"/>
        </w:rPr>
        <w:t>对于可能具有的影响履行议定书下义务的因素和困难的分析；以及</w:t>
      </w:r>
    </w:p>
    <w:p w:rsidR="00000000" w:rsidRDefault="00000000">
      <w:pPr>
        <w:numPr>
          <w:ilvl w:val="1"/>
          <w:numId w:val="13"/>
        </w:numPr>
        <w:tabs>
          <w:tab w:val="clear" w:pos="1217"/>
        </w:tabs>
        <w:spacing w:line="326" w:lineRule="auto"/>
        <w:ind w:left="1531"/>
        <w:rPr>
          <w:rFonts w:hint="eastAsia"/>
        </w:rPr>
      </w:pPr>
      <w:r>
        <w:rPr>
          <w:rFonts w:hint="eastAsia"/>
          <w:color w:val="000000"/>
        </w:rPr>
        <w:t>以概要形式编订的来自缔约国的所有各自治区或属地的资料</w:t>
      </w:r>
      <w:r>
        <w:rPr>
          <w:rFonts w:hint="eastAsia"/>
          <w:color w:val="000000"/>
        </w:rPr>
        <w:t>(</w:t>
      </w:r>
      <w:r>
        <w:rPr>
          <w:rFonts w:hint="eastAsia"/>
          <w:color w:val="000000"/>
        </w:rPr>
        <w:t>有关此种实体情况的完整文本可以作为报告的附件</w:t>
      </w:r>
      <w:r>
        <w:rPr>
          <w:rFonts w:hint="eastAsia"/>
          <w:color w:val="000000"/>
        </w:rPr>
        <w:t>)</w:t>
      </w:r>
      <w:r>
        <w:rPr>
          <w:rFonts w:hint="eastAsia"/>
          <w:color w:val="000000"/>
        </w:rPr>
        <w:t>。</w:t>
      </w:r>
    </w:p>
    <w:p w:rsidR="00000000" w:rsidRDefault="00000000">
      <w:pPr>
        <w:spacing w:line="326" w:lineRule="auto"/>
        <w:ind w:firstLine="510"/>
        <w:rPr>
          <w:rFonts w:hint="eastAsia"/>
        </w:rPr>
      </w:pPr>
      <w:r>
        <w:rPr>
          <w:rFonts w:hint="eastAsia"/>
        </w:rPr>
        <w:t>7.</w:t>
      </w:r>
      <w:r>
        <w:rPr>
          <w:rFonts w:hint="eastAsia"/>
        </w:rPr>
        <w:tab/>
      </w:r>
      <w:r>
        <w:rPr>
          <w:rFonts w:hint="eastAsia"/>
        </w:rPr>
        <w:t>报告应确切描述缔约国管辖的全部领土和人士执行议定书的情况，包括联邦制缔约国的所有部分、属地或自治区、缔约国的所有军事力量，以及此种力量实行实际有效控制的一切地点。</w:t>
      </w:r>
    </w:p>
    <w:p w:rsidR="00000000" w:rsidRDefault="00000000">
      <w:pPr>
        <w:spacing w:after="320" w:line="326" w:lineRule="auto"/>
        <w:ind w:firstLine="510"/>
        <w:rPr>
          <w:rFonts w:hint="eastAsia"/>
        </w:rPr>
      </w:pPr>
      <w:r>
        <w:rPr>
          <w:rFonts w:hint="eastAsia"/>
        </w:rPr>
        <w:t>8.</w:t>
      </w:r>
      <w:r>
        <w:rPr>
          <w:rFonts w:hint="eastAsia"/>
        </w:rPr>
        <w:tab/>
      </w:r>
      <w:r>
        <w:rPr>
          <w:rFonts w:hint="eastAsia"/>
        </w:rPr>
        <w:t>请缔约国连同根据第</w:t>
      </w:r>
      <w:r>
        <w:rPr>
          <w:rFonts w:hint="eastAsia"/>
        </w:rPr>
        <w:t>12</w:t>
      </w:r>
      <w:r>
        <w:rPr>
          <w:rFonts w:hint="eastAsia"/>
        </w:rPr>
        <w:t>条提交的报告，一并提交主要的立法、行政及其他有关文本、司法决定和有关的研究或报告的复制件。</w:t>
      </w:r>
    </w:p>
    <w:p w:rsidR="00000000" w:rsidRDefault="00000000">
      <w:pPr>
        <w:pStyle w:val="Heading2"/>
        <w:rPr>
          <w:rFonts w:hint="eastAsia"/>
          <w:kern w:val="0"/>
        </w:rPr>
      </w:pPr>
      <w:r>
        <w:rPr>
          <w:rFonts w:hint="eastAsia"/>
          <w:kern w:val="0"/>
        </w:rPr>
        <w:t>二、数</w:t>
      </w:r>
      <w:r>
        <w:rPr>
          <w:rFonts w:hint="eastAsia"/>
          <w:kern w:val="0"/>
        </w:rPr>
        <w:t xml:space="preserve">  </w:t>
      </w:r>
      <w:r>
        <w:rPr>
          <w:rFonts w:hint="eastAsia"/>
          <w:kern w:val="0"/>
        </w:rPr>
        <w:t>据</w:t>
      </w:r>
    </w:p>
    <w:p w:rsidR="00000000" w:rsidRDefault="00000000">
      <w:pPr>
        <w:ind w:firstLine="510"/>
        <w:rPr>
          <w:rFonts w:hint="eastAsia"/>
        </w:rPr>
      </w:pPr>
      <w:r>
        <w:rPr>
          <w:rFonts w:hint="eastAsia"/>
        </w:rPr>
        <w:t>9.</w:t>
      </w:r>
      <w:r>
        <w:rPr>
          <w:rFonts w:hint="eastAsia"/>
        </w:rPr>
        <w:tab/>
      </w:r>
      <w:r>
        <w:rPr>
          <w:rFonts w:hint="eastAsia"/>
        </w:rPr>
        <w:t>根据议定书第</w:t>
      </w:r>
      <w:r>
        <w:rPr>
          <w:rFonts w:hint="eastAsia"/>
        </w:rPr>
        <w:t>12</w:t>
      </w:r>
      <w:r>
        <w:rPr>
          <w:rFonts w:hint="eastAsia"/>
        </w:rPr>
        <w:t>条提交的报告所列数据应尽可能依照性别、区域、年龄及民族和种族、以及依照缔约国认为相关的并能帮助委员会更加确切了解在执行议定书方面取得的进展和任何尚存的差距或挑战的任何其他标准予以分类。报告还应载有关于用以搜集这些数据的机制和程序的相关资料。</w:t>
      </w:r>
    </w:p>
    <w:p w:rsidR="00000000" w:rsidRDefault="00000000">
      <w:pPr>
        <w:ind w:firstLine="510"/>
        <w:rPr>
          <w:rFonts w:hint="eastAsia"/>
        </w:rPr>
      </w:pPr>
      <w:r>
        <w:rPr>
          <w:rFonts w:hint="eastAsia"/>
        </w:rPr>
        <w:t xml:space="preserve">10.  </w:t>
      </w:r>
      <w:r>
        <w:rPr>
          <w:rFonts w:hint="eastAsia"/>
        </w:rPr>
        <w:t>报告应当概述关于缔约国境内买卖儿童现象发生率的现有数据，包括：</w:t>
      </w:r>
    </w:p>
    <w:p w:rsidR="00000000" w:rsidRDefault="00000000">
      <w:pPr>
        <w:numPr>
          <w:ilvl w:val="0"/>
          <w:numId w:val="17"/>
        </w:numPr>
        <w:tabs>
          <w:tab w:val="clear" w:pos="2041"/>
        </w:tabs>
        <w:ind w:left="1531"/>
        <w:rPr>
          <w:rFonts w:hint="eastAsia"/>
        </w:rPr>
      </w:pPr>
      <w:r>
        <w:rPr>
          <w:rFonts w:hint="eastAsia"/>
        </w:rPr>
        <w:t>为了性剥削的目的买卖或转移儿童；</w:t>
      </w:r>
    </w:p>
    <w:p w:rsidR="00000000" w:rsidRDefault="00000000">
      <w:pPr>
        <w:numPr>
          <w:ilvl w:val="0"/>
          <w:numId w:val="17"/>
        </w:numPr>
        <w:tabs>
          <w:tab w:val="clear" w:pos="2041"/>
        </w:tabs>
        <w:ind w:left="1531"/>
        <w:rPr>
          <w:rFonts w:hint="eastAsia"/>
        </w:rPr>
      </w:pPr>
      <w:r>
        <w:rPr>
          <w:rFonts w:hint="eastAsia"/>
        </w:rPr>
        <w:t>为了赚取利润而转移儿童器官；</w:t>
      </w:r>
    </w:p>
    <w:p w:rsidR="00000000" w:rsidRDefault="00000000">
      <w:pPr>
        <w:numPr>
          <w:ilvl w:val="0"/>
          <w:numId w:val="17"/>
        </w:numPr>
        <w:tabs>
          <w:tab w:val="clear" w:pos="2041"/>
        </w:tabs>
        <w:ind w:left="1531"/>
        <w:rPr>
          <w:rFonts w:hint="eastAsia"/>
        </w:rPr>
      </w:pPr>
      <w:r>
        <w:rPr>
          <w:rFonts w:hint="eastAsia"/>
        </w:rPr>
        <w:t>令儿童从事强迫劳动</w:t>
      </w:r>
      <w:r>
        <w:rPr>
          <w:rFonts w:hint="eastAsia"/>
        </w:rPr>
        <w:t>(</w:t>
      </w:r>
      <w:r>
        <w:rPr>
          <w:rFonts w:hint="eastAsia"/>
        </w:rPr>
        <w:t>见附件</w:t>
      </w:r>
      <w:r>
        <w:rPr>
          <w:rFonts w:hint="eastAsia"/>
        </w:rPr>
        <w:t>)</w:t>
      </w:r>
      <w:r>
        <w:rPr>
          <w:rFonts w:hint="eastAsia"/>
        </w:rPr>
        <w:t>；</w:t>
      </w:r>
    </w:p>
    <w:p w:rsidR="00000000" w:rsidRDefault="00000000">
      <w:pPr>
        <w:numPr>
          <w:ilvl w:val="0"/>
          <w:numId w:val="17"/>
        </w:numPr>
        <w:tabs>
          <w:tab w:val="clear" w:pos="2041"/>
        </w:tabs>
        <w:ind w:left="1531"/>
        <w:rPr>
          <w:rFonts w:hint="eastAsia"/>
        </w:rPr>
      </w:pPr>
      <w:r>
        <w:rPr>
          <w:rFonts w:hint="eastAsia"/>
        </w:rPr>
        <w:t>通过使用与《公约》第</w:t>
      </w:r>
      <w:r>
        <w:rPr>
          <w:rFonts w:hint="eastAsia"/>
        </w:rPr>
        <w:t>21</w:t>
      </w:r>
      <w:r>
        <w:rPr>
          <w:rFonts w:hint="eastAsia"/>
        </w:rPr>
        <w:t>条或其他适用的国际标准不相容的方式的中介工作所领养的儿童人数；</w:t>
      </w:r>
    </w:p>
    <w:p w:rsidR="00000000" w:rsidRDefault="00000000">
      <w:pPr>
        <w:numPr>
          <w:ilvl w:val="0"/>
          <w:numId w:val="17"/>
        </w:numPr>
        <w:tabs>
          <w:tab w:val="clear" w:pos="2041"/>
        </w:tabs>
        <w:ind w:left="1531"/>
        <w:rPr>
          <w:rFonts w:hint="eastAsia"/>
        </w:rPr>
      </w:pPr>
      <w:r>
        <w:rPr>
          <w:rFonts w:hint="eastAsia"/>
        </w:rPr>
        <w:t>在缔约国境内发生的任何其他买卖儿童的形式，包括涉及由任何个人或群体以任何形式的报酬将儿童转移给另一人的任何传统做法，以及所具备的关于判断受到此种做法影响的儿童人数的任何指标。</w:t>
      </w:r>
    </w:p>
    <w:p w:rsidR="00000000" w:rsidRDefault="00000000">
      <w:pPr>
        <w:numPr>
          <w:ilvl w:val="0"/>
          <w:numId w:val="17"/>
        </w:numPr>
        <w:tabs>
          <w:tab w:val="clear" w:pos="2041"/>
        </w:tabs>
        <w:ind w:left="1531"/>
        <w:rPr>
          <w:rFonts w:hint="eastAsia"/>
        </w:rPr>
      </w:pPr>
      <w:r>
        <w:rPr>
          <w:rFonts w:hint="eastAsia"/>
        </w:rPr>
        <w:t>人口贩运的受害儿童人数</w:t>
      </w:r>
      <w:r>
        <w:rPr>
          <w:rFonts w:hint="eastAsia"/>
          <w:spacing w:val="-50"/>
        </w:rPr>
        <w:t>―</w:t>
      </w:r>
      <w:r>
        <w:rPr>
          <w:rFonts w:hint="eastAsia"/>
        </w:rPr>
        <w:t>―无论是在缔约国境内、从缔约国境内到其他国家或从其他国家到缔约国境内的贩运</w:t>
      </w:r>
      <w:r>
        <w:rPr>
          <w:rFonts w:hint="eastAsia"/>
          <w:spacing w:val="-50"/>
        </w:rPr>
        <w:t>―</w:t>
      </w:r>
      <w:r>
        <w:rPr>
          <w:rFonts w:hint="eastAsia"/>
        </w:rPr>
        <w:t>―包括贩运此种儿童所涉剥削的类别的资料</w:t>
      </w:r>
      <w:r>
        <w:rPr>
          <w:rFonts w:hint="eastAsia"/>
        </w:rPr>
        <w:t>(</w:t>
      </w:r>
      <w:r>
        <w:rPr>
          <w:rFonts w:hint="eastAsia"/>
        </w:rPr>
        <w:t>见附件</w:t>
      </w:r>
      <w:r>
        <w:rPr>
          <w:rFonts w:hint="eastAsia"/>
        </w:rPr>
        <w:t>)</w:t>
      </w:r>
      <w:r>
        <w:rPr>
          <w:rFonts w:hint="eastAsia"/>
        </w:rPr>
        <w:t>；以及</w:t>
      </w:r>
    </w:p>
    <w:p w:rsidR="00000000" w:rsidRDefault="00000000">
      <w:pPr>
        <w:numPr>
          <w:ilvl w:val="0"/>
          <w:numId w:val="17"/>
        </w:numPr>
        <w:tabs>
          <w:tab w:val="clear" w:pos="2041"/>
        </w:tabs>
        <w:ind w:left="1531"/>
        <w:rPr>
          <w:rFonts w:hint="eastAsia"/>
        </w:rPr>
      </w:pPr>
      <w:r>
        <w:rPr>
          <w:rFonts w:hint="eastAsia"/>
        </w:rPr>
        <w:t>可能时，提供的数据还应显示这些做法在一段时期内的增加或减少。</w:t>
      </w:r>
    </w:p>
    <w:p w:rsidR="00000000" w:rsidRDefault="00000000">
      <w:pPr>
        <w:ind w:firstLine="510"/>
        <w:rPr>
          <w:rFonts w:hint="eastAsia"/>
        </w:rPr>
      </w:pPr>
      <w:r>
        <w:rPr>
          <w:rFonts w:hint="eastAsia"/>
        </w:rPr>
        <w:t xml:space="preserve">11.  </w:t>
      </w:r>
      <w:r>
        <w:rPr>
          <w:rFonts w:hint="eastAsia"/>
        </w:rPr>
        <w:t>报告应归纳关于儿童卖淫的现有数据，包括：</w:t>
      </w:r>
    </w:p>
    <w:p w:rsidR="00000000" w:rsidRDefault="00000000">
      <w:pPr>
        <w:numPr>
          <w:ilvl w:val="0"/>
          <w:numId w:val="19"/>
        </w:numPr>
        <w:tabs>
          <w:tab w:val="clear" w:pos="2041"/>
        </w:tabs>
        <w:ind w:left="1531"/>
        <w:rPr>
          <w:rFonts w:hint="eastAsia"/>
        </w:rPr>
      </w:pPr>
      <w:r>
        <w:rPr>
          <w:rFonts w:hint="eastAsia"/>
        </w:rPr>
        <w:t>缔约国</w:t>
      </w:r>
      <w:r>
        <w:rPr>
          <w:rFonts w:hint="eastAsia"/>
        </w:rPr>
        <w:t xml:space="preserve">18 </w:t>
      </w:r>
      <w:r>
        <w:rPr>
          <w:rFonts w:hint="eastAsia"/>
        </w:rPr>
        <w:t>岁以下从事卖淫的人数；</w:t>
      </w:r>
    </w:p>
    <w:p w:rsidR="00000000" w:rsidRDefault="00000000">
      <w:pPr>
        <w:numPr>
          <w:ilvl w:val="0"/>
          <w:numId w:val="19"/>
        </w:numPr>
        <w:tabs>
          <w:tab w:val="clear" w:pos="2041"/>
        </w:tabs>
        <w:ind w:left="1531"/>
        <w:rPr>
          <w:rFonts w:hint="eastAsia"/>
        </w:rPr>
      </w:pPr>
      <w:r>
        <w:rPr>
          <w:rFonts w:hint="eastAsia"/>
        </w:rPr>
        <w:t>一段时期内儿童卖淫或任何特定儿童卖淫形式的增加或减少</w:t>
      </w:r>
      <w:r>
        <w:rPr>
          <w:rFonts w:hint="eastAsia"/>
        </w:rPr>
        <w:t>(</w:t>
      </w:r>
      <w:r>
        <w:rPr>
          <w:rFonts w:hint="eastAsia"/>
        </w:rPr>
        <w:t>见附件</w:t>
      </w:r>
      <w:r>
        <w:rPr>
          <w:rFonts w:hint="eastAsia"/>
        </w:rPr>
        <w:t>)</w:t>
      </w:r>
      <w:r>
        <w:rPr>
          <w:rFonts w:hint="eastAsia"/>
        </w:rPr>
        <w:t>；以及</w:t>
      </w:r>
    </w:p>
    <w:p w:rsidR="00000000" w:rsidRDefault="00000000">
      <w:pPr>
        <w:numPr>
          <w:ilvl w:val="0"/>
          <w:numId w:val="19"/>
        </w:numPr>
        <w:tabs>
          <w:tab w:val="clear" w:pos="2041"/>
        </w:tabs>
        <w:ind w:left="1531"/>
        <w:rPr>
          <w:rFonts w:hint="eastAsia"/>
        </w:rPr>
      </w:pPr>
      <w:r>
        <w:rPr>
          <w:rFonts w:hint="eastAsia"/>
        </w:rPr>
        <w:t>缔约国境内儿童卖淫与色情旅游的关联程度或缔约国在其境内查知的推销在其他国家涉及儿童卖淫的色情旅游做法的程度。</w:t>
      </w:r>
    </w:p>
    <w:p w:rsidR="00000000" w:rsidRDefault="00000000">
      <w:pPr>
        <w:ind w:firstLine="510"/>
        <w:rPr>
          <w:rFonts w:hint="eastAsia"/>
        </w:rPr>
      </w:pPr>
      <w:r>
        <w:rPr>
          <w:rFonts w:hint="eastAsia"/>
        </w:rPr>
        <w:t xml:space="preserve">12.  </w:t>
      </w:r>
      <w:r>
        <w:rPr>
          <w:rFonts w:hint="eastAsia"/>
        </w:rPr>
        <w:t>报告应概述所具备的关于缔约国境内制作、进口、分销或消费的、表现实际或显然不到</w:t>
      </w:r>
      <w:r>
        <w:rPr>
          <w:rFonts w:hint="eastAsia"/>
        </w:rPr>
        <w:t>18</w:t>
      </w:r>
      <w:r>
        <w:rPr>
          <w:rFonts w:hint="eastAsia"/>
        </w:rPr>
        <w:t>岁的人的色情制品的程度的可资利用的资料，以及有关已经测定或查明的制作、进口、分销或消费儿童色情制品的增加或减少的资料，包括：</w:t>
      </w:r>
    </w:p>
    <w:p w:rsidR="00000000" w:rsidRDefault="00000000">
      <w:pPr>
        <w:numPr>
          <w:ilvl w:val="0"/>
          <w:numId w:val="23"/>
        </w:numPr>
        <w:tabs>
          <w:tab w:val="clear" w:pos="2041"/>
        </w:tabs>
        <w:ind w:left="1531"/>
        <w:rPr>
          <w:rFonts w:hint="eastAsia"/>
        </w:rPr>
      </w:pPr>
      <w:r>
        <w:rPr>
          <w:rFonts w:hint="eastAsia"/>
        </w:rPr>
        <w:t>照片和其他印制材料；</w:t>
      </w:r>
    </w:p>
    <w:p w:rsidR="00000000" w:rsidRDefault="00000000">
      <w:pPr>
        <w:numPr>
          <w:ilvl w:val="0"/>
          <w:numId w:val="23"/>
        </w:numPr>
        <w:tabs>
          <w:tab w:val="clear" w:pos="2041"/>
        </w:tabs>
        <w:ind w:left="1531"/>
        <w:rPr>
          <w:rFonts w:hint="eastAsia"/>
        </w:rPr>
      </w:pPr>
      <w:r>
        <w:rPr>
          <w:rFonts w:hint="eastAsia"/>
        </w:rPr>
        <w:t>录象、电影和电子录制材料；</w:t>
      </w:r>
    </w:p>
    <w:p w:rsidR="00000000" w:rsidRDefault="00000000">
      <w:pPr>
        <w:numPr>
          <w:ilvl w:val="0"/>
          <w:numId w:val="23"/>
        </w:numPr>
        <w:tabs>
          <w:tab w:val="clear" w:pos="2041"/>
        </w:tabs>
        <w:spacing w:line="312" w:lineRule="auto"/>
        <w:ind w:left="1531"/>
        <w:rPr>
          <w:rFonts w:hint="eastAsia"/>
        </w:rPr>
      </w:pPr>
      <w:r>
        <w:rPr>
          <w:rFonts w:hint="eastAsia"/>
        </w:rPr>
        <w:t>载有描述、提供或广告宣传儿童卖淫的照片、录象、电影或动画制作</w:t>
      </w:r>
      <w:r>
        <w:rPr>
          <w:rFonts w:hint="eastAsia"/>
        </w:rPr>
        <w:t>(</w:t>
      </w:r>
      <w:r>
        <w:rPr>
          <w:rFonts w:hint="eastAsia"/>
        </w:rPr>
        <w:t>如卡通片</w:t>
      </w:r>
      <w:r>
        <w:rPr>
          <w:rFonts w:hint="eastAsia"/>
        </w:rPr>
        <w:t>)</w:t>
      </w:r>
      <w:r>
        <w:rPr>
          <w:rFonts w:hint="eastAsia"/>
        </w:rPr>
        <w:t>的互联网网址；以及</w:t>
      </w:r>
    </w:p>
    <w:p w:rsidR="00000000" w:rsidRDefault="00000000">
      <w:pPr>
        <w:numPr>
          <w:ilvl w:val="0"/>
          <w:numId w:val="23"/>
        </w:numPr>
        <w:tabs>
          <w:tab w:val="clear" w:pos="2041"/>
        </w:tabs>
        <w:spacing w:line="312" w:lineRule="auto"/>
        <w:ind w:left="1531"/>
        <w:rPr>
          <w:rFonts w:hint="eastAsia"/>
        </w:rPr>
      </w:pPr>
      <w:r>
        <w:rPr>
          <w:rFonts w:hint="eastAsia"/>
        </w:rPr>
        <w:t>实况表演。</w:t>
      </w:r>
    </w:p>
    <w:p w:rsidR="00000000" w:rsidRDefault="00000000">
      <w:pPr>
        <w:spacing w:after="320" w:line="312" w:lineRule="auto"/>
        <w:rPr>
          <w:rFonts w:hint="eastAsia"/>
        </w:rPr>
      </w:pPr>
      <w:r>
        <w:rPr>
          <w:rFonts w:hint="eastAsia"/>
        </w:rPr>
        <w:t>报告应载有任何所具备的按照罪行性质</w:t>
      </w:r>
      <w:r>
        <w:rPr>
          <w:rFonts w:hint="eastAsia"/>
        </w:rPr>
        <w:t>(</w:t>
      </w:r>
      <w:r>
        <w:rPr>
          <w:rFonts w:hint="eastAsia"/>
        </w:rPr>
        <w:t>买卖儿童、</w:t>
      </w:r>
      <w:r>
        <w:rPr>
          <w:rFonts w:hint="eastAsia"/>
          <w:color w:val="000000"/>
        </w:rPr>
        <w:t>儿童卖淫或儿童色情制品</w:t>
      </w:r>
      <w:r>
        <w:rPr>
          <w:rFonts w:hint="eastAsia"/>
          <w:color w:val="000000"/>
        </w:rPr>
        <w:t>)</w:t>
      </w:r>
      <w:r>
        <w:rPr>
          <w:rFonts w:hint="eastAsia"/>
          <w:color w:val="000000"/>
        </w:rPr>
        <w:t>分类的</w:t>
      </w:r>
      <w:r>
        <w:rPr>
          <w:rFonts w:hint="eastAsia"/>
        </w:rPr>
        <w:t>对于此类罪行的起诉和判罪数目的数据。</w:t>
      </w:r>
    </w:p>
    <w:p w:rsidR="00000000" w:rsidRDefault="00000000">
      <w:pPr>
        <w:pStyle w:val="Heading2"/>
        <w:spacing w:line="312" w:lineRule="auto"/>
        <w:rPr>
          <w:rFonts w:hint="eastAsia"/>
          <w:kern w:val="0"/>
        </w:rPr>
      </w:pPr>
      <w:r>
        <w:rPr>
          <w:rFonts w:hint="eastAsia"/>
          <w:kern w:val="0"/>
        </w:rPr>
        <w:t>三、一般执行措施</w:t>
      </w:r>
    </w:p>
    <w:p w:rsidR="00000000" w:rsidRDefault="00000000">
      <w:pPr>
        <w:spacing w:line="312" w:lineRule="auto"/>
        <w:ind w:firstLine="510"/>
        <w:rPr>
          <w:rFonts w:hint="eastAsia"/>
        </w:rPr>
      </w:pPr>
      <w:r>
        <w:rPr>
          <w:rFonts w:hint="eastAsia"/>
        </w:rPr>
        <w:t xml:space="preserve">13.  </w:t>
      </w:r>
      <w:r>
        <w:rPr>
          <w:rFonts w:hint="eastAsia"/>
        </w:rPr>
        <w:t>提交的报告应载有：</w:t>
      </w:r>
    </w:p>
    <w:p w:rsidR="00000000" w:rsidRDefault="00000000">
      <w:pPr>
        <w:numPr>
          <w:ilvl w:val="0"/>
          <w:numId w:val="25"/>
        </w:numPr>
        <w:tabs>
          <w:tab w:val="clear" w:pos="2041"/>
        </w:tabs>
        <w:spacing w:line="312" w:lineRule="auto"/>
        <w:ind w:left="1531"/>
        <w:rPr>
          <w:rFonts w:hint="eastAsia"/>
        </w:rPr>
      </w:pPr>
      <w:r>
        <w:rPr>
          <w:rFonts w:hint="eastAsia"/>
        </w:rPr>
        <w:t>缔约国的国家、州或地区立法部门或其他主管部门为了实施议定书而通过的所有法律、政令和规章</w:t>
      </w:r>
      <w:r>
        <w:rPr>
          <w:rFonts w:hint="eastAsia"/>
        </w:rPr>
        <w:t>(</w:t>
      </w:r>
      <w:r>
        <w:rPr>
          <w:rFonts w:hint="eastAsia"/>
        </w:rPr>
        <w:t>见附件</w:t>
      </w:r>
      <w:r>
        <w:rPr>
          <w:rFonts w:hint="eastAsia"/>
        </w:rPr>
        <w:t>)</w:t>
      </w:r>
      <w:r>
        <w:rPr>
          <w:rFonts w:hint="eastAsia"/>
        </w:rPr>
        <w:t>；</w:t>
      </w:r>
    </w:p>
    <w:p w:rsidR="00000000" w:rsidRDefault="00000000">
      <w:pPr>
        <w:numPr>
          <w:ilvl w:val="0"/>
          <w:numId w:val="25"/>
        </w:numPr>
        <w:tabs>
          <w:tab w:val="clear" w:pos="2041"/>
        </w:tabs>
        <w:spacing w:line="312" w:lineRule="auto"/>
        <w:ind w:left="1531"/>
        <w:rPr>
          <w:rFonts w:hint="eastAsia"/>
        </w:rPr>
      </w:pPr>
      <w:r>
        <w:rPr>
          <w:rFonts w:hint="eastAsia"/>
        </w:rPr>
        <w:t>缔约国法院就</w:t>
      </w:r>
      <w:r>
        <w:rPr>
          <w:rFonts w:hint="eastAsia"/>
          <w:color w:val="000000"/>
        </w:rPr>
        <w:t>买卖儿童、儿童卖淫和儿童色情制品所通过的任何重大判例，特别是适用《公约》、议定书或本准则所指有关国际文书的判例；</w:t>
      </w:r>
    </w:p>
    <w:p w:rsidR="00000000" w:rsidRDefault="00000000">
      <w:pPr>
        <w:numPr>
          <w:ilvl w:val="0"/>
          <w:numId w:val="25"/>
        </w:numPr>
        <w:tabs>
          <w:tab w:val="clear" w:pos="2041"/>
        </w:tabs>
        <w:spacing w:line="312" w:lineRule="auto"/>
        <w:ind w:left="1531"/>
        <w:rPr>
          <w:rFonts w:hint="eastAsia"/>
          <w:color w:val="000000"/>
        </w:rPr>
      </w:pPr>
      <w:r>
        <w:rPr>
          <w:rFonts w:hint="eastAsia"/>
          <w:color w:val="000000"/>
        </w:rPr>
        <w:t>主要负责执行议定书的政府部门或机关，以及</w:t>
      </w:r>
      <w:r>
        <w:rPr>
          <w:rFonts w:hint="eastAsia"/>
        </w:rPr>
        <w:t>所设立</w:t>
      </w:r>
      <w:r>
        <w:rPr>
          <w:rFonts w:hint="eastAsia"/>
          <w:color w:val="000000"/>
        </w:rPr>
        <w:t>或用于确保这些单位同有关的区域和地方部门、以及</w:t>
      </w:r>
      <w:r>
        <w:rPr>
          <w:rFonts w:hint="eastAsia"/>
        </w:rPr>
        <w:t>同包括工商界、传媒在内的民间团体</w:t>
      </w:r>
      <w:r>
        <w:rPr>
          <w:rFonts w:hint="eastAsia"/>
          <w:color w:val="000000"/>
        </w:rPr>
        <w:t>协调的机制；</w:t>
      </w:r>
    </w:p>
    <w:p w:rsidR="00000000" w:rsidRDefault="00000000">
      <w:pPr>
        <w:numPr>
          <w:ilvl w:val="0"/>
          <w:numId w:val="25"/>
        </w:numPr>
        <w:tabs>
          <w:tab w:val="clear" w:pos="2041"/>
        </w:tabs>
        <w:spacing w:line="312" w:lineRule="auto"/>
        <w:ind w:left="1531"/>
        <w:rPr>
          <w:rFonts w:hint="eastAsia"/>
          <w:color w:val="000000"/>
        </w:rPr>
      </w:pPr>
      <w:r>
        <w:rPr>
          <w:rFonts w:hint="eastAsia"/>
        </w:rPr>
        <w:t>向所有有关的专业和准专业群体、包括入境管理人员和执法人员、法官、社会工作者、教师和立法者宣传议定书并为之举行适当培训的情况；</w:t>
      </w:r>
    </w:p>
    <w:p w:rsidR="00000000" w:rsidRDefault="00000000">
      <w:pPr>
        <w:numPr>
          <w:ilvl w:val="0"/>
          <w:numId w:val="25"/>
        </w:numPr>
        <w:tabs>
          <w:tab w:val="clear" w:pos="2041"/>
        </w:tabs>
        <w:spacing w:line="312" w:lineRule="auto"/>
        <w:ind w:left="1531"/>
        <w:rPr>
          <w:rFonts w:hint="eastAsia"/>
        </w:rPr>
      </w:pPr>
      <w:r>
        <w:rPr>
          <w:rFonts w:hint="eastAsia"/>
        </w:rPr>
        <w:t>用于定期或连续不断搜集和评估有关议定书执行情况的数据和其他资料的机制和程序；</w:t>
      </w:r>
    </w:p>
    <w:p w:rsidR="00000000" w:rsidRDefault="00000000">
      <w:pPr>
        <w:numPr>
          <w:ilvl w:val="0"/>
          <w:numId w:val="25"/>
        </w:numPr>
        <w:tabs>
          <w:tab w:val="clear" w:pos="2041"/>
        </w:tabs>
        <w:spacing w:line="312" w:lineRule="auto"/>
        <w:ind w:left="1531"/>
        <w:rPr>
          <w:rFonts w:hint="eastAsia"/>
        </w:rPr>
      </w:pPr>
      <w:r>
        <w:rPr>
          <w:rFonts w:hint="eastAsia"/>
        </w:rPr>
        <w:t>分拨用于缔约国有关执行议定书的各种活动的预算；</w:t>
      </w:r>
    </w:p>
    <w:p w:rsidR="00000000" w:rsidRDefault="00000000">
      <w:pPr>
        <w:numPr>
          <w:ilvl w:val="0"/>
          <w:numId w:val="25"/>
        </w:numPr>
        <w:tabs>
          <w:tab w:val="clear" w:pos="2041"/>
        </w:tabs>
        <w:spacing w:line="312" w:lineRule="auto"/>
        <w:ind w:left="1531"/>
        <w:rPr>
          <w:rFonts w:hint="eastAsia"/>
          <w:color w:val="000000"/>
        </w:rPr>
      </w:pPr>
      <w:r>
        <w:rPr>
          <w:rFonts w:hint="eastAsia"/>
        </w:rPr>
        <w:t>缔约国关于消除</w:t>
      </w:r>
      <w:r>
        <w:rPr>
          <w:rFonts w:hint="eastAsia"/>
          <w:color w:val="000000"/>
        </w:rPr>
        <w:t>买卖儿童、儿童卖淫和儿童色情制品现象及保护受害人的全面战略，为了加强执行本议定书的努力而采用的任何国家计划或区域计划或特别重要的地方计划，或旨在增进儿童权利、妇女权利人权并包含以消除上述做法或保护受害人为目的的成分的计划的任何组成部分；</w:t>
      </w:r>
    </w:p>
    <w:p w:rsidR="00000000" w:rsidRDefault="00000000">
      <w:pPr>
        <w:numPr>
          <w:ilvl w:val="0"/>
          <w:numId w:val="25"/>
        </w:numPr>
        <w:tabs>
          <w:tab w:val="clear" w:pos="2041"/>
        </w:tabs>
        <w:spacing w:line="312" w:lineRule="auto"/>
        <w:ind w:left="1531"/>
        <w:rPr>
          <w:rFonts w:hint="eastAsia"/>
        </w:rPr>
      </w:pPr>
      <w:r>
        <w:rPr>
          <w:rFonts w:hint="eastAsia"/>
          <w:color w:val="000000"/>
        </w:rPr>
        <w:t>民间团体对于</w:t>
      </w:r>
      <w:r>
        <w:rPr>
          <w:rFonts w:hint="eastAsia"/>
        </w:rPr>
        <w:t>消除</w:t>
      </w:r>
      <w:r>
        <w:rPr>
          <w:rFonts w:hint="eastAsia"/>
          <w:color w:val="000000"/>
        </w:rPr>
        <w:t>买卖儿童、儿童卖淫和儿童色情制品的努力的贡献；以及</w:t>
      </w:r>
    </w:p>
    <w:p w:rsidR="00000000" w:rsidRDefault="00000000">
      <w:pPr>
        <w:numPr>
          <w:ilvl w:val="0"/>
          <w:numId w:val="25"/>
        </w:numPr>
        <w:tabs>
          <w:tab w:val="clear" w:pos="2041"/>
        </w:tabs>
        <w:spacing w:after="320" w:line="312" w:lineRule="auto"/>
        <w:ind w:left="1531"/>
        <w:rPr>
          <w:rFonts w:hint="eastAsia"/>
        </w:rPr>
      </w:pPr>
      <w:r>
        <w:rPr>
          <w:rFonts w:hint="eastAsia"/>
          <w:color w:val="000000"/>
        </w:rPr>
        <w:t>法定的儿童事务监察员或可能设立的维护儿童权利的类似自主公共机构在执行议定书或监测其执行方面所发挥的作用</w:t>
      </w:r>
      <w:r>
        <w:rPr>
          <w:rFonts w:hint="eastAsia"/>
        </w:rPr>
        <w:t>(</w:t>
      </w:r>
      <w:r>
        <w:rPr>
          <w:rFonts w:hint="eastAsia"/>
        </w:rPr>
        <w:t>见附件</w:t>
      </w:r>
      <w:r>
        <w:rPr>
          <w:rFonts w:hint="eastAsia"/>
        </w:rPr>
        <w:t>)</w:t>
      </w:r>
      <w:r>
        <w:rPr>
          <w:rFonts w:hint="eastAsia"/>
        </w:rPr>
        <w:t>。</w:t>
      </w:r>
    </w:p>
    <w:p w:rsidR="00000000" w:rsidRDefault="00000000">
      <w:pPr>
        <w:pStyle w:val="Heading2"/>
        <w:rPr>
          <w:rFonts w:hint="eastAsia"/>
          <w:snapToGrid/>
          <w:spacing w:val="0"/>
          <w:kern w:val="0"/>
          <w:sz w:val="24"/>
        </w:rPr>
      </w:pPr>
      <w:r>
        <w:rPr>
          <w:rFonts w:hint="eastAsia"/>
          <w:snapToGrid/>
          <w:kern w:val="0"/>
        </w:rPr>
        <w:t>四、预</w:t>
      </w:r>
      <w:r>
        <w:rPr>
          <w:snapToGrid/>
          <w:kern w:val="0"/>
        </w:rPr>
        <w:t xml:space="preserve">   </w:t>
      </w:r>
      <w:r>
        <w:rPr>
          <w:rFonts w:hint="eastAsia"/>
          <w:snapToGrid/>
          <w:kern w:val="0"/>
        </w:rPr>
        <w:t>防</w:t>
      </w:r>
      <w:r>
        <w:rPr>
          <w:snapToGrid/>
          <w:kern w:val="0"/>
        </w:rPr>
        <w:br/>
      </w:r>
      <w:r>
        <w:rPr>
          <w:rFonts w:hint="eastAsia"/>
          <w:snapToGrid/>
          <w:spacing w:val="0"/>
          <w:kern w:val="0"/>
          <w:sz w:val="24"/>
        </w:rPr>
        <w:t>(</w:t>
      </w:r>
      <w:r>
        <w:rPr>
          <w:rFonts w:hint="eastAsia"/>
          <w:snapToGrid/>
          <w:spacing w:val="0"/>
          <w:kern w:val="0"/>
          <w:sz w:val="24"/>
        </w:rPr>
        <w:t>第</w:t>
      </w:r>
      <w:r>
        <w:rPr>
          <w:rFonts w:hint="eastAsia"/>
          <w:snapToGrid/>
          <w:spacing w:val="0"/>
          <w:kern w:val="0"/>
          <w:sz w:val="24"/>
        </w:rPr>
        <w:t>9</w:t>
      </w:r>
      <w:r>
        <w:rPr>
          <w:rFonts w:hint="eastAsia"/>
          <w:snapToGrid/>
          <w:spacing w:val="0"/>
          <w:kern w:val="0"/>
          <w:sz w:val="24"/>
        </w:rPr>
        <w:t>条第</w:t>
      </w:r>
      <w:r>
        <w:rPr>
          <w:rFonts w:hint="eastAsia"/>
          <w:snapToGrid/>
          <w:spacing w:val="0"/>
          <w:kern w:val="0"/>
          <w:sz w:val="24"/>
        </w:rPr>
        <w:t>1</w:t>
      </w:r>
      <w:r>
        <w:rPr>
          <w:rFonts w:hint="eastAsia"/>
          <w:snapToGrid/>
          <w:spacing w:val="0"/>
          <w:kern w:val="0"/>
          <w:sz w:val="24"/>
        </w:rPr>
        <w:t>、</w:t>
      </w:r>
      <w:r>
        <w:rPr>
          <w:rFonts w:hint="eastAsia"/>
          <w:snapToGrid/>
          <w:spacing w:val="0"/>
          <w:kern w:val="0"/>
          <w:sz w:val="24"/>
        </w:rPr>
        <w:t>2</w:t>
      </w:r>
      <w:r>
        <w:rPr>
          <w:rFonts w:hint="eastAsia"/>
          <w:snapToGrid/>
          <w:spacing w:val="0"/>
          <w:kern w:val="0"/>
          <w:sz w:val="24"/>
        </w:rPr>
        <w:t>款</w:t>
      </w:r>
      <w:r>
        <w:rPr>
          <w:rFonts w:hint="eastAsia"/>
          <w:snapToGrid/>
          <w:spacing w:val="0"/>
          <w:kern w:val="0"/>
          <w:sz w:val="24"/>
        </w:rPr>
        <w:t>)</w:t>
      </w:r>
    </w:p>
    <w:p w:rsidR="00000000" w:rsidRDefault="00000000">
      <w:pPr>
        <w:ind w:firstLine="510"/>
        <w:rPr>
          <w:rFonts w:hint="eastAsia"/>
          <w:color w:val="000000"/>
        </w:rPr>
      </w:pPr>
      <w:r>
        <w:rPr>
          <w:rFonts w:hint="eastAsia"/>
        </w:rPr>
        <w:t xml:space="preserve">14.  </w:t>
      </w:r>
      <w:r>
        <w:rPr>
          <w:rFonts w:hint="eastAsia"/>
        </w:rPr>
        <w:t>考虑到议定书第</w:t>
      </w:r>
      <w:r>
        <w:rPr>
          <w:rFonts w:hint="eastAsia"/>
        </w:rPr>
        <w:t>9</w:t>
      </w:r>
      <w:r>
        <w:rPr>
          <w:rFonts w:hint="eastAsia"/>
        </w:rPr>
        <w:t>条第</w:t>
      </w:r>
      <w:r>
        <w:rPr>
          <w:rFonts w:hint="eastAsia"/>
        </w:rPr>
        <w:t>1</w:t>
      </w:r>
      <w:r>
        <w:rPr>
          <w:rFonts w:hint="eastAsia"/>
        </w:rPr>
        <w:t>款要求各缔约国“特别重视”保护“特别容易遭受”</w:t>
      </w:r>
      <w:r>
        <w:rPr>
          <w:rFonts w:hint="eastAsia"/>
          <w:color w:val="000000"/>
        </w:rPr>
        <w:t>买卖儿童、儿童卖淫和儿童色情制品等做法“伤害”的儿童，报告应描述用何种方法查明</w:t>
      </w:r>
      <w:r>
        <w:rPr>
          <w:rFonts w:hint="eastAsia"/>
        </w:rPr>
        <w:t>特别容易受到这些</w:t>
      </w:r>
      <w:r>
        <w:rPr>
          <w:rFonts w:hint="eastAsia"/>
          <w:color w:val="000000"/>
        </w:rPr>
        <w:t>做法伤害的儿童，如街头儿童、女童、居住在边远地区的儿童以及贫困儿童。此外，报告应描述所采取或加强的用以保护儿童，</w:t>
      </w:r>
      <w:r>
        <w:rPr>
          <w:rFonts w:hint="eastAsia"/>
        </w:rPr>
        <w:t>特别是容易受到这些</w:t>
      </w:r>
      <w:r>
        <w:rPr>
          <w:rFonts w:hint="eastAsia"/>
          <w:color w:val="000000"/>
        </w:rPr>
        <w:t>做法伤害的儿童不受害于这些做法的社会方案和政策</w:t>
      </w:r>
      <w:r>
        <w:rPr>
          <w:rFonts w:hint="eastAsia"/>
          <w:color w:val="000000"/>
        </w:rPr>
        <w:t>(</w:t>
      </w:r>
      <w:r>
        <w:rPr>
          <w:rFonts w:hint="eastAsia"/>
          <w:color w:val="000000"/>
        </w:rPr>
        <w:t>例如在保健和教育领域</w:t>
      </w:r>
      <w:r>
        <w:rPr>
          <w:rFonts w:hint="eastAsia"/>
          <w:color w:val="000000"/>
        </w:rPr>
        <w:t>)</w:t>
      </w:r>
      <w:r>
        <w:rPr>
          <w:rFonts w:hint="eastAsia"/>
          <w:color w:val="000000"/>
        </w:rPr>
        <w:t>，以及所采取用以保护儿童不受害于这些做法的</w:t>
      </w:r>
      <w:r>
        <w:rPr>
          <w:rFonts w:hint="eastAsia"/>
          <w:color w:val="000000"/>
        </w:rPr>
        <w:t>(</w:t>
      </w:r>
      <w:r>
        <w:rPr>
          <w:rFonts w:hint="eastAsia"/>
          <w:color w:val="000000"/>
        </w:rPr>
        <w:t>除了所描述的用于回应第五节所载的准则以外的</w:t>
      </w:r>
      <w:r>
        <w:rPr>
          <w:rFonts w:hint="eastAsia"/>
          <w:color w:val="000000"/>
        </w:rPr>
        <w:t>)</w:t>
      </w:r>
      <w:r>
        <w:rPr>
          <w:rFonts w:hint="eastAsia"/>
          <w:color w:val="000000"/>
        </w:rPr>
        <w:t>任何行政或法律措施，包括旨在防止侵权的民事登记处做法。报告还应概述所具备的任何有关这类社会措施和其他措施的影响的数据。</w:t>
      </w:r>
    </w:p>
    <w:p w:rsidR="00000000" w:rsidRDefault="00000000">
      <w:pPr>
        <w:ind w:firstLine="510"/>
        <w:rPr>
          <w:rFonts w:hint="eastAsia"/>
          <w:color w:val="000000"/>
        </w:rPr>
      </w:pPr>
      <w:r>
        <w:rPr>
          <w:rFonts w:hint="eastAsia"/>
          <w:color w:val="000000"/>
        </w:rPr>
        <w:t xml:space="preserve">15.  </w:t>
      </w:r>
      <w:r>
        <w:rPr>
          <w:rFonts w:hint="eastAsia"/>
          <w:color w:val="000000"/>
        </w:rPr>
        <w:t>报告还应描述根据</w:t>
      </w:r>
      <w:r>
        <w:rPr>
          <w:rFonts w:hint="eastAsia"/>
        </w:rPr>
        <w:t>议定书第</w:t>
      </w:r>
      <w:r>
        <w:rPr>
          <w:rFonts w:hint="eastAsia"/>
        </w:rPr>
        <w:t>9</w:t>
      </w:r>
      <w:r>
        <w:rPr>
          <w:rFonts w:hint="eastAsia"/>
        </w:rPr>
        <w:t>条第</w:t>
      </w:r>
      <w:r>
        <w:rPr>
          <w:rFonts w:hint="eastAsia"/>
        </w:rPr>
        <w:t>2</w:t>
      </w:r>
      <w:r>
        <w:rPr>
          <w:rFonts w:hint="eastAsia"/>
        </w:rPr>
        <w:t>款的要求所采取的提高公众对</w:t>
      </w:r>
      <w:r>
        <w:rPr>
          <w:rFonts w:hint="eastAsia"/>
          <w:color w:val="000000"/>
        </w:rPr>
        <w:t>买卖儿童、儿童卖淫和儿童色情制品有害后果的认识的任何运动或其他措施，包括：</w:t>
      </w:r>
    </w:p>
    <w:p w:rsidR="00000000" w:rsidRDefault="00000000">
      <w:pPr>
        <w:numPr>
          <w:ilvl w:val="0"/>
          <w:numId w:val="27"/>
        </w:numPr>
        <w:tabs>
          <w:tab w:val="clear" w:pos="2041"/>
        </w:tabs>
        <w:ind w:left="1531"/>
        <w:rPr>
          <w:rFonts w:hint="eastAsia"/>
        </w:rPr>
      </w:pPr>
      <w:r>
        <w:rPr>
          <w:rFonts w:hint="eastAsia"/>
          <w:color w:val="000000"/>
        </w:rPr>
        <w:t>具体着眼于帮助儿童认识到</w:t>
      </w:r>
      <w:r>
        <w:rPr>
          <w:rFonts w:hint="eastAsia"/>
        </w:rPr>
        <w:t>这些</w:t>
      </w:r>
      <w:r>
        <w:rPr>
          <w:rFonts w:hint="eastAsia"/>
          <w:color w:val="000000"/>
        </w:rPr>
        <w:t>做法的有害后果的措施，以及帮助儿童认识到意在防止儿童受害于</w:t>
      </w:r>
      <w:r>
        <w:rPr>
          <w:rFonts w:hint="eastAsia"/>
        </w:rPr>
        <w:t>这些</w:t>
      </w:r>
      <w:r>
        <w:rPr>
          <w:rFonts w:hint="eastAsia"/>
          <w:color w:val="000000"/>
        </w:rPr>
        <w:t>做法的资源和援助来源；</w:t>
      </w:r>
    </w:p>
    <w:p w:rsidR="00000000" w:rsidRDefault="00000000">
      <w:pPr>
        <w:numPr>
          <w:ilvl w:val="0"/>
          <w:numId w:val="27"/>
        </w:numPr>
        <w:tabs>
          <w:tab w:val="clear" w:pos="2041"/>
        </w:tabs>
        <w:ind w:left="1531"/>
        <w:rPr>
          <w:rFonts w:hint="eastAsia"/>
          <w:color w:val="000000"/>
        </w:rPr>
      </w:pPr>
      <w:r>
        <w:rPr>
          <w:rFonts w:hint="eastAsia"/>
          <w:color w:val="000000"/>
        </w:rPr>
        <w:t>对象在于除了儿童以外的任何其他特定群体以及一般公众</w:t>
      </w:r>
      <w:r>
        <w:rPr>
          <w:rFonts w:hint="eastAsia"/>
          <w:color w:val="000000"/>
        </w:rPr>
        <w:t>(</w:t>
      </w:r>
      <w:r>
        <w:rPr>
          <w:rFonts w:hint="eastAsia"/>
          <w:color w:val="000000"/>
        </w:rPr>
        <w:t>诸如：旅游者、交通运输和酒店员工、成年性工作者、武装部队成员、教养工作人员等</w:t>
      </w:r>
      <w:r>
        <w:rPr>
          <w:rFonts w:hint="eastAsia"/>
          <w:color w:val="000000"/>
        </w:rPr>
        <w:t>)</w:t>
      </w:r>
      <w:r>
        <w:rPr>
          <w:rFonts w:hint="eastAsia"/>
          <w:color w:val="000000"/>
        </w:rPr>
        <w:t>的方案；</w:t>
      </w:r>
    </w:p>
    <w:p w:rsidR="00000000" w:rsidRDefault="00000000">
      <w:pPr>
        <w:numPr>
          <w:ilvl w:val="0"/>
          <w:numId w:val="27"/>
        </w:numPr>
        <w:tabs>
          <w:tab w:val="clear" w:pos="2041"/>
        </w:tabs>
        <w:ind w:left="1531"/>
        <w:rPr>
          <w:rFonts w:hint="eastAsia"/>
          <w:color w:val="000000"/>
        </w:rPr>
      </w:pPr>
      <w:r>
        <w:rPr>
          <w:rFonts w:hint="eastAsia"/>
        </w:rPr>
        <w:t>非政府组织、传媒、私营部门和社区，尤其是</w:t>
      </w:r>
      <w:r>
        <w:rPr>
          <w:rFonts w:hint="eastAsia"/>
          <w:color w:val="000000"/>
        </w:rPr>
        <w:t>儿童，在设计和执行上述提高认识的措施中发挥的作用；以及</w:t>
      </w:r>
    </w:p>
    <w:p w:rsidR="00000000" w:rsidRDefault="00000000">
      <w:pPr>
        <w:numPr>
          <w:ilvl w:val="0"/>
          <w:numId w:val="27"/>
        </w:numPr>
        <w:tabs>
          <w:tab w:val="clear" w:pos="2041"/>
        </w:tabs>
        <w:spacing w:after="320"/>
        <w:ind w:left="1531"/>
        <w:rPr>
          <w:rFonts w:hint="eastAsia"/>
          <w:color w:val="000000"/>
        </w:rPr>
      </w:pPr>
      <w:r>
        <w:rPr>
          <w:rFonts w:hint="eastAsia"/>
          <w:color w:val="000000"/>
        </w:rPr>
        <w:t>采取用以测定和评估上述措施的效力的任何步骤以及所取得的成果。</w:t>
      </w:r>
    </w:p>
    <w:p w:rsidR="00000000" w:rsidRDefault="00000000">
      <w:pPr>
        <w:pStyle w:val="Heading2"/>
        <w:rPr>
          <w:rFonts w:hint="eastAsia"/>
          <w:spacing w:val="0"/>
          <w:kern w:val="0"/>
          <w:sz w:val="24"/>
        </w:rPr>
      </w:pPr>
      <w:r>
        <w:rPr>
          <w:rFonts w:hint="eastAsia"/>
          <w:kern w:val="0"/>
        </w:rPr>
        <w:t>五、禁止及有关事项</w:t>
      </w:r>
      <w:r>
        <w:rPr>
          <w:kern w:val="0"/>
        </w:rPr>
        <w:br/>
      </w:r>
      <w:r>
        <w:rPr>
          <w:rFonts w:hint="eastAsia"/>
          <w:spacing w:val="0"/>
          <w:kern w:val="0"/>
          <w:sz w:val="24"/>
        </w:rPr>
        <w:t>(</w:t>
      </w:r>
      <w:r>
        <w:rPr>
          <w:rFonts w:hint="eastAsia"/>
          <w:spacing w:val="0"/>
          <w:kern w:val="0"/>
          <w:sz w:val="24"/>
        </w:rPr>
        <w:t>第</w:t>
      </w:r>
      <w:r>
        <w:rPr>
          <w:rFonts w:hint="eastAsia"/>
          <w:spacing w:val="0"/>
          <w:kern w:val="0"/>
          <w:sz w:val="24"/>
        </w:rPr>
        <w:t>3</w:t>
      </w:r>
      <w:r>
        <w:rPr>
          <w:rFonts w:hint="eastAsia"/>
          <w:spacing w:val="0"/>
          <w:kern w:val="0"/>
          <w:sz w:val="24"/>
        </w:rPr>
        <w:t>条；第</w:t>
      </w:r>
      <w:r>
        <w:rPr>
          <w:rFonts w:hint="eastAsia"/>
          <w:spacing w:val="0"/>
          <w:kern w:val="0"/>
          <w:sz w:val="24"/>
        </w:rPr>
        <w:t xml:space="preserve">4 </w:t>
      </w:r>
      <w:r>
        <w:rPr>
          <w:rFonts w:hint="eastAsia"/>
          <w:spacing w:val="0"/>
          <w:kern w:val="0"/>
          <w:sz w:val="24"/>
        </w:rPr>
        <w:t>条第</w:t>
      </w:r>
      <w:r>
        <w:rPr>
          <w:rFonts w:hint="eastAsia"/>
          <w:spacing w:val="0"/>
          <w:kern w:val="0"/>
          <w:sz w:val="24"/>
        </w:rPr>
        <w:t>2</w:t>
      </w:r>
      <w:r>
        <w:rPr>
          <w:rFonts w:hint="eastAsia"/>
          <w:spacing w:val="0"/>
          <w:kern w:val="0"/>
          <w:sz w:val="24"/>
        </w:rPr>
        <w:t>、</w:t>
      </w:r>
      <w:r>
        <w:rPr>
          <w:rFonts w:hint="eastAsia"/>
          <w:spacing w:val="0"/>
          <w:kern w:val="0"/>
          <w:sz w:val="24"/>
        </w:rPr>
        <w:t>3</w:t>
      </w:r>
      <w:r>
        <w:rPr>
          <w:rFonts w:hint="eastAsia"/>
          <w:spacing w:val="0"/>
          <w:kern w:val="0"/>
          <w:sz w:val="24"/>
        </w:rPr>
        <w:t>款；第</w:t>
      </w:r>
      <w:r>
        <w:rPr>
          <w:rFonts w:hint="eastAsia"/>
          <w:spacing w:val="0"/>
          <w:kern w:val="0"/>
          <w:sz w:val="24"/>
        </w:rPr>
        <w:t>5</w:t>
      </w:r>
      <w:r>
        <w:rPr>
          <w:rFonts w:hint="eastAsia"/>
          <w:spacing w:val="0"/>
          <w:kern w:val="0"/>
          <w:sz w:val="24"/>
        </w:rPr>
        <w:t>条；第</w:t>
      </w:r>
      <w:r>
        <w:rPr>
          <w:rFonts w:hint="eastAsia"/>
          <w:spacing w:val="0"/>
          <w:kern w:val="0"/>
          <w:sz w:val="24"/>
        </w:rPr>
        <w:t>6</w:t>
      </w:r>
      <w:r>
        <w:rPr>
          <w:rFonts w:hint="eastAsia"/>
          <w:spacing w:val="0"/>
          <w:kern w:val="0"/>
          <w:sz w:val="24"/>
        </w:rPr>
        <w:t>条和第</w:t>
      </w:r>
      <w:r>
        <w:rPr>
          <w:rFonts w:hint="eastAsia"/>
          <w:spacing w:val="0"/>
          <w:kern w:val="0"/>
          <w:sz w:val="24"/>
        </w:rPr>
        <w:t>7</w:t>
      </w:r>
      <w:r>
        <w:rPr>
          <w:rFonts w:hint="eastAsia"/>
          <w:spacing w:val="0"/>
          <w:kern w:val="0"/>
          <w:sz w:val="24"/>
        </w:rPr>
        <w:t>条</w:t>
      </w:r>
      <w:r>
        <w:rPr>
          <w:rFonts w:hint="eastAsia"/>
          <w:spacing w:val="0"/>
          <w:kern w:val="0"/>
          <w:sz w:val="24"/>
        </w:rPr>
        <w:t>)</w:t>
      </w:r>
    </w:p>
    <w:p w:rsidR="00000000" w:rsidRDefault="00000000">
      <w:pPr>
        <w:ind w:firstLine="510"/>
        <w:rPr>
          <w:rFonts w:hint="eastAsia"/>
        </w:rPr>
      </w:pPr>
      <w:r>
        <w:rPr>
          <w:rFonts w:hint="eastAsia"/>
        </w:rPr>
        <w:t xml:space="preserve">16.  </w:t>
      </w:r>
      <w:r>
        <w:rPr>
          <w:rFonts w:hint="eastAsia"/>
        </w:rPr>
        <w:t>报告应提供涵盖和界定议定书第</w:t>
      </w:r>
      <w:r>
        <w:rPr>
          <w:rFonts w:hint="eastAsia"/>
        </w:rPr>
        <w:t>3</w:t>
      </w:r>
      <w:r>
        <w:rPr>
          <w:rFonts w:hint="eastAsia"/>
        </w:rPr>
        <w:t>条第</w:t>
      </w:r>
      <w:r>
        <w:rPr>
          <w:rFonts w:hint="eastAsia"/>
        </w:rPr>
        <w:t>1</w:t>
      </w:r>
      <w:r>
        <w:rPr>
          <w:rFonts w:hint="eastAsia"/>
        </w:rPr>
        <w:t>款所列各项行为和活动的全部现行刑法的资料，包括：</w:t>
      </w:r>
    </w:p>
    <w:p w:rsidR="00000000" w:rsidRDefault="00000000">
      <w:pPr>
        <w:numPr>
          <w:ilvl w:val="0"/>
          <w:numId w:val="29"/>
        </w:numPr>
        <w:tabs>
          <w:tab w:val="clear" w:pos="2041"/>
        </w:tabs>
        <w:ind w:left="1531"/>
        <w:rPr>
          <w:rFonts w:hint="eastAsia"/>
          <w:color w:val="000000"/>
        </w:rPr>
      </w:pPr>
      <w:r>
        <w:rPr>
          <w:rFonts w:hint="eastAsia"/>
          <w:color w:val="000000"/>
        </w:rPr>
        <w:t>所有此种罪行的要件，包括任何关于受害人年龄及受害人或行为人的性别的规定；</w:t>
      </w:r>
    </w:p>
    <w:p w:rsidR="00000000" w:rsidRDefault="00000000">
      <w:pPr>
        <w:numPr>
          <w:ilvl w:val="0"/>
          <w:numId w:val="29"/>
        </w:numPr>
        <w:tabs>
          <w:tab w:val="clear" w:pos="2041"/>
        </w:tabs>
        <w:ind w:left="1531"/>
        <w:rPr>
          <w:rFonts w:hint="eastAsia"/>
        </w:rPr>
      </w:pPr>
      <w:r>
        <w:rPr>
          <w:rFonts w:hint="eastAsia"/>
        </w:rPr>
        <w:t>可以施加于每一项此种罪行的最高和最低刑罚</w:t>
      </w:r>
      <w:r>
        <w:rPr>
          <w:rFonts w:hint="eastAsia"/>
        </w:rPr>
        <w:t>(</w:t>
      </w:r>
      <w:r>
        <w:rPr>
          <w:rFonts w:hint="eastAsia"/>
        </w:rPr>
        <w:t>见附件</w:t>
      </w:r>
      <w:r>
        <w:rPr>
          <w:rFonts w:hint="eastAsia"/>
        </w:rPr>
        <w:t>)</w:t>
      </w:r>
      <w:r>
        <w:rPr>
          <w:rFonts w:hint="eastAsia"/>
        </w:rPr>
        <w:t>；</w:t>
      </w:r>
    </w:p>
    <w:p w:rsidR="00000000" w:rsidRDefault="00000000">
      <w:pPr>
        <w:numPr>
          <w:ilvl w:val="0"/>
          <w:numId w:val="29"/>
        </w:numPr>
        <w:tabs>
          <w:tab w:val="clear" w:pos="2041"/>
        </w:tabs>
        <w:ind w:left="1531"/>
        <w:rPr>
          <w:rFonts w:hint="eastAsia"/>
        </w:rPr>
      </w:pPr>
      <w:r>
        <w:rPr>
          <w:rFonts w:hint="eastAsia"/>
          <w:color w:val="000000"/>
        </w:rPr>
        <w:t>具体适用于这些罪行的任何辩护理由和加重情节或减轻情节；</w:t>
      </w:r>
    </w:p>
    <w:p w:rsidR="00000000" w:rsidRDefault="00000000">
      <w:pPr>
        <w:numPr>
          <w:ilvl w:val="0"/>
          <w:numId w:val="29"/>
        </w:numPr>
        <w:tabs>
          <w:tab w:val="clear" w:pos="2041"/>
        </w:tabs>
        <w:ind w:left="1531"/>
        <w:rPr>
          <w:rFonts w:hint="eastAsia"/>
        </w:rPr>
      </w:pPr>
      <w:r>
        <w:rPr>
          <w:rFonts w:hint="eastAsia"/>
        </w:rPr>
        <w:t>每一项此种罪行的法定时限；</w:t>
      </w:r>
    </w:p>
    <w:p w:rsidR="00000000" w:rsidRDefault="00000000">
      <w:pPr>
        <w:numPr>
          <w:ilvl w:val="0"/>
          <w:numId w:val="29"/>
        </w:numPr>
        <w:tabs>
          <w:tab w:val="clear" w:pos="2041"/>
        </w:tabs>
        <w:ind w:left="1531"/>
        <w:rPr>
          <w:rFonts w:hint="eastAsia"/>
        </w:rPr>
      </w:pPr>
      <w:r>
        <w:rPr>
          <w:rFonts w:hint="eastAsia"/>
        </w:rPr>
        <w:t>缔约国认为与执行议定书有关的、其法律确认的任何其他罪行</w:t>
      </w:r>
      <w:r>
        <w:rPr>
          <w:rFonts w:hint="eastAsia"/>
        </w:rPr>
        <w:t>(</w:t>
      </w:r>
      <w:r>
        <w:rPr>
          <w:rFonts w:hint="eastAsia"/>
        </w:rPr>
        <w:t>见附件</w:t>
      </w:r>
      <w:r>
        <w:rPr>
          <w:rFonts w:hint="eastAsia"/>
        </w:rPr>
        <w:t>)</w:t>
      </w:r>
      <w:r>
        <w:rPr>
          <w:rFonts w:hint="eastAsia"/>
        </w:rPr>
        <w:t>；以及</w:t>
      </w:r>
    </w:p>
    <w:p w:rsidR="00000000" w:rsidRDefault="00000000">
      <w:pPr>
        <w:numPr>
          <w:ilvl w:val="0"/>
          <w:numId w:val="29"/>
        </w:numPr>
        <w:tabs>
          <w:tab w:val="clear" w:pos="2041"/>
        </w:tabs>
        <w:ind w:left="1531"/>
        <w:rPr>
          <w:rFonts w:hint="eastAsia"/>
        </w:rPr>
      </w:pPr>
      <w:r>
        <w:rPr>
          <w:rFonts w:hint="eastAsia"/>
          <w:color w:val="000000"/>
        </w:rPr>
        <w:t>缔约国法律</w:t>
      </w:r>
      <w:r>
        <w:rPr>
          <w:rFonts w:hint="eastAsia"/>
        </w:rPr>
        <w:t>之下</w:t>
      </w:r>
      <w:r>
        <w:rPr>
          <w:rFonts w:hint="eastAsia"/>
          <w:color w:val="000000"/>
        </w:rPr>
        <w:t>对本准则所述犯罪的未遂</w:t>
      </w:r>
      <w:r>
        <w:rPr>
          <w:rFonts w:hint="eastAsia"/>
        </w:rPr>
        <w:t>和协同或参与</w:t>
      </w:r>
      <w:r>
        <w:rPr>
          <w:rFonts w:hint="eastAsia"/>
          <w:color w:val="000000"/>
        </w:rPr>
        <w:t>适用的</w:t>
      </w:r>
      <w:r>
        <w:rPr>
          <w:rFonts w:hint="eastAsia"/>
        </w:rPr>
        <w:t>刑罚。</w:t>
      </w:r>
    </w:p>
    <w:p w:rsidR="00000000" w:rsidRDefault="00000000">
      <w:pPr>
        <w:ind w:firstLine="510"/>
        <w:rPr>
          <w:rFonts w:hint="eastAsia"/>
        </w:rPr>
      </w:pPr>
      <w:r>
        <w:rPr>
          <w:rFonts w:hint="eastAsia"/>
        </w:rPr>
        <w:t xml:space="preserve">17.  </w:t>
      </w:r>
      <w:r>
        <w:rPr>
          <w:rFonts w:hint="eastAsia"/>
        </w:rPr>
        <w:t>报告还应写明缔约国认为现行法律中构成对执行议定书的障碍的任何律规定，以及它所制订的审查这些规定的任何计划。</w:t>
      </w:r>
    </w:p>
    <w:p w:rsidR="00000000" w:rsidRDefault="00000000">
      <w:pPr>
        <w:ind w:firstLine="510"/>
      </w:pPr>
      <w:r>
        <w:rPr>
          <w:rFonts w:hint="eastAsia"/>
        </w:rPr>
        <w:t xml:space="preserve">18.  </w:t>
      </w:r>
      <w:r>
        <w:rPr>
          <w:rFonts w:hint="eastAsia"/>
        </w:rPr>
        <w:t>报告应描述有关法人对议定书第</w:t>
      </w:r>
      <w:r>
        <w:t>3</w:t>
      </w:r>
      <w:r>
        <w:rPr>
          <w:rFonts w:hint="eastAsia"/>
        </w:rPr>
        <w:t>条第</w:t>
      </w:r>
      <w:r>
        <w:t>1</w:t>
      </w:r>
      <w:r>
        <w:rPr>
          <w:rFonts w:hint="eastAsia"/>
        </w:rPr>
        <w:t>款所述行为和活动刑事责任的任何法律，并评述此种法律对于</w:t>
      </w:r>
      <w:r>
        <w:rPr>
          <w:rFonts w:hint="eastAsia"/>
          <w:color w:val="000000"/>
        </w:rPr>
        <w:t>买卖儿童、儿童卖淫和儿童色情制品的威慑效力；如果</w:t>
      </w:r>
      <w:r>
        <w:rPr>
          <w:rFonts w:hint="eastAsia"/>
        </w:rPr>
        <w:t>缔约国法律不承认法人对于此种罪行的刑事责任，则报告应解释为何如此，并解释缔约国对于修改该法律的可行性和必要性的态度</w:t>
      </w:r>
      <w:r>
        <w:rPr>
          <w:rFonts w:hint="eastAsia"/>
        </w:rPr>
        <w:t>(</w:t>
      </w:r>
      <w:r>
        <w:rPr>
          <w:rFonts w:hint="eastAsia"/>
        </w:rPr>
        <w:t>见附件</w:t>
      </w:r>
      <w:r>
        <w:rPr>
          <w:rFonts w:hint="eastAsia"/>
        </w:rPr>
        <w:t>)</w:t>
      </w:r>
      <w:r>
        <w:rPr>
          <w:rFonts w:hint="eastAsia"/>
        </w:rPr>
        <w:t>。</w:t>
      </w:r>
    </w:p>
    <w:p w:rsidR="00000000" w:rsidRDefault="00000000">
      <w:pPr>
        <w:ind w:firstLine="510"/>
        <w:rPr>
          <w:rFonts w:hint="eastAsia"/>
          <w:spacing w:val="8"/>
        </w:rPr>
      </w:pPr>
      <w:r>
        <w:rPr>
          <w:rFonts w:hint="eastAsia"/>
          <w:spacing w:val="8"/>
        </w:rPr>
        <w:t xml:space="preserve">19.  </w:t>
      </w:r>
      <w:r>
        <w:rPr>
          <w:rFonts w:hint="eastAsia"/>
          <w:spacing w:val="8"/>
        </w:rPr>
        <w:t>法律允许收养的缔约国应写明可能签订的适用的双边和多边协议，以及它为确保涉及收养儿童的一切人均按此种协议以及《关于儿童保护和儿童福利的社会和法律原则宣言》</w:t>
      </w:r>
      <w:r>
        <w:rPr>
          <w:rFonts w:hint="eastAsia"/>
          <w:spacing w:val="8"/>
        </w:rPr>
        <w:t>(1986</w:t>
      </w:r>
      <w:r>
        <w:rPr>
          <w:rFonts w:hint="eastAsia"/>
          <w:spacing w:val="8"/>
        </w:rPr>
        <w:t>年</w:t>
      </w:r>
      <w:r>
        <w:rPr>
          <w:rFonts w:hint="eastAsia"/>
          <w:spacing w:val="8"/>
        </w:rPr>
        <w:t>12</w:t>
      </w:r>
      <w:r>
        <w:rPr>
          <w:rFonts w:hint="eastAsia"/>
          <w:spacing w:val="8"/>
        </w:rPr>
        <w:t>月</w:t>
      </w:r>
      <w:r>
        <w:rPr>
          <w:rFonts w:hint="eastAsia"/>
          <w:spacing w:val="8"/>
        </w:rPr>
        <w:t>3</w:t>
      </w:r>
      <w:r>
        <w:rPr>
          <w:rFonts w:hint="eastAsia"/>
          <w:spacing w:val="8"/>
        </w:rPr>
        <w:t>日大会决议第</w:t>
      </w:r>
      <w:r>
        <w:rPr>
          <w:rFonts w:hint="eastAsia"/>
          <w:spacing w:val="8"/>
        </w:rPr>
        <w:t>41/85</w:t>
      </w:r>
      <w:r>
        <w:rPr>
          <w:rFonts w:hint="eastAsia"/>
          <w:spacing w:val="8"/>
        </w:rPr>
        <w:t>号</w:t>
      </w:r>
      <w:r>
        <w:rPr>
          <w:rFonts w:hint="eastAsia"/>
          <w:spacing w:val="8"/>
        </w:rPr>
        <w:t>)</w:t>
      </w:r>
      <w:r>
        <w:rPr>
          <w:rFonts w:hint="eastAsia"/>
          <w:spacing w:val="8"/>
        </w:rPr>
        <w:t>行事而采取的措施，包括：</w:t>
      </w:r>
    </w:p>
    <w:p w:rsidR="00000000" w:rsidRDefault="00000000">
      <w:pPr>
        <w:numPr>
          <w:ilvl w:val="0"/>
          <w:numId w:val="31"/>
        </w:numPr>
        <w:tabs>
          <w:tab w:val="clear" w:pos="2041"/>
        </w:tabs>
        <w:ind w:left="1531"/>
        <w:rPr>
          <w:rFonts w:hint="eastAsia"/>
        </w:rPr>
      </w:pPr>
      <w:r>
        <w:rPr>
          <w:rFonts w:hint="eastAsia"/>
          <w:color w:val="000000"/>
        </w:rPr>
        <w:t>为防止非法收</w:t>
      </w:r>
      <w:r>
        <w:rPr>
          <w:rFonts w:hint="eastAsia"/>
        </w:rPr>
        <w:t>养</w:t>
      </w:r>
      <w:r>
        <w:rPr>
          <w:rFonts w:hint="eastAsia"/>
          <w:spacing w:val="-50"/>
        </w:rPr>
        <w:t>―</w:t>
      </w:r>
      <w:r>
        <w:rPr>
          <w:rFonts w:hint="eastAsia"/>
        </w:rPr>
        <w:t>―如：未经主管国内和跨国收养的部门批准的收养</w:t>
      </w:r>
      <w:r>
        <w:rPr>
          <w:rFonts w:hint="eastAsia"/>
          <w:spacing w:val="-50"/>
        </w:rPr>
        <w:t>―</w:t>
      </w:r>
      <w:r>
        <w:rPr>
          <w:rFonts w:hint="eastAsia"/>
        </w:rPr>
        <w:t>―而采取的法律措施和其他措施；</w:t>
      </w:r>
    </w:p>
    <w:p w:rsidR="00000000" w:rsidRDefault="00000000">
      <w:pPr>
        <w:numPr>
          <w:ilvl w:val="0"/>
          <w:numId w:val="31"/>
        </w:numPr>
        <w:tabs>
          <w:tab w:val="clear" w:pos="2041"/>
        </w:tabs>
        <w:ind w:left="1531"/>
        <w:rPr>
          <w:rFonts w:hint="eastAsia"/>
        </w:rPr>
      </w:pPr>
      <w:r>
        <w:rPr>
          <w:rFonts w:hint="eastAsia"/>
          <w:color w:val="000000"/>
        </w:rPr>
        <w:t>为防止中介人企图说服母亲或孕妇将子女交人收</w:t>
      </w:r>
      <w:r>
        <w:rPr>
          <w:rFonts w:hint="eastAsia"/>
        </w:rPr>
        <w:t>养而采取的法律措施和其他措施，以及为</w:t>
      </w:r>
      <w:r>
        <w:rPr>
          <w:rFonts w:hint="eastAsia"/>
          <w:color w:val="000000"/>
        </w:rPr>
        <w:t>防止未经授权的个人或机构广告宣传收</w:t>
      </w:r>
      <w:r>
        <w:rPr>
          <w:rFonts w:hint="eastAsia"/>
        </w:rPr>
        <w:t>养服务而采取的法律措施和其他措施；</w:t>
      </w:r>
    </w:p>
    <w:p w:rsidR="00000000" w:rsidRDefault="00000000">
      <w:pPr>
        <w:numPr>
          <w:ilvl w:val="0"/>
          <w:numId w:val="31"/>
        </w:numPr>
        <w:tabs>
          <w:tab w:val="clear" w:pos="2041"/>
        </w:tabs>
        <w:ind w:left="1531"/>
        <w:rPr>
          <w:rFonts w:hint="eastAsia"/>
        </w:rPr>
      </w:pPr>
      <w:r>
        <w:rPr>
          <w:rFonts w:hint="eastAsia"/>
          <w:color w:val="000000"/>
        </w:rPr>
        <w:t>关于收</w:t>
      </w:r>
      <w:r>
        <w:rPr>
          <w:rFonts w:hint="eastAsia"/>
        </w:rPr>
        <w:t>养</w:t>
      </w:r>
      <w:r>
        <w:rPr>
          <w:rFonts w:hint="eastAsia"/>
          <w:color w:val="000000"/>
        </w:rPr>
        <w:t>中介机构和个人的规章和许可手续，以及迄今明确的法律实践；</w:t>
      </w:r>
    </w:p>
    <w:p w:rsidR="00000000" w:rsidRDefault="00000000">
      <w:pPr>
        <w:numPr>
          <w:ilvl w:val="0"/>
          <w:numId w:val="31"/>
        </w:numPr>
        <w:tabs>
          <w:tab w:val="clear" w:pos="2041"/>
        </w:tabs>
        <w:ind w:left="1531"/>
        <w:rPr>
          <w:rFonts w:hint="eastAsia"/>
        </w:rPr>
      </w:pPr>
      <w:r>
        <w:rPr>
          <w:rFonts w:hint="eastAsia"/>
          <w:color w:val="000000"/>
        </w:rPr>
        <w:t>为防止偷盗幼儿及防止伪造出生登记而采取的</w:t>
      </w:r>
      <w:r>
        <w:rPr>
          <w:rFonts w:hint="eastAsia"/>
        </w:rPr>
        <w:t>法律措施和行政措施，包括适用的刑事制裁；</w:t>
      </w:r>
    </w:p>
    <w:p w:rsidR="00000000" w:rsidRDefault="00000000">
      <w:pPr>
        <w:numPr>
          <w:ilvl w:val="0"/>
          <w:numId w:val="31"/>
        </w:numPr>
        <w:tabs>
          <w:tab w:val="clear" w:pos="2041"/>
        </w:tabs>
        <w:ind w:left="1531"/>
        <w:rPr>
          <w:rFonts w:hint="eastAsia"/>
        </w:rPr>
      </w:pPr>
      <w:r>
        <w:rPr>
          <w:rFonts w:hint="eastAsia"/>
          <w:color w:val="000000"/>
        </w:rPr>
        <w:t>可不征求被收</w:t>
      </w:r>
      <w:r>
        <w:rPr>
          <w:rFonts w:hint="eastAsia"/>
        </w:rPr>
        <w:t>养儿童家长同意的情况，以及为确保知情和自由同意而制订的任何适当保障；以及</w:t>
      </w:r>
    </w:p>
    <w:p w:rsidR="00000000" w:rsidRDefault="00000000">
      <w:pPr>
        <w:numPr>
          <w:ilvl w:val="0"/>
          <w:numId w:val="31"/>
        </w:numPr>
        <w:tabs>
          <w:tab w:val="clear" w:pos="2041"/>
        </w:tabs>
        <w:ind w:left="1531"/>
        <w:rPr>
          <w:rFonts w:hint="eastAsia"/>
        </w:rPr>
      </w:pPr>
      <w:r>
        <w:rPr>
          <w:rFonts w:hint="eastAsia"/>
        </w:rPr>
        <w:t>管理和限制各机构、部门或个人就</w:t>
      </w:r>
      <w:r>
        <w:rPr>
          <w:rFonts w:hint="eastAsia"/>
          <w:color w:val="000000"/>
        </w:rPr>
        <w:t>收</w:t>
      </w:r>
      <w:r>
        <w:rPr>
          <w:rFonts w:hint="eastAsia"/>
        </w:rPr>
        <w:t>养</w:t>
      </w:r>
      <w:r>
        <w:rPr>
          <w:rFonts w:hint="eastAsia"/>
          <w:color w:val="000000"/>
        </w:rPr>
        <w:t>收取</w:t>
      </w:r>
      <w:r>
        <w:rPr>
          <w:rFonts w:hint="eastAsia"/>
        </w:rPr>
        <w:t>的费用的措施，以及适用于对不遵守这些措施的行为的制裁。</w:t>
      </w:r>
    </w:p>
    <w:p w:rsidR="00000000" w:rsidRDefault="00000000">
      <w:pPr>
        <w:ind w:firstLine="510"/>
        <w:rPr>
          <w:rFonts w:hint="eastAsia"/>
        </w:rPr>
      </w:pPr>
      <w:r>
        <w:rPr>
          <w:rFonts w:hint="eastAsia"/>
        </w:rPr>
        <w:t xml:space="preserve">20.  </w:t>
      </w:r>
      <w:r>
        <w:rPr>
          <w:rFonts w:hint="eastAsia"/>
        </w:rPr>
        <w:t>请承认</w:t>
      </w:r>
      <w:r>
        <w:rPr>
          <w:rFonts w:hint="eastAsia"/>
          <w:color w:val="000000"/>
        </w:rPr>
        <w:t>收</w:t>
      </w:r>
      <w:r>
        <w:rPr>
          <w:rFonts w:hint="eastAsia"/>
        </w:rPr>
        <w:t>养制度并且未加入</w:t>
      </w:r>
      <w:r>
        <w:rPr>
          <w:rFonts w:hint="eastAsia"/>
        </w:rPr>
        <w:t>1993</w:t>
      </w:r>
      <w:r>
        <w:rPr>
          <w:rFonts w:hint="eastAsia"/>
        </w:rPr>
        <w:t>年《保护儿童和国家间</w:t>
      </w:r>
      <w:r>
        <w:rPr>
          <w:rFonts w:hint="eastAsia"/>
          <w:color w:val="000000"/>
        </w:rPr>
        <w:t>收</w:t>
      </w:r>
      <w:r>
        <w:rPr>
          <w:rFonts w:hint="eastAsia"/>
        </w:rPr>
        <w:t>养方面合作海牙公约》的议定书说明它们是否考虑过加入该《公约》并说明还未加入的理由。</w:t>
      </w:r>
    </w:p>
    <w:p w:rsidR="00000000" w:rsidRDefault="00000000">
      <w:pPr>
        <w:ind w:firstLine="510"/>
        <w:rPr>
          <w:rFonts w:hint="eastAsia"/>
          <w:color w:val="000000"/>
        </w:rPr>
      </w:pPr>
      <w:r>
        <w:rPr>
          <w:rFonts w:hint="eastAsia"/>
        </w:rPr>
        <w:t xml:space="preserve">21.  </w:t>
      </w:r>
      <w:r>
        <w:rPr>
          <w:rFonts w:hint="eastAsia"/>
        </w:rPr>
        <w:t>报告应说明：</w:t>
      </w:r>
    </w:p>
    <w:p w:rsidR="00000000" w:rsidRDefault="00000000">
      <w:pPr>
        <w:numPr>
          <w:ilvl w:val="0"/>
          <w:numId w:val="33"/>
        </w:numPr>
        <w:tabs>
          <w:tab w:val="clear" w:pos="2041"/>
        </w:tabs>
        <w:ind w:left="1531"/>
        <w:rPr>
          <w:rFonts w:hint="eastAsia"/>
        </w:rPr>
      </w:pPr>
      <w:r>
        <w:rPr>
          <w:rFonts w:hint="eastAsia"/>
        </w:rPr>
        <w:t>禁止制作和传播宣扬议定书所述任何罪行的材料的现行法律；</w:t>
      </w:r>
    </w:p>
    <w:p w:rsidR="00000000" w:rsidRDefault="00000000">
      <w:pPr>
        <w:numPr>
          <w:ilvl w:val="0"/>
          <w:numId w:val="33"/>
        </w:numPr>
        <w:tabs>
          <w:tab w:val="clear" w:pos="2041"/>
        </w:tabs>
        <w:ind w:left="1531"/>
        <w:rPr>
          <w:rFonts w:hint="eastAsia"/>
        </w:rPr>
      </w:pPr>
      <w:r>
        <w:rPr>
          <w:rFonts w:hint="eastAsia"/>
        </w:rPr>
        <w:t>适用的制裁；</w:t>
      </w:r>
    </w:p>
    <w:p w:rsidR="00000000" w:rsidRDefault="00000000">
      <w:pPr>
        <w:numPr>
          <w:ilvl w:val="0"/>
          <w:numId w:val="33"/>
        </w:numPr>
        <w:tabs>
          <w:tab w:val="clear" w:pos="2041"/>
        </w:tabs>
        <w:ind w:left="1531"/>
        <w:rPr>
          <w:rFonts w:hint="eastAsia"/>
        </w:rPr>
      </w:pPr>
      <w:r>
        <w:rPr>
          <w:rFonts w:hint="eastAsia"/>
        </w:rPr>
        <w:t>按照罪行性质</w:t>
      </w:r>
      <w:r>
        <w:rPr>
          <w:rFonts w:hint="eastAsia"/>
        </w:rPr>
        <w:t>(</w:t>
      </w:r>
      <w:r>
        <w:rPr>
          <w:rFonts w:hint="eastAsia"/>
        </w:rPr>
        <w:t>买卖儿童、</w:t>
      </w:r>
      <w:r>
        <w:rPr>
          <w:rFonts w:hint="eastAsia"/>
          <w:color w:val="000000"/>
        </w:rPr>
        <w:t>儿童卖淫和儿童色情制品</w:t>
      </w:r>
      <w:r>
        <w:rPr>
          <w:rFonts w:hint="eastAsia"/>
          <w:color w:val="000000"/>
        </w:rPr>
        <w:t>)</w:t>
      </w:r>
      <w:r>
        <w:rPr>
          <w:rFonts w:hint="eastAsia"/>
          <w:color w:val="000000"/>
        </w:rPr>
        <w:t>分类的</w:t>
      </w:r>
      <w:r>
        <w:rPr>
          <w:rFonts w:hint="eastAsia"/>
        </w:rPr>
        <w:t>对于此类罪行的起诉和判罪数目的任何现有数据；以及</w:t>
      </w:r>
    </w:p>
    <w:p w:rsidR="00000000" w:rsidRDefault="00000000">
      <w:pPr>
        <w:numPr>
          <w:ilvl w:val="0"/>
          <w:numId w:val="33"/>
        </w:numPr>
        <w:tabs>
          <w:tab w:val="clear" w:pos="2041"/>
        </w:tabs>
        <w:ind w:left="1531"/>
        <w:rPr>
          <w:rFonts w:hint="eastAsia"/>
          <w:color w:val="000000"/>
        </w:rPr>
      </w:pPr>
      <w:r>
        <w:rPr>
          <w:rFonts w:hint="eastAsia"/>
        </w:rPr>
        <w:t>这些法律在防止买卖儿童、</w:t>
      </w:r>
      <w:r>
        <w:rPr>
          <w:rFonts w:hint="eastAsia"/>
          <w:color w:val="000000"/>
        </w:rPr>
        <w:t>儿童卖淫和儿童色情制品的广告宣传方面是否有效，如果无效，原因是什么，以及本国所有的用于加强此种法律和</w:t>
      </w:r>
      <w:r>
        <w:rPr>
          <w:rFonts w:hint="eastAsia"/>
          <w:color w:val="000000"/>
        </w:rPr>
        <w:t>/</w:t>
      </w:r>
      <w:r>
        <w:rPr>
          <w:rFonts w:hint="eastAsia"/>
          <w:color w:val="000000"/>
        </w:rPr>
        <w:t>或其实施的任何计划。</w:t>
      </w:r>
    </w:p>
    <w:p w:rsidR="00000000" w:rsidRDefault="00000000">
      <w:pPr>
        <w:ind w:firstLine="510"/>
        <w:rPr>
          <w:rFonts w:hint="eastAsia"/>
        </w:rPr>
      </w:pPr>
      <w:r>
        <w:rPr>
          <w:rFonts w:hint="eastAsia"/>
        </w:rPr>
        <w:t xml:space="preserve">22.  </w:t>
      </w:r>
      <w:r>
        <w:rPr>
          <w:rFonts w:hint="eastAsia"/>
        </w:rPr>
        <w:t>报告应说明确立议定书第</w:t>
      </w:r>
      <w:r>
        <w:rPr>
          <w:rFonts w:hint="eastAsia"/>
        </w:rPr>
        <w:t>3</w:t>
      </w:r>
      <w:r>
        <w:rPr>
          <w:rFonts w:hint="eastAsia"/>
        </w:rPr>
        <w:t>条所述罪行的管辖权的法律规定，包括关于该管辖权的理由的资料</w:t>
      </w:r>
      <w:r>
        <w:rPr>
          <w:rFonts w:hint="eastAsia"/>
        </w:rPr>
        <w:t>(</w:t>
      </w:r>
      <w:r>
        <w:rPr>
          <w:rFonts w:hint="eastAsia"/>
        </w:rPr>
        <w:t>见第</w:t>
      </w:r>
      <w:r>
        <w:rPr>
          <w:rFonts w:hint="eastAsia"/>
        </w:rPr>
        <w:t>4</w:t>
      </w:r>
      <w:r>
        <w:rPr>
          <w:rFonts w:hint="eastAsia"/>
        </w:rPr>
        <w:t>条第</w:t>
      </w:r>
      <w:r>
        <w:rPr>
          <w:rFonts w:hint="eastAsia"/>
        </w:rPr>
        <w:t>1</w:t>
      </w:r>
      <w:r>
        <w:rPr>
          <w:rFonts w:hint="eastAsia"/>
        </w:rPr>
        <w:t>、</w:t>
      </w:r>
      <w:r>
        <w:rPr>
          <w:rFonts w:hint="eastAsia"/>
        </w:rPr>
        <w:t xml:space="preserve">3 </w:t>
      </w:r>
      <w:r>
        <w:rPr>
          <w:rFonts w:hint="eastAsia"/>
        </w:rPr>
        <w:t>款</w:t>
      </w:r>
      <w:r>
        <w:rPr>
          <w:rFonts w:hint="eastAsia"/>
        </w:rPr>
        <w:t>)</w:t>
      </w:r>
      <w:r>
        <w:rPr>
          <w:rFonts w:hint="eastAsia"/>
        </w:rPr>
        <w:t>。</w:t>
      </w:r>
    </w:p>
    <w:p w:rsidR="00000000" w:rsidRDefault="00000000">
      <w:pPr>
        <w:ind w:firstLine="510"/>
        <w:rPr>
          <w:rFonts w:hint="eastAsia"/>
        </w:rPr>
      </w:pPr>
      <w:r>
        <w:rPr>
          <w:rFonts w:hint="eastAsia"/>
        </w:rPr>
        <w:t xml:space="preserve">23.  </w:t>
      </w:r>
      <w:r>
        <w:rPr>
          <w:rFonts w:hint="eastAsia"/>
        </w:rPr>
        <w:t>报告还应说明根据第</w:t>
      </w:r>
      <w:r>
        <w:rPr>
          <w:rFonts w:hint="eastAsia"/>
        </w:rPr>
        <w:t>4</w:t>
      </w:r>
      <w:r>
        <w:rPr>
          <w:rFonts w:hint="eastAsia"/>
        </w:rPr>
        <w:t>条第</w:t>
      </w:r>
      <w:r>
        <w:rPr>
          <w:rFonts w:hint="eastAsia"/>
        </w:rPr>
        <w:t>2</w:t>
      </w:r>
      <w:r>
        <w:rPr>
          <w:rFonts w:hint="eastAsia"/>
        </w:rPr>
        <w:t>款所述理由和</w:t>
      </w:r>
      <w:r>
        <w:rPr>
          <w:rFonts w:hint="eastAsia"/>
        </w:rPr>
        <w:t>/</w:t>
      </w:r>
      <w:r>
        <w:rPr>
          <w:rFonts w:hint="eastAsia"/>
        </w:rPr>
        <w:t>或缔约国法律所承认的任何其他管辖权理由确立域外管辖权的法律规定。</w:t>
      </w:r>
    </w:p>
    <w:p w:rsidR="00000000" w:rsidRDefault="00000000">
      <w:pPr>
        <w:ind w:firstLine="510"/>
        <w:rPr>
          <w:rFonts w:hint="eastAsia"/>
        </w:rPr>
      </w:pPr>
      <w:r>
        <w:rPr>
          <w:rFonts w:hint="eastAsia"/>
        </w:rPr>
        <w:t xml:space="preserve">24.  </w:t>
      </w:r>
      <w:r>
        <w:rPr>
          <w:rFonts w:hint="eastAsia"/>
        </w:rPr>
        <w:t>报告应叙述缔约国关于引渡被控犯有议定书第</w:t>
      </w:r>
      <w:r>
        <w:rPr>
          <w:rFonts w:hint="eastAsia"/>
        </w:rPr>
        <w:t>3</w:t>
      </w:r>
      <w:r>
        <w:rPr>
          <w:rFonts w:hint="eastAsia"/>
        </w:rPr>
        <w:t>条所述一项或多项罪行的人的法律、政策和做法，包括：</w:t>
      </w:r>
    </w:p>
    <w:p w:rsidR="00000000" w:rsidRDefault="00000000">
      <w:pPr>
        <w:numPr>
          <w:ilvl w:val="0"/>
          <w:numId w:val="35"/>
        </w:numPr>
        <w:tabs>
          <w:tab w:val="clear" w:pos="2041"/>
        </w:tabs>
        <w:ind w:left="1531"/>
        <w:rPr>
          <w:rFonts w:hint="eastAsia"/>
        </w:rPr>
      </w:pPr>
      <w:r>
        <w:rPr>
          <w:rFonts w:hint="eastAsia"/>
        </w:rPr>
        <w:t>引渡是否要求与请求国之间存在一项引渡条约，如果不要求，则应说明是否有任何适用于考虑引渡请求的条件</w:t>
      </w:r>
      <w:r>
        <w:rPr>
          <w:rFonts w:hint="eastAsia"/>
        </w:rPr>
        <w:t>(</w:t>
      </w:r>
      <w:r>
        <w:rPr>
          <w:rFonts w:hint="eastAsia"/>
        </w:rPr>
        <w:t>如：对等</w:t>
      </w:r>
      <w:r>
        <w:rPr>
          <w:rFonts w:hint="eastAsia"/>
        </w:rPr>
        <w:t>)</w:t>
      </w:r>
      <w:r>
        <w:rPr>
          <w:rFonts w:hint="eastAsia"/>
        </w:rPr>
        <w:t>；</w:t>
      </w:r>
    </w:p>
    <w:p w:rsidR="00000000" w:rsidRDefault="00000000">
      <w:pPr>
        <w:numPr>
          <w:ilvl w:val="0"/>
          <w:numId w:val="35"/>
        </w:numPr>
        <w:tabs>
          <w:tab w:val="clear" w:pos="2041"/>
        </w:tabs>
        <w:ind w:left="1531"/>
        <w:rPr>
          <w:rFonts w:hint="eastAsia"/>
        </w:rPr>
      </w:pPr>
      <w:r>
        <w:rPr>
          <w:rFonts w:hint="eastAsia"/>
        </w:rPr>
        <w:t>如果引渡以缔约国与请求国之间存在一项引渡条约为条件，则应说明缔约国的主管部门是否承认第</w:t>
      </w:r>
      <w:r>
        <w:rPr>
          <w:rFonts w:hint="eastAsia"/>
        </w:rPr>
        <w:t>5</w:t>
      </w:r>
      <w:r>
        <w:rPr>
          <w:rFonts w:hint="eastAsia"/>
        </w:rPr>
        <w:t>条第</w:t>
      </w:r>
      <w:r>
        <w:rPr>
          <w:rFonts w:hint="eastAsia"/>
        </w:rPr>
        <w:t>2</w:t>
      </w:r>
      <w:r>
        <w:rPr>
          <w:rFonts w:hint="eastAsia"/>
        </w:rPr>
        <w:t>款构成同意议定书另一缔约国提出的引渡请求的充分依据，包括引渡请求涉及收到请求国的一名国民的案例；</w:t>
      </w:r>
    </w:p>
    <w:p w:rsidR="00000000" w:rsidRDefault="00000000">
      <w:pPr>
        <w:numPr>
          <w:ilvl w:val="0"/>
          <w:numId w:val="35"/>
        </w:numPr>
        <w:tabs>
          <w:tab w:val="clear" w:pos="2041"/>
        </w:tabs>
        <w:ind w:left="1531"/>
        <w:rPr>
          <w:rFonts w:hint="eastAsia"/>
        </w:rPr>
      </w:pPr>
      <w:r>
        <w:rPr>
          <w:rFonts w:hint="eastAsia"/>
        </w:rPr>
        <w:t>缔约国自从加入议定书以来是否已经加入任何引渡条约，或正在谈判任何引渡条约，若是如此，此种条约是否承认与议定书所述罪行相应的罪行是可以引渡的罪行；</w:t>
      </w:r>
    </w:p>
    <w:p w:rsidR="00000000" w:rsidRDefault="00000000">
      <w:pPr>
        <w:numPr>
          <w:ilvl w:val="0"/>
          <w:numId w:val="35"/>
        </w:numPr>
        <w:tabs>
          <w:tab w:val="clear" w:pos="2041"/>
        </w:tabs>
        <w:ind w:left="1531"/>
        <w:rPr>
          <w:rFonts w:hint="eastAsia"/>
        </w:rPr>
      </w:pPr>
      <w:r>
        <w:rPr>
          <w:rFonts w:hint="eastAsia"/>
        </w:rPr>
        <w:t>缔约国自从议定书生效以来，是否拒绝过对在它管辖下的、被另一缔约国控告犯有议定书所述任何罪行的人进行引渡的请求，若是如此，应说明拒绝引渡的理由，以及有关的人是否交付缔约国的主管部门起诉。</w:t>
      </w:r>
    </w:p>
    <w:p w:rsidR="00000000" w:rsidRDefault="00000000">
      <w:pPr>
        <w:numPr>
          <w:ilvl w:val="0"/>
          <w:numId w:val="35"/>
        </w:numPr>
        <w:tabs>
          <w:tab w:val="clear" w:pos="2041"/>
        </w:tabs>
        <w:ind w:left="1531"/>
        <w:rPr>
          <w:rFonts w:hint="eastAsia"/>
        </w:rPr>
      </w:pPr>
      <w:r>
        <w:rPr>
          <w:rFonts w:hint="eastAsia"/>
        </w:rPr>
        <w:t>自议定书生效以来，或自从最近一次报告议定书执行情况以来，缔约国同意的就议定书所述任何罪行的引渡请求的案件数目，按罪行性质分类；</w:t>
      </w:r>
    </w:p>
    <w:p w:rsidR="00000000" w:rsidRDefault="00000000">
      <w:pPr>
        <w:numPr>
          <w:ilvl w:val="0"/>
          <w:numId w:val="35"/>
        </w:numPr>
        <w:tabs>
          <w:tab w:val="clear" w:pos="2041"/>
        </w:tabs>
        <w:ind w:left="1531"/>
        <w:rPr>
          <w:rFonts w:hint="eastAsia"/>
        </w:rPr>
      </w:pPr>
      <w:r>
        <w:rPr>
          <w:rFonts w:hint="eastAsia"/>
        </w:rPr>
        <w:t>自议定书生效以来，缔约国是否请求过引渡被控犯有议定书所述的任何罪行任何人，若是如此，此种请求是否得到被请求国落实；以及</w:t>
      </w:r>
    </w:p>
    <w:p w:rsidR="00000000" w:rsidRDefault="00000000">
      <w:pPr>
        <w:numPr>
          <w:ilvl w:val="0"/>
          <w:numId w:val="35"/>
        </w:numPr>
        <w:tabs>
          <w:tab w:val="clear" w:pos="2041"/>
        </w:tabs>
        <w:ind w:left="1531"/>
        <w:rPr>
          <w:rFonts w:hint="eastAsia"/>
        </w:rPr>
      </w:pPr>
      <w:r>
        <w:rPr>
          <w:rFonts w:hint="eastAsia"/>
        </w:rPr>
        <w:t>是否提议、起草或通过了关于引渡的任何新的立法、规章或司法规则，若是如此，应说明它们对于引渡被控犯有与议定书第</w:t>
      </w:r>
      <w:r>
        <w:rPr>
          <w:rFonts w:hint="eastAsia"/>
        </w:rPr>
        <w:t>3</w:t>
      </w:r>
      <w:r>
        <w:rPr>
          <w:rFonts w:hint="eastAsia"/>
        </w:rPr>
        <w:t>条所述行为相应的罪行的人的可能后果。</w:t>
      </w:r>
    </w:p>
    <w:p w:rsidR="00000000" w:rsidRDefault="00000000">
      <w:pPr>
        <w:ind w:firstLine="510"/>
        <w:rPr>
          <w:rFonts w:hint="eastAsia"/>
        </w:rPr>
      </w:pPr>
      <w:r>
        <w:rPr>
          <w:rFonts w:hint="eastAsia"/>
        </w:rPr>
        <w:t xml:space="preserve">25.  </w:t>
      </w:r>
      <w:r>
        <w:rPr>
          <w:rFonts w:hint="eastAsia"/>
        </w:rPr>
        <w:t>报告应叙述就议定书所述罪行进行的调查和提出的刑事诉讼和引渡同其他缔约国进行合作的法律基础，包括国际协议，以及缔约国在此种合作方面的政策和做法，包括它同其他缔约国合作的案例，以及它在获得其他缔约国合作方面所经历的任何重大困难。</w:t>
      </w:r>
    </w:p>
    <w:p w:rsidR="00000000" w:rsidRDefault="00000000">
      <w:pPr>
        <w:ind w:firstLine="510"/>
        <w:rPr>
          <w:rFonts w:hint="eastAsia"/>
          <w:color w:val="000000"/>
        </w:rPr>
      </w:pPr>
      <w:r>
        <w:rPr>
          <w:rFonts w:hint="eastAsia"/>
        </w:rPr>
        <w:t xml:space="preserve">26.  </w:t>
      </w:r>
      <w:r>
        <w:rPr>
          <w:rFonts w:hint="eastAsia"/>
        </w:rPr>
        <w:t>报告应叙述缔约国在下列方面的法律、政策和做法：</w:t>
      </w:r>
    </w:p>
    <w:p w:rsidR="00000000" w:rsidRDefault="00000000">
      <w:pPr>
        <w:numPr>
          <w:ilvl w:val="0"/>
          <w:numId w:val="37"/>
        </w:numPr>
        <w:tabs>
          <w:tab w:val="clear" w:pos="2041"/>
        </w:tabs>
        <w:ind w:left="1531"/>
        <w:rPr>
          <w:rFonts w:hint="eastAsia"/>
        </w:rPr>
      </w:pPr>
      <w:r>
        <w:rPr>
          <w:rFonts w:hint="eastAsia"/>
        </w:rPr>
        <w:t>扣押和没收用于实施或便利议定书所述任何罪行的材料、资产和</w:t>
      </w:r>
      <w:r>
        <w:rPr>
          <w:rFonts w:hint="eastAsia"/>
        </w:rPr>
        <w:t>/</w:t>
      </w:r>
      <w:r>
        <w:rPr>
          <w:rFonts w:hint="eastAsia"/>
        </w:rPr>
        <w:t>或其他物品；</w:t>
      </w:r>
    </w:p>
    <w:p w:rsidR="00000000" w:rsidRDefault="00000000">
      <w:pPr>
        <w:numPr>
          <w:ilvl w:val="0"/>
          <w:numId w:val="37"/>
        </w:numPr>
        <w:tabs>
          <w:tab w:val="clear" w:pos="2041"/>
        </w:tabs>
        <w:ind w:left="1531"/>
        <w:rPr>
          <w:rFonts w:hint="eastAsia"/>
        </w:rPr>
      </w:pPr>
      <w:r>
        <w:rPr>
          <w:rFonts w:hint="eastAsia"/>
        </w:rPr>
        <w:t>扣押和没收此种犯罪所得收益；</w:t>
      </w:r>
    </w:p>
    <w:p w:rsidR="00000000" w:rsidRDefault="00000000">
      <w:pPr>
        <w:numPr>
          <w:ilvl w:val="0"/>
          <w:numId w:val="37"/>
        </w:numPr>
        <w:tabs>
          <w:tab w:val="clear" w:pos="2041"/>
        </w:tabs>
        <w:spacing w:after="320"/>
        <w:ind w:left="1531"/>
        <w:rPr>
          <w:rFonts w:hint="eastAsia"/>
        </w:rPr>
      </w:pPr>
      <w:r>
        <w:rPr>
          <w:rFonts w:hint="eastAsia"/>
        </w:rPr>
        <w:t>查封用于实施这些罪行的场所，包括执行其他缔约国提出的关于扣押和没收议定书第</w:t>
      </w:r>
      <w:r>
        <w:rPr>
          <w:rFonts w:hint="eastAsia"/>
        </w:rPr>
        <w:t>7</w:t>
      </w:r>
      <w:r>
        <w:rPr>
          <w:rFonts w:hint="eastAsia"/>
        </w:rPr>
        <w:t>条</w:t>
      </w:r>
      <w:r>
        <w:rPr>
          <w:rFonts w:hint="eastAsia"/>
        </w:rPr>
        <w:t>(a)</w:t>
      </w:r>
      <w:r>
        <w:rPr>
          <w:rFonts w:hint="eastAsia"/>
        </w:rPr>
        <w:t>款所述任何材料、资产、工具或所得收益的请求；缔约国关于回应其他缔约国提出的扣押和没收物品和所得的请求的经验；自议定书生效以来所提议、起草或颁布的有关这些事项的任何立法，以及有关这些具有特定意义的事项的任何司法决定。</w:t>
      </w:r>
    </w:p>
    <w:p w:rsidR="00000000" w:rsidRDefault="00000000">
      <w:pPr>
        <w:pStyle w:val="Heading2"/>
        <w:rPr>
          <w:rFonts w:hint="eastAsia"/>
          <w:snapToGrid/>
          <w:spacing w:val="0"/>
          <w:kern w:val="0"/>
          <w:sz w:val="24"/>
        </w:rPr>
      </w:pPr>
      <w:r>
        <w:rPr>
          <w:rFonts w:hint="eastAsia"/>
          <w:snapToGrid/>
          <w:kern w:val="0"/>
        </w:rPr>
        <w:t>六、保护受害人的权利</w:t>
      </w:r>
      <w:r>
        <w:rPr>
          <w:snapToGrid/>
          <w:kern w:val="0"/>
        </w:rPr>
        <w:br/>
        <w:t xml:space="preserve"> </w:t>
      </w:r>
      <w:r>
        <w:rPr>
          <w:rFonts w:hint="eastAsia"/>
          <w:snapToGrid/>
          <w:spacing w:val="0"/>
          <w:kern w:val="0"/>
          <w:sz w:val="24"/>
        </w:rPr>
        <w:t>(</w:t>
      </w:r>
      <w:r>
        <w:rPr>
          <w:rFonts w:hint="eastAsia"/>
          <w:snapToGrid/>
          <w:spacing w:val="0"/>
          <w:kern w:val="0"/>
          <w:sz w:val="24"/>
        </w:rPr>
        <w:t>第</w:t>
      </w:r>
      <w:r>
        <w:rPr>
          <w:rFonts w:hint="eastAsia"/>
          <w:snapToGrid/>
          <w:spacing w:val="0"/>
          <w:kern w:val="0"/>
          <w:sz w:val="24"/>
        </w:rPr>
        <w:t>8</w:t>
      </w:r>
      <w:r>
        <w:rPr>
          <w:rFonts w:hint="eastAsia"/>
          <w:snapToGrid/>
          <w:spacing w:val="0"/>
          <w:kern w:val="0"/>
          <w:sz w:val="24"/>
        </w:rPr>
        <w:t>条和第</w:t>
      </w:r>
      <w:r>
        <w:rPr>
          <w:rFonts w:hint="eastAsia"/>
          <w:snapToGrid/>
          <w:spacing w:val="0"/>
          <w:kern w:val="0"/>
          <w:sz w:val="24"/>
        </w:rPr>
        <w:t>9</w:t>
      </w:r>
      <w:r>
        <w:rPr>
          <w:rFonts w:hint="eastAsia"/>
          <w:snapToGrid/>
          <w:spacing w:val="0"/>
          <w:kern w:val="0"/>
          <w:sz w:val="24"/>
        </w:rPr>
        <w:t>条第</w:t>
      </w:r>
      <w:r>
        <w:rPr>
          <w:rFonts w:hint="eastAsia"/>
          <w:snapToGrid/>
          <w:spacing w:val="0"/>
          <w:kern w:val="0"/>
          <w:sz w:val="24"/>
        </w:rPr>
        <w:t>3</w:t>
      </w:r>
      <w:r>
        <w:rPr>
          <w:rFonts w:hint="eastAsia"/>
          <w:snapToGrid/>
          <w:spacing w:val="0"/>
          <w:kern w:val="0"/>
          <w:sz w:val="24"/>
        </w:rPr>
        <w:t>、</w:t>
      </w:r>
      <w:r>
        <w:rPr>
          <w:rFonts w:hint="eastAsia"/>
          <w:snapToGrid/>
          <w:spacing w:val="0"/>
          <w:kern w:val="0"/>
          <w:sz w:val="24"/>
        </w:rPr>
        <w:t>4</w:t>
      </w:r>
      <w:r>
        <w:rPr>
          <w:rFonts w:hint="eastAsia"/>
          <w:snapToGrid/>
          <w:spacing w:val="0"/>
          <w:kern w:val="0"/>
          <w:sz w:val="24"/>
        </w:rPr>
        <w:t>款</w:t>
      </w:r>
      <w:r>
        <w:rPr>
          <w:rFonts w:hint="eastAsia"/>
          <w:snapToGrid/>
          <w:spacing w:val="0"/>
          <w:kern w:val="0"/>
          <w:sz w:val="24"/>
        </w:rPr>
        <w:t>)</w:t>
      </w:r>
    </w:p>
    <w:p w:rsidR="00000000" w:rsidRDefault="00000000">
      <w:pPr>
        <w:ind w:firstLine="510"/>
      </w:pPr>
      <w:r>
        <w:rPr>
          <w:rFonts w:hint="eastAsia"/>
        </w:rPr>
        <w:t xml:space="preserve">27.  </w:t>
      </w:r>
      <w:r>
        <w:rPr>
          <w:rFonts w:hint="eastAsia"/>
        </w:rPr>
        <w:t>报告应包含有关资料，介绍缔约国执行议定书第</w:t>
      </w:r>
      <w:r>
        <w:rPr>
          <w:rFonts w:hint="eastAsia"/>
        </w:rPr>
        <w:t>8</w:t>
      </w:r>
      <w:r>
        <w:rPr>
          <w:rFonts w:hint="eastAsia"/>
        </w:rPr>
        <w:t>条而通过了哪些措施，以便在有关议定书所禁止的做法的受害儿童的刑事调查和诉讼程序的所有阶段确保完全承认、尊重和保护他们的权利和最大利益。缔约国也可叙述为了执行</w:t>
      </w:r>
      <w:r>
        <w:rPr>
          <w:rFonts w:hint="eastAsia"/>
        </w:rPr>
        <w:t>2005</w:t>
      </w:r>
      <w:r>
        <w:rPr>
          <w:rFonts w:hint="eastAsia"/>
        </w:rPr>
        <w:t>年经济及社会理事会通过的涉及受害儿童和罪行证人事项的司法准则</w:t>
      </w:r>
      <w:r>
        <w:rPr>
          <w:rFonts w:hint="eastAsia"/>
        </w:rPr>
        <w:t>(</w:t>
      </w:r>
      <w:r>
        <w:rPr>
          <w:rFonts w:hint="eastAsia"/>
        </w:rPr>
        <w:t>见附件</w:t>
      </w:r>
      <w:r>
        <w:rPr>
          <w:rFonts w:hint="eastAsia"/>
        </w:rPr>
        <w:t>)</w:t>
      </w:r>
      <w:r>
        <w:rPr>
          <w:rFonts w:hint="eastAsia"/>
        </w:rPr>
        <w:t>所作的任何努力。</w:t>
      </w:r>
    </w:p>
    <w:p w:rsidR="00000000" w:rsidRDefault="00000000">
      <w:pPr>
        <w:ind w:firstLine="510"/>
        <w:rPr>
          <w:rFonts w:hint="eastAsia"/>
        </w:rPr>
      </w:pPr>
      <w:r>
        <w:rPr>
          <w:rFonts w:hint="eastAsia"/>
        </w:rPr>
        <w:t xml:space="preserve">28.  </w:t>
      </w:r>
      <w:r>
        <w:rPr>
          <w:rFonts w:hint="eastAsia"/>
        </w:rPr>
        <w:t>报告应当描述缔约国全境在受害人看来不到</w:t>
      </w:r>
      <w:r>
        <w:rPr>
          <w:rFonts w:hint="eastAsia"/>
        </w:rPr>
        <w:t xml:space="preserve"> 18</w:t>
      </w:r>
      <w:r>
        <w:rPr>
          <w:rFonts w:hint="eastAsia"/>
        </w:rPr>
        <w:t>岁但其实际年龄不详的案件中调查议定书所述罪行方面的相关法律、政策和做法</w:t>
      </w:r>
      <w:r>
        <w:rPr>
          <w:rFonts w:hint="eastAsia"/>
        </w:rPr>
        <w:t>(</w:t>
      </w:r>
      <w:r>
        <w:rPr>
          <w:rFonts w:hint="eastAsia"/>
        </w:rPr>
        <w:t>见附件</w:t>
      </w:r>
      <w:r>
        <w:rPr>
          <w:rFonts w:hint="eastAsia"/>
        </w:rPr>
        <w:t>)</w:t>
      </w:r>
      <w:r>
        <w:rPr>
          <w:rFonts w:hint="eastAsia"/>
        </w:rPr>
        <w:t>。</w:t>
      </w:r>
    </w:p>
    <w:p w:rsidR="00000000" w:rsidRDefault="00000000">
      <w:pPr>
        <w:ind w:firstLine="510"/>
        <w:rPr>
          <w:rFonts w:hint="eastAsia"/>
          <w:spacing w:val="8"/>
        </w:rPr>
      </w:pPr>
      <w:r>
        <w:rPr>
          <w:rFonts w:hint="eastAsia"/>
          <w:spacing w:val="8"/>
        </w:rPr>
        <w:t xml:space="preserve">29.  </w:t>
      </w:r>
      <w:r>
        <w:rPr>
          <w:rFonts w:hint="eastAsia"/>
          <w:spacing w:val="8"/>
        </w:rPr>
        <w:t>报告应叙述有关部门为了确保刑事司法系统在对待议定书所述罪行的受害儿童方面以儿童的最大利益为首要考虑所采取的规则、规章、准则或指示</w:t>
      </w:r>
      <w:r>
        <w:rPr>
          <w:rFonts w:hint="eastAsia"/>
          <w:spacing w:val="8"/>
        </w:rPr>
        <w:t>(</w:t>
      </w:r>
      <w:r>
        <w:rPr>
          <w:rFonts w:hint="eastAsia"/>
          <w:spacing w:val="8"/>
        </w:rPr>
        <w:t>见附件</w:t>
      </w:r>
      <w:r>
        <w:rPr>
          <w:rFonts w:hint="eastAsia"/>
          <w:spacing w:val="8"/>
        </w:rPr>
        <w:t>)</w:t>
      </w:r>
      <w:r>
        <w:rPr>
          <w:rFonts w:hint="eastAsia"/>
          <w:spacing w:val="8"/>
        </w:rPr>
        <w:t>。</w:t>
      </w:r>
    </w:p>
    <w:p w:rsidR="00000000" w:rsidRDefault="00000000">
      <w:pPr>
        <w:ind w:firstLine="510"/>
        <w:rPr>
          <w:rFonts w:hint="eastAsia"/>
          <w:color w:val="000000"/>
        </w:rPr>
      </w:pPr>
      <w:r>
        <w:rPr>
          <w:rFonts w:hint="eastAsia"/>
        </w:rPr>
        <w:t xml:space="preserve">30.  </w:t>
      </w:r>
      <w:r>
        <w:rPr>
          <w:rFonts w:hint="eastAsia"/>
        </w:rPr>
        <w:t>报告应说明现行法律、程序和政策的哪些规定的是为了在刑事调查和诉讼程序中确保充分查明及考虑到受此种罪行的受害儿童的最大利益，如果没有，则说明缔约国是否认为有必要或打算采取哪些步骤改进对议定书第</w:t>
      </w:r>
      <w:r>
        <w:rPr>
          <w:rFonts w:hint="eastAsia"/>
        </w:rPr>
        <w:t>8</w:t>
      </w:r>
      <w:r>
        <w:rPr>
          <w:rFonts w:hint="eastAsia"/>
        </w:rPr>
        <w:t>条第</w:t>
      </w:r>
      <w:r>
        <w:rPr>
          <w:rFonts w:hint="eastAsia"/>
        </w:rPr>
        <w:t>3</w:t>
      </w:r>
      <w:r>
        <w:rPr>
          <w:rFonts w:hint="eastAsia"/>
        </w:rPr>
        <w:t>款的遵守</w:t>
      </w:r>
      <w:r>
        <w:rPr>
          <w:rFonts w:hint="eastAsia"/>
        </w:rPr>
        <w:t>(</w:t>
      </w:r>
      <w:r>
        <w:rPr>
          <w:rFonts w:hint="eastAsia"/>
        </w:rPr>
        <w:t>见附件</w:t>
      </w:r>
      <w:r>
        <w:rPr>
          <w:rFonts w:hint="eastAsia"/>
        </w:rPr>
        <w:t>)</w:t>
      </w:r>
      <w:r>
        <w:rPr>
          <w:rFonts w:hint="eastAsia"/>
        </w:rPr>
        <w:t>。</w:t>
      </w:r>
    </w:p>
    <w:p w:rsidR="00000000" w:rsidRDefault="00000000">
      <w:pPr>
        <w:ind w:firstLine="510"/>
        <w:rPr>
          <w:rFonts w:hint="eastAsia"/>
          <w:color w:val="000000"/>
        </w:rPr>
      </w:pPr>
      <w:r>
        <w:rPr>
          <w:rFonts w:hint="eastAsia"/>
        </w:rPr>
        <w:t xml:space="preserve">31.  </w:t>
      </w:r>
      <w:r>
        <w:rPr>
          <w:rFonts w:hint="eastAsia"/>
        </w:rPr>
        <w:t>报告应说明采取哪些措施确保对在业务上与议定书所禁止的罪行的受害人接触的人员进行法律、心理或其他培训</w:t>
      </w:r>
      <w:r>
        <w:rPr>
          <w:rFonts w:hint="eastAsia"/>
        </w:rPr>
        <w:t>(</w:t>
      </w:r>
      <w:r>
        <w:rPr>
          <w:rFonts w:hint="eastAsia"/>
        </w:rPr>
        <w:t>见附件</w:t>
      </w:r>
      <w:r>
        <w:rPr>
          <w:rFonts w:hint="eastAsia"/>
        </w:rPr>
        <w:t>)</w:t>
      </w:r>
      <w:r>
        <w:rPr>
          <w:rFonts w:hint="eastAsia"/>
        </w:rPr>
        <w:t>。</w:t>
      </w:r>
    </w:p>
    <w:p w:rsidR="00000000" w:rsidRDefault="00000000">
      <w:pPr>
        <w:ind w:firstLine="510"/>
        <w:rPr>
          <w:rFonts w:hint="eastAsia"/>
          <w:color w:val="000000"/>
        </w:rPr>
      </w:pPr>
      <w:r>
        <w:rPr>
          <w:rFonts w:hint="eastAsia"/>
        </w:rPr>
        <w:t xml:space="preserve">32.  </w:t>
      </w:r>
      <w:r>
        <w:rPr>
          <w:rFonts w:hint="eastAsia"/>
        </w:rPr>
        <w:t>报告应说明采取哪些措施向各机构、组织、网络和个人提供不担心干扰或报复而开展其工作的必要条件，如果没有，则应说明打算或认为有必要采取哪些步骤确保对议定书第</w:t>
      </w:r>
      <w:r>
        <w:rPr>
          <w:rFonts w:hint="eastAsia"/>
        </w:rPr>
        <w:t>8</w:t>
      </w:r>
      <w:r>
        <w:rPr>
          <w:rFonts w:hint="eastAsia"/>
        </w:rPr>
        <w:t>条第</w:t>
      </w:r>
      <w:r>
        <w:rPr>
          <w:rFonts w:hint="eastAsia"/>
        </w:rPr>
        <w:t>5</w:t>
      </w:r>
      <w:r>
        <w:rPr>
          <w:rFonts w:hint="eastAsia"/>
        </w:rPr>
        <w:t>款的遵守</w:t>
      </w:r>
      <w:r>
        <w:rPr>
          <w:rFonts w:hint="eastAsia"/>
        </w:rPr>
        <w:t>(</w:t>
      </w:r>
      <w:r>
        <w:rPr>
          <w:rFonts w:hint="eastAsia"/>
        </w:rPr>
        <w:t>见附件</w:t>
      </w:r>
      <w:r>
        <w:rPr>
          <w:rFonts w:hint="eastAsia"/>
        </w:rPr>
        <w:t>)</w:t>
      </w:r>
      <w:r>
        <w:rPr>
          <w:rFonts w:hint="eastAsia"/>
        </w:rPr>
        <w:t>。</w:t>
      </w:r>
    </w:p>
    <w:p w:rsidR="00000000" w:rsidRDefault="00000000">
      <w:pPr>
        <w:ind w:firstLine="510"/>
        <w:rPr>
          <w:rFonts w:hint="eastAsia"/>
          <w:color w:val="000000"/>
        </w:rPr>
      </w:pPr>
      <w:r>
        <w:rPr>
          <w:rFonts w:hint="eastAsia"/>
        </w:rPr>
        <w:t xml:space="preserve">33.  </w:t>
      </w:r>
      <w:r>
        <w:rPr>
          <w:rFonts w:hint="eastAsia"/>
        </w:rPr>
        <w:t>报告应叙述为确保旨在保护议定书所述罪行的受害儿童的利益的各种措施对于被告人享有公平和公正审判的权利无任何不当影响而实施或加强的任何特别保障或补偿措施</w:t>
      </w:r>
      <w:r>
        <w:rPr>
          <w:rFonts w:hint="eastAsia"/>
        </w:rPr>
        <w:t>(</w:t>
      </w:r>
      <w:r>
        <w:rPr>
          <w:rFonts w:hint="eastAsia"/>
        </w:rPr>
        <w:t>见附件</w:t>
      </w:r>
      <w:r>
        <w:rPr>
          <w:rFonts w:hint="eastAsia"/>
        </w:rPr>
        <w:t>)</w:t>
      </w:r>
      <w:r>
        <w:rPr>
          <w:rFonts w:hint="eastAsia"/>
        </w:rPr>
        <w:t>。</w:t>
      </w:r>
    </w:p>
    <w:p w:rsidR="00000000" w:rsidRDefault="00000000">
      <w:pPr>
        <w:ind w:firstLine="510"/>
        <w:rPr>
          <w:rFonts w:hint="eastAsia"/>
          <w:color w:val="000000"/>
        </w:rPr>
      </w:pPr>
      <w:r>
        <w:rPr>
          <w:rFonts w:hint="eastAsia"/>
        </w:rPr>
        <w:t xml:space="preserve">34.  </w:t>
      </w:r>
      <w:r>
        <w:rPr>
          <w:rFonts w:hint="eastAsia"/>
        </w:rPr>
        <w:t>报告应叙述在重返社会方面向买卖儿童、</w:t>
      </w:r>
      <w:r>
        <w:rPr>
          <w:rFonts w:hint="eastAsia"/>
          <w:color w:val="000000"/>
        </w:rPr>
        <w:t>儿童卖淫和儿童色情制品的受害儿童提供援助的现有公共和私人方案，特别注意家庭团聚及身体和心理康复</w:t>
      </w:r>
      <w:r>
        <w:rPr>
          <w:rFonts w:hint="eastAsia"/>
        </w:rPr>
        <w:t>(</w:t>
      </w:r>
      <w:r>
        <w:rPr>
          <w:rFonts w:hint="eastAsia"/>
        </w:rPr>
        <w:t>见附件</w:t>
      </w:r>
      <w:r>
        <w:rPr>
          <w:rFonts w:hint="eastAsia"/>
        </w:rPr>
        <w:t>)</w:t>
      </w:r>
      <w:r>
        <w:rPr>
          <w:rFonts w:hint="eastAsia"/>
        </w:rPr>
        <w:t>。</w:t>
      </w:r>
    </w:p>
    <w:p w:rsidR="00000000" w:rsidRDefault="00000000">
      <w:pPr>
        <w:ind w:firstLine="510"/>
        <w:rPr>
          <w:rFonts w:hint="eastAsia"/>
          <w:color w:val="000000"/>
        </w:rPr>
      </w:pPr>
      <w:r>
        <w:rPr>
          <w:rFonts w:hint="eastAsia"/>
        </w:rPr>
        <w:t xml:space="preserve">35.  </w:t>
      </w:r>
      <w:r>
        <w:rPr>
          <w:rFonts w:hint="eastAsia"/>
        </w:rPr>
        <w:t>报告还应叙述，对于</w:t>
      </w:r>
      <w:r>
        <w:rPr>
          <w:rFonts w:hint="eastAsia"/>
          <w:color w:val="000000"/>
        </w:rPr>
        <w:t>儿童所受的剥削对其姓名、国籍和家庭联系等任何身份产生不利影响的情况，缔约国采取哪些措施协助他</w:t>
      </w:r>
      <w:r>
        <w:rPr>
          <w:rFonts w:hint="eastAsia"/>
          <w:color w:val="000000"/>
        </w:rPr>
        <w:t>/</w:t>
      </w:r>
      <w:r>
        <w:rPr>
          <w:rFonts w:hint="eastAsia"/>
          <w:color w:val="000000"/>
        </w:rPr>
        <w:t>她恢复身份</w:t>
      </w:r>
      <w:r>
        <w:rPr>
          <w:rFonts w:hint="eastAsia"/>
        </w:rPr>
        <w:t>(</w:t>
      </w:r>
      <w:r>
        <w:rPr>
          <w:rFonts w:hint="eastAsia"/>
        </w:rPr>
        <w:t>见附件</w:t>
      </w:r>
      <w:r>
        <w:rPr>
          <w:rFonts w:hint="eastAsia"/>
        </w:rPr>
        <w:t>)</w:t>
      </w:r>
      <w:r>
        <w:rPr>
          <w:rFonts w:hint="eastAsia"/>
        </w:rPr>
        <w:t>。</w:t>
      </w:r>
    </w:p>
    <w:p w:rsidR="00000000" w:rsidRDefault="00000000">
      <w:pPr>
        <w:ind w:firstLine="510"/>
        <w:rPr>
          <w:rFonts w:hint="eastAsia"/>
          <w:color w:val="000000"/>
        </w:rPr>
      </w:pPr>
      <w:r>
        <w:rPr>
          <w:rFonts w:hint="eastAsia"/>
        </w:rPr>
        <w:t xml:space="preserve">36.  </w:t>
      </w:r>
      <w:r>
        <w:rPr>
          <w:rFonts w:hint="eastAsia"/>
        </w:rPr>
        <w:t>报告所载的有关在重返社会、</w:t>
      </w:r>
      <w:r>
        <w:rPr>
          <w:rFonts w:hint="eastAsia"/>
          <w:color w:val="000000"/>
        </w:rPr>
        <w:t>身心康复及恢复身份等方面的协助的资料应说明，对于为属缔约国国民或推定为国民的儿童提供的协助与不属国民或国籍不详的儿童提供的协助之间是否有差别</w:t>
      </w:r>
      <w:r>
        <w:rPr>
          <w:rFonts w:hint="eastAsia"/>
        </w:rPr>
        <w:t>(</w:t>
      </w:r>
      <w:r>
        <w:rPr>
          <w:rFonts w:hint="eastAsia"/>
        </w:rPr>
        <w:t>见附件</w:t>
      </w:r>
      <w:r>
        <w:rPr>
          <w:rFonts w:hint="eastAsia"/>
        </w:rPr>
        <w:t>)</w:t>
      </w:r>
      <w:r>
        <w:rPr>
          <w:rFonts w:hint="eastAsia"/>
        </w:rPr>
        <w:t>。</w:t>
      </w:r>
    </w:p>
    <w:p w:rsidR="00000000" w:rsidRDefault="00000000">
      <w:pPr>
        <w:spacing w:after="320"/>
        <w:ind w:firstLine="510"/>
        <w:rPr>
          <w:rFonts w:hint="eastAsia"/>
        </w:rPr>
      </w:pPr>
      <w:r>
        <w:rPr>
          <w:rFonts w:hint="eastAsia"/>
        </w:rPr>
        <w:t xml:space="preserve">37.  </w:t>
      </w:r>
      <w:r>
        <w:rPr>
          <w:rFonts w:hint="eastAsia"/>
        </w:rPr>
        <w:t>报告应载有关于买卖儿童、</w:t>
      </w:r>
      <w:r>
        <w:rPr>
          <w:rFonts w:hint="eastAsia"/>
          <w:color w:val="000000"/>
        </w:rPr>
        <w:t>儿童卖淫和儿童色情制品现象的受害儿童可用以向法律责任人寻求损害补偿的现有补救办法和程序的资料</w:t>
      </w:r>
      <w:r>
        <w:rPr>
          <w:rFonts w:hint="eastAsia"/>
        </w:rPr>
        <w:t>(</w:t>
      </w:r>
      <w:r>
        <w:rPr>
          <w:rFonts w:hint="eastAsia"/>
        </w:rPr>
        <w:t>见附件</w:t>
      </w:r>
      <w:r>
        <w:rPr>
          <w:rFonts w:hint="eastAsia"/>
        </w:rPr>
        <w:t>)</w:t>
      </w:r>
      <w:r>
        <w:rPr>
          <w:rFonts w:hint="eastAsia"/>
        </w:rPr>
        <w:t>。</w:t>
      </w:r>
    </w:p>
    <w:p w:rsidR="00000000" w:rsidRDefault="00000000">
      <w:pPr>
        <w:pStyle w:val="Heading2"/>
        <w:rPr>
          <w:rFonts w:hint="eastAsia"/>
          <w:snapToGrid/>
          <w:kern w:val="0"/>
          <w:sz w:val="24"/>
        </w:rPr>
      </w:pPr>
      <w:r>
        <w:rPr>
          <w:rFonts w:hint="eastAsia"/>
          <w:snapToGrid/>
          <w:kern w:val="0"/>
        </w:rPr>
        <w:t>七、国际援助和合作</w:t>
      </w:r>
      <w:r>
        <w:rPr>
          <w:snapToGrid/>
          <w:kern w:val="0"/>
        </w:rPr>
        <w:br/>
        <w:t xml:space="preserve">  </w:t>
      </w:r>
      <w:r>
        <w:rPr>
          <w:rFonts w:hint="eastAsia"/>
          <w:snapToGrid/>
          <w:kern w:val="0"/>
          <w:sz w:val="24"/>
        </w:rPr>
        <w:t>(</w:t>
      </w:r>
      <w:r>
        <w:rPr>
          <w:rFonts w:hint="eastAsia"/>
          <w:snapToGrid/>
          <w:kern w:val="0"/>
          <w:sz w:val="24"/>
        </w:rPr>
        <w:t>第</w:t>
      </w:r>
      <w:r>
        <w:rPr>
          <w:rFonts w:hint="eastAsia"/>
          <w:snapToGrid/>
          <w:kern w:val="0"/>
          <w:sz w:val="24"/>
        </w:rPr>
        <w:t>10</w:t>
      </w:r>
      <w:r>
        <w:rPr>
          <w:rFonts w:hint="eastAsia"/>
          <w:snapToGrid/>
          <w:kern w:val="0"/>
          <w:sz w:val="24"/>
        </w:rPr>
        <w:t>条</w:t>
      </w:r>
      <w:r>
        <w:rPr>
          <w:rFonts w:hint="eastAsia"/>
          <w:snapToGrid/>
          <w:kern w:val="0"/>
          <w:sz w:val="24"/>
        </w:rPr>
        <w:t>)</w:t>
      </w:r>
    </w:p>
    <w:p w:rsidR="00000000" w:rsidRDefault="00000000">
      <w:pPr>
        <w:ind w:firstLine="510"/>
        <w:rPr>
          <w:rFonts w:hint="eastAsia"/>
          <w:color w:val="000000"/>
        </w:rPr>
      </w:pPr>
      <w:r>
        <w:rPr>
          <w:rFonts w:hint="eastAsia"/>
        </w:rPr>
        <w:t xml:space="preserve">38.  </w:t>
      </w:r>
      <w:r>
        <w:rPr>
          <w:rFonts w:hint="eastAsia"/>
        </w:rPr>
        <w:t>报告应叙述：</w:t>
      </w:r>
    </w:p>
    <w:p w:rsidR="00000000" w:rsidRDefault="00000000">
      <w:pPr>
        <w:numPr>
          <w:ilvl w:val="0"/>
          <w:numId w:val="39"/>
        </w:numPr>
        <w:tabs>
          <w:tab w:val="clear" w:pos="2041"/>
        </w:tabs>
        <w:ind w:left="1531"/>
        <w:rPr>
          <w:rFonts w:hint="eastAsia"/>
        </w:rPr>
      </w:pPr>
      <w:r>
        <w:rPr>
          <w:rFonts w:hint="eastAsia"/>
          <w:color w:val="000000"/>
        </w:rPr>
        <w:t>缔约国协助起草，或谈判、签署或加入的关于防止、侦查、调查、起诉和惩治议定书所述罪行的责任人的任何多边、区域和双边的安排；</w:t>
      </w:r>
    </w:p>
    <w:p w:rsidR="00000000" w:rsidRDefault="00000000">
      <w:pPr>
        <w:numPr>
          <w:ilvl w:val="0"/>
          <w:numId w:val="39"/>
        </w:numPr>
        <w:tabs>
          <w:tab w:val="clear" w:pos="2041"/>
        </w:tabs>
        <w:ind w:left="1531"/>
        <w:rPr>
          <w:rFonts w:hint="eastAsia"/>
        </w:rPr>
      </w:pPr>
      <w:r>
        <w:rPr>
          <w:rFonts w:hint="eastAsia"/>
          <w:color w:val="000000"/>
        </w:rPr>
        <w:t>为落实协调这些安排的执行的程序和机制而采取的步骤；及</w:t>
      </w:r>
    </w:p>
    <w:p w:rsidR="00000000" w:rsidRDefault="00000000">
      <w:pPr>
        <w:numPr>
          <w:ilvl w:val="0"/>
          <w:numId w:val="39"/>
        </w:numPr>
        <w:tabs>
          <w:tab w:val="clear" w:pos="2041"/>
        </w:tabs>
        <w:ind w:left="1531"/>
        <w:rPr>
          <w:rFonts w:hint="eastAsia"/>
        </w:rPr>
      </w:pPr>
      <w:r>
        <w:rPr>
          <w:rFonts w:hint="eastAsia"/>
          <w:color w:val="000000"/>
        </w:rPr>
        <w:t>通过这些安排所获得的结果，在执行这些安排中遇到的重大困难，以及为了改进执行这些安排所作的或认为必要的努力。</w:t>
      </w:r>
    </w:p>
    <w:p w:rsidR="00000000" w:rsidRDefault="00000000">
      <w:pPr>
        <w:ind w:firstLine="510"/>
        <w:rPr>
          <w:rFonts w:hint="eastAsia"/>
          <w:color w:val="000000"/>
        </w:rPr>
      </w:pPr>
      <w:r>
        <w:rPr>
          <w:rFonts w:hint="eastAsia"/>
        </w:rPr>
        <w:t xml:space="preserve">39.  </w:t>
      </w:r>
      <w:r>
        <w:rPr>
          <w:rFonts w:hint="eastAsia"/>
        </w:rPr>
        <w:t>报告还应叙述缔约国为了促进各主管部门同有关的区域或国际组织之间，以及各主管部门同国内和国际非政府组织之间在</w:t>
      </w:r>
      <w:r>
        <w:rPr>
          <w:rFonts w:hint="eastAsia"/>
          <w:color w:val="000000"/>
        </w:rPr>
        <w:t>防止、侦查、调查、起诉和惩治议定书所述罪行方面的国际合作和协调而采取的任何其他步骤。</w:t>
      </w:r>
    </w:p>
    <w:p w:rsidR="00000000" w:rsidRDefault="00000000">
      <w:pPr>
        <w:ind w:firstLine="510"/>
        <w:rPr>
          <w:rFonts w:hint="eastAsia"/>
        </w:rPr>
      </w:pPr>
      <w:r>
        <w:rPr>
          <w:rFonts w:hint="eastAsia"/>
        </w:rPr>
        <w:t xml:space="preserve">40.  </w:t>
      </w:r>
      <w:r>
        <w:rPr>
          <w:rFonts w:hint="eastAsia"/>
        </w:rPr>
        <w:t>报告应叙述缔约国为了支持在协助议定书所述罪行的受害人</w:t>
      </w:r>
      <w:r>
        <w:rPr>
          <w:rFonts w:hint="eastAsia"/>
          <w:color w:val="000000"/>
        </w:rPr>
        <w:t>身心康复、</w:t>
      </w:r>
      <w:r>
        <w:rPr>
          <w:rFonts w:hint="eastAsia"/>
        </w:rPr>
        <w:t>重返社会及遣返的国际合作方面所采取的任何步骤，包括双边援助和技术援助，以及对国际机构或组织的活动、国际会议及国际研究或培训方案的支持，包括对于国内和国际非政府组织的有关活动和方案的支持。</w:t>
      </w:r>
    </w:p>
    <w:p w:rsidR="00000000" w:rsidRDefault="00000000">
      <w:pPr>
        <w:spacing w:after="320"/>
        <w:ind w:firstLine="510"/>
        <w:rPr>
          <w:color w:val="000000"/>
        </w:rPr>
      </w:pPr>
      <w:r>
        <w:rPr>
          <w:rFonts w:hint="eastAsia"/>
        </w:rPr>
        <w:t xml:space="preserve">41.  </w:t>
      </w:r>
      <w:r>
        <w:rPr>
          <w:rFonts w:hint="eastAsia"/>
        </w:rPr>
        <w:t>报告应叙述缔约国为旨在处理造成儿童易受买卖、</w:t>
      </w:r>
      <w:r>
        <w:rPr>
          <w:rFonts w:hint="eastAsia"/>
          <w:color w:val="000000"/>
        </w:rPr>
        <w:t>卖淫、色情制品和色情旅游之害的根源，特别是处理贫困和欠发达现象而开展的国际合作的贡献。</w:t>
      </w:r>
    </w:p>
    <w:p w:rsidR="00000000" w:rsidRDefault="00000000">
      <w:pPr>
        <w:spacing w:line="144" w:lineRule="auto"/>
        <w:ind w:firstLine="510"/>
        <w:rPr>
          <w:color w:val="000000"/>
        </w:rPr>
      </w:pPr>
      <w:r>
        <w:rPr>
          <w:color w:val="000000"/>
        </w:rPr>
        <w:br w:type="page"/>
      </w:r>
    </w:p>
    <w:p w:rsidR="00000000" w:rsidRDefault="00000000">
      <w:pPr>
        <w:pStyle w:val="Heading2"/>
        <w:rPr>
          <w:rFonts w:hint="eastAsia"/>
          <w:snapToGrid/>
          <w:kern w:val="0"/>
          <w:sz w:val="24"/>
        </w:rPr>
      </w:pPr>
      <w:r>
        <w:rPr>
          <w:rFonts w:hint="eastAsia"/>
          <w:snapToGrid/>
          <w:kern w:val="0"/>
        </w:rPr>
        <w:t>八、其他法律规定</w:t>
      </w:r>
      <w:r>
        <w:rPr>
          <w:snapToGrid/>
          <w:kern w:val="0"/>
        </w:rPr>
        <w:br/>
        <w:t xml:space="preserve">    </w:t>
      </w:r>
      <w:r>
        <w:rPr>
          <w:rFonts w:hint="eastAsia"/>
          <w:snapToGrid/>
          <w:kern w:val="0"/>
          <w:sz w:val="24"/>
        </w:rPr>
        <w:t>(</w:t>
      </w:r>
      <w:r>
        <w:rPr>
          <w:rFonts w:hint="eastAsia"/>
          <w:snapToGrid/>
          <w:kern w:val="0"/>
          <w:sz w:val="24"/>
        </w:rPr>
        <w:t>第</w:t>
      </w:r>
      <w:r>
        <w:rPr>
          <w:rFonts w:hint="eastAsia"/>
          <w:snapToGrid/>
          <w:kern w:val="0"/>
          <w:sz w:val="24"/>
        </w:rPr>
        <w:t>11</w:t>
      </w:r>
      <w:r>
        <w:rPr>
          <w:rFonts w:hint="eastAsia"/>
          <w:snapToGrid/>
          <w:kern w:val="0"/>
          <w:sz w:val="24"/>
        </w:rPr>
        <w:t>条</w:t>
      </w:r>
      <w:r>
        <w:rPr>
          <w:rFonts w:hint="eastAsia"/>
          <w:snapToGrid/>
          <w:kern w:val="0"/>
          <w:sz w:val="24"/>
        </w:rPr>
        <w:t>)</w:t>
      </w:r>
    </w:p>
    <w:p w:rsidR="00000000" w:rsidRDefault="00000000">
      <w:pPr>
        <w:ind w:firstLine="510"/>
        <w:rPr>
          <w:rFonts w:hint="eastAsia"/>
          <w:color w:val="000000"/>
        </w:rPr>
      </w:pPr>
      <w:r>
        <w:rPr>
          <w:rFonts w:hint="eastAsia"/>
        </w:rPr>
        <w:t xml:space="preserve">42.  </w:t>
      </w:r>
      <w:r>
        <w:rPr>
          <w:rFonts w:hint="eastAsia"/>
        </w:rPr>
        <w:t>报告应叙述：</w:t>
      </w:r>
    </w:p>
    <w:p w:rsidR="00000000" w:rsidRDefault="00000000">
      <w:pPr>
        <w:numPr>
          <w:ilvl w:val="0"/>
          <w:numId w:val="41"/>
        </w:numPr>
        <w:tabs>
          <w:tab w:val="clear" w:pos="2041"/>
        </w:tabs>
        <w:ind w:left="1531"/>
        <w:rPr>
          <w:rFonts w:hint="eastAsia"/>
        </w:rPr>
      </w:pPr>
      <w:r>
        <w:rPr>
          <w:rFonts w:hint="eastAsia"/>
          <w:color w:val="000000"/>
        </w:rPr>
        <w:t>缔约国认为本国现行立法中比议定书的规定更有助于实施儿童权利的任何规定；</w:t>
      </w:r>
    </w:p>
    <w:p w:rsidR="00000000" w:rsidRDefault="00000000">
      <w:pPr>
        <w:numPr>
          <w:ilvl w:val="0"/>
          <w:numId w:val="41"/>
        </w:numPr>
        <w:tabs>
          <w:tab w:val="clear" w:pos="2041"/>
        </w:tabs>
        <w:ind w:left="1531"/>
        <w:rPr>
          <w:rFonts w:hint="eastAsia"/>
          <w:color w:val="000000"/>
        </w:rPr>
      </w:pPr>
      <w:r>
        <w:rPr>
          <w:rFonts w:hint="eastAsia"/>
          <w:color w:val="000000"/>
        </w:rPr>
        <w:t>缔约国认为比议定书的规定更有助于实施儿童权利或在应用议定书时考虑到的对缔约国有约束力的国际法的任何规定；及</w:t>
      </w:r>
    </w:p>
    <w:p w:rsidR="00000000" w:rsidRDefault="00000000">
      <w:pPr>
        <w:numPr>
          <w:ilvl w:val="0"/>
          <w:numId w:val="41"/>
        </w:numPr>
        <w:tabs>
          <w:tab w:val="clear" w:pos="2041"/>
        </w:tabs>
        <w:ind w:left="1531"/>
        <w:rPr>
          <w:color w:val="000000"/>
        </w:rPr>
      </w:pPr>
      <w:r>
        <w:rPr>
          <w:rFonts w:hint="eastAsia"/>
        </w:rPr>
        <w:t>缔约国对于有关买卖儿童、</w:t>
      </w:r>
      <w:r>
        <w:rPr>
          <w:rFonts w:hint="eastAsia"/>
          <w:color w:val="000000"/>
        </w:rPr>
        <w:t>儿童卖淫和儿童色情制品问题、贩卖儿童和色情旅游问题的主要国际文书的批准状况，及该国就这些问题作出的任何其国际或区域承诺及基履行对于执行议定书的影响。</w:t>
      </w:r>
    </w:p>
    <w:p w:rsidR="00000000" w:rsidRDefault="00000000">
      <w:r>
        <w:br w:type="page"/>
      </w:r>
    </w:p>
    <w:p w:rsidR="00000000" w:rsidRDefault="00000000">
      <w:pPr>
        <w:pStyle w:val="Heading2"/>
        <w:rPr>
          <w:rFonts w:hint="eastAsia"/>
        </w:rPr>
      </w:pPr>
      <w:r>
        <w:rPr>
          <w:rFonts w:hint="eastAsia"/>
        </w:rPr>
        <w:t>附</w:t>
      </w:r>
      <w:r>
        <w:rPr>
          <w:rFonts w:hint="eastAsia"/>
        </w:rPr>
        <w:t xml:space="preserve"> </w:t>
      </w:r>
      <w:r>
        <w:t xml:space="preserve"> </w:t>
      </w:r>
      <w:r>
        <w:rPr>
          <w:rFonts w:hint="eastAsia"/>
        </w:rPr>
        <w:t xml:space="preserve"> </w:t>
      </w:r>
      <w:r>
        <w:rPr>
          <w:rFonts w:hint="eastAsia"/>
        </w:rPr>
        <w:t>件</w:t>
      </w:r>
    </w:p>
    <w:p w:rsidR="00000000" w:rsidRDefault="00000000">
      <w:pPr>
        <w:ind w:firstLine="510"/>
        <w:rPr>
          <w:rFonts w:hint="eastAsia"/>
        </w:rPr>
      </w:pPr>
      <w:r>
        <w:rPr>
          <w:rFonts w:hint="eastAsia"/>
        </w:rPr>
        <w:t>任择议定书第一序言段确认</w:t>
      </w:r>
      <w:r>
        <w:rPr>
          <w:rFonts w:ascii="Time New Roman" w:eastAsia="SimHei" w:hAnsi="Time New Roman" w:hint="eastAsia"/>
        </w:rPr>
        <w:t>准则</w:t>
      </w:r>
      <w:r>
        <w:rPr>
          <w:rFonts w:ascii="Time New Roman" w:eastAsia="SimHei" w:hAnsi="Time New Roman" w:hint="eastAsia"/>
          <w:b/>
        </w:rPr>
        <w:t>2</w:t>
      </w:r>
      <w:r>
        <w:rPr>
          <w:rStyle w:val="FootnoteReference"/>
          <w:rFonts w:ascii="Time New Roman" w:eastAsia="SimHei" w:hAnsi="Time New Roman"/>
          <w:position w:val="2"/>
        </w:rPr>
        <w:footnoteReference w:customMarkFollows="1" w:id="1"/>
        <w:sym w:font="Symbol" w:char="F02A"/>
      </w:r>
      <w:r>
        <w:rPr>
          <w:rFonts w:hint="eastAsia"/>
        </w:rPr>
        <w:t xml:space="preserve"> </w:t>
      </w:r>
      <w:r>
        <w:rPr>
          <w:rFonts w:hint="eastAsia"/>
        </w:rPr>
        <w:t>所述议定书与《公约》执行之间的联系。</w:t>
      </w:r>
    </w:p>
    <w:p w:rsidR="00000000" w:rsidRDefault="00000000">
      <w:pPr>
        <w:ind w:firstLine="510"/>
        <w:rPr>
          <w:rFonts w:hint="eastAsia"/>
        </w:rPr>
      </w:pPr>
      <w:r>
        <w:rPr>
          <w:rFonts w:ascii="Time New Roman" w:eastAsia="SimHei" w:hAnsi="Time New Roman" w:hint="eastAsia"/>
        </w:rPr>
        <w:t>准则</w:t>
      </w:r>
      <w:r>
        <w:rPr>
          <w:rFonts w:ascii="Time New Roman" w:eastAsia="SimHei" w:hAnsi="Time New Roman" w:hint="eastAsia"/>
          <w:b/>
        </w:rPr>
        <w:t>10</w:t>
      </w:r>
      <w:r>
        <w:rPr>
          <w:rFonts w:ascii="Time New Roman" w:eastAsia="SimHei" w:hAnsi="Time New Roman" w:hint="eastAsia"/>
        </w:rPr>
        <w:t>(</w:t>
      </w:r>
      <w:r>
        <w:rPr>
          <w:rFonts w:ascii="Time New Roman" w:eastAsia="SimHei" w:hAnsi="Time New Roman" w:hint="eastAsia"/>
          <w:b/>
        </w:rPr>
        <w:t>c</w:t>
      </w:r>
      <w:r>
        <w:rPr>
          <w:rFonts w:ascii="Time New Roman" w:eastAsia="SimHei" w:hAnsi="Time New Roman" w:hint="eastAsia"/>
        </w:rPr>
        <w:t>)</w:t>
      </w:r>
      <w:r>
        <w:rPr>
          <w:rFonts w:hint="eastAsia"/>
        </w:rPr>
        <w:t>所述强迫劳动一词，包括一个人在处罚的威胁下不得不从事的、由一公职官员、当局或机构交给的任何大量的工作或服务；在胁迫</w:t>
      </w:r>
      <w:r>
        <w:rPr>
          <w:rFonts w:hint="eastAsia"/>
        </w:rPr>
        <w:t>(</w:t>
      </w:r>
      <w:r>
        <w:rPr>
          <w:rFonts w:hint="eastAsia"/>
        </w:rPr>
        <w:t>例如：剥夺自由、扣发工资、扣押身份证件或威胁惩罚</w:t>
      </w:r>
      <w:r>
        <w:rPr>
          <w:rFonts w:hint="eastAsia"/>
        </w:rPr>
        <w:t>)</w:t>
      </w:r>
      <w:r>
        <w:rPr>
          <w:rFonts w:hint="eastAsia"/>
        </w:rPr>
        <w:t>下为私人当事方所从事的工作或服务；以及诸如债务质役及儿童结婚和订婚以换取酬金等类似奴役的做法</w:t>
      </w:r>
      <w:r>
        <w:rPr>
          <w:rFonts w:hint="eastAsia"/>
        </w:rPr>
        <w:t>(</w:t>
      </w:r>
      <w:r>
        <w:rPr>
          <w:rFonts w:hint="eastAsia"/>
        </w:rPr>
        <w:t>见国际劳工组织关于强迫劳动的第</w:t>
      </w:r>
      <w:r>
        <w:rPr>
          <w:rFonts w:hint="eastAsia"/>
        </w:rPr>
        <w:t>29</w:t>
      </w:r>
      <w:r>
        <w:rPr>
          <w:rFonts w:hint="eastAsia"/>
        </w:rPr>
        <w:t>号公约</w:t>
      </w:r>
      <w:r>
        <w:rPr>
          <w:rFonts w:hint="eastAsia"/>
        </w:rPr>
        <w:t>(1930</w:t>
      </w:r>
      <w:r>
        <w:rPr>
          <w:rFonts w:hint="eastAsia"/>
        </w:rPr>
        <w:t>年</w:t>
      </w:r>
      <w:r>
        <w:rPr>
          <w:rFonts w:hint="eastAsia"/>
        </w:rPr>
        <w:t>)(</w:t>
      </w:r>
      <w:r>
        <w:rPr>
          <w:rFonts w:hint="eastAsia"/>
        </w:rPr>
        <w:t>第二条、第十一条</w:t>
      </w:r>
      <w:r>
        <w:rPr>
          <w:rFonts w:hint="eastAsia"/>
        </w:rPr>
        <w:t>))</w:t>
      </w:r>
      <w:r>
        <w:rPr>
          <w:rFonts w:hint="eastAsia"/>
        </w:rPr>
        <w:t>，以及《废止奴隶制、奴隶贩卖及类似奴隶制的制度与习俗补充公约》</w:t>
      </w:r>
      <w:r>
        <w:rPr>
          <w:rFonts w:hint="eastAsia"/>
        </w:rPr>
        <w:t>(</w:t>
      </w:r>
      <w:r>
        <w:rPr>
          <w:rFonts w:hint="eastAsia"/>
        </w:rPr>
        <w:t>第一条</w:t>
      </w:r>
      <w:r>
        <w:rPr>
          <w:rFonts w:hint="eastAsia"/>
        </w:rPr>
        <w:t>)</w:t>
      </w:r>
      <w:r>
        <w:rPr>
          <w:rFonts w:hint="eastAsia"/>
        </w:rPr>
        <w:t>。</w:t>
      </w:r>
    </w:p>
    <w:p w:rsidR="00000000" w:rsidRDefault="00000000">
      <w:pPr>
        <w:ind w:firstLine="510"/>
        <w:rPr>
          <w:rFonts w:hint="eastAsia"/>
        </w:rPr>
      </w:pPr>
      <w:r>
        <w:rPr>
          <w:rFonts w:ascii="Time New Roman" w:eastAsia="SimHei" w:hAnsi="Time New Roman" w:hint="eastAsia"/>
        </w:rPr>
        <w:t>准则</w:t>
      </w:r>
      <w:r>
        <w:rPr>
          <w:rFonts w:ascii="Time New Roman" w:eastAsia="SimHei" w:hAnsi="Time New Roman" w:hint="eastAsia"/>
          <w:b/>
        </w:rPr>
        <w:t>10</w:t>
      </w:r>
      <w:r>
        <w:rPr>
          <w:rFonts w:ascii="Time New Roman" w:eastAsia="SimHei" w:hAnsi="Time New Roman" w:hint="eastAsia"/>
        </w:rPr>
        <w:t>(</w:t>
      </w:r>
      <w:r>
        <w:rPr>
          <w:rFonts w:ascii="Time New Roman" w:eastAsia="SimHei" w:hAnsi="Time New Roman" w:hint="eastAsia"/>
          <w:b/>
        </w:rPr>
        <w:t>f</w:t>
      </w:r>
      <w:r>
        <w:rPr>
          <w:rFonts w:ascii="Time New Roman" w:eastAsia="SimHei" w:hAnsi="Time New Roman" w:hint="eastAsia"/>
        </w:rPr>
        <w:t>)</w:t>
      </w:r>
      <w:r>
        <w:rPr>
          <w:rFonts w:hint="eastAsia"/>
        </w:rPr>
        <w:t>所述贩卖儿童，是指为了包括性剥削、剥削儿童劳力或违反有关国际标准收养在内的任何剥削形式的目的招募、运送、转移、窝藏或接收</w:t>
      </w:r>
      <w:r>
        <w:rPr>
          <w:rFonts w:hint="eastAsia"/>
        </w:rPr>
        <w:t>18</w:t>
      </w:r>
      <w:r>
        <w:rPr>
          <w:rFonts w:hint="eastAsia"/>
        </w:rPr>
        <w:t>岁以下的儿童，而不论该儿童或其父母或监护人是否表示同意</w:t>
      </w:r>
      <w:r>
        <w:rPr>
          <w:rFonts w:hint="eastAsia"/>
        </w:rPr>
        <w:t>(</w:t>
      </w:r>
      <w:r>
        <w:rPr>
          <w:rFonts w:hint="eastAsia"/>
        </w:rPr>
        <w:t>参看《联合国打击跨国有组织犯罪公约关于防止、禁止和惩治贩运人口特别是妇女和儿童行为的补充议定书》</w:t>
      </w:r>
      <w:r>
        <w:rPr>
          <w:rFonts w:hint="eastAsia"/>
        </w:rPr>
        <w:t>(</w:t>
      </w:r>
      <w:r>
        <w:rPr>
          <w:rFonts w:hint="eastAsia"/>
        </w:rPr>
        <w:t>第</w:t>
      </w:r>
      <w:r>
        <w:rPr>
          <w:rFonts w:hint="eastAsia"/>
        </w:rPr>
        <w:t>3</w:t>
      </w:r>
      <w:r>
        <w:rPr>
          <w:rFonts w:hint="eastAsia"/>
        </w:rPr>
        <w:t>条</w:t>
      </w:r>
      <w:r>
        <w:rPr>
          <w:rFonts w:hint="eastAsia"/>
        </w:rPr>
        <w:t>(a)</w:t>
      </w:r>
      <w:r>
        <w:rPr>
          <w:rFonts w:hint="eastAsia"/>
        </w:rPr>
        <w:t>、</w:t>
      </w:r>
      <w:r>
        <w:rPr>
          <w:rFonts w:hint="eastAsia"/>
        </w:rPr>
        <w:t>(b)</w:t>
      </w:r>
      <w:r>
        <w:rPr>
          <w:rFonts w:hint="eastAsia"/>
        </w:rPr>
        <w:t>和</w:t>
      </w:r>
      <w:r>
        <w:rPr>
          <w:rFonts w:hint="eastAsia"/>
        </w:rPr>
        <w:t>(c)</w:t>
      </w:r>
      <w:r>
        <w:rPr>
          <w:rFonts w:hint="eastAsia"/>
        </w:rPr>
        <w:t>款</w:t>
      </w:r>
      <w:r>
        <w:rPr>
          <w:rFonts w:hint="eastAsia"/>
        </w:rPr>
        <w:t>)</w:t>
      </w:r>
      <w:r>
        <w:rPr>
          <w:rFonts w:hint="eastAsia"/>
        </w:rPr>
        <w:t>。</w:t>
      </w:r>
    </w:p>
    <w:p w:rsidR="00000000" w:rsidRDefault="00000000">
      <w:pPr>
        <w:ind w:firstLine="510"/>
        <w:rPr>
          <w:rFonts w:hint="eastAsia"/>
        </w:rPr>
      </w:pPr>
      <w:r>
        <w:rPr>
          <w:rFonts w:hint="eastAsia"/>
        </w:rPr>
        <w:t>根据</w:t>
      </w:r>
      <w:r>
        <w:rPr>
          <w:rFonts w:ascii="Time New Roman" w:eastAsia="SimHei" w:hAnsi="Time New Roman" w:hint="eastAsia"/>
        </w:rPr>
        <w:t>准则</w:t>
      </w:r>
      <w:r>
        <w:rPr>
          <w:rFonts w:ascii="Time New Roman" w:eastAsia="SimHei" w:hAnsi="Time New Roman" w:hint="eastAsia"/>
          <w:b/>
        </w:rPr>
        <w:t>11</w:t>
      </w:r>
      <w:r>
        <w:rPr>
          <w:rFonts w:ascii="Time New Roman" w:eastAsia="SimHei" w:hAnsi="Time New Roman" w:hint="eastAsia"/>
        </w:rPr>
        <w:t>(</w:t>
      </w:r>
      <w:r>
        <w:rPr>
          <w:rFonts w:ascii="Time New Roman" w:eastAsia="SimHei" w:hAnsi="Time New Roman" w:hint="eastAsia"/>
          <w:b/>
        </w:rPr>
        <w:t>b</w:t>
      </w:r>
      <w:r>
        <w:rPr>
          <w:rFonts w:ascii="Time New Roman" w:eastAsia="SimHei" w:hAnsi="Time New Roman" w:hint="eastAsia"/>
        </w:rPr>
        <w:t>)</w:t>
      </w:r>
      <w:r>
        <w:rPr>
          <w:rFonts w:ascii="Time New Roman" w:eastAsia="SimHei" w:hAnsi="Time New Roman" w:hint="eastAsia"/>
        </w:rPr>
        <w:t>，</w:t>
      </w:r>
      <w:r>
        <w:rPr>
          <w:rFonts w:hint="eastAsia"/>
        </w:rPr>
        <w:t>在可能时应予区别的卖淫形式包括异性和同性卖淫，以及商业或其他形式的卖淫，诸如为了提供性服务的目的将儿童交付给寺庙或宗教领袖、性奴役、教师诱使学生允诺性行为，以及对家庭童工的性剥削。</w:t>
      </w:r>
    </w:p>
    <w:p w:rsidR="00000000" w:rsidRDefault="00000000">
      <w:pPr>
        <w:ind w:firstLine="510"/>
        <w:rPr>
          <w:rFonts w:hint="eastAsia"/>
        </w:rPr>
      </w:pPr>
      <w:r>
        <w:rPr>
          <w:rFonts w:hint="eastAsia"/>
        </w:rPr>
        <w:t>各国不妨以列出一份有关法律及其最相关的规定的表格的形式提交</w:t>
      </w:r>
      <w:r>
        <w:rPr>
          <w:rFonts w:ascii="Time New Roman" w:eastAsia="SimHei" w:hAnsi="Time New Roman" w:hint="eastAsia"/>
        </w:rPr>
        <w:t>准则</w:t>
      </w:r>
      <w:r>
        <w:rPr>
          <w:rFonts w:ascii="Time New Roman" w:eastAsia="SimHei" w:hAnsi="Time New Roman" w:hint="eastAsia"/>
          <w:b/>
        </w:rPr>
        <w:t>13</w:t>
      </w:r>
      <w:r>
        <w:rPr>
          <w:rFonts w:ascii="Time New Roman" w:eastAsia="SimHei" w:hAnsi="Time New Roman" w:hint="eastAsia"/>
        </w:rPr>
        <w:t>(</w:t>
      </w:r>
      <w:r>
        <w:rPr>
          <w:rFonts w:ascii="Time New Roman" w:eastAsia="SimHei" w:hAnsi="Time New Roman" w:hint="eastAsia"/>
          <w:b/>
        </w:rPr>
        <w:t>a</w:t>
      </w:r>
      <w:r>
        <w:rPr>
          <w:rFonts w:ascii="Time New Roman" w:eastAsia="SimHei" w:hAnsi="Time New Roman" w:hint="eastAsia"/>
        </w:rPr>
        <w:t>)</w:t>
      </w:r>
      <w:r>
        <w:rPr>
          <w:rFonts w:hint="eastAsia"/>
        </w:rPr>
        <w:t>所指资料。</w:t>
      </w:r>
    </w:p>
    <w:p w:rsidR="00000000" w:rsidRDefault="00000000">
      <w:pPr>
        <w:ind w:firstLine="510"/>
        <w:rPr>
          <w:rFonts w:hint="eastAsia"/>
        </w:rPr>
      </w:pPr>
      <w:r>
        <w:rPr>
          <w:rFonts w:ascii="Time New Roman" w:eastAsia="SimHei" w:hAnsi="Time New Roman" w:hint="eastAsia"/>
        </w:rPr>
        <w:t>准则</w:t>
      </w:r>
      <w:r>
        <w:rPr>
          <w:rFonts w:ascii="Time New Roman" w:eastAsia="SimHei" w:hAnsi="Time New Roman" w:hint="eastAsia"/>
          <w:b/>
        </w:rPr>
        <w:t>13</w:t>
      </w:r>
      <w:r>
        <w:rPr>
          <w:rFonts w:ascii="Time New Roman" w:eastAsia="SimHei" w:hAnsi="Time New Roman" w:hint="eastAsia"/>
        </w:rPr>
        <w:t>(</w:t>
      </w:r>
      <w:r>
        <w:rPr>
          <w:rFonts w:ascii="Time New Roman" w:eastAsia="SimHei" w:hAnsi="Time New Roman" w:hint="eastAsia"/>
          <w:b/>
        </w:rPr>
        <w:t>i</w:t>
      </w:r>
      <w:r>
        <w:rPr>
          <w:rFonts w:ascii="Time New Roman" w:eastAsia="SimHei" w:hAnsi="Time New Roman" w:hint="eastAsia"/>
        </w:rPr>
        <w:t>)</w:t>
      </w:r>
      <w:r>
        <w:rPr>
          <w:rFonts w:hint="eastAsia"/>
        </w:rPr>
        <w:t>所述儿童监察员及类似机构的重要作用，委员会已在</w:t>
      </w:r>
      <w:r>
        <w:rPr>
          <w:rFonts w:hint="eastAsia"/>
        </w:rPr>
        <w:t>2002</w:t>
      </w:r>
      <w:r>
        <w:rPr>
          <w:rFonts w:hint="eastAsia"/>
        </w:rPr>
        <w:t>年第三十一届会议通过的题为“独立的国家人权机构在增进和保护儿童权利方面的作用”的第</w:t>
      </w:r>
      <w:r>
        <w:rPr>
          <w:rFonts w:hint="eastAsia"/>
        </w:rPr>
        <w:t>2</w:t>
      </w:r>
      <w:r>
        <w:rPr>
          <w:rFonts w:hint="eastAsia"/>
        </w:rPr>
        <w:t>号一般性意见中述及。</w:t>
      </w:r>
    </w:p>
    <w:p w:rsidR="00000000" w:rsidRDefault="00000000">
      <w:pPr>
        <w:ind w:firstLine="510"/>
        <w:rPr>
          <w:rFonts w:hint="eastAsia"/>
        </w:rPr>
      </w:pPr>
      <w:r>
        <w:rPr>
          <w:rFonts w:hint="eastAsia"/>
        </w:rPr>
        <w:t>按上文第四节所载准则提供的资料，特别是联邦制缔约国、有属地和</w:t>
      </w:r>
      <w:r>
        <w:rPr>
          <w:rFonts w:hint="eastAsia"/>
        </w:rPr>
        <w:t>/</w:t>
      </w:r>
      <w:r>
        <w:rPr>
          <w:rFonts w:hint="eastAsia"/>
        </w:rPr>
        <w:t>或自治区的缔约国，以及其法律制度承认宗教、部落或土著法律的缔约国所编写的报告，应列入关于对这些事项拥有权能的全部管辖单位的相关法律的资料，包括关于适用于武装部队的法律的资料。</w:t>
      </w:r>
    </w:p>
    <w:p w:rsidR="00000000" w:rsidRDefault="00000000">
      <w:pPr>
        <w:ind w:firstLine="510"/>
        <w:rPr>
          <w:rFonts w:hint="eastAsia"/>
        </w:rPr>
      </w:pPr>
    </w:p>
    <w:p w:rsidR="00000000" w:rsidRDefault="00000000">
      <w:pPr>
        <w:ind w:firstLine="510"/>
        <w:rPr>
          <w:rFonts w:hint="eastAsia"/>
          <w:color w:val="000000"/>
          <w:kern w:val="28"/>
        </w:rPr>
      </w:pPr>
      <w:r>
        <w:rPr>
          <w:rFonts w:hint="eastAsia"/>
        </w:rPr>
        <w:t>对</w:t>
      </w:r>
      <w:r>
        <w:rPr>
          <w:rFonts w:ascii="Time New Roman" w:eastAsia="SimHei" w:hAnsi="Time New Roman" w:hint="eastAsia"/>
        </w:rPr>
        <w:t>准则</w:t>
      </w:r>
      <w:r>
        <w:rPr>
          <w:rFonts w:ascii="Time New Roman" w:eastAsia="SimHei" w:hAnsi="Time New Roman" w:hint="eastAsia"/>
          <w:b/>
        </w:rPr>
        <w:t>16,</w:t>
      </w:r>
      <w:r>
        <w:rPr>
          <w:rFonts w:hint="eastAsia"/>
        </w:rPr>
        <w:t xml:space="preserve"> </w:t>
      </w:r>
      <w:r>
        <w:rPr>
          <w:rFonts w:hint="eastAsia"/>
        </w:rPr>
        <w:t>特别是其</w:t>
      </w:r>
      <w:r>
        <w:rPr>
          <w:rFonts w:hint="eastAsia"/>
        </w:rPr>
        <w:t>(b)</w:t>
      </w:r>
      <w:r>
        <w:rPr>
          <w:rFonts w:hint="eastAsia"/>
        </w:rPr>
        <w:t>小段的答复，应区别适用于因这些罪行判罪的成人的处罚和适用于犯有这些罪行的少年的处罚。议定书第</w:t>
      </w:r>
      <w:r>
        <w:rPr>
          <w:rFonts w:hint="eastAsia"/>
        </w:rPr>
        <w:t>3</w:t>
      </w:r>
      <w:r>
        <w:rPr>
          <w:rFonts w:hint="eastAsia"/>
        </w:rPr>
        <w:t>条第</w:t>
      </w:r>
      <w:r>
        <w:rPr>
          <w:rFonts w:hint="eastAsia"/>
        </w:rPr>
        <w:t xml:space="preserve">1 </w:t>
      </w:r>
      <w:r>
        <w:rPr>
          <w:rFonts w:hint="eastAsia"/>
        </w:rPr>
        <w:t>款规定，每一缔约国应“起码”确保本国刑法对所列行为作出规定；第</w:t>
      </w:r>
      <w:r>
        <w:rPr>
          <w:rFonts w:hint="eastAsia"/>
        </w:rPr>
        <w:t>1</w:t>
      </w:r>
      <w:r>
        <w:rPr>
          <w:rFonts w:hint="eastAsia"/>
        </w:rPr>
        <w:t>条所阐述的广义、通用的义务是“禁止</w:t>
      </w:r>
      <w:r>
        <w:rPr>
          <w:rFonts w:hint="eastAsia"/>
          <w:color w:val="000000"/>
          <w:kern w:val="28"/>
        </w:rPr>
        <w:t>买卖儿童、儿童卖淫和儿童色情制品”。因此，</w:t>
      </w:r>
      <w:r>
        <w:rPr>
          <w:rFonts w:ascii="Time New Roman" w:eastAsia="SimHei" w:hAnsi="Time New Roman" w:hint="eastAsia"/>
        </w:rPr>
        <w:t>准则</w:t>
      </w:r>
      <w:r>
        <w:rPr>
          <w:rFonts w:ascii="Time New Roman" w:eastAsia="SimHei" w:hAnsi="Time New Roman" w:hint="eastAsia"/>
          <w:b/>
        </w:rPr>
        <w:t>16</w:t>
      </w:r>
      <w:r>
        <w:rPr>
          <w:rFonts w:ascii="Time New Roman" w:eastAsia="SimHei" w:hAnsi="Time New Roman" w:hint="eastAsia"/>
        </w:rPr>
        <w:t>(</w:t>
      </w:r>
      <w:r>
        <w:rPr>
          <w:rFonts w:ascii="Time New Roman" w:eastAsia="SimHei" w:hAnsi="Time New Roman" w:hint="eastAsia"/>
          <w:b/>
        </w:rPr>
        <w:t>e</w:t>
      </w:r>
      <w:r>
        <w:rPr>
          <w:rFonts w:ascii="Time New Roman" w:eastAsia="SimHei" w:hAnsi="Time New Roman" w:hint="eastAsia"/>
        </w:rPr>
        <w:t>)</w:t>
      </w:r>
      <w:r>
        <w:rPr>
          <w:rFonts w:hint="eastAsia"/>
        </w:rPr>
        <w:t>指出，报告应说明该国刑法所涉及的任何其他买卖形式，或关于</w:t>
      </w:r>
      <w:r>
        <w:rPr>
          <w:rFonts w:hint="eastAsia"/>
          <w:color w:val="000000"/>
          <w:kern w:val="28"/>
        </w:rPr>
        <w:t>儿童卖淫和儿童色情制品的其他行为或不行为。此外，在一些国家，可依某些罪行来起诉买卖儿童、儿童卖淫和儿童色情制品，尽管这些国家并不明文禁止这种罪行本身。报告也应叙述这些罪行，并且解释它们对于买卖儿童、儿童卖淫和儿童色情制品的适用。</w:t>
      </w:r>
    </w:p>
    <w:p w:rsidR="00000000" w:rsidRDefault="00000000">
      <w:pPr>
        <w:ind w:firstLine="510"/>
        <w:rPr>
          <w:rFonts w:hint="eastAsia"/>
        </w:rPr>
      </w:pPr>
      <w:r>
        <w:rPr>
          <w:rFonts w:ascii="Time New Roman" w:eastAsia="SimHei" w:hAnsi="Time New Roman" w:hint="eastAsia"/>
        </w:rPr>
        <w:t>准则</w:t>
      </w:r>
      <w:r>
        <w:rPr>
          <w:rFonts w:ascii="Time New Roman" w:eastAsia="SimHei" w:hAnsi="Time New Roman" w:hint="eastAsia"/>
          <w:b/>
        </w:rPr>
        <w:t>18</w:t>
      </w:r>
      <w:r>
        <w:rPr>
          <w:rFonts w:hint="eastAsia"/>
        </w:rPr>
        <w:t>所述法人是指除了自然人以外的具有法律人格的实体，诸如公司和其他工商企业、地方和地区政府以及受到法律承认的基金会、组织和协会等。</w:t>
      </w:r>
    </w:p>
    <w:p w:rsidR="00000000" w:rsidRDefault="00000000">
      <w:pPr>
        <w:ind w:firstLine="510"/>
        <w:rPr>
          <w:rFonts w:hint="eastAsia"/>
        </w:rPr>
      </w:pPr>
      <w:r>
        <w:rPr>
          <w:rFonts w:ascii="Time New Roman" w:eastAsia="SimHei" w:hAnsi="Time New Roman" w:hint="eastAsia"/>
        </w:rPr>
        <w:t>准则</w:t>
      </w:r>
      <w:r>
        <w:rPr>
          <w:rFonts w:ascii="Time New Roman" w:eastAsia="SimHei" w:hAnsi="Time New Roman" w:hint="eastAsia"/>
          <w:b/>
        </w:rPr>
        <w:t>19</w:t>
      </w:r>
      <w:r>
        <w:rPr>
          <w:rFonts w:hint="eastAsia"/>
        </w:rPr>
        <w:t>中适用的国际法律文书包括与《公约》第</w:t>
      </w:r>
      <w:r>
        <w:rPr>
          <w:rFonts w:hint="eastAsia"/>
        </w:rPr>
        <w:t>2</w:t>
      </w:r>
      <w:r>
        <w:rPr>
          <w:rFonts w:hint="eastAsia"/>
        </w:rPr>
        <w:t>、</w:t>
      </w:r>
      <w:r>
        <w:rPr>
          <w:rFonts w:hint="eastAsia"/>
        </w:rPr>
        <w:t>3</w:t>
      </w:r>
      <w:r>
        <w:rPr>
          <w:rFonts w:hint="eastAsia"/>
        </w:rPr>
        <w:t>、</w:t>
      </w:r>
      <w:r>
        <w:rPr>
          <w:rFonts w:hint="eastAsia"/>
        </w:rPr>
        <w:t>6</w:t>
      </w:r>
      <w:r>
        <w:rPr>
          <w:rFonts w:hint="eastAsia"/>
        </w:rPr>
        <w:t>和</w:t>
      </w:r>
      <w:r>
        <w:rPr>
          <w:rFonts w:hint="eastAsia"/>
        </w:rPr>
        <w:t>12</w:t>
      </w:r>
      <w:r>
        <w:rPr>
          <w:rFonts w:hint="eastAsia"/>
        </w:rPr>
        <w:t>条所承认的一般原则一并阅读的《公约》第</w:t>
      </w:r>
      <w:r>
        <w:rPr>
          <w:rFonts w:hint="eastAsia"/>
        </w:rPr>
        <w:t>20</w:t>
      </w:r>
      <w:r>
        <w:rPr>
          <w:rFonts w:hint="eastAsia"/>
        </w:rPr>
        <w:t>和</w:t>
      </w:r>
      <w:r>
        <w:rPr>
          <w:rFonts w:hint="eastAsia"/>
        </w:rPr>
        <w:t>21</w:t>
      </w:r>
      <w:r>
        <w:rPr>
          <w:rFonts w:hint="eastAsia"/>
        </w:rPr>
        <w:t>条；</w:t>
      </w:r>
      <w:r>
        <w:rPr>
          <w:rFonts w:hint="eastAsia"/>
        </w:rPr>
        <w:t>1993</w:t>
      </w:r>
      <w:r>
        <w:rPr>
          <w:rFonts w:hint="eastAsia"/>
        </w:rPr>
        <w:t>年《关于在跨国收养方面保护儿童和进行合作的海牙公约》</w:t>
      </w:r>
      <w:r>
        <w:t>—</w:t>
      </w:r>
      <w:r>
        <w:rPr>
          <w:rFonts w:hint="eastAsia"/>
        </w:rPr>
        <w:t>委员会认为这是履行《公约》第</w:t>
      </w:r>
      <w:r>
        <w:rPr>
          <w:rFonts w:hint="eastAsia"/>
        </w:rPr>
        <w:t>21(e)</w:t>
      </w:r>
      <w:r>
        <w:rPr>
          <w:rFonts w:hint="eastAsia"/>
        </w:rPr>
        <w:t>条所载的各项义务的一项适当的文书；</w:t>
      </w:r>
      <w:r>
        <w:rPr>
          <w:rFonts w:hint="eastAsia"/>
        </w:rPr>
        <w:t>1967</w:t>
      </w:r>
      <w:r>
        <w:rPr>
          <w:rFonts w:hint="eastAsia"/>
        </w:rPr>
        <w:t>年《欧洲收养儿童公约》</w:t>
      </w:r>
      <w:r>
        <w:rPr>
          <w:rFonts w:hint="eastAsia"/>
        </w:rPr>
        <w:t>(CETS No.58)</w:t>
      </w:r>
      <w:r>
        <w:rPr>
          <w:rFonts w:hint="eastAsia"/>
        </w:rPr>
        <w:t>；</w:t>
      </w:r>
      <w:r>
        <w:rPr>
          <w:rFonts w:hint="eastAsia"/>
        </w:rPr>
        <w:t>1990</w:t>
      </w:r>
      <w:r>
        <w:rPr>
          <w:rFonts w:hint="eastAsia"/>
        </w:rPr>
        <w:t>年《非洲儿童权利和福利宪章》；</w:t>
      </w:r>
      <w:r>
        <w:rPr>
          <w:rFonts w:hint="eastAsia"/>
        </w:rPr>
        <w:t>1986</w:t>
      </w:r>
      <w:r>
        <w:rPr>
          <w:rFonts w:hint="eastAsia"/>
        </w:rPr>
        <w:t>年大会所通过的《关于儿童保护和儿童福利、特别是国内和国际寄养和收养办法的社会和法律原则宣言》；以及各项关于收养的双边条约。《儿童权利公约》序言中所提到的《法律原则宣言》适用于一切缔约国，包括不是上述任何条约的缔约国的国家。</w:t>
      </w:r>
    </w:p>
    <w:p w:rsidR="00000000" w:rsidRDefault="00000000">
      <w:pPr>
        <w:ind w:firstLine="510"/>
        <w:rPr>
          <w:rFonts w:hint="eastAsia"/>
        </w:rPr>
      </w:pPr>
      <w:r>
        <w:rPr>
          <w:rFonts w:ascii="Time New Roman" w:eastAsia="SimHei" w:hAnsi="Time New Roman" w:hint="eastAsia"/>
        </w:rPr>
        <w:t>准则</w:t>
      </w:r>
      <w:r>
        <w:rPr>
          <w:rFonts w:ascii="Time New Roman" w:eastAsia="SimHei" w:hAnsi="Time New Roman" w:hint="eastAsia"/>
          <w:b/>
        </w:rPr>
        <w:t>27</w:t>
      </w:r>
      <w:r>
        <w:rPr>
          <w:rFonts w:hint="eastAsia"/>
        </w:rPr>
        <w:t>所述资料具体应包括：</w:t>
      </w:r>
    </w:p>
    <w:p w:rsidR="00000000" w:rsidRDefault="00000000">
      <w:pPr>
        <w:pStyle w:val="a9"/>
        <w:numPr>
          <w:ilvl w:val="0"/>
          <w:numId w:val="42"/>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color w:val="000000"/>
          <w:kern w:val="28"/>
        </w:rPr>
        <w:t>规定在涉及买卖儿童、儿童卖淫和儿童色情制品的刑事司法事项中，应首要考虑</w:t>
      </w:r>
      <w:r>
        <w:rPr>
          <w:rFonts w:hint="eastAsia"/>
        </w:rPr>
        <w:t>受害儿童和儿童证人的最大利益的任何法律和其他法律标准；</w:t>
      </w:r>
    </w:p>
    <w:p w:rsidR="00000000" w:rsidRDefault="00000000">
      <w:pPr>
        <w:pStyle w:val="a9"/>
        <w:numPr>
          <w:ilvl w:val="0"/>
          <w:numId w:val="42"/>
        </w:numPr>
        <w:tabs>
          <w:tab w:val="clear" w:pos="510"/>
          <w:tab w:val="clear" w:pos="1021"/>
          <w:tab w:val="clear" w:pos="2041"/>
          <w:tab w:val="clear" w:pos="6804"/>
          <w:tab w:val="clear" w:pos="7371"/>
          <w:tab w:val="clear" w:pos="7541"/>
          <w:tab w:val="clear" w:pos="7711"/>
          <w:tab w:val="clear" w:pos="9185"/>
        </w:tabs>
        <w:ind w:right="0"/>
        <w:rPr>
          <w:rFonts w:hint="eastAsia"/>
          <w:color w:val="000000"/>
          <w:kern w:val="28"/>
        </w:rPr>
      </w:pPr>
      <w:r>
        <w:rPr>
          <w:rFonts w:hint="eastAsia"/>
        </w:rPr>
        <w:t>有关在对</w:t>
      </w:r>
      <w:r>
        <w:rPr>
          <w:rFonts w:hint="eastAsia"/>
          <w:color w:val="000000"/>
          <w:kern w:val="28"/>
        </w:rPr>
        <w:t>买卖儿童、儿童卖淫和儿童色情制品的行为人进行调查或法律诉讼期间将认为受这些行为之</w:t>
      </w:r>
      <w:r>
        <w:rPr>
          <w:rFonts w:hint="eastAsia"/>
        </w:rPr>
        <w:t>害的儿童安置在警方或教养机构，或公共儿童福利机构进行保护性监管的任何法律或其他法律标准、程序和做法，以及有关在此种</w:t>
      </w:r>
      <w:r>
        <w:rPr>
          <w:rFonts w:hint="eastAsia"/>
          <w:color w:val="000000"/>
          <w:kern w:val="28"/>
        </w:rPr>
        <w:t>调查或诉讼期间置于此种</w:t>
      </w:r>
      <w:r>
        <w:rPr>
          <w:rFonts w:hint="eastAsia"/>
        </w:rPr>
        <w:t>监管之下的儿童人数的资料，如果可能，按照儿童的年龄、性别和籍贯，机构性质以及平均安置期限加以</w:t>
      </w:r>
      <w:r>
        <w:rPr>
          <w:rFonts w:hint="eastAsia"/>
          <w:color w:val="000000"/>
          <w:kern w:val="28"/>
        </w:rPr>
        <w:t>分类。</w:t>
      </w:r>
    </w:p>
    <w:p w:rsidR="00000000" w:rsidRDefault="00000000">
      <w:pPr>
        <w:pStyle w:val="a9"/>
        <w:numPr>
          <w:ilvl w:val="0"/>
          <w:numId w:val="42"/>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rPr>
        <w:t>除了作为最后手段之外不得剥夺</w:t>
      </w:r>
      <w:r>
        <w:rPr>
          <w:rFonts w:hint="eastAsia"/>
          <w:color w:val="000000"/>
          <w:kern w:val="28"/>
        </w:rPr>
        <w:t>儿童的自由的原则</w:t>
      </w:r>
      <w:r>
        <w:rPr>
          <w:rFonts w:hint="eastAsia"/>
          <w:color w:val="000000"/>
          <w:kern w:val="28"/>
        </w:rPr>
        <w:t>(</w:t>
      </w:r>
      <w:r>
        <w:rPr>
          <w:rFonts w:hint="eastAsia"/>
          <w:color w:val="000000"/>
          <w:kern w:val="28"/>
        </w:rPr>
        <w:t>参看</w:t>
      </w:r>
      <w:r>
        <w:rPr>
          <w:rFonts w:hint="eastAsia"/>
        </w:rPr>
        <w:t>《公约》第</w:t>
      </w:r>
      <w:r>
        <w:rPr>
          <w:rFonts w:hint="eastAsia"/>
        </w:rPr>
        <w:t>37</w:t>
      </w:r>
      <w:r>
        <w:rPr>
          <w:rFonts w:hint="eastAsia"/>
        </w:rPr>
        <w:t>条</w:t>
      </w:r>
      <w:r>
        <w:rPr>
          <w:rFonts w:hint="eastAsia"/>
        </w:rPr>
        <w:t>(</w:t>
      </w:r>
      <w:r>
        <w:t>b</w:t>
      </w:r>
      <w:r>
        <w:rPr>
          <w:rFonts w:hint="eastAsia"/>
        </w:rPr>
        <w:t>)</w:t>
      </w:r>
      <w:r>
        <w:rPr>
          <w:rFonts w:hint="eastAsia"/>
        </w:rPr>
        <w:t>款</w:t>
      </w:r>
      <w:r>
        <w:rPr>
          <w:rFonts w:hint="eastAsia"/>
        </w:rPr>
        <w:t>)</w:t>
      </w:r>
      <w:r>
        <w:rPr>
          <w:rFonts w:hint="eastAsia"/>
        </w:rPr>
        <w:t>是指不得为确保保护受害儿童或证人或让他们可以参加刑事诉讼而将他们留在警方或教养机构中，除了极端情况之外，也不得将他们留在封闭的儿童福利机构内；</w:t>
      </w:r>
    </w:p>
    <w:p w:rsidR="00000000" w:rsidRDefault="00000000">
      <w:pPr>
        <w:pStyle w:val="a9"/>
        <w:numPr>
          <w:ilvl w:val="0"/>
          <w:numId w:val="42"/>
        </w:numPr>
        <w:tabs>
          <w:tab w:val="clear" w:pos="510"/>
          <w:tab w:val="clear" w:pos="1021"/>
          <w:tab w:val="clear" w:pos="2041"/>
          <w:tab w:val="clear" w:pos="6804"/>
          <w:tab w:val="clear" w:pos="7371"/>
          <w:tab w:val="clear" w:pos="7541"/>
          <w:tab w:val="clear" w:pos="7711"/>
          <w:tab w:val="clear" w:pos="9185"/>
        </w:tabs>
        <w:ind w:right="0"/>
        <w:rPr>
          <w:rFonts w:hint="eastAsia"/>
          <w:color w:val="000000"/>
          <w:kern w:val="28"/>
        </w:rPr>
      </w:pPr>
      <w:r>
        <w:rPr>
          <w:rFonts w:hint="eastAsia"/>
        </w:rPr>
        <w:t>有关在对</w:t>
      </w:r>
      <w:r>
        <w:rPr>
          <w:rFonts w:hint="eastAsia"/>
          <w:color w:val="000000"/>
          <w:kern w:val="28"/>
        </w:rPr>
        <w:t>买卖儿童、儿童卖淫和儿童色情制品的行为人进行调查或法律诉讼期间允许将认为受这些行为之害的儿童置于亲戚、养父母、临时监护人或社区组织的临时照料之下的任何法律、程序和做法，以及有关作如此安置的儿童人数的资料，如果可能，按照儿童的年龄、性别和籍贯，提供照料人的类别以及平均安置期限加以分类；</w:t>
      </w:r>
    </w:p>
    <w:p w:rsidR="00000000" w:rsidRDefault="00000000">
      <w:pPr>
        <w:pStyle w:val="a9"/>
        <w:numPr>
          <w:ilvl w:val="0"/>
          <w:numId w:val="42"/>
        </w:numPr>
        <w:tabs>
          <w:tab w:val="clear" w:pos="510"/>
          <w:tab w:val="clear" w:pos="1021"/>
          <w:tab w:val="clear" w:pos="2041"/>
          <w:tab w:val="clear" w:pos="6804"/>
          <w:tab w:val="clear" w:pos="7371"/>
          <w:tab w:val="clear" w:pos="7541"/>
          <w:tab w:val="clear" w:pos="7711"/>
          <w:tab w:val="clear" w:pos="9185"/>
        </w:tabs>
        <w:ind w:right="0"/>
        <w:rPr>
          <w:rFonts w:hint="eastAsia"/>
          <w:color w:val="000000"/>
          <w:kern w:val="28"/>
        </w:rPr>
      </w:pPr>
      <w:r>
        <w:rPr>
          <w:rFonts w:hint="eastAsia"/>
          <w:color w:val="000000"/>
          <w:kern w:val="28"/>
        </w:rPr>
        <w:t>采取哪些法律标准，以承认买卖儿童、儿童卖淫和儿童色情制品的受害儿童了解他们的法律权利，和了解他们在有关此种剥削的刑事诉讼中的潜在作用、了解此种诉讼的范围、时间安排及进展和结果的权利，以及为了向儿童提供此种资料而确立的做法和程序；</w:t>
      </w:r>
    </w:p>
    <w:p w:rsidR="00000000" w:rsidRDefault="00000000">
      <w:pPr>
        <w:pStyle w:val="a9"/>
        <w:numPr>
          <w:ilvl w:val="0"/>
          <w:numId w:val="42"/>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color w:val="000000"/>
          <w:kern w:val="28"/>
        </w:rPr>
        <w:t>采取哪些法律标准，以承认买卖儿童、儿童卖淫和儿童色情制品的受害儿童表达或发表对于有关他</w:t>
      </w:r>
      <w:r>
        <w:rPr>
          <w:rFonts w:hint="eastAsia"/>
        </w:rPr>
        <w:t>们被剥削的刑事诉讼的看法、需求和关切的权利，以及调查人、公诉人和其他有关部门考虑到他们的看法和关切的责任；用于查明不同年龄和背景的受害儿童的看法、需求和关切的并向有关部门通报的方法和程序；以及在执行这些标准和程序中取得的进展和可能遇到的困难；</w:t>
      </w:r>
    </w:p>
    <w:p w:rsidR="00000000" w:rsidRDefault="00000000">
      <w:pPr>
        <w:pStyle w:val="a9"/>
        <w:numPr>
          <w:ilvl w:val="0"/>
          <w:numId w:val="42"/>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rPr>
        <w:t>在那些对于剥削受害儿童的责任人进行刑事诉讼期间向受害儿童提供支助的任何方案和服务</w:t>
      </w:r>
      <w:r>
        <w:rPr>
          <w:rFonts w:hint="eastAsia"/>
        </w:rPr>
        <w:t>(</w:t>
      </w:r>
      <w:r>
        <w:rPr>
          <w:rFonts w:hint="eastAsia"/>
        </w:rPr>
        <w:t>公共的、接受津贴的或非政府的</w:t>
      </w:r>
      <w:r>
        <w:rPr>
          <w:rFonts w:hint="eastAsia"/>
        </w:rPr>
        <w:t>)</w:t>
      </w:r>
      <w:r>
        <w:rPr>
          <w:rFonts w:hint="eastAsia"/>
        </w:rPr>
        <w:t>，负责机构的地理位置和性质，所提供的支助服务的性质和覆盖面；有关受益人的年龄、性别、籍贯及其他有关属性的任何现有数据；对于所提供的支助的任何评价结果；以及缔约国对于可资利用的服务的覆盖面、范围和质量是否充足的看法，以及扩大这些服务的任何计划；</w:t>
      </w:r>
    </w:p>
    <w:p w:rsidR="00000000" w:rsidRDefault="00000000">
      <w:pPr>
        <w:pStyle w:val="a9"/>
        <w:numPr>
          <w:ilvl w:val="0"/>
          <w:numId w:val="42"/>
        </w:numPr>
        <w:tabs>
          <w:tab w:val="clear" w:pos="510"/>
          <w:tab w:val="clear" w:pos="1021"/>
          <w:tab w:val="clear" w:pos="2041"/>
          <w:tab w:val="clear" w:pos="6804"/>
          <w:tab w:val="clear" w:pos="7371"/>
          <w:tab w:val="clear" w:pos="7541"/>
          <w:tab w:val="clear" w:pos="7711"/>
          <w:tab w:val="clear" w:pos="9185"/>
        </w:tabs>
        <w:ind w:right="0"/>
        <w:rPr>
          <w:rFonts w:hint="eastAsia"/>
          <w:color w:val="000000"/>
          <w:kern w:val="28"/>
        </w:rPr>
      </w:pPr>
      <w:r>
        <w:rPr>
          <w:rFonts w:hint="eastAsia"/>
        </w:rPr>
        <w:t>任何旨在保护隐私权及防止透露议定书所述任何罪行的受害人身份的法律或规章，及缔约国所采取用</w:t>
      </w:r>
      <w:r>
        <w:rPr>
          <w:rFonts w:hint="eastAsia"/>
          <w:color w:val="000000"/>
          <w:kern w:val="28"/>
        </w:rPr>
        <w:t>以保护他们的隐私、防止透露他们身份的任何其他措施，以及缔约国对于这些法律或规章和其他措施是否有效的看法，如果无效，则应写明为何无效的原因，以及它所有的增强保护这些人的隐私权及防止透露他们身份的任何计划；</w:t>
      </w:r>
    </w:p>
    <w:p w:rsidR="00000000" w:rsidRDefault="00000000">
      <w:pPr>
        <w:pStyle w:val="a9"/>
        <w:numPr>
          <w:ilvl w:val="0"/>
          <w:numId w:val="42"/>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color w:val="000000"/>
          <w:kern w:val="28"/>
        </w:rPr>
        <w:t>为了确保有受到报复或恫吓的风险的买卖儿童、儿童卖淫和儿童色情制品的受害儿童的安全，以及确保其家属以及容易遭到这种风险的证人的安全而实施的任何政策、程序、方案、议定书或其他措施，以及缔约国对于这些措施是否有效的看法，如果无效，则应写明为</w:t>
      </w:r>
      <w:r>
        <w:rPr>
          <w:rFonts w:hint="eastAsia"/>
        </w:rPr>
        <w:t>何无效的原因，以及它所有的增强、修改这些措施或采用新的保障的任何计划；以及</w:t>
      </w:r>
    </w:p>
    <w:p w:rsidR="00000000" w:rsidRDefault="00000000">
      <w:pPr>
        <w:pStyle w:val="a9"/>
        <w:numPr>
          <w:ilvl w:val="0"/>
          <w:numId w:val="42"/>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rPr>
        <w:t>为了防止处理涉及议定书所述罪行案件以及执行向受害儿童发放补偿的指令或法令时不必要的拖延而由立法、行政或司法主管部门通过的任何法律、规则、规章、准则或政策，以及缔约国法院有关及时解决这些事务所通过的任何判例。</w:t>
      </w:r>
    </w:p>
    <w:p w:rsidR="00000000" w:rsidRDefault="00000000">
      <w:pPr>
        <w:ind w:firstLine="510"/>
        <w:rPr>
          <w:rFonts w:hint="eastAsia"/>
        </w:rPr>
      </w:pPr>
      <w:r>
        <w:rPr>
          <w:rFonts w:ascii="Time New Roman" w:eastAsia="SimHei" w:hAnsi="Time New Roman" w:hint="eastAsia"/>
        </w:rPr>
        <w:t>准则</w:t>
      </w:r>
      <w:r>
        <w:rPr>
          <w:rFonts w:ascii="Time New Roman" w:eastAsia="SimHei" w:hAnsi="Time New Roman" w:hint="eastAsia"/>
          <w:b/>
        </w:rPr>
        <w:t>28</w:t>
      </w:r>
      <w:r>
        <w:rPr>
          <w:rFonts w:hint="eastAsia"/>
        </w:rPr>
        <w:t>所述资料具体应包括：</w:t>
      </w:r>
    </w:p>
    <w:p w:rsidR="00000000" w:rsidRDefault="00000000">
      <w:pPr>
        <w:numPr>
          <w:ilvl w:val="0"/>
          <w:numId w:val="43"/>
        </w:numPr>
        <w:rPr>
          <w:rFonts w:hint="eastAsia"/>
        </w:rPr>
      </w:pPr>
      <w:r>
        <w:rPr>
          <w:rFonts w:hint="eastAsia"/>
        </w:rPr>
        <w:t>当无文件证明可资利用时用于估计受害人年龄的措施；</w:t>
      </w:r>
    </w:p>
    <w:p w:rsidR="00000000" w:rsidRDefault="00000000">
      <w:pPr>
        <w:numPr>
          <w:ilvl w:val="0"/>
          <w:numId w:val="43"/>
        </w:numPr>
        <w:rPr>
          <w:rFonts w:hint="eastAsia"/>
        </w:rPr>
      </w:pPr>
      <w:r>
        <w:rPr>
          <w:rFonts w:hint="eastAsia"/>
        </w:rPr>
        <w:t>受害人年龄的证据标准以及可能具有的适用的法律推定；以及</w:t>
      </w:r>
    </w:p>
    <w:p w:rsidR="00000000" w:rsidRDefault="00000000">
      <w:pPr>
        <w:numPr>
          <w:ilvl w:val="0"/>
          <w:numId w:val="43"/>
        </w:numPr>
        <w:rPr>
          <w:rFonts w:hint="eastAsia"/>
          <w:spacing w:val="0"/>
        </w:rPr>
      </w:pPr>
      <w:r>
        <w:rPr>
          <w:rFonts w:hint="eastAsia"/>
          <w:spacing w:val="0"/>
        </w:rPr>
        <w:t>负责进行调查以确定儿童年龄的机构或机关，以及为此目的使用的方法。</w:t>
      </w:r>
    </w:p>
    <w:p w:rsidR="00000000" w:rsidRDefault="00000000">
      <w:pPr>
        <w:ind w:firstLine="510"/>
        <w:rPr>
          <w:rFonts w:hint="eastAsia"/>
        </w:rPr>
      </w:pPr>
      <w:r>
        <w:rPr>
          <w:rFonts w:hint="eastAsia"/>
        </w:rPr>
        <w:t>根据准则</w:t>
      </w:r>
      <w:r>
        <w:rPr>
          <w:rFonts w:hint="eastAsia"/>
        </w:rPr>
        <w:t>28</w:t>
      </w:r>
      <w:r>
        <w:rPr>
          <w:rFonts w:hint="eastAsia"/>
        </w:rPr>
        <w:t>要求提供的资料应表明，确定议定书所述罪行的推定受害人年龄的困难是否构成妨碍执法和有效保护儿童不受这些做法之害的重大困难，如情况如此，则说明原因，以及缔约国是否有克服这种困难的计划，或它认为对付这些困难需要什么样的行动。所提供的资料在相关时还应区分在缔约国领土内针对本国儿童犯下的罪行与受害人不是缔约国国民的罪行或该行为发生在另一个国领土的情况。</w:t>
      </w:r>
    </w:p>
    <w:p w:rsidR="00000000" w:rsidRDefault="00000000">
      <w:pPr>
        <w:ind w:firstLine="510"/>
        <w:rPr>
          <w:rFonts w:hint="eastAsia"/>
        </w:rPr>
      </w:pPr>
      <w:r>
        <w:rPr>
          <w:rFonts w:hint="eastAsia"/>
          <w:snapToGrid/>
        </w:rPr>
        <w:t>根据</w:t>
      </w:r>
      <w:r>
        <w:rPr>
          <w:rFonts w:ascii="Time New Roman" w:eastAsia="SimHei" w:hAnsi="Time New Roman" w:hint="eastAsia"/>
        </w:rPr>
        <w:t>准则</w:t>
      </w:r>
      <w:r>
        <w:rPr>
          <w:rFonts w:ascii="Time New Roman" w:eastAsia="SimHei" w:hAnsi="Time New Roman" w:hint="eastAsia"/>
          <w:b/>
        </w:rPr>
        <w:t>29</w:t>
      </w:r>
      <w:r>
        <w:rPr>
          <w:rFonts w:ascii="Time New Roman" w:eastAsia="SimHei" w:hAnsi="Time New Roman" w:hint="eastAsia"/>
        </w:rPr>
        <w:t>和</w:t>
      </w:r>
      <w:r>
        <w:rPr>
          <w:rFonts w:ascii="Time New Roman" w:eastAsia="SimHei" w:hAnsi="Time New Roman" w:hint="eastAsia"/>
          <w:b/>
        </w:rPr>
        <w:t>30</w:t>
      </w:r>
      <w:r>
        <w:rPr>
          <w:rFonts w:hint="eastAsia"/>
          <w:bCs/>
          <w:snapToGrid/>
        </w:rPr>
        <w:t>要求提供</w:t>
      </w:r>
      <w:r>
        <w:rPr>
          <w:rFonts w:hint="eastAsia"/>
        </w:rPr>
        <w:t>的资料应：</w:t>
      </w:r>
    </w:p>
    <w:p w:rsidR="00000000" w:rsidRDefault="00000000">
      <w:pPr>
        <w:numPr>
          <w:ilvl w:val="0"/>
          <w:numId w:val="44"/>
        </w:numPr>
        <w:rPr>
          <w:rFonts w:hint="eastAsia"/>
        </w:rPr>
      </w:pPr>
      <w:r>
        <w:rPr>
          <w:rFonts w:hint="eastAsia"/>
        </w:rPr>
        <w:t>说明是否缔约国所有有关管辖单位的立法都承认在刑事司法系统对待受议定书所述罪行之害的儿童方面应以儿童的最大利益为首要考虑的要求，如果不是，则应说明缔约国已经采取或计划采取什么步骤将这个原则纳入有关立法。</w:t>
      </w:r>
    </w:p>
    <w:p w:rsidR="00000000" w:rsidRDefault="00000000">
      <w:pPr>
        <w:numPr>
          <w:ilvl w:val="0"/>
          <w:numId w:val="44"/>
        </w:numPr>
        <w:rPr>
          <w:rFonts w:hint="eastAsia"/>
        </w:rPr>
      </w:pPr>
      <w:r>
        <w:rPr>
          <w:rFonts w:hint="eastAsia"/>
        </w:rPr>
        <w:t>叙述关于这方面如何界定儿童的最大利益的规则、准则、政策或判例，以及用以确定个别受害儿童的最大利益的方法。</w:t>
      </w:r>
    </w:p>
    <w:p w:rsidR="00000000" w:rsidRDefault="00000000">
      <w:pPr>
        <w:numPr>
          <w:ilvl w:val="0"/>
          <w:numId w:val="44"/>
        </w:numPr>
        <w:spacing w:line="324" w:lineRule="auto"/>
        <w:rPr>
          <w:rFonts w:hint="eastAsia"/>
        </w:rPr>
      </w:pPr>
      <w:r>
        <w:rPr>
          <w:rFonts w:hint="eastAsia"/>
        </w:rPr>
        <w:t>具体叙述有关用以确定儿童的看法以及确定儿童在这方面的最大利益时对这些看法的重视程度的规则、准则、政策或判例。</w:t>
      </w:r>
    </w:p>
    <w:p w:rsidR="00000000" w:rsidRDefault="00000000">
      <w:pPr>
        <w:numPr>
          <w:ilvl w:val="0"/>
          <w:numId w:val="44"/>
        </w:numPr>
        <w:spacing w:line="324" w:lineRule="auto"/>
        <w:rPr>
          <w:rFonts w:hint="eastAsia"/>
        </w:rPr>
      </w:pPr>
      <w:r>
        <w:rPr>
          <w:rFonts w:hint="eastAsia"/>
        </w:rPr>
        <w:t>此外，还应叙述采取了什么步骤以及建立了什么机制和程序，以适合受害儿童的年龄和背景的语言，向他们提供有关影响到他们的罪行的刑事调查和程序、他们在这些调查和程序中的权利，以及他们可能有的任何选择或代用方式的客观资料；</w:t>
      </w:r>
    </w:p>
    <w:p w:rsidR="00000000" w:rsidRDefault="00000000">
      <w:pPr>
        <w:numPr>
          <w:ilvl w:val="0"/>
          <w:numId w:val="44"/>
        </w:numPr>
        <w:spacing w:line="324" w:lineRule="auto"/>
        <w:rPr>
          <w:rFonts w:hint="eastAsia"/>
        </w:rPr>
      </w:pPr>
      <w:r>
        <w:rPr>
          <w:rFonts w:hint="eastAsia"/>
        </w:rPr>
        <w:t>叙述关于儿童在侵害的罪行的刑事诉讼方面必须作出的决定中的法律地位的立法、规则、程序、政策或判例；这些决定包括有关儿童决定是否作证或以其他方式出席诉讼的任何年龄限制；家长或监护人代替儿童作出决定的权限，以及任命临时监护人以在无任何家长或监护人在场时，或在受害儿童与其家长或法定监护人可能有利益冲突时确保查明和尊重儿童的最大利益；以及</w:t>
      </w:r>
    </w:p>
    <w:p w:rsidR="00000000" w:rsidRDefault="00000000">
      <w:pPr>
        <w:numPr>
          <w:ilvl w:val="0"/>
          <w:numId w:val="44"/>
        </w:numPr>
        <w:spacing w:line="324" w:lineRule="auto"/>
        <w:rPr>
          <w:rFonts w:hint="eastAsia"/>
        </w:rPr>
      </w:pPr>
      <w:r>
        <w:rPr>
          <w:rFonts w:hint="eastAsia"/>
        </w:rPr>
        <w:t>叙述儿童保护机构或儿童权利机构在涉及议定书所述罪行的刑事诉讼中可能具有的作用，特别是它们在这些诉讼中保卫受害儿童或儿童证人的最大利益的作用。</w:t>
      </w:r>
    </w:p>
    <w:p w:rsidR="00000000" w:rsidRDefault="00000000">
      <w:pPr>
        <w:spacing w:line="324" w:lineRule="auto"/>
        <w:ind w:firstLine="510"/>
        <w:rPr>
          <w:rFonts w:hint="eastAsia"/>
        </w:rPr>
      </w:pPr>
      <w:r>
        <w:rPr>
          <w:rFonts w:ascii="Time New Roman" w:eastAsia="SimHei" w:hAnsi="Time New Roman" w:hint="eastAsia"/>
        </w:rPr>
        <w:t>准则</w:t>
      </w:r>
      <w:r>
        <w:rPr>
          <w:rFonts w:ascii="Time New Roman" w:eastAsia="SimHei" w:hAnsi="Time New Roman" w:hint="eastAsia"/>
          <w:b/>
        </w:rPr>
        <w:t>31</w:t>
      </w:r>
      <w:r>
        <w:rPr>
          <w:rFonts w:hint="eastAsia"/>
        </w:rPr>
        <w:t>所要求的资料应当提供详细情况，说明主管在缔约国全境调查和</w:t>
      </w:r>
      <w:r>
        <w:rPr>
          <w:rFonts w:hint="eastAsia"/>
        </w:rPr>
        <w:t>/</w:t>
      </w:r>
      <w:r>
        <w:rPr>
          <w:rFonts w:hint="eastAsia"/>
        </w:rPr>
        <w:t>或起诉议定书所述罪行的机构，以及这些机构的工作人员与受害儿童或儿童证人的接触是否限于特别任命负责有关儿童的案件的官员；招聘或任命与儿童有接触的工作人员时适用的对于有关儿童权利及儿童心理或发展的教育的要求；向与儿童有接触的工作人员以及他们的主管人员提供旨在确保受害儿童受到体察其年龄、性别、背景及经历，尊重他们的权利的待遇的法律、心理及其他有关培训的任何初级或在职培训方案，并且简述这些培训方案的内容和方法；向议定书所述罪行的受害人提供照顾、住所和心理服务的公营或私营机构或组织，以及有关私人提供服务者的资格和培训的任何适用规则。</w:t>
      </w:r>
    </w:p>
    <w:p w:rsidR="00000000" w:rsidRDefault="00000000">
      <w:pPr>
        <w:spacing w:line="324" w:lineRule="auto"/>
        <w:ind w:firstLine="510"/>
        <w:rPr>
          <w:rFonts w:hint="eastAsia"/>
        </w:rPr>
      </w:pPr>
      <w:r>
        <w:rPr>
          <w:rFonts w:hint="eastAsia"/>
        </w:rPr>
        <w:t>根据</w:t>
      </w:r>
      <w:r>
        <w:rPr>
          <w:rFonts w:ascii="Time New Roman" w:eastAsia="SimHei" w:hAnsi="Time New Roman" w:hint="eastAsia"/>
        </w:rPr>
        <w:t>准则</w:t>
      </w:r>
      <w:r>
        <w:rPr>
          <w:rFonts w:ascii="Time New Roman" w:eastAsia="SimHei" w:hAnsi="Time New Roman" w:hint="eastAsia"/>
          <w:b/>
        </w:rPr>
        <w:t>32</w:t>
      </w:r>
      <w:r>
        <w:rPr>
          <w:rFonts w:hint="eastAsia"/>
          <w:bCs/>
          <w:snapToGrid/>
        </w:rPr>
        <w:t>要求提供</w:t>
      </w:r>
      <w:r>
        <w:rPr>
          <w:rFonts w:hint="eastAsia"/>
        </w:rPr>
        <w:t>的资料应说明最直接参与防止</w:t>
      </w:r>
      <w:r>
        <w:rPr>
          <w:rFonts w:hint="eastAsia"/>
          <w:color w:val="000000"/>
          <w:kern w:val="28"/>
        </w:rPr>
        <w:t>买卖儿童、儿童卖淫和儿童色情制品及有关做法的努力的</w:t>
      </w:r>
      <w:r>
        <w:rPr>
          <w:rFonts w:hint="eastAsia"/>
        </w:rPr>
        <w:t>公营或私营机构、组织和网络，以及最直接参与向这些做法的受害人提供保护、康复及类似服务的机构、组织和网络；并且叙述对于上述机构及其成员或工作人员的安全、保障和完整性的任何重大打击或威胁，以及缔约国所采取的保护成为上述打击或威胁的对象的个人或机构的措施类型，和所采取的作为对付这类打击或威胁的预防办法的措施或政策。</w:t>
      </w:r>
    </w:p>
    <w:p w:rsidR="00000000" w:rsidRDefault="00000000">
      <w:pPr>
        <w:ind w:firstLine="510"/>
      </w:pPr>
      <w:r>
        <w:rPr>
          <w:rFonts w:hint="eastAsia"/>
        </w:rPr>
        <w:t>为了</w:t>
      </w:r>
      <w:r>
        <w:rPr>
          <w:rFonts w:ascii="Time New Roman" w:eastAsia="SimHei" w:hAnsi="Time New Roman" w:hint="eastAsia"/>
        </w:rPr>
        <w:t>准则</w:t>
      </w:r>
      <w:r>
        <w:rPr>
          <w:rFonts w:ascii="Time New Roman" w:eastAsia="SimHei" w:hAnsi="Time New Roman" w:hint="eastAsia"/>
          <w:b/>
        </w:rPr>
        <w:t>33</w:t>
      </w:r>
      <w:r>
        <w:rPr>
          <w:rFonts w:hint="eastAsia"/>
        </w:rPr>
        <w:t>的目的，被告享有公平和公正审判的权利应视为《公民权利和政治权利国际公约》第十四条和第十五条所列的权利，特别是在未依法证实有罪之前被推定无罪的权利、有相当时间和便利准备他的辩护的权利，以及直接或间接讯问不利的证人的权利。</w:t>
      </w:r>
    </w:p>
    <w:p w:rsidR="00000000" w:rsidRDefault="00000000">
      <w:pPr>
        <w:ind w:firstLine="510"/>
      </w:pPr>
      <w:r>
        <w:rPr>
          <w:rFonts w:hint="eastAsia"/>
        </w:rPr>
        <w:t>根据</w:t>
      </w:r>
      <w:r>
        <w:rPr>
          <w:rFonts w:ascii="Time New Roman" w:eastAsia="SimHei" w:hAnsi="Time New Roman" w:hint="eastAsia"/>
        </w:rPr>
        <w:t>准则</w:t>
      </w:r>
      <w:r>
        <w:rPr>
          <w:rFonts w:ascii="Time New Roman" w:eastAsia="SimHei" w:hAnsi="Time New Roman"/>
          <w:b/>
        </w:rPr>
        <w:t>34</w:t>
      </w:r>
      <w:r>
        <w:rPr>
          <w:rFonts w:hint="eastAsia"/>
        </w:rPr>
        <w:t>要求提供的资料应包括：指出各种方案或服务以及运作这些方案或服务的机构或组织，其地理位置以及对于所提供的服务的类型的描述；关于获得这些援助的儿童的人数的数据，按照受益人的年龄和性别、遭到侵害的类型以及援助是在居住环境还是非居住环境下提供的分类；对于现有各种方案所提供的援助所作的任何评价的结果以及可能具有的有关这些服务机构尚未达到的要求的资料；缔约国旨在提高现有各种方案的能力或扩大所提供的服务的任何计划，以及它认为相关的任何其他资料。</w:t>
      </w:r>
    </w:p>
    <w:p w:rsidR="00000000" w:rsidRDefault="00000000">
      <w:pPr>
        <w:ind w:firstLine="510"/>
      </w:pPr>
      <w:r>
        <w:rPr>
          <w:rFonts w:ascii="Time New Roman" w:eastAsia="SimHei" w:hAnsi="Time New Roman" w:hint="eastAsia"/>
        </w:rPr>
        <w:t>准则</w:t>
      </w:r>
      <w:r>
        <w:rPr>
          <w:rFonts w:ascii="Time New Roman" w:eastAsia="SimHei" w:hAnsi="Time New Roman"/>
          <w:b/>
        </w:rPr>
        <w:t>35</w:t>
      </w:r>
      <w:r>
        <w:rPr>
          <w:rFonts w:hint="eastAsia"/>
        </w:rPr>
        <w:t>和议定书第</w:t>
      </w:r>
      <w:r>
        <w:t>9</w:t>
      </w:r>
      <w:r>
        <w:rPr>
          <w:rFonts w:hint="eastAsia"/>
        </w:rPr>
        <w:t>条第</w:t>
      </w:r>
      <w:r>
        <w:t>3</w:t>
      </w:r>
      <w:r>
        <w:rPr>
          <w:rFonts w:hint="eastAsia"/>
        </w:rPr>
        <w:t>款所述的获得重返社会和心理康复援助的权利包括被剥夺其身份的任何要素的儿童获得迅速重建其身份的援助的权利，这项权利也受到《儿童权利公约》第</w:t>
      </w:r>
      <w:r>
        <w:t>8</w:t>
      </w:r>
      <w:r>
        <w:rPr>
          <w:rFonts w:hint="eastAsia"/>
        </w:rPr>
        <w:t>条第</w:t>
      </w:r>
      <w:r>
        <w:t>2</w:t>
      </w:r>
      <w:r>
        <w:rPr>
          <w:rFonts w:hint="eastAsia"/>
        </w:rPr>
        <w:t>款的承认。</w:t>
      </w:r>
    </w:p>
    <w:p w:rsidR="00000000" w:rsidRDefault="00000000">
      <w:pPr>
        <w:ind w:firstLine="510"/>
      </w:pPr>
      <w:r>
        <w:rPr>
          <w:rFonts w:hint="eastAsia"/>
        </w:rPr>
        <w:t>根据</w:t>
      </w:r>
      <w:r>
        <w:rPr>
          <w:rFonts w:ascii="Time New Roman" w:eastAsia="SimHei" w:hAnsi="Time New Roman" w:hint="eastAsia"/>
        </w:rPr>
        <w:t>准则</w:t>
      </w:r>
      <w:r>
        <w:rPr>
          <w:rFonts w:ascii="Time New Roman" w:eastAsia="SimHei" w:hAnsi="Time New Roman"/>
          <w:b/>
        </w:rPr>
        <w:t>36</w:t>
      </w:r>
      <w:r>
        <w:rPr>
          <w:rFonts w:hint="eastAsia"/>
        </w:rPr>
        <w:t>要求提供的资料应包括：</w:t>
      </w:r>
    </w:p>
    <w:p w:rsidR="00000000" w:rsidRDefault="00000000">
      <w:pPr>
        <w:numPr>
          <w:ilvl w:val="0"/>
          <w:numId w:val="45"/>
        </w:numPr>
      </w:pPr>
      <w:r>
        <w:rPr>
          <w:rFonts w:hint="eastAsia"/>
        </w:rPr>
        <w:t>每年查明属于买卖儿童、儿童卖淫和儿童色情制品现象的受害人的非国民或国籍不明儿童的人数，尽最大可能按照年龄、性别、遭到剥削的类型和原籍国分类；</w:t>
      </w:r>
    </w:p>
    <w:p w:rsidR="00000000" w:rsidRDefault="00000000">
      <w:pPr>
        <w:numPr>
          <w:ilvl w:val="0"/>
          <w:numId w:val="45"/>
        </w:numPr>
      </w:pPr>
      <w:r>
        <w:rPr>
          <w:rFonts w:hint="eastAsia"/>
        </w:rPr>
        <w:t>缔</w:t>
      </w:r>
      <w:r>
        <w:rPr>
          <w:rFonts w:hint="eastAsia"/>
          <w:spacing w:val="8"/>
        </w:rPr>
        <w:t>约国关于遣返受害儿童及重新融入其家庭和社区的政策，包括此种政策处理诸如儿童的最大利益、儿童使自己的意见得到考虑的权利、儿童参与针对那些对于他们的剥削的责任人的刑事诉讼的权利，以及儿童获得不遭受报复风险的保护以及身心康复援助的权利等问题的方法；</w:t>
      </w:r>
    </w:p>
    <w:p w:rsidR="00000000" w:rsidRDefault="00000000">
      <w:pPr>
        <w:numPr>
          <w:ilvl w:val="0"/>
          <w:numId w:val="45"/>
        </w:numPr>
      </w:pPr>
      <w:r>
        <w:rPr>
          <w:rFonts w:hint="eastAsia"/>
        </w:rPr>
        <w:t>在遣返曾受这些剥削形式之害的儿童、在重建其身份或重新安置其家庭方面的相互协助以及对于是否适宜采取使儿童返回其家庭或社区而非其他重返社会的形式问题进行评估方面与其他国家签订的现有的任何法律或行政协议。</w:t>
      </w:r>
    </w:p>
    <w:p w:rsidR="00000000" w:rsidRDefault="00000000">
      <w:pPr>
        <w:numPr>
          <w:ilvl w:val="0"/>
          <w:numId w:val="45"/>
        </w:numPr>
      </w:pPr>
      <w:r>
        <w:rPr>
          <w:rFonts w:hint="eastAsia"/>
        </w:rPr>
        <w:t>有关在捍卫曾受这些剥削形式之害的非国民或国籍不明儿童重返社会、恢复身份和身心康复权利方面取得的进展及遇到的困难的资料，以及缔约国可能具有的克服困难的任何计划。</w:t>
      </w:r>
    </w:p>
    <w:p w:rsidR="00000000" w:rsidRDefault="00000000">
      <w:pPr>
        <w:spacing w:line="319" w:lineRule="auto"/>
        <w:ind w:firstLine="510"/>
      </w:pPr>
      <w:r>
        <w:rPr>
          <w:rFonts w:hint="eastAsia"/>
        </w:rPr>
        <w:t>根据</w:t>
      </w:r>
      <w:r>
        <w:rPr>
          <w:rFonts w:ascii="Time New Roman" w:eastAsia="SimHei" w:hAnsi="Time New Roman" w:hint="eastAsia"/>
        </w:rPr>
        <w:t>准则</w:t>
      </w:r>
      <w:r>
        <w:rPr>
          <w:rFonts w:ascii="Time New Roman" w:eastAsia="SimHei" w:hAnsi="Time New Roman"/>
          <w:b/>
        </w:rPr>
        <w:t>37</w:t>
      </w:r>
      <w:r>
        <w:rPr>
          <w:rFonts w:hint="eastAsia"/>
        </w:rPr>
        <w:t>要求提供的资料应包括：</w:t>
      </w:r>
    </w:p>
    <w:p w:rsidR="00000000" w:rsidRDefault="00000000">
      <w:pPr>
        <w:numPr>
          <w:ilvl w:val="0"/>
          <w:numId w:val="46"/>
        </w:numPr>
        <w:spacing w:line="319" w:lineRule="auto"/>
      </w:pPr>
      <w:r>
        <w:rPr>
          <w:rFonts w:hint="eastAsia"/>
        </w:rPr>
        <w:t>儿童获得补偿的权利是否从属于或取决于事先查明对于他们的剥削行为的责任人的刑事责任；</w:t>
      </w:r>
    </w:p>
    <w:p w:rsidR="00000000" w:rsidRDefault="00000000">
      <w:pPr>
        <w:numPr>
          <w:ilvl w:val="0"/>
          <w:numId w:val="46"/>
        </w:numPr>
        <w:spacing w:line="319" w:lineRule="auto"/>
        <w:rPr>
          <w:spacing w:val="8"/>
        </w:rPr>
      </w:pPr>
      <w:r>
        <w:rPr>
          <w:rFonts w:hint="eastAsia"/>
          <w:spacing w:val="8"/>
        </w:rPr>
        <w:t>当儿童的利益与其父母的利益之间存在着实际、可能或潜在冲突时，为了这种法律程序的目的为儿童任命一名监护人或代表的程序和标准；</w:t>
      </w:r>
    </w:p>
    <w:p w:rsidR="00000000" w:rsidRDefault="00000000">
      <w:pPr>
        <w:numPr>
          <w:ilvl w:val="0"/>
          <w:numId w:val="46"/>
        </w:numPr>
        <w:spacing w:line="319" w:lineRule="auto"/>
      </w:pPr>
      <w:r>
        <w:rPr>
          <w:rFonts w:hint="eastAsia"/>
        </w:rPr>
        <w:t>有关涉及买卖儿童、儿童卖淫和儿童色情制品的案件或申诉的自愿解决的标准和程序；</w:t>
      </w:r>
    </w:p>
    <w:p w:rsidR="00000000" w:rsidRDefault="00000000">
      <w:pPr>
        <w:numPr>
          <w:ilvl w:val="0"/>
          <w:numId w:val="46"/>
        </w:numPr>
        <w:spacing w:line="319" w:lineRule="auto"/>
      </w:pPr>
      <w:r>
        <w:rPr>
          <w:rFonts w:hint="eastAsia"/>
        </w:rPr>
        <w:t>在提交有关受害儿童的证据的可采纳性或方式方面，适用于涉及儿童的案件与适用于涉及成人的案件的程序是否有什么不同；</w:t>
      </w:r>
    </w:p>
    <w:p w:rsidR="00000000" w:rsidRDefault="00000000">
      <w:pPr>
        <w:numPr>
          <w:ilvl w:val="0"/>
          <w:numId w:val="46"/>
        </w:numPr>
        <w:spacing w:line="319" w:lineRule="auto"/>
      </w:pPr>
      <w:r>
        <w:rPr>
          <w:rFonts w:hint="eastAsia"/>
        </w:rPr>
        <w:t>有关管理案件的规则和准则是否认识到需要按照议定书第</w:t>
      </w:r>
      <w:r>
        <w:t>8</w:t>
      </w:r>
      <w:r>
        <w:rPr>
          <w:rFonts w:hint="eastAsia"/>
        </w:rPr>
        <w:t>条第</w:t>
      </w:r>
      <w:r>
        <w:t>1</w:t>
      </w:r>
      <w:r>
        <w:rPr>
          <w:rFonts w:hint="eastAsia"/>
        </w:rPr>
        <w:t>款</w:t>
      </w:r>
      <w:r>
        <w:t>(g)</w:t>
      </w:r>
      <w:r>
        <w:rPr>
          <w:rFonts w:hint="eastAsia"/>
        </w:rPr>
        <w:t>项的规定防止在解决涉及儿童的案件方面的不当拖延的重要性；</w:t>
      </w:r>
    </w:p>
    <w:p w:rsidR="00000000" w:rsidRDefault="00000000">
      <w:pPr>
        <w:numPr>
          <w:ilvl w:val="0"/>
          <w:numId w:val="46"/>
        </w:numPr>
        <w:spacing w:line="319" w:lineRule="auto"/>
      </w:pPr>
      <w:r>
        <w:rPr>
          <w:rFonts w:hint="eastAsia"/>
        </w:rPr>
        <w:t>当受害人是儿童时，适用于就这些剥削形式索取赔偿的法定时效是否有什么不同；</w:t>
      </w:r>
    </w:p>
    <w:p w:rsidR="00000000" w:rsidRDefault="00000000">
      <w:pPr>
        <w:numPr>
          <w:ilvl w:val="0"/>
          <w:numId w:val="46"/>
        </w:numPr>
        <w:spacing w:line="319" w:lineRule="auto"/>
      </w:pPr>
      <w:r>
        <w:rPr>
          <w:rFonts w:hint="eastAsia"/>
        </w:rPr>
        <w:t>有关直到儿童成年为止使用、处置及保护判给他们的损失赔偿的法律的任何特点；</w:t>
      </w:r>
    </w:p>
    <w:p w:rsidR="00000000" w:rsidRDefault="00000000">
      <w:pPr>
        <w:numPr>
          <w:ilvl w:val="0"/>
          <w:numId w:val="46"/>
        </w:numPr>
        <w:spacing w:line="319" w:lineRule="auto"/>
      </w:pPr>
      <w:r>
        <w:rPr>
          <w:rFonts w:hint="eastAsia"/>
        </w:rPr>
        <w:t>旨在更加体察儿童的特殊需要、权利和脆弱性的、儿童可用以在上述类型的案件中寻求赔偿的现行法律的任何其他特点；</w:t>
      </w:r>
    </w:p>
    <w:p w:rsidR="00000000" w:rsidRDefault="00000000">
      <w:pPr>
        <w:numPr>
          <w:ilvl w:val="0"/>
          <w:numId w:val="46"/>
        </w:numPr>
        <w:spacing w:line="319" w:lineRule="auto"/>
      </w:pPr>
      <w:r>
        <w:rPr>
          <w:rFonts w:hint="eastAsia"/>
        </w:rPr>
        <w:t>根据本准则以上各段要求提供的资料是否适用于非缔约国国民的受害人，以及所存在的确保非国民受害人可以平等利用旨在就上述剥削形式造成的损失获得赔偿的补救办法的任何特殊措施；</w:t>
      </w:r>
    </w:p>
    <w:p w:rsidR="00000000" w:rsidRDefault="00000000">
      <w:pPr>
        <w:numPr>
          <w:ilvl w:val="0"/>
          <w:numId w:val="46"/>
        </w:numPr>
        <w:spacing w:line="319" w:lineRule="auto"/>
      </w:pPr>
      <w:r>
        <w:rPr>
          <w:rFonts w:hint="eastAsia"/>
        </w:rPr>
        <w:t>可以帮助委员会了解现行补救办法和程序如何实际运作的有关由法律或行政诉讼，或由官方机关监督下的解决办法所产生的就此类侵犯为儿童所依判决的数目和金额的任何资料；</w:t>
      </w:r>
    </w:p>
    <w:p w:rsidR="00000000" w:rsidRDefault="00000000">
      <w:pPr>
        <w:numPr>
          <w:ilvl w:val="0"/>
          <w:numId w:val="46"/>
        </w:numPr>
        <w:spacing w:line="319" w:lineRule="auto"/>
      </w:pPr>
      <w:r>
        <w:rPr>
          <w:rFonts w:hint="eastAsia"/>
        </w:rPr>
        <w:t>缔约国是否认为，现行补救办法和程序对于曾受上述剥削形式之害的儿童就损失获得充分赔偿的权利提供充分的保护，如果不是，则它认为哪些改进或改变能够增强这种权利的有效保护。</w:t>
      </w:r>
    </w:p>
    <w:p w:rsidR="00000000" w:rsidRDefault="00000000">
      <w:pPr>
        <w:spacing w:after="160" w:line="319" w:lineRule="auto"/>
        <w:ind w:firstLine="510"/>
      </w:pPr>
      <w:r>
        <w:rPr>
          <w:rFonts w:hint="eastAsia"/>
        </w:rPr>
        <w:t>损害包括身体伤害或精神伤害、感情痛苦、道德利益</w:t>
      </w:r>
      <w:r>
        <w:rPr>
          <w:rFonts w:hint="eastAsia"/>
        </w:rPr>
        <w:t>(</w:t>
      </w:r>
      <w:r>
        <w:rPr>
          <w:rFonts w:hint="eastAsia"/>
        </w:rPr>
        <w:t>如荣誉、名誉、家庭纽带、道德</w:t>
      </w:r>
      <w:r>
        <w:rPr>
          <w:rFonts w:hint="eastAsia"/>
        </w:rPr>
        <w:t>)</w:t>
      </w:r>
      <w:r>
        <w:rPr>
          <w:rFonts w:hint="eastAsia"/>
        </w:rPr>
        <w:t>损害、剥夺某人的权利、财产损失、收入或其他经济损失，以及治疗任何伤害及弥补对于受害人的任何损害所花费的费用等</w:t>
      </w:r>
      <w:r>
        <w:rPr>
          <w:rFonts w:hint="eastAsia"/>
        </w:rPr>
        <w:t>(</w:t>
      </w:r>
      <w:r>
        <w:rPr>
          <w:rFonts w:hint="eastAsia"/>
        </w:rPr>
        <w:t>见《严重违反国际人权法和严重违反国际人道主义法行为受害人获得补救和赔偿的权利基本原则和导则》。</w:t>
      </w:r>
    </w:p>
    <w:p w:rsidR="00000000" w:rsidRDefault="00000000">
      <w:pPr>
        <w:jc w:val="center"/>
      </w:pPr>
      <w:r>
        <w:t>--  --  --  --  --</w:t>
      </w: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spacing w:before="120"/>
          </w:pPr>
          <w:r>
            <w:t>GE. 06-45096 (C)</w:t>
          </w:r>
        </w:p>
      </w:tc>
      <w:tc>
        <w:tcPr>
          <w:tcW w:w="1050" w:type="dxa"/>
        </w:tcPr>
        <w:p w:rsidR="00000000" w:rsidRDefault="00000000">
          <w:pPr>
            <w:pStyle w:val="Footer"/>
            <w:spacing w:before="120"/>
          </w:pPr>
          <w:r>
            <w:t>151206</w:t>
          </w:r>
        </w:p>
      </w:tc>
      <w:tc>
        <w:tcPr>
          <w:tcW w:w="6061" w:type="dxa"/>
        </w:tcPr>
        <w:p w:rsidR="00000000" w:rsidRDefault="00000000">
          <w:pPr>
            <w:pStyle w:val="Footer"/>
            <w:spacing w:before="120"/>
          </w:pPr>
          <w:r>
            <w:t>191206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EndnoteText"/>
        <w:rPr>
          <w:rFonts w:hint="eastAsia"/>
        </w:rPr>
      </w:pPr>
      <w:r>
        <w:rPr>
          <w:rStyle w:val="FootnoteReference"/>
        </w:rPr>
        <w:sym w:font="Symbol" w:char="F02A"/>
      </w:r>
      <w:r>
        <w:rPr>
          <w:vertAlign w:val="superscript"/>
        </w:rPr>
        <w:t xml:space="preserve"> </w:t>
      </w:r>
      <w:r>
        <w:tab/>
      </w:r>
      <w:r>
        <w:rPr>
          <w:rFonts w:hint="eastAsia"/>
        </w:rPr>
        <w:t>见上文第</w:t>
      </w:r>
      <w:r>
        <w:rPr>
          <w:rFonts w:hint="eastAsia"/>
        </w:rPr>
        <w:t xml:space="preserve">2 </w:t>
      </w:r>
      <w:r>
        <w:rPr>
          <w:rFonts w:hint="eastAsia"/>
        </w:rPr>
        <w:t>段；准则对应于段落号码。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firstLine="7670"/>
    </w:pPr>
    <w:r>
      <w:t>CRC/C/OPSC/2</w:t>
    </w:r>
  </w:p>
  <w:p w:rsidR="00000000" w:rsidRDefault="00000000">
    <w:pPr>
      <w:pStyle w:val="Header"/>
      <w:ind w:firstLine="767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4536"/>
      <w:gridCol w:w="924"/>
      <w:gridCol w:w="2336"/>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4536"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3260" w:type="dxa"/>
          <w:gridSpan w:val="2"/>
          <w:tcBorders>
            <w:top w:val="nil"/>
            <w:left w:val="nil"/>
            <w:bottom w:val="single" w:sz="8" w:space="0" w:color="auto"/>
            <w:right w:val="nil"/>
          </w:tcBorders>
          <w:vAlign w:val="bottom"/>
        </w:tcPr>
        <w:p w:rsidR="00000000" w:rsidRDefault="00000000">
          <w:pPr>
            <w:pStyle w:val="1R1"/>
            <w:jc w:val="right"/>
            <w:rPr>
              <w:rFonts w:ascii="Univers" w:hAnsi="Univers"/>
              <w:b w:val="0"/>
              <w:sz w:val="72"/>
            </w:rPr>
          </w:pPr>
          <w:r>
            <w:t>CRC</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504868" r:id="rId2"/>
            </w:object>
          </w:r>
        </w:p>
      </w:tc>
      <w:tc>
        <w:tcPr>
          <w:tcW w:w="5460" w:type="dxa"/>
          <w:gridSpan w:val="2"/>
          <w:tcBorders>
            <w:top w:val="single" w:sz="8" w:space="0" w:color="auto"/>
            <w:left w:val="nil"/>
            <w:bottom w:val="single" w:sz="24" w:space="0" w:color="auto"/>
            <w:right w:val="nil"/>
          </w:tcBorders>
        </w:tcPr>
        <w:p w:rsidR="00000000" w:rsidRDefault="00000000">
          <w:pPr>
            <w:pStyle w:val="1m1"/>
            <w:spacing w:before="480"/>
          </w:pPr>
          <w:r>
            <w:t xml:space="preserve"> </w:t>
          </w:r>
          <w:r>
            <w:rPr>
              <w:rFonts w:hint="eastAsia"/>
            </w:rPr>
            <w:t>儿童权利公约</w:t>
          </w:r>
        </w:p>
      </w:tc>
      <w:tc>
        <w:tcPr>
          <w:tcW w:w="2336" w:type="dxa"/>
          <w:tcBorders>
            <w:top w:val="single" w:sz="8" w:space="0" w:color="auto"/>
            <w:left w:val="nil"/>
            <w:bottom w:val="single" w:sz="24" w:space="0" w:color="auto"/>
            <w:right w:val="nil"/>
          </w:tcBorders>
        </w:tcPr>
        <w:p w:rsidR="00000000" w:rsidRDefault="00000000">
          <w:pPr>
            <w:pStyle w:val="Header"/>
            <w:rPr>
              <w:lang w:eastAsia="zh-CN"/>
            </w:rPr>
          </w:pPr>
        </w:p>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CRC/C/OPSC/2</w:t>
          </w:r>
        </w:p>
        <w:p w:rsidR="00000000" w:rsidRDefault="00000000">
          <w:pPr>
            <w:pStyle w:val="Header"/>
          </w:pPr>
          <w:r>
            <w:t>3 November 2006</w:t>
          </w:r>
        </w:p>
        <w:p w:rsidR="00000000" w:rsidRDefault="00000000">
          <w:pPr>
            <w:pStyle w:val="Heade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pPr>
        </w:p>
      </w:tc>
    </w:tr>
    <w:tr w:rsidR="00000000">
      <w:tblPrEx>
        <w:tblCellMar>
          <w:top w:w="0" w:type="dxa"/>
          <w:bottom w:w="0" w:type="dxa"/>
        </w:tblCellMar>
      </w:tblPrEx>
      <w:trPr>
        <w:cantSplit/>
        <w:trHeight w:val="70"/>
      </w:trPr>
      <w:tc>
        <w:tcPr>
          <w:tcW w:w="1668" w:type="dxa"/>
          <w:tcBorders>
            <w:top w:val="single" w:sz="24" w:space="0" w:color="auto"/>
            <w:left w:val="nil"/>
            <w:bottom w:val="nil"/>
            <w:right w:val="nil"/>
          </w:tcBorders>
          <w:noWrap/>
        </w:tcPr>
        <w:p w:rsidR="00000000" w:rsidRDefault="00000000">
          <w:pPr>
            <w:rPr>
              <w:sz w:val="16"/>
            </w:rPr>
          </w:pPr>
        </w:p>
      </w:tc>
      <w:tc>
        <w:tcPr>
          <w:tcW w:w="4536" w:type="dxa"/>
          <w:tcBorders>
            <w:top w:val="single" w:sz="24" w:space="0" w:color="auto"/>
            <w:left w:val="nil"/>
            <w:bottom w:val="nil"/>
            <w:right w:val="nil"/>
          </w:tcBorders>
          <w:noWrap/>
        </w:tcPr>
        <w:p w:rsidR="00000000" w:rsidRDefault="00000000">
          <w:pPr>
            <w:pStyle w:val="1m1"/>
            <w:spacing w:line="240" w:lineRule="auto"/>
            <w:rPr>
              <w:rFonts w:hint="eastAsia"/>
              <w:sz w:val="16"/>
            </w:rPr>
          </w:pPr>
        </w:p>
      </w:tc>
      <w:tc>
        <w:tcPr>
          <w:tcW w:w="3260" w:type="dxa"/>
          <w:gridSpan w:val="2"/>
          <w:tcBorders>
            <w:top w:val="single" w:sz="24" w:space="0" w:color="auto"/>
            <w:left w:val="nil"/>
            <w:bottom w:val="nil"/>
            <w:right w:val="nil"/>
          </w:tcBorders>
          <w:noWrap/>
        </w:tcPr>
        <w:p w:rsidR="00000000" w:rsidRDefault="00000000">
          <w:pPr>
            <w:rPr>
              <w:sz w:val="16"/>
            </w:rPr>
          </w:pPr>
        </w:p>
      </w:tc>
    </w:tr>
  </w:tbl>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46B0"/>
    <w:multiLevelType w:val="hybridMultilevel"/>
    <w:tmpl w:val="036823B2"/>
    <w:lvl w:ilvl="0" w:tplc="FFFFFFFF">
      <w:start w:val="1"/>
      <w:numFmt w:val="decimal"/>
      <w:lvlText w:val="(%1)"/>
      <w:lvlJc w:val="right"/>
      <w:pPr>
        <w:tabs>
          <w:tab w:val="num" w:pos="2561"/>
        </w:tabs>
        <w:ind w:left="2561" w:hanging="227"/>
      </w:pPr>
      <w:rPr>
        <w:rFonts w:ascii="Times New Roman" w:hAnsi="Times New Roman"/>
        <w:b w:val="0"/>
        <w:i w:val="0"/>
        <w:sz w:val="22"/>
      </w:rPr>
    </w:lvl>
    <w:lvl w:ilvl="1" w:tplc="FFFFFFFF">
      <w:start w:val="1"/>
      <w:numFmt w:val="decimal"/>
      <w:lvlText w:val="%2."/>
      <w:lvlJc w:val="left"/>
      <w:pPr>
        <w:tabs>
          <w:tab w:val="num" w:pos="1440"/>
        </w:tabs>
        <w:ind w:left="1440" w:hanging="360"/>
      </w:pPr>
    </w:lvl>
    <w:lvl w:ilvl="2" w:tplc="FFFFFFFF">
      <w:start w:val="1"/>
      <w:numFmt w:val="decimal"/>
      <w:lvlRestart w:val="0"/>
      <w:lvlText w:val="(%3)"/>
      <w:lvlJc w:val="right"/>
      <w:pPr>
        <w:tabs>
          <w:tab w:val="num" w:pos="3237"/>
        </w:tabs>
        <w:ind w:left="3237" w:hanging="227"/>
      </w:pPr>
      <w:rPr>
        <w:rFonts w:ascii="Times New Roman" w:hAnsi="Times New Roman"/>
        <w:b w:val="0"/>
        <w:i w:val="0"/>
        <w:sz w:val="22"/>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1F5367E"/>
    <w:multiLevelType w:val="hybridMultilevel"/>
    <w:tmpl w:val="6726A5B2"/>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
    <w:nsid w:val="08BA7AB9"/>
    <w:multiLevelType w:val="hybridMultilevel"/>
    <w:tmpl w:val="C35ACBD6"/>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
    <w:nsid w:val="0DB51582"/>
    <w:multiLevelType w:val="hybridMultilevel"/>
    <w:tmpl w:val="B12C7930"/>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
    <w:nsid w:val="10A8230B"/>
    <w:multiLevelType w:val="hybridMultilevel"/>
    <w:tmpl w:val="0A80369E"/>
    <w:lvl w:ilvl="0" w:tplc="FFFFFFFF">
      <w:start w:val="1"/>
      <w:numFmt w:val="lowerLetter"/>
      <w:lvlText w:val="(%1)"/>
      <w:lvlJc w:val="right"/>
      <w:pPr>
        <w:tabs>
          <w:tab w:val="num" w:pos="1531"/>
        </w:tabs>
        <w:ind w:left="1531" w:hanging="227"/>
      </w:pPr>
      <w:rPr>
        <w:rFonts w:ascii="Times New Roman" w:hAnsi="Times New Roman"/>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135722D9"/>
    <w:multiLevelType w:val="hybridMultilevel"/>
    <w:tmpl w:val="0E44CC02"/>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6">
    <w:nsid w:val="142F7BB1"/>
    <w:multiLevelType w:val="hybridMultilevel"/>
    <w:tmpl w:val="11AE8B0E"/>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7">
    <w:nsid w:val="14315532"/>
    <w:multiLevelType w:val="hybridMultilevel"/>
    <w:tmpl w:val="50E83A66"/>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8">
    <w:nsid w:val="16B25B1C"/>
    <w:multiLevelType w:val="hybridMultilevel"/>
    <w:tmpl w:val="35F2CF36"/>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36B87B30">
      <w:start w:val="1"/>
      <w:numFmt w:val="chineseCountingThousand"/>
      <w:lvlRestart w:val="0"/>
      <w:lvlText w:val="(%2)"/>
      <w:lvlJc w:val="right"/>
      <w:pPr>
        <w:tabs>
          <w:tab w:val="num" w:pos="1160"/>
        </w:tabs>
        <w:ind w:left="1160" w:hanging="170"/>
      </w:pPr>
      <w:rPr>
        <w:rFonts w:ascii="Times New Roman" w:hAnsi="Times New Roman"/>
        <w:sz w:val="20"/>
      </w:r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9">
    <w:nsid w:val="18D83E80"/>
    <w:multiLevelType w:val="hybridMultilevel"/>
    <w:tmpl w:val="136A1B8E"/>
    <w:lvl w:ilvl="0" w:tplc="09647E9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8BAEF34E">
      <w:start w:val="1"/>
      <w:numFmt w:val="lowerLetter"/>
      <w:lvlText w:val="(%2)"/>
      <w:lvlJc w:val="left"/>
      <w:pPr>
        <w:tabs>
          <w:tab w:val="num" w:pos="900"/>
        </w:tabs>
        <w:ind w:left="900" w:hanging="4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A501ED4"/>
    <w:multiLevelType w:val="hybridMultilevel"/>
    <w:tmpl w:val="9EC43DB4"/>
    <w:lvl w:ilvl="0" w:tplc="FFFFFFFF">
      <w:start w:val="1"/>
      <w:numFmt w:val="lowerLetter"/>
      <w:lvlText w:val="(%1)"/>
      <w:lvlJc w:val="right"/>
      <w:pPr>
        <w:tabs>
          <w:tab w:val="num" w:pos="1531"/>
        </w:tabs>
        <w:ind w:left="1531" w:hanging="227"/>
      </w:pPr>
      <w:rPr>
        <w:rFonts w:ascii="Times New Roman" w:hAnsi="Times New Roman"/>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1C076C90"/>
    <w:multiLevelType w:val="hybridMultilevel"/>
    <w:tmpl w:val="600662DC"/>
    <w:lvl w:ilvl="0" w:tplc="FFFFFFFF">
      <w:start w:val="1"/>
      <w:numFmt w:val="lowerLetter"/>
      <w:lvlText w:val="(%1)"/>
      <w:lvlJc w:val="right"/>
      <w:pPr>
        <w:tabs>
          <w:tab w:val="num" w:pos="1531"/>
        </w:tabs>
        <w:ind w:left="1531" w:hanging="227"/>
      </w:pPr>
      <w:rPr>
        <w:rFonts w:ascii="Times New Roman" w:hAnsi="Times New Roman"/>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1DB309AB"/>
    <w:multiLevelType w:val="hybridMultilevel"/>
    <w:tmpl w:val="2488D4B4"/>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3">
    <w:nsid w:val="1F7D340B"/>
    <w:multiLevelType w:val="hybridMultilevel"/>
    <w:tmpl w:val="7A325390"/>
    <w:lvl w:ilvl="0" w:tplc="FFFFFFFF">
      <w:start w:val="1"/>
      <w:numFmt w:val="lowerLetter"/>
      <w:lvlText w:val="(%1)"/>
      <w:lvlJc w:val="right"/>
      <w:pPr>
        <w:tabs>
          <w:tab w:val="num" w:pos="1531"/>
        </w:tabs>
        <w:ind w:left="1531" w:hanging="227"/>
      </w:pPr>
      <w:rPr>
        <w:rFonts w:ascii="Times New Roman" w:hAnsi="Times New Roman"/>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1FEA0FF7"/>
    <w:multiLevelType w:val="hybridMultilevel"/>
    <w:tmpl w:val="42BC9CFC"/>
    <w:lvl w:ilvl="0" w:tplc="E724FC3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23180C42"/>
    <w:multiLevelType w:val="hybridMultilevel"/>
    <w:tmpl w:val="D786DAEC"/>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6">
    <w:nsid w:val="24A748B5"/>
    <w:multiLevelType w:val="hybridMultilevel"/>
    <w:tmpl w:val="A6D8278C"/>
    <w:lvl w:ilvl="0" w:tplc="FFFFFFFF">
      <w:start w:val="1"/>
      <w:numFmt w:val="japaneseCounting"/>
      <w:lvlText w:val="%1．"/>
      <w:lvlJc w:val="left"/>
      <w:pPr>
        <w:tabs>
          <w:tab w:val="num" w:pos="1110"/>
        </w:tabs>
        <w:ind w:left="1110" w:hanging="720"/>
      </w:pPr>
      <w:rPr>
        <w:rFonts w:hint="default"/>
      </w:rPr>
    </w:lvl>
    <w:lvl w:ilvl="1" w:tplc="FFFFFFFF">
      <w:start w:val="1"/>
      <w:numFmt w:val="lowerLetter"/>
      <w:lvlText w:val="(%2)"/>
      <w:lvlJc w:val="left"/>
      <w:pPr>
        <w:tabs>
          <w:tab w:val="num" w:pos="1620"/>
        </w:tabs>
        <w:ind w:left="1620" w:hanging="810"/>
      </w:pPr>
      <w:rPr>
        <w:rFonts w:hint="default"/>
      </w:rPr>
    </w:lvl>
    <w:lvl w:ilvl="2" w:tplc="FFFFFFFF" w:tentative="1">
      <w:start w:val="1"/>
      <w:numFmt w:val="lowerRoman"/>
      <w:lvlText w:val="%3."/>
      <w:lvlJc w:val="right"/>
      <w:pPr>
        <w:tabs>
          <w:tab w:val="num" w:pos="1650"/>
        </w:tabs>
        <w:ind w:left="1650" w:hanging="420"/>
      </w:pPr>
    </w:lvl>
    <w:lvl w:ilvl="3" w:tplc="FFFFFFFF" w:tentative="1">
      <w:start w:val="1"/>
      <w:numFmt w:val="decimal"/>
      <w:lvlText w:val="%4."/>
      <w:lvlJc w:val="left"/>
      <w:pPr>
        <w:tabs>
          <w:tab w:val="num" w:pos="2070"/>
        </w:tabs>
        <w:ind w:left="2070" w:hanging="420"/>
      </w:pPr>
    </w:lvl>
    <w:lvl w:ilvl="4" w:tplc="FFFFFFFF" w:tentative="1">
      <w:start w:val="1"/>
      <w:numFmt w:val="lowerLetter"/>
      <w:lvlText w:val="%5)"/>
      <w:lvlJc w:val="left"/>
      <w:pPr>
        <w:tabs>
          <w:tab w:val="num" w:pos="2490"/>
        </w:tabs>
        <w:ind w:left="2490" w:hanging="420"/>
      </w:pPr>
    </w:lvl>
    <w:lvl w:ilvl="5" w:tplc="FFFFFFFF" w:tentative="1">
      <w:start w:val="1"/>
      <w:numFmt w:val="lowerRoman"/>
      <w:lvlText w:val="%6."/>
      <w:lvlJc w:val="right"/>
      <w:pPr>
        <w:tabs>
          <w:tab w:val="num" w:pos="2910"/>
        </w:tabs>
        <w:ind w:left="2910" w:hanging="420"/>
      </w:pPr>
    </w:lvl>
    <w:lvl w:ilvl="6" w:tplc="FFFFFFFF" w:tentative="1">
      <w:start w:val="1"/>
      <w:numFmt w:val="decimal"/>
      <w:lvlText w:val="%7."/>
      <w:lvlJc w:val="left"/>
      <w:pPr>
        <w:tabs>
          <w:tab w:val="num" w:pos="3330"/>
        </w:tabs>
        <w:ind w:left="3330" w:hanging="420"/>
      </w:pPr>
    </w:lvl>
    <w:lvl w:ilvl="7" w:tplc="FFFFFFFF" w:tentative="1">
      <w:start w:val="1"/>
      <w:numFmt w:val="lowerLetter"/>
      <w:lvlText w:val="%8)"/>
      <w:lvlJc w:val="left"/>
      <w:pPr>
        <w:tabs>
          <w:tab w:val="num" w:pos="3750"/>
        </w:tabs>
        <w:ind w:left="3750" w:hanging="420"/>
      </w:pPr>
    </w:lvl>
    <w:lvl w:ilvl="8" w:tplc="FFFFFFFF" w:tentative="1">
      <w:start w:val="1"/>
      <w:numFmt w:val="lowerRoman"/>
      <w:lvlText w:val="%9."/>
      <w:lvlJc w:val="right"/>
      <w:pPr>
        <w:tabs>
          <w:tab w:val="num" w:pos="4170"/>
        </w:tabs>
        <w:ind w:left="4170" w:hanging="420"/>
      </w:pPr>
    </w:lvl>
  </w:abstractNum>
  <w:abstractNum w:abstractNumId="17">
    <w:nsid w:val="26485C59"/>
    <w:multiLevelType w:val="hybridMultilevel"/>
    <w:tmpl w:val="F524F1DC"/>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8">
    <w:nsid w:val="312C1066"/>
    <w:multiLevelType w:val="hybridMultilevel"/>
    <w:tmpl w:val="B6429146"/>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9">
    <w:nsid w:val="33103C94"/>
    <w:multiLevelType w:val="hybridMultilevel"/>
    <w:tmpl w:val="5218D3F4"/>
    <w:lvl w:ilvl="0" w:tplc="09647E9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371D0FB7"/>
    <w:multiLevelType w:val="hybridMultilevel"/>
    <w:tmpl w:val="039CFA0C"/>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1">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22">
    <w:nsid w:val="43B52FE7"/>
    <w:multiLevelType w:val="hybridMultilevel"/>
    <w:tmpl w:val="0124413C"/>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3">
    <w:nsid w:val="44A23624"/>
    <w:multiLevelType w:val="hybridMultilevel"/>
    <w:tmpl w:val="8AA09BEA"/>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4">
    <w:nsid w:val="498654FE"/>
    <w:multiLevelType w:val="hybridMultilevel"/>
    <w:tmpl w:val="B3A093BC"/>
    <w:lvl w:ilvl="0" w:tplc="FFFFFFFF">
      <w:start w:val="1"/>
      <w:numFmt w:val="lowerLetter"/>
      <w:lvlText w:val="(%1)"/>
      <w:lvlJc w:val="right"/>
      <w:pPr>
        <w:tabs>
          <w:tab w:val="num" w:pos="1531"/>
        </w:tabs>
        <w:ind w:left="1531" w:hanging="227"/>
      </w:pPr>
      <w:rPr>
        <w:rFonts w:ascii="Times New Roman" w:hAnsi="Times New Roman"/>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49B97736"/>
    <w:multiLevelType w:val="hybridMultilevel"/>
    <w:tmpl w:val="5EF43726"/>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6">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27">
    <w:nsid w:val="52512A6D"/>
    <w:multiLevelType w:val="hybridMultilevel"/>
    <w:tmpl w:val="A556643E"/>
    <w:lvl w:ilvl="0" w:tplc="09647E9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53180D73"/>
    <w:multiLevelType w:val="hybridMultilevel"/>
    <w:tmpl w:val="54940D02"/>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9">
    <w:nsid w:val="534C5828"/>
    <w:multiLevelType w:val="hybridMultilevel"/>
    <w:tmpl w:val="EFC4DA9A"/>
    <w:lvl w:ilvl="0" w:tplc="FFFFFFFF">
      <w:start w:val="1"/>
      <w:numFmt w:val="lowerLetter"/>
      <w:lvlText w:val="(%1)"/>
      <w:lvlJc w:val="left"/>
      <w:pPr>
        <w:tabs>
          <w:tab w:val="num" w:pos="1155"/>
        </w:tabs>
        <w:ind w:left="1155" w:hanging="435"/>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558357AB"/>
    <w:multiLevelType w:val="hybridMultilevel"/>
    <w:tmpl w:val="E9ECA262"/>
    <w:lvl w:ilvl="0" w:tplc="FFFFFFFF">
      <w:start w:val="1"/>
      <w:numFmt w:val="decimal"/>
      <w:lvlText w:val="%1．"/>
      <w:lvlJc w:val="left"/>
      <w:pPr>
        <w:tabs>
          <w:tab w:val="num" w:pos="1005"/>
        </w:tabs>
        <w:ind w:left="1005" w:hanging="720"/>
      </w:pPr>
      <w:rPr>
        <w:rFonts w:hint="default"/>
      </w:rPr>
    </w:lvl>
    <w:lvl w:ilvl="1" w:tplc="FFFFFFFF">
      <w:start w:val="1"/>
      <w:numFmt w:val="lowerLetter"/>
      <w:lvlText w:val="(%2)"/>
      <w:lvlJc w:val="left"/>
      <w:pPr>
        <w:tabs>
          <w:tab w:val="num" w:pos="1125"/>
        </w:tabs>
        <w:ind w:left="1125" w:hanging="420"/>
      </w:pPr>
      <w:rPr>
        <w:rFonts w:hint="default"/>
        <w:color w:val="auto"/>
      </w:rPr>
    </w:lvl>
    <w:lvl w:ilvl="2" w:tplc="FFFFFFFF" w:tentative="1">
      <w:start w:val="1"/>
      <w:numFmt w:val="lowerRoman"/>
      <w:lvlText w:val="%3."/>
      <w:lvlJc w:val="right"/>
      <w:pPr>
        <w:tabs>
          <w:tab w:val="num" w:pos="1545"/>
        </w:tabs>
        <w:ind w:left="1545" w:hanging="420"/>
      </w:pPr>
    </w:lvl>
    <w:lvl w:ilvl="3" w:tplc="FFFFFFFF" w:tentative="1">
      <w:start w:val="1"/>
      <w:numFmt w:val="decimal"/>
      <w:lvlText w:val="%4."/>
      <w:lvlJc w:val="left"/>
      <w:pPr>
        <w:tabs>
          <w:tab w:val="num" w:pos="1965"/>
        </w:tabs>
        <w:ind w:left="1965" w:hanging="420"/>
      </w:pPr>
    </w:lvl>
    <w:lvl w:ilvl="4" w:tplc="FFFFFFFF" w:tentative="1">
      <w:start w:val="1"/>
      <w:numFmt w:val="lowerLetter"/>
      <w:lvlText w:val="%5)"/>
      <w:lvlJc w:val="left"/>
      <w:pPr>
        <w:tabs>
          <w:tab w:val="num" w:pos="2385"/>
        </w:tabs>
        <w:ind w:left="2385" w:hanging="420"/>
      </w:pPr>
    </w:lvl>
    <w:lvl w:ilvl="5" w:tplc="FFFFFFFF" w:tentative="1">
      <w:start w:val="1"/>
      <w:numFmt w:val="lowerRoman"/>
      <w:lvlText w:val="%6."/>
      <w:lvlJc w:val="right"/>
      <w:pPr>
        <w:tabs>
          <w:tab w:val="num" w:pos="2805"/>
        </w:tabs>
        <w:ind w:left="2805" w:hanging="420"/>
      </w:pPr>
    </w:lvl>
    <w:lvl w:ilvl="6" w:tplc="FFFFFFFF" w:tentative="1">
      <w:start w:val="1"/>
      <w:numFmt w:val="decimal"/>
      <w:lvlText w:val="%7."/>
      <w:lvlJc w:val="left"/>
      <w:pPr>
        <w:tabs>
          <w:tab w:val="num" w:pos="3225"/>
        </w:tabs>
        <w:ind w:left="3225" w:hanging="420"/>
      </w:pPr>
    </w:lvl>
    <w:lvl w:ilvl="7" w:tplc="FFFFFFFF" w:tentative="1">
      <w:start w:val="1"/>
      <w:numFmt w:val="lowerLetter"/>
      <w:lvlText w:val="%8)"/>
      <w:lvlJc w:val="left"/>
      <w:pPr>
        <w:tabs>
          <w:tab w:val="num" w:pos="3645"/>
        </w:tabs>
        <w:ind w:left="3645" w:hanging="420"/>
      </w:pPr>
    </w:lvl>
    <w:lvl w:ilvl="8" w:tplc="FFFFFFFF" w:tentative="1">
      <w:start w:val="1"/>
      <w:numFmt w:val="lowerRoman"/>
      <w:lvlText w:val="%9."/>
      <w:lvlJc w:val="right"/>
      <w:pPr>
        <w:tabs>
          <w:tab w:val="num" w:pos="4065"/>
        </w:tabs>
        <w:ind w:left="4065" w:hanging="420"/>
      </w:pPr>
    </w:lvl>
  </w:abstractNum>
  <w:abstractNum w:abstractNumId="31">
    <w:nsid w:val="5795387F"/>
    <w:multiLevelType w:val="hybridMultilevel"/>
    <w:tmpl w:val="59A80EAA"/>
    <w:lvl w:ilvl="0" w:tplc="09647E9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58156DB9"/>
    <w:multiLevelType w:val="hybridMultilevel"/>
    <w:tmpl w:val="299EF226"/>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3">
    <w:nsid w:val="59AB3FE8"/>
    <w:multiLevelType w:val="hybridMultilevel"/>
    <w:tmpl w:val="EDF6AF5E"/>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E724FC38">
      <w:start w:val="1"/>
      <w:numFmt w:val="lowerLetter"/>
      <w:lvlRestart w:val="0"/>
      <w:lvlText w:val="(%2)"/>
      <w:lvlJc w:val="right"/>
      <w:pPr>
        <w:tabs>
          <w:tab w:val="num" w:pos="1217"/>
        </w:tabs>
        <w:ind w:left="1217" w:hanging="227"/>
      </w:pPr>
      <w:rPr>
        <w:rFonts w:ascii="Times New Roman" w:hAnsi="Times New Roman"/>
        <w:b w:val="0"/>
        <w:i w:val="0"/>
        <w:sz w:val="24"/>
      </w:r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4">
    <w:nsid w:val="5C8B0E25"/>
    <w:multiLevelType w:val="hybridMultilevel"/>
    <w:tmpl w:val="B606810A"/>
    <w:lvl w:ilvl="0" w:tplc="09647E9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5EAA576B"/>
    <w:multiLevelType w:val="hybridMultilevel"/>
    <w:tmpl w:val="D186A462"/>
    <w:lvl w:ilvl="0" w:tplc="E724FC3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62837763"/>
    <w:multiLevelType w:val="hybridMultilevel"/>
    <w:tmpl w:val="DEC8563C"/>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7">
    <w:nsid w:val="63A33A2A"/>
    <w:multiLevelType w:val="hybridMultilevel"/>
    <w:tmpl w:val="5EE4B306"/>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8">
    <w:nsid w:val="64821FB3"/>
    <w:multiLevelType w:val="hybridMultilevel"/>
    <w:tmpl w:val="94644E54"/>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9">
    <w:nsid w:val="68C64291"/>
    <w:multiLevelType w:val="hybridMultilevel"/>
    <w:tmpl w:val="E21AC4F4"/>
    <w:lvl w:ilvl="0" w:tplc="FFFFFFFF">
      <w:start w:val="1"/>
      <w:numFmt w:val="lowerLetter"/>
      <w:lvlText w:val="(%1)"/>
      <w:lvlJc w:val="right"/>
      <w:pPr>
        <w:tabs>
          <w:tab w:val="num" w:pos="1531"/>
        </w:tabs>
        <w:ind w:left="1531" w:hanging="227"/>
      </w:pPr>
      <w:rPr>
        <w:rFonts w:ascii="Times New Roman" w:hAnsi="Times New Roman"/>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6C443EF8"/>
    <w:multiLevelType w:val="hybridMultilevel"/>
    <w:tmpl w:val="E8161CE4"/>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1">
    <w:nsid w:val="6C7879D4"/>
    <w:multiLevelType w:val="hybridMultilevel"/>
    <w:tmpl w:val="3510F24C"/>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2">
    <w:nsid w:val="6E712D6E"/>
    <w:multiLevelType w:val="hybridMultilevel"/>
    <w:tmpl w:val="234ECF4A"/>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3">
    <w:nsid w:val="72085AB0"/>
    <w:multiLevelType w:val="hybridMultilevel"/>
    <w:tmpl w:val="B5EEEBFC"/>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4">
    <w:nsid w:val="7AC1138F"/>
    <w:multiLevelType w:val="hybridMultilevel"/>
    <w:tmpl w:val="152203B2"/>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5">
    <w:nsid w:val="7BAC3F0A"/>
    <w:multiLevelType w:val="hybridMultilevel"/>
    <w:tmpl w:val="4364D792"/>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num w:numId="1">
    <w:abstractNumId w:val="26"/>
  </w:num>
  <w:num w:numId="2">
    <w:abstractNumId w:val="21"/>
  </w:num>
  <w:num w:numId="3">
    <w:abstractNumId w:val="16"/>
  </w:num>
  <w:num w:numId="4">
    <w:abstractNumId w:val="30"/>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7"/>
  </w:num>
  <w:num w:numId="15">
    <w:abstractNumId w:val="36"/>
  </w:num>
  <w:num w:numId="16">
    <w:abstractNumId w:val="35"/>
  </w:num>
  <w:num w:numId="17">
    <w:abstractNumId w:val="38"/>
  </w:num>
  <w:num w:numId="18">
    <w:abstractNumId w:val="20"/>
  </w:num>
  <w:num w:numId="19">
    <w:abstractNumId w:val="6"/>
  </w:num>
  <w:num w:numId="20">
    <w:abstractNumId w:val="5"/>
  </w:num>
  <w:num w:numId="21">
    <w:abstractNumId w:val="44"/>
  </w:num>
  <w:num w:numId="22">
    <w:abstractNumId w:val="14"/>
  </w:num>
  <w:num w:numId="23">
    <w:abstractNumId w:val="43"/>
  </w:num>
  <w:num w:numId="24">
    <w:abstractNumId w:val="42"/>
  </w:num>
  <w:num w:numId="25">
    <w:abstractNumId w:val="1"/>
  </w:num>
  <w:num w:numId="26">
    <w:abstractNumId w:val="3"/>
  </w:num>
  <w:num w:numId="27">
    <w:abstractNumId w:val="22"/>
  </w:num>
  <w:num w:numId="28">
    <w:abstractNumId w:val="2"/>
  </w:num>
  <w:num w:numId="29">
    <w:abstractNumId w:val="23"/>
  </w:num>
  <w:num w:numId="30">
    <w:abstractNumId w:val="41"/>
  </w:num>
  <w:num w:numId="31">
    <w:abstractNumId w:val="45"/>
  </w:num>
  <w:num w:numId="32">
    <w:abstractNumId w:val="37"/>
  </w:num>
  <w:num w:numId="33">
    <w:abstractNumId w:val="18"/>
  </w:num>
  <w:num w:numId="34">
    <w:abstractNumId w:val="32"/>
  </w:num>
  <w:num w:numId="35">
    <w:abstractNumId w:val="17"/>
  </w:num>
  <w:num w:numId="36">
    <w:abstractNumId w:val="12"/>
  </w:num>
  <w:num w:numId="37">
    <w:abstractNumId w:val="25"/>
  </w:num>
  <w:num w:numId="38">
    <w:abstractNumId w:val="8"/>
  </w:num>
  <w:num w:numId="39">
    <w:abstractNumId w:val="40"/>
  </w:num>
  <w:num w:numId="40">
    <w:abstractNumId w:val="28"/>
  </w:num>
  <w:num w:numId="41">
    <w:abstractNumId w:val="15"/>
  </w:num>
  <w:num w:numId="42">
    <w:abstractNumId w:val="9"/>
  </w:num>
  <w:num w:numId="43">
    <w:abstractNumId w:val="34"/>
  </w:num>
  <w:num w:numId="44">
    <w:abstractNumId w:val="19"/>
  </w:num>
  <w:num w:numId="45">
    <w:abstractNumId w:val="31"/>
  </w:num>
  <w:num w:numId="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customStyle="1" w:styleId="a4">
    <w:name w:val="横眉"/>
    <w:basedOn w:val="Header"/>
    <w:autoRedefine/>
    <w:pPr>
      <w:tabs>
        <w:tab w:val="left" w:pos="1202"/>
      </w:tabs>
      <w:snapToGrid/>
      <w:spacing w:line="160" w:lineRule="exact"/>
    </w:pPr>
    <w:rPr>
      <w:snapToGrid/>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1883</Words>
  <Characters>10735</Characters>
  <Application>Microsoft Office Word</Application>
  <DocSecurity>4</DocSecurity>
  <Lines>89</Lines>
  <Paragraphs>21</Paragraphs>
  <ScaleCrop>false</ScaleCrop>
  <HeadingPairs>
    <vt:vector size="4" baseType="variant">
      <vt:variant>
        <vt:lpstr>题目</vt:lpstr>
      </vt:variant>
      <vt:variant>
        <vt:i4>1</vt:i4>
      </vt:variant>
      <vt:variant>
        <vt:lpstr>标题</vt:lpstr>
      </vt:variant>
      <vt:variant>
        <vt:i4>13</vt:i4>
      </vt:variant>
    </vt:vector>
  </HeadingPairs>
  <TitlesOfParts>
    <vt:vector size="14" baseType="lpstr">
      <vt:lpstr>联合国</vt:lpstr>
      <vt:lpstr>    </vt:lpstr>
      <vt:lpstr>    缔约国根据《儿童权利公约》关于买卖儿童、儿童卖淫和 儿童色情制品问题的任择议定书第12条第1款 提交初次报告的修订准则</vt:lpstr>
      <vt:lpstr>        委员会第四十三届会议于2006年9月29日通过</vt:lpstr>
      <vt:lpstr>    导  言</vt:lpstr>
      <vt:lpstr>    一、一般准则</vt:lpstr>
      <vt:lpstr>    二、数  据</vt:lpstr>
      <vt:lpstr>    三、一般执行措施</vt:lpstr>
      <vt:lpstr>    四、预   防 (第9条第1、2款)</vt:lpstr>
      <vt:lpstr>    五、禁止及有关事项 (第3条；第4 条第2、3款；第5条；第6条和第7条)</vt:lpstr>
      <vt:lpstr>    六、保护受害人的权利  (第8条和第9条第3、4款)</vt:lpstr>
      <vt:lpstr>    七、国际援助和合作   (第10条)</vt:lpstr>
      <vt:lpstr>    八、其他法律规定     (第11条)</vt:lpstr>
      <vt:lpstr>    附   件</vt:lpstr>
    </vt:vector>
  </TitlesOfParts>
  <Company>Chinese Unit - GE</Company>
  <LinksUpToDate>false</LinksUpToDate>
  <CharactersWithSpaces>13183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SI</dc:creator>
  <cp:keywords/>
  <dc:description>儿童权利公约_x000d_
</dc:description>
  <cp:lastModifiedBy>MLU</cp:lastModifiedBy>
  <cp:revision>2</cp:revision>
  <cp:lastPrinted>2006-12-19T06:54:00Z</cp:lastPrinted>
  <dcterms:created xsi:type="dcterms:W3CDTF">2006-12-19T06:56:00Z</dcterms:created>
  <dcterms:modified xsi:type="dcterms:W3CDTF">2006-12-19T06:56:00Z</dcterms:modified>
  <cp:category>CRC</cp:category>
</cp:coreProperties>
</file>