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36D" w:rsidRDefault="00DB336D" w:rsidP="00DB336D">
      <w:pPr>
        <w:pStyle w:val="Release"/>
        <w:spacing w:line="60" w:lineRule="exact"/>
        <w:rPr>
          <w:sz w:val="6"/>
        </w:rPr>
        <w:sectPr w:rsidR="00DB336D" w:rsidSect="00DB336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DB336D">
      <w:pPr>
        <w:pStyle w:val="Release"/>
        <w:spacing w:line="60" w:lineRule="exact"/>
        <w:rPr>
          <w:sz w:val="6"/>
        </w:rPr>
      </w:pPr>
    </w:p>
    <w:p w:rsidR="00D92D1C" w:rsidRPr="00D92D1C" w:rsidRDefault="00D92D1C" w:rsidP="00D92D1C">
      <w:pPr>
        <w:pStyle w:val="SingleTxt"/>
        <w:spacing w:after="60"/>
        <w:ind w:left="0"/>
        <w:rPr>
          <w:rFonts w:ascii="SimHei" w:eastAsia="SimHei" w:hAnsi="SimHei" w:hint="eastAsia"/>
          <w:sz w:val="24"/>
          <w:szCs w:val="24"/>
        </w:rPr>
      </w:pPr>
      <w:r w:rsidRPr="00D92D1C">
        <w:rPr>
          <w:rFonts w:ascii="SimHei" w:eastAsia="SimHei" w:hAnsi="SimHei" w:hint="eastAsia"/>
          <w:sz w:val="24"/>
          <w:szCs w:val="24"/>
        </w:rPr>
        <w:t>消除对妇女歧视委员会</w:t>
      </w:r>
    </w:p>
    <w:p w:rsidR="00D92D1C" w:rsidRPr="00D92D1C" w:rsidRDefault="00D92D1C" w:rsidP="00D92D1C">
      <w:pPr>
        <w:pStyle w:val="SingleTxt"/>
        <w:spacing w:after="60"/>
        <w:ind w:left="0"/>
        <w:rPr>
          <w:rFonts w:ascii="SimHei" w:eastAsia="SimHei" w:hAnsi="SimHei" w:hint="eastAsia"/>
        </w:rPr>
      </w:pPr>
      <w:r w:rsidRPr="00D92D1C">
        <w:rPr>
          <w:rFonts w:ascii="SimHei" w:eastAsia="SimHei" w:hAnsi="SimHei" w:hint="eastAsia"/>
        </w:rPr>
        <w:t>第六十二届会议</w:t>
      </w:r>
    </w:p>
    <w:p w:rsidR="00D92D1C" w:rsidRDefault="00D92D1C" w:rsidP="00D92D1C">
      <w:pPr>
        <w:pStyle w:val="SingleTxt"/>
        <w:spacing w:after="60"/>
        <w:ind w:left="0"/>
        <w:rPr>
          <w:rFonts w:hint="eastAsia"/>
        </w:rPr>
      </w:pPr>
      <w:r>
        <w:rPr>
          <w:rFonts w:hint="eastAsia"/>
        </w:rPr>
        <w:t>2015</w:t>
      </w:r>
      <w:r>
        <w:rPr>
          <w:rFonts w:hint="eastAsia"/>
        </w:rPr>
        <w:t>年</w:t>
      </w:r>
      <w:r>
        <w:rPr>
          <w:rFonts w:hint="eastAsia"/>
        </w:rPr>
        <w:t>10</w:t>
      </w:r>
      <w:r>
        <w:rPr>
          <w:rFonts w:hint="eastAsia"/>
        </w:rPr>
        <w:t>月</w:t>
      </w:r>
      <w:r>
        <w:rPr>
          <w:rFonts w:hint="eastAsia"/>
        </w:rPr>
        <w:t>26</w:t>
      </w:r>
      <w:r>
        <w:rPr>
          <w:rFonts w:hint="eastAsia"/>
        </w:rPr>
        <w:t>日至</w:t>
      </w:r>
      <w:r>
        <w:rPr>
          <w:rFonts w:hint="eastAsia"/>
        </w:rPr>
        <w:t>11</w:t>
      </w:r>
      <w:r>
        <w:rPr>
          <w:rFonts w:hint="eastAsia"/>
        </w:rPr>
        <w:t>月</w:t>
      </w:r>
      <w:r>
        <w:rPr>
          <w:rFonts w:hint="eastAsia"/>
        </w:rPr>
        <w:t>20</w:t>
      </w:r>
      <w:r>
        <w:rPr>
          <w:rFonts w:hint="eastAsia"/>
        </w:rPr>
        <w:t>日</w:t>
      </w:r>
    </w:p>
    <w:p w:rsidR="00D92D1C" w:rsidRDefault="00D92D1C" w:rsidP="00D92D1C">
      <w:pPr>
        <w:pStyle w:val="SingleTxt"/>
        <w:spacing w:after="60"/>
        <w:ind w:left="0"/>
        <w:rPr>
          <w:rFonts w:hint="eastAsia"/>
        </w:rPr>
      </w:pPr>
      <w:r>
        <w:rPr>
          <w:rFonts w:hint="eastAsia"/>
        </w:rPr>
        <w:t>临时议程</w:t>
      </w:r>
      <w:r w:rsidRPr="00D92D1C">
        <w:rPr>
          <w:rFonts w:hint="eastAsia"/>
          <w:vertAlign w:val="superscript"/>
        </w:rPr>
        <w:t>*</w:t>
      </w:r>
      <w:r>
        <w:t xml:space="preserve"> </w:t>
      </w:r>
      <w:r>
        <w:rPr>
          <w:rFonts w:hint="eastAsia"/>
        </w:rPr>
        <w:t>项目</w:t>
      </w:r>
      <w:r>
        <w:rPr>
          <w:rFonts w:hint="eastAsia"/>
        </w:rPr>
        <w:t>4</w:t>
      </w:r>
    </w:p>
    <w:p w:rsidR="00D92D1C" w:rsidRPr="00D92D1C" w:rsidRDefault="00D92D1C" w:rsidP="00D92D1C">
      <w:pPr>
        <w:pStyle w:val="SingleTxt"/>
        <w:spacing w:after="360"/>
        <w:ind w:left="0"/>
        <w:rPr>
          <w:rFonts w:ascii="SimHei" w:eastAsia="SimHei" w:hAnsi="SimHei" w:hint="eastAsia"/>
        </w:rPr>
      </w:pPr>
      <w:r w:rsidRPr="00D92D1C">
        <w:rPr>
          <w:rFonts w:ascii="SimHei" w:eastAsia="SimHei" w:hAnsi="SimHei" w:hint="eastAsia"/>
        </w:rPr>
        <w:t>审议缔约国根据《消除对妇女一切形式</w:t>
      </w:r>
      <w:r>
        <w:rPr>
          <w:rFonts w:ascii="SimHei" w:eastAsia="SimHei" w:hAnsi="SimHei"/>
        </w:rPr>
        <w:br/>
      </w:r>
      <w:r w:rsidRPr="00D92D1C">
        <w:rPr>
          <w:rFonts w:ascii="SimHei" w:eastAsia="SimHei" w:hAnsi="SimHei" w:hint="eastAsia"/>
        </w:rPr>
        <w:t>歧视公约》第18条提交的报告</w:t>
      </w:r>
    </w:p>
    <w:p w:rsidR="00D92D1C" w:rsidRDefault="00D92D1C" w:rsidP="00D92D1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与东帝汶第二和第三次合并定期报告有关的议题和问题清单</w:t>
      </w:r>
    </w:p>
    <w:p w:rsidR="00D92D1C" w:rsidRDefault="00D92D1C" w:rsidP="006103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Pr>
          <w:rFonts w:hint="eastAsia"/>
        </w:rPr>
        <w:tab/>
        <w:t>宪法、法律和制度框架</w:t>
      </w:r>
    </w:p>
    <w:p w:rsidR="00D92D1C" w:rsidRDefault="00D92D1C" w:rsidP="00D92D1C">
      <w:pPr>
        <w:pStyle w:val="SingleTxt"/>
        <w:rPr>
          <w:rFonts w:hint="eastAsia"/>
        </w:rPr>
      </w:pPr>
      <w:r>
        <w:rPr>
          <w:rFonts w:hint="eastAsia"/>
        </w:rPr>
        <w:t>1.</w:t>
      </w:r>
      <w:r>
        <w:rPr>
          <w:rFonts w:hint="eastAsia"/>
        </w:rPr>
        <w:tab/>
      </w:r>
      <w:r>
        <w:rPr>
          <w:rFonts w:hint="eastAsia"/>
        </w:rPr>
        <w:t>请提供相关信息，说明在立法和政策框架内通过反歧视标准采取了哪些措施，该标准界定并保护针对妇女的直接和间接歧视行为。另请提供最新信息，介绍在通过《传统司法法》、《仲裁监管法》以及《性别平等法》方面所取得的进展。</w:t>
      </w:r>
    </w:p>
    <w:p w:rsidR="00D92D1C" w:rsidRDefault="00D92D1C" w:rsidP="00D92D1C">
      <w:pPr>
        <w:pStyle w:val="SingleTxt"/>
        <w:rPr>
          <w:rFonts w:hint="eastAsia"/>
        </w:rPr>
      </w:pPr>
      <w:r>
        <w:rPr>
          <w:rFonts w:hint="eastAsia"/>
        </w:rPr>
        <w:t>2.</w:t>
      </w:r>
      <w:r>
        <w:rPr>
          <w:rFonts w:hint="eastAsia"/>
        </w:rPr>
        <w:tab/>
      </w:r>
      <w:r>
        <w:rPr>
          <w:rFonts w:hint="eastAsia"/>
        </w:rPr>
        <w:t>请提供相关信息，说明缔约国根据报告中所提供的信息</w:t>
      </w:r>
      <w:r w:rsidR="00610312">
        <w:rPr>
          <w:rFonts w:hint="eastAsia"/>
        </w:rPr>
        <w:t>(</w:t>
      </w:r>
      <w:hyperlink r:id="rId14" w:history="1">
        <w:r w:rsidRPr="00610312">
          <w:rPr>
            <w:rStyle w:val="Hyperlink"/>
            <w:rFonts w:hint="eastAsia"/>
          </w:rPr>
          <w:t>CEDAW/C/TLS/2-3</w:t>
        </w:r>
      </w:hyperlink>
      <w:r>
        <w:rPr>
          <w:rFonts w:hint="eastAsia"/>
        </w:rPr>
        <w:t>，第</w:t>
      </w:r>
      <w:r>
        <w:rPr>
          <w:rFonts w:hint="eastAsia"/>
        </w:rPr>
        <w:t>60</w:t>
      </w:r>
      <w:r>
        <w:rPr>
          <w:rFonts w:hint="eastAsia"/>
        </w:rPr>
        <w:t>段</w:t>
      </w:r>
      <w:r w:rsidR="00610312">
        <w:rPr>
          <w:rFonts w:hint="eastAsia"/>
        </w:rPr>
        <w:t>)</w:t>
      </w:r>
      <w:r>
        <w:rPr>
          <w:rStyle w:val="FootnoteReference"/>
        </w:rPr>
        <w:footnoteReference w:id="1"/>
      </w:r>
      <w:r>
        <w:rPr>
          <w:rFonts w:hint="eastAsia"/>
        </w:rPr>
        <w:t xml:space="preserve"> </w:t>
      </w:r>
      <w:r>
        <w:rPr>
          <w:rFonts w:hint="eastAsia"/>
        </w:rPr>
        <w:t>为司法机构开展关于《公约》及其《任择议定书》的定期培训、落实委员会的一般性建议以及履行缔约国的义务所采取的步骤。另请提供相关信息，说明缔约国如何加强妇女，特别是农村妇女、残疾妇女和老年妇女依据《公约》所享有的权利，包括加强对投诉程序的认识和了解，以及对国家相关立法的认识和了解。还请提供关于法院援引《公约》条款的案件信息。</w:t>
      </w:r>
    </w:p>
    <w:p w:rsidR="00D92D1C" w:rsidRDefault="00D92D1C" w:rsidP="006103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sidR="00610312">
        <w:tab/>
      </w:r>
      <w:r>
        <w:rPr>
          <w:rFonts w:hint="eastAsia"/>
        </w:rPr>
        <w:t>司法救助</w:t>
      </w:r>
    </w:p>
    <w:p w:rsidR="00D92D1C" w:rsidRDefault="00D92D1C" w:rsidP="00B02A50">
      <w:pPr>
        <w:pStyle w:val="SingleTxt"/>
        <w:spacing w:after="120"/>
        <w:rPr>
          <w:rFonts w:hint="eastAsia"/>
        </w:rPr>
      </w:pPr>
      <w:r>
        <w:rPr>
          <w:rFonts w:hint="eastAsia"/>
        </w:rPr>
        <w:t>3.</w:t>
      </w:r>
      <w:r>
        <w:rPr>
          <w:rFonts w:hint="eastAsia"/>
        </w:rPr>
        <w:tab/>
      </w:r>
      <w:r>
        <w:rPr>
          <w:rFonts w:hint="eastAsia"/>
        </w:rPr>
        <w:t>请提供关于《证人保护法》</w:t>
      </w:r>
      <w:r w:rsidR="00610312">
        <w:rPr>
          <w:rFonts w:hint="eastAsia"/>
        </w:rPr>
        <w:t>(</w:t>
      </w:r>
      <w:r>
        <w:rPr>
          <w:rFonts w:hint="eastAsia"/>
        </w:rPr>
        <w:t>第</w:t>
      </w:r>
      <w:r>
        <w:rPr>
          <w:rFonts w:hint="eastAsia"/>
        </w:rPr>
        <w:t>2/2009</w:t>
      </w:r>
      <w:r>
        <w:rPr>
          <w:rFonts w:hint="eastAsia"/>
        </w:rPr>
        <w:t>号法律</w:t>
      </w:r>
      <w:r w:rsidR="00610312">
        <w:rPr>
          <w:rFonts w:hint="eastAsia"/>
        </w:rPr>
        <w:t>)</w:t>
      </w:r>
      <w:r>
        <w:rPr>
          <w:rFonts w:hint="eastAsia"/>
        </w:rPr>
        <w:t>和涉及提供嫁妆等有害习俗的习惯法草案实施情况，以及关于利用传统司法系统解决家庭暴力案件对妇女权利的影响</w:t>
      </w:r>
      <w:r w:rsidR="00610312">
        <w:rPr>
          <w:rFonts w:hint="eastAsia"/>
        </w:rPr>
        <w:t>(</w:t>
      </w:r>
      <w:r>
        <w:rPr>
          <w:rFonts w:hint="eastAsia"/>
        </w:rPr>
        <w:t>第</w:t>
      </w:r>
      <w:r>
        <w:rPr>
          <w:rFonts w:hint="eastAsia"/>
        </w:rPr>
        <w:t>127</w:t>
      </w:r>
      <w:r>
        <w:rPr>
          <w:rFonts w:hint="eastAsia"/>
        </w:rPr>
        <w:t>段</w:t>
      </w:r>
      <w:r w:rsidR="00610312">
        <w:rPr>
          <w:rFonts w:hint="eastAsia"/>
        </w:rPr>
        <w:t>)</w:t>
      </w:r>
      <w:r>
        <w:rPr>
          <w:rFonts w:hint="eastAsia"/>
        </w:rPr>
        <w:t>的最新信息。请说明，缔约国按照委员会早前的建议</w:t>
      </w:r>
      <w:r w:rsidR="00610312">
        <w:rPr>
          <w:rFonts w:hint="eastAsia"/>
        </w:rPr>
        <w:t>(</w:t>
      </w:r>
      <w:hyperlink r:id="rId15" w:history="1">
        <w:r w:rsidRPr="00610312">
          <w:rPr>
            <w:rStyle w:val="Hyperlink"/>
            <w:rFonts w:hint="eastAsia"/>
          </w:rPr>
          <w:t>CEDAW/C/</w:t>
        </w:r>
        <w:r w:rsidR="00610312">
          <w:rPr>
            <w:rStyle w:val="Hyperlink"/>
          </w:rPr>
          <w:t xml:space="preserve"> </w:t>
        </w:r>
        <w:r w:rsidRPr="00610312">
          <w:rPr>
            <w:rStyle w:val="Hyperlink"/>
            <w:rFonts w:hint="eastAsia"/>
          </w:rPr>
          <w:t>TLS/CO/1</w:t>
        </w:r>
      </w:hyperlink>
      <w:r>
        <w:rPr>
          <w:rFonts w:hint="eastAsia"/>
        </w:rPr>
        <w:t>，第</w:t>
      </w:r>
      <w:r>
        <w:rPr>
          <w:rFonts w:hint="eastAsia"/>
        </w:rPr>
        <w:t>18</w:t>
      </w:r>
      <w:r>
        <w:rPr>
          <w:rFonts w:hint="eastAsia"/>
        </w:rPr>
        <w:t>段</w:t>
      </w:r>
      <w:r w:rsidR="00610312">
        <w:rPr>
          <w:rFonts w:hint="eastAsia"/>
        </w:rPr>
        <w:t>)</w:t>
      </w:r>
      <w:r>
        <w:rPr>
          <w:rFonts w:hint="eastAsia"/>
        </w:rPr>
        <w:t>，为提起性别歧视申诉所确立的明确程序，为此类歧视行为得到适当制裁，以及为确保权利遭到侵害的妇女能获得有效补救所采取的步骤。这些报告指出，人权和司法监察员办公室对歧视申诉进行了调查</w:t>
      </w:r>
      <w:r w:rsidR="00610312">
        <w:rPr>
          <w:rFonts w:hint="eastAsia"/>
        </w:rPr>
        <w:t>(</w:t>
      </w:r>
      <w:r>
        <w:rPr>
          <w:rFonts w:hint="eastAsia"/>
        </w:rPr>
        <w:t>第</w:t>
      </w:r>
      <w:r>
        <w:rPr>
          <w:rFonts w:hint="eastAsia"/>
        </w:rPr>
        <w:t>5</w:t>
      </w:r>
      <w:r>
        <w:rPr>
          <w:rFonts w:hint="eastAsia"/>
        </w:rPr>
        <w:t>段</w:t>
      </w:r>
      <w:r w:rsidR="00610312">
        <w:rPr>
          <w:rFonts w:hint="eastAsia"/>
        </w:rPr>
        <w:t>)</w:t>
      </w:r>
      <w:r>
        <w:rPr>
          <w:rFonts w:hint="eastAsia"/>
        </w:rPr>
        <w:t>。请提供关于向该办公室划拨财政和人力资源的信息。</w:t>
      </w:r>
    </w:p>
    <w:p w:rsidR="00D92D1C" w:rsidRDefault="00D92D1C" w:rsidP="00B02A50">
      <w:pPr>
        <w:pStyle w:val="SingleTxt"/>
        <w:spacing w:after="120"/>
        <w:rPr>
          <w:rFonts w:hint="eastAsia"/>
        </w:rPr>
      </w:pPr>
      <w:r>
        <w:rPr>
          <w:rFonts w:hint="eastAsia"/>
        </w:rPr>
        <w:t>4.</w:t>
      </w:r>
      <w:r>
        <w:rPr>
          <w:rFonts w:hint="eastAsia"/>
        </w:rPr>
        <w:tab/>
      </w:r>
      <w:r>
        <w:rPr>
          <w:rFonts w:hint="eastAsia"/>
        </w:rPr>
        <w:t>根据委员会收到的信息，妇女获得司法救助的障碍包括地区法院数量少、对家庭暴力犯罪人从轻判决、为证人提供的保护有限、获得法律援助的机会有限、以及国际法官和检察官在第</w:t>
      </w:r>
      <w:r>
        <w:rPr>
          <w:rFonts w:hint="eastAsia"/>
        </w:rPr>
        <w:t>11/2014</w:t>
      </w:r>
      <w:r>
        <w:rPr>
          <w:rFonts w:hint="eastAsia"/>
        </w:rPr>
        <w:t>号议会决议和第</w:t>
      </w:r>
      <w:r>
        <w:rPr>
          <w:rFonts w:hint="eastAsia"/>
        </w:rPr>
        <w:t>29/2014</w:t>
      </w:r>
      <w:r>
        <w:rPr>
          <w:rFonts w:hint="eastAsia"/>
        </w:rPr>
        <w:t>号及</w:t>
      </w:r>
      <w:r>
        <w:rPr>
          <w:rFonts w:hint="eastAsia"/>
        </w:rPr>
        <w:t>32/2014</w:t>
      </w:r>
      <w:r>
        <w:rPr>
          <w:rFonts w:hint="eastAsia"/>
        </w:rPr>
        <w:t>号政府决议出台后离境等。请提供相关信息，说明为加强正规司法系统的基础设施和质量，以及为促进妇女，特别是农村地区妇女获得司法救助所采取的措施。</w:t>
      </w:r>
    </w:p>
    <w:p w:rsidR="00D92D1C" w:rsidRDefault="00D92D1C" w:rsidP="00B02A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sidR="00610312">
        <w:tab/>
      </w:r>
      <w:r>
        <w:rPr>
          <w:rFonts w:hint="eastAsia"/>
        </w:rPr>
        <w:t>定型观念</w:t>
      </w:r>
    </w:p>
    <w:p w:rsidR="00D92D1C" w:rsidRDefault="00D92D1C" w:rsidP="00B02A50">
      <w:pPr>
        <w:pStyle w:val="SingleTxt"/>
        <w:spacing w:after="120"/>
        <w:rPr>
          <w:rFonts w:hint="eastAsia"/>
        </w:rPr>
      </w:pPr>
      <w:r>
        <w:rPr>
          <w:rFonts w:hint="eastAsia"/>
        </w:rPr>
        <w:t>5.</w:t>
      </w:r>
      <w:r>
        <w:rPr>
          <w:rFonts w:hint="eastAsia"/>
        </w:rPr>
        <w:tab/>
      </w:r>
      <w:r>
        <w:rPr>
          <w:rFonts w:hint="eastAsia"/>
        </w:rPr>
        <w:t>请提供相关信息，说明与民间社会特别是妇女组织合作，为引导妇女和男子、女童和男童、宗教和少数群体领袖、父母、教师和官员而制定一项全面战略，以纠正或消除歧视妇女的文化习俗和陈规定型观念所采取的措施。</w:t>
      </w:r>
    </w:p>
    <w:p w:rsidR="00D92D1C" w:rsidRDefault="00D92D1C" w:rsidP="00B02A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sidR="00610312">
        <w:tab/>
      </w:r>
      <w:r>
        <w:rPr>
          <w:rFonts w:hint="eastAsia"/>
        </w:rPr>
        <w:t>暴力侵害妇女行为</w:t>
      </w:r>
    </w:p>
    <w:p w:rsidR="00D92D1C" w:rsidRDefault="00D92D1C" w:rsidP="00B02A50">
      <w:pPr>
        <w:pStyle w:val="SingleTxt"/>
        <w:spacing w:after="120"/>
        <w:rPr>
          <w:rFonts w:hint="eastAsia"/>
        </w:rPr>
      </w:pPr>
      <w:r>
        <w:rPr>
          <w:rFonts w:hint="eastAsia"/>
        </w:rPr>
        <w:t>6.</w:t>
      </w:r>
      <w:r>
        <w:rPr>
          <w:rFonts w:hint="eastAsia"/>
        </w:rPr>
        <w:tab/>
      </w:r>
      <w:r w:rsidRPr="00610312">
        <w:rPr>
          <w:rFonts w:hint="eastAsia"/>
          <w:spacing w:val="-4"/>
        </w:rPr>
        <w:t>报告确认，弱势群体单位在调查性别暴力方面面临挑战</w:t>
      </w:r>
      <w:r w:rsidR="00610312" w:rsidRPr="00610312">
        <w:rPr>
          <w:rFonts w:hint="eastAsia"/>
          <w:spacing w:val="-4"/>
        </w:rPr>
        <w:t>(</w:t>
      </w:r>
      <w:r w:rsidRPr="00610312">
        <w:rPr>
          <w:rFonts w:hint="eastAsia"/>
          <w:spacing w:val="-4"/>
        </w:rPr>
        <w:t>第</w:t>
      </w:r>
      <w:r w:rsidRPr="00610312">
        <w:rPr>
          <w:rFonts w:hint="eastAsia"/>
          <w:spacing w:val="-4"/>
        </w:rPr>
        <w:t>96</w:t>
      </w:r>
      <w:r w:rsidRPr="00610312">
        <w:rPr>
          <w:rFonts w:hint="eastAsia"/>
          <w:spacing w:val="-4"/>
        </w:rPr>
        <w:t>段</w:t>
      </w:r>
      <w:r w:rsidR="00610312" w:rsidRPr="00610312">
        <w:rPr>
          <w:rFonts w:hint="eastAsia"/>
          <w:spacing w:val="-4"/>
        </w:rPr>
        <w:t>)</w:t>
      </w:r>
      <w:r w:rsidRPr="00610312">
        <w:rPr>
          <w:rFonts w:hint="eastAsia"/>
          <w:spacing w:val="-4"/>
        </w:rPr>
        <w:t>。请提供信息，介绍按照《国家反性别暴力行动计划》的设想，为确保弱势群体单位的地区单位得到充足供资和配备且员工经过充分培训，确保职工队伍的组成反映性别均衡以及为弱势群体单位服务的警官为长期任职采取了哪些措施。根据《反家庭暴力法》</w:t>
      </w:r>
      <w:r w:rsidR="00610312" w:rsidRPr="00610312">
        <w:rPr>
          <w:rFonts w:hint="eastAsia"/>
          <w:spacing w:val="-4"/>
        </w:rPr>
        <w:t>(</w:t>
      </w:r>
      <w:r w:rsidRPr="00610312">
        <w:rPr>
          <w:rFonts w:hint="eastAsia"/>
          <w:spacing w:val="-4"/>
        </w:rPr>
        <w:t>第</w:t>
      </w:r>
      <w:r w:rsidRPr="00610312">
        <w:rPr>
          <w:rFonts w:hint="eastAsia"/>
          <w:spacing w:val="-4"/>
        </w:rPr>
        <w:t>7/2010</w:t>
      </w:r>
      <w:r w:rsidRPr="00610312">
        <w:rPr>
          <w:rFonts w:hint="eastAsia"/>
          <w:spacing w:val="-4"/>
        </w:rPr>
        <w:t>号法律</w:t>
      </w:r>
      <w:r w:rsidR="00610312" w:rsidRPr="00610312">
        <w:rPr>
          <w:rFonts w:hint="eastAsia"/>
          <w:spacing w:val="-4"/>
        </w:rPr>
        <w:t>)</w:t>
      </w:r>
      <w:r w:rsidRPr="00610312">
        <w:rPr>
          <w:rFonts w:hint="eastAsia"/>
          <w:spacing w:val="-4"/>
        </w:rPr>
        <w:t>第</w:t>
      </w:r>
      <w:r w:rsidRPr="00610312">
        <w:rPr>
          <w:rFonts w:hint="eastAsia"/>
          <w:spacing w:val="-4"/>
        </w:rPr>
        <w:t>24</w:t>
      </w:r>
      <w:r w:rsidRPr="00610312">
        <w:rPr>
          <w:rFonts w:hint="eastAsia"/>
          <w:spacing w:val="-4"/>
        </w:rPr>
        <w:t>条，弱势群体单位在接到家庭暴力案投诉后，需在</w:t>
      </w:r>
      <w:r w:rsidRPr="00610312">
        <w:rPr>
          <w:rFonts w:hint="eastAsia"/>
          <w:spacing w:val="-4"/>
        </w:rPr>
        <w:t>5</w:t>
      </w:r>
      <w:r w:rsidRPr="00610312">
        <w:rPr>
          <w:rFonts w:hint="eastAsia"/>
          <w:spacing w:val="-4"/>
        </w:rPr>
        <w:t>天内向检察官办公室呈报。弱势群体单位根据该规定向检察官办公室移交的案件数量是多少？请提供相关信息，说明为预防暴力侵害妇女案件起诉拖延，包括家庭暴力案件被拖延所采取的措施，以及在暂停判决情况下为保护证人所采取的措施</w:t>
      </w:r>
      <w:r>
        <w:rPr>
          <w:rFonts w:hint="eastAsia"/>
        </w:rPr>
        <w:t>。</w:t>
      </w:r>
    </w:p>
    <w:p w:rsidR="00D92D1C" w:rsidRDefault="00D92D1C" w:rsidP="00B02A50">
      <w:pPr>
        <w:pStyle w:val="SingleTxt"/>
        <w:spacing w:after="120"/>
        <w:rPr>
          <w:rFonts w:hint="eastAsia"/>
        </w:rPr>
      </w:pPr>
      <w:r>
        <w:rPr>
          <w:rFonts w:hint="eastAsia"/>
        </w:rPr>
        <w:t>7.</w:t>
      </w:r>
      <w:r>
        <w:rPr>
          <w:rFonts w:hint="eastAsia"/>
        </w:rPr>
        <w:tab/>
      </w:r>
      <w:r>
        <w:rPr>
          <w:rFonts w:hint="eastAsia"/>
        </w:rPr>
        <w:t>根据委员会收到的信息，在</w:t>
      </w:r>
      <w:r>
        <w:rPr>
          <w:rFonts w:hint="eastAsia"/>
        </w:rPr>
        <w:t>2010</w:t>
      </w:r>
      <w:r>
        <w:rPr>
          <w:rFonts w:hint="eastAsia"/>
        </w:rPr>
        <w:t>至</w:t>
      </w:r>
      <w:r>
        <w:rPr>
          <w:rFonts w:hint="eastAsia"/>
        </w:rPr>
        <w:t>2013</w:t>
      </w:r>
      <w:r>
        <w:rPr>
          <w:rFonts w:hint="eastAsia"/>
        </w:rPr>
        <w:t>年期间，有</w:t>
      </w:r>
      <w:r>
        <w:rPr>
          <w:rFonts w:hint="eastAsia"/>
        </w:rPr>
        <w:t>71.3%</w:t>
      </w:r>
      <w:r>
        <w:rPr>
          <w:rFonts w:hint="eastAsia"/>
        </w:rPr>
        <w:t>的家庭暴力案件按照《刑法》第</w:t>
      </w:r>
      <w:r>
        <w:rPr>
          <w:rFonts w:hint="eastAsia"/>
        </w:rPr>
        <w:t>145</w:t>
      </w:r>
      <w:r>
        <w:rPr>
          <w:rFonts w:hint="eastAsia"/>
        </w:rPr>
        <w:t>条规定进行了起诉，在依据第</w:t>
      </w:r>
      <w:r>
        <w:rPr>
          <w:rFonts w:hint="eastAsia"/>
        </w:rPr>
        <w:t>145</w:t>
      </w:r>
      <w:r>
        <w:rPr>
          <w:rFonts w:hint="eastAsia"/>
        </w:rPr>
        <w:t>条做出的判决中，有</w:t>
      </w:r>
      <w:r>
        <w:rPr>
          <w:rFonts w:hint="eastAsia"/>
        </w:rPr>
        <w:t>53%</w:t>
      </w:r>
      <w:r>
        <w:rPr>
          <w:rFonts w:hint="eastAsia"/>
        </w:rPr>
        <w:t>的案件被暂停。《刑法》规定了为暂停判决补充若干条件的可能性。在做出暂缓判决的家庭暴力案中，有多少案子适用了特别条件？法院勒令对受害人进行赔偿的家庭暴力案件数量是多少？还请提供信息，说明在建立额外庇护所</w:t>
      </w:r>
      <w:r w:rsidR="00610312">
        <w:rPr>
          <w:rFonts w:hint="eastAsia"/>
        </w:rPr>
        <w:t>(</w:t>
      </w:r>
      <w:r>
        <w:rPr>
          <w:rFonts w:hint="eastAsia"/>
        </w:rPr>
        <w:t>第</w:t>
      </w:r>
      <w:r>
        <w:rPr>
          <w:rFonts w:hint="eastAsia"/>
        </w:rPr>
        <w:t>90</w:t>
      </w:r>
      <w:r>
        <w:rPr>
          <w:rFonts w:hint="eastAsia"/>
        </w:rPr>
        <w:t>段</w:t>
      </w:r>
      <w:r w:rsidR="00610312">
        <w:rPr>
          <w:rFonts w:hint="eastAsia"/>
        </w:rPr>
        <w:t>)</w:t>
      </w:r>
      <w:r>
        <w:rPr>
          <w:rFonts w:hint="eastAsia"/>
        </w:rPr>
        <w:t>以及在确保在所有各区有足够数量的安全且资金充足的庇护所方面的进展情况，特别是为作为包括农村妇女和残疾妇女在内家庭暴力受害者的妇女提供的庇护所。为解决残疾妇女和女童遭受暴力风险增加以及她们获得司法救助和充足支助服务采取了何种措施？</w:t>
      </w:r>
    </w:p>
    <w:p w:rsidR="00D92D1C" w:rsidRDefault="00D92D1C" w:rsidP="00B02A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sidR="00610312">
        <w:tab/>
      </w:r>
      <w:r>
        <w:rPr>
          <w:rFonts w:hint="eastAsia"/>
        </w:rPr>
        <w:t>人口贩运</w:t>
      </w:r>
    </w:p>
    <w:p w:rsidR="00D92D1C" w:rsidRDefault="00D92D1C" w:rsidP="00B02A50">
      <w:pPr>
        <w:pStyle w:val="SingleTxt"/>
        <w:spacing w:after="120"/>
        <w:rPr>
          <w:rFonts w:hint="eastAsia"/>
        </w:rPr>
      </w:pPr>
      <w:r>
        <w:rPr>
          <w:rFonts w:hint="eastAsia"/>
        </w:rPr>
        <w:t>8.</w:t>
      </w:r>
      <w:r>
        <w:rPr>
          <w:rFonts w:hint="eastAsia"/>
        </w:rPr>
        <w:tab/>
      </w:r>
      <w:r>
        <w:rPr>
          <w:rFonts w:hint="eastAsia"/>
        </w:rPr>
        <w:t>请提供关于《预防、禁止和惩治贩运人口法》以及《人口贩运问题国家行动计划》现状的信息。另请提供信息，介绍贩运人口案件的调查和起诉数量以及对贩运者做出判决的情况，以及报告中提到案件上诉情况</w:t>
      </w:r>
      <w:r w:rsidR="00610312">
        <w:rPr>
          <w:rFonts w:hint="eastAsia"/>
        </w:rPr>
        <w:t>(</w:t>
      </w:r>
      <w:r>
        <w:rPr>
          <w:rFonts w:hint="eastAsia"/>
        </w:rPr>
        <w:t>第</w:t>
      </w:r>
      <w:r>
        <w:rPr>
          <w:rFonts w:hint="eastAsia"/>
        </w:rPr>
        <w:t>153</w:t>
      </w:r>
      <w:r>
        <w:rPr>
          <w:rFonts w:hint="eastAsia"/>
        </w:rPr>
        <w:t>段</w:t>
      </w:r>
      <w:r w:rsidR="00610312">
        <w:rPr>
          <w:rFonts w:hint="eastAsia"/>
        </w:rPr>
        <w:t>)</w:t>
      </w:r>
      <w:r>
        <w:rPr>
          <w:rFonts w:hint="eastAsia"/>
        </w:rPr>
        <w:t>。请说明，为早期查明和保护贩运受害者所采取的任何预防努力，包括提高认识和能力建设措施，以及为提供复原和重返社会服务所做出的努力。</w:t>
      </w:r>
    </w:p>
    <w:p w:rsidR="00D92D1C" w:rsidRDefault="00D92D1C" w:rsidP="00B02A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sidR="00610312">
        <w:tab/>
      </w:r>
      <w:r>
        <w:rPr>
          <w:rFonts w:hint="eastAsia"/>
        </w:rPr>
        <w:t>参与政治和公共生活</w:t>
      </w:r>
    </w:p>
    <w:p w:rsidR="00D92D1C" w:rsidRDefault="00D92D1C" w:rsidP="00B02A50">
      <w:pPr>
        <w:pStyle w:val="SingleTxt"/>
        <w:spacing w:after="120"/>
        <w:rPr>
          <w:rFonts w:hint="eastAsia"/>
        </w:rPr>
      </w:pPr>
      <w:r>
        <w:rPr>
          <w:rFonts w:hint="eastAsia"/>
        </w:rPr>
        <w:t>9.</w:t>
      </w:r>
      <w:r>
        <w:rPr>
          <w:rFonts w:hint="eastAsia"/>
        </w:rPr>
        <w:tab/>
      </w:r>
      <w:r>
        <w:rPr>
          <w:rFonts w:hint="eastAsia"/>
        </w:rPr>
        <w:t>缔约国承认，妇女在参与政治和公共生活方面面临许多障碍</w:t>
      </w:r>
      <w:r w:rsidR="00610312">
        <w:rPr>
          <w:rFonts w:hint="eastAsia"/>
        </w:rPr>
        <w:t>(</w:t>
      </w:r>
      <w:r>
        <w:rPr>
          <w:rFonts w:hint="eastAsia"/>
        </w:rPr>
        <w:t>第</w:t>
      </w:r>
      <w:r>
        <w:rPr>
          <w:rFonts w:hint="eastAsia"/>
        </w:rPr>
        <w:t>172</w:t>
      </w:r>
      <w:r>
        <w:rPr>
          <w:rFonts w:hint="eastAsia"/>
        </w:rPr>
        <w:t>段</w:t>
      </w:r>
      <w:r w:rsidR="00610312">
        <w:rPr>
          <w:rFonts w:hint="eastAsia"/>
        </w:rPr>
        <w:t>)</w:t>
      </w:r>
      <w:r>
        <w:rPr>
          <w:rFonts w:hint="eastAsia"/>
        </w:rPr>
        <w:t>。自</w:t>
      </w:r>
      <w:r>
        <w:rPr>
          <w:rFonts w:hint="eastAsia"/>
        </w:rPr>
        <w:t>2009</w:t>
      </w:r>
      <w:r>
        <w:rPr>
          <w:rFonts w:hint="eastAsia"/>
        </w:rPr>
        <w:t>年以来，尽管议会中女性代表所占比例从</w:t>
      </w:r>
      <w:r>
        <w:rPr>
          <w:rFonts w:hint="eastAsia"/>
        </w:rPr>
        <w:t>25%</w:t>
      </w:r>
      <w:r>
        <w:rPr>
          <w:rFonts w:hint="eastAsia"/>
        </w:rPr>
        <w:t>增加到</w:t>
      </w:r>
      <w:r>
        <w:rPr>
          <w:rFonts w:hint="eastAsia"/>
        </w:rPr>
        <w:t>38%</w:t>
      </w:r>
      <w:r>
        <w:rPr>
          <w:rFonts w:hint="eastAsia"/>
        </w:rPr>
        <w:t>，但自从最近一次政府改组以来，妇女担任政府高层职位</w:t>
      </w:r>
      <w:r w:rsidR="00610312">
        <w:rPr>
          <w:rFonts w:hint="eastAsia"/>
        </w:rPr>
        <w:t>(</w:t>
      </w:r>
      <w:r>
        <w:rPr>
          <w:rFonts w:hint="eastAsia"/>
        </w:rPr>
        <w:t>部长、副部长和国务秘书</w:t>
      </w:r>
      <w:r w:rsidR="00610312">
        <w:rPr>
          <w:rFonts w:hint="eastAsia"/>
        </w:rPr>
        <w:t>)</w:t>
      </w:r>
      <w:r>
        <w:rPr>
          <w:rFonts w:hint="eastAsia"/>
        </w:rPr>
        <w:t>的比例只有小幅增加，从</w:t>
      </w:r>
      <w:r>
        <w:rPr>
          <w:rFonts w:hint="eastAsia"/>
        </w:rPr>
        <w:t>18%</w:t>
      </w:r>
      <w:r>
        <w:rPr>
          <w:rFonts w:hint="eastAsia"/>
        </w:rPr>
        <w:t>增加到</w:t>
      </w:r>
      <w:r>
        <w:rPr>
          <w:rFonts w:hint="eastAsia"/>
        </w:rPr>
        <w:t>20%</w:t>
      </w:r>
      <w:r>
        <w:rPr>
          <w:rFonts w:hint="eastAsia"/>
        </w:rPr>
        <w:t>。请提供信息，介绍为克服此类障碍及促进妇女平等参与政治和公共生活，包括当地一级的政治和公共生活所采取的措施，包括配额和提高对妇女平等、充分参与领导职位的认识等暂行特别措施。</w:t>
      </w:r>
    </w:p>
    <w:p w:rsidR="00D92D1C" w:rsidRDefault="00D92D1C" w:rsidP="00B02A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sidR="00610312">
        <w:tab/>
      </w:r>
      <w:r>
        <w:rPr>
          <w:rFonts w:hint="eastAsia"/>
        </w:rPr>
        <w:t>教育</w:t>
      </w:r>
    </w:p>
    <w:p w:rsidR="00D92D1C" w:rsidRDefault="00D92D1C" w:rsidP="00B02A50">
      <w:pPr>
        <w:pStyle w:val="SingleTxt"/>
        <w:spacing w:after="120"/>
        <w:rPr>
          <w:rFonts w:hint="eastAsia"/>
        </w:rPr>
      </w:pPr>
      <w:r>
        <w:rPr>
          <w:rFonts w:hint="eastAsia"/>
        </w:rPr>
        <w:t>10.</w:t>
      </w:r>
      <w:r>
        <w:rPr>
          <w:rFonts w:hint="eastAsia"/>
        </w:rPr>
        <w:tab/>
      </w:r>
      <w:r>
        <w:rPr>
          <w:rFonts w:hint="eastAsia"/>
        </w:rPr>
        <w:t>请提供相关最新信息，说明为应对委员会在其上一份结论性意见</w:t>
      </w:r>
      <w:r w:rsidR="00610312">
        <w:rPr>
          <w:rFonts w:hint="eastAsia"/>
        </w:rPr>
        <w:t>(</w:t>
      </w:r>
      <w:hyperlink r:id="rId16" w:history="1">
        <w:r w:rsidRPr="00B02A50">
          <w:rPr>
            <w:rStyle w:val="Hyperlink"/>
            <w:rFonts w:hint="eastAsia"/>
            <w:spacing w:val="-2"/>
          </w:rPr>
          <w:t>CEDAW/C/</w:t>
        </w:r>
        <w:r w:rsidR="00B02A50" w:rsidRPr="00B02A50">
          <w:rPr>
            <w:rStyle w:val="Hyperlink"/>
            <w:spacing w:val="-2"/>
          </w:rPr>
          <w:t xml:space="preserve"> </w:t>
        </w:r>
        <w:r w:rsidRPr="00B02A50">
          <w:rPr>
            <w:rStyle w:val="Hyperlink"/>
            <w:rFonts w:hint="eastAsia"/>
            <w:spacing w:val="-2"/>
          </w:rPr>
          <w:t>TLS/CO/1</w:t>
        </w:r>
      </w:hyperlink>
      <w:r w:rsidRPr="00B02A50">
        <w:rPr>
          <w:rFonts w:hint="eastAsia"/>
          <w:spacing w:val="-2"/>
        </w:rPr>
        <w:t>，第</w:t>
      </w:r>
      <w:r w:rsidRPr="00B02A50">
        <w:rPr>
          <w:rFonts w:hint="eastAsia"/>
          <w:spacing w:val="-2"/>
        </w:rPr>
        <w:t>36</w:t>
      </w:r>
      <w:r w:rsidRPr="00B02A50">
        <w:rPr>
          <w:rFonts w:hint="eastAsia"/>
          <w:spacing w:val="-2"/>
        </w:rPr>
        <w:t>段</w:t>
      </w:r>
      <w:r w:rsidR="00610312" w:rsidRPr="00B02A50">
        <w:rPr>
          <w:rFonts w:hint="eastAsia"/>
          <w:spacing w:val="-2"/>
        </w:rPr>
        <w:t>)</w:t>
      </w:r>
      <w:r w:rsidRPr="00B02A50">
        <w:rPr>
          <w:rFonts w:hint="eastAsia"/>
          <w:spacing w:val="-2"/>
        </w:rPr>
        <w:t>中提出的以及委员会认为没有得到执行或只得到部分执行或其根据缔约国</w:t>
      </w:r>
      <w:r w:rsidRPr="00B02A50">
        <w:rPr>
          <w:rFonts w:hint="eastAsia"/>
          <w:spacing w:val="-2"/>
        </w:rPr>
        <w:t>2013</w:t>
      </w:r>
      <w:r w:rsidRPr="00B02A50">
        <w:rPr>
          <w:rFonts w:hint="eastAsia"/>
          <w:spacing w:val="-2"/>
        </w:rPr>
        <w:t>年</w:t>
      </w:r>
      <w:r w:rsidRPr="00B02A50">
        <w:rPr>
          <w:rFonts w:hint="eastAsia"/>
          <w:spacing w:val="-2"/>
        </w:rPr>
        <w:t>3</w:t>
      </w:r>
      <w:r w:rsidRPr="00B02A50">
        <w:rPr>
          <w:rFonts w:hint="eastAsia"/>
          <w:spacing w:val="-2"/>
        </w:rPr>
        <w:t>月</w:t>
      </w:r>
      <w:r w:rsidRPr="00B02A50">
        <w:rPr>
          <w:rFonts w:hint="eastAsia"/>
          <w:spacing w:val="-2"/>
        </w:rPr>
        <w:t>19</w:t>
      </w:r>
      <w:r w:rsidRPr="00B02A50">
        <w:rPr>
          <w:rFonts w:hint="eastAsia"/>
          <w:spacing w:val="-2"/>
        </w:rPr>
        <w:t>日的后续来函认为没有收到足够信息的具体关切所采取的步骤。根据委员会收到的信息，缔约国只有</w:t>
      </w:r>
      <w:r w:rsidRPr="00B02A50">
        <w:rPr>
          <w:rFonts w:hint="eastAsia"/>
          <w:spacing w:val="-2"/>
        </w:rPr>
        <w:t>65%</w:t>
      </w:r>
      <w:r w:rsidRPr="00B02A50">
        <w:rPr>
          <w:rFonts w:hint="eastAsia"/>
          <w:spacing w:val="-2"/>
        </w:rPr>
        <w:t>的学校有厕所，只有</w:t>
      </w:r>
      <w:r w:rsidRPr="00B02A50">
        <w:rPr>
          <w:rFonts w:hint="eastAsia"/>
          <w:spacing w:val="-2"/>
        </w:rPr>
        <w:t>38%</w:t>
      </w:r>
      <w:r w:rsidRPr="00B02A50">
        <w:rPr>
          <w:rFonts w:hint="eastAsia"/>
          <w:spacing w:val="-2"/>
        </w:rPr>
        <w:t>的厕所能正常用水，许多女孩由于学校缺乏适足的卫生设施，在开始月经来潮时退学。请说明，是否已考虑在学校执行一项对性别问题有敏感认识的卫生政策，是否采取其他步骤确保学校拥有适足的卫生设施，尤其是为女孩提供的卫生设施</w:t>
      </w:r>
      <w:r>
        <w:rPr>
          <w:rFonts w:hint="eastAsia"/>
        </w:rPr>
        <w:t>。</w:t>
      </w:r>
    </w:p>
    <w:p w:rsidR="00D92D1C" w:rsidRDefault="00D92D1C" w:rsidP="00B02A50">
      <w:pPr>
        <w:pStyle w:val="SingleTxt"/>
        <w:spacing w:after="120"/>
        <w:rPr>
          <w:rFonts w:hint="eastAsia"/>
        </w:rPr>
      </w:pPr>
      <w:r>
        <w:rPr>
          <w:rFonts w:hint="eastAsia"/>
        </w:rPr>
        <w:t>11.</w:t>
      </w:r>
      <w:r>
        <w:rPr>
          <w:rFonts w:hint="eastAsia"/>
        </w:rPr>
        <w:tab/>
      </w:r>
      <w:r>
        <w:rPr>
          <w:rFonts w:hint="eastAsia"/>
        </w:rPr>
        <w:t>报告中指出，女孩辍学的主要原因是怀孕以及对女孩教育的传统观念、期末考试成绩差、健康状况不佳，以及少数情况下的性暴力</w:t>
      </w:r>
      <w:r w:rsidR="00610312">
        <w:rPr>
          <w:rFonts w:hint="eastAsia"/>
        </w:rPr>
        <w:t>(</w:t>
      </w:r>
      <w:r>
        <w:rPr>
          <w:rFonts w:hint="eastAsia"/>
        </w:rPr>
        <w:t>第</w:t>
      </w:r>
      <w:r>
        <w:rPr>
          <w:rFonts w:hint="eastAsia"/>
        </w:rPr>
        <w:t>192</w:t>
      </w:r>
      <w:r>
        <w:rPr>
          <w:rFonts w:hint="eastAsia"/>
        </w:rPr>
        <w:t>段</w:t>
      </w:r>
      <w:r w:rsidR="00610312">
        <w:rPr>
          <w:rFonts w:hint="eastAsia"/>
        </w:rPr>
        <w:t>)</w:t>
      </w:r>
      <w:r>
        <w:rPr>
          <w:rFonts w:hint="eastAsia"/>
        </w:rPr>
        <w:t>。请提供相关信息，说明为克服这些障碍所采取的措施，包括按照委员会上一份结论性意见的建议</w:t>
      </w:r>
      <w:r w:rsidR="00610312">
        <w:rPr>
          <w:rFonts w:hint="eastAsia"/>
        </w:rPr>
        <w:t>(</w:t>
      </w:r>
      <w:hyperlink r:id="rId17" w:history="1">
        <w:r w:rsidRPr="00610312">
          <w:rPr>
            <w:rStyle w:val="Hyperlink"/>
            <w:rFonts w:hint="eastAsia"/>
          </w:rPr>
          <w:t>CEDAW/C/TLS/CO/1</w:t>
        </w:r>
      </w:hyperlink>
      <w:r>
        <w:rPr>
          <w:rFonts w:hint="eastAsia"/>
        </w:rPr>
        <w:t xml:space="preserve">, </w:t>
      </w:r>
      <w:r>
        <w:rPr>
          <w:rFonts w:hint="eastAsia"/>
        </w:rPr>
        <w:t>第</w:t>
      </w:r>
      <w:r>
        <w:rPr>
          <w:rFonts w:hint="eastAsia"/>
        </w:rPr>
        <w:t>36</w:t>
      </w:r>
      <w:r>
        <w:rPr>
          <w:rFonts w:hint="eastAsia"/>
        </w:rPr>
        <w:t>段</w:t>
      </w:r>
      <w:r w:rsidR="00610312">
        <w:rPr>
          <w:rFonts w:hint="eastAsia"/>
        </w:rPr>
        <w:t>)</w:t>
      </w:r>
      <w:r>
        <w:rPr>
          <w:rFonts w:hint="eastAsia"/>
        </w:rPr>
        <w:t>，使青年妇女能在怀孕后重返学校的政策的执行情况。</w:t>
      </w:r>
    </w:p>
    <w:p w:rsidR="00D92D1C" w:rsidRDefault="00D92D1C" w:rsidP="00B02A50">
      <w:pPr>
        <w:pStyle w:val="SingleTxt"/>
        <w:spacing w:after="120"/>
        <w:rPr>
          <w:rFonts w:hint="eastAsia"/>
        </w:rPr>
      </w:pPr>
      <w:r>
        <w:rPr>
          <w:rFonts w:hint="eastAsia"/>
        </w:rPr>
        <w:t>12.</w:t>
      </w:r>
      <w:r>
        <w:rPr>
          <w:rFonts w:hint="eastAsia"/>
        </w:rPr>
        <w:tab/>
      </w:r>
      <w:r>
        <w:rPr>
          <w:rFonts w:hint="eastAsia"/>
        </w:rPr>
        <w:t>报告指出，向教育总监报告的性暴力案的数量已大幅下降，在</w:t>
      </w:r>
      <w:r>
        <w:rPr>
          <w:rFonts w:hint="eastAsia"/>
        </w:rPr>
        <w:t>2012</w:t>
      </w:r>
      <w:r>
        <w:rPr>
          <w:rFonts w:hint="eastAsia"/>
        </w:rPr>
        <w:t>年报告的</w:t>
      </w:r>
      <w:r>
        <w:rPr>
          <w:rFonts w:hint="eastAsia"/>
        </w:rPr>
        <w:t>9</w:t>
      </w:r>
      <w:r>
        <w:rPr>
          <w:rFonts w:hint="eastAsia"/>
        </w:rPr>
        <w:t>起案件中，其中</w:t>
      </w:r>
      <w:r>
        <w:rPr>
          <w:rFonts w:hint="eastAsia"/>
        </w:rPr>
        <w:t>4</w:t>
      </w:r>
      <w:r>
        <w:rPr>
          <w:rFonts w:hint="eastAsia"/>
        </w:rPr>
        <w:t>起已提交法院，</w:t>
      </w:r>
      <w:r>
        <w:rPr>
          <w:rFonts w:hint="eastAsia"/>
        </w:rPr>
        <w:t>5</w:t>
      </w:r>
      <w:r>
        <w:rPr>
          <w:rFonts w:hint="eastAsia"/>
        </w:rPr>
        <w:t>起通过传统机制得到解决</w:t>
      </w:r>
      <w:r w:rsidR="00610312">
        <w:rPr>
          <w:rFonts w:hint="eastAsia"/>
        </w:rPr>
        <w:t>(</w:t>
      </w:r>
      <w:r>
        <w:rPr>
          <w:rFonts w:hint="eastAsia"/>
        </w:rPr>
        <w:t>第</w:t>
      </w:r>
      <w:r>
        <w:rPr>
          <w:rFonts w:hint="eastAsia"/>
        </w:rPr>
        <w:t>201</w:t>
      </w:r>
      <w:r>
        <w:rPr>
          <w:rFonts w:hint="eastAsia"/>
        </w:rPr>
        <w:t>段</w:t>
      </w:r>
      <w:r w:rsidR="00610312">
        <w:rPr>
          <w:rFonts w:hint="eastAsia"/>
        </w:rPr>
        <w:t>)</w:t>
      </w:r>
      <w:r>
        <w:rPr>
          <w:rFonts w:hint="eastAsia"/>
        </w:rPr>
        <w:t>。请提供相关信息，说明缔约国为鼓励妇女和女孩向警方报告教育机构内性暴力，以及为确保利用传统机制不会侵害受害者的权益，也不会导致对犯罪者出现有罪不罚现象所采取的措施。请解释，为什么教育系统中的公务员在成为性暴力的犯罪人后，仅被调往其他学校？另请提供最新信息，说明学校发生的已报告性侵犯案的数量，以及对犯罪人实施的处罚情况，并说明制定对暴力行为采取零容忍政策</w:t>
      </w:r>
      <w:r w:rsidR="00610312">
        <w:rPr>
          <w:rFonts w:hint="eastAsia"/>
        </w:rPr>
        <w:t>(</w:t>
      </w:r>
      <w:r>
        <w:rPr>
          <w:rFonts w:hint="eastAsia"/>
        </w:rPr>
        <w:t>第</w:t>
      </w:r>
      <w:r>
        <w:rPr>
          <w:rFonts w:hint="eastAsia"/>
        </w:rPr>
        <w:t>199</w:t>
      </w:r>
      <w:r>
        <w:rPr>
          <w:rFonts w:hint="eastAsia"/>
        </w:rPr>
        <w:t>段</w:t>
      </w:r>
      <w:r w:rsidR="00610312">
        <w:rPr>
          <w:rFonts w:hint="eastAsia"/>
        </w:rPr>
        <w:t>)</w:t>
      </w:r>
      <w:r>
        <w:rPr>
          <w:rFonts w:hint="eastAsia"/>
        </w:rPr>
        <w:t>的时间表。</w:t>
      </w:r>
    </w:p>
    <w:p w:rsidR="00D92D1C" w:rsidRDefault="00610312" w:rsidP="00B02A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tab/>
      </w:r>
      <w:r w:rsidR="00D92D1C">
        <w:rPr>
          <w:rFonts w:hint="eastAsia"/>
        </w:rPr>
        <w:tab/>
        <w:t>就业</w:t>
      </w:r>
    </w:p>
    <w:p w:rsidR="00D92D1C" w:rsidRDefault="00D92D1C" w:rsidP="00D92D1C">
      <w:pPr>
        <w:pStyle w:val="SingleTxt"/>
        <w:rPr>
          <w:rFonts w:hint="eastAsia"/>
        </w:rPr>
      </w:pPr>
      <w:r>
        <w:rPr>
          <w:rFonts w:hint="eastAsia"/>
        </w:rPr>
        <w:t>13.</w:t>
      </w:r>
      <w:r>
        <w:rPr>
          <w:rFonts w:hint="eastAsia"/>
        </w:rPr>
        <w:tab/>
      </w:r>
      <w:r>
        <w:rPr>
          <w:rFonts w:hint="eastAsia"/>
        </w:rPr>
        <w:t>请提供相关信息，说明在批准劳工组织</w:t>
      </w:r>
      <w:r>
        <w:rPr>
          <w:rFonts w:hint="eastAsia"/>
        </w:rPr>
        <w:t>1958</w:t>
      </w:r>
      <w:r>
        <w:rPr>
          <w:rFonts w:hint="eastAsia"/>
        </w:rPr>
        <w:t>年《就业和职业歧视公约》《第</w:t>
      </w:r>
      <w:r>
        <w:rPr>
          <w:rFonts w:hint="eastAsia"/>
        </w:rPr>
        <w:t>111</w:t>
      </w:r>
      <w:r>
        <w:rPr>
          <w:rFonts w:hint="eastAsia"/>
        </w:rPr>
        <w:t>号公约》和</w:t>
      </w:r>
      <w:r>
        <w:rPr>
          <w:rFonts w:hint="eastAsia"/>
        </w:rPr>
        <w:t>1951</w:t>
      </w:r>
      <w:r>
        <w:rPr>
          <w:rFonts w:hint="eastAsia"/>
        </w:rPr>
        <w:t>年《同工同酬公约》《第</w:t>
      </w:r>
      <w:r>
        <w:rPr>
          <w:rFonts w:hint="eastAsia"/>
        </w:rPr>
        <w:t>100</w:t>
      </w:r>
      <w:r>
        <w:rPr>
          <w:rFonts w:hint="eastAsia"/>
        </w:rPr>
        <w:t>号公约》方面所取得进展的情况。请说明，为非正规部门通过对性别问题有敏感认识的就业政策所采取的措施，包括产妇保护</w:t>
      </w:r>
      <w:r w:rsidR="00610312">
        <w:rPr>
          <w:rFonts w:hint="eastAsia"/>
        </w:rPr>
        <w:t>(</w:t>
      </w:r>
      <w:r>
        <w:rPr>
          <w:rFonts w:hint="eastAsia"/>
        </w:rPr>
        <w:t>第</w:t>
      </w:r>
      <w:r>
        <w:rPr>
          <w:rFonts w:hint="eastAsia"/>
        </w:rPr>
        <w:t>211</w:t>
      </w:r>
      <w:r>
        <w:rPr>
          <w:rFonts w:hint="eastAsia"/>
        </w:rPr>
        <w:t>段</w:t>
      </w:r>
      <w:r w:rsidR="00610312">
        <w:rPr>
          <w:rFonts w:hint="eastAsia"/>
        </w:rPr>
        <w:t>)</w:t>
      </w:r>
      <w:r>
        <w:rPr>
          <w:rFonts w:hint="eastAsia"/>
        </w:rPr>
        <w:t>。鉴于报告中指出，在争取同样决策岗位时妇女比男子需要更高的资历</w:t>
      </w:r>
      <w:r w:rsidR="00610312">
        <w:rPr>
          <w:rFonts w:hint="eastAsia"/>
        </w:rPr>
        <w:t>(</w:t>
      </w:r>
      <w:r>
        <w:rPr>
          <w:rFonts w:hint="eastAsia"/>
        </w:rPr>
        <w:t>第</w:t>
      </w:r>
      <w:r>
        <w:rPr>
          <w:rFonts w:hint="eastAsia"/>
        </w:rPr>
        <w:t>223</w:t>
      </w:r>
      <w:r>
        <w:rPr>
          <w:rFonts w:hint="eastAsia"/>
        </w:rPr>
        <w:t>和第</w:t>
      </w:r>
      <w:r>
        <w:rPr>
          <w:rFonts w:hint="eastAsia"/>
        </w:rPr>
        <w:t>236</w:t>
      </w:r>
      <w:r>
        <w:rPr>
          <w:rFonts w:hint="eastAsia"/>
        </w:rPr>
        <w:t>段</w:t>
      </w:r>
      <w:r w:rsidR="00610312">
        <w:rPr>
          <w:rFonts w:hint="eastAsia"/>
        </w:rPr>
        <w:t>)</w:t>
      </w:r>
      <w:r>
        <w:rPr>
          <w:rFonts w:hint="eastAsia"/>
        </w:rPr>
        <w:t>，请提供相关信息，说明为制止在招聘和晋升方面歧视妇女行为所采取的措施。请说明，为促进妇女在私营部门高级管理岗位的平等代表性所采取的措施。</w:t>
      </w:r>
    </w:p>
    <w:p w:rsidR="00D92D1C" w:rsidRDefault="00D92D1C" w:rsidP="00B02A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sidR="00610312">
        <w:tab/>
      </w:r>
      <w:r>
        <w:rPr>
          <w:rFonts w:hint="eastAsia"/>
        </w:rPr>
        <w:t>健康</w:t>
      </w:r>
    </w:p>
    <w:p w:rsidR="00D92D1C" w:rsidRDefault="00D92D1C" w:rsidP="00D92D1C">
      <w:pPr>
        <w:pStyle w:val="SingleTxt"/>
        <w:rPr>
          <w:rFonts w:hint="eastAsia"/>
        </w:rPr>
      </w:pPr>
      <w:r>
        <w:rPr>
          <w:rFonts w:hint="eastAsia"/>
        </w:rPr>
        <w:t>14.</w:t>
      </w:r>
      <w:r>
        <w:rPr>
          <w:rFonts w:hint="eastAsia"/>
        </w:rPr>
        <w:tab/>
      </w:r>
      <w:r>
        <w:rPr>
          <w:rFonts w:hint="eastAsia"/>
        </w:rPr>
        <w:t>请提供相关的最新信息，说明为应对委员会上一份结论性意见</w:t>
      </w:r>
      <w:r w:rsidR="00610312">
        <w:rPr>
          <w:rFonts w:hint="eastAsia"/>
        </w:rPr>
        <w:t>(</w:t>
      </w:r>
      <w:hyperlink r:id="rId18" w:history="1">
        <w:r w:rsidRPr="00610312">
          <w:rPr>
            <w:rStyle w:val="Hyperlink"/>
            <w:rFonts w:hint="eastAsia"/>
          </w:rPr>
          <w:t>CEDAW/C/</w:t>
        </w:r>
        <w:r w:rsidR="00B02A50">
          <w:rPr>
            <w:rStyle w:val="Hyperlink"/>
          </w:rPr>
          <w:t xml:space="preserve"> </w:t>
        </w:r>
        <w:r w:rsidRPr="00610312">
          <w:rPr>
            <w:rStyle w:val="Hyperlink"/>
            <w:rFonts w:hint="eastAsia"/>
          </w:rPr>
          <w:t>TLS/CO/1</w:t>
        </w:r>
      </w:hyperlink>
      <w:r>
        <w:rPr>
          <w:rFonts w:hint="eastAsia"/>
        </w:rPr>
        <w:t>，第</w:t>
      </w:r>
      <w:r>
        <w:rPr>
          <w:rFonts w:hint="eastAsia"/>
        </w:rPr>
        <w:t>38</w:t>
      </w:r>
      <w:r>
        <w:rPr>
          <w:rFonts w:hint="eastAsia"/>
        </w:rPr>
        <w:t>段</w:t>
      </w:r>
      <w:r w:rsidR="00610312">
        <w:rPr>
          <w:rFonts w:hint="eastAsia"/>
        </w:rPr>
        <w:t>)</w:t>
      </w:r>
      <w:r>
        <w:rPr>
          <w:rFonts w:hint="eastAsia"/>
        </w:rPr>
        <w:t>提出的、委员会认为没有得到执行或只得到部分执行或与委员会根据缔约国</w:t>
      </w:r>
      <w:r>
        <w:rPr>
          <w:rFonts w:hint="eastAsia"/>
        </w:rPr>
        <w:t>2013</w:t>
      </w:r>
      <w:r>
        <w:rPr>
          <w:rFonts w:hint="eastAsia"/>
        </w:rPr>
        <w:t>年</w:t>
      </w:r>
      <w:r>
        <w:rPr>
          <w:rFonts w:hint="eastAsia"/>
        </w:rPr>
        <w:t>3</w:t>
      </w:r>
      <w:r>
        <w:rPr>
          <w:rFonts w:hint="eastAsia"/>
        </w:rPr>
        <w:t>月</w:t>
      </w:r>
      <w:r>
        <w:rPr>
          <w:rFonts w:hint="eastAsia"/>
        </w:rPr>
        <w:t>19</w:t>
      </w:r>
      <w:r>
        <w:rPr>
          <w:rFonts w:hint="eastAsia"/>
        </w:rPr>
        <w:t>日的后续来函认为其没有收到足够信息有关的具体关切所采取的措施。请提供相关信息，说明为确保缔约国境内发生的所有产妇死亡个案都经卫生管理信息系统予以上报所采取的措施。请说明，为确保能广泛获得可承受的避孕药具和计划生育服务所采取的措施</w:t>
      </w:r>
      <w:r w:rsidR="00610312">
        <w:rPr>
          <w:rFonts w:hint="eastAsia"/>
        </w:rPr>
        <w:t>(</w:t>
      </w:r>
      <w:r>
        <w:rPr>
          <w:rFonts w:hint="eastAsia"/>
        </w:rPr>
        <w:t>第</w:t>
      </w:r>
      <w:r>
        <w:rPr>
          <w:rFonts w:hint="eastAsia"/>
        </w:rPr>
        <w:t>269</w:t>
      </w:r>
      <w:r>
        <w:rPr>
          <w:rFonts w:hint="eastAsia"/>
        </w:rPr>
        <w:t>段</w:t>
      </w:r>
      <w:r w:rsidR="00610312">
        <w:rPr>
          <w:rFonts w:hint="eastAsia"/>
        </w:rPr>
        <w:t>)</w:t>
      </w:r>
      <w:r>
        <w:rPr>
          <w:rFonts w:hint="eastAsia"/>
        </w:rPr>
        <w:t>。</w:t>
      </w:r>
    </w:p>
    <w:p w:rsidR="00D92D1C" w:rsidRDefault="00D92D1C" w:rsidP="00D92D1C">
      <w:pPr>
        <w:pStyle w:val="SingleTxt"/>
        <w:rPr>
          <w:rFonts w:hint="eastAsia"/>
        </w:rPr>
      </w:pPr>
      <w:r>
        <w:rPr>
          <w:rFonts w:hint="eastAsia"/>
        </w:rPr>
        <w:t>15.</w:t>
      </w:r>
      <w:r>
        <w:rPr>
          <w:rFonts w:hint="eastAsia"/>
        </w:rPr>
        <w:tab/>
      </w:r>
      <w:r>
        <w:rPr>
          <w:rFonts w:hint="eastAsia"/>
        </w:rPr>
        <w:t>请说明，缔约国为审查其关于堕胎的立法以便消除堕胎妇女所遭受的惩罚性措施采取了哪些措施</w:t>
      </w:r>
      <w:r w:rsidR="00610312">
        <w:rPr>
          <w:rFonts w:hint="eastAsia"/>
        </w:rPr>
        <w:t>(</w:t>
      </w:r>
      <w:r>
        <w:rPr>
          <w:rFonts w:hint="eastAsia"/>
        </w:rPr>
        <w:t>第</w:t>
      </w:r>
      <w:r>
        <w:rPr>
          <w:rFonts w:hint="eastAsia"/>
        </w:rPr>
        <w:t>38</w:t>
      </w:r>
      <w:r>
        <w:rPr>
          <w:rFonts w:hint="eastAsia"/>
        </w:rPr>
        <w:t>段</w:t>
      </w:r>
      <w:r w:rsidR="00610312">
        <w:rPr>
          <w:rFonts w:hint="eastAsia"/>
        </w:rPr>
        <w:t>)</w:t>
      </w:r>
      <w:r>
        <w:rPr>
          <w:rFonts w:hint="eastAsia"/>
        </w:rPr>
        <w:t>。另请说明，缔约国是否撤销了关于必须听取妇女伴侣的意见，方能合法实施堕胎的要求。请说明，在威胁孕妇生命或健康、强奸、乱伦及胎儿严重缺陷等情况下，为实现堕胎非罪化所采取的措施。</w:t>
      </w:r>
    </w:p>
    <w:p w:rsidR="00D92D1C" w:rsidRDefault="00D92D1C" w:rsidP="00B02A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sidR="00610312">
        <w:tab/>
      </w:r>
      <w:r>
        <w:rPr>
          <w:rFonts w:hint="eastAsia"/>
        </w:rPr>
        <w:t>农村妇女</w:t>
      </w:r>
    </w:p>
    <w:p w:rsidR="00D92D1C" w:rsidRDefault="00D92D1C" w:rsidP="00D92D1C">
      <w:pPr>
        <w:pStyle w:val="SingleTxt"/>
        <w:rPr>
          <w:rFonts w:hint="eastAsia"/>
        </w:rPr>
      </w:pPr>
      <w:r>
        <w:rPr>
          <w:rFonts w:hint="eastAsia"/>
        </w:rPr>
        <w:t>16.</w:t>
      </w:r>
      <w:r>
        <w:rPr>
          <w:rFonts w:hint="eastAsia"/>
        </w:rPr>
        <w:tab/>
      </w:r>
      <w:r>
        <w:rPr>
          <w:rFonts w:hint="eastAsia"/>
        </w:rPr>
        <w:t>请提供相关信息，说明采取在制定和执行对性别问题有敏感认识的农村发展战略和方案以及确保农村妇女在其制定和执行这些战略和方案过程中的充分参与方面采取了哪些措施。请说明，为确保农村妇女获得保健服务</w:t>
      </w:r>
      <w:r w:rsidR="00610312">
        <w:rPr>
          <w:rFonts w:hint="eastAsia"/>
        </w:rPr>
        <w:t>(</w:t>
      </w:r>
      <w:r>
        <w:rPr>
          <w:rFonts w:hint="eastAsia"/>
        </w:rPr>
        <w:t>包括性和生殖保健服务</w:t>
      </w:r>
      <w:r w:rsidR="00610312">
        <w:rPr>
          <w:rFonts w:hint="eastAsia"/>
        </w:rPr>
        <w:t>)</w:t>
      </w:r>
      <w:r>
        <w:rPr>
          <w:rFonts w:hint="eastAsia"/>
        </w:rPr>
        <w:t>、教育、洁净水、电力和创收项目所采取的措施。</w:t>
      </w:r>
    </w:p>
    <w:p w:rsidR="00D92D1C" w:rsidRDefault="00D92D1C" w:rsidP="00B02A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sidR="00610312">
        <w:tab/>
      </w:r>
      <w:r>
        <w:rPr>
          <w:rFonts w:hint="eastAsia"/>
        </w:rPr>
        <w:t>回返家园的妇女</w:t>
      </w:r>
    </w:p>
    <w:p w:rsidR="00D92D1C" w:rsidRDefault="00D92D1C" w:rsidP="00D92D1C">
      <w:pPr>
        <w:pStyle w:val="SingleTxt"/>
        <w:rPr>
          <w:rFonts w:hint="eastAsia"/>
        </w:rPr>
      </w:pPr>
      <w:r>
        <w:rPr>
          <w:rFonts w:hint="eastAsia"/>
        </w:rPr>
        <w:t>17.</w:t>
      </w:r>
      <w:r>
        <w:rPr>
          <w:rFonts w:hint="eastAsia"/>
        </w:rPr>
        <w:tab/>
      </w:r>
      <w:r>
        <w:rPr>
          <w:rFonts w:hint="eastAsia"/>
        </w:rPr>
        <w:t>请提供相关信息，说明为制定安全理事会第</w:t>
      </w:r>
      <w:r>
        <w:rPr>
          <w:rFonts w:hint="eastAsia"/>
        </w:rPr>
        <w:t>1325 (2000)</w:t>
      </w:r>
      <w:r>
        <w:rPr>
          <w:rFonts w:hint="eastAsia"/>
        </w:rPr>
        <w:t>号和第</w:t>
      </w:r>
      <w:r>
        <w:rPr>
          <w:rFonts w:hint="eastAsia"/>
        </w:rPr>
        <w:t>1820 (2008)</w:t>
      </w:r>
      <w:r>
        <w:rPr>
          <w:rFonts w:hint="eastAsia"/>
        </w:rPr>
        <w:t>号决议所述国家政策，以及为回返家园妇女重返社会、能力建设和培训制定和执行对性别问题有敏感认识的计划和方案所采取的步骤。另请提供相关信息，说明依据委员会以前的结论性意见</w:t>
      </w:r>
      <w:r w:rsidR="00610312">
        <w:rPr>
          <w:rFonts w:hint="eastAsia"/>
        </w:rPr>
        <w:t>(</w:t>
      </w:r>
      <w:hyperlink r:id="rId19" w:history="1">
        <w:r w:rsidRPr="00610312">
          <w:rPr>
            <w:rStyle w:val="Hyperlink"/>
            <w:rFonts w:hint="eastAsia"/>
          </w:rPr>
          <w:t>CEDAW/C/TLS/CO/1</w:t>
        </w:r>
      </w:hyperlink>
      <w:r>
        <w:rPr>
          <w:rFonts w:hint="eastAsia"/>
        </w:rPr>
        <w:t>，第</w:t>
      </w:r>
      <w:r>
        <w:rPr>
          <w:rFonts w:hint="eastAsia"/>
        </w:rPr>
        <w:t>44</w:t>
      </w:r>
      <w:r>
        <w:rPr>
          <w:rFonts w:hint="eastAsia"/>
        </w:rPr>
        <w:t>段</w:t>
      </w:r>
      <w:r w:rsidR="00610312">
        <w:rPr>
          <w:rFonts w:hint="eastAsia"/>
        </w:rPr>
        <w:t>)</w:t>
      </w:r>
      <w:r>
        <w:rPr>
          <w:rFonts w:hint="eastAsia"/>
        </w:rPr>
        <w:t>，为确保作为暴力行为，包括性暴力受害者的回返家园妇女获得直接救济所采取的措施。</w:t>
      </w:r>
    </w:p>
    <w:p w:rsidR="00D92D1C" w:rsidRDefault="00D92D1C" w:rsidP="00B02A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sidR="00610312">
        <w:tab/>
      </w:r>
      <w:r>
        <w:rPr>
          <w:rFonts w:hint="eastAsia"/>
        </w:rPr>
        <w:t>婚姻和家庭关系</w:t>
      </w:r>
    </w:p>
    <w:p w:rsidR="00D92D1C" w:rsidRDefault="00D92D1C" w:rsidP="00B02A50">
      <w:pPr>
        <w:pStyle w:val="SingleTxt"/>
        <w:spacing w:after="120"/>
        <w:rPr>
          <w:rFonts w:hint="eastAsia"/>
        </w:rPr>
      </w:pPr>
      <w:r>
        <w:rPr>
          <w:rFonts w:hint="eastAsia"/>
        </w:rPr>
        <w:t>18.</w:t>
      </w:r>
      <w:r>
        <w:rPr>
          <w:rFonts w:hint="eastAsia"/>
        </w:rPr>
        <w:tab/>
      </w:r>
      <w:r>
        <w:rPr>
          <w:rFonts w:hint="eastAsia"/>
        </w:rPr>
        <w:t>报告指出，</w:t>
      </w:r>
      <w:r>
        <w:rPr>
          <w:rFonts w:hint="eastAsia"/>
        </w:rPr>
        <w:t>2011</w:t>
      </w:r>
      <w:r>
        <w:rPr>
          <w:rFonts w:hint="eastAsia"/>
        </w:rPr>
        <w:t>年《民法》规定，法定结婚年龄为</w:t>
      </w:r>
      <w:r>
        <w:rPr>
          <w:rFonts w:hint="eastAsia"/>
        </w:rPr>
        <w:t>17</w:t>
      </w:r>
      <w:r>
        <w:rPr>
          <w:rFonts w:hint="eastAsia"/>
        </w:rPr>
        <w:t>岁</w:t>
      </w:r>
      <w:r w:rsidR="00610312">
        <w:rPr>
          <w:rFonts w:hint="eastAsia"/>
        </w:rPr>
        <w:t>(</w:t>
      </w:r>
      <w:r>
        <w:rPr>
          <w:rFonts w:hint="eastAsia"/>
        </w:rPr>
        <w:t>第</w:t>
      </w:r>
      <w:r>
        <w:rPr>
          <w:rFonts w:hint="eastAsia"/>
        </w:rPr>
        <w:t>339</w:t>
      </w:r>
      <w:r>
        <w:rPr>
          <w:rFonts w:hint="eastAsia"/>
        </w:rPr>
        <w:t>段</w:t>
      </w:r>
      <w:r w:rsidR="00610312">
        <w:rPr>
          <w:rFonts w:hint="eastAsia"/>
        </w:rPr>
        <w:t>)</w:t>
      </w:r>
      <w:r>
        <w:rPr>
          <w:rFonts w:hint="eastAsia"/>
        </w:rPr>
        <w:t>。请提供信息，说明依据委员会先前的建议</w:t>
      </w:r>
      <w:r w:rsidR="00610312">
        <w:rPr>
          <w:rFonts w:hint="eastAsia"/>
        </w:rPr>
        <w:t>(</w:t>
      </w:r>
      <w:hyperlink r:id="rId20" w:history="1">
        <w:r w:rsidRPr="00610312">
          <w:rPr>
            <w:rStyle w:val="Hyperlink"/>
            <w:rFonts w:hint="eastAsia"/>
          </w:rPr>
          <w:t>CEDAW/C/TLS/CO/1</w:t>
        </w:r>
      </w:hyperlink>
      <w:r>
        <w:rPr>
          <w:rFonts w:hint="eastAsia"/>
        </w:rPr>
        <w:t>，第</w:t>
      </w:r>
      <w:r>
        <w:rPr>
          <w:rFonts w:hint="eastAsia"/>
        </w:rPr>
        <w:t>46</w:t>
      </w:r>
      <w:r>
        <w:rPr>
          <w:rFonts w:hint="eastAsia"/>
        </w:rPr>
        <w:t>段</w:t>
      </w:r>
      <w:r w:rsidR="00610312">
        <w:rPr>
          <w:rFonts w:hint="eastAsia"/>
        </w:rPr>
        <w:t>)</w:t>
      </w:r>
      <w:r>
        <w:rPr>
          <w:rFonts w:hint="eastAsia"/>
        </w:rPr>
        <w:t>，将法定年龄提高到《公约》规定的</w:t>
      </w:r>
      <w:r>
        <w:rPr>
          <w:rFonts w:hint="eastAsia"/>
        </w:rPr>
        <w:t>18</w:t>
      </w:r>
      <w:r>
        <w:rPr>
          <w:rFonts w:hint="eastAsia"/>
        </w:rPr>
        <w:t>岁采取了哪些步骤。报告还指出，《民法》载有一项关于离婚或配偶死亡后再婚必须等待的时间的条款，即男子为</w:t>
      </w:r>
      <w:r>
        <w:rPr>
          <w:rFonts w:hint="eastAsia"/>
        </w:rPr>
        <w:t>180</w:t>
      </w:r>
      <w:r>
        <w:rPr>
          <w:rFonts w:hint="eastAsia"/>
        </w:rPr>
        <w:t>天、妇女为</w:t>
      </w:r>
      <w:r>
        <w:rPr>
          <w:rFonts w:hint="eastAsia"/>
        </w:rPr>
        <w:t>300</w:t>
      </w:r>
      <w:r>
        <w:rPr>
          <w:rFonts w:hint="eastAsia"/>
        </w:rPr>
        <w:t>天</w:t>
      </w:r>
      <w:r w:rsidR="00610312">
        <w:rPr>
          <w:rFonts w:hint="eastAsia"/>
        </w:rPr>
        <w:t>(</w:t>
      </w:r>
      <w:r>
        <w:rPr>
          <w:rFonts w:hint="eastAsia"/>
        </w:rPr>
        <w:t>第</w:t>
      </w:r>
      <w:r>
        <w:rPr>
          <w:rFonts w:hint="eastAsia"/>
        </w:rPr>
        <w:t>1494</w:t>
      </w:r>
      <w:r>
        <w:rPr>
          <w:rFonts w:hint="eastAsia"/>
        </w:rPr>
        <w:t>条</w:t>
      </w:r>
      <w:r w:rsidR="00610312">
        <w:rPr>
          <w:rFonts w:hint="eastAsia"/>
        </w:rPr>
        <w:t>)(</w:t>
      </w:r>
      <w:r>
        <w:rPr>
          <w:rFonts w:hint="eastAsia"/>
        </w:rPr>
        <w:t>第</w:t>
      </w:r>
      <w:r>
        <w:rPr>
          <w:rFonts w:hint="eastAsia"/>
        </w:rPr>
        <w:t>357</w:t>
      </w:r>
      <w:r>
        <w:rPr>
          <w:rFonts w:hint="eastAsia"/>
        </w:rPr>
        <w:t>段</w:t>
      </w:r>
      <w:r w:rsidR="00610312">
        <w:rPr>
          <w:rFonts w:hint="eastAsia"/>
        </w:rPr>
        <w:t>)</w:t>
      </w:r>
      <w:r>
        <w:rPr>
          <w:rFonts w:hint="eastAsia"/>
        </w:rPr>
        <w:t>。请提供信息，说明是否有任何计划修正该条款，它对妇女存在歧视。</w:t>
      </w:r>
    </w:p>
    <w:p w:rsidR="00D92D1C" w:rsidRDefault="00D92D1C" w:rsidP="00D92D1C">
      <w:pPr>
        <w:pStyle w:val="SingleTxt"/>
        <w:rPr>
          <w:rFonts w:hint="eastAsia"/>
        </w:rPr>
      </w:pPr>
      <w:r>
        <w:rPr>
          <w:rFonts w:hint="eastAsia"/>
        </w:rPr>
        <w:t>19.</w:t>
      </w:r>
      <w:r>
        <w:rPr>
          <w:rFonts w:hint="eastAsia"/>
        </w:rPr>
        <w:tab/>
      </w:r>
      <w:r>
        <w:rPr>
          <w:rFonts w:hint="eastAsia"/>
        </w:rPr>
        <w:t>报告指出，依据《民法》第</w:t>
      </w:r>
      <w:r>
        <w:rPr>
          <w:rFonts w:hint="eastAsia"/>
        </w:rPr>
        <w:t>1475</w:t>
      </w:r>
      <w:r w:rsidR="00610312">
        <w:rPr>
          <w:rFonts w:hint="eastAsia"/>
        </w:rPr>
        <w:t>(</w:t>
      </w:r>
      <w:r>
        <w:rPr>
          <w:rFonts w:hint="eastAsia"/>
        </w:rPr>
        <w:t>1</w:t>
      </w:r>
      <w:r w:rsidR="00610312">
        <w:rPr>
          <w:rFonts w:hint="eastAsia"/>
        </w:rPr>
        <w:t>)</w:t>
      </w:r>
      <w:r>
        <w:rPr>
          <w:rFonts w:hint="eastAsia"/>
        </w:rPr>
        <w:t>条，该法承认</w:t>
      </w:r>
      <w:r>
        <w:rPr>
          <w:rFonts w:hint="eastAsia"/>
        </w:rPr>
        <w:t>3</w:t>
      </w:r>
      <w:r>
        <w:rPr>
          <w:rFonts w:hint="eastAsia"/>
        </w:rPr>
        <w:t>种形式的婚姻，即世俗婚姻、天主教婚姻和传统婚姻</w:t>
      </w:r>
      <w:r w:rsidR="00610312">
        <w:rPr>
          <w:rFonts w:hint="eastAsia"/>
        </w:rPr>
        <w:t>(</w:t>
      </w:r>
      <w:r>
        <w:rPr>
          <w:rFonts w:hint="eastAsia"/>
        </w:rPr>
        <w:t>第</w:t>
      </w:r>
      <w:r>
        <w:rPr>
          <w:rFonts w:hint="eastAsia"/>
        </w:rPr>
        <w:t>336</w:t>
      </w:r>
      <w:r>
        <w:rPr>
          <w:rFonts w:hint="eastAsia"/>
        </w:rPr>
        <w:t>段</w:t>
      </w:r>
      <w:r w:rsidR="00610312">
        <w:rPr>
          <w:rFonts w:hint="eastAsia"/>
        </w:rPr>
        <w:t>)</w:t>
      </w:r>
      <w:r>
        <w:rPr>
          <w:rFonts w:hint="eastAsia"/>
        </w:rPr>
        <w:t>。请说明，在婚姻存续期间及解除婚姻关系时，妇女在何种程度上享有与男子同等的权利。请提供相关信息，说明为促进婚姻和生育注册，特别是农村地区的注册采取了哪些措施。还请提供信息，说明为预防强迫婚姻和童婚所采取的措施。</w:t>
      </w:r>
      <w:bookmarkStart w:id="1" w:name="TmpSave"/>
      <w:bookmarkEnd w:id="1"/>
    </w:p>
    <w:p w:rsidR="00D92D1C" w:rsidRDefault="00D92D1C" w:rsidP="006103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sidR="00610312">
        <w:tab/>
      </w:r>
      <w:r>
        <w:rPr>
          <w:rFonts w:hint="eastAsia"/>
        </w:rPr>
        <w:t>取得土地和财产的权利</w:t>
      </w:r>
    </w:p>
    <w:p w:rsidR="00D92D1C" w:rsidRDefault="00D92D1C" w:rsidP="00D92D1C">
      <w:pPr>
        <w:pStyle w:val="SingleTxt"/>
        <w:rPr>
          <w:rFonts w:hint="eastAsia"/>
        </w:rPr>
      </w:pPr>
      <w:r>
        <w:rPr>
          <w:rFonts w:hint="eastAsia"/>
        </w:rPr>
        <w:t>20.</w:t>
      </w:r>
      <w:r>
        <w:rPr>
          <w:rFonts w:hint="eastAsia"/>
        </w:rPr>
        <w:tab/>
      </w:r>
      <w:r w:rsidRPr="00B02A50">
        <w:rPr>
          <w:rFonts w:hint="eastAsia"/>
          <w:spacing w:val="-2"/>
        </w:rPr>
        <w:t>请提供相关最新信息，说明在通过《征地法》草案、房地产金融基金以及确定不动产所有权的特别制度方面取得哪些进展。请说明，这些法律将在何种程度上保障妇女平等取得土地和财产的权利，并解释这些法律与习惯法和实践之间的关系。请提供信息，说明为推动联合土地所有权以及确保习惯性调解和土地纠纷解决工作保护妇女，包括那些事实上的伴侣与男子享有平等的权利所采取的措施</w:t>
      </w:r>
      <w:r>
        <w:rPr>
          <w:rFonts w:hint="eastAsia"/>
        </w:rPr>
        <w:t>。</w:t>
      </w:r>
    </w:p>
    <w:p w:rsidR="00D92D1C" w:rsidRDefault="00D92D1C" w:rsidP="006103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sidR="00610312">
        <w:tab/>
      </w:r>
      <w:r>
        <w:rPr>
          <w:rFonts w:hint="eastAsia"/>
        </w:rPr>
        <w:t>数据收集和分析</w:t>
      </w:r>
    </w:p>
    <w:p w:rsidR="00D92D1C" w:rsidRDefault="00D92D1C" w:rsidP="00D92D1C">
      <w:pPr>
        <w:pStyle w:val="SingleTxt"/>
        <w:rPr>
          <w:rFonts w:hint="eastAsia"/>
        </w:rPr>
      </w:pPr>
      <w:r>
        <w:rPr>
          <w:rFonts w:hint="eastAsia"/>
        </w:rPr>
        <w:t>21.</w:t>
      </w:r>
      <w:r>
        <w:rPr>
          <w:rFonts w:hint="eastAsia"/>
        </w:rPr>
        <w:tab/>
      </w:r>
      <w:r>
        <w:rPr>
          <w:rFonts w:hint="eastAsia"/>
        </w:rPr>
        <w:t>请提供相关最新信息，说明按照委员会此前的要求</w:t>
      </w:r>
      <w:r w:rsidR="00610312">
        <w:rPr>
          <w:rFonts w:hint="eastAsia"/>
        </w:rPr>
        <w:t>(</w:t>
      </w:r>
      <w:hyperlink r:id="rId21" w:history="1">
        <w:r w:rsidRPr="00610312">
          <w:rPr>
            <w:rStyle w:val="Hyperlink"/>
            <w:rFonts w:hint="eastAsia"/>
          </w:rPr>
          <w:t>CEDAW/C/TLS/CO/1</w:t>
        </w:r>
      </w:hyperlink>
      <w:r>
        <w:rPr>
          <w:rFonts w:hint="eastAsia"/>
        </w:rPr>
        <w:t>，第</w:t>
      </w:r>
      <w:r>
        <w:rPr>
          <w:rFonts w:hint="eastAsia"/>
        </w:rPr>
        <w:t>30</w:t>
      </w:r>
      <w:r>
        <w:rPr>
          <w:rFonts w:hint="eastAsia"/>
        </w:rPr>
        <w:t>段</w:t>
      </w:r>
      <w:r w:rsidR="00610312">
        <w:rPr>
          <w:rFonts w:hint="eastAsia"/>
        </w:rPr>
        <w:t>)</w:t>
      </w:r>
      <w:r>
        <w:rPr>
          <w:rFonts w:hint="eastAsia"/>
        </w:rPr>
        <w:t>，为系统化收集关于包括家庭暴力在内对妇女一切形式暴力行为的性别分类数据，以及利用妇女卖淫和贩运妇女的数据所做的努力。请说明就缔约国境内剥削妇女和女孩的发生率和原因所开展的研究和调查。请提供信息，说明按照委员会先前的要求</w:t>
      </w:r>
      <w:r w:rsidR="00610312">
        <w:rPr>
          <w:rFonts w:hint="eastAsia"/>
        </w:rPr>
        <w:t>(</w:t>
      </w:r>
      <w:r>
        <w:rPr>
          <w:rFonts w:hint="eastAsia"/>
        </w:rPr>
        <w:t>同上，第</w:t>
      </w:r>
      <w:r>
        <w:rPr>
          <w:rFonts w:hint="eastAsia"/>
        </w:rPr>
        <w:t>38</w:t>
      </w:r>
      <w:r>
        <w:rPr>
          <w:rFonts w:hint="eastAsia"/>
        </w:rPr>
        <w:t>段</w:t>
      </w:r>
      <w:r w:rsidR="00610312">
        <w:rPr>
          <w:rFonts w:hint="eastAsia"/>
        </w:rPr>
        <w:t>)</w:t>
      </w:r>
      <w:r>
        <w:rPr>
          <w:rFonts w:hint="eastAsia"/>
        </w:rPr>
        <w:t>，为建立涉及妇女健康所有方面的数据收集系统所采取的措施，包括监测具体影响。</w:t>
      </w:r>
    </w:p>
    <w:p w:rsidR="00D92D1C" w:rsidRDefault="00D92D1C" w:rsidP="0061031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Pr>
          <w:rFonts w:hint="eastAsia"/>
        </w:rPr>
        <w:tab/>
      </w:r>
      <w:r w:rsidR="00610312">
        <w:tab/>
      </w:r>
      <w:r>
        <w:rPr>
          <w:rFonts w:hint="eastAsia"/>
        </w:rPr>
        <w:t>《公约》第20条第1款的修正案</w:t>
      </w:r>
    </w:p>
    <w:p w:rsidR="00DB336D" w:rsidRDefault="00D92D1C" w:rsidP="00D92D1C">
      <w:pPr>
        <w:pStyle w:val="SingleTxt"/>
      </w:pPr>
      <w:r>
        <w:rPr>
          <w:rFonts w:hint="eastAsia"/>
        </w:rPr>
        <w:t>22.</w:t>
      </w:r>
      <w:r>
        <w:rPr>
          <w:rFonts w:hint="eastAsia"/>
        </w:rPr>
        <w:tab/>
      </w:r>
      <w:r>
        <w:rPr>
          <w:rFonts w:hint="eastAsia"/>
        </w:rPr>
        <w:t>请说明，在接受《公约》关于委员会会议时间的第</w:t>
      </w:r>
      <w:r>
        <w:rPr>
          <w:rFonts w:hint="eastAsia"/>
        </w:rPr>
        <w:t>20</w:t>
      </w:r>
      <w:r>
        <w:rPr>
          <w:rFonts w:hint="eastAsia"/>
        </w:rPr>
        <w:t>条第</w:t>
      </w:r>
      <w:r>
        <w:rPr>
          <w:rFonts w:hint="eastAsia"/>
        </w:rPr>
        <w:t>1</w:t>
      </w:r>
      <w:r>
        <w:rPr>
          <w:rFonts w:hint="eastAsia"/>
        </w:rPr>
        <w:t>款的修正案方面取得了哪些进展。</w:t>
      </w:r>
    </w:p>
    <w:p w:rsidR="00D92D1C" w:rsidRPr="00B02A50" w:rsidRDefault="00B02A50" w:rsidP="00B02A50">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D92D1C" w:rsidRPr="00B02A50" w:rsidSect="00DB336D">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6T09:45:00Z" w:initials="Start">
    <w:p w:rsidR="00DB336D" w:rsidRDefault="00DB336D">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AD1BAC">
        <w:fldChar w:fldCharType="separate"/>
      </w:r>
      <w:r w:rsidR="00AD1BAC">
        <w:rPr>
          <w:rFonts w:hint="eastAsia"/>
          <w:noProof/>
        </w:rPr>
        <w:t>页</w:t>
      </w:r>
      <w:r w:rsidR="00AD1BAC">
        <w:rPr>
          <w:rFonts w:hint="eastAsia"/>
          <w:noProof/>
        </w:rPr>
        <w:t xml:space="preserve">: </w:t>
      </w:r>
      <w:r w:rsidR="00AD1BAC">
        <w:rPr>
          <w:noProof/>
        </w:rPr>
        <w:t>1</w:t>
      </w:r>
      <w:r w:rsidR="00AD1BAC">
        <w:rPr>
          <w:rFonts w:hint="eastAsia"/>
          <w:noProof/>
        </w:rPr>
        <w:br/>
      </w:r>
      <w:r>
        <w:fldChar w:fldCharType="end"/>
      </w:r>
      <w:r>
        <w:rPr>
          <w:rStyle w:val="CommentReference"/>
        </w:rPr>
        <w:annotationRef/>
      </w:r>
      <w:r>
        <w:t>&lt;&lt;ODS JOB NO&gt;&gt;N1507264C&lt;&lt;ODS JOB NO&gt;&gt;</w:t>
      </w:r>
    </w:p>
    <w:p w:rsidR="00DB336D" w:rsidRDefault="00DB336D">
      <w:pPr>
        <w:pStyle w:val="CommentText"/>
      </w:pPr>
      <w:r>
        <w:t>&lt;&lt;ODS DOC SYMBOL1&gt;&gt;CEDAW/C/TLS/Q/2-3&lt;&lt;ODS DOC SYMBOL1&gt;&gt;</w:t>
      </w:r>
    </w:p>
    <w:p w:rsidR="00DB336D" w:rsidRDefault="00DB336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D3C" w:rsidRDefault="000C1D3C">
      <w:r>
        <w:separator/>
      </w:r>
    </w:p>
  </w:endnote>
  <w:endnote w:type="continuationSeparator" w:id="0">
    <w:p w:rsidR="000C1D3C" w:rsidRDefault="000C1D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DB336D" w:rsidTr="00DB336D">
      <w:tblPrEx>
        <w:tblCellMar>
          <w:top w:w="0" w:type="dxa"/>
          <w:bottom w:w="0" w:type="dxa"/>
        </w:tblCellMar>
      </w:tblPrEx>
      <w:tc>
        <w:tcPr>
          <w:tcW w:w="5028" w:type="dxa"/>
          <w:shd w:val="clear" w:color="auto" w:fill="auto"/>
        </w:tcPr>
        <w:p w:rsidR="00DB336D" w:rsidRPr="00DB336D" w:rsidRDefault="00DB336D" w:rsidP="00DB336D">
          <w:pPr>
            <w:pStyle w:val="Footer"/>
            <w:jc w:val="right"/>
            <w:rPr>
              <w:b w:val="0"/>
              <w:w w:val="103"/>
              <w:sz w:val="14"/>
            </w:rPr>
          </w:pPr>
          <w:fldSimple w:instr=" DOCVARIABLE &quot;FooterJN&quot; \* MERGEFORMAT ">
            <w:r w:rsidR="00AD1BAC">
              <w:rPr>
                <w:b w:val="0"/>
                <w:w w:val="103"/>
                <w:sz w:val="14"/>
              </w:rPr>
              <w:t>15-04041 (C)</w:t>
            </w:r>
          </w:fldSimple>
        </w:p>
      </w:tc>
      <w:tc>
        <w:tcPr>
          <w:tcW w:w="5028" w:type="dxa"/>
          <w:shd w:val="clear" w:color="auto" w:fill="auto"/>
        </w:tcPr>
        <w:p w:rsidR="00DB336D" w:rsidRPr="00DB336D" w:rsidRDefault="00DB336D" w:rsidP="00DB336D">
          <w:pPr>
            <w:pStyle w:val="Footer"/>
            <w:jc w:val="left"/>
            <w:rPr>
              <w:w w:val="103"/>
            </w:rPr>
          </w:pPr>
          <w:r>
            <w:rPr>
              <w:w w:val="103"/>
            </w:rPr>
            <w:fldChar w:fldCharType="begin"/>
          </w:r>
          <w:r>
            <w:rPr>
              <w:w w:val="103"/>
            </w:rPr>
            <w:instrText xml:space="preserve"> PAGE  \* Arabic  \* MERGEFORMAT </w:instrText>
          </w:r>
          <w:r>
            <w:rPr>
              <w:w w:val="103"/>
            </w:rPr>
            <w:fldChar w:fldCharType="separate"/>
          </w:r>
          <w:r w:rsidR="00AD1BAC">
            <w:rPr>
              <w:w w:val="103"/>
            </w:rPr>
            <w:t>4</w:t>
          </w:r>
          <w:r>
            <w:rPr>
              <w:w w:val="103"/>
            </w:rPr>
            <w:fldChar w:fldCharType="end"/>
          </w:r>
          <w:r>
            <w:rPr>
              <w:w w:val="103"/>
            </w:rPr>
            <w:t>/</w:t>
          </w:r>
          <w:fldSimple w:instr=" NUMPAGES  \* Arabic  \* MERGEFORMAT ">
            <w:r w:rsidR="00AD1BAC">
              <w:rPr>
                <w:w w:val="103"/>
              </w:rPr>
              <w:t>5</w:t>
            </w:r>
          </w:fldSimple>
        </w:p>
      </w:tc>
    </w:tr>
  </w:tbl>
  <w:p w:rsidR="00DB336D" w:rsidRPr="00DB336D" w:rsidRDefault="00DB336D" w:rsidP="00DB336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DB336D" w:rsidTr="00DB336D">
      <w:tblPrEx>
        <w:tblCellMar>
          <w:top w:w="0" w:type="dxa"/>
          <w:bottom w:w="0" w:type="dxa"/>
        </w:tblCellMar>
      </w:tblPrEx>
      <w:tc>
        <w:tcPr>
          <w:tcW w:w="5028" w:type="dxa"/>
          <w:shd w:val="clear" w:color="auto" w:fill="auto"/>
        </w:tcPr>
        <w:p w:rsidR="00DB336D" w:rsidRPr="00DB336D" w:rsidRDefault="00DB336D" w:rsidP="00DB336D">
          <w:pPr>
            <w:pStyle w:val="Footer"/>
            <w:jc w:val="right"/>
          </w:pPr>
          <w:fldSimple w:instr=" PAGE  \* Arabic  \* MERGEFORMAT ">
            <w:r w:rsidR="00AD1BAC">
              <w:t>5</w:t>
            </w:r>
          </w:fldSimple>
          <w:r>
            <w:t>/</w:t>
          </w:r>
          <w:fldSimple w:instr=" NUMPAGES  \* Arabic  \* MERGEFORMAT ">
            <w:r w:rsidR="00AD1BAC">
              <w:t>5</w:t>
            </w:r>
          </w:fldSimple>
        </w:p>
      </w:tc>
      <w:tc>
        <w:tcPr>
          <w:tcW w:w="5028" w:type="dxa"/>
          <w:shd w:val="clear" w:color="auto" w:fill="auto"/>
        </w:tcPr>
        <w:p w:rsidR="00DB336D" w:rsidRPr="00DB336D" w:rsidRDefault="00DB336D" w:rsidP="00DB336D">
          <w:pPr>
            <w:pStyle w:val="Footer"/>
            <w:jc w:val="left"/>
            <w:rPr>
              <w:b w:val="0"/>
              <w:w w:val="103"/>
              <w:sz w:val="14"/>
            </w:rPr>
          </w:pPr>
          <w:fldSimple w:instr=" DOCVARIABLE &quot;FooterJN&quot; \* MERGEFORMAT ">
            <w:r w:rsidR="00AD1BAC">
              <w:rPr>
                <w:b w:val="0"/>
                <w:w w:val="103"/>
                <w:sz w:val="14"/>
              </w:rPr>
              <w:t>15-04041 (C)</w:t>
            </w:r>
          </w:fldSimple>
        </w:p>
      </w:tc>
    </w:tr>
  </w:tbl>
  <w:p w:rsidR="00DB336D" w:rsidRPr="00DB336D" w:rsidRDefault="00DB336D" w:rsidP="00DB336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DB336D" w:rsidTr="00DB336D">
      <w:tblPrEx>
        <w:tblCellMar>
          <w:top w:w="0" w:type="dxa"/>
          <w:bottom w:w="0" w:type="dxa"/>
        </w:tblCellMar>
      </w:tblPrEx>
      <w:tc>
        <w:tcPr>
          <w:tcW w:w="3744" w:type="dxa"/>
        </w:tcPr>
        <w:p w:rsidR="00DB336D" w:rsidRDefault="00DB336D" w:rsidP="00DB336D">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2-3Size =1Lang = C"/>
                <w10:wrap anchorx="page" anchory="page"/>
              </v:shape>
            </w:pict>
          </w:r>
          <w:r w:rsidR="00D92D1C" w:rsidRPr="00D92D1C">
            <w:t xml:space="preserve">15-04041 </w:t>
          </w:r>
          <w:r w:rsidR="00D92D1C">
            <w:t>X</w:t>
          </w:r>
          <w:r w:rsidR="00D92D1C">
            <w:rPr>
              <w:rFonts w:hint="eastAsia"/>
            </w:rPr>
            <w:t xml:space="preserve"> </w:t>
          </w:r>
          <w:r w:rsidR="00D92D1C" w:rsidRPr="00D92D1C">
            <w:t>(C)</w:t>
          </w:r>
          <w:r>
            <w:t xml:space="preserve">    0</w:t>
          </w:r>
          <w:r w:rsidR="00D92D1C">
            <w:t>2</w:t>
          </w:r>
          <w:r>
            <w:t>0415    060415</w:t>
          </w:r>
        </w:p>
        <w:p w:rsidR="00DB336D" w:rsidRPr="00DB336D" w:rsidRDefault="00DB336D" w:rsidP="00DB336D">
          <w:pPr>
            <w:spacing w:before="80" w:line="210" w:lineRule="exact"/>
            <w:rPr>
              <w:rFonts w:ascii="Barcode 3 of 9 by request" w:hAnsi="Barcode 3 of 9 by request"/>
              <w:sz w:val="24"/>
            </w:rPr>
          </w:pPr>
          <w:r>
            <w:rPr>
              <w:rFonts w:ascii="Barcode 3 of 9 by request" w:hAnsi="Barcode 3 of 9 by request"/>
              <w:sz w:val="24"/>
            </w:rPr>
            <w:t>*1504041*</w:t>
          </w:r>
        </w:p>
      </w:tc>
      <w:tc>
        <w:tcPr>
          <w:tcW w:w="5028" w:type="dxa"/>
        </w:tcPr>
        <w:p w:rsidR="00DB336D" w:rsidRDefault="00DB336D" w:rsidP="00DB336D">
          <w:pPr>
            <w:pStyle w:val="Footer"/>
            <w:jc w:val="right"/>
            <w:rPr>
              <w:b w:val="0"/>
              <w:sz w:val="21"/>
            </w:rPr>
          </w:pPr>
          <w:r>
            <w:rPr>
              <w:b w:val="0"/>
              <w:sz w:val="21"/>
            </w:rPr>
            <w:pict>
              <v:shape id="_x0000_i1026" type="#_x0000_t75" style="width:48.75pt;height:18pt">
                <v:imagedata r:id="rId2" o:title="recycle_Chinese"/>
              </v:shape>
            </w:pict>
          </w:r>
        </w:p>
      </w:tc>
    </w:tr>
  </w:tbl>
  <w:p w:rsidR="00DB336D" w:rsidRPr="00DB336D" w:rsidRDefault="00DB336D" w:rsidP="00DB336D">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D3C" w:rsidRPr="00D92D1C" w:rsidRDefault="000C1D3C" w:rsidP="00D92D1C">
      <w:pPr>
        <w:pStyle w:val="Footer"/>
        <w:spacing w:after="80"/>
        <w:ind w:left="792"/>
        <w:rPr>
          <w:sz w:val="16"/>
        </w:rPr>
      </w:pPr>
      <w:r w:rsidRPr="00D92D1C">
        <w:rPr>
          <w:sz w:val="16"/>
        </w:rPr>
        <w:t>__________________</w:t>
      </w:r>
    </w:p>
  </w:footnote>
  <w:footnote w:type="continuationSeparator" w:id="0">
    <w:p w:rsidR="000C1D3C" w:rsidRPr="00D92D1C" w:rsidRDefault="000C1D3C" w:rsidP="00D92D1C">
      <w:pPr>
        <w:pStyle w:val="Footer"/>
        <w:spacing w:after="80"/>
        <w:ind w:left="792"/>
        <w:rPr>
          <w:sz w:val="16"/>
        </w:rPr>
      </w:pPr>
      <w:r w:rsidRPr="00D92D1C">
        <w:rPr>
          <w:sz w:val="16"/>
        </w:rPr>
        <w:t>__________________</w:t>
      </w:r>
    </w:p>
  </w:footnote>
  <w:footnote w:id="1">
    <w:p w:rsidR="00D92D1C" w:rsidRDefault="00D92D1C" w:rsidP="00D92D1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rsidRPr="00D92D1C">
        <w:rPr>
          <w:rFonts w:hint="eastAsia"/>
        </w:rPr>
        <w:tab/>
      </w:r>
      <w:r w:rsidRPr="00D92D1C">
        <w:rPr>
          <w:rFonts w:hint="eastAsia"/>
          <w:sz w:val="21"/>
          <w:szCs w:val="21"/>
          <w:vertAlign w:val="superscript"/>
        </w:rPr>
        <w:t>*</w:t>
      </w:r>
      <w:r w:rsidRPr="00D92D1C">
        <w:rPr>
          <w:rFonts w:hint="eastAsia"/>
        </w:rPr>
        <w:tab/>
      </w:r>
      <w:hyperlink r:id="rId1" w:history="1">
        <w:r w:rsidRPr="00610312">
          <w:rPr>
            <w:rStyle w:val="Hyperlink"/>
            <w:rFonts w:hint="eastAsia"/>
          </w:rPr>
          <w:t>CEDAW/C/62/1</w:t>
        </w:r>
      </w:hyperlink>
      <w:r w:rsidRPr="00D92D1C">
        <w:rPr>
          <w:rFonts w:hint="eastAsia"/>
        </w:rPr>
        <w:t>。</w:t>
      </w:r>
    </w:p>
    <w:p w:rsidR="00D92D1C" w:rsidRDefault="00D92D1C" w:rsidP="00D92D1C">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92D1C">
        <w:rPr>
          <w:rFonts w:hint="eastAsia"/>
        </w:rPr>
        <w:t>除非另有说明，段落编号系指东帝汶第二和第三次合并定期报告的编号。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DB336D" w:rsidTr="00DB336D">
      <w:tblPrEx>
        <w:tblCellMar>
          <w:top w:w="0" w:type="dxa"/>
          <w:bottom w:w="0" w:type="dxa"/>
        </w:tblCellMar>
      </w:tblPrEx>
      <w:trPr>
        <w:trHeight w:hRule="exact" w:val="864"/>
      </w:trPr>
      <w:tc>
        <w:tcPr>
          <w:tcW w:w="4838" w:type="dxa"/>
          <w:shd w:val="clear" w:color="auto" w:fill="auto"/>
          <w:vAlign w:val="bottom"/>
        </w:tcPr>
        <w:p w:rsidR="00DB336D" w:rsidRPr="00DB336D" w:rsidRDefault="00DB336D" w:rsidP="00DB336D">
          <w:pPr>
            <w:pStyle w:val="Header"/>
            <w:spacing w:after="80"/>
            <w:jc w:val="left"/>
            <w:rPr>
              <w:b/>
              <w:sz w:val="17"/>
            </w:rPr>
          </w:pPr>
          <w:fldSimple w:instr=" DOCVARIABLE &quot;sss1&quot; \* MERGEFORMAT ">
            <w:r w:rsidR="00AD1BAC">
              <w:rPr>
                <w:b/>
                <w:sz w:val="17"/>
              </w:rPr>
              <w:t>CEDAW/C/TLS/Q/2-3</w:t>
            </w:r>
          </w:fldSimple>
        </w:p>
      </w:tc>
      <w:tc>
        <w:tcPr>
          <w:tcW w:w="5028" w:type="dxa"/>
          <w:shd w:val="clear" w:color="auto" w:fill="auto"/>
          <w:vAlign w:val="bottom"/>
        </w:tcPr>
        <w:p w:rsidR="00DB336D" w:rsidRDefault="00DB336D" w:rsidP="00DB336D">
          <w:pPr>
            <w:pStyle w:val="Header"/>
          </w:pPr>
        </w:p>
      </w:tc>
    </w:tr>
  </w:tbl>
  <w:p w:rsidR="00DB336D" w:rsidRPr="00DB336D" w:rsidRDefault="00DB336D" w:rsidP="00DB336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DB336D" w:rsidTr="00DB336D">
      <w:tblPrEx>
        <w:tblCellMar>
          <w:top w:w="0" w:type="dxa"/>
          <w:bottom w:w="0" w:type="dxa"/>
        </w:tblCellMar>
      </w:tblPrEx>
      <w:trPr>
        <w:trHeight w:hRule="exact" w:val="864"/>
      </w:trPr>
      <w:tc>
        <w:tcPr>
          <w:tcW w:w="4838" w:type="dxa"/>
          <w:shd w:val="clear" w:color="auto" w:fill="auto"/>
          <w:vAlign w:val="bottom"/>
        </w:tcPr>
        <w:p w:rsidR="00DB336D" w:rsidRDefault="00DB336D" w:rsidP="00DB336D">
          <w:pPr>
            <w:pStyle w:val="Header"/>
          </w:pPr>
        </w:p>
      </w:tc>
      <w:tc>
        <w:tcPr>
          <w:tcW w:w="5028" w:type="dxa"/>
          <w:shd w:val="clear" w:color="auto" w:fill="auto"/>
          <w:vAlign w:val="bottom"/>
        </w:tcPr>
        <w:p w:rsidR="00DB336D" w:rsidRPr="00DB336D" w:rsidRDefault="00DB336D" w:rsidP="00DB336D">
          <w:pPr>
            <w:pStyle w:val="Header"/>
            <w:spacing w:after="80"/>
            <w:jc w:val="right"/>
            <w:rPr>
              <w:b/>
              <w:sz w:val="17"/>
            </w:rPr>
          </w:pPr>
          <w:fldSimple w:instr=" DOCVARIABLE &quot;sss1&quot; \* MERGEFORMAT ">
            <w:r w:rsidR="00AD1BAC">
              <w:rPr>
                <w:b/>
                <w:sz w:val="17"/>
              </w:rPr>
              <w:t>CEDAW/C/TLS/Q/2-3</w:t>
            </w:r>
          </w:fldSimple>
        </w:p>
      </w:tc>
    </w:tr>
  </w:tbl>
  <w:p w:rsidR="00DB336D" w:rsidRPr="00DB336D" w:rsidRDefault="00DB336D" w:rsidP="00DB336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DB336D" w:rsidTr="00DB336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B336D" w:rsidRDefault="00DB336D" w:rsidP="00DB336D">
          <w:pPr>
            <w:pStyle w:val="Header"/>
            <w:spacing w:after="120"/>
          </w:pPr>
        </w:p>
      </w:tc>
      <w:tc>
        <w:tcPr>
          <w:tcW w:w="1872" w:type="dxa"/>
          <w:tcBorders>
            <w:bottom w:val="single" w:sz="4" w:space="0" w:color="auto"/>
          </w:tcBorders>
          <w:shd w:val="clear" w:color="auto" w:fill="auto"/>
          <w:vAlign w:val="bottom"/>
        </w:tcPr>
        <w:p w:rsidR="00DB336D" w:rsidRPr="00DB336D" w:rsidRDefault="00DB336D" w:rsidP="00DB336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B336D" w:rsidRDefault="00DB336D" w:rsidP="00DB336D">
          <w:pPr>
            <w:pStyle w:val="Header"/>
            <w:spacing w:after="120"/>
          </w:pPr>
        </w:p>
      </w:tc>
      <w:tc>
        <w:tcPr>
          <w:tcW w:w="6523" w:type="dxa"/>
          <w:gridSpan w:val="3"/>
          <w:tcBorders>
            <w:bottom w:val="single" w:sz="4" w:space="0" w:color="auto"/>
          </w:tcBorders>
          <w:shd w:val="clear" w:color="auto" w:fill="auto"/>
          <w:vAlign w:val="bottom"/>
        </w:tcPr>
        <w:p w:rsidR="00DB336D" w:rsidRPr="00DB336D" w:rsidRDefault="00DB336D" w:rsidP="00DB336D">
          <w:pPr>
            <w:spacing w:after="80" w:line="240" w:lineRule="auto"/>
            <w:jc w:val="right"/>
            <w:rPr>
              <w:position w:val="-4"/>
            </w:rPr>
          </w:pPr>
          <w:r>
            <w:rPr>
              <w:position w:val="-4"/>
              <w:sz w:val="40"/>
            </w:rPr>
            <w:t>CEDAW</w:t>
          </w:r>
          <w:r>
            <w:rPr>
              <w:position w:val="-4"/>
            </w:rPr>
            <w:t>/C/TLS/Q/2-3</w:t>
          </w:r>
        </w:p>
      </w:tc>
    </w:tr>
    <w:tr w:rsidR="00DB336D" w:rsidRPr="00DB336D" w:rsidTr="00DB336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B336D" w:rsidRPr="00DB336D" w:rsidRDefault="00DB336D" w:rsidP="00DB336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DB336D" w:rsidRPr="00DB336D" w:rsidRDefault="00DB336D" w:rsidP="00DB336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B336D" w:rsidRPr="00DB336D" w:rsidRDefault="00DB336D" w:rsidP="00DB336D">
          <w:pPr>
            <w:pStyle w:val="Header"/>
            <w:spacing w:before="109"/>
          </w:pPr>
        </w:p>
      </w:tc>
      <w:tc>
        <w:tcPr>
          <w:tcW w:w="3180" w:type="dxa"/>
          <w:gridSpan w:val="2"/>
          <w:tcBorders>
            <w:top w:val="single" w:sz="4" w:space="0" w:color="auto"/>
            <w:bottom w:val="single" w:sz="12" w:space="0" w:color="auto"/>
          </w:tcBorders>
          <w:shd w:val="clear" w:color="auto" w:fill="auto"/>
        </w:tcPr>
        <w:p w:rsidR="00DB336D" w:rsidRDefault="00DB336D" w:rsidP="00DB336D">
          <w:pPr>
            <w:pStyle w:val="Distr"/>
          </w:pPr>
          <w:r>
            <w:t>Distr.: General</w:t>
          </w:r>
        </w:p>
        <w:p w:rsidR="00DB336D" w:rsidRDefault="00DB336D" w:rsidP="00DB336D">
          <w:pPr>
            <w:pStyle w:val="Publication"/>
          </w:pPr>
          <w:r>
            <w:t>17 March 2015</w:t>
          </w:r>
        </w:p>
        <w:p w:rsidR="00DB336D" w:rsidRDefault="00DB336D" w:rsidP="00DB336D">
          <w:pPr>
            <w:spacing w:line="240" w:lineRule="exact"/>
          </w:pPr>
          <w:r>
            <w:t>Chinese</w:t>
          </w:r>
        </w:p>
        <w:p w:rsidR="00DB336D" w:rsidRDefault="00DB336D" w:rsidP="00DB336D">
          <w:pPr>
            <w:pStyle w:val="Original"/>
          </w:pPr>
          <w:r>
            <w:t>Original: English</w:t>
          </w:r>
        </w:p>
        <w:p w:rsidR="00DB336D" w:rsidRPr="00DB336D" w:rsidRDefault="00DB336D" w:rsidP="00DB336D"/>
      </w:tc>
    </w:tr>
  </w:tbl>
  <w:p w:rsidR="00DB336D" w:rsidRPr="00DB336D" w:rsidRDefault="00DB336D" w:rsidP="00DB336D">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1*"/>
    <w:docVar w:name="CreationDt" w:val="06/04/2015 09:17:04"/>
    <w:docVar w:name="DocCategory" w:val="Doc"/>
    <w:docVar w:name="DocType" w:val="Final"/>
    <w:docVar w:name="DutyStation" w:val="New York"/>
    <w:docVar w:name="FooterJN" w:val="15-04041 (C)"/>
    <w:docVar w:name="jobn" w:val="15-04041 (C)"/>
    <w:docVar w:name="jobnDT" w:val="15-04041 (C)   060415"/>
    <w:docVar w:name="jobnDTDT" w:val="15-04041 (C)   060415   060415"/>
    <w:docVar w:name="JobNo" w:val="1504041C"/>
    <w:docVar w:name="OandT" w:val="sheng"/>
    <w:docVar w:name="PaperSize" w:val="Letter"/>
    <w:docVar w:name="sss1" w:val="CEDAW/C/TLS/Q/2-3"/>
    <w:docVar w:name="sss2" w:val="-"/>
    <w:docVar w:name="Symbol1" w:val="CEDAW/C/TLS/Q/2-3"/>
    <w:docVar w:name="Symbol2" w:val="-"/>
  </w:docVars>
  <w:rsids>
    <w:rsidRoot w:val="007C3372"/>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1D3C"/>
    <w:rsid w:val="000C4C08"/>
    <w:rsid w:val="000C4DDE"/>
    <w:rsid w:val="000C5208"/>
    <w:rsid w:val="000D32BA"/>
    <w:rsid w:val="000E240F"/>
    <w:rsid w:val="000E49A4"/>
    <w:rsid w:val="000F1058"/>
    <w:rsid w:val="000F55DC"/>
    <w:rsid w:val="000F75F9"/>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3F4B"/>
    <w:rsid w:val="00174233"/>
    <w:rsid w:val="001746A8"/>
    <w:rsid w:val="0017506F"/>
    <w:rsid w:val="001873A2"/>
    <w:rsid w:val="001944A4"/>
    <w:rsid w:val="001A495E"/>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1DF9"/>
    <w:rsid w:val="00602C6C"/>
    <w:rsid w:val="00610312"/>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3372"/>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3E43"/>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D1BAC"/>
    <w:rsid w:val="00AD4308"/>
    <w:rsid w:val="00AE6C5D"/>
    <w:rsid w:val="00AF021F"/>
    <w:rsid w:val="00AF114B"/>
    <w:rsid w:val="00AF2A33"/>
    <w:rsid w:val="00AF4C2D"/>
    <w:rsid w:val="00B014C7"/>
    <w:rsid w:val="00B02A50"/>
    <w:rsid w:val="00B03EFA"/>
    <w:rsid w:val="00B16C8C"/>
    <w:rsid w:val="00B171E7"/>
    <w:rsid w:val="00B2622B"/>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2D1C"/>
    <w:rsid w:val="00D950BE"/>
    <w:rsid w:val="00D9586D"/>
    <w:rsid w:val="00D95A8C"/>
    <w:rsid w:val="00D9749C"/>
    <w:rsid w:val="00DA4C43"/>
    <w:rsid w:val="00DA51B2"/>
    <w:rsid w:val="00DA647E"/>
    <w:rsid w:val="00DA6965"/>
    <w:rsid w:val="00DB0932"/>
    <w:rsid w:val="00DB293E"/>
    <w:rsid w:val="00DB336D"/>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5081"/>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singl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TLS/CO/1" TargetMode="External"/><Relationship Id="rId3" Type="http://schemas.openxmlformats.org/officeDocument/2006/relationships/settings" Target="settings.xml"/><Relationship Id="rId21" Type="http://schemas.openxmlformats.org/officeDocument/2006/relationships/hyperlink" Target="http://undocs.org/ch/CEDAW/C/TLS/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TLS/CO/1" TargetMode="External"/><Relationship Id="rId2" Type="http://schemas.openxmlformats.org/officeDocument/2006/relationships/styles" Target="styles.xml"/><Relationship Id="rId16" Type="http://schemas.openxmlformats.org/officeDocument/2006/relationships/hyperlink" Target="http://undocs.org/ch/CEDAW/C/TLS/CO/1" TargetMode="External"/><Relationship Id="rId20" Type="http://schemas.openxmlformats.org/officeDocument/2006/relationships/hyperlink" Target="http://undocs.org/ch/CEDAW/C/TLS/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TLS/CO/1"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ch/CEDAW/C/TLS/CO/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TLS/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5</Pages>
  <Words>2386</Words>
  <Characters>2554</Characters>
  <Application>Microsoft Office Outlook</Application>
  <DocSecurity>4</DocSecurity>
  <Lines>88</Lines>
  <Paragraphs>47</Paragraphs>
  <ScaleCrop>false</ScaleCrop>
  <Company>United Nations</Company>
  <LinksUpToDate>false</LinksUpToDate>
  <CharactersWithSpaces>4893</CharactersWithSpaces>
  <SharedDoc>false</SharedDoc>
  <HLinks>
    <vt:vector size="54" baseType="variant">
      <vt:variant>
        <vt:i4>1703959</vt:i4>
      </vt:variant>
      <vt:variant>
        <vt:i4>21</vt:i4>
      </vt:variant>
      <vt:variant>
        <vt:i4>0</vt:i4>
      </vt:variant>
      <vt:variant>
        <vt:i4>5</vt:i4>
      </vt:variant>
      <vt:variant>
        <vt:lpwstr>http://undocs.org/ch/CEDAW/C/TLS/CO/1</vt:lpwstr>
      </vt:variant>
      <vt:variant>
        <vt:lpwstr/>
      </vt:variant>
      <vt:variant>
        <vt:i4>1703959</vt:i4>
      </vt:variant>
      <vt:variant>
        <vt:i4>18</vt:i4>
      </vt:variant>
      <vt:variant>
        <vt:i4>0</vt:i4>
      </vt:variant>
      <vt:variant>
        <vt:i4>5</vt:i4>
      </vt:variant>
      <vt:variant>
        <vt:lpwstr>http://undocs.org/ch/CEDAW/C/TLS/CO/1</vt:lpwstr>
      </vt:variant>
      <vt:variant>
        <vt:lpwstr/>
      </vt:variant>
      <vt:variant>
        <vt:i4>1703959</vt:i4>
      </vt:variant>
      <vt:variant>
        <vt:i4>15</vt:i4>
      </vt:variant>
      <vt:variant>
        <vt:i4>0</vt:i4>
      </vt:variant>
      <vt:variant>
        <vt:i4>5</vt:i4>
      </vt:variant>
      <vt:variant>
        <vt:lpwstr>http://undocs.org/ch/CEDAW/C/TLS/CO/1</vt:lpwstr>
      </vt:variant>
      <vt:variant>
        <vt:lpwstr/>
      </vt:variant>
      <vt:variant>
        <vt:i4>1703959</vt:i4>
      </vt:variant>
      <vt:variant>
        <vt:i4>12</vt:i4>
      </vt:variant>
      <vt:variant>
        <vt:i4>0</vt:i4>
      </vt:variant>
      <vt:variant>
        <vt:i4>5</vt:i4>
      </vt:variant>
      <vt:variant>
        <vt:lpwstr>http://undocs.org/ch/CEDAW/C/TLS/CO/1</vt:lpwstr>
      </vt:variant>
      <vt:variant>
        <vt:lpwstr/>
      </vt:variant>
      <vt:variant>
        <vt:i4>1703959</vt:i4>
      </vt:variant>
      <vt:variant>
        <vt:i4>9</vt:i4>
      </vt:variant>
      <vt:variant>
        <vt:i4>0</vt:i4>
      </vt:variant>
      <vt:variant>
        <vt:i4>5</vt:i4>
      </vt:variant>
      <vt:variant>
        <vt:lpwstr>http://undocs.org/ch/CEDAW/C/TLS/CO/1</vt:lpwstr>
      </vt:variant>
      <vt:variant>
        <vt:lpwstr/>
      </vt:variant>
      <vt:variant>
        <vt:i4>1703959</vt:i4>
      </vt:variant>
      <vt:variant>
        <vt:i4>6</vt:i4>
      </vt:variant>
      <vt:variant>
        <vt:i4>0</vt:i4>
      </vt:variant>
      <vt:variant>
        <vt:i4>5</vt:i4>
      </vt:variant>
      <vt:variant>
        <vt:lpwstr>http://undocs.org/ch/CEDAW/C/TLS/CO/1</vt:lpwstr>
      </vt:variant>
      <vt:variant>
        <vt:lpwstr/>
      </vt:variant>
      <vt:variant>
        <vt:i4>1703959</vt:i4>
      </vt:variant>
      <vt:variant>
        <vt:i4>3</vt:i4>
      </vt:variant>
      <vt:variant>
        <vt:i4>0</vt:i4>
      </vt:variant>
      <vt:variant>
        <vt:i4>5</vt:i4>
      </vt:variant>
      <vt:variant>
        <vt:lpwstr>http://undocs.org/ch/CEDAW/C/TLS/CO/1</vt:lpwstr>
      </vt:variant>
      <vt:variant>
        <vt:lpwstr/>
      </vt:variant>
      <vt:variant>
        <vt:i4>6553720</vt:i4>
      </vt:variant>
      <vt:variant>
        <vt:i4>0</vt:i4>
      </vt:variant>
      <vt:variant>
        <vt:i4>0</vt:i4>
      </vt:variant>
      <vt:variant>
        <vt:i4>5</vt:i4>
      </vt:variant>
      <vt:variant>
        <vt:lpwstr>http://undocs.org/ch/CEDAW/C/TLS/2</vt:lpwstr>
      </vt:variant>
      <vt:variant>
        <vt:lpwstr/>
      </vt:variant>
      <vt:variant>
        <vt:i4>4718601</vt:i4>
      </vt:variant>
      <vt:variant>
        <vt:i4>0</vt:i4>
      </vt:variant>
      <vt:variant>
        <vt:i4>0</vt:i4>
      </vt:variant>
      <vt:variant>
        <vt:i4>5</vt:i4>
      </vt:variant>
      <vt:variant>
        <vt:lpwstr>http://undocs.org/ch/CEDAW/C/62/1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Zhenxue Sheng</cp:lastModifiedBy>
  <cp:revision>8</cp:revision>
  <cp:lastPrinted>2015-04-06T07:45:00Z</cp:lastPrinted>
  <dcterms:created xsi:type="dcterms:W3CDTF">2015-04-06T07:16:00Z</dcterms:created>
  <dcterms:modified xsi:type="dcterms:W3CDTF">2015-04-06T07:45:00Z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1504041</vt:lpwstr>
  </property>
  <property fmtid="{D5CDD505-2E9C-101B-9397-08002B2CF9AE}" pid="3" name="ODSRefJobNo">
    <vt:lpwstr>1507264C</vt:lpwstr>
  </property>
  <property fmtid="{D5CDD505-2E9C-101B-9397-08002B2CF9AE}" pid="4" name="Symbol1">
    <vt:lpwstr>CEDAW/C/TLS/Q/2-3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March 2015</vt:lpwstr>
  </property>
  <property fmtid="{D5CDD505-2E9C-101B-9397-08002B2CF9AE}" pid="9" name="Original">
    <vt:lpwstr>English</vt:lpwstr>
  </property>
  <property fmtid="{D5CDD505-2E9C-101B-9397-08002B2CF9AE}" pid="10" name="Release Date">
    <vt:lpwstr>060415</vt:lpwstr>
  </property>
  <property fmtid="{D5CDD505-2E9C-101B-9397-08002B2CF9AE}" pid="11" name="Comment">
    <vt:lpwstr/>
  </property>
  <property fmtid="{D5CDD505-2E9C-101B-9397-08002B2CF9AE}" pid="12" name="DraftPages">
    <vt:lpwstr> </vt:lpwstr>
  </property>
  <property fmtid="{D5CDD505-2E9C-101B-9397-08002B2CF9AE}" pid="13" name="Operator">
    <vt:lpwstr>sheng</vt:lpwstr>
  </property>
</Properties>
</file>