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E40CC2" w:rsidRPr="005B5F4D" w14:paraId="4C05FEDF" w14:textId="77777777" w:rsidTr="002D2D3F">
        <w:trPr>
          <w:trHeight w:hRule="exact" w:val="851"/>
        </w:trPr>
        <w:tc>
          <w:tcPr>
            <w:tcW w:w="1274" w:type="dxa"/>
            <w:tcBorders>
              <w:bottom w:val="single" w:sz="4" w:space="0" w:color="auto"/>
            </w:tcBorders>
            <w:shd w:val="clear" w:color="auto" w:fill="auto"/>
          </w:tcPr>
          <w:p w14:paraId="6C2E913C" w14:textId="77777777" w:rsidR="00E40CC2" w:rsidRPr="005B5F4D" w:rsidRDefault="00E40CC2" w:rsidP="003B7F51">
            <w:pPr>
              <w:kinsoku w:val="0"/>
              <w:overflowPunct w:val="0"/>
              <w:autoSpaceDE w:val="0"/>
              <w:autoSpaceDN w:val="0"/>
              <w:adjustRightInd w:val="0"/>
              <w:snapToGrid w:val="0"/>
              <w:spacing w:after="80" w:line="480" w:lineRule="exact"/>
              <w:rPr>
                <w:rFonts w:hint="cs"/>
                <w:sz w:val="40"/>
                <w:szCs w:val="40"/>
                <w:lang w:eastAsia="zh-TW"/>
              </w:rPr>
            </w:pPr>
          </w:p>
        </w:tc>
        <w:tc>
          <w:tcPr>
            <w:tcW w:w="4963" w:type="dxa"/>
            <w:tcBorders>
              <w:bottom w:val="single" w:sz="4" w:space="0" w:color="auto"/>
            </w:tcBorders>
            <w:shd w:val="clear" w:color="auto" w:fill="auto"/>
            <w:vAlign w:val="bottom"/>
          </w:tcPr>
          <w:p w14:paraId="5186AB99" w14:textId="77777777" w:rsidR="00E40CC2" w:rsidRPr="005B5F4D" w:rsidRDefault="00E40CC2" w:rsidP="00B452DB">
            <w:pPr>
              <w:spacing w:after="80" w:line="480" w:lineRule="exact"/>
              <w:ind w:left="57"/>
              <w:rPr>
                <w:sz w:val="30"/>
                <w:szCs w:val="30"/>
                <w:rtl/>
              </w:rPr>
            </w:pPr>
            <w:r w:rsidRPr="005B5F4D">
              <w:rPr>
                <w:rFonts w:hint="cs"/>
                <w:sz w:val="30"/>
                <w:szCs w:val="30"/>
                <w:rtl/>
              </w:rPr>
              <w:t>الأمم المتحدة</w:t>
            </w:r>
          </w:p>
        </w:tc>
        <w:tc>
          <w:tcPr>
            <w:tcW w:w="3402" w:type="dxa"/>
            <w:tcBorders>
              <w:bottom w:val="single" w:sz="4" w:space="0" w:color="auto"/>
            </w:tcBorders>
            <w:shd w:val="clear" w:color="auto" w:fill="auto"/>
            <w:vAlign w:val="bottom"/>
          </w:tcPr>
          <w:p w14:paraId="3671EFB7" w14:textId="66998CC5" w:rsidR="00E40CC2" w:rsidRPr="005B5F4D" w:rsidRDefault="00993936" w:rsidP="00993936">
            <w:pPr>
              <w:bidi w:val="0"/>
              <w:rPr>
                <w:szCs w:val="20"/>
                <w:lang w:eastAsia="zh-TW"/>
              </w:rPr>
            </w:pPr>
            <w:r w:rsidRPr="005B5F4D">
              <w:rPr>
                <w:sz w:val="40"/>
                <w:szCs w:val="20"/>
                <w:lang w:eastAsia="zh-TW"/>
              </w:rPr>
              <w:t>HRI</w:t>
            </w:r>
            <w:r w:rsidRPr="005B5F4D">
              <w:rPr>
                <w:szCs w:val="20"/>
                <w:lang w:eastAsia="zh-TW"/>
              </w:rPr>
              <w:t>/CORE/TGO/2024</w:t>
            </w:r>
          </w:p>
        </w:tc>
      </w:tr>
      <w:tr w:rsidR="00E40CC2" w:rsidRPr="005B5F4D" w14:paraId="04F5FF77" w14:textId="77777777" w:rsidTr="002D2D3F">
        <w:trPr>
          <w:trHeight w:hRule="exact" w:val="2835"/>
        </w:trPr>
        <w:tc>
          <w:tcPr>
            <w:tcW w:w="1274" w:type="dxa"/>
            <w:tcBorders>
              <w:top w:val="single" w:sz="4" w:space="0" w:color="auto"/>
              <w:bottom w:val="single" w:sz="12" w:space="0" w:color="auto"/>
            </w:tcBorders>
            <w:shd w:val="clear" w:color="auto" w:fill="auto"/>
          </w:tcPr>
          <w:p w14:paraId="1D0F7E1E" w14:textId="77777777" w:rsidR="00E40CC2" w:rsidRPr="005B5F4D" w:rsidRDefault="00E40CC2" w:rsidP="002D2D3F">
            <w:pPr>
              <w:jc w:val="center"/>
              <w:rPr>
                <w:sz w:val="56"/>
                <w:szCs w:val="56"/>
                <w:lang w:val="es-ES_tradnl"/>
              </w:rPr>
            </w:pPr>
            <w:r w:rsidRPr="005B5F4D">
              <w:rPr>
                <w:noProof/>
                <w:sz w:val="56"/>
                <w:szCs w:val="56"/>
              </w:rPr>
              <w:drawing>
                <wp:inline distT="0" distB="0" distL="0" distR="0" wp14:anchorId="4341949F" wp14:editId="45EF6D8E">
                  <wp:extent cx="628015" cy="614045"/>
                  <wp:effectExtent l="0" t="0" r="0" b="0"/>
                  <wp:docPr id="28" name="Picture 28"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شعار_الأمم_المتحدة"/>
                          <pic:cNvPicPr>
                            <a:picLocks noChangeAspect="1" noChangeArrowheads="1"/>
                          </pic:cNvPicPr>
                        </pic:nvPicPr>
                        <pic:blipFill>
                          <a:blip r:embed="rId8">
                            <a:extLst>
                              <a:ext uri="{28A0092B-C50C-407E-A947-70E740481C1C}">
                                <a14:useLocalDpi xmlns:a14="http://schemas.microsoft.com/office/drawing/2010/main" val="0"/>
                              </a:ext>
                            </a:extLst>
                          </a:blip>
                          <a:srcRect t="-1270" b="-1270"/>
                          <a:stretch>
                            <a:fillRect/>
                          </a:stretch>
                        </pic:blipFill>
                        <pic:spPr bwMode="auto">
                          <a:xfrm>
                            <a:off x="0" y="0"/>
                            <a:ext cx="628015" cy="614045"/>
                          </a:xfrm>
                          <a:prstGeom prst="rect">
                            <a:avLst/>
                          </a:prstGeom>
                          <a:noFill/>
                          <a:ln>
                            <a:noFill/>
                          </a:ln>
                        </pic:spPr>
                      </pic:pic>
                    </a:graphicData>
                  </a:graphic>
                </wp:inline>
              </w:drawing>
            </w:r>
          </w:p>
        </w:tc>
        <w:tc>
          <w:tcPr>
            <w:tcW w:w="4963" w:type="dxa"/>
            <w:tcBorders>
              <w:top w:val="single" w:sz="4" w:space="0" w:color="auto"/>
              <w:bottom w:val="single" w:sz="12" w:space="0" w:color="auto"/>
            </w:tcBorders>
            <w:shd w:val="clear" w:color="auto" w:fill="auto"/>
          </w:tcPr>
          <w:p w14:paraId="7665F4D9" w14:textId="77777777" w:rsidR="00E40CC2" w:rsidRPr="005B5F4D" w:rsidRDefault="00E40CC2" w:rsidP="00B452DB">
            <w:pPr>
              <w:spacing w:before="120" w:after="40" w:line="640" w:lineRule="exact"/>
              <w:ind w:left="57"/>
              <w:rPr>
                <w:rFonts w:ascii="Times New Roman Bold" w:hAnsi="Times New Roman Bold" w:hint="eastAsia"/>
                <w:b/>
                <w:bCs/>
                <w:sz w:val="46"/>
                <w:szCs w:val="46"/>
              </w:rPr>
            </w:pPr>
            <w:r w:rsidRPr="005B5F4D">
              <w:rPr>
                <w:rFonts w:ascii="Times New Roman Bold" w:hAnsi="Times New Roman Bold"/>
                <w:b/>
                <w:bCs/>
                <w:sz w:val="46"/>
                <w:szCs w:val="46"/>
                <w:rtl/>
              </w:rPr>
              <w:t>الصكوك الدولية لحقوق الإنسان</w:t>
            </w:r>
          </w:p>
        </w:tc>
        <w:tc>
          <w:tcPr>
            <w:tcW w:w="3402" w:type="dxa"/>
            <w:tcBorders>
              <w:top w:val="single" w:sz="4" w:space="0" w:color="auto"/>
              <w:bottom w:val="single" w:sz="12" w:space="0" w:color="auto"/>
            </w:tcBorders>
            <w:shd w:val="clear" w:color="auto" w:fill="auto"/>
          </w:tcPr>
          <w:p w14:paraId="10205BD3" w14:textId="77777777" w:rsidR="00E40CC2" w:rsidRPr="005B5F4D" w:rsidRDefault="00993936" w:rsidP="002D2D3F">
            <w:pPr>
              <w:bidi w:val="0"/>
              <w:spacing w:before="240"/>
              <w:rPr>
                <w:szCs w:val="20"/>
              </w:rPr>
            </w:pPr>
            <w:r w:rsidRPr="005B5F4D">
              <w:rPr>
                <w:szCs w:val="20"/>
              </w:rPr>
              <w:t>Distr.: General</w:t>
            </w:r>
          </w:p>
          <w:p w14:paraId="3B2A17D2" w14:textId="01C74EF3" w:rsidR="00993936" w:rsidRPr="005B5F4D" w:rsidRDefault="00561206" w:rsidP="00993936">
            <w:pPr>
              <w:bidi w:val="0"/>
              <w:spacing w:line="240" w:lineRule="exact"/>
              <w:jc w:val="left"/>
              <w:rPr>
                <w:szCs w:val="20"/>
              </w:rPr>
            </w:pPr>
            <w:r w:rsidRPr="005B5F4D">
              <w:rPr>
                <w:szCs w:val="20"/>
              </w:rPr>
              <w:t xml:space="preserve">14 August </w:t>
            </w:r>
            <w:r w:rsidR="00993936" w:rsidRPr="005B5F4D">
              <w:rPr>
                <w:szCs w:val="20"/>
              </w:rPr>
              <w:t>2024</w:t>
            </w:r>
          </w:p>
          <w:p w14:paraId="1BB45719" w14:textId="77777777" w:rsidR="00993936" w:rsidRPr="005B5F4D" w:rsidRDefault="00993936" w:rsidP="00993936">
            <w:pPr>
              <w:bidi w:val="0"/>
              <w:spacing w:line="240" w:lineRule="exact"/>
              <w:jc w:val="left"/>
              <w:rPr>
                <w:szCs w:val="20"/>
              </w:rPr>
            </w:pPr>
            <w:r w:rsidRPr="005B5F4D">
              <w:rPr>
                <w:szCs w:val="20"/>
              </w:rPr>
              <w:t>Arabic</w:t>
            </w:r>
          </w:p>
          <w:p w14:paraId="406F32A0" w14:textId="0302E921" w:rsidR="00993936" w:rsidRPr="005B5F4D" w:rsidRDefault="00993936" w:rsidP="00993936">
            <w:pPr>
              <w:bidi w:val="0"/>
              <w:spacing w:line="240" w:lineRule="exact"/>
              <w:jc w:val="left"/>
              <w:rPr>
                <w:szCs w:val="20"/>
              </w:rPr>
            </w:pPr>
            <w:r w:rsidRPr="005B5F4D">
              <w:rPr>
                <w:szCs w:val="20"/>
              </w:rPr>
              <w:t xml:space="preserve">Original: </w:t>
            </w:r>
            <w:r w:rsidR="00561206" w:rsidRPr="005B5F4D">
              <w:rPr>
                <w:szCs w:val="20"/>
              </w:rPr>
              <w:t>French</w:t>
            </w:r>
          </w:p>
        </w:tc>
      </w:tr>
    </w:tbl>
    <w:p w14:paraId="403C70D9" w14:textId="77777777" w:rsidR="00561206" w:rsidRPr="005B5F4D" w:rsidRDefault="00561206" w:rsidP="00A14405">
      <w:pPr>
        <w:pStyle w:val="HMGA"/>
        <w:spacing w:before="600" w:after="480"/>
        <w:rPr>
          <w:rFonts w:asciiTheme="majorBidi" w:hAnsiTheme="majorBidi" w:cstheme="majorBidi"/>
          <w:szCs w:val="20"/>
          <w:lang w:val="ar-SA" w:eastAsia="zh-TW" w:bidi="en-GB"/>
        </w:rPr>
      </w:pPr>
      <w:r w:rsidRPr="005B5F4D">
        <w:rPr>
          <w:rtl/>
        </w:rPr>
        <w:tab/>
      </w:r>
      <w:r w:rsidRPr="005B5F4D">
        <w:rPr>
          <w:rtl/>
        </w:rPr>
        <w:tab/>
        <w:t>وثيقة أساسية موحدة تشكل جزءاً من تقارير الدول الأطراف</w:t>
      </w:r>
    </w:p>
    <w:p w14:paraId="69C21064" w14:textId="5460E1CE" w:rsidR="00561206" w:rsidRPr="005B5F4D" w:rsidRDefault="00561206" w:rsidP="00A14405">
      <w:pPr>
        <w:pStyle w:val="HMGA"/>
        <w:spacing w:before="600" w:after="480"/>
        <w:rPr>
          <w:rFonts w:asciiTheme="majorBidi" w:hAnsiTheme="majorBidi" w:cstheme="majorBidi"/>
          <w:sz w:val="24"/>
          <w:szCs w:val="24"/>
          <w:lang w:val="fr-CH" w:eastAsia="zh-TW" w:bidi="en-GB"/>
        </w:rPr>
      </w:pPr>
      <w:r w:rsidRPr="005B5F4D">
        <w:rPr>
          <w:rtl/>
        </w:rPr>
        <w:tab/>
      </w:r>
      <w:r w:rsidRPr="005B5F4D">
        <w:rPr>
          <w:rtl/>
        </w:rPr>
        <w:tab/>
        <w:t>توغو</w:t>
      </w:r>
      <w:r w:rsidRPr="005B5F4D">
        <w:rPr>
          <w:rStyle w:val="FootnoteReference"/>
          <w:sz w:val="26"/>
          <w:szCs w:val="26"/>
          <w:vertAlign w:val="baseline"/>
          <w:rtl/>
          <w:lang w:val="en-US" w:eastAsia="zh-TW"/>
        </w:rPr>
        <w:footnoteReference w:customMarkFollows="1" w:id="1"/>
        <w:t>*</w:t>
      </w:r>
    </w:p>
    <w:p w14:paraId="54FBCB2E" w14:textId="3DA97D30" w:rsidR="00561206" w:rsidRPr="005B5F4D" w:rsidRDefault="00561206" w:rsidP="00561206">
      <w:pPr>
        <w:pStyle w:val="SingleTxtGA"/>
        <w:jc w:val="right"/>
        <w:rPr>
          <w:rFonts w:asciiTheme="majorBidi" w:hAnsiTheme="majorBidi" w:cstheme="majorBidi"/>
          <w:lang w:val="ar-SA" w:eastAsia="zh-TW" w:bidi="en-GB"/>
        </w:rPr>
      </w:pPr>
      <w:r w:rsidRPr="005B5F4D">
        <w:rPr>
          <w:rtl/>
        </w:rPr>
        <w:t>[تاريخ الاستلا</w:t>
      </w:r>
      <w:r w:rsidR="00E66903" w:rsidRPr="005B5F4D">
        <w:rPr>
          <w:rFonts w:ascii="Simplified Arabic" w:hint="cs"/>
          <w:rtl/>
        </w:rPr>
        <w:t>م</w:t>
      </w:r>
      <w:r w:rsidRPr="005B5F4D">
        <w:rPr>
          <w:rtl/>
        </w:rPr>
        <w:t xml:space="preserve"> </w:t>
      </w:r>
      <w:r w:rsidRPr="005B5F4D">
        <w:rPr>
          <w:rFonts w:ascii="Simplified Arabic"/>
          <w:rtl/>
        </w:rPr>
        <w:t>6</w:t>
      </w:r>
      <w:r w:rsidRPr="005B5F4D">
        <w:rPr>
          <w:rtl/>
        </w:rPr>
        <w:t xml:space="preserve"> حزيران/يونيه </w:t>
      </w:r>
      <w:r w:rsidRPr="005B5F4D">
        <w:rPr>
          <w:rFonts w:ascii="Simplified Arabic"/>
          <w:rtl/>
        </w:rPr>
        <w:t>2024]</w:t>
      </w:r>
    </w:p>
    <w:p w14:paraId="18F148A9" w14:textId="77777777" w:rsidR="00561206" w:rsidRPr="005B5F4D" w:rsidRDefault="00561206">
      <w:pPr>
        <w:bidi w:val="0"/>
        <w:spacing w:after="200" w:line="276" w:lineRule="auto"/>
        <w:jc w:val="left"/>
        <w:rPr>
          <w:rFonts w:eastAsia="Times New Roman"/>
          <w:b/>
          <w:sz w:val="28"/>
          <w:szCs w:val="30"/>
          <w:lang w:eastAsia="fr-FR"/>
        </w:rPr>
      </w:pPr>
      <w:r w:rsidRPr="005B5F4D">
        <w:rPr>
          <w:rtl/>
        </w:rPr>
        <w:br w:type="page"/>
      </w:r>
    </w:p>
    <w:p w14:paraId="69F13A69" w14:textId="728C9D8E" w:rsidR="00561206" w:rsidRPr="005B5F4D" w:rsidRDefault="00561206" w:rsidP="00561206">
      <w:pPr>
        <w:pStyle w:val="HChGA"/>
        <w:rPr>
          <w:rFonts w:asciiTheme="majorBidi" w:hAnsiTheme="majorBidi" w:cstheme="majorBidi"/>
          <w:szCs w:val="20"/>
          <w:lang w:val="ar-SA" w:eastAsia="zh-TW" w:bidi="en-GB"/>
        </w:rPr>
      </w:pPr>
      <w:r w:rsidRPr="005B5F4D">
        <w:rPr>
          <w:rtl/>
        </w:rPr>
        <w:lastRenderedPageBreak/>
        <w:tab/>
      </w:r>
      <w:r w:rsidRPr="005B5F4D">
        <w:rPr>
          <w:rtl/>
        </w:rPr>
        <w:tab/>
        <w:t>مقدمة</w:t>
      </w:r>
    </w:p>
    <w:p w14:paraId="665AB279" w14:textId="09FEAC75" w:rsidR="00561206" w:rsidRPr="005B5F4D" w:rsidRDefault="00561206" w:rsidP="00662201">
      <w:pPr>
        <w:pStyle w:val="SingleTxtGA"/>
        <w:spacing w:line="350" w:lineRule="exact"/>
        <w:rPr>
          <w:rFonts w:eastAsiaTheme="minorEastAsia"/>
          <w:lang w:val="ar-SA" w:eastAsia="zh-TW" w:bidi="en-GB"/>
        </w:rPr>
      </w:pPr>
      <w:r w:rsidRPr="005B5F4D">
        <w:rPr>
          <w:rFonts w:eastAsiaTheme="minorEastAsia"/>
          <w:rtl/>
        </w:rPr>
        <w:t>1-</w:t>
      </w:r>
      <w:r w:rsidRPr="005B5F4D">
        <w:rPr>
          <w:rFonts w:eastAsiaTheme="minorEastAsia"/>
          <w:rtl/>
        </w:rPr>
        <w:tab/>
        <w:t>أصبحت توغو طرف</w:t>
      </w:r>
      <w:r w:rsidR="00364E66" w:rsidRPr="005B5F4D">
        <w:rPr>
          <w:rFonts w:eastAsiaTheme="minorEastAsia"/>
          <w:rtl/>
        </w:rPr>
        <w:t xml:space="preserve">اً </w:t>
      </w:r>
      <w:r w:rsidRPr="005B5F4D">
        <w:rPr>
          <w:rFonts w:eastAsiaTheme="minorEastAsia"/>
          <w:rtl/>
        </w:rPr>
        <w:t xml:space="preserve">في الاتفاقية الدولية لحماية جميع الأشخاص من الاختفاء القسري في 21 تموز/يوليه 2014. وتنص المبادئ التوجيهية المتعلقة بشكل ومضمون التقارير التي يجب على الدول الأطراف تقديمها بموجب المادة 29 من الاتفاقية، التي اعتمدتها اللجنة المعنية بحالات الاختفاء القسري في دورتها الثانية المعقودة في الفترة من 26 إلى 30 آذار/مارس 2012، على أن تتألف تقارير الدول الأطراف المقدمة إلى هيئات المعاهدات من عنصرين: وثيقة أساسية موحدة ووثيقة عن كل صك. </w:t>
      </w:r>
    </w:p>
    <w:p w14:paraId="407DAE1D" w14:textId="1A66593D" w:rsidR="00561206" w:rsidRPr="005B5F4D" w:rsidRDefault="00561206" w:rsidP="00662201">
      <w:pPr>
        <w:pStyle w:val="SingleTxtGA"/>
        <w:spacing w:line="350" w:lineRule="exact"/>
        <w:rPr>
          <w:rFonts w:eastAsiaTheme="minorEastAsia"/>
          <w:spacing w:val="-5"/>
          <w:lang w:val="ar-SA" w:eastAsia="zh-TW" w:bidi="en-GB"/>
        </w:rPr>
      </w:pPr>
      <w:r w:rsidRPr="005B5F4D">
        <w:rPr>
          <w:rFonts w:eastAsiaTheme="minorEastAsia"/>
          <w:spacing w:val="-5"/>
          <w:rtl/>
        </w:rPr>
        <w:t>2-</w:t>
      </w:r>
      <w:r w:rsidRPr="005B5F4D">
        <w:rPr>
          <w:rFonts w:eastAsiaTheme="minorEastAsia"/>
          <w:spacing w:val="-5"/>
          <w:rtl/>
        </w:rPr>
        <w:tab/>
        <w:t>ووفقاً لهذه المبادئ التوجيهية، تقدم توغو هذه الوثيقة الأساسية التي تتضمن معلومات عامة عن</w:t>
      </w:r>
      <w:r w:rsidRPr="005B5F4D">
        <w:rPr>
          <w:rFonts w:eastAsiaTheme="minorEastAsia" w:hint="cs"/>
          <w:spacing w:val="-5"/>
          <w:rtl/>
        </w:rPr>
        <w:t> </w:t>
      </w:r>
      <w:r w:rsidRPr="005B5F4D">
        <w:rPr>
          <w:rFonts w:eastAsiaTheme="minorEastAsia"/>
          <w:spacing w:val="-5"/>
          <w:rtl/>
        </w:rPr>
        <w:t>توغو.</w:t>
      </w:r>
    </w:p>
    <w:p w14:paraId="308D666D" w14:textId="77777777" w:rsidR="00561206" w:rsidRPr="005B5F4D" w:rsidRDefault="00561206" w:rsidP="00662201">
      <w:pPr>
        <w:pStyle w:val="SingleTxtGA"/>
        <w:spacing w:line="350" w:lineRule="exact"/>
        <w:rPr>
          <w:rFonts w:eastAsiaTheme="minorEastAsia"/>
          <w:lang w:val="ar-SA" w:eastAsia="zh-TW" w:bidi="en-GB"/>
        </w:rPr>
      </w:pPr>
      <w:r w:rsidRPr="005B5F4D">
        <w:rPr>
          <w:rFonts w:eastAsiaTheme="minorEastAsia"/>
          <w:rtl/>
        </w:rPr>
        <w:t>3-</w:t>
      </w:r>
      <w:r w:rsidRPr="005B5F4D">
        <w:rPr>
          <w:rFonts w:eastAsiaTheme="minorEastAsia"/>
          <w:rtl/>
        </w:rPr>
        <w:tab/>
        <w:t>وقد صيغت هذه الوثيقة استناداً إلى دستور 14 تشرين الأول/أكتوبر 1992، وهي تنقسم إلى جزأين. ويقدم الجزء الأول معلومات عامة عن توغو، بينما يتناول الجزء الثاني الإطار القانوني والمؤسسي لتعزيز حقوق الإنسان وحمايتها.</w:t>
      </w:r>
    </w:p>
    <w:p w14:paraId="3B9F3FE9" w14:textId="5D9D340C" w:rsidR="00561206" w:rsidRPr="005B5F4D" w:rsidRDefault="00DF334D" w:rsidP="00DF334D">
      <w:pPr>
        <w:pStyle w:val="H1GA"/>
        <w:rPr>
          <w:lang w:val="ar-SA" w:eastAsia="zh-TW" w:bidi="en-GB"/>
        </w:rPr>
      </w:pPr>
      <w:r w:rsidRPr="005B5F4D">
        <w:rPr>
          <w:rtl/>
        </w:rPr>
        <w:tab/>
      </w:r>
      <w:r w:rsidRPr="005B5F4D">
        <w:rPr>
          <w:rtl/>
        </w:rPr>
        <w:tab/>
      </w:r>
      <w:r w:rsidR="00561206" w:rsidRPr="005B5F4D">
        <w:rPr>
          <w:rtl/>
        </w:rPr>
        <w:t>الجزء الأول</w:t>
      </w:r>
      <w:r w:rsidRPr="005B5F4D">
        <w:rPr>
          <w:rtl/>
        </w:rPr>
        <w:tab/>
      </w:r>
      <w:r w:rsidRPr="005B5F4D">
        <w:rPr>
          <w:rtl/>
        </w:rPr>
        <w:tab/>
      </w:r>
      <w:r w:rsidRPr="005B5F4D">
        <w:rPr>
          <w:rtl/>
        </w:rPr>
        <w:br/>
      </w:r>
      <w:r w:rsidR="00561206" w:rsidRPr="005B5F4D">
        <w:rPr>
          <w:rtl/>
        </w:rPr>
        <w:t>معلومات عامة عن توغو</w:t>
      </w:r>
    </w:p>
    <w:p w14:paraId="67639F17" w14:textId="77777777" w:rsidR="00561206" w:rsidRPr="005B5F4D" w:rsidRDefault="00561206" w:rsidP="00662201">
      <w:pPr>
        <w:pStyle w:val="SingleTxtGA"/>
        <w:spacing w:line="350" w:lineRule="exact"/>
        <w:rPr>
          <w:rFonts w:eastAsiaTheme="minorEastAsia"/>
          <w:lang w:val="ar-SA" w:eastAsia="zh-TW" w:bidi="en-GB"/>
        </w:rPr>
      </w:pPr>
      <w:r w:rsidRPr="005B5F4D">
        <w:rPr>
          <w:rFonts w:eastAsiaTheme="minorEastAsia"/>
          <w:rtl/>
        </w:rPr>
        <w:t>4-</w:t>
      </w:r>
      <w:r w:rsidRPr="005B5F4D">
        <w:rPr>
          <w:rFonts w:eastAsiaTheme="minorEastAsia"/>
          <w:rtl/>
        </w:rPr>
        <w:tab/>
        <w:t>يقدّم هذا الجزء لمحة موجزة عن جغرافية الدولة وتنظيمها السياسي والإداري وسكانها وبيئة الأعمال التجارية السائدة فيها وآفاق المستقبل.</w:t>
      </w:r>
    </w:p>
    <w:p w14:paraId="73DB2033" w14:textId="7B381187" w:rsidR="00561206" w:rsidRPr="005B5F4D" w:rsidRDefault="00DF334D" w:rsidP="00DF334D">
      <w:pPr>
        <w:pStyle w:val="HChGA"/>
        <w:rPr>
          <w:lang w:val="ar-SA" w:eastAsia="zh-TW" w:bidi="en-GB"/>
        </w:rPr>
      </w:pPr>
      <w:r w:rsidRPr="005B5F4D">
        <w:rPr>
          <w:rtl/>
        </w:rPr>
        <w:tab/>
      </w:r>
      <w:r w:rsidR="00561206" w:rsidRPr="005B5F4D">
        <w:rPr>
          <w:rtl/>
        </w:rPr>
        <w:t>أولا</w:t>
      </w:r>
      <w:r w:rsidRPr="005B5F4D">
        <w:rPr>
          <w:rFonts w:hint="cs"/>
          <w:rtl/>
        </w:rPr>
        <w:t>ً</w:t>
      </w:r>
      <w:r w:rsidR="00561206" w:rsidRPr="005B5F4D">
        <w:rPr>
          <w:rtl/>
        </w:rPr>
        <w:t>-</w:t>
      </w:r>
      <w:r w:rsidR="00561206" w:rsidRPr="005B5F4D">
        <w:rPr>
          <w:rtl/>
        </w:rPr>
        <w:tab/>
        <w:t>الموقع الجغرافي</w:t>
      </w:r>
    </w:p>
    <w:p w14:paraId="386F457B" w14:textId="77777777" w:rsidR="00561206" w:rsidRPr="005B5F4D" w:rsidRDefault="00561206" w:rsidP="00662201">
      <w:pPr>
        <w:pStyle w:val="SingleTxtGA"/>
        <w:spacing w:line="350" w:lineRule="exact"/>
        <w:rPr>
          <w:rFonts w:eastAsiaTheme="minorEastAsia"/>
          <w:lang w:val="ar-SA" w:eastAsia="zh-TW" w:bidi="en-GB"/>
        </w:rPr>
      </w:pPr>
      <w:r w:rsidRPr="005B5F4D">
        <w:rPr>
          <w:rFonts w:eastAsiaTheme="minorEastAsia"/>
          <w:rtl/>
        </w:rPr>
        <w:t>5-</w:t>
      </w:r>
      <w:r w:rsidRPr="005B5F4D">
        <w:rPr>
          <w:rFonts w:eastAsiaTheme="minorEastAsia"/>
          <w:rtl/>
        </w:rPr>
        <w:tab/>
      </w:r>
      <w:r w:rsidRPr="005B5F4D">
        <w:rPr>
          <w:rFonts w:eastAsiaTheme="minorEastAsia"/>
          <w:spacing w:val="-2"/>
          <w:rtl/>
        </w:rPr>
        <w:t>تقع توغو على الحافة الجنوبية لغرب أفريقيا، وتبلغ مساحتها 600 56 كيلومتر مربع وتحدها من</w:t>
      </w:r>
      <w:r w:rsidRPr="005B5F4D">
        <w:rPr>
          <w:rFonts w:eastAsiaTheme="minorEastAsia"/>
          <w:rtl/>
        </w:rPr>
        <w:t xml:space="preserve"> الشمال بوركينا فاسو ومن الجنوب خليج غينيا ومن الشرق بنن ومن الغرب غانا. وتقع توغو بين خطي العرض 6 و11 درجة شمالاً وبين خطي الطول 0 و2 درجة شمالاً وتمتد على مسافة 600 كيلومتر من </w:t>
      </w:r>
      <w:r w:rsidRPr="005B5F4D">
        <w:rPr>
          <w:rFonts w:eastAsiaTheme="minorEastAsia"/>
          <w:spacing w:val="-3"/>
          <w:rtl/>
        </w:rPr>
        <w:t>الجنوب إلى الشمال، ويتراوح عرضها بين 50 كيلومتراً على الساحل و150 كيلومتر بين 7 و8 درجات شمالاً</w:t>
      </w:r>
      <w:r w:rsidRPr="005B5F4D">
        <w:rPr>
          <w:rFonts w:eastAsiaTheme="minorEastAsia"/>
          <w:rtl/>
        </w:rPr>
        <w:t>. وموقع توغو الجغرافي وميناؤها العميق يجعلانها مركزاً حقيقياً للتجارة بين بلدان المنطقة دون الإقليمية.</w:t>
      </w:r>
    </w:p>
    <w:p w14:paraId="1FC94A64" w14:textId="2337517D" w:rsidR="00561206" w:rsidRPr="005B5F4D" w:rsidRDefault="00561206" w:rsidP="00662201">
      <w:pPr>
        <w:pStyle w:val="SingleTxtGA"/>
        <w:spacing w:line="350" w:lineRule="exact"/>
        <w:rPr>
          <w:rFonts w:eastAsiaTheme="minorEastAsia"/>
          <w:lang w:val="ar-SA" w:eastAsia="zh-TW" w:bidi="en-GB"/>
        </w:rPr>
      </w:pPr>
      <w:r w:rsidRPr="005B5F4D">
        <w:rPr>
          <w:rFonts w:eastAsiaTheme="minorEastAsia"/>
          <w:rtl/>
        </w:rPr>
        <w:t>6-</w:t>
      </w:r>
      <w:r w:rsidRPr="005B5F4D">
        <w:rPr>
          <w:rFonts w:eastAsiaTheme="minorEastAsia"/>
          <w:rtl/>
        </w:rPr>
        <w:tab/>
      </w:r>
      <w:r w:rsidRPr="005B5F4D">
        <w:rPr>
          <w:rFonts w:eastAsiaTheme="minorEastAsia"/>
          <w:spacing w:val="-2"/>
          <w:rtl/>
        </w:rPr>
        <w:t>وتوغو معروفة بشدة تنوع مناظرها الطبيعية بدءاً من الساحل الرملي في الجنوب والوديان الخضراء</w:t>
      </w:r>
      <w:r w:rsidRPr="005B5F4D">
        <w:rPr>
          <w:rFonts w:eastAsiaTheme="minorEastAsia"/>
          <w:rtl/>
        </w:rPr>
        <w:t xml:space="preserve"> </w:t>
      </w:r>
      <w:r w:rsidRPr="005B5F4D">
        <w:rPr>
          <w:rFonts w:eastAsiaTheme="minorEastAsia"/>
          <w:spacing w:val="-2"/>
          <w:rtl/>
        </w:rPr>
        <w:t>والهضاب في الوسط وانتهاءً بالسهول القاحلة والسافانا الشاسعة التي تنتشر فيها أشجار التبلدي في الشمال</w:t>
      </w:r>
      <w:r w:rsidRPr="005B5F4D">
        <w:rPr>
          <w:rFonts w:eastAsiaTheme="minorEastAsia"/>
          <w:rtl/>
        </w:rPr>
        <w:t xml:space="preserve">. </w:t>
      </w:r>
      <w:r w:rsidRPr="005B5F4D">
        <w:rPr>
          <w:rFonts w:eastAsiaTheme="minorEastAsia"/>
          <w:spacing w:val="-2"/>
          <w:rtl/>
        </w:rPr>
        <w:t>ونظراً لتكوينها الجيولوجي، فهي تتسم بالتنوع الكبير في تضاريسها المتباينة نسبياً رغم قلة ارتفاعها. وسلسلة</w:t>
      </w:r>
      <w:r w:rsidRPr="005B5F4D">
        <w:rPr>
          <w:rFonts w:eastAsiaTheme="minorEastAsia"/>
          <w:rtl/>
        </w:rPr>
        <w:t xml:space="preserve"> </w:t>
      </w:r>
      <w:r w:rsidRPr="005B5F4D">
        <w:rPr>
          <w:rFonts w:eastAsiaTheme="minorEastAsia"/>
          <w:spacing w:val="-2"/>
          <w:rtl/>
        </w:rPr>
        <w:t>جبال توغو هي أبرز ما يميز هذه التضاريس، وأعلى نقطة فيها هي جبل أغو (986 متراً)، وهي عبارة عن</w:t>
      </w:r>
      <w:r w:rsidRPr="005B5F4D">
        <w:rPr>
          <w:rFonts w:eastAsiaTheme="minorEastAsia"/>
          <w:rtl/>
        </w:rPr>
        <w:t xml:space="preserve"> امتداد لسلسلة جبال أتاكورا التي تمتد عبر البلد من بنن في الشمال الشرقي إلى غانا في الجنوب</w:t>
      </w:r>
      <w:r w:rsidR="00364E66" w:rsidRPr="005B5F4D">
        <w:rPr>
          <w:rFonts w:eastAsiaTheme="minorEastAsia" w:hint="cs"/>
          <w:rtl/>
        </w:rPr>
        <w:t> </w:t>
      </w:r>
      <w:r w:rsidRPr="005B5F4D">
        <w:rPr>
          <w:rFonts w:eastAsiaTheme="minorEastAsia"/>
          <w:rtl/>
        </w:rPr>
        <w:t>الغربي.</w:t>
      </w:r>
    </w:p>
    <w:p w14:paraId="0837957B" w14:textId="77777777" w:rsidR="00561206" w:rsidRPr="005B5F4D" w:rsidRDefault="00561206" w:rsidP="00662201">
      <w:pPr>
        <w:pStyle w:val="SingleTxtGA"/>
        <w:spacing w:line="350" w:lineRule="exact"/>
        <w:rPr>
          <w:rFonts w:eastAsiaTheme="minorEastAsia"/>
          <w:lang w:val="fr-CH" w:eastAsia="zh-TW" w:bidi="en-GB"/>
        </w:rPr>
      </w:pPr>
      <w:r w:rsidRPr="005B5F4D">
        <w:rPr>
          <w:rFonts w:eastAsiaTheme="minorEastAsia"/>
          <w:rtl/>
        </w:rPr>
        <w:t>7-</w:t>
      </w:r>
      <w:r w:rsidRPr="005B5F4D">
        <w:rPr>
          <w:rFonts w:eastAsiaTheme="minorEastAsia"/>
          <w:rtl/>
        </w:rPr>
        <w:tab/>
        <w:t xml:space="preserve">وتتمتع توغو عموماً بمناخ استوائي يُعزى إلى موقعها بين خطوط العرض. غير أن مناخ جنوبها يختلف اختلافاً كبيراً عن مناخ شمالها. ذلك أن ارتفاع أراضي البلد يؤثر على مناخها الذي يوصف بأنه "استوائي غيني في الجنوب واستوائي سوداني في الشمال". </w:t>
      </w:r>
    </w:p>
    <w:p w14:paraId="576E372B" w14:textId="3649CC6A" w:rsidR="00561206" w:rsidRPr="005B5F4D" w:rsidRDefault="00561206" w:rsidP="00662201">
      <w:pPr>
        <w:pStyle w:val="SingleTxtGA"/>
        <w:keepNext/>
        <w:spacing w:line="350" w:lineRule="exact"/>
        <w:rPr>
          <w:rFonts w:eastAsiaTheme="minorEastAsia"/>
          <w:lang w:val="ar-SA" w:eastAsia="zh-TW" w:bidi="en-GB"/>
        </w:rPr>
      </w:pPr>
      <w:r w:rsidRPr="005B5F4D">
        <w:rPr>
          <w:rFonts w:eastAsiaTheme="minorEastAsia"/>
          <w:rtl/>
        </w:rPr>
        <w:t>8-</w:t>
      </w:r>
      <w:r w:rsidRPr="005B5F4D">
        <w:rPr>
          <w:rFonts w:eastAsiaTheme="minorEastAsia"/>
          <w:rtl/>
        </w:rPr>
        <w:tab/>
        <w:t>وتتألف المنظومة الهيدروغرافية من ثلاثة أحواض رئيسية، هي:</w:t>
      </w:r>
    </w:p>
    <w:p w14:paraId="3A476242" w14:textId="54BA660D" w:rsidR="00561206" w:rsidRPr="005B5F4D" w:rsidRDefault="00561206" w:rsidP="00662201">
      <w:pPr>
        <w:pStyle w:val="SingleTxtGA"/>
        <w:numPr>
          <w:ilvl w:val="0"/>
          <w:numId w:val="30"/>
        </w:numPr>
        <w:tabs>
          <w:tab w:val="clear" w:pos="2608"/>
          <w:tab w:val="left" w:pos="2640"/>
        </w:tabs>
        <w:spacing w:after="40" w:line="340" w:lineRule="exact"/>
        <w:ind w:hanging="357"/>
        <w:rPr>
          <w:rFonts w:eastAsiaTheme="minorEastAsia"/>
          <w:lang w:val="ar-SA" w:eastAsia="zh-TW" w:bidi="en-GB"/>
        </w:rPr>
      </w:pPr>
      <w:r w:rsidRPr="005B5F4D">
        <w:rPr>
          <w:rFonts w:eastAsiaTheme="minorEastAsia"/>
          <w:rtl/>
        </w:rPr>
        <w:t xml:space="preserve">حوض فولتا في الشمال، الذي يصرِّفه نهر أوتي وروافده (كيران وكومونغو وكارا)، ونهر سانسارغو ونهر مو؛ </w:t>
      </w:r>
    </w:p>
    <w:p w14:paraId="5F915E8F" w14:textId="35FD3A30" w:rsidR="00561206" w:rsidRPr="005B5F4D" w:rsidRDefault="00561206" w:rsidP="00662201">
      <w:pPr>
        <w:pStyle w:val="SingleTxtGA"/>
        <w:numPr>
          <w:ilvl w:val="0"/>
          <w:numId w:val="30"/>
        </w:numPr>
        <w:tabs>
          <w:tab w:val="clear" w:pos="2608"/>
          <w:tab w:val="left" w:pos="2640"/>
        </w:tabs>
        <w:spacing w:after="40" w:line="340" w:lineRule="exact"/>
        <w:ind w:hanging="357"/>
        <w:rPr>
          <w:rFonts w:eastAsiaTheme="minorEastAsia"/>
          <w:lang w:val="ar-SA" w:eastAsia="zh-TW" w:bidi="en-GB"/>
        </w:rPr>
      </w:pPr>
      <w:r w:rsidRPr="005B5F4D">
        <w:rPr>
          <w:rFonts w:eastAsiaTheme="minorEastAsia"/>
          <w:rtl/>
        </w:rPr>
        <w:t xml:space="preserve">وحوض مونو في الوسط والجنوب الشرقي ونهر مونو وروافده آنييه وأمو وأوغو؛ </w:t>
      </w:r>
    </w:p>
    <w:p w14:paraId="66E572F5" w14:textId="4EAE146F" w:rsidR="00561206" w:rsidRPr="005B5F4D" w:rsidRDefault="00561206" w:rsidP="00662201">
      <w:pPr>
        <w:pStyle w:val="SingleTxtGA"/>
        <w:numPr>
          <w:ilvl w:val="0"/>
          <w:numId w:val="30"/>
        </w:numPr>
        <w:tabs>
          <w:tab w:val="clear" w:pos="2608"/>
          <w:tab w:val="left" w:pos="2640"/>
        </w:tabs>
        <w:spacing w:after="40" w:line="340" w:lineRule="exact"/>
        <w:ind w:hanging="357"/>
        <w:rPr>
          <w:rFonts w:eastAsiaTheme="minorEastAsia"/>
          <w:lang w:val="ar-SA" w:eastAsia="zh-TW" w:bidi="en-GB"/>
        </w:rPr>
      </w:pPr>
      <w:r w:rsidRPr="005B5F4D">
        <w:rPr>
          <w:rFonts w:eastAsiaTheme="minorEastAsia"/>
          <w:rtl/>
        </w:rPr>
        <w:t>وحوض بحيرة توغو في الجنوب والنهران الساحليان اللذان يصبان فيها، نهر زيو ونهر هاهو.</w:t>
      </w:r>
    </w:p>
    <w:p w14:paraId="0B780722" w14:textId="17919204" w:rsidR="00561206" w:rsidRPr="005B5F4D" w:rsidRDefault="00DF334D" w:rsidP="00DF334D">
      <w:pPr>
        <w:pStyle w:val="HChGA"/>
        <w:rPr>
          <w:lang w:val="ar-SA" w:eastAsia="zh-TW" w:bidi="en-GB"/>
        </w:rPr>
      </w:pPr>
      <w:r w:rsidRPr="005B5F4D">
        <w:rPr>
          <w:rtl/>
        </w:rPr>
        <w:lastRenderedPageBreak/>
        <w:tab/>
      </w:r>
      <w:r w:rsidR="00561206" w:rsidRPr="005B5F4D">
        <w:rPr>
          <w:rtl/>
        </w:rPr>
        <w:t>ثانيا</w:t>
      </w:r>
      <w:r w:rsidRPr="005B5F4D">
        <w:rPr>
          <w:rFonts w:hint="cs"/>
          <w:rtl/>
        </w:rPr>
        <w:t>ً</w:t>
      </w:r>
      <w:r w:rsidR="00561206" w:rsidRPr="005B5F4D">
        <w:rPr>
          <w:rtl/>
        </w:rPr>
        <w:t>-</w:t>
      </w:r>
      <w:r w:rsidR="00561206" w:rsidRPr="005B5F4D">
        <w:rPr>
          <w:rtl/>
        </w:rPr>
        <w:tab/>
        <w:t>النظام السياسي</w:t>
      </w:r>
    </w:p>
    <w:p w14:paraId="16B66CEF" w14:textId="1BFE4B36" w:rsidR="00561206" w:rsidRPr="005B5F4D" w:rsidRDefault="00561206" w:rsidP="00561206">
      <w:pPr>
        <w:pStyle w:val="SingleTxtGA"/>
        <w:rPr>
          <w:rFonts w:eastAsiaTheme="minorEastAsia"/>
          <w:lang w:val="ar-SA" w:eastAsia="zh-TW" w:bidi="en-GB"/>
        </w:rPr>
      </w:pPr>
      <w:r w:rsidRPr="005B5F4D">
        <w:rPr>
          <w:rFonts w:eastAsiaTheme="minorEastAsia"/>
          <w:rtl/>
        </w:rPr>
        <w:t>9-</w:t>
      </w:r>
      <w:r w:rsidRPr="005B5F4D">
        <w:rPr>
          <w:rFonts w:eastAsiaTheme="minorEastAsia"/>
          <w:rtl/>
        </w:rPr>
        <w:tab/>
        <w:t>من الناحية السياسية، يعد التنظيم السياسي</w:t>
      </w:r>
      <w:r w:rsidR="00364E66" w:rsidRPr="005B5F4D">
        <w:rPr>
          <w:rFonts w:eastAsiaTheme="minorEastAsia" w:hint="cs"/>
          <w:rtl/>
        </w:rPr>
        <w:t xml:space="preserve"> </w:t>
      </w:r>
      <w:r w:rsidRPr="005B5F4D">
        <w:rPr>
          <w:rFonts w:eastAsiaTheme="minorEastAsia"/>
          <w:rtl/>
        </w:rPr>
        <w:t>-</w:t>
      </w:r>
      <w:r w:rsidR="00364E66" w:rsidRPr="005B5F4D">
        <w:rPr>
          <w:rFonts w:eastAsiaTheme="minorEastAsia" w:hint="cs"/>
          <w:rtl/>
        </w:rPr>
        <w:t xml:space="preserve"> </w:t>
      </w:r>
      <w:r w:rsidRPr="005B5F4D">
        <w:rPr>
          <w:rFonts w:eastAsiaTheme="minorEastAsia"/>
          <w:rtl/>
        </w:rPr>
        <w:t>الإداري الحالي لتوغو إرث</w:t>
      </w:r>
      <w:r w:rsidR="00364E66" w:rsidRPr="005B5F4D">
        <w:rPr>
          <w:rFonts w:eastAsiaTheme="minorEastAsia"/>
          <w:rtl/>
        </w:rPr>
        <w:t xml:space="preserve">اً </w:t>
      </w:r>
      <w:r w:rsidRPr="005B5F4D">
        <w:rPr>
          <w:rFonts w:eastAsiaTheme="minorEastAsia"/>
          <w:rtl/>
        </w:rPr>
        <w:t>من ماضيها الاستعماري. فبعد الاستعمار الألماني، عاشت توغو تحت الحكم البريطاني والانتداب الفرنسي. وأصبحت توغو محمية ألمانية في عام 1884، ثم قُسمت بموجب معاهدة فرساي إلى إقليمين وُضِعا تحت انتداب عصبة الأمم، ثم تحت وصاية منظمة الأمم المتحدة، ثم عُهد بأمر إدارتهما إلى بريطانيا العظمى وفرنسا. وفي عام</w:t>
      </w:r>
      <w:r w:rsidR="00DF334D" w:rsidRPr="005B5F4D">
        <w:rPr>
          <w:rFonts w:eastAsiaTheme="minorEastAsia" w:hint="cs"/>
          <w:rtl/>
        </w:rPr>
        <w:t> </w:t>
      </w:r>
      <w:r w:rsidRPr="005B5F4D">
        <w:rPr>
          <w:rFonts w:eastAsiaTheme="minorEastAsia"/>
          <w:rtl/>
        </w:rPr>
        <w:t>1956، ضُمت توغو البريطانية (ومساحتها 800 33 كيلومتر مربع) إلى ساحل الذهب، التي</w:t>
      </w:r>
      <w:r w:rsidR="00DF334D" w:rsidRPr="005B5F4D">
        <w:rPr>
          <w:rFonts w:eastAsiaTheme="minorEastAsia" w:hint="cs"/>
          <w:rtl/>
        </w:rPr>
        <w:t> </w:t>
      </w:r>
      <w:r w:rsidRPr="005B5F4D">
        <w:rPr>
          <w:rFonts w:eastAsiaTheme="minorEastAsia"/>
          <w:rtl/>
        </w:rPr>
        <w:t>أصبحت دولة غانا المستقلة. ونالت المساحة المتبقية، البالغة 600 56 كيلومتر مربع، استقلالها في</w:t>
      </w:r>
      <w:r w:rsidR="00DF334D" w:rsidRPr="005B5F4D">
        <w:rPr>
          <w:rFonts w:eastAsiaTheme="minorEastAsia" w:hint="cs"/>
          <w:rtl/>
        </w:rPr>
        <w:t> </w:t>
      </w:r>
      <w:r w:rsidRPr="005B5F4D">
        <w:rPr>
          <w:rFonts w:eastAsiaTheme="minorEastAsia"/>
          <w:rtl/>
        </w:rPr>
        <w:t>27 نيسان/أبريل 1960 لتشكل جمهورية توغو.</w:t>
      </w:r>
    </w:p>
    <w:p w14:paraId="6F7DCE89" w14:textId="77777777" w:rsidR="00561206" w:rsidRPr="005B5F4D" w:rsidRDefault="00561206" w:rsidP="00561206">
      <w:pPr>
        <w:pStyle w:val="SingleTxtGA"/>
        <w:rPr>
          <w:rFonts w:eastAsiaTheme="minorEastAsia"/>
          <w:lang w:val="ar-SA" w:eastAsia="zh-TW" w:bidi="en-GB"/>
        </w:rPr>
      </w:pPr>
      <w:r w:rsidRPr="005B5F4D">
        <w:rPr>
          <w:rFonts w:eastAsiaTheme="minorEastAsia"/>
          <w:rtl/>
        </w:rPr>
        <w:t>10-</w:t>
      </w:r>
      <w:r w:rsidRPr="005B5F4D">
        <w:rPr>
          <w:rFonts w:eastAsiaTheme="minorEastAsia"/>
          <w:rtl/>
        </w:rPr>
        <w:tab/>
        <w:t>ومرت توغو بأربع جمهوريات منذ عام 1960. وأُقيمت الجمهورية الأولى في 14 تشرين الثاني/نوفمبر 1960 تحت نظام رئاسي، تلتها الجمهورية الثانية في 11 أيار/مايو 1963 تحت نظام شبه رئاسي، ثم الثالثة في 9 كانون الثاني/يناير 1980 تحت نظام رئاسي، وأخيراً الرابعة في 14 تشرين الأول/أكتوبر 1992 بنظام شبه رئاسي وجمعية وطنية متعددة الأحزاب. وتوغو بصدد اعتماد القانون المنشئ للجمهورية الخامسة.</w:t>
      </w:r>
    </w:p>
    <w:p w14:paraId="48694313" w14:textId="3D4D5677" w:rsidR="00561206" w:rsidRPr="005B5F4D" w:rsidRDefault="00DF334D" w:rsidP="00DF334D">
      <w:pPr>
        <w:pStyle w:val="HChGA"/>
        <w:rPr>
          <w:lang w:val="ar-SA" w:eastAsia="zh-TW" w:bidi="en-GB"/>
        </w:rPr>
      </w:pPr>
      <w:r w:rsidRPr="005B5F4D">
        <w:rPr>
          <w:rtl/>
        </w:rPr>
        <w:tab/>
      </w:r>
      <w:r w:rsidR="00561206" w:rsidRPr="005B5F4D">
        <w:rPr>
          <w:rtl/>
        </w:rPr>
        <w:t>ثالثا</w:t>
      </w:r>
      <w:r w:rsidRPr="005B5F4D">
        <w:rPr>
          <w:rFonts w:hint="cs"/>
          <w:rtl/>
        </w:rPr>
        <w:t>ً</w:t>
      </w:r>
      <w:r w:rsidR="00561206" w:rsidRPr="005B5F4D">
        <w:rPr>
          <w:rtl/>
        </w:rPr>
        <w:t>-</w:t>
      </w:r>
      <w:r w:rsidR="00561206" w:rsidRPr="005B5F4D">
        <w:rPr>
          <w:rtl/>
        </w:rPr>
        <w:tab/>
        <w:t>النظام الإداري</w:t>
      </w:r>
    </w:p>
    <w:p w14:paraId="093EF98F" w14:textId="77777777" w:rsidR="00561206" w:rsidRPr="005B5F4D" w:rsidRDefault="00561206" w:rsidP="00561206">
      <w:pPr>
        <w:pStyle w:val="SingleTxtGA"/>
        <w:rPr>
          <w:rFonts w:eastAsiaTheme="minorEastAsia"/>
          <w:lang w:val="ar-SA" w:eastAsia="zh-TW" w:bidi="en-GB"/>
        </w:rPr>
      </w:pPr>
      <w:r w:rsidRPr="005B5F4D">
        <w:rPr>
          <w:rFonts w:eastAsiaTheme="minorEastAsia"/>
          <w:rtl/>
        </w:rPr>
        <w:t>11-</w:t>
      </w:r>
      <w:r w:rsidRPr="005B5F4D">
        <w:rPr>
          <w:rFonts w:eastAsiaTheme="minorEastAsia"/>
          <w:rtl/>
        </w:rPr>
        <w:tab/>
        <w:t xml:space="preserve">من الناحية الإدارية، ينقسم البلد إلى خمس مناطق إدارية تتألف من تسع وثلاثين محافظة. وتضم توغو 117 بلدية، من بينها منطقة لومي الكبرى المتمتعة بالحكم الذاتي. </w:t>
      </w:r>
    </w:p>
    <w:p w14:paraId="4FF8ABA1" w14:textId="77777777" w:rsidR="00561206" w:rsidRPr="005B5F4D" w:rsidRDefault="00561206" w:rsidP="00561206">
      <w:pPr>
        <w:pStyle w:val="SingleTxtGA"/>
        <w:rPr>
          <w:rFonts w:eastAsiaTheme="minorEastAsia"/>
          <w:lang w:val="ar-SA" w:eastAsia="zh-TW" w:bidi="en-GB"/>
        </w:rPr>
      </w:pPr>
      <w:r w:rsidRPr="005B5F4D">
        <w:rPr>
          <w:rFonts w:eastAsiaTheme="minorEastAsia"/>
          <w:rtl/>
        </w:rPr>
        <w:t>12-</w:t>
      </w:r>
      <w:r w:rsidRPr="005B5F4D">
        <w:rPr>
          <w:rFonts w:eastAsiaTheme="minorEastAsia"/>
          <w:rtl/>
        </w:rPr>
        <w:tab/>
        <w:t>ومنطقة لومي الكبرى المتمتعة بالحكم الذاتي هي وحدة إقليمية متمتعة بوضع خاص ومصممة بحيث تؤدي مهام العاصمة، وهي مهام تشمل بعض جوانب التطوير والصيانة والتشغيل التي تتجاوز اختصاص البلديات.</w:t>
      </w:r>
    </w:p>
    <w:p w14:paraId="11DD20AC" w14:textId="77777777" w:rsidR="00561206" w:rsidRPr="005B5F4D" w:rsidRDefault="00561206" w:rsidP="00561206">
      <w:pPr>
        <w:pStyle w:val="SingleTxtGA"/>
        <w:rPr>
          <w:rFonts w:eastAsiaTheme="minorEastAsia"/>
          <w:lang w:val="ar-SA" w:eastAsia="zh-TW" w:bidi="en-GB"/>
        </w:rPr>
      </w:pPr>
      <w:r w:rsidRPr="005B5F4D">
        <w:rPr>
          <w:rFonts w:eastAsiaTheme="minorEastAsia"/>
          <w:rtl/>
        </w:rPr>
        <w:t>13-</w:t>
      </w:r>
      <w:r w:rsidRPr="005B5F4D">
        <w:rPr>
          <w:rFonts w:eastAsiaTheme="minorEastAsia"/>
          <w:rtl/>
        </w:rPr>
        <w:tab/>
        <w:t xml:space="preserve">أما المناطق الإدارية الخمس، من الجنوب إلى الشمال، فهي: المنطقة المطلة على البحر ومنطقة الهضاب والمنطقة الوسطى ومنطقة كارا ومنطقة السافانا. وتنقسم المحافظات إلى كانتونات والكانتونات إلى قرى. </w:t>
      </w:r>
    </w:p>
    <w:p w14:paraId="6B3B3083" w14:textId="77777777" w:rsidR="00561206" w:rsidRPr="005B5F4D" w:rsidRDefault="00561206" w:rsidP="00561206">
      <w:pPr>
        <w:pStyle w:val="SingleTxtGA"/>
        <w:rPr>
          <w:rFonts w:eastAsiaTheme="minorEastAsia"/>
          <w:lang w:val="ar-SA" w:eastAsia="zh-TW" w:bidi="en-GB"/>
        </w:rPr>
      </w:pPr>
      <w:r w:rsidRPr="005B5F4D">
        <w:rPr>
          <w:rFonts w:eastAsiaTheme="minorEastAsia"/>
          <w:rtl/>
        </w:rPr>
        <w:t>14-</w:t>
      </w:r>
      <w:r w:rsidRPr="005B5F4D">
        <w:rPr>
          <w:rFonts w:eastAsiaTheme="minorEastAsia"/>
          <w:rtl/>
        </w:rPr>
        <w:tab/>
        <w:t>وقد أدت عملية تطبيق اللامركزية التي شرعت فيها الحكومة إلى تنظيم انتخابات مجالس البلديات في 30 حزيران/يونيه و15 آب/أغسطس 2019، مما أدى إلى تفعيل تلك المجالس في البلديات البالغ عددها 117 بلدية. وستمكن نتائج الانتخابات الإقليمية التي جرت في 29 نيسان/أبريل 2024 من تطبيق اللامركزية على مستوى الأقاليم.</w:t>
      </w:r>
    </w:p>
    <w:p w14:paraId="58C0FD1C" w14:textId="6854327A" w:rsidR="00561206" w:rsidRPr="005B5F4D" w:rsidRDefault="00DF334D" w:rsidP="00DF334D">
      <w:pPr>
        <w:pStyle w:val="HChGA"/>
        <w:rPr>
          <w:lang w:val="ar-SA" w:eastAsia="zh-TW" w:bidi="en-GB"/>
        </w:rPr>
      </w:pPr>
      <w:r w:rsidRPr="005B5F4D">
        <w:rPr>
          <w:rtl/>
        </w:rPr>
        <w:tab/>
      </w:r>
      <w:r w:rsidR="00561206" w:rsidRPr="005B5F4D">
        <w:rPr>
          <w:rtl/>
        </w:rPr>
        <w:t>رابعا</w:t>
      </w:r>
      <w:r w:rsidRPr="005B5F4D">
        <w:rPr>
          <w:rFonts w:hint="cs"/>
          <w:rtl/>
        </w:rPr>
        <w:t>ً</w:t>
      </w:r>
      <w:r w:rsidR="00561206" w:rsidRPr="005B5F4D">
        <w:rPr>
          <w:rtl/>
        </w:rPr>
        <w:t>-</w:t>
      </w:r>
      <w:r w:rsidR="00561206" w:rsidRPr="005B5F4D">
        <w:rPr>
          <w:rtl/>
        </w:rPr>
        <w:tab/>
        <w:t>الحياة الاجتماعية والثقافية</w:t>
      </w:r>
    </w:p>
    <w:p w14:paraId="7EBB0E2F" w14:textId="7240866A" w:rsidR="00561206" w:rsidRPr="005B5F4D" w:rsidRDefault="00561206" w:rsidP="00406EC2">
      <w:pPr>
        <w:pStyle w:val="SingleTxtGA"/>
        <w:rPr>
          <w:rFonts w:eastAsiaTheme="minorEastAsia"/>
          <w:lang w:val="ar-SA" w:eastAsia="zh-TW" w:bidi="en-GB"/>
        </w:rPr>
      </w:pPr>
      <w:r w:rsidRPr="005B5F4D">
        <w:rPr>
          <w:rFonts w:eastAsiaTheme="minorEastAsia"/>
          <w:rtl/>
        </w:rPr>
        <w:t>15-</w:t>
      </w:r>
      <w:r w:rsidRPr="005B5F4D">
        <w:rPr>
          <w:rFonts w:eastAsiaTheme="minorEastAsia"/>
          <w:rtl/>
        </w:rPr>
        <w:tab/>
        <w:t>وفقاً للنتائج النهائية للتعداد العام الخامس للسكان والمساكن، الذي أُجري في تشرين الثاني/</w:t>
      </w:r>
      <w:r w:rsidR="00DF334D" w:rsidRPr="005B5F4D">
        <w:rPr>
          <w:rFonts w:eastAsiaTheme="minorEastAsia" w:hint="cs"/>
          <w:rtl/>
        </w:rPr>
        <w:t xml:space="preserve"> </w:t>
      </w:r>
      <w:r w:rsidRPr="005B5F4D">
        <w:rPr>
          <w:rFonts w:eastAsiaTheme="minorEastAsia"/>
          <w:spacing w:val="-2"/>
          <w:rtl/>
        </w:rPr>
        <w:t xml:space="preserve">نوفمبر 2022، يبلغ عدد السكان المقيمين في توغو 498 095 8 شخصاً، ويبلغ عدد النساء 988 </w:t>
      </w:r>
      <w:r w:rsidR="00832E7B" w:rsidRPr="005B5F4D">
        <w:rPr>
          <w:rFonts w:eastAsiaTheme="minorEastAsia"/>
          <w:spacing w:val="-2"/>
          <w:rtl/>
        </w:rPr>
        <w:t>1</w:t>
      </w:r>
      <w:r w:rsidRPr="005B5F4D">
        <w:rPr>
          <w:rFonts w:eastAsiaTheme="minorEastAsia"/>
          <w:spacing w:val="-2"/>
          <w:rtl/>
        </w:rPr>
        <w:t>50 4</w:t>
      </w:r>
      <w:r w:rsidRPr="005B5F4D">
        <w:rPr>
          <w:rFonts w:eastAsiaTheme="minorEastAsia"/>
          <w:rtl/>
        </w:rPr>
        <w:t xml:space="preserve"> امرأة، أي ما نسبته 51,3 في المائة من السكان، مما يؤكد أن عدد النساء يفوق عدد الرجال في توغو. </w:t>
      </w:r>
    </w:p>
    <w:p w14:paraId="691C1A4E" w14:textId="0BEC945B" w:rsidR="00561206" w:rsidRPr="005B5F4D" w:rsidRDefault="00561206" w:rsidP="00406EC2">
      <w:pPr>
        <w:pStyle w:val="SingleTxtGA"/>
        <w:rPr>
          <w:rFonts w:eastAsiaTheme="minorEastAsia"/>
          <w:lang w:val="en-US" w:eastAsia="zh-TW" w:bidi="en-GB"/>
        </w:rPr>
      </w:pPr>
      <w:r w:rsidRPr="005B5F4D">
        <w:rPr>
          <w:rFonts w:eastAsiaTheme="minorEastAsia"/>
          <w:rtl/>
        </w:rPr>
        <w:t>16-</w:t>
      </w:r>
      <w:r w:rsidRPr="005B5F4D">
        <w:rPr>
          <w:rFonts w:eastAsiaTheme="minorEastAsia"/>
          <w:rtl/>
        </w:rPr>
        <w:tab/>
        <w:t>ووفق</w:t>
      </w:r>
      <w:r w:rsidR="00364E66" w:rsidRPr="005B5F4D">
        <w:rPr>
          <w:rFonts w:eastAsiaTheme="minorEastAsia"/>
          <w:rtl/>
        </w:rPr>
        <w:t xml:space="preserve">اً </w:t>
      </w:r>
      <w:r w:rsidRPr="005B5F4D">
        <w:rPr>
          <w:rFonts w:eastAsiaTheme="minorEastAsia"/>
          <w:rtl/>
        </w:rPr>
        <w:t xml:space="preserve">للنتائج نفسها، تتسم البنية العمرية للسكان بنسبة عالية من الشباب: حيث يشكل السكان الذين تقل أعمارهم عن 15 عاماً ما نسبته 41,6 في المائة من السكان، بينما يشكل السكان الذين تتراوح أعمارهم بين 15 عاماً و44 عاماً ما نسبته 54,6 من السكان؛ ويشكل السكان الذين تتراوح أعمارهم </w:t>
      </w:r>
      <w:r w:rsidRPr="005B5F4D">
        <w:rPr>
          <w:rFonts w:eastAsiaTheme="minorEastAsia"/>
          <w:rtl/>
        </w:rPr>
        <w:lastRenderedPageBreak/>
        <w:t>بين</w:t>
      </w:r>
      <w:r w:rsidR="00DF334D" w:rsidRPr="005B5F4D">
        <w:rPr>
          <w:rFonts w:eastAsiaTheme="minorEastAsia" w:hint="cs"/>
          <w:rtl/>
        </w:rPr>
        <w:t> </w:t>
      </w:r>
      <w:r w:rsidRPr="005B5F4D">
        <w:rPr>
          <w:rFonts w:eastAsiaTheme="minorEastAsia"/>
          <w:rtl/>
        </w:rPr>
        <w:t>45 عاماً و64 عاماً 11</w:t>
      </w:r>
      <w:r w:rsidR="00277294" w:rsidRPr="005B5F4D">
        <w:rPr>
          <w:rFonts w:eastAsiaTheme="minorEastAsia" w:hint="cs"/>
          <w:rtl/>
        </w:rPr>
        <w:t>,</w:t>
      </w:r>
      <w:r w:rsidRPr="005B5F4D">
        <w:rPr>
          <w:rFonts w:eastAsiaTheme="minorEastAsia"/>
          <w:rtl/>
        </w:rPr>
        <w:t>4 في المائة من السكان، أما السكان الذين تتراوح أعمارهم بين 65 عاماً فأكثر، فيشكلون 3</w:t>
      </w:r>
      <w:r w:rsidR="00832E7B" w:rsidRPr="005B5F4D">
        <w:rPr>
          <w:rFonts w:eastAsiaTheme="minorEastAsia" w:hint="cs"/>
          <w:rtl/>
        </w:rPr>
        <w:t>,</w:t>
      </w:r>
      <w:r w:rsidRPr="005B5F4D">
        <w:rPr>
          <w:rFonts w:eastAsiaTheme="minorEastAsia"/>
          <w:rtl/>
        </w:rPr>
        <w:t xml:space="preserve">8 في المائة. </w:t>
      </w:r>
    </w:p>
    <w:p w14:paraId="762A1EA4" w14:textId="1F841A3C" w:rsidR="00561206" w:rsidRPr="005B5F4D" w:rsidRDefault="00561206" w:rsidP="00406EC2">
      <w:pPr>
        <w:pStyle w:val="SingleTxtGA"/>
        <w:rPr>
          <w:rFonts w:eastAsiaTheme="minorEastAsia"/>
          <w:lang w:val="ar-SA" w:eastAsia="zh-TW" w:bidi="en-GB"/>
        </w:rPr>
      </w:pPr>
      <w:r w:rsidRPr="005B5F4D">
        <w:rPr>
          <w:rFonts w:eastAsiaTheme="minorEastAsia"/>
          <w:rtl/>
        </w:rPr>
        <w:t>17-</w:t>
      </w:r>
      <w:r w:rsidRPr="005B5F4D">
        <w:rPr>
          <w:rFonts w:eastAsiaTheme="minorEastAsia"/>
          <w:rtl/>
        </w:rPr>
        <w:tab/>
        <w:t>ويعيش غالبية السكان في المناطق الريفية، التي يبلغ عدد سكانها 706 621 4 أشخاص، مقابل 792 473 3 شخصاً في المناطق الحضرية، ليبلغ معدل التنمية الحضرية 42</w:t>
      </w:r>
      <w:r w:rsidR="00277294" w:rsidRPr="005B5F4D">
        <w:rPr>
          <w:rFonts w:eastAsiaTheme="minorEastAsia" w:hint="cs"/>
          <w:rtl/>
        </w:rPr>
        <w:t>,</w:t>
      </w:r>
      <w:r w:rsidRPr="005B5F4D">
        <w:rPr>
          <w:rFonts w:eastAsiaTheme="minorEastAsia"/>
          <w:rtl/>
        </w:rPr>
        <w:t>9 في المائة.</w:t>
      </w:r>
    </w:p>
    <w:p w14:paraId="48E66088" w14:textId="5AC1C7E8" w:rsidR="00561206" w:rsidRPr="005B5F4D" w:rsidRDefault="00DF334D" w:rsidP="00DF334D">
      <w:pPr>
        <w:pStyle w:val="H23GA"/>
        <w:rPr>
          <w:lang w:val="ar-SA" w:eastAsia="zh-TW" w:bidi="en-GB"/>
        </w:rPr>
      </w:pPr>
      <w:r w:rsidRPr="005B5F4D">
        <w:rPr>
          <w:rtl/>
        </w:rPr>
        <w:tab/>
      </w:r>
      <w:r w:rsidRPr="005B5F4D">
        <w:rPr>
          <w:rtl/>
        </w:rPr>
        <w:tab/>
      </w:r>
      <w:r w:rsidR="00561206" w:rsidRPr="005B5F4D">
        <w:rPr>
          <w:rtl/>
        </w:rPr>
        <w:t>عدد السكان المقيمين في توغو حسب مكان الإقامة والجنس</w:t>
      </w:r>
    </w:p>
    <w:tbl>
      <w:tblPr>
        <w:tblStyle w:val="TableGrid0"/>
        <w:bidiVisual/>
        <w:tblW w:w="7370" w:type="dxa"/>
        <w:tblInd w:w="1134" w:type="dxa"/>
        <w:tblLayout w:type="fixed"/>
        <w:tblLook w:val="04A0" w:firstRow="1" w:lastRow="0" w:firstColumn="1" w:lastColumn="0" w:noHBand="0" w:noVBand="1"/>
      </w:tblPr>
      <w:tblGrid>
        <w:gridCol w:w="2191"/>
        <w:gridCol w:w="1767"/>
        <w:gridCol w:w="1855"/>
        <w:gridCol w:w="1557"/>
      </w:tblGrid>
      <w:tr w:rsidR="00561206" w:rsidRPr="005B5F4D" w14:paraId="095A5009" w14:textId="77777777" w:rsidTr="00DF334D">
        <w:trPr>
          <w:tblHeader/>
        </w:trPr>
        <w:tc>
          <w:tcPr>
            <w:tcW w:w="2191" w:type="dxa"/>
            <w:vMerge w:val="restart"/>
            <w:tcBorders>
              <w:top w:val="single" w:sz="4" w:space="0" w:color="auto"/>
            </w:tcBorders>
            <w:shd w:val="clear" w:color="auto" w:fill="auto"/>
            <w:vAlign w:val="bottom"/>
          </w:tcPr>
          <w:p w14:paraId="49120B0F" w14:textId="77777777" w:rsidR="00561206" w:rsidRPr="005B5F4D" w:rsidRDefault="00561206" w:rsidP="00406EC2">
            <w:pPr>
              <w:keepNext/>
              <w:keepLines/>
              <w:spacing w:after="60" w:line="360" w:lineRule="exact"/>
              <w:ind w:firstLine="178"/>
              <w:jc w:val="left"/>
              <w:rPr>
                <w:rFonts w:eastAsiaTheme="minorEastAsia"/>
                <w:i/>
                <w:iCs/>
                <w:szCs w:val="20"/>
              </w:rPr>
            </w:pPr>
            <w:r w:rsidRPr="005B5F4D">
              <w:rPr>
                <w:rFonts w:eastAsiaTheme="minorEastAsia"/>
                <w:i/>
                <w:iCs/>
                <w:szCs w:val="20"/>
                <w:rtl/>
              </w:rPr>
              <w:t>الإقامة</w:t>
            </w:r>
          </w:p>
        </w:tc>
        <w:tc>
          <w:tcPr>
            <w:tcW w:w="3622" w:type="dxa"/>
            <w:gridSpan w:val="2"/>
            <w:tcBorders>
              <w:top w:val="single" w:sz="4" w:space="0" w:color="auto"/>
              <w:bottom w:val="single" w:sz="4" w:space="0" w:color="auto"/>
            </w:tcBorders>
            <w:shd w:val="clear" w:color="auto" w:fill="auto"/>
            <w:vAlign w:val="bottom"/>
          </w:tcPr>
          <w:p w14:paraId="543F2D7E" w14:textId="77777777" w:rsidR="00561206" w:rsidRPr="005B5F4D" w:rsidRDefault="00561206" w:rsidP="00406EC2">
            <w:pPr>
              <w:keepNext/>
              <w:keepLines/>
              <w:spacing w:after="60" w:line="360" w:lineRule="exact"/>
              <w:ind w:firstLine="178"/>
              <w:jc w:val="center"/>
              <w:rPr>
                <w:rFonts w:eastAsiaTheme="minorEastAsia"/>
                <w:i/>
                <w:iCs/>
                <w:szCs w:val="20"/>
              </w:rPr>
            </w:pPr>
            <w:r w:rsidRPr="005B5F4D">
              <w:rPr>
                <w:rFonts w:eastAsiaTheme="minorEastAsia"/>
                <w:i/>
                <w:iCs/>
                <w:szCs w:val="20"/>
                <w:rtl/>
              </w:rPr>
              <w:t>الجنس</w:t>
            </w:r>
          </w:p>
        </w:tc>
        <w:tc>
          <w:tcPr>
            <w:tcW w:w="1557" w:type="dxa"/>
            <w:vMerge w:val="restart"/>
            <w:tcBorders>
              <w:top w:val="single" w:sz="4" w:space="0" w:color="auto"/>
            </w:tcBorders>
            <w:shd w:val="clear" w:color="auto" w:fill="auto"/>
            <w:vAlign w:val="bottom"/>
          </w:tcPr>
          <w:p w14:paraId="16C11BF5" w14:textId="77777777" w:rsidR="00561206" w:rsidRPr="005B5F4D" w:rsidRDefault="00561206" w:rsidP="00406EC2">
            <w:pPr>
              <w:keepNext/>
              <w:keepLines/>
              <w:spacing w:after="60" w:line="360" w:lineRule="exact"/>
              <w:ind w:firstLine="178"/>
              <w:jc w:val="left"/>
              <w:rPr>
                <w:rFonts w:eastAsiaTheme="minorEastAsia"/>
                <w:i/>
                <w:iCs/>
                <w:szCs w:val="20"/>
              </w:rPr>
            </w:pPr>
            <w:r w:rsidRPr="005B5F4D">
              <w:rPr>
                <w:rFonts w:eastAsiaTheme="minorEastAsia"/>
                <w:i/>
                <w:iCs/>
                <w:szCs w:val="20"/>
                <w:rtl/>
              </w:rPr>
              <w:t>عموماً</w:t>
            </w:r>
          </w:p>
        </w:tc>
      </w:tr>
      <w:tr w:rsidR="00561206" w:rsidRPr="005B5F4D" w14:paraId="34F02AB7" w14:textId="77777777" w:rsidTr="00DF334D">
        <w:trPr>
          <w:tblHeader/>
        </w:trPr>
        <w:tc>
          <w:tcPr>
            <w:tcW w:w="2191" w:type="dxa"/>
            <w:vMerge/>
            <w:shd w:val="clear" w:color="auto" w:fill="auto"/>
            <w:vAlign w:val="bottom"/>
          </w:tcPr>
          <w:p w14:paraId="68BD2E6D" w14:textId="77777777" w:rsidR="00561206" w:rsidRPr="005B5F4D" w:rsidRDefault="00561206" w:rsidP="00406EC2">
            <w:pPr>
              <w:keepNext/>
              <w:keepLines/>
              <w:spacing w:after="60" w:line="360" w:lineRule="exact"/>
              <w:ind w:firstLine="178"/>
              <w:jc w:val="left"/>
              <w:rPr>
                <w:rFonts w:eastAsiaTheme="minorEastAsia"/>
                <w:i/>
                <w:iCs/>
                <w:szCs w:val="20"/>
              </w:rPr>
            </w:pPr>
          </w:p>
        </w:tc>
        <w:tc>
          <w:tcPr>
            <w:tcW w:w="1767" w:type="dxa"/>
            <w:tcBorders>
              <w:top w:val="single" w:sz="4" w:space="0" w:color="auto"/>
              <w:bottom w:val="single" w:sz="12" w:space="0" w:color="auto"/>
            </w:tcBorders>
            <w:shd w:val="clear" w:color="auto" w:fill="auto"/>
            <w:vAlign w:val="bottom"/>
          </w:tcPr>
          <w:p w14:paraId="3CAAFE8A" w14:textId="77777777" w:rsidR="00561206" w:rsidRPr="005B5F4D" w:rsidRDefault="00561206" w:rsidP="00406EC2">
            <w:pPr>
              <w:keepNext/>
              <w:keepLines/>
              <w:spacing w:after="60" w:line="360" w:lineRule="exact"/>
              <w:ind w:firstLine="178"/>
              <w:jc w:val="left"/>
              <w:rPr>
                <w:rFonts w:eastAsiaTheme="minorEastAsia"/>
                <w:i/>
                <w:iCs/>
                <w:szCs w:val="20"/>
              </w:rPr>
            </w:pPr>
            <w:r w:rsidRPr="005B5F4D">
              <w:rPr>
                <w:rFonts w:eastAsiaTheme="minorEastAsia"/>
                <w:i/>
                <w:iCs/>
                <w:szCs w:val="20"/>
                <w:rtl/>
              </w:rPr>
              <w:t>ذكور</w:t>
            </w:r>
          </w:p>
        </w:tc>
        <w:tc>
          <w:tcPr>
            <w:tcW w:w="1855" w:type="dxa"/>
            <w:tcBorders>
              <w:top w:val="single" w:sz="4" w:space="0" w:color="auto"/>
              <w:bottom w:val="single" w:sz="12" w:space="0" w:color="auto"/>
            </w:tcBorders>
            <w:shd w:val="clear" w:color="auto" w:fill="auto"/>
            <w:vAlign w:val="bottom"/>
          </w:tcPr>
          <w:p w14:paraId="06F3C00A" w14:textId="717DF31A" w:rsidR="00561206" w:rsidRPr="005B5F4D" w:rsidRDefault="00DF334D" w:rsidP="00406EC2">
            <w:pPr>
              <w:keepNext/>
              <w:keepLines/>
              <w:spacing w:after="60" w:line="360" w:lineRule="exact"/>
              <w:ind w:firstLine="204"/>
              <w:jc w:val="left"/>
              <w:rPr>
                <w:rFonts w:eastAsiaTheme="minorEastAsia"/>
                <w:i/>
                <w:iCs/>
                <w:szCs w:val="20"/>
              </w:rPr>
            </w:pPr>
            <w:r w:rsidRPr="005B5F4D">
              <w:rPr>
                <w:rFonts w:eastAsiaTheme="minorEastAsia" w:hint="cs"/>
                <w:i/>
                <w:iCs/>
                <w:szCs w:val="20"/>
                <w:rtl/>
              </w:rPr>
              <w:t>إن</w:t>
            </w:r>
            <w:r w:rsidR="00561206" w:rsidRPr="005B5F4D">
              <w:rPr>
                <w:rFonts w:eastAsiaTheme="minorEastAsia"/>
                <w:i/>
                <w:iCs/>
                <w:szCs w:val="20"/>
                <w:rtl/>
              </w:rPr>
              <w:t>اث</w:t>
            </w:r>
          </w:p>
        </w:tc>
        <w:tc>
          <w:tcPr>
            <w:tcW w:w="1557" w:type="dxa"/>
            <w:vMerge/>
            <w:tcBorders>
              <w:bottom w:val="single" w:sz="12" w:space="0" w:color="auto"/>
            </w:tcBorders>
            <w:shd w:val="clear" w:color="auto" w:fill="auto"/>
            <w:vAlign w:val="bottom"/>
          </w:tcPr>
          <w:p w14:paraId="501AF32F" w14:textId="77777777" w:rsidR="00561206" w:rsidRPr="005B5F4D" w:rsidRDefault="00561206" w:rsidP="00406EC2">
            <w:pPr>
              <w:keepNext/>
              <w:keepLines/>
              <w:spacing w:after="60" w:line="360" w:lineRule="exact"/>
              <w:ind w:firstLine="178"/>
              <w:jc w:val="left"/>
              <w:rPr>
                <w:rFonts w:eastAsiaTheme="minorEastAsia"/>
                <w:i/>
                <w:iCs/>
                <w:szCs w:val="20"/>
              </w:rPr>
            </w:pPr>
          </w:p>
        </w:tc>
      </w:tr>
      <w:tr w:rsidR="00561206" w:rsidRPr="005B5F4D" w14:paraId="6AE2B006" w14:textId="77777777" w:rsidTr="00DF334D">
        <w:tc>
          <w:tcPr>
            <w:tcW w:w="2191" w:type="dxa"/>
            <w:tcBorders>
              <w:top w:val="single" w:sz="12" w:space="0" w:color="auto"/>
              <w:bottom w:val="single" w:sz="4" w:space="0" w:color="auto"/>
            </w:tcBorders>
            <w:shd w:val="clear" w:color="auto" w:fill="auto"/>
          </w:tcPr>
          <w:p w14:paraId="7CA383BF" w14:textId="77777777" w:rsidR="00561206" w:rsidRPr="005B5F4D" w:rsidRDefault="00561206" w:rsidP="00406EC2">
            <w:pPr>
              <w:keepNext/>
              <w:keepLines/>
              <w:spacing w:after="60" w:line="360" w:lineRule="exact"/>
              <w:ind w:firstLine="178"/>
              <w:jc w:val="left"/>
              <w:rPr>
                <w:rFonts w:eastAsiaTheme="minorEastAsia"/>
                <w:i/>
                <w:iCs/>
                <w:szCs w:val="20"/>
              </w:rPr>
            </w:pPr>
            <w:r w:rsidRPr="005B5F4D">
              <w:rPr>
                <w:rFonts w:eastAsiaTheme="minorEastAsia"/>
                <w:i/>
                <w:iCs/>
                <w:szCs w:val="20"/>
                <w:rtl/>
              </w:rPr>
              <w:t>الوسط الحضري</w:t>
            </w:r>
          </w:p>
        </w:tc>
        <w:tc>
          <w:tcPr>
            <w:tcW w:w="1767" w:type="dxa"/>
            <w:tcBorders>
              <w:top w:val="single" w:sz="12" w:space="0" w:color="auto"/>
              <w:bottom w:val="single" w:sz="4" w:space="0" w:color="auto"/>
            </w:tcBorders>
            <w:shd w:val="clear" w:color="auto" w:fill="auto"/>
            <w:vAlign w:val="bottom"/>
          </w:tcPr>
          <w:p w14:paraId="28022B5A" w14:textId="77777777" w:rsidR="00561206" w:rsidRPr="005B5F4D" w:rsidRDefault="00561206" w:rsidP="00406EC2">
            <w:pPr>
              <w:keepNext/>
              <w:keepLines/>
              <w:spacing w:after="60" w:line="360" w:lineRule="exact"/>
              <w:ind w:firstLine="178"/>
              <w:jc w:val="left"/>
              <w:rPr>
                <w:rFonts w:eastAsiaTheme="minorEastAsia"/>
                <w:szCs w:val="20"/>
              </w:rPr>
            </w:pPr>
            <w:r w:rsidRPr="005B5F4D">
              <w:rPr>
                <w:rFonts w:eastAsiaTheme="minorEastAsia"/>
                <w:szCs w:val="20"/>
                <w:rtl/>
              </w:rPr>
              <w:t>674 689 1</w:t>
            </w:r>
          </w:p>
        </w:tc>
        <w:tc>
          <w:tcPr>
            <w:tcW w:w="1855" w:type="dxa"/>
            <w:tcBorders>
              <w:top w:val="single" w:sz="12" w:space="0" w:color="auto"/>
              <w:bottom w:val="single" w:sz="4" w:space="0" w:color="auto"/>
            </w:tcBorders>
            <w:shd w:val="clear" w:color="auto" w:fill="auto"/>
            <w:vAlign w:val="bottom"/>
          </w:tcPr>
          <w:p w14:paraId="7645E400" w14:textId="77777777" w:rsidR="00561206" w:rsidRPr="005B5F4D" w:rsidRDefault="00561206" w:rsidP="00406EC2">
            <w:pPr>
              <w:keepNext/>
              <w:keepLines/>
              <w:spacing w:after="60" w:line="360" w:lineRule="exact"/>
              <w:ind w:firstLine="178"/>
              <w:jc w:val="left"/>
              <w:rPr>
                <w:rFonts w:eastAsiaTheme="minorEastAsia"/>
                <w:szCs w:val="20"/>
              </w:rPr>
            </w:pPr>
            <w:r w:rsidRPr="005B5F4D">
              <w:rPr>
                <w:rFonts w:eastAsiaTheme="minorEastAsia"/>
                <w:szCs w:val="20"/>
                <w:rtl/>
              </w:rPr>
              <w:t>118 784 1</w:t>
            </w:r>
          </w:p>
        </w:tc>
        <w:tc>
          <w:tcPr>
            <w:tcW w:w="1557" w:type="dxa"/>
            <w:tcBorders>
              <w:top w:val="single" w:sz="12" w:space="0" w:color="auto"/>
              <w:bottom w:val="single" w:sz="4" w:space="0" w:color="auto"/>
            </w:tcBorders>
            <w:shd w:val="clear" w:color="auto" w:fill="auto"/>
            <w:vAlign w:val="bottom"/>
          </w:tcPr>
          <w:p w14:paraId="7248B8B3" w14:textId="77777777" w:rsidR="00561206" w:rsidRPr="005B5F4D" w:rsidRDefault="00561206" w:rsidP="00406EC2">
            <w:pPr>
              <w:keepNext/>
              <w:keepLines/>
              <w:spacing w:after="60" w:line="360" w:lineRule="exact"/>
              <w:ind w:firstLine="178"/>
              <w:jc w:val="left"/>
              <w:rPr>
                <w:rFonts w:eastAsiaTheme="minorEastAsia"/>
                <w:szCs w:val="20"/>
              </w:rPr>
            </w:pPr>
            <w:r w:rsidRPr="005B5F4D">
              <w:rPr>
                <w:rFonts w:eastAsiaTheme="minorEastAsia"/>
                <w:szCs w:val="20"/>
                <w:rtl/>
              </w:rPr>
              <w:t>792 473 3</w:t>
            </w:r>
          </w:p>
        </w:tc>
      </w:tr>
      <w:tr w:rsidR="00561206" w:rsidRPr="005B5F4D" w14:paraId="478BB036" w14:textId="77777777" w:rsidTr="00DF334D">
        <w:tc>
          <w:tcPr>
            <w:tcW w:w="2191" w:type="dxa"/>
            <w:tcBorders>
              <w:top w:val="single" w:sz="4" w:space="0" w:color="auto"/>
              <w:bottom w:val="single" w:sz="12" w:space="0" w:color="auto"/>
            </w:tcBorders>
            <w:shd w:val="clear" w:color="auto" w:fill="auto"/>
          </w:tcPr>
          <w:p w14:paraId="1587BFE8" w14:textId="77777777" w:rsidR="00561206" w:rsidRPr="005B5F4D" w:rsidRDefault="00561206" w:rsidP="00406EC2">
            <w:pPr>
              <w:keepNext/>
              <w:keepLines/>
              <w:spacing w:after="60" w:line="360" w:lineRule="exact"/>
              <w:ind w:firstLine="178"/>
              <w:jc w:val="left"/>
              <w:rPr>
                <w:rFonts w:eastAsiaTheme="minorEastAsia"/>
                <w:i/>
                <w:iCs/>
                <w:szCs w:val="20"/>
              </w:rPr>
            </w:pPr>
            <w:r w:rsidRPr="005B5F4D">
              <w:rPr>
                <w:rFonts w:eastAsiaTheme="minorEastAsia"/>
                <w:i/>
                <w:iCs/>
                <w:szCs w:val="20"/>
                <w:rtl/>
              </w:rPr>
              <w:t>الوسط الريفي</w:t>
            </w:r>
          </w:p>
        </w:tc>
        <w:tc>
          <w:tcPr>
            <w:tcW w:w="1767" w:type="dxa"/>
            <w:tcBorders>
              <w:top w:val="single" w:sz="4" w:space="0" w:color="auto"/>
              <w:bottom w:val="single" w:sz="12" w:space="0" w:color="auto"/>
            </w:tcBorders>
            <w:shd w:val="clear" w:color="auto" w:fill="auto"/>
            <w:vAlign w:val="bottom"/>
          </w:tcPr>
          <w:p w14:paraId="13D9E626" w14:textId="77777777" w:rsidR="00561206" w:rsidRPr="005B5F4D" w:rsidRDefault="00561206" w:rsidP="00406EC2">
            <w:pPr>
              <w:keepNext/>
              <w:keepLines/>
              <w:spacing w:after="60" w:line="360" w:lineRule="exact"/>
              <w:ind w:firstLine="178"/>
              <w:jc w:val="left"/>
              <w:rPr>
                <w:rFonts w:eastAsiaTheme="minorEastAsia"/>
                <w:szCs w:val="20"/>
              </w:rPr>
            </w:pPr>
            <w:r w:rsidRPr="005B5F4D">
              <w:rPr>
                <w:rFonts w:eastAsiaTheme="minorEastAsia"/>
                <w:szCs w:val="20"/>
                <w:rtl/>
              </w:rPr>
              <w:t>836 254 2</w:t>
            </w:r>
          </w:p>
        </w:tc>
        <w:tc>
          <w:tcPr>
            <w:tcW w:w="1855" w:type="dxa"/>
            <w:tcBorders>
              <w:top w:val="single" w:sz="4" w:space="0" w:color="auto"/>
              <w:bottom w:val="single" w:sz="12" w:space="0" w:color="auto"/>
            </w:tcBorders>
            <w:shd w:val="clear" w:color="auto" w:fill="auto"/>
            <w:vAlign w:val="bottom"/>
          </w:tcPr>
          <w:p w14:paraId="295F027E" w14:textId="77777777" w:rsidR="00561206" w:rsidRPr="005B5F4D" w:rsidRDefault="00561206" w:rsidP="00406EC2">
            <w:pPr>
              <w:keepNext/>
              <w:keepLines/>
              <w:spacing w:after="60" w:line="360" w:lineRule="exact"/>
              <w:ind w:firstLine="178"/>
              <w:jc w:val="left"/>
              <w:rPr>
                <w:rFonts w:eastAsiaTheme="minorEastAsia"/>
                <w:szCs w:val="20"/>
              </w:rPr>
            </w:pPr>
            <w:r w:rsidRPr="005B5F4D">
              <w:rPr>
                <w:rFonts w:eastAsiaTheme="minorEastAsia"/>
                <w:szCs w:val="20"/>
                <w:rtl/>
              </w:rPr>
              <w:t>870 366 2</w:t>
            </w:r>
          </w:p>
        </w:tc>
        <w:tc>
          <w:tcPr>
            <w:tcW w:w="1557" w:type="dxa"/>
            <w:tcBorders>
              <w:top w:val="single" w:sz="4" w:space="0" w:color="auto"/>
              <w:bottom w:val="single" w:sz="12" w:space="0" w:color="auto"/>
            </w:tcBorders>
            <w:shd w:val="clear" w:color="auto" w:fill="auto"/>
            <w:vAlign w:val="bottom"/>
          </w:tcPr>
          <w:p w14:paraId="3CEF6893" w14:textId="77777777" w:rsidR="00561206" w:rsidRPr="005B5F4D" w:rsidRDefault="00561206" w:rsidP="00406EC2">
            <w:pPr>
              <w:keepNext/>
              <w:keepLines/>
              <w:spacing w:after="60" w:line="360" w:lineRule="exact"/>
              <w:ind w:firstLine="178"/>
              <w:jc w:val="left"/>
              <w:rPr>
                <w:rFonts w:eastAsiaTheme="minorEastAsia"/>
                <w:szCs w:val="20"/>
              </w:rPr>
            </w:pPr>
            <w:r w:rsidRPr="005B5F4D">
              <w:rPr>
                <w:rFonts w:eastAsiaTheme="minorEastAsia"/>
                <w:szCs w:val="20"/>
                <w:rtl/>
              </w:rPr>
              <w:t>706 621 4</w:t>
            </w:r>
          </w:p>
        </w:tc>
      </w:tr>
      <w:tr w:rsidR="00561206" w:rsidRPr="005B5F4D" w14:paraId="3D3B79B4" w14:textId="77777777" w:rsidTr="00DF334D">
        <w:tc>
          <w:tcPr>
            <w:tcW w:w="2191" w:type="dxa"/>
            <w:tcBorders>
              <w:top w:val="single" w:sz="12" w:space="0" w:color="auto"/>
              <w:bottom w:val="single" w:sz="12" w:space="0" w:color="auto"/>
            </w:tcBorders>
            <w:shd w:val="clear" w:color="auto" w:fill="auto"/>
          </w:tcPr>
          <w:p w14:paraId="54F3D52B" w14:textId="014C94C4" w:rsidR="00561206" w:rsidRPr="005B5F4D" w:rsidRDefault="00DF334D" w:rsidP="00406EC2">
            <w:pPr>
              <w:keepNext/>
              <w:keepLines/>
              <w:spacing w:after="60" w:line="360" w:lineRule="exact"/>
              <w:ind w:firstLine="178"/>
              <w:jc w:val="left"/>
              <w:rPr>
                <w:rFonts w:eastAsiaTheme="minorEastAsia"/>
                <w:b/>
                <w:bCs/>
                <w:i/>
                <w:iCs/>
                <w:szCs w:val="20"/>
              </w:rPr>
            </w:pPr>
            <w:r w:rsidRPr="005B5F4D">
              <w:rPr>
                <w:rFonts w:eastAsiaTheme="minorEastAsia"/>
                <w:b/>
                <w:bCs/>
                <w:i/>
                <w:iCs/>
                <w:szCs w:val="20"/>
                <w:rtl/>
              </w:rPr>
              <w:tab/>
            </w:r>
            <w:r w:rsidR="00561206" w:rsidRPr="005B5F4D">
              <w:rPr>
                <w:rFonts w:eastAsiaTheme="minorEastAsia"/>
                <w:b/>
                <w:bCs/>
                <w:i/>
                <w:iCs/>
                <w:szCs w:val="20"/>
                <w:rtl/>
              </w:rPr>
              <w:t>توغو</w:t>
            </w:r>
          </w:p>
        </w:tc>
        <w:tc>
          <w:tcPr>
            <w:tcW w:w="1767" w:type="dxa"/>
            <w:tcBorders>
              <w:top w:val="single" w:sz="12" w:space="0" w:color="auto"/>
              <w:bottom w:val="single" w:sz="12" w:space="0" w:color="auto"/>
            </w:tcBorders>
            <w:shd w:val="clear" w:color="auto" w:fill="auto"/>
            <w:vAlign w:val="bottom"/>
          </w:tcPr>
          <w:p w14:paraId="2945AC63" w14:textId="77777777" w:rsidR="00561206" w:rsidRPr="005B5F4D" w:rsidRDefault="00561206" w:rsidP="00406EC2">
            <w:pPr>
              <w:keepNext/>
              <w:keepLines/>
              <w:spacing w:after="60" w:line="360" w:lineRule="exact"/>
              <w:ind w:firstLine="178"/>
              <w:jc w:val="left"/>
              <w:rPr>
                <w:rFonts w:eastAsiaTheme="minorEastAsia"/>
                <w:b/>
                <w:bCs/>
                <w:szCs w:val="20"/>
              </w:rPr>
            </w:pPr>
            <w:r w:rsidRPr="005B5F4D">
              <w:rPr>
                <w:rFonts w:eastAsiaTheme="minorEastAsia"/>
                <w:b/>
                <w:bCs/>
                <w:szCs w:val="20"/>
                <w:rtl/>
              </w:rPr>
              <w:t>510 944 3</w:t>
            </w:r>
          </w:p>
        </w:tc>
        <w:tc>
          <w:tcPr>
            <w:tcW w:w="1855" w:type="dxa"/>
            <w:tcBorders>
              <w:top w:val="single" w:sz="12" w:space="0" w:color="auto"/>
              <w:bottom w:val="single" w:sz="12" w:space="0" w:color="auto"/>
            </w:tcBorders>
            <w:shd w:val="clear" w:color="auto" w:fill="auto"/>
            <w:vAlign w:val="bottom"/>
          </w:tcPr>
          <w:p w14:paraId="70F31CAA" w14:textId="77777777" w:rsidR="00561206" w:rsidRPr="005B5F4D" w:rsidRDefault="00561206" w:rsidP="00406EC2">
            <w:pPr>
              <w:keepNext/>
              <w:keepLines/>
              <w:spacing w:after="60" w:line="360" w:lineRule="exact"/>
              <w:ind w:firstLine="178"/>
              <w:jc w:val="left"/>
              <w:rPr>
                <w:rFonts w:eastAsiaTheme="minorEastAsia"/>
                <w:b/>
                <w:bCs/>
                <w:szCs w:val="20"/>
              </w:rPr>
            </w:pPr>
            <w:r w:rsidRPr="005B5F4D">
              <w:rPr>
                <w:rFonts w:eastAsiaTheme="minorEastAsia"/>
                <w:b/>
                <w:bCs/>
                <w:szCs w:val="20"/>
                <w:rtl/>
              </w:rPr>
              <w:t>988 150 4</w:t>
            </w:r>
          </w:p>
        </w:tc>
        <w:tc>
          <w:tcPr>
            <w:tcW w:w="1557" w:type="dxa"/>
            <w:tcBorders>
              <w:top w:val="single" w:sz="12" w:space="0" w:color="auto"/>
              <w:bottom w:val="single" w:sz="12" w:space="0" w:color="auto"/>
            </w:tcBorders>
            <w:shd w:val="clear" w:color="auto" w:fill="auto"/>
            <w:vAlign w:val="bottom"/>
          </w:tcPr>
          <w:p w14:paraId="399FA9A2" w14:textId="77777777" w:rsidR="00561206" w:rsidRPr="005B5F4D" w:rsidRDefault="00561206" w:rsidP="00406EC2">
            <w:pPr>
              <w:keepNext/>
              <w:keepLines/>
              <w:spacing w:after="60" w:line="360" w:lineRule="exact"/>
              <w:ind w:firstLine="178"/>
              <w:jc w:val="left"/>
              <w:rPr>
                <w:rFonts w:eastAsiaTheme="minorEastAsia"/>
                <w:b/>
                <w:bCs/>
                <w:szCs w:val="20"/>
              </w:rPr>
            </w:pPr>
            <w:r w:rsidRPr="005B5F4D">
              <w:rPr>
                <w:rFonts w:eastAsiaTheme="minorEastAsia"/>
                <w:b/>
                <w:bCs/>
                <w:szCs w:val="20"/>
                <w:rtl/>
              </w:rPr>
              <w:t>498 095 8</w:t>
            </w:r>
          </w:p>
        </w:tc>
      </w:tr>
    </w:tbl>
    <w:p w14:paraId="2DB8BDAB" w14:textId="77777777" w:rsidR="00561206" w:rsidRPr="005B5F4D" w:rsidRDefault="00561206" w:rsidP="00DF334D">
      <w:pPr>
        <w:pStyle w:val="SingleTxtGA"/>
        <w:spacing w:before="120"/>
        <w:rPr>
          <w:rFonts w:eastAsiaTheme="minorEastAsia"/>
          <w:sz w:val="18"/>
          <w:szCs w:val="18"/>
          <w:lang w:val="ar-SA" w:eastAsia="zh-TW" w:bidi="en-GB"/>
        </w:rPr>
      </w:pPr>
      <w:r w:rsidRPr="005B5F4D">
        <w:rPr>
          <w:rFonts w:eastAsiaTheme="minorEastAsia"/>
          <w:sz w:val="18"/>
          <w:szCs w:val="18"/>
          <w:rtl/>
        </w:rPr>
        <w:t>التوزيع المكاني للسكان، عام 2022، المعهد الوطني للإحصاءات والدراسات الاقتصادية، توغو.</w:t>
      </w:r>
    </w:p>
    <w:p w14:paraId="23510358" w14:textId="6CB64FAE" w:rsidR="00561206" w:rsidRPr="005B5F4D" w:rsidRDefault="00561206" w:rsidP="00662201">
      <w:pPr>
        <w:pStyle w:val="SingleTxtGA"/>
        <w:rPr>
          <w:rFonts w:eastAsiaTheme="minorEastAsia"/>
          <w:lang w:val="ar-SA" w:eastAsia="zh-TW" w:bidi="en-GB"/>
        </w:rPr>
      </w:pPr>
      <w:r w:rsidRPr="005B5F4D">
        <w:rPr>
          <w:rFonts w:eastAsiaTheme="minorEastAsia"/>
          <w:rtl/>
        </w:rPr>
        <w:t>18-</w:t>
      </w:r>
      <w:r w:rsidRPr="005B5F4D">
        <w:rPr>
          <w:rFonts w:eastAsiaTheme="minorEastAsia"/>
          <w:rtl/>
        </w:rPr>
        <w:tab/>
        <w:t>وعلاوة على ذلك، تُظهر نتائج التعداد العام الخامس للسكان والمساكن، حسب مكان الإقامة، أن عدد الأشخاص الذين تقل أعمارهم عن 15 عاماً أعلى نسبياً في المناطق الريفية مقارنة بعدد الأشخاص المنتمين إلى الفئة العمرية المتوسطة (15عاماً</w:t>
      </w:r>
      <w:r w:rsidR="00DF334D" w:rsidRPr="005B5F4D">
        <w:rPr>
          <w:rFonts w:eastAsiaTheme="minorEastAsia" w:hint="cs"/>
          <w:rtl/>
        </w:rPr>
        <w:t xml:space="preserve"> </w:t>
      </w:r>
      <w:r w:rsidRPr="005B5F4D">
        <w:rPr>
          <w:rFonts w:eastAsiaTheme="minorEastAsia"/>
          <w:rtl/>
        </w:rPr>
        <w:t>-</w:t>
      </w:r>
      <w:r w:rsidR="00DF334D" w:rsidRPr="005B5F4D">
        <w:rPr>
          <w:rFonts w:eastAsiaTheme="minorEastAsia" w:hint="cs"/>
          <w:rtl/>
        </w:rPr>
        <w:t xml:space="preserve"> </w:t>
      </w:r>
      <w:r w:rsidRPr="005B5F4D">
        <w:rPr>
          <w:rFonts w:eastAsiaTheme="minorEastAsia"/>
          <w:rtl/>
        </w:rPr>
        <w:t>64 عا</w:t>
      </w:r>
      <w:r w:rsidR="00DF334D" w:rsidRPr="005B5F4D">
        <w:rPr>
          <w:rFonts w:eastAsiaTheme="minorEastAsia" w:hint="cs"/>
          <w:rtl/>
        </w:rPr>
        <w:t>ماً</w:t>
      </w:r>
      <w:r w:rsidRPr="005B5F4D">
        <w:rPr>
          <w:rFonts w:eastAsiaTheme="minorEastAsia"/>
          <w:rtl/>
        </w:rPr>
        <w:t>). وعلى العكس من ذلك، في المناطق الحضرية، يفوق عدد الأشخاص الذين تتراوح أعمارهم بين 15 عاماً و64 عام</w:t>
      </w:r>
      <w:r w:rsidR="00364E66" w:rsidRPr="005B5F4D">
        <w:rPr>
          <w:rFonts w:eastAsiaTheme="minorEastAsia"/>
          <w:rtl/>
        </w:rPr>
        <w:t xml:space="preserve">اً </w:t>
      </w:r>
      <w:r w:rsidRPr="005B5F4D">
        <w:rPr>
          <w:rFonts w:eastAsiaTheme="minorEastAsia"/>
          <w:rtl/>
        </w:rPr>
        <w:t>عدد من تقل أعمارهم عن</w:t>
      </w:r>
      <w:r w:rsidR="00DF334D" w:rsidRPr="005B5F4D">
        <w:rPr>
          <w:rFonts w:eastAsiaTheme="minorEastAsia" w:hint="cs"/>
          <w:rtl/>
        </w:rPr>
        <w:t> </w:t>
      </w:r>
      <w:r w:rsidRPr="005B5F4D">
        <w:rPr>
          <w:rFonts w:eastAsiaTheme="minorEastAsia"/>
          <w:rtl/>
        </w:rPr>
        <w:t>15 عاماً. ويقل تمثيل الأشخاص الذين تبلغ أعمارهم 65 عام</w:t>
      </w:r>
      <w:r w:rsidR="00364E66" w:rsidRPr="005B5F4D">
        <w:rPr>
          <w:rFonts w:eastAsiaTheme="minorEastAsia"/>
          <w:rtl/>
        </w:rPr>
        <w:t xml:space="preserve">اً </w:t>
      </w:r>
      <w:r w:rsidRPr="005B5F4D">
        <w:rPr>
          <w:rFonts w:eastAsiaTheme="minorEastAsia"/>
          <w:rtl/>
        </w:rPr>
        <w:t>فأكثر في المناطق الحضرية، سواءً كان ذلك بالنسبة لكبار السن (3,1 في المائة) أم بالنسبة لكبيرات السن (4,4 في المائة). وبالإضافة إلى ذلك، فإن نسبة كبار السن من النساء والرجال في المناطق الريفية (4,2 في المائة) أكبر مما هي عليه في المناطق الحضرية (3,2 في المائة). ويبلغ معدل النمو السكاني 2,42 في المائة سنوياً.</w:t>
      </w:r>
    </w:p>
    <w:p w14:paraId="75F9FF9D" w14:textId="77777777" w:rsidR="00561206" w:rsidRPr="005B5F4D" w:rsidRDefault="00561206" w:rsidP="00662201">
      <w:pPr>
        <w:pStyle w:val="SingleTxtGA"/>
        <w:rPr>
          <w:rFonts w:eastAsiaTheme="minorEastAsia"/>
          <w:lang w:val="ar-SA" w:eastAsia="zh-TW" w:bidi="en-GB"/>
        </w:rPr>
      </w:pPr>
      <w:r w:rsidRPr="005B5F4D">
        <w:rPr>
          <w:rFonts w:eastAsiaTheme="minorEastAsia"/>
          <w:rtl/>
        </w:rPr>
        <w:t>19-</w:t>
      </w:r>
      <w:r w:rsidRPr="005B5F4D">
        <w:rPr>
          <w:rFonts w:eastAsiaTheme="minorEastAsia"/>
          <w:rtl/>
        </w:rPr>
        <w:tab/>
        <w:t>ويتميز السكان بتنوعهم الإثني الشديد الذي يتجلى في نشاط الحياة الثقافية التي شكلتها التقاليد العريقة الخاصة بكل إثنية. ومنذ سبعينيات القرن المنصرم، نفذت الحكومة سياسات تهدف إلى تعزيز التقاليد الثقافية الإيجابية من خلال الاحتفال بالمهرجانات الزراعية التقليدية أو طقوس العبور أو المناسبات الدينية أو التذكارية الخاصة بكل إثنية. ويجدر بالإشارة إلى أن هذه المشاركة الجماعية هي العنصر الذي يقوم عليه التفاهم والتماسك الاجتماعي والذي يساعد في إثراء الثقافة الوطنية.</w:t>
      </w:r>
    </w:p>
    <w:p w14:paraId="12D0102A" w14:textId="167825D9" w:rsidR="00561206" w:rsidRPr="005B5F4D" w:rsidRDefault="00561206" w:rsidP="00662201">
      <w:pPr>
        <w:pStyle w:val="SingleTxtGA"/>
        <w:rPr>
          <w:rFonts w:eastAsiaTheme="minorEastAsia"/>
          <w:spacing w:val="-3"/>
          <w:lang w:val="en-US" w:eastAsia="zh-TW" w:bidi="en-GB"/>
        </w:rPr>
      </w:pPr>
      <w:r w:rsidRPr="005B5F4D">
        <w:rPr>
          <w:rFonts w:eastAsiaTheme="minorEastAsia"/>
          <w:spacing w:val="-3"/>
          <w:rtl/>
        </w:rPr>
        <w:t>20-</w:t>
      </w:r>
      <w:r w:rsidRPr="005B5F4D">
        <w:rPr>
          <w:rFonts w:eastAsiaTheme="minorEastAsia"/>
          <w:spacing w:val="-3"/>
          <w:rtl/>
        </w:rPr>
        <w:tab/>
        <w:t>وتوجد في توغو حوالي أربعين إثنية مقسمة إلى خمس مجموعات رئيسية بحسب أوجه التشابه</w:t>
      </w:r>
      <w:r w:rsidR="00DF334D" w:rsidRPr="005B5F4D">
        <w:rPr>
          <w:rFonts w:eastAsiaTheme="minorEastAsia" w:hint="cs"/>
          <w:spacing w:val="-3"/>
          <w:rtl/>
        </w:rPr>
        <w:t> </w:t>
      </w:r>
      <w:r w:rsidRPr="005B5F4D">
        <w:rPr>
          <w:rFonts w:eastAsiaTheme="minorEastAsia"/>
          <w:spacing w:val="-3"/>
          <w:rtl/>
        </w:rPr>
        <w:t>بينها:</w:t>
      </w:r>
    </w:p>
    <w:p w14:paraId="5308E4E9" w14:textId="7DF078E2" w:rsidR="00561206" w:rsidRPr="005B5F4D" w:rsidRDefault="00561206" w:rsidP="00662201">
      <w:pPr>
        <w:pStyle w:val="SingleTxtGA"/>
        <w:numPr>
          <w:ilvl w:val="0"/>
          <w:numId w:val="32"/>
        </w:numPr>
        <w:rPr>
          <w:rFonts w:eastAsiaTheme="minorEastAsia"/>
          <w:lang w:val="ar-SA" w:eastAsia="zh-TW" w:bidi="en-GB"/>
        </w:rPr>
      </w:pPr>
      <w:r w:rsidRPr="005B5F4D">
        <w:rPr>
          <w:rFonts w:eastAsiaTheme="minorEastAsia"/>
          <w:rtl/>
        </w:rPr>
        <w:t>إثنية أدجا</w:t>
      </w:r>
      <w:r w:rsidR="00832E7B" w:rsidRPr="005B5F4D">
        <w:rPr>
          <w:rFonts w:eastAsiaTheme="minorEastAsia" w:hint="cs"/>
          <w:rtl/>
        </w:rPr>
        <w:t xml:space="preserve"> </w:t>
      </w:r>
      <w:r w:rsidRPr="005B5F4D">
        <w:rPr>
          <w:rFonts w:eastAsiaTheme="minorEastAsia"/>
          <w:rtl/>
        </w:rPr>
        <w:t>-</w:t>
      </w:r>
      <w:r w:rsidR="00832E7B" w:rsidRPr="005B5F4D">
        <w:rPr>
          <w:rFonts w:eastAsiaTheme="minorEastAsia" w:hint="cs"/>
          <w:rtl/>
        </w:rPr>
        <w:t xml:space="preserve"> </w:t>
      </w:r>
      <w:r w:rsidRPr="005B5F4D">
        <w:rPr>
          <w:rFonts w:eastAsiaTheme="minorEastAsia"/>
          <w:rtl/>
        </w:rPr>
        <w:t>إيوي التي تتألف أكبر قبائلها عدداً من الإيوي والأواتشي والغينيين؛</w:t>
      </w:r>
    </w:p>
    <w:p w14:paraId="1742ADB1" w14:textId="6BAF850C" w:rsidR="00561206" w:rsidRPr="005B5F4D" w:rsidRDefault="00561206" w:rsidP="00662201">
      <w:pPr>
        <w:pStyle w:val="SingleTxtGA"/>
        <w:numPr>
          <w:ilvl w:val="0"/>
          <w:numId w:val="32"/>
        </w:numPr>
        <w:rPr>
          <w:rFonts w:eastAsiaTheme="minorEastAsia"/>
          <w:lang w:val="ar-SA" w:eastAsia="zh-TW" w:bidi="en-GB"/>
        </w:rPr>
      </w:pPr>
      <w:r w:rsidRPr="005B5F4D">
        <w:rPr>
          <w:rFonts w:eastAsiaTheme="minorEastAsia"/>
          <w:rtl/>
        </w:rPr>
        <w:t>وإثنية أكبوسو</w:t>
      </w:r>
      <w:r w:rsidR="00832E7B" w:rsidRPr="005B5F4D">
        <w:rPr>
          <w:rFonts w:eastAsiaTheme="minorEastAsia" w:hint="cs"/>
          <w:rtl/>
        </w:rPr>
        <w:t xml:space="preserve"> </w:t>
      </w:r>
      <w:r w:rsidRPr="005B5F4D">
        <w:rPr>
          <w:rFonts w:eastAsiaTheme="minorEastAsia"/>
          <w:rtl/>
        </w:rPr>
        <w:t>-</w:t>
      </w:r>
      <w:r w:rsidR="00832E7B" w:rsidRPr="005B5F4D">
        <w:rPr>
          <w:rFonts w:eastAsiaTheme="minorEastAsia" w:hint="cs"/>
          <w:rtl/>
        </w:rPr>
        <w:t xml:space="preserve"> </w:t>
      </w:r>
      <w:r w:rsidRPr="005B5F4D">
        <w:rPr>
          <w:rFonts w:eastAsiaTheme="minorEastAsia"/>
          <w:rtl/>
        </w:rPr>
        <w:t>أكيبو التي تتألف من قبيلتي أكبوسو وأكيبو؛</w:t>
      </w:r>
    </w:p>
    <w:p w14:paraId="740E1A1E" w14:textId="4F2FE34B" w:rsidR="00561206" w:rsidRPr="005B5F4D" w:rsidRDefault="00561206" w:rsidP="00662201">
      <w:pPr>
        <w:pStyle w:val="SingleTxtGA"/>
        <w:numPr>
          <w:ilvl w:val="0"/>
          <w:numId w:val="32"/>
        </w:numPr>
        <w:rPr>
          <w:rFonts w:eastAsiaTheme="minorEastAsia"/>
          <w:lang w:val="ar-SA" w:eastAsia="zh-TW" w:bidi="en-GB"/>
        </w:rPr>
      </w:pPr>
      <w:r w:rsidRPr="005B5F4D">
        <w:rPr>
          <w:rFonts w:eastAsiaTheme="minorEastAsia"/>
          <w:rtl/>
        </w:rPr>
        <w:t>وإثنية آنا</w:t>
      </w:r>
      <w:r w:rsidR="00832E7B" w:rsidRPr="005B5F4D">
        <w:rPr>
          <w:rFonts w:eastAsiaTheme="minorEastAsia" w:hint="cs"/>
          <w:rtl/>
        </w:rPr>
        <w:t xml:space="preserve"> </w:t>
      </w:r>
      <w:r w:rsidRPr="005B5F4D">
        <w:rPr>
          <w:rFonts w:eastAsiaTheme="minorEastAsia"/>
          <w:rtl/>
        </w:rPr>
        <w:t>-</w:t>
      </w:r>
      <w:r w:rsidR="00832E7B" w:rsidRPr="005B5F4D">
        <w:rPr>
          <w:rFonts w:eastAsiaTheme="minorEastAsia" w:hint="cs"/>
          <w:rtl/>
        </w:rPr>
        <w:t xml:space="preserve"> </w:t>
      </w:r>
      <w:r w:rsidRPr="005B5F4D">
        <w:rPr>
          <w:rFonts w:eastAsiaTheme="minorEastAsia"/>
          <w:rtl/>
        </w:rPr>
        <w:t>إيفيه التي تتألف من قبيلتي آنا وإيفيه؛</w:t>
      </w:r>
    </w:p>
    <w:p w14:paraId="5C0CE14A" w14:textId="6464EA0A" w:rsidR="00561206" w:rsidRPr="005B5F4D" w:rsidRDefault="00561206" w:rsidP="00662201">
      <w:pPr>
        <w:pStyle w:val="SingleTxtGA"/>
        <w:numPr>
          <w:ilvl w:val="0"/>
          <w:numId w:val="32"/>
        </w:numPr>
        <w:rPr>
          <w:rFonts w:eastAsiaTheme="minorEastAsia"/>
          <w:lang w:val="ar-SA" w:eastAsia="zh-TW" w:bidi="en-GB"/>
        </w:rPr>
      </w:pPr>
      <w:r w:rsidRPr="005B5F4D">
        <w:rPr>
          <w:rFonts w:eastAsiaTheme="minorEastAsia"/>
          <w:rtl/>
        </w:rPr>
        <w:t>إثنية تيم</w:t>
      </w:r>
      <w:r w:rsidR="00832E7B" w:rsidRPr="005B5F4D">
        <w:rPr>
          <w:rFonts w:eastAsiaTheme="minorEastAsia" w:hint="cs"/>
          <w:rtl/>
        </w:rPr>
        <w:t xml:space="preserve"> </w:t>
      </w:r>
      <w:r w:rsidRPr="005B5F4D">
        <w:rPr>
          <w:rFonts w:eastAsiaTheme="minorEastAsia"/>
          <w:rtl/>
        </w:rPr>
        <w:t>-</w:t>
      </w:r>
      <w:r w:rsidR="00832E7B" w:rsidRPr="005B5F4D">
        <w:rPr>
          <w:rFonts w:eastAsiaTheme="minorEastAsia" w:hint="cs"/>
          <w:rtl/>
        </w:rPr>
        <w:t xml:space="preserve"> </w:t>
      </w:r>
      <w:r w:rsidRPr="005B5F4D">
        <w:rPr>
          <w:rFonts w:eastAsiaTheme="minorEastAsia"/>
          <w:rtl/>
        </w:rPr>
        <w:t>كابييه، وأكبر قبائلها هي قبائل كابييه وكوتوكولي ولوسو ولامبا؛</w:t>
      </w:r>
    </w:p>
    <w:p w14:paraId="752BBF67" w14:textId="0BE5C9B5" w:rsidR="00561206" w:rsidRPr="005B5F4D" w:rsidRDefault="00561206" w:rsidP="00662201">
      <w:pPr>
        <w:pStyle w:val="SingleTxtGA"/>
        <w:numPr>
          <w:ilvl w:val="0"/>
          <w:numId w:val="32"/>
        </w:numPr>
        <w:rPr>
          <w:rFonts w:eastAsiaTheme="minorEastAsia"/>
          <w:lang w:val="ar-SA" w:eastAsia="zh-TW" w:bidi="en-GB"/>
        </w:rPr>
      </w:pPr>
      <w:r w:rsidRPr="005B5F4D">
        <w:rPr>
          <w:rFonts w:eastAsiaTheme="minorEastAsia"/>
          <w:rtl/>
        </w:rPr>
        <w:t>وإثنية بارا</w:t>
      </w:r>
      <w:r w:rsidR="00DF334D" w:rsidRPr="005B5F4D">
        <w:rPr>
          <w:rFonts w:eastAsiaTheme="minorEastAsia" w:hint="cs"/>
          <w:rtl/>
        </w:rPr>
        <w:t xml:space="preserve"> </w:t>
      </w:r>
      <w:r w:rsidRPr="005B5F4D">
        <w:rPr>
          <w:rFonts w:eastAsiaTheme="minorEastAsia"/>
          <w:rtl/>
        </w:rPr>
        <w:t>-</w:t>
      </w:r>
      <w:r w:rsidR="00DF334D" w:rsidRPr="005B5F4D">
        <w:rPr>
          <w:rFonts w:eastAsiaTheme="minorEastAsia" w:hint="cs"/>
          <w:rtl/>
        </w:rPr>
        <w:t xml:space="preserve"> </w:t>
      </w:r>
      <w:r w:rsidRPr="005B5F4D">
        <w:rPr>
          <w:rFonts w:eastAsiaTheme="minorEastAsia"/>
          <w:rtl/>
        </w:rPr>
        <w:t>نغورما التي تتألف من قبائل عدة أكبرها موبا وغورما.</w:t>
      </w:r>
    </w:p>
    <w:p w14:paraId="2A5AC55C" w14:textId="77777777" w:rsidR="00561206" w:rsidRPr="005B5F4D" w:rsidRDefault="00561206" w:rsidP="00662201">
      <w:pPr>
        <w:pStyle w:val="SingleTxtGA"/>
        <w:rPr>
          <w:rFonts w:eastAsiaTheme="minorEastAsia"/>
          <w:lang w:val="ar-SA" w:eastAsia="zh-TW" w:bidi="en-GB"/>
        </w:rPr>
      </w:pPr>
      <w:r w:rsidRPr="005B5F4D">
        <w:rPr>
          <w:rFonts w:eastAsiaTheme="minorEastAsia"/>
          <w:rtl/>
        </w:rPr>
        <w:t>21-</w:t>
      </w:r>
      <w:r w:rsidRPr="005B5F4D">
        <w:rPr>
          <w:rFonts w:eastAsiaTheme="minorEastAsia"/>
          <w:rtl/>
        </w:rPr>
        <w:tab/>
        <w:t xml:space="preserve">وتشمل الإثنيات الأخرى الهاوسا والفولاني والعديد من الإثنيات الأخرى التي يستحيل تصنيفها ضمن المجموعات آنفة الذكر. ولكل إثنية من هذه الإثنيات لغتها أو لهجتها. </w:t>
      </w:r>
    </w:p>
    <w:p w14:paraId="77522679" w14:textId="77777777" w:rsidR="00561206" w:rsidRPr="005B5F4D" w:rsidRDefault="00561206" w:rsidP="00662201">
      <w:pPr>
        <w:pStyle w:val="SingleTxtGA"/>
        <w:rPr>
          <w:rFonts w:eastAsiaTheme="minorEastAsia"/>
          <w:lang w:val="ar-SA" w:eastAsia="zh-TW" w:bidi="en-GB"/>
        </w:rPr>
      </w:pPr>
      <w:r w:rsidRPr="005B5F4D">
        <w:rPr>
          <w:rFonts w:eastAsiaTheme="minorEastAsia"/>
          <w:rtl/>
        </w:rPr>
        <w:t>22-</w:t>
      </w:r>
      <w:r w:rsidRPr="005B5F4D">
        <w:rPr>
          <w:rFonts w:eastAsiaTheme="minorEastAsia"/>
          <w:rtl/>
        </w:rPr>
        <w:tab/>
        <w:t>واللغة الرسمية في توغو هي الفرنسية. ولغتا إيوي وكابييه لغتان وطنيتان منذ عام 1980.</w:t>
      </w:r>
    </w:p>
    <w:p w14:paraId="259AD7CF" w14:textId="5683D789" w:rsidR="00561206" w:rsidRPr="005B5F4D" w:rsidRDefault="00DF334D" w:rsidP="00DF334D">
      <w:pPr>
        <w:pStyle w:val="HChGA"/>
        <w:rPr>
          <w:lang w:val="ar-SA" w:eastAsia="zh-TW" w:bidi="en-GB"/>
        </w:rPr>
      </w:pPr>
      <w:r w:rsidRPr="005B5F4D">
        <w:rPr>
          <w:rtl/>
        </w:rPr>
        <w:lastRenderedPageBreak/>
        <w:tab/>
      </w:r>
      <w:r w:rsidR="00561206" w:rsidRPr="005B5F4D">
        <w:rPr>
          <w:rtl/>
        </w:rPr>
        <w:t>خامسا</w:t>
      </w:r>
      <w:r w:rsidRPr="005B5F4D">
        <w:rPr>
          <w:rFonts w:hint="cs"/>
          <w:rtl/>
        </w:rPr>
        <w:t>ً</w:t>
      </w:r>
      <w:r w:rsidR="00561206" w:rsidRPr="005B5F4D">
        <w:rPr>
          <w:rtl/>
        </w:rPr>
        <w:t>-</w:t>
      </w:r>
      <w:r w:rsidR="00561206" w:rsidRPr="005B5F4D">
        <w:rPr>
          <w:rtl/>
        </w:rPr>
        <w:tab/>
        <w:t xml:space="preserve">مناخ الأعمال </w:t>
      </w:r>
    </w:p>
    <w:p w14:paraId="4055F0BF" w14:textId="1A0BE5ED" w:rsidR="00561206" w:rsidRPr="005B5F4D" w:rsidRDefault="00561206" w:rsidP="00561206">
      <w:pPr>
        <w:pStyle w:val="SingleTxtGA"/>
        <w:rPr>
          <w:rFonts w:eastAsiaTheme="minorEastAsia"/>
          <w:lang w:val="ar-SA" w:eastAsia="zh-TW" w:bidi="en-GB"/>
        </w:rPr>
      </w:pPr>
      <w:r w:rsidRPr="005B5F4D">
        <w:rPr>
          <w:rFonts w:eastAsiaTheme="minorEastAsia"/>
          <w:rtl/>
        </w:rPr>
        <w:t>23-</w:t>
      </w:r>
      <w:r w:rsidRPr="005B5F4D">
        <w:rPr>
          <w:rFonts w:eastAsiaTheme="minorEastAsia"/>
          <w:rtl/>
        </w:rPr>
        <w:tab/>
        <w:t xml:space="preserve">تحسن مناخ الأعمال التجارية في توغو تحسناً كبيراً في السنوات الأخيرة، ويرجع الفضل في ذلك </w:t>
      </w:r>
      <w:r w:rsidRPr="005B5F4D">
        <w:rPr>
          <w:rFonts w:eastAsiaTheme="minorEastAsia"/>
          <w:spacing w:val="-2"/>
          <w:rtl/>
        </w:rPr>
        <w:t>على وجه الخصوص إلى إنشاء مركز الإجراءات الرسمية للشركات التجارية وإلى إنشاء وتفعيل موقع</w:t>
      </w:r>
      <w:r w:rsidR="00662201" w:rsidRPr="005B5F4D">
        <w:rPr>
          <w:rFonts w:eastAsiaTheme="minorEastAsia" w:hint="cs"/>
          <w:spacing w:val="-2"/>
          <w:rtl/>
        </w:rPr>
        <w:t xml:space="preserve"> </w:t>
      </w:r>
      <w:r w:rsidRPr="005B5F4D">
        <w:rPr>
          <w:rFonts w:eastAsiaTheme="minorEastAsia"/>
          <w:spacing w:val="-2"/>
          <w:rtl/>
        </w:rPr>
        <w:t>شبكي</w:t>
      </w:r>
      <w:r w:rsidRPr="005B5F4D">
        <w:rPr>
          <w:rFonts w:eastAsiaTheme="minorEastAsia"/>
          <w:rtl/>
        </w:rPr>
        <w:t xml:space="preserve"> للإعلان عن الإجراءات الرسمية اللازمة لإنشاء مؤسسات الأعمال وتعديل عقود تأسيسها</w:t>
      </w:r>
      <w:r w:rsidR="00662201" w:rsidRPr="005B5F4D">
        <w:rPr>
          <w:rFonts w:eastAsiaTheme="minorEastAsia" w:hint="cs"/>
          <w:rtl/>
        </w:rPr>
        <w:t xml:space="preserve"> </w:t>
      </w:r>
      <w:r w:rsidRPr="005B5F4D">
        <w:rPr>
          <w:rFonts w:eastAsiaTheme="minorEastAsia"/>
          <w:rtl/>
        </w:rPr>
        <w:t xml:space="preserve">وتصفيتها. </w:t>
      </w:r>
    </w:p>
    <w:p w14:paraId="3C01B357" w14:textId="77777777" w:rsidR="00561206" w:rsidRPr="005B5F4D" w:rsidRDefault="00561206" w:rsidP="00561206">
      <w:pPr>
        <w:pStyle w:val="SingleTxtGA"/>
        <w:rPr>
          <w:rFonts w:eastAsiaTheme="minorEastAsia"/>
          <w:lang w:val="ar-SA" w:eastAsia="zh-TW" w:bidi="en-GB"/>
        </w:rPr>
      </w:pPr>
      <w:r w:rsidRPr="005B5F4D">
        <w:rPr>
          <w:rFonts w:eastAsiaTheme="minorEastAsia"/>
          <w:rtl/>
        </w:rPr>
        <w:t>24-</w:t>
      </w:r>
      <w:r w:rsidRPr="005B5F4D">
        <w:rPr>
          <w:rFonts w:eastAsiaTheme="minorEastAsia"/>
          <w:rtl/>
        </w:rPr>
        <w:tab/>
        <w:t>ويتواصل إنشاء مؤسسات الأعمال بوتيرة عالية منذ عام 2018. وتشير البيانات الإحصائية التي جمعها مركز الإجراءات الخاصة بمؤسسات الأعمال إلى إنشاء أكثر من 000 15 مؤسسة أعمال في عام 2023. ويشكل هذا الرقم القياسي الجديد لعدد مؤسسات الأعمال المنشأة في سنة تقويمية واحدة في البلد زيادة بنسبة 13 في المائة مقارنة بعام 2022، الذي شهد إنشاء 835 13 مؤسسة.</w:t>
      </w:r>
    </w:p>
    <w:p w14:paraId="2849F649" w14:textId="297DC37F" w:rsidR="00561206" w:rsidRPr="005B5F4D" w:rsidRDefault="00561206" w:rsidP="00561206">
      <w:pPr>
        <w:pStyle w:val="SingleTxtGA"/>
        <w:rPr>
          <w:rFonts w:eastAsiaTheme="minorEastAsia"/>
          <w:lang w:val="ar-SA" w:eastAsia="zh-TW" w:bidi="en-GB"/>
        </w:rPr>
      </w:pPr>
      <w:r w:rsidRPr="005B5F4D">
        <w:rPr>
          <w:rFonts w:eastAsiaTheme="minorEastAsia"/>
          <w:rtl/>
        </w:rPr>
        <w:t>25-</w:t>
      </w:r>
      <w:r w:rsidRPr="005B5F4D">
        <w:rPr>
          <w:rFonts w:eastAsiaTheme="minorEastAsia"/>
          <w:rtl/>
        </w:rPr>
        <w:tab/>
        <w:t>وهذا الرقم القياسي الي تحققه توغو للسنة الخامسة على التوالي في هذا القطاع هو نتيجة لما</w:t>
      </w:r>
      <w:r w:rsidR="00364E66" w:rsidRPr="005B5F4D">
        <w:rPr>
          <w:rFonts w:eastAsiaTheme="minorEastAsia" w:hint="cs"/>
          <w:rtl/>
        </w:rPr>
        <w:t> </w:t>
      </w:r>
      <w:r w:rsidRPr="005B5F4D">
        <w:rPr>
          <w:rFonts w:eastAsiaTheme="minorEastAsia"/>
          <w:rtl/>
        </w:rPr>
        <w:t>أدخلته الحكومة في السنوات الأخيرة من إصلاحات عديدة بهدف تحسين مناخ الأعمال. وبالإضافة إلى تقليل الوقت والتكاليف، أدت رقمنة الإجراءات إلى تيسير إنشاء مؤسسات الأعمال.</w:t>
      </w:r>
    </w:p>
    <w:p w14:paraId="387A14A7" w14:textId="5F871B8E" w:rsidR="00561206" w:rsidRPr="005B5F4D" w:rsidRDefault="00DF334D" w:rsidP="00DF334D">
      <w:pPr>
        <w:pStyle w:val="HChGA"/>
        <w:rPr>
          <w:lang w:val="ar-SA" w:eastAsia="zh-TW" w:bidi="en-GB"/>
        </w:rPr>
      </w:pPr>
      <w:r w:rsidRPr="005B5F4D">
        <w:rPr>
          <w:rtl/>
        </w:rPr>
        <w:tab/>
      </w:r>
      <w:r w:rsidR="00561206" w:rsidRPr="005B5F4D">
        <w:rPr>
          <w:rtl/>
        </w:rPr>
        <w:t>سادسا</w:t>
      </w:r>
      <w:r w:rsidRPr="005B5F4D">
        <w:rPr>
          <w:rFonts w:hint="cs"/>
          <w:rtl/>
        </w:rPr>
        <w:t>ً</w:t>
      </w:r>
      <w:r w:rsidR="00561206" w:rsidRPr="005B5F4D">
        <w:rPr>
          <w:rtl/>
        </w:rPr>
        <w:t>-</w:t>
      </w:r>
      <w:r w:rsidR="00561206" w:rsidRPr="005B5F4D">
        <w:rPr>
          <w:rtl/>
        </w:rPr>
        <w:tab/>
        <w:t>آفاق المستقبل</w:t>
      </w:r>
    </w:p>
    <w:p w14:paraId="3E77251B" w14:textId="4D0E961A" w:rsidR="00561206" w:rsidRPr="005B5F4D" w:rsidRDefault="00561206" w:rsidP="00561206">
      <w:pPr>
        <w:pStyle w:val="SingleTxtGA"/>
        <w:rPr>
          <w:rFonts w:eastAsiaTheme="minorEastAsia"/>
          <w:lang w:val="ar-SA" w:eastAsia="zh-TW" w:bidi="en-GB"/>
        </w:rPr>
      </w:pPr>
      <w:r w:rsidRPr="005B5F4D">
        <w:rPr>
          <w:rFonts w:eastAsiaTheme="minorEastAsia"/>
          <w:rtl/>
        </w:rPr>
        <w:t>26-</w:t>
      </w:r>
      <w:r w:rsidRPr="005B5F4D">
        <w:rPr>
          <w:rFonts w:eastAsiaTheme="minorEastAsia"/>
          <w:rtl/>
        </w:rPr>
        <w:tab/>
        <w:t>لقد اختارت توغو أهداف</w:t>
      </w:r>
      <w:r w:rsidR="00364E66" w:rsidRPr="005B5F4D">
        <w:rPr>
          <w:rFonts w:eastAsiaTheme="minorEastAsia"/>
          <w:rtl/>
        </w:rPr>
        <w:t xml:space="preserve">اً </w:t>
      </w:r>
      <w:r w:rsidRPr="005B5F4D">
        <w:rPr>
          <w:rFonts w:eastAsiaTheme="minorEastAsia"/>
          <w:rtl/>
        </w:rPr>
        <w:t>إنمائية أكثر طموح</w:t>
      </w:r>
      <w:r w:rsidR="00364E66" w:rsidRPr="005B5F4D">
        <w:rPr>
          <w:rFonts w:eastAsiaTheme="minorEastAsia"/>
          <w:rtl/>
        </w:rPr>
        <w:t xml:space="preserve">اً </w:t>
      </w:r>
      <w:r w:rsidRPr="005B5F4D">
        <w:rPr>
          <w:rFonts w:eastAsiaTheme="minorEastAsia"/>
          <w:rtl/>
        </w:rPr>
        <w:t xml:space="preserve">تهدف إلى الانضمام إلى فئة البلدان الناشئة بحلول عام 2030، مع تنفيذ البرنامج الإنمائي الوطني (للفترة 2018-2022) الذي أدى إلى وضع خريطة الطريق الحكومية للفترة 2020-2025. </w:t>
      </w:r>
    </w:p>
    <w:p w14:paraId="7BD75FDC" w14:textId="442AE9B1" w:rsidR="00561206" w:rsidRPr="005B5F4D" w:rsidRDefault="00561206" w:rsidP="00561206">
      <w:pPr>
        <w:pStyle w:val="SingleTxtGA"/>
        <w:rPr>
          <w:rFonts w:eastAsiaTheme="minorEastAsia"/>
          <w:lang w:val="fr-CH" w:eastAsia="zh-TW" w:bidi="en-GB"/>
        </w:rPr>
      </w:pPr>
      <w:r w:rsidRPr="005B5F4D">
        <w:rPr>
          <w:rFonts w:eastAsiaTheme="minorEastAsia"/>
          <w:rtl/>
        </w:rPr>
        <w:t>27-</w:t>
      </w:r>
      <w:r w:rsidRPr="005B5F4D">
        <w:rPr>
          <w:rFonts w:eastAsiaTheme="minorEastAsia"/>
          <w:rtl/>
        </w:rPr>
        <w:tab/>
        <w:t>وتستند خريطة الطريق هذه إلى رؤية: "توغو أمة حديثة تنعم بالسلام والنمو الاقتصادي الشامل والمستدام</w:t>
      </w:r>
      <w:r w:rsidR="00832E7B" w:rsidRPr="005B5F4D">
        <w:rPr>
          <w:rFonts w:eastAsiaTheme="minorEastAsia" w:hint="cs"/>
          <w:rtl/>
        </w:rPr>
        <w:t>"</w:t>
      </w:r>
      <w:r w:rsidRPr="005B5F4D">
        <w:rPr>
          <w:rFonts w:eastAsiaTheme="minorEastAsia"/>
          <w:rtl/>
        </w:rPr>
        <w:t>، وتنقسم إلى ثلاثة محاور، هي:</w:t>
      </w:r>
    </w:p>
    <w:p w14:paraId="10858013" w14:textId="41283FAC" w:rsidR="00561206" w:rsidRPr="005B5F4D" w:rsidRDefault="00561206" w:rsidP="00DF334D">
      <w:pPr>
        <w:pStyle w:val="SingleTxtGA"/>
        <w:numPr>
          <w:ilvl w:val="0"/>
          <w:numId w:val="34"/>
        </w:numPr>
        <w:rPr>
          <w:rFonts w:eastAsiaTheme="minorEastAsia"/>
          <w:lang w:val="ar-SA" w:eastAsia="zh-TW" w:bidi="en-GB"/>
        </w:rPr>
      </w:pPr>
      <w:r w:rsidRPr="005B5F4D">
        <w:rPr>
          <w:rFonts w:eastAsiaTheme="minorEastAsia"/>
          <w:rtl/>
        </w:rPr>
        <w:t>المحور الاستراتيجي 1</w:t>
      </w:r>
      <w:r w:rsidRPr="005B5F4D">
        <w:rPr>
          <w:rFonts w:eastAsiaTheme="minorEastAsia"/>
        </w:rPr>
        <w:t>:</w:t>
      </w:r>
      <w:r w:rsidRPr="005B5F4D">
        <w:rPr>
          <w:rFonts w:eastAsiaTheme="minorEastAsia"/>
          <w:rtl/>
        </w:rPr>
        <w:t xml:space="preserve"> تعزيز الإدماج والوئام الاجتماعي وتوطيد دعائم السلام؛</w:t>
      </w:r>
    </w:p>
    <w:p w14:paraId="6C8F03D5" w14:textId="1AE6FF25" w:rsidR="00561206" w:rsidRPr="005B5F4D" w:rsidRDefault="00561206" w:rsidP="00DF334D">
      <w:pPr>
        <w:pStyle w:val="SingleTxtGA"/>
        <w:numPr>
          <w:ilvl w:val="0"/>
          <w:numId w:val="34"/>
        </w:numPr>
        <w:rPr>
          <w:rFonts w:eastAsiaTheme="minorEastAsia"/>
          <w:lang w:val="ar-SA" w:eastAsia="zh-TW" w:bidi="en-GB"/>
        </w:rPr>
      </w:pPr>
      <w:r w:rsidRPr="005B5F4D">
        <w:rPr>
          <w:rFonts w:eastAsiaTheme="minorEastAsia"/>
          <w:rtl/>
        </w:rPr>
        <w:t>المحور الاستراتيجي 2</w:t>
      </w:r>
      <w:r w:rsidRPr="005B5F4D">
        <w:rPr>
          <w:rFonts w:eastAsiaTheme="minorEastAsia"/>
        </w:rPr>
        <w:t>:</w:t>
      </w:r>
      <w:r w:rsidRPr="005B5F4D">
        <w:rPr>
          <w:rFonts w:eastAsiaTheme="minorEastAsia"/>
          <w:rtl/>
        </w:rPr>
        <w:t xml:space="preserve"> تعزيز إيجاد فرص العمل من خلال الاعتماد على مكامن قوة الاقتصاد؛</w:t>
      </w:r>
    </w:p>
    <w:p w14:paraId="459305A7" w14:textId="2AD7018A" w:rsidR="00561206" w:rsidRPr="005B5F4D" w:rsidRDefault="00561206" w:rsidP="00DF334D">
      <w:pPr>
        <w:pStyle w:val="SingleTxtGA"/>
        <w:numPr>
          <w:ilvl w:val="0"/>
          <w:numId w:val="34"/>
        </w:numPr>
        <w:rPr>
          <w:rFonts w:eastAsiaTheme="minorEastAsia"/>
          <w:lang w:val="ar-SA" w:eastAsia="zh-TW" w:bidi="en-GB"/>
        </w:rPr>
      </w:pPr>
      <w:r w:rsidRPr="005B5F4D">
        <w:rPr>
          <w:rFonts w:eastAsiaTheme="minorEastAsia"/>
          <w:rtl/>
        </w:rPr>
        <w:t>المحور الاستراتيجي 3</w:t>
      </w:r>
      <w:r w:rsidRPr="005B5F4D">
        <w:rPr>
          <w:rFonts w:eastAsiaTheme="minorEastAsia"/>
        </w:rPr>
        <w:t>:</w:t>
      </w:r>
      <w:r w:rsidRPr="005B5F4D">
        <w:rPr>
          <w:rFonts w:eastAsiaTheme="minorEastAsia"/>
          <w:rtl/>
        </w:rPr>
        <w:t xml:space="preserve"> تحديث البلد وتعزيز هياكله.</w:t>
      </w:r>
    </w:p>
    <w:p w14:paraId="344CBA80" w14:textId="36AB5245" w:rsidR="00561206" w:rsidRPr="005B5F4D" w:rsidRDefault="00561206" w:rsidP="00DF334D">
      <w:pPr>
        <w:pStyle w:val="H1GA"/>
        <w:jc w:val="left"/>
        <w:rPr>
          <w:lang w:val="ar-SA" w:eastAsia="zh-TW" w:bidi="en-GB"/>
        </w:rPr>
      </w:pPr>
      <w:r w:rsidRPr="005B5F4D">
        <w:rPr>
          <w:rtl/>
        </w:rPr>
        <w:tab/>
      </w:r>
      <w:r w:rsidRPr="005B5F4D">
        <w:rPr>
          <w:rtl/>
        </w:rPr>
        <w:tab/>
        <w:t>الجزء الثاني</w:t>
      </w:r>
      <w:r w:rsidR="00DF334D" w:rsidRPr="005B5F4D">
        <w:rPr>
          <w:rtl/>
        </w:rPr>
        <w:tab/>
      </w:r>
      <w:r w:rsidR="00DF334D" w:rsidRPr="005B5F4D">
        <w:rPr>
          <w:rtl/>
        </w:rPr>
        <w:tab/>
      </w:r>
      <w:r w:rsidR="00DF334D" w:rsidRPr="005B5F4D">
        <w:rPr>
          <w:rtl/>
        </w:rPr>
        <w:br/>
      </w:r>
      <w:r w:rsidRPr="005B5F4D">
        <w:rPr>
          <w:rtl/>
        </w:rPr>
        <w:t>الإطار القانوني والمؤسسي لحماية حقوق الإنسان وتعزيزها</w:t>
      </w:r>
    </w:p>
    <w:p w14:paraId="7E9B8A60" w14:textId="79A9C95F" w:rsidR="00561206" w:rsidRPr="005B5F4D" w:rsidRDefault="00DF334D" w:rsidP="00DF334D">
      <w:pPr>
        <w:pStyle w:val="HChGA"/>
        <w:rPr>
          <w:lang w:val="ar-SA" w:eastAsia="zh-TW" w:bidi="en-GB"/>
        </w:rPr>
      </w:pPr>
      <w:r w:rsidRPr="005B5F4D">
        <w:rPr>
          <w:rtl/>
        </w:rPr>
        <w:tab/>
      </w:r>
      <w:r w:rsidR="00561206" w:rsidRPr="005B5F4D">
        <w:rPr>
          <w:rtl/>
        </w:rPr>
        <w:t>أولا</w:t>
      </w:r>
      <w:r w:rsidRPr="005B5F4D">
        <w:rPr>
          <w:rFonts w:hint="cs"/>
          <w:rtl/>
        </w:rPr>
        <w:t>ً</w:t>
      </w:r>
      <w:r w:rsidR="00561206" w:rsidRPr="005B5F4D">
        <w:rPr>
          <w:rtl/>
        </w:rPr>
        <w:t>-</w:t>
      </w:r>
      <w:r w:rsidR="00561206" w:rsidRPr="005B5F4D">
        <w:rPr>
          <w:rtl/>
        </w:rPr>
        <w:tab/>
        <w:t>الإطار القانوني</w:t>
      </w:r>
    </w:p>
    <w:p w14:paraId="301888D3" w14:textId="77777777" w:rsidR="00561206" w:rsidRPr="005B5F4D" w:rsidRDefault="00561206" w:rsidP="00561206">
      <w:pPr>
        <w:pStyle w:val="SingleTxtGA"/>
        <w:rPr>
          <w:rFonts w:eastAsiaTheme="minorEastAsia"/>
          <w:lang w:val="ar-SA" w:eastAsia="zh-TW" w:bidi="en-GB"/>
        </w:rPr>
      </w:pPr>
      <w:r w:rsidRPr="005B5F4D">
        <w:rPr>
          <w:rFonts w:eastAsiaTheme="minorEastAsia"/>
          <w:rtl/>
        </w:rPr>
        <w:t>28</w:t>
      </w:r>
      <w:r w:rsidRPr="005B5F4D">
        <w:rPr>
          <w:rFonts w:eastAsiaTheme="minorEastAsia"/>
          <w:rtl/>
        </w:rPr>
        <w:tab/>
        <w:t xml:space="preserve">يقوم الإطار القانوني لتعزيز حقوق الإنسان وحمايتها على مبدأ الخضوع لسيادة القانون. ومصدر القانون في توغو هو دستور 14 تشرين الأول/أكتوبر 1992، والصكوك والقوانين واللوائح الدولية المصدق عليها على النحو الواجب. </w:t>
      </w:r>
    </w:p>
    <w:p w14:paraId="3845DB8C" w14:textId="77777777" w:rsidR="00561206" w:rsidRPr="005B5F4D" w:rsidRDefault="00561206" w:rsidP="00561206">
      <w:pPr>
        <w:pStyle w:val="SingleTxtGA"/>
        <w:rPr>
          <w:rFonts w:eastAsiaTheme="minorEastAsia"/>
          <w:lang w:val="ar-SA" w:eastAsia="zh-TW" w:bidi="en-GB"/>
        </w:rPr>
      </w:pPr>
      <w:r w:rsidRPr="005B5F4D">
        <w:rPr>
          <w:rFonts w:eastAsiaTheme="minorEastAsia"/>
          <w:rtl/>
        </w:rPr>
        <w:t>29-</w:t>
      </w:r>
      <w:r w:rsidRPr="005B5F4D">
        <w:rPr>
          <w:rFonts w:eastAsiaTheme="minorEastAsia"/>
          <w:rtl/>
        </w:rPr>
        <w:tab/>
        <w:t>ويتضمن الدستور أحكاماً تكفل حماية حقوق الإنسان. ومن بين تلك الأحكام، الأحكام المتعلقة بالحق في الحياة (المادة 13) والحق في محاكمة عادلة (المادة 19)؛ وحرية الفكر والوجدان والدين والعبادة والرأي والتعبير (المادة 25)؛ والحق في الصحة (المادة 34)؛ والحق في التعليم (المادة 35).</w:t>
      </w:r>
    </w:p>
    <w:p w14:paraId="6B045BFA" w14:textId="360A3C99" w:rsidR="00561206" w:rsidRPr="005B5F4D" w:rsidRDefault="00561206" w:rsidP="00561206">
      <w:pPr>
        <w:pStyle w:val="SingleTxtGA"/>
        <w:rPr>
          <w:rFonts w:eastAsiaTheme="minorEastAsia"/>
          <w:lang w:val="ar-SA" w:eastAsia="zh-TW" w:bidi="en-GB"/>
        </w:rPr>
      </w:pPr>
      <w:r w:rsidRPr="005B5F4D">
        <w:rPr>
          <w:rFonts w:eastAsiaTheme="minorEastAsia"/>
          <w:rtl/>
        </w:rPr>
        <w:t>30-</w:t>
      </w:r>
      <w:r w:rsidRPr="005B5F4D">
        <w:rPr>
          <w:rFonts w:eastAsiaTheme="minorEastAsia"/>
          <w:rtl/>
        </w:rPr>
        <w:tab/>
      </w:r>
      <w:r w:rsidRPr="005B5F4D">
        <w:rPr>
          <w:rFonts w:eastAsiaTheme="minorEastAsia"/>
          <w:spacing w:val="-2"/>
          <w:rtl/>
        </w:rPr>
        <w:t>وينص</w:t>
      </w:r>
      <w:r w:rsidR="00662201" w:rsidRPr="005B5F4D">
        <w:rPr>
          <w:rFonts w:eastAsiaTheme="minorEastAsia"/>
          <w:spacing w:val="-2"/>
          <w:rtl/>
        </w:rPr>
        <w:t xml:space="preserve"> </w:t>
      </w:r>
      <w:r w:rsidRPr="005B5F4D">
        <w:rPr>
          <w:rFonts w:eastAsiaTheme="minorEastAsia"/>
          <w:spacing w:val="-2"/>
          <w:rtl/>
        </w:rPr>
        <w:t>القانون</w:t>
      </w:r>
      <w:r w:rsidR="00662201" w:rsidRPr="005B5F4D">
        <w:rPr>
          <w:rFonts w:eastAsiaTheme="minorEastAsia"/>
          <w:spacing w:val="-2"/>
          <w:rtl/>
        </w:rPr>
        <w:t xml:space="preserve"> </w:t>
      </w:r>
      <w:r w:rsidRPr="005B5F4D">
        <w:rPr>
          <w:rFonts w:eastAsiaTheme="minorEastAsia"/>
          <w:spacing w:val="-2"/>
          <w:rtl/>
        </w:rPr>
        <w:t>رقم</w:t>
      </w:r>
      <w:r w:rsidR="00662201" w:rsidRPr="005B5F4D">
        <w:rPr>
          <w:rFonts w:eastAsiaTheme="minorEastAsia"/>
          <w:spacing w:val="-2"/>
          <w:rtl/>
        </w:rPr>
        <w:t xml:space="preserve"> </w:t>
      </w:r>
      <w:r w:rsidRPr="005B5F4D">
        <w:rPr>
          <w:rFonts w:eastAsiaTheme="minorEastAsia"/>
          <w:spacing w:val="-2"/>
          <w:rtl/>
        </w:rPr>
        <w:t>2019-003</w:t>
      </w:r>
      <w:r w:rsidR="00662201" w:rsidRPr="005B5F4D">
        <w:rPr>
          <w:rFonts w:eastAsiaTheme="minorEastAsia"/>
          <w:spacing w:val="-2"/>
          <w:rtl/>
        </w:rPr>
        <w:t xml:space="preserve"> </w:t>
      </w:r>
      <w:r w:rsidRPr="005B5F4D">
        <w:rPr>
          <w:rFonts w:eastAsiaTheme="minorEastAsia"/>
          <w:spacing w:val="-2"/>
          <w:rtl/>
        </w:rPr>
        <w:t>المؤرخ</w:t>
      </w:r>
      <w:r w:rsidR="00662201" w:rsidRPr="005B5F4D">
        <w:rPr>
          <w:rFonts w:eastAsiaTheme="minorEastAsia"/>
          <w:spacing w:val="-2"/>
          <w:rtl/>
        </w:rPr>
        <w:t xml:space="preserve"> </w:t>
      </w:r>
      <w:r w:rsidRPr="005B5F4D">
        <w:rPr>
          <w:rFonts w:eastAsiaTheme="minorEastAsia"/>
          <w:spacing w:val="-2"/>
          <w:rtl/>
        </w:rPr>
        <w:t>15</w:t>
      </w:r>
      <w:r w:rsidR="00662201" w:rsidRPr="005B5F4D">
        <w:rPr>
          <w:rFonts w:eastAsiaTheme="minorEastAsia"/>
          <w:spacing w:val="-2"/>
          <w:rtl/>
        </w:rPr>
        <w:t xml:space="preserve"> </w:t>
      </w:r>
      <w:r w:rsidRPr="005B5F4D">
        <w:rPr>
          <w:rFonts w:eastAsiaTheme="minorEastAsia"/>
          <w:spacing w:val="-2"/>
          <w:rtl/>
        </w:rPr>
        <w:t>أيار/مايو</w:t>
      </w:r>
      <w:r w:rsidR="00662201" w:rsidRPr="005B5F4D">
        <w:rPr>
          <w:rFonts w:eastAsiaTheme="minorEastAsia"/>
          <w:spacing w:val="-2"/>
          <w:rtl/>
        </w:rPr>
        <w:t xml:space="preserve"> </w:t>
      </w:r>
      <w:r w:rsidRPr="005B5F4D">
        <w:rPr>
          <w:rFonts w:eastAsiaTheme="minorEastAsia"/>
          <w:spacing w:val="-2"/>
          <w:rtl/>
        </w:rPr>
        <w:t>2019</w:t>
      </w:r>
      <w:r w:rsidR="00662201" w:rsidRPr="005B5F4D">
        <w:rPr>
          <w:rFonts w:eastAsiaTheme="minorEastAsia"/>
          <w:spacing w:val="-2"/>
          <w:rtl/>
        </w:rPr>
        <w:t xml:space="preserve"> </w:t>
      </w:r>
      <w:r w:rsidRPr="005B5F4D">
        <w:rPr>
          <w:rFonts w:eastAsiaTheme="minorEastAsia"/>
          <w:spacing w:val="-2"/>
          <w:rtl/>
        </w:rPr>
        <w:t>والمعدل</w:t>
      </w:r>
      <w:r w:rsidR="00662201" w:rsidRPr="005B5F4D">
        <w:rPr>
          <w:rFonts w:eastAsiaTheme="minorEastAsia"/>
          <w:spacing w:val="-2"/>
          <w:rtl/>
        </w:rPr>
        <w:t xml:space="preserve"> </w:t>
      </w:r>
      <w:r w:rsidRPr="005B5F4D">
        <w:rPr>
          <w:rFonts w:eastAsiaTheme="minorEastAsia"/>
          <w:spacing w:val="-2"/>
          <w:rtl/>
        </w:rPr>
        <w:t>لدستور</w:t>
      </w:r>
      <w:r w:rsidR="00662201" w:rsidRPr="005B5F4D">
        <w:rPr>
          <w:rFonts w:eastAsiaTheme="minorEastAsia"/>
          <w:spacing w:val="-2"/>
          <w:rtl/>
        </w:rPr>
        <w:t xml:space="preserve"> </w:t>
      </w:r>
      <w:r w:rsidRPr="005B5F4D">
        <w:rPr>
          <w:rFonts w:eastAsiaTheme="minorEastAsia"/>
          <w:spacing w:val="-2"/>
          <w:rtl/>
        </w:rPr>
        <w:t>14</w:t>
      </w:r>
      <w:r w:rsidR="00662201" w:rsidRPr="005B5F4D">
        <w:rPr>
          <w:rFonts w:eastAsiaTheme="minorEastAsia"/>
          <w:spacing w:val="-2"/>
          <w:rtl/>
        </w:rPr>
        <w:t xml:space="preserve"> </w:t>
      </w:r>
      <w:r w:rsidRPr="005B5F4D">
        <w:rPr>
          <w:rFonts w:eastAsiaTheme="minorEastAsia"/>
          <w:spacing w:val="-2"/>
          <w:rtl/>
        </w:rPr>
        <w:t>تشرين</w:t>
      </w:r>
      <w:r w:rsidR="00662201" w:rsidRPr="005B5F4D">
        <w:rPr>
          <w:rFonts w:eastAsiaTheme="minorEastAsia"/>
          <w:spacing w:val="-2"/>
          <w:rtl/>
        </w:rPr>
        <w:t xml:space="preserve"> </w:t>
      </w:r>
      <w:r w:rsidRPr="005B5F4D">
        <w:rPr>
          <w:rFonts w:eastAsiaTheme="minorEastAsia"/>
          <w:spacing w:val="-2"/>
          <w:rtl/>
        </w:rPr>
        <w:t>الأول/</w:t>
      </w:r>
      <w:r w:rsidR="00802A08" w:rsidRPr="005B5F4D">
        <w:rPr>
          <w:rFonts w:eastAsiaTheme="minorEastAsia" w:hint="cs"/>
          <w:rtl/>
        </w:rPr>
        <w:t xml:space="preserve"> </w:t>
      </w:r>
      <w:r w:rsidRPr="005B5F4D">
        <w:rPr>
          <w:rFonts w:eastAsiaTheme="minorEastAsia"/>
          <w:spacing w:val="-2"/>
          <w:rtl/>
        </w:rPr>
        <w:t>أكتوبر</w:t>
      </w:r>
      <w:r w:rsidR="00662201" w:rsidRPr="005B5F4D">
        <w:rPr>
          <w:rFonts w:eastAsiaTheme="minorEastAsia"/>
          <w:spacing w:val="-2"/>
          <w:rtl/>
        </w:rPr>
        <w:t xml:space="preserve"> </w:t>
      </w:r>
      <w:r w:rsidRPr="005B5F4D">
        <w:rPr>
          <w:rFonts w:eastAsiaTheme="minorEastAsia"/>
          <w:spacing w:val="-2"/>
          <w:rtl/>
        </w:rPr>
        <w:t>1992،</w:t>
      </w:r>
      <w:r w:rsidR="00662201" w:rsidRPr="005B5F4D">
        <w:rPr>
          <w:rFonts w:eastAsiaTheme="minorEastAsia"/>
          <w:spacing w:val="-2"/>
          <w:rtl/>
        </w:rPr>
        <w:t xml:space="preserve"> </w:t>
      </w:r>
      <w:r w:rsidRPr="005B5F4D">
        <w:rPr>
          <w:rFonts w:eastAsiaTheme="minorEastAsia"/>
          <w:spacing w:val="-2"/>
          <w:rtl/>
        </w:rPr>
        <w:t>في</w:t>
      </w:r>
      <w:r w:rsidR="00662201" w:rsidRPr="005B5F4D">
        <w:rPr>
          <w:rFonts w:eastAsiaTheme="minorEastAsia"/>
          <w:spacing w:val="-2"/>
          <w:rtl/>
        </w:rPr>
        <w:t xml:space="preserve"> </w:t>
      </w:r>
      <w:r w:rsidRPr="005B5F4D">
        <w:rPr>
          <w:rFonts w:eastAsiaTheme="minorEastAsia"/>
          <w:spacing w:val="-2"/>
          <w:rtl/>
        </w:rPr>
        <w:t>جملة</w:t>
      </w:r>
      <w:r w:rsidR="00662201" w:rsidRPr="005B5F4D">
        <w:rPr>
          <w:rFonts w:eastAsiaTheme="minorEastAsia"/>
          <w:spacing w:val="-2"/>
          <w:rtl/>
        </w:rPr>
        <w:t xml:space="preserve"> </w:t>
      </w:r>
      <w:r w:rsidRPr="005B5F4D">
        <w:rPr>
          <w:rFonts w:eastAsiaTheme="minorEastAsia"/>
          <w:spacing w:val="-2"/>
          <w:rtl/>
        </w:rPr>
        <w:t>أمور،</w:t>
      </w:r>
      <w:r w:rsidR="00662201" w:rsidRPr="005B5F4D">
        <w:rPr>
          <w:rFonts w:eastAsiaTheme="minorEastAsia"/>
          <w:spacing w:val="-2"/>
          <w:rtl/>
        </w:rPr>
        <w:t xml:space="preserve"> </w:t>
      </w:r>
      <w:r w:rsidRPr="005B5F4D">
        <w:rPr>
          <w:rFonts w:eastAsiaTheme="minorEastAsia"/>
          <w:spacing w:val="-2"/>
          <w:rtl/>
        </w:rPr>
        <w:t>على</w:t>
      </w:r>
      <w:r w:rsidR="00662201" w:rsidRPr="005B5F4D">
        <w:rPr>
          <w:rFonts w:eastAsiaTheme="minorEastAsia"/>
          <w:spacing w:val="-2"/>
          <w:rtl/>
        </w:rPr>
        <w:t xml:space="preserve"> </w:t>
      </w:r>
      <w:r w:rsidRPr="005B5F4D">
        <w:rPr>
          <w:rFonts w:eastAsiaTheme="minorEastAsia"/>
          <w:spacing w:val="-2"/>
          <w:rtl/>
        </w:rPr>
        <w:t>إلغاء</w:t>
      </w:r>
      <w:r w:rsidR="00662201" w:rsidRPr="005B5F4D">
        <w:rPr>
          <w:rFonts w:eastAsiaTheme="minorEastAsia"/>
          <w:spacing w:val="-2"/>
          <w:rtl/>
        </w:rPr>
        <w:t xml:space="preserve"> </w:t>
      </w:r>
      <w:r w:rsidRPr="005B5F4D">
        <w:rPr>
          <w:rFonts w:eastAsiaTheme="minorEastAsia"/>
          <w:spacing w:val="-2"/>
          <w:rtl/>
        </w:rPr>
        <w:t>عقوبتي</w:t>
      </w:r>
      <w:r w:rsidR="00662201" w:rsidRPr="005B5F4D">
        <w:rPr>
          <w:rFonts w:eastAsiaTheme="minorEastAsia"/>
          <w:spacing w:val="-2"/>
          <w:rtl/>
        </w:rPr>
        <w:t xml:space="preserve"> </w:t>
      </w:r>
      <w:r w:rsidRPr="005B5F4D">
        <w:rPr>
          <w:rFonts w:eastAsiaTheme="minorEastAsia"/>
          <w:spacing w:val="-2"/>
          <w:rtl/>
        </w:rPr>
        <w:t>الإعدام</w:t>
      </w:r>
      <w:r w:rsidR="00662201" w:rsidRPr="005B5F4D">
        <w:rPr>
          <w:rFonts w:eastAsiaTheme="minorEastAsia"/>
          <w:spacing w:val="-2"/>
          <w:rtl/>
        </w:rPr>
        <w:t xml:space="preserve"> </w:t>
      </w:r>
      <w:r w:rsidRPr="005B5F4D">
        <w:rPr>
          <w:rFonts w:eastAsiaTheme="minorEastAsia"/>
          <w:spacing w:val="-2"/>
          <w:rtl/>
        </w:rPr>
        <w:t>والسجن</w:t>
      </w:r>
      <w:r w:rsidR="00662201" w:rsidRPr="005B5F4D">
        <w:rPr>
          <w:rFonts w:eastAsiaTheme="minorEastAsia"/>
          <w:spacing w:val="-2"/>
          <w:rtl/>
        </w:rPr>
        <w:t xml:space="preserve"> </w:t>
      </w:r>
      <w:r w:rsidRPr="005B5F4D">
        <w:rPr>
          <w:rFonts w:eastAsiaTheme="minorEastAsia"/>
          <w:spacing w:val="-2"/>
          <w:rtl/>
        </w:rPr>
        <w:t>المؤبد؛</w:t>
      </w:r>
      <w:r w:rsidR="00662201" w:rsidRPr="005B5F4D">
        <w:rPr>
          <w:rFonts w:eastAsiaTheme="minorEastAsia"/>
          <w:spacing w:val="-2"/>
          <w:rtl/>
        </w:rPr>
        <w:t xml:space="preserve"> </w:t>
      </w:r>
      <w:r w:rsidRPr="005B5F4D">
        <w:rPr>
          <w:rFonts w:eastAsiaTheme="minorEastAsia"/>
          <w:spacing w:val="-2"/>
          <w:rtl/>
        </w:rPr>
        <w:t>وعلى</w:t>
      </w:r>
      <w:r w:rsidR="00662201" w:rsidRPr="005B5F4D">
        <w:rPr>
          <w:rFonts w:eastAsiaTheme="minorEastAsia"/>
          <w:spacing w:val="-2"/>
          <w:rtl/>
        </w:rPr>
        <w:t xml:space="preserve"> </w:t>
      </w:r>
      <w:r w:rsidRPr="005B5F4D">
        <w:rPr>
          <w:rFonts w:eastAsiaTheme="minorEastAsia"/>
          <w:spacing w:val="-2"/>
          <w:rtl/>
        </w:rPr>
        <w:t>تأكيد</w:t>
      </w:r>
      <w:r w:rsidR="00662201" w:rsidRPr="005B5F4D">
        <w:rPr>
          <w:rFonts w:eastAsiaTheme="minorEastAsia"/>
          <w:spacing w:val="-2"/>
          <w:rtl/>
        </w:rPr>
        <w:t xml:space="preserve"> </w:t>
      </w:r>
      <w:r w:rsidRPr="005B5F4D">
        <w:rPr>
          <w:rFonts w:eastAsiaTheme="minorEastAsia"/>
          <w:spacing w:val="-2"/>
          <w:rtl/>
        </w:rPr>
        <w:t>مبدأ</w:t>
      </w:r>
      <w:r w:rsidR="00662201" w:rsidRPr="005B5F4D">
        <w:rPr>
          <w:rFonts w:eastAsiaTheme="minorEastAsia"/>
          <w:spacing w:val="-2"/>
          <w:rtl/>
        </w:rPr>
        <w:t xml:space="preserve"> </w:t>
      </w:r>
      <w:r w:rsidRPr="005B5F4D">
        <w:rPr>
          <w:rFonts w:eastAsiaTheme="minorEastAsia"/>
          <w:spacing w:val="-2"/>
          <w:rtl/>
        </w:rPr>
        <w:t>مواجهة</w:t>
      </w:r>
      <w:r w:rsidR="00662201" w:rsidRPr="005B5F4D">
        <w:rPr>
          <w:rFonts w:eastAsiaTheme="minorEastAsia"/>
          <w:spacing w:val="-2"/>
          <w:rtl/>
        </w:rPr>
        <w:t xml:space="preserve"> </w:t>
      </w:r>
      <w:r w:rsidRPr="005B5F4D">
        <w:rPr>
          <w:rFonts w:eastAsiaTheme="minorEastAsia"/>
          <w:spacing w:val="-2"/>
          <w:rtl/>
        </w:rPr>
        <w:t>الشهود</w:t>
      </w:r>
      <w:r w:rsidR="00662201" w:rsidRPr="005B5F4D">
        <w:rPr>
          <w:rFonts w:eastAsiaTheme="minorEastAsia"/>
          <w:rtl/>
        </w:rPr>
        <w:t xml:space="preserve"> </w:t>
      </w:r>
      <w:r w:rsidRPr="005B5F4D">
        <w:rPr>
          <w:rFonts w:eastAsiaTheme="minorEastAsia"/>
          <w:rtl/>
        </w:rPr>
        <w:lastRenderedPageBreak/>
        <w:t>واستجوابهم</w:t>
      </w:r>
      <w:r w:rsidR="00662201" w:rsidRPr="005B5F4D">
        <w:rPr>
          <w:rFonts w:eastAsiaTheme="minorEastAsia"/>
          <w:rtl/>
        </w:rPr>
        <w:t xml:space="preserve"> </w:t>
      </w:r>
      <w:r w:rsidRPr="005B5F4D">
        <w:rPr>
          <w:rFonts w:eastAsiaTheme="minorEastAsia"/>
          <w:rtl/>
        </w:rPr>
        <w:t>أمام</w:t>
      </w:r>
      <w:r w:rsidR="00662201" w:rsidRPr="005B5F4D">
        <w:rPr>
          <w:rFonts w:eastAsiaTheme="minorEastAsia"/>
          <w:rtl/>
        </w:rPr>
        <w:t xml:space="preserve"> </w:t>
      </w:r>
      <w:r w:rsidRPr="005B5F4D">
        <w:rPr>
          <w:rFonts w:eastAsiaTheme="minorEastAsia"/>
          <w:rtl/>
        </w:rPr>
        <w:t>المحكمة</w:t>
      </w:r>
      <w:r w:rsidR="00662201" w:rsidRPr="005B5F4D">
        <w:rPr>
          <w:rFonts w:eastAsiaTheme="minorEastAsia"/>
          <w:rtl/>
        </w:rPr>
        <w:t xml:space="preserve"> </w:t>
      </w:r>
      <w:r w:rsidRPr="005B5F4D">
        <w:rPr>
          <w:rFonts w:eastAsiaTheme="minorEastAsia"/>
          <w:rtl/>
        </w:rPr>
        <w:t>الدستورية؛</w:t>
      </w:r>
      <w:r w:rsidR="00662201" w:rsidRPr="005B5F4D">
        <w:rPr>
          <w:rFonts w:eastAsiaTheme="minorEastAsia"/>
          <w:rtl/>
        </w:rPr>
        <w:t xml:space="preserve"> </w:t>
      </w:r>
      <w:r w:rsidRPr="005B5F4D">
        <w:rPr>
          <w:rFonts w:eastAsiaTheme="minorEastAsia"/>
          <w:rtl/>
        </w:rPr>
        <w:t>وإنشاء</w:t>
      </w:r>
      <w:r w:rsidR="00662201" w:rsidRPr="005B5F4D">
        <w:rPr>
          <w:rFonts w:eastAsiaTheme="minorEastAsia"/>
          <w:rtl/>
        </w:rPr>
        <w:t xml:space="preserve"> </w:t>
      </w:r>
      <w:r w:rsidRPr="005B5F4D">
        <w:rPr>
          <w:rFonts w:eastAsiaTheme="minorEastAsia"/>
          <w:rtl/>
        </w:rPr>
        <w:t>دواوين</w:t>
      </w:r>
      <w:r w:rsidR="00662201" w:rsidRPr="005B5F4D">
        <w:rPr>
          <w:rFonts w:eastAsiaTheme="minorEastAsia"/>
          <w:rtl/>
        </w:rPr>
        <w:t xml:space="preserve"> </w:t>
      </w:r>
      <w:r w:rsidRPr="005B5F4D">
        <w:rPr>
          <w:rFonts w:eastAsiaTheme="minorEastAsia"/>
          <w:rtl/>
        </w:rPr>
        <w:t>محاسبة</w:t>
      </w:r>
      <w:r w:rsidR="00662201" w:rsidRPr="005B5F4D">
        <w:rPr>
          <w:rFonts w:eastAsiaTheme="minorEastAsia"/>
          <w:rtl/>
        </w:rPr>
        <w:t xml:space="preserve"> </w:t>
      </w:r>
      <w:r w:rsidRPr="005B5F4D">
        <w:rPr>
          <w:rFonts w:eastAsiaTheme="minorEastAsia"/>
          <w:rtl/>
        </w:rPr>
        <w:t>إقليمية</w:t>
      </w:r>
      <w:r w:rsidR="00662201" w:rsidRPr="005B5F4D">
        <w:rPr>
          <w:rFonts w:eastAsiaTheme="minorEastAsia"/>
          <w:rtl/>
        </w:rPr>
        <w:t xml:space="preserve"> </w:t>
      </w:r>
      <w:r w:rsidRPr="005B5F4D">
        <w:rPr>
          <w:rFonts w:eastAsiaTheme="minorEastAsia"/>
          <w:rtl/>
        </w:rPr>
        <w:t>وتعديل</w:t>
      </w:r>
      <w:r w:rsidR="00662201" w:rsidRPr="005B5F4D">
        <w:rPr>
          <w:rFonts w:eastAsiaTheme="minorEastAsia"/>
          <w:rtl/>
        </w:rPr>
        <w:t xml:space="preserve"> </w:t>
      </w:r>
      <w:r w:rsidRPr="005B5F4D">
        <w:rPr>
          <w:rFonts w:eastAsiaTheme="minorEastAsia"/>
          <w:rtl/>
        </w:rPr>
        <w:t>أساليب</w:t>
      </w:r>
      <w:r w:rsidR="00662201" w:rsidRPr="005B5F4D">
        <w:rPr>
          <w:rFonts w:eastAsiaTheme="minorEastAsia"/>
          <w:rtl/>
        </w:rPr>
        <w:t xml:space="preserve"> </w:t>
      </w:r>
      <w:r w:rsidRPr="005B5F4D">
        <w:rPr>
          <w:rFonts w:eastAsiaTheme="minorEastAsia"/>
          <w:rtl/>
        </w:rPr>
        <w:t>عمل</w:t>
      </w:r>
      <w:r w:rsidR="00662201" w:rsidRPr="005B5F4D">
        <w:rPr>
          <w:rFonts w:eastAsiaTheme="minorEastAsia"/>
          <w:rtl/>
        </w:rPr>
        <w:t xml:space="preserve"> </w:t>
      </w:r>
      <w:r w:rsidRPr="005B5F4D">
        <w:rPr>
          <w:rFonts w:eastAsiaTheme="minorEastAsia"/>
          <w:rtl/>
        </w:rPr>
        <w:t>ديوان</w:t>
      </w:r>
      <w:r w:rsidR="00662201" w:rsidRPr="005B5F4D">
        <w:rPr>
          <w:rFonts w:eastAsiaTheme="minorEastAsia"/>
          <w:rtl/>
        </w:rPr>
        <w:t xml:space="preserve"> </w:t>
      </w:r>
      <w:r w:rsidRPr="005B5F4D">
        <w:rPr>
          <w:rFonts w:eastAsiaTheme="minorEastAsia"/>
          <w:rtl/>
        </w:rPr>
        <w:t>المحاسبة؛</w:t>
      </w:r>
      <w:r w:rsidR="00662201" w:rsidRPr="005B5F4D">
        <w:rPr>
          <w:rFonts w:eastAsiaTheme="minorEastAsia"/>
          <w:rtl/>
        </w:rPr>
        <w:t xml:space="preserve"> </w:t>
      </w:r>
      <w:r w:rsidRPr="005B5F4D">
        <w:rPr>
          <w:rFonts w:eastAsiaTheme="minorEastAsia"/>
          <w:rtl/>
        </w:rPr>
        <w:t>وتوسيع</w:t>
      </w:r>
      <w:r w:rsidR="00662201" w:rsidRPr="005B5F4D">
        <w:rPr>
          <w:rFonts w:eastAsiaTheme="minorEastAsia"/>
          <w:rtl/>
        </w:rPr>
        <w:t xml:space="preserve"> </w:t>
      </w:r>
      <w:r w:rsidRPr="005B5F4D">
        <w:rPr>
          <w:rFonts w:eastAsiaTheme="minorEastAsia"/>
          <w:rtl/>
        </w:rPr>
        <w:t>نطاق</w:t>
      </w:r>
      <w:r w:rsidR="00662201" w:rsidRPr="005B5F4D">
        <w:rPr>
          <w:rFonts w:eastAsiaTheme="minorEastAsia"/>
          <w:rtl/>
        </w:rPr>
        <w:t xml:space="preserve"> </w:t>
      </w:r>
      <w:r w:rsidRPr="005B5F4D">
        <w:rPr>
          <w:rFonts w:eastAsiaTheme="minorEastAsia"/>
          <w:rtl/>
        </w:rPr>
        <w:t>قائمة</w:t>
      </w:r>
      <w:r w:rsidR="00662201" w:rsidRPr="005B5F4D">
        <w:rPr>
          <w:rFonts w:eastAsiaTheme="minorEastAsia"/>
          <w:rtl/>
        </w:rPr>
        <w:t xml:space="preserve"> </w:t>
      </w:r>
      <w:r w:rsidRPr="005B5F4D">
        <w:rPr>
          <w:rFonts w:eastAsiaTheme="minorEastAsia"/>
          <w:rtl/>
        </w:rPr>
        <w:t>المسؤولين</w:t>
      </w:r>
      <w:r w:rsidR="00662201" w:rsidRPr="005B5F4D">
        <w:rPr>
          <w:rFonts w:eastAsiaTheme="minorEastAsia"/>
          <w:rtl/>
        </w:rPr>
        <w:t xml:space="preserve"> </w:t>
      </w:r>
      <w:r w:rsidRPr="005B5F4D">
        <w:rPr>
          <w:rFonts w:eastAsiaTheme="minorEastAsia"/>
          <w:rtl/>
        </w:rPr>
        <w:t>الملزمين</w:t>
      </w:r>
      <w:r w:rsidR="00662201" w:rsidRPr="005B5F4D">
        <w:rPr>
          <w:rFonts w:eastAsiaTheme="minorEastAsia"/>
          <w:rtl/>
        </w:rPr>
        <w:t xml:space="preserve"> </w:t>
      </w:r>
      <w:r w:rsidRPr="005B5F4D">
        <w:rPr>
          <w:rFonts w:eastAsiaTheme="minorEastAsia"/>
          <w:rtl/>
        </w:rPr>
        <w:t>بالإفصاح</w:t>
      </w:r>
      <w:r w:rsidR="00662201" w:rsidRPr="005B5F4D">
        <w:rPr>
          <w:rFonts w:eastAsiaTheme="minorEastAsia"/>
          <w:rtl/>
        </w:rPr>
        <w:t xml:space="preserve"> </w:t>
      </w:r>
      <w:r w:rsidRPr="005B5F4D">
        <w:rPr>
          <w:rFonts w:eastAsiaTheme="minorEastAsia"/>
          <w:rtl/>
        </w:rPr>
        <w:t>عن</w:t>
      </w:r>
      <w:r w:rsidR="00662201" w:rsidRPr="005B5F4D">
        <w:rPr>
          <w:rFonts w:eastAsiaTheme="minorEastAsia"/>
          <w:rtl/>
        </w:rPr>
        <w:t xml:space="preserve"> </w:t>
      </w:r>
      <w:r w:rsidRPr="005B5F4D">
        <w:rPr>
          <w:rFonts w:eastAsiaTheme="minorEastAsia"/>
          <w:rtl/>
        </w:rPr>
        <w:t>ممتلكاتهم</w:t>
      </w:r>
      <w:r w:rsidR="00662201" w:rsidRPr="005B5F4D">
        <w:rPr>
          <w:rFonts w:eastAsiaTheme="minorEastAsia"/>
          <w:rtl/>
        </w:rPr>
        <w:t xml:space="preserve"> </w:t>
      </w:r>
      <w:r w:rsidRPr="005B5F4D">
        <w:rPr>
          <w:rFonts w:eastAsiaTheme="minorEastAsia"/>
          <w:rtl/>
        </w:rPr>
        <w:t>وأصولهم</w:t>
      </w:r>
      <w:r w:rsidR="00662201" w:rsidRPr="005B5F4D">
        <w:rPr>
          <w:rFonts w:eastAsiaTheme="minorEastAsia"/>
          <w:rtl/>
        </w:rPr>
        <w:t xml:space="preserve"> </w:t>
      </w:r>
      <w:r w:rsidRPr="005B5F4D">
        <w:rPr>
          <w:rFonts w:eastAsiaTheme="minorEastAsia"/>
          <w:rtl/>
        </w:rPr>
        <w:t>إلى</w:t>
      </w:r>
      <w:r w:rsidR="00662201" w:rsidRPr="005B5F4D">
        <w:rPr>
          <w:rFonts w:eastAsiaTheme="minorEastAsia"/>
          <w:rtl/>
        </w:rPr>
        <w:t xml:space="preserve"> </w:t>
      </w:r>
      <w:r w:rsidRPr="005B5F4D">
        <w:rPr>
          <w:rFonts w:eastAsiaTheme="minorEastAsia"/>
          <w:rtl/>
        </w:rPr>
        <w:t>أمين</w:t>
      </w:r>
      <w:r w:rsidR="00662201" w:rsidRPr="005B5F4D">
        <w:rPr>
          <w:rFonts w:eastAsiaTheme="minorEastAsia"/>
          <w:rtl/>
        </w:rPr>
        <w:t xml:space="preserve"> </w:t>
      </w:r>
      <w:r w:rsidRPr="005B5F4D">
        <w:rPr>
          <w:rFonts w:eastAsiaTheme="minorEastAsia"/>
          <w:rtl/>
        </w:rPr>
        <w:t>مظالم</w:t>
      </w:r>
      <w:r w:rsidR="00662201" w:rsidRPr="005B5F4D">
        <w:rPr>
          <w:rFonts w:eastAsiaTheme="minorEastAsia"/>
          <w:rtl/>
        </w:rPr>
        <w:t xml:space="preserve"> </w:t>
      </w:r>
      <w:r w:rsidRPr="005B5F4D">
        <w:rPr>
          <w:rFonts w:eastAsiaTheme="minorEastAsia"/>
          <w:rtl/>
        </w:rPr>
        <w:t>الجمهورية.</w:t>
      </w:r>
      <w:r w:rsidR="00662201" w:rsidRPr="005B5F4D">
        <w:rPr>
          <w:rFonts w:eastAsiaTheme="minorEastAsia"/>
          <w:rtl/>
        </w:rPr>
        <w:t xml:space="preserve"> </w:t>
      </w:r>
      <w:r w:rsidRPr="005B5F4D">
        <w:rPr>
          <w:rFonts w:eastAsiaTheme="minorEastAsia"/>
          <w:rtl/>
        </w:rPr>
        <w:t>ووسّع</w:t>
      </w:r>
      <w:r w:rsidR="00662201" w:rsidRPr="005B5F4D">
        <w:rPr>
          <w:rFonts w:eastAsiaTheme="minorEastAsia"/>
          <w:rtl/>
        </w:rPr>
        <w:t xml:space="preserve"> </w:t>
      </w:r>
      <w:r w:rsidRPr="005B5F4D">
        <w:rPr>
          <w:rFonts w:eastAsiaTheme="minorEastAsia"/>
          <w:rtl/>
        </w:rPr>
        <w:t>نطاق</w:t>
      </w:r>
      <w:r w:rsidR="00662201" w:rsidRPr="005B5F4D">
        <w:rPr>
          <w:rFonts w:eastAsiaTheme="minorEastAsia"/>
          <w:rtl/>
        </w:rPr>
        <w:t xml:space="preserve"> </w:t>
      </w:r>
      <w:r w:rsidRPr="005B5F4D">
        <w:rPr>
          <w:rFonts w:eastAsiaTheme="minorEastAsia"/>
          <w:rtl/>
        </w:rPr>
        <w:t>اللجوء</w:t>
      </w:r>
      <w:r w:rsidR="00662201" w:rsidRPr="005B5F4D">
        <w:rPr>
          <w:rFonts w:eastAsiaTheme="minorEastAsia"/>
          <w:rtl/>
        </w:rPr>
        <w:t xml:space="preserve"> </w:t>
      </w:r>
      <w:r w:rsidRPr="005B5F4D">
        <w:rPr>
          <w:rFonts w:eastAsiaTheme="minorEastAsia"/>
          <w:rtl/>
        </w:rPr>
        <w:t>إلى</w:t>
      </w:r>
      <w:r w:rsidR="00662201" w:rsidRPr="005B5F4D">
        <w:rPr>
          <w:rFonts w:eastAsiaTheme="minorEastAsia"/>
          <w:rtl/>
        </w:rPr>
        <w:t xml:space="preserve"> </w:t>
      </w:r>
      <w:r w:rsidRPr="005B5F4D">
        <w:rPr>
          <w:rFonts w:eastAsiaTheme="minorEastAsia"/>
          <w:rtl/>
        </w:rPr>
        <w:t>المحكمة</w:t>
      </w:r>
      <w:r w:rsidR="00662201" w:rsidRPr="005B5F4D">
        <w:rPr>
          <w:rFonts w:eastAsiaTheme="minorEastAsia"/>
          <w:rtl/>
        </w:rPr>
        <w:t xml:space="preserve"> </w:t>
      </w:r>
      <w:r w:rsidRPr="005B5F4D">
        <w:rPr>
          <w:rFonts w:eastAsiaTheme="minorEastAsia"/>
          <w:rtl/>
        </w:rPr>
        <w:t>الدستورية</w:t>
      </w:r>
      <w:r w:rsidR="00662201" w:rsidRPr="005B5F4D">
        <w:rPr>
          <w:rFonts w:eastAsiaTheme="minorEastAsia"/>
          <w:rtl/>
        </w:rPr>
        <w:t xml:space="preserve"> </w:t>
      </w:r>
      <w:r w:rsidRPr="005B5F4D">
        <w:rPr>
          <w:rFonts w:eastAsiaTheme="minorEastAsia"/>
          <w:rtl/>
        </w:rPr>
        <w:t>لطلب</w:t>
      </w:r>
      <w:r w:rsidR="00662201" w:rsidRPr="005B5F4D">
        <w:rPr>
          <w:rFonts w:eastAsiaTheme="minorEastAsia"/>
          <w:rtl/>
        </w:rPr>
        <w:t xml:space="preserve"> </w:t>
      </w:r>
      <w:r w:rsidRPr="005B5F4D">
        <w:rPr>
          <w:rFonts w:eastAsiaTheme="minorEastAsia"/>
          <w:rtl/>
        </w:rPr>
        <w:t>رأيها</w:t>
      </w:r>
      <w:r w:rsidR="00662201" w:rsidRPr="005B5F4D">
        <w:rPr>
          <w:rFonts w:eastAsiaTheme="minorEastAsia"/>
          <w:rtl/>
        </w:rPr>
        <w:t xml:space="preserve"> </w:t>
      </w:r>
      <w:r w:rsidRPr="005B5F4D">
        <w:rPr>
          <w:rFonts w:eastAsiaTheme="minorEastAsia"/>
          <w:rtl/>
        </w:rPr>
        <w:t>بشأن</w:t>
      </w:r>
      <w:r w:rsidR="00662201" w:rsidRPr="005B5F4D">
        <w:rPr>
          <w:rFonts w:eastAsiaTheme="minorEastAsia"/>
          <w:rtl/>
        </w:rPr>
        <w:t xml:space="preserve"> </w:t>
      </w:r>
      <w:r w:rsidRPr="005B5F4D">
        <w:rPr>
          <w:rFonts w:eastAsiaTheme="minorEastAsia"/>
          <w:rtl/>
        </w:rPr>
        <w:t>معنى</w:t>
      </w:r>
      <w:r w:rsidR="00662201" w:rsidRPr="005B5F4D">
        <w:rPr>
          <w:rFonts w:eastAsiaTheme="minorEastAsia"/>
          <w:rtl/>
        </w:rPr>
        <w:t xml:space="preserve"> </w:t>
      </w:r>
      <w:r w:rsidRPr="005B5F4D">
        <w:rPr>
          <w:rFonts w:eastAsiaTheme="minorEastAsia"/>
          <w:rtl/>
        </w:rPr>
        <w:t>الأحكام</w:t>
      </w:r>
      <w:r w:rsidR="00662201" w:rsidRPr="005B5F4D">
        <w:rPr>
          <w:rFonts w:eastAsiaTheme="minorEastAsia"/>
          <w:rtl/>
        </w:rPr>
        <w:t xml:space="preserve"> </w:t>
      </w:r>
      <w:r w:rsidRPr="005B5F4D">
        <w:rPr>
          <w:rFonts w:eastAsiaTheme="minorEastAsia"/>
          <w:rtl/>
        </w:rPr>
        <w:t>الدستورية</w:t>
      </w:r>
      <w:r w:rsidR="00662201" w:rsidRPr="005B5F4D">
        <w:rPr>
          <w:rFonts w:eastAsiaTheme="minorEastAsia"/>
          <w:rtl/>
        </w:rPr>
        <w:t xml:space="preserve"> </w:t>
      </w:r>
      <w:r w:rsidRPr="005B5F4D">
        <w:rPr>
          <w:rFonts w:eastAsiaTheme="minorEastAsia"/>
          <w:rtl/>
        </w:rPr>
        <w:t>ليشمل</w:t>
      </w:r>
      <w:r w:rsidR="00662201" w:rsidRPr="005B5F4D">
        <w:rPr>
          <w:rFonts w:eastAsiaTheme="minorEastAsia"/>
          <w:rtl/>
        </w:rPr>
        <w:t xml:space="preserve"> </w:t>
      </w:r>
      <w:r w:rsidRPr="005B5F4D">
        <w:rPr>
          <w:rFonts w:eastAsiaTheme="minorEastAsia"/>
          <w:rtl/>
        </w:rPr>
        <w:t>جميع</w:t>
      </w:r>
      <w:r w:rsidR="00662201" w:rsidRPr="005B5F4D">
        <w:rPr>
          <w:rFonts w:eastAsiaTheme="minorEastAsia"/>
          <w:rtl/>
        </w:rPr>
        <w:t xml:space="preserve"> </w:t>
      </w:r>
      <w:r w:rsidRPr="005B5F4D">
        <w:rPr>
          <w:rFonts w:eastAsiaTheme="minorEastAsia"/>
          <w:rtl/>
        </w:rPr>
        <w:t>مؤسسات</w:t>
      </w:r>
      <w:r w:rsidR="00662201" w:rsidRPr="005B5F4D">
        <w:rPr>
          <w:rFonts w:eastAsiaTheme="minorEastAsia"/>
          <w:rtl/>
        </w:rPr>
        <w:t xml:space="preserve"> </w:t>
      </w:r>
      <w:r w:rsidRPr="005B5F4D">
        <w:rPr>
          <w:rFonts w:eastAsiaTheme="minorEastAsia"/>
          <w:rtl/>
        </w:rPr>
        <w:t>الجمهورية</w:t>
      </w:r>
      <w:r w:rsidR="00662201" w:rsidRPr="005B5F4D">
        <w:rPr>
          <w:rFonts w:eastAsiaTheme="minorEastAsia"/>
          <w:rtl/>
        </w:rPr>
        <w:t xml:space="preserve"> </w:t>
      </w:r>
      <w:r w:rsidRPr="005B5F4D">
        <w:rPr>
          <w:rFonts w:eastAsiaTheme="minorEastAsia"/>
          <w:rtl/>
        </w:rPr>
        <w:t>وإمكانية</w:t>
      </w:r>
      <w:r w:rsidR="00662201" w:rsidRPr="005B5F4D">
        <w:rPr>
          <w:rFonts w:eastAsiaTheme="minorEastAsia"/>
          <w:rtl/>
        </w:rPr>
        <w:t xml:space="preserve"> </w:t>
      </w:r>
      <w:r w:rsidRPr="005B5F4D">
        <w:rPr>
          <w:rFonts w:eastAsiaTheme="minorEastAsia"/>
          <w:rtl/>
        </w:rPr>
        <w:t>إحالة</w:t>
      </w:r>
      <w:r w:rsidR="00662201" w:rsidRPr="005B5F4D">
        <w:rPr>
          <w:rFonts w:eastAsiaTheme="minorEastAsia"/>
          <w:rtl/>
        </w:rPr>
        <w:t xml:space="preserve"> </w:t>
      </w:r>
      <w:r w:rsidRPr="005B5F4D">
        <w:rPr>
          <w:rFonts w:eastAsiaTheme="minorEastAsia"/>
          <w:rtl/>
        </w:rPr>
        <w:t>الدعاوى</w:t>
      </w:r>
      <w:r w:rsidR="00662201" w:rsidRPr="005B5F4D">
        <w:rPr>
          <w:rFonts w:eastAsiaTheme="minorEastAsia"/>
          <w:rtl/>
        </w:rPr>
        <w:t xml:space="preserve"> </w:t>
      </w:r>
      <w:r w:rsidRPr="005B5F4D">
        <w:rPr>
          <w:rFonts w:eastAsiaTheme="minorEastAsia"/>
          <w:rtl/>
        </w:rPr>
        <w:t>المتعلقة</w:t>
      </w:r>
      <w:r w:rsidR="00662201" w:rsidRPr="005B5F4D">
        <w:rPr>
          <w:rFonts w:eastAsiaTheme="minorEastAsia"/>
          <w:rtl/>
        </w:rPr>
        <w:t xml:space="preserve"> </w:t>
      </w:r>
      <w:r w:rsidRPr="005B5F4D">
        <w:rPr>
          <w:rFonts w:eastAsiaTheme="minorEastAsia"/>
          <w:rtl/>
        </w:rPr>
        <w:t>بحماية</w:t>
      </w:r>
      <w:r w:rsidR="00662201" w:rsidRPr="005B5F4D">
        <w:rPr>
          <w:rFonts w:eastAsiaTheme="minorEastAsia"/>
          <w:rtl/>
        </w:rPr>
        <w:t xml:space="preserve"> </w:t>
      </w:r>
      <w:r w:rsidRPr="005B5F4D">
        <w:rPr>
          <w:rFonts w:eastAsiaTheme="minorEastAsia"/>
          <w:rtl/>
        </w:rPr>
        <w:t>الحقوق</w:t>
      </w:r>
      <w:r w:rsidR="00662201" w:rsidRPr="005B5F4D">
        <w:rPr>
          <w:rFonts w:eastAsiaTheme="minorEastAsia"/>
          <w:rtl/>
        </w:rPr>
        <w:t xml:space="preserve"> </w:t>
      </w:r>
      <w:r w:rsidRPr="005B5F4D">
        <w:rPr>
          <w:rFonts w:eastAsiaTheme="minorEastAsia"/>
          <w:rtl/>
        </w:rPr>
        <w:t>الأساسية</w:t>
      </w:r>
      <w:r w:rsidR="00662201" w:rsidRPr="005B5F4D">
        <w:rPr>
          <w:rFonts w:eastAsiaTheme="minorEastAsia"/>
          <w:rtl/>
        </w:rPr>
        <w:t xml:space="preserve"> </w:t>
      </w:r>
      <w:r w:rsidRPr="005B5F4D">
        <w:rPr>
          <w:rFonts w:eastAsiaTheme="minorEastAsia"/>
          <w:rtl/>
        </w:rPr>
        <w:t>إلى</w:t>
      </w:r>
      <w:r w:rsidR="00662201" w:rsidRPr="005B5F4D">
        <w:rPr>
          <w:rFonts w:eastAsiaTheme="minorEastAsia"/>
          <w:rtl/>
        </w:rPr>
        <w:t xml:space="preserve"> </w:t>
      </w:r>
      <w:r w:rsidRPr="005B5F4D">
        <w:rPr>
          <w:rFonts w:eastAsiaTheme="minorEastAsia"/>
          <w:rtl/>
        </w:rPr>
        <w:t>المحكمة</w:t>
      </w:r>
      <w:r w:rsidR="00662201" w:rsidRPr="005B5F4D">
        <w:rPr>
          <w:rFonts w:eastAsiaTheme="minorEastAsia" w:hint="cs"/>
          <w:rtl/>
        </w:rPr>
        <w:t xml:space="preserve"> </w:t>
      </w:r>
      <w:r w:rsidRPr="005B5F4D">
        <w:rPr>
          <w:rFonts w:eastAsiaTheme="minorEastAsia"/>
          <w:rtl/>
        </w:rPr>
        <w:t>الدستورية.</w:t>
      </w:r>
    </w:p>
    <w:p w14:paraId="21498906" w14:textId="401D203C" w:rsidR="00561206" w:rsidRPr="005B5F4D" w:rsidRDefault="00561206" w:rsidP="00561206">
      <w:pPr>
        <w:pStyle w:val="SingleTxtGA"/>
        <w:rPr>
          <w:rFonts w:eastAsiaTheme="minorEastAsia"/>
          <w:lang w:val="ar-SA" w:eastAsia="zh-TW" w:bidi="en-GB"/>
        </w:rPr>
      </w:pPr>
      <w:r w:rsidRPr="005B5F4D">
        <w:rPr>
          <w:rFonts w:eastAsiaTheme="minorEastAsia"/>
          <w:rtl/>
        </w:rPr>
        <w:t>31-</w:t>
      </w:r>
      <w:r w:rsidRPr="005B5F4D">
        <w:rPr>
          <w:rFonts w:eastAsiaTheme="minorEastAsia"/>
          <w:rtl/>
        </w:rPr>
        <w:tab/>
        <w:t>تنص المادة 50 من دستور توغو المؤرخ 14 تشرين الأول/أكتوبر 1992 على أن "الحقوق والواجبات المنصوص عليها في الإعلان العالمي لحقوق الإنسان وفي الصكوك الدولية لحقوق الإنسان التي صدقت عليها توغو هي جزءٌ لا يتجزأ من هذا الدستور</w:t>
      </w:r>
      <w:r w:rsidR="00364E66" w:rsidRPr="005B5F4D">
        <w:rPr>
          <w:rFonts w:eastAsiaTheme="minorEastAsia" w:hint="cs"/>
          <w:rtl/>
        </w:rPr>
        <w:t>"</w:t>
      </w:r>
      <w:r w:rsidRPr="005B5F4D">
        <w:rPr>
          <w:rFonts w:eastAsiaTheme="minorEastAsia"/>
          <w:rtl/>
        </w:rPr>
        <w:t>.</w:t>
      </w:r>
    </w:p>
    <w:p w14:paraId="1D1A60C2" w14:textId="06F8880A" w:rsidR="00561206" w:rsidRPr="005B5F4D" w:rsidRDefault="00561206" w:rsidP="00561206">
      <w:pPr>
        <w:pStyle w:val="SingleTxtGA"/>
        <w:rPr>
          <w:rFonts w:eastAsiaTheme="minorEastAsia"/>
          <w:lang w:val="ar-SA" w:eastAsia="zh-TW" w:bidi="en-GB"/>
        </w:rPr>
      </w:pPr>
      <w:r w:rsidRPr="005B5F4D">
        <w:rPr>
          <w:rFonts w:eastAsiaTheme="minorEastAsia"/>
          <w:rtl/>
        </w:rPr>
        <w:t>32-</w:t>
      </w:r>
      <w:r w:rsidRPr="005B5F4D">
        <w:rPr>
          <w:rFonts w:eastAsiaTheme="minorEastAsia"/>
          <w:rtl/>
        </w:rPr>
        <w:tab/>
        <w:t xml:space="preserve">وتنص المادة 140 من الدستور على ما يلي: </w:t>
      </w:r>
      <w:r w:rsidR="00364E66" w:rsidRPr="005B5F4D">
        <w:rPr>
          <w:rFonts w:eastAsiaTheme="minorEastAsia" w:hint="cs"/>
          <w:rtl/>
        </w:rPr>
        <w:t>"</w:t>
      </w:r>
      <w:r w:rsidRPr="005B5F4D">
        <w:rPr>
          <w:rFonts w:eastAsiaTheme="minorEastAsia"/>
          <w:rtl/>
        </w:rPr>
        <w:t>تكون للمعاهدات أو الاتفاقات التي يصدّق أو</w:t>
      </w:r>
      <w:r w:rsidR="00802A08" w:rsidRPr="005B5F4D">
        <w:rPr>
          <w:rFonts w:eastAsiaTheme="minorEastAsia" w:hint="cs"/>
          <w:rtl/>
        </w:rPr>
        <w:t> </w:t>
      </w:r>
      <w:r w:rsidRPr="005B5F4D">
        <w:rPr>
          <w:rFonts w:eastAsiaTheme="minorEastAsia"/>
          <w:rtl/>
        </w:rPr>
        <w:t>يُوافق عليها حسب الأصول، بمجرد نشرها، الأسبقية على القوانين، رهناً بتطبيق الطرف الآخر لكل اتفاق أو معاهدة</w:t>
      </w:r>
      <w:r w:rsidR="00364E66" w:rsidRPr="005B5F4D">
        <w:rPr>
          <w:rFonts w:eastAsiaTheme="minorEastAsia" w:hint="cs"/>
          <w:rtl/>
        </w:rPr>
        <w:t>"</w:t>
      </w:r>
      <w:r w:rsidRPr="005B5F4D">
        <w:rPr>
          <w:rFonts w:eastAsiaTheme="minorEastAsia"/>
          <w:rtl/>
        </w:rPr>
        <w:t>.</w:t>
      </w:r>
    </w:p>
    <w:p w14:paraId="17FEA116" w14:textId="77777777" w:rsidR="00561206" w:rsidRPr="005B5F4D" w:rsidRDefault="00561206" w:rsidP="00561206">
      <w:pPr>
        <w:pStyle w:val="SingleTxtGA"/>
        <w:rPr>
          <w:rFonts w:eastAsiaTheme="minorEastAsia"/>
          <w:lang w:val="ar-SA" w:eastAsia="zh-TW" w:bidi="en-GB"/>
        </w:rPr>
      </w:pPr>
      <w:r w:rsidRPr="005B5F4D">
        <w:rPr>
          <w:rFonts w:eastAsiaTheme="minorEastAsia"/>
          <w:rtl/>
        </w:rPr>
        <w:t>33-</w:t>
      </w:r>
      <w:r w:rsidRPr="005B5F4D">
        <w:rPr>
          <w:rFonts w:eastAsiaTheme="minorEastAsia"/>
          <w:rtl/>
        </w:rPr>
        <w:tab/>
        <w:t xml:space="preserve">وتحدد القوانين التي تعتمدها الجمعية الوطنية والمراسيم التي تصدرها الحكومة أساليب ممارسة مختلف الحقوق التي ينص عليها الدستور. </w:t>
      </w:r>
    </w:p>
    <w:p w14:paraId="1E767BB9" w14:textId="77777777" w:rsidR="00561206" w:rsidRPr="005B5F4D" w:rsidRDefault="00561206" w:rsidP="00561206">
      <w:pPr>
        <w:pStyle w:val="SingleTxtGA"/>
        <w:rPr>
          <w:rFonts w:eastAsiaTheme="minorEastAsia"/>
          <w:lang w:val="ar-SA" w:eastAsia="zh-TW" w:bidi="en-GB"/>
        </w:rPr>
      </w:pPr>
      <w:r w:rsidRPr="005B5F4D">
        <w:rPr>
          <w:rFonts w:eastAsiaTheme="minorEastAsia"/>
          <w:rtl/>
        </w:rPr>
        <w:t>34-</w:t>
      </w:r>
      <w:r w:rsidRPr="005B5F4D">
        <w:rPr>
          <w:rFonts w:eastAsiaTheme="minorEastAsia"/>
          <w:rtl/>
        </w:rPr>
        <w:tab/>
        <w:t>ومن أحدث التشريعات التي يجدر بالإشارة إليها في هذا الصدد، ما يلي</w:t>
      </w:r>
      <w:r w:rsidRPr="005B5F4D">
        <w:rPr>
          <w:rFonts w:eastAsiaTheme="minorEastAsia"/>
        </w:rPr>
        <w:t>:</w:t>
      </w:r>
      <w:r w:rsidRPr="005B5F4D">
        <w:rPr>
          <w:rFonts w:eastAsiaTheme="minorEastAsia"/>
          <w:rtl/>
        </w:rPr>
        <w:t xml:space="preserve"> </w:t>
      </w:r>
    </w:p>
    <w:p w14:paraId="42751A8F" w14:textId="019F483D" w:rsidR="00561206" w:rsidRPr="005B5F4D" w:rsidRDefault="00DF334D" w:rsidP="00DF334D">
      <w:pPr>
        <w:pStyle w:val="H1GA"/>
        <w:rPr>
          <w:lang w:val="ar-SA" w:eastAsia="zh-TW" w:bidi="en-GB"/>
        </w:rPr>
      </w:pPr>
      <w:r w:rsidRPr="005B5F4D">
        <w:rPr>
          <w:rtl/>
        </w:rPr>
        <w:tab/>
      </w:r>
      <w:r w:rsidR="00561206" w:rsidRPr="005B5F4D">
        <w:rPr>
          <w:rtl/>
        </w:rPr>
        <w:t>ألف-</w:t>
      </w:r>
      <w:r w:rsidR="00561206" w:rsidRPr="005B5F4D">
        <w:rPr>
          <w:rtl/>
        </w:rPr>
        <w:tab/>
        <w:t>الإصلاحات التشريعية</w:t>
      </w:r>
    </w:p>
    <w:p w14:paraId="2188BC30" w14:textId="4609408C" w:rsidR="00561206" w:rsidRPr="005B5F4D" w:rsidRDefault="00561206" w:rsidP="00662201">
      <w:pPr>
        <w:pStyle w:val="SingleTxtGA"/>
        <w:numPr>
          <w:ilvl w:val="0"/>
          <w:numId w:val="36"/>
        </w:numPr>
        <w:tabs>
          <w:tab w:val="clear" w:pos="1928"/>
          <w:tab w:val="left" w:pos="1968"/>
        </w:tabs>
        <w:ind w:left="1962" w:hanging="357"/>
        <w:rPr>
          <w:rFonts w:eastAsiaTheme="minorEastAsia"/>
          <w:lang w:val="ar-SA" w:eastAsia="zh-TW" w:bidi="en-GB"/>
        </w:rPr>
      </w:pPr>
      <w:r w:rsidRPr="005B5F4D">
        <w:rPr>
          <w:rFonts w:eastAsiaTheme="minorEastAsia"/>
          <w:rtl/>
        </w:rPr>
        <w:t>القانون رقم 2021-021، المؤرخ 11 تشرين الأول/أكتوبر 2021، المعدِّل للقانون المتعلق بتحديد شروط ممارسة حرية التجمع والتظاهر السلمي؛</w:t>
      </w:r>
    </w:p>
    <w:p w14:paraId="15A847EB" w14:textId="14B32D68" w:rsidR="00561206" w:rsidRPr="005B5F4D" w:rsidRDefault="00561206" w:rsidP="00662201">
      <w:pPr>
        <w:pStyle w:val="SingleTxtGA"/>
        <w:numPr>
          <w:ilvl w:val="0"/>
          <w:numId w:val="36"/>
        </w:numPr>
        <w:tabs>
          <w:tab w:val="clear" w:pos="1928"/>
          <w:tab w:val="left" w:pos="1968"/>
        </w:tabs>
        <w:ind w:left="1962" w:hanging="357"/>
        <w:rPr>
          <w:rFonts w:eastAsiaTheme="minorEastAsia"/>
          <w:lang w:val="ar-SA" w:eastAsia="zh-TW" w:bidi="en-GB"/>
        </w:rPr>
      </w:pPr>
      <w:r w:rsidRPr="005B5F4D">
        <w:rPr>
          <w:rFonts w:eastAsiaTheme="minorEastAsia"/>
          <w:rtl/>
        </w:rPr>
        <w:t>القانون رقم 2021-020، المؤرخ 11 تشرين الأول/أكتوبر 2021، المعدِّل للقانون رقم 207-011، المؤرخ 13 آذار/مارس 2007، المتعلق باللامركزية والحريات المحلية؛</w:t>
      </w:r>
    </w:p>
    <w:p w14:paraId="73DBCAF9" w14:textId="38E19B4A" w:rsidR="00561206" w:rsidRPr="005B5F4D" w:rsidRDefault="00561206" w:rsidP="00662201">
      <w:pPr>
        <w:pStyle w:val="SingleTxtGA"/>
        <w:numPr>
          <w:ilvl w:val="0"/>
          <w:numId w:val="36"/>
        </w:numPr>
        <w:tabs>
          <w:tab w:val="clear" w:pos="1928"/>
          <w:tab w:val="left" w:pos="1968"/>
        </w:tabs>
        <w:ind w:left="1962" w:hanging="357"/>
        <w:rPr>
          <w:rFonts w:eastAsiaTheme="minorEastAsia"/>
          <w:lang w:val="ar-SA" w:eastAsia="zh-TW" w:bidi="en-GB"/>
        </w:rPr>
      </w:pPr>
      <w:r w:rsidRPr="005B5F4D">
        <w:rPr>
          <w:rFonts w:eastAsiaTheme="minorEastAsia"/>
          <w:rtl/>
        </w:rPr>
        <w:t>القانون رقم 2021-019، المؤرخ 11 تشرين الأول/أكتوبر 2021، المعدِّل للقانون رقم 2012-002، المؤرخ 29 أيار/مايو 2021، المتعلق بقانون الانتخابات؛</w:t>
      </w:r>
    </w:p>
    <w:p w14:paraId="5206B308" w14:textId="420F3BAD" w:rsidR="00561206" w:rsidRPr="005B5F4D" w:rsidRDefault="00561206" w:rsidP="00662201">
      <w:pPr>
        <w:pStyle w:val="SingleTxtGA"/>
        <w:numPr>
          <w:ilvl w:val="0"/>
          <w:numId w:val="36"/>
        </w:numPr>
        <w:tabs>
          <w:tab w:val="clear" w:pos="1928"/>
          <w:tab w:val="left" w:pos="1968"/>
        </w:tabs>
        <w:ind w:left="1962" w:hanging="357"/>
        <w:rPr>
          <w:rFonts w:eastAsiaTheme="minorEastAsia"/>
          <w:lang w:val="ar-SA" w:eastAsia="zh-TW" w:bidi="en-GB"/>
        </w:rPr>
      </w:pPr>
      <w:r w:rsidRPr="005B5F4D">
        <w:rPr>
          <w:rFonts w:eastAsiaTheme="minorEastAsia"/>
          <w:rtl/>
        </w:rPr>
        <w:t>القانون التنظيمي رقم 2021-015، المؤرخ 3 آب/أغسطس 2021، المعدِّل للقانون التنظيمي رقم 2018-006، المؤرخ 20 حزيران/يونيه 2018، المتعلق باللجنة الوطنية لحقوق الإنسان؛</w:t>
      </w:r>
    </w:p>
    <w:p w14:paraId="660F2E6B" w14:textId="5D7134DC" w:rsidR="00561206" w:rsidRPr="005B5F4D" w:rsidRDefault="00561206" w:rsidP="00662201">
      <w:pPr>
        <w:pStyle w:val="SingleTxtGA"/>
        <w:numPr>
          <w:ilvl w:val="0"/>
          <w:numId w:val="36"/>
        </w:numPr>
        <w:tabs>
          <w:tab w:val="clear" w:pos="1928"/>
          <w:tab w:val="left" w:pos="1968"/>
        </w:tabs>
        <w:ind w:left="1962" w:hanging="357"/>
        <w:rPr>
          <w:rFonts w:eastAsiaTheme="minorEastAsia"/>
          <w:lang w:val="ar-SA" w:eastAsia="zh-TW" w:bidi="en-GB"/>
        </w:rPr>
      </w:pPr>
      <w:r w:rsidRPr="005B5F4D">
        <w:rPr>
          <w:rFonts w:eastAsiaTheme="minorEastAsia"/>
          <w:rtl/>
        </w:rPr>
        <w:t>قانون العمل رقم 2021-012، المؤرخ 18 حزيران/يونيه 2021؛</w:t>
      </w:r>
    </w:p>
    <w:p w14:paraId="6F74AA04" w14:textId="5B05D408" w:rsidR="00561206" w:rsidRPr="005B5F4D" w:rsidRDefault="00561206" w:rsidP="00662201">
      <w:pPr>
        <w:pStyle w:val="SingleTxtGA"/>
        <w:numPr>
          <w:ilvl w:val="0"/>
          <w:numId w:val="36"/>
        </w:numPr>
        <w:tabs>
          <w:tab w:val="clear" w:pos="1928"/>
          <w:tab w:val="left" w:pos="1968"/>
        </w:tabs>
        <w:ind w:left="1962" w:hanging="357"/>
        <w:rPr>
          <w:rFonts w:eastAsiaTheme="minorEastAsia"/>
        </w:rPr>
      </w:pPr>
      <w:r w:rsidRPr="005B5F4D">
        <w:rPr>
          <w:rFonts w:eastAsiaTheme="minorEastAsia"/>
          <w:rtl/>
        </w:rPr>
        <w:t xml:space="preserve">القانون التنظيمي رقم 2020-003، المؤرخ 24 كانون الثاني/يناير 2020، المعدَّل بموجب القانون رقم 2021-013، المؤرخ 1 حزيران/يونيه 2021، الذي يحدد شروط افصاح كبار </w:t>
      </w:r>
      <w:r w:rsidRPr="005B5F4D">
        <w:rPr>
          <w:rFonts w:eastAsiaTheme="minorEastAsia"/>
          <w:spacing w:val="-2"/>
          <w:rtl/>
        </w:rPr>
        <w:t>الشخصيات وكبار الموظفين العموميين وغيرهم من الموظفين العموميين عن ممتلكاتهم وأصولهم</w:t>
      </w:r>
      <w:r w:rsidRPr="005B5F4D">
        <w:rPr>
          <w:rFonts w:eastAsiaTheme="minorEastAsia"/>
          <w:rtl/>
        </w:rPr>
        <w:t>؛</w:t>
      </w:r>
    </w:p>
    <w:p w14:paraId="69AB51EA" w14:textId="09A41745" w:rsidR="00561206" w:rsidRPr="005B5F4D" w:rsidRDefault="00561206" w:rsidP="00662201">
      <w:pPr>
        <w:pStyle w:val="SingleTxtGA"/>
        <w:numPr>
          <w:ilvl w:val="0"/>
          <w:numId w:val="36"/>
        </w:numPr>
        <w:tabs>
          <w:tab w:val="clear" w:pos="1928"/>
          <w:tab w:val="left" w:pos="1968"/>
        </w:tabs>
        <w:ind w:left="1962" w:hanging="357"/>
        <w:rPr>
          <w:rFonts w:eastAsiaTheme="minorEastAsia"/>
          <w:lang w:val="ar-SA" w:eastAsia="zh-TW" w:bidi="en-GB"/>
        </w:rPr>
      </w:pPr>
      <w:r w:rsidRPr="005B5F4D">
        <w:rPr>
          <w:rFonts w:eastAsiaTheme="minorEastAsia"/>
          <w:rtl/>
        </w:rPr>
        <w:t>قانون الإجراءات المدنية رقم 2021-007، المؤرخ 21 نيسان/أبريل 2021؛</w:t>
      </w:r>
    </w:p>
    <w:p w14:paraId="6C725E97" w14:textId="771D55CE" w:rsidR="00561206" w:rsidRPr="005B5F4D" w:rsidRDefault="00561206" w:rsidP="00662201">
      <w:pPr>
        <w:pStyle w:val="SingleTxtGA"/>
        <w:numPr>
          <w:ilvl w:val="0"/>
          <w:numId w:val="36"/>
        </w:numPr>
        <w:tabs>
          <w:tab w:val="clear" w:pos="1928"/>
          <w:tab w:val="left" w:pos="1968"/>
        </w:tabs>
        <w:ind w:left="1962" w:hanging="357"/>
        <w:rPr>
          <w:rFonts w:eastAsiaTheme="minorEastAsia"/>
          <w:spacing w:val="-2"/>
        </w:rPr>
      </w:pPr>
      <w:r w:rsidRPr="005B5F4D">
        <w:rPr>
          <w:rFonts w:eastAsiaTheme="minorEastAsia"/>
          <w:spacing w:val="-2"/>
          <w:rtl/>
        </w:rPr>
        <w:t>القانون رقم 2021-005، المؤرخ 1 نيسان/أبريل 2021، المتعلق بالسجل العدلي الوطني الرقمي؛</w:t>
      </w:r>
    </w:p>
    <w:p w14:paraId="7AA3A5DC" w14:textId="3B71B254" w:rsidR="00561206" w:rsidRPr="005B5F4D" w:rsidRDefault="00561206" w:rsidP="00662201">
      <w:pPr>
        <w:pStyle w:val="SingleTxtGA"/>
        <w:numPr>
          <w:ilvl w:val="0"/>
          <w:numId w:val="36"/>
        </w:numPr>
        <w:tabs>
          <w:tab w:val="clear" w:pos="1928"/>
          <w:tab w:val="left" w:pos="1968"/>
        </w:tabs>
        <w:ind w:left="1962" w:hanging="357"/>
        <w:rPr>
          <w:rFonts w:eastAsiaTheme="minorEastAsia"/>
          <w:lang w:val="ar-SA" w:eastAsia="zh-TW" w:bidi="en-GB"/>
        </w:rPr>
      </w:pPr>
      <w:r w:rsidRPr="005B5F4D">
        <w:rPr>
          <w:rFonts w:eastAsiaTheme="minorEastAsia"/>
          <w:rtl/>
        </w:rPr>
        <w:t>القانون التنظيمي رقم 2021-006، المؤرخ 1 نيسان/أبريل 2021، الذي يحدد تشكيلة مكتب أمين مظالم الجمهورية، وتنظيمه وأساليب عمله؛</w:t>
      </w:r>
    </w:p>
    <w:p w14:paraId="731EF569" w14:textId="13D308F9" w:rsidR="00561206" w:rsidRPr="005B5F4D" w:rsidRDefault="00561206" w:rsidP="00662201">
      <w:pPr>
        <w:pStyle w:val="SingleTxtGA"/>
        <w:numPr>
          <w:ilvl w:val="0"/>
          <w:numId w:val="36"/>
        </w:numPr>
        <w:tabs>
          <w:tab w:val="clear" w:pos="1928"/>
          <w:tab w:val="left" w:pos="1968"/>
        </w:tabs>
        <w:ind w:left="1962" w:hanging="357"/>
        <w:rPr>
          <w:rFonts w:eastAsiaTheme="minorEastAsia"/>
          <w:lang w:val="ar-SA" w:eastAsia="zh-TW" w:bidi="en-GB"/>
        </w:rPr>
      </w:pPr>
      <w:r w:rsidRPr="005B5F4D">
        <w:rPr>
          <w:rFonts w:eastAsiaTheme="minorEastAsia"/>
          <w:rtl/>
        </w:rPr>
        <w:t>القانون رقم 2020-007، المؤرخ 26 حزيران/يونيه 2020، بشأن التغذية في المدارس؛</w:t>
      </w:r>
    </w:p>
    <w:p w14:paraId="05B9AD2B" w14:textId="220C04BC" w:rsidR="00561206" w:rsidRPr="005B5F4D" w:rsidRDefault="00561206" w:rsidP="00662201">
      <w:pPr>
        <w:pStyle w:val="SingleTxtGA"/>
        <w:numPr>
          <w:ilvl w:val="0"/>
          <w:numId w:val="36"/>
        </w:numPr>
        <w:tabs>
          <w:tab w:val="clear" w:pos="1928"/>
          <w:tab w:val="left" w:pos="1968"/>
        </w:tabs>
        <w:ind w:left="1962" w:hanging="357"/>
        <w:rPr>
          <w:rFonts w:eastAsiaTheme="minorEastAsia"/>
          <w:lang w:val="ar-SA" w:eastAsia="zh-TW" w:bidi="en-GB"/>
        </w:rPr>
      </w:pPr>
      <w:r w:rsidRPr="005B5F4D">
        <w:rPr>
          <w:rFonts w:eastAsiaTheme="minorEastAsia"/>
          <w:rtl/>
        </w:rPr>
        <w:t>القانون رقم 2020-006، المؤرخ 10 حزيران/يونيه 2020، بشأن استخدام الطاقة النووية استخداماً آمنا ومأموناً وسلمياً؛</w:t>
      </w:r>
    </w:p>
    <w:p w14:paraId="3F34ED03" w14:textId="421E76B0" w:rsidR="00561206" w:rsidRPr="005B5F4D" w:rsidRDefault="00561206" w:rsidP="00662201">
      <w:pPr>
        <w:pStyle w:val="SingleTxtGA"/>
        <w:numPr>
          <w:ilvl w:val="0"/>
          <w:numId w:val="36"/>
        </w:numPr>
        <w:tabs>
          <w:tab w:val="clear" w:pos="1928"/>
          <w:tab w:val="left" w:pos="1968"/>
        </w:tabs>
        <w:ind w:left="1962" w:hanging="357"/>
        <w:rPr>
          <w:rFonts w:eastAsiaTheme="minorEastAsia"/>
          <w:lang w:val="ar-SA" w:eastAsia="zh-TW" w:bidi="en-GB"/>
        </w:rPr>
      </w:pPr>
      <w:r w:rsidRPr="005B5F4D">
        <w:rPr>
          <w:rFonts w:eastAsiaTheme="minorEastAsia"/>
          <w:rtl/>
        </w:rPr>
        <w:lastRenderedPageBreak/>
        <w:t>القانون رقم 2020-001، المؤرخ 7 كانون الثاني/يناير 2020، المتعلق بمدونة الصحافة والاتصالات؛</w:t>
      </w:r>
    </w:p>
    <w:p w14:paraId="6C75743D" w14:textId="25BC2856" w:rsidR="00561206" w:rsidRPr="005B5F4D" w:rsidRDefault="00561206" w:rsidP="00662201">
      <w:pPr>
        <w:pStyle w:val="SingleTxtGA"/>
        <w:numPr>
          <w:ilvl w:val="0"/>
          <w:numId w:val="36"/>
        </w:numPr>
        <w:tabs>
          <w:tab w:val="clear" w:pos="1928"/>
          <w:tab w:val="left" w:pos="1968"/>
        </w:tabs>
        <w:ind w:left="1962" w:hanging="357"/>
        <w:rPr>
          <w:rFonts w:eastAsiaTheme="minorEastAsia"/>
          <w:lang w:val="ar-SA" w:eastAsia="zh-TW" w:bidi="en-GB"/>
        </w:rPr>
      </w:pPr>
      <w:r w:rsidRPr="005B5F4D">
        <w:rPr>
          <w:rFonts w:eastAsiaTheme="minorEastAsia"/>
          <w:spacing w:val="-3"/>
          <w:rtl/>
        </w:rPr>
        <w:t>القانون رقم 2020-002، المؤرخ 7 كانون الثاني/يناير 2020، المعدِّل للقانون رقم 2018-028،</w:t>
      </w:r>
      <w:r w:rsidRPr="005B5F4D">
        <w:rPr>
          <w:rFonts w:eastAsiaTheme="minorEastAsia"/>
          <w:rtl/>
        </w:rPr>
        <w:t xml:space="preserve"> المؤرخ 10 كانون الأول/ديسمبر 2018، القاضي بإنشاء المحاكم التجارية؛</w:t>
      </w:r>
    </w:p>
    <w:p w14:paraId="70F9346E" w14:textId="3E644262" w:rsidR="00561206" w:rsidRPr="005B5F4D" w:rsidRDefault="00561206" w:rsidP="00662201">
      <w:pPr>
        <w:pStyle w:val="SingleTxtGA"/>
        <w:numPr>
          <w:ilvl w:val="0"/>
          <w:numId w:val="36"/>
        </w:numPr>
        <w:tabs>
          <w:tab w:val="clear" w:pos="1928"/>
          <w:tab w:val="left" w:pos="1968"/>
        </w:tabs>
        <w:ind w:left="1962" w:hanging="357"/>
        <w:rPr>
          <w:rFonts w:eastAsiaTheme="minorEastAsia"/>
          <w:lang w:val="ar-SA" w:eastAsia="zh-TW" w:bidi="en-GB"/>
        </w:rPr>
      </w:pPr>
      <w:r w:rsidRPr="005B5F4D">
        <w:rPr>
          <w:rFonts w:eastAsiaTheme="minorEastAsia"/>
          <w:rtl/>
        </w:rPr>
        <w:t>القانون التنظيمي رقم 2019-023، المؤرخ 26 كانون الأول/ديسمبر 2019، المتعلق بالمحكمة الدستورية؛</w:t>
      </w:r>
    </w:p>
    <w:p w14:paraId="235D4BEF" w14:textId="2DD50E8D" w:rsidR="00561206" w:rsidRPr="005B5F4D" w:rsidRDefault="00561206" w:rsidP="00662201">
      <w:pPr>
        <w:pStyle w:val="SingleTxtGA"/>
        <w:numPr>
          <w:ilvl w:val="0"/>
          <w:numId w:val="36"/>
        </w:numPr>
        <w:tabs>
          <w:tab w:val="clear" w:pos="1928"/>
          <w:tab w:val="left" w:pos="1968"/>
        </w:tabs>
        <w:ind w:left="1962" w:hanging="357"/>
        <w:rPr>
          <w:rFonts w:eastAsiaTheme="minorEastAsia"/>
          <w:spacing w:val="-2"/>
          <w:lang w:val="ar-SA" w:eastAsia="zh-TW" w:bidi="en-GB"/>
        </w:rPr>
      </w:pPr>
      <w:r w:rsidRPr="005B5F4D">
        <w:rPr>
          <w:rFonts w:eastAsiaTheme="minorEastAsia"/>
          <w:spacing w:val="-2"/>
          <w:rtl/>
        </w:rPr>
        <w:t>القانون رقم 2019-015، المؤرخ 30 تشرين الأول/أكتوبر 2019، المتعلق بقانون تنظيم</w:t>
      </w:r>
      <w:r w:rsidR="00BD00D1" w:rsidRPr="005B5F4D">
        <w:rPr>
          <w:rFonts w:eastAsiaTheme="minorEastAsia" w:hint="cs"/>
          <w:spacing w:val="-2"/>
          <w:rtl/>
        </w:rPr>
        <w:t> </w:t>
      </w:r>
      <w:r w:rsidRPr="005B5F4D">
        <w:rPr>
          <w:rFonts w:eastAsiaTheme="minorEastAsia"/>
          <w:spacing w:val="-2"/>
          <w:rtl/>
        </w:rPr>
        <w:t>المحاكم؛</w:t>
      </w:r>
    </w:p>
    <w:p w14:paraId="4D36DFEC" w14:textId="4B53674C" w:rsidR="00561206" w:rsidRPr="005B5F4D" w:rsidRDefault="00561206" w:rsidP="00662201">
      <w:pPr>
        <w:pStyle w:val="SingleTxtGA"/>
        <w:numPr>
          <w:ilvl w:val="0"/>
          <w:numId w:val="36"/>
        </w:numPr>
        <w:tabs>
          <w:tab w:val="clear" w:pos="1928"/>
          <w:tab w:val="left" w:pos="1968"/>
        </w:tabs>
        <w:ind w:left="1962" w:hanging="357"/>
        <w:rPr>
          <w:rFonts w:eastAsiaTheme="minorEastAsia"/>
          <w:lang w:val="ar-SA" w:eastAsia="zh-TW" w:bidi="en-GB"/>
        </w:rPr>
      </w:pPr>
      <w:r w:rsidRPr="005B5F4D">
        <w:rPr>
          <w:rFonts w:eastAsiaTheme="minorEastAsia"/>
          <w:rtl/>
        </w:rPr>
        <w:t>القانون رقم 2019-016، المؤرخ 30 تشرين الأول/أكتوبر 2019، المتعلق بالنظام القانوني المطبق على وسائل الإعلام المسموعة والمرئية؛</w:t>
      </w:r>
    </w:p>
    <w:p w14:paraId="4D39413E" w14:textId="59AEB5B6" w:rsidR="00561206" w:rsidRPr="005B5F4D" w:rsidRDefault="00561206" w:rsidP="00662201">
      <w:pPr>
        <w:pStyle w:val="SingleTxtGA"/>
        <w:numPr>
          <w:ilvl w:val="0"/>
          <w:numId w:val="36"/>
        </w:numPr>
        <w:tabs>
          <w:tab w:val="clear" w:pos="1928"/>
          <w:tab w:val="left" w:pos="1968"/>
        </w:tabs>
        <w:ind w:left="1962" w:hanging="357"/>
        <w:rPr>
          <w:rFonts w:eastAsiaTheme="minorEastAsia"/>
          <w:lang w:val="ar-SA" w:eastAsia="zh-TW" w:bidi="en-GB"/>
        </w:rPr>
      </w:pPr>
      <w:r w:rsidRPr="005B5F4D">
        <w:rPr>
          <w:rFonts w:eastAsiaTheme="minorEastAsia"/>
          <w:rtl/>
        </w:rPr>
        <w:t>القانون رقم 2019-014، المؤرخ 29 تشرين الأول/أكتوبر 2019، المتعلق بحماية البيانات الشخصية؛</w:t>
      </w:r>
    </w:p>
    <w:p w14:paraId="2888BF91" w14:textId="1E7DDE90" w:rsidR="00561206" w:rsidRPr="005B5F4D" w:rsidRDefault="00561206" w:rsidP="00662201">
      <w:pPr>
        <w:pStyle w:val="SingleTxtGA"/>
        <w:numPr>
          <w:ilvl w:val="0"/>
          <w:numId w:val="36"/>
        </w:numPr>
        <w:tabs>
          <w:tab w:val="clear" w:pos="1928"/>
          <w:tab w:val="left" w:pos="1968"/>
        </w:tabs>
        <w:ind w:left="1962" w:hanging="357"/>
        <w:rPr>
          <w:rFonts w:eastAsiaTheme="minorEastAsia"/>
          <w:lang w:val="ar-SA" w:eastAsia="zh-TW" w:bidi="en-GB"/>
        </w:rPr>
      </w:pPr>
      <w:r w:rsidRPr="005B5F4D">
        <w:rPr>
          <w:rFonts w:eastAsiaTheme="minorEastAsia"/>
          <w:rtl/>
        </w:rPr>
        <w:t>القانون رقم 2019-009، المؤرخ 12 آب/أغسطس 2019، المتعلق بالأمن الداخلي؛</w:t>
      </w:r>
    </w:p>
    <w:p w14:paraId="2129E190" w14:textId="5DCFECD0" w:rsidR="00561206" w:rsidRPr="005B5F4D" w:rsidRDefault="00561206" w:rsidP="00662201">
      <w:pPr>
        <w:pStyle w:val="SingleTxtGA"/>
        <w:numPr>
          <w:ilvl w:val="0"/>
          <w:numId w:val="36"/>
        </w:numPr>
        <w:tabs>
          <w:tab w:val="clear" w:pos="1928"/>
          <w:tab w:val="left" w:pos="1968"/>
        </w:tabs>
        <w:ind w:left="1962" w:hanging="357"/>
        <w:rPr>
          <w:rFonts w:eastAsiaTheme="minorEastAsia"/>
          <w:lang w:val="ar-SA" w:eastAsia="zh-TW" w:bidi="en-GB"/>
        </w:rPr>
      </w:pPr>
      <w:r w:rsidRPr="005B5F4D">
        <w:rPr>
          <w:rFonts w:eastAsiaTheme="minorEastAsia"/>
          <w:rtl/>
        </w:rPr>
        <w:t>القانون رقم 2019-010، المؤرخ 12 آب/أغسطس 2019، المعدِّل للقانون رقم 2011-010، المؤرخ 16 أيار/مايو 2011، الذي يحدد شروط ممارسة حرية التجمع والتظاهر السلمي في الأماكن العامة؛</w:t>
      </w:r>
    </w:p>
    <w:p w14:paraId="5EBF1A84" w14:textId="0CBCD1BD" w:rsidR="00561206" w:rsidRPr="005B5F4D" w:rsidRDefault="00561206" w:rsidP="00662201">
      <w:pPr>
        <w:pStyle w:val="SingleTxtGA"/>
        <w:numPr>
          <w:ilvl w:val="0"/>
          <w:numId w:val="36"/>
        </w:numPr>
        <w:tabs>
          <w:tab w:val="clear" w:pos="1928"/>
          <w:tab w:val="left" w:pos="1968"/>
        </w:tabs>
        <w:ind w:left="1962" w:hanging="357"/>
        <w:rPr>
          <w:rFonts w:eastAsiaTheme="minorEastAsia"/>
          <w:lang w:val="ar-SA" w:eastAsia="zh-TW" w:bidi="en-GB"/>
        </w:rPr>
      </w:pPr>
      <w:r w:rsidRPr="005B5F4D">
        <w:rPr>
          <w:rFonts w:eastAsiaTheme="minorEastAsia"/>
          <w:rtl/>
        </w:rPr>
        <w:t>القانون رقم 2019-006، المؤرخ 26 حزيران/يونيه 2019، المعدل للقانون رقم 2007-011، المؤرخ 13 آذار/مارس 2007، المتعلق باللامركزية والحريات المحلية، بصيغته المعدلة بموجب القانون رقم 2018-003، المؤرخ 31 كانون الثاني/يناير 2018؛</w:t>
      </w:r>
    </w:p>
    <w:p w14:paraId="6469258C" w14:textId="42C701E6" w:rsidR="00561206" w:rsidRPr="005B5F4D" w:rsidRDefault="00561206" w:rsidP="00662201">
      <w:pPr>
        <w:pStyle w:val="SingleTxtGA"/>
        <w:numPr>
          <w:ilvl w:val="0"/>
          <w:numId w:val="36"/>
        </w:numPr>
        <w:tabs>
          <w:tab w:val="clear" w:pos="1928"/>
          <w:tab w:val="left" w:pos="1968"/>
        </w:tabs>
        <w:ind w:left="1962" w:hanging="357"/>
        <w:rPr>
          <w:rFonts w:eastAsiaTheme="minorEastAsia"/>
          <w:lang w:val="ar-SA" w:eastAsia="zh-TW" w:bidi="en-GB"/>
        </w:rPr>
      </w:pPr>
      <w:r w:rsidRPr="005B5F4D">
        <w:rPr>
          <w:rFonts w:eastAsiaTheme="minorEastAsia"/>
          <w:rtl/>
        </w:rPr>
        <w:t>القانون رقم 2019-005، المؤرخ 17 حزيران/يونيه 2019، المتعلق بقانون الاستثمار؛</w:t>
      </w:r>
    </w:p>
    <w:p w14:paraId="30D265C5" w14:textId="67A09DE8" w:rsidR="00561206" w:rsidRPr="005B5F4D" w:rsidRDefault="00561206" w:rsidP="00662201">
      <w:pPr>
        <w:pStyle w:val="SingleTxtGA"/>
        <w:numPr>
          <w:ilvl w:val="0"/>
          <w:numId w:val="36"/>
        </w:numPr>
        <w:tabs>
          <w:tab w:val="clear" w:pos="1928"/>
          <w:tab w:val="left" w:pos="1968"/>
        </w:tabs>
        <w:ind w:left="1962" w:hanging="357"/>
        <w:rPr>
          <w:rFonts w:eastAsiaTheme="minorEastAsia"/>
          <w:lang w:val="ar-SA" w:eastAsia="zh-TW" w:bidi="en-GB"/>
        </w:rPr>
      </w:pPr>
      <w:r w:rsidRPr="005B5F4D">
        <w:rPr>
          <w:rFonts w:eastAsiaTheme="minorEastAsia"/>
          <w:rtl/>
        </w:rPr>
        <w:t>القانون التنظيمي رقم 2018-029، المؤرخ 10 كانون الأول/ديسمبر 2018، المعدِّل للقانون التنظيمي رقم 2004-021، المؤرخ 15 كانون الأول/ديسمبر 2004، المتعلق بالهيئة العليا لوسائل الإعلام المسموعة والمرئية؛</w:t>
      </w:r>
    </w:p>
    <w:p w14:paraId="1296FE5A" w14:textId="17D6C6D1" w:rsidR="00561206" w:rsidRPr="005B5F4D" w:rsidRDefault="00561206" w:rsidP="00662201">
      <w:pPr>
        <w:pStyle w:val="SingleTxtGA"/>
        <w:numPr>
          <w:ilvl w:val="0"/>
          <w:numId w:val="36"/>
        </w:numPr>
        <w:tabs>
          <w:tab w:val="clear" w:pos="1928"/>
          <w:tab w:val="left" w:pos="1968"/>
        </w:tabs>
        <w:ind w:left="1962" w:hanging="357"/>
        <w:rPr>
          <w:rFonts w:eastAsiaTheme="minorEastAsia"/>
          <w:lang w:val="ar-SA" w:eastAsia="zh-TW" w:bidi="en-GB"/>
        </w:rPr>
      </w:pPr>
      <w:r w:rsidRPr="005B5F4D">
        <w:rPr>
          <w:rFonts w:eastAsiaTheme="minorEastAsia"/>
          <w:rtl/>
        </w:rPr>
        <w:t>القانون رقم 2018-026، المؤرخ 7 كانون الأول/ديسمبر 2018، المتعلق بالأمن السيبراني وبمكافحة الجريمة السيبرانية؛</w:t>
      </w:r>
    </w:p>
    <w:p w14:paraId="45A8769F" w14:textId="25960B3B" w:rsidR="00561206" w:rsidRPr="005B5F4D" w:rsidRDefault="00561206" w:rsidP="00662201">
      <w:pPr>
        <w:pStyle w:val="SingleTxtGA"/>
        <w:numPr>
          <w:ilvl w:val="0"/>
          <w:numId w:val="36"/>
        </w:numPr>
        <w:tabs>
          <w:tab w:val="clear" w:pos="1928"/>
          <w:tab w:val="left" w:pos="1968"/>
        </w:tabs>
        <w:ind w:left="1962" w:hanging="357"/>
        <w:rPr>
          <w:rFonts w:eastAsiaTheme="minorEastAsia"/>
          <w:lang w:val="ar-SA" w:eastAsia="zh-TW" w:bidi="en-GB"/>
        </w:rPr>
      </w:pPr>
      <w:r w:rsidRPr="005B5F4D">
        <w:rPr>
          <w:rFonts w:eastAsiaTheme="minorEastAsia"/>
          <w:rtl/>
        </w:rPr>
        <w:t>القانون رقم 2018-024، المؤرخ 9 تشرين الثاني/نوفمبر 2018، المتعلق بقانون الضرائب؛</w:t>
      </w:r>
    </w:p>
    <w:p w14:paraId="6ADB86E1" w14:textId="08399EF8" w:rsidR="00561206" w:rsidRPr="005B5F4D" w:rsidRDefault="00561206" w:rsidP="00662201">
      <w:pPr>
        <w:pStyle w:val="SingleTxtGA"/>
        <w:numPr>
          <w:ilvl w:val="0"/>
          <w:numId w:val="36"/>
        </w:numPr>
        <w:tabs>
          <w:tab w:val="clear" w:pos="1928"/>
          <w:tab w:val="left" w:pos="1968"/>
        </w:tabs>
        <w:ind w:left="1962" w:hanging="357"/>
        <w:rPr>
          <w:rFonts w:eastAsiaTheme="minorEastAsia"/>
          <w:lang w:val="ar-SA" w:eastAsia="zh-TW" w:bidi="en-GB"/>
        </w:rPr>
      </w:pPr>
      <w:r w:rsidRPr="005B5F4D">
        <w:rPr>
          <w:rFonts w:eastAsiaTheme="minorEastAsia"/>
          <w:rtl/>
        </w:rPr>
        <w:t>القانون رقم 2018-010، المؤرخ 8 آب/أغسطس 2018، المتعلق بتعزيز توليد الكهرباء من مصادر الطاقة المتجددة في توغو؛</w:t>
      </w:r>
    </w:p>
    <w:p w14:paraId="02D24CC5" w14:textId="25943CFA" w:rsidR="00561206" w:rsidRPr="005B5F4D" w:rsidRDefault="00561206" w:rsidP="00662201">
      <w:pPr>
        <w:pStyle w:val="SingleTxtGA"/>
        <w:numPr>
          <w:ilvl w:val="0"/>
          <w:numId w:val="36"/>
        </w:numPr>
        <w:tabs>
          <w:tab w:val="clear" w:pos="1928"/>
          <w:tab w:val="left" w:pos="1968"/>
        </w:tabs>
        <w:ind w:left="1962" w:hanging="357"/>
        <w:rPr>
          <w:rFonts w:eastAsiaTheme="minorEastAsia"/>
          <w:spacing w:val="-2"/>
          <w:lang w:val="ar-SA" w:eastAsia="zh-TW" w:bidi="en-GB"/>
        </w:rPr>
      </w:pPr>
      <w:r w:rsidRPr="005B5F4D">
        <w:rPr>
          <w:rFonts w:eastAsiaTheme="minorEastAsia"/>
          <w:spacing w:val="-2"/>
          <w:rtl/>
        </w:rPr>
        <w:t>القانون رقم 2018-005، المؤرخ 14 حزيران/يونيه 2018، المتعلق بقانون الأراضي والعقارات؛</w:t>
      </w:r>
    </w:p>
    <w:p w14:paraId="58D7CBC0" w14:textId="42F41517" w:rsidR="00561206" w:rsidRPr="005B5F4D" w:rsidRDefault="00561206" w:rsidP="00662201">
      <w:pPr>
        <w:pStyle w:val="SingleTxtGA"/>
        <w:numPr>
          <w:ilvl w:val="0"/>
          <w:numId w:val="36"/>
        </w:numPr>
        <w:tabs>
          <w:tab w:val="clear" w:pos="1928"/>
          <w:tab w:val="left" w:pos="1968"/>
        </w:tabs>
        <w:ind w:left="1962" w:hanging="357"/>
        <w:rPr>
          <w:rFonts w:eastAsiaTheme="minorEastAsia"/>
          <w:lang w:val="ar-SA" w:eastAsia="zh-TW" w:bidi="en-GB"/>
        </w:rPr>
      </w:pPr>
      <w:r w:rsidRPr="005B5F4D">
        <w:rPr>
          <w:rFonts w:eastAsiaTheme="minorEastAsia"/>
          <w:rtl/>
        </w:rPr>
        <w:t>القانون الموحد رقم 2018-004، المؤرخ 4 أيار/مايو 2018، المتعلق بمكافحة غسل الأموال وتمويل الإرهاب في الدول الأعضاء في الاتحاد الاقتصادي والنقدي لغرب أفريقيا.</w:t>
      </w:r>
    </w:p>
    <w:p w14:paraId="69B068B4" w14:textId="311DE814" w:rsidR="00561206" w:rsidRPr="005B5F4D" w:rsidRDefault="00DF334D" w:rsidP="00DF334D">
      <w:pPr>
        <w:pStyle w:val="H1GA"/>
        <w:rPr>
          <w:lang w:val="en-US" w:eastAsia="zh-TW" w:bidi="en-GB"/>
        </w:rPr>
      </w:pPr>
      <w:r w:rsidRPr="005B5F4D">
        <w:rPr>
          <w:rtl/>
        </w:rPr>
        <w:tab/>
      </w:r>
      <w:r w:rsidR="00561206" w:rsidRPr="005B5F4D">
        <w:rPr>
          <w:rtl/>
        </w:rPr>
        <w:t>باء-</w:t>
      </w:r>
      <w:r w:rsidR="00561206" w:rsidRPr="005B5F4D">
        <w:rPr>
          <w:rtl/>
        </w:rPr>
        <w:tab/>
        <w:t>النصوص التنظيمية</w:t>
      </w:r>
    </w:p>
    <w:p w14:paraId="2FADBE13" w14:textId="77777777" w:rsidR="00561206" w:rsidRPr="005B5F4D" w:rsidRDefault="00561206" w:rsidP="00DF334D">
      <w:pPr>
        <w:pStyle w:val="SingleTxtGA"/>
        <w:numPr>
          <w:ilvl w:val="0"/>
          <w:numId w:val="36"/>
        </w:numPr>
        <w:tabs>
          <w:tab w:val="clear" w:pos="1928"/>
          <w:tab w:val="left" w:pos="1968"/>
        </w:tabs>
        <w:rPr>
          <w:rFonts w:eastAsiaTheme="minorEastAsia"/>
          <w:lang w:val="ar-SA" w:eastAsia="zh-TW" w:bidi="en-GB"/>
        </w:rPr>
      </w:pPr>
      <w:r w:rsidRPr="005B5F4D">
        <w:rPr>
          <w:rFonts w:eastAsiaTheme="minorEastAsia"/>
          <w:rtl/>
        </w:rPr>
        <w:t xml:space="preserve">المرسوم رقم </w:t>
      </w:r>
      <w:r w:rsidRPr="005B5F4D">
        <w:rPr>
          <w:rFonts w:eastAsiaTheme="minorEastAsia"/>
        </w:rPr>
        <w:t>2021-032/PR</w:t>
      </w:r>
      <w:r w:rsidRPr="005B5F4D">
        <w:rPr>
          <w:rFonts w:eastAsiaTheme="minorEastAsia"/>
          <w:rtl/>
        </w:rPr>
        <w:t>، المؤرخ 24 آذار/مارس 2021، المتعلق بتحويل أكاديمية الشرطة الوطنية إلى أكاديمية لقوات الأمن، وتحديد صلاحياتها وتنظيمها وأساليب عملها؛</w:t>
      </w:r>
    </w:p>
    <w:p w14:paraId="37619BF8" w14:textId="77777777" w:rsidR="00561206" w:rsidRPr="005B5F4D" w:rsidRDefault="00561206" w:rsidP="00DF334D">
      <w:pPr>
        <w:pStyle w:val="SingleTxtGA"/>
        <w:numPr>
          <w:ilvl w:val="0"/>
          <w:numId w:val="36"/>
        </w:numPr>
        <w:tabs>
          <w:tab w:val="clear" w:pos="1928"/>
          <w:tab w:val="left" w:pos="1968"/>
        </w:tabs>
        <w:rPr>
          <w:rFonts w:eastAsiaTheme="minorEastAsia"/>
          <w:lang w:val="ar-SA" w:eastAsia="zh-TW" w:bidi="en-GB"/>
        </w:rPr>
      </w:pPr>
      <w:r w:rsidRPr="005B5F4D">
        <w:rPr>
          <w:rFonts w:eastAsiaTheme="minorEastAsia"/>
          <w:rtl/>
        </w:rPr>
        <w:lastRenderedPageBreak/>
        <w:t xml:space="preserve">المرسوم رقم </w:t>
      </w:r>
      <w:r w:rsidRPr="005B5F4D">
        <w:rPr>
          <w:rFonts w:eastAsiaTheme="minorEastAsia"/>
        </w:rPr>
        <w:t>2021-044/PR</w:t>
      </w:r>
      <w:r w:rsidRPr="005B5F4D">
        <w:rPr>
          <w:rFonts w:eastAsiaTheme="minorEastAsia"/>
          <w:rtl/>
        </w:rPr>
        <w:t>، المؤرخ 29 نيسان/أبريل 2021، الذي يحدد شروط تطبيق قانون السجل العدلي؛</w:t>
      </w:r>
    </w:p>
    <w:p w14:paraId="36A9545B" w14:textId="0418EE97" w:rsidR="00561206" w:rsidRPr="005B5F4D" w:rsidRDefault="00561206" w:rsidP="00DF334D">
      <w:pPr>
        <w:pStyle w:val="SingleTxtGA"/>
        <w:numPr>
          <w:ilvl w:val="0"/>
          <w:numId w:val="36"/>
        </w:numPr>
        <w:tabs>
          <w:tab w:val="clear" w:pos="1928"/>
          <w:tab w:val="left" w:pos="1968"/>
        </w:tabs>
        <w:rPr>
          <w:rFonts w:eastAsiaTheme="minorEastAsia"/>
          <w:lang w:val="ar-SA" w:eastAsia="zh-TW" w:bidi="en-GB"/>
        </w:rPr>
      </w:pPr>
      <w:r w:rsidRPr="005B5F4D">
        <w:rPr>
          <w:rFonts w:eastAsiaTheme="minorEastAsia"/>
          <w:rtl/>
        </w:rPr>
        <w:t xml:space="preserve">المرسوم رقم </w:t>
      </w:r>
      <w:r w:rsidRPr="005B5F4D">
        <w:rPr>
          <w:rFonts w:eastAsiaTheme="minorEastAsia"/>
        </w:rPr>
        <w:t>2021-038/PR</w:t>
      </w:r>
      <w:r w:rsidRPr="005B5F4D">
        <w:rPr>
          <w:rFonts w:eastAsiaTheme="minorEastAsia"/>
          <w:rtl/>
        </w:rPr>
        <w:t>، المؤرخ 14 نيسان</w:t>
      </w:r>
      <w:r w:rsidR="000B514A" w:rsidRPr="005B5F4D">
        <w:rPr>
          <w:rFonts w:eastAsiaTheme="minorEastAsia" w:hint="cs"/>
          <w:rtl/>
        </w:rPr>
        <w:t>/</w:t>
      </w:r>
      <w:r w:rsidR="000B514A" w:rsidRPr="005B5F4D">
        <w:rPr>
          <w:rFonts w:eastAsiaTheme="minorEastAsia"/>
          <w:rtl/>
        </w:rPr>
        <w:t xml:space="preserve"> </w:t>
      </w:r>
      <w:r w:rsidR="000B514A" w:rsidRPr="005B5F4D">
        <w:rPr>
          <w:rFonts w:eastAsiaTheme="minorEastAsia"/>
          <w:rtl/>
        </w:rPr>
        <w:t>أبريل</w:t>
      </w:r>
      <w:r w:rsidRPr="005B5F4D">
        <w:rPr>
          <w:rFonts w:eastAsiaTheme="minorEastAsia"/>
          <w:rtl/>
        </w:rPr>
        <w:t xml:space="preserve"> 2021، المتعلق بتنظيم مكتب أمين مظالم الجمهورية وأساليب عمله؛ </w:t>
      </w:r>
    </w:p>
    <w:p w14:paraId="19160A0B" w14:textId="77777777" w:rsidR="00561206" w:rsidRPr="005B5F4D" w:rsidRDefault="00561206" w:rsidP="00DF334D">
      <w:pPr>
        <w:pStyle w:val="SingleTxtGA"/>
        <w:numPr>
          <w:ilvl w:val="0"/>
          <w:numId w:val="36"/>
        </w:numPr>
        <w:tabs>
          <w:tab w:val="clear" w:pos="1928"/>
          <w:tab w:val="left" w:pos="1968"/>
        </w:tabs>
        <w:rPr>
          <w:rFonts w:eastAsiaTheme="minorEastAsia"/>
          <w:lang w:val="ar-SA" w:eastAsia="zh-TW" w:bidi="en-GB"/>
        </w:rPr>
      </w:pPr>
      <w:r w:rsidRPr="005B5F4D">
        <w:rPr>
          <w:rFonts w:eastAsiaTheme="minorEastAsia"/>
          <w:rtl/>
        </w:rPr>
        <w:t xml:space="preserve">المرسوم رقم </w:t>
      </w:r>
      <w:r w:rsidRPr="005B5F4D">
        <w:rPr>
          <w:rFonts w:eastAsiaTheme="minorEastAsia"/>
        </w:rPr>
        <w:t>2020-111/PR</w:t>
      </w:r>
      <w:r w:rsidRPr="005B5F4D">
        <w:rPr>
          <w:rFonts w:eastAsiaTheme="minorEastAsia"/>
          <w:rtl/>
        </w:rPr>
        <w:t>، المؤرخ 9 كانون الأول/ديسمبر 2020، المتعلق بتنظيم هيئة حماية البيانات الشخصية وأساليب عملها؛</w:t>
      </w:r>
    </w:p>
    <w:p w14:paraId="7D8BF972" w14:textId="77777777" w:rsidR="00561206" w:rsidRPr="005B5F4D" w:rsidRDefault="00561206" w:rsidP="00DF334D">
      <w:pPr>
        <w:pStyle w:val="SingleTxtGA"/>
        <w:numPr>
          <w:ilvl w:val="0"/>
          <w:numId w:val="36"/>
        </w:numPr>
        <w:tabs>
          <w:tab w:val="clear" w:pos="1928"/>
          <w:tab w:val="left" w:pos="1968"/>
        </w:tabs>
        <w:rPr>
          <w:rFonts w:eastAsiaTheme="minorEastAsia"/>
          <w:lang w:val="ar-SA" w:eastAsia="zh-TW" w:bidi="en-GB"/>
        </w:rPr>
      </w:pPr>
      <w:r w:rsidRPr="005B5F4D">
        <w:rPr>
          <w:rFonts w:eastAsiaTheme="minorEastAsia"/>
          <w:rtl/>
        </w:rPr>
        <w:t xml:space="preserve">المرسوم رقم </w:t>
      </w:r>
      <w:r w:rsidRPr="005B5F4D">
        <w:rPr>
          <w:rFonts w:eastAsiaTheme="minorEastAsia"/>
        </w:rPr>
        <w:t>2019-125/PR</w:t>
      </w:r>
      <w:r w:rsidRPr="005B5F4D">
        <w:rPr>
          <w:rFonts w:eastAsiaTheme="minorEastAsia"/>
          <w:rtl/>
        </w:rPr>
        <w:t>، المؤرخ 18 أيلول/سبتمبر 2019، المتعلق باختصاصات المفتشية العامة للدولة وتنظيمها وأساليب عملها؛</w:t>
      </w:r>
    </w:p>
    <w:p w14:paraId="7DED861E" w14:textId="77777777" w:rsidR="00561206" w:rsidRPr="005B5F4D" w:rsidRDefault="00561206" w:rsidP="00DF334D">
      <w:pPr>
        <w:pStyle w:val="SingleTxtGA"/>
        <w:numPr>
          <w:ilvl w:val="0"/>
          <w:numId w:val="36"/>
        </w:numPr>
        <w:tabs>
          <w:tab w:val="clear" w:pos="1928"/>
          <w:tab w:val="left" w:pos="1968"/>
        </w:tabs>
        <w:rPr>
          <w:rFonts w:eastAsiaTheme="minorEastAsia"/>
          <w:lang w:val="ar-SA" w:eastAsia="zh-TW" w:bidi="en-GB"/>
        </w:rPr>
      </w:pPr>
      <w:r w:rsidRPr="005B5F4D">
        <w:rPr>
          <w:rFonts w:eastAsiaTheme="minorEastAsia"/>
          <w:rtl/>
        </w:rPr>
        <w:t xml:space="preserve">المرسوم رقم </w:t>
      </w:r>
      <w:r w:rsidRPr="005B5F4D">
        <w:rPr>
          <w:rFonts w:eastAsiaTheme="minorEastAsia"/>
        </w:rPr>
        <w:t>2019-076/PR</w:t>
      </w:r>
      <w:r w:rsidRPr="005B5F4D">
        <w:rPr>
          <w:rFonts w:eastAsiaTheme="minorEastAsia"/>
          <w:rtl/>
        </w:rPr>
        <w:t xml:space="preserve">، المؤرخ 15 أيار/مايو 2019، المتعلق بتنظيم اللجنة المشتركة بين الوزارات والمعنية بمكافحة التطرف القائم على العنف والوقاية منه، واساليب عملها؛ </w:t>
      </w:r>
    </w:p>
    <w:p w14:paraId="1C3F28E8" w14:textId="619C157B" w:rsidR="00561206" w:rsidRPr="005B5F4D" w:rsidRDefault="00561206" w:rsidP="00DF334D">
      <w:pPr>
        <w:pStyle w:val="SingleTxtGA"/>
        <w:numPr>
          <w:ilvl w:val="0"/>
          <w:numId w:val="36"/>
        </w:numPr>
        <w:tabs>
          <w:tab w:val="clear" w:pos="1928"/>
          <w:tab w:val="left" w:pos="1968"/>
        </w:tabs>
        <w:rPr>
          <w:rFonts w:eastAsiaTheme="minorEastAsia"/>
          <w:lang w:val="ar-SA" w:eastAsia="zh-TW" w:bidi="en-GB"/>
        </w:rPr>
      </w:pPr>
      <w:r w:rsidRPr="005B5F4D">
        <w:rPr>
          <w:rFonts w:eastAsiaTheme="minorEastAsia"/>
          <w:rtl/>
        </w:rPr>
        <w:t xml:space="preserve">المرسوم رقم </w:t>
      </w:r>
      <w:r w:rsidRPr="005B5F4D">
        <w:rPr>
          <w:rFonts w:eastAsiaTheme="minorEastAsia"/>
        </w:rPr>
        <w:t>2019-026/PR</w:t>
      </w:r>
      <w:r w:rsidRPr="005B5F4D">
        <w:rPr>
          <w:rFonts w:eastAsiaTheme="minorEastAsia"/>
          <w:rtl/>
        </w:rPr>
        <w:t xml:space="preserve"> المؤرخ 20 شباط/فبراير 2019، المتعلق باختصاصات المفتشية العامة للشؤون المالية وتنظيمها وأساليب عملها؛</w:t>
      </w:r>
    </w:p>
    <w:p w14:paraId="3E11176F" w14:textId="77777777" w:rsidR="00561206" w:rsidRPr="005B5F4D" w:rsidRDefault="00561206" w:rsidP="00DF334D">
      <w:pPr>
        <w:pStyle w:val="SingleTxtGA"/>
        <w:numPr>
          <w:ilvl w:val="0"/>
          <w:numId w:val="36"/>
        </w:numPr>
        <w:tabs>
          <w:tab w:val="clear" w:pos="1928"/>
          <w:tab w:val="left" w:pos="1968"/>
        </w:tabs>
        <w:rPr>
          <w:rFonts w:eastAsiaTheme="minorEastAsia"/>
          <w:lang w:val="ar-SA" w:eastAsia="zh-TW" w:bidi="en-GB"/>
        </w:rPr>
      </w:pPr>
      <w:r w:rsidRPr="005B5F4D">
        <w:rPr>
          <w:rFonts w:eastAsiaTheme="minorEastAsia"/>
          <w:rtl/>
        </w:rPr>
        <w:t xml:space="preserve">المرسوم رقم </w:t>
      </w:r>
      <w:r w:rsidRPr="005B5F4D">
        <w:rPr>
          <w:rFonts w:eastAsiaTheme="minorEastAsia"/>
        </w:rPr>
        <w:t>2019-097/PR</w:t>
      </w:r>
      <w:r w:rsidRPr="005B5F4D">
        <w:rPr>
          <w:rFonts w:eastAsiaTheme="minorEastAsia"/>
          <w:rtl/>
        </w:rPr>
        <w:t xml:space="preserve">، المؤرخ 8 تموز/يوليه 2019، المتعلق بمدونة الأخلاقيات وقواعد السلوك المهني في مجال المشتريات العامة؛ </w:t>
      </w:r>
    </w:p>
    <w:p w14:paraId="30BCDE48" w14:textId="77777777" w:rsidR="00561206" w:rsidRPr="005B5F4D" w:rsidRDefault="00561206" w:rsidP="00DF334D">
      <w:pPr>
        <w:pStyle w:val="SingleTxtGA"/>
        <w:numPr>
          <w:ilvl w:val="0"/>
          <w:numId w:val="36"/>
        </w:numPr>
        <w:tabs>
          <w:tab w:val="clear" w:pos="1928"/>
          <w:tab w:val="left" w:pos="1968"/>
        </w:tabs>
        <w:rPr>
          <w:rFonts w:eastAsiaTheme="minorEastAsia"/>
          <w:lang w:val="ar-SA" w:eastAsia="zh-TW" w:bidi="en-GB"/>
        </w:rPr>
      </w:pPr>
      <w:r w:rsidRPr="005B5F4D">
        <w:rPr>
          <w:rFonts w:eastAsiaTheme="minorEastAsia"/>
          <w:rtl/>
        </w:rPr>
        <w:t xml:space="preserve">المرسوم رقم </w:t>
      </w:r>
      <w:r w:rsidRPr="005B5F4D">
        <w:rPr>
          <w:rFonts w:eastAsiaTheme="minorEastAsia"/>
        </w:rPr>
        <w:t>2018-128/PR</w:t>
      </w:r>
      <w:r w:rsidRPr="005B5F4D">
        <w:rPr>
          <w:rFonts w:eastAsiaTheme="minorEastAsia"/>
          <w:rtl/>
        </w:rPr>
        <w:t>، المؤرخ 3 آب/أغسطس 2018، المتعلق بإنشاء اللجنة الوطنية لتنسيق أنشطة مكافحة غسل الأموال وتمويل الإرهاب، وصلاحياتها وتكوينها وأساليب عملها؛</w:t>
      </w:r>
    </w:p>
    <w:p w14:paraId="58A84BA4" w14:textId="77777777" w:rsidR="00561206" w:rsidRPr="005B5F4D" w:rsidRDefault="00561206" w:rsidP="00DF334D">
      <w:pPr>
        <w:pStyle w:val="SingleTxtGA"/>
        <w:numPr>
          <w:ilvl w:val="0"/>
          <w:numId w:val="36"/>
        </w:numPr>
        <w:tabs>
          <w:tab w:val="clear" w:pos="1928"/>
          <w:tab w:val="left" w:pos="1968"/>
        </w:tabs>
        <w:rPr>
          <w:rFonts w:eastAsiaTheme="minorEastAsia"/>
          <w:lang w:val="ar-SA" w:eastAsia="zh-TW" w:bidi="en-GB"/>
        </w:rPr>
      </w:pPr>
      <w:r w:rsidRPr="005B5F4D">
        <w:rPr>
          <w:rFonts w:eastAsiaTheme="minorEastAsia"/>
          <w:rtl/>
        </w:rPr>
        <w:t xml:space="preserve">المرسوم رقم </w:t>
      </w:r>
      <w:r w:rsidRPr="005B5F4D">
        <w:rPr>
          <w:rFonts w:eastAsiaTheme="minorEastAsia"/>
        </w:rPr>
        <w:t>2018-034/PR</w:t>
      </w:r>
      <w:r w:rsidRPr="005B5F4D">
        <w:rPr>
          <w:rFonts w:eastAsiaTheme="minorEastAsia"/>
          <w:rtl/>
        </w:rPr>
        <w:t>، المؤرخ 27 شباط/فبراير 2018، القاضي بإنشاء دُور العدالة؛</w:t>
      </w:r>
    </w:p>
    <w:p w14:paraId="4B6ACA77" w14:textId="77777777" w:rsidR="00561206" w:rsidRPr="005B5F4D" w:rsidRDefault="00561206" w:rsidP="00DF334D">
      <w:pPr>
        <w:pStyle w:val="SingleTxtGA"/>
        <w:numPr>
          <w:ilvl w:val="0"/>
          <w:numId w:val="36"/>
        </w:numPr>
        <w:tabs>
          <w:tab w:val="clear" w:pos="1928"/>
          <w:tab w:val="left" w:pos="1968"/>
        </w:tabs>
        <w:rPr>
          <w:rFonts w:eastAsiaTheme="minorEastAsia"/>
          <w:lang w:val="ar-SA" w:eastAsia="zh-TW" w:bidi="en-GB"/>
        </w:rPr>
      </w:pPr>
      <w:r w:rsidRPr="005B5F4D">
        <w:rPr>
          <w:rFonts w:eastAsiaTheme="minorEastAsia"/>
          <w:rtl/>
        </w:rPr>
        <w:t xml:space="preserve">المرسوم رقم </w:t>
      </w:r>
      <w:r w:rsidRPr="005B5F4D">
        <w:rPr>
          <w:rFonts w:eastAsiaTheme="minorEastAsia"/>
        </w:rPr>
        <w:t>2018-130/PR</w:t>
      </w:r>
      <w:r w:rsidRPr="005B5F4D">
        <w:rPr>
          <w:rFonts w:eastAsiaTheme="minorEastAsia"/>
          <w:rtl/>
        </w:rPr>
        <w:t>، المؤرخ 28 آب/أغسطس 2018، المتعلق بالوضع الخاص لموظفي مؤسسات التعليم العامة.</w:t>
      </w:r>
    </w:p>
    <w:p w14:paraId="5AE602AF" w14:textId="593279DC" w:rsidR="00561206" w:rsidRPr="005B5F4D" w:rsidRDefault="00561206" w:rsidP="00561206">
      <w:pPr>
        <w:pStyle w:val="SingleTxtGA"/>
        <w:rPr>
          <w:rFonts w:eastAsiaTheme="minorEastAsia"/>
          <w:lang w:val="ar-SA" w:eastAsia="zh-TW" w:bidi="en-GB"/>
        </w:rPr>
      </w:pPr>
      <w:r w:rsidRPr="005B5F4D">
        <w:rPr>
          <w:rFonts w:eastAsiaTheme="minorEastAsia"/>
          <w:rtl/>
        </w:rPr>
        <w:t>35-</w:t>
      </w:r>
      <w:r w:rsidRPr="005B5F4D">
        <w:rPr>
          <w:rFonts w:eastAsiaTheme="minorEastAsia"/>
          <w:rtl/>
        </w:rPr>
        <w:tab/>
        <w:t>وتوغو أيض</w:t>
      </w:r>
      <w:r w:rsidR="00364E66" w:rsidRPr="005B5F4D">
        <w:rPr>
          <w:rFonts w:eastAsiaTheme="minorEastAsia"/>
          <w:rtl/>
        </w:rPr>
        <w:t xml:space="preserve">اً </w:t>
      </w:r>
      <w:r w:rsidRPr="005B5F4D">
        <w:rPr>
          <w:rFonts w:eastAsiaTheme="minorEastAsia"/>
          <w:rtl/>
        </w:rPr>
        <w:t>طرف في جُل الصكوك الدولية لحقوق الإنسان، بما في ذلك ما يلي:</w:t>
      </w:r>
    </w:p>
    <w:p w14:paraId="4501CA0B" w14:textId="62BA70BA" w:rsidR="00561206" w:rsidRPr="005B5F4D" w:rsidRDefault="00561206" w:rsidP="00DF334D">
      <w:pPr>
        <w:pStyle w:val="SingleTxtGA"/>
        <w:numPr>
          <w:ilvl w:val="0"/>
          <w:numId w:val="38"/>
        </w:numPr>
        <w:tabs>
          <w:tab w:val="clear" w:pos="1928"/>
          <w:tab w:val="left" w:pos="1968"/>
        </w:tabs>
        <w:rPr>
          <w:rFonts w:eastAsiaTheme="minorEastAsia"/>
          <w:lang w:val="fr-CH" w:eastAsia="zh-TW" w:bidi="en-GB"/>
        </w:rPr>
      </w:pPr>
      <w:r w:rsidRPr="005B5F4D">
        <w:rPr>
          <w:rFonts w:eastAsiaTheme="minorEastAsia"/>
          <w:rtl/>
        </w:rPr>
        <w:t>العهد الدولي الخاص بالحقوق المدنية والسياسية، في 24 أيار/مايو 1984، وبروتوكولاه:</w:t>
      </w:r>
    </w:p>
    <w:p w14:paraId="70B0D2FF" w14:textId="4ABB4E0F" w:rsidR="00561206" w:rsidRPr="005B5F4D" w:rsidRDefault="00561206" w:rsidP="005E090D">
      <w:pPr>
        <w:pStyle w:val="SingleTxtGA"/>
        <w:numPr>
          <w:ilvl w:val="0"/>
          <w:numId w:val="38"/>
        </w:numPr>
        <w:tabs>
          <w:tab w:val="clear" w:pos="1928"/>
          <w:tab w:val="left" w:pos="1968"/>
        </w:tabs>
        <w:ind w:left="2327"/>
        <w:rPr>
          <w:rFonts w:eastAsiaTheme="minorEastAsia"/>
          <w:lang w:val="ar-SA" w:eastAsia="zh-TW" w:bidi="en-GB"/>
        </w:rPr>
      </w:pPr>
      <w:r w:rsidRPr="005B5F4D">
        <w:rPr>
          <w:rFonts w:eastAsiaTheme="minorEastAsia"/>
          <w:rtl/>
        </w:rPr>
        <w:t>البروتوكول الاختياري الملحق بالعهد الدولي الخاص بالحقوق المدنية والسياسية، في 30 آذار/مارس 1988؛</w:t>
      </w:r>
    </w:p>
    <w:p w14:paraId="4A9B7A05" w14:textId="0EAE6D0B" w:rsidR="00561206" w:rsidRPr="005B5F4D" w:rsidRDefault="00561206" w:rsidP="005E090D">
      <w:pPr>
        <w:pStyle w:val="SingleTxtGA"/>
        <w:numPr>
          <w:ilvl w:val="0"/>
          <w:numId w:val="38"/>
        </w:numPr>
        <w:tabs>
          <w:tab w:val="clear" w:pos="1928"/>
          <w:tab w:val="left" w:pos="1968"/>
        </w:tabs>
        <w:ind w:left="2327"/>
        <w:rPr>
          <w:rFonts w:eastAsiaTheme="minorEastAsia"/>
          <w:lang w:val="ar-SA" w:eastAsia="zh-TW" w:bidi="en-GB"/>
        </w:rPr>
      </w:pPr>
      <w:r w:rsidRPr="005B5F4D">
        <w:rPr>
          <w:rFonts w:eastAsiaTheme="minorEastAsia"/>
          <w:rtl/>
        </w:rPr>
        <w:t>البروتوكول الاختياري الثاني الملحق بالعهد الدولي الخاص بالحقوق المدنية والسياسية، الهادف إلى إلغاء عقوبة الإعدام، في 14 أيلول/سبتمبر 2016؛</w:t>
      </w:r>
    </w:p>
    <w:p w14:paraId="49A4F58C" w14:textId="5499FF6F" w:rsidR="00561206" w:rsidRPr="005B5F4D" w:rsidRDefault="00561206" w:rsidP="00DF334D">
      <w:pPr>
        <w:pStyle w:val="SingleTxtGA"/>
        <w:numPr>
          <w:ilvl w:val="0"/>
          <w:numId w:val="38"/>
        </w:numPr>
        <w:tabs>
          <w:tab w:val="clear" w:pos="1928"/>
          <w:tab w:val="left" w:pos="1968"/>
        </w:tabs>
        <w:rPr>
          <w:rFonts w:eastAsiaTheme="minorEastAsia"/>
          <w:lang w:val="ar-SA" w:eastAsia="zh-TW" w:bidi="en-GB"/>
        </w:rPr>
      </w:pPr>
      <w:r w:rsidRPr="005B5F4D">
        <w:rPr>
          <w:rFonts w:eastAsiaTheme="minorEastAsia"/>
          <w:rtl/>
        </w:rPr>
        <w:t>العهد الدولي الخاص بالحقوق الاقتصادية والاجتماعية والثقافية، في 24 أيار/مايو 1984؛</w:t>
      </w:r>
    </w:p>
    <w:p w14:paraId="586CCCA2" w14:textId="32E92742" w:rsidR="00561206" w:rsidRPr="005B5F4D" w:rsidRDefault="00561206" w:rsidP="00DF334D">
      <w:pPr>
        <w:pStyle w:val="SingleTxtGA"/>
        <w:numPr>
          <w:ilvl w:val="0"/>
          <w:numId w:val="38"/>
        </w:numPr>
        <w:tabs>
          <w:tab w:val="clear" w:pos="1928"/>
          <w:tab w:val="left" w:pos="1968"/>
        </w:tabs>
        <w:rPr>
          <w:rFonts w:eastAsiaTheme="minorEastAsia"/>
          <w:lang w:val="ar-SA" w:eastAsia="zh-TW" w:bidi="en-GB"/>
        </w:rPr>
      </w:pPr>
      <w:r w:rsidRPr="005B5F4D">
        <w:rPr>
          <w:rFonts w:eastAsiaTheme="minorEastAsia"/>
          <w:rtl/>
        </w:rPr>
        <w:t>اتفاقية حقوق الطفل، في 1 آب/أغسطس 1990، وبروتوكولاها:</w:t>
      </w:r>
    </w:p>
    <w:p w14:paraId="60F33559" w14:textId="3593D1F7" w:rsidR="00561206" w:rsidRPr="005B5F4D" w:rsidRDefault="00561206" w:rsidP="005E090D">
      <w:pPr>
        <w:pStyle w:val="SingleTxtGA"/>
        <w:numPr>
          <w:ilvl w:val="0"/>
          <w:numId w:val="38"/>
        </w:numPr>
        <w:tabs>
          <w:tab w:val="clear" w:pos="1928"/>
          <w:tab w:val="left" w:pos="1968"/>
        </w:tabs>
        <w:ind w:left="2327"/>
        <w:rPr>
          <w:rFonts w:eastAsiaTheme="minorEastAsia"/>
          <w:lang w:val="ar-SA" w:eastAsia="zh-TW" w:bidi="en-GB"/>
        </w:rPr>
      </w:pPr>
      <w:r w:rsidRPr="005B5F4D">
        <w:rPr>
          <w:rFonts w:eastAsiaTheme="minorEastAsia"/>
          <w:rtl/>
        </w:rPr>
        <w:t>البروتوكول الاختياري الملحق باتفاقية حقوق الطفل بشأن بـيـع الأطفال واستغلال الأطفال في البغاء وفي المواد الإباحية، في 2 تموز/يوليه 2004؛</w:t>
      </w:r>
    </w:p>
    <w:p w14:paraId="6D5270A5" w14:textId="02EAB30C" w:rsidR="00561206" w:rsidRPr="005B5F4D" w:rsidRDefault="00561206" w:rsidP="005E090D">
      <w:pPr>
        <w:pStyle w:val="SingleTxtGA"/>
        <w:numPr>
          <w:ilvl w:val="0"/>
          <w:numId w:val="38"/>
        </w:numPr>
        <w:tabs>
          <w:tab w:val="clear" w:pos="1928"/>
          <w:tab w:val="left" w:pos="1968"/>
        </w:tabs>
        <w:ind w:left="2327"/>
        <w:rPr>
          <w:rFonts w:eastAsiaTheme="minorEastAsia"/>
          <w:lang w:val="ar-SA" w:eastAsia="zh-TW" w:bidi="en-GB"/>
        </w:rPr>
      </w:pPr>
      <w:r w:rsidRPr="005B5F4D">
        <w:rPr>
          <w:rFonts w:eastAsiaTheme="minorEastAsia"/>
          <w:rtl/>
        </w:rPr>
        <w:t>البروتوكول الاختياري الملحق باتفاقية حقوق الطفل بشأن اشتراك الأطفال في المنازعات المسلحة، في 28 تشرين الثاني/نوفمبر 2005؛</w:t>
      </w:r>
    </w:p>
    <w:p w14:paraId="0EB85791" w14:textId="00E37D53" w:rsidR="00561206" w:rsidRPr="005B5F4D" w:rsidRDefault="00561206" w:rsidP="00DF334D">
      <w:pPr>
        <w:pStyle w:val="SingleTxtGA"/>
        <w:numPr>
          <w:ilvl w:val="0"/>
          <w:numId w:val="38"/>
        </w:numPr>
        <w:tabs>
          <w:tab w:val="clear" w:pos="1928"/>
          <w:tab w:val="left" w:pos="1968"/>
        </w:tabs>
        <w:rPr>
          <w:rFonts w:eastAsiaTheme="minorEastAsia"/>
          <w:lang w:val="ar-SA" w:eastAsia="zh-TW" w:bidi="en-GB"/>
        </w:rPr>
      </w:pPr>
      <w:r w:rsidRPr="005B5F4D">
        <w:rPr>
          <w:rFonts w:eastAsiaTheme="minorEastAsia"/>
          <w:rtl/>
        </w:rPr>
        <w:t>بروتوكول منع وقمع ومعاقبة الاتجار بالأشخاص، وبخاصة النساء والأطفال، المكمل لاتفاقية الأمم المتحدة لمكافحة الجريمة المنظمة عبر الوطنية، في 14 تشرين الثاني/نوفمبر 2008؛</w:t>
      </w:r>
    </w:p>
    <w:p w14:paraId="5103FF43" w14:textId="324B81D8" w:rsidR="00561206" w:rsidRPr="005B5F4D" w:rsidRDefault="00561206" w:rsidP="00DF334D">
      <w:pPr>
        <w:pStyle w:val="SingleTxtGA"/>
        <w:numPr>
          <w:ilvl w:val="0"/>
          <w:numId w:val="38"/>
        </w:numPr>
        <w:tabs>
          <w:tab w:val="clear" w:pos="1928"/>
          <w:tab w:val="left" w:pos="1968"/>
        </w:tabs>
        <w:rPr>
          <w:rFonts w:eastAsiaTheme="minorEastAsia"/>
          <w:lang w:val="ar-SA" w:eastAsia="zh-TW" w:bidi="en-GB"/>
        </w:rPr>
      </w:pPr>
      <w:r w:rsidRPr="005B5F4D">
        <w:rPr>
          <w:rFonts w:eastAsiaTheme="minorEastAsia"/>
          <w:rtl/>
        </w:rPr>
        <w:lastRenderedPageBreak/>
        <w:t>اتفاقية لاهاي بشأن حماية الأطفال والتعاون في مجال التبني على الصعيد الدولي، في 14 تشرين الثاني/نوفمبر 2010؛</w:t>
      </w:r>
    </w:p>
    <w:p w14:paraId="21647FEA" w14:textId="6102152C" w:rsidR="00561206" w:rsidRPr="005B5F4D" w:rsidRDefault="00561206" w:rsidP="00DF334D">
      <w:pPr>
        <w:pStyle w:val="SingleTxtGA"/>
        <w:numPr>
          <w:ilvl w:val="0"/>
          <w:numId w:val="38"/>
        </w:numPr>
        <w:tabs>
          <w:tab w:val="clear" w:pos="1928"/>
          <w:tab w:val="left" w:pos="1968"/>
        </w:tabs>
        <w:rPr>
          <w:rFonts w:eastAsiaTheme="minorEastAsia"/>
          <w:lang w:val="ar-SA" w:eastAsia="zh-TW" w:bidi="en-GB"/>
        </w:rPr>
      </w:pPr>
      <w:r w:rsidRPr="005B5F4D">
        <w:rPr>
          <w:rFonts w:eastAsiaTheme="minorEastAsia"/>
          <w:rtl/>
        </w:rPr>
        <w:t>اتفاقية مناهضة التعذيب وغيره من ضروب المعاملة أو العقوبة القاسية أو اللاإنسانية أو المهينة، في 18 تشرين الثاني/نوفمبر 1987، و</w:t>
      </w:r>
      <w:r w:rsidR="00F44A04" w:rsidRPr="005B5F4D">
        <w:rPr>
          <w:rFonts w:eastAsiaTheme="minorEastAsia" w:hint="cs"/>
          <w:rtl/>
        </w:rPr>
        <w:t>ال</w:t>
      </w:r>
      <w:r w:rsidRPr="005B5F4D">
        <w:rPr>
          <w:rFonts w:eastAsiaTheme="minorEastAsia"/>
          <w:rtl/>
        </w:rPr>
        <w:t>بروتوكول الاختياري الملحق بها في 20 تموز/يوليه 2010؛</w:t>
      </w:r>
    </w:p>
    <w:p w14:paraId="278BEDEE" w14:textId="2F17D056" w:rsidR="00561206" w:rsidRPr="005B5F4D" w:rsidRDefault="00561206" w:rsidP="00DF334D">
      <w:pPr>
        <w:pStyle w:val="SingleTxtGA"/>
        <w:numPr>
          <w:ilvl w:val="0"/>
          <w:numId w:val="38"/>
        </w:numPr>
        <w:tabs>
          <w:tab w:val="clear" w:pos="1928"/>
          <w:tab w:val="left" w:pos="1968"/>
        </w:tabs>
        <w:rPr>
          <w:rFonts w:eastAsiaTheme="minorEastAsia"/>
          <w:spacing w:val="-2"/>
          <w:lang w:val="ar-SA" w:eastAsia="zh-TW" w:bidi="en-GB"/>
        </w:rPr>
      </w:pPr>
      <w:r w:rsidRPr="005B5F4D">
        <w:rPr>
          <w:rFonts w:eastAsiaTheme="minorEastAsia"/>
          <w:spacing w:val="-2"/>
          <w:rtl/>
        </w:rPr>
        <w:t>اتفاقية حقوق الأشخاص ذوي الإعاقة والبروتوكول الاختياري الملحق بها، 1 آذار/مارس 2011؛</w:t>
      </w:r>
    </w:p>
    <w:p w14:paraId="3E338699" w14:textId="271D753D" w:rsidR="00561206" w:rsidRPr="005B5F4D" w:rsidRDefault="00561206" w:rsidP="00DF334D">
      <w:pPr>
        <w:pStyle w:val="SingleTxtGA"/>
        <w:numPr>
          <w:ilvl w:val="0"/>
          <w:numId w:val="38"/>
        </w:numPr>
        <w:tabs>
          <w:tab w:val="clear" w:pos="1928"/>
          <w:tab w:val="left" w:pos="1968"/>
        </w:tabs>
        <w:rPr>
          <w:rFonts w:eastAsiaTheme="minorEastAsia"/>
          <w:lang w:val="ar-SA" w:eastAsia="zh-TW" w:bidi="en-GB"/>
        </w:rPr>
      </w:pPr>
      <w:r w:rsidRPr="005B5F4D">
        <w:rPr>
          <w:rFonts w:eastAsiaTheme="minorEastAsia"/>
          <w:rtl/>
        </w:rPr>
        <w:t>اتفاقية القضاء على جميع أشكال التمييز ضد المرأة، في 26 أيلول/سبتمبر 1983؛</w:t>
      </w:r>
    </w:p>
    <w:p w14:paraId="59BF6BD4" w14:textId="3027772C" w:rsidR="00561206" w:rsidRPr="005B5F4D" w:rsidRDefault="00561206" w:rsidP="00DF334D">
      <w:pPr>
        <w:pStyle w:val="SingleTxtGA"/>
        <w:numPr>
          <w:ilvl w:val="0"/>
          <w:numId w:val="38"/>
        </w:numPr>
        <w:tabs>
          <w:tab w:val="clear" w:pos="1928"/>
          <w:tab w:val="left" w:pos="1968"/>
        </w:tabs>
        <w:rPr>
          <w:rFonts w:eastAsiaTheme="minorEastAsia"/>
          <w:lang w:val="ar-SA" w:eastAsia="zh-TW" w:bidi="en-GB"/>
        </w:rPr>
      </w:pPr>
      <w:r w:rsidRPr="005B5F4D">
        <w:rPr>
          <w:rFonts w:eastAsiaTheme="minorEastAsia"/>
          <w:rtl/>
        </w:rPr>
        <w:t>الاتفاقية الدولية لحماية جميع الأشخاص من الاختفاء القسري، في 21 تموز/يوليه 2014؛</w:t>
      </w:r>
    </w:p>
    <w:p w14:paraId="1F989276" w14:textId="7513922F" w:rsidR="00561206" w:rsidRPr="005B5F4D" w:rsidRDefault="00561206" w:rsidP="00DF334D">
      <w:pPr>
        <w:pStyle w:val="SingleTxtGA"/>
        <w:numPr>
          <w:ilvl w:val="0"/>
          <w:numId w:val="38"/>
        </w:numPr>
        <w:tabs>
          <w:tab w:val="clear" w:pos="1928"/>
          <w:tab w:val="left" w:pos="1968"/>
        </w:tabs>
        <w:rPr>
          <w:rFonts w:eastAsiaTheme="minorEastAsia"/>
          <w:lang w:val="ar-SA" w:eastAsia="zh-TW" w:bidi="en-GB"/>
        </w:rPr>
      </w:pPr>
      <w:r w:rsidRPr="005B5F4D">
        <w:rPr>
          <w:rFonts w:eastAsiaTheme="minorEastAsia"/>
          <w:rtl/>
        </w:rPr>
        <w:t>الاتفاقية المتعلقة بوضع الأشخاص عديمي الجنسية لعام 1954 (في عام 2021)؛</w:t>
      </w:r>
    </w:p>
    <w:p w14:paraId="3B3788AB" w14:textId="6B90BBF8" w:rsidR="00561206" w:rsidRPr="005B5F4D" w:rsidRDefault="00561206" w:rsidP="00DF334D">
      <w:pPr>
        <w:pStyle w:val="SingleTxtGA"/>
        <w:numPr>
          <w:ilvl w:val="0"/>
          <w:numId w:val="38"/>
        </w:numPr>
        <w:tabs>
          <w:tab w:val="clear" w:pos="1928"/>
          <w:tab w:val="left" w:pos="1968"/>
        </w:tabs>
        <w:rPr>
          <w:rFonts w:eastAsiaTheme="minorEastAsia"/>
          <w:lang w:val="ar-SA" w:eastAsia="zh-TW" w:bidi="en-GB"/>
        </w:rPr>
      </w:pPr>
      <w:r w:rsidRPr="005B5F4D">
        <w:rPr>
          <w:rFonts w:eastAsiaTheme="minorEastAsia"/>
          <w:rtl/>
        </w:rPr>
        <w:t>الاتفاقية المتعلقة بخفض حالات انعدام الجنسية لعام 1961 (في عام 2021)؛</w:t>
      </w:r>
    </w:p>
    <w:p w14:paraId="5C82CCC1" w14:textId="13EC4E9E" w:rsidR="00561206" w:rsidRPr="005B5F4D" w:rsidRDefault="00561206" w:rsidP="00DF334D">
      <w:pPr>
        <w:pStyle w:val="SingleTxtGA"/>
        <w:numPr>
          <w:ilvl w:val="0"/>
          <w:numId w:val="38"/>
        </w:numPr>
        <w:tabs>
          <w:tab w:val="clear" w:pos="1928"/>
          <w:tab w:val="left" w:pos="1968"/>
        </w:tabs>
        <w:rPr>
          <w:rFonts w:eastAsiaTheme="minorEastAsia"/>
          <w:lang w:val="ar-SA" w:eastAsia="zh-TW" w:bidi="en-GB"/>
        </w:rPr>
      </w:pPr>
      <w:r w:rsidRPr="005B5F4D">
        <w:rPr>
          <w:rFonts w:eastAsiaTheme="minorEastAsia"/>
          <w:rtl/>
        </w:rPr>
        <w:t>الاتفاقية الدولية لحماية حقوق جميع العمال المهاجرين وأفراد أسرهم (في عام 2020).</w:t>
      </w:r>
    </w:p>
    <w:p w14:paraId="20F5F0A4" w14:textId="77777777" w:rsidR="00561206" w:rsidRPr="005B5F4D" w:rsidRDefault="00561206" w:rsidP="00561206">
      <w:pPr>
        <w:pStyle w:val="SingleTxtGA"/>
        <w:rPr>
          <w:rFonts w:eastAsiaTheme="minorEastAsia"/>
          <w:lang w:val="ar-SA" w:eastAsia="zh-TW" w:bidi="en-GB"/>
        </w:rPr>
      </w:pPr>
      <w:r w:rsidRPr="005B5F4D">
        <w:rPr>
          <w:rFonts w:eastAsiaTheme="minorEastAsia"/>
          <w:rtl/>
        </w:rPr>
        <w:t>36-</w:t>
      </w:r>
      <w:r w:rsidRPr="005B5F4D">
        <w:rPr>
          <w:rFonts w:eastAsiaTheme="minorEastAsia"/>
          <w:rtl/>
        </w:rPr>
        <w:tab/>
        <w:t>وتضمن هذه النصوص المختلفة الحماية القانونية للمواطنين وتمكنهم من المطالبة باحترامهم.</w:t>
      </w:r>
    </w:p>
    <w:p w14:paraId="161D85F8" w14:textId="7B8B2F08" w:rsidR="00561206" w:rsidRPr="005B5F4D" w:rsidRDefault="00DF334D" w:rsidP="00DF334D">
      <w:pPr>
        <w:pStyle w:val="HChGA"/>
        <w:rPr>
          <w:lang w:val="ar-SA" w:eastAsia="zh-TW" w:bidi="en-GB"/>
        </w:rPr>
      </w:pPr>
      <w:r w:rsidRPr="005B5F4D">
        <w:rPr>
          <w:rtl/>
        </w:rPr>
        <w:tab/>
      </w:r>
      <w:r w:rsidR="00561206" w:rsidRPr="005B5F4D">
        <w:rPr>
          <w:rtl/>
        </w:rPr>
        <w:t>ثانيا</w:t>
      </w:r>
      <w:r w:rsidRPr="005B5F4D">
        <w:rPr>
          <w:rFonts w:hint="cs"/>
          <w:rtl/>
        </w:rPr>
        <w:t>ً</w:t>
      </w:r>
      <w:r w:rsidR="00561206" w:rsidRPr="005B5F4D">
        <w:rPr>
          <w:rtl/>
        </w:rPr>
        <w:t>-</w:t>
      </w:r>
      <w:r w:rsidR="00561206" w:rsidRPr="005B5F4D">
        <w:rPr>
          <w:rtl/>
        </w:rPr>
        <w:tab/>
        <w:t xml:space="preserve">الإطار المؤسسي </w:t>
      </w:r>
    </w:p>
    <w:p w14:paraId="05A92C07" w14:textId="77777777" w:rsidR="00561206" w:rsidRPr="005B5F4D" w:rsidRDefault="00561206" w:rsidP="00561206">
      <w:pPr>
        <w:pStyle w:val="SingleTxtGA"/>
        <w:rPr>
          <w:rFonts w:eastAsiaTheme="minorEastAsia"/>
          <w:lang w:val="ar-SA" w:eastAsia="zh-TW" w:bidi="en-GB"/>
        </w:rPr>
      </w:pPr>
      <w:r w:rsidRPr="005B5F4D">
        <w:rPr>
          <w:rFonts w:eastAsiaTheme="minorEastAsia"/>
          <w:rtl/>
        </w:rPr>
        <w:t>37-</w:t>
      </w:r>
      <w:r w:rsidRPr="005B5F4D">
        <w:rPr>
          <w:rFonts w:eastAsiaTheme="minorEastAsia"/>
          <w:rtl/>
        </w:rPr>
        <w:tab/>
        <w:t>يتألف الإطار المؤسسي من السلطات التنفيذية والتشريعية والقضائية، بالإضافة إلى المؤسسات والهيئات المسؤولة عن تنظيم حقوق الإنسان وحمايتها.</w:t>
      </w:r>
    </w:p>
    <w:p w14:paraId="460AAD1C" w14:textId="2A87F841" w:rsidR="00561206" w:rsidRPr="005B5F4D" w:rsidRDefault="00BE39AE" w:rsidP="00BE39AE">
      <w:pPr>
        <w:pStyle w:val="H1GA"/>
        <w:rPr>
          <w:lang w:val="ar-SA" w:eastAsia="zh-TW" w:bidi="en-GB"/>
        </w:rPr>
      </w:pPr>
      <w:r w:rsidRPr="005B5F4D">
        <w:rPr>
          <w:rtl/>
        </w:rPr>
        <w:tab/>
      </w:r>
      <w:r w:rsidR="00561206" w:rsidRPr="005B5F4D">
        <w:rPr>
          <w:rtl/>
        </w:rPr>
        <w:t>ألف-</w:t>
      </w:r>
      <w:r w:rsidR="00561206" w:rsidRPr="005B5F4D">
        <w:rPr>
          <w:rtl/>
        </w:rPr>
        <w:tab/>
        <w:t>السلطة التنفيذية</w:t>
      </w:r>
    </w:p>
    <w:p w14:paraId="229FD73A" w14:textId="77777777" w:rsidR="00561206" w:rsidRPr="005B5F4D" w:rsidRDefault="00561206" w:rsidP="00561206">
      <w:pPr>
        <w:pStyle w:val="SingleTxtGA"/>
        <w:rPr>
          <w:rFonts w:eastAsiaTheme="minorEastAsia"/>
          <w:lang w:val="ar-SA" w:eastAsia="zh-TW" w:bidi="en-GB"/>
        </w:rPr>
      </w:pPr>
      <w:r w:rsidRPr="005B5F4D">
        <w:rPr>
          <w:rFonts w:eastAsiaTheme="minorEastAsia"/>
          <w:rtl/>
        </w:rPr>
        <w:t>38-</w:t>
      </w:r>
      <w:r w:rsidRPr="005B5F4D">
        <w:rPr>
          <w:rFonts w:eastAsiaTheme="minorEastAsia"/>
          <w:rtl/>
        </w:rPr>
        <w:tab/>
        <w:t>اسند دستور توغو لعام 1992 السلطة التنفيذية إلى المؤسسات التالية:</w:t>
      </w:r>
    </w:p>
    <w:p w14:paraId="69108D8E" w14:textId="02AF9D5E" w:rsidR="00561206" w:rsidRPr="005B5F4D" w:rsidRDefault="00561206" w:rsidP="00DF334D">
      <w:pPr>
        <w:pStyle w:val="SingleTxtGA"/>
        <w:numPr>
          <w:ilvl w:val="1"/>
          <w:numId w:val="41"/>
        </w:numPr>
        <w:tabs>
          <w:tab w:val="clear" w:pos="1928"/>
          <w:tab w:val="left" w:pos="1968"/>
        </w:tabs>
        <w:rPr>
          <w:rFonts w:eastAsiaTheme="minorEastAsia"/>
          <w:lang w:val="ar-SA" w:eastAsia="zh-TW" w:bidi="en-GB"/>
        </w:rPr>
      </w:pPr>
      <w:r w:rsidRPr="005B5F4D">
        <w:rPr>
          <w:rFonts w:eastAsiaTheme="minorEastAsia"/>
          <w:rtl/>
        </w:rPr>
        <w:t>رئيس الجمهورية، المنتخب بالاقتراع العام والحر والمباشر والمتساوي والسري لمدة خمس سنوات قابلة للتجديد مرة واحدة فقط. ويظل رئيس الجمهورية في منصبه إلى أن يتولى خلفه المنتخب منصبه (المادة 59 من الدستور). ويُنتخب رئيس الجمهورية بالاقتراع من خلال نظام الاقتراع الفردي في جولتين. ويُنتخب</w:t>
      </w:r>
      <w:r w:rsidR="00BE39AE" w:rsidRPr="005B5F4D">
        <w:rPr>
          <w:rFonts w:eastAsiaTheme="minorEastAsia" w:hint="cs"/>
          <w:rtl/>
        </w:rPr>
        <w:t xml:space="preserve"> ب</w:t>
      </w:r>
      <w:r w:rsidRPr="005B5F4D">
        <w:rPr>
          <w:rFonts w:eastAsiaTheme="minorEastAsia"/>
          <w:rtl/>
        </w:rPr>
        <w:t>الأغلبية المطلقة للأصوات المدلى بها. وإذا لم يتم ذلك في جولة الاقتراع الأولى، تُجرى جولة ثانية في اليوم الخامس عشر بعد إعلان النتائج النهائية للجولة الأولى (المادة 60 من الدستور الجديد)؛</w:t>
      </w:r>
    </w:p>
    <w:p w14:paraId="3B137759" w14:textId="3EF9C498" w:rsidR="00561206" w:rsidRPr="005B5F4D" w:rsidRDefault="00561206" w:rsidP="00DF334D">
      <w:pPr>
        <w:pStyle w:val="SingleTxtGA"/>
        <w:numPr>
          <w:ilvl w:val="1"/>
          <w:numId w:val="41"/>
        </w:numPr>
        <w:tabs>
          <w:tab w:val="clear" w:pos="1928"/>
          <w:tab w:val="left" w:pos="1968"/>
        </w:tabs>
        <w:rPr>
          <w:rFonts w:eastAsiaTheme="minorEastAsia"/>
          <w:lang w:val="ar-SA" w:eastAsia="zh-TW" w:bidi="en-GB"/>
        </w:rPr>
      </w:pPr>
      <w:r w:rsidRPr="005B5F4D">
        <w:rPr>
          <w:rFonts w:eastAsiaTheme="minorEastAsia"/>
          <w:rtl/>
        </w:rPr>
        <w:t xml:space="preserve">رئيس الوزراء ورئيس الحكومة، الذي يعينه رئيس الجمهورية لتوجيه عمل الحكومة وتنسيقه (المادة 78). </w:t>
      </w:r>
    </w:p>
    <w:p w14:paraId="74D66759" w14:textId="24766113" w:rsidR="00561206" w:rsidRPr="005B5F4D" w:rsidRDefault="00DF334D" w:rsidP="00DF334D">
      <w:pPr>
        <w:pStyle w:val="H1GA"/>
        <w:rPr>
          <w:lang w:val="ar-SA" w:eastAsia="zh-TW" w:bidi="en-GB"/>
        </w:rPr>
      </w:pPr>
      <w:r w:rsidRPr="005B5F4D">
        <w:rPr>
          <w:rtl/>
        </w:rPr>
        <w:tab/>
      </w:r>
      <w:r w:rsidR="00561206" w:rsidRPr="005B5F4D">
        <w:rPr>
          <w:rtl/>
        </w:rPr>
        <w:t>باء-</w:t>
      </w:r>
      <w:r w:rsidR="00561206" w:rsidRPr="005B5F4D">
        <w:rPr>
          <w:rtl/>
        </w:rPr>
        <w:tab/>
        <w:t>السلطة التشريعية</w:t>
      </w:r>
    </w:p>
    <w:p w14:paraId="6047AF40" w14:textId="57CC2150" w:rsidR="00561206" w:rsidRPr="005B5F4D" w:rsidRDefault="00561206" w:rsidP="00662201">
      <w:pPr>
        <w:pStyle w:val="SingleTxtGA"/>
        <w:rPr>
          <w:rFonts w:eastAsiaTheme="minorEastAsia"/>
          <w:lang w:val="en-US" w:eastAsia="zh-TW" w:bidi="en-GB"/>
        </w:rPr>
      </w:pPr>
      <w:r w:rsidRPr="005B5F4D">
        <w:rPr>
          <w:rFonts w:eastAsiaTheme="minorEastAsia"/>
          <w:rtl/>
        </w:rPr>
        <w:t>39-</w:t>
      </w:r>
      <w:r w:rsidRPr="005B5F4D">
        <w:rPr>
          <w:rFonts w:eastAsiaTheme="minorEastAsia"/>
          <w:rtl/>
        </w:rPr>
        <w:tab/>
        <w:t xml:space="preserve">تسن السلطة التشريعية التشريعات وترصد عمل الحكومة. وهي مفوضة من الشعب ويمارسها </w:t>
      </w:r>
      <w:proofErr w:type="gramStart"/>
      <w:r w:rsidRPr="005B5F4D">
        <w:rPr>
          <w:rFonts w:eastAsiaTheme="minorEastAsia"/>
          <w:rtl/>
        </w:rPr>
        <w:t>برلمان</w:t>
      </w:r>
      <w:proofErr w:type="gramEnd"/>
      <w:r w:rsidRPr="005B5F4D">
        <w:rPr>
          <w:rFonts w:eastAsiaTheme="minorEastAsia"/>
          <w:rtl/>
        </w:rPr>
        <w:t xml:space="preserve"> مكون من جمعيتين: الجمعية الوطنية ومجلس الشيوخ. ويحمل أعضاء الجمعية الوطنية لقب </w:t>
      </w:r>
      <w:r w:rsidR="00364E66" w:rsidRPr="005B5F4D">
        <w:rPr>
          <w:rFonts w:eastAsiaTheme="minorEastAsia" w:hint="cs"/>
          <w:rtl/>
        </w:rPr>
        <w:t>"</w:t>
      </w:r>
      <w:r w:rsidRPr="005B5F4D">
        <w:rPr>
          <w:rFonts w:eastAsiaTheme="minorEastAsia"/>
          <w:rtl/>
        </w:rPr>
        <w:t>نائب</w:t>
      </w:r>
      <w:r w:rsidR="00364E66" w:rsidRPr="005B5F4D">
        <w:rPr>
          <w:rFonts w:eastAsiaTheme="minorEastAsia" w:hint="cs"/>
          <w:rtl/>
        </w:rPr>
        <w:t> </w:t>
      </w:r>
      <w:r w:rsidRPr="005B5F4D">
        <w:rPr>
          <w:rFonts w:eastAsiaTheme="minorEastAsia"/>
          <w:rtl/>
        </w:rPr>
        <w:t>برلماني</w:t>
      </w:r>
      <w:r w:rsidR="00364E66" w:rsidRPr="005B5F4D">
        <w:rPr>
          <w:rFonts w:eastAsiaTheme="minorEastAsia" w:hint="cs"/>
          <w:rtl/>
        </w:rPr>
        <w:t>"</w:t>
      </w:r>
      <w:r w:rsidRPr="005B5F4D">
        <w:rPr>
          <w:rFonts w:eastAsiaTheme="minorEastAsia"/>
          <w:rtl/>
        </w:rPr>
        <w:t xml:space="preserve"> وأعضاء مجلس الشيوخ لقب </w:t>
      </w:r>
      <w:r w:rsidR="00364E66" w:rsidRPr="005B5F4D">
        <w:rPr>
          <w:rFonts w:eastAsiaTheme="minorEastAsia" w:hint="cs"/>
          <w:rtl/>
        </w:rPr>
        <w:t>"</w:t>
      </w:r>
      <w:r w:rsidRPr="005B5F4D">
        <w:rPr>
          <w:rFonts w:eastAsiaTheme="minorEastAsia"/>
          <w:rtl/>
        </w:rPr>
        <w:t>عضو في مجلس الشيوخ</w:t>
      </w:r>
      <w:r w:rsidR="00364E66" w:rsidRPr="005B5F4D">
        <w:rPr>
          <w:rFonts w:eastAsiaTheme="minorEastAsia" w:hint="cs"/>
          <w:rtl/>
        </w:rPr>
        <w:t>"</w:t>
      </w:r>
      <w:r w:rsidRPr="005B5F4D">
        <w:rPr>
          <w:rFonts w:eastAsiaTheme="minorEastAsia"/>
          <w:rtl/>
        </w:rPr>
        <w:t xml:space="preserve"> (المادة 51 من الدستور).</w:t>
      </w:r>
    </w:p>
    <w:p w14:paraId="391B1613" w14:textId="77777777" w:rsidR="00561206" w:rsidRPr="005B5F4D" w:rsidRDefault="00561206" w:rsidP="00662201">
      <w:pPr>
        <w:pStyle w:val="SingleTxtGA"/>
        <w:rPr>
          <w:rFonts w:eastAsiaTheme="minorEastAsia"/>
          <w:lang w:val="ar-SA" w:eastAsia="zh-TW" w:bidi="en-GB"/>
        </w:rPr>
      </w:pPr>
      <w:r w:rsidRPr="005B5F4D">
        <w:rPr>
          <w:rFonts w:eastAsiaTheme="minorEastAsia"/>
          <w:rtl/>
        </w:rPr>
        <w:t>40-</w:t>
      </w:r>
      <w:r w:rsidRPr="005B5F4D">
        <w:rPr>
          <w:rFonts w:eastAsiaTheme="minorEastAsia"/>
          <w:rtl/>
        </w:rPr>
        <w:tab/>
        <w:t xml:space="preserve">وبما أن مجلس الشيوخ لم يبدأ عمله بعد، فإن الجمعية الوطنية تمارس صلاحياته مؤقتاً. وتتألف الجمعية الوطنية الحالية من 113 نائباً منتخبين بالاقتراع العام المباشر. </w:t>
      </w:r>
    </w:p>
    <w:p w14:paraId="5F2A98FD" w14:textId="6C76DCC8" w:rsidR="00561206" w:rsidRPr="005B5F4D" w:rsidRDefault="00DF334D" w:rsidP="00DF334D">
      <w:pPr>
        <w:pStyle w:val="H1GA"/>
        <w:rPr>
          <w:lang w:val="ar-SA" w:eastAsia="zh-TW" w:bidi="en-GB"/>
        </w:rPr>
      </w:pPr>
      <w:r w:rsidRPr="005B5F4D">
        <w:rPr>
          <w:rtl/>
        </w:rPr>
        <w:lastRenderedPageBreak/>
        <w:tab/>
      </w:r>
      <w:r w:rsidR="00561206" w:rsidRPr="005B5F4D">
        <w:rPr>
          <w:rtl/>
        </w:rPr>
        <w:t>جيم-</w:t>
      </w:r>
      <w:r w:rsidR="00561206" w:rsidRPr="005B5F4D">
        <w:rPr>
          <w:rtl/>
        </w:rPr>
        <w:tab/>
        <w:t>السلطة القضائية</w:t>
      </w:r>
    </w:p>
    <w:p w14:paraId="003C03B2" w14:textId="676168CA" w:rsidR="00561206" w:rsidRPr="005B5F4D" w:rsidRDefault="00561206" w:rsidP="00662201">
      <w:pPr>
        <w:pStyle w:val="SingleTxtGA"/>
        <w:rPr>
          <w:rFonts w:eastAsiaTheme="minorEastAsia"/>
          <w:lang w:val="ar-SA" w:eastAsia="zh-TW" w:bidi="en-GB"/>
        </w:rPr>
      </w:pPr>
      <w:r w:rsidRPr="005B5F4D">
        <w:rPr>
          <w:rFonts w:eastAsiaTheme="minorEastAsia"/>
          <w:rtl/>
        </w:rPr>
        <w:t>41-</w:t>
      </w:r>
      <w:r w:rsidRPr="005B5F4D">
        <w:rPr>
          <w:rFonts w:eastAsiaTheme="minorEastAsia"/>
          <w:rtl/>
        </w:rPr>
        <w:tab/>
        <w:t>السلطة القضائية هي الضامنة للحريات الفردية والحقوق الأساسية للمواطنين. وتكرس المادة 1 من الدستور مبدأ سيادة القانون. وتتولى المحاكم والهيئات القضائية إقامة العدل باسم شعب توغو (المادة</w:t>
      </w:r>
      <w:r w:rsidR="00DF334D" w:rsidRPr="005B5F4D">
        <w:rPr>
          <w:rFonts w:eastAsiaTheme="minorEastAsia" w:hint="cs"/>
          <w:rtl/>
        </w:rPr>
        <w:t> </w:t>
      </w:r>
      <w:r w:rsidRPr="005B5F4D">
        <w:rPr>
          <w:rFonts w:eastAsiaTheme="minorEastAsia"/>
          <w:rtl/>
        </w:rPr>
        <w:t xml:space="preserve">112 من الدستور). </w:t>
      </w:r>
    </w:p>
    <w:p w14:paraId="196678B7" w14:textId="0FF50C5A" w:rsidR="00561206" w:rsidRPr="005B5F4D" w:rsidRDefault="00561206" w:rsidP="00662201">
      <w:pPr>
        <w:pStyle w:val="SingleTxtGA"/>
        <w:rPr>
          <w:rFonts w:eastAsiaTheme="minorEastAsia"/>
          <w:lang w:val="ar-SA" w:eastAsia="zh-TW" w:bidi="en-GB"/>
        </w:rPr>
      </w:pPr>
      <w:r w:rsidRPr="005B5F4D">
        <w:rPr>
          <w:rFonts w:eastAsiaTheme="minorEastAsia"/>
          <w:rtl/>
        </w:rPr>
        <w:t>42-</w:t>
      </w:r>
      <w:r w:rsidRPr="005B5F4D">
        <w:rPr>
          <w:rFonts w:eastAsiaTheme="minorEastAsia"/>
          <w:rtl/>
        </w:rPr>
        <w:tab/>
      </w:r>
      <w:r w:rsidRPr="005B5F4D">
        <w:rPr>
          <w:rFonts w:eastAsiaTheme="minorEastAsia"/>
          <w:spacing w:val="6"/>
          <w:rtl/>
        </w:rPr>
        <w:t>ويكفل الدستور استقلال السلطة القضائية (المادة 113) الذي يكرسه القانون التنظيمي رقم 96-11</w:t>
      </w:r>
      <w:r w:rsidRPr="005B5F4D">
        <w:rPr>
          <w:rFonts w:eastAsiaTheme="minorEastAsia"/>
          <w:rtl/>
        </w:rPr>
        <w:t xml:space="preserve"> المؤرخ 21 آب/أغسطس 1996 الذي يحدد الوضع الخاص للقضاة، بصيغته المعدلة بموجب القانون رقم</w:t>
      </w:r>
      <w:r w:rsidR="00DF334D" w:rsidRPr="005B5F4D">
        <w:rPr>
          <w:rFonts w:eastAsiaTheme="minorEastAsia" w:hint="cs"/>
          <w:rtl/>
        </w:rPr>
        <w:t> </w:t>
      </w:r>
      <w:r w:rsidRPr="005B5F4D">
        <w:rPr>
          <w:rFonts w:eastAsiaTheme="minorEastAsia"/>
          <w:rtl/>
        </w:rPr>
        <w:t>2013-007 المؤرخ 25 شباط/فبراير 2013. ويعزِّز مبدأ عدم قابلية القضاة للعزل المنصوص عليه في المادة 114 من الدستور استقلال القضاء.</w:t>
      </w:r>
    </w:p>
    <w:p w14:paraId="0B31CF0A" w14:textId="77777777" w:rsidR="00561206" w:rsidRPr="005B5F4D" w:rsidRDefault="00561206" w:rsidP="00662201">
      <w:pPr>
        <w:pStyle w:val="SingleTxtGA"/>
        <w:rPr>
          <w:rFonts w:eastAsiaTheme="minorEastAsia"/>
          <w:lang w:val="ar-SA" w:eastAsia="zh-TW" w:bidi="en-GB"/>
        </w:rPr>
      </w:pPr>
      <w:r w:rsidRPr="005B5F4D">
        <w:rPr>
          <w:rFonts w:eastAsiaTheme="minorEastAsia"/>
          <w:rtl/>
        </w:rPr>
        <w:t>43-</w:t>
      </w:r>
      <w:r w:rsidRPr="005B5F4D">
        <w:rPr>
          <w:rFonts w:eastAsiaTheme="minorEastAsia"/>
          <w:rtl/>
        </w:rPr>
        <w:tab/>
        <w:t>والنص الأساسي المنظم للهيئات القضائية هو القانون رقم 2019-015 المؤرخ 30 تشرين الأول/أكتوبر 2019 المتعلق بقانون تنظيم المحاكم في جمهورية توغو. وهو ينص على محاكم عادية ومحاكم متخصصة.</w:t>
      </w:r>
    </w:p>
    <w:p w14:paraId="10E06A37" w14:textId="77777777" w:rsidR="00561206" w:rsidRPr="005B5F4D" w:rsidRDefault="00561206" w:rsidP="00662201">
      <w:pPr>
        <w:pStyle w:val="SingleTxtGA"/>
        <w:rPr>
          <w:rFonts w:eastAsiaTheme="minorEastAsia"/>
          <w:lang w:val="ar-SA" w:eastAsia="zh-TW" w:bidi="en-GB"/>
        </w:rPr>
      </w:pPr>
      <w:r w:rsidRPr="005B5F4D">
        <w:rPr>
          <w:rFonts w:eastAsiaTheme="minorEastAsia"/>
          <w:rtl/>
        </w:rPr>
        <w:t>44-</w:t>
      </w:r>
      <w:r w:rsidRPr="005B5F4D">
        <w:rPr>
          <w:rFonts w:eastAsiaTheme="minorEastAsia"/>
          <w:rtl/>
        </w:rPr>
        <w:tab/>
        <w:t>وتشمل المحاكم العادية المحكمة العليا ومحاكم الاستئناف ومحاكم الاستئناف الجنائية والمحاكم الابتدائية والمحاكم الجنائية؛ والمحاكم الابتدائية ذات الاختصاص الجنائي والمدني والمحاكم الابتدائية ذات الاختصاص المدني.</w:t>
      </w:r>
    </w:p>
    <w:p w14:paraId="0C5772C4" w14:textId="77777777" w:rsidR="00561206" w:rsidRPr="005B5F4D" w:rsidRDefault="00561206" w:rsidP="00662201">
      <w:pPr>
        <w:pStyle w:val="SingleTxtGA"/>
        <w:rPr>
          <w:rFonts w:eastAsiaTheme="minorEastAsia"/>
          <w:lang w:val="ar-SA" w:eastAsia="zh-TW" w:bidi="en-GB"/>
        </w:rPr>
      </w:pPr>
      <w:r w:rsidRPr="005B5F4D">
        <w:rPr>
          <w:rFonts w:eastAsiaTheme="minorEastAsia"/>
          <w:rtl/>
        </w:rPr>
        <w:t>45-</w:t>
      </w:r>
      <w:r w:rsidRPr="005B5F4D">
        <w:rPr>
          <w:rFonts w:eastAsiaTheme="minorEastAsia"/>
          <w:rtl/>
        </w:rPr>
        <w:tab/>
        <w:t>وتشمل المحاكم المتخصصة محاكم العمل والمحاكم التجارية وقُضاة الأحداث ومحاكم الأحداث والمحكمة العسكرية ومحكمة الاستئناف العسكرية.</w:t>
      </w:r>
    </w:p>
    <w:p w14:paraId="11DA8A60" w14:textId="77777777" w:rsidR="00561206" w:rsidRPr="005B5F4D" w:rsidRDefault="00561206" w:rsidP="00662201">
      <w:pPr>
        <w:pStyle w:val="SingleTxtGA"/>
        <w:rPr>
          <w:rFonts w:eastAsiaTheme="minorEastAsia"/>
          <w:lang w:val="ar-SA" w:eastAsia="zh-TW" w:bidi="en-GB"/>
        </w:rPr>
      </w:pPr>
      <w:r w:rsidRPr="005B5F4D">
        <w:rPr>
          <w:rFonts w:eastAsiaTheme="minorEastAsia"/>
          <w:rtl/>
        </w:rPr>
        <w:t>46-</w:t>
      </w:r>
      <w:r w:rsidRPr="005B5F4D">
        <w:rPr>
          <w:rFonts w:eastAsiaTheme="minorEastAsia"/>
          <w:rtl/>
        </w:rPr>
        <w:tab/>
        <w:t>والمحكمة العليا هي أعلى محكمة في الدولة في المسائل القضائية والإدارية. وهي تتألف من دائرتين: دائرة قضائية ودائرة إدارية.</w:t>
      </w:r>
    </w:p>
    <w:p w14:paraId="07FB4141" w14:textId="77777777" w:rsidR="00561206" w:rsidRPr="005B5F4D" w:rsidRDefault="00561206" w:rsidP="00662201">
      <w:pPr>
        <w:pStyle w:val="SingleTxtGA"/>
        <w:rPr>
          <w:rFonts w:eastAsiaTheme="minorEastAsia"/>
          <w:lang w:val="ar-SA" w:eastAsia="zh-TW" w:bidi="en-GB"/>
        </w:rPr>
      </w:pPr>
      <w:r w:rsidRPr="005B5F4D">
        <w:rPr>
          <w:rFonts w:eastAsiaTheme="minorEastAsia"/>
          <w:rtl/>
        </w:rPr>
        <w:t>47-</w:t>
      </w:r>
      <w:r w:rsidRPr="005B5F4D">
        <w:rPr>
          <w:rFonts w:eastAsiaTheme="minorEastAsia"/>
          <w:rtl/>
        </w:rPr>
        <w:tab/>
        <w:t>وفي عام 2010، أُنشئ مركز لتدريب المهنيين القانونيين من خلال توفير التدريب الأولي والمستمر لهم.</w:t>
      </w:r>
    </w:p>
    <w:p w14:paraId="4D02FF02" w14:textId="46E7A0C7" w:rsidR="00561206" w:rsidRPr="005B5F4D" w:rsidRDefault="00DF334D" w:rsidP="00DF334D">
      <w:pPr>
        <w:pStyle w:val="H1GA"/>
        <w:rPr>
          <w:lang w:val="ar-SA" w:eastAsia="zh-TW" w:bidi="en-GB"/>
        </w:rPr>
      </w:pPr>
      <w:r w:rsidRPr="005B5F4D">
        <w:rPr>
          <w:rtl/>
        </w:rPr>
        <w:tab/>
      </w:r>
      <w:r w:rsidR="00561206" w:rsidRPr="005B5F4D">
        <w:rPr>
          <w:rtl/>
        </w:rPr>
        <w:t>دال-</w:t>
      </w:r>
      <w:r w:rsidR="00561206" w:rsidRPr="005B5F4D">
        <w:rPr>
          <w:rtl/>
        </w:rPr>
        <w:tab/>
        <w:t xml:space="preserve">مؤسسات الجمهورية وغيرها من الهيئات المعنية بتعزيز حقوق الإنسان وحمايتها </w:t>
      </w:r>
    </w:p>
    <w:p w14:paraId="06FDDC0F" w14:textId="3F0FC218" w:rsidR="00561206" w:rsidRPr="005B5F4D" w:rsidRDefault="00DF334D" w:rsidP="00DF334D">
      <w:pPr>
        <w:pStyle w:val="H23GA"/>
        <w:rPr>
          <w:lang w:val="ar-SA" w:eastAsia="zh-TW" w:bidi="en-GB"/>
        </w:rPr>
      </w:pPr>
      <w:r w:rsidRPr="005B5F4D">
        <w:rPr>
          <w:rtl/>
        </w:rPr>
        <w:tab/>
      </w:r>
      <w:r w:rsidR="00561206" w:rsidRPr="005B5F4D">
        <w:rPr>
          <w:rtl/>
        </w:rPr>
        <w:t>1-</w:t>
      </w:r>
      <w:r w:rsidR="00561206" w:rsidRPr="005B5F4D">
        <w:rPr>
          <w:rtl/>
        </w:rPr>
        <w:tab/>
        <w:t>المحكمة الدستورية</w:t>
      </w:r>
    </w:p>
    <w:p w14:paraId="53EFD974" w14:textId="77777777" w:rsidR="00561206" w:rsidRPr="005B5F4D" w:rsidRDefault="00561206" w:rsidP="00662201">
      <w:pPr>
        <w:pStyle w:val="SingleTxtGA"/>
        <w:rPr>
          <w:rFonts w:eastAsiaTheme="minorEastAsia"/>
          <w:lang w:val="ar-SA" w:eastAsia="zh-TW" w:bidi="en-GB"/>
        </w:rPr>
      </w:pPr>
      <w:r w:rsidRPr="005B5F4D">
        <w:rPr>
          <w:rFonts w:eastAsiaTheme="minorEastAsia"/>
          <w:rtl/>
        </w:rPr>
        <w:t>48-</w:t>
      </w:r>
      <w:r w:rsidRPr="005B5F4D">
        <w:rPr>
          <w:rFonts w:eastAsiaTheme="minorEastAsia"/>
          <w:rtl/>
        </w:rPr>
        <w:tab/>
        <w:t xml:space="preserve">تنص المادة 99 من القانون التنظيمي لتوغو على أن "المحكمة الدستورية هي أعلى محكمة في الدولة في المسائل الدستورية. وهي تبت في مدى دستورية القوانين وتضمن حقوق الإنسان الأساسية والحريات المدنية. وهي الهيئة التي تنظم عمل مؤسسات الدولة وأنشطة السلطات العامة. </w:t>
      </w:r>
      <w:r w:rsidRPr="005B5F4D">
        <w:rPr>
          <w:rFonts w:eastAsiaTheme="minorEastAsia"/>
        </w:rPr>
        <w:t>"</w:t>
      </w:r>
      <w:r w:rsidRPr="005B5F4D">
        <w:rPr>
          <w:rFonts w:eastAsiaTheme="minorEastAsia"/>
          <w:rtl/>
        </w:rPr>
        <w:t>.</w:t>
      </w:r>
    </w:p>
    <w:p w14:paraId="33762536" w14:textId="77777777" w:rsidR="00561206" w:rsidRPr="005B5F4D" w:rsidRDefault="00561206" w:rsidP="00662201">
      <w:pPr>
        <w:pStyle w:val="SingleTxtGA"/>
        <w:rPr>
          <w:rFonts w:eastAsiaTheme="minorEastAsia"/>
          <w:lang w:val="ar-SA" w:eastAsia="zh-TW" w:bidi="en-GB"/>
        </w:rPr>
      </w:pPr>
      <w:r w:rsidRPr="005B5F4D">
        <w:rPr>
          <w:rFonts w:eastAsiaTheme="minorEastAsia"/>
          <w:rtl/>
        </w:rPr>
        <w:t>49-</w:t>
      </w:r>
      <w:r w:rsidRPr="005B5F4D">
        <w:rPr>
          <w:rFonts w:eastAsiaTheme="minorEastAsia"/>
          <w:rtl/>
        </w:rPr>
        <w:tab/>
        <w:t>وتعلن المحكمة الدستورية النتائج النهائية للانتخابات الرئاسية والتشريعية والاستفتاءات وتسويِّ المنازعات ذات الصلة. وتتمتع بأوسع صلاحيات في مجال التحقق من دستورية تلك الانتخابات والاستفتاءات قبل إجرائها وبعده. ويخضع تنظيمها وعملها للقانون التنظيمي رقم 2004-004، المؤرخ 1 آذار/مارس 2004، بصيغته المعدلة بموجب التنظيمي، المؤرخ 23 كانون الأول/ديسمبر 2019، المتعلق بالمحكمة الدستورية.</w:t>
      </w:r>
    </w:p>
    <w:p w14:paraId="567E5BF0" w14:textId="5A95D75A" w:rsidR="00561206" w:rsidRPr="005B5F4D" w:rsidRDefault="00DF334D" w:rsidP="00DF334D">
      <w:pPr>
        <w:pStyle w:val="H23GA"/>
        <w:rPr>
          <w:lang w:val="ar-SA" w:eastAsia="zh-TW" w:bidi="en-GB"/>
        </w:rPr>
      </w:pPr>
      <w:r w:rsidRPr="005B5F4D">
        <w:rPr>
          <w:rtl/>
        </w:rPr>
        <w:tab/>
      </w:r>
      <w:r w:rsidR="00561206" w:rsidRPr="005B5F4D">
        <w:rPr>
          <w:rtl/>
        </w:rPr>
        <w:t>2-</w:t>
      </w:r>
      <w:r w:rsidR="00561206" w:rsidRPr="005B5F4D">
        <w:rPr>
          <w:rtl/>
        </w:rPr>
        <w:tab/>
        <w:t>ديوان المحاسبة ودواوين المحاسبة الإقليمية</w:t>
      </w:r>
    </w:p>
    <w:p w14:paraId="4899DF6D" w14:textId="6BEE4ED9" w:rsidR="00561206" w:rsidRPr="005B5F4D" w:rsidRDefault="00561206" w:rsidP="00662201">
      <w:pPr>
        <w:pStyle w:val="SingleTxtGA"/>
        <w:rPr>
          <w:rFonts w:eastAsiaTheme="minorEastAsia"/>
          <w:lang w:val="ar-SA" w:eastAsia="zh-TW" w:bidi="en-GB"/>
        </w:rPr>
      </w:pPr>
      <w:r w:rsidRPr="005B5F4D">
        <w:rPr>
          <w:rFonts w:eastAsiaTheme="minorEastAsia"/>
          <w:rtl/>
        </w:rPr>
        <w:t>50-</w:t>
      </w:r>
      <w:r w:rsidRPr="005B5F4D">
        <w:rPr>
          <w:rFonts w:eastAsiaTheme="minorEastAsia"/>
          <w:rtl/>
        </w:rPr>
        <w:tab/>
        <w:t>تنص المادة 107 من الدستور المنقح الصادر في 15 أيار/مايو 2019 على ما يلي: "يتحقق</w:t>
      </w:r>
      <w:r w:rsidR="00BE39AE" w:rsidRPr="005B5F4D">
        <w:rPr>
          <w:rFonts w:eastAsiaTheme="minorEastAsia" w:hint="cs"/>
          <w:rtl/>
        </w:rPr>
        <w:t> </w:t>
      </w:r>
      <w:r w:rsidRPr="005B5F4D">
        <w:rPr>
          <w:rFonts w:eastAsiaTheme="minorEastAsia"/>
          <w:rtl/>
        </w:rPr>
        <w:t>ديوان المحاسبة ودواوين المحاسبة الإقليمية من حسابات المحاسبين العموميين</w:t>
      </w:r>
      <w:r w:rsidR="00BE39AE" w:rsidRPr="005B5F4D">
        <w:rPr>
          <w:rFonts w:eastAsiaTheme="minorEastAsia" w:hint="cs"/>
          <w:rtl/>
        </w:rPr>
        <w:t>"</w:t>
      </w:r>
      <w:r w:rsidRPr="005B5F4D">
        <w:rPr>
          <w:rFonts w:eastAsiaTheme="minorEastAsia"/>
          <w:rtl/>
        </w:rPr>
        <w:t>.</w:t>
      </w:r>
    </w:p>
    <w:p w14:paraId="521D3F40" w14:textId="77777777" w:rsidR="00561206" w:rsidRPr="005B5F4D" w:rsidRDefault="00561206" w:rsidP="00802A08">
      <w:pPr>
        <w:pStyle w:val="SingleTxtGA"/>
        <w:spacing w:line="350" w:lineRule="exact"/>
        <w:rPr>
          <w:rFonts w:eastAsiaTheme="minorEastAsia"/>
          <w:lang w:val="ar-SA" w:eastAsia="zh-TW" w:bidi="en-GB"/>
        </w:rPr>
      </w:pPr>
      <w:r w:rsidRPr="005B5F4D">
        <w:rPr>
          <w:rFonts w:eastAsiaTheme="minorEastAsia"/>
          <w:rtl/>
        </w:rPr>
        <w:lastRenderedPageBreak/>
        <w:t>51-</w:t>
      </w:r>
      <w:r w:rsidRPr="005B5F4D">
        <w:rPr>
          <w:rFonts w:eastAsiaTheme="minorEastAsia"/>
          <w:rtl/>
        </w:rPr>
        <w:tab/>
        <w:t xml:space="preserve">ويحدد القانون التنظيمي رقم 2021-025 المؤرخ 1 كانون الأول/ديسمبر 2021 تنظيم ديوان المحاسبة وأساليب عمله. ويتحقق ديوان المحاسبة من حسابات المحاسبين العموميين ويساعد </w:t>
      </w:r>
      <w:proofErr w:type="gramStart"/>
      <w:r w:rsidRPr="005B5F4D">
        <w:rPr>
          <w:rFonts w:eastAsiaTheme="minorEastAsia"/>
          <w:rtl/>
        </w:rPr>
        <w:t>البرلمان</w:t>
      </w:r>
      <w:proofErr w:type="gramEnd"/>
      <w:r w:rsidRPr="005B5F4D">
        <w:rPr>
          <w:rFonts w:eastAsiaTheme="minorEastAsia"/>
          <w:rtl/>
        </w:rPr>
        <w:t xml:space="preserve"> والحكومة في رصد تنفيذ الميزانية وتقييمه.</w:t>
      </w:r>
    </w:p>
    <w:p w14:paraId="47104E3F" w14:textId="77777777" w:rsidR="00561206" w:rsidRPr="005B5F4D" w:rsidRDefault="00561206" w:rsidP="00802A08">
      <w:pPr>
        <w:pStyle w:val="SingleTxtGA"/>
        <w:spacing w:line="350" w:lineRule="exact"/>
        <w:rPr>
          <w:rFonts w:eastAsiaTheme="minorEastAsia"/>
          <w:lang w:val="ar-SA" w:eastAsia="zh-TW" w:bidi="en-GB"/>
        </w:rPr>
      </w:pPr>
      <w:r w:rsidRPr="005B5F4D">
        <w:rPr>
          <w:rFonts w:eastAsiaTheme="minorEastAsia"/>
          <w:rtl/>
        </w:rPr>
        <w:t>52-</w:t>
      </w:r>
      <w:r w:rsidRPr="005B5F4D">
        <w:rPr>
          <w:rFonts w:eastAsiaTheme="minorEastAsia"/>
          <w:rtl/>
        </w:rPr>
        <w:tab/>
        <w:t>ويتولى ديوان المحاسبة ودواوين المحاسبة الإقليمية مسؤولية مراجعة حسابات المؤسسات والشركات العامة وأساليب إدارتها.</w:t>
      </w:r>
    </w:p>
    <w:p w14:paraId="5796921D" w14:textId="3602F959" w:rsidR="00561206" w:rsidRPr="005B5F4D" w:rsidRDefault="00561206" w:rsidP="00802A08">
      <w:pPr>
        <w:pStyle w:val="SingleTxtGA"/>
        <w:spacing w:line="350" w:lineRule="exact"/>
        <w:rPr>
          <w:rFonts w:eastAsiaTheme="minorEastAsia"/>
          <w:lang w:val="ar-SA" w:eastAsia="zh-TW" w:bidi="en-GB"/>
        </w:rPr>
      </w:pPr>
      <w:r w:rsidRPr="005B5F4D">
        <w:rPr>
          <w:rFonts w:eastAsiaTheme="minorEastAsia"/>
          <w:rtl/>
        </w:rPr>
        <w:t>53-</w:t>
      </w:r>
      <w:r w:rsidRPr="005B5F4D">
        <w:rPr>
          <w:rFonts w:eastAsiaTheme="minorEastAsia"/>
          <w:rtl/>
        </w:rPr>
        <w:tab/>
        <w:t xml:space="preserve">وتتولى دواوين المحاسبة الإقليمية، كلٌ ضمن نطاق اختصاصه الإقليمي، مسؤولية مراجعة حسابات حكومات الأقاليم </w:t>
      </w:r>
      <w:r w:rsidR="00F44A04" w:rsidRPr="005B5F4D">
        <w:rPr>
          <w:rFonts w:eastAsiaTheme="minorEastAsia" w:hint="cs"/>
          <w:rtl/>
        </w:rPr>
        <w:t>ومؤسساتها</w:t>
      </w:r>
      <w:r w:rsidRPr="005B5F4D">
        <w:rPr>
          <w:rFonts w:eastAsiaTheme="minorEastAsia"/>
          <w:rtl/>
        </w:rPr>
        <w:t xml:space="preserve"> وأساليب إدارتها.</w:t>
      </w:r>
    </w:p>
    <w:p w14:paraId="46704A76" w14:textId="77777777" w:rsidR="00561206" w:rsidRPr="005B5F4D" w:rsidRDefault="00561206" w:rsidP="00802A08">
      <w:pPr>
        <w:pStyle w:val="SingleTxtGA"/>
        <w:spacing w:line="350" w:lineRule="exact"/>
        <w:rPr>
          <w:rFonts w:eastAsiaTheme="minorEastAsia"/>
          <w:lang w:val="ar-SA" w:eastAsia="zh-TW" w:bidi="en-GB"/>
        </w:rPr>
      </w:pPr>
      <w:r w:rsidRPr="005B5F4D">
        <w:rPr>
          <w:rFonts w:eastAsiaTheme="minorEastAsia"/>
          <w:rtl/>
        </w:rPr>
        <w:t>54-</w:t>
      </w:r>
      <w:r w:rsidRPr="005B5F4D">
        <w:rPr>
          <w:rFonts w:eastAsiaTheme="minorEastAsia"/>
          <w:rtl/>
        </w:rPr>
        <w:tab/>
        <w:t xml:space="preserve">ولديوان المحاسبة ودواوين المحاسبة الإقليمية اختصاص قضائي في المسائل المتصلة بمدى تقيد مسجلي الحسابات ومسجلي الحسابات المفوضين ومديري البرامج والمراقبين الماليين وهيئات إدارة المشتريات العامة والمحاسبين العموميين بضوابط الميزانية والضوابط المالية. وعند الاقتضاء، تعاقِب هذه الدواوين على انتهاكات القواعد المنظمة لتلك المعاملات. وتساعد هذه الدواوين </w:t>
      </w:r>
      <w:proofErr w:type="gramStart"/>
      <w:r w:rsidRPr="005B5F4D">
        <w:rPr>
          <w:rFonts w:eastAsiaTheme="minorEastAsia"/>
          <w:rtl/>
        </w:rPr>
        <w:t>البرلمان</w:t>
      </w:r>
      <w:proofErr w:type="gramEnd"/>
      <w:r w:rsidRPr="005B5F4D">
        <w:rPr>
          <w:rFonts w:eastAsiaTheme="minorEastAsia"/>
          <w:rtl/>
        </w:rPr>
        <w:t xml:space="preserve"> والحكومة في رصد تنفيذ الميزانية وتقييمه.</w:t>
      </w:r>
    </w:p>
    <w:p w14:paraId="5CE5683B" w14:textId="1A7A0BDE" w:rsidR="00561206" w:rsidRPr="005B5F4D" w:rsidRDefault="00561206" w:rsidP="00802A08">
      <w:pPr>
        <w:pStyle w:val="SingleTxtGA"/>
        <w:spacing w:line="350" w:lineRule="exact"/>
        <w:rPr>
          <w:rFonts w:eastAsiaTheme="minorEastAsia"/>
          <w:lang w:val="ar-SA" w:eastAsia="zh-TW" w:bidi="en-GB"/>
        </w:rPr>
      </w:pPr>
      <w:r w:rsidRPr="005B5F4D">
        <w:rPr>
          <w:rFonts w:eastAsiaTheme="minorEastAsia"/>
          <w:rtl/>
        </w:rPr>
        <w:t>55-</w:t>
      </w:r>
      <w:r w:rsidRPr="005B5F4D">
        <w:rPr>
          <w:rFonts w:eastAsiaTheme="minorEastAsia"/>
          <w:rtl/>
        </w:rPr>
        <w:tab/>
        <w:t>وتجري جميع الدراسات المالية والمحاسبية العامة التي تطلبها الحكومة أو الجمعية الوطنية أو</w:t>
      </w:r>
      <w:r w:rsidR="00BE39AE" w:rsidRPr="005B5F4D">
        <w:rPr>
          <w:rFonts w:eastAsiaTheme="minorEastAsia" w:hint="cs"/>
          <w:rtl/>
        </w:rPr>
        <w:t> </w:t>
      </w:r>
      <w:r w:rsidRPr="005B5F4D">
        <w:rPr>
          <w:rFonts w:eastAsiaTheme="minorEastAsia"/>
          <w:rtl/>
        </w:rPr>
        <w:t>مجلس الشيوخ أو المجلس الاقتصادي والاجتماعي.</w:t>
      </w:r>
    </w:p>
    <w:p w14:paraId="67DC97B1" w14:textId="77777777" w:rsidR="00561206" w:rsidRPr="005B5F4D" w:rsidRDefault="00561206" w:rsidP="00802A08">
      <w:pPr>
        <w:pStyle w:val="SingleTxtGA"/>
        <w:spacing w:line="350" w:lineRule="exact"/>
        <w:rPr>
          <w:rFonts w:eastAsiaTheme="minorEastAsia"/>
          <w:lang w:val="ar-SA" w:eastAsia="zh-TW" w:bidi="en-GB"/>
        </w:rPr>
      </w:pPr>
      <w:r w:rsidRPr="005B5F4D">
        <w:rPr>
          <w:rFonts w:eastAsiaTheme="minorEastAsia"/>
          <w:rtl/>
        </w:rPr>
        <w:t>56-</w:t>
      </w:r>
      <w:r w:rsidRPr="005B5F4D">
        <w:rPr>
          <w:rFonts w:eastAsiaTheme="minorEastAsia"/>
          <w:rtl/>
        </w:rPr>
        <w:tab/>
        <w:t>ويعد ديوان المحاسبة تقريراً سنوياً عن أنشطته وأنشطة الدواوين الإقليمية ويقدمه إلى رئيس الجمهورية والحكومة والجمعية الوطنية، ويحدد فيه، عند الاقتضاء، المخالفات المرتكبة والالتزامات المترتبة عليها وتوصياته.</w:t>
      </w:r>
    </w:p>
    <w:p w14:paraId="14B44F99" w14:textId="41738038" w:rsidR="00561206" w:rsidRPr="005B5F4D" w:rsidRDefault="00DF334D" w:rsidP="00DF334D">
      <w:pPr>
        <w:pStyle w:val="H23GA"/>
        <w:rPr>
          <w:lang w:val="ar-SA" w:eastAsia="zh-TW" w:bidi="en-GB"/>
        </w:rPr>
      </w:pPr>
      <w:r w:rsidRPr="005B5F4D">
        <w:rPr>
          <w:rtl/>
        </w:rPr>
        <w:tab/>
      </w:r>
      <w:r w:rsidR="00561206" w:rsidRPr="005B5F4D">
        <w:rPr>
          <w:rtl/>
        </w:rPr>
        <w:t>3-</w:t>
      </w:r>
      <w:r w:rsidR="00561206" w:rsidRPr="005B5F4D">
        <w:rPr>
          <w:rtl/>
        </w:rPr>
        <w:tab/>
        <w:t>المجلس الأعلى للقضاء</w:t>
      </w:r>
    </w:p>
    <w:p w14:paraId="645E6271" w14:textId="43D320F0" w:rsidR="00561206" w:rsidRPr="005B5F4D" w:rsidRDefault="00561206" w:rsidP="00662201">
      <w:pPr>
        <w:pStyle w:val="SingleTxtGA"/>
        <w:rPr>
          <w:rFonts w:eastAsiaTheme="minorEastAsia"/>
          <w:lang w:val="ar-SA" w:eastAsia="zh-TW" w:bidi="en-GB"/>
        </w:rPr>
      </w:pPr>
      <w:r w:rsidRPr="005B5F4D">
        <w:rPr>
          <w:rFonts w:eastAsiaTheme="minorEastAsia"/>
          <w:rtl/>
        </w:rPr>
        <w:t>57-</w:t>
      </w:r>
      <w:r w:rsidRPr="005B5F4D">
        <w:rPr>
          <w:rFonts w:eastAsiaTheme="minorEastAsia"/>
          <w:rtl/>
        </w:rPr>
        <w:tab/>
        <w:t>أُنشئ المجلس الأعلى للقضاء بموجب القانون الأساسي رقم 97-04 المؤرخ 6 آذار/</w:t>
      </w:r>
      <w:r w:rsidR="00802A08" w:rsidRPr="005B5F4D">
        <w:rPr>
          <w:rFonts w:eastAsiaTheme="minorEastAsia" w:hint="cs"/>
          <w:rtl/>
        </w:rPr>
        <w:t xml:space="preserve"> </w:t>
      </w:r>
      <w:r w:rsidRPr="005B5F4D">
        <w:rPr>
          <w:rFonts w:eastAsiaTheme="minorEastAsia"/>
          <w:rtl/>
        </w:rPr>
        <w:t>مارس</w:t>
      </w:r>
      <w:r w:rsidR="00802A08" w:rsidRPr="005B5F4D">
        <w:rPr>
          <w:rFonts w:eastAsiaTheme="minorEastAsia" w:hint="cs"/>
          <w:rtl/>
        </w:rPr>
        <w:t> </w:t>
      </w:r>
      <w:r w:rsidRPr="005B5F4D">
        <w:rPr>
          <w:rFonts w:eastAsiaTheme="minorEastAsia"/>
          <w:rtl/>
        </w:rPr>
        <w:t>1997 المتعلق بتنظيم المجلس الأعلى للقضاء وأساليب عمله.</w:t>
      </w:r>
    </w:p>
    <w:p w14:paraId="13F37C4B" w14:textId="77777777" w:rsidR="00561206" w:rsidRPr="005B5F4D" w:rsidRDefault="00561206" w:rsidP="00662201">
      <w:pPr>
        <w:pStyle w:val="SingleTxtGA"/>
        <w:rPr>
          <w:rFonts w:eastAsiaTheme="minorEastAsia"/>
          <w:lang w:val="ar-SA" w:eastAsia="zh-TW" w:bidi="en-GB"/>
        </w:rPr>
      </w:pPr>
      <w:r w:rsidRPr="005B5F4D">
        <w:rPr>
          <w:rFonts w:eastAsiaTheme="minorEastAsia"/>
          <w:rtl/>
        </w:rPr>
        <w:t>58-</w:t>
      </w:r>
      <w:r w:rsidRPr="005B5F4D">
        <w:rPr>
          <w:rFonts w:eastAsiaTheme="minorEastAsia"/>
          <w:rtl/>
        </w:rPr>
        <w:tab/>
        <w:t>ويؤدي المجلس الأعلى للقضاء أيضاً مهام المجلس التأديبي للقضاة. ويجب أن تكون قرارات المجلس التأديبي مُعلَّلة. وتنشر قرارات المجلس التأديبي كاملةً. وترد التدابير الجزائية المنطبقة، وكذلك الإجراءات ذات الصلة، في القانون التنظيمي المتعلق بالنظام الأساسي لجهاز القضاء (المادة 116 من الدستور الجديد).</w:t>
      </w:r>
    </w:p>
    <w:p w14:paraId="7EF40AA8" w14:textId="070ACD19" w:rsidR="00561206" w:rsidRPr="005B5F4D" w:rsidRDefault="00DF334D" w:rsidP="00DF334D">
      <w:pPr>
        <w:pStyle w:val="H23GA"/>
        <w:rPr>
          <w:lang w:val="ar-SA" w:eastAsia="zh-TW" w:bidi="en-GB"/>
        </w:rPr>
      </w:pPr>
      <w:r w:rsidRPr="005B5F4D">
        <w:rPr>
          <w:rtl/>
        </w:rPr>
        <w:tab/>
      </w:r>
      <w:r w:rsidR="00561206" w:rsidRPr="005B5F4D">
        <w:rPr>
          <w:rtl/>
        </w:rPr>
        <w:t>4-</w:t>
      </w:r>
      <w:r w:rsidR="00561206" w:rsidRPr="005B5F4D">
        <w:rPr>
          <w:rtl/>
        </w:rPr>
        <w:tab/>
        <w:t>اللجنة الوطنية لحقوق الإنسان</w:t>
      </w:r>
    </w:p>
    <w:p w14:paraId="7349BED2" w14:textId="5479E304" w:rsidR="00561206" w:rsidRPr="005B5F4D" w:rsidRDefault="00561206" w:rsidP="00662201">
      <w:pPr>
        <w:pStyle w:val="SingleTxtGA"/>
        <w:rPr>
          <w:rFonts w:eastAsiaTheme="minorEastAsia"/>
          <w:lang w:val="ar-SA" w:eastAsia="zh-TW" w:bidi="en-GB"/>
        </w:rPr>
      </w:pPr>
      <w:r w:rsidRPr="005B5F4D">
        <w:rPr>
          <w:rFonts w:eastAsiaTheme="minorEastAsia"/>
          <w:rtl/>
        </w:rPr>
        <w:t>59-</w:t>
      </w:r>
      <w:r w:rsidRPr="005B5F4D">
        <w:rPr>
          <w:rFonts w:eastAsiaTheme="minorEastAsia"/>
          <w:rtl/>
        </w:rPr>
        <w:tab/>
        <w:t>أعيدت هيكلة اللجنة الوطنية لحقوق الإنسان، التي أنشئت بموجب القانون رقم 87-09 المؤرخ</w:t>
      </w:r>
      <w:r w:rsidR="00DF334D" w:rsidRPr="005B5F4D">
        <w:rPr>
          <w:rFonts w:eastAsiaTheme="minorEastAsia" w:hint="cs"/>
          <w:rtl/>
        </w:rPr>
        <w:t> </w:t>
      </w:r>
      <w:r w:rsidRPr="005B5F4D">
        <w:rPr>
          <w:rFonts w:eastAsiaTheme="minorEastAsia"/>
          <w:rtl/>
        </w:rPr>
        <w:t xml:space="preserve">9 حزيران/يونيه 1987 وأقرها الدستور في عام 1992 (المادة 152)، بموجب القانون التنظيمي رقم 2021-015 المؤرخ 3 آب/أغسطس 2021 المعدل للقانون التنظيمي رقم 2018-006 المؤرخ 20 حزيران/يونيه 2018 المتعلق بتكوين اللجنة وتنظيمها وأساليب عملها. واللجنة الوطنية لحقوق الإنسان مؤسسة مستقلة خاضعة للدستور والقانون ولها شخصيتها الاعتبارية. </w:t>
      </w:r>
    </w:p>
    <w:p w14:paraId="6F2A7ECA" w14:textId="2BD1A9C1" w:rsidR="00561206" w:rsidRPr="005B5F4D" w:rsidRDefault="00561206" w:rsidP="00662201">
      <w:pPr>
        <w:pStyle w:val="SingleTxtGA"/>
        <w:rPr>
          <w:rFonts w:eastAsiaTheme="minorEastAsia"/>
          <w:spacing w:val="-2"/>
          <w:lang w:val="ar-SA" w:eastAsia="zh-TW" w:bidi="en-GB"/>
        </w:rPr>
      </w:pPr>
      <w:r w:rsidRPr="005B5F4D">
        <w:rPr>
          <w:rFonts w:eastAsiaTheme="minorEastAsia"/>
          <w:rtl/>
        </w:rPr>
        <w:t>60-</w:t>
      </w:r>
      <w:r w:rsidRPr="005B5F4D">
        <w:rPr>
          <w:rFonts w:eastAsiaTheme="minorEastAsia"/>
          <w:rtl/>
        </w:rPr>
        <w:tab/>
      </w:r>
      <w:r w:rsidRPr="005B5F4D">
        <w:rPr>
          <w:rFonts w:eastAsiaTheme="minorEastAsia"/>
          <w:spacing w:val="-5"/>
          <w:rtl/>
        </w:rPr>
        <w:t xml:space="preserve">وقد صنفها التحالف العالمي للمؤسسات الوطنية لحقوق الإنسان، منذ عام 2000، ضمن الفئة </w:t>
      </w:r>
      <w:r w:rsidR="00DF334D" w:rsidRPr="005B5F4D">
        <w:rPr>
          <w:rFonts w:eastAsiaTheme="minorEastAsia" w:hint="cs"/>
          <w:spacing w:val="-5"/>
          <w:rtl/>
        </w:rPr>
        <w:t>"</w:t>
      </w:r>
      <w:r w:rsidRPr="005B5F4D">
        <w:rPr>
          <w:rFonts w:eastAsiaTheme="minorEastAsia"/>
          <w:spacing w:val="-5"/>
          <w:rtl/>
        </w:rPr>
        <w:t>ألف</w:t>
      </w:r>
      <w:r w:rsidR="00DF334D" w:rsidRPr="005B5F4D">
        <w:rPr>
          <w:rFonts w:eastAsiaTheme="minorEastAsia" w:hint="cs"/>
          <w:spacing w:val="-5"/>
          <w:rtl/>
        </w:rPr>
        <w:t>"</w:t>
      </w:r>
      <w:r w:rsidRPr="005B5F4D">
        <w:rPr>
          <w:rFonts w:eastAsiaTheme="minorEastAsia"/>
          <w:spacing w:val="-5"/>
          <w:rtl/>
        </w:rPr>
        <w:t xml:space="preserve">، </w:t>
      </w:r>
      <w:r w:rsidRPr="005B5F4D">
        <w:rPr>
          <w:rFonts w:eastAsiaTheme="minorEastAsia"/>
          <w:spacing w:val="-2"/>
          <w:rtl/>
        </w:rPr>
        <w:t>وجدد تصنيفها ضمن هذه الفئة في تشرين الأول/أكتوبر 2019. وتضم اللجنة الآلية الوطنية لمنع</w:t>
      </w:r>
      <w:r w:rsidR="00DF334D" w:rsidRPr="005B5F4D">
        <w:rPr>
          <w:rFonts w:eastAsiaTheme="minorEastAsia" w:hint="cs"/>
          <w:spacing w:val="-2"/>
          <w:rtl/>
        </w:rPr>
        <w:t> </w:t>
      </w:r>
      <w:r w:rsidRPr="005B5F4D">
        <w:rPr>
          <w:rFonts w:eastAsiaTheme="minorEastAsia"/>
          <w:spacing w:val="-2"/>
          <w:rtl/>
        </w:rPr>
        <w:t>التعذيب.</w:t>
      </w:r>
    </w:p>
    <w:p w14:paraId="4C4EF901" w14:textId="77777777" w:rsidR="00561206" w:rsidRPr="005B5F4D" w:rsidRDefault="00561206" w:rsidP="00662201">
      <w:pPr>
        <w:pStyle w:val="SingleTxtGA"/>
        <w:rPr>
          <w:rFonts w:eastAsiaTheme="minorEastAsia"/>
          <w:lang w:val="ar-SA" w:eastAsia="zh-TW" w:bidi="en-GB"/>
        </w:rPr>
      </w:pPr>
      <w:r w:rsidRPr="005B5F4D">
        <w:rPr>
          <w:rFonts w:eastAsiaTheme="minorEastAsia"/>
          <w:rtl/>
        </w:rPr>
        <w:t>61-</w:t>
      </w:r>
      <w:r w:rsidRPr="005B5F4D">
        <w:rPr>
          <w:rFonts w:eastAsiaTheme="minorEastAsia"/>
          <w:rtl/>
        </w:rPr>
        <w:tab/>
        <w:t>وتتمثل مهمتها في تعزيز حقوق الإنسان وحمايتها، ومنع التعذيب وغيره من أشكال المعاملة القاسية أو اللاإنسانية أو المهينة، ولا سيما في أماكن سلب الحرية أو أي مكان آخر تحدده، وحماية المدافعين عن حقوق الإنسان.</w:t>
      </w:r>
    </w:p>
    <w:p w14:paraId="0CB36B51" w14:textId="256A0C3C" w:rsidR="00561206" w:rsidRPr="005B5F4D" w:rsidRDefault="00DF334D" w:rsidP="00DF334D">
      <w:pPr>
        <w:pStyle w:val="H23GA"/>
        <w:rPr>
          <w:lang w:val="ar-SA" w:eastAsia="zh-TW" w:bidi="en-GB"/>
        </w:rPr>
      </w:pPr>
      <w:r w:rsidRPr="005B5F4D">
        <w:rPr>
          <w:rtl/>
        </w:rPr>
        <w:lastRenderedPageBreak/>
        <w:tab/>
      </w:r>
      <w:r w:rsidR="00561206" w:rsidRPr="005B5F4D">
        <w:rPr>
          <w:rtl/>
        </w:rPr>
        <w:t>5-</w:t>
      </w:r>
      <w:r w:rsidR="00561206" w:rsidRPr="005B5F4D">
        <w:rPr>
          <w:rtl/>
        </w:rPr>
        <w:tab/>
        <w:t>الهيئة العليا لوسائل الإعلام المسموعة والمرئية</w:t>
      </w:r>
    </w:p>
    <w:p w14:paraId="5A28AEA2" w14:textId="77777777" w:rsidR="00561206" w:rsidRPr="005B5F4D" w:rsidRDefault="00561206" w:rsidP="00662201">
      <w:pPr>
        <w:pStyle w:val="SingleTxtGA"/>
        <w:rPr>
          <w:rFonts w:eastAsiaTheme="minorEastAsia"/>
          <w:lang w:val="ar-SA" w:eastAsia="zh-TW" w:bidi="en-GB"/>
        </w:rPr>
      </w:pPr>
      <w:r w:rsidRPr="005B5F4D">
        <w:rPr>
          <w:rFonts w:eastAsiaTheme="minorEastAsia"/>
          <w:rtl/>
        </w:rPr>
        <w:t>62-</w:t>
      </w:r>
      <w:r w:rsidRPr="005B5F4D">
        <w:rPr>
          <w:rFonts w:eastAsiaTheme="minorEastAsia"/>
          <w:rtl/>
        </w:rPr>
        <w:tab/>
        <w:t>أُنشئت الهيئة العليا لوسائل الإعلام المسموعة والمرئية بموجب القانون التنظيمي رقم 96-10 المؤرخ 21 آب/أغسطس 1996، المعدَّل والمكمِّل بالقانون التنظيمي رقم 2004-021 المؤرخ 15 كانون الأول/ديسمبر 2004، والقانون التنظيمي رقم 2018-029 المؤرخ 10 كانون الأول/ديسمبر 2018، والقانون التنظيمي رقم 2021-031 المؤرخ 6 كانون الأول/ديسمبر 2021 المتعلق بالهيئة العليا لوسائل الإعلام المسموعة والمرئية.</w:t>
      </w:r>
    </w:p>
    <w:p w14:paraId="65C05D22" w14:textId="04ED9EAB" w:rsidR="00561206" w:rsidRPr="005B5F4D" w:rsidRDefault="00561206" w:rsidP="00662201">
      <w:pPr>
        <w:pStyle w:val="SingleTxtGA"/>
        <w:rPr>
          <w:rFonts w:eastAsiaTheme="minorEastAsia"/>
          <w:lang w:val="ar-SA" w:eastAsia="zh-TW" w:bidi="en-GB"/>
        </w:rPr>
      </w:pPr>
      <w:r w:rsidRPr="005B5F4D">
        <w:rPr>
          <w:rFonts w:eastAsiaTheme="minorEastAsia"/>
          <w:rtl/>
        </w:rPr>
        <w:t>63-</w:t>
      </w:r>
      <w:r w:rsidRPr="005B5F4D">
        <w:rPr>
          <w:rFonts w:eastAsiaTheme="minorEastAsia"/>
          <w:rtl/>
        </w:rPr>
        <w:tab/>
        <w:t>ووفقاً للمادة 130 من الدستور، "تتمثل مهمة الهيئة العليا لوسائل الإعلام المسموعة والمرئية في ضمان حرية الصحافة ووسائل الإعلام العام الأخرى وحمايتها</w:t>
      </w:r>
      <w:r w:rsidR="00364E66" w:rsidRPr="005B5F4D">
        <w:rPr>
          <w:rFonts w:eastAsiaTheme="minorEastAsia" w:hint="cs"/>
          <w:rtl/>
        </w:rPr>
        <w:t>"</w:t>
      </w:r>
      <w:r w:rsidRPr="005B5F4D">
        <w:rPr>
          <w:rFonts w:eastAsiaTheme="minorEastAsia"/>
          <w:rtl/>
        </w:rPr>
        <w:t>.</w:t>
      </w:r>
    </w:p>
    <w:p w14:paraId="1FC1CADA" w14:textId="77777777" w:rsidR="00561206" w:rsidRPr="005B5F4D" w:rsidRDefault="00561206" w:rsidP="00662201">
      <w:pPr>
        <w:pStyle w:val="SingleTxtGA"/>
        <w:rPr>
          <w:rFonts w:eastAsiaTheme="minorEastAsia"/>
          <w:lang w:val="ar-SA" w:eastAsia="zh-TW" w:bidi="en-GB"/>
        </w:rPr>
      </w:pPr>
      <w:r w:rsidRPr="005B5F4D">
        <w:rPr>
          <w:rFonts w:eastAsiaTheme="minorEastAsia"/>
          <w:rtl/>
        </w:rPr>
        <w:t>64-</w:t>
      </w:r>
      <w:r w:rsidRPr="005B5F4D">
        <w:rPr>
          <w:rFonts w:eastAsiaTheme="minorEastAsia"/>
          <w:rtl/>
        </w:rPr>
        <w:tab/>
        <w:t>وتضمن الهيئة امتثال هيئات الإعلام والاتصالات أخلاقيات المهنة، وتكافؤ فرص وصول الأحزاب والرابطات السياسية إلى وسائل الإعلام والاتصال الرسمية.</w:t>
      </w:r>
    </w:p>
    <w:p w14:paraId="688FDD71" w14:textId="77777777" w:rsidR="00561206" w:rsidRPr="005B5F4D" w:rsidRDefault="00561206" w:rsidP="00662201">
      <w:pPr>
        <w:pStyle w:val="SingleTxtGA"/>
        <w:rPr>
          <w:rFonts w:eastAsiaTheme="minorEastAsia"/>
          <w:lang w:val="ar-SA" w:eastAsia="zh-TW" w:bidi="en-GB"/>
        </w:rPr>
      </w:pPr>
      <w:r w:rsidRPr="005B5F4D">
        <w:rPr>
          <w:rFonts w:eastAsiaTheme="minorEastAsia"/>
          <w:rtl/>
        </w:rPr>
        <w:t>65-</w:t>
      </w:r>
      <w:r w:rsidRPr="005B5F4D">
        <w:rPr>
          <w:rFonts w:eastAsiaTheme="minorEastAsia"/>
          <w:rtl/>
        </w:rPr>
        <w:tab/>
        <w:t>وتضمن أيضاً الحفاظ على القيم الثقافية والعادات والموروثات الثقافية الإثنية في إنتاج وتوزيع الأعمال السينمائية والمسموعة والمرئية.</w:t>
      </w:r>
    </w:p>
    <w:p w14:paraId="722F267E" w14:textId="77777777" w:rsidR="00561206" w:rsidRPr="005B5F4D" w:rsidRDefault="00561206" w:rsidP="00662201">
      <w:pPr>
        <w:pStyle w:val="SingleTxtGA"/>
        <w:rPr>
          <w:rFonts w:eastAsiaTheme="minorEastAsia"/>
          <w:lang w:val="ar-SA" w:eastAsia="zh-TW" w:bidi="en-GB"/>
        </w:rPr>
      </w:pPr>
      <w:r w:rsidRPr="005B5F4D">
        <w:rPr>
          <w:rFonts w:eastAsiaTheme="minorEastAsia"/>
          <w:rtl/>
        </w:rPr>
        <w:t>66-</w:t>
      </w:r>
      <w:r w:rsidRPr="005B5F4D">
        <w:rPr>
          <w:rFonts w:eastAsiaTheme="minorEastAsia"/>
          <w:rtl/>
        </w:rPr>
        <w:tab/>
        <w:t>وتتولى رصد الإعلانات، ولا سيما في مجال الصحة (المادة 22 من القانون التنظيمي).</w:t>
      </w:r>
    </w:p>
    <w:p w14:paraId="15E4A5F0" w14:textId="77777777" w:rsidR="00561206" w:rsidRPr="005B5F4D" w:rsidRDefault="00561206" w:rsidP="00662201">
      <w:pPr>
        <w:pStyle w:val="SingleTxtGA"/>
        <w:rPr>
          <w:rFonts w:eastAsiaTheme="minorEastAsia"/>
          <w:lang w:val="ar-SA" w:eastAsia="zh-TW" w:bidi="en-GB"/>
        </w:rPr>
      </w:pPr>
      <w:r w:rsidRPr="005B5F4D">
        <w:rPr>
          <w:rFonts w:eastAsiaTheme="minorEastAsia"/>
          <w:rtl/>
        </w:rPr>
        <w:t>67-</w:t>
      </w:r>
      <w:r w:rsidRPr="005B5F4D">
        <w:rPr>
          <w:rFonts w:eastAsiaTheme="minorEastAsia"/>
          <w:rtl/>
        </w:rPr>
        <w:tab/>
        <w:t xml:space="preserve">والهيئة العليا لوسائل الإعلام المسموعة والمرئية مؤسسةٌ مستقلة يتمتع أعضاؤها بالحصانة طوال فترة توليهم مناصبهم ولمدة سنة واحدة بعد تركهم مناصبهم (المادتان 1 و13 من القانون التنظيمي). </w:t>
      </w:r>
    </w:p>
    <w:p w14:paraId="7FBEACE5" w14:textId="70641955" w:rsidR="00561206" w:rsidRPr="005B5F4D" w:rsidRDefault="00DF334D" w:rsidP="00DF334D">
      <w:pPr>
        <w:pStyle w:val="H23GA"/>
        <w:rPr>
          <w:lang w:val="ar-SA" w:eastAsia="zh-TW" w:bidi="en-GB"/>
        </w:rPr>
      </w:pPr>
      <w:r w:rsidRPr="005B5F4D">
        <w:rPr>
          <w:rtl/>
        </w:rPr>
        <w:tab/>
      </w:r>
      <w:r w:rsidR="00561206" w:rsidRPr="005B5F4D">
        <w:rPr>
          <w:rtl/>
        </w:rPr>
        <w:t>6-</w:t>
      </w:r>
      <w:r w:rsidR="00561206" w:rsidRPr="005B5F4D">
        <w:rPr>
          <w:rtl/>
        </w:rPr>
        <w:tab/>
        <w:t>أمين مظالم الجمهورية</w:t>
      </w:r>
    </w:p>
    <w:p w14:paraId="50FBBCAF" w14:textId="77777777" w:rsidR="00561206" w:rsidRPr="005B5F4D" w:rsidRDefault="00561206" w:rsidP="00662201">
      <w:pPr>
        <w:pStyle w:val="SingleTxtGA"/>
        <w:rPr>
          <w:rFonts w:eastAsiaTheme="minorEastAsia"/>
          <w:lang w:val="ar-SA" w:eastAsia="zh-TW" w:bidi="en-GB"/>
        </w:rPr>
      </w:pPr>
      <w:r w:rsidRPr="005B5F4D">
        <w:rPr>
          <w:rFonts w:eastAsiaTheme="minorEastAsia"/>
          <w:rtl/>
        </w:rPr>
        <w:t>68-</w:t>
      </w:r>
      <w:r w:rsidRPr="005B5F4D">
        <w:rPr>
          <w:rFonts w:eastAsiaTheme="minorEastAsia"/>
          <w:rtl/>
        </w:rPr>
        <w:tab/>
        <w:t>أنشئت مؤسسة أمين مظالم الجمهورية بموجب المادة 154 من الدستور، وهي سلطة إدارية مستقلة يعينها رئيس الجمهورية لمدة ثلاث سنوات. وأمين مظالم الجمهورية مكلف بالتحقيق في مطالبات المواطنين وشكاواهم المتعلقة بحالات التقصير من جانب إدارة الدولة أو السلطات المحلية أو المؤسسات العامة أو أي هيئة مكلفة بمهمة خدمة عامة، بهدف التوصل إلى تسوية ودية. ويخضع تنظيم هذه المؤسسة وسير عملها للقانون التنظيمي 2021-006 المؤرخ 1 نيسان/أبريل 2021.</w:t>
      </w:r>
    </w:p>
    <w:p w14:paraId="64826A33" w14:textId="4B2CD348" w:rsidR="00561206" w:rsidRPr="005B5F4D" w:rsidRDefault="00DF334D" w:rsidP="00DF334D">
      <w:pPr>
        <w:pStyle w:val="H23GA"/>
        <w:rPr>
          <w:lang w:val="ar-SA" w:eastAsia="zh-TW" w:bidi="en-GB"/>
        </w:rPr>
      </w:pPr>
      <w:r w:rsidRPr="005B5F4D">
        <w:rPr>
          <w:rtl/>
        </w:rPr>
        <w:tab/>
      </w:r>
      <w:r w:rsidR="00561206" w:rsidRPr="005B5F4D">
        <w:rPr>
          <w:rtl/>
        </w:rPr>
        <w:t>7-</w:t>
      </w:r>
      <w:r w:rsidR="00561206" w:rsidRPr="005B5F4D">
        <w:rPr>
          <w:rtl/>
        </w:rPr>
        <w:tab/>
        <w:t>وزارة حقوق الإنسان</w:t>
      </w:r>
    </w:p>
    <w:p w14:paraId="7A31248E" w14:textId="77777777" w:rsidR="00561206" w:rsidRPr="005B5F4D" w:rsidRDefault="00561206" w:rsidP="00662201">
      <w:pPr>
        <w:pStyle w:val="SingleTxtGA"/>
        <w:rPr>
          <w:rFonts w:eastAsiaTheme="minorEastAsia"/>
          <w:lang w:val="ar-SA" w:eastAsia="zh-TW" w:bidi="en-GB"/>
        </w:rPr>
      </w:pPr>
      <w:r w:rsidRPr="005B5F4D">
        <w:rPr>
          <w:rFonts w:eastAsiaTheme="minorEastAsia"/>
          <w:rtl/>
        </w:rPr>
        <w:t>69-</w:t>
      </w:r>
      <w:r w:rsidRPr="005B5F4D">
        <w:rPr>
          <w:rFonts w:eastAsiaTheme="minorEastAsia"/>
          <w:rtl/>
        </w:rPr>
        <w:tab/>
        <w:t xml:space="preserve">أُنشئت وزارة حقوق الإنسان بموجب المرسوم رقم </w:t>
      </w:r>
      <w:r w:rsidRPr="005B5F4D">
        <w:rPr>
          <w:rFonts w:eastAsiaTheme="minorEastAsia"/>
        </w:rPr>
        <w:t>92-002/PMRT</w:t>
      </w:r>
      <w:r w:rsidRPr="005B5F4D">
        <w:rPr>
          <w:rFonts w:eastAsiaTheme="minorEastAsia"/>
          <w:rtl/>
        </w:rPr>
        <w:t xml:space="preserve"> المؤرخ 8 كانون الثاني/يناير 1992، وأُعيدت هيكلتها بموجب المرسوم رقم </w:t>
      </w:r>
      <w:r w:rsidRPr="005B5F4D">
        <w:rPr>
          <w:rFonts w:eastAsiaTheme="minorEastAsia"/>
        </w:rPr>
        <w:t>2008-050/PR</w:t>
      </w:r>
      <w:r w:rsidRPr="005B5F4D">
        <w:rPr>
          <w:rFonts w:eastAsiaTheme="minorEastAsia"/>
          <w:rtl/>
        </w:rPr>
        <w:t xml:space="preserve"> المؤرخ 7 أيار/مايو 2008 المتعلق بصلاحيات وزراء الدولة والوزراء. وأصبحت هذه الوزارة تعرف باسم وزارة حقوق الإنسان والتربية المدنية والعلاقات مع مؤسسات الجمهورية.</w:t>
      </w:r>
    </w:p>
    <w:p w14:paraId="4A54495B" w14:textId="77777777" w:rsidR="00561206" w:rsidRPr="005B5F4D" w:rsidRDefault="00561206" w:rsidP="00662201">
      <w:pPr>
        <w:pStyle w:val="SingleTxtGA"/>
        <w:rPr>
          <w:rFonts w:eastAsiaTheme="minorEastAsia"/>
          <w:lang w:val="ar-SA" w:eastAsia="zh-TW" w:bidi="en-GB"/>
        </w:rPr>
      </w:pPr>
      <w:r w:rsidRPr="005B5F4D">
        <w:rPr>
          <w:rFonts w:eastAsiaTheme="minorEastAsia"/>
          <w:rtl/>
        </w:rPr>
        <w:t>70-</w:t>
      </w:r>
      <w:r w:rsidRPr="005B5F4D">
        <w:rPr>
          <w:rFonts w:eastAsiaTheme="minorEastAsia"/>
          <w:rtl/>
        </w:rPr>
        <w:tab/>
        <w:t xml:space="preserve">وتتمثل مهمتها في تنفيذ السياسة الوطنية في مجال حقوق الإنسان والتربية المدنية وتوطيد دعائم الديمقراطية، ومتابعة العلاقات بين الحكومة </w:t>
      </w:r>
      <w:proofErr w:type="gramStart"/>
      <w:r w:rsidRPr="005B5F4D">
        <w:rPr>
          <w:rFonts w:eastAsiaTheme="minorEastAsia"/>
          <w:rtl/>
        </w:rPr>
        <w:t>والبرلمان</w:t>
      </w:r>
      <w:proofErr w:type="gramEnd"/>
      <w:r w:rsidRPr="005B5F4D">
        <w:rPr>
          <w:rFonts w:eastAsiaTheme="minorEastAsia"/>
          <w:rtl/>
        </w:rPr>
        <w:t xml:space="preserve"> وغيرهما متن مؤسسات الجمهورية. </w:t>
      </w:r>
    </w:p>
    <w:p w14:paraId="1E8F05F2" w14:textId="7BDBD126" w:rsidR="00561206" w:rsidRPr="005B5F4D" w:rsidRDefault="00DF334D" w:rsidP="00DF334D">
      <w:pPr>
        <w:pStyle w:val="H23GA"/>
        <w:rPr>
          <w:lang w:val="ar-SA" w:eastAsia="zh-TW" w:bidi="en-GB"/>
        </w:rPr>
      </w:pPr>
      <w:r w:rsidRPr="005B5F4D">
        <w:rPr>
          <w:rtl/>
        </w:rPr>
        <w:tab/>
      </w:r>
      <w:r w:rsidR="00561206" w:rsidRPr="005B5F4D">
        <w:rPr>
          <w:rtl/>
        </w:rPr>
        <w:t>8-</w:t>
      </w:r>
      <w:r w:rsidR="00561206" w:rsidRPr="005B5F4D">
        <w:rPr>
          <w:rtl/>
        </w:rPr>
        <w:tab/>
        <w:t>الهيئة العليا لمنع ومكافحة الفساد والجرائم ذات الصلة</w:t>
      </w:r>
    </w:p>
    <w:p w14:paraId="6FE3DF3E" w14:textId="77777777" w:rsidR="00561206" w:rsidRPr="005B5F4D" w:rsidRDefault="00561206" w:rsidP="00662201">
      <w:pPr>
        <w:pStyle w:val="SingleTxtGA"/>
        <w:rPr>
          <w:rFonts w:eastAsiaTheme="minorEastAsia"/>
          <w:lang w:val="ar-SA" w:eastAsia="zh-TW" w:bidi="en-GB"/>
        </w:rPr>
      </w:pPr>
      <w:r w:rsidRPr="005B5F4D">
        <w:rPr>
          <w:rFonts w:eastAsiaTheme="minorEastAsia"/>
          <w:rtl/>
        </w:rPr>
        <w:t>71-</w:t>
      </w:r>
      <w:r w:rsidRPr="005B5F4D">
        <w:rPr>
          <w:rFonts w:eastAsiaTheme="minorEastAsia"/>
          <w:rtl/>
        </w:rPr>
        <w:tab/>
        <w:t xml:space="preserve">أُنشئت الهيئة العليا لمنع ومكافحة الفساد والجرائم ذات الصلة بموجب القانون رقم 2015-006 المؤرخ 28 تموز/يوليه 2015 القاضي بإنشاء الهيئة العليا لمنع ومكافحة الفساد والجرائم ذات الصلة. </w:t>
      </w:r>
    </w:p>
    <w:p w14:paraId="13F82E8F" w14:textId="77777777" w:rsidR="00561206" w:rsidRPr="005B5F4D" w:rsidRDefault="00561206" w:rsidP="00662201">
      <w:pPr>
        <w:pStyle w:val="SingleTxtGA"/>
        <w:rPr>
          <w:rFonts w:eastAsiaTheme="minorEastAsia"/>
          <w:lang w:val="ar-SA" w:eastAsia="zh-TW" w:bidi="en-GB"/>
        </w:rPr>
      </w:pPr>
      <w:r w:rsidRPr="005B5F4D">
        <w:rPr>
          <w:rFonts w:eastAsiaTheme="minorEastAsia"/>
          <w:rtl/>
        </w:rPr>
        <w:t>72-</w:t>
      </w:r>
      <w:r w:rsidRPr="005B5F4D">
        <w:rPr>
          <w:rFonts w:eastAsiaTheme="minorEastAsia"/>
          <w:rtl/>
        </w:rPr>
        <w:tab/>
        <w:t>وهي مؤسسة إدارية مستقلة مسؤولة عن تعزيز ودعم إجراءات منع ومكافحة الفساد والجرائم ذات الصلة في الإدارات والمؤسسات العامة والشركات الخاصة والهيئات غير الحكومية.</w:t>
      </w:r>
    </w:p>
    <w:p w14:paraId="331EE01E" w14:textId="7E337E7B" w:rsidR="00561206" w:rsidRPr="005B5F4D" w:rsidRDefault="00DF334D" w:rsidP="00DF334D">
      <w:pPr>
        <w:pStyle w:val="H23GA"/>
        <w:rPr>
          <w:lang w:val="ar-SA" w:eastAsia="zh-TW" w:bidi="en-GB"/>
        </w:rPr>
      </w:pPr>
      <w:r w:rsidRPr="005B5F4D">
        <w:rPr>
          <w:rtl/>
        </w:rPr>
        <w:lastRenderedPageBreak/>
        <w:tab/>
      </w:r>
      <w:r w:rsidR="00561206" w:rsidRPr="005B5F4D">
        <w:rPr>
          <w:rtl/>
        </w:rPr>
        <w:t>9-</w:t>
      </w:r>
      <w:r w:rsidR="00561206" w:rsidRPr="005B5F4D">
        <w:rPr>
          <w:rtl/>
        </w:rPr>
        <w:tab/>
        <w:t>المفوضية العليا لتحقيق المصالحة وتعزيز الوحدة الوطنية</w:t>
      </w:r>
    </w:p>
    <w:p w14:paraId="4288B345" w14:textId="352BA611" w:rsidR="00561206" w:rsidRPr="005B5F4D" w:rsidRDefault="00561206" w:rsidP="00802A08">
      <w:pPr>
        <w:pStyle w:val="SingleTxtGA"/>
        <w:spacing w:line="350" w:lineRule="exact"/>
        <w:rPr>
          <w:rFonts w:eastAsiaTheme="minorEastAsia"/>
          <w:lang w:val="ar-SA" w:eastAsia="zh-TW" w:bidi="en-GB"/>
        </w:rPr>
      </w:pPr>
      <w:r w:rsidRPr="005B5F4D">
        <w:rPr>
          <w:rFonts w:eastAsiaTheme="minorEastAsia"/>
          <w:rtl/>
        </w:rPr>
        <w:t>73-</w:t>
      </w:r>
      <w:r w:rsidRPr="005B5F4D">
        <w:rPr>
          <w:rFonts w:eastAsiaTheme="minorEastAsia"/>
          <w:rtl/>
        </w:rPr>
        <w:tab/>
        <w:t>أُنشئت المفوضية العليا لتحقيق المصالحة وتعزيز الوحدة الوطنية بناءً على اقتراح من لجنة الحقيقة والعدالة والمصالحة وفق</w:t>
      </w:r>
      <w:r w:rsidR="00364E66" w:rsidRPr="005B5F4D">
        <w:rPr>
          <w:rFonts w:eastAsiaTheme="minorEastAsia"/>
          <w:rtl/>
        </w:rPr>
        <w:t xml:space="preserve">اً </w:t>
      </w:r>
      <w:r w:rsidRPr="005B5F4D">
        <w:rPr>
          <w:rFonts w:eastAsiaTheme="minorEastAsia"/>
          <w:rtl/>
        </w:rPr>
        <w:t xml:space="preserve">للتوصية رقم 57. </w:t>
      </w:r>
    </w:p>
    <w:p w14:paraId="115225C7" w14:textId="77777777" w:rsidR="00561206" w:rsidRPr="005B5F4D" w:rsidRDefault="00561206" w:rsidP="00802A08">
      <w:pPr>
        <w:pStyle w:val="SingleTxtGA"/>
        <w:spacing w:line="350" w:lineRule="exact"/>
        <w:rPr>
          <w:rFonts w:eastAsiaTheme="minorEastAsia"/>
          <w:lang w:val="ar-SA" w:eastAsia="zh-TW" w:bidi="en-GB"/>
        </w:rPr>
      </w:pPr>
      <w:r w:rsidRPr="005B5F4D">
        <w:rPr>
          <w:rFonts w:eastAsiaTheme="minorEastAsia"/>
          <w:rtl/>
        </w:rPr>
        <w:t>74-</w:t>
      </w:r>
      <w:r w:rsidRPr="005B5F4D">
        <w:rPr>
          <w:rFonts w:eastAsiaTheme="minorEastAsia"/>
          <w:rtl/>
        </w:rPr>
        <w:tab/>
        <w:t xml:space="preserve">وتتمثل مهمة المفوضية العليا في تنفيذ التوصيات الصادرة عن لجنة الحقيقة والعدالة والمصالحة وبرنامج الجبر الذي أنشأته اللجنة بموجب المادة 2 من المرسوم رقم </w:t>
      </w:r>
      <w:r w:rsidRPr="005B5F4D">
        <w:rPr>
          <w:rFonts w:eastAsiaTheme="minorEastAsia"/>
        </w:rPr>
        <w:t>2014-103/PR</w:t>
      </w:r>
      <w:r w:rsidRPr="005B5F4D">
        <w:rPr>
          <w:rFonts w:eastAsiaTheme="minorEastAsia"/>
          <w:rtl/>
        </w:rPr>
        <w:t xml:space="preserve"> المؤرخ 3 نيسان/أبريل والمعدِّل للمرسوم رقم </w:t>
      </w:r>
      <w:r w:rsidRPr="005B5F4D">
        <w:rPr>
          <w:rFonts w:eastAsiaTheme="minorEastAsia"/>
        </w:rPr>
        <w:t>2013-040/PR</w:t>
      </w:r>
      <w:r w:rsidRPr="005B5F4D">
        <w:rPr>
          <w:rFonts w:eastAsiaTheme="minorEastAsia"/>
          <w:rtl/>
        </w:rPr>
        <w:t xml:space="preserve"> المؤرخ 24 أيار/مايو 2013 القاضي بإنشاء المفوضية العليا لتحقيق المصالحة وتعزيز الوحدة الوطنية.</w:t>
      </w:r>
    </w:p>
    <w:p w14:paraId="177FF041" w14:textId="18882B26" w:rsidR="00561206" w:rsidRPr="005B5F4D" w:rsidRDefault="00DF334D" w:rsidP="00DF334D">
      <w:pPr>
        <w:pStyle w:val="H23GA"/>
        <w:rPr>
          <w:lang w:val="ar-SA" w:eastAsia="zh-TW" w:bidi="en-GB"/>
        </w:rPr>
      </w:pPr>
      <w:r w:rsidRPr="005B5F4D">
        <w:rPr>
          <w:rtl/>
        </w:rPr>
        <w:tab/>
      </w:r>
      <w:r w:rsidR="00561206" w:rsidRPr="005B5F4D">
        <w:rPr>
          <w:rtl/>
        </w:rPr>
        <w:t>10-</w:t>
      </w:r>
      <w:r w:rsidR="00561206" w:rsidRPr="005B5F4D">
        <w:rPr>
          <w:rtl/>
        </w:rPr>
        <w:tab/>
        <w:t>زعيم المعارضة</w:t>
      </w:r>
    </w:p>
    <w:p w14:paraId="2230A07E" w14:textId="77777777" w:rsidR="00561206" w:rsidRPr="005B5F4D" w:rsidRDefault="00561206" w:rsidP="00802A08">
      <w:pPr>
        <w:pStyle w:val="SingleTxtGA"/>
        <w:spacing w:line="350" w:lineRule="exact"/>
        <w:rPr>
          <w:rFonts w:eastAsiaTheme="minorEastAsia"/>
          <w:lang w:val="ar-SA" w:eastAsia="zh-TW" w:bidi="en-GB"/>
        </w:rPr>
      </w:pPr>
      <w:r w:rsidRPr="005B5F4D">
        <w:rPr>
          <w:rFonts w:eastAsiaTheme="minorEastAsia"/>
          <w:rtl/>
        </w:rPr>
        <w:t>75-</w:t>
      </w:r>
      <w:r w:rsidRPr="005B5F4D">
        <w:rPr>
          <w:rFonts w:eastAsiaTheme="minorEastAsia"/>
          <w:rtl/>
        </w:rPr>
        <w:tab/>
        <w:t>يحدد المرسوم التنفيذي للقانون رقم 2013-015، المؤرخ 13 حزيران/يونيه 2013، المتعلق بوضع المعارضة امتيازات زعيم المعارضة الذي يعد بمثابة رئيس مؤسسة عامة وفقاً لبروتوكول الدولة والذي يتمتع، من ثم، بمزايا مالية ومادية يحددها مرسوم صادر عن مجلس الوزراء (المادة 26).</w:t>
      </w:r>
    </w:p>
    <w:p w14:paraId="3E89C210" w14:textId="77777777" w:rsidR="00561206" w:rsidRPr="005B5F4D" w:rsidRDefault="00561206" w:rsidP="00802A08">
      <w:pPr>
        <w:pStyle w:val="SingleTxtGA"/>
        <w:spacing w:line="350" w:lineRule="exact"/>
        <w:rPr>
          <w:rFonts w:eastAsiaTheme="minorEastAsia"/>
          <w:lang w:val="ar-SA" w:eastAsia="zh-TW" w:bidi="en-GB"/>
        </w:rPr>
      </w:pPr>
      <w:r w:rsidRPr="005B5F4D">
        <w:rPr>
          <w:rFonts w:eastAsiaTheme="minorEastAsia"/>
          <w:rtl/>
        </w:rPr>
        <w:t>76-</w:t>
      </w:r>
      <w:r w:rsidRPr="005B5F4D">
        <w:rPr>
          <w:rFonts w:eastAsiaTheme="minorEastAsia"/>
          <w:rtl/>
        </w:rPr>
        <w:tab/>
        <w:t>وبموجب أحكام المادة 24 من القانون المؤرخ 13 حزيران/يونيه 2013، فإن زعيم المعارضة هو زعيم الحزب السياسي المعارض الذي لديه أكبر عدد من النواب في الجمعية الوطنية.</w:t>
      </w:r>
    </w:p>
    <w:p w14:paraId="45E6B3CF" w14:textId="77777777" w:rsidR="00561206" w:rsidRPr="005B5F4D" w:rsidRDefault="00561206" w:rsidP="00802A08">
      <w:pPr>
        <w:pStyle w:val="SingleTxtGA"/>
        <w:spacing w:line="350" w:lineRule="exact"/>
        <w:rPr>
          <w:rFonts w:eastAsiaTheme="minorEastAsia"/>
          <w:lang w:val="ar-SA" w:eastAsia="zh-TW" w:bidi="en-GB"/>
        </w:rPr>
      </w:pPr>
      <w:r w:rsidRPr="005B5F4D">
        <w:rPr>
          <w:rFonts w:eastAsiaTheme="minorEastAsia"/>
          <w:rtl/>
        </w:rPr>
        <w:t>77-</w:t>
      </w:r>
      <w:r w:rsidRPr="005B5F4D">
        <w:rPr>
          <w:rFonts w:eastAsiaTheme="minorEastAsia"/>
          <w:rtl/>
        </w:rPr>
        <w:tab/>
        <w:t xml:space="preserve">وفي حالة تعادل المقاعد البرلمانية، يكون زعيم المعارضة هو زعيم الحزب الذي حصل على أكبر عدد من الأصوات في آخر انتخابات تشريعية. </w:t>
      </w:r>
    </w:p>
    <w:p w14:paraId="3E8CD76D" w14:textId="77777777" w:rsidR="00561206" w:rsidRPr="005B5F4D" w:rsidRDefault="00561206" w:rsidP="00802A08">
      <w:pPr>
        <w:pStyle w:val="SingleTxtGA"/>
        <w:spacing w:line="350" w:lineRule="exact"/>
        <w:rPr>
          <w:rFonts w:eastAsiaTheme="minorEastAsia"/>
          <w:lang w:val="ar-SA" w:eastAsia="zh-TW" w:bidi="en-GB"/>
        </w:rPr>
      </w:pPr>
      <w:r w:rsidRPr="005B5F4D">
        <w:rPr>
          <w:rFonts w:eastAsiaTheme="minorEastAsia"/>
          <w:rtl/>
        </w:rPr>
        <w:t>78-</w:t>
      </w:r>
      <w:r w:rsidRPr="005B5F4D">
        <w:rPr>
          <w:rFonts w:eastAsiaTheme="minorEastAsia"/>
          <w:rtl/>
        </w:rPr>
        <w:tab/>
        <w:t>وتنتهي صفة زعيم المعارضة في حالة الوفاة أو الاستقالة أو في حالة وجود سبب يمنعه من أداء مهامه نهائياً، على أن يكون هذا السبب مسجلاً حسب الأصول لدى المحكمة الدستورية، أو توقفه عن أداء مهام زعيم الحزب الذي كان يمارس هذه الصفة باسمه، أو صدور حكم نهائي بالسجن في حقه، أو قبوله وظيفة تتعارض مع وضعه كزعيم للمعارضة (المادة 27).</w:t>
      </w:r>
    </w:p>
    <w:p w14:paraId="3C315886" w14:textId="3AEC0B06" w:rsidR="00561206" w:rsidRPr="005B5F4D" w:rsidRDefault="00DF334D" w:rsidP="00DF334D">
      <w:pPr>
        <w:pStyle w:val="H23GA"/>
        <w:rPr>
          <w:lang w:val="ar-SA" w:eastAsia="zh-TW" w:bidi="en-GB"/>
        </w:rPr>
      </w:pPr>
      <w:r w:rsidRPr="005B5F4D">
        <w:rPr>
          <w:rtl/>
        </w:rPr>
        <w:tab/>
      </w:r>
      <w:r w:rsidR="00561206" w:rsidRPr="005B5F4D">
        <w:rPr>
          <w:rtl/>
        </w:rPr>
        <w:t>11-</w:t>
      </w:r>
      <w:r w:rsidR="00561206" w:rsidRPr="005B5F4D">
        <w:rPr>
          <w:rtl/>
        </w:rPr>
        <w:tab/>
        <w:t>اللجنة الوطنية المستقلة للانتخابات</w:t>
      </w:r>
    </w:p>
    <w:p w14:paraId="4C1DE40C" w14:textId="409E26B3" w:rsidR="00561206" w:rsidRPr="005B5F4D" w:rsidRDefault="00561206" w:rsidP="00802A08">
      <w:pPr>
        <w:pStyle w:val="SingleTxtGA"/>
        <w:spacing w:line="350" w:lineRule="exact"/>
        <w:rPr>
          <w:rFonts w:eastAsiaTheme="minorEastAsia"/>
          <w:lang w:val="en-US" w:eastAsia="zh-TW" w:bidi="en-GB"/>
        </w:rPr>
      </w:pPr>
      <w:r w:rsidRPr="005B5F4D">
        <w:rPr>
          <w:rFonts w:eastAsiaTheme="minorEastAsia"/>
          <w:rtl/>
        </w:rPr>
        <w:t>79-</w:t>
      </w:r>
      <w:r w:rsidRPr="005B5F4D">
        <w:rPr>
          <w:rFonts w:eastAsiaTheme="minorEastAsia"/>
          <w:rtl/>
        </w:rPr>
        <w:tab/>
        <w:t>أنشئت اللجنة الوطنية المستقلة للانتخابات بموجب القانون رقم 2012-002 المؤرخ 29 أيار/</w:t>
      </w:r>
      <w:r w:rsidR="00802A08" w:rsidRPr="005B5F4D">
        <w:rPr>
          <w:rFonts w:eastAsiaTheme="minorEastAsia" w:hint="cs"/>
          <w:rtl/>
        </w:rPr>
        <w:t xml:space="preserve"> </w:t>
      </w:r>
      <w:r w:rsidRPr="005B5F4D">
        <w:rPr>
          <w:rFonts w:eastAsiaTheme="minorEastAsia"/>
          <w:rtl/>
        </w:rPr>
        <w:t>مايو 2012، المعدَّل بموجب القانون رقم 2024-001 المؤرخ 25 كانون الثاني/يناير 2024 والمعدِّل للقانون رقم 2021-019 المؤرخ 11 تشرين الأول/أكتوبر 2021 المتعلق بقانون الانتخابات، وهي المؤسسة المسؤولة عن تنظيم الاستفتاءات والانتخابات والإشراف عليها. وتضمن اللجنة الوطنية المستقلة للانتخابات نزاهة الانتخابات وأمنها وشفافيتها، كما تضمن ممارسة الناخبين والمرشحين حقهم</w:t>
      </w:r>
      <w:r w:rsidR="00DF334D" w:rsidRPr="005B5F4D">
        <w:rPr>
          <w:rFonts w:eastAsiaTheme="minorEastAsia" w:hint="eastAsia"/>
          <w:rtl/>
        </w:rPr>
        <w:t> </w:t>
      </w:r>
      <w:r w:rsidRPr="005B5F4D">
        <w:rPr>
          <w:rFonts w:eastAsiaTheme="minorEastAsia"/>
          <w:rtl/>
        </w:rPr>
        <w:t>بحرية.</w:t>
      </w:r>
    </w:p>
    <w:p w14:paraId="31C27242" w14:textId="0C6FC431" w:rsidR="00561206" w:rsidRPr="005B5F4D" w:rsidRDefault="00DF334D" w:rsidP="00DF334D">
      <w:pPr>
        <w:pStyle w:val="H23GA"/>
        <w:rPr>
          <w:lang w:val="ar-SA" w:eastAsia="zh-TW" w:bidi="en-GB"/>
        </w:rPr>
      </w:pPr>
      <w:r w:rsidRPr="005B5F4D">
        <w:rPr>
          <w:rtl/>
        </w:rPr>
        <w:tab/>
      </w:r>
      <w:r w:rsidR="00561206" w:rsidRPr="005B5F4D">
        <w:rPr>
          <w:rtl/>
        </w:rPr>
        <w:t>12-</w:t>
      </w:r>
      <w:r w:rsidR="00561206" w:rsidRPr="005B5F4D">
        <w:rPr>
          <w:rtl/>
        </w:rPr>
        <w:tab/>
        <w:t xml:space="preserve">اللجنة الوطنية للاجئين </w:t>
      </w:r>
    </w:p>
    <w:p w14:paraId="0BA615E9" w14:textId="61E45150" w:rsidR="00561206" w:rsidRPr="005B5F4D" w:rsidRDefault="00561206" w:rsidP="00802A08">
      <w:pPr>
        <w:pStyle w:val="SingleTxtGA"/>
        <w:spacing w:line="350" w:lineRule="exact"/>
        <w:rPr>
          <w:rFonts w:eastAsiaTheme="minorEastAsia"/>
          <w:lang w:val="ar-SA" w:eastAsia="zh-TW" w:bidi="en-GB"/>
        </w:rPr>
      </w:pPr>
      <w:r w:rsidRPr="005B5F4D">
        <w:rPr>
          <w:rFonts w:eastAsiaTheme="minorEastAsia"/>
          <w:rtl/>
        </w:rPr>
        <w:t>80-</w:t>
      </w:r>
      <w:r w:rsidRPr="005B5F4D">
        <w:rPr>
          <w:rFonts w:eastAsiaTheme="minorEastAsia"/>
          <w:rtl/>
        </w:rPr>
        <w:tab/>
        <w:t>اعتمدت توغو القانون رقم 2016-021 المؤرخ 24 آب/أغسطس 2021 بشأن وضع اللاجئين في توغو، وذلك بهدف تعزيز حقوق اللاجئين وطالبي اللجوء في توغو وحمايتها وفقاً لاتفاقية جنيف المؤرخة 28 تموز/يوليه 1951 المتعلقة بوضع اللاجئين، بصيغتها المعدَّلة ببروتوكول نيويورك المؤرخ</w:t>
      </w:r>
      <w:r w:rsidR="00DF334D" w:rsidRPr="005B5F4D">
        <w:rPr>
          <w:rFonts w:eastAsiaTheme="minorEastAsia" w:hint="cs"/>
          <w:rtl/>
        </w:rPr>
        <w:t> </w:t>
      </w:r>
      <w:r w:rsidRPr="005B5F4D">
        <w:rPr>
          <w:rFonts w:eastAsiaTheme="minorEastAsia"/>
          <w:rtl/>
        </w:rPr>
        <w:t>31 كانون الثاني/يناير 1967 واتفاقية منظمة الوحدة الأفريقية المؤرخة 10 أيلول/سبتمبر 1969 التي تنظم الجوانب المحددة المتعلقة بمشاكل اللاجئين في أفريقيا.</w:t>
      </w:r>
    </w:p>
    <w:p w14:paraId="7DA34D81" w14:textId="77777777" w:rsidR="00561206" w:rsidRPr="005B5F4D" w:rsidRDefault="00561206" w:rsidP="00802A08">
      <w:pPr>
        <w:pStyle w:val="SingleTxtGA"/>
        <w:spacing w:line="350" w:lineRule="exact"/>
        <w:rPr>
          <w:rFonts w:eastAsiaTheme="minorEastAsia"/>
          <w:lang w:val="ar-SA" w:eastAsia="zh-TW" w:bidi="en-GB"/>
        </w:rPr>
      </w:pPr>
      <w:r w:rsidRPr="005B5F4D">
        <w:rPr>
          <w:rFonts w:eastAsiaTheme="minorEastAsia"/>
          <w:rtl/>
        </w:rPr>
        <w:t>81-</w:t>
      </w:r>
      <w:r w:rsidRPr="005B5F4D">
        <w:rPr>
          <w:rFonts w:eastAsiaTheme="minorEastAsia"/>
          <w:rtl/>
        </w:rPr>
        <w:tab/>
        <w:t>وقد أنشأ هذا القانون اللجنة الوطنية للاجئين باعتبارها إطاراً مؤسسياً معنياً بتنظيم وضع اللاجئين. واللجنة الوطنية للاجئين هي السلطة الوطنية المسؤولة عن ضمان الحماية القانونية والإدارية للاجئين وطالبي اللجوء. وهي تحرص، بالتنسيق مع مختلف الإدارات الوزارية المعنية، على تنفيذ هذا القانون والاتفاقيات والاتفاقات الدولية المتعلقة بتوفير الحماية الدولية للاجئين (المادة 46).</w:t>
      </w:r>
    </w:p>
    <w:p w14:paraId="7CE1411A" w14:textId="77777777" w:rsidR="00561206" w:rsidRPr="005B5F4D" w:rsidRDefault="00561206" w:rsidP="00802A08">
      <w:pPr>
        <w:pStyle w:val="SingleTxtGA"/>
        <w:spacing w:line="350" w:lineRule="exact"/>
        <w:rPr>
          <w:rFonts w:eastAsiaTheme="minorEastAsia"/>
          <w:lang w:val="ar-SA" w:eastAsia="zh-TW" w:bidi="en-GB"/>
        </w:rPr>
      </w:pPr>
      <w:r w:rsidRPr="005B5F4D">
        <w:rPr>
          <w:rFonts w:eastAsiaTheme="minorEastAsia"/>
          <w:rtl/>
        </w:rPr>
        <w:lastRenderedPageBreak/>
        <w:t>82-</w:t>
      </w:r>
      <w:r w:rsidRPr="005B5F4D">
        <w:rPr>
          <w:rFonts w:eastAsiaTheme="minorEastAsia"/>
          <w:rtl/>
        </w:rPr>
        <w:tab/>
        <w:t>وتشارك مفوضية الأمم المتحدة السامية لشؤون اللاجئين في جلسات اللجنة الوطنية للاجئين بصفة مراقب، من دون أن يكون لها الحق في التصويت (المادة 48).</w:t>
      </w:r>
    </w:p>
    <w:p w14:paraId="688B6A5E" w14:textId="0F106120" w:rsidR="00561206" w:rsidRPr="005B5F4D" w:rsidRDefault="00DF334D" w:rsidP="00DF334D">
      <w:pPr>
        <w:pStyle w:val="H23GA"/>
        <w:rPr>
          <w:lang w:val="ar-SA" w:eastAsia="zh-TW" w:bidi="en-GB"/>
        </w:rPr>
      </w:pPr>
      <w:r w:rsidRPr="005B5F4D">
        <w:rPr>
          <w:rtl/>
        </w:rPr>
        <w:tab/>
      </w:r>
      <w:r w:rsidR="00561206" w:rsidRPr="005B5F4D">
        <w:rPr>
          <w:rtl/>
        </w:rPr>
        <w:t>13-</w:t>
      </w:r>
      <w:r w:rsidR="00561206" w:rsidRPr="005B5F4D">
        <w:rPr>
          <w:rtl/>
        </w:rPr>
        <w:tab/>
        <w:t>مجلس طعون اللاجئين</w:t>
      </w:r>
    </w:p>
    <w:p w14:paraId="477C95F4" w14:textId="77777777" w:rsidR="00561206" w:rsidRPr="005B5F4D" w:rsidRDefault="00561206" w:rsidP="00662201">
      <w:pPr>
        <w:pStyle w:val="SingleTxtGA"/>
        <w:rPr>
          <w:rFonts w:eastAsiaTheme="minorEastAsia"/>
          <w:lang w:val="ar-SA" w:eastAsia="zh-TW" w:bidi="en-GB"/>
        </w:rPr>
      </w:pPr>
      <w:r w:rsidRPr="005B5F4D">
        <w:rPr>
          <w:rFonts w:eastAsiaTheme="minorEastAsia"/>
          <w:rtl/>
        </w:rPr>
        <w:t>83-</w:t>
      </w:r>
      <w:r w:rsidRPr="005B5F4D">
        <w:rPr>
          <w:rFonts w:eastAsiaTheme="minorEastAsia"/>
          <w:rtl/>
        </w:rPr>
        <w:tab/>
        <w:t>أنشأ القانون الخاص بوضع اللاجئين أيضاً لجنة الطعون، وهي الهيئة الإدارية الوطنية التي يجوز لطالبي اللجوء أن يقدموا إليها طعوناً بعد رفض اللجنة الوطنية للاجئين طلبات لجوئهم. وإجراءات الطعن أمام لجنة الطعون مجانية (المادة 61).</w:t>
      </w:r>
    </w:p>
    <w:p w14:paraId="11918A82" w14:textId="77777777" w:rsidR="00561206" w:rsidRPr="005B5F4D" w:rsidRDefault="00561206" w:rsidP="00662201">
      <w:pPr>
        <w:pStyle w:val="SingleTxtGA"/>
        <w:rPr>
          <w:rFonts w:eastAsiaTheme="minorEastAsia"/>
          <w:lang w:val="ar-SA" w:eastAsia="zh-TW" w:bidi="en-GB"/>
        </w:rPr>
      </w:pPr>
      <w:r w:rsidRPr="005B5F4D">
        <w:rPr>
          <w:rFonts w:eastAsiaTheme="minorEastAsia"/>
          <w:rtl/>
        </w:rPr>
        <w:t>84-</w:t>
      </w:r>
      <w:r w:rsidRPr="005B5F4D">
        <w:rPr>
          <w:rFonts w:eastAsiaTheme="minorEastAsia"/>
          <w:rtl/>
        </w:rPr>
        <w:tab/>
        <w:t>وتشارك مفوضية الأمم المتحدة السامية لشؤون اللاجئين في جلسات مجلس الطعون بصفة مراقب له الحق في التصويت (المادة 63).</w:t>
      </w:r>
    </w:p>
    <w:p w14:paraId="177B610A" w14:textId="026AD428" w:rsidR="00561206" w:rsidRPr="005B5F4D" w:rsidRDefault="00DF334D" w:rsidP="00DF334D">
      <w:pPr>
        <w:pStyle w:val="H23GA"/>
        <w:rPr>
          <w:lang w:val="en-US" w:eastAsia="zh-TW" w:bidi="en-GB"/>
        </w:rPr>
      </w:pPr>
      <w:r w:rsidRPr="005B5F4D">
        <w:rPr>
          <w:rtl/>
        </w:rPr>
        <w:tab/>
      </w:r>
      <w:r w:rsidR="00561206" w:rsidRPr="005B5F4D">
        <w:rPr>
          <w:rtl/>
        </w:rPr>
        <w:t>14-</w:t>
      </w:r>
      <w:r w:rsidR="00561206" w:rsidRPr="005B5F4D">
        <w:rPr>
          <w:rtl/>
        </w:rPr>
        <w:tab/>
        <w:t>دُور العدالة</w:t>
      </w:r>
    </w:p>
    <w:p w14:paraId="73467EDE" w14:textId="77777777" w:rsidR="00561206" w:rsidRPr="005B5F4D" w:rsidRDefault="00561206" w:rsidP="00662201">
      <w:pPr>
        <w:pStyle w:val="SingleTxtGA"/>
        <w:rPr>
          <w:rFonts w:eastAsiaTheme="minorEastAsia"/>
          <w:lang w:val="ar-SA" w:eastAsia="zh-TW" w:bidi="en-GB"/>
        </w:rPr>
      </w:pPr>
      <w:r w:rsidRPr="005B5F4D">
        <w:rPr>
          <w:rFonts w:eastAsiaTheme="minorEastAsia"/>
          <w:rtl/>
        </w:rPr>
        <w:t>85-</w:t>
      </w:r>
      <w:r w:rsidRPr="005B5F4D">
        <w:rPr>
          <w:rFonts w:eastAsiaTheme="minorEastAsia"/>
          <w:rtl/>
        </w:rPr>
        <w:tab/>
        <w:t xml:space="preserve">أُنشئت دور العدالة بموجب المرسوم رقم </w:t>
      </w:r>
      <w:r w:rsidRPr="005B5F4D">
        <w:rPr>
          <w:rFonts w:eastAsiaTheme="minorEastAsia"/>
        </w:rPr>
        <w:t>2018-034/PR</w:t>
      </w:r>
      <w:r w:rsidRPr="005B5F4D">
        <w:rPr>
          <w:rFonts w:eastAsiaTheme="minorEastAsia"/>
          <w:rtl/>
        </w:rPr>
        <w:t xml:space="preserve">، المؤرخ 27 شباط/فبراير 2018، القاضي بإنشاء دُور العدالة. ويتمثل الهدف من إنشاء دور العدالة في اللجوء إلى التوفيق والوساطة كأسلوبين بديلين من أساليب تسوية الخلافات. </w:t>
      </w:r>
    </w:p>
    <w:p w14:paraId="727DFA5D" w14:textId="61A9DC22" w:rsidR="00561206" w:rsidRPr="005B5F4D" w:rsidRDefault="00561206" w:rsidP="00662201">
      <w:pPr>
        <w:pStyle w:val="SingleTxtGA"/>
        <w:rPr>
          <w:rFonts w:eastAsiaTheme="minorEastAsia"/>
          <w:lang w:val="en-US" w:eastAsia="zh-TW" w:bidi="en-GB"/>
        </w:rPr>
      </w:pPr>
      <w:r w:rsidRPr="005B5F4D">
        <w:rPr>
          <w:rFonts w:eastAsiaTheme="minorEastAsia"/>
          <w:rtl/>
        </w:rPr>
        <w:t>86-</w:t>
      </w:r>
      <w:r w:rsidRPr="005B5F4D">
        <w:rPr>
          <w:rFonts w:eastAsiaTheme="minorEastAsia"/>
          <w:rtl/>
        </w:rPr>
        <w:tab/>
        <w:t>ويتمثل الهدف الرئيسي لدُور العدالة في تعزيز السلم الاجتماعي وتشجيع حل الخلافات الأسرية أو بين الأفراد أو بين المجتمعات المحلية مجاناً وبسرعة. وتوفر دور العدالة أيض</w:t>
      </w:r>
      <w:r w:rsidR="00364E66" w:rsidRPr="005B5F4D">
        <w:rPr>
          <w:rFonts w:eastAsiaTheme="minorEastAsia"/>
          <w:rtl/>
        </w:rPr>
        <w:t xml:space="preserve">اً </w:t>
      </w:r>
      <w:r w:rsidRPr="005B5F4D">
        <w:rPr>
          <w:rFonts w:eastAsiaTheme="minorEastAsia"/>
          <w:rtl/>
        </w:rPr>
        <w:t>المعلومات والإرشادات</w:t>
      </w:r>
      <w:r w:rsidR="00364E66" w:rsidRPr="005B5F4D">
        <w:rPr>
          <w:rFonts w:eastAsiaTheme="minorEastAsia" w:hint="cs"/>
          <w:rtl/>
        </w:rPr>
        <w:t> </w:t>
      </w:r>
      <w:r w:rsidRPr="005B5F4D">
        <w:rPr>
          <w:rFonts w:eastAsiaTheme="minorEastAsia"/>
          <w:rtl/>
        </w:rPr>
        <w:t xml:space="preserve">للمواطنين. </w:t>
      </w:r>
    </w:p>
    <w:p w14:paraId="65FABB64" w14:textId="5759B99A" w:rsidR="00561206" w:rsidRPr="005B5F4D" w:rsidRDefault="00DF334D" w:rsidP="00DF334D">
      <w:pPr>
        <w:pStyle w:val="H23GA"/>
        <w:rPr>
          <w:lang w:val="ar-SA" w:eastAsia="zh-TW" w:bidi="en-GB"/>
        </w:rPr>
      </w:pPr>
      <w:r w:rsidRPr="005B5F4D">
        <w:rPr>
          <w:rtl/>
        </w:rPr>
        <w:tab/>
      </w:r>
      <w:r w:rsidR="00561206" w:rsidRPr="005B5F4D">
        <w:rPr>
          <w:rtl/>
        </w:rPr>
        <w:t>15-</w:t>
      </w:r>
      <w:r w:rsidR="00561206" w:rsidRPr="005B5F4D">
        <w:rPr>
          <w:rtl/>
        </w:rPr>
        <w:tab/>
        <w:t>اللجنة الوطنية لمكافحة جرائم الاتجار بالأشخاص</w:t>
      </w:r>
    </w:p>
    <w:p w14:paraId="6E354896" w14:textId="77777777" w:rsidR="00BE39AE" w:rsidRPr="005B5F4D" w:rsidRDefault="00561206" w:rsidP="00662201">
      <w:pPr>
        <w:pStyle w:val="SingleTxtG"/>
        <w:bidi/>
        <w:spacing w:line="360" w:lineRule="exact"/>
        <w:rPr>
          <w:rStyle w:val="SingleTxtGAChar"/>
          <w:sz w:val="22"/>
          <w:szCs w:val="22"/>
          <w:lang w:val="ar-SA" w:eastAsia="zh-TW" w:bidi="en-GB"/>
        </w:rPr>
      </w:pPr>
      <w:r w:rsidRPr="005B5F4D">
        <w:rPr>
          <w:rFonts w:eastAsiaTheme="minorEastAsia"/>
          <w:sz w:val="22"/>
          <w:szCs w:val="22"/>
          <w:rtl/>
        </w:rPr>
        <w:t>87-</w:t>
      </w:r>
      <w:r w:rsidRPr="005B5F4D">
        <w:rPr>
          <w:rFonts w:eastAsiaTheme="minorEastAsia"/>
          <w:sz w:val="22"/>
          <w:szCs w:val="22"/>
          <w:rtl/>
        </w:rPr>
        <w:tab/>
        <w:t xml:space="preserve">اعتُمد المرسوم رقم </w:t>
      </w:r>
      <w:r w:rsidRPr="005B5F4D">
        <w:rPr>
          <w:rFonts w:eastAsiaTheme="minorEastAsia"/>
          <w:sz w:val="22"/>
          <w:szCs w:val="22"/>
        </w:rPr>
        <w:t>2021-104/PR</w:t>
      </w:r>
      <w:r w:rsidRPr="005B5F4D">
        <w:rPr>
          <w:rFonts w:eastAsiaTheme="minorEastAsia"/>
          <w:sz w:val="22"/>
          <w:szCs w:val="22"/>
          <w:rtl/>
        </w:rPr>
        <w:t xml:space="preserve"> القاضي بإنشاء اللجنة الوطنية لمكافحة جرائم الاتجار بالأشخاص في توغو، واختصاصاتها وتنظيمها وسير عملها، في 29 أيلول/سبتمبر 2021. وعملاً بأحكام المادة 22 من هذا المرسوم، عُين أعضاء اللجنة بموجب الأمر الوزاري رقم </w:t>
      </w:r>
      <w:r w:rsidRPr="005B5F4D">
        <w:rPr>
          <w:rFonts w:eastAsiaTheme="minorEastAsia"/>
          <w:sz w:val="22"/>
          <w:szCs w:val="22"/>
        </w:rPr>
        <w:t>004/MASPFA/MSPC/MSPC/MIJ</w:t>
      </w:r>
      <w:r w:rsidRPr="005B5F4D">
        <w:rPr>
          <w:rFonts w:eastAsiaTheme="minorEastAsia"/>
          <w:sz w:val="22"/>
          <w:szCs w:val="22"/>
          <w:rtl/>
        </w:rPr>
        <w:t xml:space="preserve"> المؤرخ 19 كانون الثاني/يناير 2022. وقد بدأت اللجنة عملها </w:t>
      </w:r>
      <w:r w:rsidR="00BE39AE" w:rsidRPr="005B5F4D">
        <w:rPr>
          <w:rStyle w:val="SingleTxtGAChar"/>
          <w:sz w:val="22"/>
          <w:szCs w:val="22"/>
          <w:rtl/>
        </w:rPr>
        <w:t>بتوليهم مناصبهم في 14 شباط/فبراير 2023.</w:t>
      </w:r>
    </w:p>
    <w:p w14:paraId="42869715" w14:textId="1CF38116" w:rsidR="00E40CC2" w:rsidRPr="005B5F4D" w:rsidRDefault="00561206" w:rsidP="00561206">
      <w:pPr>
        <w:pStyle w:val="SingleTxtGA"/>
        <w:jc w:val="center"/>
        <w:rPr>
          <w:u w:val="single"/>
          <w:rtl/>
        </w:rPr>
      </w:pPr>
      <w:r w:rsidRPr="005B5F4D">
        <w:rPr>
          <w:u w:val="single"/>
          <w:rtl/>
        </w:rPr>
        <w:tab/>
      </w:r>
      <w:r w:rsidRPr="005B5F4D">
        <w:rPr>
          <w:u w:val="single"/>
          <w:rtl/>
        </w:rPr>
        <w:tab/>
      </w:r>
      <w:r w:rsidRPr="005B5F4D">
        <w:rPr>
          <w:u w:val="single"/>
          <w:rtl/>
        </w:rPr>
        <w:tab/>
      </w:r>
    </w:p>
    <w:sectPr w:rsidR="00E40CC2" w:rsidRPr="005B5F4D" w:rsidSect="00993936">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8F1BB3" w14:textId="77777777" w:rsidR="00FC58AD" w:rsidRPr="002901D9" w:rsidRDefault="00FC58AD" w:rsidP="009815E4">
      <w:pPr>
        <w:spacing w:after="60" w:line="240" w:lineRule="auto"/>
        <w:ind w:left="57"/>
        <w:rPr>
          <w:i/>
          <w:iCs/>
        </w:rPr>
      </w:pPr>
      <w:r>
        <w:rPr>
          <w:rFonts w:hint="cs"/>
          <w:i/>
          <w:iCs/>
          <w:rtl/>
        </w:rPr>
        <w:t>الحواشي</w:t>
      </w:r>
    </w:p>
  </w:endnote>
  <w:endnote w:type="continuationSeparator" w:id="0">
    <w:p w14:paraId="0A9AF516" w14:textId="77777777" w:rsidR="00FC58AD" w:rsidRDefault="00FC58AD"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FA00AA" w14:textId="2FBAA741" w:rsidR="003B7F51" w:rsidRPr="003B7F51" w:rsidRDefault="003B7F51" w:rsidP="003B7F51">
    <w:pPr>
      <w:pStyle w:val="Footer"/>
      <w:tabs>
        <w:tab w:val="right" w:pos="9638"/>
      </w:tabs>
      <w:rPr>
        <w:b/>
        <w:sz w:val="18"/>
        <w:lang w:val="en-US"/>
      </w:rPr>
    </w:pPr>
    <w:r>
      <w:rPr>
        <w:lang w:val="en-US"/>
      </w:rPr>
      <w:t>GE.24-14507</w:t>
    </w:r>
    <w:r>
      <w:rPr>
        <w:lang w:val="en-US"/>
      </w:rPr>
      <w:tab/>
    </w:r>
    <w:r w:rsidRPr="003B7F51">
      <w:rPr>
        <w:b/>
        <w:sz w:val="18"/>
        <w:lang w:val="en-US"/>
      </w:rPr>
      <w:fldChar w:fldCharType="begin"/>
    </w:r>
    <w:r w:rsidRPr="003B7F51">
      <w:rPr>
        <w:b/>
        <w:sz w:val="18"/>
        <w:lang w:val="en-US"/>
      </w:rPr>
      <w:instrText xml:space="preserve"> PAGE  \* MERGEFORMAT </w:instrText>
    </w:r>
    <w:r w:rsidRPr="003B7F51">
      <w:rPr>
        <w:b/>
        <w:sz w:val="18"/>
        <w:lang w:val="en-US"/>
      </w:rPr>
      <w:fldChar w:fldCharType="separate"/>
    </w:r>
    <w:r w:rsidRPr="003B7F51">
      <w:rPr>
        <w:b/>
        <w:noProof/>
        <w:sz w:val="18"/>
        <w:lang w:val="en-US"/>
      </w:rPr>
      <w:t>2</w:t>
    </w:r>
    <w:r w:rsidRPr="003B7F51">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DDF291" w14:textId="530ADD42" w:rsidR="006959B0" w:rsidRPr="003B7F51" w:rsidRDefault="003B7F51" w:rsidP="003B7F51">
    <w:pPr>
      <w:pStyle w:val="Footer"/>
      <w:tabs>
        <w:tab w:val="right" w:pos="9638"/>
      </w:tabs>
      <w:jc w:val="left"/>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GE.24-14507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DA0581" w14:textId="510B1B52" w:rsidR="007E37A9" w:rsidRPr="003B7F51" w:rsidRDefault="003B7F51" w:rsidP="003B7F51">
    <w:pPr>
      <w:pStyle w:val="Footer"/>
      <w:spacing w:before="600"/>
      <w:ind w:left="567"/>
      <w:jc w:val="right"/>
      <w:rPr>
        <w:sz w:val="20"/>
        <w:lang w:val="en-US"/>
      </w:rPr>
    </w:pPr>
    <w:r>
      <w:rPr>
        <w:sz w:val="20"/>
        <w:lang w:val="en-US"/>
      </w:rPr>
      <w:t>GE.</w:t>
    </w:r>
    <w:r w:rsidR="007E37A9">
      <w:rPr>
        <w:noProof/>
      </w:rPr>
      <w:drawing>
        <wp:anchor distT="0" distB="0" distL="114300" distR="114300" simplePos="0" relativeHeight="251658240" behindDoc="1" locked="1" layoutInCell="0" allowOverlap="1" wp14:anchorId="29EBA501" wp14:editId="5D006E73">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 xml:space="preserve">24-14507 </w:t>
    </w:r>
    <w:r w:rsidR="008037E8">
      <w:rPr>
        <w:sz w:val="20"/>
        <w:lang w:val="en-US"/>
      </w:rPr>
      <w:t>(A)    060924    170924</w:t>
    </w:r>
    <w:r>
      <w:rPr>
        <w:noProof/>
        <w:sz w:val="20"/>
        <w:lang w:val="en-US"/>
      </w:rPr>
      <w:drawing>
        <wp:anchor distT="0" distB="0" distL="114300" distR="114300" simplePos="0" relativeHeight="251659264" behindDoc="0" locked="0" layoutInCell="1" allowOverlap="1" wp14:anchorId="75C7F002" wp14:editId="30E718EE">
          <wp:simplePos x="0" y="0"/>
          <wp:positionH relativeFrom="margin">
            <wp:posOffset>0</wp:posOffset>
          </wp:positionH>
          <wp:positionV relativeFrom="margin">
            <wp:posOffset>8891905</wp:posOffset>
          </wp:positionV>
          <wp:extent cx="628650" cy="628650"/>
          <wp:effectExtent l="0" t="0" r="0" b="0"/>
          <wp:wrapNone/>
          <wp:docPr id="1"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4AB99B" w14:textId="77777777" w:rsidR="00FC58AD" w:rsidRPr="00CA22EA" w:rsidRDefault="00FC58AD" w:rsidP="00CA22EA">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6C6FD8A8" w14:textId="77777777" w:rsidR="00FC58AD" w:rsidRDefault="00FC58AD" w:rsidP="00656392">
      <w:pPr>
        <w:spacing w:line="240" w:lineRule="auto"/>
      </w:pPr>
      <w:r>
        <w:continuationSeparator/>
      </w:r>
    </w:p>
  </w:footnote>
  <w:footnote w:id="1">
    <w:p w14:paraId="14716883" w14:textId="018B3445" w:rsidR="00561206" w:rsidRPr="00EC66EF" w:rsidRDefault="00561206" w:rsidP="00561206">
      <w:pPr>
        <w:pStyle w:val="FootnoteText1"/>
        <w:rPr>
          <w:rtl/>
        </w:rPr>
      </w:pPr>
      <w:r w:rsidRPr="00EC66EF">
        <w:rPr>
          <w:rtl/>
        </w:rPr>
        <w:t>*</w:t>
      </w:r>
      <w:r w:rsidRPr="00EC66EF">
        <w:rPr>
          <w:rtl/>
        </w:rPr>
        <w:tab/>
        <w:t>تصدر هذه الوثيقة من دون تحرير رسمي.</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AF5486" w14:textId="36C99B64" w:rsidR="003B7F51" w:rsidRPr="003B7F51" w:rsidRDefault="003B7F51" w:rsidP="003B7F51">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A9651C">
      <w:t>HRI/CORE/TGO/2024</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ECC861" w14:textId="153DC4D9" w:rsidR="003B7F51" w:rsidRPr="003B7F51" w:rsidRDefault="003B7F51" w:rsidP="003B7F51">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A9651C">
      <w:t>HRI/CORE/TGO/2024</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4A111F" w14:textId="77777777" w:rsidR="008037E8" w:rsidRDefault="008037E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867769D"/>
    <w:multiLevelType w:val="hybridMultilevel"/>
    <w:tmpl w:val="2CB0BB48"/>
    <w:lvl w:ilvl="0" w:tplc="4DDA23D6">
      <w:numFmt w:val="bullet"/>
      <w:lvlText w:val="•"/>
      <w:lvlJc w:val="left"/>
      <w:pPr>
        <w:ind w:left="1937" w:hanging="690"/>
      </w:pPr>
      <w:rPr>
        <w:rFonts w:ascii="Times New Roman" w:eastAsiaTheme="minorEastAsia" w:hAnsi="Times New Roman" w:cs="Times New Roman" w:hint="default"/>
      </w:rPr>
    </w:lvl>
    <w:lvl w:ilvl="1" w:tplc="04090003" w:tentative="1">
      <w:start w:val="1"/>
      <w:numFmt w:val="bullet"/>
      <w:lvlText w:val="o"/>
      <w:lvlJc w:val="left"/>
      <w:pPr>
        <w:ind w:left="2327" w:hanging="360"/>
      </w:pPr>
      <w:rPr>
        <w:rFonts w:ascii="Courier New" w:hAnsi="Courier New" w:cs="Courier New" w:hint="default"/>
      </w:rPr>
    </w:lvl>
    <w:lvl w:ilvl="2" w:tplc="04090005" w:tentative="1">
      <w:start w:val="1"/>
      <w:numFmt w:val="bullet"/>
      <w:lvlText w:val=""/>
      <w:lvlJc w:val="left"/>
      <w:pPr>
        <w:ind w:left="3047" w:hanging="360"/>
      </w:pPr>
      <w:rPr>
        <w:rFonts w:ascii="Wingdings" w:hAnsi="Wingdings" w:hint="default"/>
      </w:rPr>
    </w:lvl>
    <w:lvl w:ilvl="3" w:tplc="04090001" w:tentative="1">
      <w:start w:val="1"/>
      <w:numFmt w:val="bullet"/>
      <w:lvlText w:val=""/>
      <w:lvlJc w:val="left"/>
      <w:pPr>
        <w:ind w:left="3767" w:hanging="360"/>
      </w:pPr>
      <w:rPr>
        <w:rFonts w:ascii="Symbol" w:hAnsi="Symbol" w:hint="default"/>
      </w:rPr>
    </w:lvl>
    <w:lvl w:ilvl="4" w:tplc="04090003" w:tentative="1">
      <w:start w:val="1"/>
      <w:numFmt w:val="bullet"/>
      <w:lvlText w:val="o"/>
      <w:lvlJc w:val="left"/>
      <w:pPr>
        <w:ind w:left="4487" w:hanging="360"/>
      </w:pPr>
      <w:rPr>
        <w:rFonts w:ascii="Courier New" w:hAnsi="Courier New" w:cs="Courier New" w:hint="default"/>
      </w:rPr>
    </w:lvl>
    <w:lvl w:ilvl="5" w:tplc="04090005" w:tentative="1">
      <w:start w:val="1"/>
      <w:numFmt w:val="bullet"/>
      <w:lvlText w:val=""/>
      <w:lvlJc w:val="left"/>
      <w:pPr>
        <w:ind w:left="5207" w:hanging="360"/>
      </w:pPr>
      <w:rPr>
        <w:rFonts w:ascii="Wingdings" w:hAnsi="Wingdings" w:hint="default"/>
      </w:rPr>
    </w:lvl>
    <w:lvl w:ilvl="6" w:tplc="04090001" w:tentative="1">
      <w:start w:val="1"/>
      <w:numFmt w:val="bullet"/>
      <w:lvlText w:val=""/>
      <w:lvlJc w:val="left"/>
      <w:pPr>
        <w:ind w:left="5927" w:hanging="360"/>
      </w:pPr>
      <w:rPr>
        <w:rFonts w:ascii="Symbol" w:hAnsi="Symbol" w:hint="default"/>
      </w:rPr>
    </w:lvl>
    <w:lvl w:ilvl="7" w:tplc="04090003" w:tentative="1">
      <w:start w:val="1"/>
      <w:numFmt w:val="bullet"/>
      <w:lvlText w:val="o"/>
      <w:lvlJc w:val="left"/>
      <w:pPr>
        <w:ind w:left="6647" w:hanging="360"/>
      </w:pPr>
      <w:rPr>
        <w:rFonts w:ascii="Courier New" w:hAnsi="Courier New" w:cs="Courier New" w:hint="default"/>
      </w:rPr>
    </w:lvl>
    <w:lvl w:ilvl="8" w:tplc="04090005" w:tentative="1">
      <w:start w:val="1"/>
      <w:numFmt w:val="bullet"/>
      <w:lvlText w:val=""/>
      <w:lvlJc w:val="left"/>
      <w:pPr>
        <w:ind w:left="7367" w:hanging="360"/>
      </w:pPr>
      <w:rPr>
        <w:rFonts w:ascii="Wingdings" w:hAnsi="Wingdings" w:hint="default"/>
      </w:rPr>
    </w:lvl>
  </w:abstractNum>
  <w:abstractNum w:abstractNumId="3"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 w15:restartNumberingAfterBreak="0">
    <w:nsid w:val="0FEA4513"/>
    <w:multiLevelType w:val="hybridMultilevel"/>
    <w:tmpl w:val="6CE4E99E"/>
    <w:lvl w:ilvl="0" w:tplc="04090001">
      <w:start w:val="1"/>
      <w:numFmt w:val="bullet"/>
      <w:lvlText w:val=""/>
      <w:lvlJc w:val="left"/>
      <w:pPr>
        <w:ind w:left="1967" w:hanging="360"/>
      </w:pPr>
      <w:rPr>
        <w:rFonts w:ascii="Symbol" w:hAnsi="Symbol" w:hint="default"/>
      </w:rPr>
    </w:lvl>
    <w:lvl w:ilvl="1" w:tplc="04090003">
      <w:start w:val="1"/>
      <w:numFmt w:val="bullet"/>
      <w:lvlText w:val="o"/>
      <w:lvlJc w:val="left"/>
      <w:pPr>
        <w:ind w:left="2687" w:hanging="360"/>
      </w:pPr>
      <w:rPr>
        <w:rFonts w:ascii="Courier New" w:hAnsi="Courier New" w:cs="Courier New" w:hint="default"/>
      </w:rPr>
    </w:lvl>
    <w:lvl w:ilvl="2" w:tplc="04090005" w:tentative="1">
      <w:start w:val="1"/>
      <w:numFmt w:val="bullet"/>
      <w:lvlText w:val=""/>
      <w:lvlJc w:val="left"/>
      <w:pPr>
        <w:ind w:left="3407" w:hanging="360"/>
      </w:pPr>
      <w:rPr>
        <w:rFonts w:ascii="Wingdings" w:hAnsi="Wingdings" w:hint="default"/>
      </w:rPr>
    </w:lvl>
    <w:lvl w:ilvl="3" w:tplc="04090001" w:tentative="1">
      <w:start w:val="1"/>
      <w:numFmt w:val="bullet"/>
      <w:lvlText w:val=""/>
      <w:lvlJc w:val="left"/>
      <w:pPr>
        <w:ind w:left="4127" w:hanging="360"/>
      </w:pPr>
      <w:rPr>
        <w:rFonts w:ascii="Symbol" w:hAnsi="Symbol" w:hint="default"/>
      </w:rPr>
    </w:lvl>
    <w:lvl w:ilvl="4" w:tplc="04090003" w:tentative="1">
      <w:start w:val="1"/>
      <w:numFmt w:val="bullet"/>
      <w:lvlText w:val="o"/>
      <w:lvlJc w:val="left"/>
      <w:pPr>
        <w:ind w:left="4847" w:hanging="360"/>
      </w:pPr>
      <w:rPr>
        <w:rFonts w:ascii="Courier New" w:hAnsi="Courier New" w:cs="Courier New" w:hint="default"/>
      </w:rPr>
    </w:lvl>
    <w:lvl w:ilvl="5" w:tplc="04090005" w:tentative="1">
      <w:start w:val="1"/>
      <w:numFmt w:val="bullet"/>
      <w:lvlText w:val=""/>
      <w:lvlJc w:val="left"/>
      <w:pPr>
        <w:ind w:left="5567" w:hanging="360"/>
      </w:pPr>
      <w:rPr>
        <w:rFonts w:ascii="Wingdings" w:hAnsi="Wingdings" w:hint="default"/>
      </w:rPr>
    </w:lvl>
    <w:lvl w:ilvl="6" w:tplc="04090001" w:tentative="1">
      <w:start w:val="1"/>
      <w:numFmt w:val="bullet"/>
      <w:lvlText w:val=""/>
      <w:lvlJc w:val="left"/>
      <w:pPr>
        <w:ind w:left="6287" w:hanging="360"/>
      </w:pPr>
      <w:rPr>
        <w:rFonts w:ascii="Symbol" w:hAnsi="Symbol" w:hint="default"/>
      </w:rPr>
    </w:lvl>
    <w:lvl w:ilvl="7" w:tplc="04090003" w:tentative="1">
      <w:start w:val="1"/>
      <w:numFmt w:val="bullet"/>
      <w:lvlText w:val="o"/>
      <w:lvlJc w:val="left"/>
      <w:pPr>
        <w:ind w:left="7007" w:hanging="360"/>
      </w:pPr>
      <w:rPr>
        <w:rFonts w:ascii="Courier New" w:hAnsi="Courier New" w:cs="Courier New" w:hint="default"/>
      </w:rPr>
    </w:lvl>
    <w:lvl w:ilvl="8" w:tplc="04090005" w:tentative="1">
      <w:start w:val="1"/>
      <w:numFmt w:val="bullet"/>
      <w:lvlText w:val=""/>
      <w:lvlJc w:val="left"/>
      <w:pPr>
        <w:ind w:left="7727" w:hanging="360"/>
      </w:pPr>
      <w:rPr>
        <w:rFonts w:ascii="Wingdings" w:hAnsi="Wingdings" w:hint="default"/>
      </w:rPr>
    </w:lvl>
  </w:abstractNum>
  <w:abstractNum w:abstractNumId="7"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8" w15:restartNumberingAfterBreak="0">
    <w:nsid w:val="1F6806BF"/>
    <w:multiLevelType w:val="hybridMultilevel"/>
    <w:tmpl w:val="87042FF0"/>
    <w:lvl w:ilvl="0" w:tplc="79E0E756">
      <w:numFmt w:val="bullet"/>
      <w:lvlText w:val="•"/>
      <w:lvlJc w:val="left"/>
      <w:pPr>
        <w:ind w:left="2603" w:hanging="675"/>
      </w:pPr>
      <w:rPr>
        <w:rFonts w:ascii="Times New Roman" w:eastAsiaTheme="minorEastAsia" w:hAnsi="Times New Roman" w:cs="Times New Roman" w:hint="default"/>
      </w:rPr>
    </w:lvl>
    <w:lvl w:ilvl="1" w:tplc="04090003" w:tentative="1">
      <w:start w:val="1"/>
      <w:numFmt w:val="bullet"/>
      <w:lvlText w:val="o"/>
      <w:lvlJc w:val="left"/>
      <w:pPr>
        <w:ind w:left="3008" w:hanging="360"/>
      </w:pPr>
      <w:rPr>
        <w:rFonts w:ascii="Courier New" w:hAnsi="Courier New" w:cs="Courier New" w:hint="default"/>
      </w:rPr>
    </w:lvl>
    <w:lvl w:ilvl="2" w:tplc="04090005" w:tentative="1">
      <w:start w:val="1"/>
      <w:numFmt w:val="bullet"/>
      <w:lvlText w:val=""/>
      <w:lvlJc w:val="left"/>
      <w:pPr>
        <w:ind w:left="3728" w:hanging="360"/>
      </w:pPr>
      <w:rPr>
        <w:rFonts w:ascii="Wingdings" w:hAnsi="Wingdings" w:hint="default"/>
      </w:rPr>
    </w:lvl>
    <w:lvl w:ilvl="3" w:tplc="04090001" w:tentative="1">
      <w:start w:val="1"/>
      <w:numFmt w:val="bullet"/>
      <w:lvlText w:val=""/>
      <w:lvlJc w:val="left"/>
      <w:pPr>
        <w:ind w:left="4448" w:hanging="360"/>
      </w:pPr>
      <w:rPr>
        <w:rFonts w:ascii="Symbol" w:hAnsi="Symbol" w:hint="default"/>
      </w:rPr>
    </w:lvl>
    <w:lvl w:ilvl="4" w:tplc="04090003" w:tentative="1">
      <w:start w:val="1"/>
      <w:numFmt w:val="bullet"/>
      <w:lvlText w:val="o"/>
      <w:lvlJc w:val="left"/>
      <w:pPr>
        <w:ind w:left="5168" w:hanging="360"/>
      </w:pPr>
      <w:rPr>
        <w:rFonts w:ascii="Courier New" w:hAnsi="Courier New" w:cs="Courier New" w:hint="default"/>
      </w:rPr>
    </w:lvl>
    <w:lvl w:ilvl="5" w:tplc="04090005" w:tentative="1">
      <w:start w:val="1"/>
      <w:numFmt w:val="bullet"/>
      <w:lvlText w:val=""/>
      <w:lvlJc w:val="left"/>
      <w:pPr>
        <w:ind w:left="5888" w:hanging="360"/>
      </w:pPr>
      <w:rPr>
        <w:rFonts w:ascii="Wingdings" w:hAnsi="Wingdings" w:hint="default"/>
      </w:rPr>
    </w:lvl>
    <w:lvl w:ilvl="6" w:tplc="04090001" w:tentative="1">
      <w:start w:val="1"/>
      <w:numFmt w:val="bullet"/>
      <w:lvlText w:val=""/>
      <w:lvlJc w:val="left"/>
      <w:pPr>
        <w:ind w:left="6608" w:hanging="360"/>
      </w:pPr>
      <w:rPr>
        <w:rFonts w:ascii="Symbol" w:hAnsi="Symbol" w:hint="default"/>
      </w:rPr>
    </w:lvl>
    <w:lvl w:ilvl="7" w:tplc="04090003" w:tentative="1">
      <w:start w:val="1"/>
      <w:numFmt w:val="bullet"/>
      <w:lvlText w:val="o"/>
      <w:lvlJc w:val="left"/>
      <w:pPr>
        <w:ind w:left="7328" w:hanging="360"/>
      </w:pPr>
      <w:rPr>
        <w:rFonts w:ascii="Courier New" w:hAnsi="Courier New" w:cs="Courier New" w:hint="default"/>
      </w:rPr>
    </w:lvl>
    <w:lvl w:ilvl="8" w:tplc="04090005" w:tentative="1">
      <w:start w:val="1"/>
      <w:numFmt w:val="bullet"/>
      <w:lvlText w:val=""/>
      <w:lvlJc w:val="left"/>
      <w:pPr>
        <w:ind w:left="8048" w:hanging="360"/>
      </w:pPr>
      <w:rPr>
        <w:rFonts w:ascii="Wingdings" w:hAnsi="Wingdings" w:hint="default"/>
      </w:rPr>
    </w:lvl>
  </w:abstractNum>
  <w:abstractNum w:abstractNumId="9" w15:restartNumberingAfterBreak="0">
    <w:nsid w:val="24744061"/>
    <w:multiLevelType w:val="hybridMultilevel"/>
    <w:tmpl w:val="EDBAACFE"/>
    <w:lvl w:ilvl="0" w:tplc="35F6A4D4">
      <w:numFmt w:val="bullet"/>
      <w:lvlText w:val="•"/>
      <w:lvlJc w:val="left"/>
      <w:pPr>
        <w:ind w:left="1937" w:hanging="690"/>
      </w:pPr>
      <w:rPr>
        <w:rFonts w:ascii="Times New Roman" w:eastAsiaTheme="minorEastAsia" w:hAnsi="Times New Roman" w:cs="Times New Roman" w:hint="default"/>
      </w:rPr>
    </w:lvl>
    <w:lvl w:ilvl="1" w:tplc="04090003" w:tentative="1">
      <w:start w:val="1"/>
      <w:numFmt w:val="bullet"/>
      <w:lvlText w:val="o"/>
      <w:lvlJc w:val="left"/>
      <w:pPr>
        <w:ind w:left="2327" w:hanging="360"/>
      </w:pPr>
      <w:rPr>
        <w:rFonts w:ascii="Courier New" w:hAnsi="Courier New" w:cs="Courier New" w:hint="default"/>
      </w:rPr>
    </w:lvl>
    <w:lvl w:ilvl="2" w:tplc="04090005" w:tentative="1">
      <w:start w:val="1"/>
      <w:numFmt w:val="bullet"/>
      <w:lvlText w:val=""/>
      <w:lvlJc w:val="left"/>
      <w:pPr>
        <w:ind w:left="3047" w:hanging="360"/>
      </w:pPr>
      <w:rPr>
        <w:rFonts w:ascii="Wingdings" w:hAnsi="Wingdings" w:hint="default"/>
      </w:rPr>
    </w:lvl>
    <w:lvl w:ilvl="3" w:tplc="04090001" w:tentative="1">
      <w:start w:val="1"/>
      <w:numFmt w:val="bullet"/>
      <w:lvlText w:val=""/>
      <w:lvlJc w:val="left"/>
      <w:pPr>
        <w:ind w:left="3767" w:hanging="360"/>
      </w:pPr>
      <w:rPr>
        <w:rFonts w:ascii="Symbol" w:hAnsi="Symbol" w:hint="default"/>
      </w:rPr>
    </w:lvl>
    <w:lvl w:ilvl="4" w:tplc="04090003" w:tentative="1">
      <w:start w:val="1"/>
      <w:numFmt w:val="bullet"/>
      <w:lvlText w:val="o"/>
      <w:lvlJc w:val="left"/>
      <w:pPr>
        <w:ind w:left="4487" w:hanging="360"/>
      </w:pPr>
      <w:rPr>
        <w:rFonts w:ascii="Courier New" w:hAnsi="Courier New" w:cs="Courier New" w:hint="default"/>
      </w:rPr>
    </w:lvl>
    <w:lvl w:ilvl="5" w:tplc="04090005" w:tentative="1">
      <w:start w:val="1"/>
      <w:numFmt w:val="bullet"/>
      <w:lvlText w:val=""/>
      <w:lvlJc w:val="left"/>
      <w:pPr>
        <w:ind w:left="5207" w:hanging="360"/>
      </w:pPr>
      <w:rPr>
        <w:rFonts w:ascii="Wingdings" w:hAnsi="Wingdings" w:hint="default"/>
      </w:rPr>
    </w:lvl>
    <w:lvl w:ilvl="6" w:tplc="04090001" w:tentative="1">
      <w:start w:val="1"/>
      <w:numFmt w:val="bullet"/>
      <w:lvlText w:val=""/>
      <w:lvlJc w:val="left"/>
      <w:pPr>
        <w:ind w:left="5927" w:hanging="360"/>
      </w:pPr>
      <w:rPr>
        <w:rFonts w:ascii="Symbol" w:hAnsi="Symbol" w:hint="default"/>
      </w:rPr>
    </w:lvl>
    <w:lvl w:ilvl="7" w:tplc="04090003" w:tentative="1">
      <w:start w:val="1"/>
      <w:numFmt w:val="bullet"/>
      <w:lvlText w:val="o"/>
      <w:lvlJc w:val="left"/>
      <w:pPr>
        <w:ind w:left="6647" w:hanging="360"/>
      </w:pPr>
      <w:rPr>
        <w:rFonts w:ascii="Courier New" w:hAnsi="Courier New" w:cs="Courier New" w:hint="default"/>
      </w:rPr>
    </w:lvl>
    <w:lvl w:ilvl="8" w:tplc="04090005" w:tentative="1">
      <w:start w:val="1"/>
      <w:numFmt w:val="bullet"/>
      <w:lvlText w:val=""/>
      <w:lvlJc w:val="left"/>
      <w:pPr>
        <w:ind w:left="7367" w:hanging="360"/>
      </w:pPr>
      <w:rPr>
        <w:rFonts w:ascii="Wingdings" w:hAnsi="Wingdings" w:hint="default"/>
      </w:rPr>
    </w:lvl>
  </w:abstractNum>
  <w:abstractNum w:abstractNumId="10"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1" w15:restartNumberingAfterBreak="0">
    <w:nsid w:val="261D4E12"/>
    <w:multiLevelType w:val="hybridMultilevel"/>
    <w:tmpl w:val="8F4E0FDA"/>
    <w:lvl w:ilvl="0" w:tplc="04090001">
      <w:start w:val="1"/>
      <w:numFmt w:val="bullet"/>
      <w:lvlText w:val=""/>
      <w:lvlJc w:val="left"/>
      <w:pPr>
        <w:ind w:left="1967" w:hanging="360"/>
      </w:pPr>
      <w:rPr>
        <w:rFonts w:ascii="Symbol" w:hAnsi="Symbol" w:hint="default"/>
      </w:rPr>
    </w:lvl>
    <w:lvl w:ilvl="1" w:tplc="04090003" w:tentative="1">
      <w:start w:val="1"/>
      <w:numFmt w:val="bullet"/>
      <w:lvlText w:val="o"/>
      <w:lvlJc w:val="left"/>
      <w:pPr>
        <w:ind w:left="2687" w:hanging="360"/>
      </w:pPr>
      <w:rPr>
        <w:rFonts w:ascii="Courier New" w:hAnsi="Courier New" w:cs="Courier New" w:hint="default"/>
      </w:rPr>
    </w:lvl>
    <w:lvl w:ilvl="2" w:tplc="04090005" w:tentative="1">
      <w:start w:val="1"/>
      <w:numFmt w:val="bullet"/>
      <w:lvlText w:val=""/>
      <w:lvlJc w:val="left"/>
      <w:pPr>
        <w:ind w:left="3407" w:hanging="360"/>
      </w:pPr>
      <w:rPr>
        <w:rFonts w:ascii="Wingdings" w:hAnsi="Wingdings" w:hint="default"/>
      </w:rPr>
    </w:lvl>
    <w:lvl w:ilvl="3" w:tplc="04090001" w:tentative="1">
      <w:start w:val="1"/>
      <w:numFmt w:val="bullet"/>
      <w:lvlText w:val=""/>
      <w:lvlJc w:val="left"/>
      <w:pPr>
        <w:ind w:left="4127" w:hanging="360"/>
      </w:pPr>
      <w:rPr>
        <w:rFonts w:ascii="Symbol" w:hAnsi="Symbol" w:hint="default"/>
      </w:rPr>
    </w:lvl>
    <w:lvl w:ilvl="4" w:tplc="04090003" w:tentative="1">
      <w:start w:val="1"/>
      <w:numFmt w:val="bullet"/>
      <w:lvlText w:val="o"/>
      <w:lvlJc w:val="left"/>
      <w:pPr>
        <w:ind w:left="4847" w:hanging="360"/>
      </w:pPr>
      <w:rPr>
        <w:rFonts w:ascii="Courier New" w:hAnsi="Courier New" w:cs="Courier New" w:hint="default"/>
      </w:rPr>
    </w:lvl>
    <w:lvl w:ilvl="5" w:tplc="04090005" w:tentative="1">
      <w:start w:val="1"/>
      <w:numFmt w:val="bullet"/>
      <w:lvlText w:val=""/>
      <w:lvlJc w:val="left"/>
      <w:pPr>
        <w:ind w:left="5567" w:hanging="360"/>
      </w:pPr>
      <w:rPr>
        <w:rFonts w:ascii="Wingdings" w:hAnsi="Wingdings" w:hint="default"/>
      </w:rPr>
    </w:lvl>
    <w:lvl w:ilvl="6" w:tplc="04090001" w:tentative="1">
      <w:start w:val="1"/>
      <w:numFmt w:val="bullet"/>
      <w:lvlText w:val=""/>
      <w:lvlJc w:val="left"/>
      <w:pPr>
        <w:ind w:left="6287" w:hanging="360"/>
      </w:pPr>
      <w:rPr>
        <w:rFonts w:ascii="Symbol" w:hAnsi="Symbol" w:hint="default"/>
      </w:rPr>
    </w:lvl>
    <w:lvl w:ilvl="7" w:tplc="04090003" w:tentative="1">
      <w:start w:val="1"/>
      <w:numFmt w:val="bullet"/>
      <w:lvlText w:val="o"/>
      <w:lvlJc w:val="left"/>
      <w:pPr>
        <w:ind w:left="7007" w:hanging="360"/>
      </w:pPr>
      <w:rPr>
        <w:rFonts w:ascii="Courier New" w:hAnsi="Courier New" w:cs="Courier New" w:hint="default"/>
      </w:rPr>
    </w:lvl>
    <w:lvl w:ilvl="8" w:tplc="04090005" w:tentative="1">
      <w:start w:val="1"/>
      <w:numFmt w:val="bullet"/>
      <w:lvlText w:val=""/>
      <w:lvlJc w:val="left"/>
      <w:pPr>
        <w:ind w:left="7727" w:hanging="360"/>
      </w:pPr>
      <w:rPr>
        <w:rFonts w:ascii="Wingdings" w:hAnsi="Wingdings" w:hint="default"/>
      </w:rPr>
    </w:lvl>
  </w:abstractNum>
  <w:abstractNum w:abstractNumId="12" w15:restartNumberingAfterBreak="0">
    <w:nsid w:val="28CC490B"/>
    <w:multiLevelType w:val="hybridMultilevel"/>
    <w:tmpl w:val="1714C6E4"/>
    <w:lvl w:ilvl="0" w:tplc="5002DAD0">
      <w:numFmt w:val="bullet"/>
      <w:lvlText w:val="•"/>
      <w:lvlJc w:val="left"/>
      <w:pPr>
        <w:ind w:left="1937" w:hanging="690"/>
      </w:pPr>
      <w:rPr>
        <w:rFonts w:ascii="Times New Roman" w:eastAsiaTheme="minorEastAsia" w:hAnsi="Times New Roman" w:cs="Times New Roman" w:hint="default"/>
      </w:rPr>
    </w:lvl>
    <w:lvl w:ilvl="1" w:tplc="04090003" w:tentative="1">
      <w:start w:val="1"/>
      <w:numFmt w:val="bullet"/>
      <w:lvlText w:val="o"/>
      <w:lvlJc w:val="left"/>
      <w:pPr>
        <w:ind w:left="2327" w:hanging="360"/>
      </w:pPr>
      <w:rPr>
        <w:rFonts w:ascii="Courier New" w:hAnsi="Courier New" w:cs="Courier New" w:hint="default"/>
      </w:rPr>
    </w:lvl>
    <w:lvl w:ilvl="2" w:tplc="04090005" w:tentative="1">
      <w:start w:val="1"/>
      <w:numFmt w:val="bullet"/>
      <w:lvlText w:val=""/>
      <w:lvlJc w:val="left"/>
      <w:pPr>
        <w:ind w:left="3047" w:hanging="360"/>
      </w:pPr>
      <w:rPr>
        <w:rFonts w:ascii="Wingdings" w:hAnsi="Wingdings" w:hint="default"/>
      </w:rPr>
    </w:lvl>
    <w:lvl w:ilvl="3" w:tplc="04090001" w:tentative="1">
      <w:start w:val="1"/>
      <w:numFmt w:val="bullet"/>
      <w:lvlText w:val=""/>
      <w:lvlJc w:val="left"/>
      <w:pPr>
        <w:ind w:left="3767" w:hanging="360"/>
      </w:pPr>
      <w:rPr>
        <w:rFonts w:ascii="Symbol" w:hAnsi="Symbol" w:hint="default"/>
      </w:rPr>
    </w:lvl>
    <w:lvl w:ilvl="4" w:tplc="04090003" w:tentative="1">
      <w:start w:val="1"/>
      <w:numFmt w:val="bullet"/>
      <w:lvlText w:val="o"/>
      <w:lvlJc w:val="left"/>
      <w:pPr>
        <w:ind w:left="4487" w:hanging="360"/>
      </w:pPr>
      <w:rPr>
        <w:rFonts w:ascii="Courier New" w:hAnsi="Courier New" w:cs="Courier New" w:hint="default"/>
      </w:rPr>
    </w:lvl>
    <w:lvl w:ilvl="5" w:tplc="04090005" w:tentative="1">
      <w:start w:val="1"/>
      <w:numFmt w:val="bullet"/>
      <w:lvlText w:val=""/>
      <w:lvlJc w:val="left"/>
      <w:pPr>
        <w:ind w:left="5207" w:hanging="360"/>
      </w:pPr>
      <w:rPr>
        <w:rFonts w:ascii="Wingdings" w:hAnsi="Wingdings" w:hint="default"/>
      </w:rPr>
    </w:lvl>
    <w:lvl w:ilvl="6" w:tplc="04090001" w:tentative="1">
      <w:start w:val="1"/>
      <w:numFmt w:val="bullet"/>
      <w:lvlText w:val=""/>
      <w:lvlJc w:val="left"/>
      <w:pPr>
        <w:ind w:left="5927" w:hanging="360"/>
      </w:pPr>
      <w:rPr>
        <w:rFonts w:ascii="Symbol" w:hAnsi="Symbol" w:hint="default"/>
      </w:rPr>
    </w:lvl>
    <w:lvl w:ilvl="7" w:tplc="04090003" w:tentative="1">
      <w:start w:val="1"/>
      <w:numFmt w:val="bullet"/>
      <w:lvlText w:val="o"/>
      <w:lvlJc w:val="left"/>
      <w:pPr>
        <w:ind w:left="6647" w:hanging="360"/>
      </w:pPr>
      <w:rPr>
        <w:rFonts w:ascii="Courier New" w:hAnsi="Courier New" w:cs="Courier New" w:hint="default"/>
      </w:rPr>
    </w:lvl>
    <w:lvl w:ilvl="8" w:tplc="04090005" w:tentative="1">
      <w:start w:val="1"/>
      <w:numFmt w:val="bullet"/>
      <w:lvlText w:val=""/>
      <w:lvlJc w:val="left"/>
      <w:pPr>
        <w:ind w:left="7367" w:hanging="360"/>
      </w:pPr>
      <w:rPr>
        <w:rFonts w:ascii="Wingdings" w:hAnsi="Wingdings" w:hint="default"/>
      </w:rPr>
    </w:lvl>
  </w:abstractNum>
  <w:abstractNum w:abstractNumId="13"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5"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3683770C"/>
    <w:multiLevelType w:val="hybridMultilevel"/>
    <w:tmpl w:val="EBB2D0C2"/>
    <w:lvl w:ilvl="0" w:tplc="04090001">
      <w:start w:val="1"/>
      <w:numFmt w:val="bullet"/>
      <w:lvlText w:val=""/>
      <w:lvlJc w:val="left"/>
      <w:pPr>
        <w:ind w:left="1967" w:hanging="360"/>
      </w:pPr>
      <w:rPr>
        <w:rFonts w:ascii="Symbol" w:hAnsi="Symbol" w:hint="default"/>
      </w:rPr>
    </w:lvl>
    <w:lvl w:ilvl="1" w:tplc="5CD6D04C">
      <w:numFmt w:val="bullet"/>
      <w:lvlText w:val="•"/>
      <w:lvlJc w:val="left"/>
      <w:pPr>
        <w:ind w:left="3017" w:hanging="690"/>
      </w:pPr>
      <w:rPr>
        <w:rFonts w:ascii="Times New Roman" w:eastAsiaTheme="minorEastAsia" w:hAnsi="Times New Roman" w:cs="Times New Roman" w:hint="default"/>
      </w:rPr>
    </w:lvl>
    <w:lvl w:ilvl="2" w:tplc="04090005" w:tentative="1">
      <w:start w:val="1"/>
      <w:numFmt w:val="bullet"/>
      <w:lvlText w:val=""/>
      <w:lvlJc w:val="left"/>
      <w:pPr>
        <w:ind w:left="3407" w:hanging="360"/>
      </w:pPr>
      <w:rPr>
        <w:rFonts w:ascii="Wingdings" w:hAnsi="Wingdings" w:hint="default"/>
      </w:rPr>
    </w:lvl>
    <w:lvl w:ilvl="3" w:tplc="04090001" w:tentative="1">
      <w:start w:val="1"/>
      <w:numFmt w:val="bullet"/>
      <w:lvlText w:val=""/>
      <w:lvlJc w:val="left"/>
      <w:pPr>
        <w:ind w:left="4127" w:hanging="360"/>
      </w:pPr>
      <w:rPr>
        <w:rFonts w:ascii="Symbol" w:hAnsi="Symbol" w:hint="default"/>
      </w:rPr>
    </w:lvl>
    <w:lvl w:ilvl="4" w:tplc="04090003" w:tentative="1">
      <w:start w:val="1"/>
      <w:numFmt w:val="bullet"/>
      <w:lvlText w:val="o"/>
      <w:lvlJc w:val="left"/>
      <w:pPr>
        <w:ind w:left="4847" w:hanging="360"/>
      </w:pPr>
      <w:rPr>
        <w:rFonts w:ascii="Courier New" w:hAnsi="Courier New" w:cs="Courier New" w:hint="default"/>
      </w:rPr>
    </w:lvl>
    <w:lvl w:ilvl="5" w:tplc="04090005" w:tentative="1">
      <w:start w:val="1"/>
      <w:numFmt w:val="bullet"/>
      <w:lvlText w:val=""/>
      <w:lvlJc w:val="left"/>
      <w:pPr>
        <w:ind w:left="5567" w:hanging="360"/>
      </w:pPr>
      <w:rPr>
        <w:rFonts w:ascii="Wingdings" w:hAnsi="Wingdings" w:hint="default"/>
      </w:rPr>
    </w:lvl>
    <w:lvl w:ilvl="6" w:tplc="04090001" w:tentative="1">
      <w:start w:val="1"/>
      <w:numFmt w:val="bullet"/>
      <w:lvlText w:val=""/>
      <w:lvlJc w:val="left"/>
      <w:pPr>
        <w:ind w:left="6287" w:hanging="360"/>
      </w:pPr>
      <w:rPr>
        <w:rFonts w:ascii="Symbol" w:hAnsi="Symbol" w:hint="default"/>
      </w:rPr>
    </w:lvl>
    <w:lvl w:ilvl="7" w:tplc="04090003" w:tentative="1">
      <w:start w:val="1"/>
      <w:numFmt w:val="bullet"/>
      <w:lvlText w:val="o"/>
      <w:lvlJc w:val="left"/>
      <w:pPr>
        <w:ind w:left="7007" w:hanging="360"/>
      </w:pPr>
      <w:rPr>
        <w:rFonts w:ascii="Courier New" w:hAnsi="Courier New" w:cs="Courier New" w:hint="default"/>
      </w:rPr>
    </w:lvl>
    <w:lvl w:ilvl="8" w:tplc="04090005" w:tentative="1">
      <w:start w:val="1"/>
      <w:numFmt w:val="bullet"/>
      <w:lvlText w:val=""/>
      <w:lvlJc w:val="left"/>
      <w:pPr>
        <w:ind w:left="7727" w:hanging="360"/>
      </w:pPr>
      <w:rPr>
        <w:rFonts w:ascii="Wingdings" w:hAnsi="Wingdings" w:hint="default"/>
      </w:rPr>
    </w:lvl>
  </w:abstractNum>
  <w:abstractNum w:abstractNumId="17"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8"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9"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20"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0144ACE"/>
    <w:multiLevelType w:val="hybridMultilevel"/>
    <w:tmpl w:val="6714D1BC"/>
    <w:lvl w:ilvl="0" w:tplc="FFFFFFFF">
      <w:start w:val="1"/>
      <w:numFmt w:val="bullet"/>
      <w:lvlText w:val=""/>
      <w:lvlJc w:val="left"/>
      <w:pPr>
        <w:ind w:left="1967" w:hanging="360"/>
      </w:pPr>
      <w:rPr>
        <w:rFonts w:ascii="Symbol" w:hAnsi="Symbol" w:hint="default"/>
      </w:rPr>
    </w:lvl>
    <w:lvl w:ilvl="1" w:tplc="04090001">
      <w:start w:val="1"/>
      <w:numFmt w:val="bullet"/>
      <w:lvlText w:val=""/>
      <w:lvlJc w:val="left"/>
      <w:pPr>
        <w:ind w:left="1967" w:hanging="360"/>
      </w:pPr>
      <w:rPr>
        <w:rFonts w:ascii="Symbol" w:hAnsi="Symbol" w:hint="default"/>
      </w:rPr>
    </w:lvl>
    <w:lvl w:ilvl="2" w:tplc="FFFFFFFF" w:tentative="1">
      <w:start w:val="1"/>
      <w:numFmt w:val="bullet"/>
      <w:lvlText w:val=""/>
      <w:lvlJc w:val="left"/>
      <w:pPr>
        <w:ind w:left="3407" w:hanging="360"/>
      </w:pPr>
      <w:rPr>
        <w:rFonts w:ascii="Wingdings" w:hAnsi="Wingdings" w:hint="default"/>
      </w:rPr>
    </w:lvl>
    <w:lvl w:ilvl="3" w:tplc="FFFFFFFF" w:tentative="1">
      <w:start w:val="1"/>
      <w:numFmt w:val="bullet"/>
      <w:lvlText w:val=""/>
      <w:lvlJc w:val="left"/>
      <w:pPr>
        <w:ind w:left="4127" w:hanging="360"/>
      </w:pPr>
      <w:rPr>
        <w:rFonts w:ascii="Symbol" w:hAnsi="Symbol" w:hint="default"/>
      </w:rPr>
    </w:lvl>
    <w:lvl w:ilvl="4" w:tplc="FFFFFFFF" w:tentative="1">
      <w:start w:val="1"/>
      <w:numFmt w:val="bullet"/>
      <w:lvlText w:val="o"/>
      <w:lvlJc w:val="left"/>
      <w:pPr>
        <w:ind w:left="4847" w:hanging="360"/>
      </w:pPr>
      <w:rPr>
        <w:rFonts w:ascii="Courier New" w:hAnsi="Courier New" w:cs="Courier New" w:hint="default"/>
      </w:rPr>
    </w:lvl>
    <w:lvl w:ilvl="5" w:tplc="FFFFFFFF" w:tentative="1">
      <w:start w:val="1"/>
      <w:numFmt w:val="bullet"/>
      <w:lvlText w:val=""/>
      <w:lvlJc w:val="left"/>
      <w:pPr>
        <w:ind w:left="5567" w:hanging="360"/>
      </w:pPr>
      <w:rPr>
        <w:rFonts w:ascii="Wingdings" w:hAnsi="Wingdings" w:hint="default"/>
      </w:rPr>
    </w:lvl>
    <w:lvl w:ilvl="6" w:tplc="FFFFFFFF" w:tentative="1">
      <w:start w:val="1"/>
      <w:numFmt w:val="bullet"/>
      <w:lvlText w:val=""/>
      <w:lvlJc w:val="left"/>
      <w:pPr>
        <w:ind w:left="6287" w:hanging="360"/>
      </w:pPr>
      <w:rPr>
        <w:rFonts w:ascii="Symbol" w:hAnsi="Symbol" w:hint="default"/>
      </w:rPr>
    </w:lvl>
    <w:lvl w:ilvl="7" w:tplc="FFFFFFFF" w:tentative="1">
      <w:start w:val="1"/>
      <w:numFmt w:val="bullet"/>
      <w:lvlText w:val="o"/>
      <w:lvlJc w:val="left"/>
      <w:pPr>
        <w:ind w:left="7007" w:hanging="360"/>
      </w:pPr>
      <w:rPr>
        <w:rFonts w:ascii="Courier New" w:hAnsi="Courier New" w:cs="Courier New" w:hint="default"/>
      </w:rPr>
    </w:lvl>
    <w:lvl w:ilvl="8" w:tplc="FFFFFFFF" w:tentative="1">
      <w:start w:val="1"/>
      <w:numFmt w:val="bullet"/>
      <w:lvlText w:val=""/>
      <w:lvlJc w:val="left"/>
      <w:pPr>
        <w:ind w:left="7727" w:hanging="360"/>
      </w:pPr>
      <w:rPr>
        <w:rFonts w:ascii="Wingdings" w:hAnsi="Wingdings" w:hint="default"/>
      </w:rPr>
    </w:lvl>
  </w:abstractNum>
  <w:abstractNum w:abstractNumId="22" w15:restartNumberingAfterBreak="0">
    <w:nsid w:val="5057691E"/>
    <w:multiLevelType w:val="hybridMultilevel"/>
    <w:tmpl w:val="4DB6AB86"/>
    <w:lvl w:ilvl="0" w:tplc="2D5200DC">
      <w:numFmt w:val="bullet"/>
      <w:lvlText w:val="•"/>
      <w:lvlJc w:val="left"/>
      <w:pPr>
        <w:ind w:left="1937" w:hanging="690"/>
      </w:pPr>
      <w:rPr>
        <w:rFonts w:ascii="Times New Roman" w:eastAsiaTheme="minorEastAsia" w:hAnsi="Times New Roman" w:cs="Times New Roman" w:hint="default"/>
      </w:rPr>
    </w:lvl>
    <w:lvl w:ilvl="1" w:tplc="04090003" w:tentative="1">
      <w:start w:val="1"/>
      <w:numFmt w:val="bullet"/>
      <w:lvlText w:val="o"/>
      <w:lvlJc w:val="left"/>
      <w:pPr>
        <w:ind w:left="2327" w:hanging="360"/>
      </w:pPr>
      <w:rPr>
        <w:rFonts w:ascii="Courier New" w:hAnsi="Courier New" w:cs="Courier New" w:hint="default"/>
      </w:rPr>
    </w:lvl>
    <w:lvl w:ilvl="2" w:tplc="04090005" w:tentative="1">
      <w:start w:val="1"/>
      <w:numFmt w:val="bullet"/>
      <w:lvlText w:val=""/>
      <w:lvlJc w:val="left"/>
      <w:pPr>
        <w:ind w:left="3047" w:hanging="360"/>
      </w:pPr>
      <w:rPr>
        <w:rFonts w:ascii="Wingdings" w:hAnsi="Wingdings" w:hint="default"/>
      </w:rPr>
    </w:lvl>
    <w:lvl w:ilvl="3" w:tplc="04090001" w:tentative="1">
      <w:start w:val="1"/>
      <w:numFmt w:val="bullet"/>
      <w:lvlText w:val=""/>
      <w:lvlJc w:val="left"/>
      <w:pPr>
        <w:ind w:left="3767" w:hanging="360"/>
      </w:pPr>
      <w:rPr>
        <w:rFonts w:ascii="Symbol" w:hAnsi="Symbol" w:hint="default"/>
      </w:rPr>
    </w:lvl>
    <w:lvl w:ilvl="4" w:tplc="04090003" w:tentative="1">
      <w:start w:val="1"/>
      <w:numFmt w:val="bullet"/>
      <w:lvlText w:val="o"/>
      <w:lvlJc w:val="left"/>
      <w:pPr>
        <w:ind w:left="4487" w:hanging="360"/>
      </w:pPr>
      <w:rPr>
        <w:rFonts w:ascii="Courier New" w:hAnsi="Courier New" w:cs="Courier New" w:hint="default"/>
      </w:rPr>
    </w:lvl>
    <w:lvl w:ilvl="5" w:tplc="04090005" w:tentative="1">
      <w:start w:val="1"/>
      <w:numFmt w:val="bullet"/>
      <w:lvlText w:val=""/>
      <w:lvlJc w:val="left"/>
      <w:pPr>
        <w:ind w:left="5207" w:hanging="360"/>
      </w:pPr>
      <w:rPr>
        <w:rFonts w:ascii="Wingdings" w:hAnsi="Wingdings" w:hint="default"/>
      </w:rPr>
    </w:lvl>
    <w:lvl w:ilvl="6" w:tplc="04090001" w:tentative="1">
      <w:start w:val="1"/>
      <w:numFmt w:val="bullet"/>
      <w:lvlText w:val=""/>
      <w:lvlJc w:val="left"/>
      <w:pPr>
        <w:ind w:left="5927" w:hanging="360"/>
      </w:pPr>
      <w:rPr>
        <w:rFonts w:ascii="Symbol" w:hAnsi="Symbol" w:hint="default"/>
      </w:rPr>
    </w:lvl>
    <w:lvl w:ilvl="7" w:tplc="04090003" w:tentative="1">
      <w:start w:val="1"/>
      <w:numFmt w:val="bullet"/>
      <w:lvlText w:val="o"/>
      <w:lvlJc w:val="left"/>
      <w:pPr>
        <w:ind w:left="6647" w:hanging="360"/>
      </w:pPr>
      <w:rPr>
        <w:rFonts w:ascii="Courier New" w:hAnsi="Courier New" w:cs="Courier New" w:hint="default"/>
      </w:rPr>
    </w:lvl>
    <w:lvl w:ilvl="8" w:tplc="04090005" w:tentative="1">
      <w:start w:val="1"/>
      <w:numFmt w:val="bullet"/>
      <w:lvlText w:val=""/>
      <w:lvlJc w:val="left"/>
      <w:pPr>
        <w:ind w:left="7367" w:hanging="360"/>
      </w:pPr>
      <w:rPr>
        <w:rFonts w:ascii="Wingdings" w:hAnsi="Wingdings" w:hint="default"/>
      </w:rPr>
    </w:lvl>
  </w:abstractNum>
  <w:abstractNum w:abstractNumId="23" w15:restartNumberingAfterBreak="0">
    <w:nsid w:val="55990E72"/>
    <w:multiLevelType w:val="hybridMultilevel"/>
    <w:tmpl w:val="E20209B2"/>
    <w:lvl w:ilvl="0" w:tplc="04090001">
      <w:start w:val="1"/>
      <w:numFmt w:val="bullet"/>
      <w:lvlText w:val=""/>
      <w:lvlJc w:val="left"/>
      <w:pPr>
        <w:ind w:left="1967" w:hanging="360"/>
      </w:pPr>
      <w:rPr>
        <w:rFonts w:ascii="Symbol" w:hAnsi="Symbol" w:hint="default"/>
      </w:rPr>
    </w:lvl>
    <w:lvl w:ilvl="1" w:tplc="04090003" w:tentative="1">
      <w:start w:val="1"/>
      <w:numFmt w:val="bullet"/>
      <w:lvlText w:val="o"/>
      <w:lvlJc w:val="left"/>
      <w:pPr>
        <w:ind w:left="2687" w:hanging="360"/>
      </w:pPr>
      <w:rPr>
        <w:rFonts w:ascii="Courier New" w:hAnsi="Courier New" w:cs="Courier New" w:hint="default"/>
      </w:rPr>
    </w:lvl>
    <w:lvl w:ilvl="2" w:tplc="04090005" w:tentative="1">
      <w:start w:val="1"/>
      <w:numFmt w:val="bullet"/>
      <w:lvlText w:val=""/>
      <w:lvlJc w:val="left"/>
      <w:pPr>
        <w:ind w:left="3407" w:hanging="360"/>
      </w:pPr>
      <w:rPr>
        <w:rFonts w:ascii="Wingdings" w:hAnsi="Wingdings" w:hint="default"/>
      </w:rPr>
    </w:lvl>
    <w:lvl w:ilvl="3" w:tplc="04090001" w:tentative="1">
      <w:start w:val="1"/>
      <w:numFmt w:val="bullet"/>
      <w:lvlText w:val=""/>
      <w:lvlJc w:val="left"/>
      <w:pPr>
        <w:ind w:left="4127" w:hanging="360"/>
      </w:pPr>
      <w:rPr>
        <w:rFonts w:ascii="Symbol" w:hAnsi="Symbol" w:hint="default"/>
      </w:rPr>
    </w:lvl>
    <w:lvl w:ilvl="4" w:tplc="04090003" w:tentative="1">
      <w:start w:val="1"/>
      <w:numFmt w:val="bullet"/>
      <w:lvlText w:val="o"/>
      <w:lvlJc w:val="left"/>
      <w:pPr>
        <w:ind w:left="4847" w:hanging="360"/>
      </w:pPr>
      <w:rPr>
        <w:rFonts w:ascii="Courier New" w:hAnsi="Courier New" w:cs="Courier New" w:hint="default"/>
      </w:rPr>
    </w:lvl>
    <w:lvl w:ilvl="5" w:tplc="04090005" w:tentative="1">
      <w:start w:val="1"/>
      <w:numFmt w:val="bullet"/>
      <w:lvlText w:val=""/>
      <w:lvlJc w:val="left"/>
      <w:pPr>
        <w:ind w:left="5567" w:hanging="360"/>
      </w:pPr>
      <w:rPr>
        <w:rFonts w:ascii="Wingdings" w:hAnsi="Wingdings" w:hint="default"/>
      </w:rPr>
    </w:lvl>
    <w:lvl w:ilvl="6" w:tplc="04090001" w:tentative="1">
      <w:start w:val="1"/>
      <w:numFmt w:val="bullet"/>
      <w:lvlText w:val=""/>
      <w:lvlJc w:val="left"/>
      <w:pPr>
        <w:ind w:left="6287" w:hanging="360"/>
      </w:pPr>
      <w:rPr>
        <w:rFonts w:ascii="Symbol" w:hAnsi="Symbol" w:hint="default"/>
      </w:rPr>
    </w:lvl>
    <w:lvl w:ilvl="7" w:tplc="04090003" w:tentative="1">
      <w:start w:val="1"/>
      <w:numFmt w:val="bullet"/>
      <w:lvlText w:val="o"/>
      <w:lvlJc w:val="left"/>
      <w:pPr>
        <w:ind w:left="7007" w:hanging="360"/>
      </w:pPr>
      <w:rPr>
        <w:rFonts w:ascii="Courier New" w:hAnsi="Courier New" w:cs="Courier New" w:hint="default"/>
      </w:rPr>
    </w:lvl>
    <w:lvl w:ilvl="8" w:tplc="04090005" w:tentative="1">
      <w:start w:val="1"/>
      <w:numFmt w:val="bullet"/>
      <w:lvlText w:val=""/>
      <w:lvlJc w:val="left"/>
      <w:pPr>
        <w:ind w:left="7727" w:hanging="360"/>
      </w:pPr>
      <w:rPr>
        <w:rFonts w:ascii="Wingdings" w:hAnsi="Wingdings" w:hint="default"/>
      </w:rPr>
    </w:lvl>
  </w:abstractNum>
  <w:abstractNum w:abstractNumId="24"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5"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6" w15:restartNumberingAfterBreak="0">
    <w:nsid w:val="6C996BC9"/>
    <w:multiLevelType w:val="hybridMultilevel"/>
    <w:tmpl w:val="B08C9D1E"/>
    <w:lvl w:ilvl="0" w:tplc="04090001">
      <w:start w:val="1"/>
      <w:numFmt w:val="bullet"/>
      <w:lvlText w:val=""/>
      <w:lvlJc w:val="left"/>
      <w:pPr>
        <w:ind w:left="1967" w:hanging="360"/>
      </w:pPr>
      <w:rPr>
        <w:rFonts w:ascii="Symbol" w:hAnsi="Symbol" w:hint="default"/>
      </w:rPr>
    </w:lvl>
    <w:lvl w:ilvl="1" w:tplc="04090003" w:tentative="1">
      <w:start w:val="1"/>
      <w:numFmt w:val="bullet"/>
      <w:lvlText w:val="o"/>
      <w:lvlJc w:val="left"/>
      <w:pPr>
        <w:ind w:left="2687" w:hanging="360"/>
      </w:pPr>
      <w:rPr>
        <w:rFonts w:ascii="Courier New" w:hAnsi="Courier New" w:cs="Courier New" w:hint="default"/>
      </w:rPr>
    </w:lvl>
    <w:lvl w:ilvl="2" w:tplc="04090005" w:tentative="1">
      <w:start w:val="1"/>
      <w:numFmt w:val="bullet"/>
      <w:lvlText w:val=""/>
      <w:lvlJc w:val="left"/>
      <w:pPr>
        <w:ind w:left="3407" w:hanging="360"/>
      </w:pPr>
      <w:rPr>
        <w:rFonts w:ascii="Wingdings" w:hAnsi="Wingdings" w:hint="default"/>
      </w:rPr>
    </w:lvl>
    <w:lvl w:ilvl="3" w:tplc="04090001" w:tentative="1">
      <w:start w:val="1"/>
      <w:numFmt w:val="bullet"/>
      <w:lvlText w:val=""/>
      <w:lvlJc w:val="left"/>
      <w:pPr>
        <w:ind w:left="4127" w:hanging="360"/>
      </w:pPr>
      <w:rPr>
        <w:rFonts w:ascii="Symbol" w:hAnsi="Symbol" w:hint="default"/>
      </w:rPr>
    </w:lvl>
    <w:lvl w:ilvl="4" w:tplc="04090003" w:tentative="1">
      <w:start w:val="1"/>
      <w:numFmt w:val="bullet"/>
      <w:lvlText w:val="o"/>
      <w:lvlJc w:val="left"/>
      <w:pPr>
        <w:ind w:left="4847" w:hanging="360"/>
      </w:pPr>
      <w:rPr>
        <w:rFonts w:ascii="Courier New" w:hAnsi="Courier New" w:cs="Courier New" w:hint="default"/>
      </w:rPr>
    </w:lvl>
    <w:lvl w:ilvl="5" w:tplc="04090005" w:tentative="1">
      <w:start w:val="1"/>
      <w:numFmt w:val="bullet"/>
      <w:lvlText w:val=""/>
      <w:lvlJc w:val="left"/>
      <w:pPr>
        <w:ind w:left="5567" w:hanging="360"/>
      </w:pPr>
      <w:rPr>
        <w:rFonts w:ascii="Wingdings" w:hAnsi="Wingdings" w:hint="default"/>
      </w:rPr>
    </w:lvl>
    <w:lvl w:ilvl="6" w:tplc="04090001" w:tentative="1">
      <w:start w:val="1"/>
      <w:numFmt w:val="bullet"/>
      <w:lvlText w:val=""/>
      <w:lvlJc w:val="left"/>
      <w:pPr>
        <w:ind w:left="6287" w:hanging="360"/>
      </w:pPr>
      <w:rPr>
        <w:rFonts w:ascii="Symbol" w:hAnsi="Symbol" w:hint="default"/>
      </w:rPr>
    </w:lvl>
    <w:lvl w:ilvl="7" w:tplc="04090003" w:tentative="1">
      <w:start w:val="1"/>
      <w:numFmt w:val="bullet"/>
      <w:lvlText w:val="o"/>
      <w:lvlJc w:val="left"/>
      <w:pPr>
        <w:ind w:left="7007" w:hanging="360"/>
      </w:pPr>
      <w:rPr>
        <w:rFonts w:ascii="Courier New" w:hAnsi="Courier New" w:cs="Courier New" w:hint="default"/>
      </w:rPr>
    </w:lvl>
    <w:lvl w:ilvl="8" w:tplc="04090005" w:tentative="1">
      <w:start w:val="1"/>
      <w:numFmt w:val="bullet"/>
      <w:lvlText w:val=""/>
      <w:lvlJc w:val="left"/>
      <w:pPr>
        <w:ind w:left="7727" w:hanging="360"/>
      </w:pPr>
      <w:rPr>
        <w:rFonts w:ascii="Wingdings" w:hAnsi="Wingdings" w:hint="default"/>
      </w:rPr>
    </w:lvl>
  </w:abstractNum>
  <w:abstractNum w:abstractNumId="27"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8"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833188F"/>
    <w:multiLevelType w:val="hybridMultilevel"/>
    <w:tmpl w:val="A664DF54"/>
    <w:lvl w:ilvl="0" w:tplc="04090001">
      <w:start w:val="1"/>
      <w:numFmt w:val="bullet"/>
      <w:lvlText w:val=""/>
      <w:lvlJc w:val="left"/>
      <w:pPr>
        <w:ind w:left="2648" w:hanging="360"/>
      </w:pPr>
      <w:rPr>
        <w:rFonts w:ascii="Symbol" w:hAnsi="Symbol" w:hint="default"/>
      </w:rPr>
    </w:lvl>
    <w:lvl w:ilvl="1" w:tplc="04090003" w:tentative="1">
      <w:start w:val="1"/>
      <w:numFmt w:val="bullet"/>
      <w:lvlText w:val="o"/>
      <w:lvlJc w:val="left"/>
      <w:pPr>
        <w:ind w:left="3368" w:hanging="360"/>
      </w:pPr>
      <w:rPr>
        <w:rFonts w:ascii="Courier New" w:hAnsi="Courier New" w:cs="Courier New" w:hint="default"/>
      </w:rPr>
    </w:lvl>
    <w:lvl w:ilvl="2" w:tplc="04090005" w:tentative="1">
      <w:start w:val="1"/>
      <w:numFmt w:val="bullet"/>
      <w:lvlText w:val=""/>
      <w:lvlJc w:val="left"/>
      <w:pPr>
        <w:ind w:left="4088" w:hanging="360"/>
      </w:pPr>
      <w:rPr>
        <w:rFonts w:ascii="Wingdings" w:hAnsi="Wingdings" w:hint="default"/>
      </w:rPr>
    </w:lvl>
    <w:lvl w:ilvl="3" w:tplc="04090001" w:tentative="1">
      <w:start w:val="1"/>
      <w:numFmt w:val="bullet"/>
      <w:lvlText w:val=""/>
      <w:lvlJc w:val="left"/>
      <w:pPr>
        <w:ind w:left="4808" w:hanging="360"/>
      </w:pPr>
      <w:rPr>
        <w:rFonts w:ascii="Symbol" w:hAnsi="Symbol" w:hint="default"/>
      </w:rPr>
    </w:lvl>
    <w:lvl w:ilvl="4" w:tplc="04090003" w:tentative="1">
      <w:start w:val="1"/>
      <w:numFmt w:val="bullet"/>
      <w:lvlText w:val="o"/>
      <w:lvlJc w:val="left"/>
      <w:pPr>
        <w:ind w:left="5528" w:hanging="360"/>
      </w:pPr>
      <w:rPr>
        <w:rFonts w:ascii="Courier New" w:hAnsi="Courier New" w:cs="Courier New" w:hint="default"/>
      </w:rPr>
    </w:lvl>
    <w:lvl w:ilvl="5" w:tplc="04090005" w:tentative="1">
      <w:start w:val="1"/>
      <w:numFmt w:val="bullet"/>
      <w:lvlText w:val=""/>
      <w:lvlJc w:val="left"/>
      <w:pPr>
        <w:ind w:left="6248" w:hanging="360"/>
      </w:pPr>
      <w:rPr>
        <w:rFonts w:ascii="Wingdings" w:hAnsi="Wingdings" w:hint="default"/>
      </w:rPr>
    </w:lvl>
    <w:lvl w:ilvl="6" w:tplc="04090001" w:tentative="1">
      <w:start w:val="1"/>
      <w:numFmt w:val="bullet"/>
      <w:lvlText w:val=""/>
      <w:lvlJc w:val="left"/>
      <w:pPr>
        <w:ind w:left="6968" w:hanging="360"/>
      </w:pPr>
      <w:rPr>
        <w:rFonts w:ascii="Symbol" w:hAnsi="Symbol" w:hint="default"/>
      </w:rPr>
    </w:lvl>
    <w:lvl w:ilvl="7" w:tplc="04090003" w:tentative="1">
      <w:start w:val="1"/>
      <w:numFmt w:val="bullet"/>
      <w:lvlText w:val="o"/>
      <w:lvlJc w:val="left"/>
      <w:pPr>
        <w:ind w:left="7688" w:hanging="360"/>
      </w:pPr>
      <w:rPr>
        <w:rFonts w:ascii="Courier New" w:hAnsi="Courier New" w:cs="Courier New" w:hint="default"/>
      </w:rPr>
    </w:lvl>
    <w:lvl w:ilvl="8" w:tplc="04090005" w:tentative="1">
      <w:start w:val="1"/>
      <w:numFmt w:val="bullet"/>
      <w:lvlText w:val=""/>
      <w:lvlJc w:val="left"/>
      <w:pPr>
        <w:ind w:left="8408" w:hanging="360"/>
      </w:pPr>
      <w:rPr>
        <w:rFonts w:ascii="Wingdings" w:hAnsi="Wingdings" w:hint="default"/>
      </w:rPr>
    </w:lvl>
  </w:abstractNum>
  <w:abstractNum w:abstractNumId="30"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635259506">
    <w:abstractNumId w:val="27"/>
  </w:num>
  <w:num w:numId="2" w16cid:durableId="1411003165">
    <w:abstractNumId w:val="20"/>
  </w:num>
  <w:num w:numId="3" w16cid:durableId="946233257">
    <w:abstractNumId w:val="3"/>
  </w:num>
  <w:num w:numId="4" w16cid:durableId="2034570981">
    <w:abstractNumId w:val="19"/>
  </w:num>
  <w:num w:numId="5" w16cid:durableId="2117165403">
    <w:abstractNumId w:val="15"/>
  </w:num>
  <w:num w:numId="6" w16cid:durableId="758210830">
    <w:abstractNumId w:val="10"/>
  </w:num>
  <w:num w:numId="7" w16cid:durableId="1472165449">
    <w:abstractNumId w:val="30"/>
  </w:num>
  <w:num w:numId="8" w16cid:durableId="607086014">
    <w:abstractNumId w:val="3"/>
  </w:num>
  <w:num w:numId="9" w16cid:durableId="1700819846">
    <w:abstractNumId w:val="19"/>
  </w:num>
  <w:num w:numId="10" w16cid:durableId="2027362045">
    <w:abstractNumId w:val="10"/>
  </w:num>
  <w:num w:numId="11" w16cid:durableId="1223520262">
    <w:abstractNumId w:val="30"/>
  </w:num>
  <w:num w:numId="12" w16cid:durableId="518353030">
    <w:abstractNumId w:val="7"/>
  </w:num>
  <w:num w:numId="13" w16cid:durableId="1253659219">
    <w:abstractNumId w:val="4"/>
  </w:num>
  <w:num w:numId="14" w16cid:durableId="145317971">
    <w:abstractNumId w:val="28"/>
  </w:num>
  <w:num w:numId="15" w16cid:durableId="1203398018">
    <w:abstractNumId w:val="24"/>
  </w:num>
  <w:num w:numId="16" w16cid:durableId="589700257">
    <w:abstractNumId w:val="1"/>
  </w:num>
  <w:num w:numId="17" w16cid:durableId="1367291893">
    <w:abstractNumId w:val="25"/>
  </w:num>
  <w:num w:numId="18" w16cid:durableId="526531787">
    <w:abstractNumId w:val="0"/>
  </w:num>
  <w:num w:numId="19" w16cid:durableId="958686439">
    <w:abstractNumId w:val="17"/>
  </w:num>
  <w:num w:numId="20" w16cid:durableId="499810165">
    <w:abstractNumId w:val="25"/>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157400318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513082495">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2037542153">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4" w16cid:durableId="2081171298">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25" w16cid:durableId="2120711495">
    <w:abstractNumId w:val="14"/>
  </w:num>
  <w:num w:numId="26" w16cid:durableId="299267050">
    <w:abstractNumId w:val="13"/>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108475164">
    <w:abstractNumId w:val="13"/>
  </w:num>
  <w:num w:numId="28" w16cid:durableId="567569599">
    <w:abstractNumId w:val="25"/>
    <w:lvlOverride w:ilvl="0">
      <w:lvl w:ilvl="0" w:tplc="A61AB22A">
        <w:start w:val="1"/>
        <w:numFmt w:val="bullet"/>
        <w:lvlText w:val="•"/>
        <w:lvlJc w:val="left"/>
        <w:pPr>
          <w:tabs>
            <w:tab w:val="num" w:pos="1701"/>
          </w:tabs>
          <w:ind w:left="1701" w:hanging="170"/>
        </w:pPr>
        <w:rPr>
          <w:rFonts w:ascii="Times New Roman" w:hAnsi="Times New Roman" w:cs="Times New Roman" w:hint="default"/>
        </w:rPr>
      </w:lvl>
    </w:lvlOverride>
  </w:num>
  <w:num w:numId="29" w16cid:durableId="518545827">
    <w:abstractNumId w:val="5"/>
  </w:num>
  <w:num w:numId="30" w16cid:durableId="610013290">
    <w:abstractNumId w:val="29"/>
  </w:num>
  <w:num w:numId="31" w16cid:durableId="1104115527">
    <w:abstractNumId w:val="8"/>
  </w:num>
  <w:num w:numId="32" w16cid:durableId="857701183">
    <w:abstractNumId w:val="26"/>
  </w:num>
  <w:num w:numId="33" w16cid:durableId="261455697">
    <w:abstractNumId w:val="22"/>
  </w:num>
  <w:num w:numId="34" w16cid:durableId="1986817280">
    <w:abstractNumId w:val="23"/>
  </w:num>
  <w:num w:numId="35" w16cid:durableId="742725637">
    <w:abstractNumId w:val="2"/>
  </w:num>
  <w:num w:numId="36" w16cid:durableId="84113116">
    <w:abstractNumId w:val="16"/>
  </w:num>
  <w:num w:numId="37" w16cid:durableId="414472565">
    <w:abstractNumId w:val="9"/>
  </w:num>
  <w:num w:numId="38" w16cid:durableId="821121446">
    <w:abstractNumId w:val="11"/>
  </w:num>
  <w:num w:numId="39" w16cid:durableId="1635983125">
    <w:abstractNumId w:val="12"/>
  </w:num>
  <w:num w:numId="40" w16cid:durableId="452291314">
    <w:abstractNumId w:val="6"/>
  </w:num>
  <w:num w:numId="41" w16cid:durableId="16845099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58AD"/>
    <w:rsid w:val="000076D5"/>
    <w:rsid w:val="00027CB2"/>
    <w:rsid w:val="00043663"/>
    <w:rsid w:val="000505CF"/>
    <w:rsid w:val="0006642E"/>
    <w:rsid w:val="0009460F"/>
    <w:rsid w:val="000B462C"/>
    <w:rsid w:val="000B514A"/>
    <w:rsid w:val="000D701C"/>
    <w:rsid w:val="000E2A71"/>
    <w:rsid w:val="00101F40"/>
    <w:rsid w:val="00160263"/>
    <w:rsid w:val="00181F96"/>
    <w:rsid w:val="001A1371"/>
    <w:rsid w:val="001B2F42"/>
    <w:rsid w:val="001B346A"/>
    <w:rsid w:val="001E1CAD"/>
    <w:rsid w:val="001E290D"/>
    <w:rsid w:val="001E4547"/>
    <w:rsid w:val="002144FA"/>
    <w:rsid w:val="0023469A"/>
    <w:rsid w:val="00243C8A"/>
    <w:rsid w:val="00254F43"/>
    <w:rsid w:val="00267A0E"/>
    <w:rsid w:val="002705E5"/>
    <w:rsid w:val="00277294"/>
    <w:rsid w:val="002901D9"/>
    <w:rsid w:val="002976C2"/>
    <w:rsid w:val="002E196D"/>
    <w:rsid w:val="00306F01"/>
    <w:rsid w:val="003260FF"/>
    <w:rsid w:val="00343D95"/>
    <w:rsid w:val="00354CC2"/>
    <w:rsid w:val="00364E66"/>
    <w:rsid w:val="00374341"/>
    <w:rsid w:val="00387892"/>
    <w:rsid w:val="003957A0"/>
    <w:rsid w:val="003A4ADA"/>
    <w:rsid w:val="003B7F51"/>
    <w:rsid w:val="003D1062"/>
    <w:rsid w:val="003F534D"/>
    <w:rsid w:val="00406EC2"/>
    <w:rsid w:val="00420D7B"/>
    <w:rsid w:val="00450B21"/>
    <w:rsid w:val="00453B63"/>
    <w:rsid w:val="00455780"/>
    <w:rsid w:val="004A3298"/>
    <w:rsid w:val="004B0A1C"/>
    <w:rsid w:val="004D298E"/>
    <w:rsid w:val="004F6383"/>
    <w:rsid w:val="0053722C"/>
    <w:rsid w:val="0054472E"/>
    <w:rsid w:val="00556AB9"/>
    <w:rsid w:val="00561206"/>
    <w:rsid w:val="005662A9"/>
    <w:rsid w:val="005827D4"/>
    <w:rsid w:val="0059622A"/>
    <w:rsid w:val="005B5F4D"/>
    <w:rsid w:val="005C5878"/>
    <w:rsid w:val="005C7CEA"/>
    <w:rsid w:val="005D3C0B"/>
    <w:rsid w:val="005E090D"/>
    <w:rsid w:val="005E5217"/>
    <w:rsid w:val="005E674E"/>
    <w:rsid w:val="005F0FA4"/>
    <w:rsid w:val="005F30EE"/>
    <w:rsid w:val="0060473A"/>
    <w:rsid w:val="00623495"/>
    <w:rsid w:val="00624B9B"/>
    <w:rsid w:val="0063775D"/>
    <w:rsid w:val="00656392"/>
    <w:rsid w:val="00662201"/>
    <w:rsid w:val="00676B5E"/>
    <w:rsid w:val="006835C2"/>
    <w:rsid w:val="0068781D"/>
    <w:rsid w:val="006959B0"/>
    <w:rsid w:val="006B3E27"/>
    <w:rsid w:val="006B6507"/>
    <w:rsid w:val="006C104C"/>
    <w:rsid w:val="006E68C4"/>
    <w:rsid w:val="00733704"/>
    <w:rsid w:val="0078071A"/>
    <w:rsid w:val="007A3956"/>
    <w:rsid w:val="007A63CA"/>
    <w:rsid w:val="007C1295"/>
    <w:rsid w:val="007E37A9"/>
    <w:rsid w:val="007E3AE0"/>
    <w:rsid w:val="00802A08"/>
    <w:rsid w:val="008037E8"/>
    <w:rsid w:val="00832E7B"/>
    <w:rsid w:val="00852A9A"/>
    <w:rsid w:val="008B7A82"/>
    <w:rsid w:val="008F49E1"/>
    <w:rsid w:val="0090370F"/>
    <w:rsid w:val="009269D2"/>
    <w:rsid w:val="00942135"/>
    <w:rsid w:val="009521B0"/>
    <w:rsid w:val="00957371"/>
    <w:rsid w:val="009815E4"/>
    <w:rsid w:val="00993936"/>
    <w:rsid w:val="00994130"/>
    <w:rsid w:val="009A7E9F"/>
    <w:rsid w:val="009E5018"/>
    <w:rsid w:val="00A12B37"/>
    <w:rsid w:val="00A130A4"/>
    <w:rsid w:val="00A1373C"/>
    <w:rsid w:val="00A14405"/>
    <w:rsid w:val="00A519EC"/>
    <w:rsid w:val="00A575B0"/>
    <w:rsid w:val="00A6363A"/>
    <w:rsid w:val="00A9651C"/>
    <w:rsid w:val="00AA29CE"/>
    <w:rsid w:val="00AB6758"/>
    <w:rsid w:val="00AF0202"/>
    <w:rsid w:val="00AF2F75"/>
    <w:rsid w:val="00AF6EC9"/>
    <w:rsid w:val="00B13763"/>
    <w:rsid w:val="00B451AD"/>
    <w:rsid w:val="00B452DB"/>
    <w:rsid w:val="00B477A4"/>
    <w:rsid w:val="00B54045"/>
    <w:rsid w:val="00B627BA"/>
    <w:rsid w:val="00B706DA"/>
    <w:rsid w:val="00BD00D1"/>
    <w:rsid w:val="00BE39AE"/>
    <w:rsid w:val="00C2304B"/>
    <w:rsid w:val="00C438D7"/>
    <w:rsid w:val="00C81B50"/>
    <w:rsid w:val="00CA22EA"/>
    <w:rsid w:val="00CB28F9"/>
    <w:rsid w:val="00CD1801"/>
    <w:rsid w:val="00D01CC9"/>
    <w:rsid w:val="00D10EF1"/>
    <w:rsid w:val="00D16080"/>
    <w:rsid w:val="00D42810"/>
    <w:rsid w:val="00D72D17"/>
    <w:rsid w:val="00D82754"/>
    <w:rsid w:val="00D914A7"/>
    <w:rsid w:val="00DB1D2F"/>
    <w:rsid w:val="00DC4300"/>
    <w:rsid w:val="00DD13C3"/>
    <w:rsid w:val="00DD596E"/>
    <w:rsid w:val="00DD621E"/>
    <w:rsid w:val="00DF0575"/>
    <w:rsid w:val="00DF334D"/>
    <w:rsid w:val="00E20734"/>
    <w:rsid w:val="00E40CC2"/>
    <w:rsid w:val="00E66903"/>
    <w:rsid w:val="00E70E04"/>
    <w:rsid w:val="00E76499"/>
    <w:rsid w:val="00E777FD"/>
    <w:rsid w:val="00E9006F"/>
    <w:rsid w:val="00EC05A7"/>
    <w:rsid w:val="00EC4B6B"/>
    <w:rsid w:val="00EC66EF"/>
    <w:rsid w:val="00EC6FD0"/>
    <w:rsid w:val="00EF1EE5"/>
    <w:rsid w:val="00F44A04"/>
    <w:rsid w:val="00F544C1"/>
    <w:rsid w:val="00F62C8F"/>
    <w:rsid w:val="00F763B4"/>
    <w:rsid w:val="00F900C3"/>
    <w:rsid w:val="00FA5145"/>
    <w:rsid w:val="00FB4BA3"/>
    <w:rsid w:val="00FB4E2D"/>
    <w:rsid w:val="00FC58AD"/>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5BEBCB4"/>
  <w15:docId w15:val="{49F326D2-A177-481F-8197-DD112C6E4D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534D"/>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3F534D"/>
    <w:pPr>
      <w:bidi w:val="0"/>
      <w:outlineLvl w:val="0"/>
    </w:pPr>
  </w:style>
  <w:style w:type="paragraph" w:styleId="Heading2">
    <w:name w:val="heading 2"/>
    <w:basedOn w:val="Normal"/>
    <w:next w:val="Normal"/>
    <w:link w:val="Heading2Char"/>
    <w:uiPriority w:val="9"/>
    <w:unhideWhenUsed/>
    <w:rsid w:val="003F534D"/>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3F534D"/>
    <w:pPr>
      <w:keepNext/>
      <w:keepLines/>
      <w:spacing w:before="200"/>
      <w:outlineLvl w:val="2"/>
    </w:pPr>
    <w:rPr>
      <w:b/>
      <w:bCs/>
      <w:color w:val="4F81BD"/>
    </w:rPr>
  </w:style>
  <w:style w:type="paragraph" w:styleId="Heading4">
    <w:name w:val="heading 4"/>
    <w:basedOn w:val="Normal"/>
    <w:next w:val="Normal"/>
    <w:link w:val="Heading4Char"/>
    <w:uiPriority w:val="9"/>
    <w:unhideWhenUsed/>
    <w:rsid w:val="003F534D"/>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3F534D"/>
    <w:pPr>
      <w:keepNext/>
      <w:keepLines/>
      <w:spacing w:before="200"/>
      <w:outlineLvl w:val="4"/>
    </w:pPr>
    <w:rPr>
      <w:color w:val="243F60"/>
    </w:rPr>
  </w:style>
  <w:style w:type="paragraph" w:styleId="Heading6">
    <w:name w:val="heading 6"/>
    <w:basedOn w:val="Normal"/>
    <w:next w:val="Normal"/>
    <w:link w:val="Heading6Char"/>
    <w:uiPriority w:val="9"/>
    <w:unhideWhenUsed/>
    <w:rsid w:val="003F534D"/>
    <w:pPr>
      <w:keepNext/>
      <w:keepLines/>
      <w:spacing w:before="200"/>
      <w:outlineLvl w:val="5"/>
    </w:pPr>
    <w:rPr>
      <w:i/>
      <w:iCs/>
      <w:color w:val="243F60"/>
    </w:rPr>
  </w:style>
  <w:style w:type="paragraph" w:styleId="Heading7">
    <w:name w:val="heading 7"/>
    <w:basedOn w:val="Normal"/>
    <w:next w:val="Normal"/>
    <w:link w:val="Heading7Char"/>
    <w:uiPriority w:val="9"/>
    <w:unhideWhenUsed/>
    <w:rsid w:val="003F534D"/>
    <w:pPr>
      <w:keepNext/>
      <w:keepLines/>
      <w:spacing w:before="200"/>
      <w:outlineLvl w:val="6"/>
    </w:pPr>
    <w:rPr>
      <w:i/>
      <w:iCs/>
      <w:color w:val="404040"/>
    </w:rPr>
  </w:style>
  <w:style w:type="paragraph" w:styleId="Heading8">
    <w:name w:val="heading 8"/>
    <w:basedOn w:val="Normal"/>
    <w:next w:val="Normal"/>
    <w:link w:val="Heading8Char"/>
    <w:uiPriority w:val="9"/>
    <w:unhideWhenUsed/>
    <w:rsid w:val="003F534D"/>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3F534D"/>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3F534D"/>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3F534D"/>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3F534D"/>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3F534D"/>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3F534D"/>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3F534D"/>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406EC2"/>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3F534D"/>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3F534D"/>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3F534D"/>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3F534D"/>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3F534D"/>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3F534D"/>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3F534D"/>
    <w:pPr>
      <w:numPr>
        <w:numId w:val="5"/>
      </w:numPr>
      <w:bidi w:val="0"/>
    </w:pPr>
    <w:rPr>
      <w:lang w:val="en-US"/>
    </w:rPr>
  </w:style>
  <w:style w:type="paragraph" w:customStyle="1" w:styleId="Roman1GA">
    <w:name w:val="_Roman 1_GA"/>
    <w:basedOn w:val="Bullet1GA"/>
    <w:qFormat/>
    <w:rsid w:val="003F534D"/>
    <w:pPr>
      <w:numPr>
        <w:numId w:val="6"/>
      </w:numPr>
      <w:tabs>
        <w:tab w:val="clear" w:pos="2310"/>
        <w:tab w:val="left" w:pos="2486"/>
      </w:tabs>
      <w:ind w:left="2486" w:hanging="378"/>
    </w:pPr>
  </w:style>
  <w:style w:type="paragraph" w:customStyle="1" w:styleId="Roman2GA">
    <w:name w:val="_Roman 2_GA"/>
    <w:basedOn w:val="Bullet2GA"/>
    <w:qFormat/>
    <w:rsid w:val="003F534D"/>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3F534D"/>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3F534D"/>
    <w:rPr>
      <w:rFonts w:ascii="Times New Roman" w:eastAsia="PMingLiU" w:hAnsi="Times New Roman" w:cs="Simplified Arabic"/>
      <w:sz w:val="18"/>
      <w:szCs w:val="20"/>
      <w:lang w:val="en-GB"/>
    </w:rPr>
  </w:style>
  <w:style w:type="character" w:customStyle="1" w:styleId="EndtnoteReference">
    <w:name w:val="Endtnote Reference"/>
    <w:aliases w:val="1_GA"/>
    <w:qFormat/>
    <w:rsid w:val="003F534D"/>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3F534D"/>
    <w:pPr>
      <w:suppressAutoHyphens/>
      <w:bidi w:val="0"/>
      <w:spacing w:line="240" w:lineRule="auto"/>
    </w:pPr>
    <w:rPr>
      <w:sz w:val="16"/>
      <w:lang w:val="en-GB"/>
    </w:rPr>
  </w:style>
  <w:style w:type="character" w:customStyle="1" w:styleId="FooterChar">
    <w:name w:val="Footer Char"/>
    <w:aliases w:val="3_GA Char,3_G Char"/>
    <w:link w:val="Footer"/>
    <w:rsid w:val="003F534D"/>
    <w:rPr>
      <w:rFonts w:ascii="Times New Roman" w:eastAsia="PMingLiU" w:hAnsi="Times New Roman" w:cs="Simplified Arabic"/>
      <w:sz w:val="16"/>
      <w:lang w:val="en-GB"/>
    </w:rPr>
  </w:style>
  <w:style w:type="paragraph" w:customStyle="1" w:styleId="FootnoteText1">
    <w:name w:val="Footnote Text1"/>
    <w:aliases w:val="5_GA"/>
    <w:basedOn w:val="Normal"/>
    <w:qFormat/>
    <w:rsid w:val="003F534D"/>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3F534D"/>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3F534D"/>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3F534D"/>
    <w:rPr>
      <w:rFonts w:ascii="Times New Roman" w:eastAsia="PMingLiU" w:hAnsi="Times New Roman" w:cs="Simplified Arabic"/>
      <w:lang w:val="en-GB"/>
    </w:rPr>
  </w:style>
  <w:style w:type="character" w:styleId="PageNumber">
    <w:name w:val="page number"/>
    <w:aliases w:val="7_GA,7_G"/>
    <w:qFormat/>
    <w:rsid w:val="003F534D"/>
    <w:rPr>
      <w:rFonts w:ascii="Times New Roman Bold" w:hAnsi="Times New Roman Bold"/>
      <w:b/>
      <w:i w:val="0"/>
      <w:sz w:val="18"/>
      <w:szCs w:val="18"/>
    </w:rPr>
  </w:style>
  <w:style w:type="paragraph" w:customStyle="1" w:styleId="XXLargeGA">
    <w:name w:val="XXLarge_GA"/>
    <w:basedOn w:val="Normal"/>
    <w:next w:val="SingleTxtGA"/>
    <w:qFormat/>
    <w:rsid w:val="003F534D"/>
    <w:pPr>
      <w:suppressAutoHyphens/>
      <w:spacing w:line="820" w:lineRule="exact"/>
    </w:pPr>
    <w:rPr>
      <w:spacing w:val="-8"/>
      <w:w w:val="96"/>
      <w:sz w:val="57"/>
      <w:szCs w:val="86"/>
      <w:lang w:val="en-GB"/>
    </w:rPr>
  </w:style>
  <w:style w:type="character" w:customStyle="1" w:styleId="Heading2Char">
    <w:name w:val="Heading 2 Char"/>
    <w:link w:val="Heading2"/>
    <w:uiPriority w:val="9"/>
    <w:rsid w:val="003F534D"/>
    <w:rPr>
      <w:rFonts w:ascii="Times New Roman" w:eastAsia="PMingLiU" w:hAnsi="Times New Roman" w:cs="Simplified Arabic"/>
      <w:b/>
      <w:bCs/>
      <w:color w:val="4F81BD"/>
      <w:sz w:val="26"/>
      <w:szCs w:val="26"/>
    </w:rPr>
  </w:style>
  <w:style w:type="character" w:customStyle="1" w:styleId="Heading3Char">
    <w:name w:val="Heading 3 Char"/>
    <w:link w:val="Heading3"/>
    <w:uiPriority w:val="9"/>
    <w:rsid w:val="003F534D"/>
    <w:rPr>
      <w:rFonts w:ascii="Times New Roman" w:eastAsia="PMingLiU" w:hAnsi="Times New Roman" w:cs="Simplified Arabic"/>
      <w:b/>
      <w:bCs/>
      <w:color w:val="4F81BD"/>
      <w:sz w:val="20"/>
    </w:rPr>
  </w:style>
  <w:style w:type="character" w:customStyle="1" w:styleId="Heading4Char">
    <w:name w:val="Heading 4 Char"/>
    <w:link w:val="Heading4"/>
    <w:uiPriority w:val="9"/>
    <w:rsid w:val="003F534D"/>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3F534D"/>
    <w:rPr>
      <w:rFonts w:ascii="Times New Roman" w:eastAsia="PMingLiU" w:hAnsi="Times New Roman" w:cs="Simplified Arabic"/>
      <w:color w:val="243F60"/>
      <w:sz w:val="20"/>
    </w:rPr>
  </w:style>
  <w:style w:type="character" w:customStyle="1" w:styleId="Heading6Char">
    <w:name w:val="Heading 6 Char"/>
    <w:link w:val="Heading6"/>
    <w:uiPriority w:val="9"/>
    <w:rsid w:val="003F534D"/>
    <w:rPr>
      <w:rFonts w:ascii="Times New Roman" w:eastAsia="PMingLiU" w:hAnsi="Times New Roman" w:cs="Simplified Arabic"/>
      <w:i/>
      <w:iCs/>
      <w:color w:val="243F60"/>
      <w:sz w:val="20"/>
    </w:rPr>
  </w:style>
  <w:style w:type="character" w:customStyle="1" w:styleId="Heading7Char">
    <w:name w:val="Heading 7 Char"/>
    <w:link w:val="Heading7"/>
    <w:uiPriority w:val="9"/>
    <w:rsid w:val="003F534D"/>
    <w:rPr>
      <w:rFonts w:ascii="Times New Roman" w:eastAsia="PMingLiU" w:hAnsi="Times New Roman" w:cs="Simplified Arabic"/>
      <w:i/>
      <w:iCs/>
      <w:color w:val="404040"/>
      <w:sz w:val="20"/>
    </w:rPr>
  </w:style>
  <w:style w:type="character" w:customStyle="1" w:styleId="Heading8Char">
    <w:name w:val="Heading 8 Char"/>
    <w:link w:val="Heading8"/>
    <w:uiPriority w:val="9"/>
    <w:rsid w:val="003F534D"/>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3F534D"/>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3F534D"/>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3F534D"/>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3F534D"/>
    <w:pPr>
      <w:numPr>
        <w:ilvl w:val="1"/>
      </w:numPr>
    </w:pPr>
    <w:rPr>
      <w:i/>
      <w:iCs/>
      <w:color w:val="4F81BD"/>
      <w:spacing w:val="15"/>
      <w:sz w:val="24"/>
      <w:szCs w:val="24"/>
    </w:rPr>
  </w:style>
  <w:style w:type="character" w:customStyle="1" w:styleId="SubtitleChar">
    <w:name w:val="Subtitle Char"/>
    <w:link w:val="Subtitle"/>
    <w:uiPriority w:val="11"/>
    <w:rsid w:val="003F534D"/>
    <w:rPr>
      <w:rFonts w:ascii="Times New Roman" w:eastAsia="PMingLiU" w:hAnsi="Times New Roman" w:cs="Simplified Arabic"/>
      <w:i/>
      <w:iCs/>
      <w:color w:val="4F81BD"/>
      <w:spacing w:val="15"/>
      <w:sz w:val="24"/>
      <w:szCs w:val="24"/>
    </w:rPr>
  </w:style>
  <w:style w:type="character" w:styleId="Strong">
    <w:name w:val="Strong"/>
    <w:uiPriority w:val="22"/>
    <w:rsid w:val="003F534D"/>
    <w:rPr>
      <w:b/>
      <w:bCs/>
    </w:rPr>
  </w:style>
  <w:style w:type="table" w:styleId="TableGrid">
    <w:name w:val="Table Grid"/>
    <w:basedOn w:val="TableNormal"/>
    <w:rsid w:val="003F534D"/>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3F534D"/>
    <w:rPr>
      <w:color w:val="0000FF"/>
      <w:u w:val="none"/>
    </w:rPr>
  </w:style>
  <w:style w:type="paragraph" w:styleId="TOC1">
    <w:name w:val="toc 1"/>
    <w:basedOn w:val="Normal"/>
    <w:link w:val="TOC1Char"/>
    <w:autoRedefine/>
    <w:uiPriority w:val="39"/>
    <w:unhideWhenUsed/>
    <w:rsid w:val="003F534D"/>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3F534D"/>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3F534D"/>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3F534D"/>
    <w:rPr>
      <w:rFonts w:eastAsia="DengXian"/>
      <w:color w:val="auto"/>
      <w:sz w:val="20"/>
      <w:szCs w:val="20"/>
      <w:u w:val="none"/>
      <w:lang w:eastAsia="zh-CN" w:bidi="ar-EG"/>
    </w:rPr>
  </w:style>
  <w:style w:type="paragraph" w:styleId="TOC4">
    <w:name w:val="toc 4"/>
    <w:basedOn w:val="Normal"/>
    <w:link w:val="TOC4Char"/>
    <w:autoRedefine/>
    <w:uiPriority w:val="39"/>
    <w:unhideWhenUsed/>
    <w:rsid w:val="003F534D"/>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3F534D"/>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3F534D"/>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3F534D"/>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406EC2"/>
    <w:rPr>
      <w:rFonts w:ascii="Times New Roman" w:eastAsia="PMingLiU" w:hAnsi="Times New Roman" w:cs="Simplified Arabic"/>
      <w:lang w:val="en-GB"/>
    </w:rPr>
  </w:style>
  <w:style w:type="character" w:customStyle="1" w:styleId="TOC1Char">
    <w:name w:val="TOC 1 Char"/>
    <w:basedOn w:val="DefaultParagraphFont"/>
    <w:link w:val="TOC1"/>
    <w:uiPriority w:val="39"/>
    <w:rsid w:val="003F534D"/>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3F534D"/>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3F534D"/>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3F534D"/>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3F534D"/>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3F534D"/>
    <w:rPr>
      <w:rFonts w:ascii="Times New Roman" w:eastAsia="PMingLiU" w:hAnsi="Times New Roman" w:cs="Simplified Arabic"/>
      <w:sz w:val="20"/>
      <w:szCs w:val="20"/>
      <w:lang w:val="en-GB"/>
    </w:rPr>
  </w:style>
  <w:style w:type="paragraph" w:customStyle="1" w:styleId="NormalA">
    <w:name w:val="Normal_A"/>
    <w:basedOn w:val="Normal"/>
    <w:qFormat/>
    <w:rsid w:val="003F534D"/>
  </w:style>
  <w:style w:type="paragraph" w:customStyle="1" w:styleId="FootnoteGA">
    <w:name w:val="_Footnote_GA"/>
    <w:basedOn w:val="Normal"/>
    <w:qFormat/>
    <w:rsid w:val="003F534D"/>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3F534D"/>
    <w:rPr>
      <w:sz w:val="44"/>
      <w:szCs w:val="44"/>
      <w:lang w:val="en-US" w:bidi="ar-DZ"/>
    </w:rPr>
  </w:style>
  <w:style w:type="paragraph" w:customStyle="1" w:styleId="FootnoteGA0">
    <w:name w:val="Footnote_GA"/>
    <w:basedOn w:val="Normal"/>
    <w:qFormat/>
    <w:rsid w:val="003F534D"/>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3F534D"/>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3F534D"/>
    <w:pPr>
      <w:spacing w:line="240" w:lineRule="exact"/>
    </w:pPr>
    <w:rPr>
      <w:spacing w:val="6"/>
      <w:w w:val="106"/>
      <w:sz w:val="14"/>
      <w:szCs w:val="21"/>
    </w:rPr>
  </w:style>
  <w:style w:type="paragraph" w:customStyle="1" w:styleId="Original">
    <w:name w:val="Original"/>
    <w:basedOn w:val="Normal"/>
    <w:next w:val="Normal"/>
    <w:qFormat/>
    <w:rsid w:val="003F534D"/>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3F534D"/>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3F534D"/>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3A4ADA"/>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3A4ADA"/>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3A4ADA"/>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3F534D"/>
    <w:rPr>
      <w:lang w:val="en-US" w:eastAsia="zh-TW"/>
    </w:rPr>
  </w:style>
  <w:style w:type="paragraph" w:customStyle="1" w:styleId="STitleMGA">
    <w:name w:val="S_Title_M_GA"/>
    <w:basedOn w:val="SMGA"/>
    <w:qFormat/>
    <w:rsid w:val="003F534D"/>
    <w:rPr>
      <w:lang w:eastAsia="zh-TW"/>
    </w:rPr>
  </w:style>
  <w:style w:type="paragraph" w:customStyle="1" w:styleId="STitleSGA">
    <w:name w:val="S_Title_S_GA"/>
    <w:basedOn w:val="SSGA"/>
    <w:qFormat/>
    <w:rsid w:val="003F534D"/>
    <w:rPr>
      <w:lang w:eastAsia="zh-TW"/>
    </w:rPr>
  </w:style>
  <w:style w:type="paragraph" w:customStyle="1" w:styleId="HMG">
    <w:name w:val="_ H __M_G"/>
    <w:basedOn w:val="Normal"/>
    <w:next w:val="Normal"/>
    <w:qFormat/>
    <w:rsid w:val="00561206"/>
    <w:pPr>
      <w:keepNext/>
      <w:keepLines/>
      <w:tabs>
        <w:tab w:val="right" w:pos="851"/>
      </w:tabs>
      <w:suppressAutoHyphens/>
      <w:bidi w:val="0"/>
      <w:spacing w:before="240" w:after="240" w:line="360" w:lineRule="exact"/>
      <w:ind w:left="1134" w:right="1134" w:hanging="1134"/>
      <w:jc w:val="left"/>
      <w:outlineLvl w:val="0"/>
    </w:pPr>
    <w:rPr>
      <w:rFonts w:eastAsia="Times New Roman" w:hint="cs"/>
      <w:b/>
      <w:sz w:val="34"/>
      <w:szCs w:val="30"/>
      <w:lang w:val="fr-FR" w:eastAsia="fr-FR"/>
    </w:rPr>
  </w:style>
  <w:style w:type="paragraph" w:customStyle="1" w:styleId="HChG">
    <w:name w:val="_ H _Ch_G"/>
    <w:basedOn w:val="Normal"/>
    <w:next w:val="Normal"/>
    <w:qFormat/>
    <w:rsid w:val="00561206"/>
    <w:pPr>
      <w:keepNext/>
      <w:keepLines/>
      <w:tabs>
        <w:tab w:val="right" w:pos="851"/>
      </w:tabs>
      <w:suppressAutoHyphens/>
      <w:bidi w:val="0"/>
      <w:spacing w:before="360" w:after="240" w:line="300" w:lineRule="exact"/>
      <w:ind w:left="1134" w:right="1134" w:hanging="1134"/>
      <w:jc w:val="left"/>
      <w:outlineLvl w:val="1"/>
    </w:pPr>
    <w:rPr>
      <w:rFonts w:eastAsia="Times New Roman" w:hint="cs"/>
      <w:b/>
      <w:sz w:val="28"/>
      <w:szCs w:val="30"/>
      <w:lang w:val="fr-FR" w:eastAsia="fr-FR"/>
    </w:rPr>
  </w:style>
  <w:style w:type="paragraph" w:customStyle="1" w:styleId="H1G">
    <w:name w:val="_ H_1_G"/>
    <w:basedOn w:val="Normal"/>
    <w:next w:val="Normal"/>
    <w:qFormat/>
    <w:rsid w:val="00561206"/>
    <w:pPr>
      <w:keepNext/>
      <w:keepLines/>
      <w:tabs>
        <w:tab w:val="right" w:pos="851"/>
      </w:tabs>
      <w:suppressAutoHyphens/>
      <w:bidi w:val="0"/>
      <w:spacing w:before="360" w:after="240" w:line="270" w:lineRule="exact"/>
      <w:ind w:left="1134" w:right="1134" w:hanging="1134"/>
      <w:jc w:val="left"/>
      <w:outlineLvl w:val="2"/>
    </w:pPr>
    <w:rPr>
      <w:rFonts w:eastAsia="Times New Roman" w:hint="cs"/>
      <w:b/>
      <w:sz w:val="24"/>
      <w:szCs w:val="30"/>
      <w:lang w:val="fr-FR" w:eastAsia="fr-FR"/>
    </w:rPr>
  </w:style>
  <w:style w:type="paragraph" w:customStyle="1" w:styleId="H23G">
    <w:name w:val="_ H_2/3_G"/>
    <w:basedOn w:val="Normal"/>
    <w:next w:val="Normal"/>
    <w:qFormat/>
    <w:rsid w:val="00561206"/>
    <w:pPr>
      <w:keepNext/>
      <w:keepLines/>
      <w:tabs>
        <w:tab w:val="right" w:pos="851"/>
      </w:tabs>
      <w:suppressAutoHyphens/>
      <w:bidi w:val="0"/>
      <w:spacing w:before="240" w:after="120" w:line="240" w:lineRule="exact"/>
      <w:ind w:left="1134" w:right="1134" w:hanging="1134"/>
      <w:jc w:val="left"/>
      <w:outlineLvl w:val="3"/>
    </w:pPr>
    <w:rPr>
      <w:rFonts w:eastAsia="Times New Roman" w:hint="cs"/>
      <w:b/>
      <w:szCs w:val="30"/>
      <w:lang w:val="fr-FR" w:eastAsia="fr-FR"/>
    </w:rPr>
  </w:style>
  <w:style w:type="paragraph" w:customStyle="1" w:styleId="SingleTxtG">
    <w:name w:val="_ Single Txt_G"/>
    <w:basedOn w:val="Normal"/>
    <w:link w:val="SingleTxtGChar"/>
    <w:qFormat/>
    <w:rsid w:val="00561206"/>
    <w:pPr>
      <w:tabs>
        <w:tab w:val="left" w:pos="1701"/>
        <w:tab w:val="left" w:pos="2268"/>
        <w:tab w:val="left" w:pos="2835"/>
      </w:tabs>
      <w:suppressAutoHyphens/>
      <w:bidi w:val="0"/>
      <w:spacing w:after="120"/>
      <w:ind w:left="1134" w:right="1134"/>
      <w:jc w:val="both"/>
    </w:pPr>
    <w:rPr>
      <w:rFonts w:eastAsia="Times New Roman"/>
      <w:szCs w:val="30"/>
      <w:lang w:val="fr-FR" w:eastAsia="fr-FR"/>
    </w:rPr>
  </w:style>
  <w:style w:type="paragraph" w:customStyle="1" w:styleId="Bullet1G">
    <w:name w:val="_Bullet 1_G"/>
    <w:basedOn w:val="Normal"/>
    <w:qFormat/>
    <w:rsid w:val="00561206"/>
    <w:pPr>
      <w:tabs>
        <w:tab w:val="num" w:pos="1701"/>
      </w:tabs>
      <w:suppressAutoHyphens/>
      <w:bidi w:val="0"/>
      <w:spacing w:after="120"/>
      <w:ind w:left="1701" w:right="1134" w:hanging="170"/>
      <w:jc w:val="both"/>
    </w:pPr>
    <w:rPr>
      <w:rFonts w:eastAsia="Times New Roman" w:hint="cs"/>
      <w:szCs w:val="30"/>
      <w:lang w:val="fr-FR" w:eastAsia="fr-FR"/>
    </w:rPr>
  </w:style>
  <w:style w:type="character" w:styleId="FootnoteReference">
    <w:name w:val="footnote reference"/>
    <w:aliases w:val="4_G,ftref,Car Car Char Car Char Car Car Char Car Char Char,Car Car Car Car Car Car Car Car Char Car Car Char Car Car Car Char Car Char Char Char,16 Point,Superscript 6 Point,SUPERS"/>
    <w:basedOn w:val="DefaultParagraphFont"/>
    <w:uiPriority w:val="99"/>
    <w:qFormat/>
    <w:rsid w:val="00561206"/>
    <w:rPr>
      <w:rFonts w:ascii="Times New Roman" w:hAnsi="Times New Roman"/>
      <w:sz w:val="18"/>
      <w:vertAlign w:val="superscript"/>
    </w:rPr>
  </w:style>
  <w:style w:type="paragraph" w:styleId="FootnoteText">
    <w:name w:val="footnote text"/>
    <w:aliases w:val="5_G,single space,footnote text,FOOTNOTES,fn,ALTS FOOTNOTE,Fodnotetekst Tegn,footnote text Char,Fodnotetekst Tegn Char,single space Char,footnote text Char Char Char,Fodnotetekst Tegn Char1,single space Char1,Char"/>
    <w:basedOn w:val="Normal"/>
    <w:link w:val="FootnoteTextChar"/>
    <w:uiPriority w:val="99"/>
    <w:qFormat/>
    <w:rsid w:val="00561206"/>
    <w:pPr>
      <w:tabs>
        <w:tab w:val="right" w:pos="1021"/>
      </w:tabs>
      <w:suppressAutoHyphens/>
      <w:bidi w:val="0"/>
      <w:spacing w:line="220" w:lineRule="exact"/>
      <w:ind w:left="1134" w:right="1134" w:hanging="1134"/>
      <w:jc w:val="left"/>
    </w:pPr>
    <w:rPr>
      <w:rFonts w:eastAsia="Times New Roman" w:hint="cs"/>
      <w:sz w:val="18"/>
      <w:szCs w:val="30"/>
      <w:lang w:val="fr-FR" w:eastAsia="fr-FR"/>
    </w:rPr>
  </w:style>
  <w:style w:type="character" w:customStyle="1" w:styleId="FootnoteTextChar">
    <w:name w:val="Footnote Text Char"/>
    <w:aliases w:val="5_G Char,single space Char2,footnote text Char1,FOOTNOTES Char,fn Char,ALTS FOOTNOTE Char,Fodnotetekst Tegn Char2,footnote text Char Char,Fodnotetekst Tegn Char Char,single space Char Char,footnote text Char Char Char Char,Char Char"/>
    <w:basedOn w:val="DefaultParagraphFont"/>
    <w:link w:val="FootnoteText"/>
    <w:uiPriority w:val="99"/>
    <w:rsid w:val="00561206"/>
    <w:rPr>
      <w:rFonts w:ascii="Times New Roman" w:hAnsi="Times New Roman" w:cs="Simplified Arabic"/>
      <w:sz w:val="18"/>
      <w:szCs w:val="30"/>
      <w:lang w:val="fr-FR" w:eastAsia="fr-FR"/>
    </w:rPr>
  </w:style>
  <w:style w:type="paragraph" w:customStyle="1" w:styleId="ParNoG">
    <w:name w:val="_ParNo_G"/>
    <w:basedOn w:val="Normal"/>
    <w:qFormat/>
    <w:rsid w:val="00561206"/>
    <w:pPr>
      <w:numPr>
        <w:numId w:val="29"/>
      </w:numPr>
      <w:tabs>
        <w:tab w:val="left" w:pos="1701"/>
      </w:tabs>
      <w:bidi w:val="0"/>
      <w:jc w:val="left"/>
    </w:pPr>
    <w:rPr>
      <w:rFonts w:eastAsia="Times New Roman" w:hint="cs"/>
      <w:szCs w:val="30"/>
      <w:lang w:val="fr-FR" w:eastAsia="fr-FR"/>
    </w:rPr>
  </w:style>
  <w:style w:type="table" w:customStyle="1" w:styleId="TableGrid0">
    <w:name w:val="TableGrid"/>
    <w:rsid w:val="00561206"/>
    <w:pPr>
      <w:spacing w:after="0" w:line="240" w:lineRule="auto"/>
    </w:pPr>
    <w:rPr>
      <w:lang w:val="fr-FR" w:eastAsia="fr-FR"/>
    </w:rPr>
    <w:tblPr>
      <w:tblCellMar>
        <w:top w:w="0" w:type="dxa"/>
        <w:left w:w="0" w:type="dxa"/>
        <w:bottom w:w="0" w:type="dxa"/>
        <w:right w:w="0" w:type="dxa"/>
      </w:tblCellMar>
    </w:tblPr>
  </w:style>
  <w:style w:type="character" w:customStyle="1" w:styleId="SingleTxtGChar">
    <w:name w:val="_ Single Txt_G Char"/>
    <w:link w:val="SingleTxtG"/>
    <w:locked/>
    <w:rsid w:val="00561206"/>
    <w:rPr>
      <w:rFonts w:ascii="Times New Roman" w:hAnsi="Times New Roman" w:cs="Simplified Arabic"/>
      <w:sz w:val="20"/>
      <w:szCs w:val="30"/>
      <w:lang w:val="fr-FR"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 w:id="16293568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hedad\Downloads\HRI.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F3F436-ADC8-4BE5-A92D-6061E6E492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HRI.dotm</Template>
  <TotalTime>0</TotalTime>
  <Pages>14</Pages>
  <Words>4809</Words>
  <Characters>25108</Characters>
  <Application>Microsoft Office Word</Application>
  <DocSecurity>0</DocSecurity>
  <Lines>448</Lines>
  <Paragraphs>218</Paragraphs>
  <ScaleCrop>false</ScaleCrop>
  <HeadingPairs>
    <vt:vector size="2" baseType="variant">
      <vt:variant>
        <vt:lpstr>Title</vt:lpstr>
      </vt:variant>
      <vt:variant>
        <vt:i4>1</vt:i4>
      </vt:variant>
    </vt:vector>
  </HeadingPairs>
  <TitlesOfParts>
    <vt:vector size="1" baseType="lpstr">
      <vt:lpstr>HRI/CORE/TGO/2024</vt:lpstr>
    </vt:vector>
  </TitlesOfParts>
  <Company>DCM</Company>
  <LinksUpToDate>false</LinksUpToDate>
  <CharactersWithSpaces>29699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HRI/CORE/TGO/2024</dc:title>
  <dc:subject>GE.24145072414507(A)</dc:subject>
  <dc:creator>Muntaha BUHNAM -  Safa DAHAB</dc:creator>
  <cp:keywords>GE. 2414235(A)</cp:keywords>
  <dc:description>Distr.: General
14 August 2024
Arabic
Original: French</dc:description>
  <cp:lastModifiedBy>Jamila Chedad</cp:lastModifiedBy>
  <cp:revision>3</cp:revision>
  <cp:lastPrinted>2024-09-17T08:39:00Z</cp:lastPrinted>
  <dcterms:created xsi:type="dcterms:W3CDTF">2024-09-17T08:39:00Z</dcterms:created>
  <dcterms:modified xsi:type="dcterms:W3CDTF">2024-09-17T08:39:00Z</dcterms:modified>
</cp:coreProperties>
</file>