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568" w:rsidRDefault="00BE7568">
      <w:pPr>
        <w:spacing w:line="60" w:lineRule="exact"/>
      </w:pPr>
      <w:r>
        <w:rPr>
          <w:rStyle w:val="CommentReference"/>
          <w:rFonts w:hint="eastAsia"/>
          <w:vanish/>
        </w:rPr>
        <w:commentReference w:id="0"/>
      </w:r>
    </w:p>
    <w:p w:rsidR="00BE7568" w:rsidRDefault="00BE75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BE7568" w:rsidRDefault="00BE7568">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BE7568" w:rsidRDefault="00BE7568">
      <w:pPr>
        <w:rPr>
          <w:rFonts w:ascii="SimHei" w:eastAsia="SimHei" w:hint="eastAsia"/>
          <w:color w:val="FF0000"/>
        </w:rPr>
      </w:pPr>
      <w:r>
        <w:rPr>
          <w:rFonts w:ascii="SimHei" w:eastAsia="SimHei" w:hint="eastAsia"/>
          <w:color w:val="FF0000"/>
        </w:rPr>
        <w:t>第595次会议简要记录</w:t>
      </w:r>
    </w:p>
    <w:p w:rsidR="00BE7568" w:rsidRDefault="00BE7568">
      <w:pPr>
        <w:spacing w:afterLines="50" w:after="120"/>
      </w:pPr>
      <w:r>
        <w:rPr>
          <w:rFonts w:hint="eastAsia"/>
        </w:rPr>
        <w:t>2003</w:t>
      </w:r>
      <w:r>
        <w:rPr>
          <w:rFonts w:hint="eastAsia"/>
        </w:rPr>
        <w:t>年</w:t>
      </w:r>
      <w:r>
        <w:rPr>
          <w:rFonts w:hint="eastAsia"/>
        </w:rPr>
        <w:t>1</w:t>
      </w:r>
      <w:r>
        <w:rPr>
          <w:rFonts w:hint="eastAsia"/>
        </w:rPr>
        <w:t>月</w:t>
      </w:r>
      <w:r>
        <w:rPr>
          <w:rFonts w:hint="eastAsia"/>
        </w:rPr>
        <w:t>16</w:t>
      </w:r>
      <w:r>
        <w:rPr>
          <w:rFonts w:hint="eastAsia"/>
        </w:rPr>
        <w:t>日，星期四，下午</w:t>
      </w:r>
      <w:r>
        <w:rPr>
          <w:rFonts w:hint="eastAsia"/>
        </w:rPr>
        <w:t>3</w:t>
      </w:r>
      <w:r>
        <w:rPr>
          <w:rFonts w:hint="eastAsia"/>
        </w:rPr>
        <w:t>时在纽约总部举行</w:t>
      </w:r>
    </w:p>
    <w:p w:rsidR="00BE7568" w:rsidRDefault="00BE7568">
      <w:pPr>
        <w:widowControl/>
        <w:tabs>
          <w:tab w:val="left" w:pos="1260"/>
          <w:tab w:val="right" w:leader="dot" w:pos="8568"/>
        </w:tabs>
        <w:adjustRightInd/>
        <w:spacing w:line="320" w:lineRule="exact"/>
        <w:ind w:right="1267"/>
        <w:jc w:val="left"/>
        <w:textAlignment w:val="auto"/>
      </w:pPr>
      <w:r>
        <w:rPr>
          <w:rFonts w:eastAsia="KaiTi_GB2312"/>
          <w:color w:val="0000FF"/>
        </w:rPr>
        <w:t>主席：</w:t>
      </w:r>
      <w:r>
        <w:tab/>
      </w:r>
      <w:r>
        <w:rPr>
          <w:rFonts w:hint="eastAsia"/>
        </w:rPr>
        <w:t>阿贾尔</w:t>
      </w:r>
      <w:r>
        <w:rPr>
          <w:rFonts w:ascii="SimSun" w:hAnsi="SimSun" w:hint="eastAsia"/>
        </w:rPr>
        <w:t>女士</w:t>
      </w:r>
    </w:p>
    <w:p w:rsidR="00BE7568" w:rsidRDefault="00BE7568">
      <w:pPr>
        <w:widowControl/>
        <w:tabs>
          <w:tab w:val="left" w:pos="1260"/>
          <w:tab w:val="right" w:leader="dot" w:pos="8568"/>
        </w:tabs>
        <w:adjustRightInd/>
        <w:spacing w:line="320" w:lineRule="exact"/>
        <w:ind w:right="1267"/>
        <w:jc w:val="left"/>
        <w:textAlignment w:val="auto"/>
      </w:pPr>
    </w:p>
    <w:p w:rsidR="00BE7568" w:rsidRDefault="00BE7568">
      <w:pPr>
        <w:pStyle w:val="HCh"/>
        <w:rPr>
          <w:rFonts w:eastAsia="SimSun" w:hint="eastAsia"/>
        </w:rPr>
      </w:pPr>
      <w:r>
        <w:rPr>
          <w:rFonts w:eastAsia="SimSun" w:hint="eastAsia"/>
        </w:rPr>
        <w:t>目录</w:t>
      </w:r>
    </w:p>
    <w:p w:rsidR="00BE7568" w:rsidRDefault="00BE7568">
      <w:pPr>
        <w:pStyle w:val="SingleTxt"/>
        <w:rPr>
          <w:rFonts w:eastAsia="STKaiti" w:hint="eastAsia"/>
        </w:rPr>
      </w:pPr>
      <w:r>
        <w:rPr>
          <w:rFonts w:hint="eastAsia"/>
        </w:rPr>
        <w:t>审议缔约国根据《公约》第18条提交的报告</w:t>
      </w:r>
      <w:r>
        <w:rPr>
          <w:rFonts w:eastAsia="STKaiti" w:hint="eastAsia"/>
        </w:rPr>
        <w:t>（</w:t>
      </w:r>
      <w:r>
        <w:rPr>
          <w:rFonts w:eastAsia="KaiTi_GB2312" w:hint="eastAsia"/>
          <w:color w:val="0000FF"/>
        </w:rPr>
        <w:t>续</w:t>
      </w:r>
      <w:r>
        <w:rPr>
          <w:rFonts w:eastAsia="STKaiti" w:hint="eastAsia"/>
        </w:rPr>
        <w:t>）</w:t>
      </w:r>
    </w:p>
    <w:p w:rsidR="00BE7568" w:rsidRDefault="00BE7568" w:rsidP="005802C1">
      <w:pPr>
        <w:pStyle w:val="SingleTxt"/>
        <w:ind w:leftChars="602" w:left="31680" w:firstLineChars="200" w:firstLine="31680"/>
        <w:rPr>
          <w:rFonts w:eastAsia="KaiTi_GB2312" w:hint="eastAsia"/>
          <w:color w:val="0000FF"/>
        </w:rPr>
      </w:pPr>
      <w:r>
        <w:rPr>
          <w:rFonts w:eastAsia="KaiTi_GB2312" w:hint="eastAsia"/>
          <w:color w:val="0000FF"/>
        </w:rPr>
        <w:t>阿尔巴尼亚的初次和第二次合并定期报告（续）</w:t>
      </w:r>
    </w:p>
    <w:p w:rsidR="00BE7568" w:rsidRDefault="00BE7568">
      <w:pPr>
        <w:spacing w:after="240" w:line="360" w:lineRule="atLeast"/>
        <w:jc w:val="center"/>
        <w:rPr>
          <w:rFonts w:eastAsia="SimHei"/>
          <w:sz w:val="28"/>
        </w:rPr>
      </w:pPr>
    </w:p>
    <w:p w:rsidR="00BE7568" w:rsidRDefault="00BE7568">
      <w:pPr>
        <w:spacing w:line="120" w:lineRule="exact"/>
        <w:rPr>
          <w:rFonts w:eastAsia="SimHei"/>
          <w:sz w:val="28"/>
        </w:rPr>
        <w:sectPr w:rsidR="00BE7568">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r>
        <w:rPr>
          <w:rFonts w:eastAsia="SimHei"/>
          <w:sz w:val="28"/>
        </w:rPr>
        <w:br w:type="page"/>
      </w:r>
    </w:p>
    <w:p w:rsidR="00BE7568" w:rsidRDefault="00BE7568">
      <w:pPr>
        <w:spacing w:after="140" w:line="320" w:lineRule="exact"/>
        <w:rPr>
          <w:rFonts w:ascii="KaiTi_GB2312" w:eastAsia="KaiTi_GB2312" w:hAnsi="STKaiti" w:hint="eastAsia"/>
          <w:color w:val="0000FF"/>
        </w:rPr>
      </w:pPr>
      <w:r>
        <w:rPr>
          <w:rFonts w:ascii="KaiTi_GB2312" w:eastAsia="KaiTi_GB2312" w:hAnsi="STKaiti" w:hint="eastAsia"/>
          <w:color w:val="0000FF"/>
        </w:rPr>
        <w:t>下午3时零5分宣布开会</w:t>
      </w:r>
    </w:p>
    <w:p w:rsidR="00BE7568" w:rsidRDefault="00BE7568">
      <w:pPr>
        <w:spacing w:after="140" w:line="320" w:lineRule="exact"/>
        <w:rPr>
          <w:rFonts w:eastAsia="SimHei" w:hint="eastAsia"/>
          <w:bCs/>
          <w:color w:val="FF0000"/>
        </w:rPr>
      </w:pPr>
      <w:r>
        <w:rPr>
          <w:rFonts w:eastAsia="SimHei" w:hint="eastAsia"/>
          <w:bCs/>
          <w:color w:val="FF0000"/>
        </w:rPr>
        <w:t>审议缔约国根据《公约》第</w:t>
      </w:r>
      <w:r>
        <w:rPr>
          <w:rFonts w:eastAsia="SimHei" w:hint="eastAsia"/>
          <w:bCs/>
          <w:color w:val="FF0000"/>
        </w:rPr>
        <w:t>18</w:t>
      </w:r>
      <w:r>
        <w:rPr>
          <w:rFonts w:eastAsia="SimHei" w:hint="eastAsia"/>
          <w:bCs/>
          <w:color w:val="FF0000"/>
        </w:rPr>
        <w:t>条提交的报告</w:t>
      </w:r>
      <w:r>
        <w:rPr>
          <w:rFonts w:ascii="STKaiti" w:eastAsia="STKaiti" w:hAnsi="STKaiti" w:hint="eastAsia"/>
        </w:rPr>
        <w:t>（</w:t>
      </w:r>
      <w:r>
        <w:rPr>
          <w:rFonts w:ascii="KaiTi_GB2312" w:eastAsia="KaiTi_GB2312" w:hAnsi="STKaiti" w:hint="eastAsia"/>
          <w:color w:val="0000FF"/>
        </w:rPr>
        <w:t>续</w:t>
      </w:r>
      <w:r>
        <w:rPr>
          <w:rFonts w:ascii="STKaiti" w:eastAsia="STKaiti" w:hAnsi="STKaiti" w:hint="eastAsia"/>
        </w:rPr>
        <w:t>）</w:t>
      </w:r>
    </w:p>
    <w:p w:rsidR="00BE7568" w:rsidRDefault="00BE7568">
      <w:pPr>
        <w:spacing w:after="140" w:line="320" w:lineRule="exact"/>
        <w:jc w:val="left"/>
        <w:rPr>
          <w:rFonts w:eastAsia="STKaiti" w:hint="eastAsia"/>
        </w:rPr>
      </w:pPr>
      <w:r>
        <w:rPr>
          <w:rFonts w:ascii="KaiTi_GB2312" w:eastAsia="KaiTi_GB2312" w:hAnsi="STKaiti" w:hint="eastAsia"/>
          <w:color w:val="0000FF"/>
        </w:rPr>
        <w:t>阿尔巴尼亚的初次和第二次合并定期报告（续）</w:t>
      </w:r>
      <w:r>
        <w:rPr>
          <w:rFonts w:ascii="SimSun" w:hAnsi="STKaiti" w:hint="eastAsia"/>
        </w:rPr>
        <w:t>（</w:t>
      </w:r>
      <w:r>
        <w:rPr>
          <w:rFonts w:hint="eastAsia"/>
        </w:rPr>
        <w:t>CEDAW/C/ALB/1-2</w:t>
      </w:r>
      <w:r>
        <w:rPr>
          <w:rFonts w:ascii="SimSun" w:hAnsi="STKaiti" w:hint="eastAsia"/>
        </w:rPr>
        <w:t>）</w:t>
      </w:r>
    </w:p>
    <w:p w:rsidR="00BE7568" w:rsidRDefault="00BE7568" w:rsidP="00BE7568">
      <w:pPr>
        <w:numPr>
          <w:ilvl w:val="0"/>
          <w:numId w:val="5"/>
        </w:numPr>
        <w:tabs>
          <w:tab w:val="clear" w:pos="360"/>
          <w:tab w:val="left" w:pos="420"/>
        </w:tabs>
        <w:spacing w:after="140" w:line="320" w:lineRule="exact"/>
        <w:ind w:left="0" w:firstLine="0"/>
        <w:rPr>
          <w:rFonts w:hint="eastAsia"/>
        </w:rPr>
      </w:pPr>
      <w:r>
        <w:rPr>
          <w:rFonts w:hint="eastAsia"/>
        </w:rPr>
        <w:t>应主席邀请，代表团成员在委员会议席就座。</w:t>
      </w:r>
    </w:p>
    <w:p w:rsidR="00BE7568" w:rsidRDefault="00BE7568" w:rsidP="00BE7568">
      <w:pPr>
        <w:numPr>
          <w:ilvl w:val="0"/>
          <w:numId w:val="5"/>
        </w:numPr>
        <w:tabs>
          <w:tab w:val="clear" w:pos="360"/>
          <w:tab w:val="left" w:pos="420"/>
        </w:tabs>
        <w:spacing w:after="140" w:line="320" w:lineRule="exact"/>
        <w:ind w:left="0" w:firstLine="0"/>
        <w:rPr>
          <w:rFonts w:hint="eastAsia"/>
        </w:rPr>
      </w:pPr>
      <w:r>
        <w:rPr>
          <w:rFonts w:eastAsia="SimHei" w:hint="eastAsia"/>
          <w:color w:val="FF0000"/>
        </w:rPr>
        <w:t>主席</w:t>
      </w:r>
      <w:r>
        <w:rPr>
          <w:rFonts w:hint="eastAsia"/>
        </w:rPr>
        <w:t>请委员会成员继续向阿尔巴尼亚代表团提问。</w:t>
      </w:r>
    </w:p>
    <w:p w:rsidR="00BE7568" w:rsidRDefault="00BE7568">
      <w:pPr>
        <w:spacing w:after="140" w:line="320" w:lineRule="exact"/>
        <w:rPr>
          <w:rFonts w:ascii="KaiTi_GB2312" w:eastAsia="KaiTi_GB2312" w:hAnsi="STKaiti" w:hint="eastAsia"/>
          <w:color w:val="0000FF"/>
        </w:rPr>
      </w:pPr>
      <w:r>
        <w:rPr>
          <w:rFonts w:ascii="KaiTi_GB2312" w:eastAsia="KaiTi_GB2312" w:hAnsi="STKaiti" w:hint="eastAsia"/>
          <w:color w:val="0000FF"/>
        </w:rPr>
        <w:t>第13条</w:t>
      </w:r>
    </w:p>
    <w:p w:rsidR="00BE7568" w:rsidRDefault="00BE7568" w:rsidP="00BE7568">
      <w:pPr>
        <w:numPr>
          <w:ilvl w:val="0"/>
          <w:numId w:val="5"/>
        </w:numPr>
        <w:tabs>
          <w:tab w:val="clear" w:pos="360"/>
          <w:tab w:val="left" w:pos="420"/>
        </w:tabs>
        <w:spacing w:after="140" w:line="330" w:lineRule="exact"/>
        <w:ind w:left="0" w:firstLine="0"/>
        <w:rPr>
          <w:rFonts w:hint="eastAsia"/>
        </w:rPr>
      </w:pPr>
      <w:r>
        <w:rPr>
          <w:rFonts w:eastAsia="SimHei" w:hint="eastAsia"/>
          <w:b/>
          <w:color w:val="FF0000"/>
        </w:rPr>
        <w:t>Flinterman</w:t>
      </w:r>
      <w:r>
        <w:rPr>
          <w:rFonts w:eastAsia="SimHei" w:hint="eastAsia"/>
          <w:bCs/>
          <w:color w:val="FF0000"/>
        </w:rPr>
        <w:t>先生</w:t>
      </w:r>
      <w:r>
        <w:rPr>
          <w:rFonts w:hint="eastAsia"/>
        </w:rPr>
        <w:t>询问阿尔巴尼亚政府计划怎样改变由于偏见（体育被认为是休闲活动）、家庭责任和有限的经济来源而造成的妇女在体育方面参与率较低的状况。</w:t>
      </w:r>
    </w:p>
    <w:p w:rsidR="00BE7568" w:rsidRDefault="00BE7568" w:rsidP="00BE7568">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Patten</w:t>
      </w:r>
      <w:r>
        <w:rPr>
          <w:rFonts w:eastAsia="SimHei" w:hint="eastAsia"/>
          <w:bCs/>
          <w:color w:val="FF0000"/>
        </w:rPr>
        <w:t>女士</w:t>
      </w:r>
      <w:r>
        <w:rPr>
          <w:rFonts w:hint="eastAsia"/>
        </w:rPr>
        <w:t>说阿尔巴尼亚政府的宏观经济政策几乎只注重正规部门，而不是贫穷妇女人数日增的问题。这一现象表现为收入不足以保证可持续的生计，由于很少享受到基本保健服务而导致的不健康，由于受教育机会不多而造成的高文盲率，死亡率和发病率日益上升，艾滋病毒</w:t>
      </w:r>
      <w:r>
        <w:rPr>
          <w:rFonts w:hint="eastAsia"/>
        </w:rPr>
        <w:t>/</w:t>
      </w:r>
      <w:r>
        <w:rPr>
          <w:rFonts w:hint="eastAsia"/>
        </w:rPr>
        <w:t>艾滋病发生率高，无家可归和住房不足，环境不安全，吸毒，经常遭受基于性别的暴力和贩卖妇女等。阿尔巴尼亚政府也没有解决根据这些宏观经济政策建立的家庭支助制度、社会机构和安全网所未包括的低收入工人和其他部门人口的贫穷问题。</w:t>
      </w:r>
    </w:p>
    <w:p w:rsidR="00BE7568" w:rsidRDefault="00BE7568" w:rsidP="00BE7568">
      <w:pPr>
        <w:pStyle w:val="Date"/>
        <w:numPr>
          <w:ilvl w:val="0"/>
          <w:numId w:val="5"/>
        </w:numPr>
        <w:tabs>
          <w:tab w:val="clear" w:pos="360"/>
          <w:tab w:val="left" w:pos="420"/>
        </w:tabs>
        <w:spacing w:after="140" w:line="340" w:lineRule="exact"/>
        <w:ind w:left="0" w:firstLine="0"/>
        <w:rPr>
          <w:rFonts w:hint="eastAsia"/>
        </w:rPr>
      </w:pPr>
      <w:r>
        <w:rPr>
          <w:rFonts w:hint="eastAsia"/>
        </w:rPr>
        <w:t>阿尔巴尼亚政府强调了政治、经济和社会几种因素对社会塑造的僵化不变的性别角色的转化作用。但事实是，妇女参与政治领导、享受教育和培训及生产资源的机会有限，这只能增加她们的问题，加剧她们的不安全，使她们更易受到性剥削的伤害。政府必须作出重大努力将性别观点纳入其经济分析和规划的主流。</w:t>
      </w:r>
    </w:p>
    <w:p w:rsidR="00BE7568" w:rsidRDefault="00BE7568" w:rsidP="00BE7568">
      <w:pPr>
        <w:numPr>
          <w:ilvl w:val="0"/>
          <w:numId w:val="5"/>
        </w:numPr>
        <w:tabs>
          <w:tab w:val="clear" w:pos="360"/>
          <w:tab w:val="left" w:pos="420"/>
        </w:tabs>
        <w:spacing w:after="140" w:line="320" w:lineRule="exact"/>
        <w:ind w:left="0" w:firstLine="0"/>
        <w:rPr>
          <w:rFonts w:hint="eastAsia"/>
        </w:rPr>
      </w:pPr>
      <w:r>
        <w:rPr>
          <w:rFonts w:hint="eastAsia"/>
        </w:rPr>
        <w:t>她希望能提供关于该缔约国</w:t>
      </w:r>
      <w:r>
        <w:rPr>
          <w:rFonts w:hint="eastAsia"/>
        </w:rPr>
        <w:t>1993</w:t>
      </w:r>
      <w:r>
        <w:rPr>
          <w:rFonts w:hint="eastAsia"/>
        </w:rPr>
        <w:t>年制订的社会援助方案和阿尔巴尼亚发展基金提供的非商业性微额贷款及其对妇女影响（</w:t>
      </w:r>
      <w:r>
        <w:rPr>
          <w:rFonts w:hint="eastAsia"/>
        </w:rPr>
        <w:t>CEDAW/C/ALB/1-2</w:t>
      </w:r>
      <w:r>
        <w:rPr>
          <w:rFonts w:hint="eastAsia"/>
        </w:rPr>
        <w:t>，第</w:t>
      </w:r>
      <w:r>
        <w:rPr>
          <w:rFonts w:hint="eastAsia"/>
        </w:rPr>
        <w:t>52</w:t>
      </w:r>
      <w:r>
        <w:rPr>
          <w:rFonts w:hint="eastAsia"/>
        </w:rPr>
        <w:t>页）的更多信息。最好还提供关于从这些援助中实际获益的妇女人数的资料。</w:t>
      </w:r>
    </w:p>
    <w:p w:rsidR="00BE7568" w:rsidRDefault="00BE7568">
      <w:pPr>
        <w:spacing w:after="140" w:line="320" w:lineRule="exact"/>
        <w:rPr>
          <w:rFonts w:ascii="KaiTi_GB2312" w:eastAsia="KaiTi_GB2312" w:hAnsi="STKaiti" w:hint="eastAsia"/>
          <w:color w:val="0000FF"/>
        </w:rPr>
      </w:pPr>
      <w:r>
        <w:rPr>
          <w:rFonts w:ascii="KaiTi_GB2312" w:eastAsia="KaiTi_GB2312" w:hAnsi="STKaiti" w:hint="eastAsia"/>
          <w:color w:val="0000FF"/>
        </w:rPr>
        <w:t>第14条</w:t>
      </w:r>
    </w:p>
    <w:p w:rsidR="00BE7568" w:rsidRDefault="00BE7568" w:rsidP="00BE7568">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Sch</w:t>
      </w:r>
      <w:r>
        <w:rPr>
          <w:rFonts w:eastAsia="SimHei"/>
          <w:b/>
          <w:color w:val="FF0000"/>
        </w:rPr>
        <w:t>ö</w:t>
      </w:r>
      <w:r>
        <w:rPr>
          <w:rFonts w:eastAsia="SimHei" w:hint="eastAsia"/>
          <w:b/>
          <w:color w:val="FF0000"/>
        </w:rPr>
        <w:t>pp</w:t>
      </w:r>
      <w:r>
        <w:rPr>
          <w:rFonts w:eastAsia="SimHei" w:hint="eastAsia"/>
          <w:bCs/>
          <w:color w:val="FF0000"/>
        </w:rPr>
        <w:t>-</w:t>
      </w:r>
      <w:r>
        <w:rPr>
          <w:rFonts w:eastAsia="SimHei" w:hint="eastAsia"/>
          <w:b/>
          <w:color w:val="FF0000"/>
        </w:rPr>
        <w:t>Schilling</w:t>
      </w:r>
      <w:r>
        <w:rPr>
          <w:rFonts w:eastAsia="SimHei" w:hint="eastAsia"/>
          <w:bCs/>
          <w:color w:val="FF0000"/>
        </w:rPr>
        <w:t>女士</w:t>
      </w:r>
      <w:r>
        <w:rPr>
          <w:rFonts w:hint="eastAsia"/>
        </w:rPr>
        <w:t>注意到</w:t>
      </w:r>
      <w:r>
        <w:rPr>
          <w:rFonts w:hint="eastAsia"/>
        </w:rPr>
        <w:t>60%</w:t>
      </w:r>
      <w:r>
        <w:rPr>
          <w:rFonts w:hint="eastAsia"/>
        </w:rPr>
        <w:t>的阿尔巴尼亚人生活在农村地区，其中将近一半是妇女，她对妇女不能拥有土地或得到贷款，并且不能充分享受保健服务和教育表示关注。甚至在解决陈规定型观念问题以前，平等机会委员会和阿尔巴尼亚政府必须，或许与国际组织和双边组织合作，提高年轻母亲和前途受到威胁的女童的生活水平。不为农村妇女的既定目标投资，不过是目光短浅的表现。</w:t>
      </w:r>
    </w:p>
    <w:p w:rsidR="00BE7568" w:rsidRDefault="00BE7568" w:rsidP="00BE7568">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Patten</w:t>
      </w:r>
      <w:r>
        <w:rPr>
          <w:rFonts w:eastAsia="SimHei" w:hint="eastAsia"/>
          <w:bCs/>
          <w:color w:val="FF0000"/>
        </w:rPr>
        <w:t>女士</w:t>
      </w:r>
      <w:r>
        <w:rPr>
          <w:rFonts w:hint="eastAsia"/>
        </w:rPr>
        <w:t>称赞缔约国如实描绘了农村人口特别是妇女所处的困境，她们生活在贫困线以下，文盲率高，没有自来水，电力供应不足，没有社会保险，得不到贷款和充分的保健服务（保健设施没有医生，只有护士和助产士）。但除了代表团介绍性说明中提到的“政治意愿”外，报告没有提供关于正采取什么措施来解决这一问题的信息。她希望能提供详细资料说明政府正采取什么具体措施来帮助农村妇女。</w:t>
      </w:r>
    </w:p>
    <w:p w:rsidR="00BE7568" w:rsidRDefault="00BE7568">
      <w:pPr>
        <w:spacing w:after="140" w:line="320" w:lineRule="exact"/>
        <w:rPr>
          <w:rFonts w:ascii="KaiTi_GB2312" w:eastAsia="KaiTi_GB2312" w:hAnsi="STKaiti" w:hint="eastAsia"/>
          <w:color w:val="0000FF"/>
        </w:rPr>
      </w:pPr>
      <w:r>
        <w:rPr>
          <w:rFonts w:ascii="KaiTi_GB2312" w:eastAsia="KaiTi_GB2312" w:hAnsi="STKaiti" w:hint="eastAsia"/>
          <w:color w:val="0000FF"/>
        </w:rPr>
        <w:t>第15条</w:t>
      </w:r>
    </w:p>
    <w:p w:rsidR="00BE7568" w:rsidRDefault="00BE7568" w:rsidP="00BE7568">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Flinterman</w:t>
      </w:r>
      <w:r>
        <w:rPr>
          <w:rFonts w:eastAsia="SimHei" w:hint="eastAsia"/>
          <w:bCs/>
          <w:color w:val="FF0000"/>
        </w:rPr>
        <w:t>先生</w:t>
      </w:r>
      <w:r>
        <w:rPr>
          <w:rFonts w:hint="eastAsia"/>
        </w:rPr>
        <w:t>说，如果不能平等享受法律补救，妇女权利就没有意义。令他关注的是，根据该报告，阿尔巴尼亚妇女没有要求她们的权利，因为她们往往不能充分认识这些权利，他对政府没有制订具体方案来提高妇女的法律知识（</w:t>
      </w:r>
      <w:r>
        <w:rPr>
          <w:rFonts w:hint="eastAsia"/>
        </w:rPr>
        <w:t>CEDAW/C/ALB/1-2</w:t>
      </w:r>
      <w:r>
        <w:rPr>
          <w:rFonts w:hint="eastAsia"/>
        </w:rPr>
        <w:t>，第</w:t>
      </w:r>
      <w:r>
        <w:rPr>
          <w:rFonts w:hint="eastAsia"/>
        </w:rPr>
        <w:t>58</w:t>
      </w:r>
      <w:r>
        <w:rPr>
          <w:rFonts w:hint="eastAsia"/>
        </w:rPr>
        <w:t>页）尤其感到关注。他强调必须采取此类行动，可以与非政府组织、提高妇女地位司和联合国人权事务高级专员办事处共同执行。</w:t>
      </w:r>
    </w:p>
    <w:p w:rsidR="00BE7568" w:rsidRDefault="00BE7568" w:rsidP="00BE7568">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Š</w:t>
      </w:r>
      <w:r>
        <w:rPr>
          <w:rFonts w:eastAsia="SimHei" w:hint="eastAsia"/>
          <w:b/>
          <w:color w:val="FF0000"/>
        </w:rPr>
        <w:t>imonovi</w:t>
      </w:r>
      <w:r>
        <w:rPr>
          <w:rFonts w:eastAsia="SimHei"/>
          <w:b/>
          <w:color w:val="FF0000"/>
        </w:rPr>
        <w:t>ć</w:t>
      </w:r>
      <w:r>
        <w:rPr>
          <w:rFonts w:eastAsia="SimHei" w:hint="eastAsia"/>
          <w:bCs/>
          <w:color w:val="FF0000"/>
        </w:rPr>
        <w:t>女士</w:t>
      </w:r>
      <w:r>
        <w:rPr>
          <w:rFonts w:hint="eastAsia"/>
        </w:rPr>
        <w:t>注意到宪法关于法律面前男女平等的保证（</w:t>
      </w:r>
      <w:r>
        <w:rPr>
          <w:rFonts w:hint="eastAsia"/>
        </w:rPr>
        <w:t>CEDAW/C/ALB/1-2</w:t>
      </w:r>
      <w:r>
        <w:rPr>
          <w:rFonts w:hint="eastAsia"/>
        </w:rPr>
        <w:t>，第</w:t>
      </w:r>
      <w:r>
        <w:rPr>
          <w:rFonts w:hint="eastAsia"/>
        </w:rPr>
        <w:t>57</w:t>
      </w:r>
      <w:r>
        <w:rPr>
          <w:rFonts w:hint="eastAsia"/>
        </w:rPr>
        <w:t>页）和继承权与所有权方面的实际现状之间存在差异。现实情况是，妇女结婚后就搬到丈夫的家里去住，一般由男子继承土地，或者是妇女在结婚后被剥夺夫妻共有财产，因为土地一般是以户主的姓名登记的（</w:t>
      </w:r>
      <w:r>
        <w:rPr>
          <w:rFonts w:hint="eastAsia"/>
        </w:rPr>
        <w:t>CEDAW/C/ALB/1-2</w:t>
      </w:r>
      <w:r>
        <w:rPr>
          <w:rFonts w:hint="eastAsia"/>
        </w:rPr>
        <w:t>，第</w:t>
      </w:r>
      <w:r>
        <w:rPr>
          <w:rFonts w:hint="eastAsia"/>
        </w:rPr>
        <w:t>24</w:t>
      </w:r>
      <w:r>
        <w:rPr>
          <w:rFonts w:hint="eastAsia"/>
        </w:rPr>
        <w:t>页）。这违反了阿尔巴尼亚《宪法》和《欧洲人权公约》。她希望就此作出澄清。</w:t>
      </w:r>
    </w:p>
    <w:p w:rsidR="00BE7568" w:rsidRDefault="00BE7568" w:rsidP="00BE7568">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Morvai</w:t>
      </w:r>
      <w:r>
        <w:rPr>
          <w:rFonts w:eastAsia="SimHei" w:hint="eastAsia"/>
          <w:bCs/>
          <w:color w:val="FF0000"/>
        </w:rPr>
        <w:t>女士</w:t>
      </w:r>
      <w:r>
        <w:rPr>
          <w:rFonts w:hint="eastAsia"/>
        </w:rPr>
        <w:t>说，向所有的刑事案件——其中</w:t>
      </w:r>
      <w:r>
        <w:rPr>
          <w:rFonts w:hint="eastAsia"/>
        </w:rPr>
        <w:t>90%</w:t>
      </w:r>
      <w:r>
        <w:rPr>
          <w:rFonts w:hint="eastAsia"/>
        </w:rPr>
        <w:t>的被告是男子——但不向一般由妇女提起诉讼的民事、家庭或与就业相关的案件提供免费法律援助，这一做法带有歧视性。特别是在离婚或家庭暴力案件中，不能向司法制度申诉的女性受害者可能被迫继续与施虐的丈夫一起生活。</w:t>
      </w:r>
    </w:p>
    <w:p w:rsidR="00BE7568" w:rsidRDefault="00BE7568" w:rsidP="00BE7568">
      <w:pPr>
        <w:numPr>
          <w:ilvl w:val="0"/>
          <w:numId w:val="5"/>
        </w:numPr>
        <w:tabs>
          <w:tab w:val="clear" w:pos="360"/>
          <w:tab w:val="left" w:pos="420"/>
        </w:tabs>
        <w:spacing w:after="140" w:line="320" w:lineRule="exact"/>
        <w:ind w:left="0" w:firstLine="0"/>
        <w:rPr>
          <w:rFonts w:hint="eastAsia"/>
        </w:rPr>
      </w:pPr>
      <w:r>
        <w:rPr>
          <w:rFonts w:hint="eastAsia"/>
        </w:rPr>
        <w:t>谈到移徙自由和居住地选择的问题时，她询问妇女婚后搬到丈夫的居住地点是法律规定，还是习惯使然。她还对农村家庭根据《民法》选举一家之主感到不解，表示希望对该法律进行修改。</w:t>
      </w:r>
    </w:p>
    <w:p w:rsidR="00BE7568" w:rsidRDefault="00BE7568" w:rsidP="00BE7568">
      <w:pPr>
        <w:numPr>
          <w:ilvl w:val="0"/>
          <w:numId w:val="5"/>
        </w:numPr>
        <w:tabs>
          <w:tab w:val="clear" w:pos="360"/>
          <w:tab w:val="left" w:pos="420"/>
        </w:tabs>
        <w:spacing w:after="140" w:line="320" w:lineRule="exact"/>
        <w:ind w:left="0" w:firstLine="0"/>
        <w:rPr>
          <w:rFonts w:hint="eastAsia"/>
        </w:rPr>
      </w:pPr>
      <w:r>
        <w:rPr>
          <w:rFonts w:eastAsia="SimHei" w:hint="eastAsia"/>
          <w:b/>
          <w:color w:val="FF0000"/>
        </w:rPr>
        <w:t>Gnacadja</w:t>
      </w:r>
      <w:r>
        <w:rPr>
          <w:rFonts w:eastAsia="SimHei" w:hint="eastAsia"/>
          <w:bCs/>
          <w:color w:val="FF0000"/>
        </w:rPr>
        <w:t>女士</w:t>
      </w:r>
      <w:r>
        <w:rPr>
          <w:rFonts w:hint="eastAsia"/>
        </w:rPr>
        <w:t>想得到关于精神病或心理发育又全不会被用作剥夺妇女法律行为能力的藉口的保证。妇女在接管户主变卖或管理不善的家庭财产或（必要的话）就此提起法律诉讼之前必须听从其他男性家庭成员的意见，这一点做法具有很强的歧视性。同样令人不安的是，私人公司不能以妇女的名义注册，这意味着既使妇女对公司的投资比例很大，妇女也没有代表公司的法定权力。她呼吁进行法律改革，以使阿尔巴尼亚的立法与《宪法》保持一致。</w:t>
      </w:r>
    </w:p>
    <w:p w:rsidR="00BE7568" w:rsidRDefault="00BE7568" w:rsidP="00BE7568">
      <w:pPr>
        <w:numPr>
          <w:ilvl w:val="0"/>
          <w:numId w:val="5"/>
        </w:numPr>
        <w:tabs>
          <w:tab w:val="clear" w:pos="360"/>
          <w:tab w:val="left" w:pos="420"/>
        </w:tabs>
        <w:spacing w:after="140" w:line="330" w:lineRule="exact"/>
        <w:ind w:left="0" w:firstLine="0"/>
        <w:rPr>
          <w:rFonts w:hint="eastAsia"/>
        </w:rPr>
      </w:pPr>
      <w:r>
        <w:rPr>
          <w:rFonts w:eastAsia="SimHei" w:hint="eastAsia"/>
          <w:b/>
          <w:color w:val="FF0000"/>
        </w:rPr>
        <w:t>Patten</w:t>
      </w:r>
      <w:r>
        <w:rPr>
          <w:rFonts w:eastAsia="SimHei" w:hint="eastAsia"/>
          <w:bCs/>
          <w:color w:val="FF0000"/>
        </w:rPr>
        <w:t>女士</w:t>
      </w:r>
      <w:r>
        <w:rPr>
          <w:rFonts w:hint="eastAsia"/>
        </w:rPr>
        <w:t>请代表团说出在民事案件中向易受伤害群体免费提供法律援助的政府协会（</w:t>
      </w:r>
      <w:r>
        <w:rPr>
          <w:rFonts w:hint="eastAsia"/>
        </w:rPr>
        <w:t>CEDAW/C/ALB/1-2</w:t>
      </w:r>
      <w:r>
        <w:rPr>
          <w:rFonts w:hint="eastAsia"/>
        </w:rPr>
        <w:t>，第</w:t>
      </w:r>
      <w:r>
        <w:rPr>
          <w:rFonts w:hint="eastAsia"/>
        </w:rPr>
        <w:t>59</w:t>
      </w:r>
      <w:r>
        <w:rPr>
          <w:rFonts w:hint="eastAsia"/>
        </w:rPr>
        <w:t>页）名称，并提供关于从这些援助中实际获益的妇女人数和妇女犯罪率的数据。缔约国应详细说明关于刑事案件中法定合法代表权的《民事诉讼法》第</w:t>
      </w:r>
      <w:r>
        <w:rPr>
          <w:rFonts w:hint="eastAsia"/>
        </w:rPr>
        <w:t>22</w:t>
      </w:r>
      <w:r>
        <w:rPr>
          <w:rFonts w:hint="eastAsia"/>
        </w:rPr>
        <w:t>条，并提供关于阿尔巴尼亚法律援助预算的详细信息。</w:t>
      </w:r>
    </w:p>
    <w:p w:rsidR="00BE7568" w:rsidRDefault="00BE7568">
      <w:pPr>
        <w:spacing w:after="140" w:line="330" w:lineRule="exact"/>
        <w:rPr>
          <w:rFonts w:ascii="KaiTi_GB2312" w:eastAsia="KaiTi_GB2312" w:hAnsi="STKaiti" w:hint="eastAsia"/>
          <w:color w:val="0000FF"/>
        </w:rPr>
      </w:pPr>
      <w:r>
        <w:rPr>
          <w:rFonts w:ascii="KaiTi_GB2312" w:eastAsia="KaiTi_GB2312" w:hAnsi="STKaiti" w:hint="eastAsia"/>
          <w:color w:val="0000FF"/>
        </w:rPr>
        <w:t>第16条</w:t>
      </w:r>
    </w:p>
    <w:p w:rsidR="00BE7568" w:rsidRDefault="00BE7568" w:rsidP="00BE7568">
      <w:pPr>
        <w:numPr>
          <w:ilvl w:val="0"/>
          <w:numId w:val="5"/>
        </w:numPr>
        <w:tabs>
          <w:tab w:val="clear" w:pos="360"/>
          <w:tab w:val="left" w:pos="420"/>
        </w:tabs>
        <w:spacing w:after="140" w:line="330" w:lineRule="exact"/>
        <w:ind w:left="0" w:firstLine="0"/>
        <w:rPr>
          <w:rFonts w:hint="eastAsia"/>
        </w:rPr>
      </w:pPr>
      <w:r>
        <w:rPr>
          <w:rFonts w:eastAsia="SimHei" w:hint="eastAsia"/>
          <w:b/>
          <w:color w:val="FF0000"/>
        </w:rPr>
        <w:t>Kuenyehia</w:t>
      </w:r>
      <w:r>
        <w:rPr>
          <w:rFonts w:eastAsia="SimHei" w:hint="eastAsia"/>
          <w:bCs/>
          <w:color w:val="FF0000"/>
        </w:rPr>
        <w:t>女士询问</w:t>
      </w:r>
      <w:r>
        <w:rPr>
          <w:rFonts w:hint="eastAsia"/>
        </w:rPr>
        <w:t>政府正在采取什么措施来确保法律上和事实上的男女平等。必须修改的一个方面是结婚的法定年龄差异。根据《民法》，配偶有享有共同财产的平等权利，但婚后搬到丈夫家居住的妇女通常不能要求对房屋的权利，那么在离婚或丈夫死亡情况下应当如何处理房屋，这一点报告没有说明。</w:t>
      </w:r>
    </w:p>
    <w:p w:rsidR="00BE7568" w:rsidRDefault="00BE7568" w:rsidP="00BE7568">
      <w:pPr>
        <w:numPr>
          <w:ilvl w:val="0"/>
          <w:numId w:val="5"/>
        </w:numPr>
        <w:tabs>
          <w:tab w:val="clear" w:pos="360"/>
          <w:tab w:val="left" w:pos="420"/>
        </w:tabs>
        <w:spacing w:after="140" w:line="330" w:lineRule="exact"/>
        <w:ind w:left="0" w:firstLine="0"/>
        <w:rPr>
          <w:rFonts w:hint="eastAsia"/>
        </w:rPr>
      </w:pPr>
      <w:r>
        <w:rPr>
          <w:rFonts w:eastAsia="SimHei" w:hint="eastAsia"/>
          <w:b/>
          <w:color w:val="FF0000"/>
        </w:rPr>
        <w:t>Saiga</w:t>
      </w:r>
      <w:r>
        <w:rPr>
          <w:rFonts w:eastAsia="SimHei" w:hint="eastAsia"/>
          <w:bCs/>
          <w:color w:val="FF0000"/>
        </w:rPr>
        <w:t>女士</w:t>
      </w:r>
      <w:r>
        <w:rPr>
          <w:rFonts w:hint="eastAsia"/>
        </w:rPr>
        <w:t>询问了从事新的《家庭关系法》工作的专家组的人员构成情况，以及平等机会委员会在这次修改中提供了多少帮助。她想知道将提案提交议会的程序以及目前讨论的具体问题。</w:t>
      </w:r>
    </w:p>
    <w:p w:rsidR="00BE7568" w:rsidRDefault="00BE7568" w:rsidP="00BE7568">
      <w:pPr>
        <w:numPr>
          <w:ilvl w:val="0"/>
          <w:numId w:val="5"/>
        </w:numPr>
        <w:tabs>
          <w:tab w:val="clear" w:pos="360"/>
          <w:tab w:val="left" w:pos="420"/>
        </w:tabs>
        <w:spacing w:after="140" w:line="330" w:lineRule="exact"/>
        <w:ind w:left="0" w:firstLine="0"/>
        <w:rPr>
          <w:rFonts w:hint="eastAsia"/>
        </w:rPr>
      </w:pPr>
      <w:r>
        <w:rPr>
          <w:rFonts w:eastAsia="SimHei" w:hint="eastAsia"/>
          <w:b/>
          <w:color w:val="FF0000"/>
        </w:rPr>
        <w:t>Ruci</w:t>
      </w:r>
      <w:r>
        <w:rPr>
          <w:rFonts w:eastAsia="SimHei" w:hint="eastAsia"/>
          <w:bCs/>
          <w:color w:val="FF0000"/>
        </w:rPr>
        <w:t>女士</w:t>
      </w:r>
      <w:r>
        <w:rPr>
          <w:rFonts w:hint="eastAsia"/>
        </w:rPr>
        <w:t>（阿尔巴尼亚）感谢委员会成员富有建设性的提问、意见和建议，她说代表团将在安排的日期作出答复。</w:t>
      </w:r>
    </w:p>
    <w:p w:rsidR="00BE7568" w:rsidRDefault="00BE7568">
      <w:pPr>
        <w:spacing w:after="140" w:line="320" w:lineRule="exact"/>
        <w:rPr>
          <w:rFonts w:ascii="KaiTi_GB2312" w:eastAsia="KaiTi_GB2312" w:hAnsi="STKaiti"/>
          <w:color w:val="0000FF"/>
        </w:rPr>
        <w:sectPr w:rsidR="00BE7568">
          <w:type w:val="continuous"/>
          <w:pgSz w:w="12242" w:h="15842" w:code="54"/>
          <w:pgMar w:top="1741" w:right="1196" w:bottom="1899" w:left="1196" w:header="578" w:footer="1032" w:gutter="0"/>
          <w:cols w:num="2" w:space="425"/>
          <w:titlePg/>
        </w:sectPr>
      </w:pPr>
      <w:r>
        <w:rPr>
          <w:rFonts w:ascii="KaiTi_GB2312" w:eastAsia="KaiTi_GB2312" w:hAnsi="STKaiti" w:hint="eastAsia"/>
          <w:color w:val="0000FF"/>
        </w:rPr>
        <w:t>下午3时40分散会</w:t>
      </w:r>
    </w:p>
    <w:p w:rsidR="00BE7568" w:rsidRDefault="00BE7568">
      <w:pPr>
        <w:spacing w:after="140" w:line="320" w:lineRule="exact"/>
        <w:rPr>
          <w:rFonts w:ascii="KaiTi_GB2312" w:eastAsia="KaiTi_GB2312" w:hAnsi="STKaiti"/>
          <w:color w:val="0000FF"/>
        </w:rPr>
      </w:pPr>
    </w:p>
    <w:p w:rsidR="00BE7568" w:rsidRDefault="00BE7568">
      <w:pPr>
        <w:pStyle w:val="Date"/>
        <w:spacing w:after="180" w:line="340" w:lineRule="exact"/>
        <w:rPr>
          <w:rFonts w:hint="eastAsia"/>
        </w:rPr>
      </w:pPr>
    </w:p>
    <w:p w:rsidR="00BE7568" w:rsidRDefault="00BE7568">
      <w:pPr>
        <w:rPr>
          <w:rFonts w:hint="eastAsia"/>
        </w:rPr>
      </w:pPr>
    </w:p>
    <w:sectPr w:rsidR="00BE7568">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E7568" w:rsidRDefault="00BE756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214</w:t>
      </w:r>
      <w:r>
        <w:t>74C&lt;&lt;ODS JOB NO&gt;&gt;</w:t>
      </w:r>
    </w:p>
    <w:p w:rsidR="00BE7568" w:rsidRDefault="00BE7568">
      <w:pPr>
        <w:pStyle w:val="CommentText"/>
      </w:pPr>
      <w:r>
        <w:t>&lt;&lt;ODS DOC SYMBOL1&gt;&gt;CEDAW/C/SR.5</w:t>
      </w:r>
      <w:r>
        <w:rPr>
          <w:rFonts w:hint="eastAsia"/>
        </w:rPr>
        <w:t>9</w:t>
      </w:r>
      <w:r>
        <w:t>5&lt;&lt;ODS DOC SYMBOL1&gt;&gt;</w:t>
      </w:r>
    </w:p>
    <w:p w:rsidR="00BE7568" w:rsidRDefault="00BE75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802C1">
      <w:pPr>
        <w:spacing w:line="240" w:lineRule="auto"/>
      </w:pPr>
      <w:r>
        <w:separator/>
      </w:r>
    </w:p>
  </w:endnote>
  <w:endnote w:type="continuationSeparator" w:id="0">
    <w:p w:rsidR="00000000" w:rsidRDefault="005802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568" w:rsidRDefault="00BE756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7568" w:rsidRDefault="00BE756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568" w:rsidRDefault="00BE756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BE7568" w:rsidRDefault="00BE756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568" w:rsidRDefault="00BE7568">
    <w:pPr>
      <w:pStyle w:val="Footer"/>
    </w:pPr>
  </w:p>
  <w:p w:rsidR="00BE7568" w:rsidRDefault="00BE7568">
    <w:pPr>
      <w:pStyle w:val="Footer"/>
      <w:pBdr>
        <w:top w:val="single" w:sz="2" w:space="0" w:color="000000"/>
      </w:pBdr>
      <w:rPr>
        <w:sz w:val="2"/>
      </w:rPr>
    </w:pPr>
  </w:p>
  <w:p w:rsidR="00BE7568" w:rsidRDefault="00BE7568">
    <w:pPr>
      <w:spacing w:before="60" w:after="120" w:line="240" w:lineRule="auto"/>
      <w:ind w:left="1264" w:right="1264"/>
      <w:rPr>
        <w:rFonts w:hint="eastAsia"/>
        <w:sz w:val="18"/>
      </w:rPr>
    </w:pPr>
    <w:r>
      <w:rPr>
        <w:rFonts w:hint="eastAsia"/>
        <w:sz w:val="18"/>
      </w:rPr>
      <w:t>本记录可以更正。</w:t>
    </w:r>
  </w:p>
  <w:p w:rsidR="00BE7568" w:rsidRDefault="00BE7568">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BE7568" w:rsidRDefault="00BE7568">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BE7568" w:rsidRDefault="00BE7568">
    <w:pPr>
      <w:pStyle w:val="FootnoteText"/>
      <w:rPr>
        <w:rFonts w:hint="eastAsia"/>
        <w:sz w:val="21"/>
      </w:rPr>
    </w:pPr>
    <w:r>
      <w:rPr>
        <w:rFonts w:hint="eastAsia"/>
        <w:sz w:val="21"/>
      </w:rPr>
      <w:t>0</w:t>
    </w:r>
    <w:r>
      <w:rPr>
        <w:sz w:val="21"/>
      </w:rPr>
      <w:t>3</w:t>
    </w:r>
    <w:r>
      <w:rPr>
        <w:rFonts w:hint="eastAsia"/>
        <w:sz w:val="21"/>
      </w:rPr>
      <w:t>-214</w:t>
    </w:r>
    <w:r>
      <w:rPr>
        <w:sz w:val="21"/>
      </w:rPr>
      <w:t>74(C)</w:t>
    </w:r>
  </w:p>
  <w:p w:rsidR="00BE7568" w:rsidRDefault="00BE7568">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214</w:t>
    </w:r>
    <w:r>
      <w:rPr>
        <w:rFonts w:ascii="Barcode 3 of 9 by request" w:hAnsi="Barcode 3 of 9 by request"/>
        <w:b/>
        <w:bCs/>
        <w:sz w:val="21"/>
      </w:rPr>
      <w:t>74</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802C1">
      <w:pPr>
        <w:spacing w:line="240" w:lineRule="auto"/>
      </w:pPr>
      <w:r>
        <w:separator/>
      </w:r>
    </w:p>
  </w:footnote>
  <w:footnote w:type="continuationSeparator" w:id="0">
    <w:p w:rsidR="00000000" w:rsidRDefault="005802C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568" w:rsidRDefault="00BE7568">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E7568">
                  <w:tblPrEx>
                    <w:tblCellMar>
                      <w:top w:w="0" w:type="dxa"/>
                      <w:bottom w:w="0" w:type="dxa"/>
                    </w:tblCellMar>
                  </w:tblPrEx>
                  <w:trPr>
                    <w:trHeight w:hRule="exact" w:val="864"/>
                  </w:trPr>
                  <w:tc>
                    <w:tcPr>
                      <w:tcW w:w="4838" w:type="dxa"/>
                      <w:vAlign w:val="bottom"/>
                    </w:tcPr>
                    <w:p w:rsidR="00BE7568" w:rsidRDefault="00BE7568">
                      <w:pPr>
                        <w:pStyle w:val="Header"/>
                        <w:pBdr>
                          <w:bottom w:val="none" w:sz="0" w:space="0" w:color="auto"/>
                        </w:pBdr>
                        <w:spacing w:after="80"/>
                        <w:jc w:val="both"/>
                        <w:rPr>
                          <w:b/>
                        </w:rPr>
                      </w:pPr>
                      <w:r>
                        <w:rPr>
                          <w:b/>
                        </w:rPr>
                        <w:t>CEDAW/C/SR.5</w:t>
                      </w:r>
                      <w:r>
                        <w:rPr>
                          <w:rFonts w:hint="eastAsia"/>
                          <w:b/>
                        </w:rPr>
                        <w:t>9</w:t>
                      </w:r>
                      <w:r>
                        <w:rPr>
                          <w:b/>
                        </w:rPr>
                        <w:t>5</w:t>
                      </w:r>
                    </w:p>
                  </w:tc>
                  <w:tc>
                    <w:tcPr>
                      <w:tcW w:w="5048" w:type="dxa"/>
                      <w:tcBorders>
                        <w:bottom w:val="single" w:sz="4" w:space="0" w:color="auto"/>
                      </w:tcBorders>
                      <w:vAlign w:val="bottom"/>
                    </w:tcPr>
                    <w:p w:rsidR="00BE7568" w:rsidRDefault="00BE7568">
                      <w:pPr>
                        <w:pStyle w:val="Header"/>
                        <w:pBdr>
                          <w:bottom w:val="none" w:sz="0" w:space="0" w:color="auto"/>
                        </w:pBdr>
                      </w:pPr>
                    </w:p>
                  </w:tc>
                </w:tr>
              </w:tbl>
              <w:p w:rsidR="00BE7568" w:rsidRDefault="00BE756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568" w:rsidRDefault="00BE756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E7568">
                  <w:tblPrEx>
                    <w:tblCellMar>
                      <w:top w:w="0" w:type="dxa"/>
                      <w:bottom w:w="0" w:type="dxa"/>
                    </w:tblCellMar>
                  </w:tblPrEx>
                  <w:trPr>
                    <w:trHeight w:hRule="exact" w:val="864"/>
                  </w:trPr>
                  <w:tc>
                    <w:tcPr>
                      <w:tcW w:w="4838" w:type="dxa"/>
                      <w:tcBorders>
                        <w:bottom w:val="single" w:sz="4" w:space="0" w:color="auto"/>
                      </w:tcBorders>
                      <w:vAlign w:val="bottom"/>
                    </w:tcPr>
                    <w:p w:rsidR="00BE7568" w:rsidRDefault="00BE7568">
                      <w:pPr>
                        <w:pStyle w:val="Header"/>
                        <w:pBdr>
                          <w:bottom w:val="none" w:sz="0" w:space="0" w:color="auto"/>
                        </w:pBdr>
                      </w:pPr>
                    </w:p>
                  </w:tc>
                  <w:tc>
                    <w:tcPr>
                      <w:tcW w:w="5048" w:type="dxa"/>
                      <w:vAlign w:val="bottom"/>
                    </w:tcPr>
                    <w:p w:rsidR="00BE7568" w:rsidRDefault="00BE7568">
                      <w:pPr>
                        <w:pStyle w:val="Header"/>
                        <w:pBdr>
                          <w:bottom w:val="none" w:sz="0" w:space="0" w:color="auto"/>
                        </w:pBdr>
                        <w:spacing w:after="80"/>
                        <w:jc w:val="right"/>
                        <w:rPr>
                          <w:b/>
                        </w:rPr>
                      </w:pPr>
                      <w:r>
                        <w:rPr>
                          <w:b/>
                        </w:rPr>
                        <w:t>CEDAW/C/SR.5</w:t>
                      </w:r>
                      <w:r>
                        <w:rPr>
                          <w:rFonts w:hint="eastAsia"/>
                          <w:b/>
                        </w:rPr>
                        <w:t>9</w:t>
                      </w:r>
                      <w:r>
                        <w:rPr>
                          <w:b/>
                        </w:rPr>
                        <w:t>5</w:t>
                      </w:r>
                    </w:p>
                  </w:tc>
                </w:tr>
              </w:tbl>
              <w:p w:rsidR="00BE7568" w:rsidRDefault="00BE756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E756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E7568" w:rsidRDefault="00BE7568">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BE7568" w:rsidRDefault="00BE7568">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BE7568" w:rsidRDefault="00BE7568">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BE7568" w:rsidRDefault="00BE7568">
          <w:pPr>
            <w:spacing w:line="240" w:lineRule="auto"/>
            <w:jc w:val="right"/>
            <w:rPr>
              <w:position w:val="-4"/>
              <w:sz w:val="20"/>
            </w:rPr>
          </w:pPr>
          <w:r>
            <w:rPr>
              <w:position w:val="-4"/>
              <w:sz w:val="36"/>
            </w:rPr>
            <w:t>CEDAW</w:t>
          </w:r>
          <w:r>
            <w:rPr>
              <w:position w:val="-4"/>
            </w:rPr>
            <w:t>/C/SR.5</w:t>
          </w:r>
          <w:r>
            <w:rPr>
              <w:rFonts w:hint="eastAsia"/>
              <w:position w:val="-4"/>
            </w:rPr>
            <w:t>9</w:t>
          </w:r>
          <w:r>
            <w:rPr>
              <w:position w:val="-4"/>
            </w:rPr>
            <w:t>5</w:t>
          </w:r>
        </w:p>
      </w:tc>
    </w:tr>
    <w:tr w:rsidR="00BE7568">
      <w:tblPrEx>
        <w:tblCellMar>
          <w:top w:w="0" w:type="dxa"/>
          <w:bottom w:w="0" w:type="dxa"/>
        </w:tblCellMar>
      </w:tblPrEx>
      <w:trPr>
        <w:trHeight w:hRule="exact" w:val="2880"/>
      </w:trPr>
      <w:tc>
        <w:tcPr>
          <w:tcW w:w="1267" w:type="dxa"/>
          <w:tcBorders>
            <w:left w:val="nil"/>
            <w:bottom w:val="single" w:sz="12" w:space="0" w:color="auto"/>
            <w:right w:val="nil"/>
          </w:tcBorders>
        </w:tcPr>
        <w:p w:rsidR="00BE7568" w:rsidRDefault="00BE7568">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E7568" w:rsidRDefault="00BE7568">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BE7568" w:rsidRDefault="00BE7568">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BE7568" w:rsidRDefault="00BE7568">
          <w:pPr>
            <w:pStyle w:val="Header"/>
            <w:pBdr>
              <w:bottom w:val="none" w:sz="0" w:space="0" w:color="auto"/>
            </w:pBdr>
            <w:spacing w:before="109"/>
          </w:pPr>
        </w:p>
      </w:tc>
      <w:tc>
        <w:tcPr>
          <w:tcW w:w="3180" w:type="dxa"/>
          <w:gridSpan w:val="2"/>
          <w:tcBorders>
            <w:left w:val="nil"/>
            <w:bottom w:val="single" w:sz="12" w:space="0" w:color="auto"/>
            <w:right w:val="nil"/>
          </w:tcBorders>
        </w:tcPr>
        <w:p w:rsidR="00BE7568" w:rsidRDefault="00BE7568">
          <w:pPr>
            <w:spacing w:before="240" w:line="240" w:lineRule="exact"/>
          </w:pPr>
          <w:r>
            <w:t>Distr.: General</w:t>
          </w:r>
        </w:p>
        <w:p w:rsidR="00BE7568" w:rsidRDefault="00BE7568">
          <w:pPr>
            <w:spacing w:line="240" w:lineRule="exact"/>
          </w:pPr>
          <w:r>
            <w:t>1 June 2004</w:t>
          </w:r>
        </w:p>
        <w:p w:rsidR="00BE7568" w:rsidRDefault="00BE7568">
          <w:pPr>
            <w:spacing w:line="240" w:lineRule="exact"/>
          </w:pPr>
          <w:r>
            <w:t>Chinese</w:t>
          </w:r>
        </w:p>
        <w:p w:rsidR="00BE7568" w:rsidRDefault="00BE7568">
          <w:pPr>
            <w:spacing w:line="240" w:lineRule="exact"/>
          </w:pPr>
          <w:r>
            <w:t>Original: English</w:t>
          </w:r>
        </w:p>
      </w:tc>
    </w:tr>
  </w:tbl>
  <w:p w:rsidR="00BE7568" w:rsidRDefault="00BE7568">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A2F8A"/>
    <w:multiLevelType w:val="hybridMultilevel"/>
    <w:tmpl w:val="BC2C8580"/>
    <w:lvl w:ilvl="0" w:tplc="CC069C8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7568"/>
    <w:rsid w:val="005802C1"/>
    <w:rsid w:val="00BE75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BE75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TotalTime>
  <Pages>3</Pages>
  <Words>361</Words>
  <Characters>2063</Characters>
  <Application>Microsoft Office Word</Application>
  <DocSecurity>4</DocSecurity>
  <Lines>17</Lines>
  <Paragraphs>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4</cp:revision>
  <cp:lastPrinted>2004-06-01T12:56:00Z</cp:lastPrinted>
  <dcterms:created xsi:type="dcterms:W3CDTF">2004-06-01T12:55:00Z</dcterms:created>
  <dcterms:modified xsi:type="dcterms:W3CDTF">2004-06-01T13:37:00Z</dcterms:modified>
</cp:coreProperties>
</file>