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240D1915" w14:textId="77777777" w:rsidTr="00AB3619">
        <w:trPr>
          <w:trHeight w:hRule="exact" w:val="851"/>
        </w:trPr>
        <w:tc>
          <w:tcPr>
            <w:tcW w:w="1280" w:type="dxa"/>
            <w:tcBorders>
              <w:bottom w:val="single" w:sz="4" w:space="0" w:color="auto"/>
            </w:tcBorders>
          </w:tcPr>
          <w:p w14:paraId="11479ED1"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03A47991"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57D867A5" w14:textId="77777777" w:rsidR="000A2080" w:rsidRPr="00884C15" w:rsidRDefault="00884C15" w:rsidP="00AB3619">
            <w:pPr>
              <w:spacing w:line="240" w:lineRule="atLeast"/>
              <w:jc w:val="right"/>
              <w:rPr>
                <w:sz w:val="20"/>
                <w:szCs w:val="21"/>
              </w:rPr>
            </w:pPr>
            <w:r w:rsidRPr="00884C15">
              <w:rPr>
                <w:sz w:val="40"/>
                <w:szCs w:val="21"/>
              </w:rPr>
              <w:t>E</w:t>
            </w:r>
            <w:r>
              <w:rPr>
                <w:sz w:val="20"/>
                <w:szCs w:val="21"/>
              </w:rPr>
              <w:t>/</w:t>
            </w:r>
            <w:proofErr w:type="spellStart"/>
            <w:r>
              <w:rPr>
                <w:sz w:val="20"/>
                <w:szCs w:val="21"/>
              </w:rPr>
              <w:t>C.12</w:t>
            </w:r>
            <w:proofErr w:type="spellEnd"/>
            <w:r>
              <w:rPr>
                <w:sz w:val="20"/>
                <w:szCs w:val="21"/>
              </w:rPr>
              <w:t>/</w:t>
            </w:r>
            <w:proofErr w:type="spellStart"/>
            <w:r>
              <w:rPr>
                <w:sz w:val="20"/>
                <w:szCs w:val="21"/>
              </w:rPr>
              <w:t>TJK</w:t>
            </w:r>
            <w:proofErr w:type="spellEnd"/>
            <w:r>
              <w:rPr>
                <w:sz w:val="20"/>
                <w:szCs w:val="21"/>
              </w:rPr>
              <w:t>/CO/4</w:t>
            </w:r>
          </w:p>
        </w:tc>
      </w:tr>
      <w:tr w:rsidR="000A2080" w:rsidRPr="002C14C6" w14:paraId="4AB7B61D" w14:textId="77777777" w:rsidTr="00AB3619">
        <w:trPr>
          <w:trHeight w:hRule="exact" w:val="2835"/>
        </w:trPr>
        <w:tc>
          <w:tcPr>
            <w:tcW w:w="1280" w:type="dxa"/>
            <w:tcBorders>
              <w:top w:val="single" w:sz="4" w:space="0" w:color="auto"/>
              <w:bottom w:val="single" w:sz="12" w:space="0" w:color="auto"/>
            </w:tcBorders>
          </w:tcPr>
          <w:p w14:paraId="258802F0" w14:textId="77777777" w:rsidR="000A2080" w:rsidRPr="002C14C6" w:rsidRDefault="000A2080" w:rsidP="00AB3619">
            <w:pPr>
              <w:spacing w:line="120" w:lineRule="atLeast"/>
              <w:rPr>
                <w:sz w:val="10"/>
                <w:szCs w:val="10"/>
              </w:rPr>
            </w:pPr>
          </w:p>
          <w:p w14:paraId="6DE56F86"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1443EA5C" wp14:editId="0C8290BC">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F46CAE"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5CFA1292" w14:textId="41D4D341" w:rsidR="000A2080" w:rsidRPr="002C14C6" w:rsidRDefault="000A2080" w:rsidP="00AB3619">
            <w:pPr>
              <w:spacing w:before="240" w:line="240" w:lineRule="atLeast"/>
              <w:rPr>
                <w:sz w:val="20"/>
              </w:rPr>
            </w:pPr>
            <w:r w:rsidRPr="002C14C6">
              <w:rPr>
                <w:sz w:val="20"/>
              </w:rPr>
              <w:t xml:space="preserve">Distr.: </w:t>
            </w:r>
            <w:r w:rsidR="00884C15" w:rsidRPr="00884C15">
              <w:rPr>
                <w:sz w:val="20"/>
              </w:rPr>
              <w:t>General</w:t>
            </w:r>
          </w:p>
          <w:p w14:paraId="00A75032" w14:textId="4C3BF206" w:rsidR="000A2080" w:rsidRPr="002C14C6" w:rsidRDefault="00884C15" w:rsidP="00AB3619">
            <w:pPr>
              <w:spacing w:line="240" w:lineRule="atLeast"/>
              <w:rPr>
                <w:sz w:val="20"/>
              </w:rPr>
            </w:pPr>
            <w:r>
              <w:rPr>
                <w:sz w:val="20"/>
              </w:rPr>
              <w:t xml:space="preserve">10 </w:t>
            </w:r>
            <w:r w:rsidRPr="00884C15">
              <w:rPr>
                <w:sz w:val="20"/>
              </w:rPr>
              <w:t>November</w:t>
            </w:r>
            <w:r w:rsidR="00B45B2F">
              <w:rPr>
                <w:sz w:val="20"/>
              </w:rPr>
              <w:t xml:space="preserve"> 20</w:t>
            </w:r>
            <w:r w:rsidR="007029E1">
              <w:rPr>
                <w:sz w:val="20"/>
              </w:rPr>
              <w:t>2</w:t>
            </w:r>
            <w:r w:rsidR="00DD5730">
              <w:rPr>
                <w:sz w:val="20"/>
              </w:rPr>
              <w:t>2</w:t>
            </w:r>
          </w:p>
          <w:p w14:paraId="2DBC49E2" w14:textId="77777777" w:rsidR="000A2080" w:rsidRPr="002C14C6" w:rsidRDefault="000A2080" w:rsidP="00AB3619">
            <w:pPr>
              <w:spacing w:line="240" w:lineRule="atLeast"/>
              <w:rPr>
                <w:sz w:val="20"/>
              </w:rPr>
            </w:pPr>
            <w:r w:rsidRPr="002C14C6">
              <w:rPr>
                <w:sz w:val="20"/>
              </w:rPr>
              <w:t xml:space="preserve">Chinese </w:t>
            </w:r>
          </w:p>
          <w:p w14:paraId="2B6B3407" w14:textId="77777777" w:rsidR="000A2080" w:rsidRPr="002C14C6" w:rsidRDefault="000A2080" w:rsidP="00AB3619">
            <w:pPr>
              <w:spacing w:line="240" w:lineRule="atLeast"/>
            </w:pPr>
            <w:r w:rsidRPr="002C14C6">
              <w:rPr>
                <w:sz w:val="20"/>
              </w:rPr>
              <w:t>Original: English</w:t>
            </w:r>
          </w:p>
        </w:tc>
      </w:tr>
    </w:tbl>
    <w:p w14:paraId="20AB06F3" w14:textId="77777777" w:rsidR="00582F0A" w:rsidRPr="00582F0A" w:rsidRDefault="00582F0A" w:rsidP="00582F0A">
      <w:pPr>
        <w:spacing w:before="120"/>
        <w:rPr>
          <w:rFonts w:ascii="Time New Roman" w:eastAsia="黑体" w:hAnsi="Time New Roman" w:hint="eastAsia"/>
          <w:sz w:val="24"/>
          <w:szCs w:val="24"/>
        </w:rPr>
      </w:pPr>
      <w:bookmarkStart w:id="0" w:name="_Hlk124869662"/>
      <w:r w:rsidRPr="00582F0A">
        <w:rPr>
          <w:rFonts w:ascii="Time New Roman" w:eastAsia="黑体" w:hAnsi="Time New Roman"/>
          <w:sz w:val="24"/>
          <w:szCs w:val="24"/>
        </w:rPr>
        <w:t>经济、社会及文化权利委员会</w:t>
      </w:r>
    </w:p>
    <w:p w14:paraId="5C36648E" w14:textId="77777777" w:rsidR="00582F0A" w:rsidRPr="007F51EE" w:rsidRDefault="00582F0A" w:rsidP="00582F0A">
      <w:pPr>
        <w:pStyle w:val="HChGC"/>
      </w:pPr>
      <w:r w:rsidRPr="007F51EE">
        <w:tab/>
      </w:r>
      <w:r w:rsidRPr="007F51EE">
        <w:tab/>
      </w:r>
      <w:r w:rsidRPr="007F51EE">
        <w:t>关于塔吉克斯坦第四次定期报告的结论性意见</w:t>
      </w:r>
      <w:r w:rsidRPr="007F51EE">
        <w:footnoteReference w:customMarkFollows="1" w:id="2"/>
        <w:t>*</w:t>
      </w:r>
    </w:p>
    <w:p w14:paraId="2DBC71FB" w14:textId="77777777" w:rsidR="00582F0A" w:rsidRPr="007F51EE" w:rsidRDefault="00582F0A" w:rsidP="00582F0A">
      <w:pPr>
        <w:pStyle w:val="SingleTxtGC"/>
      </w:pPr>
      <w:r w:rsidRPr="007F51EE">
        <w:t>1.</w:t>
      </w:r>
      <w:r w:rsidRPr="007F51EE">
        <w:tab/>
      </w:r>
      <w:r w:rsidRPr="007F51EE">
        <w:t>委员会在</w:t>
      </w:r>
      <w:r w:rsidRPr="007F51EE">
        <w:t>2022</w:t>
      </w:r>
      <w:r w:rsidRPr="007F51EE">
        <w:t>年</w:t>
      </w:r>
      <w:r w:rsidRPr="007F51EE">
        <w:t>10</w:t>
      </w:r>
      <w:r w:rsidRPr="007F51EE">
        <w:t>月</w:t>
      </w:r>
      <w:r w:rsidRPr="007F51EE">
        <w:t>5</w:t>
      </w:r>
      <w:r w:rsidRPr="007F51EE">
        <w:t>日举行的第</w:t>
      </w:r>
      <w:r w:rsidRPr="007F51EE">
        <w:t>45</w:t>
      </w:r>
      <w:r w:rsidRPr="007F51EE">
        <w:t>次和第</w:t>
      </w:r>
      <w:r w:rsidRPr="007F51EE">
        <w:t>46</w:t>
      </w:r>
      <w:r w:rsidRPr="007F51EE">
        <w:t>次会议</w:t>
      </w:r>
      <w:r w:rsidRPr="007F51EE">
        <w:rPr>
          <w:rStyle w:val="a8"/>
          <w:rFonts w:eastAsia="宋体"/>
        </w:rPr>
        <w:footnoteReference w:id="3"/>
      </w:r>
      <w:r w:rsidRPr="00ED3A2E">
        <w:rPr>
          <w:rStyle w:val="SingleTxtGCChar"/>
        </w:rPr>
        <w:t xml:space="preserve"> </w:t>
      </w:r>
      <w:r w:rsidRPr="007F51EE">
        <w:t>上审议了塔吉克斯坦的第四次定期报告</w:t>
      </w:r>
      <w:r w:rsidRPr="007F51EE">
        <w:rPr>
          <w:rStyle w:val="a8"/>
          <w:rFonts w:eastAsia="宋体"/>
        </w:rPr>
        <w:footnoteReference w:id="4"/>
      </w:r>
      <w:r w:rsidRPr="007F51EE">
        <w:t>，并在</w:t>
      </w:r>
      <w:r w:rsidRPr="007F51EE">
        <w:t>2022</w:t>
      </w:r>
      <w:r w:rsidRPr="007F51EE">
        <w:t>年</w:t>
      </w:r>
      <w:r w:rsidRPr="007F51EE">
        <w:t>10</w:t>
      </w:r>
      <w:r w:rsidRPr="007F51EE">
        <w:t>月</w:t>
      </w:r>
      <w:r w:rsidRPr="007F51EE">
        <w:t>14</w:t>
      </w:r>
      <w:r w:rsidRPr="007F51EE">
        <w:t>日举行的第</w:t>
      </w:r>
      <w:r w:rsidRPr="007F51EE">
        <w:t>60</w:t>
      </w:r>
      <w:r w:rsidRPr="007F51EE">
        <w:t>次会议上通过了本结论性意见。</w:t>
      </w:r>
    </w:p>
    <w:p w14:paraId="316D6E38" w14:textId="1C58690B" w:rsidR="00582F0A" w:rsidRPr="007F51EE" w:rsidRDefault="007D6074" w:rsidP="007D6074">
      <w:pPr>
        <w:pStyle w:val="H1GC"/>
      </w:pPr>
      <w:r>
        <w:tab/>
      </w:r>
      <w:r w:rsidR="00582F0A" w:rsidRPr="007F51EE">
        <w:t>A.</w:t>
      </w:r>
      <w:r w:rsidR="00582F0A" w:rsidRPr="007F51EE">
        <w:tab/>
      </w:r>
      <w:r w:rsidR="00582F0A" w:rsidRPr="007F51EE">
        <w:t>导言</w:t>
      </w:r>
    </w:p>
    <w:p w14:paraId="4E2A317C" w14:textId="77777777" w:rsidR="00582F0A" w:rsidRPr="007F51EE" w:rsidRDefault="00582F0A" w:rsidP="00582F0A">
      <w:pPr>
        <w:pStyle w:val="SingleTxtGC"/>
      </w:pPr>
      <w:r w:rsidRPr="007F51EE">
        <w:t>2.</w:t>
      </w:r>
      <w:r w:rsidRPr="007F51EE">
        <w:tab/>
      </w:r>
      <w:r w:rsidRPr="007F51EE">
        <w:t>委员会欢迎缔约国提交第四次定期报告和在对问题清单的书面答复</w:t>
      </w:r>
      <w:r w:rsidRPr="007F51EE">
        <w:rPr>
          <w:rStyle w:val="a8"/>
          <w:rFonts w:eastAsia="宋体"/>
        </w:rPr>
        <w:footnoteReference w:id="5"/>
      </w:r>
      <w:r w:rsidRPr="00ED3A2E">
        <w:rPr>
          <w:rStyle w:val="SingleTxtGCChar"/>
        </w:rPr>
        <w:t xml:space="preserve"> </w:t>
      </w:r>
      <w:r w:rsidRPr="007F51EE">
        <w:t>中提供的补充资料。</w:t>
      </w:r>
      <w:r w:rsidRPr="007F51EE">
        <w:rPr>
          <w:rStyle w:val="a8"/>
          <w:rFonts w:eastAsia="宋体"/>
        </w:rPr>
        <w:footnoteReference w:id="6"/>
      </w:r>
      <w:r w:rsidRPr="00ED3A2E">
        <w:rPr>
          <w:rStyle w:val="SingleTxtGCChar"/>
        </w:rPr>
        <w:t xml:space="preserve"> </w:t>
      </w:r>
      <w:r w:rsidRPr="007F51EE">
        <w:t>委员会赞赏与缔约国代表团进行的建设性对话。</w:t>
      </w:r>
    </w:p>
    <w:p w14:paraId="43B94567" w14:textId="06C29D0C" w:rsidR="00582F0A" w:rsidRPr="007F51EE" w:rsidRDefault="007D6074" w:rsidP="007D6074">
      <w:pPr>
        <w:pStyle w:val="H1GC"/>
      </w:pPr>
      <w:r>
        <w:tab/>
      </w:r>
      <w:r w:rsidR="00582F0A" w:rsidRPr="007F51EE">
        <w:t>B.</w:t>
      </w:r>
      <w:r w:rsidR="00582F0A" w:rsidRPr="007F51EE">
        <w:tab/>
      </w:r>
      <w:r w:rsidR="00582F0A" w:rsidRPr="007F51EE">
        <w:t>积极方面</w:t>
      </w:r>
    </w:p>
    <w:p w14:paraId="35A854B7" w14:textId="77777777" w:rsidR="00582F0A" w:rsidRPr="007F51EE" w:rsidRDefault="00582F0A" w:rsidP="00582F0A">
      <w:pPr>
        <w:pStyle w:val="SingleTxtGC"/>
      </w:pPr>
      <w:r w:rsidRPr="007F51EE">
        <w:t>3.</w:t>
      </w:r>
      <w:r w:rsidRPr="007F51EE">
        <w:tab/>
      </w:r>
      <w:r w:rsidRPr="007F51EE">
        <w:t>委员会欢迎缔约国为加强保护经济、社会及文化权利而采取的立法、体制和政策措施，如《</w:t>
      </w:r>
      <w:r w:rsidRPr="007F51EE">
        <w:t>2016-2030</w:t>
      </w:r>
      <w:r w:rsidRPr="007F51EE">
        <w:t>年国家发展战略》、《关于国籍的宪法法案》</w:t>
      </w:r>
      <w:r w:rsidRPr="007F51EE">
        <w:t>(2015</w:t>
      </w:r>
      <w:r w:rsidRPr="007F51EE">
        <w:t>年</w:t>
      </w:r>
      <w:r w:rsidRPr="007F51EE">
        <w:t>)</w:t>
      </w:r>
      <w:r w:rsidRPr="007F51EE">
        <w:t>、《大赦法》</w:t>
      </w:r>
      <w:r w:rsidRPr="007F51EE">
        <w:t>(2019</w:t>
      </w:r>
      <w:r w:rsidRPr="007F51EE">
        <w:t>年</w:t>
      </w:r>
      <w:r w:rsidRPr="007F51EE">
        <w:t>)</w:t>
      </w:r>
      <w:r w:rsidRPr="007F51EE">
        <w:t>以及本结论性意见中提到的措施。</w:t>
      </w:r>
    </w:p>
    <w:p w14:paraId="15C6B139" w14:textId="730F84DC" w:rsidR="00582F0A" w:rsidRPr="007F51EE" w:rsidRDefault="007D6074" w:rsidP="007D6074">
      <w:pPr>
        <w:pStyle w:val="H1GC"/>
      </w:pPr>
      <w:r>
        <w:tab/>
      </w:r>
      <w:r w:rsidR="00582F0A" w:rsidRPr="007F51EE">
        <w:t>C.</w:t>
      </w:r>
      <w:r w:rsidR="00582F0A" w:rsidRPr="007F51EE">
        <w:tab/>
      </w:r>
      <w:r w:rsidR="00582F0A" w:rsidRPr="007F51EE">
        <w:t>关注的主要问题和建议</w:t>
      </w:r>
    </w:p>
    <w:p w14:paraId="028988CA" w14:textId="77777777" w:rsidR="00582F0A" w:rsidRPr="007F51EE" w:rsidRDefault="00582F0A" w:rsidP="007D6074">
      <w:pPr>
        <w:pStyle w:val="H23GC"/>
      </w:pPr>
      <w:r w:rsidRPr="007F51EE">
        <w:tab/>
      </w:r>
      <w:r w:rsidRPr="007F51EE">
        <w:tab/>
      </w:r>
      <w:r w:rsidRPr="007F51EE">
        <w:t>《公约》在国内的适用</w:t>
      </w:r>
    </w:p>
    <w:p w14:paraId="71515FE2" w14:textId="77777777" w:rsidR="00582F0A" w:rsidRPr="007F51EE" w:rsidRDefault="00582F0A" w:rsidP="00582F0A">
      <w:pPr>
        <w:pStyle w:val="SingleTxtGC"/>
      </w:pPr>
      <w:r w:rsidRPr="007F51EE">
        <w:t>4.</w:t>
      </w:r>
      <w:r w:rsidRPr="007F51EE">
        <w:tab/>
      </w:r>
      <w:r w:rsidRPr="007F51EE">
        <w:t>委员会注意到缔约国提供的资料，即为律师、国家官员和司法人员，包括最高法院法官举办了关于国际人权标准的培训研讨会，但委员会关切的是，这些研讨会不包括关于《公约》条款的培训。委员会还感到关切的是，缺乏援引《公约》条款</w:t>
      </w:r>
      <w:r w:rsidRPr="007F51EE">
        <w:rPr>
          <w:rFonts w:hint="eastAsia"/>
        </w:rPr>
        <w:t>的</w:t>
      </w:r>
      <w:r w:rsidRPr="007F51EE">
        <w:t>法院裁决。</w:t>
      </w:r>
    </w:p>
    <w:p w14:paraId="59D84B47" w14:textId="77777777" w:rsidR="00582F0A" w:rsidRPr="007F51EE" w:rsidRDefault="00582F0A" w:rsidP="00582F0A">
      <w:pPr>
        <w:pStyle w:val="SingleTxtGC"/>
        <w:rPr>
          <w:rFonts w:eastAsia="黑体"/>
          <w:bCs/>
        </w:rPr>
      </w:pPr>
      <w:r w:rsidRPr="007F51EE">
        <w:t>5.</w:t>
      </w:r>
      <w:r w:rsidRPr="007F51EE">
        <w:tab/>
      </w:r>
      <w:r w:rsidRPr="007F51EE">
        <w:rPr>
          <w:rFonts w:eastAsia="黑体"/>
          <w:bCs/>
        </w:rPr>
        <w:t>委员会建议缔约国定期提供关于《公约》所载权利及其在法院的可执行性的培训，并向权利持有人提供</w:t>
      </w:r>
      <w:r w:rsidRPr="007F51EE">
        <w:rPr>
          <w:rFonts w:eastAsia="黑体" w:hint="eastAsia"/>
          <w:bCs/>
        </w:rPr>
        <w:t>主张</w:t>
      </w:r>
      <w:r w:rsidRPr="007F51EE">
        <w:rPr>
          <w:rFonts w:eastAsia="黑体"/>
          <w:bCs/>
        </w:rPr>
        <w:t>这些权利所需的信息。委员会还建议缔约国确保</w:t>
      </w:r>
      <w:r w:rsidRPr="007F51EE">
        <w:rPr>
          <w:rFonts w:eastAsia="黑体"/>
          <w:bCs/>
        </w:rPr>
        <w:lastRenderedPageBreak/>
        <w:t>经济、社会及文化权利可在各级司法系统中得到援引，并在下次定期报告中列入资料，说明国家法院援引《公约》</w:t>
      </w:r>
      <w:proofErr w:type="gramStart"/>
      <w:r w:rsidRPr="007F51EE">
        <w:rPr>
          <w:rFonts w:eastAsia="黑体"/>
          <w:bCs/>
        </w:rPr>
        <w:t>作出</w:t>
      </w:r>
      <w:proofErr w:type="gramEnd"/>
      <w:r w:rsidRPr="007F51EE">
        <w:rPr>
          <w:rFonts w:eastAsia="黑体"/>
          <w:bCs/>
        </w:rPr>
        <w:t>的裁决。在这方面，委员会提及关于《公约》在国内的适用的第</w:t>
      </w:r>
      <w:r w:rsidRPr="007F51EE">
        <w:rPr>
          <w:rFonts w:eastAsia="黑体"/>
          <w:bCs/>
        </w:rPr>
        <w:t>9</w:t>
      </w:r>
      <w:r w:rsidRPr="007F51EE">
        <w:rPr>
          <w:rFonts w:eastAsia="黑体"/>
          <w:bCs/>
        </w:rPr>
        <w:t>号一般性意见</w:t>
      </w:r>
      <w:r w:rsidRPr="007F51EE">
        <w:rPr>
          <w:rFonts w:eastAsia="黑体"/>
          <w:bCs/>
        </w:rPr>
        <w:t>(1998</w:t>
      </w:r>
      <w:r w:rsidRPr="007F51EE">
        <w:rPr>
          <w:rFonts w:eastAsia="黑体"/>
          <w:bCs/>
        </w:rPr>
        <w:t>年</w:t>
      </w:r>
      <w:r w:rsidRPr="007F51EE">
        <w:rPr>
          <w:rFonts w:eastAsia="黑体"/>
          <w:bCs/>
        </w:rPr>
        <w:t>)</w:t>
      </w:r>
      <w:r w:rsidRPr="007F51EE">
        <w:rPr>
          <w:rFonts w:eastAsia="黑体"/>
          <w:bCs/>
        </w:rPr>
        <w:t>。</w:t>
      </w:r>
    </w:p>
    <w:p w14:paraId="59CCBC08" w14:textId="77777777" w:rsidR="00582F0A" w:rsidRPr="007F51EE" w:rsidRDefault="00582F0A" w:rsidP="007D6074">
      <w:pPr>
        <w:pStyle w:val="H23GC"/>
      </w:pPr>
      <w:r w:rsidRPr="007F51EE">
        <w:tab/>
      </w:r>
      <w:r w:rsidRPr="007F51EE">
        <w:tab/>
      </w:r>
      <w:r w:rsidRPr="007F51EE">
        <w:t>司法独立</w:t>
      </w:r>
    </w:p>
    <w:p w14:paraId="1E56658F" w14:textId="77777777" w:rsidR="00582F0A" w:rsidRPr="007F51EE" w:rsidRDefault="00582F0A" w:rsidP="00582F0A">
      <w:pPr>
        <w:pStyle w:val="SingleTxtGC"/>
      </w:pPr>
      <w:r w:rsidRPr="007F51EE">
        <w:t>6.</w:t>
      </w:r>
      <w:r w:rsidRPr="007F51EE">
        <w:tab/>
      </w:r>
      <w:r w:rsidRPr="007F51EE">
        <w:t>委员会仍然关切的是，司法机构的独立性和公正性缺乏有效的保障，包括授予执业律师资格的律师联盟资格委员会仍然由司法部主持。</w:t>
      </w:r>
    </w:p>
    <w:p w14:paraId="7382F2F1" w14:textId="77777777" w:rsidR="00582F0A" w:rsidRPr="007F51EE" w:rsidRDefault="00582F0A" w:rsidP="00582F0A">
      <w:pPr>
        <w:pStyle w:val="SingleTxtGC"/>
        <w:rPr>
          <w:rFonts w:eastAsia="黑体"/>
          <w:bCs/>
        </w:rPr>
      </w:pPr>
      <w:r w:rsidRPr="007F51EE">
        <w:t>7.</w:t>
      </w:r>
      <w:r w:rsidRPr="007F51EE">
        <w:tab/>
      </w:r>
      <w:r w:rsidRPr="007F51EE">
        <w:rPr>
          <w:rFonts w:eastAsia="黑体"/>
          <w:bCs/>
        </w:rPr>
        <w:t>委员会重申其先前在这方面的建议，</w:t>
      </w:r>
      <w:r w:rsidRPr="007F51EE">
        <w:rPr>
          <w:rStyle w:val="a8"/>
          <w:rFonts w:eastAsia="宋体"/>
        </w:rPr>
        <w:footnoteReference w:id="7"/>
      </w:r>
      <w:r w:rsidRPr="00ED3A2E">
        <w:rPr>
          <w:rStyle w:val="SingleTxtGCChar"/>
        </w:rPr>
        <w:t xml:space="preserve"> </w:t>
      </w:r>
      <w:r w:rsidRPr="007F51EE">
        <w:rPr>
          <w:rFonts w:eastAsia="黑体"/>
          <w:bCs/>
        </w:rPr>
        <w:t>建议缔约国确保司法机构的充分独立，包括给予律师联盟资格委员会独立地位，并确保适当的法律保障。</w:t>
      </w:r>
    </w:p>
    <w:p w14:paraId="01AEF925" w14:textId="77777777" w:rsidR="00582F0A" w:rsidRPr="007F51EE" w:rsidRDefault="00582F0A" w:rsidP="007D6074">
      <w:pPr>
        <w:pStyle w:val="H23GC"/>
      </w:pPr>
      <w:r w:rsidRPr="007F51EE">
        <w:tab/>
      </w:r>
      <w:r w:rsidRPr="007F51EE">
        <w:tab/>
      </w:r>
      <w:r w:rsidRPr="007F51EE">
        <w:t>国家人权机构</w:t>
      </w:r>
    </w:p>
    <w:p w14:paraId="3098C201" w14:textId="77777777" w:rsidR="00582F0A" w:rsidRPr="007F51EE" w:rsidRDefault="00582F0A" w:rsidP="00582F0A">
      <w:pPr>
        <w:pStyle w:val="SingleTxtGC"/>
      </w:pPr>
      <w:r w:rsidRPr="007F51EE">
        <w:t>8.</w:t>
      </w:r>
      <w:r w:rsidRPr="007F51EE">
        <w:tab/>
      </w:r>
      <w:r w:rsidRPr="007F51EE">
        <w:t>委员会注意到缔约国为加强人权事务专员的任务所作的努力，但它感到关切的是，缔约国在实现充分遵守</w:t>
      </w:r>
      <w:r w:rsidRPr="007F51EE">
        <w:rPr>
          <w:rFonts w:hint="eastAsia"/>
        </w:rPr>
        <w:t>《</w:t>
      </w:r>
      <w:r w:rsidRPr="007F51EE">
        <w:t>关于促进和保护人权的国家机构的地位的原则</w:t>
      </w:r>
      <w:r w:rsidRPr="007F51EE">
        <w:rPr>
          <w:rFonts w:hint="eastAsia"/>
        </w:rPr>
        <w:t>》</w:t>
      </w:r>
      <w:r w:rsidRPr="007F51EE">
        <w:t>(</w:t>
      </w:r>
      <w:r w:rsidRPr="007F51EE">
        <w:t>《巴黎原则》</w:t>
      </w:r>
      <w:r w:rsidRPr="007F51EE">
        <w:t>)</w:t>
      </w:r>
      <w:r w:rsidRPr="007F51EE">
        <w:t>方面的进展有限。</w:t>
      </w:r>
    </w:p>
    <w:p w14:paraId="6F5777BB" w14:textId="77777777" w:rsidR="00582F0A" w:rsidRPr="007F51EE" w:rsidRDefault="00582F0A" w:rsidP="00582F0A">
      <w:pPr>
        <w:pStyle w:val="SingleTxtGC"/>
        <w:rPr>
          <w:rFonts w:eastAsia="黑体"/>
          <w:bCs/>
        </w:rPr>
      </w:pPr>
      <w:r w:rsidRPr="007F51EE">
        <w:t>9.</w:t>
      </w:r>
      <w:r w:rsidRPr="007F51EE">
        <w:tab/>
      </w:r>
      <w:r w:rsidRPr="007F51EE">
        <w:rPr>
          <w:rFonts w:eastAsia="黑体"/>
          <w:bCs/>
        </w:rPr>
        <w:t>委员会建议缔约国采取措施，使人权专员完全符合《巴黎原则》，包括进一步加强其独立性，并为其提供充分的财政和人力资源，以便有效和独立地履行其任务，包括促进和保护经济、社会及文化权利。</w:t>
      </w:r>
    </w:p>
    <w:p w14:paraId="099929D6" w14:textId="77777777" w:rsidR="00582F0A" w:rsidRPr="007F51EE" w:rsidRDefault="00582F0A" w:rsidP="007D6074">
      <w:pPr>
        <w:pStyle w:val="H23GC"/>
      </w:pPr>
      <w:r w:rsidRPr="007F51EE">
        <w:tab/>
      </w:r>
      <w:r w:rsidRPr="007F51EE">
        <w:tab/>
      </w:r>
      <w:r w:rsidRPr="007F51EE">
        <w:t>民间社会</w:t>
      </w:r>
    </w:p>
    <w:p w14:paraId="53E6B59B" w14:textId="77777777" w:rsidR="00582F0A" w:rsidRPr="007F51EE" w:rsidRDefault="00582F0A" w:rsidP="00582F0A">
      <w:pPr>
        <w:pStyle w:val="SingleTxtGC"/>
      </w:pPr>
      <w:r w:rsidRPr="007F51EE">
        <w:t>10.</w:t>
      </w:r>
      <w:r w:rsidRPr="007F51EE">
        <w:tab/>
      </w:r>
      <w:r w:rsidRPr="007F51EE">
        <w:t>委员会感到关切的是，在法律和实践中，对非政府组织的登记</w:t>
      </w:r>
      <w:r w:rsidRPr="007F51EE">
        <w:rPr>
          <w:rFonts w:hint="eastAsia"/>
        </w:rPr>
        <w:t>及其</w:t>
      </w:r>
      <w:r w:rsidRPr="007F51EE">
        <w:t>报告外部赠款的义务，特别是对致力于男女同性恋、双性恋、跨性别者和双性者权利的组织，施加了过度限制。委员会注意到，这种限制妨碍了这些从事保护和增进所有人权，包括经济、社会及文化权利的组织的活动。</w:t>
      </w:r>
    </w:p>
    <w:p w14:paraId="54D1E45B" w14:textId="77777777" w:rsidR="00582F0A" w:rsidRPr="007F51EE" w:rsidRDefault="00582F0A" w:rsidP="00582F0A">
      <w:pPr>
        <w:pStyle w:val="SingleTxtGC"/>
        <w:rPr>
          <w:rFonts w:eastAsia="黑体"/>
          <w:bCs/>
        </w:rPr>
      </w:pPr>
      <w:r w:rsidRPr="007F51EE">
        <w:t>11.</w:t>
      </w:r>
      <w:r w:rsidRPr="007F51EE">
        <w:tab/>
      </w:r>
      <w:r w:rsidRPr="007F51EE">
        <w:rPr>
          <w:rFonts w:eastAsia="黑体"/>
          <w:bCs/>
        </w:rPr>
        <w:t>委员会建议缔约国废除任何</w:t>
      </w:r>
      <w:proofErr w:type="gramStart"/>
      <w:r w:rsidRPr="007F51EE">
        <w:rPr>
          <w:rFonts w:eastAsia="黑体"/>
          <w:bCs/>
        </w:rPr>
        <w:t>不</w:t>
      </w:r>
      <w:proofErr w:type="gramEnd"/>
      <w:r w:rsidRPr="007F51EE">
        <w:rPr>
          <w:rFonts w:eastAsia="黑体"/>
          <w:bCs/>
        </w:rPr>
        <w:t>当地限制非政府组织活动的法律条款，包括与这些组织的登记和获得赠款有关的条款。委员会还建议缔约国保证为从事促进和保护经济、社会及文化权利活动的所有非政府组织和非盈利组织创造有利环境。</w:t>
      </w:r>
    </w:p>
    <w:p w14:paraId="13326A3A" w14:textId="77777777" w:rsidR="00582F0A" w:rsidRPr="007F51EE" w:rsidRDefault="00582F0A" w:rsidP="007D6074">
      <w:pPr>
        <w:pStyle w:val="H23GC"/>
      </w:pPr>
      <w:r w:rsidRPr="007F51EE">
        <w:tab/>
      </w:r>
      <w:r w:rsidRPr="007F51EE">
        <w:tab/>
      </w:r>
      <w:r w:rsidRPr="007F51EE">
        <w:t>人权维护者</w:t>
      </w:r>
    </w:p>
    <w:p w14:paraId="1021ED85" w14:textId="659B3A21" w:rsidR="00582F0A" w:rsidRPr="007F51EE" w:rsidRDefault="00582F0A" w:rsidP="00582F0A">
      <w:pPr>
        <w:pStyle w:val="SingleTxtGC"/>
      </w:pPr>
      <w:r w:rsidRPr="007F51EE">
        <w:t>12.</w:t>
      </w:r>
      <w:r w:rsidRPr="007F51EE">
        <w:tab/>
      </w:r>
      <w:r w:rsidRPr="007F51EE">
        <w:t>委员会严重关切的是，有报告称，在戈尔诺</w:t>
      </w:r>
      <w:r w:rsidR="00DC2002">
        <w:rPr>
          <w:rFonts w:hint="eastAsia"/>
        </w:rPr>
        <w:t>－</w:t>
      </w:r>
      <w:r w:rsidRPr="007F51EE">
        <w:t>巴达赫尚自治区</w:t>
      </w:r>
      <w:r w:rsidRPr="007F51EE">
        <w:t>2021</w:t>
      </w:r>
      <w:r w:rsidRPr="007F51EE">
        <w:t>年</w:t>
      </w:r>
      <w:r w:rsidRPr="007F51EE">
        <w:t>11</w:t>
      </w:r>
      <w:r w:rsidRPr="007F51EE">
        <w:t>月和</w:t>
      </w:r>
      <w:r w:rsidRPr="007F51EE">
        <w:t>2022</w:t>
      </w:r>
      <w:r w:rsidRPr="007F51EE">
        <w:t>年</w:t>
      </w:r>
      <w:r w:rsidRPr="007F51EE">
        <w:t>5</w:t>
      </w:r>
      <w:r w:rsidRPr="007F51EE">
        <w:t>月的抗议活动中，人权维护者，包括那些致力于维护经济、社会及文化权利的人权维护者遭到未经正当程序的逮捕、拘留和审判。委员会特别关切的是，有报告称，对他们的拘留和审判缺乏透明度，而且在诉讼期间他们无法接触律师。</w:t>
      </w:r>
    </w:p>
    <w:p w14:paraId="00A1AE82" w14:textId="77777777" w:rsidR="00582F0A" w:rsidRPr="007F51EE" w:rsidRDefault="00582F0A" w:rsidP="00582F0A">
      <w:pPr>
        <w:pStyle w:val="SingleTxtGC"/>
        <w:rPr>
          <w:rFonts w:eastAsia="黑体"/>
          <w:bCs/>
        </w:rPr>
      </w:pPr>
      <w:r w:rsidRPr="007F51EE">
        <w:t>13.</w:t>
      </w:r>
      <w:r w:rsidRPr="007F51EE">
        <w:tab/>
      </w:r>
      <w:r w:rsidRPr="007F51EE">
        <w:rPr>
          <w:rFonts w:eastAsia="黑体"/>
          <w:bCs/>
        </w:rPr>
        <w:t>委员会建议缔约国在逮捕、拘留和审判人权维护者</w:t>
      </w:r>
      <w:r w:rsidRPr="007F51EE">
        <w:rPr>
          <w:rFonts w:eastAsia="黑体"/>
          <w:bCs/>
        </w:rPr>
        <w:t>(</w:t>
      </w:r>
      <w:r w:rsidRPr="007F51EE">
        <w:rPr>
          <w:rFonts w:eastAsia="黑体"/>
          <w:bCs/>
        </w:rPr>
        <w:t>包括那些致力于保护经济、社会及文化权利的人权维护者</w:t>
      </w:r>
      <w:r w:rsidRPr="007F51EE">
        <w:rPr>
          <w:rFonts w:eastAsia="黑体"/>
          <w:bCs/>
        </w:rPr>
        <w:t>)</w:t>
      </w:r>
      <w:r w:rsidRPr="007F51EE">
        <w:rPr>
          <w:rFonts w:eastAsia="黑体" w:hint="eastAsia"/>
          <w:bCs/>
        </w:rPr>
        <w:t>时</w:t>
      </w:r>
      <w:r w:rsidRPr="007F51EE">
        <w:rPr>
          <w:rFonts w:eastAsia="黑体"/>
          <w:bCs/>
        </w:rPr>
        <w:t>，立即提供一切正当程序保障，包括在诉讼的每一阶段获得独立和有效的法律代表。委员会请缔约国参考</w:t>
      </w:r>
      <w:r w:rsidRPr="007F51EE">
        <w:rPr>
          <w:rFonts w:eastAsia="黑体"/>
          <w:bCs/>
        </w:rPr>
        <w:t>2016</w:t>
      </w:r>
      <w:r w:rsidRPr="007F51EE">
        <w:rPr>
          <w:rFonts w:eastAsia="黑体"/>
          <w:bCs/>
        </w:rPr>
        <w:t>年通过的委员会关于人权维护者与经济、社会及文化权利</w:t>
      </w:r>
      <w:r w:rsidRPr="007F51EE">
        <w:rPr>
          <w:rFonts w:eastAsia="黑体" w:hint="eastAsia"/>
          <w:bCs/>
        </w:rPr>
        <w:t>的声明</w:t>
      </w:r>
      <w:r w:rsidRPr="007F51EE">
        <w:rPr>
          <w:rFonts w:eastAsia="黑体"/>
          <w:bCs/>
        </w:rPr>
        <w:t>。</w:t>
      </w:r>
      <w:r w:rsidRPr="007F51EE">
        <w:rPr>
          <w:rStyle w:val="a8"/>
          <w:rFonts w:eastAsia="宋体"/>
        </w:rPr>
        <w:footnoteReference w:id="8"/>
      </w:r>
    </w:p>
    <w:p w14:paraId="55B064A0" w14:textId="77777777" w:rsidR="00582F0A" w:rsidRPr="007F51EE" w:rsidRDefault="00582F0A" w:rsidP="007D6074">
      <w:pPr>
        <w:pStyle w:val="H23GC"/>
      </w:pPr>
      <w:r w:rsidRPr="007F51EE">
        <w:lastRenderedPageBreak/>
        <w:tab/>
      </w:r>
      <w:r w:rsidRPr="007F51EE">
        <w:tab/>
      </w:r>
      <w:r w:rsidRPr="007F51EE">
        <w:t>冠状病毒病</w:t>
      </w:r>
      <w:r w:rsidRPr="007F51EE">
        <w:t>(COVID-19)</w:t>
      </w:r>
      <w:r w:rsidRPr="007F51EE">
        <w:t>大流行的管理</w:t>
      </w:r>
    </w:p>
    <w:p w14:paraId="6B113F31" w14:textId="77777777" w:rsidR="00582F0A" w:rsidRPr="007F51EE" w:rsidRDefault="00582F0A" w:rsidP="00582F0A">
      <w:pPr>
        <w:pStyle w:val="SingleTxtGC"/>
      </w:pPr>
      <w:r w:rsidRPr="007F51EE">
        <w:t>14.</w:t>
      </w:r>
      <w:r w:rsidRPr="007F51EE">
        <w:tab/>
      </w:r>
      <w:r w:rsidRPr="007F51EE">
        <w:t>关于政府对冠状病毒病</w:t>
      </w:r>
      <w:r w:rsidRPr="007F51EE">
        <w:t>(COVID-19)</w:t>
      </w:r>
      <w:r w:rsidRPr="007F51EE">
        <w:t>大流行的应对措施，委员会感到关切的是，关于大流行病的发展情况向公众传达的信息缺乏透明度和事实性；</w:t>
      </w:r>
      <w:r w:rsidRPr="007F51EE">
        <w:rPr>
          <w:rFonts w:hint="eastAsia"/>
        </w:rPr>
        <w:t>并</w:t>
      </w:r>
      <w:r w:rsidRPr="007F51EE">
        <w:t>通过对被认为不准确的报告处以罚款和刑事处罚，严格控制关于大流行病的非政府报告。委员会还感到关切的是，有报告表明，</w:t>
      </w:r>
      <w:r w:rsidRPr="007F51EE">
        <w:rPr>
          <w:rFonts w:hint="eastAsia"/>
        </w:rPr>
        <w:t>分配给</w:t>
      </w:r>
      <w:r w:rsidRPr="007F51EE">
        <w:t>COVID-19</w:t>
      </w:r>
      <w:r w:rsidRPr="007F51EE">
        <w:t>应对工作的资金缺乏透明度，未能采取充分措施保护医务人员和患者，包括提供的个人防护设备不足，也未能分配足够的资源用于诊断和治疗</w:t>
      </w:r>
      <w:r w:rsidRPr="007F51EE">
        <w:t>COVID-19</w:t>
      </w:r>
      <w:r w:rsidRPr="007F51EE">
        <w:t>病例。</w:t>
      </w:r>
    </w:p>
    <w:p w14:paraId="0FB223C7" w14:textId="77777777" w:rsidR="00582F0A" w:rsidRPr="007F51EE" w:rsidRDefault="00582F0A" w:rsidP="00582F0A">
      <w:pPr>
        <w:pStyle w:val="SingleTxtGC"/>
        <w:rPr>
          <w:rFonts w:eastAsia="黑体"/>
          <w:bCs/>
        </w:rPr>
      </w:pPr>
      <w:r w:rsidRPr="007F51EE">
        <w:t>15.</w:t>
      </w:r>
      <w:r w:rsidRPr="007F51EE">
        <w:tab/>
      </w:r>
      <w:r w:rsidRPr="007F51EE">
        <w:rPr>
          <w:rFonts w:eastAsia="黑体"/>
          <w:bCs/>
        </w:rPr>
        <w:t>委员会建议缔约国：</w:t>
      </w:r>
    </w:p>
    <w:p w14:paraId="40134F34" w14:textId="3568F245" w:rsidR="00582F0A" w:rsidRPr="007F51EE" w:rsidRDefault="007D6074" w:rsidP="00582F0A">
      <w:pPr>
        <w:pStyle w:val="SingleTxtGC"/>
        <w:rPr>
          <w:rFonts w:eastAsia="黑体"/>
          <w:bCs/>
        </w:rPr>
      </w:pPr>
      <w:r>
        <w:tab/>
      </w:r>
      <w:r w:rsidR="00582F0A" w:rsidRPr="007F51EE">
        <w:t>(a)</w:t>
      </w:r>
      <w:r w:rsidR="00582F0A" w:rsidRPr="007F51EE">
        <w:tab/>
      </w:r>
      <w:r w:rsidR="00582F0A" w:rsidRPr="007F51EE">
        <w:rPr>
          <w:rFonts w:eastAsia="黑体"/>
          <w:bCs/>
        </w:rPr>
        <w:t>确保与公众共享的基于科学和证据的准确信息的透明度和及时传播，同时尊重表达自由，特别是通过废除与</w:t>
      </w:r>
      <w:r w:rsidR="00582F0A" w:rsidRPr="007F51EE">
        <w:rPr>
          <w:rFonts w:eastAsia="黑体"/>
          <w:bCs/>
        </w:rPr>
        <w:t>COVID-19</w:t>
      </w:r>
      <w:r w:rsidR="00582F0A" w:rsidRPr="007F51EE">
        <w:rPr>
          <w:rFonts w:eastAsia="黑体"/>
          <w:bCs/>
        </w:rPr>
        <w:t>有关的制裁规定；</w:t>
      </w:r>
    </w:p>
    <w:p w14:paraId="3FD2436D" w14:textId="16230EC5" w:rsidR="00582F0A" w:rsidRPr="007F51EE" w:rsidRDefault="007D6074" w:rsidP="00582F0A">
      <w:pPr>
        <w:pStyle w:val="SingleTxtGC"/>
        <w:rPr>
          <w:rFonts w:eastAsia="黑体"/>
          <w:bCs/>
        </w:rPr>
      </w:pPr>
      <w:r>
        <w:tab/>
      </w:r>
      <w:r w:rsidR="00582F0A" w:rsidRPr="007F51EE">
        <w:t>(b)</w:t>
      </w:r>
      <w:r w:rsidR="00582F0A" w:rsidRPr="007F51EE">
        <w:tab/>
      </w:r>
      <w:r w:rsidR="00582F0A" w:rsidRPr="007F51EE">
        <w:rPr>
          <w:rFonts w:eastAsia="黑体"/>
          <w:bCs/>
          <w:spacing w:val="-3"/>
        </w:rPr>
        <w:t>确保分配用于应对</w:t>
      </w:r>
      <w:r w:rsidR="00582F0A" w:rsidRPr="007F51EE">
        <w:rPr>
          <w:rFonts w:eastAsia="黑体"/>
          <w:bCs/>
          <w:spacing w:val="-3"/>
        </w:rPr>
        <w:t>COVID-19</w:t>
      </w:r>
      <w:r w:rsidR="00582F0A" w:rsidRPr="007F51EE">
        <w:rPr>
          <w:rFonts w:eastAsia="黑体"/>
          <w:bCs/>
          <w:spacing w:val="-3"/>
        </w:rPr>
        <w:t>大流行的资金</w:t>
      </w:r>
      <w:r w:rsidR="00582F0A" w:rsidRPr="007F51EE">
        <w:rPr>
          <w:rFonts w:eastAsia="黑体" w:hint="eastAsia"/>
          <w:bCs/>
          <w:spacing w:val="-3"/>
        </w:rPr>
        <w:t>在</w:t>
      </w:r>
      <w:r w:rsidR="00582F0A" w:rsidRPr="007F51EE">
        <w:rPr>
          <w:rFonts w:eastAsia="黑体"/>
          <w:bCs/>
          <w:spacing w:val="-3"/>
        </w:rPr>
        <w:t>管理</w:t>
      </w:r>
      <w:r w:rsidR="00582F0A" w:rsidRPr="007F51EE">
        <w:rPr>
          <w:rFonts w:eastAsia="黑体" w:hint="eastAsia"/>
          <w:bCs/>
          <w:spacing w:val="-3"/>
        </w:rPr>
        <w:t>方面</w:t>
      </w:r>
      <w:r w:rsidR="00582F0A" w:rsidRPr="007F51EE">
        <w:rPr>
          <w:rFonts w:eastAsia="黑体"/>
          <w:bCs/>
          <w:spacing w:val="-3"/>
        </w:rPr>
        <w:t>的问责和透明度；</w:t>
      </w:r>
    </w:p>
    <w:p w14:paraId="007175A8" w14:textId="59FA5CE7" w:rsidR="00582F0A" w:rsidRPr="007F51EE" w:rsidRDefault="007D6074" w:rsidP="00582F0A">
      <w:pPr>
        <w:pStyle w:val="SingleTxtGC"/>
        <w:rPr>
          <w:rFonts w:eastAsia="黑体"/>
          <w:bCs/>
        </w:rPr>
      </w:pPr>
      <w:r>
        <w:tab/>
      </w:r>
      <w:r w:rsidR="00582F0A" w:rsidRPr="007F51EE">
        <w:t>(c)</w:t>
      </w:r>
      <w:r w:rsidR="00582F0A" w:rsidRPr="007F51EE">
        <w:tab/>
      </w:r>
      <w:r w:rsidR="00582F0A" w:rsidRPr="007F51EE">
        <w:rPr>
          <w:rFonts w:eastAsia="黑体"/>
          <w:bCs/>
        </w:rPr>
        <w:t>采取充分措施保护医务人员和患者，为</w:t>
      </w:r>
      <w:r w:rsidR="00582F0A" w:rsidRPr="007F51EE">
        <w:rPr>
          <w:rFonts w:eastAsia="黑体"/>
          <w:bCs/>
        </w:rPr>
        <w:t>COVID-19</w:t>
      </w:r>
      <w:r w:rsidR="00582F0A" w:rsidRPr="007F51EE">
        <w:rPr>
          <w:rFonts w:eastAsia="黑体"/>
          <w:bCs/>
        </w:rPr>
        <w:t>病例的诊断和治疗提供充足资源；</w:t>
      </w:r>
    </w:p>
    <w:p w14:paraId="1BBB6555" w14:textId="74CAF2BD" w:rsidR="00582F0A" w:rsidRPr="007F51EE" w:rsidRDefault="007D6074" w:rsidP="00582F0A">
      <w:pPr>
        <w:pStyle w:val="SingleTxtGC"/>
        <w:rPr>
          <w:rFonts w:eastAsia="黑体"/>
          <w:bCs/>
        </w:rPr>
      </w:pPr>
      <w:r>
        <w:tab/>
      </w:r>
      <w:r w:rsidR="00582F0A" w:rsidRPr="007F51EE">
        <w:t>(d)</w:t>
      </w:r>
      <w:r w:rsidR="00582F0A" w:rsidRPr="007F51EE">
        <w:tab/>
      </w:r>
      <w:r w:rsidR="00582F0A" w:rsidRPr="007F51EE">
        <w:rPr>
          <w:rFonts w:eastAsia="黑体"/>
          <w:bCs/>
        </w:rPr>
        <w:t>考虑委员会关于科学与经济、社会及文化权利的第</w:t>
      </w:r>
      <w:r w:rsidR="00582F0A" w:rsidRPr="007F51EE">
        <w:rPr>
          <w:rFonts w:eastAsia="黑体"/>
          <w:bCs/>
        </w:rPr>
        <w:t>25</w:t>
      </w:r>
      <w:r w:rsidR="00582F0A" w:rsidRPr="007F51EE">
        <w:rPr>
          <w:rFonts w:eastAsia="黑体"/>
          <w:bCs/>
        </w:rPr>
        <w:t>号一般性意见</w:t>
      </w:r>
      <w:r w:rsidR="00582F0A" w:rsidRPr="007F51EE">
        <w:rPr>
          <w:rFonts w:eastAsia="黑体"/>
          <w:bCs/>
        </w:rPr>
        <w:t>(2020</w:t>
      </w:r>
      <w:r w:rsidR="00582F0A" w:rsidRPr="007F51EE">
        <w:rPr>
          <w:rFonts w:eastAsia="黑体"/>
          <w:bCs/>
        </w:rPr>
        <w:t>年</w:t>
      </w:r>
      <w:r w:rsidR="00582F0A" w:rsidRPr="007F51EE">
        <w:rPr>
          <w:rFonts w:eastAsia="黑体"/>
          <w:bCs/>
        </w:rPr>
        <w:t>)</w:t>
      </w:r>
      <w:r w:rsidR="00582F0A" w:rsidRPr="007F51EE">
        <w:rPr>
          <w:rFonts w:eastAsia="黑体"/>
          <w:bCs/>
        </w:rPr>
        <w:t>以及</w:t>
      </w:r>
      <w:r w:rsidR="00582F0A" w:rsidRPr="007F51EE">
        <w:rPr>
          <w:rFonts w:eastAsia="黑体"/>
          <w:bCs/>
        </w:rPr>
        <w:t>2020</w:t>
      </w:r>
      <w:r w:rsidR="00582F0A" w:rsidRPr="007F51EE">
        <w:rPr>
          <w:rFonts w:eastAsia="黑体"/>
          <w:bCs/>
        </w:rPr>
        <w:t>年</w:t>
      </w:r>
      <w:r w:rsidR="00582F0A" w:rsidRPr="007F51EE">
        <w:rPr>
          <w:rFonts w:eastAsia="黑体"/>
          <w:bCs/>
        </w:rPr>
        <w:t>4</w:t>
      </w:r>
      <w:r w:rsidR="00582F0A" w:rsidRPr="007F51EE">
        <w:rPr>
          <w:rFonts w:eastAsia="黑体"/>
          <w:bCs/>
        </w:rPr>
        <w:t>月通过的委员会关于</w:t>
      </w:r>
      <w:r w:rsidR="00582F0A" w:rsidRPr="007F51EE">
        <w:rPr>
          <w:rFonts w:eastAsia="黑体"/>
          <w:bCs/>
        </w:rPr>
        <w:t>COVID-19</w:t>
      </w:r>
      <w:r w:rsidR="00582F0A" w:rsidRPr="007F51EE">
        <w:rPr>
          <w:rFonts w:eastAsia="黑体"/>
          <w:bCs/>
        </w:rPr>
        <w:t>大流行与经济、社会及文化权利问题的声明</w:t>
      </w:r>
      <w:r w:rsidR="00582F0A" w:rsidRPr="007F51EE">
        <w:rPr>
          <w:rFonts w:eastAsia="黑体" w:hint="eastAsia"/>
          <w:bCs/>
        </w:rPr>
        <w:t>。</w:t>
      </w:r>
      <w:r w:rsidR="00582F0A" w:rsidRPr="007F51EE">
        <w:rPr>
          <w:rStyle w:val="a8"/>
          <w:rFonts w:eastAsia="宋体"/>
        </w:rPr>
        <w:footnoteReference w:id="9"/>
      </w:r>
    </w:p>
    <w:p w14:paraId="7F2B234D" w14:textId="77777777" w:rsidR="00582F0A" w:rsidRPr="007F51EE" w:rsidRDefault="00582F0A" w:rsidP="00C41203">
      <w:pPr>
        <w:pStyle w:val="H23GC"/>
      </w:pPr>
      <w:r w:rsidRPr="007F51EE">
        <w:tab/>
      </w:r>
      <w:r w:rsidRPr="007F51EE">
        <w:tab/>
      </w:r>
      <w:r w:rsidRPr="007F51EE">
        <w:rPr>
          <w:bCs/>
        </w:rPr>
        <w:t>腐败</w:t>
      </w:r>
    </w:p>
    <w:p w14:paraId="34F639DF" w14:textId="77777777" w:rsidR="00582F0A" w:rsidRPr="007F51EE" w:rsidRDefault="00582F0A" w:rsidP="00582F0A">
      <w:pPr>
        <w:pStyle w:val="SingleTxtGC"/>
      </w:pPr>
      <w:r w:rsidRPr="007F51EE">
        <w:t>16.</w:t>
      </w:r>
      <w:r w:rsidRPr="007F51EE">
        <w:tab/>
      </w:r>
      <w:r w:rsidRPr="007F51EE">
        <w:t>委员会注意到缔约国为解决腐败问题采取的措施，包括通过了《反腐败法》</w:t>
      </w:r>
      <w:r w:rsidRPr="007F51EE">
        <w:t>(2020</w:t>
      </w:r>
      <w:r w:rsidRPr="007F51EE">
        <w:t>年</w:t>
      </w:r>
      <w:r w:rsidRPr="007F51EE">
        <w:t>)</w:t>
      </w:r>
      <w:r w:rsidRPr="007F51EE">
        <w:t>、《</w:t>
      </w:r>
      <w:r w:rsidRPr="007F51EE">
        <w:t>2021-2030</w:t>
      </w:r>
      <w:r w:rsidRPr="007F51EE">
        <w:t>年反腐败战略》及其行动计划。然而，委员会感到关切的是，有报告称，社会各部门，包括司法部门以及卫生和教育部门</w:t>
      </w:r>
      <w:r w:rsidRPr="007F51EE">
        <w:rPr>
          <w:rFonts w:hint="eastAsia"/>
        </w:rPr>
        <w:t>的</w:t>
      </w:r>
      <w:r w:rsidRPr="007F51EE">
        <w:t>腐败现象仍然普遍存在。委员会还感到关切的是，缔约国没有根据国际标准对国家立法</w:t>
      </w:r>
      <w:proofErr w:type="gramStart"/>
      <w:r w:rsidRPr="007F51EE">
        <w:t>作出</w:t>
      </w:r>
      <w:proofErr w:type="gramEnd"/>
      <w:r w:rsidRPr="007F51EE">
        <w:t>重大改进，将腐败行为完全定为刑事犯罪</w:t>
      </w:r>
      <w:r w:rsidRPr="007F51EE">
        <w:t>(</w:t>
      </w:r>
      <w:r w:rsidRPr="007F51EE">
        <w:t>第二条第一款</w:t>
      </w:r>
      <w:r w:rsidRPr="007F51EE">
        <w:t>)</w:t>
      </w:r>
      <w:r w:rsidRPr="007F51EE">
        <w:t>。</w:t>
      </w:r>
    </w:p>
    <w:p w14:paraId="6516E9AA" w14:textId="77777777" w:rsidR="00582F0A" w:rsidRPr="007F51EE" w:rsidRDefault="00582F0A" w:rsidP="00582F0A">
      <w:pPr>
        <w:pStyle w:val="SingleTxtGC"/>
        <w:rPr>
          <w:rFonts w:eastAsia="黑体"/>
          <w:bCs/>
        </w:rPr>
      </w:pPr>
      <w:r w:rsidRPr="007F51EE">
        <w:t>17.</w:t>
      </w:r>
      <w:r w:rsidRPr="007F51EE">
        <w:tab/>
      </w:r>
      <w:r w:rsidRPr="007F51EE">
        <w:rPr>
          <w:rFonts w:eastAsia="黑体"/>
          <w:bCs/>
        </w:rPr>
        <w:t>委员会建议缔约国继续努力在各级防止和消除腐败，解决有罪不罚问题，包括将所有腐败罪和贿赂罪的所有要素定为刑事犯罪。委员会建议缔约国确保其立法符合《联合国反腐败公约》的要求。</w:t>
      </w:r>
    </w:p>
    <w:p w14:paraId="3B0F0DCD" w14:textId="77777777" w:rsidR="00582F0A" w:rsidRPr="007F51EE" w:rsidRDefault="00582F0A" w:rsidP="00C41203">
      <w:pPr>
        <w:pStyle w:val="H23GC"/>
      </w:pPr>
      <w:r w:rsidRPr="007F51EE">
        <w:tab/>
      </w:r>
      <w:r w:rsidRPr="007F51EE">
        <w:tab/>
      </w:r>
      <w:r w:rsidRPr="007F51EE">
        <w:t>不歧视</w:t>
      </w:r>
    </w:p>
    <w:p w14:paraId="4B9152A7" w14:textId="77777777" w:rsidR="00582F0A" w:rsidRPr="007F51EE" w:rsidRDefault="00582F0A" w:rsidP="00582F0A">
      <w:pPr>
        <w:pStyle w:val="SingleTxtGC"/>
      </w:pPr>
      <w:r w:rsidRPr="007F51EE">
        <w:t>18.</w:t>
      </w:r>
      <w:r w:rsidRPr="007F51EE">
        <w:tab/>
      </w:r>
      <w:r w:rsidRPr="007F51EE">
        <w:t>委员会欢迎缔约国通过《平等和消除一切形式歧视法》，该法于</w:t>
      </w:r>
      <w:r w:rsidRPr="007F51EE">
        <w:t>2022</w:t>
      </w:r>
      <w:r w:rsidRPr="007F51EE">
        <w:t>年</w:t>
      </w:r>
      <w:r w:rsidRPr="007F51EE">
        <w:t>7</w:t>
      </w:r>
      <w:r w:rsidRPr="007F51EE">
        <w:t>月</w:t>
      </w:r>
      <w:r w:rsidRPr="007F51EE">
        <w:t>22</w:t>
      </w:r>
      <w:r w:rsidRPr="007F51EE">
        <w:t>日生效。然而，尽管委员会注意到该法禁止基于</w:t>
      </w:r>
      <w:r w:rsidRPr="007F51EE">
        <w:rPr>
          <w:rFonts w:hint="eastAsia"/>
        </w:rPr>
        <w:t>“</w:t>
      </w:r>
      <w:r w:rsidRPr="007F51EE">
        <w:t>其他情况</w:t>
      </w:r>
      <w:r w:rsidRPr="007F51EE">
        <w:rPr>
          <w:rFonts w:hint="eastAsia"/>
        </w:rPr>
        <w:t>”</w:t>
      </w:r>
      <w:r w:rsidRPr="007F51EE">
        <w:t>的歧视，但委员会感到关切的是，在涉及该法未明确列入的歧视，例如基于犯罪记录或性取向、性别认同和性别表达的歧视时，该法执行不力</w:t>
      </w:r>
      <w:r w:rsidRPr="007F51EE">
        <w:t>(</w:t>
      </w:r>
      <w:r w:rsidRPr="007F51EE">
        <w:t>第二条第二款</w:t>
      </w:r>
      <w:r w:rsidRPr="007F51EE">
        <w:t>)</w:t>
      </w:r>
      <w:r w:rsidRPr="007F51EE">
        <w:t>。</w:t>
      </w:r>
    </w:p>
    <w:p w14:paraId="211CC110" w14:textId="77777777" w:rsidR="00582F0A" w:rsidRPr="007F51EE" w:rsidRDefault="00582F0A" w:rsidP="00582F0A">
      <w:pPr>
        <w:pStyle w:val="SingleTxtGC"/>
        <w:rPr>
          <w:rFonts w:eastAsia="黑体"/>
          <w:bCs/>
        </w:rPr>
      </w:pPr>
      <w:r w:rsidRPr="007F51EE">
        <w:t>19.</w:t>
      </w:r>
      <w:r w:rsidRPr="007F51EE">
        <w:tab/>
      </w:r>
      <w:r w:rsidRPr="007F51EE">
        <w:rPr>
          <w:rFonts w:eastAsia="黑体"/>
          <w:bCs/>
        </w:rPr>
        <w:t>委员会建议缔约国确保为所有面临歧视的人有效执行《平等和消除一切形式歧视法》。委员会请缔约国参照其关于经济、社会及文化权利方面不歧视的第</w:t>
      </w:r>
      <w:r w:rsidRPr="007F51EE">
        <w:rPr>
          <w:rFonts w:eastAsia="黑体"/>
          <w:bCs/>
        </w:rPr>
        <w:t>20</w:t>
      </w:r>
      <w:r w:rsidRPr="007F51EE">
        <w:rPr>
          <w:rFonts w:eastAsia="黑体"/>
          <w:bCs/>
        </w:rPr>
        <w:t>号一般性意见</w:t>
      </w:r>
      <w:r w:rsidRPr="007F51EE">
        <w:rPr>
          <w:rFonts w:eastAsia="黑体"/>
          <w:bCs/>
        </w:rPr>
        <w:t>(2009</w:t>
      </w:r>
      <w:r w:rsidRPr="007F51EE">
        <w:rPr>
          <w:rFonts w:eastAsia="黑体"/>
          <w:bCs/>
        </w:rPr>
        <w:t>年</w:t>
      </w:r>
      <w:r w:rsidRPr="007F51EE">
        <w:rPr>
          <w:rFonts w:eastAsia="黑体"/>
          <w:bCs/>
        </w:rPr>
        <w:t>)</w:t>
      </w:r>
      <w:r w:rsidRPr="007F51EE">
        <w:rPr>
          <w:rFonts w:eastAsia="黑体"/>
          <w:bCs/>
        </w:rPr>
        <w:t>。</w:t>
      </w:r>
    </w:p>
    <w:p w14:paraId="672747F8" w14:textId="77777777" w:rsidR="00582F0A" w:rsidRPr="007F51EE" w:rsidRDefault="00582F0A" w:rsidP="00C41203">
      <w:pPr>
        <w:pStyle w:val="H23GC"/>
      </w:pPr>
      <w:r w:rsidRPr="007F51EE">
        <w:tab/>
      </w:r>
      <w:r w:rsidRPr="007F51EE">
        <w:tab/>
      </w:r>
      <w:r w:rsidRPr="007F51EE">
        <w:t>男女同性恋、双性恋、跨性别者和间性者</w:t>
      </w:r>
    </w:p>
    <w:p w14:paraId="6900E808" w14:textId="77777777" w:rsidR="00582F0A" w:rsidRPr="007F51EE" w:rsidRDefault="00582F0A" w:rsidP="00582F0A">
      <w:pPr>
        <w:pStyle w:val="SingleTxtGC"/>
      </w:pPr>
      <w:r w:rsidRPr="007F51EE">
        <w:t>20.</w:t>
      </w:r>
      <w:r w:rsidRPr="007F51EE">
        <w:tab/>
      </w:r>
      <w:r w:rsidRPr="007F51EE">
        <w:t>委员会感到关切的是，男女同性恋、双性恋、跨性别者和间性者受到</w:t>
      </w:r>
      <w:proofErr w:type="gramStart"/>
      <w:r w:rsidRPr="007F51EE">
        <w:t>污名化</w:t>
      </w:r>
      <w:proofErr w:type="gramEnd"/>
      <w:r w:rsidRPr="007F51EE">
        <w:t>和歧视，这妨碍他们享有经济、社会及文化权利，而且缺乏旨在消减这种</w:t>
      </w:r>
      <w:proofErr w:type="gramStart"/>
      <w:r w:rsidRPr="007F51EE">
        <w:t>污名化</w:t>
      </w:r>
      <w:proofErr w:type="gramEnd"/>
      <w:r w:rsidRPr="007F51EE">
        <w:lastRenderedPageBreak/>
        <w:t>和歧视或促进对性和性别少数群体的容忍的政府政策、方案或举措</w:t>
      </w:r>
      <w:r w:rsidRPr="007F51EE">
        <w:t>(</w:t>
      </w:r>
      <w:r w:rsidRPr="007F51EE">
        <w:t>第二条第二款</w:t>
      </w:r>
      <w:r w:rsidRPr="007F51EE">
        <w:t>)</w:t>
      </w:r>
      <w:r w:rsidRPr="007F51EE">
        <w:t>。</w:t>
      </w:r>
    </w:p>
    <w:p w14:paraId="62D26D2C" w14:textId="77777777" w:rsidR="00582F0A" w:rsidRPr="007F51EE" w:rsidRDefault="00582F0A" w:rsidP="00582F0A">
      <w:pPr>
        <w:pStyle w:val="SingleTxtGC"/>
      </w:pPr>
      <w:r w:rsidRPr="007F51EE">
        <w:t>21.</w:t>
      </w:r>
      <w:r w:rsidRPr="007F51EE">
        <w:tab/>
      </w:r>
      <w:r w:rsidRPr="007F51EE">
        <w:rPr>
          <w:rFonts w:eastAsia="黑体"/>
          <w:bCs/>
        </w:rPr>
        <w:t>委员会建议缔约国提供有效保护，防止基于性取向和性别认同的一切形式歧视和暴力，这种歧视和暴力妨碍受害者享有其经济、社会及文化权利。委员会还建议缔约国采取一切必要措施，包括开展提高认识活动，打击对男女同性恋、双性恋、跨性别者和</w:t>
      </w:r>
      <w:r w:rsidRPr="007F51EE">
        <w:rPr>
          <w:rFonts w:eastAsia="黑体" w:hint="eastAsia"/>
          <w:bCs/>
        </w:rPr>
        <w:t>间</w:t>
      </w:r>
      <w:r w:rsidRPr="007F51EE">
        <w:rPr>
          <w:rFonts w:eastAsia="黑体"/>
          <w:bCs/>
        </w:rPr>
        <w:t>性者的</w:t>
      </w:r>
      <w:proofErr w:type="gramStart"/>
      <w:r w:rsidRPr="007F51EE">
        <w:rPr>
          <w:rFonts w:eastAsia="黑体"/>
          <w:bCs/>
        </w:rPr>
        <w:t>污名化</w:t>
      </w:r>
      <w:proofErr w:type="gramEnd"/>
      <w:r w:rsidRPr="007F51EE">
        <w:rPr>
          <w:rFonts w:eastAsia="黑体"/>
          <w:bCs/>
        </w:rPr>
        <w:t>和歧视。</w:t>
      </w:r>
    </w:p>
    <w:p w14:paraId="3DB30AE6" w14:textId="77777777" w:rsidR="00582F0A" w:rsidRPr="007F51EE" w:rsidRDefault="00582F0A" w:rsidP="00C41203">
      <w:pPr>
        <w:pStyle w:val="H23GC"/>
      </w:pPr>
      <w:r w:rsidRPr="007F51EE">
        <w:tab/>
      </w:r>
      <w:r w:rsidRPr="007F51EE">
        <w:tab/>
      </w:r>
      <w:r w:rsidRPr="007F51EE">
        <w:t>难民和寻求庇护者</w:t>
      </w:r>
    </w:p>
    <w:p w14:paraId="18B5F233" w14:textId="77777777" w:rsidR="00582F0A" w:rsidRPr="007F51EE" w:rsidRDefault="00582F0A" w:rsidP="00582F0A">
      <w:pPr>
        <w:pStyle w:val="SingleTxtGC"/>
      </w:pPr>
      <w:r w:rsidRPr="007F51EE">
        <w:t>22.</w:t>
      </w:r>
      <w:r w:rsidRPr="007F51EE">
        <w:tab/>
      </w:r>
      <w:r w:rsidRPr="007F51EE">
        <w:t>委员会感到关切的是，难民和寻求庇护者面临法律限制，难以在当地找到住所，进入某些城市地区受到限制，并被禁止在主要城市中心居住，这限制了他们进入劳动力市场、获得医疗保健、教育、住房和其他服务的机会。此外，委员会还感到关切的是，有报告称，阿富汗难民和寻求庇护者以及其他阿富汗国民被驱逐出塔吉克斯坦，这使他们在返回后面临因酷刑、虐待或其他侵犯人权</w:t>
      </w:r>
      <w:r w:rsidRPr="007F51EE">
        <w:t>(</w:t>
      </w:r>
      <w:r w:rsidRPr="007F51EE">
        <w:t>包括经济、社会及文化权利</w:t>
      </w:r>
      <w:r w:rsidRPr="007F51EE">
        <w:t>)</w:t>
      </w:r>
      <w:r w:rsidRPr="007F51EE">
        <w:t>行为所造成的不可弥补伤害的风险。委员会还感到关切的是，由于这些驱逐，家庭被拆散，这侵犯了他们的家庭权，并对他们享</w:t>
      </w:r>
      <w:r w:rsidRPr="007F51EE">
        <w:rPr>
          <w:rFonts w:hint="eastAsia"/>
        </w:rPr>
        <w:t>有</w:t>
      </w:r>
      <w:r w:rsidRPr="007F51EE">
        <w:t>若干经济、社会及文化权利的能力产生了不利影响</w:t>
      </w:r>
      <w:r w:rsidRPr="007F51EE">
        <w:t>(</w:t>
      </w:r>
      <w:r w:rsidRPr="007F51EE">
        <w:t>第二条第二款和第十条第一款</w:t>
      </w:r>
      <w:r w:rsidRPr="007F51EE">
        <w:t>)</w:t>
      </w:r>
      <w:r w:rsidRPr="007F51EE">
        <w:t>。</w:t>
      </w:r>
    </w:p>
    <w:p w14:paraId="17193D6F" w14:textId="77777777" w:rsidR="00582F0A" w:rsidRPr="007F51EE" w:rsidRDefault="00582F0A" w:rsidP="00582F0A">
      <w:pPr>
        <w:pStyle w:val="SingleTxtGC"/>
        <w:rPr>
          <w:rFonts w:eastAsia="黑体"/>
          <w:bCs/>
        </w:rPr>
      </w:pPr>
      <w:r w:rsidRPr="007F51EE">
        <w:t>23.</w:t>
      </w:r>
      <w:r w:rsidRPr="007F51EE">
        <w:tab/>
      </w:r>
      <w:r w:rsidRPr="007F51EE">
        <w:rPr>
          <w:rFonts w:eastAsia="黑体"/>
          <w:bCs/>
        </w:rPr>
        <w:t>委员会促请缔约国：</w:t>
      </w:r>
    </w:p>
    <w:p w14:paraId="3E5699ED" w14:textId="1B1983C1" w:rsidR="00582F0A" w:rsidRPr="007F51EE" w:rsidRDefault="00C41203" w:rsidP="00582F0A">
      <w:pPr>
        <w:pStyle w:val="SingleTxtGC"/>
        <w:rPr>
          <w:rFonts w:eastAsia="黑体"/>
          <w:bCs/>
        </w:rPr>
      </w:pPr>
      <w:r>
        <w:tab/>
      </w:r>
      <w:r w:rsidR="00582F0A" w:rsidRPr="007F51EE">
        <w:t>(a)</w:t>
      </w:r>
      <w:r w:rsidR="00582F0A" w:rsidRPr="007F51EE">
        <w:tab/>
      </w:r>
      <w:r w:rsidR="00582F0A" w:rsidRPr="007F51EE">
        <w:rPr>
          <w:rFonts w:eastAsia="黑体"/>
          <w:bCs/>
        </w:rPr>
        <w:t>采取一切必要步骤，取消第</w:t>
      </w:r>
      <w:r w:rsidR="00582F0A" w:rsidRPr="007F51EE">
        <w:rPr>
          <w:rFonts w:eastAsia="黑体"/>
          <w:bCs/>
        </w:rPr>
        <w:t>325(2000)</w:t>
      </w:r>
      <w:r w:rsidR="00582F0A" w:rsidRPr="007F51EE">
        <w:rPr>
          <w:rFonts w:eastAsia="黑体"/>
          <w:bCs/>
        </w:rPr>
        <w:t>号和第</w:t>
      </w:r>
      <w:r w:rsidR="00582F0A" w:rsidRPr="007F51EE">
        <w:rPr>
          <w:rFonts w:eastAsia="黑体"/>
          <w:bCs/>
        </w:rPr>
        <w:t>328(2004)</w:t>
      </w:r>
      <w:proofErr w:type="gramStart"/>
      <w:r w:rsidR="00582F0A" w:rsidRPr="007F51EE">
        <w:rPr>
          <w:rFonts w:eastAsia="黑体"/>
          <w:bCs/>
        </w:rPr>
        <w:t>号总统</w:t>
      </w:r>
      <w:proofErr w:type="gramEnd"/>
      <w:r w:rsidR="00582F0A" w:rsidRPr="007F51EE">
        <w:rPr>
          <w:rFonts w:eastAsia="黑体"/>
          <w:bCs/>
        </w:rPr>
        <w:t>决议规定的限制，以确保难民和寻求庇护者享有《公约》所载的经济、社会及文化权利，从而落实委员会在这方面的先前建议；</w:t>
      </w:r>
      <w:r w:rsidR="00582F0A" w:rsidRPr="007F51EE">
        <w:rPr>
          <w:rStyle w:val="a8"/>
          <w:rFonts w:eastAsia="宋体"/>
        </w:rPr>
        <w:footnoteReference w:id="10"/>
      </w:r>
    </w:p>
    <w:p w14:paraId="1B5BE155" w14:textId="3CE0353E" w:rsidR="00582F0A" w:rsidRPr="007F51EE" w:rsidRDefault="00C41203" w:rsidP="00582F0A">
      <w:pPr>
        <w:pStyle w:val="SingleTxtGC"/>
        <w:rPr>
          <w:rFonts w:eastAsia="黑体"/>
          <w:bCs/>
        </w:rPr>
      </w:pPr>
      <w:r>
        <w:tab/>
      </w:r>
      <w:r w:rsidR="00582F0A" w:rsidRPr="007F51EE">
        <w:t>(b)</w:t>
      </w:r>
      <w:r w:rsidR="00582F0A" w:rsidRPr="007F51EE">
        <w:tab/>
      </w:r>
      <w:r w:rsidR="00582F0A" w:rsidRPr="007F51EE">
        <w:rPr>
          <w:rFonts w:eastAsia="黑体"/>
          <w:bCs/>
        </w:rPr>
        <w:t>尽快使预期设立的临时住宿中心投入运作，并确保弱势寻求庇护者能够进入该中心；</w:t>
      </w:r>
    </w:p>
    <w:p w14:paraId="2EE03141" w14:textId="006752DC" w:rsidR="00582F0A" w:rsidRPr="007F51EE" w:rsidRDefault="00C41203" w:rsidP="00582F0A">
      <w:pPr>
        <w:pStyle w:val="SingleTxtGC"/>
        <w:rPr>
          <w:rFonts w:eastAsia="黑体"/>
          <w:bCs/>
        </w:rPr>
      </w:pPr>
      <w:r>
        <w:tab/>
      </w:r>
      <w:r w:rsidR="00582F0A" w:rsidRPr="007F51EE">
        <w:t>(c)</w:t>
      </w:r>
      <w:r w:rsidR="00582F0A" w:rsidRPr="007F51EE">
        <w:tab/>
      </w:r>
      <w:r w:rsidR="00582F0A" w:rsidRPr="007F51EE">
        <w:rPr>
          <w:rFonts w:eastAsia="黑体"/>
          <w:bCs/>
        </w:rPr>
        <w:t>确保尊重</w:t>
      </w:r>
      <w:proofErr w:type="gramStart"/>
      <w:r w:rsidR="00582F0A" w:rsidRPr="007F51EE">
        <w:rPr>
          <w:rFonts w:eastAsia="黑体"/>
          <w:bCs/>
        </w:rPr>
        <w:t>不</w:t>
      </w:r>
      <w:proofErr w:type="gramEnd"/>
      <w:r w:rsidR="00582F0A" w:rsidRPr="007F51EE">
        <w:rPr>
          <w:rFonts w:eastAsia="黑体"/>
          <w:bCs/>
        </w:rPr>
        <w:t>推回原则，在有充分理由相信返回者返回后会因酷刑、虐待或其他严重违反人权义务，包括经济、社会及文化权利的行为而面临不可弥补伤害风险时，不将任何人驱逐或转移，不论其地位如何；停止影响难民和寻求庇护者家庭权利的一切形式的驱回和驱逐出境；</w:t>
      </w:r>
    </w:p>
    <w:p w14:paraId="69CE4701" w14:textId="16E27267" w:rsidR="00582F0A" w:rsidRPr="007F51EE" w:rsidRDefault="00C41203" w:rsidP="00582F0A">
      <w:pPr>
        <w:pStyle w:val="SingleTxtGC"/>
        <w:rPr>
          <w:rFonts w:eastAsia="黑体"/>
          <w:bCs/>
        </w:rPr>
      </w:pPr>
      <w:r>
        <w:tab/>
      </w:r>
      <w:r w:rsidR="00582F0A" w:rsidRPr="007F51EE">
        <w:t>(d)</w:t>
      </w:r>
      <w:r w:rsidR="00582F0A" w:rsidRPr="007F51EE">
        <w:tab/>
      </w:r>
      <w:r w:rsidR="00582F0A" w:rsidRPr="007F51EE">
        <w:rPr>
          <w:rFonts w:eastAsia="黑体"/>
          <w:bCs/>
        </w:rPr>
        <w:t>考虑到委员会关于《公约》规定的国家对难民和移民的义务的声明。</w:t>
      </w:r>
      <w:r w:rsidR="00582F0A" w:rsidRPr="007F51EE">
        <w:rPr>
          <w:rStyle w:val="a8"/>
          <w:rFonts w:eastAsia="宋体"/>
        </w:rPr>
        <w:footnoteReference w:id="11"/>
      </w:r>
    </w:p>
    <w:p w14:paraId="2986DAA4" w14:textId="77777777" w:rsidR="00582F0A" w:rsidRPr="007F51EE" w:rsidRDefault="00582F0A" w:rsidP="00C41203">
      <w:pPr>
        <w:pStyle w:val="H23GC"/>
      </w:pPr>
      <w:r w:rsidRPr="007F51EE">
        <w:tab/>
      </w:r>
      <w:r w:rsidRPr="007F51EE">
        <w:tab/>
      </w:r>
      <w:r w:rsidRPr="007F51EE">
        <w:t>残疾人</w:t>
      </w:r>
    </w:p>
    <w:p w14:paraId="357E80EC" w14:textId="77777777" w:rsidR="00582F0A" w:rsidRPr="007F51EE" w:rsidRDefault="00582F0A" w:rsidP="00582F0A">
      <w:pPr>
        <w:pStyle w:val="SingleTxtGC"/>
      </w:pPr>
      <w:r w:rsidRPr="007F51EE">
        <w:t>24.</w:t>
      </w:r>
      <w:r w:rsidRPr="007F51EE">
        <w:tab/>
      </w:r>
      <w:r w:rsidRPr="007F51EE">
        <w:t>委员会欢迎缔约国通过了国家行动计划</w:t>
      </w:r>
      <w:r w:rsidRPr="007F51EE">
        <w:t>(2020</w:t>
      </w:r>
      <w:r w:rsidRPr="007F51EE">
        <w:t>年</w:t>
      </w:r>
      <w:r w:rsidRPr="007F51EE">
        <w:t>)</w:t>
      </w:r>
      <w:r w:rsidRPr="007F51EE">
        <w:t>、《</w:t>
      </w:r>
      <w:r w:rsidRPr="007F51EE">
        <w:t>2021-2025</w:t>
      </w:r>
      <w:r w:rsidRPr="007F51EE">
        <w:t>年无障碍环境国家方案》以及旨在批准和执行《残疾人权利公约》的其他措施。然而，委员会仍然感到关切的是，由于未能有效落实合理便利，特别是在教育和医疗设施中</w:t>
      </w:r>
      <w:r w:rsidRPr="007F51EE">
        <w:rPr>
          <w:rFonts w:hint="eastAsia"/>
        </w:rPr>
        <w:t>落实这种便利</w:t>
      </w:r>
      <w:r w:rsidRPr="007F51EE">
        <w:t>，残疾人面临着阻碍其享有经济、社会及文化权利的障碍</w:t>
      </w:r>
      <w:r w:rsidRPr="007F51EE">
        <w:t>(</w:t>
      </w:r>
      <w:r w:rsidRPr="007F51EE">
        <w:t>第二条第二款</w:t>
      </w:r>
      <w:r w:rsidRPr="007F51EE">
        <w:t>)</w:t>
      </w:r>
      <w:r w:rsidRPr="007F51EE">
        <w:t>。</w:t>
      </w:r>
    </w:p>
    <w:p w14:paraId="5124B22E" w14:textId="77777777" w:rsidR="00582F0A" w:rsidRPr="007F51EE" w:rsidRDefault="00582F0A" w:rsidP="00582F0A">
      <w:pPr>
        <w:pStyle w:val="SingleTxtGC"/>
        <w:rPr>
          <w:rFonts w:eastAsia="黑体"/>
          <w:bCs/>
        </w:rPr>
      </w:pPr>
      <w:r w:rsidRPr="007F51EE">
        <w:t>25.</w:t>
      </w:r>
      <w:r w:rsidRPr="007F51EE">
        <w:tab/>
      </w:r>
      <w:r w:rsidRPr="007F51EE">
        <w:rPr>
          <w:rFonts w:eastAsia="黑体"/>
          <w:bCs/>
        </w:rPr>
        <w:t>委员会建议缔约国加紧努力，尽快批准《残疾人权利公约》。委员会还建议缔约国确保所有机构和服务的无障碍性，并规定公共和私营部门有义务为残疾人提供合理便利。</w:t>
      </w:r>
    </w:p>
    <w:p w14:paraId="07D45D64" w14:textId="77777777" w:rsidR="00582F0A" w:rsidRPr="007F51EE" w:rsidRDefault="00582F0A" w:rsidP="00C41203">
      <w:pPr>
        <w:pStyle w:val="H23GC"/>
      </w:pPr>
      <w:r w:rsidRPr="007F51EE">
        <w:lastRenderedPageBreak/>
        <w:tab/>
      </w:r>
      <w:r w:rsidRPr="007F51EE">
        <w:tab/>
      </w:r>
      <w:r w:rsidRPr="007F51EE">
        <w:t>艾滋病毒感染者</w:t>
      </w:r>
      <w:r w:rsidRPr="007F51EE">
        <w:t>/</w:t>
      </w:r>
      <w:r w:rsidRPr="007F51EE">
        <w:t>艾滋病患者</w:t>
      </w:r>
    </w:p>
    <w:p w14:paraId="790F6E29" w14:textId="68826879" w:rsidR="00582F0A" w:rsidRPr="007F51EE" w:rsidRDefault="00582F0A" w:rsidP="00582F0A">
      <w:pPr>
        <w:pStyle w:val="SingleTxtGC"/>
      </w:pPr>
      <w:r w:rsidRPr="007F51EE">
        <w:t>26.</w:t>
      </w:r>
      <w:r w:rsidRPr="007F51EE">
        <w:tab/>
      </w:r>
      <w:r w:rsidRPr="007F51EE">
        <w:t>委员会赞扬缔约国在预防艾滋病毒方面的努力，包括</w:t>
      </w:r>
      <w:r w:rsidRPr="007F51EE">
        <w:rPr>
          <w:rFonts w:hint="eastAsia"/>
        </w:rPr>
        <w:t>《</w:t>
      </w:r>
      <w:r w:rsidRPr="007F51EE">
        <w:t>2021-2025</w:t>
      </w:r>
      <w:r w:rsidRPr="007F51EE">
        <w:t>年塔吉克斯坦防治艾滋病毒</w:t>
      </w:r>
      <w:r w:rsidRPr="007F51EE">
        <w:t>/</w:t>
      </w:r>
      <w:r w:rsidRPr="007F51EE">
        <w:t>艾滋病国家方案</w:t>
      </w:r>
      <w:r w:rsidRPr="007F51EE">
        <w:rPr>
          <w:rFonts w:hint="eastAsia"/>
        </w:rPr>
        <w:t>》</w:t>
      </w:r>
      <w:r w:rsidRPr="007F51EE">
        <w:t>。然而，委员会对各种歧视性法律规定感到关切，其中包括禁止艾滋病毒感染者</w:t>
      </w:r>
      <w:r w:rsidRPr="007F51EE">
        <w:rPr>
          <w:rFonts w:hint="eastAsia"/>
        </w:rPr>
        <w:t>进入</w:t>
      </w:r>
      <w:r w:rsidRPr="007F51EE">
        <w:t>医科大学和获得收养儿童的资格，以及强制性的婚前艾滋病毒检测，这些规定助长了与艾滋病毒有关的</w:t>
      </w:r>
      <w:proofErr w:type="gramStart"/>
      <w:r w:rsidRPr="007F51EE">
        <w:t>污名化</w:t>
      </w:r>
      <w:proofErr w:type="gramEnd"/>
      <w:r w:rsidRPr="007F51EE">
        <w:t>和歧视，对艾滋病毒感染者</w:t>
      </w:r>
      <w:r w:rsidRPr="007F51EE">
        <w:t>/</w:t>
      </w:r>
      <w:r w:rsidRPr="007F51EE">
        <w:t>艾滋病</w:t>
      </w:r>
      <w:r w:rsidRPr="007F51EE">
        <w:rPr>
          <w:rFonts w:hint="eastAsia"/>
        </w:rPr>
        <w:t>患者</w:t>
      </w:r>
      <w:r w:rsidRPr="007F51EE">
        <w:t>或有感染风险者寻求预防、治疗和支助构成重大障碍。</w:t>
      </w:r>
      <w:bookmarkStart w:id="1" w:name="_Hlk124927461"/>
      <w:r w:rsidRPr="007F51EE">
        <w:t>委员会特别感到关切的是，《刑法》第</w:t>
      </w:r>
      <w:r w:rsidRPr="007F51EE">
        <w:t>125</w:t>
      </w:r>
      <w:r w:rsidRPr="007F51EE">
        <w:t>条将艾滋病毒</w:t>
      </w:r>
      <w:r w:rsidRPr="007F51EE">
        <w:rPr>
          <w:rFonts w:hint="eastAsia"/>
        </w:rPr>
        <w:t>暴露</w:t>
      </w:r>
      <w:r w:rsidRPr="007F51EE">
        <w:t>和传播定为刑事罪。委员会还感到关切的是，关于艾滋病毒感染状况的资料没有保密</w:t>
      </w:r>
      <w:r w:rsidRPr="007F51EE">
        <w:t>(</w:t>
      </w:r>
      <w:r w:rsidRPr="007F51EE">
        <w:t>第二条和第十二条</w:t>
      </w:r>
      <w:r w:rsidRPr="007F51EE">
        <w:t>)</w:t>
      </w:r>
      <w:r w:rsidRPr="007F51EE">
        <w:t>。</w:t>
      </w:r>
      <w:bookmarkEnd w:id="1"/>
    </w:p>
    <w:p w14:paraId="60021ADF" w14:textId="77777777" w:rsidR="00582F0A" w:rsidRPr="007F51EE" w:rsidRDefault="00582F0A" w:rsidP="00582F0A">
      <w:pPr>
        <w:pStyle w:val="SingleTxtGC"/>
        <w:rPr>
          <w:rFonts w:eastAsia="黑体"/>
          <w:bCs/>
        </w:rPr>
      </w:pPr>
      <w:r w:rsidRPr="007F51EE">
        <w:t>27.</w:t>
      </w:r>
      <w:r w:rsidRPr="007F51EE">
        <w:tab/>
      </w:r>
      <w:r w:rsidRPr="007F51EE">
        <w:rPr>
          <w:rFonts w:eastAsia="黑体"/>
          <w:bCs/>
        </w:rPr>
        <w:t>委员会建议缔约国：</w:t>
      </w:r>
    </w:p>
    <w:p w14:paraId="4BCDC024" w14:textId="084BA0E8" w:rsidR="00582F0A" w:rsidRPr="007F51EE" w:rsidRDefault="00C41203" w:rsidP="00582F0A">
      <w:pPr>
        <w:pStyle w:val="SingleTxtGC"/>
        <w:rPr>
          <w:rFonts w:eastAsia="黑体"/>
          <w:bCs/>
        </w:rPr>
      </w:pPr>
      <w:r>
        <w:tab/>
      </w:r>
      <w:r w:rsidR="00582F0A" w:rsidRPr="007F51EE">
        <w:t>(a)</w:t>
      </w:r>
      <w:r w:rsidR="00582F0A" w:rsidRPr="007F51EE">
        <w:tab/>
      </w:r>
      <w:r w:rsidR="00582F0A" w:rsidRPr="007F51EE">
        <w:rPr>
          <w:rFonts w:eastAsia="黑体"/>
          <w:bCs/>
          <w:spacing w:val="-3"/>
        </w:rPr>
        <w:t>采取适当措施废除《刑法》第</w:t>
      </w:r>
      <w:r w:rsidR="00582F0A" w:rsidRPr="007F51EE">
        <w:rPr>
          <w:rFonts w:eastAsia="黑体"/>
          <w:bCs/>
          <w:spacing w:val="-3"/>
        </w:rPr>
        <w:t>125</w:t>
      </w:r>
      <w:r w:rsidR="00582F0A" w:rsidRPr="007F51EE">
        <w:rPr>
          <w:rFonts w:eastAsia="黑体"/>
          <w:bCs/>
          <w:spacing w:val="-3"/>
        </w:rPr>
        <w:t>条，使艾滋病毒</w:t>
      </w:r>
      <w:r w:rsidR="00582F0A" w:rsidRPr="007F51EE">
        <w:rPr>
          <w:rFonts w:eastAsia="黑体" w:hint="eastAsia"/>
          <w:bCs/>
          <w:spacing w:val="-3"/>
        </w:rPr>
        <w:t>暴露</w:t>
      </w:r>
      <w:r w:rsidR="00582F0A" w:rsidRPr="007F51EE">
        <w:rPr>
          <w:rFonts w:eastAsia="黑体"/>
          <w:bCs/>
          <w:spacing w:val="-3"/>
        </w:rPr>
        <w:t>和传播非刑罪化；</w:t>
      </w:r>
    </w:p>
    <w:p w14:paraId="2F510AD5" w14:textId="58688AB3" w:rsidR="00582F0A" w:rsidRPr="007F51EE" w:rsidRDefault="00C41203" w:rsidP="00582F0A">
      <w:pPr>
        <w:pStyle w:val="SingleTxtGC"/>
        <w:rPr>
          <w:rFonts w:eastAsia="黑体"/>
          <w:bCs/>
        </w:rPr>
      </w:pPr>
      <w:r>
        <w:tab/>
      </w:r>
      <w:r w:rsidR="00582F0A" w:rsidRPr="007F51EE">
        <w:t>(b)</w:t>
      </w:r>
      <w:r w:rsidR="00582F0A" w:rsidRPr="007F51EE">
        <w:tab/>
      </w:r>
      <w:r w:rsidR="00582F0A" w:rsidRPr="007F51EE">
        <w:rPr>
          <w:rFonts w:eastAsia="黑体"/>
          <w:bCs/>
        </w:rPr>
        <w:t>采取适当措施，废除或修订在儿童收养、婚姻、劳资关系、获得保健服务和教育方面歧视艾滋病毒感染者的所有法律；</w:t>
      </w:r>
    </w:p>
    <w:p w14:paraId="53195A7B" w14:textId="3D9DDDAF" w:rsidR="00582F0A" w:rsidRPr="007F51EE" w:rsidRDefault="00C41203" w:rsidP="00582F0A">
      <w:pPr>
        <w:pStyle w:val="SingleTxtGC"/>
        <w:rPr>
          <w:rFonts w:eastAsia="黑体"/>
          <w:bCs/>
        </w:rPr>
      </w:pPr>
      <w:r>
        <w:tab/>
      </w:r>
      <w:r w:rsidR="00582F0A" w:rsidRPr="007F51EE">
        <w:t>(c)</w:t>
      </w:r>
      <w:r w:rsidR="00582F0A" w:rsidRPr="007F51EE">
        <w:tab/>
      </w:r>
      <w:r w:rsidR="00582F0A" w:rsidRPr="007F51EE">
        <w:rPr>
          <w:rFonts w:eastAsia="黑体"/>
          <w:bCs/>
        </w:rPr>
        <w:t>在司法机构、医务人员、社会工作者和学校当局处理个人艾滋病毒状况方面，保证知情同意和医疗保密；</w:t>
      </w:r>
    </w:p>
    <w:p w14:paraId="0EB0F701" w14:textId="6C4E5AC3" w:rsidR="00582F0A" w:rsidRPr="007F51EE" w:rsidRDefault="00C41203" w:rsidP="00582F0A">
      <w:pPr>
        <w:pStyle w:val="SingleTxtGC"/>
        <w:rPr>
          <w:rFonts w:eastAsia="黑体"/>
          <w:bCs/>
        </w:rPr>
      </w:pPr>
      <w:r>
        <w:tab/>
      </w:r>
      <w:r w:rsidR="00582F0A" w:rsidRPr="007F51EE">
        <w:t>(d)</w:t>
      </w:r>
      <w:r w:rsidR="00582F0A" w:rsidRPr="007F51EE">
        <w:tab/>
      </w:r>
      <w:r w:rsidR="00582F0A" w:rsidRPr="007F51EE">
        <w:rPr>
          <w:rFonts w:eastAsia="黑体"/>
          <w:bCs/>
          <w:spacing w:val="-4"/>
        </w:rPr>
        <w:t>考虑到委员会关于性健康和生殖健康权利的第</w:t>
      </w:r>
      <w:r w:rsidR="00582F0A" w:rsidRPr="007F51EE">
        <w:rPr>
          <w:rFonts w:eastAsia="黑体"/>
          <w:bCs/>
          <w:spacing w:val="-4"/>
        </w:rPr>
        <w:t>22</w:t>
      </w:r>
      <w:r w:rsidR="00582F0A" w:rsidRPr="007F51EE">
        <w:rPr>
          <w:rFonts w:eastAsia="黑体"/>
          <w:bCs/>
          <w:spacing w:val="-4"/>
        </w:rPr>
        <w:t>号一般性意见</w:t>
      </w:r>
      <w:r w:rsidR="00582F0A" w:rsidRPr="007F51EE">
        <w:rPr>
          <w:rFonts w:eastAsia="黑体"/>
          <w:bCs/>
          <w:spacing w:val="-4"/>
        </w:rPr>
        <w:t>(2016</w:t>
      </w:r>
      <w:r w:rsidR="00582F0A" w:rsidRPr="007F51EE">
        <w:rPr>
          <w:rFonts w:eastAsia="黑体"/>
          <w:bCs/>
          <w:spacing w:val="-4"/>
        </w:rPr>
        <w:t>年</w:t>
      </w:r>
      <w:r w:rsidR="00582F0A" w:rsidRPr="007F51EE">
        <w:rPr>
          <w:rFonts w:eastAsia="黑体"/>
          <w:bCs/>
          <w:spacing w:val="-4"/>
        </w:rPr>
        <w:t>)</w:t>
      </w:r>
      <w:r w:rsidR="00582F0A" w:rsidRPr="007F51EE">
        <w:rPr>
          <w:rFonts w:eastAsia="黑体"/>
          <w:bCs/>
          <w:spacing w:val="-4"/>
        </w:rPr>
        <w:t>。</w:t>
      </w:r>
    </w:p>
    <w:p w14:paraId="36009E6E" w14:textId="77777777" w:rsidR="00582F0A" w:rsidRPr="007F51EE" w:rsidRDefault="00582F0A" w:rsidP="00C41203">
      <w:pPr>
        <w:pStyle w:val="H23GC"/>
      </w:pPr>
      <w:r w:rsidRPr="007F51EE">
        <w:tab/>
      </w:r>
      <w:r w:rsidRPr="007F51EE">
        <w:tab/>
      </w:r>
      <w:r w:rsidRPr="007F51EE">
        <w:t>男女享有平等权利</w:t>
      </w:r>
    </w:p>
    <w:p w14:paraId="50CABD39" w14:textId="77777777" w:rsidR="00582F0A" w:rsidRPr="007F51EE" w:rsidRDefault="00582F0A" w:rsidP="00582F0A">
      <w:pPr>
        <w:pStyle w:val="SingleTxtGC"/>
      </w:pPr>
      <w:r w:rsidRPr="007F51EE">
        <w:t>28.</w:t>
      </w:r>
      <w:r w:rsidRPr="007F51EE">
        <w:tab/>
      </w:r>
      <w:r w:rsidRPr="007F51EE">
        <w:t>委员会注意到缔约国为实现性别平等采取的法律和政策措施，包括《</w:t>
      </w:r>
      <w:r w:rsidRPr="007F51EE">
        <w:t>2021-2030</w:t>
      </w:r>
      <w:r w:rsidRPr="007F51EE">
        <w:t>年提高妇女作用国家战略》。然而，委员会仍然关切的是，根深蒂固的性别陈规定型观念阻碍女童继续接受中等教育和积极参与社会。委员会还感到关切的是，有报告称，妇女在劳动力市场，特别是在农业部门的收入仍然低于男子，她们集中在非正规部门以及</w:t>
      </w:r>
      <w:r w:rsidRPr="007F51EE">
        <w:rPr>
          <w:rFonts w:hint="eastAsia"/>
        </w:rPr>
        <w:t>对</w:t>
      </w:r>
      <w:r w:rsidRPr="007F51EE">
        <w:t>资格要求很少或</w:t>
      </w:r>
      <w:r w:rsidRPr="007F51EE">
        <w:rPr>
          <w:rFonts w:hint="eastAsia"/>
        </w:rPr>
        <w:t>没有</w:t>
      </w:r>
      <w:r w:rsidRPr="007F51EE">
        <w:t>要求的职业，在决策职位和公务员中的代表性不足</w:t>
      </w:r>
      <w:r w:rsidRPr="007F51EE">
        <w:t>(</w:t>
      </w:r>
      <w:r w:rsidRPr="007F51EE">
        <w:t>第三条</w:t>
      </w:r>
      <w:r w:rsidRPr="007F51EE">
        <w:t>)</w:t>
      </w:r>
      <w:r w:rsidRPr="007F51EE">
        <w:t>。</w:t>
      </w:r>
    </w:p>
    <w:p w14:paraId="0CCA16B1" w14:textId="77777777" w:rsidR="00582F0A" w:rsidRPr="007F51EE" w:rsidRDefault="00582F0A" w:rsidP="00582F0A">
      <w:pPr>
        <w:pStyle w:val="SingleTxtGC"/>
        <w:rPr>
          <w:rFonts w:eastAsia="黑体"/>
          <w:bCs/>
        </w:rPr>
      </w:pPr>
      <w:r w:rsidRPr="007F51EE">
        <w:t>29.</w:t>
      </w:r>
      <w:r w:rsidRPr="007F51EE">
        <w:tab/>
      </w:r>
      <w:r w:rsidRPr="007F51EE">
        <w:rPr>
          <w:rFonts w:eastAsia="黑体"/>
          <w:bCs/>
        </w:rPr>
        <w:t>委员会建议缔约国：</w:t>
      </w:r>
    </w:p>
    <w:p w14:paraId="3FD535C1" w14:textId="5B8291FF" w:rsidR="00582F0A" w:rsidRPr="007F51EE" w:rsidRDefault="00C41203" w:rsidP="00582F0A">
      <w:pPr>
        <w:pStyle w:val="SingleTxtGC"/>
        <w:rPr>
          <w:rFonts w:eastAsia="黑体"/>
          <w:bCs/>
        </w:rPr>
      </w:pPr>
      <w:r>
        <w:tab/>
      </w:r>
      <w:r w:rsidR="00582F0A" w:rsidRPr="007F51EE">
        <w:t>(a)</w:t>
      </w:r>
      <w:r w:rsidR="00582F0A" w:rsidRPr="007F51EE">
        <w:tab/>
      </w:r>
      <w:r w:rsidR="00582F0A" w:rsidRPr="007F51EE">
        <w:rPr>
          <w:rFonts w:eastAsia="黑体"/>
          <w:bCs/>
        </w:rPr>
        <w:t>采取具体措施，确保有效执行关于性别平等的立法和政策框架，并保障妇女和女童平等享有经济、社会及文化权利，同时消除性别陈规定型观念；</w:t>
      </w:r>
    </w:p>
    <w:p w14:paraId="717C0274" w14:textId="3B27C1F9" w:rsidR="00582F0A" w:rsidRPr="007F51EE" w:rsidRDefault="00C41203" w:rsidP="00582F0A">
      <w:pPr>
        <w:pStyle w:val="SingleTxtGC"/>
        <w:rPr>
          <w:rFonts w:eastAsia="黑体"/>
          <w:bCs/>
        </w:rPr>
      </w:pPr>
      <w:r>
        <w:tab/>
      </w:r>
      <w:r w:rsidR="00582F0A" w:rsidRPr="007F51EE">
        <w:t>(b)</w:t>
      </w:r>
      <w:r w:rsidR="00582F0A" w:rsidRPr="007F51EE">
        <w:tab/>
      </w:r>
      <w:r w:rsidR="00582F0A" w:rsidRPr="007F51EE">
        <w:rPr>
          <w:rFonts w:eastAsia="黑体"/>
          <w:bCs/>
        </w:rPr>
        <w:t>解决妇女和女童在中等和高等教育入学率低的问题，包括开展针对公众的提高认识运动，以促进妇女和女童充分参与劳动力市场、教育和社会文化生活的其他领域；</w:t>
      </w:r>
    </w:p>
    <w:p w14:paraId="3D771813" w14:textId="7F493B3B" w:rsidR="00582F0A" w:rsidRPr="007F51EE" w:rsidRDefault="00C41203" w:rsidP="00582F0A">
      <w:pPr>
        <w:pStyle w:val="SingleTxtGC"/>
        <w:rPr>
          <w:rFonts w:eastAsia="黑体"/>
          <w:bCs/>
        </w:rPr>
      </w:pPr>
      <w:r>
        <w:tab/>
      </w:r>
      <w:r w:rsidR="00582F0A" w:rsidRPr="007F51EE">
        <w:t>(c)</w:t>
      </w:r>
      <w:r w:rsidR="00582F0A" w:rsidRPr="007F51EE">
        <w:tab/>
      </w:r>
      <w:r w:rsidR="00582F0A" w:rsidRPr="007F51EE">
        <w:rPr>
          <w:rFonts w:eastAsia="黑体"/>
          <w:bCs/>
        </w:rPr>
        <w:t>加强努力，缩小男女薪酬差距，特别是在农业部门，并在非传统就业领域和能够为妇女提供平等职业机会的领域为妇女提供培训和能力建设；</w:t>
      </w:r>
    </w:p>
    <w:p w14:paraId="1CE3552A" w14:textId="3772351B" w:rsidR="00582F0A" w:rsidRPr="007F51EE" w:rsidRDefault="00C41203" w:rsidP="00582F0A">
      <w:pPr>
        <w:pStyle w:val="SingleTxtGC"/>
        <w:rPr>
          <w:rFonts w:eastAsia="黑体"/>
          <w:bCs/>
        </w:rPr>
      </w:pPr>
      <w:r>
        <w:tab/>
      </w:r>
      <w:r w:rsidR="00582F0A" w:rsidRPr="007F51EE">
        <w:t>(d)</w:t>
      </w:r>
      <w:r w:rsidR="00582F0A" w:rsidRPr="007F51EE">
        <w:tab/>
      </w:r>
      <w:r w:rsidR="00582F0A" w:rsidRPr="007F51EE">
        <w:rPr>
          <w:rFonts w:eastAsia="黑体"/>
          <w:bCs/>
        </w:rPr>
        <w:t>加强措施，解决妇女在决策职位和公务员中代表性不足的问题，包括采取配额等暂行特别措施；</w:t>
      </w:r>
    </w:p>
    <w:p w14:paraId="5846F1F1" w14:textId="336C0B3A" w:rsidR="00582F0A" w:rsidRPr="007F51EE" w:rsidRDefault="00C41203" w:rsidP="00582F0A">
      <w:pPr>
        <w:pStyle w:val="SingleTxtGC"/>
        <w:rPr>
          <w:rFonts w:eastAsia="黑体"/>
          <w:bCs/>
        </w:rPr>
      </w:pPr>
      <w:r>
        <w:tab/>
      </w:r>
      <w:r w:rsidR="00582F0A" w:rsidRPr="007F51EE">
        <w:t>(e)</w:t>
      </w:r>
      <w:r w:rsidR="00582F0A" w:rsidRPr="007F51EE">
        <w:tab/>
      </w:r>
      <w:r w:rsidR="00582F0A" w:rsidRPr="007F51EE">
        <w:rPr>
          <w:rFonts w:eastAsia="黑体"/>
          <w:bCs/>
        </w:rPr>
        <w:t>酌情与人权事务专员和民间社会组织协商，全面评估旨在实现性别平等的法律和政策措施的执行水平和结果；</w:t>
      </w:r>
    </w:p>
    <w:p w14:paraId="34BC818B" w14:textId="52F76F4F" w:rsidR="00582F0A" w:rsidRPr="007F51EE" w:rsidRDefault="00C41203" w:rsidP="00582F0A">
      <w:pPr>
        <w:pStyle w:val="SingleTxtGC"/>
        <w:rPr>
          <w:rFonts w:eastAsia="黑体"/>
          <w:bCs/>
        </w:rPr>
      </w:pPr>
      <w:r>
        <w:tab/>
      </w:r>
      <w:r w:rsidR="00582F0A" w:rsidRPr="007F51EE">
        <w:t>(f)</w:t>
      </w:r>
      <w:r w:rsidR="00582F0A" w:rsidRPr="007F51EE">
        <w:tab/>
      </w:r>
      <w:r w:rsidR="00582F0A" w:rsidRPr="007F51EE">
        <w:rPr>
          <w:rFonts w:eastAsia="黑体"/>
          <w:bCs/>
        </w:rPr>
        <w:t>考虑到委员会关于男女在享</w:t>
      </w:r>
      <w:r w:rsidR="00582F0A" w:rsidRPr="007F51EE">
        <w:rPr>
          <w:rFonts w:eastAsia="黑体" w:hint="eastAsia"/>
          <w:bCs/>
        </w:rPr>
        <w:t>有</w:t>
      </w:r>
      <w:r w:rsidR="00582F0A" w:rsidRPr="007F51EE">
        <w:rPr>
          <w:rFonts w:eastAsia="黑体"/>
          <w:bCs/>
        </w:rPr>
        <w:t>一切经济、社会及文化权利方面的平等权利的第</w:t>
      </w:r>
      <w:r w:rsidR="00582F0A" w:rsidRPr="007F51EE">
        <w:rPr>
          <w:rFonts w:eastAsia="黑体"/>
          <w:bCs/>
        </w:rPr>
        <w:t>16</w:t>
      </w:r>
      <w:r w:rsidR="00582F0A" w:rsidRPr="007F51EE">
        <w:rPr>
          <w:rFonts w:eastAsia="黑体"/>
          <w:bCs/>
        </w:rPr>
        <w:t>号一般性意见</w:t>
      </w:r>
      <w:r w:rsidR="00582F0A" w:rsidRPr="007F51EE">
        <w:rPr>
          <w:rFonts w:eastAsia="黑体"/>
          <w:bCs/>
        </w:rPr>
        <w:t>(2005</w:t>
      </w:r>
      <w:r w:rsidR="00582F0A" w:rsidRPr="007F51EE">
        <w:rPr>
          <w:rFonts w:eastAsia="黑体"/>
          <w:bCs/>
        </w:rPr>
        <w:t>年</w:t>
      </w:r>
      <w:r w:rsidR="00582F0A" w:rsidRPr="007F51EE">
        <w:rPr>
          <w:rFonts w:eastAsia="黑体"/>
          <w:bCs/>
        </w:rPr>
        <w:t>)</w:t>
      </w:r>
      <w:r w:rsidR="00582F0A" w:rsidRPr="007F51EE">
        <w:rPr>
          <w:rFonts w:eastAsia="黑体"/>
          <w:bCs/>
        </w:rPr>
        <w:t>。</w:t>
      </w:r>
    </w:p>
    <w:p w14:paraId="3EC286EA" w14:textId="77777777" w:rsidR="00582F0A" w:rsidRPr="007F51EE" w:rsidRDefault="00582F0A" w:rsidP="00E910EB">
      <w:pPr>
        <w:pStyle w:val="H23GC"/>
      </w:pPr>
      <w:r w:rsidRPr="007F51EE">
        <w:lastRenderedPageBreak/>
        <w:tab/>
      </w:r>
      <w:r w:rsidRPr="007F51EE">
        <w:tab/>
      </w:r>
      <w:r w:rsidRPr="007F51EE">
        <w:t>对妇女的暴力行为</w:t>
      </w:r>
    </w:p>
    <w:p w14:paraId="47BE9B8B" w14:textId="77777777" w:rsidR="00582F0A" w:rsidRPr="007F51EE" w:rsidRDefault="00582F0A" w:rsidP="00582F0A">
      <w:pPr>
        <w:pStyle w:val="SingleTxtGC"/>
      </w:pPr>
      <w:r w:rsidRPr="007F51EE">
        <w:t>30.</w:t>
      </w:r>
      <w:r w:rsidRPr="007F51EE">
        <w:tab/>
      </w:r>
      <w:r w:rsidRPr="007F51EE">
        <w:t>委员会承认缔约国努力处理基于性别的暴力，特别是家庭暴力，但它仍然关切的是，该国仍然普遍存在各种形式基于性别的暴力侵害妇女行为，包括家庭暴力。委员会对有罪不罚、立法中的保护漏洞、刑事司法系统薄弱以及当局未能系统地处理这一情况感到关切</w:t>
      </w:r>
      <w:r w:rsidRPr="007F51EE">
        <w:t>(</w:t>
      </w:r>
      <w:r w:rsidRPr="007F51EE">
        <w:t>第三条</w:t>
      </w:r>
      <w:r w:rsidRPr="007F51EE">
        <w:t>)</w:t>
      </w:r>
      <w:r w:rsidRPr="007F51EE">
        <w:t>。</w:t>
      </w:r>
    </w:p>
    <w:p w14:paraId="766209D8" w14:textId="77777777" w:rsidR="00582F0A" w:rsidRPr="007F51EE" w:rsidRDefault="00582F0A" w:rsidP="00582F0A">
      <w:pPr>
        <w:pStyle w:val="SingleTxtGC"/>
        <w:rPr>
          <w:rFonts w:eastAsia="黑体"/>
          <w:bCs/>
        </w:rPr>
      </w:pPr>
      <w:r w:rsidRPr="007F51EE">
        <w:t>31.</w:t>
      </w:r>
      <w:r w:rsidRPr="007F51EE">
        <w:tab/>
      </w:r>
      <w:r w:rsidRPr="007F51EE">
        <w:rPr>
          <w:rFonts w:eastAsia="黑体"/>
          <w:bCs/>
        </w:rPr>
        <w:t>委员会建议缔约国：</w:t>
      </w:r>
    </w:p>
    <w:p w14:paraId="2A20A851" w14:textId="47D2478E" w:rsidR="00582F0A" w:rsidRPr="007F51EE" w:rsidRDefault="00E910EB" w:rsidP="00582F0A">
      <w:pPr>
        <w:pStyle w:val="SingleTxtGC"/>
        <w:rPr>
          <w:rFonts w:eastAsia="黑体"/>
          <w:bCs/>
        </w:rPr>
      </w:pPr>
      <w:r>
        <w:tab/>
      </w:r>
      <w:r w:rsidR="00582F0A" w:rsidRPr="007F51EE">
        <w:t>(a)</w:t>
      </w:r>
      <w:r w:rsidR="00582F0A" w:rsidRPr="007F51EE">
        <w:tab/>
      </w:r>
      <w:r w:rsidR="00582F0A" w:rsidRPr="007F51EE">
        <w:rPr>
          <w:rFonts w:eastAsia="黑体"/>
          <w:bCs/>
        </w:rPr>
        <w:t>颁布全面立法，将一切形式基于性别的暴力，包括家庭暴力、婚内强奸和</w:t>
      </w:r>
      <w:proofErr w:type="gramStart"/>
      <w:r w:rsidR="00582F0A" w:rsidRPr="007F51EE">
        <w:rPr>
          <w:rFonts w:eastAsia="黑体"/>
          <w:bCs/>
        </w:rPr>
        <w:t>婚内</w:t>
      </w:r>
      <w:proofErr w:type="gramEnd"/>
      <w:r w:rsidR="00582F0A" w:rsidRPr="007F51EE">
        <w:rPr>
          <w:rFonts w:eastAsia="黑体"/>
          <w:bCs/>
        </w:rPr>
        <w:t>婚外性攻击定为刑事犯罪；</w:t>
      </w:r>
    </w:p>
    <w:p w14:paraId="41E60737" w14:textId="690FF38A" w:rsidR="00582F0A" w:rsidRPr="007F51EE" w:rsidRDefault="00E910EB" w:rsidP="00582F0A">
      <w:pPr>
        <w:pStyle w:val="SingleTxtGC"/>
        <w:rPr>
          <w:rFonts w:eastAsia="黑体"/>
          <w:bCs/>
        </w:rPr>
      </w:pPr>
      <w:r>
        <w:tab/>
      </w:r>
      <w:r w:rsidR="00582F0A" w:rsidRPr="007F51EE">
        <w:t>(b)</w:t>
      </w:r>
      <w:r w:rsidR="00582F0A" w:rsidRPr="007F51EE">
        <w:tab/>
      </w:r>
      <w:r w:rsidR="00582F0A" w:rsidRPr="007F51EE">
        <w:rPr>
          <w:rFonts w:eastAsia="黑体"/>
          <w:bCs/>
          <w:spacing w:val="-1"/>
        </w:rPr>
        <w:t>确保对所有侵害妇女的性别暴力报告进行调查，并起诉和惩罚责任人；</w:t>
      </w:r>
    </w:p>
    <w:p w14:paraId="30AF9004" w14:textId="23FEF6FC" w:rsidR="00582F0A" w:rsidRPr="007F51EE" w:rsidRDefault="00E910EB" w:rsidP="00582F0A">
      <w:pPr>
        <w:pStyle w:val="SingleTxtGC"/>
        <w:rPr>
          <w:rFonts w:ascii="Time New Roman" w:eastAsia="黑体" w:hAnsi="Time New Roman"/>
          <w:bCs/>
        </w:rPr>
      </w:pPr>
      <w:r w:rsidRPr="00E910EB">
        <w:rPr>
          <w:rFonts w:ascii="Time New Roman" w:eastAsia="黑体" w:hAnsi="Time New Roman"/>
        </w:rPr>
        <w:tab/>
      </w:r>
      <w:r w:rsidR="00582F0A" w:rsidRPr="007F51EE">
        <w:rPr>
          <w:rFonts w:ascii="Time New Roman" w:eastAsia="黑体" w:hAnsi="Time New Roman"/>
        </w:rPr>
        <w:t>(c)</w:t>
      </w:r>
      <w:r w:rsidR="00582F0A" w:rsidRPr="007F51EE">
        <w:rPr>
          <w:rFonts w:ascii="Time New Roman" w:eastAsia="黑体" w:hAnsi="Time New Roman"/>
        </w:rPr>
        <w:tab/>
      </w:r>
      <w:r w:rsidR="00582F0A" w:rsidRPr="007F51EE">
        <w:rPr>
          <w:rFonts w:ascii="Time New Roman" w:eastAsia="黑体" w:hAnsi="Time New Roman"/>
        </w:rPr>
        <w:t>为执法人员提供必要的培训和能力建设方案，并为公众开展提高认识运动；</w:t>
      </w:r>
    </w:p>
    <w:p w14:paraId="5A34A46C" w14:textId="0755F313" w:rsidR="00582F0A" w:rsidRPr="007F51EE" w:rsidRDefault="00E910EB" w:rsidP="00582F0A">
      <w:pPr>
        <w:pStyle w:val="SingleTxtGC"/>
        <w:rPr>
          <w:rFonts w:ascii="Time New Roman" w:eastAsia="黑体" w:hAnsi="Time New Roman"/>
          <w:bCs/>
        </w:rPr>
      </w:pPr>
      <w:r w:rsidRPr="00E910EB">
        <w:rPr>
          <w:rFonts w:ascii="Time New Roman" w:eastAsia="黑体" w:hAnsi="Time New Roman"/>
        </w:rPr>
        <w:tab/>
      </w:r>
      <w:r w:rsidR="00582F0A" w:rsidRPr="007F51EE">
        <w:rPr>
          <w:rFonts w:ascii="Time New Roman" w:eastAsia="黑体" w:hAnsi="Time New Roman"/>
        </w:rPr>
        <w:t>(d)</w:t>
      </w:r>
      <w:r w:rsidR="00582F0A" w:rsidRPr="007F51EE">
        <w:rPr>
          <w:rFonts w:ascii="Time New Roman" w:eastAsia="黑体" w:hAnsi="Time New Roman"/>
        </w:rPr>
        <w:tab/>
      </w:r>
      <w:r w:rsidR="00582F0A" w:rsidRPr="007F51EE">
        <w:rPr>
          <w:rFonts w:ascii="Time New Roman" w:eastAsia="黑体" w:hAnsi="Time New Roman"/>
        </w:rPr>
        <w:t>确保受害者能够获得所有必要的服务，例如庇护所、医疗和社会心理护理、法律援助和社会经济支持。</w:t>
      </w:r>
    </w:p>
    <w:p w14:paraId="30949B34" w14:textId="77777777" w:rsidR="00582F0A" w:rsidRPr="007F51EE" w:rsidRDefault="00582F0A" w:rsidP="00E910EB">
      <w:pPr>
        <w:pStyle w:val="H23GC"/>
      </w:pPr>
      <w:r w:rsidRPr="007F51EE">
        <w:tab/>
      </w:r>
      <w:r w:rsidRPr="007F51EE">
        <w:tab/>
      </w:r>
      <w:r w:rsidRPr="007F51EE">
        <w:t>工作权</w:t>
      </w:r>
    </w:p>
    <w:p w14:paraId="5012D6CF" w14:textId="77777777" w:rsidR="00582F0A" w:rsidRPr="007F51EE" w:rsidRDefault="00582F0A" w:rsidP="00582F0A">
      <w:pPr>
        <w:pStyle w:val="SingleTxtGC"/>
      </w:pPr>
      <w:r w:rsidRPr="007F51EE">
        <w:t>32.</w:t>
      </w:r>
      <w:r w:rsidRPr="007F51EE">
        <w:tab/>
      </w:r>
      <w:r w:rsidRPr="007F51EE">
        <w:t>委员会注意到缔约国为加强职业教育和培训以促进就业而采取的措施，但它仍然感到关切的是，缔约国整体上缺乏就业机会，导致大量塔吉克国民移居其他国家寻找工作。委员会特别关切的是，失业率，尤其是青年人、妇女和残疾人的失业率</w:t>
      </w:r>
      <w:r w:rsidRPr="007F51EE">
        <w:rPr>
          <w:rFonts w:hint="eastAsia"/>
        </w:rPr>
        <w:t>很</w:t>
      </w:r>
      <w:r w:rsidRPr="007F51EE">
        <w:t>高</w:t>
      </w:r>
      <w:r w:rsidRPr="007F51EE">
        <w:t>(</w:t>
      </w:r>
      <w:r w:rsidRPr="007F51EE">
        <w:t>第六条</w:t>
      </w:r>
      <w:r w:rsidRPr="007F51EE">
        <w:t>)</w:t>
      </w:r>
      <w:r w:rsidRPr="007F51EE">
        <w:t>。</w:t>
      </w:r>
    </w:p>
    <w:p w14:paraId="7DC79086" w14:textId="77777777" w:rsidR="00582F0A" w:rsidRPr="007F51EE" w:rsidRDefault="00582F0A" w:rsidP="00582F0A">
      <w:pPr>
        <w:pStyle w:val="SingleTxtGC"/>
        <w:rPr>
          <w:rFonts w:eastAsia="黑体"/>
          <w:bCs/>
        </w:rPr>
      </w:pPr>
      <w:r w:rsidRPr="007F51EE">
        <w:t>33.</w:t>
      </w:r>
      <w:r w:rsidRPr="007F51EE">
        <w:tab/>
      </w:r>
      <w:r w:rsidRPr="007F51EE">
        <w:rPr>
          <w:rFonts w:eastAsia="黑体"/>
          <w:bCs/>
        </w:rPr>
        <w:t>委员会建议缔约国：</w:t>
      </w:r>
    </w:p>
    <w:p w14:paraId="6C004FE6" w14:textId="1E424821" w:rsidR="00582F0A" w:rsidRPr="007F51EE" w:rsidRDefault="00E910EB" w:rsidP="00582F0A">
      <w:pPr>
        <w:pStyle w:val="SingleTxtGC"/>
        <w:rPr>
          <w:rFonts w:eastAsia="黑体"/>
          <w:bCs/>
        </w:rPr>
      </w:pPr>
      <w:r>
        <w:tab/>
      </w:r>
      <w:r w:rsidR="00582F0A" w:rsidRPr="007F51EE">
        <w:t>(a)</w:t>
      </w:r>
      <w:r w:rsidR="00582F0A" w:rsidRPr="007F51EE">
        <w:tab/>
      </w:r>
      <w:r w:rsidR="00582F0A" w:rsidRPr="007F51EE">
        <w:rPr>
          <w:rFonts w:eastAsia="黑体"/>
          <w:bCs/>
        </w:rPr>
        <w:t>通过重组其行业和劳动力市场创造就业机会；</w:t>
      </w:r>
    </w:p>
    <w:p w14:paraId="6306280F" w14:textId="6FD5E9EF" w:rsidR="00582F0A" w:rsidRPr="007F51EE" w:rsidRDefault="00E910EB" w:rsidP="00582F0A">
      <w:pPr>
        <w:pStyle w:val="SingleTxtGC"/>
        <w:rPr>
          <w:rFonts w:eastAsia="黑体"/>
          <w:bCs/>
        </w:rPr>
      </w:pPr>
      <w:r>
        <w:tab/>
      </w:r>
      <w:r w:rsidR="00582F0A" w:rsidRPr="007F51EE">
        <w:t>(b)</w:t>
      </w:r>
      <w:r w:rsidR="00582F0A" w:rsidRPr="007F51EE">
        <w:tab/>
      </w:r>
      <w:r w:rsidR="00582F0A" w:rsidRPr="007F51EE">
        <w:rPr>
          <w:rFonts w:eastAsia="黑体"/>
          <w:bCs/>
        </w:rPr>
        <w:t>通过提高工资留住专业劳动力；</w:t>
      </w:r>
    </w:p>
    <w:p w14:paraId="7E3BAAE0" w14:textId="7C7C6EC1" w:rsidR="00582F0A" w:rsidRPr="007F51EE" w:rsidRDefault="00E910EB" w:rsidP="00582F0A">
      <w:pPr>
        <w:pStyle w:val="SingleTxtGC"/>
        <w:rPr>
          <w:rFonts w:eastAsia="黑体"/>
          <w:bCs/>
        </w:rPr>
      </w:pPr>
      <w:r>
        <w:tab/>
      </w:r>
      <w:r w:rsidR="00582F0A" w:rsidRPr="007F51EE">
        <w:t>(c)</w:t>
      </w:r>
      <w:r w:rsidR="00582F0A" w:rsidRPr="007F51EE">
        <w:tab/>
      </w:r>
      <w:r w:rsidR="00582F0A" w:rsidRPr="007F51EE">
        <w:rPr>
          <w:rFonts w:eastAsia="黑体"/>
          <w:bCs/>
        </w:rPr>
        <w:t>改革国家技术和职业教育及培训制度，确保资格和技能符合劳动力市场的需要；</w:t>
      </w:r>
    </w:p>
    <w:p w14:paraId="52175500" w14:textId="4CB1E8E9" w:rsidR="00582F0A" w:rsidRPr="007F51EE" w:rsidRDefault="00E910EB" w:rsidP="00582F0A">
      <w:pPr>
        <w:pStyle w:val="SingleTxtGC"/>
        <w:rPr>
          <w:rFonts w:eastAsia="黑体"/>
          <w:bCs/>
        </w:rPr>
      </w:pPr>
      <w:r>
        <w:tab/>
      </w:r>
      <w:r w:rsidR="00582F0A" w:rsidRPr="007F51EE">
        <w:t>(d)</w:t>
      </w:r>
      <w:r w:rsidR="00582F0A" w:rsidRPr="007F51EE">
        <w:tab/>
      </w:r>
      <w:r w:rsidR="00582F0A" w:rsidRPr="007F51EE">
        <w:rPr>
          <w:rFonts w:eastAsia="黑体"/>
          <w:bCs/>
        </w:rPr>
        <w:t>继续采取积极措施，帮助受失业影响最大的群体，特别是青年、妇女和残疾人。</w:t>
      </w:r>
    </w:p>
    <w:p w14:paraId="6424C421" w14:textId="77777777" w:rsidR="00582F0A" w:rsidRPr="007F51EE" w:rsidRDefault="00582F0A" w:rsidP="00E910EB">
      <w:pPr>
        <w:pStyle w:val="H23GC"/>
      </w:pPr>
      <w:r w:rsidRPr="007F51EE">
        <w:tab/>
      </w:r>
      <w:r w:rsidRPr="007F51EE">
        <w:tab/>
      </w:r>
      <w:r w:rsidRPr="007F51EE">
        <w:t>工资拖欠</w:t>
      </w:r>
    </w:p>
    <w:p w14:paraId="71850BBD" w14:textId="77777777" w:rsidR="00582F0A" w:rsidRPr="007F51EE" w:rsidRDefault="00582F0A" w:rsidP="00582F0A">
      <w:pPr>
        <w:pStyle w:val="SingleTxtGC"/>
      </w:pPr>
      <w:r w:rsidRPr="007F51EE">
        <w:t>34.</w:t>
      </w:r>
      <w:r w:rsidRPr="007F51EE">
        <w:tab/>
      </w:r>
      <w:r w:rsidRPr="007F51EE">
        <w:t>委员会对包括采矿和制造业在内的各部门拖欠工人工资的情况感到关切</w:t>
      </w:r>
      <w:r w:rsidRPr="007F51EE">
        <w:t>(</w:t>
      </w:r>
      <w:r w:rsidRPr="007F51EE">
        <w:t>第七条</w:t>
      </w:r>
      <w:r w:rsidRPr="007F51EE">
        <w:t>)</w:t>
      </w:r>
      <w:r w:rsidRPr="007F51EE">
        <w:t>。</w:t>
      </w:r>
    </w:p>
    <w:p w14:paraId="393B51B9" w14:textId="77777777" w:rsidR="00E910EB" w:rsidRDefault="00582F0A" w:rsidP="00582F0A">
      <w:pPr>
        <w:pStyle w:val="SingleTxtGC"/>
        <w:rPr>
          <w:rFonts w:eastAsia="黑体"/>
          <w:bCs/>
        </w:rPr>
      </w:pPr>
      <w:r w:rsidRPr="007F51EE">
        <w:t>35.</w:t>
      </w:r>
      <w:r w:rsidRPr="007F51EE">
        <w:tab/>
      </w:r>
      <w:r w:rsidRPr="007F51EE">
        <w:rPr>
          <w:rFonts w:eastAsia="黑体"/>
          <w:bCs/>
        </w:rPr>
        <w:t>委员会建议缔约国：</w:t>
      </w:r>
    </w:p>
    <w:p w14:paraId="4E13CD21"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spacing w:val="-1"/>
        </w:rPr>
        <w:t>确保对工资支付进行有效监测，并对违规情况规定适当的阻遏性制裁；</w:t>
      </w:r>
    </w:p>
    <w:p w14:paraId="69061C7F"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确保为工人建立工资保障制度，以便在雇主因破产而无法支付工资时，保障工人的工资得到支付；</w:t>
      </w:r>
    </w:p>
    <w:p w14:paraId="2183A457" w14:textId="2A801DDD" w:rsidR="00582F0A" w:rsidRPr="007F51EE"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确保补救机制不仅规定全额支付拖欠的工资，而且规定公平赔偿因延迟付款而造成的损失。</w:t>
      </w:r>
    </w:p>
    <w:p w14:paraId="52445A99" w14:textId="77777777" w:rsidR="00582F0A" w:rsidRPr="007F51EE" w:rsidRDefault="00582F0A" w:rsidP="00E910EB">
      <w:pPr>
        <w:pStyle w:val="H23GC"/>
      </w:pPr>
      <w:r w:rsidRPr="007F51EE">
        <w:lastRenderedPageBreak/>
        <w:tab/>
      </w:r>
      <w:r w:rsidRPr="007F51EE">
        <w:tab/>
      </w:r>
      <w:r w:rsidRPr="007F51EE">
        <w:t>劳动监察</w:t>
      </w:r>
    </w:p>
    <w:p w14:paraId="235473E1" w14:textId="77777777" w:rsidR="00582F0A" w:rsidRPr="007F51EE" w:rsidRDefault="00582F0A" w:rsidP="00582F0A">
      <w:pPr>
        <w:pStyle w:val="SingleTxtGC"/>
      </w:pPr>
      <w:r w:rsidRPr="007F51EE">
        <w:t>36.</w:t>
      </w:r>
      <w:r w:rsidRPr="007F51EE">
        <w:tab/>
      </w:r>
      <w:r w:rsidRPr="007F51EE">
        <w:t>委员会感到关切的是，规定暂停对商业实体进行监察的立法对工人人权产生影响，因为</w:t>
      </w:r>
      <w:proofErr w:type="gramStart"/>
      <w:r w:rsidRPr="007F51EE">
        <w:t>该立法</w:t>
      </w:r>
      <w:proofErr w:type="gramEnd"/>
      <w:r w:rsidRPr="007F51EE">
        <w:t>设想暂停劳动监察，而劳动监察是保护工人权利和确保适当工作条件的重要机制</w:t>
      </w:r>
      <w:r w:rsidRPr="007F51EE">
        <w:t>(</w:t>
      </w:r>
      <w:r w:rsidRPr="007F51EE">
        <w:t>第七条</w:t>
      </w:r>
      <w:r w:rsidRPr="007F51EE">
        <w:t>)</w:t>
      </w:r>
      <w:r w:rsidRPr="007F51EE">
        <w:t>。</w:t>
      </w:r>
    </w:p>
    <w:p w14:paraId="79EE3F79" w14:textId="77777777" w:rsidR="00582F0A" w:rsidRPr="007F51EE" w:rsidRDefault="00582F0A" w:rsidP="00582F0A">
      <w:pPr>
        <w:pStyle w:val="SingleTxtGC"/>
        <w:rPr>
          <w:rFonts w:eastAsia="黑体"/>
          <w:bCs/>
        </w:rPr>
      </w:pPr>
      <w:r w:rsidRPr="007F51EE">
        <w:t>37.</w:t>
      </w:r>
      <w:r w:rsidRPr="007F51EE">
        <w:tab/>
      </w:r>
      <w:r w:rsidRPr="007F51EE">
        <w:rPr>
          <w:rFonts w:eastAsia="黑体"/>
          <w:bCs/>
        </w:rPr>
        <w:t>委员会建议缔约国确保暂停监察不适用于劳动监察，确保按需要进行</w:t>
      </w:r>
      <w:r w:rsidRPr="007F51EE">
        <w:rPr>
          <w:rFonts w:eastAsia="黑体" w:hint="eastAsia"/>
          <w:bCs/>
        </w:rPr>
        <w:t>经常</w:t>
      </w:r>
      <w:r w:rsidRPr="007F51EE">
        <w:rPr>
          <w:rFonts w:eastAsia="黑体"/>
          <w:bCs/>
        </w:rPr>
        <w:t>和彻底的劳动监察，并确保劳动监察员有权在不事先通知的情况下进行访问，特别是在调查职业健康和安全问题时。</w:t>
      </w:r>
    </w:p>
    <w:p w14:paraId="440602C3" w14:textId="77777777" w:rsidR="00582F0A" w:rsidRPr="007F51EE" w:rsidRDefault="00582F0A" w:rsidP="00E910EB">
      <w:pPr>
        <w:pStyle w:val="H23GC"/>
      </w:pPr>
      <w:r w:rsidRPr="007F51EE">
        <w:tab/>
      </w:r>
      <w:r w:rsidRPr="007F51EE">
        <w:tab/>
      </w:r>
      <w:r w:rsidRPr="007F51EE">
        <w:t>非正规经济</w:t>
      </w:r>
    </w:p>
    <w:p w14:paraId="35A4CBC8" w14:textId="77777777" w:rsidR="00582F0A" w:rsidRPr="007F51EE" w:rsidRDefault="00582F0A" w:rsidP="00582F0A">
      <w:pPr>
        <w:pStyle w:val="SingleTxtGC"/>
      </w:pPr>
      <w:r w:rsidRPr="007F51EE">
        <w:t>38.</w:t>
      </w:r>
      <w:r w:rsidRPr="007F51EE">
        <w:tab/>
      </w:r>
      <w:r w:rsidRPr="007F51EE">
        <w:t>委员会注意到</w:t>
      </w:r>
      <w:r w:rsidRPr="007F51EE">
        <w:t>2019-2023</w:t>
      </w:r>
      <w:r w:rsidRPr="007F51EE">
        <w:t>年期间减少未登记的非正规就业的国家方案以及该方案的执行计划，但它感到关切的是，该方案没有包括具体和</w:t>
      </w:r>
      <w:proofErr w:type="gramStart"/>
      <w:r w:rsidRPr="007F51EE">
        <w:t>可</w:t>
      </w:r>
      <w:proofErr w:type="gramEnd"/>
      <w:r w:rsidRPr="007F51EE">
        <w:t>衡量的指标，也没有具体说明为其目标和活动分配的财政资源。委员会还感到关切的是，非正规经济和非传统就业形式中的工人被排除在《劳动法》的适用范围之外，这限制了他们享有劳动权利，而且缺乏关于非正规经济的统计数据</w:t>
      </w:r>
      <w:r w:rsidRPr="007F51EE">
        <w:t>(</w:t>
      </w:r>
      <w:r w:rsidRPr="007F51EE">
        <w:t>第六至第八条</w:t>
      </w:r>
      <w:r w:rsidRPr="007F51EE">
        <w:t>)</w:t>
      </w:r>
      <w:r w:rsidRPr="007F51EE">
        <w:t>。</w:t>
      </w:r>
    </w:p>
    <w:p w14:paraId="6A66A3A8" w14:textId="77777777" w:rsidR="00E910EB" w:rsidRDefault="00582F0A" w:rsidP="00582F0A">
      <w:pPr>
        <w:pStyle w:val="SingleTxtGC"/>
        <w:rPr>
          <w:rFonts w:eastAsia="黑体"/>
          <w:bCs/>
        </w:rPr>
      </w:pPr>
      <w:r w:rsidRPr="007F51EE">
        <w:t>39.</w:t>
      </w:r>
      <w:r w:rsidRPr="007F51EE">
        <w:tab/>
      </w:r>
      <w:r w:rsidRPr="007F51EE">
        <w:rPr>
          <w:rFonts w:eastAsia="黑体"/>
          <w:bCs/>
        </w:rPr>
        <w:t>委员会建议缔约国：</w:t>
      </w:r>
    </w:p>
    <w:p w14:paraId="44FB65B1"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采取一切必要措施，切实执行</w:t>
      </w:r>
      <w:r w:rsidR="00582F0A" w:rsidRPr="007F51EE">
        <w:rPr>
          <w:rFonts w:eastAsia="黑体"/>
          <w:bCs/>
        </w:rPr>
        <w:t>2019-2023</w:t>
      </w:r>
      <w:r w:rsidR="00582F0A" w:rsidRPr="007F51EE">
        <w:rPr>
          <w:rFonts w:eastAsia="黑体"/>
          <w:bCs/>
        </w:rPr>
        <w:t>年期间减少未登记的非正规就业的国家方案；</w:t>
      </w:r>
    </w:p>
    <w:p w14:paraId="0D56C136"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确保将非正规经济部门的工人纳入《劳动法》和其他劳动立法以及社会保护制度的范围；</w:t>
      </w:r>
    </w:p>
    <w:p w14:paraId="2BBC8B52" w14:textId="77777777" w:rsidR="00E910EB"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定期收集关于非正规经济的信息，包括其规模和工作条件；</w:t>
      </w:r>
    </w:p>
    <w:p w14:paraId="74B61736" w14:textId="7B39827B" w:rsidR="00582F0A" w:rsidRPr="007F51EE" w:rsidRDefault="00E910EB" w:rsidP="00582F0A">
      <w:pPr>
        <w:pStyle w:val="SingleTxtGC"/>
        <w:rPr>
          <w:rFonts w:eastAsia="黑体"/>
          <w:bCs/>
        </w:rPr>
      </w:pPr>
      <w:r>
        <w:rPr>
          <w:rFonts w:eastAsia="黑体"/>
          <w:bCs/>
        </w:rPr>
        <w:tab/>
      </w:r>
      <w:r w:rsidR="00582F0A" w:rsidRPr="007F51EE">
        <w:t>(d)</w:t>
      </w:r>
      <w:r w:rsidR="00582F0A" w:rsidRPr="007F51EE">
        <w:tab/>
      </w:r>
      <w:r w:rsidR="00582F0A" w:rsidRPr="007F51EE">
        <w:rPr>
          <w:rFonts w:eastAsia="黑体"/>
          <w:bCs/>
        </w:rPr>
        <w:t>考虑到委员会关于工作权利的第</w:t>
      </w:r>
      <w:r w:rsidR="00582F0A" w:rsidRPr="007F51EE">
        <w:rPr>
          <w:rFonts w:eastAsia="黑体"/>
          <w:bCs/>
        </w:rPr>
        <w:t>18</w:t>
      </w:r>
      <w:r w:rsidR="00582F0A" w:rsidRPr="007F51EE">
        <w:rPr>
          <w:rFonts w:eastAsia="黑体"/>
          <w:bCs/>
        </w:rPr>
        <w:t>号一般性意见</w:t>
      </w:r>
      <w:r w:rsidR="00582F0A" w:rsidRPr="007F51EE">
        <w:rPr>
          <w:rFonts w:eastAsia="黑体"/>
          <w:bCs/>
        </w:rPr>
        <w:t>(2005</w:t>
      </w:r>
      <w:r w:rsidR="00582F0A" w:rsidRPr="007F51EE">
        <w:rPr>
          <w:rFonts w:eastAsia="黑体"/>
          <w:bCs/>
        </w:rPr>
        <w:t>年</w:t>
      </w:r>
      <w:r w:rsidR="00582F0A" w:rsidRPr="007F51EE">
        <w:rPr>
          <w:rFonts w:eastAsia="黑体"/>
          <w:bCs/>
        </w:rPr>
        <w:t>)</w:t>
      </w:r>
      <w:r w:rsidR="00582F0A" w:rsidRPr="007F51EE">
        <w:rPr>
          <w:rFonts w:eastAsia="黑体"/>
          <w:bCs/>
        </w:rPr>
        <w:t>。</w:t>
      </w:r>
    </w:p>
    <w:p w14:paraId="08A56363" w14:textId="77777777" w:rsidR="00582F0A" w:rsidRPr="007F51EE" w:rsidRDefault="00582F0A" w:rsidP="00E910EB">
      <w:pPr>
        <w:pStyle w:val="H23GC"/>
      </w:pPr>
      <w:r w:rsidRPr="007F51EE">
        <w:tab/>
      </w:r>
      <w:r w:rsidRPr="007F51EE">
        <w:tab/>
      </w:r>
      <w:r w:rsidRPr="007F51EE">
        <w:t>工会权利</w:t>
      </w:r>
    </w:p>
    <w:p w14:paraId="4BE28EAD" w14:textId="75BA43A8" w:rsidR="00582F0A" w:rsidRPr="007F51EE" w:rsidRDefault="00582F0A" w:rsidP="00582F0A">
      <w:pPr>
        <w:pStyle w:val="SingleTxtGC"/>
      </w:pPr>
      <w:r w:rsidRPr="007F51EE">
        <w:t>40.</w:t>
      </w:r>
      <w:r w:rsidRPr="007F51EE">
        <w:tab/>
      </w:r>
      <w:r w:rsidRPr="007F51EE">
        <w:t>委员会感到关切的是，有报告称，政府当局干预独立工会的成立和运作。委员会还感到关切的是：</w:t>
      </w:r>
      <w:r w:rsidRPr="007F51EE">
        <w:t>(a)</w:t>
      </w:r>
      <w:r w:rsidRPr="007F51EE">
        <w:t>《劳动法》第</w:t>
      </w:r>
      <w:r w:rsidRPr="007F51EE">
        <w:t>323(2)</w:t>
      </w:r>
      <w:r w:rsidRPr="007F51EE">
        <w:t>条要求三分之二多数才能召集罢工，这可能妨碍召集罢工，因为出席会议的三分之二法定人数可能难以达到；</w:t>
      </w:r>
      <w:r w:rsidR="00E10E98" w:rsidRPr="006732DF">
        <w:rPr>
          <w:highlight w:val="white"/>
        </w:rPr>
        <w:t>(b)</w:t>
      </w:r>
      <w:r w:rsidR="00E10E98">
        <w:t xml:space="preserve"> </w:t>
      </w:r>
      <w:r w:rsidRPr="007F51EE">
        <w:t>同一文书的第</w:t>
      </w:r>
      <w:r w:rsidRPr="007F51EE">
        <w:t>1</w:t>
      </w:r>
      <w:r w:rsidRPr="007F51EE">
        <w:t>、</w:t>
      </w:r>
      <w:r w:rsidRPr="007F51EE">
        <w:t>290</w:t>
      </w:r>
      <w:r w:rsidRPr="007F51EE">
        <w:t>、</w:t>
      </w:r>
      <w:r w:rsidRPr="007F51EE">
        <w:t>291</w:t>
      </w:r>
      <w:r w:rsidRPr="007F51EE">
        <w:t>、</w:t>
      </w:r>
      <w:r w:rsidRPr="007F51EE">
        <w:t>301</w:t>
      </w:r>
      <w:r w:rsidRPr="007F51EE">
        <w:t>、</w:t>
      </w:r>
      <w:r w:rsidRPr="007F51EE">
        <w:t>306</w:t>
      </w:r>
      <w:r w:rsidRPr="007F51EE">
        <w:t>和</w:t>
      </w:r>
      <w:r w:rsidRPr="007F51EE">
        <w:t>307</w:t>
      </w:r>
      <w:r w:rsidRPr="007F51EE">
        <w:t>条规定，工人可以由工会以外的代表来代表，包括为集体谈判的目的，而不论在企业或更</w:t>
      </w:r>
      <w:r w:rsidRPr="007F51EE">
        <w:rPr>
          <w:rFonts w:hint="eastAsia"/>
        </w:rPr>
        <w:t>高</w:t>
      </w:r>
      <w:r w:rsidRPr="007F51EE">
        <w:t>级别是否有工会</w:t>
      </w:r>
      <w:r w:rsidRPr="007F51EE">
        <w:t>(</w:t>
      </w:r>
      <w:r w:rsidRPr="007F51EE">
        <w:t>第八条</w:t>
      </w:r>
      <w:r w:rsidRPr="007F51EE">
        <w:t>)</w:t>
      </w:r>
      <w:r w:rsidRPr="007F51EE">
        <w:t>。</w:t>
      </w:r>
    </w:p>
    <w:p w14:paraId="5245A743" w14:textId="77777777" w:rsidR="00E910EB" w:rsidRDefault="00582F0A" w:rsidP="00582F0A">
      <w:pPr>
        <w:pStyle w:val="SingleTxtGC"/>
        <w:rPr>
          <w:rFonts w:eastAsia="黑体"/>
          <w:bCs/>
        </w:rPr>
      </w:pPr>
      <w:r w:rsidRPr="007F51EE">
        <w:t>41.</w:t>
      </w:r>
      <w:r w:rsidRPr="007F51EE">
        <w:tab/>
      </w:r>
      <w:r w:rsidRPr="007F51EE">
        <w:rPr>
          <w:rFonts w:eastAsia="黑体"/>
          <w:bCs/>
        </w:rPr>
        <w:t>委员会建议缔约国：</w:t>
      </w:r>
    </w:p>
    <w:p w14:paraId="5F81F165"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采取一切必要措施，保障所有人自由组织和加入工会的权利，并防止任意干涉工会的运作；</w:t>
      </w:r>
    </w:p>
    <w:p w14:paraId="1B6F6059"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修订《劳动法》第</w:t>
      </w:r>
      <w:r w:rsidR="00582F0A" w:rsidRPr="007F51EE">
        <w:rPr>
          <w:rFonts w:eastAsia="黑体"/>
          <w:bCs/>
        </w:rPr>
        <w:t>323(2)</w:t>
      </w:r>
      <w:r w:rsidR="00582F0A" w:rsidRPr="007F51EE">
        <w:rPr>
          <w:rFonts w:eastAsia="黑体"/>
          <w:bCs/>
        </w:rPr>
        <w:t>条，降低召集罢工所需的多数；</w:t>
      </w:r>
    </w:p>
    <w:p w14:paraId="7FEC7A0F" w14:textId="1ACFFAAB" w:rsidR="00582F0A" w:rsidRPr="007F51EE"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修订《劳动法》第</w:t>
      </w:r>
      <w:r w:rsidR="00582F0A" w:rsidRPr="007F51EE">
        <w:rPr>
          <w:rFonts w:eastAsia="黑体"/>
          <w:bCs/>
        </w:rPr>
        <w:t>1</w:t>
      </w:r>
      <w:r w:rsidR="00582F0A" w:rsidRPr="007F51EE">
        <w:rPr>
          <w:rFonts w:eastAsia="黑体"/>
          <w:bCs/>
        </w:rPr>
        <w:t>、</w:t>
      </w:r>
      <w:r w:rsidR="00582F0A" w:rsidRPr="007F51EE">
        <w:rPr>
          <w:rFonts w:eastAsia="黑体"/>
          <w:bCs/>
        </w:rPr>
        <w:t>290</w:t>
      </w:r>
      <w:r w:rsidR="00582F0A" w:rsidRPr="007F51EE">
        <w:rPr>
          <w:rFonts w:eastAsia="黑体"/>
          <w:bCs/>
        </w:rPr>
        <w:t>、</w:t>
      </w:r>
      <w:r w:rsidR="00582F0A" w:rsidRPr="007F51EE">
        <w:rPr>
          <w:rFonts w:eastAsia="黑体"/>
          <w:bCs/>
        </w:rPr>
        <w:t>291</w:t>
      </w:r>
      <w:r w:rsidR="00582F0A" w:rsidRPr="007F51EE">
        <w:rPr>
          <w:rFonts w:eastAsia="黑体"/>
          <w:bCs/>
        </w:rPr>
        <w:t>、</w:t>
      </w:r>
      <w:r w:rsidR="00582F0A" w:rsidRPr="007F51EE">
        <w:rPr>
          <w:rFonts w:eastAsia="黑体"/>
          <w:bCs/>
        </w:rPr>
        <w:t>301</w:t>
      </w:r>
      <w:r w:rsidR="00582F0A" w:rsidRPr="007F51EE">
        <w:rPr>
          <w:rFonts w:eastAsia="黑体"/>
          <w:bCs/>
        </w:rPr>
        <w:t>、</w:t>
      </w:r>
      <w:r w:rsidR="00582F0A" w:rsidRPr="007F51EE">
        <w:rPr>
          <w:rFonts w:eastAsia="黑体"/>
          <w:bCs/>
        </w:rPr>
        <w:t>306</w:t>
      </w:r>
      <w:r w:rsidR="00582F0A" w:rsidRPr="007F51EE">
        <w:rPr>
          <w:rFonts w:eastAsia="黑体"/>
          <w:bCs/>
        </w:rPr>
        <w:t>和</w:t>
      </w:r>
      <w:r w:rsidR="00582F0A" w:rsidRPr="007F51EE">
        <w:rPr>
          <w:rFonts w:eastAsia="黑体"/>
          <w:bCs/>
        </w:rPr>
        <w:t>307</w:t>
      </w:r>
      <w:r w:rsidR="00582F0A" w:rsidRPr="007F51EE">
        <w:rPr>
          <w:rFonts w:eastAsia="黑体"/>
          <w:bCs/>
        </w:rPr>
        <w:t>条，以便只有在相关级别没有工会代表的情况下才赋予工人代表集体谈判的权利。</w:t>
      </w:r>
    </w:p>
    <w:p w14:paraId="2E1381D8" w14:textId="77777777" w:rsidR="00582F0A" w:rsidRPr="007F51EE" w:rsidRDefault="00582F0A" w:rsidP="00E910EB">
      <w:pPr>
        <w:pStyle w:val="H23GC"/>
      </w:pPr>
      <w:r w:rsidRPr="007F51EE">
        <w:tab/>
      </w:r>
      <w:r w:rsidRPr="007F51EE">
        <w:tab/>
      </w:r>
      <w:r w:rsidRPr="007F51EE">
        <w:t>社会保障权</w:t>
      </w:r>
    </w:p>
    <w:p w14:paraId="3D6900A1" w14:textId="77777777" w:rsidR="00582F0A" w:rsidRPr="007F51EE" w:rsidRDefault="00582F0A" w:rsidP="00582F0A">
      <w:pPr>
        <w:pStyle w:val="SingleTxtGC"/>
      </w:pPr>
      <w:r w:rsidRPr="007F51EE">
        <w:t>42.</w:t>
      </w:r>
      <w:r w:rsidRPr="007F51EE">
        <w:tab/>
      </w:r>
      <w:r w:rsidRPr="007F51EE">
        <w:t>委员会注意到，立法和政策目标大体符合国际社会保障标准，但它感到关切的是，在社会保护有效覆盖人口方面存在差距，福利也不够充分</w:t>
      </w:r>
      <w:r w:rsidRPr="007F51EE">
        <w:t>(</w:t>
      </w:r>
      <w:r w:rsidRPr="007F51EE">
        <w:t>第九条</w:t>
      </w:r>
      <w:r w:rsidRPr="007F51EE">
        <w:t>)</w:t>
      </w:r>
      <w:r w:rsidRPr="007F51EE">
        <w:t>。</w:t>
      </w:r>
    </w:p>
    <w:p w14:paraId="4B0504CD" w14:textId="77777777" w:rsidR="00E910EB" w:rsidRDefault="00582F0A" w:rsidP="00582F0A">
      <w:pPr>
        <w:pStyle w:val="SingleTxtGC"/>
        <w:rPr>
          <w:rFonts w:eastAsia="黑体"/>
          <w:bCs/>
        </w:rPr>
      </w:pPr>
      <w:r w:rsidRPr="007F51EE">
        <w:lastRenderedPageBreak/>
        <w:t>43.</w:t>
      </w:r>
      <w:r w:rsidRPr="007F51EE">
        <w:tab/>
      </w:r>
      <w:r w:rsidRPr="007F51EE">
        <w:rPr>
          <w:rFonts w:eastAsia="黑体"/>
          <w:bCs/>
        </w:rPr>
        <w:t>委员会建议缔约国：</w:t>
      </w:r>
    </w:p>
    <w:p w14:paraId="7B1E3B96"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建立社会保障制度，确保普遍覆盖，向所有工人提供充分福利，并将该制度的覆盖面扩大到在非正规经济部门就业的工人；</w:t>
      </w:r>
    </w:p>
    <w:p w14:paraId="7BB62FDB"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对社会保险缴款制度进行评估，以确定其有效性和效率；</w:t>
      </w:r>
    </w:p>
    <w:p w14:paraId="07345244" w14:textId="77777777" w:rsidR="00E910EB"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通过增加社会保险福利，例如通过促进社会保险文化和确保雇主和雇员都缴纳保险费，扩大覆盖面；</w:t>
      </w:r>
    </w:p>
    <w:p w14:paraId="62E03725" w14:textId="77777777" w:rsidR="00E910EB" w:rsidRDefault="00E910EB" w:rsidP="00582F0A">
      <w:pPr>
        <w:pStyle w:val="SingleTxtGC"/>
        <w:rPr>
          <w:rFonts w:eastAsia="黑体"/>
          <w:bCs/>
        </w:rPr>
      </w:pPr>
      <w:r>
        <w:rPr>
          <w:rFonts w:eastAsia="黑体"/>
          <w:bCs/>
        </w:rPr>
        <w:tab/>
      </w:r>
      <w:r w:rsidR="00582F0A" w:rsidRPr="007F51EE">
        <w:t>(d)</w:t>
      </w:r>
      <w:r w:rsidR="00582F0A" w:rsidRPr="007F51EE">
        <w:tab/>
      </w:r>
      <w:r w:rsidR="00582F0A" w:rsidRPr="007F51EE">
        <w:rPr>
          <w:rFonts w:eastAsia="黑体"/>
          <w:bCs/>
        </w:rPr>
        <w:t>为不在劳动力市场的人，如老年人、残疾人和其他属于边缘化和弱势群体的人建立非缴费型社会保障制度；</w:t>
      </w:r>
    </w:p>
    <w:p w14:paraId="14E18D57" w14:textId="4EB06C32" w:rsidR="00582F0A" w:rsidRPr="007F51EE" w:rsidRDefault="00E910EB" w:rsidP="00582F0A">
      <w:pPr>
        <w:pStyle w:val="SingleTxtGC"/>
        <w:rPr>
          <w:rFonts w:eastAsia="黑体"/>
          <w:bCs/>
        </w:rPr>
      </w:pPr>
      <w:r>
        <w:rPr>
          <w:rFonts w:eastAsia="黑体"/>
          <w:bCs/>
        </w:rPr>
        <w:tab/>
      </w:r>
      <w:r w:rsidR="00582F0A" w:rsidRPr="007F51EE">
        <w:t>(e)</w:t>
      </w:r>
      <w:r w:rsidR="00582F0A" w:rsidRPr="007F51EE">
        <w:tab/>
      </w:r>
      <w:r w:rsidR="00582F0A" w:rsidRPr="007F51EE">
        <w:rPr>
          <w:rFonts w:eastAsia="黑体"/>
          <w:bCs/>
        </w:rPr>
        <w:t>考虑委员会关于社会保障的权利的第</w:t>
      </w:r>
      <w:r w:rsidR="00582F0A" w:rsidRPr="007F51EE">
        <w:rPr>
          <w:rFonts w:eastAsia="黑体"/>
          <w:bCs/>
        </w:rPr>
        <w:t>19</w:t>
      </w:r>
      <w:r w:rsidR="00582F0A" w:rsidRPr="007F51EE">
        <w:rPr>
          <w:rFonts w:eastAsia="黑体"/>
          <w:bCs/>
        </w:rPr>
        <w:t>号一般性意见</w:t>
      </w:r>
      <w:r w:rsidR="00582F0A" w:rsidRPr="007F51EE">
        <w:rPr>
          <w:rFonts w:eastAsia="黑体"/>
          <w:bCs/>
        </w:rPr>
        <w:t>(2007</w:t>
      </w:r>
      <w:r w:rsidR="00582F0A" w:rsidRPr="007F51EE">
        <w:rPr>
          <w:rFonts w:eastAsia="黑体"/>
          <w:bCs/>
        </w:rPr>
        <w:t>年</w:t>
      </w:r>
      <w:r w:rsidR="00582F0A" w:rsidRPr="007F51EE">
        <w:rPr>
          <w:rFonts w:eastAsia="黑体"/>
          <w:bCs/>
        </w:rPr>
        <w:t>)</w:t>
      </w:r>
      <w:r w:rsidR="00582F0A" w:rsidRPr="007F51EE">
        <w:rPr>
          <w:rFonts w:eastAsia="黑体"/>
          <w:bCs/>
        </w:rPr>
        <w:t>。</w:t>
      </w:r>
    </w:p>
    <w:p w14:paraId="2BF8060B" w14:textId="77777777" w:rsidR="00582F0A" w:rsidRPr="007F51EE" w:rsidRDefault="00582F0A" w:rsidP="00E910EB">
      <w:pPr>
        <w:pStyle w:val="H23GC"/>
      </w:pPr>
      <w:r w:rsidRPr="007F51EE">
        <w:tab/>
      </w:r>
      <w:r w:rsidRPr="007F51EE">
        <w:tab/>
      </w:r>
      <w:r w:rsidRPr="007F51EE">
        <w:t>保护家庭和儿童</w:t>
      </w:r>
    </w:p>
    <w:p w14:paraId="650C99C1" w14:textId="77777777" w:rsidR="00582F0A" w:rsidRPr="007F51EE" w:rsidRDefault="00582F0A" w:rsidP="00582F0A">
      <w:pPr>
        <w:pStyle w:val="SingleTxtGC"/>
      </w:pPr>
      <w:r w:rsidRPr="007F51EE">
        <w:t>44.</w:t>
      </w:r>
      <w:r w:rsidRPr="007F51EE">
        <w:tab/>
      </w:r>
      <w:r w:rsidRPr="007F51EE">
        <w:t>委员会欢迎</w:t>
      </w:r>
      <w:r w:rsidRPr="007F51EE">
        <w:t>2019</w:t>
      </w:r>
      <w:r w:rsidRPr="007F51EE">
        <w:t>年</w:t>
      </w:r>
      <w:r w:rsidRPr="007F51EE">
        <w:t>7</w:t>
      </w:r>
      <w:r w:rsidRPr="007F51EE">
        <w:t>月对民事登记法进行的第一轮修订</w:t>
      </w:r>
      <w:r w:rsidRPr="007F51EE">
        <w:t>(</w:t>
      </w:r>
      <w:r w:rsidRPr="007F51EE">
        <w:t>其中引入了一些积极的变化，包括出生后三个月内免费出生登记</w:t>
      </w:r>
      <w:r w:rsidRPr="007F51EE">
        <w:t>)</w:t>
      </w:r>
      <w:r w:rsidRPr="007F51EE">
        <w:t>，并赞扬缔约国努力解决无国籍问题。然而，委员会感到关切的是，</w:t>
      </w:r>
      <w:r w:rsidRPr="007F51EE">
        <w:rPr>
          <w:rFonts w:hint="eastAsia"/>
        </w:rPr>
        <w:t>存在</w:t>
      </w:r>
      <w:r w:rsidRPr="007F51EE">
        <w:t>无法获得出生登记证</w:t>
      </w:r>
      <w:r w:rsidRPr="007F51EE">
        <w:rPr>
          <w:rFonts w:hint="eastAsia"/>
        </w:rPr>
        <w:t>的情况</w:t>
      </w:r>
      <w:r w:rsidRPr="007F51EE">
        <w:t>，这增加了无国籍的风险，并为无证儿童获得免费医疗服务，包括强制性疫苗接种和教育设置了障碍</w:t>
      </w:r>
      <w:r w:rsidRPr="007F51EE">
        <w:t>(</w:t>
      </w:r>
      <w:r w:rsidRPr="007F51EE">
        <w:t>第十条</w:t>
      </w:r>
      <w:r w:rsidRPr="007F51EE">
        <w:t>)</w:t>
      </w:r>
      <w:r w:rsidRPr="007F51EE">
        <w:t>。</w:t>
      </w:r>
    </w:p>
    <w:p w14:paraId="10D91206" w14:textId="77777777" w:rsidR="00E910EB" w:rsidRDefault="00582F0A" w:rsidP="00582F0A">
      <w:pPr>
        <w:pStyle w:val="SingleTxtGC"/>
        <w:rPr>
          <w:rFonts w:eastAsia="黑体"/>
          <w:bCs/>
        </w:rPr>
      </w:pPr>
      <w:r w:rsidRPr="007F51EE">
        <w:t>45.</w:t>
      </w:r>
      <w:r w:rsidRPr="007F51EE">
        <w:tab/>
      </w:r>
      <w:r w:rsidRPr="007F51EE">
        <w:rPr>
          <w:rFonts w:eastAsia="黑体"/>
          <w:bCs/>
        </w:rPr>
        <w:t>委员会建议缔约国：</w:t>
      </w:r>
    </w:p>
    <w:p w14:paraId="6DCD85EF"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确保在塔吉克斯坦领土上出生的所有儿童都能获得登记和出生证，不论其父母的法律或证件地位如何，包括通过对民事登记法的进一步修正案及相关指示；</w:t>
      </w:r>
    </w:p>
    <w:p w14:paraId="12B9DA71" w14:textId="2EEF4AB6" w:rsidR="00582F0A" w:rsidRPr="007F51EE"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加入《关于无国籍人地位的公约》</w:t>
      </w:r>
      <w:r w:rsidR="00582F0A" w:rsidRPr="007F51EE">
        <w:rPr>
          <w:rFonts w:eastAsia="黑体"/>
          <w:bCs/>
        </w:rPr>
        <w:t>(1954</w:t>
      </w:r>
      <w:r w:rsidR="00582F0A" w:rsidRPr="007F51EE">
        <w:rPr>
          <w:rFonts w:eastAsia="黑体"/>
          <w:bCs/>
        </w:rPr>
        <w:t>年</w:t>
      </w:r>
      <w:r w:rsidR="00582F0A" w:rsidRPr="007F51EE">
        <w:rPr>
          <w:rFonts w:eastAsia="黑体"/>
          <w:bCs/>
        </w:rPr>
        <w:t>)</w:t>
      </w:r>
      <w:r w:rsidR="00582F0A" w:rsidRPr="007F51EE">
        <w:rPr>
          <w:rFonts w:eastAsia="黑体"/>
          <w:bCs/>
        </w:rPr>
        <w:t>和《减少无国籍状态公约》</w:t>
      </w:r>
      <w:r w:rsidR="00582F0A" w:rsidRPr="007F51EE">
        <w:rPr>
          <w:rFonts w:eastAsia="黑体"/>
          <w:bCs/>
        </w:rPr>
        <w:t>(1961</w:t>
      </w:r>
      <w:r w:rsidR="00582F0A" w:rsidRPr="007F51EE">
        <w:rPr>
          <w:rFonts w:eastAsia="黑体"/>
          <w:bCs/>
        </w:rPr>
        <w:t>年</w:t>
      </w:r>
      <w:r w:rsidR="00582F0A" w:rsidRPr="007F51EE">
        <w:rPr>
          <w:rFonts w:eastAsia="黑体"/>
          <w:bCs/>
        </w:rPr>
        <w:t>)</w:t>
      </w:r>
      <w:r w:rsidR="00582F0A" w:rsidRPr="007F51EE">
        <w:rPr>
          <w:rFonts w:eastAsia="黑体"/>
          <w:bCs/>
        </w:rPr>
        <w:t>，以帮助确保：</w:t>
      </w:r>
      <w:r w:rsidR="00582F0A" w:rsidRPr="007F51EE">
        <w:rPr>
          <w:rFonts w:eastAsia="黑体"/>
          <w:bCs/>
        </w:rPr>
        <w:t>(1)</w:t>
      </w:r>
      <w:r w:rsidR="00601CB6">
        <w:rPr>
          <w:rFonts w:eastAsia="黑体"/>
          <w:bCs/>
        </w:rPr>
        <w:t xml:space="preserve"> </w:t>
      </w:r>
      <w:r w:rsidR="00582F0A" w:rsidRPr="007F51EE">
        <w:rPr>
          <w:rFonts w:eastAsia="黑体"/>
          <w:bCs/>
        </w:rPr>
        <w:t>无国籍人在若干经济、社会和文化权利方面的最低待遇标准，包括受教育权、住房权、公共救济权、身份证和旅行</w:t>
      </w:r>
      <w:proofErr w:type="gramStart"/>
      <w:r w:rsidR="00582F0A" w:rsidRPr="007F51EE">
        <w:rPr>
          <w:rFonts w:eastAsia="黑体"/>
          <w:bCs/>
        </w:rPr>
        <w:t>证件权</w:t>
      </w:r>
      <w:proofErr w:type="gramEnd"/>
      <w:r w:rsidR="00582F0A" w:rsidRPr="007F51EE">
        <w:rPr>
          <w:rFonts w:eastAsia="黑体"/>
          <w:bCs/>
        </w:rPr>
        <w:t>以及行政援助权；以及</w:t>
      </w:r>
      <w:r w:rsidR="00582F0A" w:rsidRPr="007F51EE">
        <w:rPr>
          <w:rFonts w:eastAsia="黑体"/>
          <w:bCs/>
        </w:rPr>
        <w:t>(2)</w:t>
      </w:r>
      <w:r w:rsidR="00601CB6">
        <w:rPr>
          <w:rFonts w:eastAsia="黑体"/>
          <w:bCs/>
        </w:rPr>
        <w:t xml:space="preserve"> </w:t>
      </w:r>
      <w:r w:rsidR="00582F0A" w:rsidRPr="007F51EE">
        <w:rPr>
          <w:rFonts w:eastAsia="黑体"/>
          <w:bCs/>
        </w:rPr>
        <w:t>防止出生时和以后生活中无国籍状态的保障措施。</w:t>
      </w:r>
    </w:p>
    <w:p w14:paraId="7EFDDD84" w14:textId="77777777" w:rsidR="00582F0A" w:rsidRPr="007F51EE" w:rsidRDefault="00582F0A" w:rsidP="00E910EB">
      <w:pPr>
        <w:pStyle w:val="H23GC"/>
      </w:pPr>
      <w:r w:rsidRPr="007F51EE">
        <w:tab/>
      </w:r>
      <w:r w:rsidRPr="007F51EE">
        <w:tab/>
      </w:r>
      <w:r w:rsidRPr="007F51EE">
        <w:t>住房权</w:t>
      </w:r>
    </w:p>
    <w:p w14:paraId="6C280131" w14:textId="77777777" w:rsidR="00582F0A" w:rsidRPr="007F51EE" w:rsidRDefault="00582F0A" w:rsidP="00582F0A">
      <w:pPr>
        <w:pStyle w:val="SingleTxtGC"/>
      </w:pPr>
      <w:r w:rsidRPr="007F51EE">
        <w:t>46.</w:t>
      </w:r>
      <w:r w:rsidRPr="007F51EE">
        <w:tab/>
      </w:r>
      <w:r w:rsidRPr="007F51EE">
        <w:t>委员会注意到缔约国于</w:t>
      </w:r>
      <w:r w:rsidRPr="007F51EE">
        <w:t>2022</w:t>
      </w:r>
      <w:r w:rsidRPr="007F51EE">
        <w:t>年</w:t>
      </w:r>
      <w:r w:rsidRPr="007F51EE">
        <w:t>3</w:t>
      </w:r>
      <w:r w:rsidRPr="007F51EE">
        <w:t>月通过了新的《住房法》，但它感到关切的是，有报告称，强迫迁离在该国仍然是一个严重问题，而且主要是在没有协商、没有提供替代住房、没有适当赔偿和通知过晚的情况下实施的</w:t>
      </w:r>
      <w:r w:rsidRPr="007F51EE">
        <w:t>(</w:t>
      </w:r>
      <w:r w:rsidRPr="007F51EE">
        <w:t>第十一条第一款</w:t>
      </w:r>
      <w:r w:rsidRPr="007F51EE">
        <w:t>)</w:t>
      </w:r>
      <w:r w:rsidRPr="007F51EE">
        <w:t>。</w:t>
      </w:r>
    </w:p>
    <w:p w14:paraId="158D2BB6" w14:textId="77777777" w:rsidR="00E910EB" w:rsidRDefault="00582F0A" w:rsidP="00582F0A">
      <w:pPr>
        <w:pStyle w:val="SingleTxtGC"/>
        <w:rPr>
          <w:rFonts w:eastAsia="黑体"/>
          <w:bCs/>
        </w:rPr>
      </w:pPr>
      <w:r w:rsidRPr="007F51EE">
        <w:t>47.</w:t>
      </w:r>
      <w:r w:rsidRPr="007F51EE">
        <w:tab/>
      </w:r>
      <w:r w:rsidRPr="007F51EE">
        <w:rPr>
          <w:rFonts w:eastAsia="黑体"/>
          <w:bCs/>
        </w:rPr>
        <w:t>委员会建议缔约国：</w:t>
      </w:r>
    </w:p>
    <w:p w14:paraId="2B474F86"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确保</w:t>
      </w:r>
      <w:proofErr w:type="gramStart"/>
      <w:r w:rsidR="00582F0A" w:rsidRPr="007F51EE">
        <w:rPr>
          <w:rFonts w:eastAsia="黑体"/>
          <w:bCs/>
        </w:rPr>
        <w:t>迁离只</w:t>
      </w:r>
      <w:proofErr w:type="gramEnd"/>
      <w:r w:rsidR="00582F0A" w:rsidRPr="007F51EE">
        <w:rPr>
          <w:rFonts w:eastAsia="黑体"/>
          <w:bCs/>
        </w:rPr>
        <w:t>作为最后手段实施；</w:t>
      </w:r>
    </w:p>
    <w:p w14:paraId="1B018ABA"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如果确实发生了迁离，应确保遵守程序保护和保障措施，例如进行真</w:t>
      </w:r>
      <w:r w:rsidR="00582F0A" w:rsidRPr="007F51EE">
        <w:rPr>
          <w:rFonts w:eastAsia="黑体"/>
          <w:bCs/>
          <w:spacing w:val="-3"/>
        </w:rPr>
        <w:t>诚协商，确保适当和合理的通知，确保在合理时间内提供替代住所并提供法律补救；</w:t>
      </w:r>
    </w:p>
    <w:p w14:paraId="21227B73" w14:textId="77777777" w:rsidR="00E910EB"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确保受影响居民能够获得负担得起的法律援助；</w:t>
      </w:r>
    </w:p>
    <w:p w14:paraId="1664BA93" w14:textId="77777777" w:rsidR="00E910EB" w:rsidRDefault="00E910EB" w:rsidP="00582F0A">
      <w:pPr>
        <w:pStyle w:val="SingleTxtGC"/>
        <w:rPr>
          <w:rFonts w:eastAsia="黑体"/>
          <w:bCs/>
        </w:rPr>
      </w:pPr>
      <w:r>
        <w:rPr>
          <w:rFonts w:eastAsia="黑体"/>
          <w:bCs/>
        </w:rPr>
        <w:tab/>
      </w:r>
      <w:r w:rsidR="00582F0A" w:rsidRPr="007F51EE">
        <w:t>(d)</w:t>
      </w:r>
      <w:r w:rsidR="00582F0A" w:rsidRPr="007F51EE">
        <w:tab/>
      </w:r>
      <w:r w:rsidR="00582F0A" w:rsidRPr="007F51EE">
        <w:rPr>
          <w:rFonts w:eastAsia="黑体"/>
          <w:bCs/>
        </w:rPr>
        <w:t>确保提供适当的替代住房，防止迁离时出现无家可归的情况；</w:t>
      </w:r>
    </w:p>
    <w:p w14:paraId="429EB16F" w14:textId="31566096" w:rsidR="00582F0A" w:rsidRPr="007F51EE" w:rsidRDefault="00E910EB" w:rsidP="00582F0A">
      <w:pPr>
        <w:pStyle w:val="SingleTxtGC"/>
        <w:rPr>
          <w:rFonts w:eastAsia="黑体"/>
          <w:bCs/>
        </w:rPr>
      </w:pPr>
      <w:r>
        <w:rPr>
          <w:rFonts w:eastAsia="黑体"/>
          <w:bCs/>
        </w:rPr>
        <w:tab/>
      </w:r>
      <w:r w:rsidR="00582F0A" w:rsidRPr="007F51EE">
        <w:t>(e)</w:t>
      </w:r>
      <w:r w:rsidR="00582F0A" w:rsidRPr="007F51EE">
        <w:tab/>
      </w:r>
      <w:r w:rsidR="00582F0A" w:rsidRPr="007F51EE">
        <w:rPr>
          <w:rFonts w:eastAsia="黑体"/>
          <w:bCs/>
        </w:rPr>
        <w:t>考虑到委员会关于强迫迁离的第</w:t>
      </w:r>
      <w:r w:rsidR="00582F0A" w:rsidRPr="007F51EE">
        <w:rPr>
          <w:rFonts w:eastAsia="黑体"/>
          <w:bCs/>
        </w:rPr>
        <w:t>7</w:t>
      </w:r>
      <w:r w:rsidR="00582F0A" w:rsidRPr="007F51EE">
        <w:rPr>
          <w:rFonts w:eastAsia="黑体"/>
          <w:bCs/>
        </w:rPr>
        <w:t>号一般性意见</w:t>
      </w:r>
      <w:r w:rsidR="00582F0A" w:rsidRPr="007F51EE">
        <w:rPr>
          <w:rFonts w:eastAsia="黑体"/>
          <w:bCs/>
        </w:rPr>
        <w:t>(1997</w:t>
      </w:r>
      <w:r w:rsidR="00582F0A" w:rsidRPr="007F51EE">
        <w:rPr>
          <w:rFonts w:eastAsia="黑体"/>
          <w:bCs/>
        </w:rPr>
        <w:t>年</w:t>
      </w:r>
      <w:r w:rsidR="00582F0A" w:rsidRPr="007F51EE">
        <w:rPr>
          <w:rFonts w:eastAsia="黑体"/>
          <w:bCs/>
        </w:rPr>
        <w:t>)</w:t>
      </w:r>
      <w:r w:rsidR="00582F0A" w:rsidRPr="007F51EE">
        <w:rPr>
          <w:rFonts w:eastAsia="黑体"/>
          <w:bCs/>
        </w:rPr>
        <w:t>。</w:t>
      </w:r>
    </w:p>
    <w:p w14:paraId="5D09D048" w14:textId="77777777" w:rsidR="00582F0A" w:rsidRPr="007F51EE" w:rsidRDefault="00582F0A" w:rsidP="00E910EB">
      <w:pPr>
        <w:pStyle w:val="H23GC"/>
      </w:pPr>
      <w:r w:rsidRPr="007F51EE">
        <w:lastRenderedPageBreak/>
        <w:tab/>
      </w:r>
      <w:r w:rsidRPr="007F51EE">
        <w:tab/>
      </w:r>
      <w:r w:rsidRPr="007F51EE">
        <w:t>用水和卫生设施权</w:t>
      </w:r>
    </w:p>
    <w:p w14:paraId="5C8835A4" w14:textId="77777777" w:rsidR="00582F0A" w:rsidRPr="007F51EE" w:rsidRDefault="00582F0A" w:rsidP="00582F0A">
      <w:pPr>
        <w:pStyle w:val="SingleTxtGC"/>
      </w:pPr>
      <w:r w:rsidRPr="007F51EE">
        <w:t>48.</w:t>
      </w:r>
      <w:r w:rsidRPr="007F51EE">
        <w:tab/>
      </w:r>
      <w:r w:rsidRPr="007F51EE">
        <w:t>委员会仍然感到关切的是，在安全饮用水和适当卫生设施的可得性、可及性、可负担性和质量方面存在巨大的区域和社会经济差异</w:t>
      </w:r>
      <w:r w:rsidRPr="007F51EE">
        <w:t>(</w:t>
      </w:r>
      <w:r w:rsidRPr="007F51EE">
        <w:t>第十一条第一款</w:t>
      </w:r>
      <w:r w:rsidRPr="007F51EE">
        <w:t>)</w:t>
      </w:r>
      <w:r w:rsidRPr="007F51EE">
        <w:t>。</w:t>
      </w:r>
    </w:p>
    <w:p w14:paraId="4F2DBD09" w14:textId="77777777" w:rsidR="00E910EB" w:rsidRDefault="00582F0A" w:rsidP="00582F0A">
      <w:pPr>
        <w:pStyle w:val="SingleTxtGC"/>
        <w:rPr>
          <w:rFonts w:eastAsia="黑体"/>
          <w:bCs/>
        </w:rPr>
      </w:pPr>
      <w:r w:rsidRPr="007F51EE">
        <w:t>49.</w:t>
      </w:r>
      <w:r w:rsidRPr="007F51EE">
        <w:tab/>
      </w:r>
      <w:r w:rsidRPr="007F51EE">
        <w:rPr>
          <w:rFonts w:eastAsia="黑体"/>
          <w:bCs/>
        </w:rPr>
        <w:t>委员会建议缔约国：</w:t>
      </w:r>
    </w:p>
    <w:p w14:paraId="479E9417"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采取措施，减少在获得安全饮用水和适当卫生设施方面的差距，特别注重处境最不利和边缘化的个人和群体；</w:t>
      </w:r>
    </w:p>
    <w:p w14:paraId="25315C1E" w14:textId="29A408A1" w:rsidR="00582F0A" w:rsidRPr="007F51EE"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spacing w:val="-4"/>
        </w:rPr>
        <w:t>投资于用水和卫生服务，以保证向全体人民提供良好和负担得起的服务。</w:t>
      </w:r>
    </w:p>
    <w:p w14:paraId="71A7BCDE" w14:textId="77777777" w:rsidR="00582F0A" w:rsidRPr="007F51EE" w:rsidRDefault="00582F0A" w:rsidP="00E910EB">
      <w:pPr>
        <w:pStyle w:val="H23GC"/>
      </w:pPr>
      <w:r w:rsidRPr="007F51EE">
        <w:tab/>
      </w:r>
      <w:r w:rsidRPr="007F51EE">
        <w:tab/>
      </w:r>
      <w:r w:rsidRPr="007F51EE">
        <w:t>气候变化</w:t>
      </w:r>
    </w:p>
    <w:p w14:paraId="4B0585E9" w14:textId="77777777" w:rsidR="00582F0A" w:rsidRPr="007F51EE" w:rsidRDefault="00582F0A" w:rsidP="00582F0A">
      <w:pPr>
        <w:pStyle w:val="SingleTxtGC"/>
      </w:pPr>
      <w:r w:rsidRPr="007F51EE">
        <w:t>50.</w:t>
      </w:r>
      <w:r w:rsidRPr="007F51EE">
        <w:tab/>
      </w:r>
      <w:r w:rsidRPr="007F51EE">
        <w:t>委员会感到关切的是，气候变化可能对水的供应、健康、农业生产和牧民等产生重大影响</w:t>
      </w:r>
      <w:r w:rsidRPr="007F51EE">
        <w:t>(</w:t>
      </w:r>
      <w:r w:rsidRPr="007F51EE">
        <w:t>第十一条</w:t>
      </w:r>
      <w:r w:rsidRPr="007F51EE">
        <w:t>)</w:t>
      </w:r>
      <w:r w:rsidRPr="007F51EE">
        <w:t>。</w:t>
      </w:r>
    </w:p>
    <w:p w14:paraId="7AE6F8EB" w14:textId="77777777" w:rsidR="00E910EB" w:rsidRDefault="00582F0A" w:rsidP="00582F0A">
      <w:pPr>
        <w:pStyle w:val="SingleTxtGC"/>
        <w:rPr>
          <w:rFonts w:eastAsia="黑体"/>
          <w:bCs/>
        </w:rPr>
      </w:pPr>
      <w:r w:rsidRPr="007F51EE">
        <w:t>51.</w:t>
      </w:r>
      <w:r w:rsidRPr="007F51EE">
        <w:tab/>
      </w:r>
      <w:r w:rsidRPr="007F51EE">
        <w:rPr>
          <w:rFonts w:eastAsia="黑体"/>
          <w:bCs/>
        </w:rPr>
        <w:t>委员会建议缔约国：</w:t>
      </w:r>
    </w:p>
    <w:p w14:paraId="4C6A6C9C"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制定一项国家适应计划，侧重于气候变化最重大的影响；</w:t>
      </w:r>
    </w:p>
    <w:p w14:paraId="4D51E353"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发展关于气候变化对可能特别受影响的群体和个人</w:t>
      </w:r>
      <w:r w:rsidR="00582F0A" w:rsidRPr="007F51EE">
        <w:rPr>
          <w:rFonts w:eastAsia="黑体" w:hint="eastAsia"/>
          <w:bCs/>
        </w:rPr>
        <w:t>所产生</w:t>
      </w:r>
      <w:r w:rsidR="00582F0A" w:rsidRPr="007F51EE">
        <w:rPr>
          <w:rFonts w:eastAsia="黑体"/>
          <w:bCs/>
        </w:rPr>
        <w:t>影响的诊断能力；</w:t>
      </w:r>
    </w:p>
    <w:p w14:paraId="6BADC420" w14:textId="77777777" w:rsidR="00E910EB"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确保适应措施尊重经济、社会及文化权利；</w:t>
      </w:r>
    </w:p>
    <w:p w14:paraId="725DD5DA" w14:textId="0449E887" w:rsidR="00582F0A" w:rsidRPr="007F51EE" w:rsidRDefault="00E910EB" w:rsidP="00582F0A">
      <w:pPr>
        <w:pStyle w:val="SingleTxtGC"/>
        <w:rPr>
          <w:rFonts w:eastAsia="黑体"/>
          <w:bCs/>
        </w:rPr>
      </w:pPr>
      <w:r>
        <w:rPr>
          <w:rFonts w:eastAsia="黑体"/>
          <w:bCs/>
        </w:rPr>
        <w:tab/>
      </w:r>
      <w:r w:rsidR="00582F0A" w:rsidRPr="007F51EE">
        <w:t>(d)</w:t>
      </w:r>
      <w:r w:rsidR="00582F0A" w:rsidRPr="007F51EE">
        <w:tab/>
      </w:r>
      <w:r w:rsidR="00582F0A" w:rsidRPr="007F51EE">
        <w:rPr>
          <w:rFonts w:eastAsia="黑体"/>
          <w:bCs/>
        </w:rPr>
        <w:t>考虑委员会</w:t>
      </w:r>
      <w:r w:rsidR="00582F0A" w:rsidRPr="007F51EE">
        <w:rPr>
          <w:rFonts w:eastAsia="黑体"/>
          <w:bCs/>
        </w:rPr>
        <w:t>2018</w:t>
      </w:r>
      <w:r w:rsidR="00582F0A" w:rsidRPr="007F51EE">
        <w:rPr>
          <w:rFonts w:eastAsia="黑体"/>
          <w:bCs/>
        </w:rPr>
        <w:t>年</w:t>
      </w:r>
      <w:r w:rsidR="00582F0A" w:rsidRPr="007F51EE">
        <w:rPr>
          <w:rFonts w:eastAsia="黑体"/>
          <w:bCs/>
        </w:rPr>
        <w:t>10</w:t>
      </w:r>
      <w:r w:rsidR="00582F0A" w:rsidRPr="007F51EE">
        <w:rPr>
          <w:rFonts w:eastAsia="黑体"/>
          <w:bCs/>
        </w:rPr>
        <w:t>月通过的关于气候变化和《公约》的声明。</w:t>
      </w:r>
      <w:r w:rsidR="00582F0A" w:rsidRPr="007F51EE">
        <w:rPr>
          <w:rStyle w:val="a8"/>
          <w:rFonts w:eastAsia="宋体"/>
        </w:rPr>
        <w:footnoteReference w:id="12"/>
      </w:r>
    </w:p>
    <w:p w14:paraId="14E1F9E5" w14:textId="77777777" w:rsidR="00582F0A" w:rsidRPr="007F51EE" w:rsidRDefault="00582F0A" w:rsidP="00E910EB">
      <w:pPr>
        <w:pStyle w:val="H23GC"/>
      </w:pPr>
      <w:r w:rsidRPr="007F51EE">
        <w:tab/>
      </w:r>
      <w:r w:rsidRPr="007F51EE">
        <w:tab/>
      </w:r>
      <w:r w:rsidRPr="007F51EE">
        <w:t>身心健康权</w:t>
      </w:r>
    </w:p>
    <w:p w14:paraId="3C3C76AC" w14:textId="77777777" w:rsidR="00582F0A" w:rsidRPr="007F51EE" w:rsidRDefault="00582F0A" w:rsidP="00582F0A">
      <w:pPr>
        <w:pStyle w:val="SingleTxtGC"/>
      </w:pPr>
      <w:r w:rsidRPr="007F51EE">
        <w:t>52.</w:t>
      </w:r>
      <w:r w:rsidRPr="007F51EE">
        <w:tab/>
      </w:r>
      <w:r w:rsidRPr="007F51EE">
        <w:t>委员会感到关切的是，由于预算限制、医疗专业人员短缺和医疗机构基础设施差，获得医疗保健的机会受到限制，特别是对于弱势群体而言。委员会感到特别关切的是，由于医疗服务私有化，医疗服务价格上涨</w:t>
      </w:r>
      <w:r w:rsidRPr="007F51EE">
        <w:t>(</w:t>
      </w:r>
      <w:r w:rsidRPr="007F51EE">
        <w:t>第十二条</w:t>
      </w:r>
      <w:r w:rsidRPr="007F51EE">
        <w:t>)</w:t>
      </w:r>
      <w:r w:rsidRPr="007F51EE">
        <w:t>。</w:t>
      </w:r>
    </w:p>
    <w:p w14:paraId="76A16BF7" w14:textId="77777777" w:rsidR="00582F0A" w:rsidRPr="007F51EE" w:rsidRDefault="00582F0A" w:rsidP="00582F0A">
      <w:pPr>
        <w:pStyle w:val="SingleTxtGC"/>
        <w:rPr>
          <w:rFonts w:eastAsia="黑体"/>
          <w:bCs/>
        </w:rPr>
      </w:pPr>
      <w:r w:rsidRPr="007F51EE">
        <w:t>53.</w:t>
      </w:r>
      <w:r w:rsidRPr="007F51EE">
        <w:tab/>
      </w:r>
      <w:r w:rsidRPr="007F51EE">
        <w:rPr>
          <w:rFonts w:eastAsia="黑体"/>
          <w:bCs/>
        </w:rPr>
        <w:t>委员会建议缔约国向卫生部门分配足够的资源，并确保医疗服务的提供、获取和质量，包括为此确保足够数量的合格医务人员，并确保充足的医疗设备、基础设施和设施。委员会还建议缔约国确保任何公私伙伴关系不对医疗服务的可负担性产生不利影响，特别是对处境最不利的人。</w:t>
      </w:r>
    </w:p>
    <w:p w14:paraId="29B7C783" w14:textId="77777777" w:rsidR="00582F0A" w:rsidRPr="007F51EE" w:rsidRDefault="00582F0A" w:rsidP="00E910EB">
      <w:pPr>
        <w:pStyle w:val="H23GC"/>
      </w:pPr>
      <w:r w:rsidRPr="007F51EE">
        <w:tab/>
      </w:r>
      <w:r w:rsidRPr="007F51EE">
        <w:tab/>
      </w:r>
      <w:r w:rsidRPr="007F51EE">
        <w:t>受教育权</w:t>
      </w:r>
    </w:p>
    <w:p w14:paraId="0A6DABE8" w14:textId="77777777" w:rsidR="00582F0A" w:rsidRPr="007F51EE" w:rsidRDefault="00582F0A" w:rsidP="00582F0A">
      <w:pPr>
        <w:pStyle w:val="SingleTxtGC"/>
      </w:pPr>
      <w:r w:rsidRPr="007F51EE">
        <w:t>54.</w:t>
      </w:r>
      <w:r w:rsidRPr="007F51EE">
        <w:tab/>
      </w:r>
      <w:r w:rsidRPr="007F51EE">
        <w:t>委员会赞扬缔约国通过了《</w:t>
      </w:r>
      <w:r w:rsidRPr="007F51EE">
        <w:t>2021-2030</w:t>
      </w:r>
      <w:r w:rsidRPr="007F51EE">
        <w:t>年国家教育发展战略》。然而，委员会感到关切的是，由于大多数学前教育机构位于城市地区，区域差异阻碍了公平获得幼儿教育服务。委员会还对中等教育辍学率高，尤其是农村地区女童和儿童辍学率高表示关切</w:t>
      </w:r>
      <w:r w:rsidRPr="007F51EE">
        <w:t>(</w:t>
      </w:r>
      <w:r w:rsidRPr="007F51EE">
        <w:t>第十三条</w:t>
      </w:r>
      <w:r w:rsidRPr="007F51EE">
        <w:t>)</w:t>
      </w:r>
      <w:r w:rsidRPr="007F51EE">
        <w:t>。</w:t>
      </w:r>
    </w:p>
    <w:p w14:paraId="616F4A54" w14:textId="77777777" w:rsidR="00E910EB" w:rsidRDefault="00582F0A" w:rsidP="00582F0A">
      <w:pPr>
        <w:pStyle w:val="SingleTxtGC"/>
        <w:rPr>
          <w:rFonts w:eastAsia="黑体"/>
          <w:bCs/>
        </w:rPr>
      </w:pPr>
      <w:r w:rsidRPr="007F51EE">
        <w:t>55.</w:t>
      </w:r>
      <w:r w:rsidRPr="007F51EE">
        <w:tab/>
      </w:r>
      <w:r w:rsidRPr="007F51EE">
        <w:rPr>
          <w:rFonts w:eastAsia="黑体"/>
          <w:bCs/>
        </w:rPr>
        <w:t>委员会建议缔约国：</w:t>
      </w:r>
    </w:p>
    <w:p w14:paraId="6F9A345D"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采取一切必要措施，在农村地区建立新的学前教育机构，以确保公平获得幼儿教育；</w:t>
      </w:r>
    </w:p>
    <w:p w14:paraId="727B23F7" w14:textId="09D7D3EB" w:rsidR="00582F0A" w:rsidRPr="007F51EE"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确保向高中教育的过渡，特别是</w:t>
      </w:r>
      <w:r w:rsidR="00582F0A" w:rsidRPr="007F51EE">
        <w:rPr>
          <w:rFonts w:eastAsia="黑体" w:hint="eastAsia"/>
          <w:bCs/>
        </w:rPr>
        <w:t>对</w:t>
      </w:r>
      <w:r w:rsidR="00582F0A" w:rsidRPr="007F51EE">
        <w:rPr>
          <w:rFonts w:eastAsia="黑体"/>
          <w:bCs/>
        </w:rPr>
        <w:t>女童和农村地区儿童</w:t>
      </w:r>
      <w:r w:rsidR="00582F0A" w:rsidRPr="007F51EE">
        <w:rPr>
          <w:rFonts w:eastAsia="黑体" w:hint="eastAsia"/>
          <w:bCs/>
        </w:rPr>
        <w:t>而言</w:t>
      </w:r>
      <w:r w:rsidR="00582F0A" w:rsidRPr="007F51EE">
        <w:rPr>
          <w:rFonts w:eastAsia="黑体"/>
          <w:bCs/>
        </w:rPr>
        <w:t>。</w:t>
      </w:r>
    </w:p>
    <w:p w14:paraId="791FBFE0" w14:textId="77777777" w:rsidR="00582F0A" w:rsidRPr="007F51EE" w:rsidRDefault="00582F0A" w:rsidP="00E910EB">
      <w:pPr>
        <w:pStyle w:val="H23GC"/>
      </w:pPr>
      <w:r w:rsidRPr="007F51EE">
        <w:lastRenderedPageBreak/>
        <w:tab/>
      </w:r>
      <w:r w:rsidRPr="007F51EE">
        <w:tab/>
      </w:r>
      <w:r w:rsidRPr="007F51EE">
        <w:t>教育质量和包容性</w:t>
      </w:r>
    </w:p>
    <w:p w14:paraId="5210EC09" w14:textId="77777777" w:rsidR="00582F0A" w:rsidRPr="007F51EE" w:rsidRDefault="00582F0A" w:rsidP="00582F0A">
      <w:pPr>
        <w:pStyle w:val="SingleTxtGC"/>
      </w:pPr>
      <w:r w:rsidRPr="007F51EE">
        <w:t>56.</w:t>
      </w:r>
      <w:r w:rsidRPr="007F51EE">
        <w:tab/>
      </w:r>
      <w:r w:rsidRPr="007F51EE">
        <w:t>委员会感到关切的是，在学校基础设施和设备的质量、获得水和卫生设施的机会、课程内容和教师培训方面存在缺陷</w:t>
      </w:r>
      <w:r w:rsidRPr="007F51EE">
        <w:t>(</w:t>
      </w:r>
      <w:r w:rsidRPr="007F51EE">
        <w:t>第十三条</w:t>
      </w:r>
      <w:r w:rsidRPr="007F51EE">
        <w:t>)</w:t>
      </w:r>
      <w:r w:rsidRPr="007F51EE">
        <w:t>。</w:t>
      </w:r>
    </w:p>
    <w:p w14:paraId="144E1D5F" w14:textId="77777777" w:rsidR="00E910EB" w:rsidRDefault="00582F0A" w:rsidP="00582F0A">
      <w:pPr>
        <w:pStyle w:val="SingleTxtGC"/>
        <w:rPr>
          <w:rFonts w:eastAsia="黑体"/>
          <w:bCs/>
        </w:rPr>
      </w:pPr>
      <w:r w:rsidRPr="007F51EE">
        <w:t>57.</w:t>
      </w:r>
      <w:r w:rsidRPr="007F51EE">
        <w:tab/>
      </w:r>
      <w:r w:rsidRPr="007F51EE">
        <w:rPr>
          <w:rFonts w:eastAsia="黑体"/>
          <w:bCs/>
        </w:rPr>
        <w:t>委员会建议缔约国加强努力，实现普遍获得各级优质教育，包括通过：</w:t>
      </w:r>
    </w:p>
    <w:p w14:paraId="11AA6E10" w14:textId="77777777" w:rsidR="00E910EB" w:rsidRDefault="00E910EB" w:rsidP="00582F0A">
      <w:pPr>
        <w:pStyle w:val="SingleTxtGC"/>
        <w:rPr>
          <w:rFonts w:eastAsia="黑体"/>
          <w:bCs/>
        </w:rPr>
      </w:pPr>
      <w:r>
        <w:rPr>
          <w:rFonts w:eastAsia="黑体"/>
          <w:bCs/>
        </w:rPr>
        <w:tab/>
      </w:r>
      <w:r w:rsidR="00582F0A" w:rsidRPr="007F51EE">
        <w:t>(a)</w:t>
      </w:r>
      <w:r w:rsidR="00582F0A" w:rsidRPr="007F51EE">
        <w:tab/>
      </w:r>
      <w:r w:rsidR="00582F0A" w:rsidRPr="007F51EE">
        <w:rPr>
          <w:rFonts w:eastAsia="黑体"/>
          <w:bCs/>
        </w:rPr>
        <w:t>确保所有学校根据所有儿童的需要配备充足的供水和卫生设施；</w:t>
      </w:r>
    </w:p>
    <w:p w14:paraId="0D5C0297" w14:textId="77777777" w:rsidR="00E910EB" w:rsidRDefault="00E910EB" w:rsidP="00582F0A">
      <w:pPr>
        <w:pStyle w:val="SingleTxtGC"/>
        <w:rPr>
          <w:rFonts w:eastAsia="黑体"/>
          <w:bCs/>
        </w:rPr>
      </w:pPr>
      <w:r>
        <w:rPr>
          <w:rFonts w:eastAsia="黑体"/>
          <w:bCs/>
        </w:rPr>
        <w:tab/>
      </w:r>
      <w:r w:rsidR="00582F0A" w:rsidRPr="007F51EE">
        <w:t>(b)</w:t>
      </w:r>
      <w:r w:rsidR="00582F0A" w:rsidRPr="007F51EE">
        <w:tab/>
      </w:r>
      <w:r w:rsidR="00582F0A" w:rsidRPr="007F51EE">
        <w:rPr>
          <w:rFonts w:eastAsia="黑体"/>
          <w:bCs/>
        </w:rPr>
        <w:t>向教师和教育工作者提供充分的培训，包括为处理残疾儿童的需要专门设计的培训，并提高学生的认识，以便为残疾儿童创造一个友好的环境；</w:t>
      </w:r>
    </w:p>
    <w:p w14:paraId="189B8E9D" w14:textId="77777777" w:rsidR="00E910EB" w:rsidRDefault="00E910EB" w:rsidP="00582F0A">
      <w:pPr>
        <w:pStyle w:val="SingleTxtGC"/>
        <w:rPr>
          <w:rFonts w:eastAsia="黑体"/>
          <w:bCs/>
        </w:rPr>
      </w:pPr>
      <w:r>
        <w:rPr>
          <w:rFonts w:eastAsia="黑体"/>
          <w:bCs/>
        </w:rPr>
        <w:tab/>
      </w:r>
      <w:r w:rsidR="00582F0A" w:rsidRPr="007F51EE">
        <w:t>(c)</w:t>
      </w:r>
      <w:r w:rsidR="00582F0A" w:rsidRPr="007F51EE">
        <w:tab/>
      </w:r>
      <w:r w:rsidR="00582F0A" w:rsidRPr="007F51EE">
        <w:rPr>
          <w:rFonts w:eastAsia="黑体"/>
          <w:bCs/>
        </w:rPr>
        <w:t>改善教育基础设施，以确保所有学校和大学对残疾人的无障碍性；</w:t>
      </w:r>
    </w:p>
    <w:p w14:paraId="6F61A5B2" w14:textId="77777777" w:rsidR="00E910EB" w:rsidRDefault="00E910EB" w:rsidP="00582F0A">
      <w:pPr>
        <w:pStyle w:val="SingleTxtGC"/>
        <w:rPr>
          <w:rFonts w:eastAsia="黑体"/>
          <w:bCs/>
        </w:rPr>
      </w:pPr>
      <w:r>
        <w:rPr>
          <w:rFonts w:eastAsia="黑体"/>
          <w:bCs/>
        </w:rPr>
        <w:tab/>
      </w:r>
      <w:r w:rsidR="00582F0A" w:rsidRPr="007F51EE">
        <w:t>(d)</w:t>
      </w:r>
      <w:r w:rsidR="00582F0A" w:rsidRPr="007F51EE">
        <w:tab/>
      </w:r>
      <w:r w:rsidR="00582F0A" w:rsidRPr="007F51EE">
        <w:rPr>
          <w:rFonts w:eastAsia="黑体"/>
          <w:bCs/>
        </w:rPr>
        <w:t>审查课程，使之更好地适应社会的发展，特别是劳动力市场的需求；</w:t>
      </w:r>
    </w:p>
    <w:p w14:paraId="703FDBFF" w14:textId="101E7EB3" w:rsidR="00582F0A" w:rsidRPr="007F51EE" w:rsidRDefault="00E910EB" w:rsidP="00582F0A">
      <w:pPr>
        <w:pStyle w:val="SingleTxtGC"/>
        <w:rPr>
          <w:rFonts w:eastAsia="黑体"/>
          <w:bCs/>
        </w:rPr>
      </w:pPr>
      <w:r>
        <w:rPr>
          <w:rFonts w:eastAsia="黑体"/>
          <w:bCs/>
        </w:rPr>
        <w:tab/>
      </w:r>
      <w:r w:rsidR="00582F0A" w:rsidRPr="007F51EE">
        <w:t>(e)</w:t>
      </w:r>
      <w:r w:rsidR="00582F0A" w:rsidRPr="007F51EE">
        <w:tab/>
      </w:r>
      <w:r w:rsidR="00582F0A" w:rsidRPr="007F51EE">
        <w:rPr>
          <w:rFonts w:eastAsia="黑体"/>
          <w:bCs/>
        </w:rPr>
        <w:t>考虑到委员会关于受教育的权利的第</w:t>
      </w:r>
      <w:r w:rsidR="00582F0A" w:rsidRPr="007F51EE">
        <w:rPr>
          <w:rFonts w:eastAsia="黑体"/>
          <w:bCs/>
        </w:rPr>
        <w:t>13</w:t>
      </w:r>
      <w:r w:rsidR="00582F0A" w:rsidRPr="007F51EE">
        <w:rPr>
          <w:rFonts w:eastAsia="黑体"/>
          <w:bCs/>
        </w:rPr>
        <w:t>号一般性意见</w:t>
      </w:r>
      <w:r w:rsidR="00582F0A" w:rsidRPr="007F51EE">
        <w:rPr>
          <w:rFonts w:eastAsia="黑体"/>
          <w:bCs/>
        </w:rPr>
        <w:t>(1999</w:t>
      </w:r>
      <w:r w:rsidR="00582F0A" w:rsidRPr="007F51EE">
        <w:rPr>
          <w:rFonts w:eastAsia="黑体"/>
          <w:bCs/>
        </w:rPr>
        <w:t>年</w:t>
      </w:r>
      <w:r w:rsidR="00582F0A" w:rsidRPr="007F51EE">
        <w:rPr>
          <w:rFonts w:eastAsia="黑体"/>
          <w:bCs/>
        </w:rPr>
        <w:t>)</w:t>
      </w:r>
      <w:r w:rsidR="00582F0A" w:rsidRPr="007F51EE">
        <w:rPr>
          <w:rFonts w:eastAsia="黑体"/>
          <w:bCs/>
        </w:rPr>
        <w:t>。</w:t>
      </w:r>
    </w:p>
    <w:p w14:paraId="5CE7A877" w14:textId="77777777" w:rsidR="00582F0A" w:rsidRPr="007F51EE" w:rsidRDefault="00582F0A" w:rsidP="00E910EB">
      <w:pPr>
        <w:pStyle w:val="H23GC"/>
      </w:pPr>
      <w:r w:rsidRPr="007F51EE">
        <w:tab/>
      </w:r>
      <w:r w:rsidRPr="007F51EE">
        <w:tab/>
      </w:r>
      <w:r w:rsidRPr="007F51EE">
        <w:t>文化权利</w:t>
      </w:r>
    </w:p>
    <w:p w14:paraId="3E36CD8C" w14:textId="77777777" w:rsidR="00582F0A" w:rsidRPr="007F51EE" w:rsidRDefault="00582F0A" w:rsidP="00582F0A">
      <w:pPr>
        <w:pStyle w:val="SingleTxtGC"/>
      </w:pPr>
      <w:r w:rsidRPr="007F51EE">
        <w:t>58.</w:t>
      </w:r>
      <w:r w:rsidRPr="007F51EE">
        <w:tab/>
      </w:r>
      <w:r w:rsidRPr="007F51EE">
        <w:t>委员会感到关切的是，在各级教育中，有资格用少数民族语言教学的教师人数不足，这些语言的学习材料短缺</w:t>
      </w:r>
      <w:r w:rsidRPr="007F51EE">
        <w:t>(</w:t>
      </w:r>
      <w:r w:rsidRPr="007F51EE">
        <w:t>第十五条</w:t>
      </w:r>
      <w:r w:rsidRPr="007F51EE">
        <w:t>)</w:t>
      </w:r>
      <w:r w:rsidRPr="007F51EE">
        <w:t>。</w:t>
      </w:r>
    </w:p>
    <w:p w14:paraId="57785869" w14:textId="77777777" w:rsidR="00582F0A" w:rsidRPr="007F51EE" w:rsidRDefault="00582F0A" w:rsidP="00582F0A">
      <w:pPr>
        <w:pStyle w:val="SingleTxtGC"/>
        <w:rPr>
          <w:rFonts w:eastAsia="黑体"/>
          <w:bCs/>
        </w:rPr>
      </w:pPr>
      <w:r w:rsidRPr="007F51EE">
        <w:t>59.</w:t>
      </w:r>
      <w:r w:rsidRPr="007F51EE">
        <w:tab/>
      </w:r>
      <w:r w:rsidRPr="007F51EE">
        <w:rPr>
          <w:rFonts w:eastAsia="黑体"/>
          <w:bCs/>
        </w:rPr>
        <w:t>委员会建议缔约国采取步骤，与有关少数群体的代表协商，确保有足够数量</w:t>
      </w:r>
      <w:r w:rsidRPr="007F51EE">
        <w:rPr>
          <w:rFonts w:eastAsia="黑体"/>
          <w:bCs/>
          <w:spacing w:val="2"/>
        </w:rPr>
        <w:t>的合格教师以少数群体语言教学，并在各级教育中增加以这些语言提供的学习材料。</w:t>
      </w:r>
    </w:p>
    <w:p w14:paraId="3EE4AB35" w14:textId="14E52F07" w:rsidR="00582F0A" w:rsidRPr="007F51EE" w:rsidRDefault="008758B0" w:rsidP="008758B0">
      <w:pPr>
        <w:pStyle w:val="H1GC"/>
      </w:pPr>
      <w:r>
        <w:tab/>
      </w:r>
      <w:r w:rsidR="00582F0A" w:rsidRPr="007F51EE">
        <w:t>D.</w:t>
      </w:r>
      <w:r w:rsidR="00582F0A" w:rsidRPr="007F51EE">
        <w:tab/>
      </w:r>
      <w:r w:rsidR="00582F0A" w:rsidRPr="007F51EE">
        <w:t>其他建议</w:t>
      </w:r>
    </w:p>
    <w:p w14:paraId="6588DBC8" w14:textId="77777777" w:rsidR="00582F0A" w:rsidRPr="007F51EE" w:rsidRDefault="00582F0A" w:rsidP="00582F0A">
      <w:pPr>
        <w:pStyle w:val="SingleTxtGC"/>
        <w:rPr>
          <w:rFonts w:eastAsia="黑体"/>
          <w:bCs/>
        </w:rPr>
      </w:pPr>
      <w:r w:rsidRPr="007F51EE">
        <w:t>60.</w:t>
      </w:r>
      <w:r w:rsidRPr="007F51EE">
        <w:tab/>
      </w:r>
      <w:r w:rsidRPr="007F51EE">
        <w:rPr>
          <w:rFonts w:eastAsia="黑体"/>
          <w:bCs/>
        </w:rPr>
        <w:t>委员会鼓励缔约国批准《经济、社会、文化权利国际公约任择议定书》。</w:t>
      </w:r>
    </w:p>
    <w:p w14:paraId="4E646517" w14:textId="77777777" w:rsidR="00582F0A" w:rsidRPr="007F51EE" w:rsidRDefault="00582F0A" w:rsidP="00582F0A">
      <w:pPr>
        <w:pStyle w:val="SingleTxtGC"/>
        <w:rPr>
          <w:rFonts w:eastAsia="黑体"/>
          <w:bCs/>
        </w:rPr>
      </w:pPr>
      <w:r w:rsidRPr="007F51EE">
        <w:t>61.</w:t>
      </w:r>
      <w:r w:rsidRPr="007F51EE">
        <w:tab/>
      </w:r>
      <w:r w:rsidRPr="007F51EE">
        <w:rPr>
          <w:rFonts w:eastAsia="黑体"/>
          <w:bCs/>
        </w:rPr>
        <w:t>委员会建议缔约国考虑批准其尚未加入的核心人权文书，即《保护所有人免遭强迫失踪国际公约》、《禁止酷刑和其他残忍、不人道或有辱人格的待遇或处罚公约任择议定书》和《旨在废除死刑的〈公民权利和政治权利国际公约〉第二项任意议定书》。</w:t>
      </w:r>
    </w:p>
    <w:p w14:paraId="7C871099" w14:textId="77777777" w:rsidR="00582F0A" w:rsidRPr="007F51EE" w:rsidRDefault="00582F0A" w:rsidP="00582F0A">
      <w:pPr>
        <w:pStyle w:val="SingleTxtGC"/>
        <w:rPr>
          <w:rFonts w:eastAsia="黑体"/>
          <w:bCs/>
        </w:rPr>
      </w:pPr>
      <w:r w:rsidRPr="007F51EE">
        <w:t>62.</w:t>
      </w:r>
      <w:r w:rsidRPr="007F51EE">
        <w:tab/>
      </w:r>
      <w:r w:rsidRPr="007F51EE">
        <w:rPr>
          <w:rFonts w:eastAsia="黑体"/>
          <w:bCs/>
        </w:rPr>
        <w:t>委员会建议缔约国充分考虑根据《公约》所承担的义务，确保在国家执行《</w:t>
      </w:r>
      <w:r w:rsidRPr="007F51EE">
        <w:rPr>
          <w:rFonts w:eastAsia="黑体"/>
          <w:bCs/>
        </w:rPr>
        <w:t>2030</w:t>
      </w:r>
      <w:r w:rsidRPr="007F51EE">
        <w:rPr>
          <w:rFonts w:eastAsia="黑体"/>
          <w:bCs/>
        </w:rPr>
        <w:t>年可持续发展议程》的过程中人民得以充分享有《公约》规定的各项权利，包括从</w:t>
      </w:r>
      <w:r w:rsidRPr="007F51EE">
        <w:rPr>
          <w:rFonts w:eastAsia="黑体"/>
          <w:bCs/>
        </w:rPr>
        <w:t>COVID-19</w:t>
      </w:r>
      <w:r w:rsidRPr="007F51EE">
        <w:rPr>
          <w:rFonts w:eastAsia="黑体"/>
          <w:bCs/>
        </w:rPr>
        <w:t>大流行中恢复。缔约国设立监测进展情况的独立机制和将公共方案受益人看作可提出权利主张的权利持有人，将极大促进可持续发展目标的实现。此外，委员会建议缔约国支持对可持续发展行动十年的全球承诺。在参与、问责和不歧视原则基础上落实可持续发展目标，将确保不让任何一个人掉</w:t>
      </w:r>
      <w:r w:rsidRPr="007F51EE">
        <w:rPr>
          <w:rFonts w:eastAsia="黑体"/>
          <w:bCs/>
          <w:spacing w:val="-2"/>
        </w:rPr>
        <w:t>队。在这方面，委员会提请缔约国注意其关于保证不让任何一个人掉队的声明。</w:t>
      </w:r>
      <w:r w:rsidRPr="007F51EE">
        <w:rPr>
          <w:rStyle w:val="a8"/>
          <w:rFonts w:eastAsia="宋体"/>
          <w:spacing w:val="-2"/>
        </w:rPr>
        <w:footnoteReference w:id="13"/>
      </w:r>
    </w:p>
    <w:p w14:paraId="6494B757" w14:textId="77777777" w:rsidR="00582F0A" w:rsidRPr="007F51EE" w:rsidRDefault="00582F0A" w:rsidP="00582F0A">
      <w:pPr>
        <w:pStyle w:val="SingleTxtGC"/>
        <w:rPr>
          <w:rFonts w:eastAsia="黑体"/>
          <w:bCs/>
        </w:rPr>
      </w:pPr>
      <w:r w:rsidRPr="007F51EE">
        <w:t>63.</w:t>
      </w:r>
      <w:r w:rsidRPr="007F51EE">
        <w:tab/>
      </w:r>
      <w:r w:rsidRPr="007F51EE">
        <w:rPr>
          <w:rFonts w:eastAsia="黑体"/>
          <w:bCs/>
        </w:rPr>
        <w:t>委员会请缔约国在社会各级，包括在地区一级，特别是向议员、公务人员和司法机构广泛传播本结论性意见，并在下次定期报告中向委员会通报为落实这些意见采取的步骤。委员会强调议会在执行本结论性意见方面发挥的关键作用，并鼓励缔约国确保议会参与今后的报告和后续程序。委员会鼓励缔约国邀请人权专员和非政府组织以及民间社会其他成员参与本结论性意见的后续落实工作和提交下次定期报告前的全国协商进程。</w:t>
      </w:r>
    </w:p>
    <w:p w14:paraId="384A64E4" w14:textId="77777777" w:rsidR="00582F0A" w:rsidRPr="007F51EE" w:rsidRDefault="00582F0A" w:rsidP="00582F0A">
      <w:pPr>
        <w:pStyle w:val="SingleTxtGC"/>
        <w:rPr>
          <w:rFonts w:eastAsia="黑体"/>
          <w:bCs/>
        </w:rPr>
      </w:pPr>
      <w:r w:rsidRPr="007F51EE">
        <w:lastRenderedPageBreak/>
        <w:t>64.</w:t>
      </w:r>
      <w:r w:rsidRPr="007F51EE">
        <w:tab/>
      </w:r>
      <w:r w:rsidRPr="007F51EE">
        <w:rPr>
          <w:rFonts w:eastAsia="黑体"/>
          <w:bCs/>
        </w:rPr>
        <w:t>请缔约国按照委员会通过的结论性意见的后续行动程序，在本结论性意见通过后</w:t>
      </w:r>
      <w:r w:rsidRPr="007F51EE">
        <w:rPr>
          <w:rFonts w:eastAsia="黑体"/>
          <w:bCs/>
        </w:rPr>
        <w:t>24</w:t>
      </w:r>
      <w:r w:rsidRPr="007F51EE">
        <w:rPr>
          <w:rFonts w:eastAsia="黑体"/>
          <w:bCs/>
        </w:rPr>
        <w:t>个月之内提供资料，说明上文第</w:t>
      </w:r>
      <w:r w:rsidRPr="007F51EE">
        <w:rPr>
          <w:rFonts w:eastAsia="黑体"/>
          <w:bCs/>
        </w:rPr>
        <w:t>13</w:t>
      </w:r>
      <w:r w:rsidRPr="007F51EE">
        <w:rPr>
          <w:rFonts w:eastAsia="黑体"/>
          <w:bCs/>
        </w:rPr>
        <w:t>段</w:t>
      </w:r>
      <w:r w:rsidRPr="007F51EE">
        <w:rPr>
          <w:rFonts w:eastAsia="黑体"/>
          <w:bCs/>
        </w:rPr>
        <w:t>(</w:t>
      </w:r>
      <w:r w:rsidRPr="007F51EE">
        <w:rPr>
          <w:rFonts w:eastAsia="黑体"/>
          <w:bCs/>
        </w:rPr>
        <w:t>人权维护者</w:t>
      </w:r>
      <w:r w:rsidRPr="007F51EE">
        <w:rPr>
          <w:rFonts w:eastAsia="黑体"/>
          <w:bCs/>
        </w:rPr>
        <w:t>)</w:t>
      </w:r>
      <w:r w:rsidRPr="007F51EE">
        <w:rPr>
          <w:rFonts w:eastAsia="黑体"/>
          <w:bCs/>
        </w:rPr>
        <w:t>、第</w:t>
      </w:r>
      <w:r w:rsidRPr="007F51EE">
        <w:rPr>
          <w:rFonts w:eastAsia="黑体"/>
          <w:bCs/>
        </w:rPr>
        <w:t>23</w:t>
      </w:r>
      <w:r w:rsidRPr="007F51EE">
        <w:rPr>
          <w:rFonts w:eastAsia="黑体"/>
          <w:bCs/>
        </w:rPr>
        <w:t>段</w:t>
      </w:r>
      <w:r w:rsidRPr="007F51EE">
        <w:rPr>
          <w:rFonts w:eastAsia="黑体"/>
          <w:bCs/>
        </w:rPr>
        <w:t>(a)</w:t>
      </w:r>
      <w:r w:rsidRPr="007F51EE">
        <w:rPr>
          <w:rFonts w:eastAsia="黑体"/>
          <w:bCs/>
        </w:rPr>
        <w:t>、</w:t>
      </w:r>
      <w:r w:rsidRPr="007F51EE">
        <w:rPr>
          <w:rFonts w:eastAsia="黑体"/>
          <w:bCs/>
        </w:rPr>
        <w:t>(b)</w:t>
      </w:r>
      <w:r w:rsidRPr="007F51EE">
        <w:rPr>
          <w:rFonts w:eastAsia="黑体"/>
          <w:bCs/>
        </w:rPr>
        <w:t>和</w:t>
      </w:r>
      <w:r w:rsidRPr="007F51EE">
        <w:rPr>
          <w:rFonts w:eastAsia="黑体"/>
          <w:bCs/>
        </w:rPr>
        <w:t>(c)</w:t>
      </w:r>
      <w:r w:rsidRPr="007F51EE">
        <w:rPr>
          <w:rFonts w:eastAsia="黑体"/>
          <w:bCs/>
        </w:rPr>
        <w:t>项</w:t>
      </w:r>
      <w:r w:rsidRPr="007F51EE">
        <w:rPr>
          <w:rFonts w:eastAsia="黑体"/>
          <w:bCs/>
        </w:rPr>
        <w:t>(</w:t>
      </w:r>
      <w:r w:rsidRPr="007F51EE">
        <w:rPr>
          <w:rFonts w:eastAsia="黑体"/>
          <w:bCs/>
        </w:rPr>
        <w:t>难民和寻求庇护者</w:t>
      </w:r>
      <w:r w:rsidRPr="007F51EE">
        <w:rPr>
          <w:rFonts w:eastAsia="黑体"/>
          <w:bCs/>
        </w:rPr>
        <w:t>)</w:t>
      </w:r>
      <w:r w:rsidRPr="007F51EE">
        <w:rPr>
          <w:rFonts w:eastAsia="黑体"/>
          <w:bCs/>
        </w:rPr>
        <w:t>和第</w:t>
      </w:r>
      <w:r w:rsidRPr="007F51EE">
        <w:rPr>
          <w:rFonts w:eastAsia="黑体"/>
          <w:bCs/>
        </w:rPr>
        <w:t>47</w:t>
      </w:r>
      <w:r w:rsidRPr="007F51EE">
        <w:rPr>
          <w:rFonts w:eastAsia="黑体"/>
          <w:bCs/>
        </w:rPr>
        <w:t>段</w:t>
      </w:r>
      <w:r w:rsidRPr="007F51EE">
        <w:rPr>
          <w:rFonts w:eastAsia="黑体"/>
          <w:bCs/>
        </w:rPr>
        <w:t>(b)</w:t>
      </w:r>
      <w:r w:rsidRPr="007F51EE">
        <w:rPr>
          <w:rFonts w:eastAsia="黑体"/>
          <w:bCs/>
        </w:rPr>
        <w:t>和</w:t>
      </w:r>
      <w:r w:rsidRPr="007F51EE">
        <w:rPr>
          <w:rFonts w:eastAsia="黑体"/>
          <w:bCs/>
        </w:rPr>
        <w:t>(d)</w:t>
      </w:r>
      <w:r w:rsidRPr="007F51EE">
        <w:rPr>
          <w:rFonts w:eastAsia="黑体"/>
          <w:bCs/>
        </w:rPr>
        <w:t>项</w:t>
      </w:r>
      <w:r w:rsidRPr="007F51EE">
        <w:rPr>
          <w:rFonts w:eastAsia="黑体"/>
          <w:bCs/>
        </w:rPr>
        <w:t>(</w:t>
      </w:r>
      <w:r w:rsidRPr="007F51EE">
        <w:rPr>
          <w:rFonts w:eastAsia="黑体"/>
          <w:bCs/>
        </w:rPr>
        <w:t>住房权</w:t>
      </w:r>
      <w:r w:rsidRPr="007F51EE">
        <w:rPr>
          <w:rFonts w:eastAsia="黑体"/>
          <w:bCs/>
        </w:rPr>
        <w:t>)</w:t>
      </w:r>
      <w:r w:rsidRPr="007F51EE">
        <w:rPr>
          <w:rFonts w:eastAsia="黑体"/>
          <w:bCs/>
        </w:rPr>
        <w:t>所载建议的执行情况。</w:t>
      </w:r>
    </w:p>
    <w:p w14:paraId="190D41F7" w14:textId="77777777" w:rsidR="00582F0A" w:rsidRPr="007F51EE" w:rsidRDefault="00582F0A" w:rsidP="00582F0A">
      <w:pPr>
        <w:pStyle w:val="SingleTxtGC"/>
        <w:rPr>
          <w:rFonts w:eastAsia="黑体"/>
          <w:bCs/>
        </w:rPr>
      </w:pPr>
      <w:r w:rsidRPr="007F51EE">
        <w:t>65.</w:t>
      </w:r>
      <w:r w:rsidRPr="007F51EE">
        <w:tab/>
      </w:r>
      <w:r w:rsidRPr="007F51EE">
        <w:rPr>
          <w:rFonts w:eastAsia="黑体"/>
          <w:bCs/>
        </w:rPr>
        <w:t>委员会请缔约国在</w:t>
      </w:r>
      <w:r w:rsidRPr="007F51EE">
        <w:rPr>
          <w:rFonts w:eastAsia="黑体"/>
          <w:bCs/>
        </w:rPr>
        <w:t>2027</w:t>
      </w:r>
      <w:r w:rsidRPr="007F51EE">
        <w:rPr>
          <w:rFonts w:eastAsia="黑体"/>
          <w:bCs/>
        </w:rPr>
        <w:t>年</w:t>
      </w:r>
      <w:r w:rsidRPr="007F51EE">
        <w:rPr>
          <w:rFonts w:eastAsia="黑体"/>
          <w:bCs/>
        </w:rPr>
        <w:t>10</w:t>
      </w:r>
      <w:r w:rsidRPr="007F51EE">
        <w:rPr>
          <w:rFonts w:eastAsia="黑体"/>
          <w:bCs/>
        </w:rPr>
        <w:t>月</w:t>
      </w:r>
      <w:r w:rsidRPr="007F51EE">
        <w:rPr>
          <w:rFonts w:eastAsia="黑体"/>
          <w:bCs/>
        </w:rPr>
        <w:t>31</w:t>
      </w:r>
      <w:r w:rsidRPr="007F51EE">
        <w:rPr>
          <w:rFonts w:eastAsia="黑体"/>
          <w:bCs/>
        </w:rPr>
        <w:t>日前根据《公约》第十六条提交第五次定期报告，除非</w:t>
      </w:r>
      <w:proofErr w:type="gramStart"/>
      <w:r w:rsidRPr="007F51EE">
        <w:rPr>
          <w:rFonts w:eastAsia="黑体"/>
          <w:bCs/>
        </w:rPr>
        <w:t>因审议</w:t>
      </w:r>
      <w:proofErr w:type="gramEnd"/>
      <w:r w:rsidRPr="007F51EE">
        <w:rPr>
          <w:rFonts w:eastAsia="黑体"/>
          <w:bCs/>
        </w:rPr>
        <w:t>周期发生变化而另有通知。按照大会第</w:t>
      </w:r>
      <w:r w:rsidRPr="007F51EE">
        <w:rPr>
          <w:rFonts w:eastAsia="黑体"/>
          <w:bCs/>
        </w:rPr>
        <w:t>68/268</w:t>
      </w:r>
      <w:r w:rsidRPr="007F51EE">
        <w:rPr>
          <w:rFonts w:eastAsia="黑体"/>
          <w:bCs/>
        </w:rPr>
        <w:t>号决议，报告字数应限制在</w:t>
      </w:r>
      <w:r w:rsidRPr="007F51EE">
        <w:rPr>
          <w:rFonts w:eastAsia="黑体"/>
          <w:bCs/>
        </w:rPr>
        <w:t>21,200</w:t>
      </w:r>
      <w:r w:rsidRPr="007F51EE">
        <w:rPr>
          <w:rFonts w:eastAsia="黑体"/>
          <w:bCs/>
        </w:rPr>
        <w:t>字以内</w:t>
      </w:r>
      <w:r w:rsidRPr="007F51EE">
        <w:rPr>
          <w:rFonts w:eastAsia="黑体" w:hint="eastAsia"/>
          <w:bCs/>
        </w:rPr>
        <w:t>。</w:t>
      </w:r>
    </w:p>
    <w:bookmarkEnd w:id="0"/>
    <w:p w14:paraId="04D25643" w14:textId="4CCC4162" w:rsidR="00884C15" w:rsidRPr="00582F0A" w:rsidRDefault="00582F0A" w:rsidP="00582F0A">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884C15" w:rsidRPr="00582F0A"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6C6016" w14:textId="77777777" w:rsidR="005D134A" w:rsidRPr="000D319F" w:rsidRDefault="005D134A" w:rsidP="000D319F">
      <w:pPr>
        <w:pStyle w:val="af0"/>
        <w:spacing w:after="240"/>
        <w:ind w:left="907"/>
        <w:rPr>
          <w:rFonts w:asciiTheme="majorBidi" w:eastAsia="宋体" w:hAnsiTheme="majorBidi" w:cstheme="majorBidi"/>
          <w:sz w:val="21"/>
          <w:szCs w:val="21"/>
          <w:lang w:val="en-US"/>
        </w:rPr>
      </w:pPr>
    </w:p>
    <w:p w14:paraId="17AEF9C5" w14:textId="77777777" w:rsidR="005D134A" w:rsidRPr="000D319F" w:rsidRDefault="005D134A"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E30C9B7" w14:textId="77777777" w:rsidR="005D134A" w:rsidRPr="000D319F" w:rsidRDefault="005D134A" w:rsidP="000D319F">
      <w:pPr>
        <w:pStyle w:val="af0"/>
      </w:pPr>
    </w:p>
  </w:endnote>
  <w:endnote w:type="continuationNotice" w:id="1">
    <w:p w14:paraId="5389522F" w14:textId="77777777" w:rsidR="005D134A" w:rsidRDefault="005D13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2E449" w14:textId="77777777" w:rsidR="00056632" w:rsidRPr="00884C15" w:rsidRDefault="00884C15" w:rsidP="00884C15">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884C15">
      <w:rPr>
        <w:rStyle w:val="af2"/>
        <w:b w:val="0"/>
        <w:snapToGrid w:val="0"/>
        <w:sz w:val="16"/>
      </w:rPr>
      <w:t>GE.22</w:t>
    </w:r>
    <w:proofErr w:type="spellEnd"/>
    <w:r w:rsidRPr="00884C15">
      <w:rPr>
        <w:rStyle w:val="af2"/>
        <w:b w:val="0"/>
        <w:snapToGrid w:val="0"/>
        <w:sz w:val="16"/>
      </w:rPr>
      <w:t>-25357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965407" w14:textId="77777777" w:rsidR="00056632" w:rsidRPr="00884C15" w:rsidRDefault="00884C15" w:rsidP="00884C15">
    <w:pPr>
      <w:pStyle w:val="af0"/>
      <w:tabs>
        <w:tab w:val="clear" w:pos="431"/>
        <w:tab w:val="right" w:pos="9638"/>
      </w:tabs>
      <w:rPr>
        <w:rStyle w:val="af2"/>
      </w:rPr>
    </w:pPr>
    <w:proofErr w:type="spellStart"/>
    <w:r>
      <w:t>GE.22</w:t>
    </w:r>
    <w:proofErr w:type="spellEnd"/>
    <w:r>
      <w:t>-25357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6B7D2" w14:textId="5F04B494" w:rsidR="00056632" w:rsidRPr="00487939" w:rsidRDefault="00884C15"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6C6167CA" wp14:editId="6FD7B05C">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-25357</w:t>
    </w:r>
    <w:r w:rsidR="00731A42" w:rsidRPr="00EE277A">
      <w:rPr>
        <w:sz w:val="20"/>
        <w:lang w:eastAsia="zh-CN"/>
      </w:rPr>
      <w:t xml:space="preserve"> (C)</w:t>
    </w:r>
    <w:r w:rsidR="00B45B2F">
      <w:rPr>
        <w:sz w:val="20"/>
        <w:lang w:eastAsia="zh-CN"/>
      </w:rPr>
      <w:tab/>
    </w:r>
    <w:r>
      <w:rPr>
        <w:sz w:val="20"/>
        <w:lang w:eastAsia="zh-CN"/>
      </w:rPr>
      <w:t>2212</w:t>
    </w:r>
    <w:r w:rsidR="007029E1">
      <w:rPr>
        <w:sz w:val="20"/>
        <w:lang w:eastAsia="zh-CN"/>
      </w:rPr>
      <w:t>2</w:t>
    </w:r>
    <w:r w:rsidR="00DD5730">
      <w:rPr>
        <w:rFonts w:asciiTheme="majorBidi" w:eastAsiaTheme="minorEastAsia" w:hAnsiTheme="majorBidi" w:cstheme="majorBidi"/>
        <w:sz w:val="20"/>
      </w:rPr>
      <w:t>2</w:t>
    </w:r>
    <w:r w:rsidR="00731A42">
      <w:rPr>
        <w:sz w:val="20"/>
        <w:lang w:eastAsia="zh-CN"/>
      </w:rPr>
      <w:tab/>
    </w:r>
    <w:r>
      <w:rPr>
        <w:sz w:val="20"/>
        <w:lang w:eastAsia="zh-CN"/>
      </w:rPr>
      <w:t>180123</w:t>
    </w:r>
    <w:r w:rsidR="00731A42">
      <w:rPr>
        <w:b/>
        <w:sz w:val="21"/>
      </w:rPr>
      <w:tab/>
    </w:r>
    <w:r w:rsidR="00A1364C">
      <w:rPr>
        <w:rFonts w:hint="eastAsia"/>
        <w:b/>
        <w:noProof/>
        <w:snapToGrid/>
        <w:sz w:val="21"/>
        <w:lang w:val="en-US" w:eastAsia="zh-CN"/>
      </w:rPr>
      <w:drawing>
        <wp:inline distT="0" distB="0" distL="0" distR="0" wp14:anchorId="40959C8D" wp14:editId="46A3B30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45983" w14:textId="77777777" w:rsidR="005D134A" w:rsidRPr="000157B1" w:rsidRDefault="005D13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7D26DDD1" w14:textId="77777777" w:rsidR="005D134A" w:rsidRPr="000157B1" w:rsidRDefault="005D134A"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669F4BC0" w14:textId="77777777" w:rsidR="005D134A" w:rsidRDefault="005D134A"/>
  </w:footnote>
  <w:footnote w:id="2">
    <w:p w14:paraId="7253A180" w14:textId="77777777" w:rsidR="00582F0A" w:rsidRDefault="00582F0A" w:rsidP="00582F0A">
      <w:pPr>
        <w:pStyle w:val="a6"/>
      </w:pPr>
      <w:r>
        <w:rPr>
          <w:lang w:val="zh-CN"/>
        </w:rPr>
        <w:tab/>
      </w:r>
      <w:r w:rsidRPr="00ED3A2E">
        <w:rPr>
          <w:rStyle w:val="a8"/>
          <w:rFonts w:eastAsia="宋体"/>
          <w:vertAlign w:val="baseline"/>
        </w:rPr>
        <w:t>*</w:t>
      </w:r>
      <w:r>
        <w:rPr>
          <w:lang w:val="zh-CN"/>
        </w:rPr>
        <w:tab/>
      </w:r>
      <w:r>
        <w:rPr>
          <w:lang w:val="zh-CN"/>
        </w:rPr>
        <w:t>委员会第七十二届会议</w:t>
      </w:r>
      <w:r>
        <w:rPr>
          <w:lang w:val="zh-CN"/>
        </w:rPr>
        <w:t>(2022</w:t>
      </w:r>
      <w:r>
        <w:rPr>
          <w:lang w:val="zh-CN"/>
        </w:rPr>
        <w:t>年</w:t>
      </w:r>
      <w:r>
        <w:rPr>
          <w:lang w:val="zh-CN"/>
        </w:rPr>
        <w:t>9</w:t>
      </w:r>
      <w:r>
        <w:rPr>
          <w:lang w:val="zh-CN"/>
        </w:rPr>
        <w:t>月</w:t>
      </w:r>
      <w:r>
        <w:rPr>
          <w:lang w:val="zh-CN"/>
        </w:rPr>
        <w:t>26</w:t>
      </w:r>
      <w:r>
        <w:rPr>
          <w:lang w:val="zh-CN"/>
        </w:rPr>
        <w:t>日至</w:t>
      </w:r>
      <w:r>
        <w:rPr>
          <w:lang w:val="zh-CN"/>
        </w:rPr>
        <w:t>10</w:t>
      </w:r>
      <w:r>
        <w:rPr>
          <w:lang w:val="zh-CN"/>
        </w:rPr>
        <w:t>月</w:t>
      </w:r>
      <w:r>
        <w:rPr>
          <w:lang w:val="zh-CN"/>
        </w:rPr>
        <w:t>14</w:t>
      </w:r>
      <w:r>
        <w:rPr>
          <w:lang w:val="zh-CN"/>
        </w:rPr>
        <w:t>日</w:t>
      </w:r>
      <w:r>
        <w:rPr>
          <w:lang w:val="zh-CN"/>
        </w:rPr>
        <w:t>)</w:t>
      </w:r>
      <w:r>
        <w:rPr>
          <w:lang w:val="zh-CN"/>
        </w:rPr>
        <w:t>通过。</w:t>
      </w:r>
    </w:p>
  </w:footnote>
  <w:footnote w:id="3">
    <w:p w14:paraId="0D679680" w14:textId="77777777" w:rsidR="00582F0A" w:rsidRDefault="00582F0A" w:rsidP="00582F0A">
      <w:pPr>
        <w:pStyle w:val="a6"/>
        <w:rPr>
          <w:color w:val="000000"/>
        </w:rPr>
      </w:pPr>
      <w:r>
        <w:rPr>
          <w:color w:val="000000"/>
          <w:lang w:val="zh-CN"/>
        </w:rPr>
        <w:tab/>
      </w:r>
      <w:r w:rsidRPr="00ED3A2E">
        <w:rPr>
          <w:rStyle w:val="a8"/>
          <w:rFonts w:eastAsia="宋体"/>
        </w:rPr>
        <w:footnoteRef/>
      </w:r>
      <w:r>
        <w:rPr>
          <w:lang w:val="zh-CN"/>
        </w:rPr>
        <w:tab/>
      </w:r>
      <w:r>
        <w:rPr>
          <w:lang w:val="zh-CN"/>
        </w:rPr>
        <w:t>见</w:t>
      </w:r>
      <w:r>
        <w:rPr>
          <w:lang w:val="zh-CN"/>
        </w:rPr>
        <w:fldChar w:fldCharType="begin"/>
      </w:r>
      <w:r>
        <w:rPr>
          <w:lang w:val="zh-CN"/>
        </w:rPr>
        <w:instrText xml:space="preserve"> HYPERLINK "http://undocs.org/ch/E/C.12/2022/SR.45" </w:instrText>
      </w:r>
      <w:r>
        <w:rPr>
          <w:lang w:val="zh-CN"/>
        </w:rPr>
      </w:r>
      <w:r>
        <w:rPr>
          <w:lang w:val="zh-CN"/>
        </w:rPr>
        <w:fldChar w:fldCharType="separate"/>
      </w:r>
      <w:r w:rsidRPr="00ED3A2E">
        <w:rPr>
          <w:rStyle w:val="af5"/>
          <w:lang w:val="zh-CN"/>
        </w:rPr>
        <w:t>E/C.12/2022/SR.45</w:t>
      </w:r>
      <w:r>
        <w:rPr>
          <w:lang w:val="zh-CN"/>
        </w:rPr>
        <w:fldChar w:fldCharType="end"/>
      </w:r>
      <w:r>
        <w:rPr>
          <w:lang w:val="zh-CN"/>
        </w:rPr>
        <w:t>和</w:t>
      </w:r>
      <w:hyperlink r:id="rId1" w:history="1">
        <w:r w:rsidRPr="00ED3A2E">
          <w:rPr>
            <w:rStyle w:val="af5"/>
            <w:lang w:val="zh-CN"/>
          </w:rPr>
          <w:t>E/C.12/2022/SR.46</w:t>
        </w:r>
      </w:hyperlink>
      <w:r>
        <w:rPr>
          <w:lang w:val="zh-CN"/>
        </w:rPr>
        <w:t>。</w:t>
      </w:r>
    </w:p>
  </w:footnote>
  <w:footnote w:id="4">
    <w:p w14:paraId="5A056EA9" w14:textId="77777777" w:rsidR="00582F0A" w:rsidRDefault="00582F0A" w:rsidP="00582F0A">
      <w:pPr>
        <w:pStyle w:val="a6"/>
        <w:rPr>
          <w:color w:val="000000"/>
        </w:rPr>
      </w:pPr>
      <w:r>
        <w:rPr>
          <w:color w:val="000000"/>
          <w:lang w:val="zh-CN"/>
        </w:rPr>
        <w:tab/>
      </w:r>
      <w:r w:rsidRPr="00ED3A2E">
        <w:rPr>
          <w:rStyle w:val="a8"/>
          <w:rFonts w:eastAsia="宋体"/>
        </w:rPr>
        <w:footnoteRef/>
      </w:r>
      <w:r>
        <w:rPr>
          <w:lang w:val="zh-CN"/>
        </w:rPr>
        <w:tab/>
      </w:r>
      <w:hyperlink r:id="rId2" w:history="1">
        <w:r w:rsidRPr="00ED3A2E">
          <w:rPr>
            <w:rStyle w:val="af5"/>
            <w:lang w:val="zh-CN"/>
          </w:rPr>
          <w:t>E/C.12/TJK/4</w:t>
        </w:r>
      </w:hyperlink>
      <w:r>
        <w:rPr>
          <w:lang w:val="zh-CN"/>
        </w:rPr>
        <w:t>。</w:t>
      </w:r>
    </w:p>
  </w:footnote>
  <w:footnote w:id="5">
    <w:p w14:paraId="1D733226" w14:textId="77777777" w:rsidR="00582F0A" w:rsidRDefault="00582F0A" w:rsidP="00582F0A">
      <w:pPr>
        <w:pStyle w:val="a6"/>
      </w:pPr>
      <w:r>
        <w:rPr>
          <w:lang w:val="zh-CN"/>
        </w:rPr>
        <w:tab/>
      </w:r>
      <w:r w:rsidRPr="00ED3A2E">
        <w:rPr>
          <w:rStyle w:val="a8"/>
          <w:rFonts w:eastAsia="宋体"/>
        </w:rPr>
        <w:footnoteRef/>
      </w:r>
      <w:r>
        <w:rPr>
          <w:lang w:val="zh-CN"/>
        </w:rPr>
        <w:tab/>
      </w:r>
      <w:hyperlink r:id="rId3" w:history="1">
        <w:r w:rsidRPr="00ED3A2E">
          <w:rPr>
            <w:rStyle w:val="af5"/>
            <w:lang w:val="zh-CN"/>
          </w:rPr>
          <w:t>E/C.12/TJK/RQ/4</w:t>
        </w:r>
      </w:hyperlink>
      <w:r>
        <w:rPr>
          <w:lang w:val="zh-CN"/>
        </w:rPr>
        <w:t>。</w:t>
      </w:r>
    </w:p>
  </w:footnote>
  <w:footnote w:id="6">
    <w:p w14:paraId="67578CBB" w14:textId="77777777" w:rsidR="00582F0A" w:rsidRDefault="00582F0A" w:rsidP="00582F0A">
      <w:pPr>
        <w:pStyle w:val="a6"/>
        <w:rPr>
          <w:color w:val="000000"/>
        </w:rPr>
      </w:pPr>
      <w:r>
        <w:rPr>
          <w:color w:val="000000"/>
          <w:lang w:val="zh-CN"/>
        </w:rPr>
        <w:tab/>
      </w:r>
      <w:r w:rsidRPr="00ED3A2E">
        <w:rPr>
          <w:rStyle w:val="a8"/>
          <w:rFonts w:eastAsia="宋体"/>
        </w:rPr>
        <w:footnoteRef/>
      </w:r>
      <w:r>
        <w:rPr>
          <w:lang w:val="zh-CN"/>
        </w:rPr>
        <w:tab/>
      </w:r>
      <w:hyperlink r:id="rId4" w:history="1">
        <w:r w:rsidRPr="00ED3A2E">
          <w:rPr>
            <w:rStyle w:val="af5"/>
            <w:lang w:val="zh-CN"/>
          </w:rPr>
          <w:t>E/C.12/TJK/Q/4</w:t>
        </w:r>
      </w:hyperlink>
      <w:r>
        <w:rPr>
          <w:lang w:val="zh-CN"/>
        </w:rPr>
        <w:t>和</w:t>
      </w:r>
      <w:hyperlink r:id="rId5" w:history="1">
        <w:r w:rsidRPr="00ED3A2E">
          <w:rPr>
            <w:rStyle w:val="af5"/>
            <w:lang w:val="zh-CN"/>
          </w:rPr>
          <w:t>E/C.12/TJK/Q/4/Corr.1</w:t>
        </w:r>
      </w:hyperlink>
      <w:r>
        <w:rPr>
          <w:lang w:val="zh-CN"/>
        </w:rPr>
        <w:t>。</w:t>
      </w:r>
    </w:p>
  </w:footnote>
  <w:footnote w:id="7">
    <w:p w14:paraId="24BED33A" w14:textId="77777777" w:rsidR="00582F0A" w:rsidRPr="00C105B2" w:rsidRDefault="00582F0A" w:rsidP="00582F0A">
      <w:pPr>
        <w:pStyle w:val="a6"/>
        <w:rPr>
          <w:lang w:val="es-ES"/>
        </w:rPr>
      </w:pPr>
      <w:r>
        <w:rPr>
          <w:lang w:val="zh-CN"/>
        </w:rPr>
        <w:tab/>
      </w:r>
      <w:r w:rsidRPr="00ED3A2E">
        <w:rPr>
          <w:rStyle w:val="a8"/>
          <w:rFonts w:eastAsia="宋体"/>
        </w:rPr>
        <w:footnoteRef/>
      </w:r>
      <w:r w:rsidRPr="00C105B2">
        <w:rPr>
          <w:lang w:val="es-ES"/>
        </w:rPr>
        <w:tab/>
      </w:r>
      <w:hyperlink r:id="rId6" w:history="1">
        <w:r w:rsidRPr="00ED3A2E">
          <w:rPr>
            <w:rStyle w:val="af5"/>
            <w:lang w:val="es-ES"/>
          </w:rPr>
          <w:t>E/</w:t>
        </w:r>
        <w:proofErr w:type="spellStart"/>
        <w:r w:rsidRPr="00ED3A2E">
          <w:rPr>
            <w:rStyle w:val="af5"/>
            <w:lang w:val="es-ES"/>
          </w:rPr>
          <w:t>C.12</w:t>
        </w:r>
        <w:proofErr w:type="spellEnd"/>
        <w:r w:rsidRPr="00ED3A2E">
          <w:rPr>
            <w:rStyle w:val="af5"/>
            <w:lang w:val="es-ES"/>
          </w:rPr>
          <w:t>/</w:t>
        </w:r>
        <w:proofErr w:type="spellStart"/>
        <w:r w:rsidRPr="00ED3A2E">
          <w:rPr>
            <w:rStyle w:val="af5"/>
            <w:lang w:val="es-ES"/>
          </w:rPr>
          <w:t>TJK</w:t>
        </w:r>
        <w:proofErr w:type="spellEnd"/>
        <w:r w:rsidRPr="00ED3A2E">
          <w:rPr>
            <w:rStyle w:val="af5"/>
            <w:lang w:val="es-ES"/>
          </w:rPr>
          <w:t>/CO/2-3</w:t>
        </w:r>
      </w:hyperlink>
      <w:r>
        <w:rPr>
          <w:lang w:val="es-ES"/>
        </w:rPr>
        <w:t>,</w:t>
      </w:r>
      <w:r w:rsidRPr="00C105B2">
        <w:rPr>
          <w:lang w:val="es-ES"/>
        </w:rPr>
        <w:t xml:space="preserve"> </w:t>
      </w:r>
      <w:r>
        <w:rPr>
          <w:lang w:val="zh-CN"/>
        </w:rPr>
        <w:t>第</w:t>
      </w:r>
      <w:r>
        <w:rPr>
          <w:lang w:val="es-ES"/>
        </w:rPr>
        <w:t>8</w:t>
      </w:r>
      <w:r>
        <w:rPr>
          <w:lang w:val="zh-CN"/>
        </w:rPr>
        <w:t>段。</w:t>
      </w:r>
    </w:p>
  </w:footnote>
  <w:footnote w:id="8">
    <w:p w14:paraId="47BA241F" w14:textId="77777777" w:rsidR="00582F0A" w:rsidRPr="00C105B2" w:rsidRDefault="00582F0A" w:rsidP="00582F0A">
      <w:pPr>
        <w:pStyle w:val="a6"/>
        <w:rPr>
          <w:lang w:val="es-ES"/>
        </w:rPr>
      </w:pPr>
      <w:r w:rsidRPr="00C105B2">
        <w:rPr>
          <w:lang w:val="es-ES"/>
        </w:rPr>
        <w:tab/>
      </w:r>
      <w:r w:rsidRPr="00ED3A2E">
        <w:rPr>
          <w:rStyle w:val="a8"/>
          <w:rFonts w:eastAsia="宋体"/>
        </w:rPr>
        <w:footnoteRef/>
      </w:r>
      <w:r w:rsidRPr="00C105B2">
        <w:rPr>
          <w:lang w:val="es-ES"/>
        </w:rPr>
        <w:tab/>
      </w:r>
      <w:hyperlink r:id="rId7" w:history="1">
        <w:r w:rsidRPr="00ED3A2E">
          <w:rPr>
            <w:rStyle w:val="af5"/>
            <w:lang w:val="es-ES"/>
          </w:rPr>
          <w:t>E/</w:t>
        </w:r>
        <w:proofErr w:type="spellStart"/>
        <w:r w:rsidRPr="00ED3A2E">
          <w:rPr>
            <w:rStyle w:val="af5"/>
            <w:lang w:val="es-ES"/>
          </w:rPr>
          <w:t>C.12</w:t>
        </w:r>
        <w:proofErr w:type="spellEnd"/>
        <w:r w:rsidRPr="00ED3A2E">
          <w:rPr>
            <w:rStyle w:val="af5"/>
            <w:lang w:val="es-ES"/>
          </w:rPr>
          <w:t>/2016/2</w:t>
        </w:r>
      </w:hyperlink>
      <w:r>
        <w:rPr>
          <w:lang w:val="zh-CN"/>
        </w:rPr>
        <w:t>。</w:t>
      </w:r>
    </w:p>
  </w:footnote>
  <w:footnote w:id="9">
    <w:p w14:paraId="4B08A11D" w14:textId="77777777" w:rsidR="00582F0A" w:rsidRPr="00C105B2" w:rsidRDefault="00582F0A" w:rsidP="00582F0A">
      <w:pPr>
        <w:pStyle w:val="a6"/>
        <w:rPr>
          <w:lang w:val="es-ES"/>
        </w:rPr>
      </w:pPr>
      <w:r w:rsidRPr="00C105B2">
        <w:rPr>
          <w:lang w:val="es-ES"/>
        </w:rPr>
        <w:tab/>
      </w:r>
      <w:r w:rsidRPr="00ED3A2E">
        <w:rPr>
          <w:rStyle w:val="a8"/>
          <w:rFonts w:eastAsia="宋体"/>
        </w:rPr>
        <w:footnoteRef/>
      </w:r>
      <w:r w:rsidRPr="00C105B2">
        <w:rPr>
          <w:lang w:val="es-ES"/>
        </w:rPr>
        <w:tab/>
      </w:r>
      <w:hyperlink r:id="rId8" w:history="1">
        <w:r w:rsidRPr="00ED3A2E">
          <w:rPr>
            <w:rStyle w:val="af5"/>
            <w:lang w:val="es-ES"/>
          </w:rPr>
          <w:t>E/</w:t>
        </w:r>
        <w:proofErr w:type="spellStart"/>
        <w:r w:rsidRPr="00ED3A2E">
          <w:rPr>
            <w:rStyle w:val="af5"/>
            <w:lang w:val="es-ES"/>
          </w:rPr>
          <w:t>C.12</w:t>
        </w:r>
        <w:proofErr w:type="spellEnd"/>
        <w:r w:rsidRPr="00ED3A2E">
          <w:rPr>
            <w:rStyle w:val="af5"/>
            <w:lang w:val="es-ES"/>
          </w:rPr>
          <w:t>/2020/1</w:t>
        </w:r>
      </w:hyperlink>
      <w:r>
        <w:rPr>
          <w:lang w:val="zh-CN"/>
        </w:rPr>
        <w:t>。</w:t>
      </w:r>
    </w:p>
  </w:footnote>
  <w:footnote w:id="10">
    <w:p w14:paraId="2519A5EF" w14:textId="77777777" w:rsidR="00582F0A" w:rsidRPr="00C105B2" w:rsidRDefault="00582F0A" w:rsidP="00582F0A">
      <w:pPr>
        <w:pStyle w:val="a6"/>
        <w:rPr>
          <w:lang w:val="es-ES"/>
        </w:rPr>
      </w:pPr>
      <w:r w:rsidRPr="00C105B2">
        <w:rPr>
          <w:lang w:val="es-ES"/>
        </w:rPr>
        <w:tab/>
      </w:r>
      <w:r w:rsidRPr="00ED3A2E">
        <w:rPr>
          <w:rStyle w:val="a8"/>
          <w:rFonts w:eastAsia="宋体"/>
        </w:rPr>
        <w:footnoteRef/>
      </w:r>
      <w:r w:rsidRPr="00C105B2">
        <w:rPr>
          <w:lang w:val="es-ES"/>
        </w:rPr>
        <w:tab/>
      </w:r>
      <w:hyperlink r:id="rId9" w:history="1">
        <w:r w:rsidRPr="00ED3A2E">
          <w:rPr>
            <w:rStyle w:val="af5"/>
            <w:lang w:val="es-ES"/>
          </w:rPr>
          <w:t>E/</w:t>
        </w:r>
        <w:proofErr w:type="spellStart"/>
        <w:r w:rsidRPr="00ED3A2E">
          <w:rPr>
            <w:rStyle w:val="af5"/>
            <w:lang w:val="es-ES"/>
          </w:rPr>
          <w:t>C.12</w:t>
        </w:r>
        <w:proofErr w:type="spellEnd"/>
        <w:r w:rsidRPr="00ED3A2E">
          <w:rPr>
            <w:rStyle w:val="af5"/>
            <w:lang w:val="es-ES"/>
          </w:rPr>
          <w:t>/</w:t>
        </w:r>
        <w:proofErr w:type="spellStart"/>
        <w:r w:rsidRPr="00ED3A2E">
          <w:rPr>
            <w:rStyle w:val="af5"/>
            <w:lang w:val="es-ES"/>
          </w:rPr>
          <w:t>TJK</w:t>
        </w:r>
        <w:proofErr w:type="spellEnd"/>
        <w:r w:rsidRPr="00ED3A2E">
          <w:rPr>
            <w:rStyle w:val="af5"/>
            <w:lang w:val="es-ES"/>
          </w:rPr>
          <w:t>/CO/2-3</w:t>
        </w:r>
      </w:hyperlink>
      <w:r>
        <w:rPr>
          <w:lang w:val="es-ES"/>
        </w:rPr>
        <w:t>,</w:t>
      </w:r>
      <w:r w:rsidRPr="00C105B2">
        <w:rPr>
          <w:lang w:val="es-ES"/>
        </w:rPr>
        <w:t xml:space="preserve"> </w:t>
      </w:r>
      <w:r>
        <w:rPr>
          <w:lang w:val="zh-CN"/>
        </w:rPr>
        <w:t>第</w:t>
      </w:r>
      <w:r>
        <w:rPr>
          <w:lang w:val="es-ES"/>
        </w:rPr>
        <w:t>15</w:t>
      </w:r>
      <w:r>
        <w:rPr>
          <w:lang w:val="zh-CN"/>
        </w:rPr>
        <w:t>段。</w:t>
      </w:r>
    </w:p>
  </w:footnote>
  <w:footnote w:id="11">
    <w:p w14:paraId="63FF97D7" w14:textId="77777777" w:rsidR="00582F0A" w:rsidRDefault="00582F0A" w:rsidP="00582F0A">
      <w:pPr>
        <w:pStyle w:val="a6"/>
      </w:pPr>
      <w:r w:rsidRPr="00C105B2">
        <w:rPr>
          <w:lang w:val="es-ES"/>
        </w:rPr>
        <w:tab/>
      </w:r>
      <w:r w:rsidRPr="00ED3A2E">
        <w:rPr>
          <w:rStyle w:val="a8"/>
          <w:rFonts w:eastAsia="宋体"/>
        </w:rPr>
        <w:footnoteRef/>
      </w:r>
      <w:r>
        <w:rPr>
          <w:lang w:val="zh-CN"/>
        </w:rPr>
        <w:tab/>
      </w:r>
      <w:hyperlink r:id="rId10" w:history="1">
        <w:r w:rsidRPr="00ED3A2E">
          <w:rPr>
            <w:rStyle w:val="af5"/>
            <w:lang w:val="zh-CN"/>
          </w:rPr>
          <w:t>E/C.12/2017/1</w:t>
        </w:r>
      </w:hyperlink>
      <w:r>
        <w:rPr>
          <w:lang w:val="zh-CN"/>
        </w:rPr>
        <w:t>。</w:t>
      </w:r>
    </w:p>
  </w:footnote>
  <w:footnote w:id="12">
    <w:p w14:paraId="5F710106" w14:textId="77777777" w:rsidR="00582F0A" w:rsidRDefault="00582F0A" w:rsidP="00582F0A">
      <w:pPr>
        <w:pStyle w:val="a6"/>
      </w:pPr>
      <w:r>
        <w:rPr>
          <w:lang w:val="zh-CN"/>
        </w:rPr>
        <w:tab/>
      </w:r>
      <w:r w:rsidRPr="00ED3A2E">
        <w:rPr>
          <w:rStyle w:val="a8"/>
          <w:rFonts w:eastAsia="宋体"/>
        </w:rPr>
        <w:footnoteRef/>
      </w:r>
      <w:r>
        <w:rPr>
          <w:lang w:val="zh-CN"/>
        </w:rPr>
        <w:tab/>
      </w:r>
      <w:hyperlink r:id="rId11" w:history="1">
        <w:r w:rsidRPr="00ED3A2E">
          <w:rPr>
            <w:rStyle w:val="af5"/>
            <w:lang w:val="zh-CN"/>
          </w:rPr>
          <w:t>E/C.12/2018/1</w:t>
        </w:r>
      </w:hyperlink>
      <w:r>
        <w:rPr>
          <w:lang w:val="zh-CN"/>
        </w:rPr>
        <w:t>。</w:t>
      </w:r>
    </w:p>
  </w:footnote>
  <w:footnote w:id="13">
    <w:p w14:paraId="0D412EEE" w14:textId="77777777" w:rsidR="00582F0A" w:rsidRDefault="00582F0A" w:rsidP="00582F0A">
      <w:pPr>
        <w:pStyle w:val="a6"/>
      </w:pPr>
      <w:r>
        <w:rPr>
          <w:lang w:val="zh-CN"/>
        </w:rPr>
        <w:tab/>
      </w:r>
      <w:r w:rsidRPr="00ED3A2E">
        <w:rPr>
          <w:rStyle w:val="a8"/>
          <w:rFonts w:eastAsia="宋体"/>
        </w:rPr>
        <w:footnoteRef/>
      </w:r>
      <w:r>
        <w:rPr>
          <w:lang w:val="zh-CN"/>
        </w:rPr>
        <w:tab/>
      </w:r>
      <w:hyperlink r:id="rId12" w:history="1">
        <w:r w:rsidRPr="00ED3A2E">
          <w:rPr>
            <w:rStyle w:val="af5"/>
            <w:lang w:val="zh-CN"/>
          </w:rPr>
          <w:t>E/C.12/2019/1</w:t>
        </w:r>
      </w:hyperlink>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43D12F" w14:textId="77777777" w:rsidR="00056632" w:rsidRDefault="00884C15" w:rsidP="00884C15">
    <w:pPr>
      <w:pStyle w:val="af3"/>
    </w:pPr>
    <w:r>
      <w:t>E/</w:t>
    </w:r>
    <w:proofErr w:type="spellStart"/>
    <w:r>
      <w:t>C.12</w:t>
    </w:r>
    <w:proofErr w:type="spellEnd"/>
    <w:r>
      <w:t>/</w:t>
    </w:r>
    <w:proofErr w:type="spellStart"/>
    <w:r>
      <w:t>TJK</w:t>
    </w:r>
    <w:proofErr w:type="spellEnd"/>
    <w:r>
      <w:t>/CO/4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9A1ED" w14:textId="77777777" w:rsidR="00056632" w:rsidRPr="00202A30" w:rsidRDefault="00884C15" w:rsidP="00884C15">
    <w:pPr>
      <w:pStyle w:val="af3"/>
      <w:jc w:val="right"/>
    </w:pPr>
    <w:r>
      <w:t>E/</w:t>
    </w:r>
    <w:proofErr w:type="spellStart"/>
    <w:r>
      <w:t>C.12</w:t>
    </w:r>
    <w:proofErr w:type="spellEnd"/>
    <w:r>
      <w:t>/</w:t>
    </w:r>
    <w:proofErr w:type="spellStart"/>
    <w:r>
      <w:t>TJK</w:t>
    </w:r>
    <w:proofErr w:type="spellEnd"/>
    <w:r>
      <w:t>/CO/4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73610A8"/>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780E18E2"/>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0552645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0786F97E"/>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8228DBA8"/>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610A479C"/>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4FEF7C8"/>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C99A9BEA"/>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82AC7F3C"/>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multilevel"/>
    <w:tmpl w:val="010C49F8"/>
    <w:lvl w:ilvl="0">
      <w:start w:val="1"/>
      <w:numFmt w:val="decimal"/>
      <w:lvlText w:val="%1."/>
      <w:lvlJc w:val="left"/>
      <w:pPr>
        <w:tabs>
          <w:tab w:val="left" w:pos="0"/>
        </w:tabs>
        <w:ind w:left="1134" w:firstLine="0"/>
      </w:pPr>
      <w:rPr>
        <w:rFonts w:ascii="Times New Roman" w:hAnsi="Times New Roman" w:hint="default"/>
        <w:b w:val="0"/>
        <w:i w:val="0"/>
        <w:sz w:val="20"/>
      </w:rPr>
    </w:lvl>
    <w:lvl w:ilvl="1">
      <w:start w:val="1"/>
      <w:numFmt w:val="lowerLetter"/>
      <w:lvlText w:val="%2."/>
      <w:lvlJc w:val="left"/>
      <w:pPr>
        <w:tabs>
          <w:tab w:val="left" w:pos="1440"/>
        </w:tabs>
        <w:ind w:left="1440" w:hanging="360"/>
      </w:pPr>
    </w:lvl>
    <w:lvl w:ilvl="2">
      <w:start w:val="1"/>
      <w:numFmt w:val="lowerRoman"/>
      <w:lvlText w:val="%3."/>
      <w:lvlJc w:val="right"/>
      <w:pPr>
        <w:tabs>
          <w:tab w:val="left" w:pos="2160"/>
        </w:tabs>
        <w:ind w:left="2160" w:hanging="180"/>
      </w:pPr>
    </w:lvl>
    <w:lvl w:ilvl="3">
      <w:start w:val="1"/>
      <w:numFmt w:val="decimal"/>
      <w:lvlText w:val="%4."/>
      <w:lvlJc w:val="left"/>
      <w:pPr>
        <w:tabs>
          <w:tab w:val="left" w:pos="2880"/>
        </w:tabs>
        <w:ind w:left="2880" w:hanging="360"/>
      </w:pPr>
    </w:lvl>
    <w:lvl w:ilvl="4">
      <w:start w:val="1"/>
      <w:numFmt w:val="lowerLetter"/>
      <w:lvlText w:val="%5."/>
      <w:lvlJc w:val="left"/>
      <w:pPr>
        <w:tabs>
          <w:tab w:val="left" w:pos="3600"/>
        </w:tabs>
        <w:ind w:left="3600" w:hanging="360"/>
      </w:pPr>
    </w:lvl>
    <w:lvl w:ilvl="5">
      <w:start w:val="1"/>
      <w:numFmt w:val="lowerRoman"/>
      <w:lvlText w:val="%6."/>
      <w:lvlJc w:val="right"/>
      <w:pPr>
        <w:tabs>
          <w:tab w:val="left" w:pos="4320"/>
        </w:tabs>
        <w:ind w:left="4320" w:hanging="180"/>
      </w:pPr>
    </w:lvl>
    <w:lvl w:ilvl="6">
      <w:start w:val="1"/>
      <w:numFmt w:val="decimal"/>
      <w:lvlText w:val="%7."/>
      <w:lvlJc w:val="left"/>
      <w:pPr>
        <w:tabs>
          <w:tab w:val="left" w:pos="5040"/>
        </w:tabs>
        <w:ind w:left="5040" w:hanging="360"/>
      </w:pPr>
    </w:lvl>
    <w:lvl w:ilvl="7">
      <w:start w:val="1"/>
      <w:numFmt w:val="lowerLetter"/>
      <w:lvlText w:val="%8."/>
      <w:lvlJc w:val="left"/>
      <w:pPr>
        <w:tabs>
          <w:tab w:val="left" w:pos="5760"/>
        </w:tabs>
        <w:ind w:left="5760" w:hanging="360"/>
      </w:pPr>
    </w:lvl>
    <w:lvl w:ilvl="8">
      <w:start w:val="1"/>
      <w:numFmt w:val="lowerRoman"/>
      <w:lvlText w:val="%9."/>
      <w:lvlJc w:val="right"/>
      <w:pPr>
        <w:tabs>
          <w:tab w:val="left"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198773FB"/>
    <w:multiLevelType w:val="hybridMultilevel"/>
    <w:tmpl w:val="741025CE"/>
    <w:lvl w:ilvl="0" w:tplc="F4AE710C">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1E253887"/>
    <w:multiLevelType w:val="multilevel"/>
    <w:tmpl w:val="1E253887"/>
    <w:lvl w:ilvl="0">
      <w:start w:val="1"/>
      <w:numFmt w:val="bullet"/>
      <w:lvlText w:val="•"/>
      <w:lvlJc w:val="left"/>
      <w:pPr>
        <w:tabs>
          <w:tab w:val="left" w:pos="2268"/>
        </w:tabs>
        <w:ind w:left="2268" w:hanging="170"/>
      </w:pPr>
      <w:rPr>
        <w:rFonts w:ascii="Times New Roman" w:hAnsi="Times New Roman" w:cs="Times New Roman" w:hint="default"/>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6"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7" w15:restartNumberingAfterBreak="0">
    <w:nsid w:val="31A12325"/>
    <w:multiLevelType w:val="multilevel"/>
    <w:tmpl w:val="31A12325"/>
    <w:lvl w:ilvl="0">
      <w:start w:val="1"/>
      <w:numFmt w:val="bullet"/>
      <w:lvlText w:val="•"/>
      <w:lvlJc w:val="left"/>
      <w:pPr>
        <w:tabs>
          <w:tab w:val="left" w:pos="1701"/>
        </w:tabs>
        <w:ind w:left="1701" w:hanging="170"/>
      </w:pPr>
      <w:rPr>
        <w:rFonts w:ascii="Times New Roman" w:hAnsi="Times New Roman" w:cs="Times New Roman" w:hint="default"/>
        <w:b w:val="0"/>
        <w:i w:val="0"/>
        <w:sz w:val="20"/>
      </w:rPr>
    </w:lvl>
    <w:lvl w:ilvl="1">
      <w:start w:val="1"/>
      <w:numFmt w:val="bullet"/>
      <w:lvlText w:val="o"/>
      <w:lvlJc w:val="left"/>
      <w:pPr>
        <w:tabs>
          <w:tab w:val="left" w:pos="1440"/>
        </w:tabs>
        <w:ind w:left="1440" w:hanging="360"/>
      </w:pPr>
      <w:rPr>
        <w:rFonts w:ascii="Courier New" w:hAnsi="Courier New" w:hint="default"/>
      </w:rPr>
    </w:lvl>
    <w:lvl w:ilvl="2">
      <w:start w:val="1"/>
      <w:numFmt w:val="bullet"/>
      <w:lvlText w:val=""/>
      <w:lvlJc w:val="left"/>
      <w:pPr>
        <w:tabs>
          <w:tab w:val="left" w:pos="2160"/>
        </w:tabs>
        <w:ind w:left="2160" w:hanging="360"/>
      </w:pPr>
      <w:rPr>
        <w:rFonts w:ascii="Wingdings" w:hAnsi="Wingdings" w:hint="default"/>
      </w:rPr>
    </w:lvl>
    <w:lvl w:ilvl="3">
      <w:start w:val="1"/>
      <w:numFmt w:val="bullet"/>
      <w:lvlText w:val=""/>
      <w:lvlJc w:val="left"/>
      <w:pPr>
        <w:tabs>
          <w:tab w:val="left" w:pos="2880"/>
        </w:tabs>
        <w:ind w:left="2880" w:hanging="360"/>
      </w:pPr>
      <w:rPr>
        <w:rFonts w:ascii="Symbol" w:hAnsi="Symbol" w:hint="default"/>
      </w:rPr>
    </w:lvl>
    <w:lvl w:ilvl="4">
      <w:start w:val="1"/>
      <w:numFmt w:val="bullet"/>
      <w:lvlText w:val="o"/>
      <w:lvlJc w:val="left"/>
      <w:pPr>
        <w:tabs>
          <w:tab w:val="left" w:pos="3600"/>
        </w:tabs>
        <w:ind w:left="3600" w:hanging="360"/>
      </w:pPr>
      <w:rPr>
        <w:rFonts w:ascii="Courier New" w:hAnsi="Courier New" w:hint="default"/>
      </w:rPr>
    </w:lvl>
    <w:lvl w:ilvl="5">
      <w:start w:val="1"/>
      <w:numFmt w:val="bullet"/>
      <w:lvlText w:val=""/>
      <w:lvlJc w:val="left"/>
      <w:pPr>
        <w:tabs>
          <w:tab w:val="left" w:pos="4320"/>
        </w:tabs>
        <w:ind w:left="4320" w:hanging="360"/>
      </w:pPr>
      <w:rPr>
        <w:rFonts w:ascii="Wingdings" w:hAnsi="Wingdings" w:hint="default"/>
      </w:rPr>
    </w:lvl>
    <w:lvl w:ilvl="6">
      <w:start w:val="1"/>
      <w:numFmt w:val="bullet"/>
      <w:lvlText w:val=""/>
      <w:lvlJc w:val="left"/>
      <w:pPr>
        <w:tabs>
          <w:tab w:val="left" w:pos="5040"/>
        </w:tabs>
        <w:ind w:left="5040" w:hanging="360"/>
      </w:pPr>
      <w:rPr>
        <w:rFonts w:ascii="Symbol" w:hAnsi="Symbol" w:hint="default"/>
      </w:rPr>
    </w:lvl>
    <w:lvl w:ilvl="7">
      <w:start w:val="1"/>
      <w:numFmt w:val="bullet"/>
      <w:lvlText w:val="o"/>
      <w:lvlJc w:val="left"/>
      <w:pPr>
        <w:tabs>
          <w:tab w:val="left" w:pos="5760"/>
        </w:tabs>
        <w:ind w:left="5760" w:hanging="360"/>
      </w:pPr>
      <w:rPr>
        <w:rFonts w:ascii="Courier New" w:hAnsi="Courier New" w:hint="default"/>
      </w:rPr>
    </w:lvl>
    <w:lvl w:ilvl="8">
      <w:start w:val="1"/>
      <w:numFmt w:val="bullet"/>
      <w:lvlText w:val=""/>
      <w:lvlJc w:val="left"/>
      <w:pPr>
        <w:tabs>
          <w:tab w:val="left" w:pos="6480"/>
        </w:tabs>
        <w:ind w:left="6480" w:hanging="360"/>
      </w:pPr>
      <w:rPr>
        <w:rFonts w:ascii="Wingdings" w:hAnsi="Wingdings" w:hint="default"/>
      </w:rPr>
    </w:lvl>
  </w:abstractNum>
  <w:abstractNum w:abstractNumId="18" w15:restartNumberingAfterBreak="0">
    <w:nsid w:val="632F3D6C"/>
    <w:multiLevelType w:val="hybridMultilevel"/>
    <w:tmpl w:val="E298700A"/>
    <w:lvl w:ilvl="0" w:tplc="A2E221EE">
      <w:start w:val="1"/>
      <w:numFmt w:val="decimal"/>
      <w:lvlText w:val="%1."/>
      <w:lvlJc w:val="left"/>
      <w:pPr>
        <w:ind w:left="3510" w:hanging="360"/>
      </w:pPr>
      <w:rPr>
        <w:rFonts w:ascii="Times New Roman" w:hAnsi="Times New Roman" w:cs="Times New Roman"/>
        <w:b w:val="0"/>
        <w:bCs w:val="0"/>
        <w:i w:val="0"/>
        <w:iCs w:val="0"/>
        <w:caps w:val="0"/>
        <w:smallCaps w:val="0"/>
        <w:strike w:val="0"/>
        <w:dstrike w:val="0"/>
        <w:noProof w:val="0"/>
        <w:vanish w:val="0"/>
        <w:color w:val="auto"/>
        <w:spacing w:val="0"/>
        <w:kern w:val="0"/>
        <w:position w:val="0"/>
        <w:sz w:val="20"/>
        <w:szCs w:val="2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19">
      <w:start w:val="1"/>
      <w:numFmt w:val="lowerLetter"/>
      <w:lvlText w:val="%2."/>
      <w:lvlJc w:val="left"/>
      <w:pPr>
        <w:ind w:left="2214" w:hanging="360"/>
      </w:pPr>
    </w:lvl>
    <w:lvl w:ilvl="2" w:tplc="0409000F">
      <w:start w:val="1"/>
      <w:numFmt w:val="decimal"/>
      <w:lvlText w:val="%3."/>
      <w:lvlJc w:val="lef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1"/>
  </w:num>
  <w:num w:numId="2">
    <w:abstractNumId w:val="19"/>
  </w:num>
  <w:num w:numId="3">
    <w:abstractNumId w:val="12"/>
  </w:num>
  <w:num w:numId="4">
    <w:abstractNumId w:val="8"/>
  </w:num>
  <w:num w:numId="5">
    <w:abstractNumId w:val="13"/>
  </w:num>
  <w:num w:numId="6">
    <w:abstractNumId w:val="16"/>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18"/>
  </w:num>
  <w:num w:numId="19">
    <w:abstractNumId w:val="17"/>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134A"/>
    <w:rsid w:val="00011483"/>
    <w:rsid w:val="00072E35"/>
    <w:rsid w:val="000844C0"/>
    <w:rsid w:val="000A2080"/>
    <w:rsid w:val="000D319F"/>
    <w:rsid w:val="000E4D0E"/>
    <w:rsid w:val="00125AC6"/>
    <w:rsid w:val="00144B69"/>
    <w:rsid w:val="00153E86"/>
    <w:rsid w:val="0016144A"/>
    <w:rsid w:val="00166B68"/>
    <w:rsid w:val="0018144A"/>
    <w:rsid w:val="001B1BD1"/>
    <w:rsid w:val="001C3EF2"/>
    <w:rsid w:val="001D17F6"/>
    <w:rsid w:val="001D2C3F"/>
    <w:rsid w:val="00204B42"/>
    <w:rsid w:val="002231C3"/>
    <w:rsid w:val="0024417F"/>
    <w:rsid w:val="00250F8D"/>
    <w:rsid w:val="00251083"/>
    <w:rsid w:val="002E1C97"/>
    <w:rsid w:val="002E7261"/>
    <w:rsid w:val="002F5834"/>
    <w:rsid w:val="00326EBF"/>
    <w:rsid w:val="00327FE4"/>
    <w:rsid w:val="00392F6C"/>
    <w:rsid w:val="003950E9"/>
    <w:rsid w:val="003B5136"/>
    <w:rsid w:val="003C6537"/>
    <w:rsid w:val="003D5BCA"/>
    <w:rsid w:val="003D7D4D"/>
    <w:rsid w:val="003E3190"/>
    <w:rsid w:val="00413D23"/>
    <w:rsid w:val="00427F63"/>
    <w:rsid w:val="0043742D"/>
    <w:rsid w:val="004A17D1"/>
    <w:rsid w:val="004C0E41"/>
    <w:rsid w:val="004C4A0A"/>
    <w:rsid w:val="00543EBA"/>
    <w:rsid w:val="005670B6"/>
    <w:rsid w:val="00570473"/>
    <w:rsid w:val="00582F0A"/>
    <w:rsid w:val="005D134A"/>
    <w:rsid w:val="005E0D2E"/>
    <w:rsid w:val="005E403A"/>
    <w:rsid w:val="00601CB6"/>
    <w:rsid w:val="00680656"/>
    <w:rsid w:val="00686126"/>
    <w:rsid w:val="006920A3"/>
    <w:rsid w:val="006A74C5"/>
    <w:rsid w:val="006B091C"/>
    <w:rsid w:val="006B1119"/>
    <w:rsid w:val="006C43A8"/>
    <w:rsid w:val="006E3E46"/>
    <w:rsid w:val="006E71B1"/>
    <w:rsid w:val="007029E1"/>
    <w:rsid w:val="00705D89"/>
    <w:rsid w:val="0071322C"/>
    <w:rsid w:val="00731A42"/>
    <w:rsid w:val="007400AC"/>
    <w:rsid w:val="00767E69"/>
    <w:rsid w:val="0077079A"/>
    <w:rsid w:val="007A5599"/>
    <w:rsid w:val="007D6074"/>
    <w:rsid w:val="00816936"/>
    <w:rsid w:val="00856233"/>
    <w:rsid w:val="00860F27"/>
    <w:rsid w:val="008758B0"/>
    <w:rsid w:val="00884263"/>
    <w:rsid w:val="00884C15"/>
    <w:rsid w:val="008B0560"/>
    <w:rsid w:val="008B2BFA"/>
    <w:rsid w:val="008D3D9C"/>
    <w:rsid w:val="008F4C07"/>
    <w:rsid w:val="00933E63"/>
    <w:rsid w:val="00936F03"/>
    <w:rsid w:val="00943B69"/>
    <w:rsid w:val="00944CB3"/>
    <w:rsid w:val="009A4F2B"/>
    <w:rsid w:val="009B09D7"/>
    <w:rsid w:val="009D35ED"/>
    <w:rsid w:val="00A03CB6"/>
    <w:rsid w:val="00A1364C"/>
    <w:rsid w:val="00A21076"/>
    <w:rsid w:val="00A3739A"/>
    <w:rsid w:val="00A41167"/>
    <w:rsid w:val="00A52DAF"/>
    <w:rsid w:val="00A65004"/>
    <w:rsid w:val="00A6540D"/>
    <w:rsid w:val="00A84072"/>
    <w:rsid w:val="00AB3619"/>
    <w:rsid w:val="00AD4A19"/>
    <w:rsid w:val="00B16570"/>
    <w:rsid w:val="00B2216B"/>
    <w:rsid w:val="00B423D7"/>
    <w:rsid w:val="00B45B2F"/>
    <w:rsid w:val="00B53320"/>
    <w:rsid w:val="00BB158D"/>
    <w:rsid w:val="00BC6522"/>
    <w:rsid w:val="00C121D5"/>
    <w:rsid w:val="00C17349"/>
    <w:rsid w:val="00C21165"/>
    <w:rsid w:val="00C351AA"/>
    <w:rsid w:val="00C41203"/>
    <w:rsid w:val="00C7253F"/>
    <w:rsid w:val="00CF3731"/>
    <w:rsid w:val="00D26A05"/>
    <w:rsid w:val="00D97B98"/>
    <w:rsid w:val="00DC2002"/>
    <w:rsid w:val="00DC671F"/>
    <w:rsid w:val="00DD5730"/>
    <w:rsid w:val="00DE4DA7"/>
    <w:rsid w:val="00E10E98"/>
    <w:rsid w:val="00E16D62"/>
    <w:rsid w:val="00E33B38"/>
    <w:rsid w:val="00E47FE5"/>
    <w:rsid w:val="00E574AF"/>
    <w:rsid w:val="00E65FDF"/>
    <w:rsid w:val="00E910EB"/>
    <w:rsid w:val="00F43A3C"/>
    <w:rsid w:val="00F46507"/>
    <w:rsid w:val="00F714DA"/>
    <w:rsid w:val="00F8163C"/>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18CDCC"/>
  <w15:docId w15:val="{8169E2DE-581E-44C2-A75D-023E1F8A87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84263"/>
    <w:rPr>
      <w:snapToGrid w:val="0"/>
      <w:sz w:val="18"/>
      <w:szCs w:val="18"/>
    </w:rPr>
  </w:style>
  <w:style w:type="character" w:styleId="a8">
    <w:name w:val="footnote reference"/>
    <w:basedOn w:val="a0"/>
    <w:qFormat/>
    <w:rsid w:val="00582F0A"/>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582F0A"/>
    <w:rPr>
      <w:color w:val="0000FF" w:themeColor="hyperlink"/>
      <w:u w:val="none"/>
    </w:rPr>
  </w:style>
  <w:style w:type="character" w:styleId="af6">
    <w:name w:val="FollowedHyperlink"/>
    <w:basedOn w:val="a0"/>
    <w:uiPriority w:val="99"/>
    <w:semiHidden/>
    <w:rsid w:val="00582F0A"/>
    <w:rPr>
      <w:color w:val="0000FF"/>
      <w:u w:val="none"/>
    </w:rPr>
  </w:style>
  <w:style w:type="paragraph" w:styleId="af7">
    <w:name w:val="macro"/>
    <w:link w:val="af8"/>
    <w:semiHidden/>
    <w:rsid w:val="00582F0A"/>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582F0A"/>
    <w:rPr>
      <w:kern w:val="24"/>
      <w:sz w:val="24"/>
      <w:szCs w:val="24"/>
    </w:rPr>
  </w:style>
  <w:style w:type="character" w:styleId="af9">
    <w:name w:val="Unresolved Mention"/>
    <w:basedOn w:val="a0"/>
    <w:uiPriority w:val="99"/>
    <w:semiHidden/>
    <w:unhideWhenUsed/>
    <w:rsid w:val="00582F0A"/>
    <w:rPr>
      <w:color w:val="605E5C"/>
      <w:shd w:val="clear" w:color="auto" w:fill="E1DFDD"/>
    </w:rPr>
  </w:style>
  <w:style w:type="paragraph" w:customStyle="1" w:styleId="11">
    <w:name w:val="修订1"/>
    <w:hidden/>
    <w:uiPriority w:val="99"/>
    <w:semiHidden/>
    <w:rsid w:val="00582F0A"/>
    <w:rPr>
      <w:rFonts w:eastAsia="Times New Roman"/>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E/C.12/2020/1" TargetMode="External"/><Relationship Id="rId3" Type="http://schemas.openxmlformats.org/officeDocument/2006/relationships/hyperlink" Target="http://undocs.org/ch/E/C.12/TJK/RQ/4" TargetMode="External"/><Relationship Id="rId7" Type="http://schemas.openxmlformats.org/officeDocument/2006/relationships/hyperlink" Target="http://undocs.org/ch/E/C.12/2016/2" TargetMode="External"/><Relationship Id="rId12" Type="http://schemas.openxmlformats.org/officeDocument/2006/relationships/hyperlink" Target="http://undocs.org/ch/E/C.12/2019/1" TargetMode="External"/><Relationship Id="rId2" Type="http://schemas.openxmlformats.org/officeDocument/2006/relationships/hyperlink" Target="http://undocs.org/ch/E/C.12/TJK/4" TargetMode="External"/><Relationship Id="rId1" Type="http://schemas.openxmlformats.org/officeDocument/2006/relationships/hyperlink" Target="http://undocs.org/ch/E/C.12/2022/SR.46" TargetMode="External"/><Relationship Id="rId6" Type="http://schemas.openxmlformats.org/officeDocument/2006/relationships/hyperlink" Target="http://undocs.org/ch/E/C.12/TJK/CO/2-3" TargetMode="External"/><Relationship Id="rId11" Type="http://schemas.openxmlformats.org/officeDocument/2006/relationships/hyperlink" Target="http://undocs.org/ch/E/C.12/2018/1" TargetMode="External"/><Relationship Id="rId5" Type="http://schemas.openxmlformats.org/officeDocument/2006/relationships/hyperlink" Target="http://undocs.org/ch/E/C.12/TJK/Q/4/Corr.1" TargetMode="External"/><Relationship Id="rId10" Type="http://schemas.openxmlformats.org/officeDocument/2006/relationships/hyperlink" Target="http://undocs.org/ch/E/C.12/2017/1" TargetMode="External"/><Relationship Id="rId4" Type="http://schemas.openxmlformats.org/officeDocument/2006/relationships/hyperlink" Target="http://undocs.org/ch/E/C.12/TJK/Q/4" TargetMode="External"/><Relationship Id="rId9" Type="http://schemas.openxmlformats.org/officeDocument/2006/relationships/hyperlink" Target="http://undocs.org/ch/E/C.12/TJK/CO/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11</Pages>
  <Words>8597</Words>
  <Characters>9239</Characters>
  <Application>Microsoft Office Word</Application>
  <DocSecurity>0</DocSecurity>
  <Lines>351</Lines>
  <Paragraphs>167</Paragraphs>
  <ScaleCrop>false</ScaleCrop>
  <Company>DCM</Company>
  <LinksUpToDate>false</LinksUpToDate>
  <CharactersWithSpaces>9510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E/C.12/TJK/CO/4</dc:title>
  <dc:subject>2225357</dc:subject>
  <dc:creator>tang</dc:creator>
  <cp:keywords/>
  <dc:description/>
  <cp:lastModifiedBy>ting tang</cp:lastModifiedBy>
  <cp:revision>2</cp:revision>
  <cp:lastPrinted>2014-05-09T11:28:00Z</cp:lastPrinted>
  <dcterms:created xsi:type="dcterms:W3CDTF">2023-01-18T09:21:00Z</dcterms:created>
  <dcterms:modified xsi:type="dcterms:W3CDTF">2023-01-18T09:21:00Z</dcterms:modified>
</cp:coreProperties>
</file>