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c>
          <w:tcPr>
            <w:tcW w:w="5181" w:type="dxa"/>
            <w:tcBorders>
              <w:top w:val="nil"/>
              <w:left w:val="nil"/>
              <w:bottom w:val="single" w:sz="18" w:space="0" w:color="auto"/>
              <w:right w:val="nil"/>
            </w:tcBorders>
          </w:tcPr>
          <w:p w:rsidR="00000000" w:rsidRDefault="00000000">
            <w:pPr>
              <w:tabs>
                <w:tab w:val="left" w:pos="0"/>
                <w:tab w:val="left" w:pos="567"/>
                <w:tab w:val="left" w:pos="1134"/>
                <w:tab w:val="left" w:pos="1701"/>
                <w:tab w:val="left" w:pos="2268"/>
                <w:tab w:val="left" w:pos="6237"/>
              </w:tabs>
              <w:suppressAutoHyphens/>
              <w:spacing w:line="216"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6237"/>
                <w:tab w:val="left" w:pos="7086"/>
              </w:tabs>
              <w:suppressAutoHyphens/>
              <w:spacing w:line="216"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6237"/>
                <w:tab w:val="left" w:pos="7086"/>
              </w:tabs>
              <w:suppressAutoHyphens/>
              <w:spacing w:line="216" w:lineRule="auto"/>
              <w:rPr>
                <w:b/>
              </w:rPr>
            </w:pPr>
          </w:p>
        </w:tc>
        <w:tc>
          <w:tcPr>
            <w:tcW w:w="4458" w:type="dxa"/>
            <w:tcBorders>
              <w:top w:val="nil"/>
              <w:left w:val="nil"/>
              <w:bottom w:val="single" w:sz="18" w:space="0" w:color="auto"/>
              <w:right w:val="nil"/>
            </w:tcBorders>
          </w:tcPr>
          <w:p w:rsidR="00000000" w:rsidRDefault="00000000">
            <w:pPr>
              <w:pStyle w:val="Heading7"/>
            </w:pPr>
            <w:proofErr w:type="spellStart"/>
            <w:r>
              <w:t>CAT</w:t>
            </w:r>
            <w:proofErr w:type="spellEnd"/>
          </w:p>
        </w:tc>
      </w:tr>
    </w:tbl>
    <w:p w:rsidR="00000000" w:rsidRDefault="00000000">
      <w:pPr>
        <w:tabs>
          <w:tab w:val="left" w:pos="0"/>
          <w:tab w:val="left" w:pos="567"/>
          <w:tab w:val="left" w:pos="1134"/>
          <w:tab w:val="left" w:pos="1701"/>
          <w:tab w:val="left" w:pos="2268"/>
          <w:tab w:val="left" w:pos="6237"/>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rPr>
          <w:trHeight w:val="2268"/>
        </w:trPr>
        <w:tc>
          <w:tcPr>
            <w:tcW w:w="1418" w:type="dxa"/>
            <w:tcBorders>
              <w:top w:val="nil"/>
              <w:left w:val="nil"/>
              <w:bottom w:val="single" w:sz="36" w:space="0" w:color="auto"/>
              <w:right w:val="nil"/>
            </w:tcBorders>
          </w:tcPr>
          <w:p w:rsidR="00000000" w:rsidRDefault="00000000">
            <w:pPr>
              <w:tabs>
                <w:tab w:val="left" w:pos="0"/>
                <w:tab w:val="left" w:pos="567"/>
                <w:tab w:val="left" w:pos="1134"/>
                <w:tab w:val="left" w:pos="1701"/>
                <w:tab w:val="left" w:pos="2268"/>
                <w:tab w:val="left" w:pos="6237"/>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567"/>
                <w:tab w:val="left" w:pos="1134"/>
                <w:tab w:val="left" w:pos="1701"/>
                <w:tab w:val="left" w:pos="2268"/>
                <w:tab w:val="left" w:pos="6237"/>
                <w:tab w:val="left" w:pos="7086"/>
              </w:tabs>
              <w:suppressAutoHyphens/>
              <w:spacing w:line="1" w:lineRule="exact"/>
              <w:ind w:left="30" w:right="270"/>
              <w:rPr>
                <w:vanish/>
                <w:sz w:val="20"/>
              </w:rPr>
            </w:pPr>
            <w:r>
              <w:rPr>
                <w:vanish/>
                <w:sz w:val="20"/>
              </w:rPr>
              <w:fldChar w:fldCharType="begin"/>
            </w:r>
            <w:r>
              <w:rPr>
                <w:vanish/>
                <w:sz w:val="20"/>
              </w:rPr>
              <w:instrText xml:space="preserve"> SEQ _endnote  \* ARABIC </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567"/>
                <w:tab w:val="left" w:pos="1134"/>
                <w:tab w:val="left" w:pos="1701"/>
                <w:tab w:val="left" w:pos="2268"/>
                <w:tab w:val="left" w:pos="6237"/>
                <w:tab w:val="left" w:pos="7086"/>
              </w:tabs>
              <w:suppressAutoHyphens/>
            </w:pPr>
          </w:p>
        </w:tc>
        <w:tc>
          <w:tcPr>
            <w:tcW w:w="5386" w:type="dxa"/>
            <w:tcBorders>
              <w:top w:val="nil"/>
              <w:left w:val="nil"/>
              <w:bottom w:val="single" w:sz="36" w:space="0" w:color="auto"/>
              <w:right w:val="nil"/>
            </w:tcBorders>
          </w:tcPr>
          <w:p w:rsidR="00000000" w:rsidRDefault="00000000">
            <w:pPr>
              <w:tabs>
                <w:tab w:val="left" w:pos="0"/>
                <w:tab w:val="left" w:pos="567"/>
                <w:tab w:val="left" w:pos="1134"/>
                <w:tab w:val="left" w:pos="1701"/>
                <w:tab w:val="left" w:pos="2268"/>
                <w:tab w:val="left" w:pos="6237"/>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567"/>
                <w:tab w:val="left" w:pos="1134"/>
                <w:tab w:val="left" w:pos="1701"/>
                <w:tab w:val="left" w:pos="2268"/>
                <w:tab w:val="left" w:pos="6237"/>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567"/>
                <w:tab w:val="left" w:pos="1134"/>
                <w:tab w:val="left" w:pos="1701"/>
                <w:tab w:val="left" w:pos="2268"/>
                <w:tab w:val="left" w:pos="6237"/>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567"/>
                <w:tab w:val="left" w:pos="1134"/>
                <w:tab w:val="left" w:pos="1701"/>
                <w:tab w:val="left" w:pos="2268"/>
                <w:tab w:val="left" w:pos="6237"/>
                <w:tab w:val="left" w:pos="7086"/>
              </w:tabs>
              <w:suppressAutoHyphens/>
              <w:spacing w:line="240" w:lineRule="auto"/>
              <w:ind w:right="29"/>
            </w:pPr>
            <w:r>
              <w:rPr>
                <w:b/>
                <w:sz w:val="30"/>
              </w:rPr>
              <w:t>обращения и наказания</w:t>
            </w:r>
          </w:p>
        </w:tc>
        <w:tc>
          <w:tcPr>
            <w:tcW w:w="2835" w:type="dxa"/>
            <w:tcBorders>
              <w:top w:val="nil"/>
              <w:left w:val="nil"/>
              <w:bottom w:val="single" w:sz="36" w:space="0" w:color="auto"/>
              <w:right w:val="nil"/>
            </w:tcBorders>
          </w:tcPr>
          <w:p w:rsidR="00000000" w:rsidRDefault="00000000">
            <w:pPr>
              <w:tabs>
                <w:tab w:val="left" w:pos="0"/>
                <w:tab w:val="left" w:pos="567"/>
                <w:tab w:val="left" w:pos="1134"/>
                <w:tab w:val="left" w:pos="1701"/>
                <w:tab w:val="left" w:pos="2268"/>
                <w:tab w:val="left" w:pos="6237"/>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567"/>
                <w:tab w:val="left" w:pos="1134"/>
                <w:tab w:val="left" w:pos="1701"/>
                <w:tab w:val="left" w:pos="2268"/>
                <w:tab w:val="left" w:pos="6237"/>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r>
              <w:rPr>
                <w:sz w:val="22"/>
              </w:rPr>
              <w:instrText xml:space="preserve"> FORMDROPDOWN </w:instrText>
            </w:r>
            <w:r>
              <w:fldChar w:fldCharType="end"/>
            </w:r>
          </w:p>
          <w:p w:rsidR="00000000" w:rsidRDefault="00000000">
            <w:pPr>
              <w:tabs>
                <w:tab w:val="left" w:pos="0"/>
                <w:tab w:val="left" w:pos="567"/>
                <w:tab w:val="left" w:pos="1134"/>
                <w:tab w:val="left" w:pos="1701"/>
                <w:tab w:val="left" w:pos="2268"/>
                <w:tab w:val="left" w:pos="6237"/>
                <w:tab w:val="left" w:pos="7086"/>
              </w:tabs>
              <w:suppressAutoHyphens/>
              <w:spacing w:line="216" w:lineRule="auto"/>
              <w:rPr>
                <w:sz w:val="22"/>
              </w:rPr>
            </w:pPr>
          </w:p>
          <w:p w:rsidR="00000000" w:rsidRDefault="00000000">
            <w:pPr>
              <w:tabs>
                <w:tab w:val="left" w:pos="0"/>
                <w:tab w:val="left" w:pos="567"/>
                <w:tab w:val="left" w:pos="1134"/>
                <w:tab w:val="left" w:pos="1701"/>
                <w:tab w:val="left" w:pos="2268"/>
                <w:tab w:val="left" w:pos="6237"/>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CAT/C/39/</w:t>
            </w:r>
            <w:proofErr w:type="spellStart"/>
            <w:r>
              <w:rPr>
                <w:sz w:val="22"/>
                <w:lang w:val="en-US"/>
              </w:rPr>
              <w:t>Add.</w:t>
            </w:r>
            <w:r>
              <w:rPr>
                <w:sz w:val="22"/>
              </w:rPr>
              <w:fldChar w:fldCharType="end"/>
            </w:r>
            <w:r>
              <w:rPr>
                <w:sz w:val="22"/>
                <w:lang w:val="en-US"/>
              </w:rPr>
              <w:t>4</w:t>
            </w:r>
            <w:proofErr w:type="spellEnd"/>
          </w:p>
          <w:p w:rsidR="00000000" w:rsidRDefault="00000000">
            <w:pPr>
              <w:tabs>
                <w:tab w:val="left" w:pos="0"/>
                <w:tab w:val="left" w:pos="567"/>
                <w:tab w:val="left" w:pos="1134"/>
                <w:tab w:val="left" w:pos="1701"/>
                <w:tab w:val="left" w:pos="2268"/>
                <w:tab w:val="left" w:pos="6237"/>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11 October 2002</w:t>
            </w:r>
            <w:r>
              <w:rPr>
                <w:sz w:val="22"/>
              </w:rPr>
              <w:fldChar w:fldCharType="end"/>
            </w:r>
          </w:p>
          <w:p w:rsidR="00000000" w:rsidRDefault="00000000">
            <w:pPr>
              <w:tabs>
                <w:tab w:val="left" w:pos="0"/>
                <w:tab w:val="left" w:pos="567"/>
                <w:tab w:val="left" w:pos="1134"/>
                <w:tab w:val="left" w:pos="1701"/>
                <w:tab w:val="left" w:pos="2268"/>
                <w:tab w:val="left" w:pos="6237"/>
                <w:tab w:val="left" w:pos="7086"/>
              </w:tabs>
              <w:suppressAutoHyphens/>
              <w:spacing w:line="216" w:lineRule="auto"/>
              <w:rPr>
                <w:sz w:val="22"/>
                <w:lang w:val="en-US"/>
              </w:rPr>
            </w:pPr>
          </w:p>
          <w:p w:rsidR="00000000" w:rsidRDefault="00000000">
            <w:pPr>
              <w:tabs>
                <w:tab w:val="left" w:pos="0"/>
                <w:tab w:val="left" w:pos="567"/>
                <w:tab w:val="left" w:pos="1134"/>
                <w:tab w:val="left" w:pos="1701"/>
                <w:tab w:val="left" w:pos="2268"/>
                <w:tab w:val="left" w:pos="6237"/>
                <w:tab w:val="left" w:pos="7086"/>
              </w:tabs>
              <w:suppressAutoHyphens/>
              <w:spacing w:line="216" w:lineRule="auto"/>
              <w:rPr>
                <w:sz w:val="22"/>
                <w:lang w:val="en-US"/>
              </w:rPr>
            </w:pPr>
            <w:r>
              <w:rPr>
                <w:sz w:val="22"/>
                <w:lang w:val="en-US"/>
              </w:rPr>
              <w:t>RUSSIAN</w:t>
            </w: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t>Original:  SPANISH</w:t>
            </w:r>
          </w:p>
          <w:p w:rsidR="00000000" w:rsidRDefault="00000000">
            <w:pPr>
              <w:tabs>
                <w:tab w:val="left" w:pos="0"/>
                <w:tab w:val="left" w:pos="567"/>
                <w:tab w:val="left" w:pos="1134"/>
                <w:tab w:val="left" w:pos="1701"/>
                <w:tab w:val="left" w:pos="2268"/>
                <w:tab w:val="left" w:pos="6237"/>
                <w:tab w:val="left" w:pos="7086"/>
              </w:tabs>
              <w:suppressAutoHyphens/>
              <w:spacing w:line="216" w:lineRule="auto"/>
              <w:ind w:left="29"/>
              <w:rPr>
                <w:sz w:val="22"/>
                <w:lang w:val="en-US"/>
              </w:rPr>
            </w:pPr>
          </w:p>
        </w:tc>
      </w:tr>
    </w:tbl>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pPr>
      <w:r>
        <w:t>КОМИТЕТ ПРОТИВ ПЫТОК</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jc w:val="center"/>
      </w:pPr>
      <w:r>
        <w:t>РАССМОТРЕНИЕ ДОКЛАДОВ, ПРЕДСТАВЛЕННЫХ ГОСУДАРСТВАМИ-УЧАСТНИКАМИ В СООТВЕТСТВИИ СО СТАТЬЕЙ 19 КОНВЕНЦИИ</w:t>
      </w:r>
    </w:p>
    <w:p w:rsidR="00000000" w:rsidRDefault="00000000">
      <w:pPr>
        <w:tabs>
          <w:tab w:val="left" w:pos="567"/>
          <w:tab w:val="left" w:pos="1134"/>
          <w:tab w:val="left" w:pos="1701"/>
          <w:tab w:val="left" w:pos="2268"/>
          <w:tab w:val="left" w:pos="6237"/>
        </w:tabs>
        <w:jc w:val="center"/>
      </w:pPr>
    </w:p>
    <w:p w:rsidR="00000000" w:rsidRDefault="00000000">
      <w:pPr>
        <w:tabs>
          <w:tab w:val="left" w:pos="567"/>
          <w:tab w:val="left" w:pos="1134"/>
          <w:tab w:val="left" w:pos="1701"/>
          <w:tab w:val="left" w:pos="2268"/>
          <w:tab w:val="left" w:pos="6237"/>
        </w:tabs>
        <w:jc w:val="center"/>
      </w:pPr>
      <w:r>
        <w:rPr>
          <w:u w:val="single"/>
        </w:rPr>
        <w:t>Третьи периодические доклады государств-участников</w:t>
      </w:r>
      <w:r>
        <w:t>,</w:t>
      </w:r>
    </w:p>
    <w:p w:rsidR="00000000" w:rsidRDefault="00000000">
      <w:pPr>
        <w:pStyle w:val="11"/>
      </w:pPr>
      <w:r>
        <w:t>подлежащие представлению в 1997 году</w:t>
      </w:r>
    </w:p>
    <w:p w:rsidR="00000000" w:rsidRDefault="00000000">
      <w:pPr>
        <w:pStyle w:val="11"/>
      </w:pPr>
    </w:p>
    <w:p w:rsidR="00000000" w:rsidRDefault="00000000">
      <w:pPr>
        <w:pStyle w:val="11"/>
        <w:tabs>
          <w:tab w:val="left" w:pos="567"/>
          <w:tab w:val="left" w:pos="1134"/>
          <w:tab w:val="left" w:pos="1701"/>
          <w:tab w:val="left" w:pos="2268"/>
          <w:tab w:val="left" w:pos="6237"/>
        </w:tabs>
      </w:pPr>
      <w:r>
        <w:t>Добавление</w:t>
      </w:r>
    </w:p>
    <w:p w:rsidR="00000000" w:rsidRDefault="00000000">
      <w:pPr>
        <w:tabs>
          <w:tab w:val="left" w:pos="567"/>
          <w:tab w:val="left" w:pos="1134"/>
          <w:tab w:val="left" w:pos="1701"/>
          <w:tab w:val="left" w:pos="2268"/>
          <w:tab w:val="left" w:pos="6237"/>
        </w:tabs>
        <w:jc w:val="center"/>
      </w:pPr>
    </w:p>
    <w:p w:rsidR="00000000" w:rsidRDefault="00000000">
      <w:pPr>
        <w:tabs>
          <w:tab w:val="left" w:pos="567"/>
          <w:tab w:val="left" w:pos="1134"/>
          <w:tab w:val="left" w:pos="1701"/>
          <w:tab w:val="left" w:pos="2268"/>
          <w:tab w:val="left" w:pos="6237"/>
        </w:tabs>
        <w:jc w:val="center"/>
      </w:pPr>
      <w:r>
        <w:t>КОЛУМБИЯ*</w:t>
      </w:r>
    </w:p>
    <w:p w:rsidR="00000000" w:rsidRDefault="00000000">
      <w:pPr>
        <w:tabs>
          <w:tab w:val="left" w:pos="567"/>
          <w:tab w:val="left" w:pos="1134"/>
          <w:tab w:val="left" w:pos="1701"/>
          <w:tab w:val="left" w:pos="2268"/>
          <w:tab w:val="left" w:pos="6237"/>
        </w:tabs>
        <w:jc w:val="center"/>
      </w:pPr>
    </w:p>
    <w:p w:rsidR="00000000" w:rsidRDefault="00000000">
      <w:pPr>
        <w:tabs>
          <w:tab w:val="left" w:pos="567"/>
          <w:tab w:val="left" w:pos="1134"/>
          <w:tab w:val="left" w:pos="1701"/>
          <w:tab w:val="left" w:pos="2268"/>
          <w:tab w:val="left" w:pos="6237"/>
        </w:tabs>
        <w:jc w:val="right"/>
      </w:pPr>
      <w:r>
        <w:t>[17 января 2002 года]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________________</w:t>
      </w:r>
    </w:p>
    <w:p w:rsidR="00000000" w:rsidRDefault="00000000">
      <w:pPr>
        <w:tabs>
          <w:tab w:val="left" w:pos="567"/>
          <w:tab w:val="left" w:pos="1134"/>
          <w:tab w:val="left" w:pos="1701"/>
          <w:tab w:val="left" w:pos="2268"/>
          <w:tab w:val="left" w:pos="6237"/>
        </w:tabs>
        <w:spacing w:line="240" w:lineRule="auto"/>
      </w:pPr>
    </w:p>
    <w:p w:rsidR="00000000" w:rsidRDefault="00000000">
      <w:pPr>
        <w:pStyle w:val="FootnoteText"/>
      </w:pPr>
      <w:r>
        <w:t>*</w:t>
      </w:r>
      <w:r>
        <w:tab/>
        <w:t xml:space="preserve">Первоначальный доклад, представленный правительством Колумбии, содержится в документе </w:t>
      </w:r>
      <w:r>
        <w:rPr>
          <w:lang w:val="en-US"/>
        </w:rPr>
        <w:t>CAT</w:t>
      </w:r>
      <w:r>
        <w:t>/</w:t>
      </w:r>
      <w:r>
        <w:rPr>
          <w:lang w:val="en-US"/>
        </w:rPr>
        <w:t>C</w:t>
      </w:r>
      <w:r>
        <w:t>/7/</w:t>
      </w:r>
      <w:r>
        <w:rPr>
          <w:lang w:val="en-US"/>
        </w:rPr>
        <w:t>Add</w:t>
      </w:r>
      <w:r>
        <w:t xml:space="preserve">.1;  информацию о его рассмотрении Комитетом см. в документах </w:t>
      </w:r>
      <w:r>
        <w:rPr>
          <w:lang w:val="en-US"/>
        </w:rPr>
        <w:t>CAT</w:t>
      </w:r>
      <w:r>
        <w:t>/</w:t>
      </w:r>
      <w:r>
        <w:rPr>
          <w:lang w:val="en-US"/>
        </w:rPr>
        <w:t>C</w:t>
      </w:r>
      <w:r>
        <w:t>/</w:t>
      </w:r>
      <w:r>
        <w:rPr>
          <w:lang w:val="en-US"/>
        </w:rPr>
        <w:t>SR</w:t>
      </w:r>
      <w:r>
        <w:t xml:space="preserve">.36 и 37 и в </w:t>
      </w:r>
      <w:r>
        <w:rPr>
          <w:u w:val="single"/>
        </w:rPr>
        <w:t>Официальных отчетах Генеральной Ассамблеи, сорок пятая сессия, дополнение № 44</w:t>
      </w:r>
      <w:r>
        <w:t xml:space="preserve"> (</w:t>
      </w:r>
      <w:r>
        <w:rPr>
          <w:lang w:val="en-US"/>
        </w:rPr>
        <w:t>A</w:t>
      </w:r>
      <w:r>
        <w:t>/45/44), пункты 313-340.</w:t>
      </w:r>
    </w:p>
    <w:p w:rsidR="00000000" w:rsidRDefault="00000000">
      <w:pPr>
        <w:pStyle w:val="FootnoteText"/>
      </w:pPr>
    </w:p>
    <w:p w:rsidR="00000000" w:rsidRDefault="00000000">
      <w:pPr>
        <w:pStyle w:val="FootnoteText"/>
      </w:pPr>
      <w:r>
        <w:tab/>
        <w:t xml:space="preserve">Второй периодический доклад содержится в документе </w:t>
      </w:r>
      <w:r>
        <w:rPr>
          <w:lang w:val="en-US"/>
        </w:rPr>
        <w:t>CAT</w:t>
      </w:r>
      <w:r>
        <w:t>/</w:t>
      </w:r>
      <w:r>
        <w:rPr>
          <w:lang w:val="en-US"/>
        </w:rPr>
        <w:t>C</w:t>
      </w:r>
      <w:r>
        <w:t>/20/</w:t>
      </w:r>
      <w:r>
        <w:rPr>
          <w:lang w:val="en-US"/>
        </w:rPr>
        <w:t>Add</w:t>
      </w:r>
      <w:r>
        <w:t xml:space="preserve">.4;  информацию о его рассмотрении Комитетом см. в документах </w:t>
      </w:r>
      <w:r>
        <w:rPr>
          <w:lang w:val="en-US"/>
        </w:rPr>
        <w:t>CAT</w:t>
      </w:r>
      <w:r>
        <w:t>/</w:t>
      </w:r>
      <w:r>
        <w:rPr>
          <w:lang w:val="en-US"/>
        </w:rPr>
        <w:t>C</w:t>
      </w:r>
      <w:r>
        <w:t>/</w:t>
      </w:r>
      <w:r>
        <w:rPr>
          <w:lang w:val="en-US"/>
        </w:rPr>
        <w:t>SR</w:t>
      </w:r>
      <w:r>
        <w:t xml:space="preserve">.238 и 239 и в </w:t>
      </w:r>
      <w:r>
        <w:rPr>
          <w:u w:val="single"/>
        </w:rPr>
        <w:t>Официальных отчетах Генеральной Ассамблеи, пятьдесят первая сессия, дополнение № 44</w:t>
      </w:r>
      <w:r>
        <w:t xml:space="preserve"> (</w:t>
      </w:r>
      <w:r>
        <w:rPr>
          <w:lang w:val="en-US"/>
        </w:rPr>
        <w:t>A</w:t>
      </w:r>
      <w:r>
        <w:t>/51/44), пункты 66</w:t>
      </w:r>
      <w:r>
        <w:noBreakHyphen/>
        <w:t>83.</w:t>
      </w:r>
    </w:p>
    <w:p w:rsidR="00000000" w:rsidRDefault="00000000">
      <w:pPr>
        <w:pStyle w:val="FootnoteText"/>
      </w:pPr>
    </w:p>
    <w:p w:rsidR="00000000" w:rsidRDefault="00000000">
      <w:pPr>
        <w:pStyle w:val="FootnoteText"/>
      </w:pPr>
      <w:r>
        <w:tab/>
        <w:t xml:space="preserve">Информация, представленная в соответствии со сводными руководящими принципами, касающимися начальной части докладов государств-участников, содержится в базовом документе </w:t>
      </w:r>
      <w:proofErr w:type="spellStart"/>
      <w:r>
        <w:rPr>
          <w:lang w:val="en-US"/>
        </w:rPr>
        <w:t>HRI</w:t>
      </w:r>
      <w:proofErr w:type="spellEnd"/>
      <w:r>
        <w:t>/</w:t>
      </w:r>
      <w:r>
        <w:rPr>
          <w:lang w:val="en-US"/>
        </w:rPr>
        <w:t>CORE</w:t>
      </w:r>
      <w:r>
        <w:t>/1/</w:t>
      </w:r>
      <w:r>
        <w:rPr>
          <w:lang w:val="en-US"/>
        </w:rPr>
        <w:t>Add</w:t>
      </w:r>
      <w:r>
        <w:t>.56/</w:t>
      </w:r>
      <w:r>
        <w:rPr>
          <w:lang w:val="en-US"/>
        </w:rPr>
        <w:t>Rev</w:t>
      </w:r>
      <w:r>
        <w:t>.1.</w:t>
      </w:r>
    </w:p>
    <w:p w:rsidR="00000000" w:rsidRDefault="00000000">
      <w:pPr>
        <w:pStyle w:val="FootnoteText"/>
      </w:pPr>
    </w:p>
    <w:p w:rsidR="00000000" w:rsidRDefault="00000000">
      <w:pPr>
        <w:pStyle w:val="FootnoteText"/>
      </w:pPr>
      <w:r>
        <w:tab/>
        <w:t>С приложениями к настоящему докладу, представленными правительством Колумбии, можно ознакомится в архивах секретариата.</w:t>
      </w:r>
    </w:p>
    <w:p w:rsidR="00000000" w:rsidRDefault="00000000">
      <w:pPr>
        <w:pStyle w:val="FootnoteText"/>
        <w:jc w:val="center"/>
      </w:pPr>
      <w:r>
        <w:br w:type="page"/>
        <w:t>СОДЕРЖАНИЕ</w:t>
      </w:r>
    </w:p>
    <w:p w:rsidR="00000000" w:rsidRDefault="00000000">
      <w:pPr>
        <w:pStyle w:val="FootnoteText"/>
        <w:jc w:val="center"/>
      </w:pPr>
    </w:p>
    <w:p w:rsidR="00000000" w:rsidRDefault="00000000">
      <w:pPr>
        <w:pStyle w:val="FootnoteText"/>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center" w:pos="8039"/>
          <w:tab w:val="center" w:pos="9122"/>
        </w:tabs>
      </w:pPr>
    </w:p>
    <w:p w:rsidR="00000000" w:rsidRDefault="00000000">
      <w:pPr>
        <w:pStyle w:val="FootnoteText"/>
        <w:tabs>
          <w:tab w:val="clear" w:pos="6237"/>
          <w:tab w:val="decimal" w:pos="567"/>
          <w:tab w:val="right" w:leader="dot" w:pos="7172"/>
          <w:tab w:val="center" w:pos="8039"/>
          <w:tab w:val="center" w:pos="9122"/>
        </w:tabs>
        <w:spacing w:line="288" w:lineRule="auto"/>
      </w:pPr>
      <w:r>
        <w:tab/>
      </w:r>
      <w:r>
        <w:rPr>
          <w:lang w:val="en-US"/>
        </w:rPr>
        <w:t>I</w:t>
      </w:r>
      <w:r>
        <w:t>.</w:t>
      </w:r>
      <w:r>
        <w:tab/>
        <w:t>ОБЩИЕ ПОЛОЖЕНИЯ</w:t>
      </w:r>
      <w:r>
        <w:tab/>
      </w:r>
      <w:r>
        <w:tab/>
        <w:t xml:space="preserve"> 1 - 30</w:t>
      </w:r>
      <w:r>
        <w:tab/>
        <w:t>6</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1701"/>
          <w:tab w:val="clear" w:pos="6237"/>
          <w:tab w:val="decimal" w:pos="567"/>
          <w:tab w:val="right" w:leader="dot" w:pos="7172"/>
          <w:tab w:val="center" w:pos="8039"/>
          <w:tab w:val="center" w:pos="9122"/>
        </w:tabs>
        <w:spacing w:line="288" w:lineRule="auto"/>
      </w:pPr>
      <w:r>
        <w:tab/>
      </w:r>
      <w:r>
        <w:rPr>
          <w:lang w:val="en-US"/>
        </w:rPr>
        <w:t>II</w:t>
      </w:r>
      <w:r>
        <w:t>.</w:t>
      </w:r>
      <w:r>
        <w:tab/>
        <w:t xml:space="preserve">ЗАКОНОДАТЕЛЬНЫЕ, АДМИНИСТРАТИВНЫЕ И </w:t>
      </w:r>
    </w:p>
    <w:p w:rsidR="00000000" w:rsidRDefault="00000000">
      <w:pPr>
        <w:pStyle w:val="FootnoteText"/>
        <w:tabs>
          <w:tab w:val="clear" w:pos="1701"/>
          <w:tab w:val="clear" w:pos="6237"/>
          <w:tab w:val="decimal" w:pos="567"/>
          <w:tab w:val="right" w:leader="dot" w:pos="7172"/>
          <w:tab w:val="center" w:pos="8039"/>
          <w:tab w:val="center" w:pos="9122"/>
        </w:tabs>
        <w:spacing w:line="288" w:lineRule="auto"/>
      </w:pPr>
      <w:r>
        <w:tab/>
      </w:r>
      <w:r>
        <w:tab/>
        <w:t xml:space="preserve">ДРУГИЕ МЕРЫ ПО ОБЕСПЕЧЕНИЮ ПРАВ ЧЕЛОВЕКА, </w:t>
      </w:r>
    </w:p>
    <w:p w:rsidR="00000000" w:rsidRDefault="00000000">
      <w:pPr>
        <w:pStyle w:val="FootnoteText"/>
        <w:tabs>
          <w:tab w:val="clear" w:pos="1701"/>
          <w:tab w:val="clear" w:pos="6237"/>
          <w:tab w:val="decimal" w:pos="567"/>
          <w:tab w:val="right" w:leader="dot" w:pos="7172"/>
          <w:tab w:val="center" w:pos="8039"/>
          <w:tab w:val="center" w:pos="9122"/>
        </w:tabs>
        <w:spacing w:line="288" w:lineRule="auto"/>
      </w:pPr>
      <w:r>
        <w:tab/>
      </w:r>
      <w:r>
        <w:tab/>
        <w:t xml:space="preserve">ИМЕЮЩИЕ ОТНОШЕНИЕ К ПРОБЛЕМЕ ПЫТОК И </w:t>
      </w:r>
    </w:p>
    <w:p w:rsidR="00000000" w:rsidRDefault="00000000">
      <w:pPr>
        <w:pStyle w:val="FootnoteText"/>
        <w:tabs>
          <w:tab w:val="clear" w:pos="1701"/>
          <w:tab w:val="clear" w:pos="6237"/>
          <w:tab w:val="decimal" w:pos="567"/>
          <w:tab w:val="right" w:leader="dot" w:pos="7172"/>
          <w:tab w:val="center" w:pos="8039"/>
          <w:tab w:val="center" w:pos="9122"/>
        </w:tabs>
        <w:spacing w:line="288" w:lineRule="auto"/>
        <w:rPr>
          <w:caps/>
        </w:rPr>
      </w:pPr>
      <w:r>
        <w:tab/>
      </w:r>
      <w:r>
        <w:tab/>
      </w:r>
      <w:r>
        <w:rPr>
          <w:caps/>
        </w:rPr>
        <w:t xml:space="preserve">других жестоких, бесчеловечных или </w:t>
      </w:r>
    </w:p>
    <w:p w:rsidR="00000000" w:rsidRDefault="00000000">
      <w:pPr>
        <w:pStyle w:val="FootnoteText"/>
        <w:tabs>
          <w:tab w:val="clear" w:pos="1701"/>
          <w:tab w:val="clear" w:pos="6237"/>
          <w:tab w:val="decimal" w:pos="567"/>
          <w:tab w:val="right" w:leader="dot" w:pos="7172"/>
          <w:tab w:val="center" w:pos="8039"/>
          <w:tab w:val="center" w:pos="9122"/>
        </w:tabs>
        <w:spacing w:line="288" w:lineRule="auto"/>
        <w:rPr>
          <w:caps/>
        </w:rPr>
      </w:pPr>
      <w:r>
        <w:rPr>
          <w:caps/>
        </w:rPr>
        <w:tab/>
      </w:r>
      <w:r>
        <w:rPr>
          <w:caps/>
        </w:rPr>
        <w:tab/>
        <w:t xml:space="preserve">унижающих достоинство видов обращения </w:t>
      </w:r>
    </w:p>
    <w:p w:rsidR="00000000" w:rsidRDefault="00000000">
      <w:pPr>
        <w:pStyle w:val="FootnoteText"/>
        <w:tabs>
          <w:tab w:val="clear" w:pos="1701"/>
          <w:tab w:val="clear" w:pos="6237"/>
          <w:tab w:val="decimal" w:pos="567"/>
          <w:tab w:val="right" w:leader="dot" w:pos="7172"/>
          <w:tab w:val="center" w:pos="8039"/>
          <w:tab w:val="center" w:pos="9122"/>
        </w:tabs>
        <w:spacing w:line="288" w:lineRule="auto"/>
      </w:pPr>
      <w:r>
        <w:rPr>
          <w:caps/>
        </w:rPr>
        <w:tab/>
      </w:r>
      <w:r>
        <w:rPr>
          <w:caps/>
        </w:rPr>
        <w:tab/>
        <w:t>и наказания</w:t>
      </w:r>
      <w:r>
        <w:t xml:space="preserve"> (Статьи 1, 2, 4 и 16 Конвенции)</w:t>
      </w:r>
      <w:r>
        <w:tab/>
      </w:r>
      <w:r>
        <w:tab/>
        <w:t xml:space="preserve">  31 - 194</w:t>
      </w:r>
      <w:r>
        <w:tab/>
        <w:t>14</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t>А.</w:t>
      </w:r>
      <w:r>
        <w:tab/>
        <w:t xml:space="preserve">Борьба против всех незаконных вооруженных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формирований</w:t>
      </w:r>
      <w:r>
        <w:tab/>
      </w:r>
      <w:r>
        <w:tab/>
        <w:t>45 - 65</w:t>
      </w:r>
      <w:r>
        <w:tab/>
        <w:t>19</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Борьба с похищениями</w:t>
      </w:r>
      <w:r>
        <w:tab/>
      </w:r>
      <w:r>
        <w:tab/>
        <w:t>58 - 61</w:t>
      </w:r>
      <w:r>
        <w:tab/>
        <w:t>22</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 xml:space="preserve">Укрепление вооруженных сил и повышение их роли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 xml:space="preserve">в противостоянии незаконным вооруженным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формированиям</w:t>
      </w:r>
      <w:r>
        <w:tab/>
      </w:r>
      <w:r>
        <w:tab/>
        <w:t>62 - 65</w:t>
      </w:r>
      <w:r>
        <w:tab/>
        <w:t>23</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rPr>
          <w:lang w:val="en-US"/>
        </w:rPr>
        <w:t>B</w:t>
      </w:r>
      <w:r>
        <w:t>.</w:t>
      </w:r>
      <w:r>
        <w:tab/>
        <w:t xml:space="preserve">Защита борцов за права человека и лиц, которые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являются объектами угрозы</w:t>
      </w:r>
      <w:r>
        <w:tab/>
      </w:r>
      <w:r>
        <w:tab/>
        <w:t>66 - 77</w:t>
      </w:r>
      <w:r>
        <w:tab/>
        <w:t>24</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t>C.</w:t>
      </w:r>
      <w:r>
        <w:tab/>
        <w:t xml:space="preserve">Отправление правосудия и борьба с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безнаказанностью</w:t>
      </w:r>
      <w:r>
        <w:tab/>
      </w:r>
      <w:r>
        <w:tab/>
        <w:t>78 - 95</w:t>
      </w:r>
      <w:r>
        <w:tab/>
        <w:t>30</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rPr>
          <w:lang w:val="en-US"/>
        </w:rPr>
        <w:t>D</w:t>
      </w:r>
      <w:r>
        <w:t>.</w:t>
      </w:r>
      <w:r>
        <w:tab/>
        <w:t>Конкретные меры, обеспечивающие применение</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норм международного гуманитарного права</w:t>
      </w:r>
      <w:r>
        <w:tab/>
      </w:r>
      <w:r>
        <w:tab/>
        <w:t>96 - 102</w:t>
      </w:r>
      <w:r>
        <w:tab/>
        <w:t>35</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t>E.</w:t>
      </w:r>
      <w:r>
        <w:tab/>
        <w:t xml:space="preserve">Помощь населению, перемещенному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насильственным образом</w:t>
      </w:r>
      <w:r>
        <w:tab/>
      </w:r>
      <w:r>
        <w:tab/>
        <w:t>103 - 113</w:t>
      </w:r>
      <w:r>
        <w:tab/>
        <w:t>37</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t>F.</w:t>
      </w:r>
      <w:r>
        <w:tab/>
        <w:t>Законодательные меры</w:t>
      </w:r>
      <w:r>
        <w:tab/>
      </w:r>
      <w:r>
        <w:tab/>
        <w:t>114 - 191</w:t>
      </w:r>
      <w:r>
        <w:tab/>
        <w:t>41</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Квалификация преступлений, связанных с геноцидом,</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 xml:space="preserve">насильственным исчезновением, принудительным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 xml:space="preserve">перемещением и пытками - Закон № 589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от 2000 года</w:t>
      </w:r>
      <w:r>
        <w:tab/>
      </w:r>
      <w:r>
        <w:tab/>
        <w:t>114 - 122</w:t>
      </w:r>
      <w:r>
        <w:tab/>
        <w:t>41</w:t>
      </w:r>
    </w:p>
    <w:p w:rsidR="00000000" w:rsidRDefault="00000000">
      <w:pPr>
        <w:pStyle w:val="FootnoteText"/>
        <w:spacing w:line="288" w:lineRule="auto"/>
        <w:jc w:val="center"/>
      </w:pPr>
      <w:r>
        <w:t>СОДЕРЖАНИЕ (</w:t>
      </w:r>
      <w:r>
        <w:rPr>
          <w:u w:val="single"/>
        </w:rPr>
        <w:t>продолжение</w:t>
      </w:r>
      <w:r>
        <w:t>)</w:t>
      </w:r>
    </w:p>
    <w:p w:rsidR="00000000" w:rsidRDefault="00000000">
      <w:pPr>
        <w:pStyle w:val="FootnoteText"/>
        <w:spacing w:line="288" w:lineRule="auto"/>
        <w:jc w:val="center"/>
      </w:pPr>
    </w:p>
    <w:p w:rsidR="00000000" w:rsidRDefault="00000000">
      <w:pPr>
        <w:pStyle w:val="FootnoteText"/>
        <w:tabs>
          <w:tab w:val="clear" w:pos="6237"/>
          <w:tab w:val="center" w:pos="8039"/>
          <w:tab w:val="center" w:pos="9122"/>
        </w:tab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 xml:space="preserve">Реформа системы военной уголовной юстиции -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Закон № 522 от 12 августа 1999 года</w:t>
      </w:r>
      <w:r>
        <w:tab/>
      </w:r>
      <w:r>
        <w:tab/>
        <w:t>123 - 128</w:t>
      </w:r>
      <w:r>
        <w:tab/>
        <w:t>43</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Военная юрисдикция</w:t>
      </w:r>
      <w:r>
        <w:tab/>
      </w:r>
      <w:r>
        <w:tab/>
        <w:t>129 - 136</w:t>
      </w:r>
      <w:r>
        <w:tab/>
        <w:t>44</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 xml:space="preserve">Функционирование системы военной уголовной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юстиции</w:t>
      </w:r>
      <w:r>
        <w:tab/>
      </w:r>
      <w:r>
        <w:tab/>
        <w:t>137 - 165</w:t>
      </w:r>
      <w:r>
        <w:tab/>
        <w:t>46</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r>
      <w:proofErr w:type="spellStart"/>
      <w:r>
        <w:t>Непривлечение</w:t>
      </w:r>
      <w:proofErr w:type="spellEnd"/>
      <w:r>
        <w:t xml:space="preserve"> несовершеннолетних к военной</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службе - Закон № 548 от декабря 1999 года</w:t>
      </w:r>
      <w:r>
        <w:tab/>
      </w:r>
      <w:r>
        <w:tab/>
        <w:t>166</w:t>
      </w:r>
      <w:r>
        <w:tab/>
        <w:t>53</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Присоединение к Конвенции о запрещении</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применения, накопления запасов, производства и</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 xml:space="preserve">передачи противопехотных мин и об их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уничтожении - Закон № 254 от января 2000 года</w:t>
      </w:r>
      <w:r>
        <w:tab/>
      </w:r>
      <w:r>
        <w:tab/>
        <w:t>167 - 168</w:t>
      </w:r>
      <w:r>
        <w:tab/>
        <w:t>54</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 xml:space="preserve">Новый Уголовный кодекс - Закон № 599 от июля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2000 года (действует с 24 июля 2001 года)</w:t>
      </w:r>
      <w:r>
        <w:tab/>
      </w:r>
      <w:r>
        <w:tab/>
        <w:t>169 - 175</w:t>
      </w:r>
      <w:r>
        <w:tab/>
        <w:t>54</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 xml:space="preserve">Новый Уголовно-процессуальный кодекс -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 xml:space="preserve">Закон № 600 от июля 2000 года (действует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r>
      <w:r>
        <w:tab/>
        <w:t>с 24 июля 2001 года)</w:t>
      </w:r>
      <w:r>
        <w:tab/>
      </w:r>
      <w:r>
        <w:tab/>
        <w:t>176 - 181</w:t>
      </w:r>
      <w:r>
        <w:tab/>
        <w:t>55</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rPr>
          <w:snapToGrid w:val="0"/>
        </w:rPr>
      </w:pPr>
      <w:r>
        <w:tab/>
      </w:r>
      <w:r>
        <w:tab/>
      </w:r>
      <w:r>
        <w:tab/>
      </w:r>
      <w:r>
        <w:rPr>
          <w:snapToGrid w:val="0"/>
        </w:rPr>
        <w:t>Статут Международного уголовного суда</w:t>
      </w:r>
      <w:r>
        <w:rPr>
          <w:snapToGrid w:val="0"/>
        </w:rPr>
        <w:tab/>
      </w:r>
      <w:r>
        <w:rPr>
          <w:snapToGrid w:val="0"/>
        </w:rPr>
        <w:tab/>
        <w:t>182 - 184</w:t>
      </w:r>
      <w:r>
        <w:rPr>
          <w:snapToGrid w:val="0"/>
        </w:rPr>
        <w:tab/>
        <w:t>57</w:t>
      </w:r>
    </w:p>
    <w:p w:rsidR="00000000" w:rsidRDefault="00000000">
      <w:pPr>
        <w:pStyle w:val="FootnoteText"/>
        <w:tabs>
          <w:tab w:val="clear" w:pos="6237"/>
          <w:tab w:val="decimal" w:pos="567"/>
          <w:tab w:val="right" w:leader="dot" w:pos="7172"/>
          <w:tab w:val="center" w:pos="8039"/>
          <w:tab w:val="center" w:pos="9122"/>
        </w:tabs>
        <w:spacing w:line="288" w:lineRule="auto"/>
        <w:rPr>
          <w:snapToGrid w:val="0"/>
        </w:rPr>
      </w:pPr>
    </w:p>
    <w:p w:rsidR="00000000" w:rsidRDefault="00000000">
      <w:pPr>
        <w:pStyle w:val="FootnoteText"/>
        <w:tabs>
          <w:tab w:val="clear" w:pos="6237"/>
          <w:tab w:val="decimal" w:pos="567"/>
          <w:tab w:val="right" w:leader="dot" w:pos="7172"/>
          <w:tab w:val="center" w:pos="8039"/>
          <w:tab w:val="center" w:pos="9122"/>
        </w:tabs>
        <w:spacing w:line="288" w:lineRule="auto"/>
        <w:rPr>
          <w:rFonts w:eastAsia="MS Mincho"/>
        </w:rPr>
      </w:pPr>
      <w:r>
        <w:rPr>
          <w:snapToGrid w:val="0"/>
        </w:rPr>
        <w:tab/>
      </w:r>
      <w:r>
        <w:rPr>
          <w:snapToGrid w:val="0"/>
        </w:rPr>
        <w:tab/>
      </w:r>
      <w:r>
        <w:rPr>
          <w:snapToGrid w:val="0"/>
        </w:rPr>
        <w:tab/>
      </w:r>
      <w:r>
        <w:rPr>
          <w:rFonts w:eastAsia="MS Mincho"/>
        </w:rPr>
        <w:t xml:space="preserve">Проект закона о присоединении к Межамериканской </w:t>
      </w:r>
    </w:p>
    <w:p w:rsidR="00000000" w:rsidRDefault="00000000">
      <w:pPr>
        <w:pStyle w:val="FootnoteText"/>
        <w:tabs>
          <w:tab w:val="clear" w:pos="6237"/>
          <w:tab w:val="decimal" w:pos="567"/>
          <w:tab w:val="right" w:leader="dot" w:pos="7172"/>
          <w:tab w:val="center" w:pos="8039"/>
          <w:tab w:val="center" w:pos="9122"/>
        </w:tabs>
        <w:spacing w:line="288" w:lineRule="auto"/>
        <w:rPr>
          <w:rFonts w:eastAsia="MS Mincho"/>
        </w:rPr>
      </w:pPr>
      <w:r>
        <w:rPr>
          <w:rFonts w:eastAsia="MS Mincho"/>
        </w:rPr>
        <w:tab/>
      </w:r>
      <w:r>
        <w:rPr>
          <w:rFonts w:eastAsia="MS Mincho"/>
        </w:rPr>
        <w:tab/>
      </w:r>
      <w:r>
        <w:rPr>
          <w:rFonts w:eastAsia="MS Mincho"/>
        </w:rPr>
        <w:tab/>
        <w:t>конвенции о насильственном исчезновении лиц</w:t>
      </w:r>
      <w:r>
        <w:rPr>
          <w:rFonts w:eastAsia="MS Mincho"/>
        </w:rPr>
        <w:tab/>
      </w:r>
      <w:r>
        <w:rPr>
          <w:rFonts w:eastAsia="MS Mincho"/>
        </w:rPr>
        <w:tab/>
        <w:t>185 - 187</w:t>
      </w:r>
      <w:r>
        <w:rPr>
          <w:rFonts w:eastAsia="MS Mincho"/>
        </w:rPr>
        <w:tab/>
        <w:t>57</w:t>
      </w:r>
    </w:p>
    <w:p w:rsidR="00000000" w:rsidRDefault="00000000">
      <w:pPr>
        <w:pStyle w:val="FootnoteText"/>
        <w:tabs>
          <w:tab w:val="clear" w:pos="6237"/>
          <w:tab w:val="decimal" w:pos="567"/>
          <w:tab w:val="right" w:leader="dot" w:pos="7172"/>
          <w:tab w:val="center" w:pos="8039"/>
          <w:tab w:val="center" w:pos="9122"/>
        </w:tabs>
        <w:spacing w:line="288" w:lineRule="auto"/>
        <w:rPr>
          <w:rFonts w:eastAsia="MS Mincho"/>
        </w:rPr>
      </w:pPr>
    </w:p>
    <w:p w:rsidR="00000000" w:rsidRDefault="00000000">
      <w:pPr>
        <w:pStyle w:val="FootnoteText"/>
        <w:tabs>
          <w:tab w:val="clear" w:pos="6237"/>
          <w:tab w:val="decimal" w:pos="567"/>
          <w:tab w:val="right" w:leader="dot" w:pos="7172"/>
          <w:tab w:val="center" w:pos="8039"/>
          <w:tab w:val="center" w:pos="9122"/>
        </w:tabs>
        <w:spacing w:line="288" w:lineRule="auto"/>
      </w:pPr>
      <w:r>
        <w:rPr>
          <w:rFonts w:eastAsia="MS Mincho"/>
        </w:rPr>
        <w:tab/>
      </w:r>
      <w:r>
        <w:rPr>
          <w:rFonts w:eastAsia="MS Mincho"/>
        </w:rPr>
        <w:tab/>
      </w:r>
      <w:r>
        <w:rPr>
          <w:rFonts w:eastAsia="MS Mincho"/>
        </w:rPr>
        <w:tab/>
        <w:t>Проект Единого дисциплинарного кодекса</w:t>
      </w:r>
      <w:r>
        <w:rPr>
          <w:rFonts w:eastAsia="MS Mincho"/>
        </w:rPr>
        <w:tab/>
      </w:r>
      <w:r>
        <w:rPr>
          <w:rFonts w:eastAsia="MS Mincho"/>
        </w:rPr>
        <w:tab/>
        <w:t>188 - 191</w:t>
      </w:r>
      <w:r>
        <w:rPr>
          <w:rFonts w:eastAsia="MS Mincho"/>
        </w:rPr>
        <w:tab/>
        <w:t>58</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t>G.</w:t>
      </w:r>
      <w:r>
        <w:tab/>
        <w:t>Другие механизмы политики защиты прав человека</w:t>
      </w:r>
      <w:r>
        <w:tab/>
      </w:r>
      <w:r>
        <w:tab/>
        <w:t>192 - 194</w:t>
      </w:r>
      <w:r>
        <w:tab/>
        <w:t>58</w:t>
      </w:r>
    </w:p>
    <w:p w:rsidR="00000000" w:rsidRDefault="00000000">
      <w:pPr>
        <w:pStyle w:val="FootnoteText"/>
        <w:tabs>
          <w:tab w:val="clear" w:pos="6237"/>
          <w:tab w:val="decimal" w:pos="567"/>
          <w:tab w:val="right" w:leader="dot" w:pos="7172"/>
          <w:tab w:val="center" w:pos="8039"/>
          <w:tab w:val="center" w:pos="9122"/>
        </w:tabs>
        <w:jc w:val="center"/>
      </w:pPr>
      <w:r>
        <w:br w:type="page"/>
        <w:t>СОДЕРЖАНИЕ (</w:t>
      </w:r>
      <w:r>
        <w:rPr>
          <w:u w:val="single"/>
        </w:rPr>
        <w:t>продолжение</w:t>
      </w:r>
      <w:r>
        <w:t>)</w:t>
      </w:r>
    </w:p>
    <w:p w:rsidR="00000000" w:rsidRDefault="00000000">
      <w:pPr>
        <w:pStyle w:val="FootnoteText"/>
        <w:jc w:val="center"/>
      </w:pPr>
    </w:p>
    <w:p w:rsidR="00000000" w:rsidRDefault="00000000">
      <w:pPr>
        <w:pStyle w:val="FootnoteText"/>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enter" w:pos="3674"/>
        </w:tabs>
        <w:spacing w:line="240" w:lineRule="auto"/>
      </w:pPr>
    </w:p>
    <w:p w:rsidR="00000000" w:rsidRDefault="00000000">
      <w:pPr>
        <w:tabs>
          <w:tab w:val="center" w:pos="3674"/>
        </w:tabs>
        <w:ind w:left="1134" w:hanging="1134"/>
      </w:pPr>
      <w:r>
        <w:t xml:space="preserve">  </w:t>
      </w:r>
      <w:r>
        <w:rPr>
          <w:lang w:val="en-US"/>
        </w:rPr>
        <w:t>III</w:t>
      </w:r>
      <w:r>
        <w:t>.</w:t>
      </w:r>
      <w:r>
        <w:tab/>
      </w:r>
      <w:r>
        <w:tab/>
        <w:t xml:space="preserve">ЗАКОНОДАТЕЛЬНЫЕ И ИНЫЕ МЕРЫ, </w:t>
      </w:r>
    </w:p>
    <w:p w:rsidR="00000000" w:rsidRDefault="00000000">
      <w:pPr>
        <w:tabs>
          <w:tab w:val="center" w:pos="3674"/>
        </w:tabs>
        <w:ind w:left="1134" w:hanging="1134"/>
      </w:pPr>
      <w:r>
        <w:tab/>
      </w:r>
      <w:r>
        <w:tab/>
        <w:t xml:space="preserve">ЗАПРЕЩАЮЩИЕ ВЫСЫЛКУ, ВОЗВРАЩЕНИЕ ИЛИ </w:t>
      </w:r>
    </w:p>
    <w:p w:rsidR="00000000" w:rsidRDefault="00000000">
      <w:pPr>
        <w:tabs>
          <w:tab w:val="center" w:pos="3674"/>
        </w:tabs>
        <w:ind w:left="1134" w:hanging="1134"/>
      </w:pPr>
      <w:r>
        <w:tab/>
      </w:r>
      <w:r>
        <w:tab/>
        <w:t xml:space="preserve">ЭКСТРАДИЦИЮ ЛИЦ, КОТОРЫМ УГРОЖАЕТ </w:t>
      </w:r>
    </w:p>
    <w:p w:rsidR="00000000" w:rsidRDefault="00000000">
      <w:pPr>
        <w:tabs>
          <w:tab w:val="center" w:pos="3674"/>
        </w:tabs>
        <w:ind w:left="1134" w:hanging="1134"/>
      </w:pPr>
      <w:r>
        <w:tab/>
      </w:r>
      <w:r>
        <w:tab/>
        <w:t xml:space="preserve">ОПАСНОСТЬ БЫТЬ ПОДВЕРГНУТЫМ ПЫТКАМ; </w:t>
      </w:r>
    </w:p>
    <w:p w:rsidR="00000000" w:rsidRDefault="00000000">
      <w:pPr>
        <w:tabs>
          <w:tab w:val="center" w:pos="3674"/>
        </w:tabs>
        <w:ind w:left="1134" w:hanging="1134"/>
      </w:pPr>
      <w:r>
        <w:tab/>
      </w:r>
      <w:r>
        <w:tab/>
        <w:t>ЮРИСДИКЦИЯ;  МЕЖДУНАРОДНЫЕ ДОГОВОРЫ</w:t>
      </w:r>
    </w:p>
    <w:p w:rsidR="00000000" w:rsidRDefault="00000000">
      <w:pPr>
        <w:tabs>
          <w:tab w:val="center" w:pos="3674"/>
        </w:tabs>
        <w:ind w:left="1134" w:hanging="1134"/>
      </w:pPr>
      <w:r>
        <w:tab/>
      </w:r>
      <w:r>
        <w:tab/>
        <w:t xml:space="preserve">И ВЗАИМНАЯ </w:t>
      </w:r>
      <w:r>
        <w:tab/>
        <w:t xml:space="preserve">СУДЕБНАЯ ПОМОЩЬ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t>(Статьи 3, 5, 6, 7, 8 и 9 Конвенции)</w:t>
      </w:r>
      <w:r>
        <w:tab/>
      </w:r>
      <w:r>
        <w:tab/>
        <w:t>195 - 247</w:t>
      </w:r>
      <w:r>
        <w:tab/>
        <w:t>60</w:t>
      </w:r>
    </w:p>
    <w:p w:rsidR="00000000" w:rsidRDefault="00000000">
      <w:pPr>
        <w:pStyle w:val="FootnoteText"/>
        <w:tabs>
          <w:tab w:val="clear" w:pos="6237"/>
          <w:tab w:val="decimal" w:pos="567"/>
          <w:tab w:val="right" w:leader="dot" w:pos="7172"/>
          <w:tab w:val="center" w:pos="8039"/>
          <w:tab w:val="center" w:pos="9122"/>
        </w:tabs>
        <w:spacing w:line="264" w:lineRule="auto"/>
      </w:pPr>
    </w:p>
    <w:p w:rsidR="00000000" w:rsidRDefault="00000000">
      <w:pPr>
        <w:pStyle w:val="FootnoteText"/>
        <w:tabs>
          <w:tab w:val="clear" w:pos="6237"/>
          <w:tab w:val="decimal" w:pos="567"/>
          <w:tab w:val="right" w:leader="dot" w:pos="7172"/>
          <w:tab w:val="center" w:pos="8039"/>
          <w:tab w:val="center" w:pos="9122"/>
        </w:tabs>
        <w:spacing w:line="264" w:lineRule="auto"/>
      </w:pPr>
      <w:r>
        <w:tab/>
      </w:r>
      <w:r>
        <w:tab/>
        <w:t>Экстрадиция</w:t>
      </w:r>
      <w:r>
        <w:tab/>
      </w:r>
      <w:r>
        <w:tab/>
        <w:t>195 - 203</w:t>
      </w:r>
      <w:r>
        <w:tab/>
        <w:t>60</w:t>
      </w:r>
    </w:p>
    <w:p w:rsidR="00000000" w:rsidRDefault="00000000">
      <w:pPr>
        <w:pStyle w:val="FootnoteText"/>
        <w:tabs>
          <w:tab w:val="clear" w:pos="6237"/>
          <w:tab w:val="decimal" w:pos="567"/>
          <w:tab w:val="right" w:leader="dot" w:pos="7172"/>
          <w:tab w:val="center" w:pos="8039"/>
          <w:tab w:val="center" w:pos="9122"/>
        </w:tabs>
        <w:spacing w:line="264" w:lineRule="auto"/>
      </w:pPr>
    </w:p>
    <w:p w:rsidR="00000000" w:rsidRDefault="00000000">
      <w:pPr>
        <w:pStyle w:val="FootnoteText"/>
        <w:tabs>
          <w:tab w:val="clear" w:pos="6237"/>
          <w:tab w:val="decimal" w:pos="567"/>
          <w:tab w:val="right" w:leader="dot" w:pos="7172"/>
          <w:tab w:val="center" w:pos="8039"/>
          <w:tab w:val="center" w:pos="9122"/>
        </w:tabs>
        <w:spacing w:line="264" w:lineRule="auto"/>
      </w:pPr>
      <w:r>
        <w:tab/>
      </w:r>
      <w:r>
        <w:tab/>
        <w:t>Процедурные аспекты</w:t>
      </w:r>
      <w:r>
        <w:tab/>
      </w:r>
      <w:r>
        <w:tab/>
        <w:t>204 - 234</w:t>
      </w:r>
      <w:r>
        <w:tab/>
        <w:t>61</w:t>
      </w:r>
    </w:p>
    <w:p w:rsidR="00000000" w:rsidRDefault="00000000">
      <w:pPr>
        <w:pStyle w:val="FootnoteText"/>
        <w:tabs>
          <w:tab w:val="clear" w:pos="6237"/>
          <w:tab w:val="decimal" w:pos="567"/>
          <w:tab w:val="right" w:leader="dot" w:pos="7172"/>
          <w:tab w:val="center" w:pos="8039"/>
          <w:tab w:val="center" w:pos="9122"/>
        </w:tabs>
        <w:spacing w:line="264" w:lineRule="auto"/>
      </w:pPr>
    </w:p>
    <w:p w:rsidR="00000000" w:rsidRDefault="00000000">
      <w:pPr>
        <w:pStyle w:val="FootnoteText"/>
        <w:tabs>
          <w:tab w:val="clear" w:pos="6237"/>
          <w:tab w:val="decimal" w:pos="567"/>
          <w:tab w:val="right" w:leader="dot" w:pos="7172"/>
          <w:tab w:val="center" w:pos="8039"/>
          <w:tab w:val="center" w:pos="9122"/>
        </w:tabs>
        <w:spacing w:line="264" w:lineRule="auto"/>
      </w:pPr>
      <w:r>
        <w:tab/>
      </w:r>
      <w:r>
        <w:tab/>
        <w:t>Отношения с органами власти иностранных государств</w:t>
      </w:r>
      <w:r>
        <w:tab/>
      </w:r>
      <w:r>
        <w:tab/>
        <w:t>235 - 241</w:t>
      </w:r>
      <w:r>
        <w:tab/>
        <w:t>66</w:t>
      </w:r>
    </w:p>
    <w:p w:rsidR="00000000" w:rsidRDefault="00000000">
      <w:pPr>
        <w:pStyle w:val="FootnoteText"/>
        <w:tabs>
          <w:tab w:val="clear" w:pos="6237"/>
          <w:tab w:val="decimal" w:pos="567"/>
          <w:tab w:val="right" w:leader="dot" w:pos="7172"/>
          <w:tab w:val="center" w:pos="8039"/>
          <w:tab w:val="center" w:pos="9122"/>
        </w:tabs>
        <w:spacing w:line="264"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tab/>
        <w:t xml:space="preserve">Ходатайства о судебной помощи, поступающие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t>из-за границы</w:t>
      </w:r>
      <w:r>
        <w:tab/>
      </w:r>
      <w:r>
        <w:tab/>
        <w:t>242 - 247</w:t>
      </w:r>
      <w:r>
        <w:tab/>
        <w:t>67</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pPr>
      <w:r>
        <w:tab/>
      </w:r>
      <w:r>
        <w:rPr>
          <w:lang w:val="en-US"/>
        </w:rPr>
        <w:t>IV</w:t>
      </w:r>
      <w:r>
        <w:t>.</w:t>
      </w:r>
      <w:r>
        <w:tab/>
        <w:t xml:space="preserve">ПРОСВЕТИТЕЛЬНАЯ И ИНФОРМАЦИОННАЯ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t xml:space="preserve">РАБОТА, СВЯЗАННАЯ С ЗАПРЕЩЕНИЕМ ПЫТОК;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t xml:space="preserve">ПОДГОТОВКА ГРАЖДАНСКОГО И ВОЕННОГО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t xml:space="preserve">ПЕРСОНАЛА, ОБЕСПЕЧИВАЮЩЕГО ПРИМЕНЕНИЕ </w:t>
      </w:r>
    </w:p>
    <w:p w:rsidR="00000000" w:rsidRDefault="00000000">
      <w:pPr>
        <w:pStyle w:val="FootnoteText"/>
        <w:tabs>
          <w:tab w:val="clear" w:pos="6237"/>
          <w:tab w:val="decimal" w:pos="567"/>
          <w:tab w:val="right" w:leader="dot" w:pos="7172"/>
          <w:tab w:val="center" w:pos="8039"/>
          <w:tab w:val="center" w:pos="9122"/>
        </w:tabs>
        <w:spacing w:line="288" w:lineRule="auto"/>
      </w:pPr>
      <w:r>
        <w:tab/>
      </w:r>
      <w:r>
        <w:tab/>
        <w:t xml:space="preserve">ЗАКОНОВ </w:t>
      </w:r>
    </w:p>
    <w:p w:rsidR="00000000" w:rsidRDefault="00000000">
      <w:pPr>
        <w:pStyle w:val="FootnoteText"/>
        <w:tabs>
          <w:tab w:val="clear" w:pos="6237"/>
          <w:tab w:val="decimal" w:pos="567"/>
          <w:tab w:val="right" w:leader="dot" w:pos="7172"/>
          <w:tab w:val="center" w:pos="8039"/>
          <w:tab w:val="center" w:pos="9122"/>
        </w:tabs>
        <w:spacing w:line="288" w:lineRule="auto"/>
        <w:ind w:left="1134"/>
      </w:pPr>
      <w:r>
        <w:t>(Статья 10 Конвенции)</w:t>
      </w:r>
      <w:r>
        <w:tab/>
      </w:r>
      <w:r>
        <w:tab/>
        <w:t>248 - 254</w:t>
      </w:r>
      <w:r>
        <w:tab/>
        <w:t>68</w:t>
      </w:r>
    </w:p>
    <w:p w:rsidR="00000000" w:rsidRDefault="00000000">
      <w:pPr>
        <w:pStyle w:val="FootnoteText"/>
        <w:tabs>
          <w:tab w:val="clear" w:pos="6237"/>
          <w:tab w:val="decimal" w:pos="567"/>
          <w:tab w:val="right" w:leader="dot" w:pos="7172"/>
          <w:tab w:val="center" w:pos="8039"/>
          <w:tab w:val="center" w:pos="9122"/>
        </w:tabs>
        <w:spacing w:line="288" w:lineRule="auto"/>
        <w:ind w:left="1134"/>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rPr>
          <w:spacing w:val="2"/>
        </w:rPr>
      </w:pPr>
      <w:r>
        <w:tab/>
      </w:r>
      <w:r>
        <w:rPr>
          <w:lang w:val="en-US"/>
        </w:rPr>
        <w:t>V</w:t>
      </w:r>
      <w:r>
        <w:t>.</w:t>
      </w:r>
      <w:r>
        <w:tab/>
      </w:r>
      <w:r>
        <w:rPr>
          <w:spacing w:val="2"/>
        </w:rPr>
        <w:t xml:space="preserve">НОРМЫ, ИНСТРУКЦИИ, МЕТОДЫ И ПРАКТИКА </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rPr>
          <w:spacing w:val="2"/>
        </w:rPr>
        <w:tab/>
      </w:r>
      <w:r>
        <w:rPr>
          <w:spacing w:val="2"/>
        </w:rPr>
        <w:tab/>
        <w:t>ДОПРОСА</w:t>
      </w:r>
      <w:r>
        <w:t xml:space="preserve">; ПОЛОЖЕНИЯ ОБ ОХРАНЕ ЛИЦ, </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t>ПОДВЕРГНУТЫХ АРЕСТУ, ЗАДЕРЖАНИЮ ИЛИ</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t xml:space="preserve">ЗАКЛЮЧЕНИЮ; НЕДЕЙСТВИТЕЛЬНОСТЬ </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t>ДОКАЗАТЕЛЬСТВА, ПОЛУЧЕННОГО ПОД ПЫТКОЙ</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t>(Статьи 11 и 15 Конвенции)</w:t>
      </w:r>
      <w:r>
        <w:tab/>
      </w:r>
      <w:r>
        <w:tab/>
        <w:t>255 - 261</w:t>
      </w:r>
      <w:r>
        <w:tab/>
        <w:t>71</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rPr>
          <w:lang w:val="en-US"/>
        </w:rPr>
        <w:t>VI</w:t>
      </w:r>
      <w:r>
        <w:t>.</w:t>
      </w:r>
      <w:r>
        <w:tab/>
        <w:t xml:space="preserve">РАССМОТРЕНИЕ ЖАЛОБ И СООБЩЕНИЙ </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t xml:space="preserve">ОТНОСИТЕЛЬНО СЛУЧАЕВ ПРИМЕНЕНИЯ ПЫТОК И СООТВЕТСТВУЮЩИЕ ПРОЦЕССУАЛЬНЫЕ </w:t>
      </w:r>
      <w:r>
        <w:tab/>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t xml:space="preserve">ДЕЙСТВИЯ;  </w:t>
      </w:r>
      <w:r>
        <w:tab/>
        <w:t>ИМУЩЕСТВЕННАЯ ОТВЕТСТВЕННОСТЬ</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t>ГОСУДАРСТВА</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t>(Статьи 12, 13 и 14 Конвенции)</w:t>
      </w:r>
      <w:r>
        <w:tab/>
      </w:r>
      <w:r>
        <w:tab/>
        <w:t>262 - 297</w:t>
      </w:r>
      <w:r>
        <w:tab/>
        <w:t>75</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jc w:val="center"/>
      </w:pPr>
      <w:r>
        <w:br w:type="page"/>
        <w:t>СОДЕРЖАНИЕ (</w:t>
      </w:r>
      <w:r>
        <w:rPr>
          <w:u w:val="single"/>
        </w:rPr>
        <w:t>продолжение</w:t>
      </w:r>
      <w:r>
        <w:t>)</w:t>
      </w:r>
    </w:p>
    <w:p w:rsidR="00000000" w:rsidRDefault="00000000">
      <w:pPr>
        <w:pStyle w:val="FootnoteText"/>
        <w:spacing w:line="288" w:lineRule="auto"/>
        <w:jc w:val="center"/>
      </w:pPr>
    </w:p>
    <w:p w:rsidR="00000000" w:rsidRDefault="00000000">
      <w:pPr>
        <w:pStyle w:val="FootnoteText"/>
        <w:tabs>
          <w:tab w:val="clear" w:pos="6237"/>
          <w:tab w:val="center" w:pos="8039"/>
          <w:tab w:val="center" w:pos="9122"/>
        </w:tab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t>А.</w:t>
      </w:r>
      <w:r>
        <w:tab/>
        <w:t xml:space="preserve">Органы, компетентные рассматривать жалобы на </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r>
      <w:r>
        <w:tab/>
        <w:t xml:space="preserve">применение пыток и предпринимать процессуальные </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r>
      <w:r>
        <w:tab/>
        <w:t>действия</w:t>
      </w:r>
      <w:r>
        <w:tab/>
      </w:r>
      <w:r>
        <w:tab/>
        <w:t>262 - 270</w:t>
      </w:r>
      <w:r>
        <w:tab/>
        <w:t>75</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t>В.</w:t>
      </w:r>
      <w:r>
        <w:tab/>
        <w:t>Имущественная ответственность государства</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r>
      <w:r>
        <w:tab/>
        <w:t>в случае нарушений прав человека</w:t>
      </w:r>
      <w:r>
        <w:tab/>
      </w:r>
      <w:r>
        <w:tab/>
        <w:t>271 - 273</w:t>
      </w:r>
      <w:r>
        <w:tab/>
        <w:t>77</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r>
      <w:r>
        <w:tab/>
      </w:r>
      <w:r>
        <w:rPr>
          <w:lang w:val="es-MX"/>
        </w:rPr>
        <w:t xml:space="preserve">Иск о </w:t>
      </w:r>
      <w:r>
        <w:t>прямом</w:t>
      </w:r>
      <w:r>
        <w:rPr>
          <w:lang w:val="es-MX"/>
        </w:rPr>
        <w:t xml:space="preserve"> возмещении ущерба и</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r>
      <w:r>
        <w:tab/>
      </w:r>
      <w:r>
        <w:rPr>
          <w:lang w:val="es-MX"/>
        </w:rPr>
        <w:t>о восстановлении прав</w:t>
      </w:r>
      <w:r>
        <w:tab/>
      </w:r>
      <w:r>
        <w:tab/>
        <w:t>274 - 276</w:t>
      </w:r>
      <w:r>
        <w:tab/>
        <w:t>78</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tab/>
      </w:r>
      <w:r>
        <w:tab/>
        <w:t>Компенсация жертвам нарушения прав человек</w:t>
      </w:r>
      <w:r>
        <w:tab/>
      </w:r>
      <w:r>
        <w:tab/>
        <w:t>277 - 297</w:t>
      </w:r>
      <w:r>
        <w:tab/>
        <w:t>78</w:t>
      </w:r>
    </w:p>
    <w:p w:rsidR="00000000" w:rsidRDefault="00000000">
      <w:pPr>
        <w:pStyle w:val="FootnoteText"/>
        <w:tabs>
          <w:tab w:val="clear" w:pos="6237"/>
          <w:tab w:val="decimal" w:pos="567"/>
          <w:tab w:val="right" w:leader="dot" w:pos="7172"/>
          <w:tab w:val="center" w:pos="8039"/>
          <w:tab w:val="center" w:pos="9122"/>
        </w:tabs>
        <w:ind w:left="1134" w:hanging="1134"/>
      </w:pPr>
    </w:p>
    <w:p w:rsidR="00000000" w:rsidRDefault="00000000">
      <w:pPr>
        <w:pStyle w:val="FootnoteText"/>
        <w:tabs>
          <w:tab w:val="clear" w:pos="6237"/>
          <w:tab w:val="decimal" w:pos="567"/>
          <w:tab w:val="right" w:leader="dot" w:pos="7172"/>
          <w:tab w:val="center" w:pos="8039"/>
          <w:tab w:val="center" w:pos="9122"/>
        </w:tabs>
        <w:ind w:left="1134" w:hanging="1134"/>
        <w:jc w:val="center"/>
        <w:rPr>
          <w:u w:val="single"/>
        </w:rPr>
      </w:pPr>
      <w:r>
        <w:rPr>
          <w:u w:val="single"/>
        </w:rPr>
        <w:t>Приложения</w:t>
      </w:r>
    </w:p>
    <w:p w:rsidR="00000000" w:rsidRDefault="00000000">
      <w:pPr>
        <w:pStyle w:val="FootnoteText"/>
        <w:tabs>
          <w:tab w:val="clear" w:pos="6237"/>
          <w:tab w:val="decimal" w:pos="567"/>
          <w:tab w:val="right" w:leader="dot" w:pos="7172"/>
          <w:tab w:val="center" w:pos="8039"/>
          <w:tab w:val="center" w:pos="9122"/>
        </w:tabs>
        <w:ind w:left="1134" w:hanging="1134"/>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rPr>
          <w:lang w:val="en-US"/>
        </w:rPr>
        <w:t>I</w:t>
      </w:r>
      <w:r>
        <w:t>.</w:t>
      </w:r>
      <w:r>
        <w:tab/>
        <w:t>Закон № 589 от 2000 года, посредством которого геноцид, насильственное исчезновение, принудительное перемещение и пытки квалифицируются в качестве преступления.</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rPr>
          <w:lang w:val="en-US"/>
        </w:rPr>
        <w:t>II</w:t>
      </w:r>
      <w:r>
        <w:t>.</w:t>
      </w:r>
      <w:r>
        <w:tab/>
        <w:t>Закон № 599 от 2000 года - Новый Уголовный кодекс (действует с 24 июля 2001 года)</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rPr>
          <w:lang w:val="en-US"/>
        </w:rPr>
        <w:t>III</w:t>
      </w:r>
      <w:r>
        <w:t>.</w:t>
      </w:r>
      <w:r>
        <w:tab/>
        <w:t>Закон № 600 от июля 2000 года - Новый Уголовно-процессуальный кодекс (действует с 24 июля 2001 года)</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rPr>
          <w:lang w:val="en-US"/>
        </w:rPr>
        <w:t>IV</w:t>
      </w:r>
      <w:r>
        <w:t>.</w:t>
      </w:r>
      <w:r>
        <w:tab/>
        <w:t>Закон № 522 от 12 августа 1999 года - Новый Военный уголовный кодекс</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rPr>
          <w:lang w:val="en-US"/>
        </w:rPr>
        <w:t>V</w:t>
      </w:r>
      <w:r>
        <w:t>.</w:t>
      </w:r>
      <w:r>
        <w:tab/>
        <w:t xml:space="preserve">Закон № 548 от декабря 1999 года - Общественный порядок.  </w:t>
      </w:r>
      <w:proofErr w:type="spellStart"/>
      <w:r>
        <w:t>Непривлечение</w:t>
      </w:r>
      <w:proofErr w:type="spellEnd"/>
      <w:r>
        <w:t xml:space="preserve"> несовершеннолетних к вооруженному конфликту.</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rPr>
          <w:lang w:val="en-US"/>
        </w:rPr>
        <w:t>VI</w:t>
      </w:r>
      <w:r>
        <w:t>.</w:t>
      </w:r>
      <w:r>
        <w:tab/>
        <w:t>Закон № 409 от октября 1997 года - Присоединение к Межамериканской конвенции о предотвращении пыток и наказании за их применение.</w:t>
      </w: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p>
    <w:p w:rsidR="00000000" w:rsidRDefault="00000000">
      <w:pPr>
        <w:pStyle w:val="FootnoteText"/>
        <w:tabs>
          <w:tab w:val="clear" w:pos="6237"/>
          <w:tab w:val="decimal" w:pos="567"/>
          <w:tab w:val="right" w:leader="dot" w:pos="7172"/>
          <w:tab w:val="center" w:pos="8039"/>
          <w:tab w:val="center" w:pos="9122"/>
        </w:tabs>
        <w:spacing w:line="288" w:lineRule="auto"/>
        <w:ind w:left="1134" w:hanging="1134"/>
      </w:pPr>
      <w:r>
        <w:tab/>
      </w:r>
      <w:r>
        <w:rPr>
          <w:lang w:val="en-US"/>
        </w:rPr>
        <w:t>VII</w:t>
      </w:r>
      <w:r>
        <w:t>.</w:t>
      </w:r>
      <w:r>
        <w:tab/>
        <w:t xml:space="preserve">Декрет № 1636 от августа 2000 года - О создании при канцелярии президента Республики Административного управления по реализации президентской программы </w:t>
      </w:r>
      <w:r>
        <w:rPr>
          <w:iCs/>
        </w:rPr>
        <w:t>поощрения, уважения и гарантирования прав человека и применения норм международного гуманитарного права.</w:t>
      </w:r>
    </w:p>
    <w:p w:rsidR="00000000" w:rsidRDefault="00000000">
      <w:pPr>
        <w:spacing w:after="240"/>
        <w:jc w:val="center"/>
      </w:pPr>
      <w:r>
        <w:br w:type="page"/>
      </w:r>
      <w:proofErr w:type="spellStart"/>
      <w:r>
        <w:t>I</w:t>
      </w:r>
      <w:proofErr w:type="spellEnd"/>
      <w:r>
        <w:t>.</w:t>
      </w:r>
      <w:r>
        <w:tab/>
        <w:t>ОБЩИЕ ПОЛОЖЕНИЯ</w:t>
      </w:r>
    </w:p>
    <w:p w:rsidR="00000000" w:rsidRDefault="00000000">
      <w:pPr>
        <w:spacing w:after="240"/>
      </w:pPr>
      <w:r>
        <w:t>1.</w:t>
      </w:r>
      <w:r>
        <w:tab/>
        <w:t xml:space="preserve">Совокупность проблем, связанных с применением пыток в Колумбии, вписывается в общий контекст выявленных в стране нарушений прав человека и норм международного гуманитарного права, особенно в связи с внутренним вооруженным конфликтом.  По этой причине, сообразуясь с критерием автономии и взаимозависимости между политической волей к миру и решимостью гарантировать и защитить основные права человека, правительство представило 19 августа 1999 года населению страны и международному сообществу свою </w:t>
      </w:r>
      <w:r>
        <w:rPr>
          <w:i/>
        </w:rPr>
        <w:t>Политику поощрения, уважения и гарантирования прав человека и применения норм международного гуманитарного права на 1998-2002 годы</w:t>
      </w:r>
      <w:r>
        <w:t>.</w:t>
      </w:r>
    </w:p>
    <w:p w:rsidR="00000000" w:rsidRDefault="00000000">
      <w:pPr>
        <w:spacing w:after="240"/>
      </w:pPr>
      <w:r>
        <w:t>2.</w:t>
      </w:r>
      <w:r>
        <w:tab/>
        <w:t>Основными направлениями этой политики являются: усиление борьбы с безнаказанностью путем активизации расследования наиболее характерных судебных дел, защита борцов за права человека и профсоюзных лидеров, борьба против групп самообороны, борьба с похищениями людей, всесторонняя поддержка перемещенного населения, а также укрепление государственного потенциала и, в особенности, модернизация сил по поддержанию правопорядка.</w:t>
      </w:r>
    </w:p>
    <w:p w:rsidR="00000000" w:rsidRDefault="00000000">
      <w:pPr>
        <w:spacing w:after="240"/>
      </w:pPr>
      <w:r>
        <w:t>3.</w:t>
      </w:r>
      <w:r>
        <w:tab/>
        <w:t>Расширяющийся внутренний вооруженный конфликт, ожесточенный и бесчеловечный, всё более и более втягивающий в себя гражданское население, является главной причиной нарушения основных прав человека.  Это - самая болезненная сторона колумбийской действительности, ограничивающая свободное использование предоставленных прав и способность государства гарантировать их.</w:t>
      </w:r>
    </w:p>
    <w:p w:rsidR="00000000" w:rsidRDefault="00000000">
      <w:pPr>
        <w:spacing w:after="240"/>
      </w:pPr>
      <w:r>
        <w:t>4.</w:t>
      </w:r>
      <w:r>
        <w:tab/>
        <w:t>Именно поэтому правительство, наряду с проведением политики защиты прав человека, реализует политику, направленную на достижение мира с вооруженными формированиями путем переговоров на основе норм международного гуманитарного права, что позволит обеспечить мирную обстановку, безопасность и справедливость.</w:t>
      </w:r>
    </w:p>
    <w:p w:rsidR="00000000" w:rsidRDefault="00000000">
      <w:pPr>
        <w:spacing w:after="240"/>
      </w:pPr>
      <w:r>
        <w:t>5.</w:t>
      </w:r>
      <w:r>
        <w:tab/>
        <w:t xml:space="preserve">Учитывая характер переживаемого страной вооруженного противостояния, правительство дополнило традиционный подход к проблеме прав человека возможностями и перспективами, открываемыми применением норм международного гуманитарного права, которые снижают остроту конфликта и возлагают ответственность за него на всех вооруженных участников столкновений.  Кроме того, углубляется понимание культурных, этических и юридических аспектов прав человека, что согласуется с современным международным подходом, согласно которому отдельные лица, организации или группы лиц несут ответственность за совершаемые ими преступления.  Речь идет не о попытке уклониться от обязанностей и функций защиты, возложенных на государство, а о том, чтобы более строго и объективно определять, какие лица и организации виновны в серьезных нарушениях прав человека и норм международного гуманитарного права в ходе вооруженного противостояния. </w:t>
      </w:r>
    </w:p>
    <w:p w:rsidR="00000000" w:rsidRDefault="00000000">
      <w:pPr>
        <w:rPr>
          <w:u w:val="single"/>
        </w:rPr>
      </w:pPr>
      <w:r>
        <w:rPr>
          <w:u w:val="single"/>
        </w:rPr>
        <w:t>Нарушения норм международного гуманитарного права</w:t>
      </w:r>
    </w:p>
    <w:p w:rsidR="00000000" w:rsidRDefault="00000000">
      <w:pPr>
        <w:rPr>
          <w:u w:val="single"/>
        </w:rPr>
      </w:pPr>
    </w:p>
    <w:p w:rsidR="00000000" w:rsidRDefault="00000000">
      <w:pPr>
        <w:spacing w:after="240"/>
      </w:pPr>
      <w:r>
        <w:t>6.</w:t>
      </w:r>
      <w:r>
        <w:tab/>
        <w:t>В 1999 году произошло обострение внутренней войны, и резко возросло число нарушений норм международного гуманитарного права.  За последние три года количество зарегистрированных нарушений норм международного гуманитарного права еще больше увеличилось.  Самым распространенным нарушением является убийство, и рост убийств очевиден.  Выделяются также посягательства на жизнь и здоровье граждан, акты терроризма и захват заложников.  Быстро растет число несовершеннолетних, завербованных участниками незаконных вооруженных формирований.  За последнее время все более заметную роль в ухудшении положения с правами человека также играет участие групп самообороны.</w:t>
      </w:r>
    </w:p>
    <w:p w:rsidR="00000000" w:rsidRDefault="00000000">
      <w:pPr>
        <w:spacing w:after="240"/>
      </w:pPr>
      <w:r>
        <w:t>7.</w:t>
      </w:r>
      <w:r>
        <w:tab/>
        <w:t>Согласно данным за 1999 год о нарушениях норм международного гуманитарного права, которыми располагает неправительственная организация Исследовательский центр народного образования (СИНЕП), группы самообороны совершают наибольшее число убийств пользующихся защитой лиц (74%) и пыток (85%).  На долю повстанцев приходится основная часть таких нарушений - в виде захвата заложников (98%), угроз (77%), вербовок (75%) и нанесения телесных повреждений (70%).  На участвующие в военных действиях силы по поддержанию правопорядка приходится 12% нарушений в виде нанесения телесных повреждений,  7% пыток и 2% убийств пользующихся защитой лиц.</w:t>
      </w:r>
    </w:p>
    <w:p w:rsidR="00000000" w:rsidRDefault="00000000">
      <w:pPr>
        <w:spacing w:after="240"/>
      </w:pPr>
      <w:r>
        <w:t>8.</w:t>
      </w:r>
      <w:r>
        <w:tab/>
        <w:t>Данные Главного командования вооруженных сил по таким нарушениям норм международного гуманитарного права, как посягательство на жизнь и здоровье людей, за последние три года свидетельствуют о тенденции к увеличению числа нарушений, совершенных группами самообороны, а также повстанческими формированиями в целом.  В 1998 году было отмечено небольшое снижение числа преступлений, совершенных последними.  Группой, совершающей наибольшее число нарушений норм международного гуманитарного права, являются Революционные вооруженные силы Колу</w:t>
      </w:r>
      <w:r>
        <w:t>м</w:t>
      </w:r>
      <w:r>
        <w:t>бии (ФАРК).</w:t>
      </w:r>
    </w:p>
    <w:p w:rsidR="00000000" w:rsidRDefault="00000000">
      <w:pPr>
        <w:spacing w:after="240"/>
      </w:pPr>
      <w:r>
        <w:t>9.</w:t>
      </w:r>
      <w:r>
        <w:tab/>
        <w:t>По терминологии международного гуманитарного права, убийством считается уничтожение лиц, не принимающих прямого участия в военных действиях, либо тех лиц, которые прекратили участвовать в них, включая военнослужащих вооруженных сил, которые сложили оружие или были выведены из строя по различным причинам.  Большое число таких убийств было совершено повстанческими формированиями и группами самообороны.  Командованием сухопутных войск зарегистрировано 20 случаев, относящихся к категории убийства пользующихся защитой лиц.  Сообщалось также о случаях убийств, совершенных лицами из состава сил по поддержанию правопорядка.</w:t>
      </w:r>
    </w:p>
    <w:p w:rsidR="00000000" w:rsidRDefault="00000000">
      <w:pPr>
        <w:spacing w:after="240"/>
      </w:pPr>
      <w:r>
        <w:t>10.</w:t>
      </w:r>
      <w:r>
        <w:tab/>
        <w:t>В более широком смысле, с точки зрения международного гуманитарного права убийствами должны считаться случаи насильственной смерти, наступившей вне боя, однако в контексте вооруженного конфликта.  К таким относятся 1 561 случай, зарегистрированный армией в 1999 году и являющийся следствием казней без надлежащего судебного разбирательства и внесудебных казней, совершенных участниками конфликта.  Подрывные элементы совершают убийства гражданских лиц, выбранных для этой цели за их предполагаемую связь с группами самообороны или с военными, или за отказ выполнить какие-либо требования; сюда же можно включить т.н. казни без надлежащего судебного разбирательства, которые часто применяются в отношении лиц, предоставляющих предметы снабжения военным и группам самообороны, а также в отношении землевладельцев, не желающих давать деньги, и местных лидеров - из-за их политической позиции.  Убивают также попавших в плен сотрудников сил по поддержанию правопорядка.  Вина за часть убийств, совершаемых повстанцами, возлагается на действующие в гражданской одежде городские отряды ФАРК и Армии национального освобождения (ЭЛН).</w:t>
      </w:r>
    </w:p>
    <w:p w:rsidR="00000000" w:rsidRDefault="00000000">
      <w:pPr>
        <w:spacing w:after="240"/>
      </w:pPr>
      <w:r>
        <w:t>11.</w:t>
      </w:r>
      <w:r>
        <w:tab/>
        <w:t>Для повстанцев и групп самообороны массовые убийства гражданских лиц вошли в практику ведения войны.  При этом во многих случаях жертвы перед смертью подвергаются пыткам.  Начиная с 1995 года, число массовых убийств гражданского населения, совершенных группами самообороны, весьма заметно выросло.  Группы самообороны практикуют применение пыток.  В большинстве случаев человека, подвергнутого пытками, позднее находили мертвым.  Многие действия групп самообороны, такие, как пытки и выборочные расправы, направлены на то, чтобы запугать гражданское население и посеять страх.  При этом используются списки возможных жертв, угрожающие надписи и т.д.  Это порождает бегство населения из родных мест.  Следует учитывать, что военная стратегия групп самообороны основывается на атаках против населения.</w:t>
      </w:r>
    </w:p>
    <w:p w:rsidR="00000000" w:rsidRDefault="00000000">
      <w:pPr>
        <w:spacing w:after="240"/>
      </w:pPr>
      <w:r>
        <w:t>12.</w:t>
      </w:r>
      <w:r>
        <w:tab/>
        <w:t xml:space="preserve">Повстанческие формирования, в свою очередь, дополняют жестокую панораму войны, расправляясь </w:t>
      </w:r>
      <w:proofErr w:type="spellStart"/>
      <w:r>
        <w:t>cо</w:t>
      </w:r>
      <w:proofErr w:type="spellEnd"/>
      <w:r>
        <w:t xml:space="preserve"> своими собственными людьми.  По подсчетам армии, в 1999 году 300 повстанцев было казнено по приговорам революционных судов.  Много других повстанцев, погибших в бою, должным образом не идентифицированы.  Главное командование вооруженных сил сообщает об увеличивающемся из года в год числе случаев исчезновения людей по вине групп самообороны. Пропавших часто находят в братских могилах с явными следами пыток и увечий.</w:t>
      </w:r>
    </w:p>
    <w:p w:rsidR="00000000" w:rsidRDefault="00000000">
      <w:pPr>
        <w:spacing w:after="240"/>
      </w:pPr>
      <w:r>
        <w:br w:type="page"/>
        <w:t>13.</w:t>
      </w:r>
      <w:r>
        <w:tab/>
        <w:t>Повстанцами совершаются нападения и налеты на населенные пункты.  В 1998 году подверглись атакам 58, а в 1999 - 47 населенных пунктов.  По данным Главного командования вооруженных сил, в 1999 году повстанческие формирования и группы самообороны нападали на 106 населенных пунктов страны в 9,7% муниципалитетов Колумбии.</w:t>
      </w:r>
    </w:p>
    <w:p w:rsidR="00000000" w:rsidRDefault="00000000">
      <w:pPr>
        <w:spacing w:after="240"/>
      </w:pPr>
      <w:r>
        <w:t>14.</w:t>
      </w:r>
      <w:r>
        <w:tab/>
        <w:t>Группы, занимающиеся подрывной деятельностью, часто нападают на гражданские объекты и имущество, такие, как автомашины, автобусы, магазины и жилые дома; ими поджигаются автобусы, грузовые автомобили и такси; объектами нападения являются также опоры линий электропередачи и нефтепроводы.  Заминированные автомобили, гранаты и другие используемые повстанцами взрывные устройства поражают без различия и гражданских лиц, и военнослужащих.  Повстанцы применяют начиненные динамитом трубки для того, чтобы взрывать полицейские участки, однако при этом разрушаются также и дома мирных жителей, и частные заведения.</w:t>
      </w:r>
    </w:p>
    <w:p w:rsidR="00000000" w:rsidRDefault="00000000">
      <w:pPr>
        <w:spacing w:after="240"/>
      </w:pPr>
      <w:r>
        <w:t>15.</w:t>
      </w:r>
      <w:r>
        <w:tab/>
        <w:t>Согласно данным Главного командования вооруженных сил, число нарушений норм международного гуманитарного права, связанных с нападением со стороны повстанцев на объекты и сооружения повышенной опасности, плотины, дамбы, электростанции и нефтепроводы, возросло за последние три года с 68 до 77 и 80, соответственно.  В 1999 году были зарегистрированы два подобных случая, совершенных группами самообороны.</w:t>
      </w:r>
    </w:p>
    <w:p w:rsidR="00000000" w:rsidRDefault="00000000">
      <w:pPr>
        <w:spacing w:after="240"/>
      </w:pPr>
      <w:r>
        <w:t>16.</w:t>
      </w:r>
      <w:r>
        <w:tab/>
        <w:t>Особенно часто подрыв опор линий электропередачи практикует группа ЭЛН, которая в 1999 году взорвала 145 опор.  До 15 февраля текущего года ею было взорвано 76 опор.  В 1999 году ФАРК подорвали 83 опоры, а Единые силы самообороны Колумбии (АУК) - 4.  Нефтепроводы взрывались как повстанцами ФАРК, так и ЭЛН.  Особенно часто этот вид диверсий применялся в 1998 году.</w:t>
      </w:r>
    </w:p>
    <w:p w:rsidR="00000000" w:rsidRDefault="00000000">
      <w:pPr>
        <w:spacing w:after="240"/>
      </w:pPr>
      <w:r>
        <w:t>17.</w:t>
      </w:r>
      <w:r>
        <w:tab/>
        <w:t>Согласно статистике Главного командования вооруженных сил, разбоем, включающим налеты на государственные и частные предприятия, кражами и нападениями на автомобили, а также пиратством, занимаются, главным образом, подрывные элементы и, в меньшей степени, группы самообороны.</w:t>
      </w:r>
    </w:p>
    <w:p w:rsidR="00000000" w:rsidRDefault="00000000">
      <w:pPr>
        <w:spacing w:after="240"/>
      </w:pPr>
      <w:r>
        <w:t>18.</w:t>
      </w:r>
      <w:r>
        <w:tab/>
        <w:t>Повстанческие формирования и группы самообороны совершали нападения на медицинский персонал, лечебные учреждения и санитарный транспорт, включая машины, используемые представителями Красного креста.  Блокируется доставка медикаментов, продуктов питания и предметов первой необходимости.  Известно, что группы самообороны также осуществляют контроль за продовольствием и лекарственными средствами, ограничивая или полностью блокируя поставку предметов первой</w:t>
      </w:r>
    </w:p>
    <w:p w:rsidR="00000000" w:rsidRDefault="00000000">
      <w:pPr>
        <w:spacing w:after="240"/>
      </w:pPr>
      <w:r>
        <w:br w:type="page"/>
        <w:t>необходимости в некоторые районы страны.  Необходимо упомянуть и о нападениях со стороны повстанцев на служителей культа (по данным армии, в 1999 году было убито 36 пасторов и один священник), а также на церковные епархии и храмы.</w:t>
      </w:r>
    </w:p>
    <w:p w:rsidR="00000000" w:rsidRDefault="00000000">
      <w:pPr>
        <w:spacing w:after="240"/>
      </w:pPr>
      <w:r>
        <w:t>19.</w:t>
      </w:r>
      <w:r>
        <w:tab/>
        <w:t xml:space="preserve">Как повстанческие формирования, так и группы самообороны продолжают превращать мальчиков и девочек в участников вооруженного конфликта.  По данным Канцелярии </w:t>
      </w:r>
      <w:proofErr w:type="spellStart"/>
      <w:r>
        <w:t>омбудсмена</w:t>
      </w:r>
      <w:proofErr w:type="spellEnd"/>
      <w:r>
        <w:t>, примерно 2 000 детей в возрасте от 13 до 17 лет входят в состав групп самообороны и, в частности, в состав повстанческих формирований.  По данным организации "Движение - дети за мир" ЮНИСЕФ, 18% несовершеннолетних, связанных с упомянутыми формированиями и группами, уже убивали людей.  В 1999 году армия освободила 13 девочек в возрасте от 14 до 17 лет, которые были участницами повстанческих формирований.</w:t>
      </w:r>
    </w:p>
    <w:p w:rsidR="00000000" w:rsidRDefault="00000000">
      <w:pPr>
        <w:spacing w:after="240"/>
      </w:pPr>
      <w:r>
        <w:t>20.</w:t>
      </w:r>
      <w:r>
        <w:tab/>
        <w:t xml:space="preserve">Что касается использования в колумбийском конфликте противопехотных мин и мин-ловушек, то Колумбия ратифицировала Конвенцию о запрещении применения, накопления запасов, производства и передачи противопехотных мин и об их уничтожении.  По неполным подсчетам, в настоящее время на территории примерно 105 муниципалитетов, относящихся к 23 департаментам, установлено не менее 70 000 противопехотных мин.  Это означает, что населению 10% всех муниципалитетов страны угрожает или может угрожать опасность поражения от этих взрывных устройств.  Гражданское население и военнослужащие становятся жертвами противопехотных мин, </w:t>
      </w:r>
      <w:proofErr w:type="spellStart"/>
      <w:r>
        <w:t>неизбирательно</w:t>
      </w:r>
      <w:proofErr w:type="spellEnd"/>
      <w:r>
        <w:t xml:space="preserve"> расставленных повстанцами на пастбищах, на проселочных дорогах и в местах, часто посещаемых жителями сельских общин.  Согласно оценкам, 50 000 таких мин установлено повстанцами.  Вооруженные силы установили 20 000 мин для обороны различных сооружений.  На сегодняшний день от взрывов мин пострадали 2 205 взрослых и 5 250 детей обоего пола. Число военнослужащих, раненных и убитых при взрывах т.н. "ножных" мин, установленных повстанцами, составило в 1999 году 22 человека.  Большинство таких мин изготавливается ЭЛН и ФАРК.  В период с января 1997 по февраль 2000 года погибло 87 военнослужащих вооруженных сил, причем 80% солдат стали жертвами "ножных" мин.  Еще 269 человек получили увечья.  Данные о числе жертв среди гражданского населения отсутствуют.</w:t>
      </w:r>
    </w:p>
    <w:p w:rsidR="00000000" w:rsidRDefault="00000000">
      <w:pPr>
        <w:spacing w:after="240"/>
      </w:pPr>
      <w:r>
        <w:t>21.</w:t>
      </w:r>
      <w:r>
        <w:tab/>
        <w:t>Кроме этого, повстанцы и группы самообороны, но в особенности ФАРК, применяют газовые баллоны, начиненные различными взрывчатыми веществами.  Они используются против гражданского населения и военных, вызывая повреждения сооружений и причиняя страдания жертвам взрыва.  В 1998 - 1999 годах было похищено 21 725 баллонов; 69% таких краж приходится на долю ФАРК.</w:t>
      </w:r>
    </w:p>
    <w:p w:rsidR="00000000" w:rsidRDefault="00000000">
      <w:pPr>
        <w:spacing w:after="240"/>
      </w:pPr>
      <w:r>
        <w:t>22.</w:t>
      </w:r>
      <w:r>
        <w:tab/>
        <w:t>На группах самообороны и на повстанческих формированиях лежит основная вина за массовые перемещения сельского населения.  В 1999 году было зарегистрировано 19 194 насильственно перемещенных семей, что, по расчетам, составляет 86 511 человек (в среднем 4,5 человека на 1 семью), которые в рамках Программы помощи перемещенному населению, реализуемой Сетью солидарности, обратились за содействием по линии правительственных программ.  По данным, предоставленным Консультационным бюро по правам человека и проблемам перемещенных лиц (КОДЕС), в 1999 году число перемещенных лиц составило 288 127 человек, объединенных в 57 627 семей.  Эти последние цифры, отражающие внутреннее перемещение населения, включают людей, пересекающих несколько муниципалитетов, и ими охватывается не только насильственно перемещенное население.</w:t>
      </w:r>
    </w:p>
    <w:p w:rsidR="00000000" w:rsidRDefault="00000000">
      <w:pPr>
        <w:spacing w:after="240"/>
      </w:pPr>
      <w:r>
        <w:t>23.</w:t>
      </w:r>
      <w:r>
        <w:tab/>
        <w:t>Система оценки по контрастным источникам Сети социальной солидарности была разработана для получения информации, которая бы позволила показать масштабы перемещения населения в 2000 году.  В рамках системы оценки принудительного перемещения по контрастным источникам (СЕФК) в 2000 году зарегистрирован 1 351 случай перемещения, в ходе которого вынуждено было мигрировать 128 843 человека, объединенных в 26 107 семей.  В первом полугодии было зарегистрировано 51 515 человек, т.е. 40%, а во втором - 77 328 человек, или 60%, что свидетельствует об увеличении на 45%.</w:t>
      </w:r>
    </w:p>
    <w:p w:rsidR="00000000" w:rsidRDefault="00000000">
      <w:pPr>
        <w:spacing w:after="240"/>
      </w:pPr>
      <w:r>
        <w:t>24.</w:t>
      </w:r>
      <w:r>
        <w:tab/>
        <w:t>Из 128 843 перемещенных лиц известно место изгнания 96% (124 187 человек из 25 979 семей).  Из этих перемещений 35% (476) приходится на первое полугодие, а 65% (884) - на второе полугодие, что означает увеличение на 89%.</w:t>
      </w:r>
    </w:p>
    <w:p w:rsidR="00000000" w:rsidRDefault="00000000">
      <w:pPr>
        <w:spacing w:after="240"/>
      </w:pPr>
      <w:r>
        <w:t>25.</w:t>
      </w:r>
      <w:r>
        <w:tab/>
        <w:t>Говоря о территориальном аспекте перемещения населения, следует указать, что в течение 2000 года из 322 муниципалитетов население уходило, а в 322 муниципалитета население прибывало.  В целом, в 480 муниципалитетах отмечалась миграция населения, при этом из 158 муниципалитетов население только уходило, в 158 оно только прибывало, а в 164 наблюдался как отток, так и приток населения.  Кроме того, в 159 муниципалитетах за год было зарегистрировано более одного случая перемещения.</w:t>
      </w:r>
    </w:p>
    <w:p w:rsidR="00000000" w:rsidRDefault="00000000">
      <w:pPr>
        <w:pStyle w:val="Heading2"/>
        <w:keepNext w:val="0"/>
        <w:spacing w:after="240"/>
        <w:ind w:left="567" w:hanging="567"/>
        <w:rPr>
          <w:iCs/>
        </w:rPr>
      </w:pPr>
      <w:bookmarkStart w:id="0" w:name="_Toc510516126"/>
      <w:bookmarkStart w:id="1" w:name="_Toc511098964"/>
      <w:r>
        <w:rPr>
          <w:iCs/>
        </w:rPr>
        <w:t>Фактический аспект проблем, связанных с применением пыток в Колумбии</w:t>
      </w:r>
      <w:bookmarkEnd w:id="0"/>
      <w:bookmarkEnd w:id="1"/>
    </w:p>
    <w:p w:rsidR="00000000" w:rsidRDefault="00000000">
      <w:pPr>
        <w:spacing w:after="240"/>
      </w:pPr>
      <w:r>
        <w:t>26.</w:t>
      </w:r>
      <w:r>
        <w:tab/>
        <w:t>Для иллюстрации тенденций, характеризующих эволюцию практики применения пыток, нарушающей основные права человека и статью 3, общую для Женевских конвенций от 12 августа 1949 года, будут представлены данные из различных источников.</w:t>
      </w:r>
    </w:p>
    <w:p w:rsidR="00000000" w:rsidRDefault="00000000">
      <w:pPr>
        <w:spacing w:after="240"/>
      </w:pPr>
      <w:r>
        <w:t>27.</w:t>
      </w:r>
      <w:r>
        <w:tab/>
        <w:t xml:space="preserve">Неправительственная организация </w:t>
      </w:r>
      <w:proofErr w:type="spellStart"/>
      <w:r>
        <w:t>СИНЕП</w:t>
      </w:r>
      <w:proofErr w:type="spellEnd"/>
      <w:r>
        <w:t xml:space="preserve"> в своей публикации </w:t>
      </w:r>
      <w:r>
        <w:rPr>
          <w:i/>
          <w:iCs/>
        </w:rPr>
        <w:t>"</w:t>
      </w:r>
      <w:r>
        <w:rPr>
          <w:i/>
        </w:rPr>
        <w:t>Ночь и туман"</w:t>
      </w:r>
      <w:r>
        <w:t xml:space="preserve"> сообщает о 100 случаях, имевших место в 2000 году, жертвами которых стали 420</w:t>
      </w:r>
      <w:r>
        <w:rPr>
          <w:lang w:val="en-US"/>
        </w:rPr>
        <w:t> </w:t>
      </w:r>
      <w:r>
        <w:t>человек.  По сравнению с предшествующим годом эти цифры возросли.</w:t>
      </w:r>
    </w:p>
    <w:p w:rsidR="00000000" w:rsidRDefault="00000000">
      <w:pPr>
        <w:pStyle w:val="11"/>
        <w:spacing w:line="216" w:lineRule="auto"/>
        <w:rPr>
          <w:sz w:val="20"/>
        </w:rPr>
      </w:pPr>
      <w:r>
        <w:br w:type="page"/>
      </w:r>
      <w:r>
        <w:rPr>
          <w:sz w:val="20"/>
        </w:rPr>
        <w:t>Количество жертв в разбивке по исполнителям преступления в период 1997–2000 годов</w:t>
      </w:r>
    </w:p>
    <w:p w:rsidR="00000000" w:rsidRDefault="00000000">
      <w:pPr>
        <w:pStyle w:val="11"/>
        <w:spacing w:line="216" w:lineRule="auto"/>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BF" w:firstRow="1" w:lastRow="0" w:firstColumn="1" w:lastColumn="0" w:noHBand="0" w:noVBand="0"/>
      </w:tblPr>
      <w:tblGrid>
        <w:gridCol w:w="906"/>
        <w:gridCol w:w="786"/>
        <w:gridCol w:w="1156"/>
        <w:gridCol w:w="1129"/>
        <w:gridCol w:w="1097"/>
        <w:gridCol w:w="696"/>
        <w:gridCol w:w="930"/>
        <w:gridCol w:w="913"/>
        <w:gridCol w:w="418"/>
        <w:gridCol w:w="553"/>
        <w:gridCol w:w="390"/>
        <w:gridCol w:w="397"/>
      </w:tblGrid>
      <w:tr w:rsidR="00000000">
        <w:tblPrEx>
          <w:tblCellMar>
            <w:top w:w="0" w:type="dxa"/>
            <w:bottom w:w="0" w:type="dxa"/>
          </w:tblCellMar>
        </w:tblPrEx>
        <w:trPr>
          <w:cantSplit/>
          <w:trHeight w:val="304"/>
        </w:trPr>
        <w:tc>
          <w:tcPr>
            <w:tcW w:w="483" w:type="pct"/>
            <w:vMerge w:val="restart"/>
            <w:vAlign w:val="center"/>
          </w:tcPr>
          <w:p w:rsidR="00000000" w:rsidRDefault="00000000">
            <w:pPr>
              <w:spacing w:line="240" w:lineRule="auto"/>
              <w:jc w:val="center"/>
              <w:rPr>
                <w:bCs/>
                <w:sz w:val="18"/>
              </w:rPr>
            </w:pPr>
            <w:r>
              <w:rPr>
                <w:bCs/>
                <w:sz w:val="18"/>
              </w:rPr>
              <w:t>Год</w:t>
            </w:r>
          </w:p>
        </w:tc>
        <w:tc>
          <w:tcPr>
            <w:tcW w:w="419" w:type="pct"/>
            <w:vMerge w:val="restart"/>
            <w:vAlign w:val="center"/>
          </w:tcPr>
          <w:p w:rsidR="00000000" w:rsidRDefault="00000000">
            <w:pPr>
              <w:spacing w:line="240" w:lineRule="auto"/>
              <w:jc w:val="center"/>
              <w:rPr>
                <w:bCs/>
                <w:sz w:val="18"/>
              </w:rPr>
            </w:pPr>
            <w:r>
              <w:rPr>
                <w:bCs/>
                <w:sz w:val="18"/>
              </w:rPr>
              <w:t>Кол-во</w:t>
            </w:r>
          </w:p>
          <w:p w:rsidR="00000000" w:rsidRDefault="00000000">
            <w:pPr>
              <w:spacing w:line="240" w:lineRule="auto"/>
              <w:jc w:val="center"/>
              <w:rPr>
                <w:bCs/>
                <w:sz w:val="18"/>
              </w:rPr>
            </w:pPr>
            <w:r>
              <w:rPr>
                <w:bCs/>
                <w:sz w:val="18"/>
              </w:rPr>
              <w:t>жертв</w:t>
            </w:r>
          </w:p>
        </w:tc>
        <w:tc>
          <w:tcPr>
            <w:tcW w:w="616" w:type="pct"/>
            <w:vMerge w:val="restart"/>
            <w:vAlign w:val="center"/>
          </w:tcPr>
          <w:p w:rsidR="00000000" w:rsidRDefault="00000000">
            <w:pPr>
              <w:spacing w:line="240" w:lineRule="auto"/>
              <w:jc w:val="center"/>
              <w:rPr>
                <w:bCs/>
                <w:sz w:val="18"/>
              </w:rPr>
            </w:pPr>
            <w:r>
              <w:rPr>
                <w:bCs/>
                <w:sz w:val="18"/>
              </w:rPr>
              <w:t>Группы</w:t>
            </w:r>
          </w:p>
          <w:p w:rsidR="00000000" w:rsidRDefault="00000000">
            <w:pPr>
              <w:spacing w:line="240" w:lineRule="auto"/>
              <w:jc w:val="center"/>
              <w:rPr>
                <w:bCs/>
                <w:sz w:val="18"/>
              </w:rPr>
            </w:pPr>
            <w:r>
              <w:rPr>
                <w:bCs/>
                <w:sz w:val="18"/>
              </w:rPr>
              <w:t>самообороны</w:t>
            </w:r>
          </w:p>
        </w:tc>
        <w:tc>
          <w:tcPr>
            <w:tcW w:w="602" w:type="pct"/>
            <w:vMerge w:val="restart"/>
            <w:vAlign w:val="center"/>
          </w:tcPr>
          <w:p w:rsidR="00000000" w:rsidRDefault="00000000">
            <w:pPr>
              <w:spacing w:line="240" w:lineRule="auto"/>
              <w:jc w:val="center"/>
              <w:rPr>
                <w:bCs/>
                <w:sz w:val="18"/>
              </w:rPr>
            </w:pPr>
            <w:r>
              <w:rPr>
                <w:bCs/>
                <w:sz w:val="18"/>
              </w:rPr>
              <w:t xml:space="preserve">Не </w:t>
            </w:r>
            <w:proofErr w:type="spellStart"/>
            <w:r>
              <w:rPr>
                <w:bCs/>
                <w:sz w:val="18"/>
              </w:rPr>
              <w:t>установ</w:t>
            </w:r>
            <w:proofErr w:type="spellEnd"/>
            <w:r>
              <w:rPr>
                <w:bCs/>
                <w:sz w:val="18"/>
              </w:rPr>
              <w:t>-</w:t>
            </w:r>
          </w:p>
          <w:p w:rsidR="00000000" w:rsidRDefault="00000000">
            <w:pPr>
              <w:spacing w:line="240" w:lineRule="auto"/>
              <w:jc w:val="center"/>
              <w:rPr>
                <w:bCs/>
                <w:sz w:val="18"/>
              </w:rPr>
            </w:pPr>
            <w:r>
              <w:rPr>
                <w:bCs/>
                <w:sz w:val="18"/>
              </w:rPr>
              <w:t>ленные лица</w:t>
            </w:r>
          </w:p>
        </w:tc>
        <w:tc>
          <w:tcPr>
            <w:tcW w:w="585" w:type="pct"/>
            <w:vMerge w:val="restart"/>
            <w:vAlign w:val="center"/>
          </w:tcPr>
          <w:p w:rsidR="00000000" w:rsidRDefault="00000000">
            <w:pPr>
              <w:spacing w:line="240" w:lineRule="auto"/>
              <w:jc w:val="center"/>
              <w:rPr>
                <w:bCs/>
                <w:sz w:val="18"/>
              </w:rPr>
            </w:pPr>
            <w:proofErr w:type="spellStart"/>
            <w:r>
              <w:rPr>
                <w:bCs/>
                <w:sz w:val="18"/>
              </w:rPr>
              <w:t>КОНВИВИР</w:t>
            </w:r>
            <w:proofErr w:type="spellEnd"/>
          </w:p>
        </w:tc>
        <w:tc>
          <w:tcPr>
            <w:tcW w:w="371" w:type="pct"/>
            <w:vMerge w:val="restart"/>
            <w:vAlign w:val="center"/>
          </w:tcPr>
          <w:p w:rsidR="00000000" w:rsidRDefault="00000000">
            <w:pPr>
              <w:spacing w:line="240" w:lineRule="auto"/>
              <w:jc w:val="center"/>
              <w:rPr>
                <w:bCs/>
                <w:sz w:val="18"/>
              </w:rPr>
            </w:pPr>
            <w:r>
              <w:rPr>
                <w:bCs/>
                <w:sz w:val="18"/>
              </w:rPr>
              <w:t>Силы</w:t>
            </w:r>
          </w:p>
          <w:p w:rsidR="00000000" w:rsidRDefault="00000000">
            <w:pPr>
              <w:spacing w:line="240" w:lineRule="auto"/>
              <w:jc w:val="center"/>
              <w:rPr>
                <w:bCs/>
                <w:sz w:val="18"/>
              </w:rPr>
            </w:pPr>
            <w:r>
              <w:rPr>
                <w:bCs/>
                <w:sz w:val="18"/>
              </w:rPr>
              <w:t>право-</w:t>
            </w:r>
          </w:p>
          <w:p w:rsidR="00000000" w:rsidRDefault="00000000">
            <w:pPr>
              <w:spacing w:line="240" w:lineRule="auto"/>
              <w:jc w:val="center"/>
              <w:rPr>
                <w:bCs/>
                <w:sz w:val="18"/>
              </w:rPr>
            </w:pPr>
            <w:r>
              <w:rPr>
                <w:bCs/>
                <w:sz w:val="18"/>
              </w:rPr>
              <w:t>порядка</w:t>
            </w:r>
          </w:p>
        </w:tc>
        <w:tc>
          <w:tcPr>
            <w:tcW w:w="496" w:type="pct"/>
            <w:vMerge w:val="restart"/>
            <w:vAlign w:val="center"/>
          </w:tcPr>
          <w:p w:rsidR="00000000" w:rsidRDefault="00000000">
            <w:pPr>
              <w:spacing w:line="240" w:lineRule="auto"/>
              <w:jc w:val="center"/>
              <w:rPr>
                <w:bCs/>
                <w:sz w:val="18"/>
              </w:rPr>
            </w:pPr>
            <w:proofErr w:type="spellStart"/>
            <w:r>
              <w:rPr>
                <w:bCs/>
                <w:sz w:val="18"/>
              </w:rPr>
              <w:t>Гос-е</w:t>
            </w:r>
            <w:proofErr w:type="spellEnd"/>
          </w:p>
          <w:p w:rsidR="00000000" w:rsidRDefault="00000000">
            <w:pPr>
              <w:spacing w:line="240" w:lineRule="auto"/>
              <w:jc w:val="center"/>
              <w:rPr>
                <w:bCs/>
                <w:sz w:val="18"/>
              </w:rPr>
            </w:pPr>
            <w:r>
              <w:rPr>
                <w:bCs/>
                <w:sz w:val="18"/>
              </w:rPr>
              <w:t>служащие</w:t>
            </w:r>
          </w:p>
        </w:tc>
        <w:tc>
          <w:tcPr>
            <w:tcW w:w="487" w:type="pct"/>
            <w:vMerge w:val="restart"/>
            <w:vAlign w:val="center"/>
          </w:tcPr>
          <w:p w:rsidR="00000000" w:rsidRDefault="00000000">
            <w:pPr>
              <w:spacing w:line="240" w:lineRule="auto"/>
              <w:jc w:val="center"/>
              <w:rPr>
                <w:bCs/>
                <w:sz w:val="18"/>
              </w:rPr>
            </w:pPr>
            <w:r>
              <w:rPr>
                <w:bCs/>
                <w:sz w:val="18"/>
              </w:rPr>
              <w:t>Группы</w:t>
            </w:r>
          </w:p>
          <w:p w:rsidR="00000000" w:rsidRDefault="00000000">
            <w:pPr>
              <w:spacing w:line="240" w:lineRule="auto"/>
              <w:jc w:val="center"/>
              <w:rPr>
                <w:bCs/>
                <w:sz w:val="18"/>
              </w:rPr>
            </w:pPr>
            <w:r>
              <w:rPr>
                <w:bCs/>
                <w:sz w:val="18"/>
              </w:rPr>
              <w:t>социальной</w:t>
            </w:r>
          </w:p>
          <w:p w:rsidR="00000000" w:rsidRDefault="00000000">
            <w:pPr>
              <w:spacing w:line="240" w:lineRule="auto"/>
              <w:jc w:val="center"/>
              <w:rPr>
                <w:bCs/>
                <w:sz w:val="18"/>
              </w:rPr>
            </w:pPr>
            <w:r>
              <w:rPr>
                <w:bCs/>
                <w:sz w:val="18"/>
              </w:rPr>
              <w:t>зачистки</w:t>
            </w:r>
          </w:p>
        </w:tc>
        <w:tc>
          <w:tcPr>
            <w:tcW w:w="223" w:type="pct"/>
            <w:vMerge w:val="restart"/>
            <w:vAlign w:val="center"/>
          </w:tcPr>
          <w:p w:rsidR="00000000" w:rsidRDefault="00000000">
            <w:pPr>
              <w:spacing w:line="240" w:lineRule="auto"/>
              <w:jc w:val="center"/>
              <w:rPr>
                <w:bCs/>
                <w:sz w:val="18"/>
              </w:rPr>
            </w:pPr>
            <w:proofErr w:type="spellStart"/>
            <w:r>
              <w:rPr>
                <w:bCs/>
                <w:sz w:val="18"/>
              </w:rPr>
              <w:t>ЭЛН</w:t>
            </w:r>
            <w:proofErr w:type="spellEnd"/>
          </w:p>
        </w:tc>
        <w:tc>
          <w:tcPr>
            <w:tcW w:w="295" w:type="pct"/>
            <w:vMerge w:val="restart"/>
            <w:vAlign w:val="center"/>
          </w:tcPr>
          <w:p w:rsidR="00000000" w:rsidRDefault="00000000">
            <w:pPr>
              <w:spacing w:line="240" w:lineRule="auto"/>
              <w:jc w:val="center"/>
              <w:rPr>
                <w:bCs/>
                <w:sz w:val="18"/>
              </w:rPr>
            </w:pPr>
            <w:proofErr w:type="spellStart"/>
            <w:r>
              <w:rPr>
                <w:bCs/>
                <w:sz w:val="18"/>
              </w:rPr>
              <w:t>ФАРК</w:t>
            </w:r>
            <w:proofErr w:type="spellEnd"/>
          </w:p>
        </w:tc>
        <w:tc>
          <w:tcPr>
            <w:tcW w:w="208" w:type="pct"/>
            <w:vMerge w:val="restart"/>
            <w:vAlign w:val="center"/>
          </w:tcPr>
          <w:p w:rsidR="00000000" w:rsidRDefault="00000000">
            <w:pPr>
              <w:spacing w:line="240" w:lineRule="auto"/>
              <w:jc w:val="center"/>
              <w:rPr>
                <w:bCs/>
                <w:sz w:val="18"/>
              </w:rPr>
            </w:pPr>
            <w:proofErr w:type="spellStart"/>
            <w:r>
              <w:rPr>
                <w:bCs/>
                <w:sz w:val="18"/>
              </w:rPr>
              <w:t>ЭРП</w:t>
            </w:r>
            <w:proofErr w:type="spellEnd"/>
          </w:p>
        </w:tc>
        <w:tc>
          <w:tcPr>
            <w:tcW w:w="212" w:type="pct"/>
            <w:vMerge w:val="restart"/>
            <w:vAlign w:val="center"/>
          </w:tcPr>
          <w:p w:rsidR="00000000" w:rsidRDefault="00000000">
            <w:pPr>
              <w:spacing w:line="240" w:lineRule="auto"/>
              <w:jc w:val="center"/>
              <w:rPr>
                <w:bCs/>
                <w:sz w:val="18"/>
              </w:rPr>
            </w:pPr>
            <w:r>
              <w:rPr>
                <w:bCs/>
                <w:sz w:val="18"/>
              </w:rPr>
              <w:t>ЭПЛ</w:t>
            </w:r>
          </w:p>
        </w:tc>
      </w:tr>
      <w:tr w:rsidR="00000000">
        <w:tblPrEx>
          <w:tblCellMar>
            <w:top w:w="0" w:type="dxa"/>
            <w:bottom w:w="0" w:type="dxa"/>
          </w:tblCellMar>
        </w:tblPrEx>
        <w:trPr>
          <w:cantSplit/>
          <w:trHeight w:val="304"/>
        </w:trPr>
        <w:tc>
          <w:tcPr>
            <w:tcW w:w="483" w:type="pct"/>
            <w:vMerge/>
            <w:vAlign w:val="center"/>
          </w:tcPr>
          <w:p w:rsidR="00000000" w:rsidRDefault="00000000">
            <w:pPr>
              <w:spacing w:line="240" w:lineRule="auto"/>
              <w:rPr>
                <w:sz w:val="18"/>
              </w:rPr>
            </w:pPr>
          </w:p>
        </w:tc>
        <w:tc>
          <w:tcPr>
            <w:tcW w:w="419" w:type="pct"/>
            <w:vMerge/>
            <w:vAlign w:val="center"/>
          </w:tcPr>
          <w:p w:rsidR="00000000" w:rsidRDefault="00000000">
            <w:pPr>
              <w:spacing w:line="240" w:lineRule="auto"/>
              <w:rPr>
                <w:sz w:val="18"/>
              </w:rPr>
            </w:pPr>
          </w:p>
        </w:tc>
        <w:tc>
          <w:tcPr>
            <w:tcW w:w="616" w:type="pct"/>
            <w:vMerge/>
            <w:vAlign w:val="center"/>
          </w:tcPr>
          <w:p w:rsidR="00000000" w:rsidRDefault="00000000">
            <w:pPr>
              <w:spacing w:line="240" w:lineRule="auto"/>
              <w:rPr>
                <w:sz w:val="18"/>
              </w:rPr>
            </w:pPr>
          </w:p>
        </w:tc>
        <w:tc>
          <w:tcPr>
            <w:tcW w:w="602" w:type="pct"/>
            <w:vMerge/>
            <w:vAlign w:val="center"/>
          </w:tcPr>
          <w:p w:rsidR="00000000" w:rsidRDefault="00000000">
            <w:pPr>
              <w:spacing w:line="240" w:lineRule="auto"/>
              <w:rPr>
                <w:sz w:val="18"/>
              </w:rPr>
            </w:pPr>
          </w:p>
        </w:tc>
        <w:tc>
          <w:tcPr>
            <w:tcW w:w="585" w:type="pct"/>
            <w:vMerge/>
            <w:vAlign w:val="center"/>
          </w:tcPr>
          <w:p w:rsidR="00000000" w:rsidRDefault="00000000">
            <w:pPr>
              <w:spacing w:line="240" w:lineRule="auto"/>
              <w:rPr>
                <w:sz w:val="18"/>
              </w:rPr>
            </w:pPr>
          </w:p>
        </w:tc>
        <w:tc>
          <w:tcPr>
            <w:tcW w:w="371" w:type="pct"/>
            <w:vMerge/>
            <w:vAlign w:val="center"/>
          </w:tcPr>
          <w:p w:rsidR="00000000" w:rsidRDefault="00000000">
            <w:pPr>
              <w:spacing w:line="240" w:lineRule="auto"/>
              <w:rPr>
                <w:sz w:val="18"/>
              </w:rPr>
            </w:pPr>
          </w:p>
        </w:tc>
        <w:tc>
          <w:tcPr>
            <w:tcW w:w="496" w:type="pct"/>
            <w:vMerge/>
            <w:vAlign w:val="center"/>
          </w:tcPr>
          <w:p w:rsidR="00000000" w:rsidRDefault="00000000">
            <w:pPr>
              <w:spacing w:line="240" w:lineRule="auto"/>
              <w:rPr>
                <w:sz w:val="18"/>
              </w:rPr>
            </w:pPr>
          </w:p>
        </w:tc>
        <w:tc>
          <w:tcPr>
            <w:tcW w:w="487" w:type="pct"/>
            <w:vMerge/>
            <w:vAlign w:val="center"/>
          </w:tcPr>
          <w:p w:rsidR="00000000" w:rsidRDefault="00000000">
            <w:pPr>
              <w:spacing w:line="240" w:lineRule="auto"/>
              <w:rPr>
                <w:sz w:val="18"/>
              </w:rPr>
            </w:pPr>
          </w:p>
        </w:tc>
        <w:tc>
          <w:tcPr>
            <w:tcW w:w="223" w:type="pct"/>
            <w:vMerge/>
            <w:vAlign w:val="center"/>
          </w:tcPr>
          <w:p w:rsidR="00000000" w:rsidRDefault="00000000">
            <w:pPr>
              <w:spacing w:line="240" w:lineRule="auto"/>
              <w:rPr>
                <w:sz w:val="18"/>
              </w:rPr>
            </w:pPr>
          </w:p>
        </w:tc>
        <w:tc>
          <w:tcPr>
            <w:tcW w:w="295" w:type="pct"/>
            <w:vMerge/>
            <w:vAlign w:val="center"/>
          </w:tcPr>
          <w:p w:rsidR="00000000" w:rsidRDefault="00000000">
            <w:pPr>
              <w:spacing w:line="240" w:lineRule="auto"/>
              <w:rPr>
                <w:sz w:val="18"/>
              </w:rPr>
            </w:pPr>
          </w:p>
        </w:tc>
        <w:tc>
          <w:tcPr>
            <w:tcW w:w="208" w:type="pct"/>
            <w:vMerge/>
            <w:vAlign w:val="center"/>
          </w:tcPr>
          <w:p w:rsidR="00000000" w:rsidRDefault="00000000">
            <w:pPr>
              <w:spacing w:line="240" w:lineRule="auto"/>
              <w:rPr>
                <w:sz w:val="18"/>
              </w:rPr>
            </w:pPr>
          </w:p>
        </w:tc>
        <w:tc>
          <w:tcPr>
            <w:tcW w:w="212" w:type="pct"/>
            <w:vMerge/>
            <w:vAlign w:val="center"/>
          </w:tcPr>
          <w:p w:rsidR="00000000" w:rsidRDefault="00000000">
            <w:pPr>
              <w:spacing w:line="240" w:lineRule="auto"/>
              <w:rPr>
                <w:sz w:val="18"/>
              </w:rPr>
            </w:pPr>
          </w:p>
        </w:tc>
      </w:tr>
      <w:tr w:rsidR="00000000">
        <w:tblPrEx>
          <w:tblCellMar>
            <w:top w:w="0" w:type="dxa"/>
            <w:bottom w:w="0" w:type="dxa"/>
          </w:tblCellMar>
        </w:tblPrEx>
        <w:tc>
          <w:tcPr>
            <w:tcW w:w="483" w:type="pct"/>
            <w:vAlign w:val="bottom"/>
          </w:tcPr>
          <w:p w:rsidR="00000000" w:rsidRDefault="00000000">
            <w:pPr>
              <w:spacing w:line="240" w:lineRule="auto"/>
              <w:jc w:val="center"/>
              <w:rPr>
                <w:sz w:val="18"/>
              </w:rPr>
            </w:pPr>
            <w:r>
              <w:rPr>
                <w:sz w:val="18"/>
              </w:rPr>
              <w:t>1997</w:t>
            </w:r>
          </w:p>
        </w:tc>
        <w:tc>
          <w:tcPr>
            <w:tcW w:w="419" w:type="pct"/>
            <w:vAlign w:val="bottom"/>
          </w:tcPr>
          <w:p w:rsidR="00000000" w:rsidRDefault="00000000">
            <w:pPr>
              <w:spacing w:line="240" w:lineRule="auto"/>
              <w:jc w:val="center"/>
              <w:rPr>
                <w:sz w:val="18"/>
              </w:rPr>
            </w:pPr>
            <w:r>
              <w:rPr>
                <w:sz w:val="18"/>
              </w:rPr>
              <w:t>222</w:t>
            </w:r>
          </w:p>
        </w:tc>
        <w:tc>
          <w:tcPr>
            <w:tcW w:w="616" w:type="pct"/>
            <w:vAlign w:val="bottom"/>
          </w:tcPr>
          <w:p w:rsidR="00000000" w:rsidRDefault="00000000">
            <w:pPr>
              <w:spacing w:line="240" w:lineRule="auto"/>
              <w:jc w:val="center"/>
              <w:rPr>
                <w:sz w:val="18"/>
              </w:rPr>
            </w:pPr>
            <w:r>
              <w:rPr>
                <w:sz w:val="18"/>
              </w:rPr>
              <w:t>177</w:t>
            </w:r>
          </w:p>
        </w:tc>
        <w:tc>
          <w:tcPr>
            <w:tcW w:w="602" w:type="pct"/>
            <w:vAlign w:val="bottom"/>
          </w:tcPr>
          <w:p w:rsidR="00000000" w:rsidRDefault="00000000">
            <w:pPr>
              <w:spacing w:line="240" w:lineRule="auto"/>
              <w:jc w:val="center"/>
              <w:rPr>
                <w:sz w:val="18"/>
              </w:rPr>
            </w:pPr>
            <w:r>
              <w:rPr>
                <w:sz w:val="18"/>
              </w:rPr>
              <w:t>21</w:t>
            </w:r>
          </w:p>
        </w:tc>
        <w:tc>
          <w:tcPr>
            <w:tcW w:w="585" w:type="pct"/>
            <w:vAlign w:val="bottom"/>
          </w:tcPr>
          <w:p w:rsidR="00000000" w:rsidRDefault="00000000">
            <w:pPr>
              <w:spacing w:line="240" w:lineRule="auto"/>
              <w:jc w:val="center"/>
              <w:rPr>
                <w:sz w:val="18"/>
              </w:rPr>
            </w:pPr>
            <w:r>
              <w:rPr>
                <w:sz w:val="18"/>
              </w:rPr>
              <w:t>1</w:t>
            </w:r>
          </w:p>
        </w:tc>
        <w:tc>
          <w:tcPr>
            <w:tcW w:w="371" w:type="pct"/>
            <w:vAlign w:val="bottom"/>
          </w:tcPr>
          <w:p w:rsidR="00000000" w:rsidRDefault="00000000">
            <w:pPr>
              <w:spacing w:line="240" w:lineRule="auto"/>
              <w:jc w:val="center"/>
              <w:rPr>
                <w:sz w:val="18"/>
              </w:rPr>
            </w:pPr>
            <w:r>
              <w:rPr>
                <w:sz w:val="18"/>
              </w:rPr>
              <w:t>22</w:t>
            </w:r>
          </w:p>
        </w:tc>
        <w:tc>
          <w:tcPr>
            <w:tcW w:w="496" w:type="pct"/>
            <w:vAlign w:val="bottom"/>
          </w:tcPr>
          <w:p w:rsidR="00000000" w:rsidRDefault="00000000">
            <w:pPr>
              <w:spacing w:line="240" w:lineRule="auto"/>
              <w:jc w:val="center"/>
              <w:rPr>
                <w:sz w:val="18"/>
              </w:rPr>
            </w:pPr>
            <w:r>
              <w:rPr>
                <w:sz w:val="18"/>
              </w:rPr>
              <w:t>0</w:t>
            </w:r>
          </w:p>
        </w:tc>
        <w:tc>
          <w:tcPr>
            <w:tcW w:w="487" w:type="pct"/>
            <w:vAlign w:val="bottom"/>
          </w:tcPr>
          <w:p w:rsidR="00000000" w:rsidRDefault="00000000">
            <w:pPr>
              <w:spacing w:line="240" w:lineRule="auto"/>
              <w:jc w:val="center"/>
              <w:rPr>
                <w:sz w:val="18"/>
              </w:rPr>
            </w:pPr>
            <w:r>
              <w:rPr>
                <w:sz w:val="18"/>
              </w:rPr>
              <w:t>0</w:t>
            </w:r>
          </w:p>
        </w:tc>
        <w:tc>
          <w:tcPr>
            <w:tcW w:w="223" w:type="pct"/>
            <w:vAlign w:val="bottom"/>
          </w:tcPr>
          <w:p w:rsidR="00000000" w:rsidRDefault="00000000">
            <w:pPr>
              <w:spacing w:line="240" w:lineRule="auto"/>
              <w:jc w:val="center"/>
              <w:rPr>
                <w:sz w:val="18"/>
              </w:rPr>
            </w:pPr>
            <w:r>
              <w:rPr>
                <w:sz w:val="18"/>
              </w:rPr>
              <w:t>0</w:t>
            </w:r>
          </w:p>
        </w:tc>
        <w:tc>
          <w:tcPr>
            <w:tcW w:w="295" w:type="pct"/>
            <w:vAlign w:val="bottom"/>
          </w:tcPr>
          <w:p w:rsidR="00000000" w:rsidRDefault="00000000">
            <w:pPr>
              <w:spacing w:line="240" w:lineRule="auto"/>
              <w:jc w:val="center"/>
              <w:rPr>
                <w:sz w:val="18"/>
              </w:rPr>
            </w:pPr>
            <w:r>
              <w:rPr>
                <w:sz w:val="18"/>
              </w:rPr>
              <w:t>1</w:t>
            </w:r>
          </w:p>
        </w:tc>
        <w:tc>
          <w:tcPr>
            <w:tcW w:w="208" w:type="pct"/>
            <w:vAlign w:val="bottom"/>
          </w:tcPr>
          <w:p w:rsidR="00000000" w:rsidRDefault="00000000">
            <w:pPr>
              <w:spacing w:line="240" w:lineRule="auto"/>
              <w:jc w:val="center"/>
              <w:rPr>
                <w:sz w:val="18"/>
              </w:rPr>
            </w:pPr>
            <w:r>
              <w:rPr>
                <w:sz w:val="18"/>
              </w:rPr>
              <w:t>0</w:t>
            </w:r>
          </w:p>
        </w:tc>
        <w:tc>
          <w:tcPr>
            <w:tcW w:w="212" w:type="pct"/>
            <w:vAlign w:val="bottom"/>
          </w:tcPr>
          <w:p w:rsidR="00000000" w:rsidRDefault="00000000">
            <w:pPr>
              <w:spacing w:line="240" w:lineRule="auto"/>
              <w:jc w:val="center"/>
              <w:rPr>
                <w:sz w:val="18"/>
              </w:rPr>
            </w:pPr>
            <w:r>
              <w:rPr>
                <w:sz w:val="18"/>
              </w:rPr>
              <w:t>0</w:t>
            </w:r>
          </w:p>
        </w:tc>
      </w:tr>
      <w:tr w:rsidR="00000000">
        <w:tblPrEx>
          <w:tblCellMar>
            <w:top w:w="0" w:type="dxa"/>
            <w:bottom w:w="0" w:type="dxa"/>
          </w:tblCellMar>
        </w:tblPrEx>
        <w:tc>
          <w:tcPr>
            <w:tcW w:w="483" w:type="pct"/>
            <w:vAlign w:val="bottom"/>
          </w:tcPr>
          <w:p w:rsidR="00000000" w:rsidRDefault="00000000">
            <w:pPr>
              <w:spacing w:line="240" w:lineRule="auto"/>
              <w:jc w:val="center"/>
              <w:rPr>
                <w:sz w:val="18"/>
              </w:rPr>
            </w:pPr>
            <w:r>
              <w:rPr>
                <w:sz w:val="18"/>
              </w:rPr>
              <w:t>1998</w:t>
            </w:r>
          </w:p>
        </w:tc>
        <w:tc>
          <w:tcPr>
            <w:tcW w:w="419" w:type="pct"/>
            <w:vAlign w:val="bottom"/>
          </w:tcPr>
          <w:p w:rsidR="00000000" w:rsidRDefault="00000000">
            <w:pPr>
              <w:spacing w:line="240" w:lineRule="auto"/>
              <w:jc w:val="center"/>
              <w:rPr>
                <w:sz w:val="18"/>
              </w:rPr>
            </w:pPr>
            <w:r>
              <w:rPr>
                <w:sz w:val="18"/>
              </w:rPr>
              <w:t>124</w:t>
            </w:r>
          </w:p>
        </w:tc>
        <w:tc>
          <w:tcPr>
            <w:tcW w:w="616" w:type="pct"/>
            <w:vAlign w:val="bottom"/>
          </w:tcPr>
          <w:p w:rsidR="00000000" w:rsidRDefault="00000000">
            <w:pPr>
              <w:spacing w:line="240" w:lineRule="auto"/>
              <w:jc w:val="center"/>
              <w:rPr>
                <w:sz w:val="18"/>
              </w:rPr>
            </w:pPr>
            <w:r>
              <w:rPr>
                <w:sz w:val="18"/>
              </w:rPr>
              <w:t>76</w:t>
            </w:r>
          </w:p>
        </w:tc>
        <w:tc>
          <w:tcPr>
            <w:tcW w:w="602" w:type="pct"/>
            <w:vAlign w:val="bottom"/>
          </w:tcPr>
          <w:p w:rsidR="00000000" w:rsidRDefault="00000000">
            <w:pPr>
              <w:spacing w:line="240" w:lineRule="auto"/>
              <w:jc w:val="center"/>
              <w:rPr>
                <w:sz w:val="18"/>
              </w:rPr>
            </w:pPr>
            <w:r>
              <w:rPr>
                <w:sz w:val="18"/>
              </w:rPr>
              <w:t>32</w:t>
            </w:r>
          </w:p>
        </w:tc>
        <w:tc>
          <w:tcPr>
            <w:tcW w:w="585" w:type="pct"/>
            <w:vAlign w:val="bottom"/>
          </w:tcPr>
          <w:p w:rsidR="00000000" w:rsidRDefault="00000000">
            <w:pPr>
              <w:spacing w:line="240" w:lineRule="auto"/>
              <w:jc w:val="center"/>
              <w:rPr>
                <w:sz w:val="18"/>
              </w:rPr>
            </w:pPr>
            <w:r>
              <w:rPr>
                <w:sz w:val="18"/>
              </w:rPr>
              <w:t>0</w:t>
            </w:r>
          </w:p>
        </w:tc>
        <w:tc>
          <w:tcPr>
            <w:tcW w:w="371" w:type="pct"/>
            <w:vAlign w:val="bottom"/>
          </w:tcPr>
          <w:p w:rsidR="00000000" w:rsidRDefault="00000000">
            <w:pPr>
              <w:spacing w:line="240" w:lineRule="auto"/>
              <w:jc w:val="center"/>
              <w:rPr>
                <w:sz w:val="18"/>
              </w:rPr>
            </w:pPr>
            <w:r>
              <w:rPr>
                <w:sz w:val="18"/>
              </w:rPr>
              <w:t>9</w:t>
            </w:r>
          </w:p>
        </w:tc>
        <w:tc>
          <w:tcPr>
            <w:tcW w:w="496" w:type="pct"/>
            <w:vAlign w:val="bottom"/>
          </w:tcPr>
          <w:p w:rsidR="00000000" w:rsidRDefault="00000000">
            <w:pPr>
              <w:spacing w:line="240" w:lineRule="auto"/>
              <w:jc w:val="center"/>
              <w:rPr>
                <w:sz w:val="18"/>
              </w:rPr>
            </w:pPr>
            <w:r>
              <w:rPr>
                <w:sz w:val="18"/>
              </w:rPr>
              <w:t>0</w:t>
            </w:r>
          </w:p>
        </w:tc>
        <w:tc>
          <w:tcPr>
            <w:tcW w:w="487" w:type="pct"/>
            <w:vAlign w:val="bottom"/>
          </w:tcPr>
          <w:p w:rsidR="00000000" w:rsidRDefault="00000000">
            <w:pPr>
              <w:spacing w:line="240" w:lineRule="auto"/>
              <w:jc w:val="center"/>
              <w:rPr>
                <w:sz w:val="18"/>
              </w:rPr>
            </w:pPr>
            <w:r>
              <w:rPr>
                <w:sz w:val="18"/>
              </w:rPr>
              <w:t>6</w:t>
            </w:r>
          </w:p>
        </w:tc>
        <w:tc>
          <w:tcPr>
            <w:tcW w:w="223" w:type="pct"/>
            <w:vAlign w:val="bottom"/>
          </w:tcPr>
          <w:p w:rsidR="00000000" w:rsidRDefault="00000000">
            <w:pPr>
              <w:spacing w:line="240" w:lineRule="auto"/>
              <w:jc w:val="center"/>
              <w:rPr>
                <w:sz w:val="18"/>
              </w:rPr>
            </w:pPr>
            <w:r>
              <w:rPr>
                <w:sz w:val="18"/>
              </w:rPr>
              <w:t>1</w:t>
            </w:r>
          </w:p>
        </w:tc>
        <w:tc>
          <w:tcPr>
            <w:tcW w:w="295" w:type="pct"/>
            <w:vAlign w:val="bottom"/>
          </w:tcPr>
          <w:p w:rsidR="00000000" w:rsidRDefault="00000000">
            <w:pPr>
              <w:spacing w:line="240" w:lineRule="auto"/>
              <w:jc w:val="center"/>
              <w:rPr>
                <w:sz w:val="18"/>
              </w:rPr>
            </w:pPr>
            <w:r>
              <w:rPr>
                <w:sz w:val="18"/>
              </w:rPr>
              <w:t>0</w:t>
            </w:r>
          </w:p>
        </w:tc>
        <w:tc>
          <w:tcPr>
            <w:tcW w:w="208" w:type="pct"/>
            <w:vAlign w:val="bottom"/>
          </w:tcPr>
          <w:p w:rsidR="00000000" w:rsidRDefault="00000000">
            <w:pPr>
              <w:spacing w:line="240" w:lineRule="auto"/>
              <w:jc w:val="center"/>
              <w:rPr>
                <w:sz w:val="18"/>
              </w:rPr>
            </w:pPr>
            <w:r>
              <w:rPr>
                <w:sz w:val="18"/>
              </w:rPr>
              <w:t>0</w:t>
            </w:r>
          </w:p>
        </w:tc>
        <w:tc>
          <w:tcPr>
            <w:tcW w:w="212" w:type="pct"/>
            <w:vAlign w:val="bottom"/>
          </w:tcPr>
          <w:p w:rsidR="00000000" w:rsidRDefault="00000000">
            <w:pPr>
              <w:spacing w:line="240" w:lineRule="auto"/>
              <w:jc w:val="center"/>
              <w:rPr>
                <w:sz w:val="18"/>
              </w:rPr>
            </w:pPr>
            <w:r>
              <w:rPr>
                <w:sz w:val="18"/>
              </w:rPr>
              <w:t>0</w:t>
            </w:r>
          </w:p>
        </w:tc>
      </w:tr>
      <w:tr w:rsidR="00000000">
        <w:tblPrEx>
          <w:tblCellMar>
            <w:top w:w="0" w:type="dxa"/>
            <w:bottom w:w="0" w:type="dxa"/>
          </w:tblCellMar>
        </w:tblPrEx>
        <w:tc>
          <w:tcPr>
            <w:tcW w:w="483" w:type="pct"/>
            <w:vAlign w:val="bottom"/>
          </w:tcPr>
          <w:p w:rsidR="00000000" w:rsidRDefault="00000000">
            <w:pPr>
              <w:spacing w:line="240" w:lineRule="auto"/>
              <w:jc w:val="center"/>
              <w:rPr>
                <w:sz w:val="18"/>
              </w:rPr>
            </w:pPr>
            <w:r>
              <w:rPr>
                <w:sz w:val="18"/>
              </w:rPr>
              <w:t>1999</w:t>
            </w:r>
          </w:p>
        </w:tc>
        <w:tc>
          <w:tcPr>
            <w:tcW w:w="419" w:type="pct"/>
            <w:vAlign w:val="bottom"/>
          </w:tcPr>
          <w:p w:rsidR="00000000" w:rsidRDefault="00000000">
            <w:pPr>
              <w:spacing w:line="240" w:lineRule="auto"/>
              <w:jc w:val="center"/>
              <w:rPr>
                <w:sz w:val="18"/>
              </w:rPr>
            </w:pPr>
            <w:r>
              <w:rPr>
                <w:sz w:val="18"/>
              </w:rPr>
              <w:t>166</w:t>
            </w:r>
          </w:p>
        </w:tc>
        <w:tc>
          <w:tcPr>
            <w:tcW w:w="616" w:type="pct"/>
            <w:vAlign w:val="bottom"/>
          </w:tcPr>
          <w:p w:rsidR="00000000" w:rsidRDefault="00000000">
            <w:pPr>
              <w:spacing w:line="240" w:lineRule="auto"/>
              <w:jc w:val="center"/>
              <w:rPr>
                <w:sz w:val="18"/>
              </w:rPr>
            </w:pPr>
            <w:r>
              <w:rPr>
                <w:sz w:val="18"/>
              </w:rPr>
              <w:t>57</w:t>
            </w:r>
          </w:p>
        </w:tc>
        <w:tc>
          <w:tcPr>
            <w:tcW w:w="602" w:type="pct"/>
            <w:vAlign w:val="bottom"/>
          </w:tcPr>
          <w:p w:rsidR="00000000" w:rsidRDefault="00000000">
            <w:pPr>
              <w:spacing w:line="240" w:lineRule="auto"/>
              <w:jc w:val="center"/>
              <w:rPr>
                <w:sz w:val="18"/>
              </w:rPr>
            </w:pPr>
            <w:r>
              <w:rPr>
                <w:sz w:val="18"/>
              </w:rPr>
              <w:t>47</w:t>
            </w:r>
          </w:p>
        </w:tc>
        <w:tc>
          <w:tcPr>
            <w:tcW w:w="585" w:type="pct"/>
            <w:vAlign w:val="bottom"/>
          </w:tcPr>
          <w:p w:rsidR="00000000" w:rsidRDefault="00000000">
            <w:pPr>
              <w:spacing w:line="240" w:lineRule="auto"/>
              <w:jc w:val="center"/>
              <w:rPr>
                <w:sz w:val="18"/>
              </w:rPr>
            </w:pPr>
            <w:r>
              <w:rPr>
                <w:sz w:val="18"/>
              </w:rPr>
              <w:t>0</w:t>
            </w:r>
          </w:p>
        </w:tc>
        <w:tc>
          <w:tcPr>
            <w:tcW w:w="371" w:type="pct"/>
            <w:vAlign w:val="bottom"/>
          </w:tcPr>
          <w:p w:rsidR="00000000" w:rsidRDefault="00000000">
            <w:pPr>
              <w:spacing w:line="240" w:lineRule="auto"/>
              <w:jc w:val="center"/>
              <w:rPr>
                <w:sz w:val="18"/>
              </w:rPr>
            </w:pPr>
            <w:r>
              <w:rPr>
                <w:sz w:val="18"/>
              </w:rPr>
              <w:t>14</w:t>
            </w:r>
          </w:p>
        </w:tc>
        <w:tc>
          <w:tcPr>
            <w:tcW w:w="496" w:type="pct"/>
            <w:vAlign w:val="bottom"/>
          </w:tcPr>
          <w:p w:rsidR="00000000" w:rsidRDefault="00000000">
            <w:pPr>
              <w:spacing w:line="240" w:lineRule="auto"/>
              <w:jc w:val="center"/>
              <w:rPr>
                <w:sz w:val="18"/>
              </w:rPr>
            </w:pPr>
            <w:r>
              <w:rPr>
                <w:sz w:val="18"/>
              </w:rPr>
              <w:t>35</w:t>
            </w:r>
          </w:p>
        </w:tc>
        <w:tc>
          <w:tcPr>
            <w:tcW w:w="487" w:type="pct"/>
            <w:vAlign w:val="bottom"/>
          </w:tcPr>
          <w:p w:rsidR="00000000" w:rsidRDefault="00000000">
            <w:pPr>
              <w:spacing w:line="240" w:lineRule="auto"/>
              <w:jc w:val="center"/>
              <w:rPr>
                <w:sz w:val="18"/>
              </w:rPr>
            </w:pPr>
            <w:r>
              <w:rPr>
                <w:sz w:val="18"/>
              </w:rPr>
              <w:t>1</w:t>
            </w:r>
          </w:p>
        </w:tc>
        <w:tc>
          <w:tcPr>
            <w:tcW w:w="223" w:type="pct"/>
            <w:vAlign w:val="bottom"/>
          </w:tcPr>
          <w:p w:rsidR="00000000" w:rsidRDefault="00000000">
            <w:pPr>
              <w:spacing w:line="240" w:lineRule="auto"/>
              <w:jc w:val="center"/>
              <w:rPr>
                <w:sz w:val="18"/>
              </w:rPr>
            </w:pPr>
            <w:r>
              <w:rPr>
                <w:sz w:val="18"/>
              </w:rPr>
              <w:t>0</w:t>
            </w:r>
          </w:p>
        </w:tc>
        <w:tc>
          <w:tcPr>
            <w:tcW w:w="295" w:type="pct"/>
            <w:vAlign w:val="bottom"/>
          </w:tcPr>
          <w:p w:rsidR="00000000" w:rsidRDefault="00000000">
            <w:pPr>
              <w:spacing w:line="240" w:lineRule="auto"/>
              <w:jc w:val="center"/>
              <w:rPr>
                <w:sz w:val="18"/>
              </w:rPr>
            </w:pPr>
            <w:r>
              <w:rPr>
                <w:sz w:val="18"/>
              </w:rPr>
              <w:t>11</w:t>
            </w:r>
          </w:p>
        </w:tc>
        <w:tc>
          <w:tcPr>
            <w:tcW w:w="208" w:type="pct"/>
            <w:vAlign w:val="bottom"/>
          </w:tcPr>
          <w:p w:rsidR="00000000" w:rsidRDefault="00000000">
            <w:pPr>
              <w:spacing w:line="240" w:lineRule="auto"/>
              <w:jc w:val="center"/>
              <w:rPr>
                <w:sz w:val="18"/>
              </w:rPr>
            </w:pPr>
            <w:r>
              <w:rPr>
                <w:sz w:val="18"/>
              </w:rPr>
              <w:t>1</w:t>
            </w:r>
          </w:p>
        </w:tc>
        <w:tc>
          <w:tcPr>
            <w:tcW w:w="212" w:type="pct"/>
            <w:vAlign w:val="bottom"/>
          </w:tcPr>
          <w:p w:rsidR="00000000" w:rsidRDefault="00000000">
            <w:pPr>
              <w:spacing w:line="240" w:lineRule="auto"/>
              <w:jc w:val="center"/>
              <w:rPr>
                <w:sz w:val="18"/>
              </w:rPr>
            </w:pPr>
            <w:r>
              <w:rPr>
                <w:sz w:val="18"/>
              </w:rPr>
              <w:t>0</w:t>
            </w:r>
          </w:p>
        </w:tc>
      </w:tr>
      <w:tr w:rsidR="00000000">
        <w:tblPrEx>
          <w:tblCellMar>
            <w:top w:w="0" w:type="dxa"/>
            <w:bottom w:w="0" w:type="dxa"/>
          </w:tblCellMar>
        </w:tblPrEx>
        <w:tc>
          <w:tcPr>
            <w:tcW w:w="483" w:type="pct"/>
            <w:vAlign w:val="bottom"/>
          </w:tcPr>
          <w:p w:rsidR="00000000" w:rsidRDefault="00000000">
            <w:pPr>
              <w:spacing w:line="240" w:lineRule="auto"/>
              <w:jc w:val="center"/>
              <w:rPr>
                <w:sz w:val="18"/>
              </w:rPr>
            </w:pPr>
            <w:r>
              <w:rPr>
                <w:sz w:val="18"/>
              </w:rPr>
              <w:t>2000</w:t>
            </w:r>
            <w:r>
              <w:rPr>
                <w:b/>
                <w:bCs/>
                <w:sz w:val="18"/>
                <w:vertAlign w:val="superscript"/>
              </w:rPr>
              <w:t>a</w:t>
            </w:r>
          </w:p>
        </w:tc>
        <w:tc>
          <w:tcPr>
            <w:tcW w:w="419" w:type="pct"/>
            <w:vAlign w:val="bottom"/>
          </w:tcPr>
          <w:p w:rsidR="00000000" w:rsidRDefault="00000000">
            <w:pPr>
              <w:spacing w:line="240" w:lineRule="auto"/>
              <w:jc w:val="center"/>
              <w:rPr>
                <w:sz w:val="18"/>
              </w:rPr>
            </w:pPr>
            <w:r>
              <w:rPr>
                <w:sz w:val="18"/>
              </w:rPr>
              <w:t>420</w:t>
            </w:r>
          </w:p>
        </w:tc>
        <w:tc>
          <w:tcPr>
            <w:tcW w:w="616" w:type="pct"/>
            <w:vAlign w:val="bottom"/>
          </w:tcPr>
          <w:p w:rsidR="00000000" w:rsidRDefault="00000000">
            <w:pPr>
              <w:spacing w:line="240" w:lineRule="auto"/>
              <w:jc w:val="center"/>
              <w:rPr>
                <w:sz w:val="18"/>
              </w:rPr>
            </w:pPr>
            <w:r>
              <w:rPr>
                <w:sz w:val="18"/>
              </w:rPr>
              <w:t>274</w:t>
            </w:r>
          </w:p>
        </w:tc>
        <w:tc>
          <w:tcPr>
            <w:tcW w:w="602" w:type="pct"/>
            <w:vAlign w:val="bottom"/>
          </w:tcPr>
          <w:p w:rsidR="00000000" w:rsidRDefault="00000000">
            <w:pPr>
              <w:spacing w:line="240" w:lineRule="auto"/>
              <w:jc w:val="center"/>
              <w:rPr>
                <w:sz w:val="18"/>
              </w:rPr>
            </w:pPr>
            <w:r>
              <w:rPr>
                <w:sz w:val="18"/>
              </w:rPr>
              <w:t>98</w:t>
            </w:r>
          </w:p>
        </w:tc>
        <w:tc>
          <w:tcPr>
            <w:tcW w:w="585" w:type="pct"/>
            <w:vAlign w:val="bottom"/>
          </w:tcPr>
          <w:p w:rsidR="00000000" w:rsidRDefault="00000000">
            <w:pPr>
              <w:spacing w:line="240" w:lineRule="auto"/>
              <w:jc w:val="center"/>
              <w:rPr>
                <w:sz w:val="18"/>
              </w:rPr>
            </w:pPr>
            <w:r>
              <w:rPr>
                <w:sz w:val="18"/>
              </w:rPr>
              <w:t>0</w:t>
            </w:r>
          </w:p>
        </w:tc>
        <w:tc>
          <w:tcPr>
            <w:tcW w:w="371" w:type="pct"/>
            <w:vAlign w:val="bottom"/>
          </w:tcPr>
          <w:p w:rsidR="00000000" w:rsidRDefault="00000000">
            <w:pPr>
              <w:spacing w:line="240" w:lineRule="auto"/>
              <w:jc w:val="center"/>
              <w:rPr>
                <w:sz w:val="18"/>
              </w:rPr>
            </w:pPr>
            <w:r>
              <w:rPr>
                <w:sz w:val="18"/>
              </w:rPr>
              <w:t>10</w:t>
            </w:r>
          </w:p>
        </w:tc>
        <w:tc>
          <w:tcPr>
            <w:tcW w:w="496" w:type="pct"/>
            <w:vAlign w:val="bottom"/>
          </w:tcPr>
          <w:p w:rsidR="00000000" w:rsidRDefault="00000000">
            <w:pPr>
              <w:spacing w:line="240" w:lineRule="auto"/>
              <w:jc w:val="center"/>
              <w:rPr>
                <w:sz w:val="18"/>
              </w:rPr>
            </w:pPr>
            <w:r>
              <w:rPr>
                <w:sz w:val="18"/>
              </w:rPr>
              <w:t>0</w:t>
            </w:r>
          </w:p>
        </w:tc>
        <w:tc>
          <w:tcPr>
            <w:tcW w:w="487" w:type="pct"/>
            <w:vAlign w:val="bottom"/>
          </w:tcPr>
          <w:p w:rsidR="00000000" w:rsidRDefault="00000000">
            <w:pPr>
              <w:spacing w:line="240" w:lineRule="auto"/>
              <w:jc w:val="center"/>
              <w:rPr>
                <w:sz w:val="18"/>
              </w:rPr>
            </w:pPr>
            <w:r>
              <w:rPr>
                <w:sz w:val="18"/>
              </w:rPr>
              <w:t>8</w:t>
            </w:r>
          </w:p>
        </w:tc>
        <w:tc>
          <w:tcPr>
            <w:tcW w:w="223" w:type="pct"/>
            <w:vAlign w:val="bottom"/>
          </w:tcPr>
          <w:p w:rsidR="00000000" w:rsidRDefault="00000000">
            <w:pPr>
              <w:spacing w:line="240" w:lineRule="auto"/>
              <w:jc w:val="center"/>
              <w:rPr>
                <w:sz w:val="18"/>
              </w:rPr>
            </w:pPr>
            <w:r>
              <w:rPr>
                <w:sz w:val="18"/>
              </w:rPr>
              <w:t>0</w:t>
            </w:r>
          </w:p>
        </w:tc>
        <w:tc>
          <w:tcPr>
            <w:tcW w:w="295" w:type="pct"/>
            <w:vAlign w:val="bottom"/>
          </w:tcPr>
          <w:p w:rsidR="00000000" w:rsidRDefault="00000000">
            <w:pPr>
              <w:spacing w:line="240" w:lineRule="auto"/>
              <w:jc w:val="center"/>
              <w:rPr>
                <w:sz w:val="18"/>
              </w:rPr>
            </w:pPr>
            <w:r>
              <w:rPr>
                <w:sz w:val="18"/>
              </w:rPr>
              <w:t>29</w:t>
            </w:r>
          </w:p>
        </w:tc>
        <w:tc>
          <w:tcPr>
            <w:tcW w:w="208" w:type="pct"/>
            <w:vAlign w:val="bottom"/>
          </w:tcPr>
          <w:p w:rsidR="00000000" w:rsidRDefault="00000000">
            <w:pPr>
              <w:spacing w:line="240" w:lineRule="auto"/>
              <w:jc w:val="center"/>
              <w:rPr>
                <w:sz w:val="18"/>
              </w:rPr>
            </w:pPr>
            <w:r>
              <w:rPr>
                <w:sz w:val="18"/>
              </w:rPr>
              <w:t>0</w:t>
            </w:r>
          </w:p>
        </w:tc>
        <w:tc>
          <w:tcPr>
            <w:tcW w:w="212" w:type="pct"/>
            <w:vAlign w:val="bottom"/>
          </w:tcPr>
          <w:p w:rsidR="00000000" w:rsidRDefault="00000000">
            <w:pPr>
              <w:spacing w:line="240" w:lineRule="auto"/>
              <w:jc w:val="center"/>
              <w:rPr>
                <w:sz w:val="18"/>
              </w:rPr>
            </w:pPr>
            <w:r>
              <w:rPr>
                <w:sz w:val="18"/>
              </w:rPr>
              <w:t>1</w:t>
            </w:r>
          </w:p>
        </w:tc>
      </w:tr>
      <w:tr w:rsidR="00000000">
        <w:tblPrEx>
          <w:tblCellMar>
            <w:top w:w="0" w:type="dxa"/>
            <w:bottom w:w="0" w:type="dxa"/>
          </w:tblCellMar>
        </w:tblPrEx>
        <w:tc>
          <w:tcPr>
            <w:tcW w:w="483" w:type="pct"/>
            <w:vAlign w:val="bottom"/>
          </w:tcPr>
          <w:p w:rsidR="00000000" w:rsidRDefault="00000000">
            <w:pPr>
              <w:spacing w:line="240" w:lineRule="auto"/>
              <w:jc w:val="center"/>
              <w:rPr>
                <w:sz w:val="18"/>
              </w:rPr>
            </w:pPr>
            <w:r>
              <w:rPr>
                <w:sz w:val="18"/>
              </w:rPr>
              <w:t>Всего</w:t>
            </w:r>
          </w:p>
        </w:tc>
        <w:tc>
          <w:tcPr>
            <w:tcW w:w="419" w:type="pct"/>
            <w:vAlign w:val="bottom"/>
          </w:tcPr>
          <w:p w:rsidR="00000000" w:rsidRDefault="00000000">
            <w:pPr>
              <w:spacing w:line="240" w:lineRule="auto"/>
              <w:jc w:val="center"/>
              <w:rPr>
                <w:sz w:val="18"/>
              </w:rPr>
            </w:pPr>
          </w:p>
        </w:tc>
        <w:tc>
          <w:tcPr>
            <w:tcW w:w="616" w:type="pct"/>
            <w:vAlign w:val="bottom"/>
          </w:tcPr>
          <w:p w:rsidR="00000000" w:rsidRDefault="00000000">
            <w:pPr>
              <w:spacing w:line="240" w:lineRule="auto"/>
              <w:jc w:val="center"/>
              <w:rPr>
                <w:sz w:val="18"/>
              </w:rPr>
            </w:pPr>
            <w:r>
              <w:rPr>
                <w:sz w:val="18"/>
              </w:rPr>
              <w:t>584</w:t>
            </w:r>
          </w:p>
        </w:tc>
        <w:tc>
          <w:tcPr>
            <w:tcW w:w="602" w:type="pct"/>
            <w:vAlign w:val="bottom"/>
          </w:tcPr>
          <w:p w:rsidR="00000000" w:rsidRDefault="00000000">
            <w:pPr>
              <w:spacing w:line="240" w:lineRule="auto"/>
              <w:jc w:val="center"/>
              <w:rPr>
                <w:sz w:val="18"/>
              </w:rPr>
            </w:pPr>
            <w:r>
              <w:rPr>
                <w:sz w:val="18"/>
              </w:rPr>
              <w:t>198</w:t>
            </w:r>
          </w:p>
        </w:tc>
        <w:tc>
          <w:tcPr>
            <w:tcW w:w="585" w:type="pct"/>
            <w:vAlign w:val="bottom"/>
          </w:tcPr>
          <w:p w:rsidR="00000000" w:rsidRDefault="00000000">
            <w:pPr>
              <w:spacing w:line="240" w:lineRule="auto"/>
              <w:jc w:val="center"/>
              <w:rPr>
                <w:sz w:val="18"/>
              </w:rPr>
            </w:pPr>
            <w:r>
              <w:rPr>
                <w:sz w:val="18"/>
              </w:rPr>
              <w:t>1</w:t>
            </w:r>
          </w:p>
        </w:tc>
        <w:tc>
          <w:tcPr>
            <w:tcW w:w="371" w:type="pct"/>
            <w:vAlign w:val="bottom"/>
          </w:tcPr>
          <w:p w:rsidR="00000000" w:rsidRDefault="00000000">
            <w:pPr>
              <w:spacing w:line="240" w:lineRule="auto"/>
              <w:jc w:val="center"/>
              <w:rPr>
                <w:sz w:val="18"/>
              </w:rPr>
            </w:pPr>
            <w:r>
              <w:rPr>
                <w:sz w:val="18"/>
              </w:rPr>
              <w:t>55</w:t>
            </w:r>
          </w:p>
        </w:tc>
        <w:tc>
          <w:tcPr>
            <w:tcW w:w="496" w:type="pct"/>
            <w:vAlign w:val="bottom"/>
          </w:tcPr>
          <w:p w:rsidR="00000000" w:rsidRDefault="00000000">
            <w:pPr>
              <w:spacing w:line="240" w:lineRule="auto"/>
              <w:jc w:val="center"/>
              <w:rPr>
                <w:sz w:val="18"/>
              </w:rPr>
            </w:pPr>
            <w:r>
              <w:rPr>
                <w:sz w:val="18"/>
              </w:rPr>
              <w:t>35</w:t>
            </w:r>
          </w:p>
        </w:tc>
        <w:tc>
          <w:tcPr>
            <w:tcW w:w="487" w:type="pct"/>
            <w:vAlign w:val="bottom"/>
          </w:tcPr>
          <w:p w:rsidR="00000000" w:rsidRDefault="00000000">
            <w:pPr>
              <w:spacing w:line="240" w:lineRule="auto"/>
              <w:jc w:val="center"/>
              <w:rPr>
                <w:sz w:val="18"/>
              </w:rPr>
            </w:pPr>
            <w:r>
              <w:rPr>
                <w:sz w:val="18"/>
              </w:rPr>
              <w:t>15</w:t>
            </w:r>
          </w:p>
        </w:tc>
        <w:tc>
          <w:tcPr>
            <w:tcW w:w="223" w:type="pct"/>
            <w:vAlign w:val="bottom"/>
          </w:tcPr>
          <w:p w:rsidR="00000000" w:rsidRDefault="00000000">
            <w:pPr>
              <w:spacing w:line="240" w:lineRule="auto"/>
              <w:jc w:val="center"/>
              <w:rPr>
                <w:sz w:val="18"/>
              </w:rPr>
            </w:pPr>
            <w:r>
              <w:rPr>
                <w:sz w:val="18"/>
              </w:rPr>
              <w:t>1</w:t>
            </w:r>
          </w:p>
        </w:tc>
        <w:tc>
          <w:tcPr>
            <w:tcW w:w="295" w:type="pct"/>
            <w:vAlign w:val="bottom"/>
          </w:tcPr>
          <w:p w:rsidR="00000000" w:rsidRDefault="00000000">
            <w:pPr>
              <w:spacing w:line="240" w:lineRule="auto"/>
              <w:jc w:val="center"/>
              <w:rPr>
                <w:sz w:val="18"/>
              </w:rPr>
            </w:pPr>
            <w:r>
              <w:rPr>
                <w:sz w:val="18"/>
              </w:rPr>
              <w:t>41</w:t>
            </w:r>
          </w:p>
        </w:tc>
        <w:tc>
          <w:tcPr>
            <w:tcW w:w="208" w:type="pct"/>
            <w:vAlign w:val="bottom"/>
          </w:tcPr>
          <w:p w:rsidR="00000000" w:rsidRDefault="00000000">
            <w:pPr>
              <w:spacing w:line="240" w:lineRule="auto"/>
              <w:jc w:val="center"/>
              <w:rPr>
                <w:sz w:val="18"/>
              </w:rPr>
            </w:pPr>
            <w:r>
              <w:rPr>
                <w:sz w:val="18"/>
              </w:rPr>
              <w:t>1</w:t>
            </w:r>
          </w:p>
        </w:tc>
        <w:tc>
          <w:tcPr>
            <w:tcW w:w="212" w:type="pct"/>
            <w:vAlign w:val="bottom"/>
          </w:tcPr>
          <w:p w:rsidR="00000000" w:rsidRDefault="00000000">
            <w:pPr>
              <w:spacing w:line="240" w:lineRule="auto"/>
              <w:jc w:val="center"/>
              <w:rPr>
                <w:sz w:val="18"/>
              </w:rPr>
            </w:pPr>
            <w:r>
              <w:rPr>
                <w:sz w:val="18"/>
              </w:rPr>
              <w:t>1</w:t>
            </w:r>
          </w:p>
        </w:tc>
      </w:tr>
    </w:tbl>
    <w:p w:rsidR="00000000" w:rsidRDefault="00000000">
      <w:pPr>
        <w:tabs>
          <w:tab w:val="left" w:pos="5245"/>
        </w:tabs>
        <w:spacing w:line="240" w:lineRule="auto"/>
        <w:rPr>
          <w:i/>
          <w:iCs/>
          <w:sz w:val="18"/>
        </w:rPr>
      </w:pPr>
    </w:p>
    <w:p w:rsidR="00000000" w:rsidRDefault="00000000">
      <w:pPr>
        <w:tabs>
          <w:tab w:val="left" w:pos="5245"/>
        </w:tabs>
        <w:spacing w:line="216" w:lineRule="auto"/>
        <w:rPr>
          <w:sz w:val="18"/>
        </w:rPr>
      </w:pPr>
      <w:r>
        <w:rPr>
          <w:i/>
          <w:iCs/>
          <w:sz w:val="18"/>
        </w:rPr>
        <w:t>Источник</w:t>
      </w:r>
      <w:r>
        <w:rPr>
          <w:sz w:val="18"/>
        </w:rPr>
        <w:t xml:space="preserve">:  </w:t>
      </w:r>
      <w:proofErr w:type="spellStart"/>
      <w:r>
        <w:rPr>
          <w:sz w:val="18"/>
        </w:rPr>
        <w:t>СИНЕП</w:t>
      </w:r>
      <w:proofErr w:type="spellEnd"/>
      <w:r>
        <w:rPr>
          <w:sz w:val="18"/>
        </w:rPr>
        <w:t xml:space="preserve"> - Справедливость и мир, </w:t>
      </w:r>
      <w:r>
        <w:rPr>
          <w:i/>
          <w:iCs/>
          <w:sz w:val="18"/>
        </w:rPr>
        <w:t>"Ночь и туман"</w:t>
      </w:r>
      <w:r>
        <w:rPr>
          <w:sz w:val="18"/>
        </w:rPr>
        <w:t>.</w:t>
      </w:r>
    </w:p>
    <w:p w:rsidR="00000000" w:rsidRDefault="00000000">
      <w:pPr>
        <w:tabs>
          <w:tab w:val="left" w:pos="5245"/>
        </w:tabs>
        <w:spacing w:line="216" w:lineRule="auto"/>
        <w:rPr>
          <w:b/>
          <w:bCs/>
          <w:sz w:val="18"/>
          <w:vertAlign w:val="superscript"/>
        </w:rPr>
      </w:pPr>
    </w:p>
    <w:p w:rsidR="00000000" w:rsidRDefault="00000000">
      <w:pPr>
        <w:tabs>
          <w:tab w:val="left" w:pos="5245"/>
        </w:tabs>
        <w:spacing w:line="216" w:lineRule="auto"/>
        <w:rPr>
          <w:sz w:val="18"/>
        </w:rPr>
      </w:pPr>
      <w:proofErr w:type="spellStart"/>
      <w:r>
        <w:rPr>
          <w:b/>
          <w:bCs/>
          <w:sz w:val="18"/>
          <w:vertAlign w:val="superscript"/>
        </w:rPr>
        <w:t>a</w:t>
      </w:r>
      <w:proofErr w:type="spellEnd"/>
      <w:r>
        <w:rPr>
          <w:sz w:val="18"/>
        </w:rPr>
        <w:t xml:space="preserve">  Данные на сентябрь 2000 года.</w:t>
      </w:r>
    </w:p>
    <w:p w:rsidR="00000000" w:rsidRDefault="00000000">
      <w:pPr>
        <w:tabs>
          <w:tab w:val="left" w:pos="5245"/>
        </w:tabs>
        <w:spacing w:line="216" w:lineRule="auto"/>
        <w:rPr>
          <w:sz w:val="18"/>
        </w:rPr>
      </w:pPr>
    </w:p>
    <w:p w:rsidR="00000000" w:rsidRDefault="00000000">
      <w:pPr>
        <w:tabs>
          <w:tab w:val="left" w:pos="5245"/>
        </w:tabs>
        <w:spacing w:line="216" w:lineRule="auto"/>
        <w:rPr>
          <w:sz w:val="18"/>
        </w:rPr>
      </w:pPr>
      <w:r>
        <w:rPr>
          <w:i/>
          <w:iCs/>
          <w:sz w:val="18"/>
        </w:rPr>
        <w:t>Подготовлено</w:t>
      </w:r>
      <w:r>
        <w:rPr>
          <w:sz w:val="18"/>
          <w:lang w:val="es-ES_tradnl"/>
        </w:rPr>
        <w:t xml:space="preserve">:  </w:t>
      </w:r>
      <w:r>
        <w:rPr>
          <w:sz w:val="18"/>
        </w:rPr>
        <w:t>Отдел по наблюдению за осуществлением Президентской программы по правам человека и международному гуманитарному праву, Канцелярия вице-президента Республики</w:t>
      </w:r>
      <w:r>
        <w:rPr>
          <w:sz w:val="18"/>
          <w:lang w:val="es-ES_tradnl"/>
        </w:rPr>
        <w:t>.</w:t>
      </w:r>
    </w:p>
    <w:p w:rsidR="00000000" w:rsidRDefault="00000000">
      <w:pPr>
        <w:spacing w:line="24" w:lineRule="auto"/>
        <w:rPr>
          <w:sz w:val="22"/>
        </w:rPr>
      </w:pPr>
      <w:r>
        <w:rPr>
          <w:noProof/>
          <w:sz w:val="20"/>
          <w:lang w:val="en-US"/>
        </w:rPr>
        <w:pict>
          <v:shapetype id="_x0000_t202" coordsize="21600,21600" o:spt="202" path="m,l,21600r21600,l21600,xe">
            <v:stroke joinstyle="miter"/>
            <v:path gradientshapeok="t" o:connecttype="rect"/>
          </v:shapetype>
          <v:shape id="_x0000_s2053" type="#_x0000_t202" style="position:absolute;margin-left:368.55pt;margin-top:267.6pt;width:99pt;height:135pt;z-index:1" stroked="f">
            <v:textbox style="mso-next-textbox:#_x0000_s2053" inset="0,0,0,0">
              <w:txbxContent>
                <w:p w:rsidR="00000000" w:rsidRDefault="00000000">
                  <w:pPr>
                    <w:spacing w:line="420" w:lineRule="auto"/>
                    <w:rPr>
                      <w:sz w:val="14"/>
                    </w:rPr>
                  </w:pPr>
                  <w:r>
                    <w:rPr>
                      <w:sz w:val="14"/>
                    </w:rPr>
                    <w:t>Группы самообороны</w:t>
                  </w:r>
                </w:p>
                <w:p w:rsidR="00000000" w:rsidRDefault="00000000">
                  <w:pPr>
                    <w:spacing w:line="420" w:lineRule="auto"/>
                    <w:rPr>
                      <w:sz w:val="14"/>
                    </w:rPr>
                  </w:pPr>
                  <w:r>
                    <w:rPr>
                      <w:sz w:val="14"/>
                    </w:rPr>
                    <w:t>Не установленные лица</w:t>
                  </w:r>
                </w:p>
                <w:p w:rsidR="00000000" w:rsidRDefault="00000000">
                  <w:pPr>
                    <w:spacing w:line="420" w:lineRule="auto"/>
                    <w:rPr>
                      <w:sz w:val="14"/>
                    </w:rPr>
                  </w:pPr>
                  <w:r>
                    <w:rPr>
                      <w:sz w:val="14"/>
                    </w:rPr>
                    <w:t>КОНВИВИР</w:t>
                  </w:r>
                </w:p>
                <w:p w:rsidR="00000000" w:rsidRDefault="00000000">
                  <w:pPr>
                    <w:spacing w:line="420" w:lineRule="auto"/>
                    <w:rPr>
                      <w:sz w:val="14"/>
                    </w:rPr>
                  </w:pPr>
                  <w:r>
                    <w:rPr>
                      <w:sz w:val="14"/>
                    </w:rPr>
                    <w:t>Силы правопорядка</w:t>
                  </w:r>
                </w:p>
                <w:p w:rsidR="00000000" w:rsidRDefault="00000000">
                  <w:pPr>
                    <w:spacing w:line="420" w:lineRule="auto"/>
                    <w:rPr>
                      <w:sz w:val="14"/>
                    </w:rPr>
                  </w:pPr>
                  <w:r>
                    <w:rPr>
                      <w:sz w:val="14"/>
                    </w:rPr>
                    <w:t>Государственные служащие</w:t>
                  </w:r>
                </w:p>
                <w:p w:rsidR="00000000" w:rsidRDefault="00000000">
                  <w:pPr>
                    <w:spacing w:line="420" w:lineRule="auto"/>
                    <w:rPr>
                      <w:sz w:val="14"/>
                    </w:rPr>
                  </w:pPr>
                  <w:r>
                    <w:rPr>
                      <w:sz w:val="14"/>
                    </w:rPr>
                    <w:t>Группы соц. зачистки</w:t>
                  </w:r>
                </w:p>
                <w:p w:rsidR="00000000" w:rsidRDefault="00000000">
                  <w:pPr>
                    <w:spacing w:line="420" w:lineRule="auto"/>
                    <w:rPr>
                      <w:sz w:val="14"/>
                    </w:rPr>
                  </w:pPr>
                  <w:r>
                    <w:rPr>
                      <w:sz w:val="14"/>
                    </w:rPr>
                    <w:t>ЭЛН</w:t>
                  </w:r>
                </w:p>
                <w:p w:rsidR="00000000" w:rsidRDefault="00000000">
                  <w:pPr>
                    <w:spacing w:line="420" w:lineRule="auto"/>
                    <w:rPr>
                      <w:sz w:val="14"/>
                    </w:rPr>
                  </w:pPr>
                  <w:r>
                    <w:rPr>
                      <w:sz w:val="14"/>
                    </w:rPr>
                    <w:t>ФАРК</w:t>
                  </w:r>
                </w:p>
                <w:p w:rsidR="00000000" w:rsidRDefault="00000000">
                  <w:pPr>
                    <w:spacing w:line="420" w:lineRule="auto"/>
                    <w:rPr>
                      <w:sz w:val="14"/>
                    </w:rPr>
                  </w:pPr>
                  <w:r>
                    <w:rPr>
                      <w:sz w:val="14"/>
                    </w:rPr>
                    <w:t>ЭРП</w:t>
                  </w:r>
                </w:p>
                <w:p w:rsidR="00000000" w:rsidRDefault="00000000">
                  <w:pPr>
                    <w:spacing w:line="420" w:lineRule="auto"/>
                    <w:rPr>
                      <w:sz w:val="14"/>
                      <w:lang w:val="en-US"/>
                    </w:rPr>
                  </w:pPr>
                  <w:r>
                    <w:rPr>
                      <w:sz w:val="14"/>
                    </w:rPr>
                    <w:t>ЭПЛ</w:t>
                  </w:r>
                </w:p>
                <w:p w:rsidR="00000000" w:rsidRDefault="00000000">
                  <w:pPr>
                    <w:spacing w:line="420" w:lineRule="auto"/>
                    <w:rPr>
                      <w:sz w:val="14"/>
                      <w:lang w:val="en-US"/>
                    </w:rPr>
                  </w:pPr>
                </w:p>
                <w:p w:rsidR="00000000" w:rsidRDefault="00000000">
                  <w:pPr>
                    <w:spacing w:line="420" w:lineRule="auto"/>
                    <w:rPr>
                      <w:sz w:val="14"/>
                      <w:lang w:val="en-US"/>
                    </w:rPr>
                  </w:pPr>
                </w:p>
                <w:p w:rsidR="00000000" w:rsidRDefault="00000000">
                  <w:pPr>
                    <w:spacing w:line="420" w:lineRule="auto"/>
                    <w:rPr>
                      <w:sz w:val="14"/>
                      <w:lang w:val="en-US"/>
                    </w:rPr>
                  </w:pPr>
                </w:p>
              </w:txbxContent>
            </v:textbox>
          </v:shape>
        </w:pict>
      </w:r>
      <w:bookmarkStart w:id="2" w:name="_MON_1105256038"/>
      <w:bookmarkStart w:id="3" w:name="_MON_1105256762"/>
      <w:bookmarkEnd w:id="2"/>
      <w:bookmarkEnd w:id="3"/>
      <w:r>
        <w:object w:dxaOrig="9615" w:dyaOrig="4320">
          <v:shape id="_x0000_i1026" type="#_x0000_t75" style="width:480.75pt;height:3in" o:ole="">
            <v:imagedata r:id="rId8" o:title=""/>
          </v:shape>
          <o:OLEObject Type="Embed" ProgID="Excel.Chart.8" ShapeID="_x0000_i1026" DrawAspect="Content" ObjectID="_1395222647" r:id="rId9">
            <o:FieldCodes>\s</o:FieldCodes>
          </o:OLEObject>
        </w:object>
      </w:r>
      <w:r>
        <w:object w:dxaOrig="9615" w:dyaOrig="5189">
          <v:shape id="_x0000_i1027" type="#_x0000_t75" style="width:480.75pt;height:259.5pt" o:ole="">
            <v:imagedata r:id="rId10" o:title=""/>
          </v:shape>
          <o:OLEObject Type="Embed" ProgID="Excel.Chart.8" ShapeID="_x0000_i1027" DrawAspect="Content" ObjectID="_1395222648" r:id="rId11">
            <o:FieldCodes>\s</o:FieldCodes>
          </o:OLEObject>
        </w:object>
      </w:r>
    </w:p>
    <w:p w:rsidR="00000000" w:rsidRDefault="00000000">
      <w:r>
        <w:br w:type="page"/>
        <w:t>28.</w:t>
      </w:r>
      <w:r>
        <w:tab/>
        <w:t xml:space="preserve">Имеющиеся данные со всей очевидностью показывают, что главным виновником подобных нарушений являются группы самообороны, на долю которых приходится </w:t>
      </w:r>
      <w:proofErr w:type="spellStart"/>
      <w:r>
        <w:t>65,2%</w:t>
      </w:r>
      <w:proofErr w:type="spellEnd"/>
      <w:r>
        <w:t xml:space="preserve"> случаев.  При этом процентный и абсолютный показатели возрастают, что дает весьма неприглядную картину этой стороны колумбийской действительности.  В 2000 году число случаев применения подобной практики группами самообороны возросло по сравнению с 1999 годом на 231,7%.  С другой стороны, зарегистрированы случаи, когда такие действия применялись объединениями </w:t>
      </w:r>
      <w:proofErr w:type="spellStart"/>
      <w:r>
        <w:t>КОНВИВИР</w:t>
      </w:r>
      <w:proofErr w:type="spellEnd"/>
      <w:r>
        <w:t xml:space="preserve"> и повстанцами, хотя число этих случаев гораздо меньше, нежели у групп самообороны и у не установленных лиц.</w:t>
      </w:r>
    </w:p>
    <w:p w:rsidR="00000000" w:rsidRDefault="00000000">
      <w:pPr>
        <w:jc w:val="both"/>
        <w:rPr>
          <w:sz w:val="22"/>
        </w:rPr>
      </w:pPr>
    </w:p>
    <w:p w:rsidR="00000000" w:rsidRDefault="00000000">
      <w:pPr>
        <w:pStyle w:val="Heading6"/>
        <w:spacing w:after="240"/>
        <w:jc w:val="center"/>
        <w:rPr>
          <w:b w:val="0"/>
          <w:iCs/>
        </w:rPr>
      </w:pPr>
      <w:r>
        <w:rPr>
          <w:b w:val="0"/>
          <w:iCs/>
        </w:rPr>
        <w:t>Доля, приходящаяся на различных исполнителей - 2000 год</w:t>
      </w:r>
    </w:p>
    <w:tbl>
      <w:tblPr>
        <w:tblW w:w="5000" w:type="pct"/>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0" w:type="dxa"/>
          <w:right w:w="0" w:type="dxa"/>
        </w:tblCellMar>
        <w:tblLook w:val="00BF" w:firstRow="1" w:lastRow="0" w:firstColumn="1" w:lastColumn="0" w:noHBand="0" w:noVBand="0"/>
      </w:tblPr>
      <w:tblGrid>
        <w:gridCol w:w="1718"/>
        <w:gridCol w:w="1489"/>
        <w:gridCol w:w="1613"/>
        <w:gridCol w:w="1421"/>
        <w:gridCol w:w="1820"/>
        <w:gridCol w:w="1310"/>
      </w:tblGrid>
      <w:tr w:rsidR="00000000">
        <w:tblPrEx>
          <w:tblCellMar>
            <w:top w:w="0" w:type="dxa"/>
            <w:left w:w="0" w:type="dxa"/>
            <w:bottom w:w="0" w:type="dxa"/>
            <w:right w:w="0" w:type="dxa"/>
          </w:tblCellMar>
        </w:tblPrEx>
        <w:trPr>
          <w:cantSplit/>
          <w:trHeight w:val="331"/>
          <w:jc w:val="center"/>
        </w:trPr>
        <w:tc>
          <w:tcPr>
            <w:tcW w:w="923"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bCs/>
                <w:sz w:val="22"/>
              </w:rPr>
            </w:pPr>
            <w:r>
              <w:rPr>
                <w:bCs/>
                <w:sz w:val="22"/>
              </w:rPr>
              <w:t>Кол-во жертв</w:t>
            </w:r>
          </w:p>
        </w:tc>
        <w:tc>
          <w:tcPr>
            <w:tcW w:w="801"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bCs/>
                <w:sz w:val="22"/>
              </w:rPr>
            </w:pPr>
            <w:r>
              <w:rPr>
                <w:bCs/>
                <w:sz w:val="22"/>
              </w:rPr>
              <w:t>Группы</w:t>
            </w:r>
          </w:p>
          <w:p w:rsidR="00000000" w:rsidRDefault="00000000">
            <w:pPr>
              <w:keepNext/>
              <w:spacing w:line="240" w:lineRule="auto"/>
              <w:jc w:val="center"/>
              <w:rPr>
                <w:bCs/>
                <w:sz w:val="22"/>
              </w:rPr>
            </w:pPr>
            <w:r>
              <w:rPr>
                <w:bCs/>
                <w:sz w:val="22"/>
              </w:rPr>
              <w:t>самообороны</w:t>
            </w:r>
          </w:p>
        </w:tc>
        <w:tc>
          <w:tcPr>
            <w:tcW w:w="867"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bCs/>
                <w:sz w:val="22"/>
              </w:rPr>
            </w:pPr>
            <w:r>
              <w:rPr>
                <w:bCs/>
                <w:sz w:val="22"/>
              </w:rPr>
              <w:t>Не установленные лица</w:t>
            </w:r>
          </w:p>
        </w:tc>
        <w:tc>
          <w:tcPr>
            <w:tcW w:w="764"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bCs/>
                <w:sz w:val="22"/>
              </w:rPr>
            </w:pPr>
            <w:r>
              <w:rPr>
                <w:bCs/>
                <w:sz w:val="22"/>
              </w:rPr>
              <w:t>Подрывные</w:t>
            </w:r>
          </w:p>
          <w:p w:rsidR="00000000" w:rsidRDefault="00000000">
            <w:pPr>
              <w:keepNext/>
              <w:spacing w:line="240" w:lineRule="auto"/>
              <w:jc w:val="center"/>
              <w:rPr>
                <w:bCs/>
                <w:sz w:val="22"/>
              </w:rPr>
            </w:pPr>
            <w:r>
              <w:rPr>
                <w:bCs/>
                <w:sz w:val="22"/>
              </w:rPr>
              <w:t>элементы</w:t>
            </w:r>
          </w:p>
        </w:tc>
        <w:tc>
          <w:tcPr>
            <w:tcW w:w="977"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bCs/>
                <w:sz w:val="22"/>
              </w:rPr>
            </w:pPr>
            <w:r>
              <w:rPr>
                <w:bCs/>
                <w:sz w:val="22"/>
              </w:rPr>
              <w:t xml:space="preserve">Группы </w:t>
            </w:r>
            <w:proofErr w:type="spellStart"/>
            <w:r>
              <w:rPr>
                <w:bCs/>
                <w:sz w:val="22"/>
              </w:rPr>
              <w:t>социальнойй</w:t>
            </w:r>
            <w:proofErr w:type="spellEnd"/>
          </w:p>
          <w:p w:rsidR="00000000" w:rsidRDefault="00000000">
            <w:pPr>
              <w:keepNext/>
              <w:spacing w:line="240" w:lineRule="auto"/>
              <w:jc w:val="center"/>
              <w:rPr>
                <w:bCs/>
                <w:sz w:val="22"/>
              </w:rPr>
            </w:pPr>
            <w:r>
              <w:rPr>
                <w:bCs/>
                <w:sz w:val="22"/>
              </w:rPr>
              <w:t>зачистки</w:t>
            </w:r>
          </w:p>
        </w:tc>
        <w:tc>
          <w:tcPr>
            <w:tcW w:w="667"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bCs/>
                <w:sz w:val="22"/>
              </w:rPr>
            </w:pPr>
            <w:r>
              <w:rPr>
                <w:bCs/>
                <w:sz w:val="22"/>
              </w:rPr>
              <w:t>Силы</w:t>
            </w:r>
          </w:p>
          <w:p w:rsidR="00000000" w:rsidRDefault="00000000">
            <w:pPr>
              <w:keepNext/>
              <w:spacing w:line="240" w:lineRule="auto"/>
              <w:jc w:val="center"/>
              <w:rPr>
                <w:bCs/>
                <w:sz w:val="22"/>
              </w:rPr>
            </w:pPr>
            <w:r>
              <w:rPr>
                <w:bCs/>
                <w:sz w:val="22"/>
              </w:rPr>
              <w:t>правопорядка</w:t>
            </w:r>
          </w:p>
        </w:tc>
      </w:tr>
      <w:tr w:rsidR="00000000">
        <w:tblPrEx>
          <w:tblCellMar>
            <w:top w:w="0" w:type="dxa"/>
            <w:left w:w="0" w:type="dxa"/>
            <w:bottom w:w="0" w:type="dxa"/>
            <w:right w:w="0" w:type="dxa"/>
          </w:tblCellMar>
        </w:tblPrEx>
        <w:trPr>
          <w:cantSplit/>
          <w:trHeight w:val="331"/>
          <w:jc w:val="center"/>
        </w:trPr>
        <w:tc>
          <w:tcPr>
            <w:tcW w:w="923" w:type="pct"/>
            <w:vMerge/>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rPr>
                <w:sz w:val="22"/>
              </w:rPr>
            </w:pPr>
          </w:p>
        </w:tc>
        <w:tc>
          <w:tcPr>
            <w:tcW w:w="801" w:type="pct"/>
            <w:vMerge/>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rPr>
                <w:sz w:val="22"/>
              </w:rPr>
            </w:pPr>
          </w:p>
        </w:tc>
        <w:tc>
          <w:tcPr>
            <w:tcW w:w="867" w:type="pct"/>
            <w:vMerge/>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rPr>
                <w:sz w:val="22"/>
              </w:rPr>
            </w:pPr>
          </w:p>
        </w:tc>
        <w:tc>
          <w:tcPr>
            <w:tcW w:w="764" w:type="pct"/>
            <w:vMerge/>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rPr>
                <w:sz w:val="22"/>
              </w:rPr>
            </w:pPr>
          </w:p>
        </w:tc>
        <w:tc>
          <w:tcPr>
            <w:tcW w:w="977" w:type="pct"/>
            <w:vMerge/>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rPr>
                <w:sz w:val="22"/>
              </w:rPr>
            </w:pPr>
          </w:p>
        </w:tc>
        <w:tc>
          <w:tcPr>
            <w:tcW w:w="667" w:type="pct"/>
            <w:vMerge/>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rPr>
                <w:sz w:val="22"/>
              </w:rPr>
            </w:pPr>
          </w:p>
        </w:tc>
      </w:tr>
      <w:tr w:rsidR="00000000">
        <w:tblPrEx>
          <w:tblCellMar>
            <w:top w:w="0" w:type="dxa"/>
            <w:left w:w="0" w:type="dxa"/>
            <w:bottom w:w="0" w:type="dxa"/>
            <w:right w:w="0" w:type="dxa"/>
          </w:tblCellMar>
        </w:tblPrEx>
        <w:trPr>
          <w:cantSplit/>
          <w:jc w:val="center"/>
        </w:trPr>
        <w:tc>
          <w:tcPr>
            <w:tcW w:w="923"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2"/>
              </w:rPr>
            </w:pPr>
            <w:r>
              <w:rPr>
                <w:sz w:val="22"/>
              </w:rPr>
              <w:t>420</w:t>
            </w:r>
          </w:p>
        </w:tc>
        <w:tc>
          <w:tcPr>
            <w:tcW w:w="801"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2"/>
              </w:rPr>
            </w:pPr>
            <w:r>
              <w:rPr>
                <w:sz w:val="22"/>
              </w:rPr>
              <w:t>65,2</w:t>
            </w:r>
          </w:p>
        </w:tc>
        <w:tc>
          <w:tcPr>
            <w:tcW w:w="86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2"/>
              </w:rPr>
            </w:pPr>
            <w:r>
              <w:rPr>
                <w:sz w:val="22"/>
              </w:rPr>
              <w:t>23,3</w:t>
            </w:r>
          </w:p>
        </w:tc>
        <w:tc>
          <w:tcPr>
            <w:tcW w:w="764"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2"/>
              </w:rPr>
            </w:pPr>
            <w:r>
              <w:rPr>
                <w:sz w:val="22"/>
              </w:rPr>
              <w:t>6,9</w:t>
            </w:r>
          </w:p>
        </w:tc>
        <w:tc>
          <w:tcPr>
            <w:tcW w:w="97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2"/>
              </w:rPr>
            </w:pPr>
            <w:r>
              <w:rPr>
                <w:sz w:val="22"/>
              </w:rPr>
              <w:t>2,1</w:t>
            </w:r>
          </w:p>
        </w:tc>
        <w:tc>
          <w:tcPr>
            <w:tcW w:w="66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2"/>
              </w:rPr>
            </w:pPr>
            <w:r>
              <w:rPr>
                <w:sz w:val="22"/>
              </w:rPr>
              <w:t>1,9</w:t>
            </w:r>
          </w:p>
        </w:tc>
      </w:tr>
    </w:tbl>
    <w:p w:rsidR="00000000" w:rsidRDefault="00000000">
      <w:pPr>
        <w:spacing w:before="240" w:after="240"/>
        <w:rPr>
          <w:sz w:val="20"/>
        </w:rPr>
      </w:pPr>
      <w:r>
        <w:rPr>
          <w:sz w:val="20"/>
        </w:rPr>
        <w:t>Данные на сентябрь 2000 года.</w:t>
      </w:r>
    </w:p>
    <w:p w:rsidR="00000000" w:rsidRDefault="00000000">
      <w:pPr>
        <w:spacing w:before="240" w:after="200"/>
        <w:rPr>
          <w:sz w:val="20"/>
          <w:lang w:val="es-ES_tradnl"/>
        </w:rPr>
      </w:pPr>
      <w:r>
        <w:rPr>
          <w:i/>
          <w:iCs/>
          <w:sz w:val="20"/>
        </w:rPr>
        <w:t>Источник</w:t>
      </w:r>
      <w:r>
        <w:rPr>
          <w:sz w:val="20"/>
        </w:rPr>
        <w:t xml:space="preserve">:  </w:t>
      </w:r>
      <w:proofErr w:type="spellStart"/>
      <w:r>
        <w:rPr>
          <w:sz w:val="20"/>
        </w:rPr>
        <w:t>СИНЕП</w:t>
      </w:r>
      <w:proofErr w:type="spellEnd"/>
      <w:r>
        <w:rPr>
          <w:sz w:val="20"/>
        </w:rPr>
        <w:t xml:space="preserve"> - Справедливость и мир, </w:t>
      </w:r>
      <w:r>
        <w:rPr>
          <w:i/>
          <w:iCs/>
          <w:sz w:val="20"/>
        </w:rPr>
        <w:t>"Ночь и туман"</w:t>
      </w:r>
      <w:r>
        <w:rPr>
          <w:sz w:val="20"/>
        </w:rPr>
        <w:t>.</w:t>
      </w:r>
    </w:p>
    <w:p w:rsidR="00000000" w:rsidRDefault="00000000">
      <w:pPr>
        <w:spacing w:after="480"/>
      </w:pPr>
      <w:r>
        <w:rPr>
          <w:i/>
          <w:iCs/>
          <w:sz w:val="20"/>
        </w:rPr>
        <w:t>Подготовлено</w:t>
      </w:r>
      <w:r>
        <w:rPr>
          <w:sz w:val="20"/>
          <w:lang w:val="es-ES_tradnl"/>
        </w:rPr>
        <w:t xml:space="preserve">:  </w:t>
      </w:r>
      <w:r>
        <w:rPr>
          <w:sz w:val="20"/>
        </w:rPr>
        <w:t>Отдел по наблюдению за осуществлением Президентской программы по правам человека и международному гуманитарному праву, Канцелярия вице-президента Республики</w:t>
      </w:r>
      <w:r>
        <w:rPr>
          <w:sz w:val="20"/>
          <w:lang w:val="es-ES_tradnl"/>
        </w:rPr>
        <w:t>.</w:t>
      </w:r>
      <w:r>
        <w:t xml:space="preserve"> </w:t>
      </w:r>
    </w:p>
    <w:p w:rsidR="00000000" w:rsidRDefault="00000000">
      <w:pPr>
        <w:spacing w:after="480"/>
        <w:rPr>
          <w:lang w:val="es-ES_tradnl"/>
        </w:rPr>
      </w:pPr>
      <w:r>
        <w:object w:dxaOrig="9547" w:dyaOrig="5299">
          <v:shape id="_x0000_i1028" type="#_x0000_t75" style="width:477pt;height:264.75pt" o:ole="">
            <v:imagedata r:id="rId12" o:title=""/>
          </v:shape>
          <o:OLEObject Type="Embed" ProgID="Excel.Chart.8" ShapeID="_x0000_i1028" DrawAspect="Content" ObjectID="_1395222649" r:id="rId13">
            <o:FieldCodes>\s</o:FieldCodes>
          </o:OLEObject>
        </w:object>
      </w:r>
    </w:p>
    <w:p w:rsidR="00000000" w:rsidRDefault="00000000">
      <w:r>
        <w:t>29.</w:t>
      </w:r>
      <w:r>
        <w:tab/>
        <w:t xml:space="preserve">По числу случаев применения пыток первое место в стране занимает департамент </w:t>
      </w:r>
      <w:proofErr w:type="spellStart"/>
      <w:r>
        <w:t>Валье</w:t>
      </w:r>
      <w:proofErr w:type="spellEnd"/>
      <w:r>
        <w:t xml:space="preserve">, на долю которого приходится 18%, за ним следуют департаменты </w:t>
      </w:r>
      <w:proofErr w:type="spellStart"/>
      <w:r>
        <w:t>Антьокия</w:t>
      </w:r>
      <w:proofErr w:type="spellEnd"/>
      <w:r>
        <w:t xml:space="preserve"> - 13%, Боливар - 8%, </w:t>
      </w:r>
      <w:proofErr w:type="spellStart"/>
      <w:r>
        <w:t>Сесар</w:t>
      </w:r>
      <w:proofErr w:type="spellEnd"/>
      <w:r>
        <w:t xml:space="preserve"> - 7% и Северный </w:t>
      </w:r>
      <w:proofErr w:type="spellStart"/>
      <w:r>
        <w:t>Сантандер</w:t>
      </w:r>
      <w:proofErr w:type="spellEnd"/>
      <w:r>
        <w:t>.</w:t>
      </w:r>
    </w:p>
    <w:p w:rsidR="00000000" w:rsidRDefault="00000000"/>
    <w:p w:rsidR="00000000" w:rsidRDefault="00000000">
      <w:r>
        <w:t>30.</w:t>
      </w:r>
      <w:r>
        <w:tab/>
        <w:t>Что касается причастности к подобной практике сотрудников государственных служб, в особенности сил по поддержанию правопорядка, то правительство с обеспокоенностью признает данные Генеральной прокуратуры Республики, согласно которым в 2000 году было получено 101 заявление об этом грубом нарушении прав человека.  Этот показатель аналогичен среднему показателю (112 заявлений в год) за период с 1997 по 1999 годы, в течение которого зарегистрировано 338 случаев подобных нарушений.</w:t>
      </w:r>
    </w:p>
    <w:p w:rsidR="00000000" w:rsidRDefault="00000000"/>
    <w:p w:rsidR="00000000" w:rsidRDefault="00000000">
      <w:pPr>
        <w:pStyle w:val="BodyTextIndent"/>
        <w:ind w:left="1134" w:hanging="567"/>
        <w:jc w:val="left"/>
        <w:rPr>
          <w:rFonts w:ascii="Times New Roman" w:hAnsi="Times New Roman"/>
          <w:caps/>
          <w:sz w:val="24"/>
          <w:lang w:val="ru-RU"/>
        </w:rPr>
      </w:pPr>
      <w:r>
        <w:rPr>
          <w:rFonts w:ascii="Times New Roman" w:hAnsi="Times New Roman"/>
          <w:sz w:val="24"/>
        </w:rPr>
        <w:t>II.</w:t>
      </w:r>
      <w:r>
        <w:rPr>
          <w:rFonts w:ascii="Times New Roman" w:hAnsi="Times New Roman"/>
          <w:sz w:val="24"/>
        </w:rPr>
        <w:tab/>
      </w:r>
      <w:r>
        <w:rPr>
          <w:rFonts w:ascii="Times New Roman" w:hAnsi="Times New Roman"/>
          <w:sz w:val="24"/>
          <w:lang w:val="ru-RU"/>
        </w:rPr>
        <w:t>ЗАКОНОДАТЕЛЬНЫЕ</w:t>
      </w:r>
      <w:r>
        <w:rPr>
          <w:rFonts w:ascii="Times New Roman" w:hAnsi="Times New Roman"/>
          <w:sz w:val="24"/>
        </w:rPr>
        <w:t xml:space="preserve">, </w:t>
      </w:r>
      <w:r>
        <w:rPr>
          <w:rFonts w:ascii="Times New Roman" w:hAnsi="Times New Roman"/>
          <w:sz w:val="24"/>
          <w:lang w:val="ru-RU"/>
        </w:rPr>
        <w:t>АДМИНИСТРАТИВНЫЕ И ДРУГИЕ МЕРЫ</w:t>
      </w:r>
      <w:r>
        <w:rPr>
          <w:rFonts w:ascii="Times New Roman" w:hAnsi="Times New Roman"/>
          <w:sz w:val="24"/>
        </w:rPr>
        <w:t xml:space="preserve"> </w:t>
      </w:r>
      <w:r>
        <w:rPr>
          <w:rFonts w:ascii="Times New Roman" w:hAnsi="Times New Roman"/>
          <w:sz w:val="24"/>
          <w:lang w:val="ru-RU"/>
        </w:rPr>
        <w:t>ПО ОБЕСПЕЧЕНИЮ ПРАВ ЧЕЛОВЕКА</w:t>
      </w:r>
      <w:r>
        <w:rPr>
          <w:rFonts w:ascii="Times New Roman" w:hAnsi="Times New Roman"/>
          <w:sz w:val="24"/>
        </w:rPr>
        <w:t xml:space="preserve">, </w:t>
      </w:r>
      <w:r>
        <w:rPr>
          <w:rFonts w:ascii="Times New Roman" w:hAnsi="Times New Roman"/>
          <w:sz w:val="24"/>
          <w:lang w:val="ru-RU"/>
        </w:rPr>
        <w:t xml:space="preserve">ИМЕЮЩИЕ ОТНОШЕНИЕ К ПРОБЛЕМЕ ПЫТОК И </w:t>
      </w:r>
      <w:r>
        <w:rPr>
          <w:rFonts w:ascii="Times New Roman" w:hAnsi="Times New Roman"/>
          <w:caps/>
          <w:sz w:val="24"/>
          <w:lang w:val="ru-RU"/>
        </w:rPr>
        <w:t>других жестоких, бесчеловечных или унижающих достоинство видов обращения и наказания</w:t>
      </w:r>
    </w:p>
    <w:p w:rsidR="00000000" w:rsidRDefault="00000000">
      <w:pPr>
        <w:pStyle w:val="BodyTextIndent"/>
        <w:ind w:left="1134" w:hanging="567"/>
        <w:jc w:val="center"/>
        <w:rPr>
          <w:rFonts w:ascii="Times New Roman" w:hAnsi="Times New Roman"/>
          <w:sz w:val="24"/>
          <w:lang w:val="ru-RU"/>
        </w:rPr>
      </w:pPr>
      <w:r>
        <w:rPr>
          <w:rFonts w:ascii="Times New Roman" w:hAnsi="Times New Roman"/>
          <w:sz w:val="24"/>
        </w:rPr>
        <w:t>(</w:t>
      </w:r>
      <w:r>
        <w:rPr>
          <w:rFonts w:ascii="Times New Roman" w:hAnsi="Times New Roman"/>
          <w:sz w:val="24"/>
          <w:lang w:val="ru-RU"/>
        </w:rPr>
        <w:t>Статьи</w:t>
      </w:r>
      <w:r>
        <w:rPr>
          <w:rFonts w:ascii="Times New Roman" w:hAnsi="Times New Roman"/>
          <w:sz w:val="24"/>
        </w:rPr>
        <w:t xml:space="preserve"> 1, 2, 4 </w:t>
      </w:r>
      <w:r>
        <w:rPr>
          <w:rFonts w:ascii="Times New Roman" w:hAnsi="Times New Roman"/>
          <w:sz w:val="24"/>
          <w:lang w:val="ru-RU"/>
        </w:rPr>
        <w:t>и</w:t>
      </w:r>
      <w:r>
        <w:rPr>
          <w:rFonts w:ascii="Times New Roman" w:hAnsi="Times New Roman"/>
          <w:sz w:val="24"/>
        </w:rPr>
        <w:t xml:space="preserve"> 16 </w:t>
      </w:r>
      <w:r>
        <w:rPr>
          <w:rFonts w:ascii="Times New Roman" w:hAnsi="Times New Roman"/>
          <w:sz w:val="24"/>
          <w:lang w:val="ru-RU"/>
        </w:rPr>
        <w:t>Конвенции</w:t>
      </w:r>
      <w:r>
        <w:rPr>
          <w:rFonts w:ascii="Times New Roman" w:hAnsi="Times New Roman"/>
          <w:sz w:val="24"/>
        </w:rPr>
        <w:t>)</w:t>
      </w:r>
    </w:p>
    <w:p w:rsidR="00000000" w:rsidRDefault="00000000">
      <w:pPr>
        <w:pStyle w:val="BodyTextIndent"/>
        <w:ind w:left="1134" w:hanging="567"/>
        <w:jc w:val="left"/>
        <w:rPr>
          <w:rFonts w:ascii="Times New Roman" w:hAnsi="Times New Roman"/>
          <w:sz w:val="24"/>
          <w:lang w:val="ru-RU"/>
        </w:rPr>
      </w:pPr>
    </w:p>
    <w:p w:rsidR="00000000" w:rsidRDefault="00000000">
      <w:pPr>
        <w:pStyle w:val="BodyTextIndent"/>
        <w:spacing w:line="288" w:lineRule="auto"/>
        <w:jc w:val="left"/>
        <w:rPr>
          <w:rFonts w:ascii="Times New Roman" w:hAnsi="Times New Roman"/>
          <w:sz w:val="24"/>
          <w:lang w:val="ru-RU"/>
        </w:rPr>
      </w:pPr>
      <w:r>
        <w:rPr>
          <w:rFonts w:ascii="Times New Roman" w:hAnsi="Times New Roman"/>
          <w:sz w:val="24"/>
        </w:rPr>
        <w:t>31.</w:t>
      </w:r>
      <w:r>
        <w:rPr>
          <w:rFonts w:ascii="Times New Roman" w:hAnsi="Times New Roman"/>
          <w:sz w:val="24"/>
        </w:rPr>
        <w:tab/>
      </w:r>
      <w:r>
        <w:rPr>
          <w:rFonts w:ascii="Times New Roman" w:hAnsi="Times New Roman"/>
          <w:sz w:val="24"/>
          <w:lang w:val="ru-RU"/>
        </w:rPr>
        <w:t xml:space="preserve">Правительство страны неустанно ведет работу, направленную на поощрение, уважение и </w:t>
      </w:r>
      <w:r>
        <w:rPr>
          <w:rFonts w:ascii="Times New Roman" w:hAnsi="Times New Roman"/>
          <w:sz w:val="24"/>
        </w:rPr>
        <w:t>г</w:t>
      </w:r>
      <w:proofErr w:type="spellStart"/>
      <w:r>
        <w:rPr>
          <w:rFonts w:ascii="Times New Roman" w:hAnsi="Times New Roman"/>
          <w:sz w:val="24"/>
          <w:lang w:val="ru-RU"/>
        </w:rPr>
        <w:t>арантирование</w:t>
      </w:r>
      <w:proofErr w:type="spellEnd"/>
      <w:r>
        <w:rPr>
          <w:rFonts w:ascii="Times New Roman" w:hAnsi="Times New Roman"/>
          <w:sz w:val="24"/>
          <w:lang w:val="ru-RU"/>
        </w:rPr>
        <w:t xml:space="preserve"> </w:t>
      </w:r>
      <w:proofErr w:type="spellStart"/>
      <w:r>
        <w:rPr>
          <w:rFonts w:ascii="Times New Roman" w:hAnsi="Times New Roman"/>
          <w:sz w:val="24"/>
          <w:lang w:val="ru-RU"/>
        </w:rPr>
        <w:t>п</w:t>
      </w:r>
      <w:proofErr w:type="spellEnd"/>
      <w:r>
        <w:rPr>
          <w:rFonts w:ascii="Times New Roman" w:hAnsi="Times New Roman"/>
          <w:sz w:val="24"/>
        </w:rPr>
        <w:t>рав человека</w:t>
      </w:r>
      <w:r>
        <w:rPr>
          <w:rFonts w:ascii="Times New Roman" w:hAnsi="Times New Roman"/>
          <w:sz w:val="24"/>
          <w:lang w:val="ru-RU"/>
        </w:rPr>
        <w:t>,</w:t>
      </w:r>
      <w:r>
        <w:rPr>
          <w:rFonts w:ascii="Times New Roman" w:hAnsi="Times New Roman"/>
          <w:sz w:val="24"/>
        </w:rPr>
        <w:t xml:space="preserve"> </w:t>
      </w:r>
      <w:r>
        <w:rPr>
          <w:rFonts w:ascii="Times New Roman" w:hAnsi="Times New Roman"/>
          <w:sz w:val="24"/>
          <w:lang w:val="ru-RU"/>
        </w:rPr>
        <w:t>сознавая, каким серьезным препятствием для этого является внутренний вооруженный конфликт, конфликт, вызывающий чувство горечи, конфликт, в котором гражданское население стало главной мишенью для участников незаконных вооруженных формирований</w:t>
      </w:r>
      <w:r>
        <w:rPr>
          <w:rFonts w:ascii="Times New Roman" w:hAnsi="Times New Roman"/>
          <w:sz w:val="24"/>
        </w:rPr>
        <w:t xml:space="preserve">.  </w:t>
      </w:r>
      <w:r>
        <w:rPr>
          <w:rFonts w:ascii="Times New Roman" w:hAnsi="Times New Roman"/>
          <w:sz w:val="24"/>
          <w:lang w:val="ru-RU"/>
        </w:rPr>
        <w:t>Несмотря на важность и ценность достижений в сфере прав человека</w:t>
      </w:r>
      <w:r>
        <w:rPr>
          <w:rFonts w:ascii="Times New Roman" w:hAnsi="Times New Roman"/>
          <w:sz w:val="24"/>
        </w:rPr>
        <w:t xml:space="preserve">, </w:t>
      </w:r>
      <w:r>
        <w:rPr>
          <w:rFonts w:ascii="Times New Roman" w:hAnsi="Times New Roman"/>
          <w:sz w:val="24"/>
          <w:lang w:val="ru-RU"/>
        </w:rPr>
        <w:t>правительство сознает необходимость дальнейшей активизации усилий в этом направлении, равно как и дополнительного наращивания усилий по устранению причин конфликта</w:t>
      </w:r>
      <w:r>
        <w:rPr>
          <w:rFonts w:ascii="Times New Roman" w:hAnsi="Times New Roman"/>
          <w:sz w:val="24"/>
        </w:rPr>
        <w:t xml:space="preserve">.  </w:t>
      </w:r>
      <w:r>
        <w:rPr>
          <w:rFonts w:ascii="Times New Roman" w:hAnsi="Times New Roman"/>
          <w:sz w:val="24"/>
          <w:lang w:val="ru-RU"/>
        </w:rPr>
        <w:t>Правительство настойчиво стремится к разрешению этого конфликта путем переговоров, признавая очевидные трудности и кризисы, повсеместно сопровождающие процесс достижения мира</w:t>
      </w:r>
      <w:r>
        <w:rPr>
          <w:rFonts w:ascii="Times New Roman" w:hAnsi="Times New Roman"/>
          <w:sz w:val="24"/>
        </w:rPr>
        <w:t xml:space="preserve">, </w:t>
      </w:r>
      <w:r>
        <w:rPr>
          <w:rFonts w:ascii="Times New Roman" w:hAnsi="Times New Roman"/>
          <w:sz w:val="24"/>
          <w:lang w:val="ru-RU"/>
        </w:rPr>
        <w:t>и учитывая конкретные особенности нашей ситуации и огромные проблемы, которые с этим связаны</w:t>
      </w:r>
      <w:r>
        <w:rPr>
          <w:rFonts w:ascii="Times New Roman" w:hAnsi="Times New Roman"/>
          <w:sz w:val="24"/>
        </w:rPr>
        <w:t xml:space="preserve">. </w:t>
      </w:r>
    </w:p>
    <w:p w:rsidR="00000000" w:rsidRDefault="00000000">
      <w:pPr>
        <w:pStyle w:val="BodyTextIndent"/>
        <w:spacing w:line="288" w:lineRule="auto"/>
        <w:jc w:val="left"/>
        <w:rPr>
          <w:rFonts w:ascii="Times New Roman" w:hAnsi="Times New Roman"/>
          <w:sz w:val="24"/>
          <w:lang w:val="ru-RU"/>
        </w:rPr>
      </w:pPr>
    </w:p>
    <w:p w:rsidR="00000000" w:rsidRDefault="00000000">
      <w:pPr>
        <w:pStyle w:val="BodyTextIndent"/>
        <w:spacing w:line="288" w:lineRule="auto"/>
        <w:jc w:val="left"/>
        <w:rPr>
          <w:rFonts w:ascii="Times New Roman" w:hAnsi="Times New Roman"/>
          <w:sz w:val="24"/>
          <w:lang w:val="ru-RU"/>
        </w:rPr>
      </w:pPr>
      <w:r>
        <w:rPr>
          <w:rFonts w:ascii="Times New Roman" w:hAnsi="Times New Roman"/>
          <w:sz w:val="24"/>
        </w:rPr>
        <w:t>32.</w:t>
      </w:r>
      <w:r>
        <w:rPr>
          <w:rFonts w:ascii="Times New Roman" w:hAnsi="Times New Roman"/>
          <w:sz w:val="24"/>
        </w:rPr>
        <w:tab/>
      </w:r>
      <w:r>
        <w:rPr>
          <w:rFonts w:ascii="Times New Roman" w:hAnsi="Times New Roman"/>
          <w:sz w:val="24"/>
          <w:lang w:val="ru-RU"/>
        </w:rPr>
        <w:t xml:space="preserve">В этом контексте, перечисляемые ниже мероприятия соответствуют целям Политики поощрения, гарантирования и защиты прав человека и применения норм международного гуманитарного права в интересах достижения мира. </w:t>
      </w:r>
    </w:p>
    <w:p w:rsidR="00000000" w:rsidRDefault="00000000">
      <w:pPr>
        <w:pStyle w:val="BodyTextIndent"/>
        <w:spacing w:line="288" w:lineRule="auto"/>
        <w:jc w:val="left"/>
        <w:rPr>
          <w:rFonts w:ascii="Times New Roman" w:hAnsi="Times New Roman"/>
          <w:sz w:val="24"/>
          <w:lang w:val="ru-RU"/>
        </w:rPr>
      </w:pPr>
    </w:p>
    <w:p w:rsidR="00000000" w:rsidRDefault="00000000">
      <w:r>
        <w:t>33.</w:t>
      </w:r>
      <w:r>
        <w:tab/>
        <w:t>Отношения с ФАРК убедительно свидетельствуют об упомянутых выше трудностях и, в то же время, являются несомненным показателем продвижения вперед, что подтверждается нижеследующим:</w:t>
      </w:r>
    </w:p>
    <w:p w:rsidR="00000000" w:rsidRDefault="00000000"/>
    <w:p w:rsidR="00000000" w:rsidRDefault="00000000">
      <w:pPr>
        <w:ind w:left="1134" w:hanging="567"/>
      </w:pPr>
      <w:proofErr w:type="spellStart"/>
      <w:r>
        <w:t>a</w:t>
      </w:r>
      <w:proofErr w:type="spellEnd"/>
      <w:r>
        <w:t>)</w:t>
      </w:r>
      <w:r>
        <w:tab/>
        <w:t>достигнут национальный и международный консенсус относительно необходимости поиска политического выхода из конфликта, который превалирует над концепциями чисто военного решения проблемы;</w:t>
      </w:r>
    </w:p>
    <w:p w:rsidR="00000000" w:rsidRDefault="00000000">
      <w:pPr>
        <w:ind w:left="1134" w:hanging="567"/>
      </w:pPr>
    </w:p>
    <w:p w:rsidR="00000000" w:rsidRDefault="00000000">
      <w:pPr>
        <w:ind w:left="1134" w:hanging="567"/>
      </w:pPr>
      <w:proofErr w:type="spellStart"/>
      <w:r>
        <w:t>b</w:t>
      </w:r>
      <w:proofErr w:type="spellEnd"/>
      <w:r>
        <w:t>)</w:t>
      </w:r>
      <w:r>
        <w:tab/>
        <w:t>улучшилось понимание международным сообществом сложности обстановки в Колумбии, стали более ясными и определенными реальные интересы участников конфликта, что позволяет более эффективно содействовать мирному процессу.  Это отражается, помимо всего прочего, в солидарности и позиции дружественных стран, которые стали важным результатом Дипломатии мира, являющейся, вопреки некоторым утверждениям, не стратегией маскировки действительного положения, а усилием, направленным на интернационализацию мирного процесса с целью прекращения войны;</w:t>
      </w:r>
    </w:p>
    <w:p w:rsidR="00000000" w:rsidRDefault="00000000">
      <w:pPr>
        <w:ind w:left="1134" w:hanging="567"/>
      </w:pPr>
    </w:p>
    <w:p w:rsidR="00000000" w:rsidRDefault="00000000">
      <w:pPr>
        <w:ind w:left="1134" w:hanging="567"/>
      </w:pPr>
      <w:proofErr w:type="spellStart"/>
      <w:r>
        <w:t>c</w:t>
      </w:r>
      <w:proofErr w:type="spellEnd"/>
      <w:r>
        <w:t>)</w:t>
      </w:r>
      <w:r>
        <w:tab/>
        <w:t>достигнут прогресс в деле выработки консенсуса относительно поддержки мирного процесса посредством приглашения к участию в нем различных политических сил и социальных групп в рамках Общего фронта за мир и против насилия, а также через Национальный совет мира.  Правительство будет и далее вести работу по укреплению и расширению указанного консенсуса;</w:t>
      </w:r>
    </w:p>
    <w:p w:rsidR="00000000" w:rsidRDefault="00000000">
      <w:pPr>
        <w:ind w:left="1134" w:hanging="567"/>
      </w:pPr>
    </w:p>
    <w:p w:rsidR="00000000" w:rsidRDefault="00000000">
      <w:pPr>
        <w:ind w:left="1134" w:hanging="567"/>
      </w:pPr>
      <w:proofErr w:type="spellStart"/>
      <w:r>
        <w:t>d</w:t>
      </w:r>
      <w:proofErr w:type="spellEnd"/>
      <w:r>
        <w:t>)</w:t>
      </w:r>
      <w:r>
        <w:tab/>
        <w:t xml:space="preserve">сохраняется зона разрядки напряженности, которая делает возможным проведение диалога.  Несмотря на многочисленные критические замечания, вызванные существованием такой зоны, именно благодаря ее наличию стало возможным создание минимальных условий доверия для преодоления серьезных сомнений относительно вопросов безопасности, которые накопились за три с лишним десятилетия вооруженного противостояния.  В то же время, на территории упомянутой зоны реализуются сейчас крупные капиталовложения в социальную сферу, направленные на выполнение программ развития сельского хозяйства, здравоохранения, образования, культуры и отдыха, обеспечения питьевой водой и мелиорации, электрификации, охраны окружающей среды и совершенствования сети путей сообщения.  Упомянутые программы реализуются в пяти муниципалитетах, образующих зону разрядки напряженности, при этом инвестиции составляют порядка 87 000 миллионов песо. </w:t>
      </w:r>
    </w:p>
    <w:p w:rsidR="00000000" w:rsidRDefault="00000000">
      <w:pPr>
        <w:ind w:left="1134" w:hanging="567"/>
      </w:pPr>
    </w:p>
    <w:p w:rsidR="00000000" w:rsidRDefault="00000000">
      <w:r>
        <w:t>34.</w:t>
      </w:r>
      <w:r>
        <w:tab/>
        <w:t>Даже в кризисных ситуациях, в ходе указанного процесса удалось достигнуть четырех соглашений, а именно:</w:t>
      </w:r>
    </w:p>
    <w:p w:rsidR="00000000" w:rsidRDefault="00000000"/>
    <w:p w:rsidR="00000000" w:rsidRDefault="00000000">
      <w:pPr>
        <w:ind w:left="1134" w:hanging="1134"/>
      </w:pPr>
      <w:r>
        <w:br w:type="page"/>
      </w:r>
      <w:r>
        <w:tab/>
      </w:r>
      <w:proofErr w:type="spellStart"/>
      <w:r>
        <w:t>a</w:t>
      </w:r>
      <w:proofErr w:type="spellEnd"/>
      <w:r>
        <w:t>)</w:t>
      </w:r>
      <w:r>
        <w:tab/>
        <w:t xml:space="preserve">Соглашение в </w:t>
      </w:r>
      <w:proofErr w:type="spellStart"/>
      <w:r>
        <w:t>Ла-Мачака</w:t>
      </w:r>
      <w:proofErr w:type="spellEnd"/>
      <w:r>
        <w:t>, подписанное 6 мая 2000 года, которое определило повестку дня, включающую следующие вопросы:  политическое решение путем переговоров, защита прав человека, комплексная аграрная политика, использование и сохранение природных ресурсов, экономическое и социальное устройство, судебная реформа, борьба с коррупцией и с торговлей наркотиками; политическая реформа, реформы государственного аппарата, соглашения по международному гуманитарному праву; вооруженные силы; международные отношения и оформление договоренностей.  Впоследствии указанная повестка дня была разбита на три крупных блока по темам:  социально-экономическая структура; права человека, международное гуманитарное право и международные отношения; и демократия и политическое устройство государства;</w:t>
      </w:r>
    </w:p>
    <w:p w:rsidR="00000000" w:rsidRDefault="00000000">
      <w:pPr>
        <w:ind w:left="1134" w:hanging="1134"/>
      </w:pPr>
    </w:p>
    <w:p w:rsidR="00000000" w:rsidRDefault="00000000">
      <w:pPr>
        <w:ind w:left="1134" w:hanging="1134"/>
      </w:pPr>
      <w:r>
        <w:tab/>
      </w:r>
      <w:proofErr w:type="spellStart"/>
      <w:r>
        <w:t>b</w:t>
      </w:r>
      <w:proofErr w:type="spellEnd"/>
      <w:r>
        <w:t>)</w:t>
      </w:r>
      <w:r>
        <w:tab/>
        <w:t xml:space="preserve">Соглашение в </w:t>
      </w:r>
      <w:proofErr w:type="spellStart"/>
      <w:r>
        <w:t>Лос-Посос</w:t>
      </w:r>
      <w:proofErr w:type="spellEnd"/>
      <w:r>
        <w:t xml:space="preserve">, подписанное в феврале 2001 года, в котором стороны приняли на себя обязательство продолжить обсуждение механизмов, дающих возможность покончить с </w:t>
      </w:r>
      <w:proofErr w:type="spellStart"/>
      <w:r>
        <w:t>парамилитаризмом</w:t>
      </w:r>
      <w:proofErr w:type="spellEnd"/>
      <w:r>
        <w:t xml:space="preserve"> и снизить интенсивность конфликта путем создания, по линии Национального стола для диалога, комиссии из видных деятелей страны с целью выработки рекомендаций по этим двум направлениям; ускорить заключение соглашения по гуманитарным вопросам, которое позволило бы освободить из плена страдающих различными заболеваниями солдат, полицейских и повстанцев; сформировать, по линии Национального стола для диалога, комиссию для изучения фактов, мешающих ходу мирного процесса, а также создать механизм для периодической оценки положения дел в зоне разрядки напряженности и степени реализации поставленных перед ней целей;</w:t>
      </w:r>
    </w:p>
    <w:p w:rsidR="00000000" w:rsidRDefault="00000000">
      <w:pPr>
        <w:ind w:left="1134" w:hanging="1134"/>
      </w:pPr>
    </w:p>
    <w:p w:rsidR="00000000" w:rsidRDefault="00000000">
      <w:pPr>
        <w:ind w:left="1134" w:hanging="1134"/>
      </w:pPr>
      <w:r>
        <w:tab/>
      </w:r>
      <w:proofErr w:type="spellStart"/>
      <w:r>
        <w:t>c</w:t>
      </w:r>
      <w:proofErr w:type="spellEnd"/>
      <w:r>
        <w:t>)</w:t>
      </w:r>
      <w:r>
        <w:tab/>
        <w:t>Соглашение по гуманитарным вопросам, подписанное 2 июня 2001 года, позволившее освободить более ста солдат и полицейских, находившихся в плену у Революционных вооруженных сил Колумбии (ФАРК), а также осуществить передачу больных участников формирований ФАРК, с предварительным принятием мер пресечения или определением меры вины;</w:t>
      </w:r>
    </w:p>
    <w:p w:rsidR="00000000" w:rsidRDefault="00000000">
      <w:pPr>
        <w:ind w:left="1134" w:hanging="1134"/>
      </w:pPr>
    </w:p>
    <w:p w:rsidR="00000000" w:rsidRDefault="00000000">
      <w:pPr>
        <w:ind w:left="1134" w:hanging="1134"/>
      </w:pPr>
      <w:r>
        <w:tab/>
      </w:r>
      <w:proofErr w:type="spellStart"/>
      <w:r>
        <w:t>d</w:t>
      </w:r>
      <w:proofErr w:type="spellEnd"/>
      <w:r>
        <w:t>)</w:t>
      </w:r>
      <w:r>
        <w:tab/>
        <w:t xml:space="preserve">Соглашение, подписанное в </w:t>
      </w:r>
      <w:proofErr w:type="spellStart"/>
      <w:r>
        <w:t>Сан-Франсиско-де-ла-Сомбра</w:t>
      </w:r>
      <w:proofErr w:type="spellEnd"/>
      <w:r>
        <w:t xml:space="preserve"> 5 мая 2001 года, о начале изучения документа, содержащего представленные Комиссией видных деятелей рекомендации по таким вопросам, как перемирие с прекращением огня и военных действий, похищение людей, меры, направленные на то, чтобы покончить с "</w:t>
      </w:r>
      <w:proofErr w:type="spellStart"/>
      <w:r>
        <w:t>парамилитаризмом</w:t>
      </w:r>
      <w:proofErr w:type="spellEnd"/>
      <w:r>
        <w:t>", и возможный созыв Учредительного собрания, не в ущерб общей повестке дня;  обращение к кандидатам, а также политическим движениям и партиям, представителям различных слоев общества и Национальному совету мира с предложением обратить внимание на указанные вопросы.  Кроме того, ФАРК обязались лояльно относиться к политической деятельности и к предстоящим в зоне выборам, а также запретить участникам повстанческим формирований проводить неожиданные облавы на дорогах страны.</w:t>
      </w:r>
    </w:p>
    <w:p w:rsidR="00000000" w:rsidRDefault="00000000">
      <w:pPr>
        <w:ind w:left="1134" w:hanging="1134"/>
      </w:pPr>
    </w:p>
    <w:p w:rsidR="00000000" w:rsidRDefault="00000000">
      <w:r>
        <w:t>35.</w:t>
      </w:r>
      <w:r>
        <w:tab/>
        <w:t>Со своей стороны, правительство решительно заявило ФАРК, что критика зоны разрядки напряженности не означает дискредитации процесса поиска выхода из конфликта путем переговоров.  Критические высказывания отражают оценки и мнения, которые имеют своё объяснение и которые следует уважать при нормальном развитии демократической системы.  Было подчеркнуто также, что главной причиной дискредитации указанной зоны является её неправильное использование, и что больше всего мирный процесс дискредитируется отсутствием заметного продвижения вперед в деле решения намеченного перечня проблем.</w:t>
      </w:r>
    </w:p>
    <w:p w:rsidR="00000000" w:rsidRDefault="00000000"/>
    <w:p w:rsidR="00000000" w:rsidRDefault="00000000">
      <w:r>
        <w:t>36.</w:t>
      </w:r>
      <w:r>
        <w:tab/>
        <w:t xml:space="preserve">Правительство сожалеет о невыполнении со стороны повстанческих формирований ряда подписанных ими обязательств, что вызвало серьезные задержки в ходе процесса урегулирования на протяжении последних месяцев, когда были совершены такие акции, как захват трех немецких сотрудников, задержание г-на Алана </w:t>
      </w:r>
      <w:proofErr w:type="spellStart"/>
      <w:r>
        <w:t>Хара</w:t>
      </w:r>
      <w:proofErr w:type="spellEnd"/>
      <w:r>
        <w:t xml:space="preserve">, бывшего губернатора </w:t>
      </w:r>
      <w:proofErr w:type="spellStart"/>
      <w:r>
        <w:t>Какеты</w:t>
      </w:r>
      <w:proofErr w:type="spellEnd"/>
      <w:r>
        <w:t xml:space="preserve">, в тот момент, когда он находился под защитой международной организации, убийство г-жи </w:t>
      </w:r>
      <w:proofErr w:type="spellStart"/>
      <w:r>
        <w:t>Консуэло</w:t>
      </w:r>
      <w:proofErr w:type="spellEnd"/>
      <w:r>
        <w:t xml:space="preserve"> </w:t>
      </w:r>
      <w:proofErr w:type="spellStart"/>
      <w:r>
        <w:t>Араухо</w:t>
      </w:r>
      <w:proofErr w:type="spellEnd"/>
      <w:r>
        <w:t>, бывшего министра культуры, недавний подрыв нефтепровода, приведший к смерти четырех детей.  Несмотря на это, президент Республики не прекращает своих усилий и под его личным руководством продолжаются попытки продвигать вперед переговорный процесс, для участия в котором приглашены все общественные группы, гражданские лица, политики и служители церкви, которые призваны поддержать и обогатить этот процесс своими взглядами и идеями.</w:t>
      </w:r>
    </w:p>
    <w:p w:rsidR="00000000" w:rsidRDefault="00000000"/>
    <w:p w:rsidR="00000000" w:rsidRDefault="00000000">
      <w:r>
        <w:t>37.</w:t>
      </w:r>
      <w:r>
        <w:tab/>
        <w:t xml:space="preserve">В отношении сближения позиций с повстанческой группой ЭЛН следует отметить, что спустя всего несколько месяцев после своего прихода к власти нынешняя администрация, оценив контакты, которые упомянутая группа устанавливала с гражданским обществом, начала с ней официальные переговоры и признала ее политической организацией.  Тогда же правительство начало изучение представленных этой группой предложений, а также возможности проведения так называемой Национальной конвенции, т.е. предлагаемого ими и обществом механизма, способного обеспечить продвижение вперед мирного процесса. </w:t>
      </w:r>
    </w:p>
    <w:p w:rsidR="00000000" w:rsidRDefault="00000000">
      <w:pPr>
        <w:pStyle w:val="NormalWeb"/>
        <w:spacing w:before="0" w:after="0" w:line="288" w:lineRule="auto"/>
        <w:rPr>
          <w:lang w:val="ru-RU"/>
        </w:rPr>
      </w:pPr>
    </w:p>
    <w:p w:rsidR="00000000" w:rsidRDefault="00000000">
      <w:pPr>
        <w:pStyle w:val="NormalWeb"/>
        <w:spacing w:before="0" w:after="0" w:line="288" w:lineRule="auto"/>
      </w:pPr>
      <w:r>
        <w:t>38.</w:t>
      </w:r>
      <w:r>
        <w:tab/>
      </w:r>
      <w:r>
        <w:rPr>
          <w:lang w:val="ru-RU"/>
        </w:rPr>
        <w:t>Однако по разным причинам переговоры неоднократно прерывались</w:t>
      </w:r>
      <w:r>
        <w:t xml:space="preserve">.  </w:t>
      </w:r>
      <w:r>
        <w:rPr>
          <w:lang w:val="ru-RU"/>
        </w:rPr>
        <w:t>Среди этих причин следует особо упомянуть акты терроризма; например, тот, который вызвал трагедию в</w:t>
      </w:r>
      <w:r>
        <w:t xml:space="preserve"> </w:t>
      </w:r>
      <w:proofErr w:type="spellStart"/>
      <w:r>
        <w:rPr>
          <w:lang w:val="ru-RU"/>
        </w:rPr>
        <w:t>Мачука</w:t>
      </w:r>
      <w:proofErr w:type="spellEnd"/>
      <w:r>
        <w:rPr>
          <w:lang w:val="ru-RU"/>
        </w:rPr>
        <w:t>, массовые захваты заложников в самолете компании "</w:t>
      </w:r>
      <w:proofErr w:type="spellStart"/>
      <w:r>
        <w:rPr>
          <w:lang w:val="ru-RU"/>
        </w:rPr>
        <w:t>Авианка</w:t>
      </w:r>
      <w:proofErr w:type="spellEnd"/>
      <w:r>
        <w:rPr>
          <w:lang w:val="ru-RU"/>
        </w:rPr>
        <w:t xml:space="preserve">" и в церкви </w:t>
      </w:r>
      <w:proofErr w:type="spellStart"/>
      <w:r>
        <w:rPr>
          <w:lang w:val="ru-RU"/>
        </w:rPr>
        <w:t>Ла-Мария-и-де-ла-Сьенага-дель-Торно</w:t>
      </w:r>
      <w:proofErr w:type="spellEnd"/>
      <w:r>
        <w:rPr>
          <w:lang w:val="ru-RU"/>
        </w:rPr>
        <w:t>, совершенные упомянутой повстанческой организацией</w:t>
      </w:r>
      <w:r>
        <w:t xml:space="preserve">.  </w:t>
      </w:r>
      <w:r>
        <w:rPr>
          <w:lang w:val="ru-RU"/>
        </w:rPr>
        <w:t>Несколько раз эта группировка сама прерывала переговоры в одностороннем порядке</w:t>
      </w:r>
      <w:r>
        <w:t xml:space="preserve">.  </w:t>
      </w:r>
      <w:r>
        <w:rPr>
          <w:lang w:val="ru-RU"/>
        </w:rPr>
        <w:t>С другой стороны, преступные акции, совершенные Едиными силами самообороны Колумбии (</w:t>
      </w:r>
      <w:proofErr w:type="spellStart"/>
      <w:r>
        <w:rPr>
          <w:lang w:val="ru-RU"/>
        </w:rPr>
        <w:t>АУК</w:t>
      </w:r>
      <w:proofErr w:type="spellEnd"/>
      <w:r>
        <w:rPr>
          <w:lang w:val="ru-RU"/>
        </w:rPr>
        <w:t>)</w:t>
      </w:r>
      <w:r>
        <w:t xml:space="preserve"> </w:t>
      </w:r>
      <w:r>
        <w:rPr>
          <w:lang w:val="ru-RU"/>
        </w:rPr>
        <w:t>с целью воспрепятствовать созданию зоны для проведения встреч, также тормозили продвижение переговоров</w:t>
      </w:r>
      <w:r>
        <w:t xml:space="preserve">.  </w:t>
      </w:r>
    </w:p>
    <w:p w:rsidR="00000000" w:rsidRDefault="00000000">
      <w:pPr>
        <w:pStyle w:val="NormalWeb"/>
        <w:spacing w:before="0" w:after="0" w:line="288" w:lineRule="auto"/>
        <w:rPr>
          <w:lang w:val="ru-RU"/>
        </w:rPr>
      </w:pPr>
    </w:p>
    <w:p w:rsidR="00000000" w:rsidRDefault="00000000">
      <w:pPr>
        <w:pStyle w:val="NormalWeb"/>
        <w:spacing w:before="0" w:after="0" w:line="288" w:lineRule="auto"/>
      </w:pPr>
      <w:r>
        <w:t>39.</w:t>
      </w:r>
      <w:r>
        <w:tab/>
      </w:r>
      <w:r>
        <w:rPr>
          <w:lang w:val="ru-RU"/>
        </w:rPr>
        <w:t>В связи с изменением первоначальной позиции Армии национального освобождения (</w:t>
      </w:r>
      <w:proofErr w:type="spellStart"/>
      <w:r>
        <w:rPr>
          <w:lang w:val="ru-RU"/>
        </w:rPr>
        <w:t>ЭЛН</w:t>
      </w:r>
      <w:proofErr w:type="spellEnd"/>
      <w:r>
        <w:rPr>
          <w:lang w:val="ru-RU"/>
        </w:rPr>
        <w:t>), которая стала требовать создания демилитаризованной зоны для проведения переговоров, правительство, движимое стремлением к достижению мира, заявило о своей готовности к изучению возможностей и изысканию формул, обеспечивающих успех</w:t>
      </w:r>
      <w:r>
        <w:t xml:space="preserve">.  </w:t>
      </w:r>
      <w:r>
        <w:rPr>
          <w:lang w:val="ru-RU"/>
        </w:rPr>
        <w:t>В этой связи им было выдвинуто много предложений, направленных на определение зоны для встречи, и даже было достигнуто соглашение относительно правил функционирования этой зоны и соответствующих механизмов проверки выполнения, предусматривающих создание комиссии с национальным и международным участием</w:t>
      </w:r>
      <w:r>
        <w:t xml:space="preserve">. </w:t>
      </w:r>
    </w:p>
    <w:p w:rsidR="00000000" w:rsidRDefault="00000000">
      <w:pPr>
        <w:pStyle w:val="NormalWeb"/>
        <w:spacing w:before="0" w:after="0" w:line="288" w:lineRule="auto"/>
        <w:rPr>
          <w:lang w:val="ru-RU"/>
        </w:rPr>
      </w:pPr>
    </w:p>
    <w:p w:rsidR="00000000" w:rsidRDefault="00000000">
      <w:pPr>
        <w:pStyle w:val="NormalWeb"/>
        <w:spacing w:before="0" w:after="0" w:line="288" w:lineRule="auto"/>
        <w:rPr>
          <w:lang w:val="ru-RU"/>
        </w:rPr>
      </w:pPr>
      <w:r>
        <w:t>40.</w:t>
      </w:r>
      <w:r>
        <w:tab/>
      </w:r>
      <w:r>
        <w:rPr>
          <w:lang w:val="ru-RU"/>
        </w:rPr>
        <w:t>В июле нынешнего года, когда был уже</w:t>
      </w:r>
      <w:r>
        <w:t xml:space="preserve"> </w:t>
      </w:r>
      <w:r>
        <w:rPr>
          <w:lang w:val="ru-RU"/>
        </w:rPr>
        <w:t>достигнут очевидный прогресс</w:t>
      </w:r>
      <w:r>
        <w:t xml:space="preserve">, </w:t>
      </w:r>
      <w:proofErr w:type="spellStart"/>
      <w:r>
        <w:rPr>
          <w:lang w:val="ru-RU"/>
        </w:rPr>
        <w:t>ЭЛН</w:t>
      </w:r>
      <w:proofErr w:type="spellEnd"/>
      <w:r>
        <w:rPr>
          <w:lang w:val="ru-RU"/>
        </w:rPr>
        <w:t xml:space="preserve"> изменила свою позицию, отступив от договоренностей и выдвинув новые, неприемлемые для правительства условия</w:t>
      </w:r>
      <w:r>
        <w:t xml:space="preserve">.  </w:t>
      </w:r>
      <w:r>
        <w:rPr>
          <w:lang w:val="ru-RU"/>
        </w:rPr>
        <w:t>С целью преодоления возникших препятствий Армии национального освобождения (</w:t>
      </w:r>
      <w:proofErr w:type="spellStart"/>
      <w:r>
        <w:rPr>
          <w:lang w:val="ru-RU"/>
        </w:rPr>
        <w:t>ЭЛН</w:t>
      </w:r>
      <w:proofErr w:type="spellEnd"/>
      <w:r>
        <w:rPr>
          <w:lang w:val="ru-RU"/>
        </w:rPr>
        <w:t>) были предложены обсуждавшиеся некогда формулы, такие, как ведение процесса переговоров за границей</w:t>
      </w:r>
      <w:r>
        <w:t xml:space="preserve">, </w:t>
      </w:r>
      <w:r>
        <w:rPr>
          <w:lang w:val="ru-RU"/>
        </w:rPr>
        <w:t>создание зоны в порядке постепенности, изменение размера зоны или ее расположения, либо начало</w:t>
      </w:r>
      <w:r>
        <w:t xml:space="preserve"> </w:t>
      </w:r>
      <w:r>
        <w:rPr>
          <w:lang w:val="ru-RU"/>
        </w:rPr>
        <w:t xml:space="preserve">диалога за границей, пока не будут созданы оптимальные условия для его продолжения на территории страны.  Однако </w:t>
      </w:r>
      <w:proofErr w:type="spellStart"/>
      <w:r>
        <w:rPr>
          <w:lang w:val="ru-RU"/>
        </w:rPr>
        <w:t>ЭЛН</w:t>
      </w:r>
      <w:proofErr w:type="spellEnd"/>
      <w:r>
        <w:rPr>
          <w:lang w:val="ru-RU"/>
        </w:rPr>
        <w:t xml:space="preserve"> сразу же отвергла эти предложения и не оставила иного пути, кроме прекращения переговоров</w:t>
      </w:r>
      <w:r>
        <w:t>.</w:t>
      </w:r>
    </w:p>
    <w:p w:rsidR="00000000" w:rsidRDefault="00000000">
      <w:pPr>
        <w:pStyle w:val="NormalWeb"/>
        <w:spacing w:before="0" w:after="0" w:line="288" w:lineRule="auto"/>
        <w:rPr>
          <w:lang w:val="ru-RU"/>
        </w:rPr>
      </w:pPr>
    </w:p>
    <w:p w:rsidR="00000000" w:rsidRDefault="00000000">
      <w:r>
        <w:t>41.</w:t>
      </w:r>
      <w:r>
        <w:tab/>
        <w:t>К счастью, сделав шаг, вызвавший одобрение как в стране, так и на международном уровне, эта организация решила возобновить переговоры с правительством.  В результате этих переговоров стороны подписали Соглашение "За Колумбию".  В развитие данного соглашения, в декларации, подписанной в Гаване (Куба), на встрече, состоявшейся 12</w:t>
      </w:r>
      <w:r>
        <w:noBreakHyphen/>
        <w:t>15 декабря 2001 года, в ходе первого раунда двусторонней работы, предусмотренной в указанном Соглашении, они подтвердили полную готовность настойчиво продолжать поиск путей политического урегулирования конфликта.  В этом плане Армия национального освобождения (ЭЛН), в качестве демонстрации своего позитивного отношения к обязательствам, содержащимся в Соглашении "За Колумбию", 17 декабря приняла решение об объявлении "одностороннего и не рассчитанного на ответные шаги" рождественского перемирия с 18 декабря по 6 января 2000 года.</w:t>
      </w:r>
    </w:p>
    <w:p w:rsidR="00000000" w:rsidRDefault="00000000"/>
    <w:p w:rsidR="00000000" w:rsidRDefault="00000000">
      <w:r>
        <w:br w:type="page"/>
        <w:t>42.</w:t>
      </w:r>
      <w:r>
        <w:tab/>
        <w:t xml:space="preserve">В свою очередь правительство страны в постановлении № 148, принятом в 2001 году, решило возобновить процесс диалога, переговоров и подписания соглашений с Армией национального освобождения (ЭЛН).  В этом же постановлении правительство признает политический статус ЭЛН. </w:t>
      </w:r>
    </w:p>
    <w:p w:rsidR="00000000" w:rsidRDefault="00000000"/>
    <w:p w:rsidR="00000000" w:rsidRDefault="00000000">
      <w:pPr>
        <w:rPr>
          <w:snapToGrid w:val="0"/>
        </w:rPr>
      </w:pPr>
      <w:r>
        <w:t>43.</w:t>
      </w:r>
      <w:r>
        <w:tab/>
        <w:t>Кроме того, будучи твердо убежденным в том, что соблюдение прав человека и норм международного гуманитарного права является необходимым условием для достижения мира, правительство идет по пути закрепления результатов "Политики поощрения, уважения и гарантирования прав человека и применения норм международного гуманитарного права на</w:t>
      </w:r>
      <w:r>
        <w:rPr>
          <w:snapToGrid w:val="0"/>
        </w:rPr>
        <w:t xml:space="preserve"> 1998-2002 годы", реализуя исполнительные документы, разработанные под руководством вице-президента Республики и в координации с президентской Программой по </w:t>
      </w:r>
      <w:r>
        <w:t>правам человека и международному гуманитарному праву</w:t>
      </w:r>
      <w:r>
        <w:rPr>
          <w:snapToGrid w:val="0"/>
        </w:rPr>
        <w:t xml:space="preserve">.  Возложение на вице-президента обязанностей министра обороны, а также назначение директора Программы членом делегации, ведущей переговоры о достижении мира с </w:t>
      </w:r>
      <w:r>
        <w:t>ФАРК,</w:t>
      </w:r>
      <w:r>
        <w:rPr>
          <w:snapToGrid w:val="0"/>
        </w:rPr>
        <w:t xml:space="preserve"> подтверждают заинтересованность правительства в том, чтобы тема прав человека и </w:t>
      </w:r>
      <w:r>
        <w:t>международного гуманитарного права</w:t>
      </w:r>
      <w:r>
        <w:rPr>
          <w:snapToGrid w:val="0"/>
        </w:rPr>
        <w:t xml:space="preserve"> занимала важное место в повестке дня при обсуждении вопросов мира и безопасности. </w:t>
      </w:r>
    </w:p>
    <w:p w:rsidR="00000000" w:rsidRDefault="00000000">
      <w:pPr>
        <w:rPr>
          <w:snapToGrid w:val="0"/>
        </w:rPr>
      </w:pPr>
    </w:p>
    <w:p w:rsidR="00000000" w:rsidRDefault="00000000">
      <w:pPr>
        <w:rPr>
          <w:snapToGrid w:val="0"/>
        </w:rPr>
      </w:pPr>
      <w:r>
        <w:rPr>
          <w:snapToGrid w:val="0"/>
        </w:rPr>
        <w:t>44.</w:t>
      </w:r>
      <w:r>
        <w:rPr>
          <w:snapToGrid w:val="0"/>
        </w:rPr>
        <w:tab/>
        <w:t>Общественным мнением в стране и за рубежом признается причастность различных незаконных вооруженных формирований к ухудшению ситуации в Колумбии и единодушно подчеркивается необходимость сосредоточиться в политике по правам человека на оздоровлении условий, порожденных конфликтом.</w:t>
      </w:r>
    </w:p>
    <w:p w:rsidR="00000000" w:rsidRDefault="00000000">
      <w:pPr>
        <w:rPr>
          <w:snapToGrid w:val="0"/>
        </w:rPr>
      </w:pPr>
    </w:p>
    <w:p w:rsidR="00000000" w:rsidRDefault="00000000">
      <w:pPr>
        <w:pStyle w:val="BodyText2"/>
        <w:jc w:val="center"/>
        <w:rPr>
          <w:u w:val="single"/>
          <w:lang w:val="ru-RU"/>
        </w:rPr>
      </w:pPr>
      <w:r>
        <w:t>A.</w:t>
      </w:r>
      <w:r>
        <w:rPr>
          <w:lang w:val="ru-RU"/>
        </w:rPr>
        <w:tab/>
      </w:r>
      <w:r>
        <w:rPr>
          <w:u w:val="single"/>
          <w:lang w:val="ru-RU"/>
        </w:rPr>
        <w:t>Борьба против всех незаконных вооруженных формирований</w:t>
      </w:r>
    </w:p>
    <w:p w:rsidR="00000000" w:rsidRDefault="00000000">
      <w:pPr>
        <w:pStyle w:val="BodyText2"/>
        <w:jc w:val="center"/>
      </w:pPr>
    </w:p>
    <w:p w:rsidR="00000000" w:rsidRDefault="00000000">
      <w:pPr>
        <w:pStyle w:val="BodyText3"/>
        <w:spacing w:line="288" w:lineRule="auto"/>
        <w:jc w:val="left"/>
        <w:rPr>
          <w:i w:val="0"/>
          <w:lang w:val="ru-RU"/>
        </w:rPr>
      </w:pPr>
      <w:bookmarkStart w:id="4" w:name="AvancesResultadosPoliticaDDHH"/>
      <w:r>
        <w:rPr>
          <w:i w:val="0"/>
          <w:lang w:val="es-ES"/>
        </w:rPr>
        <w:t>45.</w:t>
      </w:r>
      <w:r>
        <w:rPr>
          <w:i w:val="0"/>
          <w:lang w:val="es-ES"/>
        </w:rPr>
        <w:tab/>
      </w:r>
      <w:r>
        <w:rPr>
          <w:i w:val="0"/>
          <w:lang w:val="ru-RU"/>
        </w:rPr>
        <w:t>Аналогичным образом, борьба против всех незаконных вооруженных групп является приоритетной целью при проведении этой политики, при понимании того факта, что ухудшение ситуации в Колумбии связано с нарушениями норм международного гуманитарного права, которые совершаются упомянутыми группами</w:t>
      </w:r>
      <w:bookmarkEnd w:id="4"/>
      <w:r>
        <w:rPr>
          <w:i w:val="0"/>
          <w:lang w:val="ru-RU"/>
        </w:rPr>
        <w:t>.</w:t>
      </w:r>
    </w:p>
    <w:p w:rsidR="00000000" w:rsidRDefault="00000000">
      <w:pPr>
        <w:pStyle w:val="BodyText3"/>
        <w:spacing w:line="288" w:lineRule="auto"/>
        <w:jc w:val="left"/>
        <w:rPr>
          <w:i w:val="0"/>
          <w:lang w:val="ru-RU"/>
        </w:rPr>
      </w:pPr>
    </w:p>
    <w:p w:rsidR="00000000" w:rsidRDefault="00000000">
      <w:pPr>
        <w:pStyle w:val="BodyText3"/>
        <w:spacing w:line="288" w:lineRule="auto"/>
        <w:jc w:val="left"/>
        <w:rPr>
          <w:i w:val="0"/>
          <w:lang w:val="ru-RU"/>
        </w:rPr>
      </w:pPr>
      <w:r>
        <w:rPr>
          <w:i w:val="0"/>
        </w:rPr>
        <w:t>46.</w:t>
      </w:r>
      <w:r>
        <w:rPr>
          <w:i w:val="0"/>
          <w:lang w:val="ru-RU"/>
        </w:rPr>
        <w:tab/>
        <w:t>Итоги операций, проведенных силами по поддержанию правопорядка, говорят о существенных успехах, достигнутых в борьбе с незаконными вооруженными формированиями, а именно, о положительных результатах противодействия подрывным элементам и беспрецедентных достижениях в отношении групп самообороны.</w:t>
      </w:r>
    </w:p>
    <w:p w:rsidR="00000000" w:rsidRDefault="00000000">
      <w:pPr>
        <w:pStyle w:val="BodyText3"/>
        <w:spacing w:line="288" w:lineRule="auto"/>
        <w:jc w:val="left"/>
        <w:rPr>
          <w:i w:val="0"/>
          <w:lang w:val="ru-RU"/>
        </w:rPr>
      </w:pPr>
    </w:p>
    <w:p w:rsidR="00000000" w:rsidRDefault="00000000">
      <w:pPr>
        <w:pStyle w:val="BodyText3"/>
        <w:spacing w:line="288" w:lineRule="auto"/>
        <w:jc w:val="left"/>
        <w:rPr>
          <w:i w:val="0"/>
          <w:lang w:val="ru-RU"/>
        </w:rPr>
      </w:pPr>
      <w:r>
        <w:rPr>
          <w:i w:val="0"/>
        </w:rPr>
        <w:t>47.</w:t>
      </w:r>
      <w:r>
        <w:rPr>
          <w:i w:val="0"/>
        </w:rPr>
        <w:tab/>
      </w:r>
      <w:r>
        <w:rPr>
          <w:i w:val="0"/>
          <w:lang w:val="ru-RU"/>
        </w:rPr>
        <w:t>В</w:t>
      </w:r>
      <w:r>
        <w:rPr>
          <w:i w:val="0"/>
        </w:rPr>
        <w:t xml:space="preserve"> 2001 </w:t>
      </w:r>
      <w:r>
        <w:rPr>
          <w:i w:val="0"/>
          <w:lang w:val="ru-RU"/>
        </w:rPr>
        <w:t xml:space="preserve">году (до </w:t>
      </w:r>
      <w:r>
        <w:rPr>
          <w:i w:val="0"/>
        </w:rPr>
        <w:t xml:space="preserve">30 </w:t>
      </w:r>
      <w:r>
        <w:rPr>
          <w:i w:val="0"/>
          <w:lang w:val="ru-RU"/>
        </w:rPr>
        <w:t>октября</w:t>
      </w:r>
      <w:r>
        <w:rPr>
          <w:i w:val="0"/>
        </w:rPr>
        <w:t>)</w:t>
      </w:r>
      <w:r>
        <w:rPr>
          <w:i w:val="0"/>
          <w:lang w:val="ru-RU"/>
        </w:rPr>
        <w:t xml:space="preserve"> по подрывным группировкам зарегистрировано:</w:t>
      </w:r>
      <w:r>
        <w:rPr>
          <w:i w:val="0"/>
        </w:rPr>
        <w:t xml:space="preserve"> </w:t>
      </w:r>
      <w:r>
        <w:rPr>
          <w:i w:val="0"/>
          <w:lang w:val="ru-RU"/>
        </w:rPr>
        <w:t xml:space="preserve">потерь - </w:t>
      </w:r>
      <w:r>
        <w:rPr>
          <w:i w:val="0"/>
        </w:rPr>
        <w:t xml:space="preserve"> </w:t>
      </w:r>
      <w:r>
        <w:rPr>
          <w:i w:val="0"/>
          <w:lang w:val="ru-RU"/>
        </w:rPr>
        <w:t xml:space="preserve"> </w:t>
      </w:r>
      <w:r>
        <w:rPr>
          <w:i w:val="0"/>
        </w:rPr>
        <w:t xml:space="preserve">894 </w:t>
      </w:r>
      <w:r>
        <w:rPr>
          <w:i w:val="0"/>
          <w:lang w:val="ru-RU"/>
        </w:rPr>
        <w:t>человека и пленных -</w:t>
      </w:r>
      <w:r>
        <w:rPr>
          <w:i w:val="0"/>
        </w:rPr>
        <w:t> 1 524</w:t>
      </w:r>
      <w:r>
        <w:rPr>
          <w:i w:val="0"/>
          <w:lang w:val="ru-RU"/>
        </w:rPr>
        <w:t xml:space="preserve"> человека, а по группам самообороны</w:t>
      </w:r>
      <w:r>
        <w:rPr>
          <w:i w:val="0"/>
        </w:rPr>
        <w:t xml:space="preserve"> </w:t>
      </w:r>
      <w:r>
        <w:rPr>
          <w:i w:val="0"/>
          <w:lang w:val="ru-RU"/>
        </w:rPr>
        <w:t>- 103 и 917, соответственно</w:t>
      </w:r>
      <w:r>
        <w:rPr>
          <w:i w:val="0"/>
        </w:rPr>
        <w:t xml:space="preserve">.  </w:t>
      </w:r>
      <w:r>
        <w:rPr>
          <w:i w:val="0"/>
          <w:lang w:val="ru-RU"/>
        </w:rPr>
        <w:t>Сравнение с аналогичным периодом предыдущего года дает следующие</w:t>
      </w:r>
    </w:p>
    <w:p w:rsidR="00000000" w:rsidRDefault="00000000">
      <w:pPr>
        <w:pStyle w:val="BodyText3"/>
        <w:spacing w:line="288" w:lineRule="auto"/>
        <w:jc w:val="left"/>
        <w:rPr>
          <w:i w:val="0"/>
          <w:lang w:val="ru-RU"/>
        </w:rPr>
      </w:pPr>
      <w:r>
        <w:rPr>
          <w:i w:val="0"/>
          <w:lang w:val="ru-RU"/>
        </w:rPr>
        <w:br w:type="page"/>
        <w:t xml:space="preserve">результаты:  число задержанных повстанцев увеличилось на </w:t>
      </w:r>
      <w:r>
        <w:rPr>
          <w:i w:val="0"/>
        </w:rPr>
        <w:t xml:space="preserve">16%, </w:t>
      </w:r>
      <w:r>
        <w:rPr>
          <w:i w:val="0"/>
          <w:lang w:val="ru-RU"/>
        </w:rPr>
        <w:t>в то же время по</w:t>
      </w:r>
      <w:r>
        <w:rPr>
          <w:i w:val="0"/>
        </w:rPr>
        <w:t xml:space="preserve"> </w:t>
      </w:r>
      <w:r>
        <w:rPr>
          <w:i w:val="0"/>
          <w:lang w:val="ru-RU"/>
        </w:rPr>
        <w:t>группам самообороны</w:t>
      </w:r>
      <w:r>
        <w:rPr>
          <w:i w:val="0"/>
        </w:rPr>
        <w:t xml:space="preserve"> </w:t>
      </w:r>
      <w:r>
        <w:rPr>
          <w:i w:val="0"/>
          <w:lang w:val="ru-RU"/>
        </w:rPr>
        <w:t>это увеличение составило</w:t>
      </w:r>
      <w:r>
        <w:rPr>
          <w:i w:val="0"/>
        </w:rPr>
        <w:t xml:space="preserve"> 241%; </w:t>
      </w:r>
      <w:r>
        <w:rPr>
          <w:i w:val="0"/>
          <w:lang w:val="ru-RU"/>
        </w:rPr>
        <w:t>потери повстанцев возросли на</w:t>
      </w:r>
      <w:r>
        <w:rPr>
          <w:i w:val="0"/>
        </w:rPr>
        <w:t xml:space="preserve"> 12%</w:t>
      </w:r>
      <w:r>
        <w:rPr>
          <w:i w:val="0"/>
          <w:lang w:val="ru-RU"/>
        </w:rPr>
        <w:t>,</w:t>
      </w:r>
      <w:r>
        <w:rPr>
          <w:i w:val="0"/>
        </w:rPr>
        <w:t xml:space="preserve"> </w:t>
      </w:r>
      <w:r>
        <w:rPr>
          <w:i w:val="0"/>
          <w:lang w:val="ru-RU"/>
        </w:rPr>
        <w:t>а потери</w:t>
      </w:r>
      <w:r>
        <w:rPr>
          <w:i w:val="0"/>
        </w:rPr>
        <w:t xml:space="preserve"> </w:t>
      </w:r>
      <w:r>
        <w:rPr>
          <w:i w:val="0"/>
          <w:lang w:val="ru-RU"/>
        </w:rPr>
        <w:t>групп самообороны</w:t>
      </w:r>
      <w:r>
        <w:rPr>
          <w:i w:val="0"/>
        </w:rPr>
        <w:t xml:space="preserve"> </w:t>
      </w:r>
      <w:r>
        <w:rPr>
          <w:i w:val="0"/>
          <w:lang w:val="ru-RU"/>
        </w:rPr>
        <w:t>- на</w:t>
      </w:r>
      <w:r>
        <w:rPr>
          <w:i w:val="0"/>
        </w:rPr>
        <w:t xml:space="preserve"> 30%.</w:t>
      </w:r>
    </w:p>
    <w:p w:rsidR="00000000" w:rsidRDefault="00000000">
      <w:pPr>
        <w:pStyle w:val="BodyText3"/>
        <w:spacing w:line="288" w:lineRule="auto"/>
        <w:jc w:val="left"/>
        <w:rPr>
          <w:i w:val="0"/>
          <w:lang w:val="ru-RU"/>
        </w:rPr>
      </w:pPr>
    </w:p>
    <w:p w:rsidR="00000000" w:rsidRDefault="00000000">
      <w:pPr>
        <w:pStyle w:val="BodyTextIndent"/>
        <w:spacing w:line="288" w:lineRule="auto"/>
        <w:jc w:val="left"/>
        <w:rPr>
          <w:rFonts w:ascii="Times New Roman" w:hAnsi="Times New Roman"/>
          <w:sz w:val="24"/>
          <w:lang w:val="ru-RU"/>
        </w:rPr>
      </w:pPr>
      <w:r>
        <w:rPr>
          <w:rFonts w:ascii="Times New Roman" w:hAnsi="Times New Roman"/>
          <w:sz w:val="24"/>
          <w:lang w:val="es-ES_tradnl"/>
        </w:rPr>
        <w:t>48.</w:t>
      </w:r>
      <w:r>
        <w:rPr>
          <w:rFonts w:ascii="Times New Roman" w:hAnsi="Times New Roman"/>
          <w:sz w:val="24"/>
          <w:lang w:val="es-ES_tradnl"/>
        </w:rPr>
        <w:tab/>
      </w:r>
      <w:r>
        <w:rPr>
          <w:rFonts w:ascii="Times New Roman" w:hAnsi="Times New Roman"/>
          <w:sz w:val="24"/>
          <w:lang w:val="ru-RU"/>
        </w:rPr>
        <w:t xml:space="preserve">Высоко оцениваются также результаты деятельности компетентных государственных органов в судебной сфере по применению наказаний за нарушение прав человека и норм международного гуманитарного права со стороны участников незаконных вооруженных формирований.  Судебное разбирательство нарушений прав человека и норм международного гуманитарного права, совершенных участниками незаконных вооруженных формирований, приобрело широкую известность в результате того, что главные расследования постоянно поручаются Отделу по правам человека Генеральной инспекции Республики, который проводит очень большую работу.  В настоящее время в </w:t>
      </w:r>
      <w:proofErr w:type="spellStart"/>
      <w:r>
        <w:rPr>
          <w:rFonts w:ascii="Times New Roman" w:hAnsi="Times New Roman"/>
          <w:sz w:val="24"/>
          <w:lang w:val="ru-RU"/>
        </w:rPr>
        <w:t>Нейве</w:t>
      </w:r>
      <w:proofErr w:type="spellEnd"/>
      <w:r>
        <w:rPr>
          <w:rFonts w:ascii="Times New Roman" w:hAnsi="Times New Roman"/>
          <w:sz w:val="24"/>
          <w:lang w:val="ru-RU"/>
        </w:rPr>
        <w:t xml:space="preserve">, Кали, </w:t>
      </w:r>
      <w:proofErr w:type="spellStart"/>
      <w:r>
        <w:rPr>
          <w:rFonts w:ascii="Times New Roman" w:hAnsi="Times New Roman"/>
          <w:sz w:val="24"/>
          <w:lang w:val="ru-RU"/>
        </w:rPr>
        <w:t>Вильявисенсьо</w:t>
      </w:r>
      <w:proofErr w:type="spellEnd"/>
      <w:r>
        <w:rPr>
          <w:rFonts w:ascii="Times New Roman" w:hAnsi="Times New Roman"/>
          <w:sz w:val="24"/>
          <w:lang w:val="ru-RU"/>
        </w:rPr>
        <w:t xml:space="preserve"> и </w:t>
      </w:r>
      <w:proofErr w:type="spellStart"/>
      <w:r>
        <w:rPr>
          <w:rFonts w:ascii="Times New Roman" w:hAnsi="Times New Roman"/>
          <w:sz w:val="24"/>
          <w:lang w:val="ru-RU"/>
        </w:rPr>
        <w:t>Медельине</w:t>
      </w:r>
      <w:proofErr w:type="spellEnd"/>
      <w:r>
        <w:rPr>
          <w:rFonts w:ascii="Times New Roman" w:hAnsi="Times New Roman"/>
          <w:sz w:val="24"/>
          <w:lang w:val="ru-RU"/>
        </w:rPr>
        <w:t xml:space="preserve"> функционируют филиалы этого отдела</w:t>
      </w:r>
      <w:r>
        <w:rPr>
          <w:rFonts w:ascii="Times New Roman" w:hAnsi="Times New Roman"/>
          <w:b/>
          <w:sz w:val="24"/>
          <w:lang w:val="ru-RU"/>
        </w:rPr>
        <w:t>.</w:t>
      </w:r>
      <w:r>
        <w:rPr>
          <w:rFonts w:ascii="Times New Roman" w:hAnsi="Times New Roman"/>
          <w:sz w:val="24"/>
          <w:lang w:val="ru-RU"/>
        </w:rPr>
        <w:t xml:space="preserve">  К концу текущего года откроются еще два филиала в городе </w:t>
      </w:r>
      <w:proofErr w:type="spellStart"/>
      <w:r>
        <w:rPr>
          <w:rFonts w:ascii="Times New Roman" w:hAnsi="Times New Roman"/>
          <w:sz w:val="24"/>
          <w:lang w:val="ru-RU"/>
        </w:rPr>
        <w:t>Медельин</w:t>
      </w:r>
      <w:proofErr w:type="spellEnd"/>
      <w:r>
        <w:rPr>
          <w:rFonts w:ascii="Times New Roman" w:hAnsi="Times New Roman"/>
          <w:sz w:val="24"/>
          <w:lang w:val="ru-RU"/>
        </w:rPr>
        <w:t xml:space="preserve">, а в первом полугодии будущего года начнут работу и остальные: в </w:t>
      </w:r>
      <w:proofErr w:type="spellStart"/>
      <w:r>
        <w:rPr>
          <w:rFonts w:ascii="Times New Roman" w:hAnsi="Times New Roman"/>
          <w:sz w:val="24"/>
          <w:lang w:val="ru-RU"/>
        </w:rPr>
        <w:t>Кукуте</w:t>
      </w:r>
      <w:proofErr w:type="spellEnd"/>
      <w:r>
        <w:rPr>
          <w:rFonts w:ascii="Times New Roman" w:hAnsi="Times New Roman"/>
          <w:sz w:val="24"/>
          <w:lang w:val="ru-RU"/>
        </w:rPr>
        <w:t xml:space="preserve">, </w:t>
      </w:r>
      <w:proofErr w:type="spellStart"/>
      <w:r>
        <w:rPr>
          <w:rFonts w:ascii="Times New Roman" w:hAnsi="Times New Roman"/>
          <w:sz w:val="24"/>
          <w:lang w:val="ru-RU"/>
        </w:rPr>
        <w:t>Букараманге</w:t>
      </w:r>
      <w:proofErr w:type="spellEnd"/>
      <w:r>
        <w:rPr>
          <w:rFonts w:ascii="Times New Roman" w:hAnsi="Times New Roman"/>
          <w:sz w:val="24"/>
          <w:lang w:val="ru-RU"/>
        </w:rPr>
        <w:t xml:space="preserve"> и </w:t>
      </w:r>
      <w:proofErr w:type="spellStart"/>
      <w:r>
        <w:rPr>
          <w:rFonts w:ascii="Times New Roman" w:hAnsi="Times New Roman"/>
          <w:sz w:val="24"/>
          <w:lang w:val="ru-RU"/>
        </w:rPr>
        <w:t>Барранкилье</w:t>
      </w:r>
      <w:proofErr w:type="spellEnd"/>
      <w:r>
        <w:rPr>
          <w:rFonts w:ascii="Times New Roman" w:hAnsi="Times New Roman"/>
          <w:sz w:val="24"/>
          <w:lang w:val="ru-RU"/>
        </w:rPr>
        <w:t xml:space="preserve">. </w:t>
      </w:r>
    </w:p>
    <w:p w:rsidR="00000000" w:rsidRDefault="00000000">
      <w:pPr>
        <w:pStyle w:val="BodyTextIndent"/>
        <w:spacing w:line="288" w:lineRule="auto"/>
        <w:jc w:val="left"/>
        <w:rPr>
          <w:rFonts w:ascii="Times New Roman" w:hAnsi="Times New Roman"/>
          <w:sz w:val="24"/>
          <w:lang w:val="ru-RU"/>
        </w:rPr>
      </w:pPr>
    </w:p>
    <w:p w:rsidR="00000000" w:rsidRDefault="00000000">
      <w:pPr>
        <w:pStyle w:val="BodyTextIndent"/>
        <w:keepLines/>
        <w:spacing w:line="288" w:lineRule="auto"/>
        <w:jc w:val="left"/>
        <w:rPr>
          <w:rFonts w:ascii="Times New Roman" w:hAnsi="Times New Roman"/>
          <w:sz w:val="24"/>
          <w:lang w:val="ru-RU"/>
        </w:rPr>
      </w:pPr>
      <w:r>
        <w:rPr>
          <w:rFonts w:ascii="Times New Roman" w:hAnsi="Times New Roman"/>
          <w:sz w:val="24"/>
        </w:rPr>
        <w:t>49.</w:t>
      </w:r>
      <w:r>
        <w:rPr>
          <w:rFonts w:ascii="Times New Roman" w:hAnsi="Times New Roman"/>
          <w:sz w:val="24"/>
        </w:rPr>
        <w:tab/>
      </w:r>
      <w:r>
        <w:rPr>
          <w:rFonts w:ascii="Times New Roman" w:hAnsi="Times New Roman"/>
          <w:sz w:val="24"/>
          <w:lang w:val="ru-RU"/>
        </w:rPr>
        <w:t>На конец августа</w:t>
      </w:r>
      <w:r>
        <w:rPr>
          <w:rFonts w:ascii="Times New Roman" w:hAnsi="Times New Roman"/>
          <w:sz w:val="24"/>
        </w:rPr>
        <w:t xml:space="preserve"> 2001 </w:t>
      </w:r>
      <w:r>
        <w:rPr>
          <w:rFonts w:ascii="Times New Roman" w:hAnsi="Times New Roman"/>
          <w:sz w:val="24"/>
          <w:lang w:val="ru-RU"/>
        </w:rPr>
        <w:t>года Отделом по правам человека</w:t>
      </w:r>
      <w:r>
        <w:rPr>
          <w:rFonts w:ascii="Times New Roman" w:hAnsi="Times New Roman"/>
          <w:sz w:val="24"/>
        </w:rPr>
        <w:t xml:space="preserve"> </w:t>
      </w:r>
      <w:r>
        <w:rPr>
          <w:rFonts w:ascii="Times New Roman" w:hAnsi="Times New Roman"/>
          <w:sz w:val="24"/>
          <w:lang w:val="ru-RU"/>
        </w:rPr>
        <w:t xml:space="preserve">Генеральной инспекции Республики было выдано </w:t>
      </w:r>
      <w:r>
        <w:rPr>
          <w:rFonts w:ascii="Times New Roman" w:hAnsi="Times New Roman"/>
          <w:sz w:val="24"/>
        </w:rPr>
        <w:t xml:space="preserve">244 </w:t>
      </w:r>
      <w:r>
        <w:rPr>
          <w:rFonts w:ascii="Times New Roman" w:hAnsi="Times New Roman"/>
          <w:sz w:val="24"/>
          <w:lang w:val="ru-RU"/>
        </w:rPr>
        <w:t>приказа о поимке</w:t>
      </w:r>
      <w:r>
        <w:rPr>
          <w:rFonts w:ascii="Times New Roman" w:hAnsi="Times New Roman"/>
          <w:sz w:val="24"/>
        </w:rPr>
        <w:t xml:space="preserve">, 142 </w:t>
      </w:r>
      <w:r>
        <w:rPr>
          <w:rFonts w:ascii="Times New Roman" w:hAnsi="Times New Roman"/>
          <w:sz w:val="24"/>
          <w:lang w:val="ru-RU"/>
        </w:rPr>
        <w:t>постановления о мере пресечения</w:t>
      </w:r>
      <w:r>
        <w:rPr>
          <w:rFonts w:ascii="Times New Roman" w:hAnsi="Times New Roman"/>
          <w:sz w:val="24"/>
        </w:rPr>
        <w:t xml:space="preserve"> </w:t>
      </w:r>
      <w:r>
        <w:rPr>
          <w:rFonts w:ascii="Times New Roman" w:hAnsi="Times New Roman"/>
          <w:sz w:val="24"/>
          <w:lang w:val="ru-RU"/>
        </w:rPr>
        <w:t xml:space="preserve">и </w:t>
      </w:r>
      <w:r>
        <w:rPr>
          <w:rFonts w:ascii="Times New Roman" w:hAnsi="Times New Roman"/>
          <w:sz w:val="24"/>
        </w:rPr>
        <w:t xml:space="preserve">108 </w:t>
      </w:r>
      <w:r>
        <w:rPr>
          <w:rFonts w:ascii="Times New Roman" w:hAnsi="Times New Roman"/>
          <w:sz w:val="24"/>
          <w:lang w:val="ru-RU"/>
        </w:rPr>
        <w:t>обвинительных постановлений</w:t>
      </w:r>
      <w:r>
        <w:rPr>
          <w:rFonts w:ascii="Times New Roman" w:hAnsi="Times New Roman"/>
          <w:sz w:val="24"/>
        </w:rPr>
        <w:t xml:space="preserve"> </w:t>
      </w:r>
      <w:r>
        <w:rPr>
          <w:rFonts w:ascii="Times New Roman" w:hAnsi="Times New Roman"/>
          <w:sz w:val="24"/>
          <w:lang w:val="ru-RU"/>
        </w:rPr>
        <w:t>в отношении подрывных элементов</w:t>
      </w:r>
      <w:r>
        <w:rPr>
          <w:rFonts w:ascii="Times New Roman" w:hAnsi="Times New Roman"/>
          <w:sz w:val="24"/>
        </w:rPr>
        <w:t xml:space="preserve">.  </w:t>
      </w:r>
      <w:r>
        <w:rPr>
          <w:rFonts w:ascii="Times New Roman" w:hAnsi="Times New Roman"/>
          <w:sz w:val="24"/>
          <w:lang w:val="ru-RU"/>
        </w:rPr>
        <w:t>В то же время</w:t>
      </w:r>
      <w:r>
        <w:rPr>
          <w:rFonts w:ascii="Times New Roman" w:hAnsi="Times New Roman"/>
          <w:sz w:val="24"/>
        </w:rPr>
        <w:t xml:space="preserve">, </w:t>
      </w:r>
      <w:r>
        <w:rPr>
          <w:rFonts w:ascii="Times New Roman" w:hAnsi="Times New Roman"/>
          <w:sz w:val="24"/>
          <w:lang w:val="ru-RU"/>
        </w:rPr>
        <w:t>против участников</w:t>
      </w:r>
      <w:r>
        <w:rPr>
          <w:rFonts w:ascii="Times New Roman" w:hAnsi="Times New Roman"/>
          <w:sz w:val="24"/>
        </w:rPr>
        <w:t xml:space="preserve"> </w:t>
      </w:r>
      <w:r>
        <w:rPr>
          <w:rFonts w:ascii="Times New Roman" w:hAnsi="Times New Roman"/>
          <w:sz w:val="24"/>
          <w:lang w:val="ru-RU"/>
        </w:rPr>
        <w:t>групп самообороны</w:t>
      </w:r>
      <w:r>
        <w:rPr>
          <w:rFonts w:ascii="Times New Roman" w:hAnsi="Times New Roman"/>
          <w:sz w:val="24"/>
        </w:rPr>
        <w:t xml:space="preserve"> </w:t>
      </w:r>
      <w:r>
        <w:rPr>
          <w:rFonts w:ascii="Times New Roman" w:hAnsi="Times New Roman"/>
          <w:sz w:val="24"/>
          <w:lang w:val="ru-RU"/>
        </w:rPr>
        <w:t>действовало</w:t>
      </w:r>
      <w:r>
        <w:rPr>
          <w:rFonts w:ascii="Times New Roman" w:hAnsi="Times New Roman"/>
          <w:sz w:val="24"/>
        </w:rPr>
        <w:t xml:space="preserve"> 404 </w:t>
      </w:r>
      <w:r>
        <w:rPr>
          <w:rFonts w:ascii="Times New Roman" w:hAnsi="Times New Roman"/>
          <w:sz w:val="24"/>
          <w:lang w:val="ru-RU"/>
        </w:rPr>
        <w:t>приказа о поимке</w:t>
      </w:r>
      <w:r>
        <w:rPr>
          <w:rFonts w:ascii="Times New Roman" w:hAnsi="Times New Roman"/>
          <w:sz w:val="24"/>
        </w:rPr>
        <w:t>, 520</w:t>
      </w:r>
      <w:r>
        <w:rPr>
          <w:rFonts w:ascii="Times New Roman" w:hAnsi="Times New Roman"/>
          <w:sz w:val="24"/>
          <w:lang w:val="ru-RU"/>
        </w:rPr>
        <w:t> постановлений о мере пресечения</w:t>
      </w:r>
      <w:r>
        <w:rPr>
          <w:rFonts w:ascii="Times New Roman" w:hAnsi="Times New Roman"/>
          <w:sz w:val="24"/>
        </w:rPr>
        <w:t xml:space="preserve"> и 372 </w:t>
      </w:r>
      <w:r>
        <w:rPr>
          <w:rFonts w:ascii="Times New Roman" w:hAnsi="Times New Roman"/>
          <w:sz w:val="24"/>
          <w:lang w:val="ru-RU"/>
        </w:rPr>
        <w:t>обвинительных постановления</w:t>
      </w:r>
      <w:r>
        <w:rPr>
          <w:rFonts w:ascii="Times New Roman" w:hAnsi="Times New Roman"/>
          <w:sz w:val="24"/>
        </w:rPr>
        <w:t xml:space="preserve">.  </w:t>
      </w:r>
      <w:r>
        <w:rPr>
          <w:rFonts w:ascii="Times New Roman" w:hAnsi="Times New Roman"/>
          <w:sz w:val="24"/>
          <w:lang w:val="ru-RU"/>
        </w:rPr>
        <w:t>По сравнению с декабрем прошлого года число приказов о поимке в отношении участников</w:t>
      </w:r>
      <w:r>
        <w:rPr>
          <w:rFonts w:ascii="Times New Roman" w:hAnsi="Times New Roman"/>
          <w:sz w:val="24"/>
        </w:rPr>
        <w:t xml:space="preserve"> </w:t>
      </w:r>
      <w:r>
        <w:rPr>
          <w:rFonts w:ascii="Times New Roman" w:hAnsi="Times New Roman"/>
          <w:sz w:val="24"/>
          <w:lang w:val="ru-RU"/>
        </w:rPr>
        <w:t>групп самообороны</w:t>
      </w:r>
      <w:r>
        <w:rPr>
          <w:rFonts w:ascii="Times New Roman" w:hAnsi="Times New Roman"/>
          <w:sz w:val="24"/>
        </w:rPr>
        <w:t xml:space="preserve"> </w:t>
      </w:r>
      <w:r>
        <w:rPr>
          <w:rFonts w:ascii="Times New Roman" w:hAnsi="Times New Roman"/>
          <w:sz w:val="24"/>
          <w:lang w:val="ru-RU"/>
        </w:rPr>
        <w:t>увеличилось на</w:t>
      </w:r>
      <w:r>
        <w:rPr>
          <w:rFonts w:ascii="Times New Roman" w:hAnsi="Times New Roman"/>
          <w:sz w:val="24"/>
        </w:rPr>
        <w:t xml:space="preserve"> 44%</w:t>
      </w:r>
      <w:r>
        <w:rPr>
          <w:rFonts w:ascii="Times New Roman" w:hAnsi="Times New Roman"/>
          <w:sz w:val="24"/>
          <w:lang w:val="ru-RU"/>
        </w:rPr>
        <w:t>, а в отношении членов подрывных формирований - примерно на</w:t>
      </w:r>
      <w:r>
        <w:rPr>
          <w:rFonts w:ascii="Times New Roman" w:hAnsi="Times New Roman"/>
          <w:sz w:val="24"/>
        </w:rPr>
        <w:t xml:space="preserve"> 20%. </w:t>
      </w:r>
    </w:p>
    <w:p w:rsidR="00000000" w:rsidRDefault="00000000">
      <w:pPr>
        <w:pStyle w:val="BodyTextIndent"/>
        <w:keepLines/>
        <w:spacing w:line="288" w:lineRule="auto"/>
        <w:jc w:val="left"/>
        <w:rPr>
          <w:rFonts w:ascii="Times New Roman" w:hAnsi="Times New Roman"/>
          <w:sz w:val="24"/>
          <w:lang w:val="ru-RU"/>
        </w:rPr>
      </w:pPr>
    </w:p>
    <w:p w:rsidR="00000000" w:rsidRDefault="00000000">
      <w:pPr>
        <w:pStyle w:val="BodyTextIndent"/>
        <w:spacing w:line="288" w:lineRule="auto"/>
        <w:jc w:val="left"/>
        <w:rPr>
          <w:rFonts w:ascii="Times New Roman" w:hAnsi="Times New Roman"/>
          <w:sz w:val="24"/>
          <w:lang w:val="ru-RU"/>
        </w:rPr>
      </w:pPr>
      <w:r>
        <w:rPr>
          <w:rFonts w:ascii="Times New Roman" w:hAnsi="Times New Roman"/>
          <w:sz w:val="24"/>
        </w:rPr>
        <w:t>50.</w:t>
      </w:r>
      <w:r>
        <w:rPr>
          <w:rFonts w:ascii="Times New Roman" w:hAnsi="Times New Roman"/>
          <w:sz w:val="24"/>
        </w:rPr>
        <w:tab/>
      </w:r>
      <w:r>
        <w:rPr>
          <w:rFonts w:ascii="Times New Roman" w:hAnsi="Times New Roman"/>
          <w:sz w:val="24"/>
          <w:lang w:val="ru-RU"/>
        </w:rPr>
        <w:t>Статистика мер, принятых в отношении членов подрывных формирований</w:t>
      </w:r>
      <w:r>
        <w:rPr>
          <w:rFonts w:ascii="Times New Roman" w:hAnsi="Times New Roman"/>
          <w:sz w:val="24"/>
        </w:rPr>
        <w:t xml:space="preserve"> </w:t>
      </w:r>
      <w:r>
        <w:rPr>
          <w:rFonts w:ascii="Times New Roman" w:hAnsi="Times New Roman"/>
          <w:sz w:val="24"/>
          <w:lang w:val="ru-RU"/>
        </w:rPr>
        <w:t>и групп самообороны</w:t>
      </w:r>
      <w:r>
        <w:rPr>
          <w:rFonts w:ascii="Times New Roman" w:hAnsi="Times New Roman"/>
          <w:sz w:val="24"/>
        </w:rPr>
        <w:t xml:space="preserve"> </w:t>
      </w:r>
      <w:r>
        <w:rPr>
          <w:rFonts w:ascii="Times New Roman" w:hAnsi="Times New Roman"/>
          <w:sz w:val="24"/>
          <w:lang w:val="ru-RU"/>
        </w:rPr>
        <w:t>за период с декабря</w:t>
      </w:r>
      <w:r>
        <w:rPr>
          <w:rFonts w:ascii="Times New Roman" w:hAnsi="Times New Roman"/>
          <w:sz w:val="24"/>
        </w:rPr>
        <w:t xml:space="preserve"> 1999</w:t>
      </w:r>
      <w:r>
        <w:rPr>
          <w:rFonts w:ascii="Times New Roman" w:hAnsi="Times New Roman"/>
          <w:sz w:val="24"/>
          <w:lang w:val="ru-RU"/>
        </w:rPr>
        <w:t xml:space="preserve"> года, показывает возросшую эффективность судебной системы</w:t>
      </w:r>
      <w:r>
        <w:rPr>
          <w:rFonts w:ascii="Times New Roman" w:hAnsi="Times New Roman"/>
          <w:sz w:val="24"/>
        </w:rPr>
        <w:t xml:space="preserve">. </w:t>
      </w:r>
      <w:r>
        <w:rPr>
          <w:rFonts w:ascii="Times New Roman" w:hAnsi="Times New Roman"/>
          <w:sz w:val="24"/>
          <w:lang w:val="ru-RU"/>
        </w:rPr>
        <w:t xml:space="preserve"> В отношении членов подрывных формирований число</w:t>
      </w:r>
      <w:r>
        <w:rPr>
          <w:rFonts w:ascii="Times New Roman" w:hAnsi="Times New Roman"/>
          <w:sz w:val="24"/>
        </w:rPr>
        <w:t xml:space="preserve"> </w:t>
      </w:r>
      <w:r>
        <w:rPr>
          <w:rFonts w:ascii="Times New Roman" w:hAnsi="Times New Roman"/>
          <w:sz w:val="24"/>
          <w:lang w:val="ru-RU"/>
        </w:rPr>
        <w:t>выданных постановлений о мере пресечения</w:t>
      </w:r>
      <w:r>
        <w:rPr>
          <w:rFonts w:ascii="Times New Roman" w:hAnsi="Times New Roman"/>
          <w:sz w:val="24"/>
        </w:rPr>
        <w:t xml:space="preserve"> </w:t>
      </w:r>
      <w:r>
        <w:rPr>
          <w:rFonts w:ascii="Times New Roman" w:hAnsi="Times New Roman"/>
          <w:sz w:val="24"/>
          <w:lang w:val="ru-RU"/>
        </w:rPr>
        <w:t xml:space="preserve">увеличилось на </w:t>
      </w:r>
      <w:r>
        <w:rPr>
          <w:rFonts w:ascii="Times New Roman" w:hAnsi="Times New Roman"/>
          <w:sz w:val="24"/>
        </w:rPr>
        <w:t>61%</w:t>
      </w:r>
      <w:r>
        <w:rPr>
          <w:rFonts w:ascii="Times New Roman" w:hAnsi="Times New Roman"/>
          <w:sz w:val="24"/>
          <w:lang w:val="ru-RU"/>
        </w:rPr>
        <w:t xml:space="preserve">, </w:t>
      </w:r>
      <w:r>
        <w:rPr>
          <w:rFonts w:ascii="Times New Roman" w:hAnsi="Times New Roman"/>
          <w:sz w:val="24"/>
        </w:rPr>
        <w:t xml:space="preserve"> </w:t>
      </w:r>
      <w:r>
        <w:rPr>
          <w:rFonts w:ascii="Times New Roman" w:hAnsi="Times New Roman"/>
          <w:sz w:val="24"/>
          <w:lang w:val="ru-RU"/>
        </w:rPr>
        <w:t>число обвинительных постановлений на</w:t>
      </w:r>
      <w:r>
        <w:rPr>
          <w:rFonts w:ascii="Times New Roman" w:hAnsi="Times New Roman"/>
          <w:sz w:val="24"/>
        </w:rPr>
        <w:t xml:space="preserve"> 108%</w:t>
      </w:r>
      <w:r>
        <w:rPr>
          <w:rFonts w:ascii="Times New Roman" w:hAnsi="Times New Roman"/>
          <w:sz w:val="24"/>
          <w:lang w:val="ru-RU"/>
        </w:rPr>
        <w:t>, а число приказов о поимке</w:t>
      </w:r>
      <w:r>
        <w:rPr>
          <w:rFonts w:ascii="Times New Roman" w:hAnsi="Times New Roman"/>
          <w:sz w:val="24"/>
        </w:rPr>
        <w:t xml:space="preserve"> </w:t>
      </w:r>
      <w:r>
        <w:rPr>
          <w:rFonts w:ascii="Times New Roman" w:hAnsi="Times New Roman"/>
          <w:sz w:val="24"/>
          <w:lang w:val="ru-RU"/>
        </w:rPr>
        <w:t>на</w:t>
      </w:r>
      <w:r>
        <w:rPr>
          <w:rFonts w:ascii="Times New Roman" w:hAnsi="Times New Roman"/>
          <w:sz w:val="24"/>
        </w:rPr>
        <w:t xml:space="preserve"> 152%; </w:t>
      </w:r>
      <w:r>
        <w:rPr>
          <w:rFonts w:ascii="Times New Roman" w:hAnsi="Times New Roman"/>
          <w:sz w:val="24"/>
          <w:lang w:val="ru-RU"/>
        </w:rPr>
        <w:t>в отношении участников</w:t>
      </w:r>
      <w:r>
        <w:rPr>
          <w:rFonts w:ascii="Times New Roman" w:hAnsi="Times New Roman"/>
          <w:sz w:val="24"/>
        </w:rPr>
        <w:t xml:space="preserve"> </w:t>
      </w:r>
      <w:r>
        <w:rPr>
          <w:rFonts w:ascii="Times New Roman" w:hAnsi="Times New Roman"/>
          <w:sz w:val="24"/>
          <w:lang w:val="ru-RU"/>
        </w:rPr>
        <w:t>групп самообороны</w:t>
      </w:r>
      <w:r>
        <w:rPr>
          <w:rFonts w:ascii="Times New Roman" w:hAnsi="Times New Roman"/>
          <w:sz w:val="24"/>
        </w:rPr>
        <w:t xml:space="preserve"> </w:t>
      </w:r>
      <w:r>
        <w:rPr>
          <w:rFonts w:ascii="Times New Roman" w:hAnsi="Times New Roman"/>
          <w:sz w:val="24"/>
          <w:lang w:val="ru-RU"/>
        </w:rPr>
        <w:t>увеличение составило</w:t>
      </w:r>
      <w:r>
        <w:rPr>
          <w:rFonts w:ascii="Times New Roman" w:hAnsi="Times New Roman"/>
          <w:sz w:val="24"/>
        </w:rPr>
        <w:t xml:space="preserve"> 21% </w:t>
      </w:r>
      <w:r>
        <w:rPr>
          <w:rFonts w:ascii="Times New Roman" w:hAnsi="Times New Roman"/>
          <w:sz w:val="24"/>
          <w:lang w:val="ru-RU"/>
        </w:rPr>
        <w:t>по</w:t>
      </w:r>
      <w:r>
        <w:rPr>
          <w:rFonts w:ascii="Times New Roman" w:hAnsi="Times New Roman"/>
          <w:sz w:val="24"/>
        </w:rPr>
        <w:t xml:space="preserve"> </w:t>
      </w:r>
      <w:r>
        <w:rPr>
          <w:rFonts w:ascii="Times New Roman" w:hAnsi="Times New Roman"/>
          <w:sz w:val="24"/>
          <w:lang w:val="ru-RU"/>
        </w:rPr>
        <w:t>постановлениям о мере пресечения</w:t>
      </w:r>
      <w:r>
        <w:rPr>
          <w:rFonts w:ascii="Times New Roman" w:hAnsi="Times New Roman"/>
          <w:sz w:val="24"/>
        </w:rPr>
        <w:t>, 49%</w:t>
      </w:r>
      <w:r>
        <w:rPr>
          <w:rFonts w:ascii="Times New Roman" w:hAnsi="Times New Roman"/>
          <w:sz w:val="24"/>
          <w:lang w:val="ru-RU"/>
        </w:rPr>
        <w:t xml:space="preserve"> по обвинительным постановлениям и </w:t>
      </w:r>
      <w:proofErr w:type="spellStart"/>
      <w:r>
        <w:rPr>
          <w:rFonts w:ascii="Times New Roman" w:hAnsi="Times New Roman"/>
          <w:sz w:val="24"/>
          <w:lang w:val="ru-RU"/>
        </w:rPr>
        <w:t>67%</w:t>
      </w:r>
      <w:proofErr w:type="spellEnd"/>
      <w:r>
        <w:rPr>
          <w:rFonts w:ascii="Times New Roman" w:hAnsi="Times New Roman"/>
          <w:sz w:val="24"/>
          <w:lang w:val="ru-RU"/>
        </w:rPr>
        <w:t xml:space="preserve"> по приказам о поимке</w:t>
      </w:r>
      <w:r>
        <w:rPr>
          <w:rFonts w:ascii="Times New Roman" w:hAnsi="Times New Roman"/>
          <w:sz w:val="24"/>
        </w:rPr>
        <w:t xml:space="preserve">.  </w:t>
      </w:r>
      <w:r>
        <w:rPr>
          <w:rFonts w:ascii="Times New Roman" w:hAnsi="Times New Roman"/>
          <w:sz w:val="24"/>
          <w:lang w:val="ru-RU"/>
        </w:rPr>
        <w:t>Однако следует отметить, что значительный рост незаконных вооруженных групп продолжается и что эта ситуация по-прежнему превышает возможности административного аппарата правосудия, несмотря на то, что его работа заметно улучшилась</w:t>
      </w:r>
      <w:r>
        <w:rPr>
          <w:rFonts w:ascii="Times New Roman" w:hAnsi="Times New Roman"/>
          <w:sz w:val="24"/>
        </w:rPr>
        <w:t>.</w:t>
      </w:r>
    </w:p>
    <w:p w:rsidR="00000000" w:rsidRDefault="00000000">
      <w:pPr>
        <w:pStyle w:val="BodyTextIndent"/>
        <w:spacing w:line="288" w:lineRule="auto"/>
        <w:jc w:val="left"/>
        <w:rPr>
          <w:rFonts w:ascii="Times New Roman" w:hAnsi="Times New Roman"/>
          <w:sz w:val="24"/>
          <w:lang w:val="ru-RU"/>
        </w:rPr>
      </w:pPr>
    </w:p>
    <w:p w:rsidR="00000000" w:rsidRDefault="00000000">
      <w:r>
        <w:br w:type="page"/>
        <w:t>51.</w:t>
      </w:r>
      <w:r>
        <w:tab/>
        <w:t>Борьба против групп самообороны стала центральным направлением проводимой правительством страны политики в области защиты прав человека и соблюдения норм международного гуманитарного права.  Правительство полностью осознает всю серьезность этого явления, подрывающего основные права населения и причиняющего ущерб самому государству.  Ему известно и о том, что существование таких групп является препятствием для мирного процесса.</w:t>
      </w:r>
    </w:p>
    <w:p w:rsidR="00000000" w:rsidRDefault="00000000"/>
    <w:p w:rsidR="00000000" w:rsidRDefault="00000000">
      <w:r>
        <w:t>52.</w:t>
      </w:r>
      <w:r>
        <w:tab/>
        <w:t>В настоящее время разрабатывается техническая структура поддержки Национального центра по координации борьбы с группами самообороны, которому поручено согласовывать действия, ведущиеся против этих групп военными властями, полицией, судебными и гражданскими государственными органами.  При этом ставится цель обеспечить этот центр механизмами, позволяющими осуществлять централизацию усилий и необходимую координацию с комитетами оценки рисков программ защиты при министерстве внутренних дел, с Системой раннего предупреждения и с существующими в департаментах комитетами поддержки перемещенного населения.</w:t>
      </w:r>
    </w:p>
    <w:p w:rsidR="00000000" w:rsidRDefault="00000000"/>
    <w:p w:rsidR="00000000" w:rsidRDefault="00000000">
      <w:r>
        <w:t>53.</w:t>
      </w:r>
      <w:r>
        <w:tab/>
        <w:t>С января этого года для ликвидации источников экономической поддержки групп самообороны осуществляется финансовая стратегия, заключающаяся в выявлении, отслеживании, замораживании и конфискации принадлежащих им банковских активов и других фондовых ценностей.  С этой целью проводят скоординированную работу и обмениваются информацией Отдел по прекращению права собственности и борьбе с отмыванием средств Генеральной инспекции Республики и Отдел разведки и управления финансами министерства финансов.</w:t>
      </w:r>
    </w:p>
    <w:p w:rsidR="00000000" w:rsidRDefault="00000000"/>
    <w:p w:rsidR="00000000" w:rsidRDefault="00000000">
      <w:r>
        <w:t>54.</w:t>
      </w:r>
      <w:r>
        <w:tab/>
        <w:t xml:space="preserve">Решимость сил по поддержанию правопорядка находит свое отражение в результатах активизации боевых действий, "зачисток", конфискаций оружия и поимки участников групп самообороны.  В ходе боевых операций силы по поддержанию правопорядка добились невиданных ранее результатов:  с января по 30 октября 2001 года число взятых в плен участников этих групп увеличилось примерно на 241%, а число потерь среди них - на 30%.  В августе и сентябре сего года сухопутные войска захватили в плен 24 участника Единых сил самообороны Колумбии (АУК), а проведенные операции позволили осуществить отдельные важные захваты, такие, как арест участника по прозвищу "Ураган", предполагаемого руководителя АУК в центральной </w:t>
      </w:r>
      <w:proofErr w:type="spellStart"/>
      <w:r>
        <w:t>Магдалене</w:t>
      </w:r>
      <w:proofErr w:type="spellEnd"/>
      <w:r>
        <w:t xml:space="preserve">, а также групповые захваты, как, например, задержание шести участников этой преступной группы в </w:t>
      </w:r>
      <w:proofErr w:type="spellStart"/>
      <w:r>
        <w:t>Орито</w:t>
      </w:r>
      <w:proofErr w:type="spellEnd"/>
      <w:r>
        <w:t xml:space="preserve"> (</w:t>
      </w:r>
      <w:proofErr w:type="spellStart"/>
      <w:r>
        <w:t>Путумайо</w:t>
      </w:r>
      <w:proofErr w:type="spellEnd"/>
      <w:r>
        <w:t xml:space="preserve">). Число потерь составило 13 человек, из них 5 в </w:t>
      </w:r>
      <w:proofErr w:type="spellStart"/>
      <w:r>
        <w:t>Вальдивии</w:t>
      </w:r>
      <w:proofErr w:type="spellEnd"/>
      <w:r>
        <w:t xml:space="preserve"> (</w:t>
      </w:r>
      <w:proofErr w:type="spellStart"/>
      <w:r>
        <w:t>Антьокия</w:t>
      </w:r>
      <w:proofErr w:type="spellEnd"/>
      <w:r>
        <w:t xml:space="preserve">), кроме того, убит участник по прозвищу "Мора", лидера АУК в </w:t>
      </w:r>
      <w:proofErr w:type="spellStart"/>
      <w:r>
        <w:t>Агуачика</w:t>
      </w:r>
      <w:proofErr w:type="spellEnd"/>
      <w:r>
        <w:t xml:space="preserve"> (</w:t>
      </w:r>
      <w:proofErr w:type="spellStart"/>
      <w:r>
        <w:t>Сесар</w:t>
      </w:r>
      <w:proofErr w:type="spellEnd"/>
      <w:r>
        <w:t>).</w:t>
      </w:r>
    </w:p>
    <w:p w:rsidR="00000000" w:rsidRDefault="00000000">
      <w:r>
        <w:br w:type="page"/>
        <w:t>55.</w:t>
      </w:r>
      <w:r>
        <w:tab/>
        <w:t>Положительные результаты достигнуты и на судебных процессах над участниками групп самообороны, о чем свидетельствуют  данные о росте с декабря 1999 года на 21% постановлений о мере пресечения, на 49% - обвинительных постановлений и на 67% - приказов о поимке.  В настоящее время проходят судебные разбирательства против руководителей и участников групп самообороны, а также против частных лиц, государственных служащих, гражданских и военных, которые своим действием или бездействием оказывают или оказывали этим группам какую-либо помощь или содействие.</w:t>
      </w:r>
    </w:p>
    <w:p w:rsidR="00000000" w:rsidRDefault="00000000"/>
    <w:p w:rsidR="00000000" w:rsidRDefault="00000000">
      <w:r>
        <w:t>56.</w:t>
      </w:r>
      <w:r>
        <w:tab/>
        <w:t>Что касается дисциплинарных расследований в отношении связей государственных служащих с незаконными группами самообороны, то на 30 июля текущего года имеются следующие данные:  38 расследований случаев прямого участия, 49 - бездействия, 2 - финансирования и 1 - попустительства.  На ту же дату, состояние расследований было следующим: 61 расследование - предварительное следствие, 1 - на этапе рассмотрения апелляции и 8 - на этапе официального расследования.</w:t>
      </w:r>
    </w:p>
    <w:p w:rsidR="00000000" w:rsidRDefault="00000000"/>
    <w:p w:rsidR="00000000" w:rsidRDefault="00000000">
      <w:r>
        <w:t>57.</w:t>
      </w:r>
      <w:r>
        <w:tab/>
        <w:t>С другой стороны, в рамках процесса мирных переговоров с Революционными вооруженными силами Колу</w:t>
      </w:r>
      <w:r>
        <w:t>м</w:t>
      </w:r>
      <w:r>
        <w:t>бии (ФАРК), правительство многократно предлагало этому повстанческому формированию рассмотреть документ, подготовленный Комиссией видных деятелей, в котором содержатся рекомендации относительно подхода к решению проблемы "</w:t>
      </w:r>
      <w:proofErr w:type="spellStart"/>
      <w:r>
        <w:t>парамилитаризма</w:t>
      </w:r>
      <w:proofErr w:type="spellEnd"/>
      <w:r>
        <w:t>".  Такая позиция правительства отражает его неуклонное намерение продолжать борьбу с этим явлением.</w:t>
      </w:r>
    </w:p>
    <w:p w:rsidR="00000000" w:rsidRDefault="00000000">
      <w:pPr>
        <w:rPr>
          <w:u w:val="single"/>
        </w:rPr>
      </w:pPr>
    </w:p>
    <w:p w:rsidR="00000000" w:rsidRDefault="00000000">
      <w:pPr>
        <w:rPr>
          <w:u w:val="single"/>
        </w:rPr>
      </w:pPr>
      <w:r>
        <w:rPr>
          <w:u w:val="single"/>
        </w:rPr>
        <w:t>Борьба с похищениями</w:t>
      </w:r>
    </w:p>
    <w:p w:rsidR="00000000" w:rsidRDefault="00000000">
      <w:pPr>
        <w:rPr>
          <w:u w:val="single"/>
        </w:rPr>
      </w:pPr>
    </w:p>
    <w:p w:rsidR="00000000" w:rsidRDefault="00000000">
      <w:r>
        <w:t>58.</w:t>
      </w:r>
      <w:r>
        <w:tab/>
        <w:t>Для борьбы с практикой посягательств на свободу личности, к которой повстанческие формирования имеют прямое отношение в связи с захватами заложников, в рамках министерства обороны осуществляется Программа защиты личной свободы.  Функционирует также Национальный совет по борьбе с похищениями и другими видами посягательств на личную свободу (КОНАСЕ).  Оперативные вопросы борьбы с захватами людей решают следственно-розыскные группы по борьбе с похищениями людей (ГАУЛА).  Создано 28 таких групп, состоящих из сотрудников национальной полиции и военнослужащих вооруженных сил.  Работа групп координируется с работой Административного управления безопасности (ДАС) и Службы технических расследований (CTИ) Генеральной инспекции.</w:t>
      </w:r>
    </w:p>
    <w:p w:rsidR="00000000" w:rsidRDefault="00000000"/>
    <w:p w:rsidR="00000000" w:rsidRDefault="00000000">
      <w:r>
        <w:t>59.</w:t>
      </w:r>
      <w:r>
        <w:tab/>
        <w:t>Профилактика незаконного лишения свободы производится путем принятия прямых мер принуждения и убеждения в отношении исполнителей преступления и мер педагогического характера в отношении реальных и потенциальных жертв преступления, при участии самого гражданского общества или профессиональных коллективов, как на общенациональном, так и на региональном уровнях.  Ведется работа в направлении предупреждения преступлений и осознания гражданами необходимости сообщать о правонарушениях.  Проявляется забота о жертвах преступлений путем оказания педагогической помощи семьям похищенных и юридического консультирования лиц, имеющих отношение к случившемуся.  Уделяется постоянное внимание и оказывается поддержка расследованиям похищений людей, проводимых различными государственными органами, и в особенности тем из них, которые осуществляют различные следственно-розыскные группы (</w:t>
      </w:r>
      <w:proofErr w:type="spellStart"/>
      <w:r>
        <w:t>ГАУЛА</w:t>
      </w:r>
      <w:proofErr w:type="spellEnd"/>
      <w:r>
        <w:t>).</w:t>
      </w:r>
    </w:p>
    <w:p w:rsidR="00000000" w:rsidRDefault="00000000"/>
    <w:p w:rsidR="00000000" w:rsidRDefault="00000000">
      <w:r>
        <w:t>60.</w:t>
      </w:r>
      <w:r>
        <w:tab/>
        <w:t>В повышении квалификации основное внимание уделяется расследованию уголовных дел и криминалистике, правам человека и международному гуманитарному праву.  Оно организуется для сотрудников Административного управления безопасности (ДАС) и Службы технических расследований (CTИ), а также для сотрудников полиции и военнослужащих, участвующих в работе следственно-розыскных групп (ГАУЛА).  Кроме того, уделяется внимание отработке механизмов профилактики правонарушений, распространению информации о пропавших лицах, пропаганде юридических знаний и работе с Национальным центром данных.</w:t>
      </w:r>
    </w:p>
    <w:p w:rsidR="00000000" w:rsidRDefault="00000000"/>
    <w:p w:rsidR="00000000" w:rsidRDefault="00000000">
      <w:r>
        <w:t>61.</w:t>
      </w:r>
      <w:r>
        <w:tab/>
        <w:t>На Национальный фонд для защиты свободы личности (</w:t>
      </w:r>
      <w:proofErr w:type="spellStart"/>
      <w:r>
        <w:t>Фонделибертад</w:t>
      </w:r>
      <w:proofErr w:type="spellEnd"/>
      <w:r>
        <w:t xml:space="preserve">) при министерстве обороны возложены обязанности по управлению средствами, предназначенными для борьбы с похищениями людей и вымогательством.  В период с 1996 до 2001 года ежегодный бюджет этого Фонда составлял 5 миллиардов песо.  В 2000 году, по инициативе президента, он дополнительно получил 15 000 миллиардов песо.  </w:t>
      </w:r>
      <w:proofErr w:type="spellStart"/>
      <w:r>
        <w:t>90%</w:t>
      </w:r>
      <w:proofErr w:type="spellEnd"/>
      <w:r>
        <w:t xml:space="preserve"> этих средств предназначено на укомплектование и деятельность следственно-розыскных групп (</w:t>
      </w:r>
      <w:proofErr w:type="spellStart"/>
      <w:r>
        <w:t>ГАУЛА</w:t>
      </w:r>
      <w:proofErr w:type="spellEnd"/>
      <w:r>
        <w:t>).</w:t>
      </w:r>
    </w:p>
    <w:p w:rsidR="00000000" w:rsidRDefault="00000000"/>
    <w:p w:rsidR="00000000" w:rsidRDefault="00000000">
      <w:pPr>
        <w:rPr>
          <w:u w:val="single"/>
        </w:rPr>
      </w:pPr>
      <w:r>
        <w:rPr>
          <w:u w:val="single"/>
        </w:rPr>
        <w:t>Укрепление вооруженных сил и повышение их роли в противостоянии незаконным вооруженным формированиям</w:t>
      </w:r>
    </w:p>
    <w:p w:rsidR="00000000" w:rsidRDefault="00000000">
      <w:pPr>
        <w:rPr>
          <w:u w:val="single"/>
        </w:rPr>
      </w:pPr>
    </w:p>
    <w:p w:rsidR="00000000" w:rsidRDefault="00000000">
      <w:r>
        <w:t>62.</w:t>
      </w:r>
      <w:r>
        <w:tab/>
        <w:t xml:space="preserve">В вооруженных силах реализуется большая и многосторонняя программа модернизации, имеющая своей целью повышение их эффективности и правового статуса при строгом соблюдении прав человека и норм международного гуманитарного права.  Предпринятые меры институционального и бюджетного характера были направлены на повышение военного потенциала и профессионального уровня вооруженных сил и на проведение реформы военной уголовной юстиции.  Для достижения этих целей были приняты Закон № 578 от марта 2000 года, предоставляющий чрезвычайные полномочия для проведения профессиональной и дисциплинарной реформы в вооруженных силах, а также его регламентирующие декреты, в частности Декреты № </w:t>
      </w:r>
      <w:proofErr w:type="spellStart"/>
      <w:r>
        <w:t>№</w:t>
      </w:r>
      <w:proofErr w:type="spellEnd"/>
      <w:r>
        <w:t xml:space="preserve"> 1790 и 1797, касающиеся дискреционных полномочий для увольнения со службы офицеров и унтер-офицеров с любой выслугой лет, и включения в дисциплинарный устав положений о том, что особо серьезные нарушения прав человека являются грубейшими нарушениями воинской дисциплины.</w:t>
      </w:r>
    </w:p>
    <w:p w:rsidR="00000000" w:rsidRDefault="00000000"/>
    <w:p w:rsidR="00000000" w:rsidRDefault="00000000">
      <w:r>
        <w:t>63.</w:t>
      </w:r>
      <w:r>
        <w:tab/>
        <w:t>В Президентской директиве 01 от 17 августа 2000 года дано указание Главнокомандующему вооруженными силами и Генеральному директору полиции относительно точного применения в нормативных актах военной юстиции и в юриспруденции Конституционного суда положения о подсудности общей юстиции дел о нарушении прав человека.</w:t>
      </w:r>
    </w:p>
    <w:p w:rsidR="00000000" w:rsidRDefault="00000000"/>
    <w:p w:rsidR="00000000" w:rsidRDefault="00000000">
      <w:r>
        <w:t>64.</w:t>
      </w:r>
      <w:r>
        <w:tab/>
        <w:t>В результате организации за последние пять лет 1 808 курсов для 103 545 военнослужащих вооруженных сил по проблематике прав человека, а также благодаря функционированию 181 отделения по правам человека и международному гуманитарному праву во всех частях сил по поддержанию правопорядка, снизилось количество жалоб и открытых судебных процессов против лиц из состава сил по поддержанию правопорядка в связи с нарушениями прав человека и норм международного гуманитарного права и улучшается отношение колумбийцев к силам по поддержанию правопорядка, о чем свидетельствуют результаты проводимых опросов.  Число полученных прокуратурой жалоб на нарушения прав человека со стороны лиц из состава сил по поддержанию правопорядка снизилось в период с 1995 года по июнь нынешнего года с 3 000 до 289.  Количество подтвержденных обвинений лиц из состава сил по поддержанию правопорядка в связи с предполагаемым нарушением прав человека невелико:  за период с 1995 года по июль 2001 года Генеральной инспекцией Республики были обвинены188 военнослужащих, при общей численности сил правопорядка, составляющей на сегодняшний день более 277 000 человек.</w:t>
      </w:r>
    </w:p>
    <w:p w:rsidR="00000000" w:rsidRDefault="00000000"/>
    <w:p w:rsidR="00000000" w:rsidRDefault="00000000">
      <w:r>
        <w:t>65.</w:t>
      </w:r>
      <w:r>
        <w:tab/>
        <w:t>Правительство приняло предложение Управления Верховного комиссара Организации Объединенных Наций по правам человека, о проведении для военнослужащих и сотрудников органов военной юстиции курса обучения правильному толкованию норм военного уголовного права и прямой увязки последнего с общей судебной реформой.</w:t>
      </w:r>
    </w:p>
    <w:p w:rsidR="00000000" w:rsidRDefault="00000000"/>
    <w:p w:rsidR="00000000" w:rsidRDefault="00000000">
      <w:pPr>
        <w:jc w:val="center"/>
        <w:rPr>
          <w:u w:val="single"/>
        </w:rPr>
      </w:pPr>
      <w:proofErr w:type="spellStart"/>
      <w:r>
        <w:t>B</w:t>
      </w:r>
      <w:proofErr w:type="spellEnd"/>
      <w:r>
        <w:t>.</w:t>
      </w:r>
      <w:r>
        <w:tab/>
      </w:r>
      <w:r>
        <w:rPr>
          <w:u w:val="single"/>
        </w:rPr>
        <w:t>Защита борцов за права человека и лиц, которые являются объектами угрозы</w:t>
      </w:r>
    </w:p>
    <w:p w:rsidR="00000000" w:rsidRDefault="00000000">
      <w:pPr>
        <w:jc w:val="center"/>
        <w:rPr>
          <w:u w:val="single"/>
        </w:rPr>
      </w:pPr>
    </w:p>
    <w:p w:rsidR="00000000" w:rsidRDefault="00000000">
      <w:r>
        <w:t>66.</w:t>
      </w:r>
      <w:r>
        <w:tab/>
        <w:t>Правительство осуществляет три программы, направленные на защиту борцов за права человека, профсоюзных лидеров, общественных деятелей и журналистов, а также тех кругов населения, деятельность которых является основополагающей для развития в Колумбии гражданского общества и социального правового государства.</w:t>
      </w:r>
    </w:p>
    <w:p w:rsidR="00000000" w:rsidRDefault="00000000">
      <w:r>
        <w:t>67.</w:t>
      </w:r>
      <w:r>
        <w:tab/>
        <w:t>Такими программами, координируемыми министерством внутренних дел во исполнение предписывающего положения статьи 6 Закона № 199 от 1995 года, являются:  Программа защиты борцов за права человека, общественных и профсоюзных деятелей, свидетелей и лиц, которые являются объектами угрозы (создана Декретом № 372 от 1996 года и Законом № 418 от 1997 года), Программа защиты руководителей, членов и оставшихся в живых деятелей Патриотического Союза и Коммунистической партии Колумбии (создана Декретом № 978 от 1 июня 2000 года) и Программа защиты журналистов и работников средств информации (создана Декретом № 1592 от 18 августа  2000 года).</w:t>
      </w:r>
    </w:p>
    <w:p w:rsidR="00000000" w:rsidRDefault="00000000"/>
    <w:p w:rsidR="00000000" w:rsidRDefault="00000000">
      <w:r>
        <w:t>68.</w:t>
      </w:r>
      <w:r>
        <w:tab/>
        <w:t>Спрос на эти программы и их охват на протяжении двух последних лет возрастали, оказывая существенное влияние на социальную, финансовую и политическую сферы жизни колумбийского государства.  Вышеизложенное побудило правительство начать процесс оценки их функционирования, финансирования, процедур и других составляющих их элементов с целью оптимизации управления этими программами.  Эта оценка будет производится в два этапа:  на первом этапе будет представлен анализ текущего состояния программ с юридической, политической, административной, финансовой и оперативной точек зрения; на втором этапе должно быть представлено предложение, определяющее юридические и административные рамки Программ защиты.</w:t>
      </w:r>
    </w:p>
    <w:p w:rsidR="00000000" w:rsidRDefault="00000000"/>
    <w:p w:rsidR="00000000" w:rsidRDefault="00000000">
      <w:r>
        <w:rPr>
          <w:lang w:val="es-CO"/>
        </w:rPr>
        <w:t>69.</w:t>
      </w:r>
      <w:r>
        <w:rPr>
          <w:lang w:val="es-CO"/>
        </w:rPr>
        <w:tab/>
      </w:r>
      <w:r>
        <w:t xml:space="preserve">В </w:t>
      </w:r>
      <w:r>
        <w:rPr>
          <w:lang w:val="es-CO"/>
        </w:rPr>
        <w:t>2001 году в реализации Программ защиты в числе основных достижений отмечаются следующие:</w:t>
      </w:r>
    </w:p>
    <w:p w:rsidR="00000000" w:rsidRDefault="00000000"/>
    <w:p w:rsidR="00000000" w:rsidRDefault="00000000">
      <w:pPr>
        <w:ind w:left="1134" w:hanging="567"/>
      </w:pPr>
      <w:r>
        <w:rPr>
          <w:lang w:val="es-CO"/>
        </w:rPr>
        <w:t>a)</w:t>
      </w:r>
      <w:r>
        <w:tab/>
        <w:t>Улучшение бюджетного финансирования:  в настоящее время программы обеспечиваются ресурсами, предоставляемыми из национального бюджета и из Межамериканского агентства развития, что является первым случаем получения средств по линии международного сотрудничества.  Правительство страны незамедлительно отвечает на возникающие запросы в увеличении бюджетных ассигнований для удовлетворения постоянных потребностей этих программ, добиваясь большей оперативности и эффективности в обеспечение мер защиты.</w:t>
      </w:r>
    </w:p>
    <w:p w:rsidR="00000000" w:rsidRDefault="00000000">
      <w:pPr>
        <w:ind w:left="1134" w:hanging="567"/>
      </w:pPr>
    </w:p>
    <w:p w:rsidR="00000000" w:rsidRDefault="00000000">
      <w:pPr>
        <w:ind w:left="1134" w:hanging="567"/>
      </w:pPr>
      <w:r>
        <w:rPr>
          <w:lang w:val="en-US"/>
        </w:rPr>
        <w:t>b</w:t>
      </w:r>
      <w:r>
        <w:t>)</w:t>
      </w:r>
      <w:r>
        <w:tab/>
        <w:t>Улучшение внутренней работы:  в связи с большим количеством ходатайств о защите, направляемых в министерство, принимались меры по увеличению и улучшению штата персонала в порядке укрепления групп, ведущих дела, занимающихся управленческой деятельностью, юридической работой, архивами и перепиской, с привлечением специалистов в различных областях знания, имея в виду подготовку всесторонне аргументированных и полных ответов.  Для этой же цели совершенствуется Информационная система, позволяющая уже на начальной этапе располагать базой данных о лицах, являющихся объектом программ, и о мерах защиты, принимаемых в каждом конкретном случае.</w:t>
      </w:r>
    </w:p>
    <w:p w:rsidR="00000000" w:rsidRDefault="00000000">
      <w:pPr>
        <w:ind w:left="1134" w:hanging="567"/>
      </w:pPr>
    </w:p>
    <w:p w:rsidR="00000000" w:rsidRDefault="00000000">
      <w:pPr>
        <w:keepLines/>
        <w:ind w:left="1134" w:hanging="567"/>
      </w:pPr>
      <w:proofErr w:type="spellStart"/>
      <w:r>
        <w:t>c</w:t>
      </w:r>
      <w:proofErr w:type="spellEnd"/>
      <w:r>
        <w:t>)</w:t>
      </w:r>
      <w:r>
        <w:tab/>
        <w:t xml:space="preserve">Межведомственная координация:  министерство внутренних  дел продолжает совершенствование механизмов межведомственной координации с другими организациями и учреждениями, такими, как Национальная полиция, Административное управление безопасности, Генеральная инспекция Республики, Канцелярия вице-президента Республики, Генеральная прокуратура Республики, Канцелярия </w:t>
      </w:r>
      <w:proofErr w:type="spellStart"/>
      <w:r>
        <w:t>омбудсмена</w:t>
      </w:r>
      <w:proofErr w:type="spellEnd"/>
      <w:r>
        <w:t>, с неправительственными организациями и профсоюзами с целью объединения усилий в проверке представленной заявителями информации и для поддержки принимаемых мер.  В то же время для таких программ предусмотрены комитеты регламентации и оценки рисков (КРЕР) в составе правительственных учреждений и соответствующих организаций.</w:t>
      </w:r>
    </w:p>
    <w:p w:rsidR="00000000" w:rsidRDefault="00000000">
      <w:pPr>
        <w:keepLines/>
        <w:ind w:left="1134" w:hanging="567"/>
      </w:pPr>
    </w:p>
    <w:p w:rsidR="00000000" w:rsidRDefault="00000000">
      <w:r>
        <w:t>70.</w:t>
      </w:r>
      <w:r>
        <w:tab/>
        <w:t>В рамках программы защиты борцов за права человека, общественных и профсоюзных деятелей, свидетелей нарушения прав человека и норм международного гуманитарного права и лиц, которые являются объектами угрозы, деятельность осуществляется по следующим направлениям:</w:t>
      </w:r>
    </w:p>
    <w:p w:rsidR="00000000" w:rsidRDefault="00000000"/>
    <w:p w:rsidR="00000000" w:rsidRDefault="00000000">
      <w:pPr>
        <w:ind w:left="1134" w:hanging="567"/>
      </w:pPr>
      <w:proofErr w:type="spellStart"/>
      <w:r>
        <w:t>a</w:t>
      </w:r>
      <w:proofErr w:type="spellEnd"/>
      <w:r>
        <w:t>)</w:t>
      </w:r>
      <w:r>
        <w:tab/>
        <w:t>Гуманитарная помощь:  в тех случаях, когда лицу, охватываемому Программой, требуется, вследствие угроз, выехать из зоны риска, ему предоставляется экстренная экономическая помощь на период до трех месяцев, с целью немедленной нейтрализации фактора, вызвавшего его переезд.  В тех случаях, когда лицо, защищаемое Программой, приняло решение выехать из страны, гуманитарная помощь может быть продлена на время, равное тому периоду, на который она была предоставлена первоначально, с чтобы обеспечить возможность ходатайства перед соответствующим посольством.</w:t>
      </w:r>
    </w:p>
    <w:p w:rsidR="00000000" w:rsidRDefault="00000000">
      <w:pPr>
        <w:ind w:left="1134" w:hanging="567"/>
      </w:pPr>
    </w:p>
    <w:p w:rsidR="00000000" w:rsidRDefault="00000000">
      <w:pPr>
        <w:ind w:left="1134" w:hanging="567"/>
      </w:pPr>
      <w:proofErr w:type="spellStart"/>
      <w:r>
        <w:t>b</w:t>
      </w:r>
      <w:proofErr w:type="spellEnd"/>
      <w:r>
        <w:t>)</w:t>
      </w:r>
      <w:r>
        <w:tab/>
        <w:t>Средства связи:</w:t>
      </w:r>
      <w:r>
        <w:rPr>
          <w:b/>
        </w:rPr>
        <w:t xml:space="preserve">  </w:t>
      </w:r>
      <w:r>
        <w:t>среди мер защиты, предусматриваемых Программой, на экспериментальной основе введена в действие система оповещения с использованием мобильных телефонов и радиостанций для связи между пользующимися защитой лицами и сотрудниками государственных органов.  Эта система позволяет силам по поддержанию правопорядка своевременно реагировать при возникновении рискованных ситуаций в результате действий участников конфликта.</w:t>
      </w:r>
    </w:p>
    <w:p w:rsidR="00000000" w:rsidRDefault="00000000">
      <w:pPr>
        <w:ind w:left="1134" w:hanging="567"/>
      </w:pPr>
    </w:p>
    <w:p w:rsidR="00000000" w:rsidRDefault="00000000">
      <w:pPr>
        <w:ind w:left="1134" w:hanging="567"/>
      </w:pPr>
      <w:proofErr w:type="spellStart"/>
      <w:r>
        <w:t>c</w:t>
      </w:r>
      <w:proofErr w:type="spellEnd"/>
      <w:r>
        <w:t>)</w:t>
      </w:r>
      <w:r>
        <w:tab/>
        <w:t>Оплата расходов на переезд:  этот вид помощи предоставляется в тех случаях, когда лица, являющиеся объектами угрозы, принимают решение или оказываются вынужденными выехать из данной зоны и перебраться в другой город.</w:t>
      </w:r>
    </w:p>
    <w:p w:rsidR="00000000" w:rsidRDefault="00000000">
      <w:pPr>
        <w:ind w:left="1134" w:hanging="567"/>
      </w:pPr>
    </w:p>
    <w:p w:rsidR="00000000" w:rsidRDefault="00000000">
      <w:pPr>
        <w:ind w:left="1134" w:hanging="567"/>
      </w:pPr>
      <w:proofErr w:type="spellStart"/>
      <w:r>
        <w:t>d</w:t>
      </w:r>
      <w:proofErr w:type="spellEnd"/>
      <w:r>
        <w:t>)</w:t>
      </w:r>
      <w:r>
        <w:tab/>
        <w:t>Билеты для поездок внутри страны:  предоставляются в тех случаях, когда угрозы настолько серьезны, что - по соображениям сохранения жизни и здоровья - конкретному лицу и/или его семье просто необходимо переехать в другой район страны, где степень опасности будет меньше.  В некоторых случаях комитеты регламентации и оценки рисков (КРЕР) санкционируют выдачу билетов, с тем чтобы находящиеся под защитой лица могли, по согласованию с органами государственной безопасности, сменить место пребывания, чтобы избежать рискованных ситуаций и подвергаться меньшей опасности в ходе своей правозащитной деятельности.</w:t>
      </w:r>
    </w:p>
    <w:p w:rsidR="00000000" w:rsidRDefault="00000000">
      <w:pPr>
        <w:ind w:left="1134" w:hanging="567"/>
      </w:pPr>
    </w:p>
    <w:p w:rsidR="00000000" w:rsidRDefault="00000000">
      <w:pPr>
        <w:ind w:left="1134" w:hanging="567"/>
      </w:pPr>
      <w:proofErr w:type="spellStart"/>
      <w:r>
        <w:t>e</w:t>
      </w:r>
      <w:proofErr w:type="spellEnd"/>
      <w:r>
        <w:t>)</w:t>
      </w:r>
      <w:r>
        <w:tab/>
        <w:t xml:space="preserve">Билеты для поездки за границу:  выдаются в тех случаях, когда лица, находящиеся под защитой, считают целесообразным выехать из страны на срок не менее трех месяцев, либо по личным мотивам, либо из-за того, что степень опасности настолько высока, что принятые меры защиты рассматриваются как недостаточные. </w:t>
      </w:r>
    </w:p>
    <w:p w:rsidR="00000000" w:rsidRDefault="00000000">
      <w:pPr>
        <w:ind w:left="1134" w:hanging="567"/>
      </w:pPr>
    </w:p>
    <w:p w:rsidR="00000000" w:rsidRDefault="00000000">
      <w:pPr>
        <w:ind w:left="1134" w:hanging="567"/>
      </w:pPr>
      <w:proofErr w:type="spellStart"/>
      <w:r>
        <w:t>f</w:t>
      </w:r>
      <w:proofErr w:type="spellEnd"/>
      <w:r>
        <w:t>)</w:t>
      </w:r>
      <w:r>
        <w:tab/>
        <w:t>Командировочные:  они служат дополнением к "жестким" схемам защиты, позволяя во время передвижения находящихся под защитой лиц обеспечить их сопровождение телохранителями.  Такая же защита обеспечивается сотрудникам КРЕР, представляющим общественные организации и профессиональные союзы.</w:t>
      </w:r>
    </w:p>
    <w:p w:rsidR="00000000" w:rsidRDefault="00000000">
      <w:pPr>
        <w:ind w:left="1134" w:hanging="567"/>
      </w:pPr>
    </w:p>
    <w:p w:rsidR="00000000" w:rsidRDefault="00000000">
      <w:pPr>
        <w:ind w:left="1134" w:hanging="567"/>
      </w:pPr>
      <w:proofErr w:type="spellStart"/>
      <w:r>
        <w:t>g</w:t>
      </w:r>
      <w:proofErr w:type="spellEnd"/>
      <w:r>
        <w:t>)</w:t>
      </w:r>
      <w:r>
        <w:tab/>
        <w:t>Временное сухопутное обеспечение:  предоставляется находящимся под защитой Программы руководителям организаций, которые по роду своей деятельности должны постоянно бывать в различных районах города или департамента, и которые либо не соглашаются на сопровождение охраной, либо ее присутствие нецелесообразно из-за условий работы.</w:t>
      </w:r>
    </w:p>
    <w:p w:rsidR="00000000" w:rsidRDefault="00000000">
      <w:pPr>
        <w:ind w:left="1134" w:hanging="567"/>
      </w:pPr>
    </w:p>
    <w:p w:rsidR="00000000" w:rsidRDefault="00000000">
      <w:pPr>
        <w:ind w:left="1134" w:hanging="567"/>
      </w:pPr>
      <w:proofErr w:type="spellStart"/>
      <w:r>
        <w:t>h</w:t>
      </w:r>
      <w:proofErr w:type="spellEnd"/>
      <w:r>
        <w:t>)</w:t>
      </w:r>
      <w:r>
        <w:tab/>
        <w:t>Речное обеспечение:  предоставляется в отдельных случаях для снижения степени риска, когда руководителям организаций приходится передвигаться речным транспортом для выполнения работы, связанной с их правозащитной деятельностью.</w:t>
      </w:r>
    </w:p>
    <w:p w:rsidR="00000000" w:rsidRDefault="00000000">
      <w:pPr>
        <w:ind w:left="1134" w:hanging="567"/>
      </w:pPr>
    </w:p>
    <w:p w:rsidR="00000000" w:rsidRDefault="00000000">
      <w:pPr>
        <w:ind w:left="1134" w:hanging="567"/>
      </w:pPr>
      <w:proofErr w:type="spellStart"/>
      <w:r>
        <w:t>i</w:t>
      </w:r>
      <w:proofErr w:type="spellEnd"/>
      <w:r>
        <w:t>)</w:t>
      </w:r>
      <w:r>
        <w:tab/>
        <w:t>Производственные проекты: в контексте принимаемых мер защиты</w:t>
      </w:r>
      <w:r>
        <w:rPr>
          <w:lang w:val="es-CO"/>
        </w:rPr>
        <w:t xml:space="preserve"> комитет регламентации и </w:t>
      </w:r>
      <w:r>
        <w:t>оценки рисков</w:t>
      </w:r>
      <w:r>
        <w:rPr>
          <w:lang w:val="es-CO"/>
        </w:rPr>
        <w:t xml:space="preserve"> (КРЕР)</w:t>
      </w:r>
      <w:r>
        <w:t>, выходя, в определенном смысле, за рамки оперативной деятельности по обеспечению безопасности находящихся под защитой лиц, открыл новое направление работы через "производственные" проекты как одной из форм поддержки тех граждан, которые уже не могут и/или не хотят возвращаться в место их прежнего пребывания.</w:t>
      </w:r>
    </w:p>
    <w:p w:rsidR="00000000" w:rsidRDefault="00000000">
      <w:pPr>
        <w:ind w:left="1134" w:hanging="567"/>
      </w:pPr>
    </w:p>
    <w:p w:rsidR="00000000" w:rsidRDefault="00000000">
      <w:pPr>
        <w:ind w:left="1134" w:hanging="567"/>
      </w:pPr>
      <w:proofErr w:type="spellStart"/>
      <w:r>
        <w:t>j</w:t>
      </w:r>
      <w:proofErr w:type="spellEnd"/>
      <w:r>
        <w:t>)</w:t>
      </w:r>
      <w:r>
        <w:tab/>
        <w:t xml:space="preserve">Блиндирование (броневая защита) местопребывания: блиндирование осуществляется в тех случаях, когда Национальная полиция, проведя технический анализ степени опасности в помещении, где работают находящиеся под защитой лица, рекомендует применить эту меру защиты.  В отличие от других действий, эта мера имеет более широкий охват, поскольку она направлена на защиту целой организации и, следовательно, может обезопасить большее число людей. </w:t>
      </w:r>
    </w:p>
    <w:p w:rsidR="00000000" w:rsidRDefault="00000000">
      <w:pPr>
        <w:ind w:left="1134" w:hanging="567"/>
      </w:pPr>
    </w:p>
    <w:p w:rsidR="00000000" w:rsidRDefault="00000000">
      <w:pPr>
        <w:ind w:left="1134" w:hanging="567"/>
      </w:pPr>
      <w:proofErr w:type="spellStart"/>
      <w:r>
        <w:t>k</w:t>
      </w:r>
      <w:proofErr w:type="spellEnd"/>
      <w:r>
        <w:t>)</w:t>
      </w:r>
      <w:r>
        <w:tab/>
        <w:t>Курсы самозащиты - самообороны: Административное управление безопасности (ДАС) организует курсы и кабинеты самозащиты и самообороны.  Связанные с этим расходы принимает на себя ДАС, относя их на бюджетную статью, выделенную этой организации на Программу защиты.</w:t>
      </w:r>
    </w:p>
    <w:p w:rsidR="00000000" w:rsidRDefault="00000000">
      <w:pPr>
        <w:ind w:left="1134" w:hanging="567"/>
      </w:pPr>
    </w:p>
    <w:p w:rsidR="00000000" w:rsidRDefault="00000000">
      <w:pPr>
        <w:ind w:left="1134" w:hanging="567"/>
      </w:pPr>
      <w:proofErr w:type="spellStart"/>
      <w:r>
        <w:t>l</w:t>
      </w:r>
      <w:proofErr w:type="spellEnd"/>
      <w:r>
        <w:t>)</w:t>
      </w:r>
      <w:r>
        <w:tab/>
        <w:t>"Жесткие" схемы защиты:  как и в случае курсы самообороны, защита по "жестким" схемам безопасности осуществляется ДАС.  Они заключаются в выделении транспортного средства и двух пользующихся доверием находящегося под защитой лица телохранителей, связанных с ДАС, для постоянного сопровождения, позволяющего снизить степень опасности, которой подвергается объект защиты.  Помимо этого, ДАС выдает защищаемым, в случае их согласия, пуленепробиваемые бронежилеты, а также предоставляет телохранителям бронежилеты, средства связи и соответствующее схеме защиты оружие.</w:t>
      </w:r>
    </w:p>
    <w:p w:rsidR="00000000" w:rsidRDefault="00000000">
      <w:pPr>
        <w:ind w:left="1134" w:hanging="567"/>
      </w:pPr>
    </w:p>
    <w:p w:rsidR="00000000" w:rsidRDefault="00000000">
      <w:r>
        <w:t>71.</w:t>
      </w:r>
      <w:r>
        <w:tab/>
        <w:t>По вопросу улучшения и расширения сферы охвата мер защиты, предусмотренных Программой, можно отметить следующее:</w:t>
      </w:r>
    </w:p>
    <w:p w:rsidR="00000000" w:rsidRDefault="00000000"/>
    <w:p w:rsidR="00000000" w:rsidRDefault="00000000">
      <w:pPr>
        <w:ind w:left="1134" w:hanging="567"/>
      </w:pPr>
      <w:proofErr w:type="spellStart"/>
      <w:r>
        <w:t>a</w:t>
      </w:r>
      <w:proofErr w:type="spellEnd"/>
      <w:r>
        <w:t>)</w:t>
      </w:r>
      <w:r>
        <w:tab/>
        <w:t xml:space="preserve">Схемы безопасности:  на конец 2000 года было обеспечено 56 "жестких" схем защиты, каждая из которых включала:  двух или трех телохранителей, а также автомобиль, снаряжение, обслуживание, горючее, страховку, денежное </w:t>
      </w:r>
    </w:p>
    <w:p w:rsidR="00000000" w:rsidRDefault="00000000">
      <w:pPr>
        <w:ind w:left="1134"/>
      </w:pPr>
      <w:r>
        <w:br w:type="page"/>
        <w:t xml:space="preserve">содержание и командировочные.  По состоянию на истекшие месяцы 2001 года действуют 107 подобных схем, и предстоит обеспечить 65 новых схем защиты.  Необходимо отметить, что на указанные схемы приходится </w:t>
      </w:r>
      <w:proofErr w:type="spellStart"/>
      <w:r>
        <w:t>64%</w:t>
      </w:r>
      <w:proofErr w:type="spellEnd"/>
      <w:r>
        <w:t xml:space="preserve"> расходной сметы на действующие меры защиты.</w:t>
      </w:r>
    </w:p>
    <w:p w:rsidR="00000000" w:rsidRDefault="00000000">
      <w:pPr>
        <w:ind w:left="1134" w:hanging="567"/>
      </w:pPr>
    </w:p>
    <w:p w:rsidR="00000000" w:rsidRDefault="00000000">
      <w:pPr>
        <w:ind w:left="1134" w:hanging="567"/>
      </w:pPr>
      <w:r>
        <w:rPr>
          <w:lang w:val="en-US"/>
        </w:rPr>
        <w:t>b</w:t>
      </w:r>
      <w:r>
        <w:t>)</w:t>
      </w:r>
      <w:r>
        <w:tab/>
        <w:t>Средства связи:  в течение 2001 года расширялась сеть связи, с тем чтобы обеспечить защищаемым Программой лицам более надежное средство безопасности.  Организованы две сети средств связи как с сотовыми телефонами, так и с аппаратами "</w:t>
      </w:r>
      <w:proofErr w:type="spellStart"/>
      <w:r>
        <w:t>Авантель</w:t>
      </w:r>
      <w:proofErr w:type="spellEnd"/>
      <w:r>
        <w:t>", функционирующие как сети раннего предупреждения, оповещения и защиты.  Кроме того, по линии Программы защиты выделена спутниковая аппаратура в некоторые пункты, расположенные в зонах, где нет ни одного оператора.  В целом по стране выделено 1 175 сотовых телефонов и 465 аппаратов "</w:t>
      </w:r>
      <w:proofErr w:type="spellStart"/>
      <w:r>
        <w:t>Авантель</w:t>
      </w:r>
      <w:proofErr w:type="spellEnd"/>
      <w:r>
        <w:t>".</w:t>
      </w:r>
    </w:p>
    <w:p w:rsidR="00000000" w:rsidRDefault="00000000">
      <w:pPr>
        <w:ind w:left="1134" w:hanging="567"/>
      </w:pPr>
    </w:p>
    <w:p w:rsidR="00000000" w:rsidRDefault="00000000">
      <w:pPr>
        <w:ind w:left="1134" w:hanging="567"/>
      </w:pPr>
      <w:proofErr w:type="spellStart"/>
      <w:r>
        <w:t>c</w:t>
      </w:r>
      <w:proofErr w:type="spellEnd"/>
      <w:r>
        <w:t>)</w:t>
      </w:r>
      <w:r>
        <w:tab/>
        <w:t xml:space="preserve">Блиндирование:  с разрастанием вооруженного конфликта повысилась степень уязвимости помещений неправительственных и профсоюзных организаций.  Это потребовало незамедлительных ответных мер по линии Программы.  С этой целью и на основании рекомендаций, содержащихся в анализе состояния безопасности, проведенном национальной полицией, были блиндированы 101 помещение на территории страны. Блиндирование как мера защиты предусматривает, среди прочего, укрепление структурных элементов, оборудование замкнутой телевизионной системы, оснащение </w:t>
      </w:r>
      <w:proofErr w:type="spellStart"/>
      <w:r>
        <w:t>металлодетекторами</w:t>
      </w:r>
      <w:proofErr w:type="spellEnd"/>
      <w:r>
        <w:t xml:space="preserve"> и средствами внутренней связи.</w:t>
      </w:r>
    </w:p>
    <w:p w:rsidR="00000000" w:rsidRDefault="00000000">
      <w:pPr>
        <w:ind w:left="1134" w:hanging="567"/>
      </w:pPr>
    </w:p>
    <w:p w:rsidR="00000000" w:rsidRDefault="00000000">
      <w:r>
        <w:t>72.</w:t>
      </w:r>
      <w:r>
        <w:tab/>
        <w:t>В 2000 году затраты на Программу составили 4 203 миллионов песо.  В течение 2001 года (по состоянию на  30 сентября) на Программу ассигновано 12 400 миллионов песо, позволивших, на ту же дату, обеспечить защиту в 1 358 случаях.</w:t>
      </w:r>
    </w:p>
    <w:p w:rsidR="00000000" w:rsidRDefault="00000000"/>
    <w:p w:rsidR="00000000" w:rsidRDefault="00000000">
      <w:r>
        <w:t>73.</w:t>
      </w:r>
      <w:r>
        <w:tab/>
        <w:t>В связи с реализацией Специальной программы комплексной защиты руководителей, членов и оставшихся в живых деятелей Патриотического Союза и Коммунистической партии Колумбии, введенной в действие в конце 2000 года в рамках кампании по поиску возможностей для дружественного урегулирования проблемы, рассматриваемой при участии Межамериканской комиссии по правам человека, можно отметить следующие достижения:  среди направлений деятельности, осуществляемой по линии  Программы, фигурируют средства связи, блиндирование и оборудование средствами безопасности офисов и мест проживания, гуманитарная помощь, предоставление внутренних и международных билетов для проезда, содействие в перемене местожительства, выдача пособий на погребения, пуленепробиваемых</w:t>
      </w:r>
    </w:p>
    <w:p w:rsidR="00000000" w:rsidRDefault="00000000">
      <w:r>
        <w:br w:type="page"/>
        <w:t>бронежилетов, оплата командировочных, "производственные" проекты, оплата расходов на проживание и питание, консультирование для реализации "производственных" проектов, а также психологическая и социальная помощь.</w:t>
      </w:r>
    </w:p>
    <w:p w:rsidR="00000000" w:rsidRDefault="00000000"/>
    <w:p w:rsidR="00000000" w:rsidRDefault="00000000">
      <w:r>
        <w:t>74.</w:t>
      </w:r>
      <w:r>
        <w:tab/>
        <w:t>В 2000 году на Программу было ассигновано 700 миллионов песо.  В течение 2001 года (по состоянию на  30 сентября) на Программу выделено около 1 760 миллионов песо, позволивших, на ту же дату, обеспечить помощь в 365 случаях.</w:t>
      </w:r>
    </w:p>
    <w:p w:rsidR="00000000" w:rsidRDefault="00000000"/>
    <w:p w:rsidR="00000000" w:rsidRDefault="00000000">
      <w:r>
        <w:t>75.</w:t>
      </w:r>
      <w:r>
        <w:tab/>
        <w:t>На Программу защиты журналистов и работников средств информации, аналогичную указанным выше программам, в 2000 году было ассигновано 300 миллионов песо.  В 2001 году (по состоянию на  30 сентября) на нее было выделено еще 800 миллионов песо, для обеспечения помощи, на ту же дату, в 67 случаях.</w:t>
      </w:r>
    </w:p>
    <w:p w:rsidR="00000000" w:rsidRDefault="00000000"/>
    <w:p w:rsidR="00000000" w:rsidRDefault="00000000">
      <w:r>
        <w:t>76.</w:t>
      </w:r>
      <w:r>
        <w:tab/>
        <w:t xml:space="preserve">Следует отметить, что визит в страну членов Межамериканской комиссии по правам человека, состоявшийся в мае текущего года и имевший своей целью ознакомление с практикой применения профилактических мер, предписанных этой организацией, в значительной мере способствовал развитию диалога с организациями, ходатайствующими о поддержке, и с лицами, получающими такую поддержку, а также выявлению дополнительных элементов для совершенствования межведомственной координации в рамках Программ защиты, о которых говорилось выше. </w:t>
      </w:r>
    </w:p>
    <w:p w:rsidR="00000000" w:rsidRDefault="00000000"/>
    <w:p w:rsidR="00000000" w:rsidRDefault="00000000">
      <w:r>
        <w:t>77.</w:t>
      </w:r>
      <w:r>
        <w:tab/>
      </w:r>
      <w:bookmarkStart w:id="5" w:name="SubtituloG"/>
      <w:r>
        <w:t xml:space="preserve">С другой стороны, в связи с неоднократными просьбами неправительственных правозащитных организаций о том, чтобы их членов исключили из донесений военной разведки, правительство страны изучает механизмы, позволяющие адаптировать практику и методы военной разведки в отношении граждан к постановлениям Конституционного суда по этому вопросу и к предписаниям Президентской директивы 07 таким образом, чтобы действия разведки в отношении граждан и связанные с ними донесения были направлены только на борьбу с преступлениями, под которыми понимаются сугубо правонарушения, содержащиеся в Уголовном кодексе. </w:t>
      </w:r>
    </w:p>
    <w:p w:rsidR="00000000" w:rsidRDefault="00000000"/>
    <w:p w:rsidR="00000000" w:rsidRDefault="00000000">
      <w:pPr>
        <w:jc w:val="center"/>
        <w:rPr>
          <w:u w:val="single"/>
        </w:rPr>
      </w:pPr>
      <w:proofErr w:type="spellStart"/>
      <w:r>
        <w:t>C</w:t>
      </w:r>
      <w:proofErr w:type="spellEnd"/>
      <w:r>
        <w:t>.</w:t>
      </w:r>
      <w:r>
        <w:tab/>
      </w:r>
      <w:r>
        <w:rPr>
          <w:u w:val="single"/>
        </w:rPr>
        <w:t>Отправление правосудия и борьба с безнаказанностью</w:t>
      </w:r>
    </w:p>
    <w:p w:rsidR="00000000" w:rsidRDefault="00000000">
      <w:pPr>
        <w:jc w:val="center"/>
      </w:pPr>
    </w:p>
    <w:p w:rsidR="00000000" w:rsidRDefault="00000000">
      <w:r>
        <w:t>78.</w:t>
      </w:r>
      <w:r>
        <w:tab/>
        <w:t xml:space="preserve">Для совершенствования отправления правосудия по делам, квалифицируемым как грубое нарушение прав человека и норм международного гуманитарного права, работает ряд механизмов, часть из них координационных, которые обеспечивают участие правозащитных организаций, профсоюзов, общественных и политических организаций. </w:t>
      </w:r>
    </w:p>
    <w:p w:rsidR="00000000" w:rsidRDefault="00000000">
      <w:r>
        <w:br w:type="page"/>
        <w:t>Анализ ряда экономических и территориальных ситуаций, которые по своей серьезности заслуживают институциональной поддержки в сложных условиях, порождаемых эскалацией вооруженного конфликта, вызвали необходимость создания других координационных инстанций.</w:t>
      </w:r>
    </w:p>
    <w:p w:rsidR="00000000" w:rsidRDefault="00000000"/>
    <w:p w:rsidR="00000000" w:rsidRDefault="00000000">
      <w:r>
        <w:t>79.</w:t>
      </w:r>
      <w:r>
        <w:tab/>
        <w:t xml:space="preserve">Специальный комитет по стимулированию расследования нарушений прав человека и норм международного гуманитарного права разрабатывает сейчас новую программу работы, охватывающую большое число новых дел, которым следует уделить внимание, среди них и те, которые известны международным правозащитным организациям.  На первом этапе работы Комитета по 35 делам получены на сегодняшний день следующие результаты: 44 обвинительных постановления, 36 постановлений о мере пресечения, 6 приговоров, 18 представлений о дисциплинарных наказаниях и 12 окончательных приговоров. </w:t>
      </w:r>
    </w:p>
    <w:p w:rsidR="00000000" w:rsidRDefault="00000000"/>
    <w:p w:rsidR="00000000" w:rsidRDefault="00000000">
      <w:r>
        <w:t>80.</w:t>
      </w:r>
      <w:r>
        <w:tab/>
        <w:t>Помимо вышеизложенного, в контексте Президентской программы защиты прав человека на рассмотрение на международном уровне был представлен комплексный межведомственный проект борьбы с безнаказанностью, отправной точкой которого станет анализ дел на различных этапах процесса судопроизводства, общая направленность которого совместима с работой, проводимой Специальным комитетом по стимулированию расследования, и содержание которого должны обогатить рекомендации Управления Верховного комиссара Организации Объединенных наций по правам человека.</w:t>
      </w:r>
    </w:p>
    <w:p w:rsidR="00000000" w:rsidRDefault="00000000">
      <w:pPr>
        <w:rPr>
          <w:b/>
        </w:rPr>
      </w:pPr>
    </w:p>
    <w:p w:rsidR="00000000" w:rsidRDefault="00000000">
      <w:r>
        <w:t>81.</w:t>
      </w:r>
      <w:r>
        <w:tab/>
        <w:t>На национальном уровне функционируют Рабочая группа по изысканию путей дружественного урегулирования проблемы Патриотического союза и межведомственные комиссии по поиску исчезнувших лиц для защиты прав человека трудящихся и коренного населения.</w:t>
      </w:r>
    </w:p>
    <w:p w:rsidR="00000000" w:rsidRDefault="00000000"/>
    <w:p w:rsidR="00000000" w:rsidRDefault="00000000">
      <w:r>
        <w:t>82.</w:t>
      </w:r>
      <w:r>
        <w:tab/>
        <w:t xml:space="preserve">Что касается Рабочей группы по изысканию путей дружественного урегулирования проблемы Патриотического союза, то на втором этапе этого процесса с участием Межамериканской комиссии по правам человека идет создание механизмов, направленных на профилактику новых нарушений прав человека, включая стимулирование расследований, для чего разрабатывается проект международного сотрудничества.  Одновременно Группа занимается вопросами достоверности и правосудия, а также предоставления комплексной компенсации родственникам жертв преступлений. </w:t>
      </w:r>
    </w:p>
    <w:p w:rsidR="00000000" w:rsidRDefault="00000000"/>
    <w:p w:rsidR="00000000" w:rsidRDefault="00000000">
      <w:r>
        <w:br w:type="page"/>
        <w:t>83.</w:t>
      </w:r>
      <w:r>
        <w:tab/>
        <w:t xml:space="preserve">Говоря о Комиссии по поощрению и защите прав человека трудящихся, следует отметить, что в настоящее время изучается предложение, направленное на укрепление её как инструмента борьбы против безнаказанности путем формирования специальной подкомиссии по расследованию серьезных нарушений прав человека в отношении трудящихся.  С другой стороны, в целях содействия </w:t>
      </w:r>
      <w:proofErr w:type="spellStart"/>
      <w:r>
        <w:t>узакониванию</w:t>
      </w:r>
      <w:proofErr w:type="spellEnd"/>
      <w:r>
        <w:t xml:space="preserve"> деятельности профсоюзных организаций, а также их руководителей и членов, осуществляется процесс пересмотра проекта стратегии коммуникации, которая предусматривает проведение широкой кампании в средствах массовой информации.</w:t>
      </w:r>
    </w:p>
    <w:p w:rsidR="00000000" w:rsidRDefault="00000000"/>
    <w:p w:rsidR="00000000" w:rsidRDefault="00000000">
      <w:r>
        <w:t>84.</w:t>
      </w:r>
      <w:r>
        <w:tab/>
        <w:t>Что касается Комиссии по поиску исчезнувших лиц, созданной на основании Закона № 589 от 6 июля 2000 года (посредством которого был квалифицирован такой вид преступлений, как насильственное исчезновение лиц), то в ее функции входит поддержка и стимулирование расследования указанного преступления, при полном соблюдении институциональных компетенций и прав процессуальных субъектов, а также разработка, оценка и поддержка планов поиска пропавших людей и формирование рабочих групп по конкретным делам.  В порядке поддержки и отработки созданных законом механизмов Комиссия проводит исследование для целей регламентации механизма экстренного поиска, предусмотренного в статье 13 упомянутого Закона.  Кроме того, ведется работа над определением функций Комиссии в отношении следственной оговорки, а также по изысканию средств на создание бюро институциональной поддержки.  Комиссия поручила рабочей группе, сформированной из членов самой Комиссии, активизировать поиски в связи с недавними случаями насильственного исчезновения.</w:t>
      </w:r>
    </w:p>
    <w:p w:rsidR="00000000" w:rsidRDefault="00000000"/>
    <w:p w:rsidR="00000000" w:rsidRDefault="00000000">
      <w:r>
        <w:t>85.</w:t>
      </w:r>
      <w:r>
        <w:tab/>
        <w:t xml:space="preserve">Ныне функционируют также девять межведомственных комиссий, которые занимаются рассмотрением широкого спектра конкретных ситуаций в следующих регионах:  </w:t>
      </w:r>
      <w:proofErr w:type="spellStart"/>
      <w:r>
        <w:t>Араука</w:t>
      </w:r>
      <w:proofErr w:type="spellEnd"/>
      <w:r>
        <w:t xml:space="preserve">, побережье Карибского моря, Колумбийский массив, </w:t>
      </w:r>
      <w:proofErr w:type="spellStart"/>
      <w:r>
        <w:t>Барранкабермеха</w:t>
      </w:r>
      <w:proofErr w:type="spellEnd"/>
      <w:r>
        <w:t xml:space="preserve">, </w:t>
      </w:r>
      <w:proofErr w:type="spellStart"/>
      <w:r>
        <w:t>Сантандер</w:t>
      </w:r>
      <w:proofErr w:type="spellEnd"/>
      <w:r>
        <w:t xml:space="preserve"> и Северный </w:t>
      </w:r>
      <w:proofErr w:type="spellStart"/>
      <w:r>
        <w:t>Сантандер</w:t>
      </w:r>
      <w:proofErr w:type="spellEnd"/>
      <w:r>
        <w:t xml:space="preserve"> (</w:t>
      </w:r>
      <w:proofErr w:type="spellStart"/>
      <w:r>
        <w:t>Кататумбо</w:t>
      </w:r>
      <w:proofErr w:type="spellEnd"/>
      <w:r>
        <w:t xml:space="preserve">), </w:t>
      </w:r>
      <w:proofErr w:type="spellStart"/>
      <w:r>
        <w:t>Комунидадес-де-Пас</w:t>
      </w:r>
      <w:proofErr w:type="spellEnd"/>
      <w:r>
        <w:t xml:space="preserve">, </w:t>
      </w:r>
      <w:proofErr w:type="spellStart"/>
      <w:r>
        <w:t>Валье</w:t>
      </w:r>
      <w:proofErr w:type="spellEnd"/>
      <w:r>
        <w:t> – </w:t>
      </w:r>
      <w:proofErr w:type="spellStart"/>
      <w:r>
        <w:t>Альто-Найя</w:t>
      </w:r>
      <w:proofErr w:type="spellEnd"/>
      <w:r>
        <w:t xml:space="preserve">, </w:t>
      </w:r>
      <w:proofErr w:type="spellStart"/>
      <w:r>
        <w:t>Сумапас</w:t>
      </w:r>
      <w:proofErr w:type="spellEnd"/>
      <w:r>
        <w:t xml:space="preserve"> и "Кофейная ось".</w:t>
      </w:r>
    </w:p>
    <w:p w:rsidR="00000000" w:rsidRDefault="00000000"/>
    <w:p w:rsidR="00000000" w:rsidRDefault="00000000">
      <w:r>
        <w:t>86.</w:t>
      </w:r>
      <w:r>
        <w:tab/>
        <w:t>Создание указанных региональных комиссий вызвано необходимостью выявить динамику и конкретные потребности в сфере защиты прав человека и предупреждения их нарушений и активизировать судебные и дисциплинарные расследования случаев нарушения этих прав, а также заинтересованностью руководства страны в поддержке и контроле территориальных организаций с целью повышения внимания местных и региональных властей к данным проблемам и к участию общественных и правозащитных организаций в их преодолении.  Наличие таких "площадок" для диалога между органами власти и общественными организациями способствует постепенному устранению существующего недоверия и выработке адекватной государственной политики в отношении ситуаций регионального и местного характера.</w:t>
      </w:r>
    </w:p>
    <w:p w:rsidR="00000000" w:rsidRDefault="00000000">
      <w:r>
        <w:br w:type="page"/>
        <w:t>87.</w:t>
      </w:r>
      <w:r>
        <w:tab/>
        <w:t xml:space="preserve">Президентская программа по правам человека и международному гуманитарному праву, при поддержке Нидерландов по линии международного сотрудничества, позволила дополнительно активизировать расследование более 100 случаев.  Так, например, в отношении 64 расследований можно констатировать следующее: 75% находятся на этапе следствия, а остальные - на этапе предварительного расследования; вынесены следующие судебные решения:  122 человека привлечены к ответственности, 42 привлечены без меры пресечения, вынесено 27 обвинительных постановлений, произведено 67 реальных </w:t>
      </w:r>
      <w:proofErr w:type="spellStart"/>
      <w:r>
        <w:t>задержаний</w:t>
      </w:r>
      <w:proofErr w:type="spellEnd"/>
      <w:r>
        <w:t xml:space="preserve"> и 17 человек объявлены отсутствующими. </w:t>
      </w:r>
    </w:p>
    <w:p w:rsidR="00000000" w:rsidRDefault="00000000"/>
    <w:p w:rsidR="00000000" w:rsidRDefault="00000000">
      <w:r>
        <w:t>88.</w:t>
      </w:r>
      <w:r>
        <w:tab/>
        <w:t>Для содействия отправлению правосудия по линии Генеральной инспекции Республики осуществляется Программа защиты свидетелей и жертв преступлений, в рамках которой было выделено 822 миллиона песо на защиту 542 человек, выступавших в 2000 году свидетелями по 154 делам.</w:t>
      </w:r>
    </w:p>
    <w:p w:rsidR="00000000" w:rsidRDefault="00000000"/>
    <w:p w:rsidR="00000000" w:rsidRDefault="00000000">
      <w:r>
        <w:t>89.</w:t>
      </w:r>
      <w:r>
        <w:tab/>
        <w:t>Кроме того, с января текущего года Генеральная прокуратура Республики разрабатывает институциональную политику в области защиты прав человека, выдвигая на первый план профилактику преступлений.  Для этой цели совместно с Управлением Верховного комиссара Организации Объединенных Наций по правам человека осуществляется проект, направленный на определение масштабов и содержания концепции профилактики для контрольного органа, каким является прокуратура.  Помимо этого, в масштабах всей страны, по договоренности с Управлением и с другими отечественными и международными структурами, ведется работа по повышению уровня подготовки ее сотрудников по вопросам прав человека и международного гуманитарного права.  Для целей модернизации учреждения изыскиваются средства по линии международного сотрудничества.  Самые серьезные случаи нарушения прав человека принимаются к рассмотрению непосредственно Генеральным прокурором Республики.</w:t>
      </w:r>
    </w:p>
    <w:p w:rsidR="00000000" w:rsidRDefault="00000000"/>
    <w:p w:rsidR="00000000" w:rsidRDefault="00000000">
      <w:r>
        <w:t>90.</w:t>
      </w:r>
      <w:r>
        <w:tab/>
        <w:t xml:space="preserve">Канцелярия </w:t>
      </w:r>
      <w:proofErr w:type="spellStart"/>
      <w:r>
        <w:t>омбудсмена</w:t>
      </w:r>
      <w:proofErr w:type="spellEnd"/>
      <w:r>
        <w:t xml:space="preserve"> работает над Положением об этой должности и стремится обеспечить высокий профессиональный уровень и надлежащее выполнение </w:t>
      </w:r>
      <w:proofErr w:type="spellStart"/>
      <w:r>
        <w:t>омбудсменами</w:t>
      </w:r>
      <w:proofErr w:type="spellEnd"/>
      <w:r>
        <w:t xml:space="preserve"> своих обязанностей.</w:t>
      </w:r>
    </w:p>
    <w:p w:rsidR="00000000" w:rsidRDefault="00000000"/>
    <w:p w:rsidR="00000000" w:rsidRDefault="00000000">
      <w:r>
        <w:t>91.</w:t>
      </w:r>
      <w:r>
        <w:tab/>
        <w:t>Высший совет системы судебных органов страны прилагает усилия к выработке более современного и глубокого подхода к территориальному распределению судов с учетом "географии насилия", с тем чтобы обеспечить необходимое число судей, эффективность судебных расследований и доступность правосудия.</w:t>
      </w:r>
    </w:p>
    <w:p w:rsidR="00000000" w:rsidRDefault="00000000"/>
    <w:p w:rsidR="00000000" w:rsidRDefault="00000000">
      <w:r>
        <w:br w:type="page"/>
        <w:t>92.</w:t>
      </w:r>
      <w:r>
        <w:tab/>
        <w:t>Вопросами совершенствования системы исправительных учреждений и тюрем посредством увеличения количества мест для заключенных и решения проблем управления этими учреждениями занимаются Фонд тюремной инфраструктуры и Совет Национального института по делам пенитенциарных учреждений (ИНПЕК).  Эти же проблемы будет решать и Национальный совет по криминалистической политике.</w:t>
      </w:r>
    </w:p>
    <w:p w:rsidR="00000000" w:rsidRDefault="00000000">
      <w:pPr>
        <w:rPr>
          <w:b/>
        </w:rPr>
      </w:pPr>
    </w:p>
    <w:p w:rsidR="00000000" w:rsidRDefault="00000000">
      <w:r>
        <w:t>93.</w:t>
      </w:r>
      <w:r>
        <w:tab/>
        <w:t>Для снижения перенаселенности мест лишения свободы реализуется План расширения инфраструктуры пенитенциарных учреждений, позволивший в минувшем году ввести в строй две тюрьмы на 3 800 мест.  В дополнение к этому, Национальный совет по вопросам социально-экономической политики (КОНПЕС) одобрил выделение 660 миллиардов песо на строительство еще 11 пенитенциарных центров среднего режима безопасности.  Фонд тюремной инфраструктуры продолжает прилагать конкретные усилия по строительству и модернизации тюрем.  К этому можно добавить работу прокуратуры, в которой заканчивается исследование по проблеме нехватки мест для содержания задержанных в полицейских участках.</w:t>
      </w:r>
    </w:p>
    <w:p w:rsidR="00000000" w:rsidRDefault="00000000"/>
    <w:p w:rsidR="00000000" w:rsidRDefault="00000000">
      <w:r>
        <w:t>94.</w:t>
      </w:r>
      <w:r>
        <w:tab/>
        <w:t xml:space="preserve">Учитывая масштабность и сложность проблем, возникающих в нынешней ситуации, Национальный институт по делам пенитенциарных учреждений (ИНПЕК) совместно с судебными органами направляют все свои усилия на то, чтобы помещать лиц, лишенных свободы в превентивных целях, в предназначенные для этого места заключения, с тем чтобы осужденные содержались отдельно от обвиняемых.  В рамках ИНПЕК был создан Отдел по правам человека, и возросло число периодических проверок с участием Инспекции, Административного управления безопасности (ДАС), Службы технических расследований (CTИ) и полиции для обеспечения контроля за применением в отношении заключенных методов обращения, гарантирующих соблюдение их прав и уважение достоинства задержанных.  Министерство юстиции и ИНПЕК усилили меры контроля за поведением персонала администрации и охраны в целях расследования всех случаев коррупции и вынесения соответствующего наказания.  Ведется работа по созданию Генеральной инспекции ИНПЕК для ускорения дисциплинарных расследований в отношении сотрудников этой организации, а также подразделений разведки и контрразведки внутри ИНПЕК.  Канцелярии </w:t>
      </w:r>
      <w:proofErr w:type="spellStart"/>
      <w:r>
        <w:t>омбудсмена</w:t>
      </w:r>
      <w:proofErr w:type="spellEnd"/>
      <w:r>
        <w:t xml:space="preserve"> оказывается необходимая поддержка в осуществлении специального надзора за условиями задержания и правовым статусом задержанных.</w:t>
      </w:r>
      <w:bookmarkEnd w:id="5"/>
    </w:p>
    <w:p w:rsidR="00000000" w:rsidRDefault="00000000"/>
    <w:p w:rsidR="00000000" w:rsidRDefault="00000000">
      <w:r>
        <w:t>95.</w:t>
      </w:r>
      <w:r>
        <w:tab/>
        <w:t xml:space="preserve">В настоящее время в стадии изучения находится проект нового Пенитенциарного кодекса, отражающего нормы и принципы международного права.  Тем не менее, нельзя не отметить, что проблема заключается в механизмах </w:t>
      </w:r>
      <w:proofErr w:type="spellStart"/>
      <w:r>
        <w:t>имплементации</w:t>
      </w:r>
      <w:proofErr w:type="spellEnd"/>
      <w:r>
        <w:t xml:space="preserve"> норм законодательства, а не в самом содержании нормативных актов.</w:t>
      </w:r>
    </w:p>
    <w:p w:rsidR="00000000" w:rsidRDefault="00000000">
      <w:pPr>
        <w:jc w:val="center"/>
        <w:rPr>
          <w:u w:val="single"/>
        </w:rPr>
      </w:pPr>
      <w:r>
        <w:br w:type="page"/>
      </w:r>
      <w:proofErr w:type="spellStart"/>
      <w:r>
        <w:t>D</w:t>
      </w:r>
      <w:proofErr w:type="spellEnd"/>
      <w:r>
        <w:t>.</w:t>
      </w:r>
      <w:r>
        <w:tab/>
      </w:r>
      <w:r>
        <w:rPr>
          <w:u w:val="single"/>
        </w:rPr>
        <w:t>Конкретные меры, обеспечивающие применение норм международного гуманитарного права</w:t>
      </w:r>
    </w:p>
    <w:p w:rsidR="00000000" w:rsidRDefault="00000000"/>
    <w:p w:rsidR="00000000" w:rsidRDefault="00000000">
      <w:r>
        <w:t>96.</w:t>
      </w:r>
      <w:r>
        <w:tab/>
      </w:r>
      <w:proofErr w:type="spellStart"/>
      <w:r>
        <w:t>Гуманизация</w:t>
      </w:r>
      <w:proofErr w:type="spellEnd"/>
      <w:r>
        <w:t xml:space="preserve"> конфликта является центральной темой переговоров с вооруженными формированиями.  С этой целью правительство страны стремится к подписанию соглашений гуманитарного характера, позволяющих покончить, помимо прочего, с похищениями людей, вымогательством, нападениями на населенные пункты, боевым применением газовых баллонов, и настаивает, при поддержки международного сообщества, на необходимости того, чтобы силы повстанцев соблюдали и применяли нормы международного гуманитарного права, и чтобы проявлялось уважение к гражданскому населению и </w:t>
      </w:r>
      <w:proofErr w:type="spellStart"/>
      <w:r>
        <w:t>некомбатантам</w:t>
      </w:r>
      <w:proofErr w:type="spellEnd"/>
      <w:r>
        <w:t>.  Кроме того, к повстанцам неоднократно обращались с призывом изучить возможность прекращения огня в качестве механизма, обеспечивающего проведение переговоров в более благоприятной обстановке и направленного на защиту населения, страдающего от эскалации конфликта.</w:t>
      </w:r>
    </w:p>
    <w:p w:rsidR="00000000" w:rsidRDefault="00000000"/>
    <w:p w:rsidR="00000000" w:rsidRDefault="00000000">
      <w:r>
        <w:t>97.</w:t>
      </w:r>
      <w:r>
        <w:tab/>
        <w:t xml:space="preserve">Защита несовершеннолетних участников вооруженного конфликта.  В Колумбии сейчас нет ни одного человека в возрасте до 18 лет, который бы выполнял какие-либо функции в вооруженных силах.  Это не только соответствует международным нормативам, но даже превосходит их.  В дополнение к этому осуществляется большая программа содействия детям, выведенным из вооруженного конфликта, которая заключается во всесторонней помощи, реабилитации и </w:t>
      </w:r>
      <w:proofErr w:type="spellStart"/>
      <w:r>
        <w:t>реадаптации</w:t>
      </w:r>
      <w:proofErr w:type="spellEnd"/>
      <w:r>
        <w:t xml:space="preserve">.  Эта политика проводится и координируется Национальным бюро </w:t>
      </w:r>
      <w:proofErr w:type="spellStart"/>
      <w:r>
        <w:t>реадаптации</w:t>
      </w:r>
      <w:proofErr w:type="spellEnd"/>
      <w:r>
        <w:t xml:space="preserve"> и предусматривает участие общественных организаций.  В 2000 году было построено три специализированных центра для детей, являющихся беспризорными и живущих в условиях, опасных для жизни, и началось создание Сети учреждений для помощи несовершеннолетним беспризорным.  Открыто 20 "Домов мира", обеспечивающих возвращение несовершеннолетних к жизни в достойных условиях, и учреждена Программа поддержки семьи, позволяющая вернуть некоторых детей в лоно семьи.  По линии Колумбийского института по вопросам благосостояния семьи (КИВБС) и Программы </w:t>
      </w:r>
      <w:proofErr w:type="spellStart"/>
      <w:r>
        <w:t>реадаптации</w:t>
      </w:r>
      <w:proofErr w:type="spellEnd"/>
      <w:r>
        <w:t xml:space="preserve"> была оказана всесторонняя помощь примерно 400 несовершеннолетним в возрасте от 11 до 18 лет.  С января по июль 2001 года КИВБС через специализированную программу оказал помощь 275 несовершеннолетним, выведенным из вооруженного конфликта.</w:t>
      </w:r>
    </w:p>
    <w:p w:rsidR="00000000" w:rsidRDefault="00000000"/>
    <w:p w:rsidR="00000000" w:rsidRDefault="00000000">
      <w:bookmarkStart w:id="6" w:name="SubtituloL"/>
      <w:r>
        <w:t>98.</w:t>
      </w:r>
      <w:r>
        <w:tab/>
        <w:t xml:space="preserve">Искоренение противопехотных мин.  Выполняя обязательства, принятые в результате подписания Конвенции о запрещении применения, накопления запасов, производства и передачи противопехотных мин и об их уничтожении, правительство </w:t>
      </w:r>
    </w:p>
    <w:p w:rsidR="00000000" w:rsidRDefault="00000000">
      <w:r>
        <w:br w:type="page"/>
        <w:t>страны, еще до официального вступления ее в силу на территории страны, предприняло, по линии министерства обороны, целый ряд действий, направленных на обнаружение и уничтожение противопехотных мин.</w:t>
      </w:r>
    </w:p>
    <w:p w:rsidR="00000000" w:rsidRDefault="00000000">
      <w:pPr>
        <w:rPr>
          <w:b/>
          <w:i/>
        </w:rPr>
      </w:pPr>
    </w:p>
    <w:p w:rsidR="00000000" w:rsidRDefault="00000000">
      <w:r>
        <w:t>99.</w:t>
      </w:r>
      <w:r>
        <w:tab/>
        <w:t>Для эффективного выполнения обязательств, вытекающих из подписания Конвенции</w:t>
      </w:r>
      <w:bookmarkEnd w:id="6"/>
      <w:r>
        <w:t xml:space="preserve">, в рамках Президентской программы по правам человека и международному гуманитарному праву началась реализация Программы предупреждения несчастных случаев, связанных с противопехотными минами, и помощи пострадавшим.  В развитие этой Программы, совместно с отечественными и международными гражданскими организациями, был создан Центр по наблюдению за осуществлением действий против противопехотных мин, где проводится исторический обзор несчастных случаев, связанных с применением этих мин и других взрывных устройств, начиная с 1984 года до настоящего времени.  На первом этапе основное внимание уделяется 16 муниципалитетам в департаментах </w:t>
      </w:r>
      <w:proofErr w:type="spellStart"/>
      <w:r>
        <w:t>Сантандер</w:t>
      </w:r>
      <w:proofErr w:type="spellEnd"/>
      <w:r>
        <w:t xml:space="preserve">, </w:t>
      </w:r>
      <w:proofErr w:type="spellStart"/>
      <w:r>
        <w:t>Антьокия</w:t>
      </w:r>
      <w:proofErr w:type="spellEnd"/>
      <w:r>
        <w:t xml:space="preserve"> и Боливар.  В рамках данной Программы осуществляется Проект оказания комплексной помощи пострадавшим от противопехотных мин в 16 вышеупомянутых муниципалитетах.  На втором этапе проектом будут охвачены еще 16 муниципалитетов в департаментах </w:t>
      </w:r>
      <w:proofErr w:type="spellStart"/>
      <w:r>
        <w:t>Каука</w:t>
      </w:r>
      <w:proofErr w:type="spellEnd"/>
      <w:r>
        <w:t xml:space="preserve">, </w:t>
      </w:r>
      <w:proofErr w:type="spellStart"/>
      <w:r>
        <w:t>Валье-дель-Каука</w:t>
      </w:r>
      <w:proofErr w:type="spellEnd"/>
      <w:r>
        <w:t xml:space="preserve"> и </w:t>
      </w:r>
      <w:proofErr w:type="spellStart"/>
      <w:r>
        <w:t>Антьокия</w:t>
      </w:r>
      <w:proofErr w:type="spellEnd"/>
      <w:r>
        <w:t>.</w:t>
      </w:r>
    </w:p>
    <w:p w:rsidR="00000000" w:rsidRDefault="00000000"/>
    <w:p w:rsidR="00000000" w:rsidRDefault="00000000">
      <w:r>
        <w:t>100.</w:t>
      </w:r>
      <w:r>
        <w:tab/>
        <w:t>Посредством Декрета № 2113 от 8 октября 2001 года была создана Национальная межведомственная комиссия по вопросам борьбы с минами, а также технические комитеты по профилактике и помощи пострадавшим и обозначению минных полей, составлению карт и разминированию.  В дополнение к этому, при поддержке со стороны Международной организации по миграций и Корпорации "Справедливый мир" началась подготовка соответствующей кампании в средствах массовой информации.</w:t>
      </w:r>
    </w:p>
    <w:p w:rsidR="00000000" w:rsidRDefault="00000000"/>
    <w:p w:rsidR="00000000" w:rsidRDefault="00000000">
      <w:r>
        <w:t>101.</w:t>
      </w:r>
      <w:r>
        <w:tab/>
        <w:t>Помимо этого, в ближайшие дни будет обнародована Президентская директива по вопросам поддержки, диалога и сотрудничества с неправительственными организациями, занимающимися гуманитарной деятельности в стране.  В указанной директиве выражается признательность отечественным и зарубежным НПО, помогающим, защищающим и содействующим жертвам стихийных бедствий, внутреннего вооруженного конфликта и других событий, связанных с насилием, и содержатся четкие инструкции государственным служащим, касающиеся активного сотрудничества и необходимой поддержки членам указанных гуманитарных при решении ими задач по оказанию гуманитарной помощи.</w:t>
      </w:r>
    </w:p>
    <w:p w:rsidR="00000000" w:rsidRDefault="00000000"/>
    <w:p w:rsidR="00000000" w:rsidRDefault="00000000">
      <w:r>
        <w:t>102.</w:t>
      </w:r>
      <w:r>
        <w:tab/>
        <w:t xml:space="preserve">Программа </w:t>
      </w:r>
      <w:proofErr w:type="spellStart"/>
      <w:r>
        <w:t>реадаптации</w:t>
      </w:r>
      <w:proofErr w:type="spellEnd"/>
      <w:r>
        <w:t xml:space="preserve"> лиц, оставивших повстанческие формирования, входит в комплекс мероприятий по применению норм международного гуманитарного права и составляет часть усилий, дополняющих мирный процесс.  Она включает индивидуальную экономическую помощь, трудовое обучение, финансирование коллективных производственных проектов и различные формы приобщения к труду.  В настоящее время этой программой охвачены более 5 200 бывших </w:t>
      </w:r>
      <w:proofErr w:type="spellStart"/>
      <w:r>
        <w:t>комбатантов</w:t>
      </w:r>
      <w:proofErr w:type="spellEnd"/>
      <w:r>
        <w:t>.</w:t>
      </w:r>
    </w:p>
    <w:p w:rsidR="00000000" w:rsidRDefault="00000000"/>
    <w:p w:rsidR="00000000" w:rsidRDefault="00000000">
      <w:pPr>
        <w:jc w:val="center"/>
        <w:rPr>
          <w:u w:val="single"/>
        </w:rPr>
      </w:pPr>
      <w:proofErr w:type="spellStart"/>
      <w:r>
        <w:t>E</w:t>
      </w:r>
      <w:proofErr w:type="spellEnd"/>
      <w:r>
        <w:t>.</w:t>
      </w:r>
      <w:r>
        <w:tab/>
      </w:r>
      <w:r>
        <w:rPr>
          <w:u w:val="single"/>
        </w:rPr>
        <w:t>Помощь населению, перемещенному насильственным образом</w:t>
      </w:r>
    </w:p>
    <w:p w:rsidR="00000000" w:rsidRDefault="00000000">
      <w:pPr>
        <w:jc w:val="center"/>
        <w:rPr>
          <w:u w:val="single"/>
        </w:rPr>
      </w:pPr>
    </w:p>
    <w:p w:rsidR="00000000" w:rsidRDefault="00000000">
      <w:r>
        <w:t>103.</w:t>
      </w:r>
      <w:r>
        <w:tab/>
        <w:t>При содействии Сети социальной солидарности происходит укрепление Национальной системы комплексной помощи перемещенному населению, в состав которой входят учреждения, разрабатывающие планы, программы, проекты и мероприятия в этой области.  Именно за счет этого в текущем году возобновилась деятельность Национального совета по вопросам комплексной помощи перемещенному населению в качестве механизма национальной координации, позволившего пересмотреть и принять дополнительные юридические акты, а именно:</w:t>
      </w:r>
    </w:p>
    <w:p w:rsidR="00000000" w:rsidRDefault="00000000"/>
    <w:p w:rsidR="00000000" w:rsidRDefault="00000000">
      <w:pPr>
        <w:ind w:left="1134" w:hanging="567"/>
      </w:pPr>
      <w:proofErr w:type="spellStart"/>
      <w:r>
        <w:t>a</w:t>
      </w:r>
      <w:proofErr w:type="spellEnd"/>
      <w:r>
        <w:t>)</w:t>
      </w:r>
      <w:r>
        <w:tab/>
        <w:t>проект декрета о жилье для перемещенного населения, обеспечивающего преимущественный доступ этого населения к Программе семейных жилищных субсидий;</w:t>
      </w:r>
    </w:p>
    <w:p w:rsidR="00000000" w:rsidRDefault="00000000">
      <w:pPr>
        <w:ind w:left="1134" w:hanging="567"/>
      </w:pPr>
    </w:p>
    <w:p w:rsidR="00000000" w:rsidRDefault="00000000">
      <w:pPr>
        <w:ind w:left="1134" w:hanging="567"/>
      </w:pPr>
      <w:proofErr w:type="spellStart"/>
      <w:r>
        <w:t>b</w:t>
      </w:r>
      <w:proofErr w:type="spellEnd"/>
      <w:r>
        <w:t>)</w:t>
      </w:r>
      <w:r>
        <w:tab/>
        <w:t>проект декрета о выделении земли для перемещенного населения и о замораживании покинутого имущества, изданного под № 2007 в сентябре текущего года;</w:t>
      </w:r>
    </w:p>
    <w:p w:rsidR="00000000" w:rsidRDefault="00000000">
      <w:pPr>
        <w:ind w:left="1134" w:hanging="567"/>
      </w:pPr>
    </w:p>
    <w:p w:rsidR="00000000" w:rsidRDefault="00000000">
      <w:pPr>
        <w:keepLines/>
        <w:ind w:left="1134" w:hanging="567"/>
      </w:pPr>
      <w:proofErr w:type="spellStart"/>
      <w:r>
        <w:t>c</w:t>
      </w:r>
      <w:proofErr w:type="spellEnd"/>
      <w:r>
        <w:t>)</w:t>
      </w:r>
      <w:r>
        <w:tab/>
        <w:t>изучение механизмов освобождения лиц мужского пола из числа перемещенного населения от прохождения обязательной военной службы.  В результате этого введена временная карточка для перемещенных лиц мужского пола.  Вскоре будет обнародовано соответствующее решение министерства обороны;</w:t>
      </w:r>
    </w:p>
    <w:p w:rsidR="00000000" w:rsidRDefault="00000000">
      <w:pPr>
        <w:keepLines/>
        <w:ind w:left="1134" w:hanging="567"/>
      </w:pPr>
    </w:p>
    <w:p w:rsidR="00000000" w:rsidRDefault="00000000">
      <w:pPr>
        <w:ind w:left="1134" w:hanging="567"/>
      </w:pPr>
      <w:proofErr w:type="spellStart"/>
      <w:r>
        <w:t>d</w:t>
      </w:r>
      <w:proofErr w:type="spellEnd"/>
      <w:r>
        <w:t>)</w:t>
      </w:r>
      <w:r>
        <w:tab/>
        <w:t>подготовка документа КОНПЕС №  3115 от мая 2001 года, в котором утверждено отраслевое распределение бюджетных средств для выполнения Плана мероприятий;</w:t>
      </w:r>
    </w:p>
    <w:p w:rsidR="00000000" w:rsidRDefault="00000000">
      <w:pPr>
        <w:ind w:left="1134" w:hanging="567"/>
      </w:pPr>
    </w:p>
    <w:p w:rsidR="00000000" w:rsidRDefault="00000000">
      <w:pPr>
        <w:ind w:left="1134" w:hanging="567"/>
      </w:pPr>
      <w:proofErr w:type="spellStart"/>
      <w:r>
        <w:t>e</w:t>
      </w:r>
      <w:proofErr w:type="spellEnd"/>
      <w:r>
        <w:t>)</w:t>
      </w:r>
      <w:r>
        <w:tab/>
        <w:t>утверждение Национального плана комплексной помощи перемещенному населению, изменяющего Декрет № 173 от 1998 года.  Декрет с этим планом подготовлен для утверждения президентом;</w:t>
      </w:r>
    </w:p>
    <w:p w:rsidR="00000000" w:rsidRDefault="00000000">
      <w:pPr>
        <w:ind w:left="1134" w:hanging="567"/>
      </w:pPr>
    </w:p>
    <w:p w:rsidR="00000000" w:rsidRDefault="00000000">
      <w:pPr>
        <w:ind w:left="1134" w:hanging="567"/>
      </w:pPr>
      <w:r>
        <w:br w:type="page"/>
      </w:r>
      <w:proofErr w:type="spellStart"/>
      <w:r>
        <w:t>f</w:t>
      </w:r>
      <w:proofErr w:type="spellEnd"/>
      <w:r>
        <w:t>)</w:t>
      </w:r>
      <w:r>
        <w:tab/>
        <w:t>проект декрета о преимущественных возможностях получения образования для лиц из числа перемещенного населения, который в настоящее время находится на этапе подписания соответствующими министрами перед его утверждением президентом Республики;</w:t>
      </w:r>
    </w:p>
    <w:p w:rsidR="00000000" w:rsidRDefault="00000000">
      <w:pPr>
        <w:ind w:left="1134" w:hanging="567"/>
      </w:pPr>
    </w:p>
    <w:p w:rsidR="00000000" w:rsidRDefault="00000000">
      <w:pPr>
        <w:ind w:left="1134" w:hanging="567"/>
      </w:pPr>
      <w:r>
        <w:rPr>
          <w:lang w:val="en-US"/>
        </w:rPr>
        <w:t>g</w:t>
      </w:r>
      <w:r>
        <w:t>)</w:t>
      </w:r>
      <w:r>
        <w:tab/>
        <w:t>проект президентской директивы по усилению комплексной помощи перемещенному населению; подлежит утверждению президентом.</w:t>
      </w:r>
    </w:p>
    <w:p w:rsidR="00000000" w:rsidRDefault="00000000">
      <w:pPr>
        <w:ind w:left="1134" w:hanging="567"/>
      </w:pPr>
    </w:p>
    <w:p w:rsidR="00000000" w:rsidRDefault="00000000">
      <w:r>
        <w:t>104.</w:t>
      </w:r>
      <w:r>
        <w:tab/>
        <w:t>Сеть социальной солидарности выступает за модель децентрализации Системы посредством укрепления муниципальных, окружных и районных комитетов по комплексной помощи перемещенному населению, организации постоянных комиссий по работе с перемещенным населением, в рамках проекта, финансируемого Управлением Верховного комиссара Организации Объединенных Наций по делам беженцев, а также разработки материалов, облегчающих принятие решений на территориальном уровне, таких, как Руководство по оказанию комплексной помощи насильственно перемещенному населению.</w:t>
      </w:r>
    </w:p>
    <w:p w:rsidR="00000000" w:rsidRDefault="00000000"/>
    <w:p w:rsidR="00000000" w:rsidRDefault="00000000">
      <w:r>
        <w:t>105.</w:t>
      </w:r>
      <w:r>
        <w:tab/>
        <w:t xml:space="preserve">Для помощи отдельным перемещенным лицам и семьям, направляющимся в города, где находится значительный процент перемещенного населения, созданы отделения помощи и ориентации (ОПО) из представителей государственной прокуратуры, Сети солидарности, муниципалитета, департамента и соответствующей неправительственной организации.  В настоящее время отделения помощи и ориентации функционируют в городах </w:t>
      </w:r>
      <w:proofErr w:type="spellStart"/>
      <w:r>
        <w:t>Барранкилья</w:t>
      </w:r>
      <w:proofErr w:type="spellEnd"/>
      <w:r>
        <w:t xml:space="preserve">, Богота, </w:t>
      </w:r>
      <w:proofErr w:type="spellStart"/>
      <w:r>
        <w:t>Картахена</w:t>
      </w:r>
      <w:proofErr w:type="spellEnd"/>
      <w:r>
        <w:t xml:space="preserve">, </w:t>
      </w:r>
      <w:proofErr w:type="spellStart"/>
      <w:r>
        <w:t>Вальедупар</w:t>
      </w:r>
      <w:proofErr w:type="spellEnd"/>
      <w:r>
        <w:t xml:space="preserve">, </w:t>
      </w:r>
      <w:proofErr w:type="spellStart"/>
      <w:r>
        <w:t>Соача</w:t>
      </w:r>
      <w:proofErr w:type="spellEnd"/>
      <w:r>
        <w:t xml:space="preserve">, Санта-Марта, </w:t>
      </w:r>
      <w:proofErr w:type="spellStart"/>
      <w:r>
        <w:t>Вильявисенсьо</w:t>
      </w:r>
      <w:proofErr w:type="spellEnd"/>
      <w:r>
        <w:t xml:space="preserve">, </w:t>
      </w:r>
      <w:proofErr w:type="spellStart"/>
      <w:r>
        <w:t>Букараманга</w:t>
      </w:r>
      <w:proofErr w:type="spellEnd"/>
      <w:r>
        <w:t xml:space="preserve"> и </w:t>
      </w:r>
      <w:proofErr w:type="spellStart"/>
      <w:r>
        <w:t>Синселехо</w:t>
      </w:r>
      <w:proofErr w:type="spellEnd"/>
      <w:r>
        <w:t>.</w:t>
      </w:r>
    </w:p>
    <w:p w:rsidR="00000000" w:rsidRDefault="00000000"/>
    <w:p w:rsidR="00000000" w:rsidRDefault="00000000">
      <w:r>
        <w:t>106.</w:t>
      </w:r>
      <w:r>
        <w:tab/>
        <w:t xml:space="preserve">Сетью солидарности была разработана стратегия управления ресурсами с делегированием полномочий, которая позволяет координировать действия с неправительственной организацией, имеющей опыт работы с перемещенным населением, и обеспечивает комплексный характер помощи.  По этой схеме ведется работа в следующих городах и районах: </w:t>
      </w:r>
      <w:proofErr w:type="spellStart"/>
      <w:r>
        <w:t>Барранкилья</w:t>
      </w:r>
      <w:proofErr w:type="spellEnd"/>
      <w:r>
        <w:t xml:space="preserve">, Богота, </w:t>
      </w:r>
      <w:proofErr w:type="spellStart"/>
      <w:r>
        <w:t>Маганге</w:t>
      </w:r>
      <w:proofErr w:type="spellEnd"/>
      <w:r>
        <w:t xml:space="preserve">, </w:t>
      </w:r>
      <w:proofErr w:type="spellStart"/>
      <w:r>
        <w:t>Картахена</w:t>
      </w:r>
      <w:proofErr w:type="spellEnd"/>
      <w:r>
        <w:t xml:space="preserve">, </w:t>
      </w:r>
      <w:proofErr w:type="spellStart"/>
      <w:r>
        <w:t>Монтес-де-Мария</w:t>
      </w:r>
      <w:proofErr w:type="spellEnd"/>
      <w:r>
        <w:t xml:space="preserve">, Северный Боливар, </w:t>
      </w:r>
      <w:proofErr w:type="spellStart"/>
      <w:r>
        <w:t>Флоренсия</w:t>
      </w:r>
      <w:proofErr w:type="spellEnd"/>
      <w:r>
        <w:t xml:space="preserve">, </w:t>
      </w:r>
      <w:proofErr w:type="spellStart"/>
      <w:r>
        <w:t>Вальедупар</w:t>
      </w:r>
      <w:proofErr w:type="spellEnd"/>
      <w:r>
        <w:t xml:space="preserve">, </w:t>
      </w:r>
      <w:proofErr w:type="spellStart"/>
      <w:r>
        <w:t>Кибдо</w:t>
      </w:r>
      <w:proofErr w:type="spellEnd"/>
      <w:r>
        <w:t xml:space="preserve">, </w:t>
      </w:r>
      <w:proofErr w:type="spellStart"/>
      <w:r>
        <w:t>Соача</w:t>
      </w:r>
      <w:proofErr w:type="spellEnd"/>
      <w:r>
        <w:t xml:space="preserve">, департамент </w:t>
      </w:r>
      <w:proofErr w:type="spellStart"/>
      <w:r>
        <w:t>Кундинамарка</w:t>
      </w:r>
      <w:proofErr w:type="spellEnd"/>
      <w:r>
        <w:t xml:space="preserve">, департаменты "Кофейной оси", </w:t>
      </w:r>
      <w:proofErr w:type="spellStart"/>
      <w:r>
        <w:t>Вильявисенсьо</w:t>
      </w:r>
      <w:proofErr w:type="spellEnd"/>
      <w:r>
        <w:t xml:space="preserve">, </w:t>
      </w:r>
      <w:proofErr w:type="spellStart"/>
      <w:r>
        <w:t>Барранкабермеха</w:t>
      </w:r>
      <w:proofErr w:type="spellEnd"/>
      <w:r>
        <w:t xml:space="preserve">, </w:t>
      </w:r>
      <w:proofErr w:type="spellStart"/>
      <w:r>
        <w:t>Букараманга</w:t>
      </w:r>
      <w:proofErr w:type="spellEnd"/>
      <w:r>
        <w:t xml:space="preserve">, Кали, </w:t>
      </w:r>
      <w:proofErr w:type="spellStart"/>
      <w:r>
        <w:t>Кукута</w:t>
      </w:r>
      <w:proofErr w:type="spellEnd"/>
      <w:r>
        <w:t xml:space="preserve">, </w:t>
      </w:r>
      <w:proofErr w:type="spellStart"/>
      <w:r>
        <w:t>Медельин</w:t>
      </w:r>
      <w:proofErr w:type="spellEnd"/>
      <w:r>
        <w:t xml:space="preserve">, </w:t>
      </w:r>
      <w:proofErr w:type="spellStart"/>
      <w:r>
        <w:t>Монтерия</w:t>
      </w:r>
      <w:proofErr w:type="spellEnd"/>
      <w:r>
        <w:t xml:space="preserve">, Санта-Марта, </w:t>
      </w:r>
      <w:proofErr w:type="spellStart"/>
      <w:r>
        <w:t>Пасто</w:t>
      </w:r>
      <w:proofErr w:type="spellEnd"/>
      <w:r>
        <w:t xml:space="preserve">, </w:t>
      </w:r>
      <w:proofErr w:type="spellStart"/>
      <w:r>
        <w:t>Синселехо</w:t>
      </w:r>
      <w:proofErr w:type="spellEnd"/>
      <w:r>
        <w:t xml:space="preserve"> и </w:t>
      </w:r>
      <w:proofErr w:type="spellStart"/>
      <w:r>
        <w:t>Ибаге</w:t>
      </w:r>
      <w:proofErr w:type="spellEnd"/>
      <w:r>
        <w:t>.</w:t>
      </w:r>
    </w:p>
    <w:p w:rsidR="00000000" w:rsidRDefault="00000000"/>
    <w:p w:rsidR="00000000" w:rsidRDefault="00000000">
      <w:r>
        <w:t>107.</w:t>
      </w:r>
      <w:r>
        <w:tab/>
        <w:t xml:space="preserve">Сеть социальной солидарности способствовала разработке комитетами в муниципалитетах, округах и департаментах планов чрезвычайного реагирования, учитывающих местные особенности и реалии.  Эти планы помогают облегчить страдания </w:t>
      </w:r>
    </w:p>
    <w:p w:rsidR="00000000" w:rsidRDefault="00000000">
      <w:r>
        <w:br w:type="page"/>
        <w:t>людей, вызванные вынужденным переселением, и являются для структур, занимающихся этими проблемами, инструментом, позволяющим решать их более организованно и эффективно.</w:t>
      </w:r>
    </w:p>
    <w:p w:rsidR="00000000" w:rsidRDefault="00000000"/>
    <w:p w:rsidR="00000000" w:rsidRDefault="00000000">
      <w:r>
        <w:t>108.</w:t>
      </w:r>
      <w:r>
        <w:tab/>
        <w:t>В период с января 2000 по июнь 2001 года Сеть социальной солидарности повысила возможности Национальной информационной сети за счет укрепления двух ее подсистем: Единого регистра перемещенного населения и Системы оценки вынужденного перемещения по контрастным источникам для получения информации о масштабах перемещения населения, о характере групп перемещенного населения, о том, какие территории покинуло это население, о причинах и предполагаемых виновниках перемещения.  Такая информация необходима в качестве базы для разработки планов, программ и проектов оказания помощи, а также для ее отслеживания и переориентации.  В течение первой половины 2001 года Сеть провела массовую рассылку форматов для регистрации информации, а во втором полугодии начала организовывать по всей стране курсы подготовки для представителей государственной прокуратуры.</w:t>
      </w:r>
    </w:p>
    <w:p w:rsidR="00000000" w:rsidRDefault="00000000"/>
    <w:p w:rsidR="00000000" w:rsidRDefault="00000000">
      <w:r>
        <w:t>109.</w:t>
      </w:r>
      <w:r>
        <w:tab/>
        <w:t>В рамках работы по предотвращению внутреннего перемещения населения, проводятся гуманитарные миссии.  Под этим понимаются выезды для ознакомления, наблюдения и проверки ситуаций, представляющих опасность или связанных с нарушением прав человека местных жителей, для поддержки населения, которому угрожает опасность, для привлечения к нему внимания, а также для его защиты и помощи ему со стороны различных ведомств.</w:t>
      </w:r>
    </w:p>
    <w:p w:rsidR="00000000" w:rsidRDefault="00000000"/>
    <w:p w:rsidR="00000000" w:rsidRDefault="00000000">
      <w:r>
        <w:t>110.</w:t>
      </w:r>
      <w:r>
        <w:tab/>
        <w:t>По линии международного сотрудничества Сеть объединилась в союзы с различными учреждениями Организации Объединенных Наций, направленные на укрепление Национальной системы помощи.</w:t>
      </w:r>
    </w:p>
    <w:p w:rsidR="00000000" w:rsidRDefault="00000000"/>
    <w:p w:rsidR="00000000" w:rsidRDefault="00000000">
      <w:r>
        <w:t>111.</w:t>
      </w:r>
      <w:r>
        <w:tab/>
        <w:t>Из результатов этой стратегии, полученных в период с января 2000 по июнь 2001 года, можно отметить следующие:</w:t>
      </w:r>
    </w:p>
    <w:p w:rsidR="00000000" w:rsidRDefault="00000000"/>
    <w:p w:rsidR="00000000" w:rsidRDefault="00000000">
      <w:pPr>
        <w:ind w:left="1134" w:hanging="567"/>
      </w:pPr>
      <w:proofErr w:type="spellStart"/>
      <w:r>
        <w:t>a</w:t>
      </w:r>
      <w:proofErr w:type="spellEnd"/>
      <w:r>
        <w:t>)</w:t>
      </w:r>
      <w:r>
        <w:tab/>
        <w:t xml:space="preserve">по линии предотвращения вынужденного перемещения населения Сеть социальной солидарности и другие структуры осуществляли на местном уровне производственные проекты и проекты содействия мирному совместному проживанию, ориентированные на экономическое и социальное оздоровление и укрепление наиболее беззащитных общин.  Кроме того, реализуются пять специальных проектов социально-психологической помощи в городе Богота, муниципалитете </w:t>
      </w:r>
      <w:proofErr w:type="spellStart"/>
      <w:r>
        <w:t>Усме</w:t>
      </w:r>
      <w:proofErr w:type="spellEnd"/>
      <w:r>
        <w:t xml:space="preserve"> в </w:t>
      </w:r>
      <w:proofErr w:type="spellStart"/>
      <w:r>
        <w:t>Кундинамарка</w:t>
      </w:r>
      <w:proofErr w:type="spellEnd"/>
      <w:r>
        <w:t xml:space="preserve">, и в департаментах </w:t>
      </w:r>
      <w:proofErr w:type="spellStart"/>
      <w:r>
        <w:t>Атлантико</w:t>
      </w:r>
      <w:proofErr w:type="spellEnd"/>
      <w:r>
        <w:t xml:space="preserve">, </w:t>
      </w:r>
      <w:proofErr w:type="spellStart"/>
      <w:r>
        <w:t>Сантандер</w:t>
      </w:r>
      <w:proofErr w:type="spellEnd"/>
      <w:r>
        <w:t xml:space="preserve">, </w:t>
      </w:r>
      <w:proofErr w:type="spellStart"/>
      <w:r>
        <w:t>Какета</w:t>
      </w:r>
      <w:proofErr w:type="spellEnd"/>
      <w:r>
        <w:t xml:space="preserve">, </w:t>
      </w:r>
      <w:proofErr w:type="spellStart"/>
      <w:r>
        <w:t>Чоко</w:t>
      </w:r>
      <w:proofErr w:type="spellEnd"/>
      <w:r>
        <w:t xml:space="preserve"> и Боливар.  В то же время, в рамках Программы комплексной помощи муниципалитетам, пострадавшим от политического насилия в Колумбии, была оказана поддержка гражданскому населению, ставшему жертвой массовых убийств, захватов муниципалитетов, посягательств на жизнь и здоровье и боевых действий, являющихся следствием вооруженного конфликта, при этом удалось в значительной мере избежать массового перемещения населения, поскольку помощь оказывается непосредственно в том месте, которое пострадало.  Помимо этого, данная Программа занимается строительством и восстановлением пострадавших населенных пунктов.  В течение рассматриваемого периода освоено более 36 миллиардов песо, из которых 34 255 миллионов выделено по линии Сети социальной солидарности для предотвращения перемещения населения, при этом помощь была оказана 12</w:t>
      </w:r>
      <w:r>
        <w:rPr>
          <w:lang w:val="en-US"/>
        </w:rPr>
        <w:t> </w:t>
      </w:r>
      <w:r>
        <w:t>245 семьям;</w:t>
      </w:r>
    </w:p>
    <w:p w:rsidR="00000000" w:rsidRDefault="00000000">
      <w:pPr>
        <w:ind w:left="1134" w:hanging="567"/>
      </w:pPr>
    </w:p>
    <w:p w:rsidR="00000000" w:rsidRDefault="00000000">
      <w:pPr>
        <w:ind w:left="1134" w:hanging="567"/>
      </w:pPr>
      <w:proofErr w:type="spellStart"/>
      <w:r>
        <w:t>b</w:t>
      </w:r>
      <w:proofErr w:type="spellEnd"/>
      <w:r>
        <w:t>)</w:t>
      </w:r>
      <w:r>
        <w:tab/>
        <w:t>по линии гуманитарной помощи деятельность Сети социальной солидарности осуществляется в различных формах, в зависимости от динамики и масштабов ситуации.  В случае индивидуальных перемещений отдельных лиц, в основных городах, куда они направляются, оказывается помощь силами действующих НПО по схеме управления с делегированием полномочий.  В других местах случаями индивидуальных перемещений занимаются непосредственно территориальные подразделения этой структуры.  Наконец, случаями массового перемещения населения занимаются территориальные подразделения во взаимодействии с другими структурами системы.  С января 2000 по июнь 2001 года была оказана помощь примерно 31 209 семьям, при этом затраты составили  30 миллиардов песо, из которых 26 500 миллионов были предоставлены Сетью социальной солидарности;</w:t>
      </w:r>
    </w:p>
    <w:p w:rsidR="00000000" w:rsidRDefault="00000000">
      <w:pPr>
        <w:ind w:left="1134" w:hanging="567"/>
      </w:pPr>
    </w:p>
    <w:p w:rsidR="00000000" w:rsidRDefault="00000000">
      <w:pPr>
        <w:ind w:left="1134" w:hanging="567"/>
      </w:pPr>
      <w:proofErr w:type="spellStart"/>
      <w:r>
        <w:t>c</w:t>
      </w:r>
      <w:proofErr w:type="spellEnd"/>
      <w:r>
        <w:t>)</w:t>
      </w:r>
      <w:r>
        <w:tab/>
        <w:t>по линии восстановления, предусматривающего проекты, порождающие доходы, проекты жилищного строительства и подготовку рабочей силы, вложение средств Сети социальной солидарности и дополнительное финансирование составили 33 190 миллионов песо, что позволило помочь более чем 14 500 семьям;</w:t>
      </w:r>
    </w:p>
    <w:p w:rsidR="00000000" w:rsidRDefault="00000000">
      <w:pPr>
        <w:ind w:left="1134" w:hanging="567"/>
      </w:pPr>
    </w:p>
    <w:p w:rsidR="00000000" w:rsidRDefault="00000000">
      <w:pPr>
        <w:ind w:left="1134" w:hanging="567"/>
      </w:pPr>
      <w:proofErr w:type="spellStart"/>
      <w:r>
        <w:t>d</w:t>
      </w:r>
      <w:proofErr w:type="spellEnd"/>
      <w:r>
        <w:t>)</w:t>
      </w:r>
      <w:r>
        <w:tab/>
        <w:t>по линии совершенствования институциональных механизмов было выделено 4 839 миллионов песо, из которых 3 489 миллионов предоставлены Сетью социальной солидарности.</w:t>
      </w:r>
    </w:p>
    <w:p w:rsidR="00000000" w:rsidRDefault="00000000">
      <w:pPr>
        <w:ind w:left="1134" w:hanging="567"/>
      </w:pPr>
    </w:p>
    <w:p w:rsidR="00000000" w:rsidRDefault="00000000">
      <w:r>
        <w:t>112.</w:t>
      </w:r>
      <w:r>
        <w:tab/>
        <w:t>В целом, в период с января 2000 по июнь 2001 года Сеть социальной солидарности выделила 84 242 миллионов песо; общая сумма средств внутреннего и внешнего дополнительного финансирования составила 19 633 миллионов песо, а итоговая сумма - 103 876 миллионов песо.</w:t>
      </w:r>
    </w:p>
    <w:p w:rsidR="00000000" w:rsidRDefault="00000000">
      <w:r>
        <w:br w:type="page"/>
        <w:t>113.</w:t>
      </w:r>
      <w:r>
        <w:tab/>
        <w:t>В дополнение к вышеизложенному, в период с июля по сентябрь 2001 года Проектный комитет Сети социальной солидарности выделил 21 872 миллионов песо на поддержку восстановления 15 971 жилища, а также 178 237 592 песо на совершенствование институциональных мероприятий.  Кроме того, предусматривается выделение 13 112 миллионов на оказание экстренной гуманитарной помощи</w:t>
      </w:r>
      <w:bookmarkStart w:id="7" w:name="SubtituloK"/>
      <w:r>
        <w:t xml:space="preserve"> 7 700 семьям.</w:t>
      </w:r>
    </w:p>
    <w:p w:rsidR="00000000" w:rsidRDefault="00000000"/>
    <w:p w:rsidR="00000000" w:rsidRDefault="00000000">
      <w:pPr>
        <w:jc w:val="center"/>
        <w:rPr>
          <w:u w:val="single"/>
        </w:rPr>
      </w:pPr>
      <w:bookmarkStart w:id="8" w:name="_Toc511097883"/>
      <w:bookmarkStart w:id="9" w:name="_Toc511101338"/>
      <w:bookmarkEnd w:id="7"/>
      <w:proofErr w:type="spellStart"/>
      <w:r>
        <w:t>F</w:t>
      </w:r>
      <w:proofErr w:type="spellEnd"/>
      <w:r>
        <w:t>.</w:t>
      </w:r>
      <w:r>
        <w:tab/>
      </w:r>
      <w:r>
        <w:rPr>
          <w:u w:val="single"/>
        </w:rPr>
        <w:t>Законодательные меры</w:t>
      </w:r>
      <w:bookmarkEnd w:id="8"/>
      <w:bookmarkEnd w:id="9"/>
    </w:p>
    <w:p w:rsidR="00000000" w:rsidRDefault="00000000">
      <w:pPr>
        <w:jc w:val="center"/>
      </w:pPr>
    </w:p>
    <w:p w:rsidR="00000000" w:rsidRDefault="00000000">
      <w:pPr>
        <w:rPr>
          <w:u w:val="single"/>
        </w:rPr>
      </w:pPr>
      <w:r>
        <w:rPr>
          <w:u w:val="single"/>
        </w:rPr>
        <w:t>Квалификация преступлений, связанных с геноцидом, насильственным исчезновением, принудительным перемещением и пытками - Закон № 589 от 2000 года</w:t>
      </w:r>
    </w:p>
    <w:p w:rsidR="00000000" w:rsidRDefault="00000000"/>
    <w:p w:rsidR="00000000" w:rsidRDefault="00000000">
      <w:r>
        <w:t>114.</w:t>
      </w:r>
      <w:r>
        <w:tab/>
        <w:t xml:space="preserve">6 июля 2000 года Президент </w:t>
      </w:r>
      <w:proofErr w:type="spellStart"/>
      <w:r>
        <w:t>Андрес</w:t>
      </w:r>
      <w:proofErr w:type="spellEnd"/>
      <w:r>
        <w:t xml:space="preserve"> </w:t>
      </w:r>
      <w:proofErr w:type="spellStart"/>
      <w:r>
        <w:t>Пастрана</w:t>
      </w:r>
      <w:proofErr w:type="spellEnd"/>
      <w:r>
        <w:t xml:space="preserve"> утвердил Закон № 589, посредством которого геноцид, насильственное исчезновение, принудительное перемещение и пытки квалифицируются в качестве преступления.  Закон содержит очень важные положения по обеспечению соблюдения в стране прав человека.</w:t>
      </w:r>
    </w:p>
    <w:p w:rsidR="00000000" w:rsidRDefault="00000000"/>
    <w:p w:rsidR="00000000" w:rsidRDefault="00000000">
      <w:r>
        <w:t>115.</w:t>
      </w:r>
      <w:r>
        <w:tab/>
        <w:t xml:space="preserve">Речь идет о законе, имеющем огромное значение, поскольку он способствует созданию необходимых правовых условий для эффективной защиты прав человека, борьбы с безнаказанностью и для укрепления правового государства. </w:t>
      </w:r>
    </w:p>
    <w:p w:rsidR="00000000" w:rsidRDefault="00000000"/>
    <w:p w:rsidR="00000000" w:rsidRDefault="00000000">
      <w:r>
        <w:t>116.</w:t>
      </w:r>
      <w:r>
        <w:tab/>
        <w:t>Закон является исключительно важным шагом для развития и проведения политики поощрения, уважения и гарантирования прав человека и применения норм международного гуманитарного права.  Он свидетельствует о твердой решимости Администрации заниматься решением этих проблем, которым она уделяла первостепенное внимание с момента прихода к руководству.  Закон учитывает рекомендации, сформулированные международным сообществом.</w:t>
      </w:r>
    </w:p>
    <w:p w:rsidR="00000000" w:rsidRDefault="00000000"/>
    <w:p w:rsidR="00000000" w:rsidRDefault="00000000">
      <w:r>
        <w:t>117.</w:t>
      </w:r>
      <w:r>
        <w:tab/>
        <w:t>Закон квалифицирует преступления, связанные с насильственным исчезновением, геноцидом и принудительным перемещением населения, а также содержит определение пытки и предусматривает более суровое наказание за совершение такого преступления.  Кроме того, он определяет эти преступления как относящиеся к самым тяжким разновидностям преступлений по сговору, подстрекательства к совершению преступлений и пособничества им.  Более того, им предусматриваются важные меры в области криминалистической политики для работы по этим преступлениям, такие как создание специальных рабочих групп по исчезнувшим лицам, их учет в масштабах страны, управление их имуществом, постоянная обязанность государства искать этих людей, учет пойманных и задержанных лиц, механизм экстренного поиска и запрещение амнистии или помилования в отношении лиц, совершивших преступления, перечисленные в упомянутом Законе.</w:t>
      </w:r>
    </w:p>
    <w:p w:rsidR="00000000" w:rsidRDefault="00000000">
      <w:r>
        <w:br w:type="page"/>
        <w:t>118.</w:t>
      </w:r>
      <w:r>
        <w:tab/>
        <w:t>Описание такого вида уголовно наказуемого деяния, как насильственное исчезновение, предусматривает возможность того, что исполнителями преступления могут быть государственные служащие, частные лица, действующие с санкции или одобрения последних, частные лица, принадлежащие к вооруженным группам, или любое частное лицо.  Эта дифференциация субъектов соответствует реально совершаемым преступлениям и в то же время отвечает нормам международного права, требующим четкого указания конкретных субъектов.</w:t>
      </w:r>
    </w:p>
    <w:p w:rsidR="00000000" w:rsidRDefault="00000000"/>
    <w:p w:rsidR="00000000" w:rsidRDefault="00000000">
      <w:r>
        <w:t>119.</w:t>
      </w:r>
      <w:r>
        <w:tab/>
        <w:t>Межамериканская конвенция о насильственном исчезновении лиц от 9 июня 1994 года, аналогично Декларации Генеральной Ассамблеи Организации Объединенных Наций о защите всех лиц от насильственных исчезновений от 18 декабря 1992 года, ограничила круг таких виновных представителями государственных органов и связанными с ними частными лицами.  Закон, принятый в Колумбии, идет дальше, включая дифференциацию исполнителей, упомянутую выше.</w:t>
      </w:r>
    </w:p>
    <w:p w:rsidR="00000000" w:rsidRDefault="00000000"/>
    <w:p w:rsidR="00000000" w:rsidRDefault="00000000">
      <w:r>
        <w:t>120.</w:t>
      </w:r>
      <w:r>
        <w:tab/>
        <w:t>Другие аспекты международных норм относительно насильственного исчезновения лиц включены в общий Уголовный кодекс и в Военный уголовный кодекс (последний вступил в силу в августе 2000 года).  Действительно, исключение насильственного исчезновения из военной юрисдикции - вместе с такими преступлениями, как геноцид и пытки - стало объектом регулирования.</w:t>
      </w:r>
    </w:p>
    <w:p w:rsidR="00000000" w:rsidRDefault="00000000"/>
    <w:p w:rsidR="00000000" w:rsidRDefault="00000000">
      <w:r>
        <w:t>121.</w:t>
      </w:r>
      <w:r>
        <w:tab/>
        <w:t>Положения, содержащиеся в указанном Законе, дополняют Уголовный кодекс.  Пытки как вид преступления определяются следующим образом:</w:t>
      </w:r>
    </w:p>
    <w:p w:rsidR="00000000" w:rsidRDefault="00000000"/>
    <w:p w:rsidR="00000000" w:rsidRDefault="00000000">
      <w:pPr>
        <w:ind w:left="567"/>
      </w:pPr>
      <w:r>
        <w:tab/>
        <w:t>"</w:t>
      </w:r>
      <w:r>
        <w:rPr>
          <w:u w:val="single"/>
        </w:rPr>
        <w:t>Статья 279</w:t>
      </w:r>
      <w:r>
        <w:t>.  Пытка.  Тот, кто причиняет какому-либо лицу боль или жестокое страдание, физическое или нравственное, с целью получить от него или от третьего лица сведения или признание, наказать его за поступок, который это лицо совершило или в совершении которого оно подозревается, либо запугать или принудить его, по какой бы то ни было причине, связанной с дискриминацией любого рода, наказывается тюремным заключением на срок от 8 до 15 лет, штрафом от 800 до 2 000 минимальных окладов, установленных действующим законом, и поражением в правах, включая право занимать государственные должности, на срок, равный сроку лишения свободы.</w:t>
      </w:r>
    </w:p>
    <w:p w:rsidR="00000000" w:rsidRDefault="00000000">
      <w:pPr>
        <w:ind w:left="567"/>
      </w:pPr>
    </w:p>
    <w:p w:rsidR="00000000" w:rsidRDefault="00000000">
      <w:pPr>
        <w:ind w:left="567"/>
      </w:pPr>
      <w:r>
        <w:tab/>
        <w:t>То же самое наказание применяется в отношении лица, которое причиняет жестокие физические страдания в целях, отличающихся от упомянутых в предыдущем абзаце.</w:t>
      </w:r>
    </w:p>
    <w:p w:rsidR="00000000" w:rsidRDefault="00000000">
      <w:pPr>
        <w:ind w:left="567"/>
      </w:pPr>
    </w:p>
    <w:p w:rsidR="00000000" w:rsidRDefault="00000000">
      <w:pPr>
        <w:ind w:left="567"/>
      </w:pPr>
      <w:r>
        <w:tab/>
        <w:t>Не считается пыткой боль или страдание, вызванные только законными наказаниями, или являющиеся их нормальным или непредвиденным последствием".</w:t>
      </w:r>
    </w:p>
    <w:p w:rsidR="00000000" w:rsidRDefault="00000000"/>
    <w:p w:rsidR="00000000" w:rsidRDefault="00000000">
      <w:r>
        <w:t>122.</w:t>
      </w:r>
      <w:r>
        <w:tab/>
        <w:t>Следует также отметить, что в соответствии со статьей 14 упомянутого Закона в отношении перечисленных в нем преступлений, среди которых, как уже указывалось, фигурирует и пытка, не применяется амнистия или помилование.  Рассмотрение дел по этим преступлениям входит в компетенцию гражданской юстиции и осуществляется главным судьей по уголовным делам округа.</w:t>
      </w:r>
    </w:p>
    <w:p w:rsidR="00000000" w:rsidRDefault="00000000"/>
    <w:p w:rsidR="00000000" w:rsidRDefault="00000000">
      <w:pPr>
        <w:rPr>
          <w:u w:val="single"/>
        </w:rPr>
      </w:pPr>
      <w:r>
        <w:rPr>
          <w:u w:val="single"/>
        </w:rPr>
        <w:t>Реформа системы военной уголовной юстиции - Закон № 522 от 12 августа 1999 года</w:t>
      </w:r>
    </w:p>
    <w:p w:rsidR="00000000" w:rsidRDefault="00000000"/>
    <w:p w:rsidR="00000000" w:rsidRDefault="00000000">
      <w:r>
        <w:t>123.</w:t>
      </w:r>
      <w:r>
        <w:tab/>
        <w:t>Новый Военный уголовный кодекс более четко очерчивает соответствующую сферу компетенции и определяет преступления, связанные со службой, с целью предоставить в распоряжение судей руководство, позволяющее безошибочно установить, подпадает ли то или иное преступление под юрисдикцию их суда.  Из военной уголовной юрисдикции полностью исключены такие преступления, как пытки, геноцид и насильственное исчезновение, поскольку считается, что они никоим образом не связаны со службой.  Аналогичным образом, органам военной уголовной юстиции запрещается производить расследование и рассматривать дела в отношении гражданских лиц.</w:t>
      </w:r>
    </w:p>
    <w:p w:rsidR="00000000" w:rsidRDefault="00000000"/>
    <w:p w:rsidR="00000000" w:rsidRDefault="00000000">
      <w:r>
        <w:t>124.</w:t>
      </w:r>
      <w:r>
        <w:tab/>
        <w:t>Новый Военный уголовный кодекс Колумбии регулирует принцип надлежащего подчинения, указывая, что совершивший уголовно наказуемое деяние освобождается от ответственности в том случае, если он действовал во исполнение законного приказа, отданного компетентным представителем власти с соблюдением установленных правил, исключая тем самым возможность выполнения военнослужащими заведомо незаконных приказов, противоречащих обязанностям вооруженных сил государства, установленным Конституцией и действующими законами.</w:t>
      </w:r>
    </w:p>
    <w:p w:rsidR="00000000" w:rsidRDefault="00000000"/>
    <w:p w:rsidR="00000000" w:rsidRDefault="00000000">
      <w:r>
        <w:t>125.</w:t>
      </w:r>
      <w:r>
        <w:tab/>
        <w:t>Другим аспектом, где налицо продвижение системы военной уголовной юстиции в Колумбии по пути изменений с учетом современных требований, является разделение функций командования и функций расследования и рассмотрения дел.  Действительно, в новом Кодексе устанавливается такое разделение, имеющее целью гарантировать в рамках военной уголовной юстиции полную независимость и беспристрастность, при этом представитель власти, участвующий в рассмотрении дела, не должен быть тем же лицом, которое выполняет командные функции.</w:t>
      </w:r>
    </w:p>
    <w:p w:rsidR="00000000" w:rsidRDefault="00000000">
      <w:r>
        <w:br w:type="page"/>
        <w:t>126.</w:t>
      </w:r>
      <w:r>
        <w:tab/>
        <w:t xml:space="preserve">С тем чтобы сделать военную уголовную юстицию более оперативной и </w:t>
      </w:r>
      <w:proofErr w:type="spellStart"/>
      <w:r>
        <w:t>транспарентной</w:t>
      </w:r>
      <w:proofErr w:type="spellEnd"/>
      <w:r>
        <w:t>, в новом Кодексе предусмотрена возможность для пострадавших от совершенного преступления выступать в качестве гражданской стороны.</w:t>
      </w:r>
    </w:p>
    <w:p w:rsidR="00000000" w:rsidRDefault="00000000"/>
    <w:p w:rsidR="00000000" w:rsidRDefault="00000000">
      <w:r>
        <w:t>127.</w:t>
      </w:r>
      <w:r>
        <w:tab/>
        <w:t>По примеру недавних прогрессивных изменений в рамках общей юстиции Колумбии, военной уголовной юстицией отныне используется обвинительная система, предусматривающая наличие военных инспекторов по уголовным делам, наделенных функциями квалификации преступления и обвинения в ходе процесса и полномочиями для прекращения разбирательства, когда для этого имеются основания.  Как и в случае общей юстиции, предусмотрено также участие государственной прокуратуры на всех этапах разбирательства в военном уголовном суде в лице Генерального прокурора Республики и полномочных прокуроров по делам вооруженных сил, национальной полиции и государственной прокуратуры; кроме того, при органах военной уголовной юстиции назначаются прокуроры по уголовным делам.</w:t>
      </w:r>
    </w:p>
    <w:p w:rsidR="00000000" w:rsidRDefault="00000000"/>
    <w:p w:rsidR="00000000" w:rsidRDefault="00000000">
      <w:r>
        <w:t>128.</w:t>
      </w:r>
      <w:r>
        <w:tab/>
        <w:t>Ниже рассматривается характер военной юрисдикции и описывается порядок функционирования системы военной уголовной юстиции.</w:t>
      </w:r>
    </w:p>
    <w:p w:rsidR="00000000" w:rsidRDefault="00000000"/>
    <w:p w:rsidR="00000000" w:rsidRDefault="00000000">
      <w:pPr>
        <w:rPr>
          <w:u w:val="single"/>
        </w:rPr>
      </w:pPr>
      <w:r>
        <w:rPr>
          <w:u w:val="single"/>
        </w:rPr>
        <w:t>Военная юрисдикция</w:t>
      </w:r>
    </w:p>
    <w:p w:rsidR="00000000" w:rsidRDefault="00000000">
      <w:pPr>
        <w:rPr>
          <w:u w:val="single"/>
        </w:rPr>
      </w:pPr>
    </w:p>
    <w:p w:rsidR="00000000" w:rsidRDefault="00000000">
      <w:pPr>
        <w:rPr>
          <w:color w:val="000000"/>
        </w:rPr>
      </w:pPr>
      <w:r>
        <w:rPr>
          <w:color w:val="000000"/>
        </w:rPr>
        <w:t>129.</w:t>
      </w:r>
      <w:r>
        <w:rPr>
          <w:color w:val="000000"/>
        </w:rPr>
        <w:tab/>
        <w:t xml:space="preserve">Политическая Конституция Колумбии поставила перед </w:t>
      </w:r>
      <w:r>
        <w:t>силами по поддержанию правопорядка</w:t>
      </w:r>
      <w:r>
        <w:rPr>
          <w:color w:val="000000"/>
        </w:rPr>
        <w:t xml:space="preserve"> задачу защищать суверенитет, независимость страны, целостность национальной территории и конституционный порядок, а также способствовать обеспечению необходимых условий для осуществления гражданами своих прав и общественных свобод и для налаживания мирного сосуществования.</w:t>
      </w:r>
    </w:p>
    <w:p w:rsidR="00000000" w:rsidRDefault="00000000">
      <w:pPr>
        <w:rPr>
          <w:color w:val="000000"/>
        </w:rPr>
      </w:pPr>
    </w:p>
    <w:p w:rsidR="00000000" w:rsidRDefault="00000000">
      <w:pPr>
        <w:rPr>
          <w:color w:val="000000"/>
        </w:rPr>
      </w:pPr>
      <w:r>
        <w:rPr>
          <w:color w:val="000000"/>
        </w:rPr>
        <w:t>130.</w:t>
      </w:r>
      <w:r>
        <w:rPr>
          <w:color w:val="000000"/>
        </w:rPr>
        <w:tab/>
        <w:t xml:space="preserve">Выполнение этой миссии предполагает решение задач, которые порой сопряжены с риском нарушить индивидуальные права отдельных лиц.  В то же время, военная организация и дисциплина диктуют необходимость соблюдения специфических правил вооруженных структур, которые не действуют в других институтах государства.  По этой причине контроль за выполнением законов и правил, причем как при осуществлении своей конституционной функции, так и при соблюдении собственного внутреннего регламента, должен возлагаться  на самих военнослужащих </w:t>
      </w:r>
      <w:r>
        <w:t>сил по поддержанию правопорядка</w:t>
      </w:r>
      <w:r>
        <w:rPr>
          <w:color w:val="000000"/>
        </w:rPr>
        <w:t>.</w:t>
      </w:r>
    </w:p>
    <w:p w:rsidR="00000000" w:rsidRDefault="00000000">
      <w:pPr>
        <w:rPr>
          <w:color w:val="000000"/>
        </w:rPr>
      </w:pPr>
    </w:p>
    <w:p w:rsidR="00000000" w:rsidRDefault="00000000">
      <w:pPr>
        <w:rPr>
          <w:color w:val="000000"/>
        </w:rPr>
      </w:pPr>
      <w:r>
        <w:rPr>
          <w:color w:val="000000"/>
        </w:rPr>
        <w:t>131.</w:t>
      </w:r>
      <w:r>
        <w:rPr>
          <w:color w:val="000000"/>
        </w:rPr>
        <w:tab/>
        <w:t xml:space="preserve">Как отмечает </w:t>
      </w:r>
      <w:r>
        <w:t>Высший Совет системы судебных органов</w:t>
      </w:r>
      <w:r>
        <w:rPr>
          <w:color w:val="000000"/>
        </w:rPr>
        <w:t xml:space="preserve"> - верховная инстанция колумбийской судебной системы, - создание собственной юрисдикции, отличной от общей юрисдикции, явно подсказано критерием специфичности, связанным, вне всякого</w:t>
      </w:r>
    </w:p>
    <w:p w:rsidR="00000000" w:rsidRDefault="00000000">
      <w:pPr>
        <w:rPr>
          <w:color w:val="000000"/>
        </w:rPr>
      </w:pPr>
      <w:r>
        <w:rPr>
          <w:color w:val="000000"/>
        </w:rPr>
        <w:br w:type="page"/>
        <w:t>сомнения, с тем обстоятельством, что те, кому лучше всего известны некоторые аспекты функционирования организаций, занимающих особое место в жизни общества, и должны судить поступки членов своих организаций.</w:t>
      </w:r>
    </w:p>
    <w:p w:rsidR="00000000" w:rsidRDefault="00000000">
      <w:pPr>
        <w:rPr>
          <w:color w:val="000000"/>
        </w:rPr>
      </w:pPr>
    </w:p>
    <w:p w:rsidR="00000000" w:rsidRDefault="00000000">
      <w:pPr>
        <w:rPr>
          <w:color w:val="000000"/>
        </w:rPr>
      </w:pPr>
      <w:r>
        <w:rPr>
          <w:color w:val="000000"/>
        </w:rPr>
        <w:t>132.</w:t>
      </w:r>
      <w:r>
        <w:rPr>
          <w:color w:val="000000"/>
        </w:rPr>
        <w:tab/>
        <w:t>По мнению этого же органа судебной власти, при включении в Политическую Конституцию Колумбии положения о военной юрисдикции ни в коей мере не преследовалась цель создать привилегированную форму суда или каким-либо образом прикрыть безнаказанность, а имело место намерение дать возможность организации, характеризующейся весьма специфическими особенностями и способами функционирования, взять на себя рассмотрение нарушений, совершаемых ее членами, с учетом особенностей службы и системы подчинения, а также особой роли дисциплины и уважения к начальнику, на которой она должна основываться.</w:t>
      </w:r>
    </w:p>
    <w:p w:rsidR="00000000" w:rsidRDefault="00000000">
      <w:pPr>
        <w:rPr>
          <w:color w:val="000000"/>
        </w:rPr>
      </w:pPr>
    </w:p>
    <w:p w:rsidR="00000000" w:rsidRDefault="00000000">
      <w:pPr>
        <w:rPr>
          <w:color w:val="000000"/>
        </w:rPr>
      </w:pPr>
      <w:r>
        <w:rPr>
          <w:color w:val="000000"/>
        </w:rPr>
        <w:t>133.</w:t>
      </w:r>
      <w:r>
        <w:rPr>
          <w:color w:val="000000"/>
        </w:rPr>
        <w:tab/>
        <w:t xml:space="preserve">Опять же по мнению упомянутой судебной инстанции, это означает, что не существовало намерения установить предпочтительный порядок, а, наоборот, имело место стремление добавить к обычным параметрам оценки поведения человека дополнительные элементы, превращающие рассмотрение как дисциплинарных, так и уголовных дел в отношении лиц из состава </w:t>
      </w:r>
      <w:r>
        <w:t>сил по поддержанию правопорядка</w:t>
      </w:r>
      <w:r>
        <w:rPr>
          <w:color w:val="000000"/>
        </w:rPr>
        <w:t xml:space="preserve"> в весьма специализированную процедуру, осуществляемую судьями, которые наряду со всеми качествами, необходимыми для этой высокой должности, обладают знанием всех особенностей такой организации, как военная, существенно отличающейся от других организаций, составляющих государство.</w:t>
      </w:r>
    </w:p>
    <w:p w:rsidR="00000000" w:rsidRDefault="00000000">
      <w:pPr>
        <w:rPr>
          <w:color w:val="000000"/>
        </w:rPr>
      </w:pPr>
    </w:p>
    <w:p w:rsidR="00000000" w:rsidRDefault="00000000">
      <w:pPr>
        <w:rPr>
          <w:color w:val="000000"/>
        </w:rPr>
      </w:pPr>
      <w:r>
        <w:rPr>
          <w:color w:val="000000"/>
        </w:rPr>
        <w:t>134.</w:t>
      </w:r>
      <w:r>
        <w:rPr>
          <w:color w:val="000000"/>
        </w:rPr>
        <w:tab/>
        <w:t>В том же смысле высказался и Конституционный суд, указав, что нельзя увязывать военную юрисдикцию с идеей привилегии, исключительного права, синекуры или особого расположения при рассмотрении дел лиц из состава</w:t>
      </w:r>
      <w:r>
        <w:t xml:space="preserve"> сил по поддержанию правопорядка</w:t>
      </w:r>
      <w:r>
        <w:rPr>
          <w:color w:val="000000"/>
        </w:rPr>
        <w:t xml:space="preserve"> по преступлениям, которые они совершают в связи с выполнением ими служебных обязанностей, якобы в материальных и юридических условиях, отличных от условий для других лиц, на которых в данный конкретный момент оказывается карающее воздействие государства, что способствует безнаказанности, поскольку это означало бы особое отношение, не соответствующее принципу равенства и идее справедливости.</w:t>
      </w:r>
    </w:p>
    <w:p w:rsidR="00000000" w:rsidRDefault="00000000">
      <w:pPr>
        <w:rPr>
          <w:color w:val="000000"/>
        </w:rPr>
      </w:pPr>
    </w:p>
    <w:p w:rsidR="00000000" w:rsidRDefault="00000000">
      <w:pPr>
        <w:rPr>
          <w:color w:val="000000"/>
        </w:rPr>
      </w:pPr>
      <w:r>
        <w:rPr>
          <w:color w:val="000000"/>
        </w:rPr>
        <w:t>135.</w:t>
      </w:r>
      <w:r>
        <w:rPr>
          <w:color w:val="000000"/>
        </w:rPr>
        <w:tab/>
        <w:t>Согласно Конституционному суду, на военную юрисдикцию следует смотреть как на перспективу существования независимого и беспристрастного судебного органа в виде военных судов или трибуналов, состоящих из судей-уроженцев страны, которым в соответствии с Конституцией и законами доверено вести судебные дела по названным преступлениям.  Несмотря на то, что с материальной точки зрения этот орган входит в систему отправления правосудия, он не приписан к общей юстиции, хотя не исключается возможность его функциональной связи с последней.  Это происходит, например, как будет показано далее, когда Кассационная палата по уголовным делам Верховного суда рассматривает в последней инстанции жалобы на определенные приговоры, вынесенные военными судами.</w:t>
      </w:r>
    </w:p>
    <w:p w:rsidR="00000000" w:rsidRDefault="00000000">
      <w:pPr>
        <w:rPr>
          <w:color w:val="000000"/>
        </w:rPr>
      </w:pPr>
    </w:p>
    <w:p w:rsidR="00000000" w:rsidRDefault="00000000">
      <w:pPr>
        <w:rPr>
          <w:color w:val="000000"/>
        </w:rPr>
      </w:pPr>
      <w:r>
        <w:rPr>
          <w:color w:val="000000"/>
        </w:rPr>
        <w:t>136.</w:t>
      </w:r>
      <w:r>
        <w:rPr>
          <w:color w:val="000000"/>
        </w:rPr>
        <w:tab/>
        <w:t>Таким образом, система военной уголовной юстиции осуществляет отправление правосудия, но делает это в особом порядке, причем не только из-за лиц, призванных судить, но также из-за дел, которые она рассматривает.  В любом случае, военные судьи – как и всякий судья – должны при выполнении своих обязанностей руководствоваться, в числе прочих, критериями беспристрастности, объективности, эффективности и оперативности.</w:t>
      </w:r>
    </w:p>
    <w:p w:rsidR="00000000" w:rsidRDefault="00000000">
      <w:pPr>
        <w:rPr>
          <w:color w:val="000000"/>
        </w:rPr>
      </w:pPr>
    </w:p>
    <w:p w:rsidR="00000000" w:rsidRDefault="00000000">
      <w:pPr>
        <w:rPr>
          <w:u w:val="single"/>
        </w:rPr>
      </w:pPr>
      <w:r>
        <w:rPr>
          <w:u w:val="single"/>
        </w:rPr>
        <w:t>Функционирование системы военной уголовной юстиции</w:t>
      </w:r>
    </w:p>
    <w:p w:rsidR="00000000" w:rsidRDefault="00000000">
      <w:pPr>
        <w:rPr>
          <w:u w:val="single"/>
        </w:rPr>
      </w:pPr>
    </w:p>
    <w:p w:rsidR="00000000" w:rsidRDefault="00000000">
      <w:pPr>
        <w:rPr>
          <w:u w:val="single"/>
        </w:rPr>
      </w:pPr>
      <w:r>
        <w:tab/>
      </w:r>
      <w:r>
        <w:rPr>
          <w:u w:val="single"/>
        </w:rPr>
        <w:t>Сфера компетенции</w:t>
      </w:r>
    </w:p>
    <w:p w:rsidR="00000000" w:rsidRDefault="00000000">
      <w:pPr>
        <w:rPr>
          <w:u w:val="single"/>
        </w:rPr>
      </w:pPr>
    </w:p>
    <w:p w:rsidR="00000000" w:rsidRDefault="00000000">
      <w:pPr>
        <w:rPr>
          <w:color w:val="000000"/>
        </w:rPr>
      </w:pPr>
      <w:r>
        <w:rPr>
          <w:color w:val="000000"/>
        </w:rPr>
        <w:t>137.</w:t>
      </w:r>
      <w:r>
        <w:rPr>
          <w:color w:val="000000"/>
        </w:rPr>
        <w:tab/>
        <w:t xml:space="preserve">Военная уголовная юстиция является особой областью колумбийской юстиции, занимающейся расследованием и назначением наказания за преступное поведение </w:t>
      </w:r>
      <w:r>
        <w:t>находящихся</w:t>
      </w:r>
      <w:r>
        <w:rPr>
          <w:color w:val="000000"/>
        </w:rPr>
        <w:t xml:space="preserve"> на действительной службе лиц из состава </w:t>
      </w:r>
      <w:r>
        <w:t xml:space="preserve">сил по поддержанию правопорядка, </w:t>
      </w:r>
      <w:r>
        <w:rPr>
          <w:color w:val="000000"/>
        </w:rPr>
        <w:t>связанное с выполнением служебных обязанностей.  Гражданские лица исключены из этой юрисдикции, поскольку в Колумбии в отношении этих лиц органы военной уголовной юстиции ни в коем случае не могут производить расследование или рассматривать дело.</w:t>
      </w:r>
    </w:p>
    <w:p w:rsidR="00000000" w:rsidRDefault="00000000">
      <w:pPr>
        <w:rPr>
          <w:color w:val="000000"/>
        </w:rPr>
      </w:pPr>
    </w:p>
    <w:p w:rsidR="00000000" w:rsidRDefault="00000000">
      <w:pPr>
        <w:rPr>
          <w:color w:val="000000"/>
        </w:rPr>
      </w:pPr>
      <w:r>
        <w:rPr>
          <w:color w:val="000000"/>
        </w:rPr>
        <w:t>138.</w:t>
      </w:r>
      <w:r>
        <w:rPr>
          <w:color w:val="000000"/>
        </w:rPr>
        <w:tab/>
        <w:t xml:space="preserve">Под преступлениями, связанными со службой, понимаются такие совершенные лицами из состава </w:t>
      </w:r>
      <w:r>
        <w:t>сил по поддержанию правопорядка</w:t>
      </w:r>
      <w:r>
        <w:rPr>
          <w:color w:val="000000"/>
        </w:rPr>
        <w:t xml:space="preserve"> преступления, которые проистекают из выполнения ими обязанностей, присущих военной или полицейской службе.  Согласно Верховному суду, речь идет о связанных со службой преступлениях, если имеется ссылка на связь, существующую между военной или полицейской деятельностью и событием преступления.  Имеющие отношения к службе действия происходят в связи с актами, характерными для военной деятельности, или во исполнение приказов, отдаваемых теми, кто осуществляет функцию командования.</w:t>
      </w:r>
    </w:p>
    <w:p w:rsidR="00000000" w:rsidRDefault="00000000">
      <w:pPr>
        <w:rPr>
          <w:color w:val="000000"/>
        </w:rPr>
      </w:pPr>
    </w:p>
    <w:p w:rsidR="00000000" w:rsidRDefault="00000000">
      <w:pPr>
        <w:rPr>
          <w:color w:val="000000"/>
        </w:rPr>
      </w:pPr>
      <w:r>
        <w:rPr>
          <w:color w:val="000000"/>
        </w:rPr>
        <w:t>139.</w:t>
      </w:r>
      <w:r>
        <w:rPr>
          <w:color w:val="000000"/>
        </w:rPr>
        <w:tab/>
        <w:t>Таким образом, в качестве действий, относящихся к службе, следует рассматривать только те, которые связаны с выполнением задач вооруженных сил, то есть с защитой суверенитета, независимости страны, целостности национальной территории и конституционного порядка, а также приоритетных целей национальной политики, а именно, обеспечение необходимых условий для осуществления прав и общественных свобод и для гарантирования мирной совместной жизни всего населения Колумбии.  В то же время, в соответствии с колумбийским законодательством, ни в коем случае не могут рассматриваться в качестве связанных со службой такие преступления, как пытки, геноцид и насильственное исчезновение, трактуемые согласно определениям, закрепленным в ратифицированных Колумбией международных конвенциях и договорах.</w:t>
      </w:r>
    </w:p>
    <w:p w:rsidR="00000000" w:rsidRDefault="00000000">
      <w:pPr>
        <w:rPr>
          <w:color w:val="000000"/>
        </w:rPr>
      </w:pPr>
    </w:p>
    <w:p w:rsidR="00000000" w:rsidRDefault="00000000">
      <w:pPr>
        <w:rPr>
          <w:color w:val="000000"/>
        </w:rPr>
      </w:pPr>
      <w:r>
        <w:rPr>
          <w:color w:val="000000"/>
        </w:rPr>
        <w:t>140.</w:t>
      </w:r>
      <w:r>
        <w:rPr>
          <w:color w:val="000000"/>
        </w:rPr>
        <w:tab/>
        <w:t xml:space="preserve">Среди латиноамериканских стран </w:t>
      </w:r>
      <w:r>
        <w:t>Военный уголовный кодекс Колумбии</w:t>
      </w:r>
      <w:r>
        <w:rPr>
          <w:color w:val="000000"/>
        </w:rPr>
        <w:t xml:space="preserve"> является единственным, из сферы компетенции которого однозначно исключены эти преступления.  </w:t>
      </w:r>
    </w:p>
    <w:p w:rsidR="00000000" w:rsidRDefault="00000000">
      <w:pPr>
        <w:rPr>
          <w:color w:val="000000"/>
        </w:rPr>
      </w:pPr>
    </w:p>
    <w:p w:rsidR="00000000" w:rsidRDefault="00000000">
      <w:pPr>
        <w:rPr>
          <w:color w:val="000000"/>
        </w:rPr>
      </w:pPr>
      <w:r>
        <w:rPr>
          <w:color w:val="000000"/>
        </w:rPr>
        <w:t>141.</w:t>
      </w:r>
      <w:r>
        <w:rPr>
          <w:color w:val="000000"/>
        </w:rPr>
        <w:tab/>
        <w:t xml:space="preserve">Действительно, в 1997 году Конституционный суд определил, что деяния против человечества не относятся к сфере военной уголовной юстиции, поскольку они не имеют отношения к службе лиц из состава </w:t>
      </w:r>
      <w:r>
        <w:t>силовых структур, так как этот класс преступлений представляет собой грубое нарушение прав человека и, безусловно, выходит за рамки функций вооруженных сил</w:t>
      </w:r>
      <w:r>
        <w:rPr>
          <w:color w:val="000000"/>
        </w:rPr>
        <w:t>.  Вследствие этого, Верховный суд дал заключение, что упомянутые преступления будут рассматриваться уголовными судами общей юрисдикции.  В каждом конкретном случае обсуждение вопроса, связано ли данное преступление со службой, ведется в основном вокруг обстоятельств, в которых это наказуемое деяние было совершено, и эту оценку, с учетом значимых элементов разбирательства, дает только судья.</w:t>
      </w:r>
    </w:p>
    <w:p w:rsidR="00000000" w:rsidRDefault="00000000">
      <w:pPr>
        <w:rPr>
          <w:color w:val="000000"/>
        </w:rPr>
      </w:pPr>
    </w:p>
    <w:p w:rsidR="00000000" w:rsidRDefault="00000000">
      <w:pPr>
        <w:rPr>
          <w:u w:val="single"/>
        </w:rPr>
      </w:pPr>
      <w:r>
        <w:rPr>
          <w:b/>
        </w:rPr>
        <w:tab/>
      </w:r>
      <w:r>
        <w:rPr>
          <w:u w:val="single"/>
        </w:rPr>
        <w:t>Прокуроры и судьи, не подчиненные командованию</w:t>
      </w:r>
    </w:p>
    <w:p w:rsidR="00000000" w:rsidRDefault="00000000">
      <w:pPr>
        <w:rPr>
          <w:color w:val="000000"/>
        </w:rPr>
      </w:pPr>
    </w:p>
    <w:p w:rsidR="00000000" w:rsidRDefault="00000000">
      <w:pPr>
        <w:rPr>
          <w:color w:val="000000"/>
        </w:rPr>
      </w:pPr>
      <w:r>
        <w:rPr>
          <w:color w:val="000000"/>
        </w:rPr>
        <w:t>142.</w:t>
      </w:r>
      <w:r>
        <w:rPr>
          <w:color w:val="000000"/>
        </w:rPr>
        <w:tab/>
        <w:t xml:space="preserve">Преступления, связанные со службой, рассматриваются военными судами или военными трибуналами в составе судей из числа военнослужащих </w:t>
      </w:r>
      <w:r>
        <w:t>сил по поддержанию правопорядка,</w:t>
      </w:r>
      <w:r>
        <w:rPr>
          <w:color w:val="000000"/>
        </w:rPr>
        <w:t xml:space="preserve"> находящихся на действительной службе или в отставке, которые действуют согласно положениям Военного уголовного кодекса.  </w:t>
      </w:r>
    </w:p>
    <w:p w:rsidR="00000000" w:rsidRDefault="00000000">
      <w:pPr>
        <w:keepLines/>
        <w:rPr>
          <w:color w:val="000000"/>
        </w:rPr>
      </w:pPr>
    </w:p>
    <w:p w:rsidR="00000000" w:rsidRDefault="00000000">
      <w:pPr>
        <w:keepLines/>
        <w:rPr>
          <w:color w:val="000000"/>
        </w:rPr>
      </w:pPr>
      <w:r>
        <w:rPr>
          <w:color w:val="000000"/>
        </w:rPr>
        <w:t>143.</w:t>
      </w:r>
      <w:r>
        <w:rPr>
          <w:color w:val="000000"/>
        </w:rPr>
        <w:tab/>
        <w:t xml:space="preserve">В соответствии с новым законодательством военные инспекторы и судьи, которые квалифицируют деяние, проводят расследование, обвиняют и судят замешанных в связанных со службой преступлениях лиц из состава </w:t>
      </w:r>
      <w:r>
        <w:t>сил по поддержанию правопорядка, не подчинены командованию, с тем чтобы гарантировать полную независимость и беспристрастность разбирательства, при этом представитель власти, участвующий в рассмотрении дела, не должен быть тем же лицом, которое выполняет командные функции</w:t>
      </w:r>
      <w:r>
        <w:rPr>
          <w:color w:val="000000"/>
        </w:rPr>
        <w:t>.  Таким образом, командиры перестали быть судьями, и эту функцию выполняют военные судьи по уголовным делам, приписанные к структуре, отличной от военной оперативной.</w:t>
      </w:r>
    </w:p>
    <w:p w:rsidR="00000000" w:rsidRDefault="00000000">
      <w:pPr>
        <w:rPr>
          <w:color w:val="000000"/>
        </w:rPr>
      </w:pPr>
    </w:p>
    <w:p w:rsidR="00000000" w:rsidRDefault="00000000">
      <w:pPr>
        <w:rPr>
          <w:color w:val="000000"/>
        </w:rPr>
      </w:pPr>
      <w:r>
        <w:rPr>
          <w:color w:val="000000"/>
        </w:rPr>
        <w:t>144.</w:t>
      </w:r>
      <w:r>
        <w:rPr>
          <w:color w:val="000000"/>
        </w:rPr>
        <w:tab/>
        <w:t xml:space="preserve">Разделение судей и военных командиров послужит укреплению доверия к решениям, выносимым судьями, и покончит с возможной убежденностью в том, что может существовать определенное влияние командования на военное судебное разбирательство.  </w:t>
      </w:r>
    </w:p>
    <w:p w:rsidR="00000000" w:rsidRDefault="00000000">
      <w:pPr>
        <w:rPr>
          <w:u w:val="single"/>
        </w:rPr>
      </w:pPr>
      <w:r>
        <w:t xml:space="preserve"> </w:t>
      </w:r>
      <w:r>
        <w:tab/>
      </w:r>
      <w:r>
        <w:rPr>
          <w:u w:val="single"/>
        </w:rPr>
        <w:t>Структура военной уголовной юстиции</w:t>
      </w:r>
    </w:p>
    <w:p w:rsidR="00000000" w:rsidRDefault="00000000">
      <w:pPr>
        <w:rPr>
          <w:color w:val="000000"/>
        </w:rPr>
      </w:pPr>
    </w:p>
    <w:p w:rsidR="00000000" w:rsidRDefault="00000000">
      <w:pPr>
        <w:rPr>
          <w:color w:val="000000"/>
        </w:rPr>
      </w:pPr>
      <w:r>
        <w:rPr>
          <w:color w:val="000000"/>
        </w:rPr>
        <w:t>145.</w:t>
      </w:r>
      <w:r>
        <w:rPr>
          <w:color w:val="000000"/>
        </w:rPr>
        <w:tab/>
        <w:t xml:space="preserve">Новым Военным уголовным кодексом установлены различные инстанции или судебные органы для рассмотрения уголовных дел по совершенным </w:t>
      </w:r>
      <w:r>
        <w:t>находящимися</w:t>
      </w:r>
      <w:r>
        <w:rPr>
          <w:color w:val="000000"/>
        </w:rPr>
        <w:t xml:space="preserve"> на действительной службе лицами из состава </w:t>
      </w:r>
      <w:r>
        <w:t>сил по поддержанию правопорядка</w:t>
      </w:r>
      <w:r>
        <w:rPr>
          <w:color w:val="000000"/>
        </w:rPr>
        <w:t xml:space="preserve"> преступлениям,</w:t>
      </w:r>
      <w:r>
        <w:t xml:space="preserve"> </w:t>
      </w:r>
      <w:r>
        <w:rPr>
          <w:color w:val="000000"/>
        </w:rPr>
        <w:t>связанным с исполнением служебных обязанностей.  Этими инстанциями являются:  Верховный военный суд, суды первой инстанции, военные инспекторы по уголовным делам, военные судебные следователи по уголовным делам и военные судьи, а также Кассационная палата по уголовным делам Верховного суда.  Общие требования к кандидатам на занятие этих должностей аналогичны предъявляемым к равноценным должностям в органах общей юстиции, но адаптированы к условиям и обстоятельствам, присущим военной уголовной юрисдикции.</w:t>
      </w:r>
    </w:p>
    <w:p w:rsidR="00000000" w:rsidRDefault="00000000">
      <w:pPr>
        <w:rPr>
          <w:color w:val="000000"/>
        </w:rPr>
      </w:pPr>
    </w:p>
    <w:p w:rsidR="00000000" w:rsidRDefault="00000000">
      <w:pPr>
        <w:rPr>
          <w:color w:val="000000"/>
        </w:rPr>
      </w:pPr>
      <w:r>
        <w:rPr>
          <w:color w:val="000000"/>
        </w:rPr>
        <w:t>146.</w:t>
      </w:r>
      <w:r>
        <w:rPr>
          <w:color w:val="000000"/>
        </w:rPr>
        <w:tab/>
        <w:t>Кроме того, в развитие структуры военной уголовной юстиции при министерстве национальной обороны был создан Высший совет военной уголовной юстиции, который консультирует министра обороны по всем соответствующим вопросам и дает рекомендации, касающиеся политики, планов, программ и систем оценки, имеющие целью повышение эффективности при отправлении правосудия.  Помимо этого, образовано Исполнительное управление военной уголовной юстиции, которое обеспечивает выполнение политики и программ, принятых министром обороны в области отправления правосудия.</w:t>
      </w:r>
    </w:p>
    <w:p w:rsidR="00000000" w:rsidRDefault="00000000">
      <w:pPr>
        <w:rPr>
          <w:b/>
        </w:rPr>
      </w:pPr>
    </w:p>
    <w:p w:rsidR="00000000" w:rsidRDefault="00000000">
      <w:pPr>
        <w:rPr>
          <w:u w:val="single"/>
        </w:rPr>
      </w:pPr>
      <w:r>
        <w:rPr>
          <w:b/>
        </w:rPr>
        <w:tab/>
      </w:r>
      <w:r>
        <w:rPr>
          <w:u w:val="single"/>
        </w:rPr>
        <w:t>Контрольные органы</w:t>
      </w:r>
    </w:p>
    <w:p w:rsidR="00000000" w:rsidRDefault="00000000">
      <w:pPr>
        <w:rPr>
          <w:color w:val="000000"/>
        </w:rPr>
      </w:pPr>
    </w:p>
    <w:p w:rsidR="00000000" w:rsidRDefault="00000000">
      <w:pPr>
        <w:rPr>
          <w:color w:val="000000"/>
        </w:rPr>
      </w:pPr>
      <w:r>
        <w:rPr>
          <w:color w:val="000000"/>
        </w:rPr>
        <w:t>147.</w:t>
      </w:r>
      <w:r>
        <w:rPr>
          <w:color w:val="000000"/>
        </w:rPr>
        <w:tab/>
        <w:t xml:space="preserve">Кроме того, следует отметить, что в Колумбии осуществление юрисдикции контролируется </w:t>
      </w:r>
      <w:r>
        <w:t>Генеральной прокуратурой Республики</w:t>
      </w:r>
      <w:r>
        <w:rPr>
          <w:color w:val="000000"/>
        </w:rPr>
        <w:t xml:space="preserve">, учреждением, осуществляющим верховное руководство </w:t>
      </w:r>
      <w:r>
        <w:t>государственной прокуратурой, которому, в числе других функций, поручено следить</w:t>
      </w:r>
      <w:r>
        <w:rPr>
          <w:color w:val="000000"/>
        </w:rPr>
        <w:t xml:space="preserve"> за исполнением Конституции, законов, судебных решений и административных актов.  Этот орган постоянно участвует на всех этапах судебных разбирательств, производимых в системе военной уголовной юстиции, через </w:t>
      </w:r>
      <w:r>
        <w:t>Генерального прокурора Республики, полномочных прокуроров по делам вооруженных сил и национальной полиции и через прокуроров уголовного суда при военных трибуналах первой и второй инстанции</w:t>
      </w:r>
      <w:r>
        <w:rPr>
          <w:color w:val="000000"/>
        </w:rPr>
        <w:t xml:space="preserve">.  Эти последние – назначаемые непосредственно </w:t>
      </w:r>
      <w:r>
        <w:t>Генеральным прокурором Республики</w:t>
      </w:r>
      <w:r>
        <w:rPr>
          <w:color w:val="000000"/>
        </w:rPr>
        <w:t xml:space="preserve"> – являются непосредственной стороной процессов и, таким образом, могут истребовать доказательства и оспаривать принимаемые решения, как это могут делать другие субъекты процесса.  Участие государственной</w:t>
      </w:r>
      <w:r>
        <w:t xml:space="preserve"> прокуратуры</w:t>
      </w:r>
      <w:r>
        <w:rPr>
          <w:color w:val="000000"/>
        </w:rPr>
        <w:t xml:space="preserve"> является основной гарантией имеющегося у общества права на проведение справедливых судебных разбирательств в отношении лиц из состава </w:t>
      </w:r>
      <w:r>
        <w:t xml:space="preserve">сил по поддержанию правопорядка, которые </w:t>
      </w:r>
      <w:r>
        <w:rPr>
          <w:color w:val="000000"/>
        </w:rPr>
        <w:t>совершили преступление,</w:t>
      </w:r>
      <w:r>
        <w:t xml:space="preserve"> и на то, что такое деяние не останется безнаказанным</w:t>
      </w:r>
      <w:r>
        <w:rPr>
          <w:color w:val="000000"/>
        </w:rPr>
        <w:t xml:space="preserve">. </w:t>
      </w:r>
    </w:p>
    <w:p w:rsidR="00000000" w:rsidRDefault="00000000">
      <w:pPr>
        <w:rPr>
          <w:color w:val="000000"/>
        </w:rPr>
      </w:pPr>
      <w:r>
        <w:rPr>
          <w:color w:val="000000"/>
        </w:rPr>
        <w:t>148.</w:t>
      </w:r>
      <w:r>
        <w:rPr>
          <w:color w:val="000000"/>
        </w:rPr>
        <w:tab/>
        <w:t xml:space="preserve">На представителя </w:t>
      </w:r>
      <w:r>
        <w:t>государственной прокуратуры</w:t>
      </w:r>
      <w:r>
        <w:rPr>
          <w:color w:val="000000"/>
        </w:rPr>
        <w:t xml:space="preserve"> в органах военной уголовной юстиции как на участника судебного разбирательства, без ущерба для возложенных на него контрольных функций, возлагаются следующие обязанности:</w:t>
      </w:r>
    </w:p>
    <w:p w:rsidR="00000000" w:rsidRDefault="00000000">
      <w:pPr>
        <w:rPr>
          <w:color w:val="000000"/>
        </w:rPr>
      </w:pPr>
    </w:p>
    <w:p w:rsidR="00000000" w:rsidRDefault="00000000">
      <w:pPr>
        <w:ind w:left="1134" w:hanging="1134"/>
        <w:rPr>
          <w:color w:val="000000"/>
        </w:rPr>
      </w:pPr>
      <w:r>
        <w:rPr>
          <w:color w:val="000000"/>
        </w:rPr>
        <w:tab/>
      </w:r>
      <w:proofErr w:type="spellStart"/>
      <w:r>
        <w:rPr>
          <w:color w:val="000000"/>
        </w:rPr>
        <w:t>a</w:t>
      </w:r>
      <w:proofErr w:type="spellEnd"/>
      <w:r>
        <w:rPr>
          <w:color w:val="000000"/>
        </w:rPr>
        <w:t>)</w:t>
      </w:r>
      <w:r>
        <w:rPr>
          <w:color w:val="000000"/>
        </w:rPr>
        <w:tab/>
        <w:t>гарантировать в ходе разбирательства уважение прав человека и соблюдение надлежащих процессуальных гарантий;</w:t>
      </w:r>
    </w:p>
    <w:p w:rsidR="00000000" w:rsidRDefault="00000000">
      <w:pPr>
        <w:ind w:left="1134" w:hanging="1134"/>
        <w:rPr>
          <w:color w:val="000000"/>
        </w:rPr>
      </w:pPr>
    </w:p>
    <w:p w:rsidR="00000000" w:rsidRDefault="00000000">
      <w:pPr>
        <w:ind w:left="1134" w:hanging="1134"/>
        <w:rPr>
          <w:color w:val="000000"/>
        </w:rPr>
      </w:pPr>
      <w:r>
        <w:rPr>
          <w:color w:val="000000"/>
        </w:rPr>
        <w:tab/>
      </w:r>
      <w:proofErr w:type="spellStart"/>
      <w:r>
        <w:rPr>
          <w:color w:val="000000"/>
        </w:rPr>
        <w:t>b</w:t>
      </w:r>
      <w:proofErr w:type="spellEnd"/>
      <w:r>
        <w:rPr>
          <w:color w:val="000000"/>
        </w:rPr>
        <w:t>)</w:t>
      </w:r>
      <w:r>
        <w:rPr>
          <w:color w:val="000000"/>
        </w:rPr>
        <w:tab/>
        <w:t>следить за свободным волеизъявлением участников процесса в случаях отказа;</w:t>
      </w:r>
    </w:p>
    <w:p w:rsidR="00000000" w:rsidRDefault="00000000">
      <w:pPr>
        <w:rPr>
          <w:color w:val="000000"/>
        </w:rPr>
      </w:pPr>
    </w:p>
    <w:p w:rsidR="00000000" w:rsidRDefault="00000000">
      <w:pPr>
        <w:ind w:left="1134" w:hanging="1134"/>
        <w:rPr>
          <w:color w:val="000000"/>
        </w:rPr>
      </w:pPr>
      <w:r>
        <w:rPr>
          <w:color w:val="000000"/>
        </w:rPr>
        <w:tab/>
      </w:r>
      <w:proofErr w:type="spellStart"/>
      <w:r>
        <w:rPr>
          <w:color w:val="000000"/>
        </w:rPr>
        <w:t>c</w:t>
      </w:r>
      <w:proofErr w:type="spellEnd"/>
      <w:r>
        <w:rPr>
          <w:color w:val="000000"/>
        </w:rPr>
        <w:t>)</w:t>
      </w:r>
      <w:r>
        <w:rPr>
          <w:color w:val="000000"/>
        </w:rPr>
        <w:tab/>
        <w:t>ходатайствовать о прекращении судопроизводства при наличии необходимых оснований для принятия такого решения;</w:t>
      </w:r>
    </w:p>
    <w:p w:rsidR="00000000" w:rsidRDefault="00000000">
      <w:pPr>
        <w:ind w:left="1134" w:hanging="1134"/>
        <w:rPr>
          <w:color w:val="000000"/>
        </w:rPr>
      </w:pPr>
    </w:p>
    <w:p w:rsidR="00000000" w:rsidRDefault="00000000">
      <w:pPr>
        <w:ind w:left="1134" w:hanging="1134"/>
        <w:rPr>
          <w:color w:val="000000"/>
        </w:rPr>
      </w:pPr>
      <w:r>
        <w:rPr>
          <w:color w:val="000000"/>
        </w:rPr>
        <w:tab/>
      </w:r>
      <w:r>
        <w:rPr>
          <w:color w:val="000000"/>
          <w:lang w:val="en-US"/>
        </w:rPr>
        <w:t>d</w:t>
      </w:r>
      <w:r>
        <w:rPr>
          <w:color w:val="000000"/>
        </w:rPr>
        <w:t>)</w:t>
      </w:r>
      <w:r>
        <w:rPr>
          <w:color w:val="000000"/>
        </w:rPr>
        <w:tab/>
        <w:t>участвовать во всех судебных заседаниях в ходе военного уголовного процесса и ходатайствовать, в соответствующих случаях, об оправдании или осуждении обвиняемых;</w:t>
      </w:r>
    </w:p>
    <w:p w:rsidR="00000000" w:rsidRDefault="00000000">
      <w:pPr>
        <w:rPr>
          <w:color w:val="000000"/>
        </w:rPr>
      </w:pPr>
    </w:p>
    <w:p w:rsidR="00000000" w:rsidRDefault="00000000">
      <w:pPr>
        <w:ind w:left="1134" w:hanging="1134"/>
        <w:rPr>
          <w:color w:val="000000"/>
        </w:rPr>
      </w:pPr>
      <w:r>
        <w:rPr>
          <w:color w:val="000000"/>
        </w:rPr>
        <w:tab/>
      </w:r>
      <w:proofErr w:type="spellStart"/>
      <w:r>
        <w:rPr>
          <w:color w:val="000000"/>
        </w:rPr>
        <w:t>e</w:t>
      </w:r>
      <w:proofErr w:type="spellEnd"/>
      <w:r>
        <w:rPr>
          <w:color w:val="000000"/>
        </w:rPr>
        <w:t>)</w:t>
      </w:r>
      <w:r>
        <w:rPr>
          <w:color w:val="000000"/>
        </w:rPr>
        <w:tab/>
        <w:t>осуществлять надзор за выполнением различных требований и условий, определяемых судьями, в случаях предоставления каких-либо преимуществ, освобождения из заключения, замен, поручительства, предъявлений и других обязательств;</w:t>
      </w:r>
    </w:p>
    <w:p w:rsidR="00000000" w:rsidRDefault="00000000">
      <w:pPr>
        <w:ind w:left="1134" w:hanging="1134"/>
        <w:rPr>
          <w:color w:val="000000"/>
        </w:rPr>
      </w:pPr>
    </w:p>
    <w:p w:rsidR="00000000" w:rsidRDefault="00000000">
      <w:pPr>
        <w:ind w:left="1134" w:hanging="567"/>
        <w:rPr>
          <w:color w:val="000000"/>
        </w:rPr>
      </w:pPr>
      <w:proofErr w:type="spellStart"/>
      <w:r>
        <w:rPr>
          <w:color w:val="000000"/>
        </w:rPr>
        <w:t>f</w:t>
      </w:r>
      <w:proofErr w:type="spellEnd"/>
      <w:r>
        <w:rPr>
          <w:color w:val="000000"/>
        </w:rPr>
        <w:t>)</w:t>
      </w:r>
      <w:r>
        <w:rPr>
          <w:color w:val="000000"/>
        </w:rPr>
        <w:tab/>
        <w:t xml:space="preserve">постоянно контролировать соблюдение основного общего принципа, согласно которому судьи должны осуществлять юрисдикцию на условиях </w:t>
      </w:r>
      <w:proofErr w:type="spellStart"/>
      <w:r>
        <w:rPr>
          <w:color w:val="000000"/>
        </w:rPr>
        <w:t>неподчиненности</w:t>
      </w:r>
      <w:proofErr w:type="spellEnd"/>
      <w:r>
        <w:rPr>
          <w:color w:val="000000"/>
        </w:rPr>
        <w:t xml:space="preserve"> командованию;</w:t>
      </w:r>
    </w:p>
    <w:p w:rsidR="00000000" w:rsidRDefault="00000000">
      <w:pPr>
        <w:ind w:left="1134" w:hanging="567"/>
        <w:rPr>
          <w:color w:val="000000"/>
        </w:rPr>
      </w:pPr>
    </w:p>
    <w:p w:rsidR="00000000" w:rsidRDefault="00000000">
      <w:pPr>
        <w:ind w:left="1134" w:hanging="567"/>
        <w:rPr>
          <w:color w:val="000000"/>
        </w:rPr>
      </w:pPr>
      <w:proofErr w:type="spellStart"/>
      <w:r>
        <w:rPr>
          <w:color w:val="000000"/>
        </w:rPr>
        <w:t>g</w:t>
      </w:r>
      <w:proofErr w:type="spellEnd"/>
      <w:r>
        <w:rPr>
          <w:color w:val="000000"/>
        </w:rPr>
        <w:t>)</w:t>
      </w:r>
      <w:r>
        <w:rPr>
          <w:color w:val="000000"/>
        </w:rPr>
        <w:tab/>
        <w:t>следить за надлежащим гарантированием жертвам их реального права на доступ к правосудию;</w:t>
      </w:r>
    </w:p>
    <w:p w:rsidR="00000000" w:rsidRDefault="00000000">
      <w:pPr>
        <w:ind w:left="1134" w:hanging="567"/>
        <w:rPr>
          <w:color w:val="000000"/>
        </w:rPr>
      </w:pPr>
    </w:p>
    <w:p w:rsidR="00000000" w:rsidRDefault="00000000">
      <w:pPr>
        <w:ind w:left="1134" w:hanging="567"/>
        <w:rPr>
          <w:color w:val="000000"/>
        </w:rPr>
      </w:pPr>
      <w:proofErr w:type="spellStart"/>
      <w:r>
        <w:rPr>
          <w:color w:val="000000"/>
        </w:rPr>
        <w:t>h</w:t>
      </w:r>
      <w:proofErr w:type="spellEnd"/>
      <w:r>
        <w:rPr>
          <w:color w:val="000000"/>
        </w:rPr>
        <w:t>)</w:t>
      </w:r>
      <w:r>
        <w:rPr>
          <w:color w:val="000000"/>
        </w:rPr>
        <w:tab/>
        <w:t>ходатайствовать о представлении доказательств или предъявлять их, если они являются значимыми или соответствующими.</w:t>
      </w:r>
    </w:p>
    <w:p w:rsidR="00000000" w:rsidRDefault="00000000">
      <w:pPr>
        <w:ind w:left="1134" w:hanging="567"/>
        <w:rPr>
          <w:color w:val="000000"/>
        </w:rPr>
      </w:pPr>
    </w:p>
    <w:p w:rsidR="00000000" w:rsidRDefault="00000000">
      <w:pPr>
        <w:pStyle w:val="BodyText"/>
        <w:spacing w:after="0"/>
      </w:pPr>
      <w:r>
        <w:t>149.</w:t>
      </w:r>
      <w:r>
        <w:tab/>
        <w:t xml:space="preserve">Функции, описанные в подпунктах </w:t>
      </w:r>
      <w:proofErr w:type="spellStart"/>
      <w:r>
        <w:t>c</w:t>
      </w:r>
      <w:proofErr w:type="spellEnd"/>
      <w:r>
        <w:t xml:space="preserve">), </w:t>
      </w:r>
      <w:proofErr w:type="spellStart"/>
      <w:r>
        <w:t>d</w:t>
      </w:r>
      <w:proofErr w:type="spellEnd"/>
      <w:r>
        <w:t xml:space="preserve">) и </w:t>
      </w:r>
      <w:proofErr w:type="spellStart"/>
      <w:r>
        <w:t>h</w:t>
      </w:r>
      <w:proofErr w:type="spellEnd"/>
      <w:r>
        <w:t xml:space="preserve">) выше, осуществляются только в том случае, когда это диктуется необходимостью защиты правопорядка, государственной собственности или основных прав и гарантий.  </w:t>
      </w:r>
    </w:p>
    <w:p w:rsidR="00000000" w:rsidRDefault="00000000">
      <w:pPr>
        <w:pStyle w:val="BodyText"/>
        <w:spacing w:after="0"/>
      </w:pPr>
    </w:p>
    <w:p w:rsidR="00000000" w:rsidRDefault="00000000">
      <w:pPr>
        <w:pStyle w:val="BodyText"/>
        <w:spacing w:after="0"/>
      </w:pPr>
      <w:r>
        <w:t>150.</w:t>
      </w:r>
      <w:r>
        <w:tab/>
        <w:t xml:space="preserve">Что касается участия государственной прокуратуры в функционировании системы военной уголовной юстиции, то Колумбия является исключением в своем регионе, поскольку речь идет о независимом гражданском учреждении.  </w:t>
      </w:r>
    </w:p>
    <w:p w:rsidR="00000000" w:rsidRDefault="00000000">
      <w:pPr>
        <w:rPr>
          <w:color w:val="000000"/>
        </w:rPr>
      </w:pPr>
      <w:r>
        <w:rPr>
          <w:color w:val="000000"/>
        </w:rPr>
        <w:t>151.</w:t>
      </w:r>
      <w:r>
        <w:rPr>
          <w:color w:val="000000"/>
        </w:rPr>
        <w:tab/>
        <w:t>В свою очередь, военные инспекторы и судьи несут ответственность перед упомянутыми контрольными органами за все свои действия и решения.  В отношении них также проводятся расследования и применяются наказания за действия, нарушающие юридические нормы, регулирующие применение положений закона и доказательную процедуру по делам.</w:t>
      </w:r>
    </w:p>
    <w:p w:rsidR="00000000" w:rsidRDefault="00000000">
      <w:pPr>
        <w:rPr>
          <w:b/>
        </w:rPr>
      </w:pPr>
    </w:p>
    <w:p w:rsidR="00000000" w:rsidRDefault="00000000">
      <w:pPr>
        <w:rPr>
          <w:u w:val="single"/>
        </w:rPr>
      </w:pPr>
      <w:r>
        <w:rPr>
          <w:b/>
        </w:rPr>
        <w:tab/>
      </w:r>
      <w:r>
        <w:rPr>
          <w:u w:val="single"/>
        </w:rPr>
        <w:t>Гражданская сторона на процессах</w:t>
      </w:r>
    </w:p>
    <w:p w:rsidR="00000000" w:rsidRDefault="00000000">
      <w:pPr>
        <w:rPr>
          <w:color w:val="000000"/>
        </w:rPr>
      </w:pPr>
    </w:p>
    <w:p w:rsidR="00000000" w:rsidRDefault="00000000">
      <w:pPr>
        <w:rPr>
          <w:color w:val="000000"/>
        </w:rPr>
      </w:pPr>
      <w:r>
        <w:rPr>
          <w:color w:val="000000"/>
        </w:rPr>
        <w:t>152.</w:t>
      </w:r>
      <w:r>
        <w:rPr>
          <w:color w:val="000000"/>
        </w:rPr>
        <w:tab/>
        <w:t xml:space="preserve">В военном уголовном процессе предусмотрено введение гражданской стороны с целью предоставления пострадавшим от преступлений возможности содействовать установлению истины.  При слушании уголовных дел в общегражданских судах у жертвы или пострадавшего имеется возможность, в зависимости от обстоятельств дела, воспользоваться для доказательных целей правом ходатайства перед должностным лицом суда о получении информации или о специальных запросах.  Кроме того, существует также возможность того, что одно из этих лиц предъявит гражданский иск для получения возмещения индивидуального и коллективного ущерба и убытков, причиненных уголовно наказуемым деянием.  </w:t>
      </w:r>
    </w:p>
    <w:p w:rsidR="00000000" w:rsidRDefault="00000000">
      <w:pPr>
        <w:rPr>
          <w:color w:val="000000"/>
        </w:rPr>
      </w:pPr>
    </w:p>
    <w:p w:rsidR="00000000" w:rsidRDefault="00000000">
      <w:pPr>
        <w:rPr>
          <w:color w:val="000000"/>
        </w:rPr>
      </w:pPr>
      <w:r>
        <w:rPr>
          <w:color w:val="000000"/>
        </w:rPr>
        <w:t>153.</w:t>
      </w:r>
      <w:r>
        <w:rPr>
          <w:color w:val="000000"/>
        </w:rPr>
        <w:tab/>
        <w:t xml:space="preserve">В отношении военной уголовной юстиции Конституционный суд дал "зеленый свет" участию гражданской стороны в процессах, проводимых в рамках этой юрисдикции, на этапе следствия, в ходе суда и после оглашения приговора, считая, что такая возможность способствует обеспечению доступа к правосудию.  </w:t>
      </w:r>
    </w:p>
    <w:p w:rsidR="00000000" w:rsidRDefault="00000000">
      <w:pPr>
        <w:rPr>
          <w:color w:val="000000"/>
        </w:rPr>
      </w:pPr>
    </w:p>
    <w:p w:rsidR="00000000" w:rsidRDefault="00000000">
      <w:pPr>
        <w:rPr>
          <w:color w:val="000000"/>
        </w:rPr>
      </w:pPr>
      <w:r>
        <w:rPr>
          <w:color w:val="000000"/>
        </w:rPr>
        <w:t>154.</w:t>
      </w:r>
      <w:r>
        <w:rPr>
          <w:color w:val="000000"/>
        </w:rPr>
        <w:tab/>
        <w:t>В свою очередь, подсудимые защищаются дипломированными адвокатами, с тем чтобы полностью гарантировать их право на защиту.</w:t>
      </w:r>
    </w:p>
    <w:p w:rsidR="00000000" w:rsidRDefault="00000000">
      <w:pPr>
        <w:rPr>
          <w:b/>
        </w:rPr>
      </w:pPr>
    </w:p>
    <w:p w:rsidR="00000000" w:rsidRDefault="00000000">
      <w:pPr>
        <w:rPr>
          <w:u w:val="single"/>
        </w:rPr>
      </w:pPr>
      <w:r>
        <w:rPr>
          <w:b/>
        </w:rPr>
        <w:tab/>
      </w:r>
      <w:r>
        <w:rPr>
          <w:u w:val="single"/>
        </w:rPr>
        <w:t>Процессуальные аспекты</w:t>
      </w:r>
    </w:p>
    <w:p w:rsidR="00000000" w:rsidRDefault="00000000">
      <w:pPr>
        <w:rPr>
          <w:color w:val="000000"/>
        </w:rPr>
      </w:pPr>
    </w:p>
    <w:p w:rsidR="00000000" w:rsidRDefault="00000000">
      <w:pPr>
        <w:rPr>
          <w:color w:val="000000"/>
        </w:rPr>
      </w:pPr>
      <w:r>
        <w:rPr>
          <w:color w:val="000000"/>
        </w:rPr>
        <w:t>155.</w:t>
      </w:r>
      <w:r>
        <w:rPr>
          <w:color w:val="000000"/>
        </w:rPr>
        <w:tab/>
        <w:t>С самого своего начала уголовный процесс в военном судопроизводстве отвечает всем требованиям Конституции и законодательства, которые в рамках демократической системы Колумбии подразумевают гарантии надлежащего судебного разбирательства в отношении обвиняемых, а также полную независимость судей и прокуроров от законодательной и исполнительной властей.  Степень независимости правосудия такова, что в Колумбии даже инспекция является отраслью судебной системы и не подчинена исполнительной власти.</w:t>
      </w:r>
    </w:p>
    <w:p w:rsidR="00000000" w:rsidRDefault="00000000">
      <w:pPr>
        <w:rPr>
          <w:color w:val="000000"/>
        </w:rPr>
      </w:pPr>
    </w:p>
    <w:p w:rsidR="00000000" w:rsidRDefault="00000000">
      <w:pPr>
        <w:rPr>
          <w:color w:val="000000"/>
        </w:rPr>
      </w:pPr>
      <w:r>
        <w:rPr>
          <w:color w:val="000000"/>
        </w:rPr>
        <w:t>156.</w:t>
      </w:r>
      <w:r>
        <w:rPr>
          <w:color w:val="000000"/>
        </w:rPr>
        <w:tab/>
        <w:t xml:space="preserve">Имея перед собой наказуемое деяние с признаками уголовного преступления, военный судья по уголовным делам открывает предварительное следствие, с тем чтобы определить, было ли какое-либо из действий войск незаконным, т.е. могущим стать основанием для проведения расследования.  В зависимости от результатов этого первого расследования дело или сдается в архив, если судья не усматривает состава преступления, или же возбуждается уголовное расследование.  В случае второго варианта военный судья по уголовным делам определяет сферу компетенции, рассматривая с этой целью связанные с деяниями доказательства для установления обстоятельств способа, времени и места их совершения.  Судья выносит заключение, действительно ли деяния произошли вследствие поведения, соответствующего характеру деятельности вооруженных сил или полиции:  иначе говоря, относились ли они к действиям, связанным со службой.  Если судья приходит к заключению, что деяние связано с исполнением служебных обязанностей, он принимает на себя расследование, поскольку дело входит в сферу его компетенции; в противном случае он передает дело в органы общей юстиции.  </w:t>
      </w:r>
    </w:p>
    <w:p w:rsidR="00000000" w:rsidRDefault="00000000">
      <w:pPr>
        <w:rPr>
          <w:color w:val="000000"/>
        </w:rPr>
      </w:pPr>
    </w:p>
    <w:p w:rsidR="00000000" w:rsidRDefault="00000000">
      <w:pPr>
        <w:rPr>
          <w:color w:val="000000"/>
        </w:rPr>
      </w:pPr>
      <w:r>
        <w:rPr>
          <w:color w:val="000000"/>
        </w:rPr>
        <w:t>157.</w:t>
      </w:r>
      <w:r>
        <w:rPr>
          <w:color w:val="000000"/>
        </w:rPr>
        <w:tab/>
        <w:t xml:space="preserve">В то же время, в ходе этого процесса могут возникать коллизии компетенций, будь то положительные или отрицательные.  Положительные - когда органы общей юрисдикции и военной юрисдикции требуют компетенцию себе, и отрицательные - когда они от нее отказываются.  В подобных случаях дело направляется в </w:t>
      </w:r>
      <w:r>
        <w:t>Высший совет системы судебных органов страны, являющийся компетентной инстанцией для</w:t>
      </w:r>
      <w:r>
        <w:rPr>
          <w:color w:val="000000"/>
        </w:rPr>
        <w:t xml:space="preserve"> разрешения конфликта компетенций.  В конечном счете, Совет, в зависимости от произведенной им оценки доказательств, передает дело либо военному судье по уголовным делам либо судье по делам общей компетенции.</w:t>
      </w:r>
    </w:p>
    <w:p w:rsidR="00000000" w:rsidRDefault="00000000">
      <w:pPr>
        <w:rPr>
          <w:color w:val="000000"/>
        </w:rPr>
      </w:pPr>
    </w:p>
    <w:p w:rsidR="00000000" w:rsidRDefault="00000000">
      <w:pPr>
        <w:rPr>
          <w:color w:val="000000"/>
        </w:rPr>
      </w:pPr>
      <w:r>
        <w:rPr>
          <w:color w:val="000000"/>
        </w:rPr>
        <w:t>158.</w:t>
      </w:r>
      <w:r>
        <w:rPr>
          <w:color w:val="000000"/>
        </w:rPr>
        <w:tab/>
        <w:t xml:space="preserve">Гражданская сторона процесса может также заявить о некомпетентности судьи, рассматривающего дело, ходатайствуя о том, чтобы дело принял судья, обладающий компетенцией; то же самое может сделать государственная прокуратура.  В обеих ситуациях последнее слово остается за Высшим советом </w:t>
      </w:r>
      <w:r>
        <w:t>системы судебных органов</w:t>
      </w:r>
      <w:r>
        <w:rPr>
          <w:color w:val="000000"/>
        </w:rPr>
        <w:t>.</w:t>
      </w:r>
    </w:p>
    <w:p w:rsidR="00000000" w:rsidRDefault="00000000"/>
    <w:p w:rsidR="00000000" w:rsidRDefault="00000000">
      <w:r>
        <w:t>159.</w:t>
      </w:r>
      <w:r>
        <w:tab/>
        <w:t>Предварительное следствие начинается при необходимости определить, имело ли место деяние, о котором сообщено компетентному органу, и квалифицировано ли оно в законе как уголовно наказуемое.  В зависимости от результата должностное лицо суда возбуждает расследование посредством постановления о начале процесса, или приостанавливает его соответствующим постановлением.  В первом случае должностное лицо суда вызывает для дачи показаний человека, который, согласно собранным доказательствам, выступает как предполагаемый виновник.  В случае неявки последнего для дачи показаний он направляет ему вызов в суд и, посредством предварительного решения, объявляет его отсутствующим и назначает ему защитника.  После того, как эти действия предприняты, судебный следователь передает материалы для квалификации дела военному инспектору по уголовным делам, который может отправить или не отправить его в суд, четко определив, имеется ли заявление хотя бы одного свидетеля, дающее весомые основания для того, чтобы ему верить, или серьезные указания, позволяющие установить ответственность подсудимого как исполнителя или участника, либо же, напротив, не существует достаточного доказательства для принятия постановления о созыве военного суда и, вследствие этого, он прекращает судебное разбирательство.</w:t>
      </w:r>
    </w:p>
    <w:p w:rsidR="00000000" w:rsidRDefault="00000000"/>
    <w:p w:rsidR="00000000" w:rsidRDefault="00000000">
      <w:pPr>
        <w:rPr>
          <w:u w:val="single"/>
        </w:rPr>
      </w:pPr>
      <w:r>
        <w:tab/>
      </w:r>
      <w:r>
        <w:rPr>
          <w:u w:val="single"/>
        </w:rPr>
        <w:t>Вторая инстанция</w:t>
      </w:r>
    </w:p>
    <w:p w:rsidR="00000000" w:rsidRDefault="00000000"/>
    <w:p w:rsidR="00000000" w:rsidRDefault="00000000">
      <w:r>
        <w:t>160.</w:t>
      </w:r>
      <w:r>
        <w:tab/>
        <w:t>После сформирования военного суда его председатель открывает соответствующие прения, по итогам которых готовятся документы в письменной форме, и в течение восьми дней, следующих за окончанием разбирательства, оглашается приговор.  Для решения этого суда второй инстанцией является Высший военный суд, который знакомится с делом либо совещательным путем, либо путем изучения подаваемого ему апелляционного обжалования.</w:t>
      </w:r>
    </w:p>
    <w:p w:rsidR="00000000" w:rsidRDefault="00000000"/>
    <w:p w:rsidR="00000000" w:rsidRDefault="00000000">
      <w:r>
        <w:t>161.</w:t>
      </w:r>
      <w:r>
        <w:tab/>
        <w:t xml:space="preserve">По аналогии с вышеизложенным, по приговорам, вынесенным во второй инстанции Высшим военным судом, за преступления, по которым предусмотрено наказание в виде лишения свободы на срок, превышающий восемь лет, или в порядке исключения, вышестоящей инстанцией является полностью гражданский суд - </w:t>
      </w:r>
      <w:r>
        <w:rPr>
          <w:color w:val="000000"/>
        </w:rPr>
        <w:t>Кассационная палата по уголовным делам Верховного суда</w:t>
      </w:r>
      <w:r>
        <w:t xml:space="preserve">.  Причины, которые может приводить податель апелляции в ходе разбирательства уголовного дела в военном суде, являются, в основном, теми же, которые указаны для уголовных судебных разбирательств в судах общей юрисдикции, а именно, нарушение какого-либо существенного закона, несоответствие приговора выдвинутым обвинениям или провозглашение приговора на судебном заседании, объявленном юридически неправомерным.  Наличие возможности подать апелляцию в военной уголовной юстиции и то обстоятельство, что решение по ней принимают гражданские лица, служат гарантией </w:t>
      </w:r>
      <w:r>
        <w:rPr>
          <w:color w:val="000000"/>
        </w:rPr>
        <w:t>беспристрастности и объективности выносимого судьей решения; беспристрастность же и объективность являются критериями, которые, как уже упоминалось выше,</w:t>
      </w:r>
      <w:r>
        <w:t xml:space="preserve"> имеют важнейшее значение как для военного уголовного процесса, так и всякого уголовного процесса. </w:t>
      </w:r>
    </w:p>
    <w:p w:rsidR="00000000" w:rsidRDefault="00000000"/>
    <w:p w:rsidR="00000000" w:rsidRDefault="00000000">
      <w:pPr>
        <w:rPr>
          <w:i/>
        </w:rPr>
      </w:pPr>
      <w:r>
        <w:t>162.</w:t>
      </w:r>
      <w:r>
        <w:tab/>
        <w:t>Новые законодательные положения, касающиеся военной уголовной юстиции, направлены - за счет уточнений отдельных тем и вопросов, вызывавших в прошлом споры в обществе - на ее укрепление и адаптацию к современным условиям, чтобы повысить ее эффективность и доверие общества к ней.</w:t>
      </w:r>
    </w:p>
    <w:p w:rsidR="00000000" w:rsidRDefault="00000000">
      <w:pPr>
        <w:rPr>
          <w:b/>
        </w:rPr>
      </w:pPr>
    </w:p>
    <w:p w:rsidR="00000000" w:rsidRDefault="00000000">
      <w:pPr>
        <w:rPr>
          <w:u w:val="single"/>
        </w:rPr>
      </w:pPr>
      <w:r>
        <w:rPr>
          <w:b/>
        </w:rPr>
        <w:tab/>
      </w:r>
      <w:r>
        <w:rPr>
          <w:u w:val="single"/>
        </w:rPr>
        <w:t>Действия, связанные со службой</w:t>
      </w:r>
    </w:p>
    <w:p w:rsidR="00000000" w:rsidRDefault="00000000"/>
    <w:p w:rsidR="00000000" w:rsidRDefault="00000000">
      <w:r>
        <w:t>163.</w:t>
      </w:r>
      <w:r>
        <w:tab/>
        <w:t xml:space="preserve">Дается точное определение того, что можно считать преступлениями, связанными со службой, и что к таковым не относится.  При этом преследуется цель снабдить судей руководством, которое бы позволило им безошибочно определить компетенцию военной уголовной юрисдикции.  При наличии же сомнений относительно сферы компетенции по конкретному преступлению Высший совет системы судебных органов страны - независимая от исполнительной власти инстанция - разрешает конфликт компетенций. </w:t>
      </w:r>
    </w:p>
    <w:p w:rsidR="00000000" w:rsidRDefault="00000000">
      <w:pPr>
        <w:keepNext/>
        <w:rPr>
          <w:b/>
        </w:rPr>
      </w:pPr>
    </w:p>
    <w:p w:rsidR="00000000" w:rsidRDefault="00000000">
      <w:pPr>
        <w:keepNext/>
        <w:rPr>
          <w:u w:val="single"/>
        </w:rPr>
      </w:pPr>
      <w:r>
        <w:rPr>
          <w:b/>
        </w:rPr>
        <w:tab/>
      </w:r>
      <w:r>
        <w:rPr>
          <w:u w:val="single"/>
        </w:rPr>
        <w:t>Надлежащее повиновение</w:t>
      </w:r>
    </w:p>
    <w:p w:rsidR="00000000" w:rsidRDefault="00000000"/>
    <w:p w:rsidR="00000000" w:rsidRDefault="00000000">
      <w:r>
        <w:t>164.</w:t>
      </w:r>
      <w:r>
        <w:tab/>
        <w:t>Уточняется принцип надлежащего повиновения, исключающий возможность того, что лица из состава сил по поддержанию правопорядка выполнят заведомо незаконные приказы, противоречащие функциям вооруженных органов государства, определенным Конституцией и законами.</w:t>
      </w:r>
    </w:p>
    <w:p w:rsidR="00000000" w:rsidRDefault="00000000">
      <w:pPr>
        <w:rPr>
          <w:b/>
        </w:rPr>
      </w:pPr>
    </w:p>
    <w:p w:rsidR="00000000" w:rsidRDefault="00000000">
      <w:pPr>
        <w:rPr>
          <w:u w:val="single"/>
        </w:rPr>
      </w:pPr>
      <w:r>
        <w:rPr>
          <w:b/>
        </w:rPr>
        <w:tab/>
      </w:r>
      <w:r>
        <w:rPr>
          <w:u w:val="single"/>
        </w:rPr>
        <w:t>Система предъявления обвинения</w:t>
      </w:r>
    </w:p>
    <w:p w:rsidR="00000000" w:rsidRDefault="00000000"/>
    <w:p w:rsidR="00000000" w:rsidRDefault="00000000">
      <w:r>
        <w:t>165.</w:t>
      </w:r>
      <w:r>
        <w:tab/>
        <w:t>В военную уголовную юстицию также введена система предъявления обвинения, предусматривающая наличие военных прокуроров по уголовным делам, наделенных функциями квалификации преступления, предъявления обвинения по ходу процесса и полномочиями для прекращения разбирательства, когда для этого есть основания.  Наконец, были внесены изменения в системы судебного разбирательства; оставлены только военные суды без гласных и специальное производство; в рамках обеих систем решение выносится на правовых основаниях.</w:t>
      </w:r>
    </w:p>
    <w:p w:rsidR="00000000" w:rsidRDefault="00000000">
      <w:pPr>
        <w:rPr>
          <w:u w:val="single"/>
        </w:rPr>
      </w:pPr>
    </w:p>
    <w:p w:rsidR="00000000" w:rsidRDefault="00000000">
      <w:pPr>
        <w:rPr>
          <w:u w:val="single"/>
        </w:rPr>
      </w:pPr>
      <w:proofErr w:type="spellStart"/>
      <w:r>
        <w:rPr>
          <w:u w:val="single"/>
        </w:rPr>
        <w:t>Непривлечение</w:t>
      </w:r>
      <w:proofErr w:type="spellEnd"/>
      <w:r>
        <w:rPr>
          <w:u w:val="single"/>
        </w:rPr>
        <w:t xml:space="preserve"> несовершеннолетних к военной службе - Закон № 548 от декабря 1999 года</w:t>
      </w:r>
    </w:p>
    <w:p w:rsidR="00000000" w:rsidRDefault="00000000"/>
    <w:p w:rsidR="00000000" w:rsidRDefault="00000000">
      <w:pPr>
        <w:rPr>
          <w:b/>
        </w:rPr>
      </w:pPr>
      <w:r>
        <w:t>166.</w:t>
      </w:r>
      <w:r>
        <w:tab/>
        <w:t>Проводя политику защиты прав человека и применения норм международного гуманитарного права, правительство страны в 1999 году постановило уволить из вооруженных сил всех лиц моложе 18 лет, поступивших на службу по собственному желанию.  В результате этой меры из состава сил по поддержанию правопорядка было уволено более 1 000 несовершеннолетних.  Закон № 548, принятый в 1999 году в связи с подписанными Колумбией международными соглашениями, запретил в дальнейшем определяться на военную службу лицам, не достигшим 18 лет.  Это является более строгой нормой по сравнению с предусмотренным недавно в Факультативном протоколе к Конвенции о правах ребенка в отношении участия детей в вооруженных конфликтах.</w:t>
      </w:r>
    </w:p>
    <w:p w:rsidR="00000000" w:rsidRDefault="00000000">
      <w:pPr>
        <w:rPr>
          <w:u w:val="single"/>
        </w:rPr>
      </w:pPr>
    </w:p>
    <w:p w:rsidR="00000000" w:rsidRDefault="00000000">
      <w:pPr>
        <w:rPr>
          <w:u w:val="single"/>
        </w:rPr>
      </w:pPr>
      <w:r>
        <w:rPr>
          <w:u w:val="single"/>
        </w:rPr>
        <w:br w:type="page"/>
        <w:t>Присоединение к Конвенции о запрещении применения, накопления запасов, производства и передачи противопехотных мин и об их уничтожении - Закон № 254 от января 2000 года</w:t>
      </w:r>
    </w:p>
    <w:p w:rsidR="00000000" w:rsidRDefault="00000000"/>
    <w:p w:rsidR="00000000" w:rsidRDefault="00000000">
      <w:r>
        <w:t>167.</w:t>
      </w:r>
      <w:r>
        <w:tab/>
        <w:t>После подписания Конвенции о запрещении применения, накопления запасов, производства и передачи противопехотных мин и об их уничтожении правительство страны развернуло работу по включению ее положений во внутреннее законодательство.  Надлежащим образом одобренный закон по этому вопросу был утвержден президентом Республики 14 января 2000 года.  В августе Конституционный суд объявил его выполнимым, и 6 сентября президент Республики, в рамках проходившей в Нью-Йорке встречи глав государств, посвященной новому тысячелетию, сдал на хранение Генеральному Секретарю Организации Объединенных Наций соответствующий документ о ратификации.</w:t>
      </w:r>
    </w:p>
    <w:p w:rsidR="00000000" w:rsidRDefault="00000000"/>
    <w:p w:rsidR="00000000" w:rsidRDefault="00000000">
      <w:r>
        <w:t>168.</w:t>
      </w:r>
      <w:r>
        <w:tab/>
        <w:t>В настоящее время соответствующие правительственные учреждения ведут работу по подготовке руководящего документа, устанавливающего институциональные рамки, позволяющие выполнить положения и обязательства, содержащиеся в упомянутой Конвенции.</w:t>
      </w:r>
    </w:p>
    <w:p w:rsidR="00000000" w:rsidRDefault="00000000">
      <w:pPr>
        <w:rPr>
          <w:u w:val="single"/>
        </w:rPr>
      </w:pPr>
    </w:p>
    <w:p w:rsidR="00000000" w:rsidRDefault="00000000">
      <w:r>
        <w:rPr>
          <w:u w:val="single"/>
        </w:rPr>
        <w:t>Новый Уголовный кодекс - Закон № 599 от июля 2000 года (действует с 24 июля 2001 года</w:t>
      </w:r>
      <w:r>
        <w:t>)</w:t>
      </w:r>
    </w:p>
    <w:p w:rsidR="00000000" w:rsidRDefault="00000000">
      <w:pPr>
        <w:rPr>
          <w:u w:val="single"/>
        </w:rPr>
      </w:pPr>
    </w:p>
    <w:p w:rsidR="00000000" w:rsidRDefault="00000000">
      <w:r>
        <w:t>169.</w:t>
      </w:r>
      <w:r>
        <w:tab/>
        <w:t xml:space="preserve">В случае нового Уголовного кодекса преследовалась цель обеспечить соответствие его содержания нормам и принципам, закрепленным в Конституции 1991 года, а также способствовать уважению и защите прав человека и норм международного гуманитарного права. </w:t>
      </w:r>
    </w:p>
    <w:p w:rsidR="00000000" w:rsidRDefault="00000000"/>
    <w:p w:rsidR="00000000" w:rsidRDefault="00000000">
      <w:r>
        <w:t>170.</w:t>
      </w:r>
      <w:r>
        <w:tab/>
        <w:t xml:space="preserve">Уголовный кодекс исходит из необходимости уважать человеческое достоинство не только преступника, но и жертвы.  В связи с этим устанавливаются четкие правила в духе </w:t>
      </w:r>
      <w:proofErr w:type="spellStart"/>
      <w:r>
        <w:t>гуманизации</w:t>
      </w:r>
      <w:proofErr w:type="spellEnd"/>
      <w:r>
        <w:t xml:space="preserve"> уголовного права в части, касающейся освобождения от ответственности, и считаются преступлениями самые серьезные посягательства на права человека, при этом предусматриваются новые составы преступления, такие, как нарушения норм международного гуманитарного права и грубые нарушения прав человека, включающие геноцид, насильственное исчезновение, насильственное перемещение лиц и пытки.</w:t>
      </w:r>
    </w:p>
    <w:p w:rsidR="00000000" w:rsidRDefault="00000000"/>
    <w:p w:rsidR="00000000" w:rsidRDefault="00000000">
      <w:r>
        <w:t>171.</w:t>
      </w:r>
      <w:r>
        <w:tab/>
        <w:t xml:space="preserve">Введение этих новых видов уголовно наказуемых деяний означает реальный шаг вперед по пути </w:t>
      </w:r>
      <w:proofErr w:type="spellStart"/>
      <w:r>
        <w:t>гуманизации</w:t>
      </w:r>
      <w:proofErr w:type="spellEnd"/>
      <w:r>
        <w:t xml:space="preserve"> конфликта и защиты основных прав колумбийцев.  В этом отношении законодательство вносит важный вклад в защиту жизни и достоинства человека.</w:t>
      </w:r>
    </w:p>
    <w:p w:rsidR="00000000" w:rsidRDefault="00000000">
      <w:r>
        <w:t>172.</w:t>
      </w:r>
      <w:r>
        <w:tab/>
        <w:t>Сокращение сроков наказания является показателем того, что в области применения наказаний признается влияние условий нищеты и фактора маргинального положения в обществе, а также необходимость проводить различие между профессиональной преступностью и преступлениями тех, кто совершает их из-за крайней нужды.</w:t>
      </w:r>
    </w:p>
    <w:p w:rsidR="00000000" w:rsidRDefault="00000000"/>
    <w:p w:rsidR="00000000" w:rsidRDefault="00000000">
      <w:r>
        <w:t>173.</w:t>
      </w:r>
      <w:r>
        <w:tab/>
        <w:t xml:space="preserve">Преступность идет в ногу с достижениями науки и техники, поэтому в Кодексе названы связанные с ними новые формы преступного поведения, такие, как генетические манипуляции, клонирование, оплодотворение и торговля эмбрионами человека, нанесение повреждения зародышу, распространение СПИДа и гепатита B, </w:t>
      </w:r>
      <w:proofErr w:type="spellStart"/>
      <w:r>
        <w:t>секстуризм</w:t>
      </w:r>
      <w:proofErr w:type="spellEnd"/>
      <w:r>
        <w:t>, транснациональный подкуп, торговля химическим, биологическим и ядерным оружием, биржевые спекуляции, предложение фальсифицированных изделий и услуг и т.д.</w:t>
      </w:r>
    </w:p>
    <w:p w:rsidR="00000000" w:rsidRDefault="00000000"/>
    <w:p w:rsidR="00000000" w:rsidRDefault="00000000">
      <w:r>
        <w:t>174.</w:t>
      </w:r>
      <w:r>
        <w:tab/>
        <w:t xml:space="preserve">Вводятся альтернативы обычному тюремному заключению, поскольку существует широкий круг мелких преступлений, наказываемых штрафом; для смягчения тяжести заключения по преступлениям, считающимся преступлениями средней тяжести, устанавливается отбывание заключения на дому и разрешается сокращать срок заключения при пребывании в больнице или по месту жительства для тех лиц, которые страдают от тяжелой болезни, несовместимой с жизнью в заключении.  Тем самым преследуется цель уменьшить строгость пенитенциарной системы. </w:t>
      </w:r>
    </w:p>
    <w:p w:rsidR="00000000" w:rsidRDefault="00000000"/>
    <w:p w:rsidR="00000000" w:rsidRDefault="00000000">
      <w:r>
        <w:t>175.</w:t>
      </w:r>
      <w:r>
        <w:tab/>
        <w:t>Делается крутой поворот в определении продолжительности сроков наказания, так как устанавливается предельный максимальный срок заключения в 40 лет.  Такой подход сопровождается большей последовательностью как при законодательном и судебном определении сроков, так и вопросе их отбывания.  При этом ликвидируется существующая ныне излишняя произвольность, и устраняется ошибочная практика назначения весьма продолжительных сроков заключения, которые заканчиваются смехотворным сроком отбывания из-за наличия прогрессивных и накапливающихся сокращений срока заключения.</w:t>
      </w:r>
    </w:p>
    <w:p w:rsidR="00000000" w:rsidRDefault="00000000">
      <w:pPr>
        <w:rPr>
          <w:u w:val="single"/>
        </w:rPr>
      </w:pPr>
    </w:p>
    <w:p w:rsidR="00000000" w:rsidRDefault="00000000">
      <w:pPr>
        <w:rPr>
          <w:u w:val="single"/>
        </w:rPr>
      </w:pPr>
      <w:r>
        <w:rPr>
          <w:u w:val="single"/>
        </w:rPr>
        <w:t>Новый Уголовно-процессуальный кодекс - Закон № 600 от июля 2000 года (действует с 24 июля 2001 года)</w:t>
      </w:r>
    </w:p>
    <w:p w:rsidR="00000000" w:rsidRDefault="00000000"/>
    <w:p w:rsidR="00000000" w:rsidRDefault="00000000">
      <w:r>
        <w:t>176.</w:t>
      </w:r>
      <w:r>
        <w:tab/>
        <w:t>Говоря об Уголовно-процессуальном кодексе, очень важно отметить, что в нем отражены замечания и рекомендации в этой области со стороны юриспруденции и теоретической науки.  Ориентируясь главным образом на уважение прав и гарантий субъектов процесса, Кодекс устанавливает более оперативную процедуру, позволяющую облегчить работу следствия и рассмотрение дел должностными лицами суда, что создает возможность для более адекватной и быстрой реакции государства в порядке обеспечения эффективности системы правосудия.</w:t>
      </w:r>
    </w:p>
    <w:p w:rsidR="00000000" w:rsidRDefault="00000000">
      <w:r>
        <w:t>177.</w:t>
      </w:r>
      <w:r>
        <w:tab/>
        <w:t>Ставится задача развития, без слепого копирования заграничных систем, принципа обвинения, провозглашенного в Политической Хартии, и предписывающего разделение функций обвинения и рассмотрения дела, при наличии Генеральной инспекции Республики, руководствующейся судебными принципами и критериями, не допускающими обилия учреждений, для которых основным является критерий целесообразности в противовес принципу законности, и при постоянном стремлении приблизить гражданина к отправлению правосудия.</w:t>
      </w:r>
    </w:p>
    <w:p w:rsidR="00000000" w:rsidRDefault="00000000"/>
    <w:p w:rsidR="00000000" w:rsidRDefault="00000000">
      <w:r>
        <w:t>178.</w:t>
      </w:r>
      <w:r>
        <w:tab/>
        <w:t xml:space="preserve">В качестве единственной меры пресечения предусмотрен предварительный арест, применяемый только в случае преступлений, считающихся тяжкими, при этом максимально гарантируется свобода в ходе процесса, что является воплощением основного права на презумпцию невиновности.  С другой стороны, </w:t>
      </w:r>
      <w:proofErr w:type="spellStart"/>
      <w:r>
        <w:t>ужесточаются</w:t>
      </w:r>
      <w:proofErr w:type="spellEnd"/>
      <w:r>
        <w:t xml:space="preserve"> требования к наличию доказательств для его применения, а посему лишение свободы может иметь место только тогда, когда против обвиняемого есть несомненные доказательства.</w:t>
      </w:r>
    </w:p>
    <w:p w:rsidR="00000000" w:rsidRDefault="00000000"/>
    <w:p w:rsidR="00000000" w:rsidRDefault="00000000">
      <w:r>
        <w:t>179.</w:t>
      </w:r>
      <w:r>
        <w:tab/>
        <w:t>В связи с растущим осознанием необходимости максимально усилить контроль за решениями Генеральной инспекции Республики, с тем чтобы они принимались с полным уважением гарантий и основных прав, предусматривается не только формальный, но и, главным образом, материальный контроль мер пресечения со стороны компетентных судей.  Благодаря этому, гражданин, в отношении которого принято постановление о предварительном задержании, будет иметь право на то, чтобы беспристрастный судья проверил, есть ли существенные нарушения в оценке доказательств, которыми оправдывают данную меру пресечения.</w:t>
      </w:r>
    </w:p>
    <w:p w:rsidR="00000000" w:rsidRDefault="00000000"/>
    <w:p w:rsidR="00000000" w:rsidRDefault="00000000">
      <w:r>
        <w:t>180.</w:t>
      </w:r>
      <w:r>
        <w:tab/>
        <w:t>Для устранения одного из недостатков действующих сейчас уголовно-процессуальных норм предусмотрен механизм, позволяющий изменить юридическую квалификацию, содержащуюся в обвинительном постановлении, с четким указанием причин и действий, которые необходимо предпринять, при непременном соблюдении права обвиняемого на защиту при новой формулировке обвинения.</w:t>
      </w:r>
    </w:p>
    <w:p w:rsidR="00000000" w:rsidRDefault="00000000"/>
    <w:p w:rsidR="00000000" w:rsidRDefault="00000000">
      <w:r>
        <w:t>181.</w:t>
      </w:r>
      <w:r>
        <w:tab/>
        <w:t>Укрепляются механизмы международного судебного сотрудничества в сфере обмена доказательствами, и отрабатываются правила отслеживания преступного поведения, а также обмена предметами, веществами и запрещенными услугами в контексте транснациональных преступлений.</w:t>
      </w:r>
    </w:p>
    <w:p w:rsidR="00000000" w:rsidRDefault="00000000">
      <w:pPr>
        <w:rPr>
          <w:snapToGrid w:val="0"/>
          <w:u w:val="single"/>
        </w:rPr>
      </w:pPr>
    </w:p>
    <w:p w:rsidR="00000000" w:rsidRDefault="00000000">
      <w:pPr>
        <w:rPr>
          <w:snapToGrid w:val="0"/>
          <w:u w:val="single"/>
        </w:rPr>
      </w:pPr>
      <w:r>
        <w:rPr>
          <w:snapToGrid w:val="0"/>
          <w:u w:val="single"/>
        </w:rPr>
        <w:br w:type="page"/>
        <w:t>Статут Международного уголовного суда</w:t>
      </w:r>
    </w:p>
    <w:p w:rsidR="00000000" w:rsidRDefault="00000000">
      <w:pPr>
        <w:rPr>
          <w:snapToGrid w:val="0"/>
        </w:rPr>
      </w:pPr>
    </w:p>
    <w:p w:rsidR="00000000" w:rsidRDefault="00000000">
      <w:pPr>
        <w:rPr>
          <w:snapToGrid w:val="0"/>
        </w:rPr>
      </w:pPr>
      <w:r>
        <w:rPr>
          <w:snapToGrid w:val="0"/>
        </w:rPr>
        <w:t>182.</w:t>
      </w:r>
      <w:r>
        <w:rPr>
          <w:snapToGrid w:val="0"/>
        </w:rPr>
        <w:tab/>
        <w:t>После подписания так называемого Римского</w:t>
      </w:r>
      <w:r>
        <w:rPr>
          <w:snapToGrid w:val="0"/>
          <w:lang w:val="fr-FR"/>
        </w:rPr>
        <w:t xml:space="preserve"> </w:t>
      </w:r>
      <w:r>
        <w:rPr>
          <w:snapToGrid w:val="0"/>
        </w:rPr>
        <w:t>статута</w:t>
      </w:r>
      <w:r>
        <w:rPr>
          <w:snapToGrid w:val="0"/>
          <w:lang w:val="fr-FR"/>
        </w:rPr>
        <w:t xml:space="preserve"> </w:t>
      </w:r>
      <w:r>
        <w:rPr>
          <w:snapToGrid w:val="0"/>
        </w:rPr>
        <w:t>Международного</w:t>
      </w:r>
      <w:r>
        <w:rPr>
          <w:snapToGrid w:val="0"/>
          <w:lang w:val="fr-FR"/>
        </w:rPr>
        <w:t xml:space="preserve"> </w:t>
      </w:r>
      <w:r>
        <w:rPr>
          <w:snapToGrid w:val="0"/>
        </w:rPr>
        <w:t>уголовного</w:t>
      </w:r>
      <w:r>
        <w:rPr>
          <w:snapToGrid w:val="0"/>
          <w:lang w:val="fr-FR"/>
        </w:rPr>
        <w:t xml:space="preserve"> </w:t>
      </w:r>
      <w:r>
        <w:rPr>
          <w:snapToGrid w:val="0"/>
        </w:rPr>
        <w:t>суда и подписания его государством Колумбия в декабре 1998 года, министерство иностранных дел приступило к координационной деятельности по подготовке упоминаемых в этом договоре совещаний с целью формирования подготовительных комиссий для учреждения Суда, которые проходят в Нью-Йорке.</w:t>
      </w:r>
    </w:p>
    <w:p w:rsidR="00000000" w:rsidRDefault="00000000">
      <w:pPr>
        <w:rPr>
          <w:snapToGrid w:val="0"/>
        </w:rPr>
      </w:pPr>
    </w:p>
    <w:p w:rsidR="00000000" w:rsidRDefault="00000000">
      <w:pPr>
        <w:rPr>
          <w:snapToGrid w:val="0"/>
        </w:rPr>
      </w:pPr>
      <w:r>
        <w:rPr>
          <w:snapToGrid w:val="0"/>
        </w:rPr>
        <w:t>183.</w:t>
      </w:r>
      <w:r>
        <w:rPr>
          <w:snapToGrid w:val="0"/>
        </w:rPr>
        <w:tab/>
        <w:t>Говоря о делах внутри страны, стоит подчеркнуть, что эта тема занимает особое место в политических дебатах вокруг проблем мира и прав человека.  В этом контексте 15 марта 2001 года по инициативе нескольких сенаторов Республики в секретариат по общим вопросам Сената был представлен проект законодательного акта (№ 14/01), посредством которого предполагается изменить статью 93 Политической Конституции, введя в нее Статут</w:t>
      </w:r>
      <w:r>
        <w:rPr>
          <w:snapToGrid w:val="0"/>
          <w:lang w:val="fr-FR"/>
        </w:rPr>
        <w:t xml:space="preserve"> </w:t>
      </w:r>
      <w:r>
        <w:rPr>
          <w:snapToGrid w:val="0"/>
        </w:rPr>
        <w:t>Международного</w:t>
      </w:r>
      <w:r>
        <w:rPr>
          <w:snapToGrid w:val="0"/>
          <w:lang w:val="fr-FR"/>
        </w:rPr>
        <w:t xml:space="preserve"> </w:t>
      </w:r>
      <w:r>
        <w:rPr>
          <w:snapToGrid w:val="0"/>
        </w:rPr>
        <w:t>уголовного</w:t>
      </w:r>
      <w:r>
        <w:rPr>
          <w:snapToGrid w:val="0"/>
          <w:lang w:val="fr-FR"/>
        </w:rPr>
        <w:t xml:space="preserve"> </w:t>
      </w:r>
      <w:r>
        <w:rPr>
          <w:snapToGrid w:val="0"/>
        </w:rPr>
        <w:t>суда.</w:t>
      </w:r>
    </w:p>
    <w:p w:rsidR="00000000" w:rsidRDefault="00000000">
      <w:pPr>
        <w:rPr>
          <w:snapToGrid w:val="0"/>
        </w:rPr>
      </w:pPr>
    </w:p>
    <w:p w:rsidR="00000000" w:rsidRDefault="00000000">
      <w:pPr>
        <w:rPr>
          <w:snapToGrid w:val="0"/>
        </w:rPr>
      </w:pPr>
      <w:r>
        <w:rPr>
          <w:snapToGrid w:val="0"/>
        </w:rPr>
        <w:t>184.</w:t>
      </w:r>
      <w:r>
        <w:rPr>
          <w:snapToGrid w:val="0"/>
        </w:rPr>
        <w:tab/>
        <w:t>По согласованию с правительством страны проект законодательного акта был подвергнут юридической корректировке, при этом указано, что право законодательной инициативы в области договоров принадлежит правительству страны, и констатирована необходимость адаптировать Политическую Конституцию в некоторых аспектах, расходящихся с Римским статутом.  Было решено отразить в проекте законодательного акта вопрос о признании юрисдикции Международного уголовного суда в Колумбии, с тем чтобы позже представить проект закона о включении упомянутого статута в национальное законодательство.  Упоминаемый проект был одобрен конгрессом Республики в декабре.  Римский статут будет представлен на ратификацию сразу же после начала нового срока полномочий в марте 2002 года.</w:t>
      </w:r>
    </w:p>
    <w:p w:rsidR="00000000" w:rsidRDefault="00000000">
      <w:pPr>
        <w:rPr>
          <w:rFonts w:eastAsia="MS Mincho"/>
          <w:u w:val="single"/>
        </w:rPr>
      </w:pPr>
      <w:bookmarkStart w:id="10" w:name="_Toc511097885"/>
      <w:bookmarkStart w:id="11" w:name="_Toc511101340"/>
    </w:p>
    <w:p w:rsidR="00000000" w:rsidRDefault="00000000">
      <w:pPr>
        <w:rPr>
          <w:rFonts w:eastAsia="MS Mincho"/>
          <w:lang w:val="fr-FR"/>
        </w:rPr>
      </w:pPr>
      <w:r>
        <w:rPr>
          <w:rFonts w:eastAsia="MS Mincho"/>
          <w:u w:val="single"/>
        </w:rPr>
        <w:t xml:space="preserve">Проект закона о присоединении к Межамериканской конвенции о насильственном исчезновении лиц </w:t>
      </w:r>
      <w:bookmarkEnd w:id="10"/>
      <w:bookmarkEnd w:id="11"/>
    </w:p>
    <w:p w:rsidR="00000000" w:rsidRDefault="00000000">
      <w:pPr>
        <w:rPr>
          <w:rFonts w:eastAsia="MS Mincho"/>
        </w:rPr>
      </w:pPr>
    </w:p>
    <w:p w:rsidR="00000000" w:rsidRDefault="00000000">
      <w:pPr>
        <w:rPr>
          <w:rFonts w:eastAsia="MS Mincho"/>
        </w:rPr>
      </w:pPr>
      <w:r>
        <w:rPr>
          <w:rFonts w:eastAsia="MS Mincho"/>
        </w:rPr>
        <w:t>185.</w:t>
      </w:r>
      <w:r>
        <w:rPr>
          <w:rFonts w:eastAsia="MS Mincho"/>
        </w:rPr>
        <w:tab/>
        <w:t xml:space="preserve">20 марта 2000 года министерством иностранных дел и министерством юстиции был внесен </w:t>
      </w:r>
      <w:r>
        <w:rPr>
          <w:snapToGrid w:val="0"/>
        </w:rPr>
        <w:t>в секретариат по общим вопросам Сената проект</w:t>
      </w:r>
      <w:r>
        <w:rPr>
          <w:rFonts w:eastAsia="MS Mincho"/>
        </w:rPr>
        <w:t xml:space="preserve"> закона № 159/01 о присоединении к Межамериканской конвенции о насильственном исчезновении лиц.</w:t>
      </w:r>
    </w:p>
    <w:p w:rsidR="00000000" w:rsidRDefault="00000000">
      <w:pPr>
        <w:rPr>
          <w:rFonts w:eastAsia="MS Mincho"/>
        </w:rPr>
      </w:pPr>
    </w:p>
    <w:p w:rsidR="00000000" w:rsidRDefault="00000000">
      <w:pPr>
        <w:rPr>
          <w:rFonts w:eastAsia="MS Mincho"/>
        </w:rPr>
      </w:pPr>
      <w:r>
        <w:rPr>
          <w:rFonts w:eastAsia="MS Mincho"/>
        </w:rPr>
        <w:t>186.</w:t>
      </w:r>
      <w:r>
        <w:rPr>
          <w:rFonts w:eastAsia="MS Mincho"/>
        </w:rPr>
        <w:tab/>
        <w:t>Положения Конвенции полностью совместимы с внутренними правовыми нормами, расширяют возможности страны в плане противодействия этой предосудительной практике и призывают сообщество полушария к борьбе с ней.</w:t>
      </w:r>
    </w:p>
    <w:p w:rsidR="00000000" w:rsidRDefault="00000000">
      <w:pPr>
        <w:rPr>
          <w:rFonts w:eastAsia="MS Mincho"/>
        </w:rPr>
      </w:pPr>
    </w:p>
    <w:p w:rsidR="00000000" w:rsidRDefault="00000000">
      <w:pPr>
        <w:rPr>
          <w:rFonts w:eastAsia="MS Mincho"/>
        </w:rPr>
      </w:pPr>
      <w:r>
        <w:rPr>
          <w:rFonts w:eastAsia="MS Mincho"/>
        </w:rPr>
        <w:t>187.</w:t>
      </w:r>
      <w:r>
        <w:rPr>
          <w:rFonts w:eastAsia="MS Mincho"/>
        </w:rPr>
        <w:tab/>
        <w:t xml:space="preserve">Правительство считает, что для целей дальнейшего продвижения страны вперед по пути соблюдения и поощрения прав человека Колумбии важно ратифицировать этот международный договор. </w:t>
      </w:r>
    </w:p>
    <w:p w:rsidR="00000000" w:rsidRDefault="00000000">
      <w:pPr>
        <w:rPr>
          <w:rFonts w:eastAsia="MS Mincho"/>
          <w:u w:val="single"/>
        </w:rPr>
      </w:pPr>
      <w:bookmarkStart w:id="12" w:name="_Toc511097886"/>
      <w:bookmarkStart w:id="13" w:name="_Toc511101341"/>
    </w:p>
    <w:p w:rsidR="00000000" w:rsidRDefault="00000000">
      <w:pPr>
        <w:rPr>
          <w:rFonts w:eastAsia="MS Mincho"/>
          <w:u w:val="single"/>
        </w:rPr>
      </w:pPr>
      <w:r>
        <w:rPr>
          <w:rFonts w:eastAsia="MS Mincho"/>
          <w:u w:val="single"/>
        </w:rPr>
        <w:t>Проект Единого дисциплинарного кодекса</w:t>
      </w:r>
      <w:bookmarkEnd w:id="12"/>
      <w:bookmarkEnd w:id="13"/>
    </w:p>
    <w:p w:rsidR="00000000" w:rsidRDefault="00000000">
      <w:pPr>
        <w:rPr>
          <w:rFonts w:eastAsia="MS Mincho"/>
        </w:rPr>
      </w:pPr>
    </w:p>
    <w:p w:rsidR="00000000" w:rsidRDefault="00000000">
      <w:pPr>
        <w:rPr>
          <w:rFonts w:eastAsia="MS Mincho"/>
        </w:rPr>
      </w:pPr>
      <w:r>
        <w:rPr>
          <w:rFonts w:eastAsia="MS Mincho"/>
        </w:rPr>
        <w:t>188.</w:t>
      </w:r>
      <w:r>
        <w:rPr>
          <w:rFonts w:eastAsia="MS Mincho"/>
        </w:rPr>
        <w:tab/>
        <w:t>Конгресс Республики продолжал законодательную работу над проектом нового Единого дисциплинарного кодекса, представленного по инициативе прокуратуры.</w:t>
      </w:r>
    </w:p>
    <w:p w:rsidR="00000000" w:rsidRDefault="00000000">
      <w:pPr>
        <w:rPr>
          <w:rFonts w:eastAsia="MS Mincho"/>
        </w:rPr>
      </w:pPr>
    </w:p>
    <w:p w:rsidR="00000000" w:rsidRDefault="00000000">
      <w:pPr>
        <w:rPr>
          <w:rFonts w:eastAsia="MS Mincho"/>
        </w:rPr>
      </w:pPr>
      <w:r>
        <w:rPr>
          <w:rFonts w:eastAsia="MS Mincho"/>
        </w:rPr>
        <w:t>189.</w:t>
      </w:r>
      <w:r>
        <w:rPr>
          <w:rFonts w:eastAsia="MS Mincho"/>
        </w:rPr>
        <w:tab/>
        <w:t>Правительство считает, что изменение Единого дисциплинарного кодекса является необходимым, поскольку в действующих нормах не полностью указаны правонарушения, квалифицируемые как особо тяжкие, в связи с чем нарушения прав человека и норм международного гуманитарного права не караются по всей строгости.</w:t>
      </w:r>
    </w:p>
    <w:p w:rsidR="00000000" w:rsidRDefault="00000000">
      <w:pPr>
        <w:rPr>
          <w:rFonts w:eastAsia="MS Mincho"/>
        </w:rPr>
      </w:pPr>
    </w:p>
    <w:p w:rsidR="00000000" w:rsidRDefault="00000000">
      <w:pPr>
        <w:rPr>
          <w:rFonts w:eastAsia="MS Mincho"/>
        </w:rPr>
      </w:pPr>
      <w:r>
        <w:rPr>
          <w:rFonts w:eastAsia="MS Mincho"/>
        </w:rPr>
        <w:t>190.</w:t>
      </w:r>
      <w:r>
        <w:rPr>
          <w:rFonts w:eastAsia="MS Mincho"/>
        </w:rPr>
        <w:tab/>
        <w:t xml:space="preserve">В проекте точно и строго регулируются правонарушения, связанные с правами человека и международным гуманитарным правом; предусматривается увеличение срока давности дисциплинарного дела до десяти лет, когда речь идет о нарушениях прав человека и норм международного гуманитарного права, а также срока давности наказания. </w:t>
      </w:r>
    </w:p>
    <w:p w:rsidR="00000000" w:rsidRDefault="00000000">
      <w:pPr>
        <w:rPr>
          <w:rFonts w:eastAsia="MS Mincho"/>
        </w:rPr>
      </w:pPr>
    </w:p>
    <w:p w:rsidR="00000000" w:rsidRDefault="00000000">
      <w:pPr>
        <w:rPr>
          <w:rFonts w:eastAsia="MS Mincho"/>
        </w:rPr>
      </w:pPr>
      <w:r>
        <w:rPr>
          <w:rFonts w:eastAsia="MS Mincho"/>
        </w:rPr>
        <w:t>191.</w:t>
      </w:r>
      <w:r>
        <w:rPr>
          <w:rFonts w:eastAsia="MS Mincho"/>
        </w:rPr>
        <w:tab/>
        <w:t>Предполагается включить в число особо тяжких правонарушений невыполнение президентских директив, затрагивающих вопросы прав человека и аспекты гуманитарного характера.</w:t>
      </w:r>
    </w:p>
    <w:p w:rsidR="00000000" w:rsidRDefault="00000000"/>
    <w:p w:rsidR="00000000" w:rsidRDefault="00000000">
      <w:pPr>
        <w:jc w:val="center"/>
        <w:rPr>
          <w:u w:val="single"/>
        </w:rPr>
      </w:pPr>
      <w:proofErr w:type="spellStart"/>
      <w:r>
        <w:t>G</w:t>
      </w:r>
      <w:proofErr w:type="spellEnd"/>
      <w:r>
        <w:t>.</w:t>
      </w:r>
      <w:r>
        <w:tab/>
      </w:r>
      <w:r>
        <w:rPr>
          <w:u w:val="single"/>
        </w:rPr>
        <w:t>Другие механизмы политики защиты прав человека</w:t>
      </w:r>
    </w:p>
    <w:p w:rsidR="00000000" w:rsidRDefault="00000000"/>
    <w:p w:rsidR="00000000" w:rsidRDefault="00000000">
      <w:r>
        <w:t>192.</w:t>
      </w:r>
      <w:r>
        <w:tab/>
        <w:t xml:space="preserve">Выполнение рекомендаций международных организаций.  Постоянная межведомственная комиссия по правам человека и международному гуманитарному праву и её Техническая группа работают над изучением и выполнением рекомендаций, содержащихся в полугодовом отчете колумбийского представительства Управления Верховного комиссара Организации Объединенных Наций по правам человека, сгруппированных в соответствии с классификацией, предложенной указанным Управлением.  На данный момент в ходе этой работы проверено выполнение обязательств, принятых в связи рекомендациями, касающимися подхода к такому явлению, как группы самообороны, защиты борцов за права человека, отправления правосудия и борьбы с безнаказанностью, положения коренного населения и </w:t>
      </w:r>
      <w:proofErr w:type="spellStart"/>
      <w:r>
        <w:t>афро-колумбийцев</w:t>
      </w:r>
      <w:proofErr w:type="spellEnd"/>
      <w:r>
        <w:t xml:space="preserve"> и проблемы насильственного перемещения населения.</w:t>
      </w:r>
    </w:p>
    <w:p w:rsidR="00000000" w:rsidRDefault="00000000"/>
    <w:p w:rsidR="00000000" w:rsidRDefault="00000000">
      <w:r>
        <w:br w:type="page"/>
        <w:t>193.</w:t>
      </w:r>
      <w:r>
        <w:tab/>
        <w:t xml:space="preserve">Расширение бюджетных возможностей государственных органов и правительственных учреждений, занимающихся вопросами прав человека и международного гуманитарного права.  Для обеспечения проведения политики защиты прав человека и норм международного гуманитарного права Межведомственный комитет по правам человека и международному гуманитарному праву произвел оценку потребности в выделении средств для правительственных и государственных органов, отвечающих за эти вопросы, и, руководствуясь указаниями президента Республики, подготовил соответствующее заключение для министерства финансов и Национального департамента планирования (ДНП).  Можно отметить, что на данный момент Отдел прав человека Генеральной инспекции располагает средствами для своей работы и получает финансовую помощь по линии международного сотрудничества в рамках </w:t>
      </w:r>
      <w:r>
        <w:rPr>
          <w:snapToGrid w:val="0"/>
        </w:rPr>
        <w:t xml:space="preserve">президентской Программы по защите </w:t>
      </w:r>
      <w:r>
        <w:t xml:space="preserve">прав человека.  В то же время, Канцелярия </w:t>
      </w:r>
      <w:proofErr w:type="spellStart"/>
      <w:r>
        <w:t>омбудсмена</w:t>
      </w:r>
      <w:proofErr w:type="spellEnd"/>
      <w:r>
        <w:t xml:space="preserve"> испытывает особую потребность в средствах, так же как и министерства внутренних дел, труда, юстиции и права, Сеть социальной солидарности, президентская программа и Генеральная прокуратура Республики.  Что касается являющегося частным случаем автономного бюджета для Программы защиты свидетелей Генеральной инспекции, то правительство страны добивается ускорения поступления в страну средств по линии международного сотрудничества.</w:t>
      </w:r>
    </w:p>
    <w:p w:rsidR="00000000" w:rsidRDefault="00000000"/>
    <w:p w:rsidR="00000000" w:rsidRDefault="00000000">
      <w:pPr>
        <w:rPr>
          <w:u w:val="single"/>
        </w:rPr>
      </w:pPr>
      <w:r>
        <w:t>194.</w:t>
      </w:r>
      <w:r>
        <w:tab/>
        <w:t xml:space="preserve">Стратегия популяризации и распространения знаний в рамках Президентской программы.  Для целей проведения долгосрочной политики, в контексте </w:t>
      </w:r>
      <w:r>
        <w:rPr>
          <w:snapToGrid w:val="0"/>
        </w:rPr>
        <w:t xml:space="preserve">президентской Программы по защите </w:t>
      </w:r>
      <w:r>
        <w:t>прав человека и международному гуманитарному праву реализуется стратегия популяризации и распространения знаний в средствах массовой информации, направленная на осознание гражданами необходимости соблюдения и применения прав человека и норм международного гуманитарного права, а также на привитие им чувства взаимного уважения и стремления к мирному сосуществованию.  Кроме того, функционирует Отдел по наблюдению за осуществлением Президентской программы, являющийся механизмом для определения достижений и препятствий на пути применения правительственной политики, а также инструментом распространения материалов исследований по конкретным темам и проблемам.</w:t>
      </w:r>
    </w:p>
    <w:p w:rsidR="00000000" w:rsidRDefault="00000000">
      <w:pPr>
        <w:tabs>
          <w:tab w:val="center" w:pos="3674"/>
        </w:tabs>
      </w:pPr>
    </w:p>
    <w:p w:rsidR="00000000" w:rsidRDefault="00000000">
      <w:pPr>
        <w:tabs>
          <w:tab w:val="center" w:pos="3674"/>
        </w:tabs>
        <w:ind w:left="1134" w:hanging="567"/>
      </w:pPr>
      <w:r>
        <w:br w:type="page"/>
      </w:r>
      <w:proofErr w:type="spellStart"/>
      <w:r>
        <w:t>III</w:t>
      </w:r>
      <w:proofErr w:type="spellEnd"/>
      <w:r>
        <w:t>.</w:t>
      </w:r>
      <w:r>
        <w:tab/>
        <w:t>ЗАКОНОДАТЕЛЬНЫЕ И ИНЫЕ МЕРЫ, ЗАПРЕЩАЮЩИЕ ВЫСЫЛКУ, ВОЗВРАЩЕНИЕ ИЛИ ЭКСТРАДИЦИЮ ЛИЦ, КОТОРЫМ УГРОЖАЕТ ОПАСНОСТЬ БЫТЬ ПОДВЕРГНУТЫМ ПЫТКАМ; ЮРИСДИКЦИЯ; МЕЖДУНАРОДНЫЕ ДОГОВОРЫ И ВЗАИМНАЯ СУДЕБНАЯ ПОМОЩЬ</w:t>
      </w:r>
    </w:p>
    <w:p w:rsidR="00000000" w:rsidRDefault="00000000">
      <w:pPr>
        <w:widowControl w:val="0"/>
        <w:ind w:left="567"/>
        <w:jc w:val="center"/>
      </w:pPr>
      <w:r>
        <w:t>(Статьи 3, 5, 6, 7, 8 и 9 Конвенции)</w:t>
      </w:r>
    </w:p>
    <w:p w:rsidR="00000000" w:rsidRDefault="00000000">
      <w:pPr>
        <w:widowControl w:val="0"/>
        <w:jc w:val="center"/>
        <w:rPr>
          <w:u w:val="single"/>
        </w:rPr>
      </w:pPr>
    </w:p>
    <w:p w:rsidR="00000000" w:rsidRDefault="00000000">
      <w:pPr>
        <w:widowControl w:val="0"/>
        <w:jc w:val="center"/>
        <w:rPr>
          <w:u w:val="single"/>
        </w:rPr>
      </w:pPr>
      <w:r>
        <w:rPr>
          <w:u w:val="single"/>
        </w:rPr>
        <w:t>Экстрадиция</w:t>
      </w:r>
    </w:p>
    <w:p w:rsidR="00000000" w:rsidRDefault="00000000">
      <w:pPr>
        <w:widowControl w:val="0"/>
        <w:jc w:val="center"/>
        <w:rPr>
          <w:u w:val="single"/>
        </w:rPr>
      </w:pPr>
    </w:p>
    <w:p w:rsidR="00000000" w:rsidRDefault="00000000">
      <w:r>
        <w:t>195.</w:t>
      </w:r>
      <w:r>
        <w:tab/>
        <w:t>В Колумбии, по статье 1 Законодательного акта 01/97, об экстрадиции можно ходатайствовать, ее можно осуществлять или предлагать согласно государственным договорам или, при их отсутствии, в соответствии с законодательством.</w:t>
      </w:r>
    </w:p>
    <w:p w:rsidR="00000000" w:rsidRDefault="00000000"/>
    <w:p w:rsidR="00000000" w:rsidRDefault="00000000">
      <w:r>
        <w:t>196.</w:t>
      </w:r>
      <w:r>
        <w:tab/>
        <w:t>В Колумбии к процессу экстрадиции причастны две ветви государственной власти:  исполнительная и законодательная; из этого вытекает, что разрешение экстрадиции или отказ в ней является сложным процессом.</w:t>
      </w:r>
    </w:p>
    <w:p w:rsidR="00000000" w:rsidRDefault="00000000"/>
    <w:p w:rsidR="00000000" w:rsidRDefault="00000000">
      <w:r>
        <w:t>197.</w:t>
      </w:r>
      <w:r>
        <w:tab/>
        <w:t xml:space="preserve">Ряд действий выполняется в административной сфере, а именно, по линии министерства юстиции и права и министерства иностранных дел, которые после проверки наличия необходимых условий для выдачи разрешают начать процесс экстрадиции; дальнейшие же действия протекают в судебной сфере, в Верховном суде и в Генеральной инспекции Республики. </w:t>
      </w:r>
    </w:p>
    <w:p w:rsidR="00000000" w:rsidRDefault="00000000"/>
    <w:p w:rsidR="00000000" w:rsidRDefault="00000000">
      <w:r>
        <w:t>198.</w:t>
      </w:r>
      <w:r>
        <w:tab/>
        <w:t>С принятием Законодательного акта 01 от 1997 года, который изменил статью 35 Политической Конституции, установлено, что экстрадиция осуществляется в отношении колумбийцев по рождению (до упомянутого изменения она запрещалась), по усыновлению (удочерению) и в отношении иностранцев, кроме исключений, предусмотренных положениями Конституции, а именно:  недопустимость экстрадиции в связи с политическими преступлениями, а также в том случае, если речь идет о действиях, совершенных до обнародования Законодательного акта.</w:t>
      </w:r>
    </w:p>
    <w:p w:rsidR="00000000" w:rsidRDefault="00000000"/>
    <w:p w:rsidR="00000000" w:rsidRDefault="00000000">
      <w:r>
        <w:t>199.</w:t>
      </w:r>
      <w:r>
        <w:tab/>
        <w:t>Экстрадиция не производится, когда против лица, о выдаче которого ходатайствуют власти другого государства, возбуждено дело, или оно отбывает наказание за те же преступные действия, которые упоминаются в ходатайстве.</w:t>
      </w:r>
    </w:p>
    <w:p w:rsidR="00000000" w:rsidRDefault="00000000"/>
    <w:p w:rsidR="00000000" w:rsidRDefault="00000000">
      <w:r>
        <w:t>200.</w:t>
      </w:r>
      <w:r>
        <w:tab/>
        <w:t>В статье 12 действующей колумбийской Конституции, в полном соответствии с нормами и принципами международного гуманитарного права, указано, что "Никто не может быть подвергнут насильственному исчезновению, пыткам либо другим жестоким, бесчеловечным или унижающим достоинство видам обращения и наказания".  Кроме того, это конституционное положение налагает на Колумбию обязательства и по международному праву, поскольку глава исполнительной власти подписал, а Национальный конгресс утвердил Конвенцию против пыток и других жестоких, бесчеловечных или унижающих достоинство видов обращения и наказания, что записано в Законе № 78 от1986 года.</w:t>
      </w:r>
    </w:p>
    <w:p w:rsidR="00000000" w:rsidRDefault="00000000"/>
    <w:p w:rsidR="00000000" w:rsidRDefault="00000000">
      <w:r>
        <w:t>201.</w:t>
      </w:r>
      <w:r>
        <w:tab/>
        <w:t>Следовательно, когда экстрадиция разрешена, то подразумевается, что в случае, если в стране, ходатайствующей о выдаче, существует смертная казнь, то выдача производится при условии её замены; подразумевается также, что выдаваемое лицо не может быть подвергнуто пыткам, жестокому обращению или наказанию, насильственному исчезновению либо унижающему достоинство и бесчеловечному обхождению.</w:t>
      </w:r>
    </w:p>
    <w:p w:rsidR="00000000" w:rsidRDefault="00000000"/>
    <w:p w:rsidR="00000000" w:rsidRDefault="00000000">
      <w:r>
        <w:t>202.</w:t>
      </w:r>
      <w:r>
        <w:tab/>
        <w:t xml:space="preserve">Кроме того, Конституция Колумбии в статье 34 запрещает "меры наказания в виде высылки, пожизненного заключения и конфискации", которые, по тем же причинам, что и изложенные выше, не могут применяться к выдаваемому лицу страной, отдающей его </w:t>
      </w:r>
      <w:proofErr w:type="spellStart"/>
      <w:r>
        <w:t>noд</w:t>
      </w:r>
      <w:proofErr w:type="spellEnd"/>
      <w:r>
        <w:t xml:space="preserve"> суд.</w:t>
      </w:r>
    </w:p>
    <w:p w:rsidR="00000000" w:rsidRDefault="00000000"/>
    <w:p w:rsidR="00000000" w:rsidRDefault="00000000">
      <w:r>
        <w:t>203.</w:t>
      </w:r>
      <w:r>
        <w:tab/>
        <w:t>Требования для осуществления экстрадиции или для её предложения.  Для предложения об экстрадиции или для её разрешения требуется, помимо прочего:</w:t>
      </w:r>
    </w:p>
    <w:p w:rsidR="00000000" w:rsidRDefault="00000000">
      <w:pPr>
        <w:ind w:left="1134" w:hanging="567"/>
      </w:pPr>
    </w:p>
    <w:p w:rsidR="00000000" w:rsidRDefault="00000000">
      <w:pPr>
        <w:ind w:left="1134" w:hanging="567"/>
      </w:pPr>
      <w:proofErr w:type="spellStart"/>
      <w:r>
        <w:t>a</w:t>
      </w:r>
      <w:proofErr w:type="spellEnd"/>
      <w:r>
        <w:t>)</w:t>
      </w:r>
      <w:r>
        <w:tab/>
        <w:t>чтобы деяние, служащее причиной для выдачи, признавалось преступлением в Колумбии и наказывалось лишением свободы на срок не менее четырех лет;</w:t>
      </w:r>
    </w:p>
    <w:p w:rsidR="00000000" w:rsidRDefault="00000000">
      <w:pPr>
        <w:ind w:left="1134" w:hanging="567"/>
      </w:pPr>
    </w:p>
    <w:p w:rsidR="00000000" w:rsidRDefault="00000000">
      <w:pPr>
        <w:ind w:left="1134" w:hanging="567"/>
      </w:pPr>
      <w:proofErr w:type="spellStart"/>
      <w:r>
        <w:t>b</w:t>
      </w:r>
      <w:proofErr w:type="spellEnd"/>
      <w:r>
        <w:t>)</w:t>
      </w:r>
      <w:r>
        <w:tab/>
        <w:t>чтобы за границей было принято, по меньшей мере, судебное постановление об обвинении или его эквивалент.</w:t>
      </w:r>
    </w:p>
    <w:p w:rsidR="00000000" w:rsidRDefault="00000000">
      <w:pPr>
        <w:ind w:left="1134" w:hanging="567"/>
      </w:pPr>
    </w:p>
    <w:p w:rsidR="00000000" w:rsidRDefault="00000000">
      <w:pPr>
        <w:rPr>
          <w:u w:val="single"/>
        </w:rPr>
      </w:pPr>
      <w:r>
        <w:rPr>
          <w:u w:val="single"/>
        </w:rPr>
        <w:t>Процедурные аспекты</w:t>
      </w:r>
    </w:p>
    <w:p w:rsidR="00000000" w:rsidRDefault="00000000">
      <w:pPr>
        <w:rPr>
          <w:u w:val="single"/>
        </w:rPr>
      </w:pPr>
    </w:p>
    <w:p w:rsidR="00000000" w:rsidRDefault="00000000">
      <w:r>
        <w:t>204.</w:t>
      </w:r>
      <w:r>
        <w:tab/>
        <w:t>В Колумбии процедура выдачи предусмотрена в Уголовно-процессуальном кодексе.  В соответствии со статутом уголовного судопроизводства, который вступит в действие с 24 июля 2001 года, устанавливается нижеследующий порядок.</w:t>
      </w:r>
    </w:p>
    <w:p w:rsidR="00000000" w:rsidRDefault="00000000"/>
    <w:p w:rsidR="00000000" w:rsidRDefault="00000000">
      <w:pPr>
        <w:keepLines/>
      </w:pPr>
      <w:r>
        <w:t>205.</w:t>
      </w:r>
      <w:r>
        <w:tab/>
        <w:t>Условия предложения о выдаче или ее разрешения.  Правительство может поставить предложение о выдаче или разрешение на выдачу в зависимость от выполнения условий, которые сочтет целесообразными.  В любом случае оно должно будет потребовать, чтобы запрашиваемое к выдаче лицо не судили за прошлое деяние, отличное от того, которым мотивировалась его выдача, и не налагали на него наказаний, отличных от тех, которые бы оно получило по приговору при осуждении.</w:t>
      </w:r>
    </w:p>
    <w:p w:rsidR="00000000" w:rsidRDefault="00000000">
      <w:r>
        <w:t>206.</w:t>
      </w:r>
      <w:r>
        <w:tab/>
        <w:t>Если по законам государства, требующего выдачи, за преступление, которым мотивируется выдача, предусмотрена смертная казнь, выдача может быть произведена только при условии замены такого наказания.</w:t>
      </w:r>
    </w:p>
    <w:p w:rsidR="00000000" w:rsidRDefault="00000000"/>
    <w:p w:rsidR="00000000" w:rsidRDefault="00000000">
      <w:r>
        <w:t>207.</w:t>
      </w:r>
      <w:r>
        <w:tab/>
        <w:t>Документы, прилагаемые к ходатайству или предложению о выдаче.  Ходатайство о предложении или разрешении на выдачу лица, в отношении которого принято судебное постановление об обвинении или его эквивалент, либо осужденного за рубежом, должно направляться по дипломатическим, а в исключительных случаях, по консульским каналам, или одним правительством другому правительству, с приложением следующих документов:</w:t>
      </w:r>
    </w:p>
    <w:p w:rsidR="00000000" w:rsidRDefault="00000000"/>
    <w:p w:rsidR="00000000" w:rsidRDefault="00000000">
      <w:pPr>
        <w:ind w:left="1134" w:hanging="567"/>
      </w:pPr>
      <w:proofErr w:type="spellStart"/>
      <w:r>
        <w:t>a</w:t>
      </w:r>
      <w:proofErr w:type="spellEnd"/>
      <w:r>
        <w:t>)</w:t>
      </w:r>
      <w:r>
        <w:tab/>
        <w:t>аутентичной копии или записи приговора, судебного постановления об обвинении или его эквивалента;</w:t>
      </w:r>
    </w:p>
    <w:p w:rsidR="00000000" w:rsidRDefault="00000000">
      <w:pPr>
        <w:ind w:left="1134" w:hanging="567"/>
      </w:pPr>
    </w:p>
    <w:p w:rsidR="00000000" w:rsidRDefault="00000000">
      <w:pPr>
        <w:ind w:left="1134" w:hanging="567"/>
      </w:pPr>
      <w:proofErr w:type="spellStart"/>
      <w:r>
        <w:t>b</w:t>
      </w:r>
      <w:proofErr w:type="spellEnd"/>
      <w:r>
        <w:t>)</w:t>
      </w:r>
      <w:r>
        <w:tab/>
        <w:t>точного перечня действий, мотивировавших ходатайство о выдаче, с указанием места и времени их совершения;</w:t>
      </w:r>
    </w:p>
    <w:p w:rsidR="00000000" w:rsidRDefault="00000000">
      <w:pPr>
        <w:ind w:left="1134" w:hanging="567"/>
      </w:pPr>
    </w:p>
    <w:p w:rsidR="00000000" w:rsidRDefault="00000000">
      <w:pPr>
        <w:ind w:left="1134" w:hanging="567"/>
      </w:pPr>
      <w:proofErr w:type="spellStart"/>
      <w:r>
        <w:t>c</w:t>
      </w:r>
      <w:proofErr w:type="spellEnd"/>
      <w:r>
        <w:t>)</w:t>
      </w:r>
      <w:r>
        <w:tab/>
        <w:t>всех имеющихся данных, позволяющих полностью установить личность человека выдачи которого требуют;</w:t>
      </w:r>
    </w:p>
    <w:p w:rsidR="00000000" w:rsidRDefault="00000000">
      <w:pPr>
        <w:ind w:left="1134" w:hanging="567"/>
      </w:pPr>
    </w:p>
    <w:p w:rsidR="00000000" w:rsidRDefault="00000000">
      <w:pPr>
        <w:ind w:left="1134" w:hanging="567"/>
      </w:pPr>
      <w:proofErr w:type="spellStart"/>
      <w:r>
        <w:t>d</w:t>
      </w:r>
      <w:proofErr w:type="spellEnd"/>
      <w:r>
        <w:t>)</w:t>
      </w:r>
      <w:r>
        <w:tab/>
        <w:t>аутентичной копии норм уголовного законодательства, применимых к данному случаю.</w:t>
      </w:r>
    </w:p>
    <w:p w:rsidR="00000000" w:rsidRDefault="00000000">
      <w:pPr>
        <w:ind w:left="1134" w:hanging="567"/>
      </w:pPr>
    </w:p>
    <w:p w:rsidR="00000000" w:rsidRDefault="00000000">
      <w:r>
        <w:t>208.</w:t>
      </w:r>
      <w:r>
        <w:tab/>
        <w:t>Упомянутые документы должны быть выданы по форме, предусмотренной законодательством государства, требующего выдачи, а также переведены на испанский язык, если это необходимо.</w:t>
      </w:r>
    </w:p>
    <w:p w:rsidR="00000000" w:rsidRDefault="00000000"/>
    <w:p w:rsidR="00000000" w:rsidRDefault="00000000">
      <w:r>
        <w:t>209.</w:t>
      </w:r>
      <w:r>
        <w:tab/>
        <w:t>Заключение министерства иностранных дел.  По получении документации министерство иностранных дел дает указание о ее передаче в министерство юстиции вместе с заключением о том, руководствоваться ли в данном случае: международными конвенциями или узусами, либо действовать в соответствии с нормами настоящего Кодекса.</w:t>
      </w:r>
    </w:p>
    <w:p w:rsidR="00000000" w:rsidRDefault="00000000"/>
    <w:p w:rsidR="00000000" w:rsidRDefault="00000000">
      <w:r>
        <w:t>210.</w:t>
      </w:r>
      <w:r>
        <w:tab/>
        <w:t>Изучение документации.  Министерство юстиции проверяет документацию и в том случае, если в деле обнаруживается отсутствие существенных элементов, возвращает его в министерство иностранных дел с подробным перечислением новых данных, которые необходимо представить.</w:t>
      </w:r>
    </w:p>
    <w:p w:rsidR="00000000" w:rsidRDefault="00000000">
      <w:r>
        <w:t>211.</w:t>
      </w:r>
      <w:r>
        <w:tab/>
        <w:t>Дополнение документации.  На министерство иностранных дел возлагается урегулирование с иностранным правительством вопросов, касающихся соответствия представленной документации оговоренным нормам.</w:t>
      </w:r>
    </w:p>
    <w:p w:rsidR="00000000" w:rsidRDefault="00000000"/>
    <w:p w:rsidR="00000000" w:rsidRDefault="00000000">
      <w:r>
        <w:t>212.</w:t>
      </w:r>
      <w:r>
        <w:tab/>
        <w:t xml:space="preserve">Направление дела в Верховный суд.  После дополнения дела министерство юстиции пересылает его в </w:t>
      </w:r>
      <w:r>
        <w:rPr>
          <w:color w:val="000000"/>
        </w:rPr>
        <w:t>Кассационную палату по уголовным делам Верховного суда для того,</w:t>
      </w:r>
      <w:r>
        <w:t xml:space="preserve"> чтобы это учреждение дало своё заключение.</w:t>
      </w:r>
    </w:p>
    <w:p w:rsidR="00000000" w:rsidRDefault="00000000"/>
    <w:p w:rsidR="00000000" w:rsidRDefault="00000000">
      <w:r>
        <w:t>213.</w:t>
      </w:r>
      <w:r>
        <w:tab/>
        <w:t>Процедура.  После получения материалов дела судом он передает их копию запрашиваемому к выдаче лицу или его защитнику, которые в течение десяти дней могут затребовать любые доказательства, которые они посчитают необходимыми.</w:t>
      </w:r>
    </w:p>
    <w:p w:rsidR="00000000" w:rsidRDefault="00000000">
      <w:pPr>
        <w:tabs>
          <w:tab w:val="clear" w:pos="567"/>
          <w:tab w:val="clear" w:pos="1701"/>
          <w:tab w:val="left" w:pos="0"/>
          <w:tab w:val="left" w:pos="566"/>
          <w:tab w:val="left" w:pos="1134"/>
          <w:tab w:val="left" w:pos="1700"/>
          <w:tab w:val="left" w:pos="2268"/>
          <w:tab w:val="left" w:pos="2880"/>
          <w:tab w:val="left" w:pos="6520"/>
        </w:tabs>
        <w:suppressAutoHyphens/>
      </w:pPr>
    </w:p>
    <w:p w:rsidR="00000000" w:rsidRDefault="00000000">
      <w:pPr>
        <w:tabs>
          <w:tab w:val="clear" w:pos="567"/>
          <w:tab w:val="clear" w:pos="1701"/>
          <w:tab w:val="left" w:pos="0"/>
          <w:tab w:val="left" w:pos="566"/>
          <w:tab w:val="left" w:pos="1134"/>
          <w:tab w:val="left" w:pos="1700"/>
          <w:tab w:val="left" w:pos="2268"/>
          <w:tab w:val="left" w:pos="2880"/>
          <w:tab w:val="left" w:pos="6520"/>
        </w:tabs>
        <w:suppressAutoHyphens/>
      </w:pPr>
      <w:r>
        <w:t>214.</w:t>
      </w:r>
      <w:r>
        <w:tab/>
        <w:t>По истечении этого срока новый 10-дневный срок, к которому добавляется время, необходимое для поездок, отводится для рассмотрения запрошенных доказательств, а также любых других свидетельств, которые суд сочтет необходимым для принятия решения.  По завершении процедуры сбора доказательств дело остается в судебной канцелярии, с тем чтобы в течение 5 дней защитник мог подать состязательные бумаги.</w:t>
      </w:r>
    </w:p>
    <w:p w:rsidR="00000000" w:rsidRDefault="00000000">
      <w:pPr>
        <w:pStyle w:val="FootnoteText"/>
        <w:tabs>
          <w:tab w:val="clear" w:pos="567"/>
          <w:tab w:val="clear" w:pos="1701"/>
          <w:tab w:val="left" w:pos="0"/>
          <w:tab w:val="left" w:pos="566"/>
          <w:tab w:val="left" w:pos="1134"/>
          <w:tab w:val="left" w:pos="1700"/>
          <w:tab w:val="left" w:pos="2268"/>
          <w:tab w:val="left" w:pos="2880"/>
          <w:tab w:val="left" w:pos="6520"/>
        </w:tabs>
        <w:suppressAutoHyphens/>
        <w:spacing w:line="288" w:lineRule="auto"/>
      </w:pPr>
    </w:p>
    <w:p w:rsidR="00000000" w:rsidRDefault="00000000">
      <w:r>
        <w:t>215.</w:t>
      </w:r>
      <w:r>
        <w:tab/>
      </w:r>
      <w:proofErr w:type="spellStart"/>
      <w:r>
        <w:t>Pешение</w:t>
      </w:r>
      <w:proofErr w:type="spellEnd"/>
      <w:r>
        <w:t xml:space="preserve"> Верховного суда.  По истечении вышеупомянутого срока Верховный суд выносит свое решение.</w:t>
      </w:r>
    </w:p>
    <w:p w:rsidR="00000000" w:rsidRDefault="00000000"/>
    <w:p w:rsidR="00000000" w:rsidRDefault="00000000">
      <w:r>
        <w:t>216.</w:t>
      </w:r>
      <w:r>
        <w:tab/>
        <w:t>Отрицательное решение Верховного суда обязательно для правительства;  если же суд выносит решение в пользу выдачи, правительство может действовать, исходя из национальных интересов.</w:t>
      </w:r>
    </w:p>
    <w:p w:rsidR="00000000" w:rsidRDefault="00000000"/>
    <w:p w:rsidR="00000000" w:rsidRDefault="00000000">
      <w:r>
        <w:t>217.</w:t>
      </w:r>
      <w:r>
        <w:tab/>
        <w:t xml:space="preserve">Правовые основания, предусмотренные Кодексом.  Решение Верховного суда основывается на формальной действенности представленной документации, всестороннем установлении личности соответствующего лица, принципе двойного </w:t>
      </w:r>
      <w:proofErr w:type="spellStart"/>
      <w:r>
        <w:t>инкриминирования</w:t>
      </w:r>
      <w:proofErr w:type="spellEnd"/>
      <w:r>
        <w:t>, соответствии приговору, вынесенному в иностранном государстве, и, при необходимости, на выполнении положений межгосударственных договоров.</w:t>
      </w:r>
    </w:p>
    <w:p w:rsidR="00000000" w:rsidRDefault="00000000"/>
    <w:p w:rsidR="00000000" w:rsidRDefault="00000000">
      <w:r>
        <w:t>218.</w:t>
      </w:r>
      <w:r>
        <w:tab/>
        <w:t>Решение отказать в выдаче или разрешить ее.  После получения дела, содержащего постановление Верховного суда, министерство юстиции в течение 15 дней выносит решение об отказе в выдаче или ее разрешении.</w:t>
      </w:r>
    </w:p>
    <w:p w:rsidR="00000000" w:rsidRDefault="00000000"/>
    <w:p w:rsidR="00000000" w:rsidRDefault="00000000">
      <w:r>
        <w:br w:type="page"/>
        <w:t>219.</w:t>
      </w:r>
      <w:r>
        <w:tab/>
        <w:t>Отсроченная выдача.  Если до получения запроса лицо, выдачи которого требуют, совершило преступление в Колумбии, то постановлением, разрешающим экстрадицию, выдача может быть отложена до того времени, когда это лицо будет осуждено и отбудет срок наказания, либо до момента окончания судебного разбирательства в результате прекращения производства, предотвращения следствия или вынесения оправдательного приговора.</w:t>
      </w:r>
    </w:p>
    <w:p w:rsidR="00000000" w:rsidRDefault="00000000"/>
    <w:p w:rsidR="00000000" w:rsidRDefault="00000000">
      <w:r>
        <w:t>220.</w:t>
      </w:r>
      <w:r>
        <w:tab/>
        <w:t>В подобном случае, когда уже нет причины задерживать в Колумбии обвиняемого, выдачи которого требуют, должностное лицо суда, рассматривающее дело, или руководитель учреждения, где заключен обвиняемый, обязаны передать его в распоряжение правительства.</w:t>
      </w:r>
    </w:p>
    <w:p w:rsidR="00000000" w:rsidRDefault="00000000"/>
    <w:p w:rsidR="00000000" w:rsidRDefault="00000000">
      <w:r>
        <w:t>221.</w:t>
      </w:r>
      <w:r>
        <w:tab/>
        <w:t>Предпочтение при выдаче.  Если на выдачу одного и того же лица поступили запросы от двух и более государств, то, когда речь идет об одном и том же деянии, предпочтение будет отдано ходатайству страны, на территории которой совершено преступление; если же речь идет о разных деяниях - то ходатайству, связанному с более тяжким преступлением.  В случае одинаковой тяжести, предпочтение будет отдано тому государству, которое первым представило ходатайство об экстрадиции.</w:t>
      </w:r>
    </w:p>
    <w:p w:rsidR="00000000" w:rsidRDefault="00000000"/>
    <w:p w:rsidR="00000000" w:rsidRDefault="00000000">
      <w:r>
        <w:t>222.</w:t>
      </w:r>
      <w:r>
        <w:tab/>
        <w:t>Правительство должно определить порядок предшествования при наличии нескольких ходатайств о выдаче.</w:t>
      </w:r>
    </w:p>
    <w:p w:rsidR="00000000" w:rsidRDefault="00000000"/>
    <w:p w:rsidR="00000000" w:rsidRDefault="00000000">
      <w:r>
        <w:t>223.</w:t>
      </w:r>
      <w:r>
        <w:tab/>
        <w:t>Передача выдаваемого лица.  В случае, когда экстрадиция разрешена, Генеральный инспектор Республики отдает распоряжение о поимке обвиняемого, если он не находится в месте заключения, и передает его представителям страны, требующей выдачи.</w:t>
      </w:r>
    </w:p>
    <w:p w:rsidR="00000000" w:rsidRDefault="00000000"/>
    <w:p w:rsidR="00000000" w:rsidRDefault="00000000">
      <w:r>
        <w:t>224.</w:t>
      </w:r>
      <w:r>
        <w:tab/>
        <w:t>Если ходатайство отклонено, Генеральный инспектор Республики отдает распоряжение выпустить арестованного на свободу.</w:t>
      </w:r>
    </w:p>
    <w:p w:rsidR="00000000" w:rsidRDefault="00000000"/>
    <w:p w:rsidR="00000000" w:rsidRDefault="00000000">
      <w:r>
        <w:t>225.</w:t>
      </w:r>
      <w:r>
        <w:tab/>
        <w:t>Передача предметов.  Вместе с выдаваемым лицом, либо позже, передаются все предметы, находившееся в его распоряжении, сданные на хранение или сокрытые в стране, которые связаны с совершением уголовно наказуемых действий, а также те, которые могут служить вещественными доказательствами.</w:t>
      </w:r>
    </w:p>
    <w:p w:rsidR="00000000" w:rsidRDefault="00000000"/>
    <w:p w:rsidR="00000000" w:rsidRDefault="00000000">
      <w:r>
        <w:t>226.</w:t>
      </w:r>
      <w:r>
        <w:tab/>
        <w:t>Расходы.  Каждое государство оплачивает расходы по экстрадиции, произведенные на его территории.</w:t>
      </w:r>
    </w:p>
    <w:p w:rsidR="00000000" w:rsidRDefault="00000000">
      <w:r>
        <w:br w:type="page"/>
        <w:t>227.</w:t>
      </w:r>
      <w:r>
        <w:tab/>
        <w:t>Случаи, когда выдача не производится.  Выдача не производится, если за это же деяние запрашиваемое лицо было осуждено или находится под судом в Колумбии.</w:t>
      </w:r>
    </w:p>
    <w:p w:rsidR="00000000" w:rsidRDefault="00000000"/>
    <w:p w:rsidR="00000000" w:rsidRDefault="00000000">
      <w:r>
        <w:t>228.</w:t>
      </w:r>
      <w:r>
        <w:tab/>
        <w:t>Поимка.  Генеральный инспектор Республики отдает распоряжение о поимке требуемого лица, как только ему становится известным об официальном ходатайстве о выдаче, или ранее, если об этом просит запрашивающее государство.</w:t>
      </w:r>
    </w:p>
    <w:p w:rsidR="00000000" w:rsidRDefault="00000000"/>
    <w:p w:rsidR="00000000" w:rsidRDefault="00000000">
      <w:r>
        <w:t>229.</w:t>
      </w:r>
      <w:r>
        <w:tab/>
        <w:t>Причины освобождения.  Запрашиваемое лицо должно быть безусловно освобождено Генеральным инспектором Республики, если в течение 60 дней, следующих за днем задержания, не представлено ходатайство о выдаче, или если по истечении 30</w:t>
      </w:r>
      <w:r>
        <w:noBreakHyphen/>
        <w:t>дневного срока с момента передачи государству, требующему выдачи, это государство не доставило его на свою территорию.</w:t>
      </w:r>
    </w:p>
    <w:p w:rsidR="00000000" w:rsidRDefault="00000000"/>
    <w:p w:rsidR="00000000" w:rsidRDefault="00000000">
      <w:r>
        <w:t>230.</w:t>
      </w:r>
      <w:r>
        <w:tab/>
        <w:t>В предусмотренных здесь случаях лицо может снова быть задержано по тому же мотиву, когда требующее выдачи государство представило ходатайство о выдаче данного лица или обеспечило условия для его доставки на свою территорию.</w:t>
      </w:r>
    </w:p>
    <w:p w:rsidR="00000000" w:rsidRDefault="00000000"/>
    <w:p w:rsidR="00000000" w:rsidRDefault="00000000">
      <w:r>
        <w:t>231.</w:t>
      </w:r>
      <w:r>
        <w:tab/>
        <w:t>Приговоры иностранных государств.  Исполнение приговора в Колумбии.  Приговоры по уголовным делам, вынесенные в других странах в отношении иностранцев или колумбийцев, могут исполняться в Колумбии по официальному ходатайству соответствующих иностранных органов, направленному по дипломатическим каналам.</w:t>
      </w:r>
    </w:p>
    <w:p w:rsidR="00000000" w:rsidRDefault="00000000"/>
    <w:p w:rsidR="00000000" w:rsidRDefault="00000000">
      <w:r>
        <w:t>232.</w:t>
      </w:r>
      <w:r>
        <w:tab/>
        <w:t>Необходимые требования.  Для того, чтобы в Колумбии мог быть исполнен вынесенный за границей приговор, относящийся к тем лицам, о которых шла речь в предыдущем пункте, или приговор в отношении колумбийцев, задержанных, находящихся в заключении или осужденных за рубежом, требуется:</w:t>
      </w:r>
    </w:p>
    <w:p w:rsidR="00000000" w:rsidRDefault="00000000"/>
    <w:p w:rsidR="00000000" w:rsidRDefault="00000000">
      <w:pPr>
        <w:ind w:left="1134" w:hanging="567"/>
      </w:pPr>
      <w:proofErr w:type="spellStart"/>
      <w:r>
        <w:t>a</w:t>
      </w:r>
      <w:proofErr w:type="spellEnd"/>
      <w:r>
        <w:t>)</w:t>
      </w:r>
      <w:r>
        <w:tab/>
        <w:t>чтобы он не содержал меры наказания, отличающиеся или более тяжкие, чем предусмотренные в главе I раздела IV Книги первой Уголовного кодекса;</w:t>
      </w:r>
    </w:p>
    <w:p w:rsidR="00000000" w:rsidRDefault="00000000">
      <w:pPr>
        <w:ind w:left="1134" w:hanging="567"/>
      </w:pPr>
    </w:p>
    <w:p w:rsidR="00000000" w:rsidRDefault="00000000">
      <w:pPr>
        <w:ind w:left="1134" w:hanging="567"/>
      </w:pPr>
      <w:proofErr w:type="spellStart"/>
      <w:r>
        <w:t>b</w:t>
      </w:r>
      <w:proofErr w:type="spellEnd"/>
      <w:r>
        <w:t>)</w:t>
      </w:r>
      <w:r>
        <w:tab/>
        <w:t>чтобы приговор не противоречил Политической Конституции и законодательству Колумбии;</w:t>
      </w:r>
    </w:p>
    <w:p w:rsidR="00000000" w:rsidRDefault="00000000">
      <w:pPr>
        <w:ind w:left="1134" w:hanging="567"/>
      </w:pPr>
    </w:p>
    <w:p w:rsidR="00000000" w:rsidRDefault="00000000">
      <w:pPr>
        <w:ind w:left="1134" w:hanging="567"/>
      </w:pPr>
      <w:proofErr w:type="spellStart"/>
      <w:r>
        <w:t>c</w:t>
      </w:r>
      <w:proofErr w:type="spellEnd"/>
      <w:r>
        <w:t>)</w:t>
      </w:r>
      <w:r>
        <w:tab/>
        <w:t>чтобы он находился в точном соответствии с законом страны происхождения и был представлен так, как это предусмотрено в международных соглашениях и договорах;</w:t>
      </w:r>
    </w:p>
    <w:p w:rsidR="00000000" w:rsidRDefault="00000000">
      <w:pPr>
        <w:ind w:left="1134" w:hanging="567"/>
      </w:pPr>
      <w:r>
        <w:br w:type="page"/>
      </w:r>
      <w:proofErr w:type="spellStart"/>
      <w:r>
        <w:t>d</w:t>
      </w:r>
      <w:proofErr w:type="spellEnd"/>
      <w:r>
        <w:t>)</w:t>
      </w:r>
      <w:r>
        <w:tab/>
        <w:t>чтобы в Колумбии не проводилось текущего судебного разбирательства и не было вынесено окончательного приговора за эти же деяния, за исключением предусмотренного в пункте 1º статьи 16 Уголовного кодекса;</w:t>
      </w:r>
    </w:p>
    <w:p w:rsidR="00000000" w:rsidRDefault="00000000">
      <w:pPr>
        <w:ind w:left="1134" w:hanging="567"/>
      </w:pPr>
    </w:p>
    <w:p w:rsidR="00000000" w:rsidRDefault="00000000">
      <w:pPr>
        <w:ind w:left="1134" w:hanging="567"/>
      </w:pPr>
      <w:proofErr w:type="spellStart"/>
      <w:r>
        <w:t>e</w:t>
      </w:r>
      <w:proofErr w:type="spellEnd"/>
      <w:r>
        <w:t>)</w:t>
      </w:r>
      <w:r>
        <w:tab/>
        <w:t>чтобы в отсутствие государственных договоров государство, направившее ходатайство, предложило взаимность в аналогичных случаях.</w:t>
      </w:r>
    </w:p>
    <w:p w:rsidR="00000000" w:rsidRDefault="00000000">
      <w:pPr>
        <w:ind w:left="1134" w:hanging="567"/>
      </w:pPr>
    </w:p>
    <w:p w:rsidR="00000000" w:rsidRDefault="00000000">
      <w:r>
        <w:t>233.</w:t>
      </w:r>
      <w:r>
        <w:tab/>
        <w:t xml:space="preserve">Экзекватура.  Ходатайство об экзекватуре направляется министерством иностранных дел в </w:t>
      </w:r>
      <w:r>
        <w:rPr>
          <w:color w:val="000000"/>
        </w:rPr>
        <w:t>Кассационную палату по уголовным делам Верховного суда, которая должна принять решение о том, может ли приговор быть исполнен в соответствии с международными договорами или с действующими положениями</w:t>
      </w:r>
      <w:r>
        <w:t xml:space="preserve">. </w:t>
      </w:r>
    </w:p>
    <w:p w:rsidR="00000000" w:rsidRDefault="00000000"/>
    <w:p w:rsidR="00000000" w:rsidRDefault="00000000">
      <w:r>
        <w:t>234.</w:t>
      </w:r>
      <w:r>
        <w:tab/>
        <w:t>Ссылка на другие нормы.  При исполнении иностранных приговоров должны применяться положения соответствующих международных договоров.  Не должно производиться новое судебное разбирательство в Колумбии, за исключением случаев, предусмотренных в статье 16 Уголовного кодекса.</w:t>
      </w:r>
    </w:p>
    <w:p w:rsidR="00000000" w:rsidRDefault="00000000"/>
    <w:p w:rsidR="00000000" w:rsidRDefault="00000000">
      <w:pPr>
        <w:tabs>
          <w:tab w:val="num" w:pos="851"/>
        </w:tabs>
        <w:rPr>
          <w:u w:val="single"/>
        </w:rPr>
      </w:pPr>
      <w:r>
        <w:rPr>
          <w:u w:val="single"/>
        </w:rPr>
        <w:t>Отношения с органами власти иностранных государств</w:t>
      </w:r>
    </w:p>
    <w:p w:rsidR="00000000" w:rsidRDefault="00000000">
      <w:pPr>
        <w:tabs>
          <w:tab w:val="num" w:pos="851"/>
        </w:tabs>
        <w:rPr>
          <w:u w:val="single"/>
        </w:rPr>
      </w:pPr>
    </w:p>
    <w:p w:rsidR="00000000" w:rsidRDefault="00000000">
      <w:r>
        <w:t>235.</w:t>
      </w:r>
      <w:r>
        <w:tab/>
        <w:t xml:space="preserve">Применяемое законодательство.  Применяются, главным образом, международные нормы и, </w:t>
      </w:r>
      <w:proofErr w:type="spellStart"/>
      <w:r>
        <w:t>субсидиарно</w:t>
      </w:r>
      <w:proofErr w:type="spellEnd"/>
      <w:r>
        <w:t>, внутренние.  И те и другие толкуются в соответствии с юридической теорией и международными обычаями, при этом преимущество отдается материальному праву.</w:t>
      </w:r>
    </w:p>
    <w:p w:rsidR="00000000" w:rsidRDefault="00000000"/>
    <w:p w:rsidR="00000000" w:rsidRDefault="00000000">
      <w:r>
        <w:t>236.</w:t>
      </w:r>
      <w:r>
        <w:tab/>
        <w:t>Международное сотрудничество.  Генеральный инспектор Республики может заключать со своими коллегами из других стран соглашения по обмену в сфере технологии, обмену опытом, по вопросам координации выдачи лиц, находящихся под стражей или под надзором, и тайных агентов, координации судебного сотрудничества, взаимодействия в подготовке кадров, или любое другое соглашение с аналогичными целями.</w:t>
      </w:r>
    </w:p>
    <w:p w:rsidR="00000000" w:rsidRDefault="00000000"/>
    <w:p w:rsidR="00000000" w:rsidRDefault="00000000">
      <w:r>
        <w:t>237.</w:t>
      </w:r>
      <w:r>
        <w:tab/>
        <w:t>Основа для переговоров.  Содержащиеся в данном разделе нормы послужат рамками для обсуждения международных актов, связанных с сотрудничеством в судебной сфере, экстрадицией и другими аналогичными вопросами, по которым Колумбия ведет двусторонние или многосторонние переговоры.</w:t>
      </w:r>
    </w:p>
    <w:p w:rsidR="00000000" w:rsidRDefault="00000000"/>
    <w:p w:rsidR="00000000" w:rsidRDefault="00000000">
      <w:r>
        <w:t>238.</w:t>
      </w:r>
      <w:r>
        <w:tab/>
        <w:t xml:space="preserve">Ходатайства о судебной помощи.  </w:t>
      </w:r>
      <w:r>
        <w:rPr>
          <w:i/>
        </w:rPr>
        <w:t>Ходатайства, составляемые в Колумбии.</w:t>
      </w:r>
      <w:r>
        <w:t xml:space="preserve">  Для определения правовой обоснованности судебного дела, сбора доказательств или информации, либо для получения какого-либо иного вида судебной помощи судьи, прокуроры и магистраты или руководители подразделений судебной полиции могут встречаться или связываться с представителями органов власти иностранных государств либо непосредственно, либо через предусмотренные законом каналы.</w:t>
      </w:r>
    </w:p>
    <w:p w:rsidR="00000000" w:rsidRDefault="00000000"/>
    <w:p w:rsidR="00000000" w:rsidRDefault="00000000">
      <w:r>
        <w:t>239.</w:t>
      </w:r>
      <w:r>
        <w:tab/>
        <w:t>В тех случаях, когда это допускается законодательством страны, от которой требуется помощь, оттуда может быть командирован один из компетентных чиновников в предусмотренные сроки и на предусмотренных условиях.</w:t>
      </w:r>
    </w:p>
    <w:p w:rsidR="00000000" w:rsidRDefault="00000000"/>
    <w:p w:rsidR="00000000" w:rsidRDefault="00000000">
      <w:r>
        <w:t>240.</w:t>
      </w:r>
      <w:r>
        <w:tab/>
        <w:t>Содержание ходатайств.  В ходатайстве о судебной помощи соответствующему органу сообщаются необходимые для её оказания сведения, при этом указывается: что нужно прислать, события, мотивировавшие производство дела, требующиеся предметы и средства доказательства, предположительно нарушенные нормы, личные данные и местонахождение соответствующих лиц или имущества, если это необходимо, а также отмечаются моменты, которые желательно учесть компетентному органу иностранного государства.  Предполагается законность и подлинность документов и доказательств, полученных от иностранного компетентного органа.</w:t>
      </w:r>
    </w:p>
    <w:p w:rsidR="00000000" w:rsidRDefault="00000000"/>
    <w:p w:rsidR="00000000" w:rsidRDefault="00000000">
      <w:r>
        <w:t>241.</w:t>
      </w:r>
      <w:r>
        <w:tab/>
        <w:t>Поездки должностных лиц судебной системы.  Когда Генеральному инспектору Республики становится известно о необходимости поездки должностного лица для производства юридических действий на территории  другого государства, он, с разрешения законных властей, санкционирует такую поездку.  Соответствующие поручения могут даваться также послам и консулам нашей страны.</w:t>
      </w:r>
    </w:p>
    <w:p w:rsidR="00000000" w:rsidRDefault="00000000">
      <w:pPr>
        <w:pStyle w:val="Heading1"/>
        <w:rPr>
          <w:b w:val="0"/>
          <w:bCs/>
          <w:u w:val="single"/>
        </w:rPr>
      </w:pPr>
    </w:p>
    <w:p w:rsidR="00000000" w:rsidRDefault="00000000">
      <w:pPr>
        <w:pStyle w:val="Heading1"/>
        <w:rPr>
          <w:b w:val="0"/>
          <w:bCs/>
          <w:u w:val="single"/>
        </w:rPr>
      </w:pPr>
      <w:r>
        <w:rPr>
          <w:b w:val="0"/>
          <w:bCs/>
          <w:u w:val="single"/>
        </w:rPr>
        <w:t>Ходатайства о судебной помощи, поступающие из-за границы</w:t>
      </w:r>
    </w:p>
    <w:p w:rsidR="00000000" w:rsidRDefault="00000000"/>
    <w:p w:rsidR="00000000" w:rsidRDefault="00000000">
      <w:r>
        <w:t>242.</w:t>
      </w:r>
      <w:r>
        <w:tab/>
        <w:t>Судебная помощь компетентным органам иностранных государств.  Колумбийские власти через Генеральную инспекцию Республики оказывают судебную помощь запрашивающим её органам других стран.  С этой целью могут командироваться должностные лица судебной системы Колумбии для производства юридических действий.  Могут быть сформированы специальные подразделения для судебной помощи за границей при координации и под руководством Генерального инспектора Республики или назначенного им должностного лица.</w:t>
      </w:r>
    </w:p>
    <w:p w:rsidR="00000000" w:rsidRDefault="00000000"/>
    <w:p w:rsidR="00000000" w:rsidRDefault="00000000">
      <w:r>
        <w:t>243.</w:t>
      </w:r>
      <w:r>
        <w:tab/>
        <w:t>Генеральный инспектор Республики может разрешить должностным лицам судебной системы другого государства производить юридические действия на территории страны при содействии колумбийского судебного чиновника и представителя государственной прокуратуры.</w:t>
      </w:r>
    </w:p>
    <w:p w:rsidR="00000000" w:rsidRDefault="00000000">
      <w:r>
        <w:br w:type="page"/>
        <w:t>244.</w:t>
      </w:r>
      <w:r>
        <w:tab/>
        <w:t>В ходатайстве о судебной помощи не может быть отказано из-за того, что расследуемое поведение не отнесено в колумбийском законодательстве к определенному типу, если только это не вступает в открытое противоречие с Политической Конституцией.</w:t>
      </w:r>
    </w:p>
    <w:p w:rsidR="00000000" w:rsidRDefault="00000000"/>
    <w:p w:rsidR="00000000" w:rsidRDefault="00000000">
      <w:r>
        <w:t>245.</w:t>
      </w:r>
      <w:r>
        <w:tab/>
        <w:t>Меры в отношении имущества, принятия которых требует государственный орган другой страны.  По требованию компетентного органа иностранного государства в Колумбии может быть прекращено право собственности или принята любая другая мера, связанная с утратой или приостановлением полномочия распоряжения имуществом.</w:t>
      </w:r>
    </w:p>
    <w:p w:rsidR="00000000" w:rsidRDefault="00000000"/>
    <w:p w:rsidR="00000000" w:rsidRDefault="00000000">
      <w:r>
        <w:t>246.</w:t>
      </w:r>
      <w:r>
        <w:tab/>
        <w:t>О решении, предусматривающем прекращение права собственности, конфискацию или любую иную окончательную меру, необходимо поставить в известность Генеральную инспекцию Республики, которая посредством предварительного решения определяет, должна ли быть принята упомянутая мера.  В этом случае данное решение направляется компетентному судье для вынесения приговора.</w:t>
      </w:r>
    </w:p>
    <w:p w:rsidR="00000000" w:rsidRDefault="00000000"/>
    <w:p w:rsidR="00000000" w:rsidRDefault="00000000">
      <w:r>
        <w:t>247.</w:t>
      </w:r>
      <w:r>
        <w:tab/>
        <w:t>Генеральный инспектор Республики может создать фонд международной судебной помощи, в который поступят эти средства.  Ни в коем случае не допускается уменьшение признаваемых колумбийским законодательством правомочий лиц, которых коснулось решение о прекращении права собственности.</w:t>
      </w:r>
    </w:p>
    <w:p w:rsidR="00000000" w:rsidRDefault="00000000"/>
    <w:p w:rsidR="00000000" w:rsidRDefault="00000000">
      <w:pPr>
        <w:tabs>
          <w:tab w:val="clear" w:pos="1134"/>
        </w:tabs>
        <w:ind w:left="993" w:hanging="567"/>
        <w:rPr>
          <w:b/>
        </w:rPr>
      </w:pPr>
      <w:proofErr w:type="spellStart"/>
      <w:r>
        <w:t>IV</w:t>
      </w:r>
      <w:proofErr w:type="spellEnd"/>
      <w:r>
        <w:t>.</w:t>
      </w:r>
      <w:r>
        <w:tab/>
        <w:t>ПРОСВЕТИТЕЛЬНАЯ И ИНФОРМАЦИОННАЯ РАБОТА, СВЯЗАННАЯ С ЗАПРЕЩЕНИЕМ ПЫТОК; ПОДГОТОВКА ГРАЖДАНСКОГО И ВОЕННОГО ПЕРСОНАЛА, ОБЕСПЕЧИВАЮЩЕГО ПРИМЕНЕНИЕ ЗАКОНОВ</w:t>
      </w:r>
      <w:r>
        <w:rPr>
          <w:b/>
        </w:rPr>
        <w:t xml:space="preserve"> </w:t>
      </w:r>
    </w:p>
    <w:p w:rsidR="00000000" w:rsidRDefault="00000000">
      <w:pPr>
        <w:tabs>
          <w:tab w:val="clear" w:pos="1134"/>
        </w:tabs>
        <w:ind w:left="993" w:hanging="567"/>
        <w:jc w:val="center"/>
      </w:pPr>
      <w:r>
        <w:t>(Статья 10 Конвенции)</w:t>
      </w:r>
    </w:p>
    <w:p w:rsidR="00000000" w:rsidRDefault="00000000">
      <w:pPr>
        <w:tabs>
          <w:tab w:val="clear" w:pos="1134"/>
        </w:tabs>
        <w:ind w:left="993" w:hanging="567"/>
      </w:pPr>
    </w:p>
    <w:p w:rsidR="00000000" w:rsidRDefault="00000000">
      <w:pPr>
        <w:rPr>
          <w:color w:val="000000"/>
        </w:rPr>
      </w:pPr>
      <w:r>
        <w:rPr>
          <w:color w:val="000000"/>
        </w:rPr>
        <w:t>248.</w:t>
      </w:r>
      <w:r>
        <w:rPr>
          <w:color w:val="000000"/>
        </w:rPr>
        <w:tab/>
        <w:t xml:space="preserve">Постоянное повышение уровня подготовки военнослужащих из состава </w:t>
      </w:r>
      <w:r>
        <w:t>сил по поддержанию правопорядка</w:t>
      </w:r>
      <w:r>
        <w:rPr>
          <w:color w:val="000000"/>
        </w:rPr>
        <w:t xml:space="preserve"> в области прав человека и международного гуманитарного права решающим образом способствовало улучшению функционирования этих сил и выполнению ими своего конституционного долга.</w:t>
      </w:r>
    </w:p>
    <w:p w:rsidR="00000000" w:rsidRDefault="00000000">
      <w:pPr>
        <w:rPr>
          <w:color w:val="000000"/>
        </w:rPr>
      </w:pPr>
    </w:p>
    <w:p w:rsidR="00000000" w:rsidRDefault="00000000">
      <w:pPr>
        <w:rPr>
          <w:color w:val="000000"/>
        </w:rPr>
      </w:pPr>
      <w:r>
        <w:rPr>
          <w:color w:val="000000"/>
        </w:rPr>
        <w:t>249.</w:t>
      </w:r>
      <w:r>
        <w:rPr>
          <w:color w:val="000000"/>
        </w:rPr>
        <w:tab/>
        <w:t xml:space="preserve">На сегодняшний день колумбийские </w:t>
      </w:r>
      <w:r>
        <w:t>силы по поддержанию правопорядка</w:t>
      </w:r>
      <w:r>
        <w:rPr>
          <w:color w:val="000000"/>
        </w:rPr>
        <w:t xml:space="preserve"> лидируют в Латинской Америке в деле повышения квалификации своего личного состава в вопросах, связанных с правами человека и международным гуманитарным правом.  Постоянная подготовка по этим вопросам ведется на протяжении всей службы, о чем свидетельствует тот факт, что за последние пять лет более 97 000 военнослужащих </w:t>
      </w:r>
      <w:r>
        <w:t>сил по поддержанию правопорядка</w:t>
      </w:r>
      <w:r>
        <w:rPr>
          <w:color w:val="000000"/>
        </w:rPr>
        <w:t xml:space="preserve"> получили такую подготовку, при этом значительная их часть сделала это в зоне боев.  В данной области это рассматривается как несравненное достижение, которого не было ни в одной стране, особенно если учесть, какой процент это составляет от общей численности военнослужащих.  Колумбийские </w:t>
      </w:r>
      <w:r>
        <w:t>силы по поддержанию правопорядка</w:t>
      </w:r>
      <w:r>
        <w:rPr>
          <w:color w:val="000000"/>
        </w:rPr>
        <w:t xml:space="preserve"> явились первыми и в открытии заочных курсов для личного состава, проводящего военные и полицейские операции. </w:t>
      </w:r>
    </w:p>
    <w:p w:rsidR="00000000" w:rsidRDefault="00000000">
      <w:pPr>
        <w:rPr>
          <w:color w:val="000000"/>
        </w:rPr>
      </w:pPr>
    </w:p>
    <w:p w:rsidR="00000000" w:rsidRDefault="00000000">
      <w:pPr>
        <w:rPr>
          <w:color w:val="000000"/>
        </w:rPr>
      </w:pPr>
      <w:r>
        <w:rPr>
          <w:color w:val="000000"/>
        </w:rPr>
        <w:t>250.</w:t>
      </w:r>
      <w:r>
        <w:rPr>
          <w:color w:val="000000"/>
        </w:rPr>
        <w:tab/>
        <w:t>В Колумбии за время подготовки офицера (четыре года), унтер-офицера (два года) и оперативного персонала (один год) каждый военнослужащий ежегодно получает в среднем 90 часов подготовки по вопросам прав человека и международного гуманитарного права.  Кроме того, при обучении на курсах повышения квалификации, основной и углубленной подготовки, а также на штабных и высших военных курсах личный состав получает не менее 20 часов дополнительной подготовки по этим вопросам.  На различных этапах обучения с солдатами и морскими пехотинцами проводятся постоянные занятия по правам человека и по международному гуманитарному праву.</w:t>
      </w:r>
    </w:p>
    <w:p w:rsidR="00000000" w:rsidRDefault="00000000">
      <w:pPr>
        <w:rPr>
          <w:color w:val="000000"/>
        </w:rPr>
      </w:pPr>
    </w:p>
    <w:p w:rsidR="00000000" w:rsidRDefault="00000000">
      <w:pPr>
        <w:rPr>
          <w:color w:val="000000"/>
        </w:rPr>
      </w:pPr>
      <w:r>
        <w:rPr>
          <w:color w:val="000000"/>
        </w:rPr>
        <w:t>251.</w:t>
      </w:r>
      <w:r>
        <w:rPr>
          <w:color w:val="000000"/>
        </w:rPr>
        <w:tab/>
        <w:t xml:space="preserve">Обучение лиц из состава </w:t>
      </w:r>
      <w:r>
        <w:t>сил по поддержанию правопорядка</w:t>
      </w:r>
      <w:r>
        <w:rPr>
          <w:color w:val="000000"/>
        </w:rPr>
        <w:t xml:space="preserve"> преследует четыре конкретные цели:</w:t>
      </w:r>
    </w:p>
    <w:p w:rsidR="00000000" w:rsidRDefault="00000000">
      <w:pPr>
        <w:rPr>
          <w:color w:val="000000"/>
        </w:rPr>
      </w:pPr>
    </w:p>
    <w:p w:rsidR="00000000" w:rsidRDefault="00000000">
      <w:pPr>
        <w:ind w:left="1134" w:hanging="567"/>
        <w:rPr>
          <w:color w:val="000000"/>
        </w:rPr>
      </w:pPr>
      <w:proofErr w:type="spellStart"/>
      <w:r>
        <w:rPr>
          <w:color w:val="000000"/>
        </w:rPr>
        <w:t>a</w:t>
      </w:r>
      <w:proofErr w:type="spellEnd"/>
      <w:r>
        <w:rPr>
          <w:color w:val="000000"/>
        </w:rPr>
        <w:t>)</w:t>
      </w:r>
      <w:r>
        <w:rPr>
          <w:color w:val="000000"/>
        </w:rPr>
        <w:tab/>
        <w:t>объединить деятельность по защите прав человека с процессом институциональных преобразований;</w:t>
      </w:r>
    </w:p>
    <w:p w:rsidR="00000000" w:rsidRDefault="00000000">
      <w:pPr>
        <w:ind w:left="1134" w:hanging="567"/>
        <w:rPr>
          <w:color w:val="000000"/>
        </w:rPr>
      </w:pPr>
    </w:p>
    <w:p w:rsidR="00000000" w:rsidRDefault="00000000">
      <w:pPr>
        <w:ind w:left="1134" w:hanging="567"/>
        <w:rPr>
          <w:color w:val="000000"/>
        </w:rPr>
      </w:pPr>
      <w:proofErr w:type="spellStart"/>
      <w:r>
        <w:rPr>
          <w:color w:val="000000"/>
        </w:rPr>
        <w:t>b</w:t>
      </w:r>
      <w:proofErr w:type="spellEnd"/>
      <w:r>
        <w:rPr>
          <w:color w:val="000000"/>
        </w:rPr>
        <w:t>)</w:t>
      </w:r>
      <w:r>
        <w:rPr>
          <w:color w:val="000000"/>
        </w:rPr>
        <w:tab/>
        <w:t>адаптировать методы и содержание обучения в области прав человека и международного гуманитарного права в школах подготовки и повышения квалификации к бюджетам новой педагогической модели;</w:t>
      </w:r>
    </w:p>
    <w:p w:rsidR="00000000" w:rsidRDefault="00000000">
      <w:pPr>
        <w:ind w:left="1134" w:hanging="567"/>
        <w:rPr>
          <w:color w:val="000000"/>
        </w:rPr>
      </w:pPr>
    </w:p>
    <w:p w:rsidR="00000000" w:rsidRDefault="00000000">
      <w:pPr>
        <w:ind w:left="1134" w:hanging="567"/>
        <w:rPr>
          <w:color w:val="000000"/>
        </w:rPr>
      </w:pPr>
      <w:proofErr w:type="spellStart"/>
      <w:r>
        <w:rPr>
          <w:color w:val="000000"/>
        </w:rPr>
        <w:t>c</w:t>
      </w:r>
      <w:proofErr w:type="spellEnd"/>
      <w:r>
        <w:rPr>
          <w:color w:val="000000"/>
        </w:rPr>
        <w:t>)</w:t>
      </w:r>
      <w:r>
        <w:rPr>
          <w:color w:val="000000"/>
        </w:rPr>
        <w:tab/>
        <w:t>стимулировать применение принципа пересекаемости при обучении проблематике прав человека и международного гуманитарного права;</w:t>
      </w:r>
    </w:p>
    <w:p w:rsidR="00000000" w:rsidRDefault="00000000">
      <w:pPr>
        <w:ind w:left="1134" w:hanging="567"/>
        <w:rPr>
          <w:color w:val="000000"/>
        </w:rPr>
      </w:pPr>
    </w:p>
    <w:p w:rsidR="00000000" w:rsidRDefault="00000000">
      <w:pPr>
        <w:ind w:left="1134" w:hanging="567"/>
        <w:rPr>
          <w:color w:val="000000"/>
        </w:rPr>
      </w:pPr>
      <w:proofErr w:type="spellStart"/>
      <w:r>
        <w:rPr>
          <w:color w:val="000000"/>
        </w:rPr>
        <w:t>d</w:t>
      </w:r>
      <w:proofErr w:type="spellEnd"/>
      <w:r>
        <w:rPr>
          <w:color w:val="000000"/>
        </w:rPr>
        <w:t>)</w:t>
      </w:r>
      <w:r>
        <w:rPr>
          <w:color w:val="000000"/>
        </w:rPr>
        <w:tab/>
        <w:t>начать процессы интеграции "</w:t>
      </w:r>
      <w:r>
        <w:t>силы по поддержанию правопорядка</w:t>
      </w:r>
      <w:r>
        <w:rPr>
          <w:color w:val="000000"/>
        </w:rPr>
        <w:t xml:space="preserve">  - гражданское общество" с перспективой обеспечения прав человека.</w:t>
      </w:r>
    </w:p>
    <w:p w:rsidR="00000000" w:rsidRDefault="00000000">
      <w:pPr>
        <w:tabs>
          <w:tab w:val="left" w:pos="283"/>
        </w:tabs>
        <w:rPr>
          <w:color w:val="000000"/>
        </w:rPr>
      </w:pPr>
    </w:p>
    <w:p w:rsidR="00000000" w:rsidRDefault="00000000">
      <w:pPr>
        <w:tabs>
          <w:tab w:val="left" w:pos="283"/>
        </w:tabs>
        <w:rPr>
          <w:color w:val="000000"/>
        </w:rPr>
      </w:pPr>
      <w:r>
        <w:rPr>
          <w:color w:val="000000"/>
        </w:rPr>
        <w:t>252.</w:t>
      </w:r>
      <w:r>
        <w:rPr>
          <w:color w:val="000000"/>
        </w:rPr>
        <w:tab/>
        <w:t xml:space="preserve">Для достижения этих целей руководство всей работой ведется из министерства национальной обороны через 181 отделение по правам человека в различных округах и частях </w:t>
      </w:r>
      <w:r>
        <w:t>сил по поддержанию правопорядка</w:t>
      </w:r>
      <w:r>
        <w:rPr>
          <w:color w:val="000000"/>
        </w:rPr>
        <w:t xml:space="preserve"> на территории страны; 700 специалистов из числа офицеров и унтер-офицеров работают в этих отделениях, играющих очень важную роль в реализации программ повышения квалификации и обучения по следующим направлениям:</w:t>
      </w:r>
    </w:p>
    <w:p w:rsidR="00000000" w:rsidRDefault="00000000">
      <w:pPr>
        <w:tabs>
          <w:tab w:val="left" w:pos="283"/>
        </w:tabs>
        <w:rPr>
          <w:color w:val="000000"/>
        </w:rPr>
      </w:pPr>
    </w:p>
    <w:p w:rsidR="00000000" w:rsidRDefault="00000000">
      <w:pPr>
        <w:ind w:left="1134" w:hanging="567"/>
        <w:rPr>
          <w:color w:val="000000"/>
        </w:rPr>
      </w:pPr>
      <w:proofErr w:type="spellStart"/>
      <w:r>
        <w:rPr>
          <w:color w:val="000000"/>
        </w:rPr>
        <w:t>a</w:t>
      </w:r>
      <w:proofErr w:type="spellEnd"/>
      <w:r>
        <w:rPr>
          <w:color w:val="000000"/>
        </w:rPr>
        <w:t>)</w:t>
      </w:r>
      <w:r>
        <w:rPr>
          <w:color w:val="000000"/>
        </w:rPr>
        <w:tab/>
        <w:t xml:space="preserve">повышение культуры прав человека в рядах </w:t>
      </w:r>
      <w:r>
        <w:t>сил по поддержанию правопорядка</w:t>
      </w:r>
      <w:r>
        <w:rPr>
          <w:color w:val="000000"/>
        </w:rPr>
        <w:t>;</w:t>
      </w:r>
    </w:p>
    <w:p w:rsidR="00000000" w:rsidRDefault="00000000">
      <w:pPr>
        <w:ind w:left="1134" w:hanging="567"/>
        <w:rPr>
          <w:color w:val="000000"/>
        </w:rPr>
      </w:pPr>
      <w:r>
        <w:rPr>
          <w:color w:val="000000"/>
        </w:rPr>
        <w:br w:type="page"/>
      </w:r>
      <w:proofErr w:type="spellStart"/>
      <w:r>
        <w:rPr>
          <w:color w:val="000000"/>
        </w:rPr>
        <w:t>b</w:t>
      </w:r>
      <w:proofErr w:type="spellEnd"/>
      <w:r>
        <w:rPr>
          <w:color w:val="000000"/>
        </w:rPr>
        <w:t>)</w:t>
      </w:r>
      <w:r>
        <w:rPr>
          <w:color w:val="000000"/>
        </w:rPr>
        <w:tab/>
        <w:t>координация с отечественными и зарубежными организациями программ повышения культуры прав человека и международного гуманитарного права;</w:t>
      </w:r>
    </w:p>
    <w:p w:rsidR="00000000" w:rsidRDefault="00000000">
      <w:pPr>
        <w:ind w:left="1134" w:hanging="567"/>
        <w:rPr>
          <w:color w:val="000000"/>
        </w:rPr>
      </w:pPr>
    </w:p>
    <w:p w:rsidR="00000000" w:rsidRDefault="00000000">
      <w:pPr>
        <w:ind w:left="1134" w:hanging="567"/>
        <w:rPr>
          <w:color w:val="000000"/>
        </w:rPr>
      </w:pPr>
      <w:proofErr w:type="spellStart"/>
      <w:r>
        <w:rPr>
          <w:color w:val="000000"/>
        </w:rPr>
        <w:t>c</w:t>
      </w:r>
      <w:proofErr w:type="spellEnd"/>
      <w:r>
        <w:rPr>
          <w:color w:val="000000"/>
        </w:rPr>
        <w:t>)</w:t>
      </w:r>
      <w:r>
        <w:rPr>
          <w:color w:val="000000"/>
        </w:rPr>
        <w:tab/>
        <w:t>перестройка академических программ в школах подготовки и повышения квалификации;</w:t>
      </w:r>
    </w:p>
    <w:p w:rsidR="00000000" w:rsidRDefault="00000000">
      <w:pPr>
        <w:ind w:left="1134" w:hanging="567"/>
        <w:rPr>
          <w:color w:val="000000"/>
        </w:rPr>
      </w:pPr>
    </w:p>
    <w:p w:rsidR="00000000" w:rsidRDefault="00000000">
      <w:pPr>
        <w:ind w:left="1134" w:hanging="567"/>
        <w:rPr>
          <w:color w:val="000000"/>
        </w:rPr>
      </w:pPr>
      <w:proofErr w:type="spellStart"/>
      <w:r>
        <w:rPr>
          <w:color w:val="000000"/>
        </w:rPr>
        <w:t>d</w:t>
      </w:r>
      <w:proofErr w:type="spellEnd"/>
      <w:r>
        <w:rPr>
          <w:color w:val="000000"/>
        </w:rPr>
        <w:t>)</w:t>
      </w:r>
      <w:r>
        <w:rPr>
          <w:color w:val="000000"/>
        </w:rPr>
        <w:tab/>
        <w:t>перестройка планов обучения и подготовки солдат и морских пехотинцев;</w:t>
      </w:r>
    </w:p>
    <w:p w:rsidR="00000000" w:rsidRDefault="00000000">
      <w:pPr>
        <w:ind w:left="1134" w:hanging="567"/>
        <w:rPr>
          <w:color w:val="000000"/>
        </w:rPr>
      </w:pPr>
    </w:p>
    <w:p w:rsidR="00000000" w:rsidRDefault="00000000">
      <w:pPr>
        <w:ind w:left="1134" w:hanging="567"/>
        <w:rPr>
          <w:color w:val="000000"/>
        </w:rPr>
      </w:pPr>
      <w:proofErr w:type="spellStart"/>
      <w:r>
        <w:rPr>
          <w:color w:val="000000"/>
        </w:rPr>
        <w:t>e</w:t>
      </w:r>
      <w:proofErr w:type="spellEnd"/>
      <w:r>
        <w:rPr>
          <w:color w:val="000000"/>
        </w:rPr>
        <w:t>)</w:t>
      </w:r>
      <w:r>
        <w:rPr>
          <w:color w:val="000000"/>
        </w:rPr>
        <w:tab/>
        <w:t>подготовка военных и полицейских инструкторов по правам человека и международному гуманитарному праву.</w:t>
      </w:r>
    </w:p>
    <w:p w:rsidR="00000000" w:rsidRDefault="00000000">
      <w:pPr>
        <w:ind w:left="1134" w:hanging="567"/>
        <w:rPr>
          <w:color w:val="000000"/>
        </w:rPr>
      </w:pPr>
    </w:p>
    <w:p w:rsidR="00000000" w:rsidRDefault="00000000">
      <w:pPr>
        <w:rPr>
          <w:color w:val="000000"/>
        </w:rPr>
      </w:pPr>
      <w:r>
        <w:rPr>
          <w:color w:val="000000"/>
        </w:rPr>
        <w:t>253.</w:t>
      </w:r>
      <w:r>
        <w:rPr>
          <w:color w:val="000000"/>
        </w:rPr>
        <w:tab/>
        <w:t>Работа по повышению уровня подготовки сыграла существенную роль в развитии международного сотрудничества, что подтверждается предложением прямой помощи и участия в программах обучения офицеров-инструкторов и помощников.  Примерами такого сотрудничества являются следующие мероприятия:</w:t>
      </w:r>
    </w:p>
    <w:p w:rsidR="00000000" w:rsidRDefault="00000000">
      <w:pPr>
        <w:rPr>
          <w:color w:val="000000"/>
        </w:rPr>
      </w:pPr>
    </w:p>
    <w:p w:rsidR="00000000" w:rsidRDefault="00000000">
      <w:pPr>
        <w:ind w:left="1134" w:hanging="567"/>
        <w:rPr>
          <w:color w:val="000000"/>
        </w:rPr>
      </w:pPr>
      <w:proofErr w:type="spellStart"/>
      <w:r>
        <w:rPr>
          <w:color w:val="000000"/>
        </w:rPr>
        <w:t>a</w:t>
      </w:r>
      <w:proofErr w:type="spellEnd"/>
      <w:r>
        <w:rPr>
          <w:color w:val="000000"/>
        </w:rPr>
        <w:t>)</w:t>
      </w:r>
      <w:r>
        <w:rPr>
          <w:color w:val="000000"/>
        </w:rPr>
        <w:tab/>
        <w:t>При поддержке Южного командования Соединенных Штатов Америки разработано Руководство-справочник по поведению солдата и морского пехотинца.  Перед началом его практического применения были проведены два семинара, в ходе которых повысили свою квалификацию 160 военных инструкторов.</w:t>
      </w:r>
    </w:p>
    <w:p w:rsidR="00000000" w:rsidRDefault="00000000">
      <w:pPr>
        <w:ind w:left="1134" w:hanging="567"/>
        <w:rPr>
          <w:color w:val="000000"/>
        </w:rPr>
      </w:pPr>
    </w:p>
    <w:p w:rsidR="00000000" w:rsidRDefault="00000000">
      <w:pPr>
        <w:ind w:left="1134" w:hanging="567"/>
        <w:rPr>
          <w:color w:val="000000"/>
        </w:rPr>
      </w:pPr>
      <w:proofErr w:type="spellStart"/>
      <w:r>
        <w:rPr>
          <w:color w:val="000000"/>
        </w:rPr>
        <w:t>b</w:t>
      </w:r>
      <w:proofErr w:type="spellEnd"/>
      <w:r>
        <w:rPr>
          <w:color w:val="000000"/>
        </w:rPr>
        <w:t>)</w:t>
      </w:r>
      <w:r>
        <w:rPr>
          <w:color w:val="000000"/>
        </w:rPr>
        <w:tab/>
        <w:t>С 1998 года действует соглашение об академическом сотрудничестве с Институтом международных юридических исследований министерства обороны Соединенных Штатов (ДИЛЛС), в рамках которого было проведено три семинара по военной уголовной юстиции и правам человека с целью сравнить системы военной уголовной юстиции в Соединенных Штатах и в Колумбии и их отношение к проблематике прав человека и международного гуманитарного права.</w:t>
      </w:r>
    </w:p>
    <w:p w:rsidR="00000000" w:rsidRDefault="00000000">
      <w:pPr>
        <w:ind w:left="1134" w:hanging="567"/>
        <w:rPr>
          <w:color w:val="000000"/>
        </w:rPr>
      </w:pPr>
    </w:p>
    <w:p w:rsidR="00000000" w:rsidRDefault="00000000">
      <w:pPr>
        <w:ind w:left="1134" w:hanging="567"/>
        <w:rPr>
          <w:color w:val="000000"/>
        </w:rPr>
      </w:pPr>
      <w:proofErr w:type="spellStart"/>
      <w:r>
        <w:rPr>
          <w:color w:val="000000"/>
        </w:rPr>
        <w:t>c</w:t>
      </w:r>
      <w:proofErr w:type="spellEnd"/>
      <w:r>
        <w:rPr>
          <w:color w:val="000000"/>
        </w:rPr>
        <w:t>)</w:t>
      </w:r>
      <w:r>
        <w:rPr>
          <w:color w:val="000000"/>
        </w:rPr>
        <w:tab/>
        <w:t xml:space="preserve">В Институте имени Рауля </w:t>
      </w:r>
      <w:proofErr w:type="spellStart"/>
      <w:r>
        <w:rPr>
          <w:color w:val="000000"/>
        </w:rPr>
        <w:t>Валленберга</w:t>
      </w:r>
      <w:proofErr w:type="spellEnd"/>
      <w:r>
        <w:rPr>
          <w:color w:val="000000"/>
        </w:rPr>
        <w:t xml:space="preserve"> при Университете города </w:t>
      </w:r>
      <w:proofErr w:type="spellStart"/>
      <w:r>
        <w:rPr>
          <w:color w:val="000000"/>
        </w:rPr>
        <w:t>Лунд</w:t>
      </w:r>
      <w:proofErr w:type="spellEnd"/>
      <w:r>
        <w:rPr>
          <w:color w:val="000000"/>
        </w:rPr>
        <w:t>, Швеция, шесть офицеров прошли подготовку по проблемам прав человека.</w:t>
      </w:r>
    </w:p>
    <w:p w:rsidR="00000000" w:rsidRDefault="00000000">
      <w:pPr>
        <w:ind w:left="1134" w:hanging="567"/>
        <w:rPr>
          <w:color w:val="000000"/>
        </w:rPr>
      </w:pPr>
    </w:p>
    <w:p w:rsidR="00000000" w:rsidRDefault="00000000">
      <w:pPr>
        <w:ind w:left="1134" w:hanging="567"/>
        <w:rPr>
          <w:color w:val="000000"/>
        </w:rPr>
      </w:pPr>
      <w:proofErr w:type="spellStart"/>
      <w:r>
        <w:rPr>
          <w:color w:val="000000"/>
        </w:rPr>
        <w:t>d</w:t>
      </w:r>
      <w:proofErr w:type="spellEnd"/>
      <w:r>
        <w:rPr>
          <w:color w:val="000000"/>
        </w:rPr>
        <w:t>)</w:t>
      </w:r>
      <w:r>
        <w:rPr>
          <w:color w:val="000000"/>
        </w:rPr>
        <w:tab/>
        <w:t xml:space="preserve">Посредством соглашения о сотрудничестве, заключенного с посольством Канады, 450 младших лейтенантов - слушателей последнего курса Военного кадетского училища записались на заочные курсы по правам человека при Автономном университете города </w:t>
      </w:r>
      <w:proofErr w:type="spellStart"/>
      <w:r>
        <w:rPr>
          <w:color w:val="000000"/>
        </w:rPr>
        <w:t>Букараманга</w:t>
      </w:r>
      <w:proofErr w:type="spellEnd"/>
      <w:r>
        <w:rPr>
          <w:color w:val="000000"/>
        </w:rPr>
        <w:t>.</w:t>
      </w:r>
    </w:p>
    <w:p w:rsidR="00000000" w:rsidRDefault="00000000">
      <w:pPr>
        <w:ind w:left="1134" w:hanging="567"/>
        <w:rPr>
          <w:color w:val="000000"/>
        </w:rPr>
      </w:pPr>
      <w:r>
        <w:rPr>
          <w:color w:val="000000"/>
        </w:rPr>
        <w:br w:type="page"/>
      </w:r>
      <w:proofErr w:type="spellStart"/>
      <w:r>
        <w:rPr>
          <w:color w:val="000000"/>
        </w:rPr>
        <w:t>e</w:t>
      </w:r>
      <w:proofErr w:type="spellEnd"/>
      <w:r>
        <w:rPr>
          <w:color w:val="000000"/>
        </w:rPr>
        <w:t>)</w:t>
      </w:r>
      <w:r>
        <w:rPr>
          <w:color w:val="000000"/>
        </w:rPr>
        <w:tab/>
        <w:t>В Международном институте по гуманитарному праву в Сан-Ремо (Италия) 15 офицеров прошли подготовку по проблемам международного права вооруженных конфликтов.</w:t>
      </w:r>
    </w:p>
    <w:p w:rsidR="00000000" w:rsidRDefault="00000000">
      <w:pPr>
        <w:ind w:left="1134" w:hanging="567"/>
        <w:rPr>
          <w:color w:val="000000"/>
        </w:rPr>
      </w:pPr>
    </w:p>
    <w:p w:rsidR="00000000" w:rsidRDefault="00000000">
      <w:pPr>
        <w:ind w:left="1134" w:hanging="567"/>
        <w:rPr>
          <w:color w:val="000000"/>
        </w:rPr>
      </w:pPr>
      <w:proofErr w:type="spellStart"/>
      <w:r>
        <w:rPr>
          <w:color w:val="000000"/>
        </w:rPr>
        <w:t>f</w:t>
      </w:r>
      <w:proofErr w:type="spellEnd"/>
      <w:r>
        <w:rPr>
          <w:color w:val="000000"/>
        </w:rPr>
        <w:t>)</w:t>
      </w:r>
      <w:r>
        <w:rPr>
          <w:color w:val="000000"/>
        </w:rPr>
        <w:tab/>
        <w:t xml:space="preserve">Международный Комитет Красного креста поддерживает программы повышения квалификации и подготовки инструкторов для </w:t>
      </w:r>
      <w:r>
        <w:t>сил по поддержанию правопорядка</w:t>
      </w:r>
      <w:r>
        <w:rPr>
          <w:color w:val="000000"/>
        </w:rPr>
        <w:t xml:space="preserve"> путем проведения международных семинаров, курсов внутри страны и путем консультирования по вопросам </w:t>
      </w:r>
      <w:proofErr w:type="spellStart"/>
      <w:r>
        <w:rPr>
          <w:color w:val="000000"/>
        </w:rPr>
        <w:t>имплементации</w:t>
      </w:r>
      <w:proofErr w:type="spellEnd"/>
      <w:r>
        <w:rPr>
          <w:color w:val="000000"/>
        </w:rPr>
        <w:t xml:space="preserve"> права вооруженных конфликтов в оперативные планы и в учебные программы училищ, готовящих персонал для вооруженных сил и полиции. </w:t>
      </w:r>
    </w:p>
    <w:p w:rsidR="00000000" w:rsidRDefault="00000000">
      <w:pPr>
        <w:rPr>
          <w:color w:val="000000"/>
        </w:rPr>
      </w:pPr>
    </w:p>
    <w:p w:rsidR="00000000" w:rsidRDefault="00000000">
      <w:r>
        <w:rPr>
          <w:color w:val="000000"/>
        </w:rPr>
        <w:t>254.</w:t>
      </w:r>
      <w:r>
        <w:rPr>
          <w:color w:val="000000"/>
        </w:rPr>
        <w:tab/>
        <w:t xml:space="preserve">В то же время, правительство страны проводит </w:t>
      </w:r>
      <w:r>
        <w:t>стратегию популяризации и распространения знаний о правах человека, направленную на осознание гражданами значения прав человека и норм международного гуманитарного права, а также на привитие им навыков поведения в гражданском обществе с учетом соотношения индивидуальных прав и обязанностей и прав и обязанностей коллектива, на стимулирование активного участия общества в их применении в различных контекстах и на различных уровнях; ведется работа по развитию стратегии за счет проведения коллективных встреч, способствующих социальной мобилизации и осознанным действиям, исполненным чувства взаимного уважения и стремления к мирному сосуществованию.</w:t>
      </w:r>
    </w:p>
    <w:p w:rsidR="00000000" w:rsidRDefault="00000000"/>
    <w:p w:rsidR="00000000" w:rsidRDefault="00000000">
      <w:pPr>
        <w:keepNext/>
        <w:keepLines/>
        <w:tabs>
          <w:tab w:val="center" w:pos="3356"/>
        </w:tabs>
        <w:ind w:left="1134" w:hanging="567"/>
      </w:pPr>
      <w:proofErr w:type="spellStart"/>
      <w:r>
        <w:t>V</w:t>
      </w:r>
      <w:proofErr w:type="spellEnd"/>
      <w:r>
        <w:t>.</w:t>
      </w:r>
      <w:r>
        <w:tab/>
      </w:r>
      <w:r>
        <w:rPr>
          <w:spacing w:val="2"/>
        </w:rPr>
        <w:t>НОРМЫ, ИНСТРУКЦИИ, МЕТОДЫ И ПРАКТИКА ДОПРОСА</w:t>
      </w:r>
      <w:r>
        <w:t>; ПОЛОЖЕНИЯ ОБ ОХРАНЕ ЛИЦ, ПОДВЕРГНУТЫХ АРЕСТУ, ЗАДЕРЖАНИЮ ИЛИ ЗАКЛЮЧЕНИЮ; НЕДЕЙСТВИТЕЛЬНОСТЬ ДОКАЗАТЕЛЬСТВА, ПОЛУЧЕННОГО ПОД ПЫТКОЙ</w:t>
      </w:r>
    </w:p>
    <w:p w:rsidR="00000000" w:rsidRDefault="00000000">
      <w:pPr>
        <w:pStyle w:val="16"/>
        <w:keepNext/>
        <w:keepLines/>
        <w:tabs>
          <w:tab w:val="clear" w:pos="567"/>
          <w:tab w:val="clear" w:pos="1134"/>
          <w:tab w:val="clear" w:pos="1701"/>
          <w:tab w:val="clear" w:pos="2268"/>
          <w:tab w:val="clear" w:pos="6237"/>
          <w:tab w:val="left" w:pos="390"/>
          <w:tab w:val="left" w:pos="7780"/>
        </w:tabs>
      </w:pPr>
      <w:r>
        <w:t>(Статьи 11 и 15 Конвенции)</w:t>
      </w:r>
    </w:p>
    <w:p w:rsidR="00000000" w:rsidRDefault="00000000">
      <w:pPr>
        <w:pStyle w:val="16"/>
        <w:keepNext/>
        <w:keepLines/>
        <w:tabs>
          <w:tab w:val="clear" w:pos="567"/>
          <w:tab w:val="clear" w:pos="1134"/>
          <w:tab w:val="clear" w:pos="1701"/>
          <w:tab w:val="clear" w:pos="2268"/>
          <w:tab w:val="clear" w:pos="6237"/>
          <w:tab w:val="left" w:pos="390"/>
          <w:tab w:val="left" w:pos="7780"/>
        </w:tabs>
        <w:ind w:left="1134" w:hanging="567"/>
        <w:jc w:val="left"/>
      </w:pPr>
    </w:p>
    <w:p w:rsidR="00000000" w:rsidRDefault="00000000">
      <w:r>
        <w:t>255.</w:t>
      </w:r>
      <w:r>
        <w:tab/>
        <w:t>Принятое государствами обязательство по статье 11 Конвенции в отношении систематического надзора за методами допроса и положениями, регулирующими охрану и обращение с лицами, подвергнутыми аресту, нашло свое отражение в новом Уголовно-процессуальном кодекс, принятом посредством Закона № 600 от июля 2000 года.</w:t>
      </w:r>
    </w:p>
    <w:p w:rsidR="00000000" w:rsidRDefault="00000000"/>
    <w:p w:rsidR="00000000" w:rsidRDefault="00000000">
      <w:r>
        <w:t>256.</w:t>
      </w:r>
      <w:r>
        <w:tab/>
        <w:t>Действительно, в том что касается допросов, следует отметить, что в первой главе раздела VI, посвященного доказательствам, перечислен ряд принципов, на которые следует ориентироваться, когда речь идет о доказательствах.  Такими принципами являются:</w:t>
      </w:r>
    </w:p>
    <w:p w:rsidR="00000000" w:rsidRDefault="00000000">
      <w:pPr>
        <w:ind w:left="1134" w:hanging="567"/>
      </w:pPr>
      <w:r>
        <w:br w:type="page"/>
      </w:r>
      <w:proofErr w:type="spellStart"/>
      <w:r>
        <w:t>a</w:t>
      </w:r>
      <w:proofErr w:type="spellEnd"/>
      <w:r>
        <w:t>)</w:t>
      </w:r>
      <w:r>
        <w:tab/>
        <w:t>Необходимость доказательства.  Означает, что всякое решение суда должно основываться на законных, правильных и своевременно представленных доказательствах.  Нельзя выносить приговор, если в деле не фигурирует доказательство, показывающее достоверность уголовно наказуемого деяния и ответственность обвиняемого.</w:t>
      </w:r>
    </w:p>
    <w:p w:rsidR="00000000" w:rsidRDefault="00000000">
      <w:pPr>
        <w:ind w:left="1134" w:hanging="567"/>
      </w:pPr>
    </w:p>
    <w:p w:rsidR="00000000" w:rsidRDefault="00000000">
      <w:pPr>
        <w:ind w:left="1134" w:hanging="567"/>
      </w:pPr>
      <w:proofErr w:type="spellStart"/>
      <w:r>
        <w:t>b</w:t>
      </w:r>
      <w:proofErr w:type="spellEnd"/>
      <w:r>
        <w:t>)</w:t>
      </w:r>
      <w:r>
        <w:tab/>
        <w:t xml:space="preserve">Средства </w:t>
      </w:r>
      <w:proofErr w:type="spellStart"/>
      <w:r>
        <w:t>доказывания</w:t>
      </w:r>
      <w:proofErr w:type="spellEnd"/>
      <w:r>
        <w:t xml:space="preserve">.  Средствами </w:t>
      </w:r>
      <w:proofErr w:type="spellStart"/>
      <w:r>
        <w:t>доказывания</w:t>
      </w:r>
      <w:proofErr w:type="spellEnd"/>
      <w:r>
        <w:t xml:space="preserve"> являются осмотр, экспертиза, документация, свидетельские показания, признание и примета.  Должностное лицо использует доказательства, не предусмотренные настоящим Кодексом, в соответствии с положениями, регулирующими подобные средства, либо по своему усмотрению, при неизменном уважении основных прав.</w:t>
      </w:r>
    </w:p>
    <w:p w:rsidR="00000000" w:rsidRDefault="00000000">
      <w:pPr>
        <w:ind w:left="1134" w:hanging="567"/>
      </w:pPr>
    </w:p>
    <w:p w:rsidR="00000000" w:rsidRDefault="00000000">
      <w:pPr>
        <w:ind w:left="1134" w:hanging="567"/>
      </w:pPr>
      <w:proofErr w:type="spellStart"/>
      <w:r>
        <w:t>c</w:t>
      </w:r>
      <w:proofErr w:type="spellEnd"/>
      <w:r>
        <w:t>)</w:t>
      </w:r>
      <w:r>
        <w:tab/>
        <w:t xml:space="preserve">Непредвзятость должностного лица в поиске доказательства.  Показывает, что должностное лицо должно добиваться установления истины.  Для этого необходимо с одинаковым усердием проверять обстоятельства, свидетельствующие о наличии уголовно наказуемого деяния, обстоятельства отягчающие, смягчающие вину или освобождающие обвиняемого от ответственности, и те, которые показывают его невиновность.  При рассмотрении дела бремя </w:t>
      </w:r>
      <w:proofErr w:type="spellStart"/>
      <w:r>
        <w:t>доказывания</w:t>
      </w:r>
      <w:proofErr w:type="spellEnd"/>
      <w:r>
        <w:t xml:space="preserve"> наличия уголовно наказуемого деяния и ответственности обвиняемого возлагается на Генеральную инспекцию.  Судья может постановить о назначении обвинителя.</w:t>
      </w:r>
    </w:p>
    <w:p w:rsidR="00000000" w:rsidRDefault="00000000">
      <w:pPr>
        <w:ind w:left="1134" w:hanging="567"/>
      </w:pPr>
    </w:p>
    <w:p w:rsidR="00000000" w:rsidRDefault="00000000">
      <w:pPr>
        <w:ind w:left="1134" w:hanging="567"/>
      </w:pPr>
      <w:proofErr w:type="spellStart"/>
      <w:r>
        <w:t>d</w:t>
      </w:r>
      <w:proofErr w:type="spellEnd"/>
      <w:r>
        <w:t>)</w:t>
      </w:r>
      <w:r>
        <w:tab/>
        <w:t xml:space="preserve">Отклонение доказательств.  Указывается, что не принимаются доказательства, не способствующие установлению истины в отношении фактической стороны дела, или </w:t>
      </w:r>
      <w:r>
        <w:rPr>
          <w:i/>
        </w:rPr>
        <w:t>те, которые были добыты незаконным путем</w:t>
      </w:r>
      <w:r>
        <w:t>.  Должностное лицо суда обязано отклонить посредством предварительного решения использование запрещенных законом или несущественных доказательств, которые касаются явно не относящихся к делу фактов и являются заведомо ненужными.</w:t>
      </w:r>
    </w:p>
    <w:p w:rsidR="00000000" w:rsidRDefault="00000000">
      <w:pPr>
        <w:ind w:left="1134" w:hanging="567"/>
      </w:pPr>
    </w:p>
    <w:p w:rsidR="00000000" w:rsidRDefault="00000000">
      <w:pPr>
        <w:ind w:left="1134" w:hanging="567"/>
      </w:pPr>
      <w:proofErr w:type="spellStart"/>
      <w:r>
        <w:t>e</w:t>
      </w:r>
      <w:proofErr w:type="spellEnd"/>
      <w:r>
        <w:t>)</w:t>
      </w:r>
      <w:r>
        <w:tab/>
        <w:t>Публичность.  Устанавливается, что судебное разбирательство не будет закрытым, и с доказательствами можно свободно ознакомиться.  В ходе следствия с доказательствами знакомятся только участники процесса.</w:t>
      </w:r>
    </w:p>
    <w:p w:rsidR="00000000" w:rsidRDefault="00000000">
      <w:pPr>
        <w:ind w:left="1134" w:hanging="567"/>
      </w:pPr>
    </w:p>
    <w:p w:rsidR="00000000" w:rsidRDefault="00000000">
      <w:pPr>
        <w:ind w:left="1134" w:hanging="567"/>
      </w:pPr>
      <w:proofErr w:type="spellStart"/>
      <w:r>
        <w:t>f</w:t>
      </w:r>
      <w:proofErr w:type="spellEnd"/>
      <w:r>
        <w:t>)</w:t>
      </w:r>
      <w:r>
        <w:tab/>
        <w:t xml:space="preserve">Свобода </w:t>
      </w:r>
      <w:proofErr w:type="spellStart"/>
      <w:r>
        <w:t>доказывания</w:t>
      </w:r>
      <w:proofErr w:type="spellEnd"/>
      <w:r>
        <w:t xml:space="preserve">.  Показывает, что элементы, составляющие наказуемое деяние, ответственность обвиняемого, обстоятельства, отягчающие или смягчающие наказание, обстоятельства исключающие ответственность, характер и масштаб ущерба могут доказываться любым средством </w:t>
      </w:r>
      <w:proofErr w:type="spellStart"/>
      <w:r>
        <w:t>доказывания</w:t>
      </w:r>
      <w:proofErr w:type="spellEnd"/>
      <w:r>
        <w:t>, если только закон не требует специального доказательства, при неизменном уважении основных прав.</w:t>
      </w:r>
    </w:p>
    <w:p w:rsidR="00000000" w:rsidRDefault="00000000">
      <w:pPr>
        <w:ind w:left="1134" w:hanging="567"/>
      </w:pPr>
      <w:r>
        <w:br w:type="page"/>
      </w:r>
      <w:proofErr w:type="spellStart"/>
      <w:r>
        <w:t>g</w:t>
      </w:r>
      <w:proofErr w:type="spellEnd"/>
      <w:r>
        <w:t>)</w:t>
      </w:r>
      <w:r>
        <w:tab/>
        <w:t>Оценка доказательств.  Доказательства должны оцениваться в совокупности, в соответствии с правилами здоровой критики.  Должностное лицо суда обязано обоснованно оценить значение, придаваемое каждому доказательству.</w:t>
      </w:r>
    </w:p>
    <w:p w:rsidR="00000000" w:rsidRDefault="00000000">
      <w:pPr>
        <w:ind w:left="1134" w:hanging="567"/>
      </w:pPr>
    </w:p>
    <w:p w:rsidR="00000000" w:rsidRDefault="00000000">
      <w:pPr>
        <w:ind w:left="1134" w:hanging="567"/>
      </w:pPr>
      <w:proofErr w:type="spellStart"/>
      <w:r>
        <w:t>h</w:t>
      </w:r>
      <w:proofErr w:type="spellEnd"/>
      <w:r>
        <w:t>)</w:t>
      </w:r>
      <w:r>
        <w:tab/>
        <w:t>Переданное доказательство.  Доказательства, надлежащим образом представленные на одном судебном или административном разбирательстве в стране или за границей, могут быть переданы для другого разбирательства в виде аутентичной копии и должны быть оценены в соответствии с правилами, предусмотренными в настоящем кодексе.  Если они представлены на другом языке, то копии должны быть переведены на испанский язык официальным переводчиком.</w:t>
      </w:r>
    </w:p>
    <w:p w:rsidR="00000000" w:rsidRDefault="00000000">
      <w:pPr>
        <w:ind w:left="1134" w:hanging="567"/>
      </w:pPr>
    </w:p>
    <w:p w:rsidR="00000000" w:rsidRDefault="00000000">
      <w:pPr>
        <w:ind w:left="1134" w:hanging="567"/>
      </w:pPr>
      <w:proofErr w:type="spellStart"/>
      <w:r>
        <w:t>i</w:t>
      </w:r>
      <w:proofErr w:type="spellEnd"/>
      <w:r>
        <w:t>)</w:t>
      </w:r>
      <w:r>
        <w:tab/>
        <w:t xml:space="preserve">Обвинительные приговоры.  Если колумбиец по рождению осужден за границей, и этот приговор надлежащим образом объявлен окончательным, должностное лицо суда, являющееся компетентным по колумбийскому законодательству для рассмотрения преступного деяния, может, не прибегая к </w:t>
      </w:r>
      <w:r>
        <w:rPr>
          <w:i/>
        </w:rPr>
        <w:t>экзекватуре,</w:t>
      </w:r>
      <w:r>
        <w:t xml:space="preserve"> приобщить приговор в качестве доказательства на процессе, который проходит или будет проходить в стране.</w:t>
      </w:r>
    </w:p>
    <w:p w:rsidR="00000000" w:rsidRDefault="00000000">
      <w:pPr>
        <w:ind w:left="1134" w:hanging="567"/>
      </w:pPr>
    </w:p>
    <w:p w:rsidR="00000000" w:rsidRDefault="00000000">
      <w:pPr>
        <w:ind w:left="1134" w:hanging="567"/>
      </w:pPr>
      <w:proofErr w:type="spellStart"/>
      <w:r>
        <w:t>j</w:t>
      </w:r>
      <w:proofErr w:type="spellEnd"/>
      <w:r>
        <w:t>)</w:t>
      </w:r>
      <w:r>
        <w:tab/>
        <w:t>Обеспечение доказательства.  Должностное лицо суда должно принять необходимые меры, чтобы предотвратить изменение, сокрытие или уничтожение вещественных доказательств.  С этой целью, в числе прочих мер, может быть отдано распоряжение о специальной охране определенных лиц, движимого или недвижимого имущества, его опечатывание, задержание транспортных средств, изъятие бумаг, книг и других документов.</w:t>
      </w:r>
    </w:p>
    <w:p w:rsidR="00000000" w:rsidRDefault="00000000">
      <w:pPr>
        <w:ind w:left="1134" w:hanging="567"/>
      </w:pPr>
    </w:p>
    <w:p w:rsidR="00000000" w:rsidRDefault="00000000">
      <w:pPr>
        <w:ind w:left="1134" w:hanging="567"/>
      </w:pPr>
      <w:proofErr w:type="spellStart"/>
      <w:r>
        <w:t>k</w:t>
      </w:r>
      <w:proofErr w:type="spellEnd"/>
      <w:r>
        <w:t>)</w:t>
      </w:r>
      <w:r>
        <w:tab/>
        <w:t>Специальные эксперты-консультанты.  Должностное лицо суда может направлять в государственные или частные учреждения запрос о выделении экспертов в определенной отрасли науки, техники или искусства, если считает, что характер расследуемых наказуемых деяний требует привлечения таких экспертов.  Назначенные специалисты выступают в роли экспертов и получают доступ к делу в части, необходимой для выполнения их функций, и обязуются не разглашать ставшие им известными сведения.  Руководитель государственного или частного учреждения обязан незамедлительно выполнить требование должностного лица суда.</w:t>
      </w:r>
    </w:p>
    <w:p w:rsidR="00000000" w:rsidRDefault="00000000">
      <w:pPr>
        <w:ind w:left="1134" w:hanging="567"/>
      </w:pPr>
    </w:p>
    <w:p w:rsidR="00000000" w:rsidRDefault="00000000">
      <w:pPr>
        <w:ind w:left="1134" w:hanging="567"/>
      </w:pPr>
      <w:proofErr w:type="spellStart"/>
      <w:r>
        <w:t>l</w:t>
      </w:r>
      <w:proofErr w:type="spellEnd"/>
      <w:r>
        <w:t>)</w:t>
      </w:r>
      <w:r>
        <w:tab/>
        <w:t xml:space="preserve">Специальные меры по обеспечению доказательств.  Генеральный инспектор Республики или по его поручению полномочный инспектор отдают распоряжение о проведении активных действий или пассивной слежки со стороны служащих судебной системы и судебной полиции за подозрительной деятельностью, связанной с подготовкой к </w:t>
      </w:r>
      <w:proofErr w:type="spellStart"/>
      <w:r>
        <w:t>завладению</w:t>
      </w:r>
      <w:proofErr w:type="spellEnd"/>
      <w:r>
        <w:t xml:space="preserve"> или с </w:t>
      </w:r>
      <w:proofErr w:type="spellStart"/>
      <w:r>
        <w:t>завладением</w:t>
      </w:r>
      <w:proofErr w:type="spellEnd"/>
      <w:r>
        <w:t xml:space="preserve"> предметами, являющимися доказательством предусмотренных в уголовном законодательстве деяний, с целью установить личность или задержать исполнителей или соучастников, сорвать преступные замыслы, воспрепятствовать совершению уголовно наказуемых деяний, определить возможность возбуждения уголовного дела, собрать доказательства, отреагировать на ходатайства об оказании судебной помощи, установить происхождение имущества, разместить пострадавших.  Собранные доказательства будут иметь полную юридическую силу в соответствии с положениями настоящего раздела и применимыми нормами.  Во всех случаях вызывается представитель государственной прокуратуры, однако его отсутствие не может служить препятствием для выполнения приказа инспектора.</w:t>
      </w:r>
    </w:p>
    <w:p w:rsidR="00000000" w:rsidRDefault="00000000">
      <w:pPr>
        <w:ind w:left="1134" w:hanging="567"/>
      </w:pPr>
    </w:p>
    <w:p w:rsidR="00000000" w:rsidRDefault="00000000">
      <w:r>
        <w:t>257.</w:t>
      </w:r>
      <w:r>
        <w:tab/>
        <w:t xml:space="preserve">В свою очередь, положение о </w:t>
      </w:r>
      <w:r>
        <w:rPr>
          <w:i/>
        </w:rPr>
        <w:t xml:space="preserve">Производстве допроса </w:t>
      </w:r>
      <w:r>
        <w:t>содержится в статье 276 главы </w:t>
      </w:r>
      <w:proofErr w:type="spellStart"/>
      <w:r>
        <w:t>V</w:t>
      </w:r>
      <w:proofErr w:type="spellEnd"/>
      <w:r>
        <w:t xml:space="preserve"> Кодекса, в которой говорится о свидетельских показаниях.  В соответствии с этими нормами при получении свидетельского показания необходимо придерживаться следующих правил:</w:t>
      </w:r>
    </w:p>
    <w:p w:rsidR="00000000" w:rsidRDefault="00000000"/>
    <w:p w:rsidR="00000000" w:rsidRDefault="00000000">
      <w:pPr>
        <w:ind w:left="1134" w:hanging="567"/>
      </w:pPr>
      <w:proofErr w:type="spellStart"/>
      <w:r>
        <w:t>a</w:t>
      </w:r>
      <w:proofErr w:type="spellEnd"/>
      <w:r>
        <w:t>)</w:t>
      </w:r>
      <w:r>
        <w:tab/>
        <w:t>После установления личности прибывшего свидетеля должностное лицо приводит его к присяге и сообщает ему об исключениях, установленных для дачи показаний.</w:t>
      </w:r>
    </w:p>
    <w:p w:rsidR="00000000" w:rsidRDefault="00000000">
      <w:pPr>
        <w:ind w:left="1134" w:hanging="567"/>
      </w:pPr>
    </w:p>
    <w:p w:rsidR="00000000" w:rsidRDefault="00000000">
      <w:pPr>
        <w:ind w:left="1134" w:hanging="567"/>
      </w:pPr>
      <w:proofErr w:type="spellStart"/>
      <w:r>
        <w:t>b</w:t>
      </w:r>
      <w:proofErr w:type="spellEnd"/>
      <w:r>
        <w:t>)</w:t>
      </w:r>
      <w:r>
        <w:tab/>
        <w:t>Далее должностное лицо кратко информирует свидетеля о фактах, составляющих предмет его показания, и предлагает ему изложить то, что ему о них известно.  После этого должностное лицо приступает к допросу, если сочтет его целесообразным.  По завершении вышеизложенного, участникам разбирательства разрешается задавать вопросы свидетелю.</w:t>
      </w:r>
    </w:p>
    <w:p w:rsidR="00000000" w:rsidRDefault="00000000"/>
    <w:p w:rsidR="00000000" w:rsidRDefault="00000000">
      <w:r>
        <w:t>258.</w:t>
      </w:r>
      <w:r>
        <w:tab/>
        <w:t>Разрешается предлагать дающему показания лицу высказать свои суждения, если это высококвалифицированный специалист, обладающий большими техническими, научными или другими знаниями по данному предмету.</w:t>
      </w:r>
    </w:p>
    <w:p w:rsidR="00000000" w:rsidRDefault="00000000"/>
    <w:p w:rsidR="00000000" w:rsidRDefault="00000000">
      <w:r>
        <w:t>259.</w:t>
      </w:r>
      <w:r>
        <w:tab/>
        <w:t>Должностное лицо может задавать вопросы в любой момент, когда сочтет это необходимым.  Ответы записываются текстуально.  Должностное лицо обязано призвать свидетеля к тому, чтобы его ответы ограничивались фактами, имеющими отношение к предмету расследования.</w:t>
      </w:r>
    </w:p>
    <w:p w:rsidR="00000000" w:rsidRDefault="00000000">
      <w:r>
        <w:br w:type="page"/>
        <w:t>260.</w:t>
      </w:r>
      <w:r>
        <w:tab/>
        <w:t xml:space="preserve">Эта норма дополняется положениями статьи 277 Уголовно-процессуального кодекса, где говорится о </w:t>
      </w:r>
      <w:r>
        <w:rPr>
          <w:i/>
        </w:rPr>
        <w:t>Критериях оценки свидетельского показания.</w:t>
      </w:r>
      <w:r>
        <w:t xml:space="preserve">  Указывается, что для оценки свидетельского показания должностное лицо должно учитывать принцип здоровой критики и, в особенности, в части, характер восприятия объекта, состояние здоровья органа или органов чувств, посредством которых осуществлялось восприятие, обстоятельства места, времени и способа восприятия, личность заявителя, форму, в которой сделано заявление, и особенности, наблюдаемые в свидетельском показании.</w:t>
      </w:r>
    </w:p>
    <w:p w:rsidR="00000000" w:rsidRDefault="00000000"/>
    <w:p w:rsidR="00000000" w:rsidRDefault="00000000">
      <w:r>
        <w:t>261.</w:t>
      </w:r>
      <w:r>
        <w:tab/>
        <w:t>Положения, касающиеся охраны и обращения с лицами, подвергнутыми аресту, задержанию или заключению.  Эта тема является одной из основных забот правительства страны и государства в целом.</w:t>
      </w:r>
    </w:p>
    <w:p w:rsidR="00000000" w:rsidRDefault="00000000">
      <w:pPr>
        <w:jc w:val="center"/>
      </w:pPr>
    </w:p>
    <w:p w:rsidR="00000000" w:rsidRDefault="00000000">
      <w:pPr>
        <w:ind w:left="1134" w:hanging="567"/>
      </w:pPr>
      <w:proofErr w:type="spellStart"/>
      <w:r>
        <w:t>VI</w:t>
      </w:r>
      <w:proofErr w:type="spellEnd"/>
      <w:r>
        <w:t>.</w:t>
      </w:r>
      <w:r>
        <w:tab/>
        <w:t>РАССМОТРЕНИЕ ЖАЛОБ И СООБЩЕНИЙ ОТНОСИТЕЛЬНО СЛУЧАЕВ ПРИМЕНЕНИЯ ПЫТОК И СООТВЕТСТВУЮЩИЕ ПРОЦЕССУАЛЬНЫЕ ДЕЙСТВИЯ; ИМУЩЕСТВЕННАЯ ОТВЕТСТВЕННОСТЬ ГОСУДАРСТВА</w:t>
      </w:r>
    </w:p>
    <w:p w:rsidR="00000000" w:rsidRDefault="00000000">
      <w:pPr>
        <w:jc w:val="center"/>
      </w:pPr>
      <w:r>
        <w:t>(Статьи 12, 13 и 14 Конвенции)</w:t>
      </w:r>
    </w:p>
    <w:p w:rsidR="00000000" w:rsidRDefault="00000000">
      <w:pPr>
        <w:jc w:val="center"/>
      </w:pPr>
    </w:p>
    <w:p w:rsidR="00000000" w:rsidRDefault="00000000">
      <w:pPr>
        <w:jc w:val="center"/>
        <w:rPr>
          <w:u w:val="single"/>
        </w:rPr>
      </w:pPr>
      <w:proofErr w:type="spellStart"/>
      <w:r>
        <w:t>A</w:t>
      </w:r>
      <w:proofErr w:type="spellEnd"/>
      <w:r>
        <w:t>.</w:t>
      </w:r>
      <w:r>
        <w:tab/>
      </w:r>
      <w:r>
        <w:rPr>
          <w:u w:val="single"/>
        </w:rPr>
        <w:t>Органы, компетентные рассматривать жалобы на применение</w:t>
      </w:r>
    </w:p>
    <w:p w:rsidR="00000000" w:rsidRDefault="00000000">
      <w:pPr>
        <w:jc w:val="center"/>
        <w:rPr>
          <w:u w:val="single"/>
        </w:rPr>
      </w:pPr>
      <w:r>
        <w:rPr>
          <w:u w:val="single"/>
        </w:rPr>
        <w:t>пыток и предпринимать процессуальные действия</w:t>
      </w:r>
    </w:p>
    <w:p w:rsidR="00000000" w:rsidRDefault="00000000">
      <w:pPr>
        <w:jc w:val="center"/>
      </w:pPr>
    </w:p>
    <w:p w:rsidR="00000000" w:rsidRDefault="00000000">
      <w:r>
        <w:t>262.</w:t>
      </w:r>
      <w:r>
        <w:tab/>
        <w:t xml:space="preserve">Рассмотрением жалоб на применение пыток и процессуальными действиями по таким случаям занимаются как органы общей юстиции, так и государственная прокуратура.  В обычной юстиции инстанцией, преимущественно занимающейся приемом упомянутых жалоб, является Генеральная инспекция Республики, а в государственной прокуратуре - Генеральная прокуратура Республики, особенно по тем делам, в которых замешаны государственные служащие, будь то из-за своих действий или бездействия. </w:t>
      </w:r>
    </w:p>
    <w:p w:rsidR="00000000" w:rsidRDefault="00000000"/>
    <w:p w:rsidR="00000000" w:rsidRDefault="00000000">
      <w:pPr>
        <w:pStyle w:val="Heading1"/>
        <w:rPr>
          <w:b w:val="0"/>
          <w:bCs/>
          <w:u w:val="single"/>
        </w:rPr>
      </w:pPr>
      <w:r>
        <w:rPr>
          <w:b w:val="0"/>
          <w:bCs/>
          <w:u w:val="single"/>
        </w:rPr>
        <w:t>Генеральная инспекция Республики</w:t>
      </w:r>
    </w:p>
    <w:p w:rsidR="00000000" w:rsidRDefault="00000000"/>
    <w:p w:rsidR="00000000" w:rsidRDefault="00000000">
      <w:r>
        <w:t>263.</w:t>
      </w:r>
      <w:r>
        <w:tab/>
        <w:t>Состоит из Генерального инспектора, полномочных инспекторов и других должностных лиц, число и должности которых определяет закон.  Генеральный инспектор выбирается на четырехлетний период Верховным судом из трех кандидатов, список которых представляет президент Республики.  Генеральная инспекция Республики является частью судебной власти, и ее функция заключается в осуществлении расследования, следствия и обвинения предполагаемых правонарушителей в судах различных инстанций.</w:t>
      </w:r>
    </w:p>
    <w:p w:rsidR="00000000" w:rsidRDefault="00000000">
      <w:r>
        <w:br w:type="page"/>
        <w:t>264.</w:t>
      </w:r>
      <w:r>
        <w:tab/>
        <w:t>Посредством постановления 2725, принятого в декабре 1994 года, был создан</w:t>
      </w:r>
      <w:r>
        <w:rPr>
          <w:i/>
        </w:rPr>
        <w:t xml:space="preserve"> Национальный отдел по правам человека</w:t>
      </w:r>
      <w:r>
        <w:t xml:space="preserve"> в качестве подразделения, специализирующегося на рассмотрении наиболее тяжких нарушений прав человека и норм </w:t>
      </w:r>
      <w:r>
        <w:rPr>
          <w:color w:val="000000"/>
        </w:rPr>
        <w:t>международного гуманитарного права</w:t>
      </w:r>
      <w:r>
        <w:t>.</w:t>
      </w:r>
    </w:p>
    <w:p w:rsidR="00000000" w:rsidRDefault="00000000"/>
    <w:p w:rsidR="00000000" w:rsidRDefault="00000000">
      <w:r>
        <w:t>265.</w:t>
      </w:r>
      <w:r>
        <w:tab/>
        <w:t>Исходя из отобранных критериев, Генеральный инспектор Республики или Генеральный директор инспекции определяют дела для рассмотрения.  В числе установленных критериев учитываются следующие:  является ли предполагаемый правонарушитель представителем государственного органа; частным лицом, которому попустительствовали представители государства, лица из состава подрывных группировок; участники групп самообороны и частные лица в случаях, имеющих большой общественный резонанс.</w:t>
      </w:r>
    </w:p>
    <w:p w:rsidR="00000000" w:rsidRDefault="00000000"/>
    <w:p w:rsidR="00000000" w:rsidRDefault="00000000">
      <w:r>
        <w:t>266.</w:t>
      </w:r>
      <w:r>
        <w:tab/>
        <w:t>Что касается характера деяний, то учитываются три самых серьезных нарушения прав человека, тесно связанных с всеобъемлющей властью государства.  Речь идет о насильственных исчезновениях, внесудебных казнях и пытках.  Параллельно с этим, включаются массовые истребления, практикуемые против различных слоев общества, в которых, независимо друг от друга, участвовали и повстанческие формирования, и группы самообороны, и преступные группировки, при этом всеми ими преследовалась цель создания обстановки тревоги и страха.</w:t>
      </w:r>
    </w:p>
    <w:p w:rsidR="00000000" w:rsidRDefault="00000000"/>
    <w:p w:rsidR="00000000" w:rsidRDefault="00000000">
      <w:r>
        <w:t>267.</w:t>
      </w:r>
      <w:r>
        <w:tab/>
        <w:t>В настоящее время Национальный отдел по правам человека насчитывает 30 специальных инспекторов, 25 следователей Службы технических расследований, 5 следователей Административного управления безопасности (ДАС) и 3 следователя Управления судебной разведки.</w:t>
      </w:r>
    </w:p>
    <w:p w:rsidR="00000000" w:rsidRDefault="00000000"/>
    <w:p w:rsidR="00000000" w:rsidRDefault="00000000">
      <w:r>
        <w:rPr>
          <w:u w:val="single"/>
        </w:rPr>
        <w:t>Государственная прокуратура</w:t>
      </w:r>
    </w:p>
    <w:p w:rsidR="00000000" w:rsidRDefault="00000000"/>
    <w:p w:rsidR="00000000" w:rsidRDefault="00000000">
      <w:r>
        <w:t>268.</w:t>
      </w:r>
      <w:r>
        <w:tab/>
        <w:t xml:space="preserve">Государственная прокуратура включает Генерального прокурора Республики, </w:t>
      </w:r>
      <w:proofErr w:type="spellStart"/>
      <w:r>
        <w:t>омбудсмена</w:t>
      </w:r>
      <w:proofErr w:type="spellEnd"/>
      <w:r>
        <w:t>, полномочных прокуроров, представителей государственной прокуратуры, муниципальных уполномоченных и других сотрудников, число и должности которых определяет закон.  На государственную прокуратуру возложены защита и обеспечение прав человека, защита государственных интересов и надзор за служебным поведением лиц, выполняющих государственные функции.</w:t>
      </w:r>
    </w:p>
    <w:p w:rsidR="00000000" w:rsidRDefault="00000000">
      <w:pPr>
        <w:tabs>
          <w:tab w:val="clear" w:pos="567"/>
          <w:tab w:val="clear" w:pos="1701"/>
          <w:tab w:val="left" w:pos="0"/>
          <w:tab w:val="left" w:pos="566"/>
          <w:tab w:val="left" w:pos="1134"/>
          <w:tab w:val="left" w:pos="1700"/>
          <w:tab w:val="left" w:pos="2268"/>
          <w:tab w:val="left" w:pos="6520"/>
        </w:tabs>
        <w:suppressAutoHyphens/>
      </w:pPr>
    </w:p>
    <w:p w:rsidR="00000000" w:rsidRDefault="00000000">
      <w:pPr>
        <w:tabs>
          <w:tab w:val="clear" w:pos="567"/>
          <w:tab w:val="clear" w:pos="1701"/>
          <w:tab w:val="left" w:pos="0"/>
          <w:tab w:val="left" w:pos="566"/>
          <w:tab w:val="left" w:pos="1134"/>
          <w:tab w:val="left" w:pos="1700"/>
          <w:tab w:val="left" w:pos="2268"/>
          <w:tab w:val="left" w:pos="6520"/>
        </w:tabs>
        <w:suppressAutoHyphens/>
      </w:pPr>
      <w:r>
        <w:t>269.</w:t>
      </w:r>
      <w:r>
        <w:tab/>
        <w:t xml:space="preserve">Компетенцией в области прав человека обладают Государственная прокуратура и от ее имени Генеральный прокурор Республики.  Генеральный прокурор Республики сам или через своих уполномоченных и агентов осуществляет следующие функции:  надзор за соблюдением Конституции, законов, судебных и административных решений;  защита прав человека и обеспечение их осуществления с помощью </w:t>
      </w:r>
      <w:proofErr w:type="spellStart"/>
      <w:r>
        <w:t>омбудсмена</w:t>
      </w:r>
      <w:proofErr w:type="spellEnd"/>
      <w:r>
        <w:t>;  защита интересов общества;  защита коллективных интересов;  надзор за надлежащим и эффективным выполнением административных функций;  осуществление надзора на высшем уровне за служебной деятельностью государственных должностных лиц, в том числе избираемых народом;  вмешательство, вплоть до обращения в судебные и административные органы, если это необходимо для защиты общественного порядка, государственной собственности или основных прав и гарантий;  другие функции, предусмотренные законом.</w:t>
      </w:r>
    </w:p>
    <w:p w:rsidR="00000000" w:rsidRDefault="00000000">
      <w:pPr>
        <w:tabs>
          <w:tab w:val="clear" w:pos="567"/>
          <w:tab w:val="clear" w:pos="1701"/>
          <w:tab w:val="left" w:pos="0"/>
          <w:tab w:val="left" w:pos="566"/>
          <w:tab w:val="left" w:pos="1134"/>
          <w:tab w:val="left" w:pos="1700"/>
          <w:tab w:val="left" w:pos="2268"/>
          <w:tab w:val="left" w:pos="6520"/>
        </w:tabs>
        <w:suppressAutoHyphens/>
      </w:pPr>
    </w:p>
    <w:p w:rsidR="00000000" w:rsidRDefault="00000000">
      <w:r>
        <w:t>270.</w:t>
      </w:r>
      <w:r>
        <w:tab/>
        <w:t xml:space="preserve">В рамках своих функций Генеральная прокуратура Республики рассматривает жалобы на применение пыток, предпринимая необходимые шаги и назначая соответствующие дисциплинарные наказания.  В данный момент прилагаются значительные усилия, направленные на внедрение базы данных, которая облегчит получение уточненной информации по различным делам, находящимся в сфере компетенции прокуратуры.  Со своей стороны, Канцелярия </w:t>
      </w:r>
      <w:proofErr w:type="spellStart"/>
      <w:r>
        <w:t>омбудсмена</w:t>
      </w:r>
      <w:proofErr w:type="spellEnd"/>
      <w:r>
        <w:t xml:space="preserve"> принимает поступающие заявления и сообщения и направляет их в соответствующие инстанции.</w:t>
      </w:r>
    </w:p>
    <w:p w:rsidR="00000000" w:rsidRDefault="00000000">
      <w:pPr>
        <w:jc w:val="center"/>
      </w:pPr>
    </w:p>
    <w:p w:rsidR="00000000" w:rsidRDefault="00000000">
      <w:pPr>
        <w:jc w:val="center"/>
        <w:rPr>
          <w:u w:val="single"/>
        </w:rPr>
      </w:pPr>
      <w:proofErr w:type="spellStart"/>
      <w:r>
        <w:t>B</w:t>
      </w:r>
      <w:proofErr w:type="spellEnd"/>
      <w:r>
        <w:t>.</w:t>
      </w:r>
      <w:r>
        <w:tab/>
      </w:r>
      <w:r>
        <w:rPr>
          <w:u w:val="single"/>
        </w:rPr>
        <w:t>Имущественная ответственность государства</w:t>
      </w:r>
    </w:p>
    <w:p w:rsidR="00000000" w:rsidRDefault="00000000">
      <w:pPr>
        <w:jc w:val="center"/>
      </w:pPr>
      <w:r>
        <w:rPr>
          <w:u w:val="single"/>
        </w:rPr>
        <w:t>в случае нарушений прав человека</w:t>
      </w:r>
    </w:p>
    <w:p w:rsidR="00000000" w:rsidRDefault="00000000"/>
    <w:p w:rsidR="00000000" w:rsidRDefault="00000000">
      <w:r>
        <w:t>271.</w:t>
      </w:r>
      <w:r>
        <w:tab/>
        <w:t>Имущественная ответственность государства предусмотрена в статье 90 Политической Конституции страны.  В соответствии с данной нормой на государство возлагается имущественная ответственность за вменяемый ему в вину противоправный ущерб, причиненный действием или бездействием органов государственной власти.</w:t>
      </w:r>
    </w:p>
    <w:p w:rsidR="00000000" w:rsidRDefault="00000000"/>
    <w:p w:rsidR="00000000" w:rsidRDefault="00000000">
      <w:r>
        <w:t>272.</w:t>
      </w:r>
      <w:r>
        <w:tab/>
        <w:t>В случае вынесения государству обвинительного приговора, предусматривающего материальное возмещение подобного ущерба, явившегося следствием умышленных либо крайне неосторожных действий одного из представителей государственного органа, государство должно потребовать возмещения ущерба от этого представителя.</w:t>
      </w:r>
    </w:p>
    <w:p w:rsidR="00000000" w:rsidRDefault="00000000"/>
    <w:p w:rsidR="00000000" w:rsidRDefault="00000000">
      <w:r>
        <w:t>273.</w:t>
      </w:r>
      <w:r>
        <w:tab/>
        <w:t>Аналогичным образом, в соответствии с Законом № 270 от 1996 года на государство возлагается имущественная ответственность за вменяемый ему в вину противоправный ущерб, причиненный действием или бездействием представителей его судебных органов, включая плохую работы системы отправления правосудия, судебной ошибкой и несправедливым лишением свободы.</w:t>
      </w:r>
    </w:p>
    <w:p w:rsidR="00000000" w:rsidRDefault="00000000">
      <w:pPr>
        <w:rPr>
          <w:u w:val="single"/>
        </w:rPr>
      </w:pPr>
    </w:p>
    <w:p w:rsidR="00000000" w:rsidRDefault="00000000">
      <w:pPr>
        <w:rPr>
          <w:u w:val="single"/>
          <w:lang w:val="es-MX"/>
        </w:rPr>
      </w:pPr>
      <w:r>
        <w:rPr>
          <w:u w:val="single"/>
          <w:lang w:val="es-MX"/>
        </w:rPr>
        <w:br w:type="page"/>
        <w:t>Иск о прямом возмещении ущерба и о восстановлении прав</w:t>
      </w:r>
    </w:p>
    <w:p w:rsidR="00000000" w:rsidRDefault="00000000"/>
    <w:p w:rsidR="00000000" w:rsidRDefault="00000000">
      <w:r>
        <w:t>274.</w:t>
      </w:r>
      <w:r>
        <w:tab/>
        <w:t>Вначале стоит отметить, что для того, чтобы использовать юридические процедуры в имущественном споре, надлежит предварительно исчерпать все возможности административного пути.  Это - процессуальное требование, предусматривающее первоначальное обсуждение своих действий с администрацией, что достигается путем подачи жалоб на административные акты, составляющие обвинительный акт.  Это предварительное использование упомянутых возможностей необходимо дополнить выполнением предъявляемых в каждом случае формальных требований для того, чтобы возникло процессуальное правоотношение.  Только таким образом администрация может формально заявить о возражениях частного лица против её действий.</w:t>
      </w:r>
    </w:p>
    <w:p w:rsidR="00000000" w:rsidRDefault="00000000"/>
    <w:p w:rsidR="00000000" w:rsidRDefault="00000000">
      <w:r>
        <w:t>275.</w:t>
      </w:r>
      <w:r>
        <w:tab/>
        <w:t>Следовательно, когда мы говорим об иске о прямом возмещении и об иске о восстановлении прав, то имеем в виду действия, которые неизбежно приведут к возмещению убытков и восстановлению права, если дается предписание, в случае подтверждения фактов, заявленных в иске против администрации.  Важно указать, что этот вид исков, наряду с жалобами, требуют предварительного выполнения формальных и основных требований для возбуждения дела.  При предъявлении таких исков необходимо также учитывать феномен потери права в связи с истечением срока давности, который для иска о восстановления права составляет четыре месяца, считая со дня, следующего за днем опубликования, извещения, сообщения или же исполнения акта, а для прямого возмещения составляет два года, считая со дня, следующего за днем совершения действия, бездействия или административного вмешательства.  В то же время, срок давности по иску о прямом возмещении, проистекающем из насильственного исчезновения, должен исчисляться со дня появления жертвы или, в ее отсутствие, с даты окончательного приговора, вынесенного по уголовному делу, без ущерба для возможности его возбуждения с начала событий.</w:t>
      </w:r>
    </w:p>
    <w:p w:rsidR="00000000" w:rsidRDefault="00000000"/>
    <w:p w:rsidR="00000000" w:rsidRDefault="00000000">
      <w:pPr>
        <w:rPr>
          <w:b/>
        </w:rPr>
      </w:pPr>
      <w:r>
        <w:t>276.</w:t>
      </w:r>
      <w:r>
        <w:tab/>
        <w:t>Наконец, что касается предъявления иска, возражений на исковые требования и других процедур в производстве по административным дела, необходимо учитывать положения статей 135 и последующих Административного кодекса.</w:t>
      </w:r>
    </w:p>
    <w:p w:rsidR="00000000" w:rsidRDefault="00000000">
      <w:pPr>
        <w:rPr>
          <w:u w:val="single"/>
        </w:rPr>
      </w:pPr>
    </w:p>
    <w:p w:rsidR="00000000" w:rsidRDefault="00000000">
      <w:pPr>
        <w:rPr>
          <w:u w:val="single"/>
        </w:rPr>
      </w:pPr>
      <w:r>
        <w:rPr>
          <w:u w:val="single"/>
        </w:rPr>
        <w:t>Компенсация жертвам нарушения прав человека</w:t>
      </w:r>
    </w:p>
    <w:p w:rsidR="00000000" w:rsidRDefault="00000000"/>
    <w:p w:rsidR="00000000" w:rsidRDefault="00000000">
      <w:r>
        <w:t>277.</w:t>
      </w:r>
      <w:r>
        <w:tab/>
        <w:t>Важным шагом вперед в этом направлении послужило принятие в 1996 году Закона № 288.  Действительно, в соответствии с первой статьей этого Закона правительство страны обязуется выплатить, после выполнения указанной в упомянутом</w:t>
      </w:r>
    </w:p>
    <w:p w:rsidR="00000000" w:rsidRDefault="00000000">
      <w:r>
        <w:br w:type="page"/>
        <w:t>Законе процедуры, компенсацию за ущерб, причиненный нарушениями прав человека, о которых заявлено или будет заявлено в официальных решениях международных правозащитных организаций, указанных ниже.</w:t>
      </w:r>
    </w:p>
    <w:p w:rsidR="00000000" w:rsidRDefault="00000000"/>
    <w:p w:rsidR="00000000" w:rsidRDefault="00000000">
      <w:r>
        <w:t>278.</w:t>
      </w:r>
      <w:r>
        <w:tab/>
        <w:t>Для целей упомянутого Закона примирительные процедуры или рассмотрение дел о возмещении ущерба могут осуществляться только по тем случаям нарушения прав человека, в отношении которых соблюдены следующие условия:</w:t>
      </w:r>
    </w:p>
    <w:p w:rsidR="00000000" w:rsidRDefault="00000000"/>
    <w:p w:rsidR="00000000" w:rsidRDefault="00000000">
      <w:pPr>
        <w:ind w:left="1134" w:hanging="567"/>
      </w:pPr>
      <w:proofErr w:type="spellStart"/>
      <w:r>
        <w:t>a</w:t>
      </w:r>
      <w:proofErr w:type="spellEnd"/>
      <w:r>
        <w:t>)</w:t>
      </w:r>
      <w:r>
        <w:tab/>
        <w:t>имеется предварительное, письменное и официальное решение Комитета по правам человека Международного пакта о гражданских и политических правах или Межамериканской комиссии по правам человека, в котором в отношении конкретного случая дается заключение о том, что государство Колумбия совершило нарушение прав человека, и устанавливается, что должен быть возмещен соответствующий ущерб;</w:t>
      </w:r>
    </w:p>
    <w:p w:rsidR="00000000" w:rsidRDefault="00000000">
      <w:pPr>
        <w:ind w:left="1134" w:hanging="567"/>
      </w:pPr>
    </w:p>
    <w:p w:rsidR="00000000" w:rsidRDefault="00000000">
      <w:pPr>
        <w:ind w:left="1134" w:hanging="567"/>
      </w:pPr>
      <w:proofErr w:type="spellStart"/>
      <w:r>
        <w:t>b</w:t>
      </w:r>
      <w:proofErr w:type="spellEnd"/>
      <w:r>
        <w:t>)</w:t>
      </w:r>
      <w:r>
        <w:tab/>
        <w:t>имеется предварительное положительное заключение относительно выполнения решения международного органа по правам человека, сделанное комиссией, в состав которой входят:</w:t>
      </w:r>
    </w:p>
    <w:p w:rsidR="00000000" w:rsidRDefault="00000000">
      <w:pPr>
        <w:ind w:left="1134" w:hanging="567"/>
      </w:pPr>
    </w:p>
    <w:p w:rsidR="00000000" w:rsidRDefault="00000000">
      <w:pPr>
        <w:tabs>
          <w:tab w:val="clear" w:pos="1134"/>
          <w:tab w:val="right" w:pos="1276"/>
        </w:tabs>
        <w:ind w:left="567"/>
      </w:pPr>
      <w:r>
        <w:tab/>
      </w:r>
      <w:proofErr w:type="spellStart"/>
      <w:r>
        <w:t>i</w:t>
      </w:r>
      <w:proofErr w:type="spellEnd"/>
      <w:r>
        <w:t>)</w:t>
      </w:r>
      <w:r>
        <w:tab/>
        <w:t>министр внутренних дел;</w:t>
      </w:r>
    </w:p>
    <w:p w:rsidR="00000000" w:rsidRDefault="00000000">
      <w:pPr>
        <w:tabs>
          <w:tab w:val="clear" w:pos="1134"/>
          <w:tab w:val="right" w:pos="1276"/>
        </w:tabs>
        <w:ind w:left="567"/>
      </w:pPr>
    </w:p>
    <w:p w:rsidR="00000000" w:rsidRDefault="00000000">
      <w:pPr>
        <w:tabs>
          <w:tab w:val="clear" w:pos="1134"/>
          <w:tab w:val="right" w:pos="1276"/>
        </w:tabs>
        <w:ind w:left="567"/>
      </w:pPr>
      <w:r>
        <w:tab/>
      </w:r>
      <w:proofErr w:type="spellStart"/>
      <w:r>
        <w:t>ii</w:t>
      </w:r>
      <w:proofErr w:type="spellEnd"/>
      <w:r>
        <w:t>)</w:t>
      </w:r>
      <w:r>
        <w:tab/>
        <w:t>министр иностранных дел;</w:t>
      </w:r>
    </w:p>
    <w:p w:rsidR="00000000" w:rsidRDefault="00000000">
      <w:pPr>
        <w:tabs>
          <w:tab w:val="clear" w:pos="1134"/>
          <w:tab w:val="right" w:pos="1276"/>
        </w:tabs>
        <w:ind w:left="567"/>
      </w:pPr>
    </w:p>
    <w:p w:rsidR="00000000" w:rsidRDefault="00000000">
      <w:pPr>
        <w:tabs>
          <w:tab w:val="clear" w:pos="1134"/>
          <w:tab w:val="right" w:pos="1276"/>
        </w:tabs>
        <w:ind w:left="567"/>
      </w:pPr>
      <w:r>
        <w:tab/>
      </w:r>
      <w:proofErr w:type="spellStart"/>
      <w:r>
        <w:t>iii</w:t>
      </w:r>
      <w:proofErr w:type="spellEnd"/>
      <w:r>
        <w:t>)</w:t>
      </w:r>
      <w:r>
        <w:tab/>
        <w:t>министр юстиции и права, и</w:t>
      </w:r>
    </w:p>
    <w:p w:rsidR="00000000" w:rsidRDefault="00000000">
      <w:pPr>
        <w:tabs>
          <w:tab w:val="clear" w:pos="1134"/>
          <w:tab w:val="right" w:pos="1276"/>
        </w:tabs>
        <w:ind w:left="567"/>
      </w:pPr>
    </w:p>
    <w:p w:rsidR="00000000" w:rsidRDefault="00000000">
      <w:pPr>
        <w:tabs>
          <w:tab w:val="clear" w:pos="1134"/>
          <w:tab w:val="right" w:pos="1276"/>
        </w:tabs>
        <w:ind w:left="567"/>
      </w:pPr>
      <w:r>
        <w:tab/>
      </w:r>
      <w:proofErr w:type="spellStart"/>
      <w:r>
        <w:t>iv</w:t>
      </w:r>
      <w:proofErr w:type="spellEnd"/>
      <w:r>
        <w:t>)</w:t>
      </w:r>
      <w:r>
        <w:tab/>
        <w:t>министр национальной обороны.</w:t>
      </w:r>
    </w:p>
    <w:p w:rsidR="00000000" w:rsidRDefault="00000000">
      <w:pPr>
        <w:tabs>
          <w:tab w:val="clear" w:pos="1134"/>
          <w:tab w:val="right" w:pos="1276"/>
        </w:tabs>
        <w:ind w:left="567"/>
      </w:pPr>
    </w:p>
    <w:p w:rsidR="00000000" w:rsidRDefault="00000000">
      <w:r>
        <w:t>279.</w:t>
      </w:r>
      <w:r>
        <w:tab/>
        <w:t>Комиссия дает положительное заключение относительно выполнения решения международного органа по правам человека во всех случаях, когда имеются фактические и правовые мотивы, предусмотренные в Политической Конституции и в применимых международных договорах.  При этом должны учитываться, помимо прочих моментов, собранные доказательства и решения, принятые в ходе судебных, административных или дисциплинарных разбирательств внутри страны и рассмотрения дела в соответствующем международном органе.</w:t>
      </w:r>
    </w:p>
    <w:p w:rsidR="00000000" w:rsidRDefault="00000000"/>
    <w:p w:rsidR="00000000" w:rsidRDefault="00000000">
      <w:r>
        <w:t>280.</w:t>
      </w:r>
      <w:r>
        <w:tab/>
        <w:t xml:space="preserve">Если Комиссия считает, что не существует мотивов, о которых говорится в предыдущем пункте, она должна сообщить об этом правительству страны для направления ходатайства или подачи апелляции против упомянутого решения в компетентный международный орган, при его наличии.  Во всех случаях, когда в соответствующем международном договоре не предусмотрено второй инстанции, или когда истек срок, установленный для </w:t>
      </w:r>
      <w:proofErr w:type="spellStart"/>
      <w:r>
        <w:t>оспаривания</w:t>
      </w:r>
      <w:proofErr w:type="spellEnd"/>
      <w:r>
        <w:t xml:space="preserve"> решения, Комиссия должна дать положительное заключение относительно выполнения решения международного органа.</w:t>
      </w:r>
    </w:p>
    <w:p w:rsidR="00000000" w:rsidRDefault="00000000"/>
    <w:p w:rsidR="00000000" w:rsidRDefault="00000000">
      <w:r>
        <w:t>281.</w:t>
      </w:r>
      <w:r>
        <w:tab/>
        <w:t>Комиссия обязана дать соответствующее заключение в течение 45 дней, считая со дня официального извещения о решении, вынесенном международным органом, о котором идет речь.  Указанный срок исчисляется с даты вступления в силу упомянутого Закона относительно решений международных организаций по правам человека, объявленных до этой даты.</w:t>
      </w:r>
    </w:p>
    <w:p w:rsidR="00000000" w:rsidRDefault="00000000"/>
    <w:p w:rsidR="00000000" w:rsidRDefault="00000000">
      <w:r>
        <w:t>282.</w:t>
      </w:r>
      <w:r>
        <w:tab/>
        <w:t>Для предусмотренной в этом Законе процедуры есть основание даже в случае истечения установленного во внутреннем законодательстве срока для действий, направленных на получение возмещения ущерба, причиненного нарушением прав человека, при выполнении требований, указанных в тех же нормах.</w:t>
      </w:r>
    </w:p>
    <w:p w:rsidR="00000000" w:rsidRDefault="00000000"/>
    <w:p w:rsidR="00000000" w:rsidRDefault="00000000">
      <w:r>
        <w:t>283.</w:t>
      </w:r>
      <w:r>
        <w:tab/>
        <w:t>Гражданский иск.</w:t>
      </w:r>
      <w:r>
        <w:rPr>
          <w:i/>
        </w:rPr>
        <w:t xml:space="preserve"> </w:t>
      </w:r>
      <w:r>
        <w:t xml:space="preserve"> Индивидуальный или общественный гражданский иск о возмещении ущерба и убытков, индивидуальных и коллективных, причиненных уголовно наказуемым поведением, может предъявляться по линии гражданской юрисдикции или в рамках уголовного процесса, по выбору понесших ущерб физических или юридических лиц, их наследниками или правопреемниками, государственной прокуратурой или общественным истцом, если речь идет о прямом ущербе коллективному имуществу юридического лица.  В этом последнем случае может действовать только один гражданин, и в качестве истца будет признаваться тот, кто первым подал иск.  Общественный истец получает льготу, предоставляемую неимущим, о которой говорится в Гражданском процессуальном кодексе.</w:t>
      </w:r>
    </w:p>
    <w:p w:rsidR="00000000" w:rsidRDefault="00000000"/>
    <w:p w:rsidR="00000000" w:rsidRDefault="00000000">
      <w:r>
        <w:t>284.</w:t>
      </w:r>
      <w:r>
        <w:tab/>
        <w:t>Если у предъявителя иска о возмещении нет возможности управлять своим имуществом и он хочет получить её через разбирательство уголовного дела, а может выступить в качестве гражданской стороны, путем ходатайства, поданного его законным представителем.</w:t>
      </w:r>
    </w:p>
    <w:p w:rsidR="00000000" w:rsidRDefault="00000000"/>
    <w:p w:rsidR="00000000" w:rsidRDefault="00000000">
      <w:r>
        <w:t>285.</w:t>
      </w:r>
      <w:r>
        <w:tab/>
        <w:t>Солидарная обязанность по возмещению ущерба и компенсации убытков, причиненных уголовно наказуемым поведением, возлагается на лица, несущие уголовную ответственность, которые, согласно материальному праву, должны возместить ущерб.</w:t>
      </w:r>
    </w:p>
    <w:p w:rsidR="00000000" w:rsidRDefault="00000000"/>
    <w:p w:rsidR="00000000" w:rsidRDefault="00000000">
      <w:r>
        <w:t>286.</w:t>
      </w:r>
      <w:r>
        <w:tab/>
        <w:t>Образование гражданской стороны как индивидуального или общественного истца может быть предпринято в любой момент после принятия постановления о начале расследования и до принятия решения судом единственной или второй инстанции.  Тот,</w:t>
      </w:r>
    </w:p>
    <w:p w:rsidR="00000000" w:rsidRDefault="00000000">
      <w:r>
        <w:br w:type="page"/>
        <w:t>кто намеревается выступать в качестве гражданской стороны в уголовном процессе, должен выдать для этой цели доверенность, если он не является дипломированным адвокатом.</w:t>
      </w:r>
    </w:p>
    <w:p w:rsidR="00000000" w:rsidRDefault="00000000"/>
    <w:p w:rsidR="00000000" w:rsidRDefault="00000000">
      <w:r>
        <w:t>287.</w:t>
      </w:r>
      <w:r>
        <w:tab/>
        <w:t>В ходатайстве об учреждении гражданской стороны следует указать:</w:t>
      </w:r>
    </w:p>
    <w:p w:rsidR="00000000" w:rsidRDefault="00000000"/>
    <w:p w:rsidR="00000000" w:rsidRDefault="00000000">
      <w:pPr>
        <w:ind w:left="1134" w:hanging="567"/>
      </w:pPr>
      <w:proofErr w:type="spellStart"/>
      <w:r>
        <w:t>a</w:t>
      </w:r>
      <w:proofErr w:type="spellEnd"/>
      <w:r>
        <w:t>)</w:t>
      </w:r>
      <w:r>
        <w:tab/>
        <w:t>имя, фамилию и постоянное место жительства лица, пострадавшего от уголовно наказуемого поведения;</w:t>
      </w:r>
    </w:p>
    <w:p w:rsidR="00000000" w:rsidRDefault="00000000">
      <w:pPr>
        <w:ind w:left="1134" w:hanging="567"/>
      </w:pPr>
    </w:p>
    <w:p w:rsidR="00000000" w:rsidRDefault="00000000">
      <w:pPr>
        <w:ind w:left="1134" w:hanging="567"/>
      </w:pPr>
      <w:proofErr w:type="spellStart"/>
      <w:r>
        <w:t>b</w:t>
      </w:r>
      <w:proofErr w:type="spellEnd"/>
      <w:r>
        <w:t>)</w:t>
      </w:r>
      <w:r>
        <w:tab/>
        <w:t>имя, фамилию и постоянное место жительства предполагаемого виновника, если они известны;</w:t>
      </w:r>
    </w:p>
    <w:p w:rsidR="00000000" w:rsidRDefault="00000000">
      <w:pPr>
        <w:ind w:left="1134" w:hanging="567"/>
      </w:pPr>
    </w:p>
    <w:p w:rsidR="00000000" w:rsidRDefault="00000000">
      <w:pPr>
        <w:ind w:left="1134" w:hanging="567"/>
      </w:pPr>
      <w:proofErr w:type="spellStart"/>
      <w:r>
        <w:t>c</w:t>
      </w:r>
      <w:proofErr w:type="spellEnd"/>
      <w:r>
        <w:t>)</w:t>
      </w:r>
      <w:r>
        <w:tab/>
        <w:t>имена, фамилии и постоянное место жительства представителей или уполномоченных участников процесса, если они не могут присутствовать или не присутствуют сами;</w:t>
      </w:r>
    </w:p>
    <w:p w:rsidR="00000000" w:rsidRDefault="00000000">
      <w:pPr>
        <w:ind w:left="1134" w:hanging="567"/>
      </w:pPr>
    </w:p>
    <w:p w:rsidR="00000000" w:rsidRDefault="00000000">
      <w:pPr>
        <w:ind w:left="1134" w:hanging="567"/>
      </w:pPr>
      <w:proofErr w:type="spellStart"/>
      <w:r>
        <w:t>d</w:t>
      </w:r>
      <w:proofErr w:type="spellEnd"/>
      <w:r>
        <w:t>)</w:t>
      </w:r>
      <w:r>
        <w:tab/>
        <w:t>заявление под присягой, которая считается принятой при подаче ходатайства, о том, что в гражданской юрисдикции не было возбуждено дело с целью получить возмещение за ущерб и убытки, причиненные уголовно наказуемым поведением;</w:t>
      </w:r>
    </w:p>
    <w:p w:rsidR="00000000" w:rsidRDefault="00000000">
      <w:pPr>
        <w:ind w:left="1134" w:hanging="567"/>
      </w:pPr>
    </w:p>
    <w:p w:rsidR="00000000" w:rsidRDefault="00000000">
      <w:pPr>
        <w:ind w:left="1134" w:hanging="567"/>
      </w:pPr>
      <w:proofErr w:type="spellStart"/>
      <w:r>
        <w:t>e</w:t>
      </w:r>
      <w:proofErr w:type="spellEnd"/>
      <w:r>
        <w:t>)</w:t>
      </w:r>
      <w:r>
        <w:tab/>
        <w:t xml:space="preserve">события, явившиеся причиной ущерба и убытков, возмещение которых </w:t>
      </w:r>
      <w:proofErr w:type="spellStart"/>
      <w:r>
        <w:t>истребуется</w:t>
      </w:r>
      <w:proofErr w:type="spellEnd"/>
      <w:r>
        <w:t>;</w:t>
      </w:r>
    </w:p>
    <w:p w:rsidR="00000000" w:rsidRDefault="00000000">
      <w:pPr>
        <w:ind w:left="1134" w:hanging="567"/>
      </w:pPr>
    </w:p>
    <w:p w:rsidR="00000000" w:rsidRDefault="00000000">
      <w:pPr>
        <w:ind w:left="1134" w:hanging="567"/>
      </w:pPr>
      <w:proofErr w:type="spellStart"/>
      <w:r>
        <w:t>f</w:t>
      </w:r>
      <w:proofErr w:type="spellEnd"/>
      <w:r>
        <w:t>)</w:t>
      </w:r>
      <w:r>
        <w:tab/>
        <w:t>ущерб и убытки материального и морального характера, которые были ему причинены, сумма, в которую оценивается их возмещение, и меры, которые необходимо принять для восстановления права, если это возможно;</w:t>
      </w:r>
    </w:p>
    <w:p w:rsidR="00000000" w:rsidRDefault="00000000">
      <w:pPr>
        <w:ind w:left="1134" w:hanging="567"/>
      </w:pPr>
    </w:p>
    <w:p w:rsidR="00000000" w:rsidRDefault="00000000">
      <w:r>
        <w:tab/>
      </w:r>
      <w:r>
        <w:rPr>
          <w:lang w:val="en-US"/>
        </w:rPr>
        <w:t>g</w:t>
      </w:r>
      <w:r>
        <w:t>)</w:t>
      </w:r>
      <w:r>
        <w:tab/>
        <w:t>юридические основания, на которых базируются выдвинутые требования;</w:t>
      </w:r>
    </w:p>
    <w:p w:rsidR="00000000" w:rsidRDefault="00000000"/>
    <w:p w:rsidR="00000000" w:rsidRDefault="00000000">
      <w:pPr>
        <w:ind w:left="1134" w:hanging="1134"/>
      </w:pPr>
      <w:r>
        <w:tab/>
      </w:r>
      <w:proofErr w:type="spellStart"/>
      <w:r>
        <w:t>h</w:t>
      </w:r>
      <w:proofErr w:type="spellEnd"/>
      <w:r>
        <w:t>)</w:t>
      </w:r>
      <w:r>
        <w:tab/>
        <w:t>доказательства, которые предполагается предъявить в отношении размера ущерба, суммы возмещения и связи с предполагаемыми потерпевшими, если это возможно;</w:t>
      </w:r>
    </w:p>
    <w:p w:rsidR="00000000" w:rsidRDefault="00000000">
      <w:pPr>
        <w:ind w:left="1134" w:hanging="1134"/>
      </w:pPr>
    </w:p>
    <w:p w:rsidR="00000000" w:rsidRDefault="00000000">
      <w:pPr>
        <w:ind w:left="1134" w:hanging="1134"/>
      </w:pPr>
      <w:r>
        <w:tab/>
      </w:r>
      <w:proofErr w:type="spellStart"/>
      <w:r>
        <w:t>i</w:t>
      </w:r>
      <w:proofErr w:type="spellEnd"/>
      <w:r>
        <w:t>)</w:t>
      </w:r>
      <w:r>
        <w:tab/>
        <w:t>в случае необходимости, приложения, подтверждающие представительство в суде.</w:t>
      </w:r>
    </w:p>
    <w:p w:rsidR="00000000" w:rsidRDefault="00000000">
      <w:pPr>
        <w:ind w:left="1134" w:hanging="1134"/>
      </w:pPr>
    </w:p>
    <w:p w:rsidR="00000000" w:rsidRDefault="00000000">
      <w:r>
        <w:br w:type="page"/>
        <w:t>288.</w:t>
      </w:r>
      <w:r>
        <w:tab/>
        <w:t>При необходимости, должно также прилагаться подтверждение представительства юридических лиц.  Если лицо, намеревающееся выступать в качестве гражданской стороны, является наследником пострадавшего лица, ему необходимо приложить к ходатайству доказательство, подтверждающее этот факт.</w:t>
      </w:r>
    </w:p>
    <w:p w:rsidR="00000000" w:rsidRDefault="00000000"/>
    <w:p w:rsidR="00000000" w:rsidRDefault="00000000">
      <w:r>
        <w:t>289.</w:t>
      </w:r>
      <w:r>
        <w:tab/>
        <w:t>Если пострадавших лиц несколько, они могут образовать гражданскую сторону раздельно или совместно.</w:t>
      </w:r>
    </w:p>
    <w:p w:rsidR="00000000" w:rsidRDefault="00000000"/>
    <w:p w:rsidR="00000000" w:rsidRDefault="00000000">
      <w:r>
        <w:t>290.</w:t>
      </w:r>
      <w:r>
        <w:tab/>
        <w:t>Адвокат, в случае выдачи ему доверенности в законном порядке, может участвовать в разбирательстве, при условии предварительного подтверждения того, что доверитель является пострадавшим лицом, и если он обязуется выполнить требование конфиденциальности.</w:t>
      </w:r>
    </w:p>
    <w:p w:rsidR="00000000" w:rsidRDefault="00000000"/>
    <w:p w:rsidR="00000000" w:rsidRDefault="00000000">
      <w:r>
        <w:t>291.</w:t>
      </w:r>
      <w:r>
        <w:tab/>
        <w:t>Когда ответчиком является лицо, отличное от обвиняемого, в ходатайстве следует указать место, где ответчик или его представитель должны получить личные уведомления.  В противном случае, оно должен заявить под присягой, которая считается принятой при подаче ходатайства, что не знает его местожительства.</w:t>
      </w:r>
    </w:p>
    <w:p w:rsidR="00000000" w:rsidRDefault="00000000"/>
    <w:p w:rsidR="00000000" w:rsidRDefault="00000000">
      <w:r>
        <w:t>292.</w:t>
      </w:r>
      <w:r>
        <w:tab/>
        <w:t>О решении суда принять иск должно быть сообщено ответчику лично или его законному представителю с вручением копии искового заявления и его приложений.  Если вручить личное уведомление оказалось невозможным, направляется соответствующий вызов в суд, согласно положениям Гражданского процессуального кодекса.</w:t>
      </w:r>
    </w:p>
    <w:p w:rsidR="00000000" w:rsidRDefault="00000000"/>
    <w:p w:rsidR="00000000" w:rsidRDefault="00000000">
      <w:r>
        <w:t>293.</w:t>
      </w:r>
      <w:r>
        <w:tab/>
        <w:t>Возмещение убытков.  Если в ходе уголовного процесса доказано наличие убытков, причиненных расследуемым деянием, судья обязан предусмотреть их возмещение в соответствии с фактами, подтвержденными при разбирательстве, и вынести обвинительный приговор ответственному за убытки, вызванные уголовно наказуемым поведением.  Кроме того, он должен принять решение в отношении расходов, судебных издержек и некоторых других вопросов, если в этом есть необходимость.</w:t>
      </w:r>
    </w:p>
    <w:p w:rsidR="00000000" w:rsidRDefault="00000000"/>
    <w:p w:rsidR="00000000" w:rsidRDefault="00000000">
      <w:r>
        <w:t>294.</w:t>
      </w:r>
      <w:r>
        <w:tab/>
        <w:t>В случае предъявления общественного иска, который был удовлетворен, судья в обвинительном приговоре должен указать сумму коллективных убытков, вызванных уголовно наказуемым поведением.</w:t>
      </w:r>
    </w:p>
    <w:p w:rsidR="00000000" w:rsidRDefault="00000000"/>
    <w:p w:rsidR="00000000" w:rsidRDefault="00000000">
      <w:r>
        <w:t>295.</w:t>
      </w:r>
      <w:r>
        <w:tab/>
        <w:t xml:space="preserve">Когда в приговоре фигурирует возмещение коллективных убытков, отдается распоряжение об учреждении фонда на сумму этого возмещения, под управлением </w:t>
      </w:r>
      <w:proofErr w:type="spellStart"/>
      <w:r>
        <w:t>омбудсмена</w:t>
      </w:r>
      <w:proofErr w:type="spellEnd"/>
      <w:r>
        <w:t>, предназначенного для компенсации вреда, причиненного правонарушением.</w:t>
      </w:r>
    </w:p>
    <w:p w:rsidR="00000000" w:rsidRDefault="00000000"/>
    <w:p w:rsidR="00000000" w:rsidRDefault="00000000">
      <w:r>
        <w:t>296.</w:t>
      </w:r>
      <w:r>
        <w:tab/>
        <w:t>В случае ущерба, не поддающегося денежной оценке, возмещение устанавливается в форме, предусмотренной Уголовным кодексом.</w:t>
      </w:r>
    </w:p>
    <w:p w:rsidR="00000000" w:rsidRDefault="00000000"/>
    <w:p w:rsidR="00000000" w:rsidRDefault="00000000">
      <w:r>
        <w:t>297.</w:t>
      </w:r>
      <w:r>
        <w:tab/>
        <w:t>Если есть доказательство того, что потерпевший отдельно возбудил гражданское дело, должностное лицо суда должно воздержаться от вынесения приговора, предусматривающего компенсацию убытков.  В противном случае обвинительный приговор будет недействительным.</w:t>
      </w:r>
    </w:p>
    <w:p w:rsidR="00000000" w:rsidRDefault="00000000"/>
    <w:p w:rsidR="00000000" w:rsidRDefault="00000000"/>
    <w:p w:rsidR="00000000" w:rsidRDefault="00000000">
      <w:pPr>
        <w:spacing w:after="240"/>
        <w:jc w:val="center"/>
        <w:rPr>
          <w:sz w:val="22"/>
        </w:rPr>
      </w:pPr>
      <w:r>
        <w:t>----</w:t>
      </w:r>
    </w:p>
    <w:sectPr w:rsidR="00000000">
      <w:headerReference w:type="even" r:id="rId14"/>
      <w:headerReference w:type="default" r:id="rId15"/>
      <w:footerReference w:type="first" r:id="rId16"/>
      <w:type w:val="continuous"/>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lang w:val="en-US"/>
      </w:rPr>
      <w:t>GE.02-44896   (R)</w:t>
    </w:r>
    <w:r>
      <w:t xml:space="preserve">   280103      280103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CAT/C/39/Add.4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s>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t>CAT/C/39/Add.4</w:t>
    </w:r>
  </w:p>
  <w:p w:rsidR="00000000" w:rsidRDefault="00000000">
    <w:pPr>
      <w:pStyle w:val="Header"/>
      <w:tabs>
        <w:tab w:val="clear" w:pos="8306"/>
      </w:tabs>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83</w:t>
    </w:r>
    <w:r>
      <w:rPr>
        <w:rStyle w:val="PageNumber"/>
      </w:rPr>
      <w:fldChar w:fldCharType="end"/>
    </w:r>
    <w:r>
      <w:rPr>
        <w:lang w:val="en-US"/>
      </w:rPr>
      <w:tab/>
    </w:r>
    <w:r>
      <w:rPr>
        <w:lang w:val="en-US"/>
      </w:rPr>
      <w:tab/>
    </w:r>
  </w:p>
  <w:p w:rsidR="00000000" w:rsidRDefault="00000000">
    <w:pPr>
      <w:pStyle w:val="Header"/>
      <w:tabs>
        <w:tab w:val="clear" w:pos="8306"/>
      </w:tabs>
      <w:rPr>
        <w:lang w:val="en-US"/>
      </w:rPr>
    </w:pPr>
  </w:p>
  <w:p w:rsidR="00000000" w:rsidRDefault="00000000">
    <w:pPr>
      <w:pStyle w:val="Header"/>
      <w:tabs>
        <w:tab w:val="clear" w:pos="8306"/>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8"/>
  <w:activeWritingStyle w:appName="MSWord" w:lang="ru-RU" w:vendorID="1" w:dllVersion="512" w:checkStyle="1"/>
  <w:activeWritingStyle w:appName="MSWord" w:lang="es-ES_tradnl" w:vendorID="9" w:dllVersion="512" w:checkStyle="1"/>
  <w:proofState w:spelling="clean" w:grammar="clean"/>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
    <w:name w:val="Body Text"/>
    <w:basedOn w:val="Normal"/>
    <w:semiHidden/>
    <w:pPr>
      <w:spacing w:after="240"/>
    </w:pPr>
    <w:rPr>
      <w:color w:val="000000"/>
    </w:rPr>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jc w:val="both"/>
    </w:pPr>
    <w:rPr>
      <w:rFonts w:ascii="Verdana" w:hAnsi="Verdana"/>
      <w:sz w:val="22"/>
      <w:lang w:val="es-CO"/>
    </w:rPr>
  </w:style>
  <w:style w:type="paragraph" w:styleId="NormalWeb">
    <w:name w:val="Normal (Web)"/>
    <w:basedOn w:val="Normal"/>
    <w:semiHidden/>
    <w:pPr>
      <w:tabs>
        <w:tab w:val="clear" w:pos="567"/>
        <w:tab w:val="clear" w:pos="1134"/>
        <w:tab w:val="clear" w:pos="1701"/>
        <w:tab w:val="clear" w:pos="2268"/>
        <w:tab w:val="clear" w:pos="6237"/>
      </w:tabs>
      <w:spacing w:before="100" w:after="100" w:line="240" w:lineRule="auto"/>
    </w:pPr>
    <w:rPr>
      <w:lang w:val="es-MX"/>
    </w:rPr>
  </w:style>
  <w:style w:type="paragraph" w:styleId="BodyText2">
    <w:name w:val="Body Text 2"/>
    <w:basedOn w:val="Normal"/>
    <w:semiHidden/>
    <w:pPr>
      <w:tabs>
        <w:tab w:val="clear" w:pos="567"/>
        <w:tab w:val="clear" w:pos="1134"/>
        <w:tab w:val="clear" w:pos="1701"/>
        <w:tab w:val="clear" w:pos="2268"/>
        <w:tab w:val="clear" w:pos="6237"/>
      </w:tabs>
      <w:spacing w:line="240" w:lineRule="auto"/>
    </w:pPr>
    <w:rPr>
      <w:lang w:val="es-ES"/>
    </w:rPr>
  </w:style>
  <w:style w:type="paragraph" w:styleId="BodyText3">
    <w:name w:val="Body Text 3"/>
    <w:basedOn w:val="Normal"/>
    <w:semiHidden/>
    <w:pPr>
      <w:tabs>
        <w:tab w:val="clear" w:pos="567"/>
        <w:tab w:val="clear" w:pos="1134"/>
        <w:tab w:val="clear" w:pos="1701"/>
        <w:tab w:val="clear" w:pos="2268"/>
        <w:tab w:val="clear" w:pos="6237"/>
      </w:tabs>
      <w:spacing w:line="240" w:lineRule="auto"/>
      <w:jc w:val="both"/>
    </w:pPr>
    <w:rPr>
      <w:i/>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Microsoft_Excel_Chart3.xls"/><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2.xls"/><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oleObject" Target="embeddings/Microsoft_Excel_Chart1.xls"/><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25874</Words>
  <Characters>147485</Characters>
  <Application>Microsoft Office Word</Application>
  <DocSecurity>4</DocSecurity>
  <Lines>1229</Lines>
  <Paragraphs>294</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ONU</Company>
  <LinksUpToDate>false</LinksUpToDate>
  <CharactersWithSpaces>181121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Irina Safonova</cp:lastModifiedBy>
  <cp:revision>3</cp:revision>
  <cp:lastPrinted>2003-01-29T07:39:00Z</cp:lastPrinted>
  <dcterms:created xsi:type="dcterms:W3CDTF">2003-01-29T07:39:00Z</dcterms:created>
  <dcterms:modified xsi:type="dcterms:W3CDTF">2003-01-29T07:40:00Z</dcterms:modified>
</cp:coreProperties>
</file>