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112"/>
        <w:gridCol w:w="4253"/>
      </w:tblGrid>
      <w:tr w:rsidR="006B3E27" w:rsidRPr="00DB7679" w:rsidTr="00E70E04">
        <w:trPr>
          <w:trHeight w:hRule="exact" w:val="851"/>
        </w:trPr>
        <w:tc>
          <w:tcPr>
            <w:tcW w:w="1274" w:type="dxa"/>
            <w:tcBorders>
              <w:bottom w:val="single" w:sz="4" w:space="0" w:color="auto"/>
            </w:tcBorders>
          </w:tcPr>
          <w:p w:rsidR="006B3E27" w:rsidRPr="00983870" w:rsidRDefault="006B3E27" w:rsidP="00E76499">
            <w:pPr>
              <w:bidi w:val="0"/>
              <w:jc w:val="right"/>
            </w:pPr>
          </w:p>
        </w:tc>
        <w:tc>
          <w:tcPr>
            <w:tcW w:w="4112" w:type="dxa"/>
            <w:tcBorders>
              <w:bottom w:val="single" w:sz="4" w:space="0" w:color="auto"/>
            </w:tcBorders>
            <w:vAlign w:val="bottom"/>
          </w:tcPr>
          <w:p w:rsidR="006B3E27" w:rsidRPr="00DB7679" w:rsidRDefault="006B3E27" w:rsidP="00E70E04">
            <w:pPr>
              <w:spacing w:after="80" w:line="480" w:lineRule="exact"/>
              <w:jc w:val="left"/>
              <w:rPr>
                <w:szCs w:val="40"/>
                <w:rtl/>
              </w:rPr>
            </w:pPr>
            <w:r w:rsidRPr="00DB7679">
              <w:rPr>
                <w:rFonts w:hint="cs"/>
                <w:szCs w:val="40"/>
                <w:rtl/>
              </w:rPr>
              <w:t>الأمم المتحدة</w:t>
            </w:r>
          </w:p>
        </w:tc>
        <w:tc>
          <w:tcPr>
            <w:tcW w:w="4253" w:type="dxa"/>
            <w:tcBorders>
              <w:bottom w:val="single" w:sz="4" w:space="0" w:color="auto"/>
            </w:tcBorders>
            <w:vAlign w:val="bottom"/>
          </w:tcPr>
          <w:p w:rsidR="006B3E27" w:rsidRPr="00243C8A" w:rsidRDefault="004A2EB8" w:rsidP="004A2EB8">
            <w:pPr>
              <w:bidi w:val="0"/>
              <w:spacing w:after="20"/>
              <w:jc w:val="left"/>
              <w:rPr>
                <w:szCs w:val="20"/>
              </w:rPr>
            </w:pPr>
            <w:r w:rsidRPr="004A2EB8">
              <w:rPr>
                <w:sz w:val="40"/>
                <w:szCs w:val="20"/>
              </w:rPr>
              <w:t>A</w:t>
            </w:r>
            <w:r>
              <w:rPr>
                <w:szCs w:val="20"/>
              </w:rPr>
              <w:t>/HRC/RES/28/21</w:t>
            </w:r>
          </w:p>
        </w:tc>
      </w:tr>
      <w:tr w:rsidR="006B3E27" w:rsidRPr="00DB7679" w:rsidTr="00E70E04">
        <w:trPr>
          <w:trHeight w:hRule="exact" w:val="2835"/>
        </w:trPr>
        <w:tc>
          <w:tcPr>
            <w:tcW w:w="1274" w:type="dxa"/>
            <w:tcBorders>
              <w:top w:val="single" w:sz="4" w:space="0" w:color="auto"/>
              <w:bottom w:val="single" w:sz="12" w:space="0" w:color="auto"/>
            </w:tcBorders>
          </w:tcPr>
          <w:p w:rsidR="006B3E27" w:rsidRPr="00DB7679" w:rsidRDefault="0059622A" w:rsidP="00B477A4">
            <w:pPr>
              <w:jc w:val="center"/>
              <w:rPr>
                <w:rtl/>
              </w:rPr>
            </w:pPr>
            <w:r>
              <w:rPr>
                <w:noProof/>
              </w:rPr>
              <w:drawing>
                <wp:inline distT="0" distB="0" distL="0" distR="0" wp14:anchorId="05F9358A" wp14:editId="4487B2F1">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9">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112" w:type="dxa"/>
            <w:tcBorders>
              <w:top w:val="single" w:sz="4" w:space="0" w:color="auto"/>
              <w:bottom w:val="single" w:sz="12" w:space="0" w:color="auto"/>
            </w:tcBorders>
          </w:tcPr>
          <w:p w:rsidR="006B3E27" w:rsidRPr="006B6507" w:rsidRDefault="001E1CAD" w:rsidP="00E70E04">
            <w:pPr>
              <w:spacing w:before="120" w:after="40" w:line="640" w:lineRule="exact"/>
              <w:jc w:val="left"/>
              <w:rPr>
                <w:b/>
                <w:bCs/>
                <w:sz w:val="60"/>
                <w:szCs w:val="60"/>
              </w:rPr>
            </w:pPr>
            <w:r>
              <w:rPr>
                <w:rFonts w:hint="cs"/>
                <w:b/>
                <w:bCs/>
                <w:sz w:val="60"/>
                <w:szCs w:val="60"/>
                <w:rtl/>
              </w:rPr>
              <w:t>الجمعية العامة</w:t>
            </w:r>
          </w:p>
        </w:tc>
        <w:tc>
          <w:tcPr>
            <w:tcW w:w="4253" w:type="dxa"/>
            <w:tcBorders>
              <w:top w:val="single" w:sz="4" w:space="0" w:color="auto"/>
              <w:bottom w:val="single" w:sz="12" w:space="0" w:color="auto"/>
            </w:tcBorders>
          </w:tcPr>
          <w:p w:rsidR="006B3E27" w:rsidRDefault="004A2EB8" w:rsidP="004A2EB8">
            <w:pPr>
              <w:bidi w:val="0"/>
              <w:spacing w:before="240"/>
              <w:jc w:val="left"/>
            </w:pPr>
            <w:r>
              <w:t>Distr.: General</w:t>
            </w:r>
          </w:p>
          <w:p w:rsidR="004A2EB8" w:rsidRDefault="004A2EB8" w:rsidP="004A2EB8">
            <w:pPr>
              <w:bidi w:val="0"/>
              <w:jc w:val="left"/>
            </w:pPr>
            <w:r>
              <w:t>8 April 2015</w:t>
            </w:r>
          </w:p>
          <w:p w:rsidR="004A2EB8" w:rsidRDefault="004A2EB8" w:rsidP="004A2EB8">
            <w:pPr>
              <w:bidi w:val="0"/>
              <w:jc w:val="left"/>
            </w:pPr>
            <w:r>
              <w:t>Arabic</w:t>
            </w:r>
          </w:p>
          <w:p w:rsidR="004A2EB8" w:rsidRPr="008B4BC6" w:rsidRDefault="004A2EB8" w:rsidP="004A2EB8">
            <w:pPr>
              <w:bidi w:val="0"/>
              <w:jc w:val="left"/>
            </w:pPr>
            <w:r>
              <w:t>Original: English</w:t>
            </w:r>
          </w:p>
        </w:tc>
      </w:tr>
    </w:tbl>
    <w:p w:rsidR="004A2EB8" w:rsidRPr="00CB356F" w:rsidRDefault="004A2EB8" w:rsidP="004A2EB8">
      <w:pPr>
        <w:pStyle w:val="SingleTxtGA"/>
        <w:spacing w:before="120" w:after="0"/>
        <w:ind w:left="0" w:right="0"/>
        <w:rPr>
          <w:rFonts w:hint="cs"/>
          <w:b/>
          <w:bCs/>
          <w:sz w:val="26"/>
          <w:szCs w:val="36"/>
          <w:rtl/>
        </w:rPr>
      </w:pPr>
      <w:r w:rsidRPr="00CB356F">
        <w:rPr>
          <w:rFonts w:hint="cs"/>
          <w:b/>
          <w:bCs/>
          <w:sz w:val="26"/>
          <w:szCs w:val="36"/>
          <w:rtl/>
        </w:rPr>
        <w:t>مجلس حقوق الإنسان</w:t>
      </w:r>
    </w:p>
    <w:p w:rsidR="004A2EB8" w:rsidRDefault="004A2EB8" w:rsidP="004A2EB8">
      <w:pPr>
        <w:pStyle w:val="SingleTxtGA"/>
        <w:spacing w:after="0"/>
        <w:ind w:left="0" w:right="0"/>
        <w:rPr>
          <w:b/>
          <w:bCs/>
          <w:rtl/>
        </w:rPr>
      </w:pPr>
      <w:r w:rsidRPr="00CB356F">
        <w:rPr>
          <w:rFonts w:hint="cs"/>
          <w:b/>
          <w:bCs/>
          <w:rtl/>
        </w:rPr>
        <w:t>الدورة الثامنة والعشرون</w:t>
      </w:r>
    </w:p>
    <w:p w:rsidR="004A2EB8" w:rsidRDefault="004A2EB8" w:rsidP="004A2EB8">
      <w:pPr>
        <w:pStyle w:val="SingleTxtGA"/>
        <w:spacing w:after="0"/>
        <w:ind w:left="0" w:right="0"/>
        <w:rPr>
          <w:rtl/>
        </w:rPr>
      </w:pPr>
      <w:r>
        <w:rPr>
          <w:rFonts w:hint="cs"/>
          <w:rtl/>
        </w:rPr>
        <w:t>البند 4 من جدول الأعمال</w:t>
      </w:r>
    </w:p>
    <w:p w:rsidR="004A2EB8" w:rsidRDefault="004A2EB8" w:rsidP="004A2EB8">
      <w:pPr>
        <w:pStyle w:val="SingleTxtGA"/>
        <w:spacing w:after="0"/>
        <w:ind w:left="0" w:right="0"/>
        <w:rPr>
          <w:b/>
          <w:bCs/>
          <w:rtl/>
        </w:rPr>
      </w:pPr>
      <w:r>
        <w:rPr>
          <w:rFonts w:hint="cs"/>
          <w:b/>
          <w:bCs/>
          <w:rtl/>
        </w:rPr>
        <w:t>حالات حقوق الإنسان التي تتطلب اهتمام المجلس بها</w:t>
      </w:r>
    </w:p>
    <w:p w:rsidR="004A2EB8" w:rsidRDefault="004A2EB8" w:rsidP="004A2EB8">
      <w:pPr>
        <w:pStyle w:val="HChGA"/>
        <w:rPr>
          <w:rtl/>
        </w:rPr>
      </w:pPr>
      <w:r>
        <w:rPr>
          <w:rFonts w:hint="cs"/>
          <w:rtl/>
        </w:rPr>
        <w:tab/>
      </w:r>
      <w:r>
        <w:rPr>
          <w:rFonts w:hint="cs"/>
          <w:rtl/>
        </w:rPr>
        <w:tab/>
      </w:r>
      <w:r w:rsidRPr="00E377C3">
        <w:rPr>
          <w:rFonts w:hint="cs"/>
          <w:rtl/>
        </w:rPr>
        <w:t>قرار</w:t>
      </w:r>
      <w:r>
        <w:rPr>
          <w:rFonts w:hint="cs"/>
          <w:rtl/>
        </w:rPr>
        <w:t xml:space="preserve"> اعتمده مجلس حقوق الإنسان</w:t>
      </w:r>
    </w:p>
    <w:p w:rsidR="004A2EB8" w:rsidRDefault="004A2EB8" w:rsidP="004A2EB8">
      <w:pPr>
        <w:pStyle w:val="HChGA"/>
        <w:rPr>
          <w:rtl/>
          <w:lang w:eastAsia="ar-SA"/>
        </w:rPr>
      </w:pPr>
      <w:r>
        <w:rPr>
          <w:rFonts w:hint="cs"/>
          <w:rtl/>
          <w:lang w:eastAsia="ar-SA"/>
        </w:rPr>
        <w:tab/>
      </w:r>
      <w:r>
        <w:rPr>
          <w:rFonts w:hint="cs"/>
          <w:rtl/>
          <w:lang w:eastAsia="ar-SA"/>
        </w:rPr>
        <w:tab/>
        <w:t>28/21</w:t>
      </w:r>
      <w:r>
        <w:rPr>
          <w:rFonts w:hint="cs"/>
          <w:rtl/>
          <w:lang w:eastAsia="ar-SA"/>
        </w:rPr>
        <w:tab/>
      </w:r>
      <w:r>
        <w:rPr>
          <w:rFonts w:hint="cs"/>
          <w:rtl/>
          <w:lang w:eastAsia="ar-SA"/>
        </w:rPr>
        <w:br/>
        <w:t>حالة حقوق الإنسان في جمهورية إيران الإسلامية</w:t>
      </w:r>
    </w:p>
    <w:p w:rsidR="004A2EB8" w:rsidRDefault="004A2EB8" w:rsidP="004A2EB8">
      <w:pPr>
        <w:pStyle w:val="SingleTxtGA"/>
        <w:rPr>
          <w:i/>
          <w:iCs/>
          <w:rtl/>
          <w:lang w:eastAsia="ar-SA"/>
        </w:rPr>
      </w:pPr>
      <w:r>
        <w:rPr>
          <w:rFonts w:hint="cs"/>
          <w:rtl/>
          <w:lang w:eastAsia="ar-SA"/>
        </w:rPr>
        <w:tab/>
      </w:r>
      <w:r>
        <w:rPr>
          <w:rFonts w:hint="cs"/>
          <w:i/>
          <w:iCs/>
          <w:rtl/>
          <w:lang w:eastAsia="ar-SA"/>
        </w:rPr>
        <w:t>إن مجلس حقوق الإنسان،</w:t>
      </w:r>
    </w:p>
    <w:p w:rsidR="004A2EB8" w:rsidRDefault="004A2EB8" w:rsidP="004A2EB8">
      <w:pPr>
        <w:pStyle w:val="SingleTxtGA"/>
        <w:rPr>
          <w:rtl/>
          <w:lang w:eastAsia="ar-SA"/>
        </w:rPr>
      </w:pPr>
      <w:r>
        <w:rPr>
          <w:rFonts w:hint="cs"/>
          <w:i/>
          <w:iCs/>
          <w:rtl/>
          <w:lang w:eastAsia="ar-SA"/>
        </w:rPr>
        <w:tab/>
        <w:t>إذ يسترشد</w:t>
      </w:r>
      <w:r>
        <w:rPr>
          <w:rFonts w:hint="cs"/>
          <w:rtl/>
          <w:lang w:eastAsia="ar-SA"/>
        </w:rPr>
        <w:t xml:space="preserve"> بميثاق الأمم المتحدة والإعلان العالمي لحقوق الإنسان والعهدين الدوليين الخاصين بحقوق الإنسان وصكوك حقوق الإنسان الدولية الأخرى ذات الصلة،</w:t>
      </w:r>
    </w:p>
    <w:p w:rsidR="004A2EB8" w:rsidRDefault="004A2EB8" w:rsidP="004A2EB8">
      <w:pPr>
        <w:pStyle w:val="SingleTxtGA"/>
        <w:rPr>
          <w:rtl/>
        </w:rPr>
      </w:pPr>
      <w:r w:rsidRPr="00E377C3">
        <w:rPr>
          <w:rFonts w:hint="cs"/>
          <w:rtl/>
        </w:rPr>
        <w:tab/>
      </w:r>
      <w:r w:rsidRPr="00E377C3">
        <w:rPr>
          <w:rFonts w:hint="cs"/>
          <w:i/>
          <w:iCs/>
          <w:rtl/>
        </w:rPr>
        <w:t>وإذ يشير</w:t>
      </w:r>
      <w:r w:rsidRPr="00E377C3">
        <w:rPr>
          <w:rFonts w:hint="cs"/>
          <w:rtl/>
        </w:rPr>
        <w:t xml:space="preserve"> إلى </w:t>
      </w:r>
      <w:r>
        <w:rPr>
          <w:rFonts w:hint="cs"/>
          <w:rtl/>
        </w:rPr>
        <w:t>ال</w:t>
      </w:r>
      <w:r w:rsidRPr="00E377C3">
        <w:rPr>
          <w:rFonts w:hint="cs"/>
          <w:rtl/>
        </w:rPr>
        <w:t>قرارا</w:t>
      </w:r>
      <w:r>
        <w:rPr>
          <w:rFonts w:hint="cs"/>
          <w:rtl/>
        </w:rPr>
        <w:t>ت 16/9 المؤرخ 24 آذار/مارس 2011، و19/12 المؤرخ 3 نيسان/أبريل 2012، و22/23 المؤرخ 22 آذار/مارس 2013، و25/24 المؤرخ 28 آذار/</w:t>
      </w:r>
      <w:r w:rsidR="006F36FF">
        <w:rPr>
          <w:rFonts w:hint="cs"/>
          <w:rtl/>
        </w:rPr>
        <w:t xml:space="preserve"> </w:t>
      </w:r>
      <w:r>
        <w:rPr>
          <w:rFonts w:hint="cs"/>
          <w:rtl/>
        </w:rPr>
        <w:t>مارس 2014، وقرار الجمعية العامة 69/190 المؤرخ 18 كانون الأول/ديسمبر 2014، وجميع القرارات السابقة الصادرة عن الجمعية العامة بشأن حالة حقوق الإنسان في جمهورية إيران الإسلامية، وإذ يعرب عن أسفه لعدم تعاون جمهورية إيران الإسلامية فيما يخص طلبات مجلس حقوق الإنسان والجمعية العامة الواردة في تلك القرارات،</w:t>
      </w:r>
    </w:p>
    <w:p w:rsidR="004A2EB8" w:rsidRPr="00E377C3" w:rsidRDefault="004A2EB8" w:rsidP="004A2EB8">
      <w:pPr>
        <w:pStyle w:val="SingleTxtGA"/>
        <w:rPr>
          <w:rtl/>
        </w:rPr>
      </w:pPr>
      <w:r>
        <w:rPr>
          <w:rFonts w:hint="cs"/>
          <w:rtl/>
        </w:rPr>
        <w:tab/>
      </w:r>
      <w:r w:rsidRPr="00E377C3">
        <w:rPr>
          <w:rFonts w:hint="cs"/>
          <w:i/>
          <w:iCs/>
          <w:rtl/>
        </w:rPr>
        <w:t>وإذ يرحّب</w:t>
      </w:r>
      <w:r>
        <w:rPr>
          <w:rFonts w:hint="cs"/>
          <w:rtl/>
        </w:rPr>
        <w:t xml:space="preserve"> بما قدمه المقرر الخاص المعني بحالة حقوق الإنسان في جمهورية إيران الإسلامية من تقرير وتوصيات إلى مجلس حقوق الإنسان</w:t>
      </w:r>
      <w:r>
        <w:rPr>
          <w:vertAlign w:val="superscript"/>
          <w:rtl/>
        </w:rPr>
        <w:t>(</w:t>
      </w:r>
      <w:r>
        <w:rPr>
          <w:rStyle w:val="FootnoteReference"/>
          <w:rtl/>
        </w:rPr>
        <w:footnoteReference w:id="1"/>
      </w:r>
      <w:r>
        <w:rPr>
          <w:vertAlign w:val="superscript"/>
          <w:rtl/>
        </w:rPr>
        <w:t>)</w:t>
      </w:r>
      <w:r w:rsidRPr="00E377C3">
        <w:rPr>
          <w:rFonts w:hint="cs"/>
          <w:rtl/>
        </w:rPr>
        <w:t>،</w:t>
      </w:r>
      <w:r>
        <w:rPr>
          <w:rFonts w:hint="cs"/>
          <w:i/>
          <w:iCs/>
          <w:rtl/>
        </w:rPr>
        <w:t xml:space="preserve"> </w:t>
      </w:r>
      <w:r w:rsidRPr="00E377C3">
        <w:rPr>
          <w:rFonts w:hint="cs"/>
          <w:rtl/>
        </w:rPr>
        <w:t>وإذ يعرب عن قلقه الشديد إزاء التطورات المشار إليها في ذلك التقرير وإزاء عدم السماح للمقرر الخاص بالسفر إلى جمهورية إيران الإسلامية،</w:t>
      </w:r>
    </w:p>
    <w:p w:rsidR="004A2EB8" w:rsidRDefault="004A2EB8" w:rsidP="006F36FF">
      <w:pPr>
        <w:pStyle w:val="SingleTxtGA"/>
        <w:rPr>
          <w:rtl/>
        </w:rPr>
      </w:pPr>
      <w:r>
        <w:rPr>
          <w:rFonts w:hint="cs"/>
          <w:rtl/>
        </w:rPr>
        <w:lastRenderedPageBreak/>
        <w:tab/>
      </w:r>
      <w:r w:rsidRPr="00E377C3">
        <w:rPr>
          <w:rFonts w:hint="cs"/>
          <w:i/>
          <w:iCs/>
          <w:rtl/>
        </w:rPr>
        <w:t>وإذ يشير</w:t>
      </w:r>
      <w:r>
        <w:rPr>
          <w:rFonts w:hint="cs"/>
          <w:rtl/>
        </w:rPr>
        <w:t xml:space="preserve"> إلى القرارين 5/1 بشأن بناء مؤسسات المجلس و5/2 بشأن مدونة قواعد السلوك للمكلفين بولايات في إطار الإجراءات الخاصة للمجلس المؤرخين</w:t>
      </w:r>
      <w:r>
        <w:rPr>
          <w:rFonts w:hint="eastAsia"/>
          <w:rtl/>
        </w:rPr>
        <w:t> </w:t>
      </w:r>
      <w:r>
        <w:rPr>
          <w:rFonts w:hint="cs"/>
          <w:rtl/>
        </w:rPr>
        <w:t>18 حزيران/</w:t>
      </w:r>
      <w:r w:rsidR="006F36FF">
        <w:rPr>
          <w:rFonts w:hint="cs"/>
          <w:rtl/>
        </w:rPr>
        <w:t xml:space="preserve"> </w:t>
      </w:r>
      <w:r>
        <w:rPr>
          <w:rFonts w:hint="cs"/>
          <w:rtl/>
        </w:rPr>
        <w:t>يونيه</w:t>
      </w:r>
      <w:r w:rsidR="006F36FF">
        <w:rPr>
          <w:rFonts w:hint="eastAsia"/>
          <w:rtl/>
        </w:rPr>
        <w:t> </w:t>
      </w:r>
      <w:r w:rsidR="006F36FF">
        <w:rPr>
          <w:rFonts w:hint="cs"/>
          <w:rtl/>
        </w:rPr>
        <w:t xml:space="preserve">2007، </w:t>
      </w:r>
      <w:r w:rsidRPr="004C1CE8">
        <w:rPr>
          <w:rFonts w:hint="cs"/>
          <w:rtl/>
        </w:rPr>
        <w:t>وإذ يشدد على</w:t>
      </w:r>
      <w:r>
        <w:rPr>
          <w:rFonts w:hint="cs"/>
          <w:rtl/>
        </w:rPr>
        <w:t xml:space="preserve"> أنه يجب أن يؤدي المكلفون بولايات مهامهم وفقاً لهذين القرارين ومرفقاتهما،</w:t>
      </w:r>
    </w:p>
    <w:p w:rsidR="004A2EB8" w:rsidRDefault="004A2EB8" w:rsidP="004A2EB8">
      <w:pPr>
        <w:pStyle w:val="SingleTxtGA"/>
        <w:rPr>
          <w:rtl/>
        </w:rPr>
      </w:pPr>
      <w:r>
        <w:rPr>
          <w:rFonts w:hint="cs"/>
          <w:rtl/>
        </w:rPr>
        <w:tab/>
        <w:t>1-</w:t>
      </w:r>
      <w:r>
        <w:rPr>
          <w:rFonts w:hint="cs"/>
          <w:rtl/>
        </w:rPr>
        <w:tab/>
      </w:r>
      <w:r w:rsidRPr="00E377C3">
        <w:rPr>
          <w:rFonts w:hint="cs"/>
          <w:i/>
          <w:iCs/>
          <w:rtl/>
        </w:rPr>
        <w:t>يقرر</w:t>
      </w:r>
      <w:r>
        <w:rPr>
          <w:rFonts w:hint="cs"/>
          <w:rtl/>
        </w:rPr>
        <w:t xml:space="preserve"> تمديد ولاية المقرر الخاص المعني بحالة حقوق الإنسان في جمهورية إيران الإسلامية سنة أخرى، ويطلب إلى المقرر الخاص أن يقدم تقريراً عن تنفيذ ولايته إلى مجلس حقوق الإنسان في دورته الحادية والثلاثين، وإلى الجمعية العامة في دورتها السبعين؛</w:t>
      </w:r>
    </w:p>
    <w:p w:rsidR="004A2EB8" w:rsidRDefault="004A2EB8" w:rsidP="004A2EB8">
      <w:pPr>
        <w:pStyle w:val="SingleTxtGA"/>
        <w:rPr>
          <w:rtl/>
        </w:rPr>
      </w:pPr>
      <w:r>
        <w:rPr>
          <w:rFonts w:hint="cs"/>
          <w:rtl/>
        </w:rPr>
        <w:tab/>
        <w:t>2-</w:t>
      </w:r>
      <w:r>
        <w:rPr>
          <w:rFonts w:hint="cs"/>
          <w:rtl/>
        </w:rPr>
        <w:tab/>
      </w:r>
      <w:r w:rsidRPr="00E377C3">
        <w:rPr>
          <w:rFonts w:hint="cs"/>
          <w:i/>
          <w:iCs/>
          <w:rtl/>
        </w:rPr>
        <w:t>يهيب</w:t>
      </w:r>
      <w:r>
        <w:rPr>
          <w:rFonts w:hint="cs"/>
          <w:rtl/>
        </w:rPr>
        <w:t xml:space="preserve"> بحكومة جمهورية إيران الإسلامية أن تتعاون تعاوناً كاملاً مع المقرر الخاص وأن تسمح له بزيارة البلد والحصول على جميع المعلومات الضرورية التي تمكنه من إنجاز ولايته؛</w:t>
      </w:r>
    </w:p>
    <w:p w:rsidR="004A2EB8" w:rsidRDefault="004A2EB8" w:rsidP="006F36FF">
      <w:pPr>
        <w:pStyle w:val="SingleTxtGA"/>
        <w:spacing w:after="240"/>
        <w:rPr>
          <w:rtl/>
        </w:rPr>
      </w:pPr>
      <w:r>
        <w:rPr>
          <w:rFonts w:hint="cs"/>
          <w:rtl/>
        </w:rPr>
        <w:tab/>
        <w:t>3-</w:t>
      </w:r>
      <w:r>
        <w:rPr>
          <w:rFonts w:hint="cs"/>
          <w:rtl/>
        </w:rPr>
        <w:tab/>
      </w:r>
      <w:r w:rsidRPr="00E377C3">
        <w:rPr>
          <w:rFonts w:hint="cs"/>
          <w:i/>
          <w:iCs/>
          <w:rtl/>
        </w:rPr>
        <w:t>يطلب</w:t>
      </w:r>
      <w:r>
        <w:rPr>
          <w:rFonts w:hint="cs"/>
          <w:rtl/>
        </w:rPr>
        <w:t xml:space="preserve"> إلى الأمين العام أن يزود المقرر الخاص بما يلزم من موارد لإنجاز الولاية.</w:t>
      </w:r>
    </w:p>
    <w:p w:rsidR="004A2EB8" w:rsidRPr="004966ED" w:rsidRDefault="004A2EB8" w:rsidP="004A2EB8">
      <w:pPr>
        <w:pStyle w:val="SingleTxtGA"/>
        <w:jc w:val="right"/>
        <w:rPr>
          <w:i/>
          <w:iCs/>
          <w:rtl/>
          <w:lang w:eastAsia="ar-SA"/>
        </w:rPr>
      </w:pPr>
      <w:r w:rsidRPr="004966ED">
        <w:rPr>
          <w:rFonts w:hint="cs"/>
          <w:i/>
          <w:iCs/>
          <w:rtl/>
          <w:lang w:eastAsia="ar-SA"/>
        </w:rPr>
        <w:t>الجلسة 57</w:t>
      </w:r>
      <w:r w:rsidRPr="004966ED">
        <w:rPr>
          <w:i/>
          <w:iCs/>
          <w:rtl/>
          <w:lang w:eastAsia="ar-SA"/>
        </w:rPr>
        <w:br/>
      </w:r>
      <w:r w:rsidRPr="004966ED">
        <w:rPr>
          <w:rFonts w:hint="cs"/>
          <w:i/>
          <w:iCs/>
          <w:rtl/>
          <w:lang w:eastAsia="ar-SA"/>
        </w:rPr>
        <w:t>27 آذار/مارس 2015</w:t>
      </w:r>
    </w:p>
    <w:p w:rsidR="00E97EC9" w:rsidRDefault="00E97EC9" w:rsidP="00E97EC9">
      <w:pPr>
        <w:pStyle w:val="SingleTxtGA"/>
        <w:rPr>
          <w:rFonts w:eastAsia="SimSun"/>
          <w:rtl/>
          <w:lang w:eastAsia="zh-TW"/>
        </w:rPr>
      </w:pPr>
      <w:r>
        <w:rPr>
          <w:rFonts w:eastAsia="SimSun" w:hint="cs"/>
          <w:rtl/>
          <w:lang w:eastAsia="zh-TW"/>
        </w:rPr>
        <w:t>[اعتمد بتصويت مسجل بأغلبية 20 صوتاً مقابل 11 صوتاً، وامتناع 16 عضواً عن التصويت. وكانت نتيجة التصويت كما يلي:</w:t>
      </w:r>
    </w:p>
    <w:p w:rsidR="00E97EC9" w:rsidRPr="00943228" w:rsidRDefault="00E97EC9" w:rsidP="00E97EC9">
      <w:pPr>
        <w:pStyle w:val="SingleTxtGA"/>
        <w:ind w:left="3289" w:hanging="1361"/>
        <w:rPr>
          <w:i/>
          <w:iCs/>
          <w:spacing w:val="-2"/>
          <w:rtl/>
          <w:lang w:bidi="ar"/>
        </w:rPr>
      </w:pPr>
      <w:r w:rsidRPr="00943228">
        <w:rPr>
          <w:rFonts w:hint="cs"/>
          <w:i/>
          <w:iCs/>
          <w:spacing w:val="-2"/>
          <w:rtl/>
          <w:lang w:bidi="ar"/>
        </w:rPr>
        <w:t>المؤيدون:</w:t>
      </w:r>
    </w:p>
    <w:p w:rsidR="00E97EC9" w:rsidRPr="00943228" w:rsidRDefault="00E97EC9" w:rsidP="00E97EC9">
      <w:pPr>
        <w:pStyle w:val="SingleTxtGA"/>
        <w:ind w:left="2608" w:hanging="1361"/>
        <w:rPr>
          <w:spacing w:val="-2"/>
          <w:rtl/>
          <w:lang w:bidi="ar"/>
        </w:rPr>
      </w:pPr>
      <w:r>
        <w:rPr>
          <w:rFonts w:hint="cs"/>
          <w:spacing w:val="-2"/>
          <w:rtl/>
          <w:lang w:bidi="ar"/>
        </w:rPr>
        <w:tab/>
      </w:r>
      <w:r>
        <w:rPr>
          <w:rFonts w:hint="cs"/>
          <w:spacing w:val="-2"/>
          <w:rtl/>
          <w:lang w:bidi="ar"/>
        </w:rPr>
        <w:tab/>
      </w:r>
      <w:r w:rsidRPr="00943228">
        <w:rPr>
          <w:spacing w:val="-2"/>
          <w:rtl/>
          <w:lang w:bidi="ar"/>
        </w:rPr>
        <w:t xml:space="preserve">الأرجنتين٬ إستونيا٬ ألبانيا٬ ألمانيا٬ </w:t>
      </w:r>
      <w:r w:rsidRPr="00943228">
        <w:rPr>
          <w:rFonts w:hint="cs"/>
          <w:spacing w:val="-2"/>
          <w:rtl/>
          <w:lang w:bidi="ar"/>
        </w:rPr>
        <w:t>أ</w:t>
      </w:r>
      <w:r w:rsidRPr="00943228">
        <w:rPr>
          <w:spacing w:val="-2"/>
          <w:rtl/>
          <w:lang w:bidi="ar"/>
        </w:rPr>
        <w:t>يرلندا٬ باراغواي٬ البرتغال٬ بوتسوانا٬ الجبل الأسود٬ جمهورية كوريا٬ جمهورية مقدونيا اليوغوسلافية سابقا</w:t>
      </w:r>
      <w:r w:rsidRPr="00943228">
        <w:rPr>
          <w:rFonts w:hint="cs"/>
          <w:spacing w:val="-2"/>
          <w:rtl/>
          <w:lang w:bidi="ar"/>
        </w:rPr>
        <w:t>ً</w:t>
      </w:r>
      <w:r w:rsidRPr="00943228">
        <w:rPr>
          <w:spacing w:val="-2"/>
          <w:rtl/>
          <w:lang w:bidi="ar"/>
        </w:rPr>
        <w:t>٬ السلفادور٬ غا</w:t>
      </w:r>
      <w:r>
        <w:rPr>
          <w:rFonts w:hint="cs"/>
          <w:spacing w:val="-2"/>
          <w:rtl/>
          <w:lang w:bidi="ar"/>
        </w:rPr>
        <w:t>بون</w:t>
      </w:r>
      <w:r w:rsidRPr="00943228">
        <w:rPr>
          <w:spacing w:val="-2"/>
          <w:rtl/>
          <w:lang w:bidi="ar"/>
        </w:rPr>
        <w:t>٬ فرنسا٬ لاتفيا٬ المكسيك٬ المملكة المتحدة لبريطانيا العظمى و</w:t>
      </w:r>
      <w:r w:rsidRPr="00943228">
        <w:rPr>
          <w:rFonts w:hint="cs"/>
          <w:spacing w:val="-2"/>
          <w:rtl/>
          <w:lang w:bidi="ar"/>
        </w:rPr>
        <w:t>أ</w:t>
      </w:r>
      <w:r w:rsidRPr="00943228">
        <w:rPr>
          <w:spacing w:val="-2"/>
          <w:rtl/>
          <w:lang w:bidi="ar"/>
        </w:rPr>
        <w:t>يرلندا الشمالية٬ هولندا٬ الولايات المتحدة الأمريكية٬ اليابان</w:t>
      </w:r>
    </w:p>
    <w:p w:rsidR="00E97EC9" w:rsidRPr="00463387" w:rsidRDefault="00E97EC9" w:rsidP="00E97EC9">
      <w:pPr>
        <w:pStyle w:val="SingleTxtGA"/>
        <w:ind w:left="3289" w:hanging="1361"/>
        <w:rPr>
          <w:rFonts w:eastAsia="SimSun"/>
          <w:i/>
          <w:iCs/>
          <w:rtl/>
          <w:lang w:eastAsia="zh-TW"/>
        </w:rPr>
      </w:pPr>
      <w:r w:rsidRPr="00463387">
        <w:rPr>
          <w:rFonts w:eastAsia="SimSun" w:hint="cs"/>
          <w:i/>
          <w:iCs/>
          <w:rtl/>
          <w:lang w:eastAsia="zh-TW"/>
        </w:rPr>
        <w:t>المعارضون:</w:t>
      </w:r>
    </w:p>
    <w:p w:rsidR="00E97EC9" w:rsidRPr="00943228" w:rsidRDefault="00E97EC9" w:rsidP="00E97EC9">
      <w:pPr>
        <w:pStyle w:val="SingleTxtGA"/>
        <w:ind w:left="2608" w:hanging="1361"/>
        <w:rPr>
          <w:spacing w:val="-2"/>
          <w:rtl/>
          <w:lang w:bidi="ar"/>
        </w:rPr>
      </w:pPr>
      <w:r>
        <w:rPr>
          <w:rFonts w:hint="cs"/>
          <w:spacing w:val="-2"/>
          <w:rtl/>
          <w:lang w:bidi="ar"/>
        </w:rPr>
        <w:tab/>
      </w:r>
      <w:r>
        <w:rPr>
          <w:rFonts w:hint="cs"/>
          <w:spacing w:val="-2"/>
          <w:rtl/>
          <w:lang w:bidi="ar"/>
        </w:rPr>
        <w:tab/>
      </w:r>
      <w:r w:rsidRPr="00943228">
        <w:rPr>
          <w:spacing w:val="-2"/>
          <w:rtl/>
          <w:lang w:bidi="ar"/>
        </w:rPr>
        <w:t xml:space="preserve">الاتحاد الروسي٬ </w:t>
      </w:r>
      <w:r>
        <w:rPr>
          <w:rFonts w:hint="cs"/>
          <w:spacing w:val="-2"/>
          <w:rtl/>
          <w:lang w:bidi="ar"/>
        </w:rPr>
        <w:t xml:space="preserve">إندونيسيا، باكستان، بنغلاديش، </w:t>
      </w:r>
      <w:r w:rsidRPr="00943228">
        <w:rPr>
          <w:spacing w:val="-2"/>
          <w:rtl/>
          <w:lang w:bidi="ar"/>
        </w:rPr>
        <w:t>بوليفيا (دولة - المتعددة القوميات)٬ الصين٬ فنزويلا (جمهورية</w:t>
      </w:r>
      <w:r>
        <w:rPr>
          <w:rFonts w:hint="cs"/>
          <w:spacing w:val="-2"/>
          <w:rtl/>
          <w:lang w:bidi="ar"/>
        </w:rPr>
        <w:t> </w:t>
      </w:r>
      <w:r w:rsidRPr="00943228">
        <w:rPr>
          <w:rFonts w:hint="cs"/>
          <w:spacing w:val="-2"/>
          <w:rtl/>
          <w:lang w:bidi="ar"/>
        </w:rPr>
        <w:t>-</w:t>
      </w:r>
      <w:r w:rsidRPr="00943228">
        <w:rPr>
          <w:spacing w:val="-2"/>
          <w:rtl/>
          <w:lang w:bidi="ar"/>
        </w:rPr>
        <w:t xml:space="preserve"> البوليفارية)٬ فييت نام٬ </w:t>
      </w:r>
      <w:r>
        <w:rPr>
          <w:rFonts w:hint="cs"/>
          <w:spacing w:val="-2"/>
          <w:rtl/>
          <w:lang w:bidi="ar"/>
        </w:rPr>
        <w:t xml:space="preserve">كازاخستان، </w:t>
      </w:r>
      <w:r w:rsidRPr="00943228">
        <w:rPr>
          <w:spacing w:val="-2"/>
          <w:rtl/>
          <w:lang w:bidi="ar"/>
        </w:rPr>
        <w:t>كوبا</w:t>
      </w:r>
      <w:r>
        <w:rPr>
          <w:rFonts w:hint="cs"/>
          <w:spacing w:val="-2"/>
          <w:rtl/>
          <w:lang w:bidi="ar"/>
        </w:rPr>
        <w:t>، الهند</w:t>
      </w:r>
    </w:p>
    <w:p w:rsidR="00E97EC9" w:rsidRPr="00463387" w:rsidRDefault="00E97EC9" w:rsidP="00E97EC9">
      <w:pPr>
        <w:pStyle w:val="SingleTxtGA"/>
        <w:ind w:left="1928"/>
        <w:rPr>
          <w:rFonts w:eastAsia="SimSun"/>
          <w:i/>
          <w:iCs/>
          <w:rtl/>
          <w:lang w:eastAsia="zh-TW"/>
        </w:rPr>
      </w:pPr>
      <w:r w:rsidRPr="00463387">
        <w:rPr>
          <w:rFonts w:eastAsia="SimSun" w:hint="cs"/>
          <w:i/>
          <w:iCs/>
          <w:rtl/>
          <w:lang w:eastAsia="zh-TW"/>
        </w:rPr>
        <w:t>الممتنعون</w:t>
      </w:r>
      <w:r>
        <w:rPr>
          <w:rFonts w:eastAsia="SimSun" w:hint="cs"/>
          <w:i/>
          <w:iCs/>
          <w:rtl/>
          <w:lang w:eastAsia="zh-TW"/>
        </w:rPr>
        <w:t xml:space="preserve"> عن التصويت</w:t>
      </w:r>
      <w:r w:rsidRPr="00463387">
        <w:rPr>
          <w:rFonts w:eastAsia="SimSun" w:hint="cs"/>
          <w:i/>
          <w:iCs/>
          <w:rtl/>
          <w:lang w:eastAsia="zh-TW"/>
        </w:rPr>
        <w:t>:</w:t>
      </w:r>
    </w:p>
    <w:p w:rsidR="00E97EC9" w:rsidRDefault="00E97EC9" w:rsidP="00E97EC9">
      <w:pPr>
        <w:pStyle w:val="SingleTxtGA"/>
        <w:ind w:left="2608" w:hanging="1361"/>
        <w:rPr>
          <w:spacing w:val="-2"/>
          <w:lang w:bidi="ar"/>
        </w:rPr>
      </w:pPr>
      <w:r>
        <w:rPr>
          <w:rFonts w:hint="cs"/>
          <w:spacing w:val="-2"/>
          <w:rtl/>
          <w:lang w:bidi="ar"/>
        </w:rPr>
        <w:tab/>
      </w:r>
      <w:r>
        <w:rPr>
          <w:rFonts w:hint="cs"/>
          <w:spacing w:val="-2"/>
          <w:rtl/>
          <w:lang w:bidi="ar"/>
        </w:rPr>
        <w:tab/>
      </w:r>
      <w:r w:rsidRPr="00943228">
        <w:rPr>
          <w:spacing w:val="-2"/>
          <w:rtl/>
          <w:lang w:bidi="ar"/>
        </w:rPr>
        <w:t xml:space="preserve">إثيوبيا٬ </w:t>
      </w:r>
      <w:r>
        <w:rPr>
          <w:rFonts w:hint="cs"/>
          <w:spacing w:val="-2"/>
          <w:rtl/>
          <w:lang w:bidi="ar"/>
        </w:rPr>
        <w:t xml:space="preserve">الإمارات العربية المتحدة، البرازيل، الجزائر، جنوب </w:t>
      </w:r>
      <w:r w:rsidRPr="00943228">
        <w:rPr>
          <w:spacing w:val="-2"/>
          <w:rtl/>
          <w:lang w:bidi="ar"/>
        </w:rPr>
        <w:t xml:space="preserve">أفريقيا٬ </w:t>
      </w:r>
      <w:r>
        <w:rPr>
          <w:rFonts w:hint="cs"/>
          <w:spacing w:val="-2"/>
          <w:rtl/>
          <w:lang w:bidi="ar"/>
        </w:rPr>
        <w:t>سيراليون، غانا</w:t>
      </w:r>
      <w:r w:rsidRPr="00943228">
        <w:rPr>
          <w:spacing w:val="-2"/>
          <w:rtl/>
          <w:lang w:bidi="ar"/>
        </w:rPr>
        <w:t xml:space="preserve">٬ قطر٬ </w:t>
      </w:r>
      <w:r>
        <w:rPr>
          <w:rFonts w:hint="cs"/>
          <w:spacing w:val="-2"/>
          <w:rtl/>
          <w:lang w:bidi="ar"/>
        </w:rPr>
        <w:t xml:space="preserve">كوت ديفوار، </w:t>
      </w:r>
      <w:r w:rsidRPr="00943228">
        <w:rPr>
          <w:spacing w:val="-2"/>
          <w:rtl/>
          <w:lang w:bidi="ar"/>
        </w:rPr>
        <w:t>الكونغو٬ كينيا٬ الم</w:t>
      </w:r>
      <w:r>
        <w:rPr>
          <w:rFonts w:hint="cs"/>
          <w:spacing w:val="-2"/>
          <w:rtl/>
          <w:lang w:bidi="ar"/>
        </w:rPr>
        <w:t>غرب</w:t>
      </w:r>
      <w:r w:rsidR="0046539A">
        <w:rPr>
          <w:rFonts w:hint="cs"/>
          <w:spacing w:val="-2"/>
          <w:rtl/>
          <w:lang w:bidi="ar"/>
        </w:rPr>
        <w:t>، ملديف</w:t>
      </w:r>
      <w:r>
        <w:rPr>
          <w:rFonts w:hint="cs"/>
          <w:spacing w:val="-2"/>
          <w:rtl/>
          <w:lang w:bidi="ar"/>
        </w:rPr>
        <w:t>، الم</w:t>
      </w:r>
      <w:r w:rsidRPr="00943228">
        <w:rPr>
          <w:spacing w:val="-2"/>
          <w:rtl/>
          <w:lang w:bidi="ar"/>
        </w:rPr>
        <w:t>ملكة العربية السعودية٬ ناميبيا٬ نيجيريا</w:t>
      </w:r>
      <w:r w:rsidR="00723ED8">
        <w:rPr>
          <w:rFonts w:hint="cs"/>
          <w:spacing w:val="-2"/>
          <w:rtl/>
          <w:lang w:bidi="ar"/>
        </w:rPr>
        <w:t>.</w:t>
      </w:r>
      <w:r w:rsidRPr="00943228">
        <w:rPr>
          <w:rFonts w:hint="cs"/>
          <w:spacing w:val="-2"/>
          <w:rtl/>
          <w:lang w:bidi="ar"/>
        </w:rPr>
        <w:t>]</w:t>
      </w:r>
    </w:p>
    <w:p w:rsidR="00E97EC9" w:rsidRPr="00E97EC9" w:rsidRDefault="00E97EC9" w:rsidP="00E97EC9">
      <w:pPr>
        <w:spacing w:before="120"/>
        <w:jc w:val="center"/>
        <w:rPr>
          <w:u w:val="single"/>
          <w:rtl/>
        </w:rPr>
      </w:pPr>
      <w:r>
        <w:rPr>
          <w:u w:val="single"/>
          <w:rtl/>
        </w:rPr>
        <w:tab/>
      </w:r>
      <w:r>
        <w:rPr>
          <w:u w:val="single"/>
          <w:rtl/>
        </w:rPr>
        <w:tab/>
      </w:r>
      <w:r>
        <w:rPr>
          <w:u w:val="single"/>
          <w:rtl/>
        </w:rPr>
        <w:tab/>
      </w:r>
    </w:p>
    <w:sectPr w:rsidR="00E97EC9" w:rsidRPr="00E97EC9" w:rsidSect="004A2EB8">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D09EB" w:rsidRPr="002901D9" w:rsidRDefault="008D09EB" w:rsidP="002901D9">
      <w:pPr>
        <w:spacing w:after="60" w:line="240" w:lineRule="auto"/>
        <w:rPr>
          <w:i/>
          <w:iCs/>
        </w:rPr>
      </w:pPr>
      <w:r>
        <w:rPr>
          <w:rFonts w:hint="cs"/>
          <w:i/>
          <w:iCs/>
          <w:rtl/>
        </w:rPr>
        <w:t>الحواشي</w:t>
      </w:r>
    </w:p>
  </w:endnote>
  <w:endnote w:type="continuationSeparator" w:id="0">
    <w:p w:rsidR="008D09EB" w:rsidRDefault="008D09EB"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A2EB8" w:rsidRPr="004A2EB8" w:rsidRDefault="004A2EB8" w:rsidP="004A2EB8">
    <w:pPr>
      <w:pStyle w:val="Footer"/>
      <w:tabs>
        <w:tab w:val="right" w:pos="9598"/>
      </w:tabs>
    </w:pPr>
    <w:r>
      <w:t>GE.15-07257</w:t>
    </w:r>
    <w:r>
      <w:tab/>
    </w:r>
    <w:r w:rsidRPr="004A2EB8">
      <w:rPr>
        <w:b/>
        <w:sz w:val="18"/>
      </w:rPr>
      <w:fldChar w:fldCharType="begin"/>
    </w:r>
    <w:r w:rsidRPr="004A2EB8">
      <w:rPr>
        <w:b/>
        <w:sz w:val="18"/>
      </w:rPr>
      <w:instrText xml:space="preserve"> PAGE  \* MERGEFORMAT </w:instrText>
    </w:r>
    <w:r w:rsidRPr="004A2EB8">
      <w:rPr>
        <w:b/>
        <w:sz w:val="18"/>
      </w:rPr>
      <w:fldChar w:fldCharType="separate"/>
    </w:r>
    <w:r w:rsidR="005B3E4A">
      <w:rPr>
        <w:b/>
        <w:noProof/>
        <w:sz w:val="18"/>
      </w:rPr>
      <w:t>2</w:t>
    </w:r>
    <w:r w:rsidRPr="004A2EB8">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59B0" w:rsidRPr="004A2EB8" w:rsidRDefault="004A2EB8" w:rsidP="006959B0">
    <w:pPr>
      <w:pStyle w:val="Footer"/>
      <w:tabs>
        <w:tab w:val="right" w:pos="9599"/>
      </w:tabs>
      <w:jc w:val="left"/>
      <w:rPr>
        <w:b/>
        <w:sz w:val="18"/>
        <w:lang w:val="en-US"/>
      </w:rPr>
    </w:pPr>
    <w:r w:rsidRPr="004A2EB8">
      <w:rPr>
        <w:b/>
        <w:sz w:val="18"/>
        <w:lang w:val="en-US"/>
      </w:rPr>
      <w:fldChar w:fldCharType="begin"/>
    </w:r>
    <w:r w:rsidRPr="004A2EB8">
      <w:rPr>
        <w:b/>
        <w:sz w:val="18"/>
        <w:lang w:val="en-US"/>
      </w:rPr>
      <w:instrText xml:space="preserve"> PAGE  \* MERGEFORMAT </w:instrText>
    </w:r>
    <w:r w:rsidRPr="004A2EB8">
      <w:rPr>
        <w:b/>
        <w:sz w:val="18"/>
        <w:lang w:val="en-US"/>
      </w:rPr>
      <w:fldChar w:fldCharType="separate"/>
    </w:r>
    <w:r w:rsidR="00E97EC9">
      <w:rPr>
        <w:b/>
        <w:noProof/>
        <w:sz w:val="18"/>
        <w:lang w:val="en-US"/>
      </w:rPr>
      <w:t>3</w:t>
    </w:r>
    <w:r w:rsidRPr="004A2EB8">
      <w:rPr>
        <w:b/>
        <w:sz w:val="18"/>
        <w:lang w:val="en-US"/>
      </w:rPr>
      <w:fldChar w:fldCharType="end"/>
    </w:r>
    <w:r>
      <w:rPr>
        <w:b/>
        <w:sz w:val="18"/>
        <w:lang w:val="en-US"/>
      </w:rPr>
      <w:tab/>
    </w:r>
    <w:r>
      <w:rPr>
        <w:lang w:val="en-US"/>
      </w:rPr>
      <w:t>GE.15-07257</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14A7" w:rsidRDefault="004A2EB8" w:rsidP="004A2EB8">
    <w:pPr>
      <w:pStyle w:val="Footer"/>
      <w:jc w:val="right"/>
    </w:pPr>
    <w:r>
      <w:rPr>
        <w:sz w:val="20"/>
      </w:rPr>
      <w:t>(A)   GE.15-07257</w:t>
    </w:r>
    <w:r w:rsidR="00D914A7">
      <w:rPr>
        <w:noProof/>
        <w:lang w:val="en-US"/>
      </w:rPr>
      <w:drawing>
        <wp:anchor distT="0" distB="0" distL="114300" distR="114300" simplePos="0" relativeHeight="251658240" behindDoc="1" locked="1" layoutInCell="0" allowOverlap="1" wp14:anchorId="72BFFA55" wp14:editId="49F37E26">
          <wp:simplePos x="0" y="0"/>
          <wp:positionH relativeFrom="margin">
            <wp:posOffset>706755</wp:posOffset>
          </wp:positionH>
          <wp:positionV relativeFrom="margin">
            <wp:posOffset>8267065</wp:posOffset>
          </wp:positionV>
          <wp:extent cx="1162050" cy="323850"/>
          <wp:effectExtent l="0" t="0" r="0" b="0"/>
          <wp:wrapTight wrapText="bothSides">
            <wp:wrapPolygon edited="0">
              <wp:start x="0" y="0"/>
              <wp:lineTo x="0" y="20329"/>
              <wp:lineTo x="21246" y="20329"/>
              <wp:lineTo x="21246"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050" cy="3238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090415    130415</w:t>
    </w:r>
    <w:r w:rsidR="005B3E4A">
      <w:br/>
    </w:r>
    <w:r w:rsidR="005B3E4A" w:rsidRPr="005B3E4A">
      <w:rPr>
        <w:rFonts w:ascii="C39T30Lfz" w:hAnsi="C39T30Lfz"/>
        <w:sz w:val="56"/>
      </w:rPr>
      <w:t></w:t>
    </w:r>
    <w:r w:rsidR="005B3E4A" w:rsidRPr="005B3E4A">
      <w:rPr>
        <w:rFonts w:ascii="C39T30Lfz" w:hAnsi="C39T30Lfz"/>
        <w:sz w:val="56"/>
      </w:rPr>
      <w:t></w:t>
    </w:r>
    <w:r w:rsidR="005B3E4A" w:rsidRPr="005B3E4A">
      <w:rPr>
        <w:rFonts w:ascii="C39T30Lfz" w:hAnsi="C39T30Lfz"/>
        <w:sz w:val="56"/>
      </w:rPr>
      <w:t></w:t>
    </w:r>
    <w:r w:rsidR="005B3E4A" w:rsidRPr="005B3E4A">
      <w:rPr>
        <w:rFonts w:ascii="C39T30Lfz" w:hAnsi="C39T30Lfz"/>
        <w:sz w:val="56"/>
      </w:rPr>
      <w:t></w:t>
    </w:r>
    <w:r w:rsidR="005B3E4A" w:rsidRPr="005B3E4A">
      <w:rPr>
        <w:rFonts w:ascii="C39T30Lfz" w:hAnsi="C39T30Lfz"/>
        <w:sz w:val="56"/>
      </w:rPr>
      <w:t></w:t>
    </w:r>
    <w:r w:rsidR="005B3E4A" w:rsidRPr="005B3E4A">
      <w:rPr>
        <w:rFonts w:ascii="C39T30Lfz" w:hAnsi="C39T30Lfz"/>
        <w:sz w:val="56"/>
      </w:rPr>
      <w:t></w:t>
    </w:r>
    <w:r w:rsidR="005B3E4A" w:rsidRPr="005B3E4A">
      <w:rPr>
        <w:rFonts w:ascii="C39T30Lfz" w:hAnsi="C39T30Lfz"/>
        <w:sz w:val="56"/>
      </w:rPr>
      <w:t></w:t>
    </w:r>
    <w:r w:rsidR="005B3E4A" w:rsidRPr="005B3E4A">
      <w:rPr>
        <w:rFonts w:ascii="C39T30Lfz" w:hAnsi="C39T30Lfz"/>
        <w:sz w:val="56"/>
      </w:rPr>
      <w:t></w:t>
    </w:r>
    <w:r w:rsidR="005B3E4A" w:rsidRPr="005B3E4A">
      <w:rPr>
        <w:rFonts w:ascii="C39T30Lfz" w:hAnsi="C39T30Lfz"/>
        <w:sz w:val="56"/>
      </w:rPr>
      <w:t></w:t>
    </w:r>
    <w:r w:rsidR="005B3E4A">
      <w:rPr>
        <w:rFonts w:ascii="C39T30Lfz" w:hAnsi="C39T30Lfz"/>
        <w:sz w:val="56"/>
      </w:rPr>
      <w:tab/>
    </w:r>
    <w:r w:rsidR="005B3E4A">
      <w:rPr>
        <w:noProof/>
        <w:lang w:val="en-US"/>
      </w:rPr>
      <w:drawing>
        <wp:anchor distT="0" distB="0" distL="114300" distR="114300" simplePos="0" relativeHeight="251659264" behindDoc="0" locked="0" layoutInCell="1" allowOverlap="1">
          <wp:simplePos x="0" y="0"/>
          <wp:positionH relativeFrom="column">
            <wp:posOffset>635</wp:posOffset>
          </wp:positionH>
          <wp:positionV relativeFrom="paragraph">
            <wp:posOffset>0</wp:posOffset>
          </wp:positionV>
          <wp:extent cx="638175" cy="638175"/>
          <wp:effectExtent l="0" t="0" r="9525" b="9525"/>
          <wp:wrapNone/>
          <wp:docPr id="3" name="Picture 1" descr="http://undocs.org/m2/QRCode.ashx?DS=A/HRC/RES/28/21&amp;Size=2&amp;Lang=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A/HRC/RES/28/21&amp;Size=2&amp;Lang=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D09EB" w:rsidRPr="004C7CB4" w:rsidRDefault="008D09EB" w:rsidP="004C7CB4">
      <w:pPr>
        <w:pStyle w:val="Footer"/>
        <w:bidi/>
        <w:spacing w:after="80" w:line="200" w:lineRule="exact"/>
        <w:ind w:left="680"/>
      </w:pPr>
      <w:r>
        <w:rPr>
          <w:rtl/>
        </w:rPr>
        <w:t>__________</w:t>
      </w:r>
    </w:p>
  </w:footnote>
  <w:footnote w:type="continuationSeparator" w:id="0">
    <w:p w:rsidR="008D09EB" w:rsidRDefault="008D09EB" w:rsidP="00656392">
      <w:pPr>
        <w:spacing w:line="240" w:lineRule="auto"/>
      </w:pPr>
      <w:r>
        <w:continuationSeparator/>
      </w:r>
    </w:p>
  </w:footnote>
  <w:footnote w:id="1">
    <w:p w:rsidR="004A2EB8" w:rsidRPr="00E377C3" w:rsidRDefault="004A2EB8" w:rsidP="005B3E4A">
      <w:pPr>
        <w:pStyle w:val="FootnoteText1"/>
        <w:spacing w:after="240"/>
        <w:ind w:left="1248" w:hanging="454"/>
        <w:rPr>
          <w:rtl/>
        </w:rPr>
      </w:pPr>
      <w:r w:rsidRPr="00E377C3">
        <w:rPr>
          <w:rtl/>
        </w:rPr>
        <w:t>(</w:t>
      </w:r>
      <w:r w:rsidRPr="00E377C3">
        <w:rPr>
          <w:rStyle w:val="FootnoteReference"/>
          <w:vertAlign w:val="baseline"/>
        </w:rPr>
        <w:footnoteRef/>
      </w:r>
      <w:r>
        <w:rPr>
          <w:sz w:val="26"/>
          <w:rtl/>
        </w:rPr>
        <w:t>)</w:t>
      </w:r>
      <w:r>
        <w:rPr>
          <w:sz w:val="26"/>
          <w:rtl/>
        </w:rPr>
        <w:tab/>
      </w:r>
      <w:r w:rsidRPr="00097B54">
        <w:t>A/</w:t>
      </w:r>
      <w:bookmarkStart w:id="0" w:name="_GoBack"/>
      <w:bookmarkEnd w:id="0"/>
      <w:r w:rsidRPr="00097B54">
        <w:t>HRC/28/70</w:t>
      </w:r>
      <w:r>
        <w:rPr>
          <w:rFonts w:hint="cs"/>
          <w:rtl/>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A2EB8" w:rsidRPr="004A2EB8" w:rsidRDefault="004A2EB8" w:rsidP="004A2EB8">
    <w:pPr>
      <w:pStyle w:val="Header"/>
      <w:jc w:val="right"/>
    </w:pPr>
    <w:r w:rsidRPr="004A2EB8">
      <w:t>A/HRC/RES/28/21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A2EB8" w:rsidRPr="004A2EB8" w:rsidRDefault="004A2EB8" w:rsidP="004A2EB8">
    <w:pPr>
      <w:pStyle w:val="Header"/>
      <w:jc w:val="left"/>
    </w:pPr>
    <w:r w:rsidRPr="004A2EB8">
      <w:t>A/HRC/RES/28/21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attachedTemplate r:id="rId1"/>
  <w:defaultTabStop w:val="567"/>
  <w:evenAndOddHeaders/>
  <w:characterSpacingControl w:val="doNotCompress"/>
  <w:hdrShapeDefaults>
    <o:shapedefaults v:ext="edit" spidmax="6146"/>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8D09EB"/>
    <w:rsid w:val="000076D5"/>
    <w:rsid w:val="00043663"/>
    <w:rsid w:val="000505CF"/>
    <w:rsid w:val="000D701C"/>
    <w:rsid w:val="000E2A71"/>
    <w:rsid w:val="00160263"/>
    <w:rsid w:val="00174F89"/>
    <w:rsid w:val="00181F96"/>
    <w:rsid w:val="001A1371"/>
    <w:rsid w:val="001B346A"/>
    <w:rsid w:val="001E1CAD"/>
    <w:rsid w:val="001E290D"/>
    <w:rsid w:val="002144FA"/>
    <w:rsid w:val="0023469A"/>
    <w:rsid w:val="00243C8A"/>
    <w:rsid w:val="00267A0E"/>
    <w:rsid w:val="002901D9"/>
    <w:rsid w:val="002976C2"/>
    <w:rsid w:val="003260FF"/>
    <w:rsid w:val="00343D95"/>
    <w:rsid w:val="00374341"/>
    <w:rsid w:val="003D1062"/>
    <w:rsid w:val="00420D7B"/>
    <w:rsid w:val="00450B21"/>
    <w:rsid w:val="00453B63"/>
    <w:rsid w:val="00455780"/>
    <w:rsid w:val="0046539A"/>
    <w:rsid w:val="004966ED"/>
    <w:rsid w:val="004A2EB8"/>
    <w:rsid w:val="004B0A1C"/>
    <w:rsid w:val="004C7CB4"/>
    <w:rsid w:val="004D298E"/>
    <w:rsid w:val="0054472E"/>
    <w:rsid w:val="005662A9"/>
    <w:rsid w:val="005827D4"/>
    <w:rsid w:val="0059622A"/>
    <w:rsid w:val="005B3E4A"/>
    <w:rsid w:val="005C5878"/>
    <w:rsid w:val="005C7CEA"/>
    <w:rsid w:val="005D3C0B"/>
    <w:rsid w:val="005E5217"/>
    <w:rsid w:val="005F0FA4"/>
    <w:rsid w:val="005F30EE"/>
    <w:rsid w:val="0060473A"/>
    <w:rsid w:val="00623866"/>
    <w:rsid w:val="00656392"/>
    <w:rsid w:val="0068781D"/>
    <w:rsid w:val="006959B0"/>
    <w:rsid w:val="006B3E27"/>
    <w:rsid w:val="006B6507"/>
    <w:rsid w:val="006C104C"/>
    <w:rsid w:val="006F36FF"/>
    <w:rsid w:val="00723ED8"/>
    <w:rsid w:val="00733704"/>
    <w:rsid w:val="0078071A"/>
    <w:rsid w:val="00852A9A"/>
    <w:rsid w:val="008D09EB"/>
    <w:rsid w:val="008F49E1"/>
    <w:rsid w:val="0090370F"/>
    <w:rsid w:val="009269D2"/>
    <w:rsid w:val="00942135"/>
    <w:rsid w:val="009521B0"/>
    <w:rsid w:val="00994130"/>
    <w:rsid w:val="009A7E9F"/>
    <w:rsid w:val="009E5018"/>
    <w:rsid w:val="009E6EE9"/>
    <w:rsid w:val="00A12B37"/>
    <w:rsid w:val="00AB6758"/>
    <w:rsid w:val="00B13763"/>
    <w:rsid w:val="00B477A4"/>
    <w:rsid w:val="00B54045"/>
    <w:rsid w:val="00C438D7"/>
    <w:rsid w:val="00C81B50"/>
    <w:rsid w:val="00CB28F9"/>
    <w:rsid w:val="00CD1801"/>
    <w:rsid w:val="00D10EF1"/>
    <w:rsid w:val="00D42810"/>
    <w:rsid w:val="00D914A7"/>
    <w:rsid w:val="00DD13C3"/>
    <w:rsid w:val="00DD596E"/>
    <w:rsid w:val="00DD621E"/>
    <w:rsid w:val="00DF0575"/>
    <w:rsid w:val="00E70E04"/>
    <w:rsid w:val="00E76499"/>
    <w:rsid w:val="00E97EC9"/>
    <w:rsid w:val="00EC05A7"/>
    <w:rsid w:val="00EC4B6B"/>
    <w:rsid w:val="00EF1EE5"/>
    <w:rsid w:val="00F763B4"/>
    <w:rsid w:val="00F900C3"/>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F900C3"/>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link w:val="SingleTxtGAChar"/>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994130"/>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character" w:customStyle="1" w:styleId="SingleTxtGAChar">
    <w:name w:val="_ Single Txt_GA Char"/>
    <w:link w:val="SingleTxtGA"/>
    <w:rsid w:val="00E97EC9"/>
    <w:rPr>
      <w:rFonts w:ascii="Times New Roman" w:hAnsi="Times New Roman" w:cs="Traditional Arabic"/>
      <w:sz w:val="20"/>
      <w:szCs w:val="3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F900C3"/>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link w:val="SingleTxtGAChar"/>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994130"/>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character" w:customStyle="1" w:styleId="SingleTxtGAChar">
    <w:name w:val="_ Single Txt_GA Char"/>
    <w:link w:val="SingleTxtGA"/>
    <w:rsid w:val="00E97EC9"/>
    <w:rPr>
      <w:rFonts w:ascii="Times New Roman" w:hAnsi="Times New Roman" w:cs="Traditional Arabic"/>
      <w:sz w:val="2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A.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FBA7EA-5C2F-4DFF-BC4B-4DC9DABDE1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25</TotalTime>
  <Pages>2</Pages>
  <Words>406</Words>
  <Characters>2317</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DCM</Company>
  <LinksUpToDate>false</LinksUpToDate>
  <CharactersWithSpaces>2718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A/HRC/RES/28/21</dc:title>
  <dc:subject/>
  <dc:creator>Chedad Jamila</dc:creator>
  <cp:keywords/>
  <dc:description/>
  <cp:lastModifiedBy>El-Maseri M.</cp:lastModifiedBy>
  <cp:revision>12</cp:revision>
  <dcterms:created xsi:type="dcterms:W3CDTF">2015-04-13T07:24:00Z</dcterms:created>
  <dcterms:modified xsi:type="dcterms:W3CDTF">2015-04-13T12:14:00Z</dcterms:modified>
</cp:coreProperties>
</file>