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30" type="#_x0000_t202" style="position:absolute;margin-left:85.05pt;margin-top:722.65pt;width:198pt;height:19.85pt;z-index:1;mso-wrap-distance-top:56.7pt;mso-wrap-distance-bottom:56.7pt;mso-position-horizontal-relative:page" filled="f" stroked="f" strokecolor="white">
            <v:textbox style="mso-next-textbox:#_x0000_s1030" inset="0,0,0,0">
              <w:txbxContent>
                <w:p w:rsidR="00000000" w:rsidRDefault="00000000">
                  <w:r>
                    <w:rPr>
                      <w:lang w:val="en-US"/>
                    </w:rPr>
                    <w:t>GE.02-</w:t>
                  </w:r>
                  <w:fldSimple w:instr=" FILLIN &quot;Введите номер документа&quot; \* MERGEFORMAT ">
                    <w:r>
                      <w:rPr>
                        <w:lang w:val="en-US"/>
                      </w:rPr>
                      <w:t>15707</w:t>
                    </w:r>
                  </w:fldSimple>
                  <w:r>
                    <w:rPr>
                      <w:lang w:val="en-US"/>
                    </w:rPr>
                    <w:t xml:space="preserve">   (R)</w:t>
                  </w:r>
                  <w:r>
                    <w:t xml:space="preserve">    220103    220103</w:t>
                  </w:r>
                </w:p>
              </w:txbxContent>
            </v:textbox>
            <w10:wrap type="topAndBottom" anchorx="page"/>
            <w10:anchorlock/>
          </v:shape>
        </w:pict>
      </w:r>
    </w:p>
    <w:tbl>
      <w:tblPr>
        <w:tblW w:w="9639" w:type="dxa"/>
        <w:tblInd w:w="8" w:type="dxa"/>
        <w:tblLayout w:type="fixed"/>
        <w:tblCellMar>
          <w:left w:w="0" w:type="dxa"/>
          <w:right w:w="0" w:type="dxa"/>
        </w:tblCellMar>
        <w:tblLook w:val="0000"/>
      </w:tblPr>
      <w:tblGrid>
        <w:gridCol w:w="4821"/>
        <w:gridCol w:w="4818"/>
      </w:tblGrid>
      <w:tr w:rsidR="00000000">
        <w:tblPrEx>
          <w:tblCellMar>
            <w:top w:w="0" w:type="dxa"/>
            <w:left w:w="0" w:type="dxa"/>
            <w:bottom w:w="0" w:type="dxa"/>
            <w:right w:w="0" w:type="dxa"/>
          </w:tblCellMar>
        </w:tblPrEx>
        <w:tc>
          <w:tcPr>
            <w:tcW w:w="4821" w:type="dxa"/>
            <w:tcBorders>
              <w:bottom w:val="single" w:sz="18" w:space="0" w:color="auto"/>
            </w:tcBorders>
          </w:tcPr>
          <w:p w:rsidR="00000000" w:rsidRDefault="00000000">
            <w:pPr>
              <w:tabs>
                <w:tab w:val="left" w:pos="0"/>
                <w:tab w:val="left" w:pos="7086"/>
              </w:tabs>
              <w:suppressAutoHyphens/>
              <w:spacing w:line="216" w:lineRule="auto"/>
              <w:rPr>
                <w:b/>
                <w:sz w:val="30"/>
              </w:rPr>
            </w:pPr>
            <w:r>
              <w:rPr>
                <w:b/>
                <w:sz w:val="30"/>
              </w:rPr>
              <w:t>ОРГАНИЗАЦИЯ</w:t>
            </w:r>
          </w:p>
          <w:p w:rsidR="00000000" w:rsidRDefault="00000000">
            <w:pPr>
              <w:tabs>
                <w:tab w:val="left" w:pos="0"/>
                <w:tab w:val="left" w:pos="7086"/>
              </w:tabs>
              <w:suppressAutoHyphens/>
              <w:spacing w:line="216" w:lineRule="auto"/>
              <w:rPr>
                <w:b/>
                <w:sz w:val="30"/>
              </w:rPr>
            </w:pPr>
            <w:r>
              <w:rPr>
                <w:b/>
                <w:sz w:val="30"/>
              </w:rPr>
              <w:t>ОБЪЕДИНЕННЫХ НАЦИЙ</w:t>
            </w:r>
          </w:p>
          <w:p w:rsidR="00000000" w:rsidRDefault="00000000">
            <w:pPr>
              <w:tabs>
                <w:tab w:val="left" w:pos="0"/>
                <w:tab w:val="left" w:pos="7086"/>
              </w:tabs>
              <w:suppressAutoHyphens/>
              <w:spacing w:line="216" w:lineRule="auto"/>
              <w:rPr>
                <w:b/>
                <w:sz w:val="20"/>
              </w:rPr>
            </w:pPr>
          </w:p>
        </w:tc>
        <w:tc>
          <w:tcPr>
            <w:tcW w:w="4818" w:type="dxa"/>
            <w:tcBorders>
              <w:bottom w:val="single" w:sz="18" w:space="0" w:color="auto"/>
            </w:tcBorders>
          </w:tcPr>
          <w:p w:rsidR="00000000" w:rsidRDefault="00000000">
            <w:pPr>
              <w:pStyle w:val="Heading4"/>
            </w:pPr>
            <w:proofErr w:type="spellStart"/>
            <w:r>
              <w:t>E</w:t>
            </w:r>
            <w:proofErr w:type="spellEnd"/>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tblPr>
      <w:tblGrid>
        <w:gridCol w:w="1558"/>
        <w:gridCol w:w="4706"/>
        <w:gridCol w:w="3403"/>
      </w:tblGrid>
      <w:tr w:rsidR="00000000">
        <w:tblPrEx>
          <w:tblCellMar>
            <w:top w:w="0" w:type="dxa"/>
            <w:bottom w:w="0" w:type="dxa"/>
          </w:tblCellMar>
        </w:tblPrEx>
        <w:tc>
          <w:tcPr>
            <w:tcW w:w="1558" w:type="dxa"/>
            <w:tcBorders>
              <w:bottom w:val="single" w:sz="24" w:space="0" w:color="auto"/>
            </w:tcBorders>
          </w:tcPr>
          <w:p w:rsidR="00000000" w:rsidRDefault="00000000">
            <w:pPr>
              <w:tabs>
                <w:tab w:val="left" w:pos="0"/>
                <w:tab w:val="left" w:pos="7086"/>
              </w:tabs>
              <w:suppressAutoHyphens/>
              <w:ind w:left="30" w:right="270"/>
              <w:rPr>
                <w:sz w:val="2"/>
              </w:rPr>
            </w:pPr>
          </w:p>
          <w:p w:rsidR="00000000" w:rsidRDefault="00000000">
            <w:pPr>
              <w:pStyle w:val="a0"/>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tc>
        <w:tc>
          <w:tcPr>
            <w:tcW w:w="4706" w:type="dxa"/>
            <w:tcBorders>
              <w:bottom w:val="single" w:sz="24" w:space="0" w:color="auto"/>
            </w:tcBorders>
          </w:tcPr>
          <w:p w:rsidR="00000000" w:rsidRDefault="00000000">
            <w:pPr>
              <w:tabs>
                <w:tab w:val="left" w:pos="0"/>
                <w:tab w:val="left" w:pos="7086"/>
              </w:tabs>
              <w:suppressAutoHyphens/>
              <w:ind w:right="255"/>
              <w:rPr>
                <w:b/>
                <w:sz w:val="20"/>
              </w:rPr>
            </w:pPr>
          </w:p>
          <w:p w:rsidR="00000000" w:rsidRDefault="00000000">
            <w:pPr>
              <w:tabs>
                <w:tab w:val="left" w:pos="0"/>
                <w:tab w:val="left" w:pos="7086"/>
              </w:tabs>
              <w:suppressAutoHyphens/>
              <w:spacing w:line="240" w:lineRule="auto"/>
              <w:ind w:right="255"/>
              <w:rPr>
                <w:b/>
                <w:sz w:val="20"/>
              </w:rPr>
            </w:pPr>
            <w:r>
              <w:rPr>
                <w:b/>
                <w:sz w:val="40"/>
              </w:rPr>
              <w:t>Э</w:t>
            </w:r>
            <w:r>
              <w:rPr>
                <w:b/>
                <w:smallCaps/>
                <w:sz w:val="30"/>
              </w:rPr>
              <w:t>КОНОМИЧЕСКИЙ</w:t>
            </w:r>
          </w:p>
          <w:p w:rsidR="00000000" w:rsidRDefault="00000000">
            <w:pPr>
              <w:tabs>
                <w:tab w:val="left" w:pos="0"/>
                <w:tab w:val="left" w:pos="7086"/>
              </w:tabs>
              <w:suppressAutoHyphens/>
              <w:spacing w:line="240" w:lineRule="auto"/>
              <w:ind w:right="255"/>
              <w:rPr>
                <w:sz w:val="20"/>
              </w:rPr>
            </w:pPr>
            <w:r>
              <w:rPr>
                <w:b/>
                <w:smallCaps/>
                <w:sz w:val="30"/>
              </w:rPr>
              <w:t xml:space="preserve">И </w:t>
            </w:r>
            <w:r>
              <w:rPr>
                <w:b/>
                <w:sz w:val="40"/>
              </w:rPr>
              <w:t>С</w:t>
            </w:r>
            <w:r>
              <w:rPr>
                <w:b/>
                <w:smallCaps/>
                <w:sz w:val="30"/>
              </w:rPr>
              <w:t xml:space="preserve">ОЦИАЛЬНЫЙ </w:t>
            </w:r>
            <w:r>
              <w:rPr>
                <w:b/>
                <w:sz w:val="40"/>
              </w:rPr>
              <w:t>С</w:t>
            </w:r>
            <w:r>
              <w:rPr>
                <w:b/>
                <w:smallCaps/>
                <w:sz w:val="30"/>
              </w:rPr>
              <w:t>ОВЕТ</w:t>
            </w:r>
          </w:p>
        </w:tc>
        <w:tc>
          <w:tcPr>
            <w:tcW w:w="3403" w:type="dxa"/>
            <w:tcBorders>
              <w:bottom w:val="single" w:sz="24" w:space="0" w:color="auto"/>
            </w:tcBorders>
          </w:tcPr>
          <w:p w:rsidR="00000000" w:rsidRDefault="00000000">
            <w:pPr>
              <w:spacing w:line="216" w:lineRule="auto"/>
              <w:rPr>
                <w:lang w:val="en-US"/>
              </w:rPr>
            </w:pPr>
            <w:r>
              <w:rPr>
                <w:lang w:val="en-US"/>
              </w:rPr>
              <w:t>Distr.</w:t>
            </w:r>
          </w:p>
          <w:p w:rsidR="00000000" w:rsidRDefault="00000000">
            <w:pPr>
              <w:spacing w:line="216" w:lineRule="auto"/>
              <w:rPr>
                <w:lang w:val="en-US"/>
              </w:rPr>
            </w:pPr>
            <w:r>
              <w:rPr>
                <w:lang w:val="en-US"/>
              </w:rPr>
              <w:fldChar w:fldCharType="begin">
                <w:ffData>
                  <w:name w:val="ПолеСоСписком1"/>
                  <w:enabled/>
                  <w:calcOnExit w:val="0"/>
                  <w:ddList>
                    <w:listEntry w:val="GENERAL"/>
                    <w:listEntry w:val="LIMITED"/>
                    <w:listEntry w:val="RESTRICTED"/>
                  </w:ddList>
                </w:ffData>
              </w:fldChar>
            </w:r>
            <w:bookmarkStart w:id="0" w:name="ПолеСоСписком1"/>
            <w:r>
              <w:rPr>
                <w:lang w:val="en-US"/>
              </w:rPr>
              <w:instrText xml:space="preserve"> FORMDROPDOWN </w:instrText>
            </w:r>
            <w:r>
              <w:rPr>
                <w:lang w:val="en-US"/>
              </w:rPr>
            </w:r>
            <w:r>
              <w:rPr>
                <w:lang w:val="en-US"/>
              </w:rPr>
              <w:fldChar w:fldCharType="end"/>
            </w:r>
            <w:bookmarkEnd w:id="0"/>
          </w:p>
          <w:p w:rsidR="00000000" w:rsidRDefault="00000000">
            <w:pPr>
              <w:spacing w:line="216" w:lineRule="auto"/>
              <w:rPr>
                <w:lang w:val="en-US"/>
              </w:rPr>
            </w:pPr>
          </w:p>
          <w:p w:rsidR="00000000" w:rsidRDefault="00000000">
            <w:pPr>
              <w:spacing w:line="216" w:lineRule="auto"/>
              <w:rPr>
                <w:lang w:val="en-US"/>
              </w:rPr>
            </w:pPr>
            <w:r>
              <w:rPr>
                <w:lang w:val="en-US"/>
              </w:rPr>
              <w:fldChar w:fldCharType="begin"/>
            </w:r>
            <w:r>
              <w:rPr>
                <w:lang w:val="en-US"/>
              </w:rPr>
              <w:instrText xml:space="preserve"> FILLIN  "Введите символ документа" \* MERGEFORMAT </w:instrText>
            </w:r>
            <w:r>
              <w:rPr>
                <w:lang w:val="en-US"/>
              </w:rPr>
              <w:fldChar w:fldCharType="separate"/>
            </w:r>
            <w:r>
              <w:rPr>
                <w:lang w:val="en-US"/>
              </w:rPr>
              <w:t>E/</w:t>
            </w:r>
            <w:proofErr w:type="spellStart"/>
            <w:r>
              <w:rPr>
                <w:lang w:val="en-US"/>
              </w:rPr>
              <w:t>CN.4</w:t>
            </w:r>
            <w:proofErr w:type="spellEnd"/>
            <w:r>
              <w:rPr>
                <w:lang w:val="en-US"/>
              </w:rPr>
              <w:t>/2003/16</w:t>
            </w:r>
            <w:r>
              <w:rPr>
                <w:lang w:val="en-US"/>
              </w:rPr>
              <w:fldChar w:fldCharType="end"/>
            </w:r>
          </w:p>
          <w:p w:rsidR="00000000" w:rsidRDefault="00000000">
            <w:pPr>
              <w:spacing w:line="216" w:lineRule="auto"/>
              <w:rPr>
                <w:lang w:val="en-US"/>
              </w:rPr>
            </w:pPr>
            <w:fldSimple w:instr=" FILLIN  &quot;Введите дату документа&quot; \* MERGEFORMAT ">
              <w:r>
                <w:rPr>
                  <w:lang w:val="en-US"/>
                </w:rPr>
                <w:t>29 November 2002</w:t>
              </w:r>
            </w:fldSimple>
          </w:p>
          <w:p w:rsidR="00000000" w:rsidRDefault="00000000">
            <w:pPr>
              <w:spacing w:line="216" w:lineRule="auto"/>
              <w:rPr>
                <w:lang w:val="en-US"/>
              </w:rPr>
            </w:pPr>
          </w:p>
          <w:p w:rsidR="00000000" w:rsidRDefault="00000000">
            <w:pPr>
              <w:spacing w:line="216" w:lineRule="auto"/>
            </w:pPr>
            <w:r>
              <w:rPr>
                <w:lang w:val="en-US"/>
              </w:rPr>
              <w:t>RUSSIAN</w:t>
            </w:r>
          </w:p>
          <w:p w:rsidR="00000000" w:rsidRDefault="00000000">
            <w:pPr>
              <w:spacing w:line="216" w:lineRule="auto"/>
            </w:pPr>
            <w:r>
              <w:rPr>
                <w:lang w:val="en-US"/>
              </w:rPr>
              <w:t>Original</w:t>
            </w:r>
            <w:r>
              <w:t xml:space="preserve">:  </w:t>
            </w:r>
            <w:r>
              <w:rPr>
                <w:lang w:val="en-US"/>
              </w:rPr>
              <w:fldChar w:fldCharType="begin">
                <w:ffData>
                  <w:name w:val="ПолеСоСписком2"/>
                  <w:enabled/>
                  <w:calcOnExit w:val="0"/>
                  <w:ddList>
                    <w:result w:val="2"/>
                    <w:listEntry w:val="ENGLISH"/>
                    <w:listEntry w:val="FRENCH"/>
                    <w:listEntry w:val="SPANISH"/>
                    <w:listEntry w:val="ARABIC"/>
                    <w:listEntry w:val="CHINESE"/>
                    <w:listEntry w:val="ENGLISH/FRENCH"/>
                    <w:listEntry w:val="ENGLISH and FRENCH"/>
                  </w:ddList>
                </w:ffData>
              </w:fldChar>
            </w:r>
            <w:bookmarkStart w:id="1" w:name="ПолеСоСписком2"/>
            <w:r>
              <w:instrText xml:space="preserve"> </w:instrText>
            </w:r>
            <w:r>
              <w:rPr>
                <w:lang w:val="en-US"/>
              </w:rPr>
              <w:instrText>FORMDROPDOWN</w:instrText>
            </w:r>
            <w:r>
              <w:instrText xml:space="preserve"> </w:instrText>
            </w:r>
            <w:r>
              <w:rPr>
                <w:lang w:val="en-US"/>
              </w:rPr>
            </w:r>
            <w:r>
              <w:rPr>
                <w:lang w:val="en-US"/>
              </w:rPr>
              <w:fldChar w:fldCharType="end"/>
            </w:r>
            <w:bookmarkEnd w:id="1"/>
          </w:p>
          <w:p w:rsidR="00000000" w:rsidRDefault="00000000">
            <w:pPr>
              <w:spacing w:line="216" w:lineRule="auto"/>
            </w:pPr>
          </w:p>
          <w:p w:rsidR="00000000" w:rsidRDefault="00000000">
            <w:pPr>
              <w:tabs>
                <w:tab w:val="left" w:pos="0"/>
                <w:tab w:val="left" w:pos="7086"/>
              </w:tabs>
              <w:suppressAutoHyphens/>
              <w:spacing w:line="216" w:lineRule="auto"/>
              <w:ind w:left="255"/>
              <w:rPr>
                <w:sz w:val="22"/>
              </w:rPr>
            </w:pPr>
          </w:p>
        </w:tc>
      </w:tr>
    </w:tbl>
    <w:p w:rsidR="00000000" w:rsidRDefault="00000000"/>
    <w:p w:rsidR="00000000" w:rsidRDefault="00000000">
      <w:r>
        <w:t>КОМИССИЯ ПО ПРАВАМ ЧЕЛОВЕКА</w:t>
      </w:r>
    </w:p>
    <w:p w:rsidR="00000000" w:rsidRDefault="00000000">
      <w:r>
        <w:t>Пятьдесят девятая сессия</w:t>
      </w:r>
    </w:p>
    <w:p w:rsidR="00000000" w:rsidRDefault="00000000">
      <w:r>
        <w:t>Пункт 5 предварительной повестки дня</w:t>
      </w:r>
    </w:p>
    <w:p w:rsidR="00000000" w:rsidRDefault="00000000"/>
    <w:p w:rsidR="00000000" w:rsidRDefault="00000000"/>
    <w:p w:rsidR="00000000" w:rsidRDefault="00000000">
      <w:pPr>
        <w:pStyle w:val="16"/>
        <w:ind w:left="567" w:hanging="567"/>
        <w:jc w:val="left"/>
      </w:pPr>
      <w:r>
        <w:tab/>
        <w:t>ПРАВО НАРОДОВ НА САМООПРЕДЕЛЕНИЕ И ЕГО ПРИМЕНЕНИЕ В ОТНОШЕНИИ НАРОДОВ, НАХОДЯЩИХСЯ ПОД КОЛОНИАЛЬНЫМ И ИНОСТРАННЫМ ГОСПОДСТВОМ ИЛИ ИНОСТРАННОЙ ОККУПАЦИЕЙ</w:t>
      </w:r>
    </w:p>
    <w:p w:rsidR="00000000" w:rsidRDefault="00000000">
      <w:pPr>
        <w:pStyle w:val="16"/>
        <w:ind w:left="567" w:hanging="567"/>
        <w:jc w:val="left"/>
      </w:pPr>
    </w:p>
    <w:p w:rsidR="00000000" w:rsidRDefault="00000000">
      <w:pPr>
        <w:pStyle w:val="11"/>
        <w:ind w:left="567" w:hanging="567"/>
        <w:jc w:val="left"/>
      </w:pPr>
      <w:r>
        <w:rPr>
          <w:u w:val="none"/>
        </w:rPr>
        <w:tab/>
      </w:r>
      <w:r>
        <w:t xml:space="preserve">Доклад по вопросу об использовании наемников как средстве нарушения прав человека и права народов на самоопределение, представленный Специальным докладчиком г-ном Энрике </w:t>
      </w:r>
      <w:proofErr w:type="spellStart"/>
      <w:r>
        <w:t>Берналесом</w:t>
      </w:r>
      <w:proofErr w:type="spellEnd"/>
      <w:r>
        <w:t xml:space="preserve"> </w:t>
      </w:r>
      <w:proofErr w:type="spellStart"/>
      <w:r>
        <w:t>Бальестеросом</w:t>
      </w:r>
      <w:proofErr w:type="spellEnd"/>
      <w:r>
        <w:t xml:space="preserve"> в соответствии с </w:t>
      </w:r>
    </w:p>
    <w:p w:rsidR="00000000" w:rsidRDefault="00000000">
      <w:pPr>
        <w:pStyle w:val="11"/>
        <w:ind w:left="567" w:hanging="567"/>
      </w:pPr>
      <w:r>
        <w:t>резолюцией 2002/5 Комиссии по правам человека</w:t>
      </w:r>
    </w:p>
    <w:p w:rsidR="00000000" w:rsidRDefault="00000000">
      <w:pPr>
        <w:pStyle w:val="11"/>
        <w:rPr>
          <w:b/>
          <w:bCs/>
        </w:rPr>
      </w:pPr>
    </w:p>
    <w:p w:rsidR="00000000" w:rsidRDefault="00000000">
      <w:pPr>
        <w:pStyle w:val="10"/>
        <w:tabs>
          <w:tab w:val="left" w:pos="567"/>
          <w:tab w:val="left" w:pos="1134"/>
          <w:tab w:val="left" w:pos="1701"/>
          <w:tab w:val="left" w:pos="2268"/>
          <w:tab w:val="left" w:pos="6237"/>
        </w:tabs>
        <w:rPr>
          <w:bCs/>
        </w:rPr>
      </w:pPr>
      <w:r>
        <w:rPr>
          <w:bCs/>
        </w:rPr>
        <w:t>СОДЕРЖАНИЕ</w:t>
      </w:r>
    </w:p>
    <w:p w:rsidR="00000000" w:rsidRDefault="00000000">
      <w:pPr>
        <w:jc w:val="center"/>
      </w:pPr>
    </w:p>
    <w:p w:rsidR="00000000" w:rsidRDefault="00000000">
      <w:pPr>
        <w:tabs>
          <w:tab w:val="clear" w:pos="6237"/>
          <w:tab w:val="center" w:pos="8039"/>
          <w:tab w:val="center" w:pos="9122"/>
        </w:tabs>
      </w:pPr>
      <w:r>
        <w:tab/>
      </w:r>
      <w:r>
        <w:tab/>
      </w:r>
      <w:r>
        <w:tab/>
      </w:r>
      <w:r>
        <w:tab/>
      </w:r>
      <w:r>
        <w:tab/>
      </w:r>
      <w:r>
        <w:rPr>
          <w:u w:val="single"/>
        </w:rPr>
        <w:t>Пункты</w:t>
      </w:r>
      <w:r>
        <w:tab/>
      </w:r>
      <w:r>
        <w:rPr>
          <w:u w:val="single"/>
        </w:rPr>
        <w:t>Стр</w:t>
      </w:r>
      <w:r>
        <w:t>.</w:t>
      </w:r>
    </w:p>
    <w:p w:rsidR="00000000" w:rsidRDefault="00000000">
      <w:pPr>
        <w:tabs>
          <w:tab w:val="clear" w:pos="6237"/>
          <w:tab w:val="center" w:pos="8039"/>
          <w:tab w:val="center" w:pos="9122"/>
        </w:tabs>
      </w:pPr>
    </w:p>
    <w:p w:rsidR="00000000" w:rsidRDefault="00000000">
      <w:pPr>
        <w:pStyle w:val="FootnoteText"/>
        <w:tabs>
          <w:tab w:val="clear" w:pos="1134"/>
          <w:tab w:val="clear" w:pos="1701"/>
          <w:tab w:val="clear" w:pos="2268"/>
          <w:tab w:val="clear" w:pos="6237"/>
          <w:tab w:val="left" w:pos="567"/>
          <w:tab w:val="right" w:leader="dot" w:pos="8647"/>
          <w:tab w:val="center" w:pos="9122"/>
        </w:tabs>
        <w:spacing w:line="288" w:lineRule="auto"/>
      </w:pPr>
      <w:r>
        <w:t>Резюме</w:t>
      </w:r>
      <w:r>
        <w:tab/>
      </w:r>
      <w:r>
        <w:tab/>
        <w:t>3</w:t>
      </w:r>
    </w:p>
    <w:p w:rsidR="00000000" w:rsidRDefault="00000000">
      <w:pPr>
        <w:pStyle w:val="FootnoteText"/>
        <w:tabs>
          <w:tab w:val="clear" w:pos="1134"/>
          <w:tab w:val="clear" w:pos="1701"/>
          <w:tab w:val="clear" w:pos="2268"/>
          <w:tab w:val="clear" w:pos="6237"/>
          <w:tab w:val="left" w:pos="567"/>
          <w:tab w:val="right" w:leader="dot" w:pos="7172"/>
          <w:tab w:val="center" w:pos="8039"/>
          <w:tab w:val="center" w:pos="9122"/>
        </w:tabs>
        <w:spacing w:line="288" w:lineRule="auto"/>
      </w:pPr>
    </w:p>
    <w:p w:rsidR="00000000" w:rsidRDefault="00000000">
      <w:pPr>
        <w:pStyle w:val="FootnoteText"/>
        <w:tabs>
          <w:tab w:val="clear" w:pos="1134"/>
          <w:tab w:val="clear" w:pos="1701"/>
          <w:tab w:val="clear" w:pos="2268"/>
          <w:tab w:val="clear" w:pos="6237"/>
          <w:tab w:val="left" w:pos="567"/>
          <w:tab w:val="right" w:leader="dot" w:pos="7172"/>
          <w:tab w:val="center" w:pos="8039"/>
          <w:tab w:val="center" w:pos="9122"/>
        </w:tabs>
        <w:spacing w:line="288" w:lineRule="auto"/>
      </w:pPr>
      <w:r>
        <w:t>ВВЕДЕНИЕ</w:t>
      </w:r>
      <w:r>
        <w:tab/>
      </w:r>
      <w:r>
        <w:tab/>
        <w:t>1 - 4</w:t>
      </w:r>
      <w:r>
        <w:tab/>
        <w:t>4</w:t>
      </w:r>
    </w:p>
    <w:p w:rsidR="00000000" w:rsidRDefault="00000000">
      <w:pPr>
        <w:tabs>
          <w:tab w:val="clear" w:pos="6237"/>
          <w:tab w:val="right" w:leader="dot" w:pos="7172"/>
          <w:tab w:val="center" w:pos="8039"/>
          <w:tab w:val="center" w:pos="9122"/>
        </w:tabs>
      </w:pPr>
    </w:p>
    <w:p w:rsidR="00000000" w:rsidRDefault="00000000">
      <w:pPr>
        <w:tabs>
          <w:tab w:val="clear" w:pos="6237"/>
          <w:tab w:val="right" w:leader="dot" w:pos="7172"/>
          <w:tab w:val="center" w:pos="8039"/>
          <w:tab w:val="center" w:pos="9122"/>
        </w:tabs>
      </w:pPr>
      <w:r>
        <w:t xml:space="preserve">  </w:t>
      </w:r>
      <w:proofErr w:type="spellStart"/>
      <w:r>
        <w:t>I</w:t>
      </w:r>
      <w:proofErr w:type="spellEnd"/>
      <w:r>
        <w:t>.</w:t>
      </w:r>
      <w:r>
        <w:tab/>
        <w:t>ДЕЯТЕЛЬНОСТЬ СПЕЦИАЛЬНОГО ДОКЛАДЧИКА</w:t>
      </w:r>
      <w:r>
        <w:tab/>
      </w:r>
      <w:r>
        <w:tab/>
        <w:t>5 - 13</w:t>
      </w:r>
      <w:r>
        <w:tab/>
        <w:t>5</w:t>
      </w:r>
    </w:p>
    <w:p w:rsidR="00000000" w:rsidRDefault="00000000">
      <w:pPr>
        <w:tabs>
          <w:tab w:val="clear" w:pos="6237"/>
          <w:tab w:val="right" w:leader="dot" w:pos="7172"/>
          <w:tab w:val="center" w:pos="8039"/>
          <w:tab w:val="center" w:pos="9122"/>
        </w:tabs>
      </w:pPr>
    </w:p>
    <w:p w:rsidR="00000000" w:rsidRDefault="00000000">
      <w:pPr>
        <w:tabs>
          <w:tab w:val="clear" w:pos="6237"/>
          <w:tab w:val="right" w:leader="dot" w:pos="7172"/>
          <w:tab w:val="center" w:pos="8039"/>
          <w:tab w:val="center" w:pos="9122"/>
        </w:tabs>
      </w:pPr>
      <w:r>
        <w:tab/>
        <w:t>А.</w:t>
      </w:r>
      <w:r>
        <w:tab/>
        <w:t>Осуществление программы работы</w:t>
      </w:r>
      <w:r>
        <w:tab/>
      </w:r>
      <w:r>
        <w:tab/>
        <w:t>5 - 7</w:t>
      </w:r>
      <w:r>
        <w:tab/>
        <w:t>5</w:t>
      </w:r>
    </w:p>
    <w:p w:rsidR="00000000" w:rsidRDefault="00000000">
      <w:pPr>
        <w:tabs>
          <w:tab w:val="clear" w:pos="6237"/>
          <w:tab w:val="right" w:leader="dot" w:pos="7172"/>
          <w:tab w:val="center" w:pos="8039"/>
          <w:tab w:val="center" w:pos="9122"/>
        </w:tabs>
      </w:pPr>
      <w:r>
        <w:tab/>
        <w:t>В.</w:t>
      </w:r>
      <w:r>
        <w:tab/>
        <w:t>Переписка</w:t>
      </w:r>
      <w:r>
        <w:tab/>
      </w:r>
      <w:r>
        <w:tab/>
      </w:r>
      <w:r>
        <w:tab/>
        <w:t>8 - 13</w:t>
      </w:r>
      <w:r>
        <w:tab/>
        <w:t>5</w:t>
      </w:r>
    </w:p>
    <w:p w:rsidR="00000000" w:rsidRDefault="00000000">
      <w:pPr>
        <w:tabs>
          <w:tab w:val="clear" w:pos="6237"/>
          <w:tab w:val="right" w:leader="dot" w:pos="7172"/>
          <w:tab w:val="center" w:pos="8039"/>
          <w:tab w:val="center" w:pos="9122"/>
        </w:tabs>
      </w:pPr>
    </w:p>
    <w:p w:rsidR="00000000" w:rsidRDefault="00000000">
      <w:pPr>
        <w:tabs>
          <w:tab w:val="clear" w:pos="6237"/>
          <w:tab w:val="right" w:leader="dot" w:pos="7172"/>
          <w:tab w:val="center" w:pos="8039"/>
          <w:tab w:val="center" w:pos="9122"/>
        </w:tabs>
      </w:pPr>
      <w:r>
        <w:t xml:space="preserve"> </w:t>
      </w:r>
      <w:proofErr w:type="spellStart"/>
      <w:r>
        <w:t>II</w:t>
      </w:r>
      <w:proofErr w:type="spellEnd"/>
      <w:r>
        <w:t>.</w:t>
      </w:r>
      <w:r>
        <w:tab/>
        <w:t>ВТОРОЕ СОВЕЩАНИЕ ЭКСПЕРТОВ</w:t>
      </w:r>
      <w:r>
        <w:tab/>
      </w:r>
      <w:r>
        <w:tab/>
        <w:t>14 - 16</w:t>
      </w:r>
      <w:r>
        <w:tab/>
        <w:t>8</w:t>
      </w:r>
    </w:p>
    <w:p w:rsidR="00000000" w:rsidRDefault="00000000">
      <w:pPr>
        <w:pStyle w:val="10"/>
        <w:tabs>
          <w:tab w:val="left" w:pos="567"/>
          <w:tab w:val="left" w:pos="1134"/>
          <w:tab w:val="left" w:pos="1701"/>
          <w:tab w:val="left" w:pos="2268"/>
          <w:tab w:val="left" w:pos="6237"/>
        </w:tabs>
        <w:rPr>
          <w:bCs/>
        </w:rPr>
      </w:pPr>
      <w:r>
        <w:br w:type="page"/>
      </w:r>
      <w:r>
        <w:rPr>
          <w:bCs/>
        </w:rPr>
        <w:t>СОДЕРЖАНИЕ (</w:t>
      </w:r>
      <w:r>
        <w:rPr>
          <w:bCs/>
          <w:u w:val="single"/>
        </w:rPr>
        <w:t>продолжение</w:t>
      </w:r>
      <w:r>
        <w:rPr>
          <w:bCs/>
        </w:rPr>
        <w:t>)</w:t>
      </w:r>
    </w:p>
    <w:p w:rsidR="00000000" w:rsidRDefault="00000000">
      <w:pPr>
        <w:pStyle w:val="16"/>
        <w:tabs>
          <w:tab w:val="left" w:pos="567"/>
          <w:tab w:val="left" w:pos="1134"/>
          <w:tab w:val="left" w:pos="1701"/>
          <w:tab w:val="left" w:pos="2268"/>
          <w:tab w:val="left" w:pos="6237"/>
        </w:tabs>
      </w:pPr>
    </w:p>
    <w:p w:rsidR="00000000" w:rsidRDefault="00000000">
      <w:pPr>
        <w:tabs>
          <w:tab w:val="clear" w:pos="6237"/>
          <w:tab w:val="center" w:pos="8039"/>
          <w:tab w:val="center" w:pos="9122"/>
        </w:tabs>
      </w:pPr>
      <w:r>
        <w:tab/>
      </w:r>
      <w:r>
        <w:tab/>
      </w:r>
      <w:r>
        <w:tab/>
      </w:r>
      <w:r>
        <w:tab/>
      </w:r>
      <w:r>
        <w:tab/>
      </w:r>
      <w:r>
        <w:rPr>
          <w:u w:val="single"/>
        </w:rPr>
        <w:t>Пункты</w:t>
      </w:r>
      <w:r>
        <w:tab/>
      </w:r>
      <w:r>
        <w:rPr>
          <w:u w:val="single"/>
        </w:rPr>
        <w:t>Стр</w:t>
      </w:r>
      <w:r>
        <w:t>.</w:t>
      </w:r>
    </w:p>
    <w:p w:rsidR="00000000" w:rsidRDefault="00000000">
      <w:pPr>
        <w:tabs>
          <w:tab w:val="clear" w:pos="6237"/>
          <w:tab w:val="center" w:pos="8039"/>
          <w:tab w:val="center" w:pos="9122"/>
        </w:tabs>
      </w:pPr>
    </w:p>
    <w:p w:rsidR="00000000" w:rsidRDefault="00000000">
      <w:pPr>
        <w:tabs>
          <w:tab w:val="clear" w:pos="6237"/>
          <w:tab w:val="right" w:leader="dot" w:pos="7172"/>
          <w:tab w:val="center" w:pos="8039"/>
          <w:tab w:val="center" w:pos="9122"/>
        </w:tabs>
      </w:pPr>
      <w:proofErr w:type="spellStart"/>
      <w:r>
        <w:t>III</w:t>
      </w:r>
      <w:proofErr w:type="spellEnd"/>
      <w:r>
        <w:t>.</w:t>
      </w:r>
      <w:r>
        <w:tab/>
        <w:t>ИЗМЕНЕНИЯ В ЮРИДИЧЕСКОМ ОПРЕДЕЛЕНИИ</w:t>
      </w:r>
    </w:p>
    <w:p w:rsidR="00000000" w:rsidRDefault="00000000">
      <w:pPr>
        <w:pStyle w:val="FootnoteText"/>
        <w:tabs>
          <w:tab w:val="clear" w:pos="2268"/>
          <w:tab w:val="clear" w:pos="6237"/>
          <w:tab w:val="left" w:pos="567"/>
          <w:tab w:val="left" w:pos="1134"/>
          <w:tab w:val="left" w:pos="1701"/>
          <w:tab w:val="right" w:leader="dot" w:pos="7172"/>
          <w:tab w:val="center" w:pos="8039"/>
          <w:tab w:val="center" w:pos="9122"/>
        </w:tabs>
        <w:spacing w:line="288" w:lineRule="auto"/>
        <w:rPr>
          <w:lang w:val="en-US"/>
        </w:rPr>
      </w:pPr>
      <w:r>
        <w:tab/>
        <w:t>ПОНЯТИЯ "НАЕМНИК"</w:t>
      </w:r>
      <w:r>
        <w:tab/>
      </w:r>
      <w:r>
        <w:tab/>
        <w:t>17 - 28</w:t>
      </w:r>
      <w:r>
        <w:tab/>
      </w:r>
      <w:r>
        <w:rPr>
          <w:lang w:val="en-US"/>
        </w:rPr>
        <w:t>9</w:t>
      </w:r>
    </w:p>
    <w:p w:rsidR="00000000" w:rsidRDefault="00000000">
      <w:pPr>
        <w:tabs>
          <w:tab w:val="clear" w:pos="2268"/>
          <w:tab w:val="clear" w:pos="6237"/>
          <w:tab w:val="right" w:leader="dot" w:pos="7172"/>
          <w:tab w:val="center" w:pos="8039"/>
          <w:tab w:val="center" w:pos="9122"/>
        </w:tabs>
      </w:pPr>
    </w:p>
    <w:p w:rsidR="00000000" w:rsidRDefault="00000000">
      <w:pPr>
        <w:tabs>
          <w:tab w:val="clear" w:pos="2268"/>
          <w:tab w:val="clear" w:pos="6237"/>
          <w:tab w:val="right" w:leader="dot" w:pos="7172"/>
          <w:tab w:val="center" w:pos="8039"/>
          <w:tab w:val="center" w:pos="9122"/>
        </w:tabs>
      </w:pPr>
      <w:proofErr w:type="spellStart"/>
      <w:r>
        <w:t>IV</w:t>
      </w:r>
      <w:proofErr w:type="spellEnd"/>
      <w:r>
        <w:t>.</w:t>
      </w:r>
      <w:r>
        <w:tab/>
        <w:t>НЫНЕШНЕЕ ПОЛОЖЕНИЕ В СВЯЗИ С ДЕЯТЕЛЬНОСТЬЮ</w:t>
      </w:r>
    </w:p>
    <w:p w:rsidR="00000000" w:rsidRDefault="00000000">
      <w:pPr>
        <w:tabs>
          <w:tab w:val="clear" w:pos="2268"/>
          <w:tab w:val="clear" w:pos="6237"/>
          <w:tab w:val="right" w:leader="dot" w:pos="7172"/>
          <w:tab w:val="center" w:pos="8039"/>
          <w:tab w:val="center" w:pos="9122"/>
        </w:tabs>
      </w:pPr>
      <w:r>
        <w:tab/>
        <w:t>НАЕМНИКОВ</w:t>
      </w:r>
      <w:r>
        <w:tab/>
      </w:r>
      <w:r>
        <w:tab/>
        <w:t>29 - 42</w:t>
      </w:r>
      <w:r>
        <w:tab/>
        <w:t>13</w:t>
      </w:r>
    </w:p>
    <w:p w:rsidR="00000000" w:rsidRDefault="00000000">
      <w:pPr>
        <w:tabs>
          <w:tab w:val="clear" w:pos="2268"/>
          <w:tab w:val="clear" w:pos="6237"/>
          <w:tab w:val="right" w:leader="dot" w:pos="7172"/>
          <w:tab w:val="center" w:pos="8039"/>
          <w:tab w:val="center" w:pos="9122"/>
        </w:tabs>
      </w:pPr>
    </w:p>
    <w:p w:rsidR="00000000" w:rsidRDefault="00000000">
      <w:pPr>
        <w:tabs>
          <w:tab w:val="clear" w:pos="2268"/>
          <w:tab w:val="clear" w:pos="6237"/>
          <w:tab w:val="right" w:leader="dot" w:pos="7172"/>
          <w:tab w:val="center" w:pos="8039"/>
          <w:tab w:val="center" w:pos="9122"/>
        </w:tabs>
      </w:pPr>
      <w:r>
        <w:tab/>
        <w:t>А.</w:t>
      </w:r>
      <w:r>
        <w:tab/>
        <w:t>Деятельность наемников в Африке</w:t>
      </w:r>
      <w:r>
        <w:tab/>
      </w:r>
      <w:r>
        <w:tab/>
        <w:t>30 - 39</w:t>
      </w:r>
      <w:r>
        <w:tab/>
        <w:t>14</w:t>
      </w:r>
    </w:p>
    <w:p w:rsidR="00000000" w:rsidRDefault="00000000">
      <w:pPr>
        <w:tabs>
          <w:tab w:val="clear" w:pos="2268"/>
          <w:tab w:val="clear" w:pos="6237"/>
          <w:tab w:val="right" w:leader="dot" w:pos="7172"/>
          <w:tab w:val="center" w:pos="8039"/>
          <w:tab w:val="center" w:pos="9122"/>
        </w:tabs>
      </w:pPr>
      <w:r>
        <w:tab/>
        <w:t>В.</w:t>
      </w:r>
      <w:r>
        <w:tab/>
        <w:t>Деятельность наемников и терроризм</w:t>
      </w:r>
      <w:r>
        <w:tab/>
      </w:r>
      <w:r>
        <w:tab/>
        <w:t>40 - 42</w:t>
      </w:r>
      <w:r>
        <w:tab/>
        <w:t>17</w:t>
      </w:r>
    </w:p>
    <w:p w:rsidR="00000000" w:rsidRDefault="00000000">
      <w:pPr>
        <w:tabs>
          <w:tab w:val="clear" w:pos="2268"/>
          <w:tab w:val="clear" w:pos="6237"/>
          <w:tab w:val="right" w:leader="dot" w:pos="7172"/>
          <w:tab w:val="center" w:pos="8039"/>
          <w:tab w:val="center" w:pos="9122"/>
        </w:tabs>
      </w:pPr>
    </w:p>
    <w:p w:rsidR="00000000" w:rsidRDefault="00000000">
      <w:pPr>
        <w:tabs>
          <w:tab w:val="clear" w:pos="2268"/>
          <w:tab w:val="clear" w:pos="6237"/>
          <w:tab w:val="right" w:leader="dot" w:pos="7172"/>
          <w:tab w:val="center" w:pos="8039"/>
          <w:tab w:val="center" w:pos="9122"/>
        </w:tabs>
      </w:pPr>
      <w:r>
        <w:t xml:space="preserve"> </w:t>
      </w:r>
      <w:proofErr w:type="spellStart"/>
      <w:r>
        <w:t>V</w:t>
      </w:r>
      <w:proofErr w:type="spellEnd"/>
      <w:r>
        <w:t>.</w:t>
      </w:r>
      <w:r>
        <w:tab/>
        <w:t>ПОЕЗДКИ В САЛЬВАДОР И ПАНАМУ</w:t>
      </w:r>
      <w:r>
        <w:tab/>
      </w:r>
      <w:r>
        <w:tab/>
        <w:t>43 - 61</w:t>
      </w:r>
      <w:r>
        <w:tab/>
        <w:t>18</w:t>
      </w:r>
    </w:p>
    <w:p w:rsidR="00000000" w:rsidRDefault="00000000">
      <w:pPr>
        <w:tabs>
          <w:tab w:val="clear" w:pos="2268"/>
          <w:tab w:val="clear" w:pos="6237"/>
          <w:tab w:val="right" w:leader="dot" w:pos="7172"/>
          <w:tab w:val="center" w:pos="8039"/>
          <w:tab w:val="center" w:pos="9122"/>
        </w:tabs>
      </w:pPr>
    </w:p>
    <w:p w:rsidR="00000000" w:rsidRDefault="00000000">
      <w:pPr>
        <w:tabs>
          <w:tab w:val="clear" w:pos="2268"/>
          <w:tab w:val="clear" w:pos="6237"/>
          <w:tab w:val="right" w:leader="dot" w:pos="7172"/>
          <w:tab w:val="center" w:pos="8039"/>
          <w:tab w:val="center" w:pos="9122"/>
        </w:tabs>
      </w:pPr>
      <w:r>
        <w:tab/>
        <w:t>А.</w:t>
      </w:r>
      <w:r>
        <w:tab/>
        <w:t>Доклад о поездках</w:t>
      </w:r>
      <w:r>
        <w:tab/>
      </w:r>
      <w:r>
        <w:tab/>
        <w:t>43 - 53</w:t>
      </w:r>
      <w:r>
        <w:tab/>
        <w:t>18</w:t>
      </w:r>
    </w:p>
    <w:p w:rsidR="00000000" w:rsidRDefault="00000000">
      <w:pPr>
        <w:tabs>
          <w:tab w:val="clear" w:pos="2268"/>
          <w:tab w:val="clear" w:pos="6237"/>
          <w:tab w:val="right" w:leader="dot" w:pos="7172"/>
          <w:tab w:val="center" w:pos="8039"/>
          <w:tab w:val="center" w:pos="9122"/>
        </w:tabs>
        <w:rPr>
          <w:lang w:val="en-US"/>
        </w:rPr>
      </w:pPr>
      <w:r>
        <w:tab/>
        <w:t>В.</w:t>
      </w:r>
      <w:r>
        <w:tab/>
        <w:t>Анализ</w:t>
      </w:r>
      <w:r>
        <w:tab/>
      </w:r>
      <w:r>
        <w:tab/>
        <w:t>54 - 61</w:t>
      </w:r>
      <w:r>
        <w:tab/>
      </w:r>
      <w:r>
        <w:rPr>
          <w:lang w:val="en-US"/>
        </w:rPr>
        <w:t>21</w:t>
      </w:r>
    </w:p>
    <w:p w:rsidR="00000000" w:rsidRDefault="00000000">
      <w:pPr>
        <w:tabs>
          <w:tab w:val="clear" w:pos="2268"/>
          <w:tab w:val="clear" w:pos="6237"/>
          <w:tab w:val="right" w:leader="dot" w:pos="7172"/>
          <w:tab w:val="center" w:pos="8039"/>
          <w:tab w:val="center" w:pos="9122"/>
        </w:tabs>
      </w:pPr>
    </w:p>
    <w:p w:rsidR="00000000" w:rsidRDefault="00000000">
      <w:pPr>
        <w:tabs>
          <w:tab w:val="clear" w:pos="2268"/>
          <w:tab w:val="clear" w:pos="6237"/>
          <w:tab w:val="right" w:leader="dot" w:pos="7172"/>
          <w:tab w:val="center" w:pos="8039"/>
          <w:tab w:val="center" w:pos="9122"/>
        </w:tabs>
      </w:pPr>
      <w:proofErr w:type="spellStart"/>
      <w:r>
        <w:t>VI</w:t>
      </w:r>
      <w:proofErr w:type="spellEnd"/>
      <w:r>
        <w:t>.</w:t>
      </w:r>
      <w:r>
        <w:tab/>
        <w:t>НЫНЕШНЕЕ СОСТОЯНИЕ МЕЖДУНАРОДНОЙ</w:t>
      </w:r>
    </w:p>
    <w:p w:rsidR="00000000" w:rsidRDefault="00000000">
      <w:pPr>
        <w:tabs>
          <w:tab w:val="clear" w:pos="2268"/>
          <w:tab w:val="clear" w:pos="6237"/>
          <w:tab w:val="right" w:leader="dot" w:pos="7172"/>
          <w:tab w:val="center" w:pos="8039"/>
          <w:tab w:val="center" w:pos="9122"/>
        </w:tabs>
      </w:pPr>
      <w:r>
        <w:tab/>
        <w:t xml:space="preserve">КОНВЕНЦИИ О БОРЬБЕ С ВЕРБОВКОЙ, </w:t>
      </w:r>
    </w:p>
    <w:p w:rsidR="00000000" w:rsidRDefault="00000000">
      <w:pPr>
        <w:tabs>
          <w:tab w:val="clear" w:pos="2268"/>
          <w:tab w:val="clear" w:pos="6237"/>
          <w:tab w:val="right" w:leader="dot" w:pos="7172"/>
          <w:tab w:val="center" w:pos="8039"/>
          <w:tab w:val="center" w:pos="9122"/>
        </w:tabs>
      </w:pPr>
      <w:r>
        <w:tab/>
        <w:t>ИСПОЛЬЗОВАНИЕМ, ФИНАНСИРОВАНИЕМ И</w:t>
      </w:r>
    </w:p>
    <w:p w:rsidR="00000000" w:rsidRDefault="00000000">
      <w:pPr>
        <w:tabs>
          <w:tab w:val="clear" w:pos="2268"/>
          <w:tab w:val="clear" w:pos="6237"/>
          <w:tab w:val="right" w:leader="dot" w:pos="7172"/>
          <w:tab w:val="center" w:pos="8039"/>
          <w:tab w:val="center" w:pos="9122"/>
        </w:tabs>
      </w:pPr>
      <w:r>
        <w:tab/>
        <w:t>ОБУЧЕНИЕМ НАЕМНИКОВ</w:t>
      </w:r>
      <w:r>
        <w:tab/>
      </w:r>
      <w:r>
        <w:tab/>
        <w:t>62 - 65</w:t>
      </w:r>
      <w:r>
        <w:tab/>
        <w:t>23</w:t>
      </w:r>
    </w:p>
    <w:p w:rsidR="00000000" w:rsidRDefault="00000000">
      <w:pPr>
        <w:tabs>
          <w:tab w:val="clear" w:pos="2268"/>
          <w:tab w:val="clear" w:pos="6237"/>
          <w:tab w:val="right" w:leader="dot" w:pos="7172"/>
          <w:tab w:val="center" w:pos="8039"/>
          <w:tab w:val="center" w:pos="9122"/>
        </w:tabs>
      </w:pPr>
    </w:p>
    <w:p w:rsidR="00000000" w:rsidRDefault="00000000">
      <w:pPr>
        <w:tabs>
          <w:tab w:val="clear" w:pos="2268"/>
          <w:tab w:val="clear" w:pos="6237"/>
          <w:tab w:val="right" w:leader="dot" w:pos="7172"/>
          <w:tab w:val="center" w:pos="8039"/>
          <w:tab w:val="center" w:pos="9122"/>
        </w:tabs>
      </w:pPr>
      <w:proofErr w:type="spellStart"/>
      <w:r>
        <w:t>VII</w:t>
      </w:r>
      <w:proofErr w:type="spellEnd"/>
      <w:r>
        <w:t>.</w:t>
      </w:r>
      <w:r>
        <w:tab/>
        <w:t>ВЫВОДЫ</w:t>
      </w:r>
      <w:r>
        <w:tab/>
      </w:r>
      <w:r>
        <w:tab/>
      </w:r>
      <w:r>
        <w:tab/>
        <w:t>66 - 73</w:t>
      </w:r>
      <w:r>
        <w:tab/>
        <w:t>25</w:t>
      </w:r>
    </w:p>
    <w:p w:rsidR="00000000" w:rsidRDefault="00000000">
      <w:pPr>
        <w:tabs>
          <w:tab w:val="clear" w:pos="2268"/>
          <w:tab w:val="clear" w:pos="6237"/>
          <w:tab w:val="right" w:leader="dot" w:pos="7172"/>
          <w:tab w:val="center" w:pos="8039"/>
          <w:tab w:val="center" w:pos="9122"/>
        </w:tabs>
      </w:pPr>
    </w:p>
    <w:p w:rsidR="00000000" w:rsidRDefault="00000000">
      <w:pPr>
        <w:tabs>
          <w:tab w:val="clear" w:pos="2268"/>
          <w:tab w:val="clear" w:pos="6237"/>
          <w:tab w:val="right" w:leader="dot" w:pos="7172"/>
          <w:tab w:val="center" w:pos="8039"/>
          <w:tab w:val="center" w:pos="9122"/>
        </w:tabs>
        <w:rPr>
          <w:lang w:val="en-US"/>
        </w:rPr>
      </w:pPr>
      <w:proofErr w:type="spellStart"/>
      <w:r>
        <w:t>VIII</w:t>
      </w:r>
      <w:proofErr w:type="spellEnd"/>
      <w:r>
        <w:t>.</w:t>
      </w:r>
      <w:r>
        <w:tab/>
        <w:t>РЕКОМЕНДАЦИИ</w:t>
      </w:r>
      <w:r>
        <w:tab/>
      </w:r>
      <w:r>
        <w:tab/>
        <w:t>74 - 80</w:t>
      </w:r>
      <w:r>
        <w:tab/>
      </w:r>
      <w:r>
        <w:rPr>
          <w:lang w:val="en-US"/>
        </w:rPr>
        <w:t>27</w:t>
      </w:r>
    </w:p>
    <w:p w:rsidR="00000000" w:rsidRDefault="00000000"/>
    <w:p w:rsidR="00000000" w:rsidRDefault="00000000">
      <w:pPr>
        <w:pStyle w:val="a0"/>
        <w:widowControl/>
        <w:tabs>
          <w:tab w:val="left" w:pos="567"/>
          <w:tab w:val="left" w:pos="1134"/>
          <w:tab w:val="left" w:pos="1701"/>
          <w:tab w:val="left" w:pos="2268"/>
          <w:tab w:val="left" w:pos="6237"/>
        </w:tabs>
        <w:spacing w:line="288" w:lineRule="auto"/>
        <w:rPr>
          <w:rFonts w:ascii="Times New Roman" w:hAnsi="Times New Roman"/>
          <w:snapToGrid/>
          <w:lang w:eastAsia="en-US"/>
        </w:rPr>
      </w:pPr>
    </w:p>
    <w:p w:rsidR="00000000" w:rsidRDefault="00000000">
      <w:pPr>
        <w:pStyle w:val="10"/>
        <w:rPr>
          <w:bCs/>
        </w:rPr>
      </w:pPr>
      <w:r>
        <w:rPr>
          <w:bCs/>
        </w:rPr>
        <w:br w:type="page"/>
        <w:t>РЕЗЮМЕ</w:t>
      </w:r>
    </w:p>
    <w:p w:rsidR="00000000" w:rsidRDefault="00000000">
      <w:pPr>
        <w:pStyle w:val="10"/>
        <w:rPr>
          <w:bCs/>
        </w:rPr>
      </w:pPr>
    </w:p>
    <w:p w:rsidR="00000000" w:rsidRDefault="00000000">
      <w:r>
        <w:tab/>
        <w:t xml:space="preserve">В настоящем докладе Специальный докладчик представляет информацию о проделанной работе и корреспонденции, полученной в 2002 году.  Он особо отмечает проведение второго совещания экспертов по вопросу о наемниках, организованного Управлением Верховного комиссара Организации Объединенных Наций по правам человека, которое состоялось в Женеве 13-17 мая 2000 года.  Затем рассматривается положение в связи с деятельностью наемников, в частности на африканском континенте.  В качестве позитивных фактов отмечают подписание 5 апреля 2002 года Соглашения о прекращении огня в Анголе между начальником штаба вооруженных сил Анголы и начальником штаба Национального союза за полную независимость Анголы (УНИТА);  заключение в Претории 30 июля 2002 года мирного соглашения между Демократической Республикой Конго и Руандой;  прекращение огня в Судане и проведение выборов президента и выборов в законодательное собрание в Сьерра-Леоне 14 мая 2002 года.  </w:t>
      </w:r>
    </w:p>
    <w:p w:rsidR="00000000" w:rsidRDefault="00000000"/>
    <w:p w:rsidR="00000000" w:rsidRDefault="00000000">
      <w:r>
        <w:tab/>
        <w:t xml:space="preserve">В качестве вопросов, которые продолжают вызывать его озабоченность, Специальный докладчик упоминает о продолжении войны в Демократической Республике Конго и массовых убийствах, которые, как сообщается, имели место в Киншасе в мае 2002 года;  недавней агрессии банд наемников на Коморских Островах;  присутствии наемников в Кот-д'Ивуаре;  недавних вооруженных столкновениях в Браззавиле, Республика Конго;  сообщениях правительства Экваториальной Гвинеи о вербовке наемников;  и недавно проведенной вербовке наемников для проведения операций на Мадагаскаре. </w:t>
      </w:r>
    </w:p>
    <w:p w:rsidR="00000000" w:rsidRDefault="00000000"/>
    <w:p w:rsidR="00000000" w:rsidRDefault="00000000">
      <w:r>
        <w:tab/>
        <w:t>Доклад включает анализ поездок Специального докладчика с официальной миссией в Сальвадор и Панаму.  Специальный докладчик выражает благодарность правительствам этих стран за их всемерное сотрудничество и продемонстрированную ими открытость, которые способствовали успеху этих поездок.  Он сообщает о том, что он имел возможность обсудить с представителями исполнительных и судебных органов этих стран положения Международной конвенции о борьбе с вербовкой, использованием, финансированием и обучением наемников и взаимосвязь между деятельностью наемников и терроризмом.  Кроме того, он приводит информацию о частных беседах, проведенных им с четырьмя лицами, которые содержатся в Панаме под стражей по обвинению в попытке совершить в этой стране в ноябре 2000 года покушение на главу кубинского государства и которые, как имеются основания полагать, причастны к вербовке наемников в целях закладки взрывных устройств на туристических объектах в Гаване в 1997 году.</w:t>
      </w:r>
    </w:p>
    <w:p w:rsidR="00000000" w:rsidRDefault="00000000"/>
    <w:p w:rsidR="00000000" w:rsidRDefault="00000000">
      <w:pPr>
        <w:keepLines/>
      </w:pPr>
      <w:r>
        <w:tab/>
        <w:t xml:space="preserve">Наконец, в отношении Международной конвенции в докладе упоминается недавно состоявшаяся сдача на хранение документов о присоединении к Конвенции Коста-Рики, Мали и Бельгии, вследствие чего число государств-участников этого международного договора, вступившего в силу 20 октября 2001 года, возросло до 24 государств. </w:t>
      </w:r>
    </w:p>
    <w:p w:rsidR="00000000" w:rsidRDefault="00000000"/>
    <w:p w:rsidR="00000000" w:rsidRDefault="00000000">
      <w:pPr>
        <w:pStyle w:val="10"/>
        <w:rPr>
          <w:bCs/>
        </w:rPr>
      </w:pPr>
      <w:r>
        <w:rPr>
          <w:bCs/>
        </w:rPr>
        <w:t>ВВЕДЕНИЕ</w:t>
      </w:r>
    </w:p>
    <w:p w:rsidR="00000000" w:rsidRDefault="00000000">
      <w:pPr>
        <w:pStyle w:val="10"/>
        <w:rPr>
          <w:bCs/>
        </w:rPr>
      </w:pPr>
    </w:p>
    <w:p w:rsidR="00000000" w:rsidRDefault="00000000">
      <w:r>
        <w:t>1.</w:t>
      </w:r>
      <w:r>
        <w:tab/>
        <w:t>12 апреля 2002 года Комиссия по правам человека на своей пятьдесят восьмой сессии приняла резолюцию 2002/5.  Комиссия, среди прочего, подтвердила, что использование, вербовка, финансирование и обучение наемников вызывают серьезную озабоченность у всех государств и противоречат целям и принципам, воплощенным в Уставе Организации Объединенных Наций.  Комиссия признала, что вооруженные конфликты, терроризм, контрабанда оружия и тайные операции третьих держав, в частности, усиливают спрос на наемников на глобальном рынке.  Она настоятельно призвала все государства рассмотреть вопрос о принятии необходимых мер для подписания или ратификации Международной конвенции о борьбе с вербовкой, использованием, финансированием и обучением наемников и предложила им проводить расследования на предмет возможной причастности наемников к преступным актам террористического характера, когда бы и где бы они ни совершались.</w:t>
      </w:r>
    </w:p>
    <w:p w:rsidR="00000000" w:rsidRDefault="00000000"/>
    <w:p w:rsidR="00000000" w:rsidRDefault="00000000">
      <w:r>
        <w:t>2.</w:t>
      </w:r>
      <w:r>
        <w:tab/>
        <w:t>Комиссия с удовлетворением отметила вступление в силу Международной конвенции и приветствовала усилия, предпринимаемые Управлением Верховного комиссара в деле подготовки второго совещания экспертов по вопросу о традиционных и новых формах наемнической деятельности.  Комиссия просила Специального докладчика проводить консультации с государствами и межправительственными и неправительственными организациями о ходе осуществления упомянутой резолюции и представить ей на ее пятьдесят девятой сессии доклад с конкретными рекомендациями, содержащий его выводы относительно использования наемников в целях подрыва права народов на самоопределение.</w:t>
      </w:r>
    </w:p>
    <w:p w:rsidR="00000000" w:rsidRDefault="00000000"/>
    <w:p w:rsidR="00000000" w:rsidRDefault="00000000">
      <w:r>
        <w:t>3.</w:t>
      </w:r>
      <w:r>
        <w:tab/>
        <w:t>Следует подчеркнуть, что Комиссия просила Специального докладчика и впредь учитывать в ходе осуществления его мандата тот факт, что наемническая деятельность по</w:t>
      </w:r>
      <w:r>
        <w:noBreakHyphen/>
        <w:t>прежнему отмечается во многих частях мира и характеризуется новыми формами, проявлениями и методами.  Она также просила Верховного комиссара оказывать Специальному докладчику всю необходимую помощь и поддержку в целях осуществления им своего мандата, в том числе путем поощрения сотрудничества между Специальным докладчиком и другими компонентами системы Организации Объединенных Наций, занимающимися вопросами противодействия деятельности, связанной с наемниками.  Кроме того, она просила Управление Верховного комиссара, при наличии соответствующей просьбы, а также в случае необходимости, оказывать консультативные услуги государствам, затрагиваемым деятельностью наемников.</w:t>
      </w:r>
    </w:p>
    <w:p w:rsidR="00000000" w:rsidRDefault="00000000"/>
    <w:p w:rsidR="00000000" w:rsidRDefault="00000000">
      <w:r>
        <w:t>4.</w:t>
      </w:r>
      <w:r>
        <w:tab/>
        <w:t>С учетом вышеизложенного и во исполнение резолюции 2002/5 Комиссии Специальный докладчик имеет честь представить настоящий доклад на рассмотрение Комиссии на ее пятьдесят девятой сессии.</w:t>
      </w:r>
    </w:p>
    <w:p w:rsidR="00000000" w:rsidRDefault="00000000"/>
    <w:p w:rsidR="00000000" w:rsidRDefault="00000000">
      <w:pPr>
        <w:pStyle w:val="10"/>
        <w:rPr>
          <w:bCs/>
        </w:rPr>
      </w:pPr>
      <w:r>
        <w:rPr>
          <w:bCs/>
        </w:rPr>
        <w:t>I.</w:t>
      </w:r>
      <w:r>
        <w:rPr>
          <w:bCs/>
        </w:rPr>
        <w:tab/>
        <w:t>ДЕЯТЕЛЬНОСТЬ СПЕЦИАЛЬНОГО ДОКЛАДЧИКА</w:t>
      </w:r>
    </w:p>
    <w:p w:rsidR="00000000" w:rsidRDefault="00000000">
      <w:pPr>
        <w:pStyle w:val="10"/>
        <w:rPr>
          <w:bCs/>
        </w:rPr>
      </w:pPr>
    </w:p>
    <w:p w:rsidR="00000000" w:rsidRDefault="00000000">
      <w:pPr>
        <w:pStyle w:val="Heading1"/>
        <w:rPr>
          <w:bCs/>
        </w:rPr>
      </w:pPr>
      <w:r>
        <w:rPr>
          <w:bCs/>
        </w:rPr>
        <w:t>А.</w:t>
      </w:r>
      <w:r>
        <w:rPr>
          <w:bCs/>
        </w:rPr>
        <w:tab/>
        <w:t>Осуществление программы работы</w:t>
      </w:r>
    </w:p>
    <w:p w:rsidR="00000000" w:rsidRDefault="00000000">
      <w:pPr>
        <w:pStyle w:val="Heading1"/>
        <w:rPr>
          <w:bCs/>
        </w:rPr>
      </w:pPr>
    </w:p>
    <w:p w:rsidR="00000000" w:rsidRDefault="00000000">
      <w:r>
        <w:t>5.</w:t>
      </w:r>
      <w:r>
        <w:tab/>
        <w:t>Специальный докладчик совершил пять поездок в Женеву:  25-29 марта 2002 года для участия в пятьдесят восьмой сессии Комиссии по правам человека;  13-17 мая для участия во втором совещании экспертов по вопросу о наемниках;  24-28 июня для участия в качестве председателя в работе девятого совещания специальных докладчиков и специальных представителей, экспертов и председателей рабочих групп Комиссии;  23</w:t>
      </w:r>
      <w:r>
        <w:noBreakHyphen/>
        <w:t>26 сентября для участия в неофициальном совещании Комиссии;  и 14-17 ноября для подготовки настоящего доклада.</w:t>
      </w:r>
    </w:p>
    <w:p w:rsidR="00000000" w:rsidRDefault="00000000"/>
    <w:p w:rsidR="00000000" w:rsidRDefault="00000000">
      <w:r>
        <w:t>6.</w:t>
      </w:r>
      <w:r>
        <w:tab/>
        <w:t>Во время своего пребывания в Женеве Специальный докладчик провел консультации с представителями различных государств, а также встретился с представителями неправительственных организаций.  Кроме того, он провел рабочие заседания с сотрудниками Группы тематических механизмов Отделения по вопросам деятельности и программ Управления Верховного комиссара Организации Объединенных Наций по правам человека.</w:t>
      </w:r>
    </w:p>
    <w:p w:rsidR="00000000" w:rsidRDefault="00000000"/>
    <w:p w:rsidR="00000000" w:rsidRDefault="00000000">
      <w:r>
        <w:t>7.</w:t>
      </w:r>
      <w:r>
        <w:tab/>
        <w:t>В ответ на официальное приглашение правительства Сальвадора Специальный докладчик 5-8 мая 2002 года посетил эту страну с официальной миссией.  Кроме того, 8</w:t>
      </w:r>
      <w:r>
        <w:noBreakHyphen/>
        <w:t>10 мая он по приглашению Панамы также посетил эту страну с официальной миссией.  Информация об этих поездках содержится в разделе V настоящего доклада.</w:t>
      </w:r>
    </w:p>
    <w:p w:rsidR="00000000" w:rsidRDefault="00000000"/>
    <w:p w:rsidR="00000000" w:rsidRDefault="00000000">
      <w:pPr>
        <w:rPr>
          <w:b/>
          <w:bCs/>
        </w:rPr>
      </w:pPr>
      <w:r>
        <w:rPr>
          <w:b/>
          <w:bCs/>
        </w:rPr>
        <w:t>В.</w:t>
      </w:r>
      <w:r>
        <w:rPr>
          <w:b/>
          <w:bCs/>
        </w:rPr>
        <w:tab/>
        <w:t>Переписка</w:t>
      </w:r>
    </w:p>
    <w:p w:rsidR="00000000" w:rsidRDefault="00000000">
      <w:pPr>
        <w:rPr>
          <w:b/>
          <w:bCs/>
        </w:rPr>
      </w:pPr>
    </w:p>
    <w:p w:rsidR="00000000" w:rsidRDefault="00000000">
      <w:r>
        <w:t>8.</w:t>
      </w:r>
      <w:r>
        <w:tab/>
        <w:t xml:space="preserve">Во исполнение резолюций 56/232 Генеральной Ассамблеи от 24 декабря 2001 года и 2002/5 Комиссии по правам человека от 12 апреля 2002 года Специальный докладчик 2 мая 2002 года направил сообщение всем государствам - членам Организации с просьбой предоставить:  а)  информацию о возможной наемнической деятельности, которая могла иметь место в последнее время (вербовка, финансирование, обучение, сбор, транзит и использование наемников);  </w:t>
      </w:r>
      <w:r>
        <w:rPr>
          <w:lang w:val="en-US"/>
        </w:rPr>
        <w:t>b</w:t>
      </w:r>
      <w:r>
        <w:t xml:space="preserve">)  информацию относительно участия их граждан в качестве наемников в совершении актов, направленных на подрыв суверенитета других государств, противодействие праву других народов на самоопределение и нарушение прав человека;  с)  информацию о возможной наемнической деятельности, организованной на территории другой страны и направленной против запрашиваемого государства;  </w:t>
      </w:r>
      <w:r>
        <w:rPr>
          <w:lang w:val="en-US"/>
        </w:rPr>
        <w:t>d</w:t>
      </w:r>
      <w:r>
        <w:t xml:space="preserve">)  информацию о возможном участии наемников в совершении международно-противоправных деяний, таких, как террористические акты, создание и поддержка "эскадронов смерти" и военизированных организаций, торговля людьми и похищение людей, </w:t>
      </w:r>
      <w:proofErr w:type="spellStart"/>
      <w:r>
        <w:t>наркоторговля</w:t>
      </w:r>
      <w:proofErr w:type="spellEnd"/>
      <w:r>
        <w:t xml:space="preserve">, торговля оружием и контрабанда;  е)  информацию о действующем внутреннем законодательстве и договорах о запрещении деятельности наемников, участником которых является запрашиваемое государство;  </w:t>
      </w:r>
      <w:r>
        <w:rPr>
          <w:lang w:val="en-US"/>
        </w:rPr>
        <w:t>f</w:t>
      </w:r>
      <w:r>
        <w:t xml:space="preserve">)  предложения с целью повысить результативность обсуждения этого вопроса на международном уровне, в том числе предложения, касающиеся более четкого определения понятия "наемник";  </w:t>
      </w:r>
      <w:r>
        <w:rPr>
          <w:lang w:val="en-US"/>
        </w:rPr>
        <w:t>g</w:t>
      </w:r>
      <w:r>
        <w:t xml:space="preserve">)  информацию и мнения относительно частных агентств, предоставляющих охранные и консультативные услуги и осуществляющих военную подготовку, а также о взаимосвязи между </w:t>
      </w:r>
      <w:proofErr w:type="spellStart"/>
      <w:r>
        <w:t>наемничеством</w:t>
      </w:r>
      <w:proofErr w:type="spellEnd"/>
      <w:r>
        <w:t xml:space="preserve"> и терроризмом.</w:t>
      </w:r>
    </w:p>
    <w:p w:rsidR="00000000" w:rsidRDefault="00000000"/>
    <w:p w:rsidR="00000000" w:rsidRDefault="00000000">
      <w:r>
        <w:t>9.</w:t>
      </w:r>
      <w:r>
        <w:tab/>
        <w:t>Ответы, представленные правительствами Гватемалы, Кувейта, Малави и Молдовы, были приведены в докладе Специального докладчика по вопросу об использовании наемников Генеральной Ассамблее (А/57/178).  Впоследствии Специальный докладчик получил ответы от правительств Греции, Демократической Республики Конго, Ирландии, Канады, Кубы и Ливана.  Специальный докладчик сожалеет, что невозможно воспроизвести их, поскольку максимальный объем докладов Специального докладчика не должен превышать 10 700 слов.  Тем не менее он рекомендует государствам обратиться к Комиссии с просьбой о распространении этих ответов в качестве ее официальных документов по соответствующему пункту повестки дня.</w:t>
      </w:r>
    </w:p>
    <w:p w:rsidR="00000000" w:rsidRDefault="00000000"/>
    <w:p w:rsidR="00000000" w:rsidRDefault="00000000">
      <w:r>
        <w:t>10.</w:t>
      </w:r>
      <w:r>
        <w:tab/>
        <w:t xml:space="preserve">Вербальная нота Постоянного представительства Кубы при Отделении Организации Объединенных Наций в Женеве от 28 июня 2002 года содержит обширную и важную информацию, а также ценные замечания, которые являются существенным вкладом в осуществление мандата Специального докладчика.  Правительство Кубы сообщает, что </w:t>
      </w:r>
      <w:proofErr w:type="spellStart"/>
      <w:r>
        <w:t>наемничество</w:t>
      </w:r>
      <w:proofErr w:type="spellEnd"/>
      <w:r>
        <w:t xml:space="preserve"> было </w:t>
      </w:r>
      <w:proofErr w:type="spellStart"/>
      <w:r>
        <w:t>криминализировано</w:t>
      </w:r>
      <w:proofErr w:type="spellEnd"/>
      <w:r>
        <w:t xml:space="preserve"> на Кубе в Уголовном кодексе 1979 года, а определение </w:t>
      </w:r>
      <w:proofErr w:type="spellStart"/>
      <w:r>
        <w:t>наемничества</w:t>
      </w:r>
      <w:proofErr w:type="spellEnd"/>
      <w:r>
        <w:t xml:space="preserve"> воспроизводится в статье 119 Уголовного кодекса 1998 года, который действует в настоящее время.  Кроме того, правительство препровождает всеобъемлющую информацию относительно мер, которые оно приняло для содействия предупреждению и ликвидации международного терроризма, а также представляет систематизированный отчет о террористических актах, совершенных против Кубы с 1959 года, к которым были причастны наемники.  Деяния наемников стоили жизни 3 478 ни в чем не повинным лицам, а еще 2 099 человек стали инвалидами на всю жизнь;  кроме того, стране был причинен колоссальный материальный ущерб.</w:t>
      </w:r>
    </w:p>
    <w:p w:rsidR="00000000" w:rsidRDefault="00000000"/>
    <w:p w:rsidR="00000000" w:rsidRDefault="00000000">
      <w:r>
        <w:t>11.</w:t>
      </w:r>
      <w:r>
        <w:tab/>
        <w:t>В сообщении от 27 июня 2002 года правительство Ирландии, среди прочего, отмечает следующее:</w:t>
      </w:r>
    </w:p>
    <w:p w:rsidR="00000000" w:rsidRDefault="00000000"/>
    <w:p w:rsidR="00000000" w:rsidRDefault="00000000">
      <w:pPr>
        <w:ind w:left="567"/>
      </w:pPr>
      <w:r>
        <w:tab/>
        <w:t xml:space="preserve">"Ирландия разделяет озабоченность в отношении многих вопросов, связанных с угрозами </w:t>
      </w:r>
      <w:proofErr w:type="spellStart"/>
      <w:r>
        <w:t>наемничества</w:t>
      </w:r>
      <w:proofErr w:type="spellEnd"/>
      <w:r>
        <w:t xml:space="preserve">, которая была выражена в последнем докладе Специального докладчика.  Ирландия обеспокоена воздействием </w:t>
      </w:r>
      <w:proofErr w:type="spellStart"/>
      <w:r>
        <w:t>наемничества</w:t>
      </w:r>
      <w:proofErr w:type="spellEnd"/>
      <w:r>
        <w:t xml:space="preserve"> на продолжительность и характер вооруженных конфликтов и решительно осуждает вовлечение наемников в террористическую деятельность, где бы она ни проводилась.  Ирландия и впредь будет совместно с заинтересованными государствами активно участвовать в работе соответствующих форумов по рассмотрению путей обуздания угроз, возникающих в связи с </w:t>
      </w:r>
      <w:proofErr w:type="spellStart"/>
      <w:r>
        <w:t>наемничеством</w:t>
      </w:r>
      <w:proofErr w:type="spellEnd"/>
      <w:r>
        <w:t>".</w:t>
      </w:r>
    </w:p>
    <w:p w:rsidR="00000000" w:rsidRDefault="00000000">
      <w:pPr>
        <w:ind w:left="567"/>
      </w:pPr>
    </w:p>
    <w:p w:rsidR="00000000" w:rsidRDefault="00000000">
      <w:r>
        <w:t>12.</w:t>
      </w:r>
      <w:r>
        <w:tab/>
        <w:t xml:space="preserve">В своем письме от 30 августа 2002 года заместитель Постоянного представителя Канады при Отделении Организации Объединенных Наций в Женеве сэр </w:t>
      </w:r>
      <w:proofErr w:type="spellStart"/>
      <w:r>
        <w:t>Кристофер</w:t>
      </w:r>
      <w:proofErr w:type="spellEnd"/>
      <w:r>
        <w:t xml:space="preserve"> </w:t>
      </w:r>
      <w:proofErr w:type="spellStart"/>
      <w:r>
        <w:t>Уэстдал</w:t>
      </w:r>
      <w:proofErr w:type="spellEnd"/>
      <w:r>
        <w:t xml:space="preserve"> представил ценные сведения и замечания, среди которых уместно подчеркнуть следующее:</w:t>
      </w:r>
    </w:p>
    <w:p w:rsidR="00000000" w:rsidRDefault="00000000"/>
    <w:p w:rsidR="00000000" w:rsidRDefault="00000000">
      <w:pPr>
        <w:ind w:left="567"/>
      </w:pPr>
      <w:r>
        <w:tab/>
        <w:t>"Хотя Международная конвенция о борьбе с вербовкой, использованием, финансированием и обучением наемников вступила в силу недавно, она страдает рядом недостатков, некоторые из которых были освещены в Ваших докладах для Комиссии по правам человека.  К их числу относится весьма ограничительное определение понятий "наемник" и "</w:t>
      </w:r>
      <w:proofErr w:type="spellStart"/>
      <w:r>
        <w:t>наемничество</w:t>
      </w:r>
      <w:proofErr w:type="spellEnd"/>
      <w:r>
        <w:t>", а также отсутствие адекватных гарантий прав обвиняемых.  То, что Конвенцию ратифицировало небольшое число государств, позволяет предположить, что не одна Канада испытывает озабоченность в связи с этим договором.</w:t>
      </w:r>
    </w:p>
    <w:p w:rsidR="00000000" w:rsidRDefault="00000000">
      <w:pPr>
        <w:ind w:left="567"/>
      </w:pPr>
    </w:p>
    <w:p w:rsidR="00000000" w:rsidRDefault="00000000">
      <w:pPr>
        <w:ind w:left="567"/>
      </w:pPr>
      <w:r>
        <w:tab/>
        <w:t>Учитывая важное правозащитное измерение этой проблемы, мы полагаем, что логично использовать Комиссию по правам человека в качестве форума для разработки механизма более эффективного международного реагирования, которое, как Вы ранее предлагали, могло бы включать стремление к совершенствованию Конвенции.  […]  Как Вы отмечали в ряде Ваших докладов, деятельность частных военных компаний имеет широкие последствия для всего спектра прав человека".</w:t>
      </w:r>
    </w:p>
    <w:p w:rsidR="00000000" w:rsidRDefault="00000000">
      <w:pPr>
        <w:ind w:left="567"/>
      </w:pPr>
    </w:p>
    <w:p w:rsidR="00000000" w:rsidRDefault="00000000">
      <w:r>
        <w:t>13.</w:t>
      </w:r>
      <w:r>
        <w:tab/>
        <w:t>В своем письме от 23 мая 2002 года советник по политическим вопросам Постоянного представительства Соединенных Штатов Америки при Отделении Организации Объединенных Наций в Женеве г</w:t>
      </w:r>
      <w:r>
        <w:noBreakHyphen/>
        <w:t>жа </w:t>
      </w:r>
      <w:proofErr w:type="spellStart"/>
      <w:r>
        <w:t>Черил</w:t>
      </w:r>
      <w:proofErr w:type="spellEnd"/>
      <w:r>
        <w:t xml:space="preserve"> Дж. Сим проинформировала Специального докладчика о том, что ее правительство повторно пригласило его посетить Соединенные Штаты и предложило наметить эту поездку на конец января 2003 года.  Специальный докладчик вновь выразил свою благодарность за приглашение и отметил, что, как он надеется, он сможет посетить Соединенные Штаты, в частности Вашингтон, округ Колумбия, и штаты Флорида и Нью-Йорк, в конце мая 2003 года.  Эта поездка позволила бы ему обсудить с государственными властями и представителями академических и неправительственных кругов связь между наемниками и терроризмом и между </w:t>
      </w:r>
      <w:proofErr w:type="spellStart"/>
      <w:r>
        <w:t>наемничеством</w:t>
      </w:r>
      <w:proofErr w:type="spellEnd"/>
      <w:r>
        <w:t xml:space="preserve"> и торговлей людьми, оружием и наркотиками, а также использование наемников организациями находящихся в изгнании лиц, которые преследуют цели свержения правительств в своих собственных странах.</w:t>
      </w:r>
    </w:p>
    <w:p w:rsidR="00000000" w:rsidRDefault="00000000"/>
    <w:p w:rsidR="00000000" w:rsidRDefault="00000000">
      <w:pPr>
        <w:jc w:val="center"/>
        <w:rPr>
          <w:b/>
          <w:bCs/>
        </w:rPr>
      </w:pPr>
      <w:r>
        <w:rPr>
          <w:b/>
          <w:bCs/>
        </w:rPr>
        <w:t>II.</w:t>
      </w:r>
      <w:r>
        <w:rPr>
          <w:b/>
          <w:bCs/>
        </w:rPr>
        <w:tab/>
        <w:t>ВТОРОЕ СОВЕЩАНИЕ ЭКСПЕРТОВ</w:t>
      </w:r>
    </w:p>
    <w:p w:rsidR="00000000" w:rsidRDefault="00000000">
      <w:pPr>
        <w:jc w:val="center"/>
        <w:rPr>
          <w:b/>
          <w:bCs/>
        </w:rPr>
      </w:pPr>
    </w:p>
    <w:p w:rsidR="00000000" w:rsidRDefault="00000000">
      <w:r>
        <w:t>14.</w:t>
      </w:r>
      <w:r>
        <w:tab/>
        <w:t xml:space="preserve">В соответствии с резолюцией 56/232 Генеральной Ассамблеи и резолюцией 2002/5 Комиссии по правам человека Управление Верховного комиссара Организации Объединенных Наций по правам человека организовало второе совещание экспертов по теме </w:t>
      </w:r>
      <w:proofErr w:type="spellStart"/>
      <w:r>
        <w:t>наемничества</w:t>
      </w:r>
      <w:proofErr w:type="spellEnd"/>
      <w:r>
        <w:t xml:space="preserve"> в целях рассмотрения различных форм современного </w:t>
      </w:r>
      <w:proofErr w:type="spellStart"/>
      <w:r>
        <w:t>наемничества</w:t>
      </w:r>
      <w:proofErr w:type="spellEnd"/>
      <w:r>
        <w:t xml:space="preserve"> и внесения вклада в актуализацию юридического определения понятия "наемник".</w:t>
      </w:r>
    </w:p>
    <w:p w:rsidR="00000000" w:rsidRDefault="00000000"/>
    <w:p w:rsidR="00000000" w:rsidRDefault="00000000">
      <w:r>
        <w:t>15.</w:t>
      </w:r>
      <w:r>
        <w:tab/>
        <w:t>Это совещание было проведено в Женеве 13</w:t>
      </w:r>
      <w:r>
        <w:noBreakHyphen/>
        <w:t xml:space="preserve">17 мая 2002 года с участием девяти приглашенных экспертов, представляющих различные географические регионы и правовые системы, а также Специального докладчика.  В работе совещания участвовали эксперты </w:t>
      </w:r>
      <w:proofErr w:type="spellStart"/>
      <w:r>
        <w:t>Чалока</w:t>
      </w:r>
      <w:proofErr w:type="spellEnd"/>
      <w:r>
        <w:t xml:space="preserve"> </w:t>
      </w:r>
      <w:proofErr w:type="spellStart"/>
      <w:r>
        <w:t>Бейани</w:t>
      </w:r>
      <w:proofErr w:type="spellEnd"/>
      <w:r>
        <w:t xml:space="preserve"> (Замбия), Эрик Давид (Бельгия), Воин </w:t>
      </w:r>
      <w:proofErr w:type="spellStart"/>
      <w:r>
        <w:t>Димитриевич</w:t>
      </w:r>
      <w:proofErr w:type="spellEnd"/>
      <w:r>
        <w:t xml:space="preserve"> (Югославия), </w:t>
      </w:r>
      <w:proofErr w:type="spellStart"/>
      <w:r>
        <w:t>Сильвия</w:t>
      </w:r>
      <w:proofErr w:type="spellEnd"/>
      <w:r>
        <w:t xml:space="preserve"> </w:t>
      </w:r>
      <w:proofErr w:type="spellStart"/>
      <w:r>
        <w:t>Фернандес</w:t>
      </w:r>
      <w:proofErr w:type="spellEnd"/>
      <w:r>
        <w:t xml:space="preserve"> де </w:t>
      </w:r>
      <w:proofErr w:type="spellStart"/>
      <w:r>
        <w:t>Гурменди</w:t>
      </w:r>
      <w:proofErr w:type="spellEnd"/>
      <w:r>
        <w:t xml:space="preserve"> (Аргентина), </w:t>
      </w:r>
      <w:proofErr w:type="spellStart"/>
      <w:r>
        <w:t>Франсуаза</w:t>
      </w:r>
      <w:proofErr w:type="spellEnd"/>
      <w:r>
        <w:t xml:space="preserve"> </w:t>
      </w:r>
      <w:proofErr w:type="spellStart"/>
      <w:r>
        <w:t>Хэмпсон</w:t>
      </w:r>
      <w:proofErr w:type="spellEnd"/>
      <w:r>
        <w:t xml:space="preserve"> (Соединенное Королевство Великобритании и Северной Ирландии), Ольга </w:t>
      </w:r>
      <w:proofErr w:type="spellStart"/>
      <w:r>
        <w:t>Миранда</w:t>
      </w:r>
      <w:proofErr w:type="spellEnd"/>
      <w:r>
        <w:t xml:space="preserve"> Браво (Куба), </w:t>
      </w:r>
      <w:proofErr w:type="spellStart"/>
      <w:r>
        <w:t>Арпад</w:t>
      </w:r>
      <w:proofErr w:type="spellEnd"/>
      <w:r>
        <w:t xml:space="preserve"> </w:t>
      </w:r>
      <w:proofErr w:type="spellStart"/>
      <w:r>
        <w:t>Прандлер</w:t>
      </w:r>
      <w:proofErr w:type="spellEnd"/>
      <w:r>
        <w:t xml:space="preserve"> (Венгрия), И.А. </w:t>
      </w:r>
      <w:proofErr w:type="spellStart"/>
      <w:r>
        <w:t>Рехман</w:t>
      </w:r>
      <w:proofErr w:type="spellEnd"/>
      <w:r>
        <w:t xml:space="preserve"> (Пакистан) и Мартин </w:t>
      </w:r>
      <w:proofErr w:type="spellStart"/>
      <w:r>
        <w:t>Шёнтейх</w:t>
      </w:r>
      <w:proofErr w:type="spellEnd"/>
      <w:r>
        <w:t xml:space="preserve"> (Южная Африка).  На совещании председательствовала </w:t>
      </w:r>
      <w:proofErr w:type="spellStart"/>
      <w:r>
        <w:t>Сильвия</w:t>
      </w:r>
      <w:proofErr w:type="spellEnd"/>
      <w:r>
        <w:t xml:space="preserve"> </w:t>
      </w:r>
      <w:proofErr w:type="spellStart"/>
      <w:r>
        <w:t>Фернандес</w:t>
      </w:r>
      <w:proofErr w:type="spellEnd"/>
      <w:r>
        <w:t xml:space="preserve"> де </w:t>
      </w:r>
      <w:proofErr w:type="spellStart"/>
      <w:r>
        <w:t>Гурменди</w:t>
      </w:r>
      <w:proofErr w:type="spellEnd"/>
      <w:r>
        <w:t xml:space="preserve">, а </w:t>
      </w:r>
      <w:proofErr w:type="spellStart"/>
      <w:r>
        <w:t>Чалока</w:t>
      </w:r>
      <w:proofErr w:type="spellEnd"/>
      <w:r>
        <w:t xml:space="preserve"> </w:t>
      </w:r>
      <w:proofErr w:type="spellStart"/>
      <w:r>
        <w:t>Бейани</w:t>
      </w:r>
      <w:proofErr w:type="spellEnd"/>
      <w:r>
        <w:t xml:space="preserve"> выполнял обязанности докладчика.  В качестве наблюдателя в работе участвовал представитель Международного комитета Красного Креста (</w:t>
      </w:r>
      <w:proofErr w:type="spellStart"/>
      <w:r>
        <w:t>МККК</w:t>
      </w:r>
      <w:proofErr w:type="spellEnd"/>
      <w:r>
        <w:t xml:space="preserve">).  На совещании были проанализированы аспекты недавних событий, связанных с деятельностью наемников;  мандат Специального докладчика;  </w:t>
      </w:r>
      <w:proofErr w:type="spellStart"/>
      <w:r>
        <w:t>криминализация</w:t>
      </w:r>
      <w:proofErr w:type="spellEnd"/>
      <w:r>
        <w:t xml:space="preserve"> </w:t>
      </w:r>
      <w:proofErr w:type="spellStart"/>
      <w:r>
        <w:t>наемничества</w:t>
      </w:r>
      <w:proofErr w:type="spellEnd"/>
      <w:r>
        <w:t xml:space="preserve"> или уголовные санкции в его отношении;  определение понятия "наемник";  ответственность государств за деятельность наемников;  взаимосвязь между </w:t>
      </w:r>
      <w:proofErr w:type="spellStart"/>
      <w:r>
        <w:t>наемничеством</w:t>
      </w:r>
      <w:proofErr w:type="spellEnd"/>
      <w:r>
        <w:t xml:space="preserve"> и терроризмом;  а также регламентирование деятельности частных компаний, оказывающих военную помощь и консультативные услуги.  Был проведен подробный анализ законодательства Бельгии и Южной Африки, а также статьи 47 Дополнительного протокола </w:t>
      </w:r>
      <w:proofErr w:type="spellStart"/>
      <w:r>
        <w:t>I</w:t>
      </w:r>
      <w:proofErr w:type="spellEnd"/>
      <w:r>
        <w:t xml:space="preserve"> к Женевским конвенциям 1949 года, касающегося защиты жертв международных вооруженных конфликтов, и положений Международной конвенции о борьбе с вербовкой, использованием, финансированием и обучением наемников.</w:t>
      </w:r>
    </w:p>
    <w:p w:rsidR="00000000" w:rsidRDefault="00000000"/>
    <w:p w:rsidR="00000000" w:rsidRDefault="00000000">
      <w:r>
        <w:t>16.</w:t>
      </w:r>
      <w:r>
        <w:tab/>
        <w:t>Особое внимание было уделено анализу определения понятия "наемник" с учетом аспектов, касающихся правовых рамок этого вопроса и трудностей, возникающих в связи с рассмотрением различных проявлений, в которых присутствует компонент наемничества.  Учитывая разнообразие вопросов, затронутых в ходе прений, и спорный характер обсуждаемой темы, консенсуса относительно юридического определения понятия "наемник" достигнуто не было, особенно по составляющим его элементам, отношению, которого заслуживает этот вопрос на международном уровне, и различным противоправным деяниям, которые уже рассматривались в целях классификации преступлений, совершаемых наемниками.  Однако Специальный докладчик рассмотрит эти элементы в рамках собственного анализа и предложения относительного определения понятия "наемник", которое будет представлено Комиссии на ее шестидесятой сессии.</w:t>
      </w:r>
    </w:p>
    <w:p w:rsidR="00000000" w:rsidRDefault="00000000"/>
    <w:p w:rsidR="00000000" w:rsidRDefault="00000000">
      <w:pPr>
        <w:pStyle w:val="10"/>
        <w:rPr>
          <w:bCs/>
        </w:rPr>
      </w:pPr>
      <w:r>
        <w:rPr>
          <w:bCs/>
        </w:rPr>
        <w:t>III.</w:t>
      </w:r>
      <w:r>
        <w:rPr>
          <w:bCs/>
        </w:rPr>
        <w:tab/>
        <w:t>ИЗМЕНЕНИЯ В ЮРИДИЧЕСКОМ ОПРЕДЕЛЕНИИ ПОНЯТИЯ "НАЕМНИК"</w:t>
      </w:r>
    </w:p>
    <w:p w:rsidR="00000000" w:rsidRDefault="00000000">
      <w:pPr>
        <w:pStyle w:val="10"/>
        <w:rPr>
          <w:bCs/>
        </w:rPr>
      </w:pPr>
    </w:p>
    <w:p w:rsidR="00000000" w:rsidRDefault="00000000">
      <w:r>
        <w:t>17.</w:t>
      </w:r>
      <w:r>
        <w:tab/>
        <w:t>Специальный докладчик занимается этим вопросом по четкому предписанию Генеральной Ассамблеи и Комиссии по правам человека, которые поручили ему изучить вопрос о разработке такого юридического определения понятия "наемник", которое было бы более точным и в большей степени отражало бы многие аспекты противоправной деятельности наемников.  Хотя Специальный докладчик при выполнении своего мандата ссылался на действия наемников в вооруженных конфликтах, фактически в его исследовании освещаются самые разнообразные виды преступной деятельности, общим элементом которых является использование наемников.</w:t>
      </w:r>
    </w:p>
    <w:p w:rsidR="00000000" w:rsidRDefault="00000000"/>
    <w:p w:rsidR="00000000" w:rsidRDefault="00000000">
      <w:r>
        <w:t>18.</w:t>
      </w:r>
      <w:r>
        <w:tab/>
        <w:t>Реальное положение вещей, которое характеризуется различными проявлениями наемничества, состояло именно в этом, и жесткие ограничения определений не в полной мере отражают сложный характер этого явления, что отразилось в изменениях в мандате Специального докладчика, которые можно наблюдать в его очередных периодически представляемых докладах, в которые постепенно включались такие проявления наемничества, которые являются новыми, но по своему вредоносному потенциалу столь же опасными, как его традиционные виды, отмечавшиеся в 50</w:t>
      </w:r>
      <w:r>
        <w:noBreakHyphen/>
        <w:t>х и 60</w:t>
      </w:r>
      <w:r>
        <w:noBreakHyphen/>
        <w:t>х годах ХХ века.</w:t>
      </w:r>
    </w:p>
    <w:p w:rsidR="00000000" w:rsidRDefault="00000000"/>
    <w:p w:rsidR="00000000" w:rsidRDefault="00000000">
      <w:r>
        <w:t>19.</w:t>
      </w:r>
      <w:r>
        <w:tab/>
        <w:t>Факты, пунктуально фиксируемые в докладах Специального докладчика, свидетельствуют о том, что наемники причастны к следующим действиям:  участие в вооруженных конфликтах, как внутренних, так и международных;  целенаправленные покушения на жизнь политических деятелей;  акты саботажа и организация внутренних беспорядков;  тайные операции, проводимые в интересах оплачивающих их субъектов или по заданию держав, которые таким образом маскируют свою интервенцию в государствах, чьи правительства они стремятся дестабилизировать;  действия, подрывающие конституционные основы государств;  участие в террористической деятельности;  участие в нелегальной торговле любого рода, особенно людьми, оружием, наркотиками, драгоценными камнями и полезными ископаемыми;  участие в обучении военному делу;  действия, подрывающие государственную безопасность и экономику государств;  и наконец, наем на службу в частные компании, которые занимаются деятельностью различного характера, но в основном предлагают охранные услуги и военную помощь.  Этот длинный перечень отнюдь не сводится к использованию наемников как средству противодействия осуществлению права народов на самоопределение.</w:t>
      </w:r>
    </w:p>
    <w:p w:rsidR="00000000" w:rsidRDefault="00000000"/>
    <w:p w:rsidR="00000000" w:rsidRDefault="00000000">
      <w:r>
        <w:t>20.</w:t>
      </w:r>
      <w:r>
        <w:tab/>
        <w:t>Такое разнообразие и многообразие наемничества объясняется не только отражением международного спроса на этот вид деятельности, но и отсутствием адекватного юридического определения понятия "наемник" и его адекватного юридического толкования как в международных договорах, так и в законах различных стран.  Общей чертой многих деяний наемников является их безнаказанность, поскольку в правовых нормах отсутствуют специальные категории, позволяющие судить их за то, кем они в действительности являются - лицами, нанятыми  для совершения различных преступлений.</w:t>
      </w:r>
    </w:p>
    <w:p w:rsidR="00000000" w:rsidRDefault="00000000"/>
    <w:p w:rsidR="00000000" w:rsidRDefault="00000000">
      <w:r>
        <w:t>21.</w:t>
      </w:r>
      <w:r>
        <w:tab/>
        <w:t>В отношении этого аспекта Специальный докладчик сослался в предыдущих докладах на проблемы в связи с определением, которое содержится в статье 47 Дополнительного протокола I к Женевским конвенциям 1949 года.  Вместе с тем следует отметить, что цель этого положения состоит не в юридическом определении понятия "наемник", а в его конкретизации с целью исключить в отношении наемников обращение, которым должны пользоваться военнопленные.</w:t>
      </w:r>
    </w:p>
    <w:p w:rsidR="00000000" w:rsidRDefault="00000000"/>
    <w:p w:rsidR="00000000" w:rsidRDefault="00000000">
      <w:r>
        <w:t>22.</w:t>
      </w:r>
      <w:r>
        <w:tab/>
        <w:t>Специальный докладчик настоятельно призывает включить в любое новое определение понятия "наемник" следующие элементы:</w:t>
      </w:r>
    </w:p>
    <w:p w:rsidR="00000000" w:rsidRDefault="00000000"/>
    <w:p w:rsidR="00000000" w:rsidRDefault="00000000">
      <w:r>
        <w:tab/>
        <w:t>а)</w:t>
      </w:r>
      <w:r>
        <w:tab/>
        <w:t>экономический стимул, критерий наживы и получения материального вознаграждения или наличие личной выгоды как причина участия в вооруженном конфликте или в насильственных действиях.  Такие мотивы отсутствуют у призывников и новобранцев, набираемых для прохождения обязательной воинской службы;  у невоеннообязанных граждан, вступающих в ряды регулярных вооруженных сил для защиты и обороны родины в качестве добровольцев;  а также у иностранцев, которыми движут гуманитарные, идеологические, политические или религиозные убеждения.  Представляется неправомерным квалифицировать в качестве наемников иностранцев, которые прибыли в Испанию для защиты республиканского правительства без какой бы то ни было личной для себя выгоды, или иностранцев, которые принимали участие в борьбе союзных сил с фашистскими режимами Европы во время второй мировой войны;</w:t>
      </w:r>
    </w:p>
    <w:p w:rsidR="00000000" w:rsidRDefault="00000000"/>
    <w:p w:rsidR="00000000" w:rsidRDefault="00000000">
      <w:r>
        <w:tab/>
        <w:t>b)</w:t>
      </w:r>
      <w:r>
        <w:tab/>
        <w:t>наемник не входит в личный состав вооруженных сил воюющей стороны или государства, на территории которого совершаются акты насилия.  Этот элемент не охватывает иностранцев из числа служащих специальных  передовых подразделений или иностранных легионов, которые вступили в ряды регулярной армии в качестве регулярных членов в соответствии с официальной процедурой, аналогичной процедуре, в соответствии с которой иностранец запрашивает и приобретает гражданство другой страны;</w:t>
      </w:r>
    </w:p>
    <w:p w:rsidR="00000000" w:rsidRDefault="00000000"/>
    <w:p w:rsidR="00000000" w:rsidRDefault="00000000">
      <w:r>
        <w:tab/>
        <w:t>с)</w:t>
      </w:r>
      <w:r>
        <w:tab/>
        <w:t>факт вербовки и найма для целей участия в вооруженном конфликте в качестве действующего комбатанта или в боевых, подрывных или террористических акциях в качестве активного их участника.  Под этот критерий не подпадают военные консультанты или советники;</w:t>
      </w:r>
    </w:p>
    <w:p w:rsidR="00000000" w:rsidRDefault="00000000"/>
    <w:p w:rsidR="00000000" w:rsidRDefault="00000000">
      <w:r>
        <w:tab/>
        <w:t>d)</w:t>
      </w:r>
      <w:r>
        <w:tab/>
        <w:t>факт иностранного гражданства (в качестве общего правила), т.е. отсутствие у соответствующего лица гражданства страны, за которую он воюет;  данный критерий распространяется на лиц, не являющихся жителями какой-либо территории, контролируемой той или иной стороной конфликта или государством, против которого это лицо совершает сопряженные с насилием действия;  и</w:t>
      </w:r>
    </w:p>
    <w:p w:rsidR="00000000" w:rsidRDefault="00000000"/>
    <w:p w:rsidR="00000000" w:rsidRDefault="00000000">
      <w:r>
        <w:tab/>
        <w:t>е)</w:t>
      </w:r>
      <w:r>
        <w:tab/>
        <w:t xml:space="preserve">денежное вознаграждение в качестве элемента, определяющего характер и условия действий;  этот критерий носит объективный и доказуемый характер.  Вместе с тем, согласно действующим международным договорам, такое материальное вознаграждение должно существенно превышать вознаграждение, обещанное или выплачиваемое военнослужащим регулярных вооруженных сил такого же ранга, звания или статуса.  </w:t>
      </w:r>
    </w:p>
    <w:p w:rsidR="00000000" w:rsidRDefault="00000000"/>
    <w:p w:rsidR="00000000" w:rsidRDefault="00000000">
      <w:r>
        <w:t>23.</w:t>
      </w:r>
      <w:r>
        <w:tab/>
        <w:t>В целом эти элементы были отражены в статье 47 Дополнительного протокола I к Женевским конвенциям 1949 года и в Международной конвенции.  Следует отметить, что по своему характеру эти элементы являются кумулятивными;  иными словами, недостаточно наличия одного из них, а необходимо, чтобы они присутствовали все.  Поэтому квалификация какого-либо лица в качестве наемника является непростым делом.  И это затруднение мешает осуществлению законного права на привлечение к ответственности и наказание наемников.</w:t>
      </w:r>
    </w:p>
    <w:p w:rsidR="00000000" w:rsidRDefault="00000000"/>
    <w:p w:rsidR="00000000" w:rsidRDefault="00000000">
      <w:r>
        <w:t>24.</w:t>
      </w:r>
      <w:r>
        <w:tab/>
        <w:t xml:space="preserve">Что касается изыскания формулы, которая позволяет достичь широкого консенсуса, то, как представляется, цель, мотивировка и стимул являются теми элементами, которые проще всего идентифицировать в поведении лица, занимающегося наемничеством, и которые к тому же наличествуют в различных противоправных проявлениях с участием наемников.  Они особенно фигурируют в незаконных действиях, для совершения которых предоставляют свои услуги наемники.  Наемник выступает в качестве квалифицированного специалиста, но его квалификация поставлена на службу преступным целям.  </w:t>
      </w:r>
    </w:p>
    <w:p w:rsidR="00000000" w:rsidRDefault="00000000"/>
    <w:p w:rsidR="00000000" w:rsidRDefault="00000000">
      <w:r>
        <w:t>25.</w:t>
      </w:r>
      <w:r>
        <w:tab/>
        <w:t xml:space="preserve">Еще один элемент, который необходимо рассмотреть, состоит в том, является ли условие иностранной гражданской принадлежности существенно важным для юридического определения понятия "наемник".  Эта тема активно обсуждается.  Возникает проблема граждан той или иной страны, которые предпринимают действия против своей родины в обмен на вознаграждение от какой-либо державы или зарубежной организации.  Если таких граждан нанимают с явным намерением использовать их в качестве наемников и на основании их гражданского статуса завуалировать использование таких лиц специально для этой цели, тогда в этой норме следовало бы не принимать во внимание гражданство и подчеркнуть наемнический характер деяний.  Исходя из этого возникает необходимость пересмотреть и глубже проанализировать вопрос о требовании в отношении того, чтобы наемник не имел гражданства страны, которую затрагивает его деятельность, с тем чтобы характер и конечная цель незаконных деяний, к которым причастен субъект, приобрели в определении бόльшую весомость.  С другой стороны, если иностранное гражданство является необходимым элементом или условием, без которого лицо не будет рассматриваться в качестве наемника, то ему достаточно приобрести гражданство страны, с которой оно воюет, чтобы уже не считаться наемником.  Специальный докладчик смог лично убедиться в этом во время его поездок в страны, ранее входившие в состав бывшей Югославии.  </w:t>
      </w:r>
    </w:p>
    <w:p w:rsidR="00000000" w:rsidRDefault="00000000"/>
    <w:p w:rsidR="00000000" w:rsidRDefault="00000000">
      <w:r>
        <w:t>26.</w:t>
      </w:r>
      <w:r>
        <w:tab/>
        <w:t xml:space="preserve">На обоих совещаниях экспертов по вопросу о наемниках, в работе которых участвовал Специальный докладчик, вносились важные предложения относительно юридического определения понятия "наемник", которые следовало бы учесть в процессе пересмотра и официального утверждения нового определения.  Безусловно, необходимо было бы внести такое изменение в Международную конвенцию о борьбе с вербовкой, использованием, финансированием и обучением наемников, которая в своей статье 1 содержит определение термина "наемник".  Это определение, хотя и расширяет смысл понятия, содержащегося в статье 47 Дополнительного протокола I к Женевским конвенциям 1949 года, не является вполне удовлетворительным, как и не содержит элементов, позволяющих недвусмысленно квалифицировать наемников.  Поэтому доклад о работе второго совещания экспертов Комиссии содержит в приложении проект поправок к определению, приведенному в Международной конвенции.  Этот текст, хотя и не получил консенсусного одобрения группы экспертов и не является ее официальным предложением, содержит ряд элементов, которые были предложены одним из экспертов, участвовавших в работе совещания, и, как можно надеяться, станут основой для обсуждения в целях внесения в них уточнений.  </w:t>
      </w:r>
    </w:p>
    <w:p w:rsidR="00000000" w:rsidRDefault="00000000"/>
    <w:p w:rsidR="00000000" w:rsidRDefault="00000000">
      <w:r>
        <w:t>27.</w:t>
      </w:r>
      <w:r>
        <w:tab/>
        <w:t>Так, предлагается включить такие дополнительные категории, как деяния, связанные с организованной преступностью, терроризмом, незаконной торговлей, взятием заложников и покушениями на лиц, находящихся под международной защитой.  Важное значение имеют также прения о том, так ли необходимо включать элемент гражданства или иностранного статуса наемника.  По этому аспекту можно выделить две четкие позиции:  первая состоит в том, что статус иностранного гражданства является в определении понятия "наемник" элементом, относящимся к существу вопроса;  вторая, - чтобы предполагать его элементом, не имеющим значимости, поскольку существенным и гораздо более важным элементом является определение мотивов и критерия личной выгоды.  С другой стороны, на совещании было предложено квалифицировать в качестве преступлений ряд видов деятельности наемников, запрещенных по международному праву.  Параллельно состоялось обсуждение относительно того, следует ли для борьбы с наемничеством использовать определение субъекта, т.е. наемника, или же ограничиться квалификацией в качестве преступлений противозаконных деяний как таковых.</w:t>
      </w:r>
    </w:p>
    <w:p w:rsidR="00000000" w:rsidRDefault="00000000"/>
    <w:p w:rsidR="00000000" w:rsidRDefault="00000000">
      <w:r>
        <w:t>28.</w:t>
      </w:r>
      <w:r>
        <w:tab/>
        <w:t xml:space="preserve">Как явствует из вышеизложенного, были сделаны существенные шаги к разработке нового юридического определения понятия "наемник", среди которых выделяются предложения, внесенные участниками различных форумов и специалистами, с тем чтобы содействовать проведению дискуссии, прежде всего отражающей мнение государств, для внесения поправок в определение, которое содержится в Международной конвенции.  Основой для такого пересмотра и обновления могли бы стать содержательные и предметные исследования Докладчика, доклады о работе обоих совещаний экспертов и других форумов, проведенных как на национальном, так и на международном уровне.  </w:t>
      </w:r>
    </w:p>
    <w:p w:rsidR="00000000" w:rsidRDefault="00000000"/>
    <w:p w:rsidR="00000000" w:rsidRDefault="00000000">
      <w:pPr>
        <w:pStyle w:val="Heading1"/>
        <w:rPr>
          <w:bCs/>
          <w:kern w:val="0"/>
        </w:rPr>
      </w:pPr>
      <w:proofErr w:type="spellStart"/>
      <w:r>
        <w:rPr>
          <w:bCs/>
          <w:kern w:val="0"/>
        </w:rPr>
        <w:t>IV</w:t>
      </w:r>
      <w:proofErr w:type="spellEnd"/>
      <w:r>
        <w:rPr>
          <w:bCs/>
          <w:kern w:val="0"/>
        </w:rPr>
        <w:t>.</w:t>
      </w:r>
      <w:r>
        <w:rPr>
          <w:bCs/>
          <w:kern w:val="0"/>
        </w:rPr>
        <w:tab/>
        <w:t>НЫНЕШНЕЕ ПОЛОЖЕНИЕ В СВЯЗИ С ДЕЯТЕЛЬНОСТЬЮ НАЕМНИКОВ</w:t>
      </w:r>
    </w:p>
    <w:p w:rsidR="00000000" w:rsidRDefault="00000000"/>
    <w:p w:rsidR="00000000" w:rsidRDefault="00000000">
      <w:r>
        <w:t>29.</w:t>
      </w:r>
      <w:r>
        <w:tab/>
        <w:t>В 2002 году какого-либо спада в деятельности, квалифицируемой в качестве наемничества, не отмечалось.  Участие наемников в вооруженных конфликтах различного характера продолжалось и даже расширилось.  Можно также отметить, что их причастность к различным противоправным проявлениям стала еще более многогранной.  Вопреки надеждам, международные меры по борьбе с наемничеством остаются неэффективными.  В настоящей главе основное внимание уделено проблемам, связанным с присутствием наемников в Африке</w:t>
      </w:r>
      <w:r>
        <w:rPr>
          <w:lang w:val="en-US"/>
        </w:rPr>
        <w:t>,</w:t>
      </w:r>
      <w:r>
        <w:t xml:space="preserve"> и преступной взаимосвязи между наемничеством и терроризмом.  </w:t>
      </w:r>
    </w:p>
    <w:p w:rsidR="00000000" w:rsidRDefault="00000000"/>
    <w:p w:rsidR="00000000" w:rsidRDefault="00000000">
      <w:pPr>
        <w:pStyle w:val="Heading1"/>
        <w:rPr>
          <w:bCs/>
        </w:rPr>
      </w:pPr>
      <w:r>
        <w:rPr>
          <w:bCs/>
        </w:rPr>
        <w:t>А.</w:t>
      </w:r>
      <w:r>
        <w:rPr>
          <w:bCs/>
        </w:rPr>
        <w:tab/>
        <w:t>Деятельность наемников в Африке</w:t>
      </w:r>
    </w:p>
    <w:p w:rsidR="00000000" w:rsidRDefault="00000000">
      <w:pPr>
        <w:pStyle w:val="Heading1"/>
        <w:rPr>
          <w:bCs/>
        </w:rPr>
      </w:pPr>
    </w:p>
    <w:p w:rsidR="00000000" w:rsidRDefault="00000000">
      <w:r>
        <w:t>30.</w:t>
      </w:r>
      <w:r>
        <w:tab/>
        <w:t xml:space="preserve">Спустя 15 лет после учреждения поста Специального докладчика по вопросу об использовании наемников как средстве нарушения прав человека и противодействия осуществлению права народов на самоопределение многие народы Африки так и не изведали мирной жизни.  Во многих частях континента вооруженные конфликты, в том числе регионального масштаба, уносят жизни сотен и тысяч африканцев.  Многие такие конфликты протекают с участием наемников, будь то на основе контрактов о вербовке, военном инструктаже, прямом участии в боевых действиях или посредством их вовлечения в различные формы незаконной торговли, широко распространенной в зонах, затронутых вооруженными конфликтами.  </w:t>
      </w:r>
    </w:p>
    <w:p w:rsidR="00000000" w:rsidRDefault="00000000"/>
    <w:p w:rsidR="00000000" w:rsidRDefault="00000000">
      <w:r>
        <w:t>31.</w:t>
      </w:r>
      <w:r>
        <w:tab/>
        <w:t>Хотя на континенте и отмечались некоторые позитивные признаки, к числу которых относятся недавнее соглашение о прекращении огня в Анголе;  мирное соглашение между правительствами Демократической Республики Конго и Руанды, подписанное в Претории 30 июля 2002 года;  перемирие, достигнутое в Судане, и проведение президентских выборов и выборов в законодательное собрание Сьерра-Леоне, в других его частях продолжались процессы социально-политического разложения, сопровождавшиеся вооруженным противоборством.  Шаткий процесс формирования национального государства продолжал усугубляться тяжелыми ситуациями, среди которых следует упомянуть глубокие кризисы, связанные с отсутствием политической стабильности, и отчаянную борьбу за контроль над залежами нефти, полезных ископаемых и других ценных природных ресурсов.  Ведутся войны за контроль над месторождениями алмазов.</w:t>
      </w:r>
    </w:p>
    <w:p w:rsidR="00000000" w:rsidRDefault="00000000"/>
    <w:p w:rsidR="00000000" w:rsidRDefault="00000000">
      <w:r>
        <w:t>32.</w:t>
      </w:r>
      <w:r>
        <w:tab/>
        <w:t xml:space="preserve">Осуществлению права африканских народов на самоопределение препятствует большое число вооруженных конфликтов с участием наемников.  Таким же образом ущемляется суверенитет этих народов над их природными ресурсами и суверенное право осуществлять их рациональную добычу.  </w:t>
      </w:r>
    </w:p>
    <w:p w:rsidR="00000000" w:rsidRDefault="00000000"/>
    <w:p w:rsidR="00000000" w:rsidRDefault="00000000">
      <w:r>
        <w:t>33.</w:t>
      </w:r>
      <w:r>
        <w:tab/>
        <w:t xml:space="preserve">Специальный докладчик особенно обеспокоен участием наемников в боях в Кот-д'Ивуаре на стороне мятежных сил.  Как известно, мятеж вспыхнул 19 сентября 2002 года, когда в Абиджане, Буаке и Корого взбунтовались примерно 750 военнослужащих, открыв стрельбу в знак протеста против планов правительства президента Лорана </w:t>
      </w:r>
      <w:proofErr w:type="spellStart"/>
      <w:r>
        <w:t>Гбагбо</w:t>
      </w:r>
      <w:proofErr w:type="spellEnd"/>
      <w:r>
        <w:t xml:space="preserve">, реформировать вооруженные силы и демобилизовать тысячи военнослужащих в целях создания более эффективной армии.  В ходе столкновений погиб министр внутренних дел Эмиль Бога, а министр по делам спорта был похищен в Буаке.  Против иммигрантов из Буркина-Фасо были выдвинуты обвинения в поддержке мятежников, а их дома были преданы огню.  1 октября 2002 года мятежники захватили город Буна вблизи границы с Ганой и Буркина-Фасо.  До этого они взяли Конг.  К моменту подготовки настоящего доклада в результате мятежа погибло уже 300 человек и сотни людей были ранены.    </w:t>
      </w:r>
    </w:p>
    <w:p w:rsidR="00000000" w:rsidRDefault="00000000"/>
    <w:p w:rsidR="00000000" w:rsidRDefault="00000000">
      <w:r>
        <w:t>34.</w:t>
      </w:r>
      <w:r>
        <w:tab/>
        <w:t xml:space="preserve">В апреле 2002 года возобновились вооруженные столкновения на Коморских Островах, расположенных в юго-западной части Индийского океана.  Президент страны полковник Азали Ассумани отразил агрессию и приказал вооруженным силам занять в столице страны, городе </w:t>
      </w:r>
      <w:proofErr w:type="spellStart"/>
      <w:r>
        <w:t>Морони</w:t>
      </w:r>
      <w:proofErr w:type="spellEnd"/>
      <w:r>
        <w:t>, основные государственные учреждения, порт, аэропорт и таможенные службы.  За четыре месяца до этого, в декабре 2001 года, группа белых наемников, лица которых были скрыты под капюшонами, высадилась на острове Мохели, распространив листовки, в которых они обвиняли президента в сотрудничестве с террористами и заявляли, что они прибыли для совершения государственного переворота в целях защиты населения.  За 26 лет своего суверенитета и независимости Коморские Острова несколько раз подвергались агрессии со стороны банд наемников, причем в одном из таких случаев был убит президент, и пережили 19 государственных переворотов.</w:t>
      </w:r>
    </w:p>
    <w:p w:rsidR="00000000" w:rsidRDefault="00000000"/>
    <w:p w:rsidR="00000000" w:rsidRDefault="00000000">
      <w:r>
        <w:t>35.</w:t>
      </w:r>
      <w:r>
        <w:tab/>
        <w:t xml:space="preserve">Спустя 42 года после обретения Демократической Республикой Конго своей независимости гражданская война с вмешательством других африканских государств, которая продолжает терзать эту страну, уже унесла жизни примерно трех миллионов человек и обходится ей в 80% ее ресурсов.  В марте 2002 года поступили сообщения о жестоких массовых убийствах, имевших место в восточной и северо-восточной частях страны.  Войска Анголы, Намибии и Зимбабве поддержали правительство президента Жозефа Кабилы, тогда как силы, прибывшие из Руанды и Уганды, поддерживают повстанцев.  В ходе четырехлетней войны организованно и систематически разграблялись богатства этой страны, главным образом залежи алмазов, золота, кобальта, цинка, тантала, колумбита и марганца.  Среди тех, кто получал выгоды от этой контрабанды, упоминались имена известных наемников, в число которых входили бывшие агенты разведывательных служб и военнослужащие из различных стран, а также горнодобывающие, алмазные и нефтяные компании, равно как и подчас хорошо известные западные банки и финансовые фирмы.  Например, согласно сообщениям, один килограмм колтана (сокращенное название </w:t>
      </w:r>
      <w:proofErr w:type="spellStart"/>
      <w:r>
        <w:t>колумбитно-танталитного</w:t>
      </w:r>
      <w:proofErr w:type="spellEnd"/>
      <w:r>
        <w:t xml:space="preserve"> сырья), который добывается детьми и заключенными в </w:t>
      </w:r>
      <w:proofErr w:type="spellStart"/>
      <w:r>
        <w:t>Масиси</w:t>
      </w:r>
      <w:proofErr w:type="spellEnd"/>
      <w:r>
        <w:t xml:space="preserve">, в северной части </w:t>
      </w:r>
      <w:proofErr w:type="spellStart"/>
      <w:r>
        <w:t>Киву</w:t>
      </w:r>
      <w:proofErr w:type="spellEnd"/>
      <w:r>
        <w:t xml:space="preserve"> - области, захваченной руандийцами, продается на месте за 5 долл. США.  На лондонском рынке он котируется по цене 400 долл. США.</w:t>
      </w:r>
    </w:p>
    <w:p w:rsidR="00000000" w:rsidRDefault="00000000"/>
    <w:p w:rsidR="00000000" w:rsidRDefault="00000000">
      <w:r>
        <w:t>36.</w:t>
      </w:r>
      <w:r>
        <w:tab/>
        <w:t xml:space="preserve">Недавно в северо-восточной части Руанды в ходе боев с патриотическими силами Руанды погибло 150 повстанцев хуту.  21 марта 2002 года в Экваториальной Гвинее министр внутренних дел </w:t>
      </w:r>
      <w:proofErr w:type="spellStart"/>
      <w:r>
        <w:t>Клементе</w:t>
      </w:r>
      <w:proofErr w:type="spellEnd"/>
      <w:r>
        <w:t xml:space="preserve"> </w:t>
      </w:r>
      <w:proofErr w:type="spellStart"/>
      <w:r>
        <w:t>Энгонга</w:t>
      </w:r>
      <w:proofErr w:type="spellEnd"/>
      <w:r>
        <w:t xml:space="preserve"> </w:t>
      </w:r>
      <w:proofErr w:type="spellStart"/>
      <w:r>
        <w:t>Нгема</w:t>
      </w:r>
      <w:proofErr w:type="spellEnd"/>
      <w:r>
        <w:t xml:space="preserve"> и пресс-секретарь правительства Антонио Фернандо </w:t>
      </w:r>
      <w:proofErr w:type="spellStart"/>
      <w:r>
        <w:t>Нуенгу</w:t>
      </w:r>
      <w:proofErr w:type="spellEnd"/>
      <w:r>
        <w:t xml:space="preserve"> заявили, что бывший председатель парламента и руководитель партии Демократические республиканские силы </w:t>
      </w:r>
      <w:proofErr w:type="spellStart"/>
      <w:r>
        <w:t>Фелипе</w:t>
      </w:r>
      <w:proofErr w:type="spellEnd"/>
      <w:r>
        <w:t xml:space="preserve"> </w:t>
      </w:r>
      <w:proofErr w:type="spellStart"/>
      <w:r>
        <w:t>Ондо</w:t>
      </w:r>
      <w:proofErr w:type="spellEnd"/>
      <w:r>
        <w:t xml:space="preserve"> </w:t>
      </w:r>
      <w:proofErr w:type="spellStart"/>
      <w:r>
        <w:t>Обианг</w:t>
      </w:r>
      <w:proofErr w:type="spellEnd"/>
      <w:r>
        <w:t xml:space="preserve"> Алого совместно с другими политическими лидерами предпринял попытку вербовки наемников с целью дестабилизации положения в стране.     </w:t>
      </w:r>
    </w:p>
    <w:p w:rsidR="00000000" w:rsidRDefault="00000000"/>
    <w:p w:rsidR="00000000" w:rsidRDefault="00000000">
      <w:r>
        <w:t>37.</w:t>
      </w:r>
      <w:r>
        <w:tab/>
        <w:t xml:space="preserve">В качестве особенно позитивного события для установления мира на континенте Специальный докладчик должен отметить состоявшееся 5 апреля 2002 года подписание соглашения о прекращении огня в Анголе между начальником штаба вооруженных сил Анголы генералом Арманду да Круш Нету и начальником штаба УНИТА Абреу Муэгу.  Выполнение этого соглашения означало бы возврат к мирному процессу, а также процессам реконструкции и демократизации Анголы, начало которым было положено подписанием Лусакского протокола 1994 года.  Соглашение предусматривает проведение выборов не позднее, чем через два года, реинтеграцию 50 000 членов УНИТА и осуществление чрезвычайного плана в интересах внутренних перемещенных лиц.  В результате затяжной гражданской войны, которая длилась в Анголе 27 лет, погиб 1 млн. человек, 50 000 детей остались сиротами, 100 000 человек стали инвалидами, подорвавшись на противопехотных минах, и одна треть населения, или 4 млн. человек, оказались в положении перемещенных лиц. </w:t>
      </w:r>
    </w:p>
    <w:p w:rsidR="00000000" w:rsidRDefault="00000000"/>
    <w:p w:rsidR="00000000" w:rsidRDefault="00000000">
      <w:r>
        <w:t>38.</w:t>
      </w:r>
      <w:r>
        <w:tab/>
        <w:t>Еще одним положительным событием является проведение 14 мая 2002 года президентских выборов и выборов в законодательное собрание в Сьерра-Леоне, знаменующих собой прекращение жестокой десятилетней гражданской войны, в результате которой сотни тысяч людей были убиты, получили ранения и стали инвалидами.</w:t>
      </w:r>
    </w:p>
    <w:p w:rsidR="00000000" w:rsidRDefault="00000000"/>
    <w:p w:rsidR="00000000" w:rsidRDefault="00000000">
      <w:r>
        <w:t>39.</w:t>
      </w:r>
      <w:r>
        <w:tab/>
        <w:t>Специальный докладчик продолжает изучать характер конфликтов, которые оказывали и по</w:t>
      </w:r>
      <w:r>
        <w:noBreakHyphen/>
        <w:t>прежнему оказывают воздействие на положение в Африке, а также предлагать глобальные меры, направленные на защиту жизни, личной неприкосновенности, свободы и безопасности людей и уважение суверенитета африканских государств.  Специальный докладчик с тревогой отмечает недавно полученное сообщение о вербовке и привлечении наемников для проведения операций на Мадагаскаре, который переживает острый политический кризис, и надеется, что эта страна сумеет его преодолеть благодаря добрым услугам Организации Объединенных Наций и Организации африканского единства.  Кроме того, Специальный докладчик с озабоченностью отмечает недавние вооруженные столкновения между правительственными силами и силами повстанцев в Браззавиле (Республика Конго), в ходе которых погибли десятки людей.  Наконец, он не может не привлечь внимания к положению в Либерии, где 13 мая 2002 года повстанцы базирующейся в Гвинее организации "Объединенные либерийцы за примирение и демократию" (ЛУРД) атаковали города Клей и Артингтон, расположенные соответственно в 35 и 25 километрах от Монровии.</w:t>
      </w:r>
    </w:p>
    <w:p w:rsidR="00000000" w:rsidRDefault="00000000"/>
    <w:p w:rsidR="00000000" w:rsidRDefault="00000000">
      <w:pPr>
        <w:rPr>
          <w:b/>
          <w:bCs/>
        </w:rPr>
      </w:pPr>
      <w:r>
        <w:rPr>
          <w:b/>
          <w:bCs/>
        </w:rPr>
        <w:t>В.</w:t>
      </w:r>
      <w:r>
        <w:rPr>
          <w:b/>
          <w:bCs/>
        </w:rPr>
        <w:tab/>
        <w:t>Деятельность наемников и терроризм</w:t>
      </w:r>
    </w:p>
    <w:p w:rsidR="00000000" w:rsidRDefault="00000000">
      <w:pPr>
        <w:rPr>
          <w:b/>
          <w:bCs/>
        </w:rPr>
      </w:pPr>
    </w:p>
    <w:p w:rsidR="00000000" w:rsidRDefault="00000000">
      <w:r>
        <w:t>40.</w:t>
      </w:r>
      <w:r>
        <w:tab/>
        <w:t>В своем предыдущем докладе Комиссии по правам человека (E/CN.4/2002/20, пункты 63-81) Специальный докладчик рассмотрел серьезные проблемы, с которыми сталкивается человечество в результате террористической деятельности.  Эта деятельность по своему драматизму и чудовищности достигла апогея в террористических актах 11 сентября 2001 года, совершенных против Соединенных Штатов.  В своих первых докладах конца 80-х годов Специальный докладчик описал тайные операции, которые продемонстрировали функциональную пригодность наемников к совершению террористических актов.  Сегодня можно констатировать, что политические группы, стремящиеся идентифицировать себя с абсолютистскими идеологическими концепциями и фундаменталистским толкованием мира и социальных взаимоотношений, внедрили в различные страны тайные сети, готовые, не колеблясь, прибегнуть к террору.  Они действуют настолько цинично, что прибегают к использованию любых методов, которые отвергает цивилизованный мир:  размещают средства в "финансовом рае";  занимаются отмыванием "грязных" денег;  используют нелегальную торговлю;  приобретают самое совершенное оружие;  а также занимаются вербовкой и использованием наемников.</w:t>
      </w:r>
    </w:p>
    <w:p w:rsidR="00000000" w:rsidRDefault="00000000"/>
    <w:p w:rsidR="00000000" w:rsidRDefault="00000000">
      <w:r>
        <w:t>41.</w:t>
      </w:r>
      <w:r>
        <w:tab/>
        <w:t>Несмотря на принятие Советом Безопасности резолюций 1373 (2001) и 1377 (2001), разработку планов многосторонних действий и проведение таких военных операций, как осуществлявшиеся против организации "Аль-Каеда" в Афганистане, терроризм не был искоренен.  Сохраняются группы, которые занимаются терроризмом;  продолжают действовать организации и сети финансирования и материально-технической поддержки;  и продолжают звучать заявления и угрозы в отношении новых террористических актов, которые нельзя сбрасывать со счетов, как и нельзя умалять их опасность.  На протяжении 2002 года террористические акты совершались в Афганистане, Израиле, Индии, Индонезии, Испании, Йемене, Колумбии, Малайзии, Непале, Пакистане, Перу, Российской Федерации, Соединенном Королевстве, Финляндии, Франции, Шри</w:t>
      </w:r>
      <w:r>
        <w:noBreakHyphen/>
        <w:t>Ланке и других странах планеты, и это подтверждает, что терроризм представляет собой наиболее смертоносное и трудноискоренимое явление в современном обществе.  Организации Объединенных Наций надлежит решительно бороться с терроризмом во имя прав человека и общих ценностей, которые объединяют человеческую цивилизацию, столь богатую оттенками и многообразием, но единую в своей идентичности.  Для постоянного упреждения террористических актов необходимо эффективно применять сдерживающий потенциал разведок и полицейские меры государств.  Что касается террористических организаций, понимаемых как те организации, которые занимаются преступной деятельностью в целях причинения неизбирательного ущерба и создания обстановки запугивания и коллективного страха, то государствам надлежит предупреждать на своих территориях их создание, безнаказанное функционирование и использование ими этих территорий.</w:t>
      </w:r>
    </w:p>
    <w:p w:rsidR="00000000" w:rsidRDefault="00000000"/>
    <w:p w:rsidR="00000000" w:rsidRDefault="00000000">
      <w:r>
        <w:t>42.</w:t>
      </w:r>
      <w:r>
        <w:tab/>
        <w:t>Однако эта борьба с терроризмом, террористическими организациями и наемниками, к услугам которых они прибегают, должна всегда вестись с учетом требований в отношении защиты прав человека, привлечения гражданского общества к разработке и осуществлению планов антитеррористических действий, а также требования избегать применения исключительно военных или полицейских мер.  Обратное означало бы ограничение гражданских и политических прав, нарушения прав человека, милитаризацию общества и в конечном счете государственный терроризм.</w:t>
      </w:r>
    </w:p>
    <w:p w:rsidR="00000000" w:rsidRDefault="00000000"/>
    <w:p w:rsidR="00000000" w:rsidRDefault="00000000">
      <w:pPr>
        <w:keepNext/>
        <w:jc w:val="center"/>
        <w:rPr>
          <w:b/>
          <w:bCs/>
        </w:rPr>
      </w:pPr>
      <w:r>
        <w:rPr>
          <w:b/>
          <w:bCs/>
        </w:rPr>
        <w:t>V.</w:t>
      </w:r>
      <w:r>
        <w:rPr>
          <w:b/>
          <w:bCs/>
        </w:rPr>
        <w:tab/>
        <w:t>ПОЕЗДКИ В САЛЬВАДОР И ПАНАМУ</w:t>
      </w:r>
    </w:p>
    <w:p w:rsidR="00000000" w:rsidRDefault="00000000">
      <w:pPr>
        <w:keepNext/>
        <w:jc w:val="center"/>
        <w:rPr>
          <w:b/>
          <w:bCs/>
        </w:rPr>
      </w:pPr>
    </w:p>
    <w:p w:rsidR="00000000" w:rsidRDefault="00000000">
      <w:pPr>
        <w:keepNext/>
        <w:rPr>
          <w:b/>
          <w:bCs/>
        </w:rPr>
      </w:pPr>
      <w:r>
        <w:rPr>
          <w:b/>
          <w:bCs/>
        </w:rPr>
        <w:t>А.</w:t>
      </w:r>
      <w:r>
        <w:rPr>
          <w:b/>
          <w:bCs/>
        </w:rPr>
        <w:tab/>
        <w:t>Доклад о поездках</w:t>
      </w:r>
    </w:p>
    <w:p w:rsidR="00000000" w:rsidRDefault="00000000">
      <w:pPr>
        <w:keepNext/>
        <w:rPr>
          <w:b/>
          <w:bCs/>
        </w:rPr>
      </w:pPr>
    </w:p>
    <w:p w:rsidR="00000000" w:rsidRDefault="00000000">
      <w:r>
        <w:t>43.</w:t>
      </w:r>
      <w:r>
        <w:tab/>
        <w:t>Специальный докладчик хотел бы выразить свою признательность правительствам Сальвадора и Панамы за приглашение посетить их страны во исполнение его мандата, а также за сотрудничество и транспарентность, проявленную в ходе его посещений, которые состоялись 5</w:t>
      </w:r>
      <w:r>
        <w:noBreakHyphen/>
        <w:t>10 мая 2002 года.</w:t>
      </w:r>
    </w:p>
    <w:p w:rsidR="00000000" w:rsidRDefault="00000000"/>
    <w:p w:rsidR="00000000" w:rsidRDefault="00000000">
      <w:r>
        <w:t>44.</w:t>
      </w:r>
      <w:r>
        <w:tab/>
        <w:t>Поездка Специального докладчика со специальной миссией в упомянутые страны позволила ему продолжить исследование деятельности, в связи с которой в свое время сообщалось о причастности наемников, и использования территории стран Центральной Америки для вербовки и подготовки наемников, которые впоследствии участвовали в противоправных и преступных актах, особенно против Кубы, политического руководства, населения и объектов этой страны.  Описание этих поездок включено в главу V доклада Специального докладчика Генеральной Ассамблее (А/57/178, пункты 34</w:t>
      </w:r>
      <w:r>
        <w:noBreakHyphen/>
        <w:t>53).</w:t>
      </w:r>
    </w:p>
    <w:p w:rsidR="00000000" w:rsidRDefault="00000000"/>
    <w:p w:rsidR="00000000" w:rsidRDefault="00000000">
      <w:r>
        <w:t>45.</w:t>
      </w:r>
      <w:r>
        <w:tab/>
        <w:t xml:space="preserve">Находясь в Панаме, Специальный докладчик провел беседу с Луисом </w:t>
      </w:r>
      <w:proofErr w:type="spellStart"/>
      <w:r>
        <w:t>Посадой</w:t>
      </w:r>
      <w:proofErr w:type="spellEnd"/>
      <w:r>
        <w:t xml:space="preserve"> Каррилесом, который сообщил ему, что он считает несправедливым его содержание под стражей, поскольку он прибыл в Панаму для мирного протеста против присутствия президента Фиделя Кастро на десятой Иберо-Американской встрече на высшем уровне и для материально-технического обеспечения предполагаемого бегства руководителя разведывательных служб Кубы генерала Дельгадо.  Кроме того, он сообщил, что это бегство было инсценировано кубинскими разведывательными службами с целью заманить его в Панаму, а затем по подозрению в преступной деятельности поместить его под стражу и впоследствии добиться его выдачи Кубе.  По его словам, ни он, ни его товарищи не планировали убийства президента Фиделя Кастро.  Согласно выраженному им мнению, этот заговор предполагал вменить им в вину использование пластиковых взрывчатых веществ </w:t>
      </w:r>
      <w:r>
        <w:sym w:font="Symbol" w:char="F02D"/>
      </w:r>
      <w:r>
        <w:t xml:space="preserve"> восьми фунтов пластикового взрывчатого вещества типа С</w:t>
      </w:r>
      <w:r>
        <w:noBreakHyphen/>
        <w:t>4 и 50 пакетов "</w:t>
      </w:r>
      <w:proofErr w:type="spellStart"/>
      <w:r>
        <w:rPr>
          <w:lang w:val="en-US"/>
        </w:rPr>
        <w:t>Semtex</w:t>
      </w:r>
      <w:proofErr w:type="spellEnd"/>
      <w:r>
        <w:t xml:space="preserve">" весом 32 фунта, которые были обнаружены закопанными в секторе </w:t>
      </w:r>
      <w:proofErr w:type="spellStart"/>
      <w:r>
        <w:t>Маньянитас</w:t>
      </w:r>
      <w:proofErr w:type="spellEnd"/>
      <w:r>
        <w:t xml:space="preserve"> в окрестностях города.</w:t>
      </w:r>
    </w:p>
    <w:p w:rsidR="00000000" w:rsidRDefault="00000000"/>
    <w:p w:rsidR="00000000" w:rsidRDefault="00000000">
      <w:r>
        <w:t>46.</w:t>
      </w:r>
      <w:r>
        <w:tab/>
        <w:t xml:space="preserve">Когда ему был задан вопрос относительно террористических актов против туристических объектов в Гаване, Посада Каррилес отрицал какую-либо связь с этими актами.  Он также заявил, что не знаком с Отто Рене </w:t>
      </w:r>
      <w:proofErr w:type="spellStart"/>
      <w:r>
        <w:t>Родригесом</w:t>
      </w:r>
      <w:proofErr w:type="spellEnd"/>
      <w:r>
        <w:t xml:space="preserve"> Льереной, и отрицал свою причастность к планированию покушений, найму и подготовке лиц, которые прибыли в Гавану для установки бомб, впоследствии взорвавшихся в различных туристических центрах этого города.  Хотя ему сообщили о том, что лица, задержанные на Кубе в связи с этим преступлением, указали на него как на лицо, которое под другим именем связалось с ними, чтобы предложить совершить эти деяния, Посада Каррилес категорически отрицал это.</w:t>
      </w:r>
    </w:p>
    <w:p w:rsidR="00000000" w:rsidRDefault="00000000"/>
    <w:p w:rsidR="00000000" w:rsidRDefault="00000000">
      <w:r>
        <w:t>47.</w:t>
      </w:r>
      <w:r>
        <w:tab/>
        <w:t>Что касается фальшивых удостоверений личности и фальшивых паспортов, то он заявил, что они были необходимы, поскольку использование им своего настоящего имени поставило бы его жизнь под угрозу.  Его разногласия с руководителем кубинского государства начались много лет назад, когда они оба были студентами Гаванского университета.  Он эмигрировал в Соединенные Штаты, где стал работать на ЦРУ.  После того, как он оставил работу в ЦРУ, он переехал в Венесуэлу, где сотрудничал с полицией этой страны.  Там он был задержан в связи со взрывом самолета кубинских авиалиний в 1976 году, однако, по его утверждению, вследствие полного отсутствия доказательств его причастности к этому покушению он был освобожден тюремными властями.  Далее он категорически отрицал, что является наемником, и назвал себя бойцом антикастровского сопротивления, ведущим борьбу за свободу своей страны политическими и военными средствами.</w:t>
      </w:r>
    </w:p>
    <w:p w:rsidR="00000000" w:rsidRDefault="00000000"/>
    <w:p w:rsidR="00000000" w:rsidRDefault="00000000">
      <w:r>
        <w:t>48.</w:t>
      </w:r>
      <w:r>
        <w:tab/>
        <w:t>На вопрос о его интервью газете "Нью-Йорк таймс" и телеканалу "</w:t>
      </w:r>
      <w:proofErr w:type="spellStart"/>
      <w:r>
        <w:t>Теленотисиас</w:t>
      </w:r>
      <w:proofErr w:type="spellEnd"/>
      <w:r>
        <w:t xml:space="preserve">" в Майами, Флорида, которые он дал в 1998 году и в которых представил весьма подробные сведения о причастности Национального кубинско-американского фонда к финансированию кампании террористических актов в гостиницах Гаваны в 1997 году и не отрицал своего участия в ней, он ответил, что опроверг указанную информацию и что газета "Нью-Йорк таймс" опубликовала соответствующую поправку, хотя и мелким шрифтом.  На протяжении всей беседы Посада </w:t>
      </w:r>
      <w:proofErr w:type="spellStart"/>
      <w:r>
        <w:t>Каррилес</w:t>
      </w:r>
      <w:proofErr w:type="spellEnd"/>
      <w:r>
        <w:t xml:space="preserve"> повторял, что он боролся и будет бороться за свержение на Кубе правительства Фиделя Кастро.  В этой связи он признал, что участвовал в военных акциях, но упорно отрицал, что в их число входили преступные покушения.</w:t>
      </w:r>
    </w:p>
    <w:p w:rsidR="00000000" w:rsidRDefault="00000000"/>
    <w:p w:rsidR="00000000" w:rsidRDefault="00000000">
      <w:r>
        <w:t>49.</w:t>
      </w:r>
      <w:r>
        <w:tab/>
      </w:r>
      <w:proofErr w:type="spellStart"/>
      <w:r>
        <w:t>Педро</w:t>
      </w:r>
      <w:proofErr w:type="spellEnd"/>
      <w:r>
        <w:t xml:space="preserve"> </w:t>
      </w:r>
      <w:proofErr w:type="spellStart"/>
      <w:r>
        <w:t>Ремон</w:t>
      </w:r>
      <w:proofErr w:type="spellEnd"/>
      <w:r>
        <w:t xml:space="preserve"> </w:t>
      </w:r>
      <w:proofErr w:type="spellStart"/>
      <w:r>
        <w:t>Родригес</w:t>
      </w:r>
      <w:proofErr w:type="spellEnd"/>
      <w:r>
        <w:t xml:space="preserve"> подтвердил заявление Посады </w:t>
      </w:r>
      <w:proofErr w:type="spellStart"/>
      <w:r>
        <w:t>Каррилеса</w:t>
      </w:r>
      <w:proofErr w:type="spellEnd"/>
      <w:r>
        <w:t xml:space="preserve">.  Он заявил, что никогда не верил в предполагаемое бегство высокопоставленного сотрудника </w:t>
      </w:r>
      <w:proofErr w:type="spellStart"/>
      <w:r>
        <w:t>разведслужбы</w:t>
      </w:r>
      <w:proofErr w:type="spellEnd"/>
      <w:r>
        <w:t xml:space="preserve"> Кубы, но согласился приехать в Панаму, сознавая связанный с этим риск.  Он не в первый раз обеспечивал прикрытие в тех случаях, когда кто-либо из кубинских должностных лиц покидал страну.  </w:t>
      </w:r>
      <w:proofErr w:type="spellStart"/>
      <w:r>
        <w:t>Родригес</w:t>
      </w:r>
      <w:proofErr w:type="spellEnd"/>
      <w:r>
        <w:t xml:space="preserve"> заявил, что не считает себя наемником, и признался, что готов действовать против правительства Кубы, но лишь на основе принятия мер политического и военного характера, не прибегая к террору.  Он никогда не участвовал в установке взрывного устройства, приведшего к гибели ни в чем не повинных людей.  </w:t>
      </w:r>
      <w:proofErr w:type="spellStart"/>
      <w:r>
        <w:t>Родригес</w:t>
      </w:r>
      <w:proofErr w:type="spellEnd"/>
      <w:r>
        <w:t xml:space="preserve"> заявил, что, вопреки сложившему мнению, противники правительства Кубы ведут в Майами трудную жизнь, много работают и вынуждены экономить.</w:t>
      </w:r>
    </w:p>
    <w:p w:rsidR="00000000" w:rsidRDefault="00000000"/>
    <w:p w:rsidR="00000000" w:rsidRDefault="00000000">
      <w:r>
        <w:t>50.</w:t>
      </w:r>
      <w:r>
        <w:tab/>
        <w:t xml:space="preserve">Аналогичные мнения были выражены </w:t>
      </w:r>
      <w:proofErr w:type="spellStart"/>
      <w:r>
        <w:t>Гильермо</w:t>
      </w:r>
      <w:proofErr w:type="spellEnd"/>
      <w:r>
        <w:t xml:space="preserve"> Ново </w:t>
      </w:r>
      <w:proofErr w:type="spellStart"/>
      <w:r>
        <w:t>Самполлом</w:t>
      </w:r>
      <w:proofErr w:type="spellEnd"/>
      <w:r>
        <w:t xml:space="preserve"> и </w:t>
      </w:r>
      <w:proofErr w:type="spellStart"/>
      <w:r>
        <w:t>Гаспаром</w:t>
      </w:r>
      <w:proofErr w:type="spellEnd"/>
      <w:r>
        <w:t xml:space="preserve"> </w:t>
      </w:r>
      <w:proofErr w:type="spellStart"/>
      <w:r>
        <w:t>Хименесом</w:t>
      </w:r>
      <w:proofErr w:type="spellEnd"/>
      <w:r>
        <w:t xml:space="preserve"> </w:t>
      </w:r>
      <w:proofErr w:type="spellStart"/>
      <w:r>
        <w:t>Эскобедо</w:t>
      </w:r>
      <w:proofErr w:type="spellEnd"/>
      <w:r>
        <w:t>, которые беседовали со Специальным докладчиком в тюрьме "</w:t>
      </w:r>
      <w:proofErr w:type="spellStart"/>
      <w:r>
        <w:t>Ренасер</w:t>
      </w:r>
      <w:proofErr w:type="spellEnd"/>
      <w:r>
        <w:t xml:space="preserve">".  Оба заявили, что прибыли в Панаму по просьбе Посады </w:t>
      </w:r>
      <w:proofErr w:type="spellStart"/>
      <w:r>
        <w:t>Каррилеса</w:t>
      </w:r>
      <w:proofErr w:type="spellEnd"/>
      <w:r>
        <w:t>, чтобы оказать помощь в организации бегства упомянутого кубинского генерала.  Отвечая на вопросы Специального докладчика, они заявили, что у них не было готового плана, и подтвердили, что на момент ареста они еще не приняли решение о том, как вывезти указанное лицо из страны.  Один из вариантов предусматривал переход сухопутной границы с Коста-Рикой и вывоз его оттуда самолетом в Соединенные Штаты.  Другой вариант состоял в непосредственном вывозе самолетом из Панамы.  Оба отрицали свое участие в террористических актах, однако признали возможность принятия военных мер против правительства Кубы.  Они заявили также, что не имеют никакого отношения к найденным взрывчатым веществам и что детонаторы к ним не были обнаружены.  Кроме того, у них не было найдено никакого плана расположения или объектов Панамского университета, где предположительно планировало совершить покушение.</w:t>
      </w:r>
    </w:p>
    <w:p w:rsidR="00000000" w:rsidRDefault="00000000"/>
    <w:p w:rsidR="00000000" w:rsidRDefault="00000000">
      <w:r>
        <w:t>51.</w:t>
      </w:r>
      <w:r>
        <w:tab/>
        <w:t xml:space="preserve">Как Посада </w:t>
      </w:r>
      <w:proofErr w:type="spellStart"/>
      <w:r>
        <w:t>Каррилес</w:t>
      </w:r>
      <w:proofErr w:type="spellEnd"/>
      <w:r>
        <w:t xml:space="preserve">, так и Ново </w:t>
      </w:r>
      <w:proofErr w:type="spellStart"/>
      <w:r>
        <w:t>Самполл</w:t>
      </w:r>
      <w:proofErr w:type="spellEnd"/>
      <w:r>
        <w:t xml:space="preserve"> испытывают ряд достаточно серьезных проблем со здоровьем и прямо заявили об этом.  В обоих случаях возникали чрезвычайные ситуации, требовавшие госпитализации.  Что касается материальных условий содержания этих четверых заключенных, то представляется, что они являются удовлетворительными.  Заключенные жаловались на продолжительность судебных процедур и заявили, что надеются на скорое возвращение в Майами.</w:t>
      </w:r>
    </w:p>
    <w:p w:rsidR="00000000" w:rsidRDefault="00000000"/>
    <w:p w:rsidR="00000000" w:rsidRDefault="00000000">
      <w:r>
        <w:t>52.</w:t>
      </w:r>
      <w:r>
        <w:tab/>
        <w:t>Специальный докладчик запросил у правительства Панамы дополнительную информацию, которая, по его мнению, необходима для рассмотрения процедуры действий полиции и судебных властей, а также копию донесения и рапорта полиции об аресте этих лиц в гостинице "</w:t>
      </w:r>
      <w:proofErr w:type="spellStart"/>
      <w:r>
        <w:t>Корал</w:t>
      </w:r>
      <w:proofErr w:type="spellEnd"/>
      <w:r>
        <w:t xml:space="preserve"> </w:t>
      </w:r>
      <w:proofErr w:type="spellStart"/>
      <w:r>
        <w:t>сьютс</w:t>
      </w:r>
      <w:proofErr w:type="spellEnd"/>
      <w:r>
        <w:t xml:space="preserve">" в восточной части города Панама, копию сообщения и рапорта полиции об установке взрывных устройств и копию заявления руководителя кубинского государства или кубинских служб безопасности о подготовке покушения на него.  Докладчик хотел бы знать, въехали ли в страну в указанные сроки другие лица в связи с фактами, которые вменяются в вину четырем задержанным;  каким в конечном счете было участие </w:t>
      </w:r>
      <w:proofErr w:type="spellStart"/>
      <w:r>
        <w:t>Сесара</w:t>
      </w:r>
      <w:proofErr w:type="spellEnd"/>
      <w:r>
        <w:t xml:space="preserve"> </w:t>
      </w:r>
      <w:proofErr w:type="spellStart"/>
      <w:r>
        <w:t>Матамороса</w:t>
      </w:r>
      <w:proofErr w:type="spellEnd"/>
      <w:r>
        <w:t xml:space="preserve">, гондурасского гражданина Карлоса Винсенте </w:t>
      </w:r>
      <w:proofErr w:type="spellStart"/>
      <w:r>
        <w:t>Лопеса</w:t>
      </w:r>
      <w:proofErr w:type="spellEnd"/>
      <w:r>
        <w:t xml:space="preserve"> </w:t>
      </w:r>
      <w:proofErr w:type="spellStart"/>
      <w:r>
        <w:t>Санчеса</w:t>
      </w:r>
      <w:proofErr w:type="spellEnd"/>
      <w:r>
        <w:t xml:space="preserve"> и нанятого </w:t>
      </w:r>
      <w:proofErr w:type="spellStart"/>
      <w:r>
        <w:t>Посадой</w:t>
      </w:r>
      <w:proofErr w:type="spellEnd"/>
      <w:r>
        <w:t xml:space="preserve"> </w:t>
      </w:r>
      <w:proofErr w:type="spellStart"/>
      <w:r>
        <w:t>Каррилесом</w:t>
      </w:r>
      <w:proofErr w:type="spellEnd"/>
      <w:r>
        <w:t xml:space="preserve"> шофера, панамского гражданина </w:t>
      </w:r>
      <w:proofErr w:type="spellStart"/>
      <w:r>
        <w:t>Хосе</w:t>
      </w:r>
      <w:proofErr w:type="spellEnd"/>
      <w:r>
        <w:t xml:space="preserve"> </w:t>
      </w:r>
      <w:proofErr w:type="spellStart"/>
      <w:r>
        <w:t>Мануэля</w:t>
      </w:r>
      <w:proofErr w:type="spellEnd"/>
      <w:r>
        <w:t xml:space="preserve"> </w:t>
      </w:r>
      <w:proofErr w:type="spellStart"/>
      <w:r>
        <w:t>Ортадо</w:t>
      </w:r>
      <w:proofErr w:type="spellEnd"/>
      <w:r>
        <w:t xml:space="preserve"> </w:t>
      </w:r>
      <w:proofErr w:type="spellStart"/>
      <w:r>
        <w:t>Вивероса</w:t>
      </w:r>
      <w:proofErr w:type="spellEnd"/>
      <w:r>
        <w:t>;  какова возможность присутствия в Панаме группы лиц кубинского происхождения для оказания содействия и обеспечения прикрытия задержанных.  На момент подготовки настоящего доклада в ноябре 2002 года запрошенная информация еще не поступила.</w:t>
      </w:r>
    </w:p>
    <w:p w:rsidR="00000000" w:rsidRDefault="00000000"/>
    <w:p w:rsidR="00000000" w:rsidRDefault="00000000">
      <w:r>
        <w:t>53.</w:t>
      </w:r>
      <w:r>
        <w:tab/>
        <w:t xml:space="preserve">Необходимо определить возможность того, что предполагаемое покушение на президента </w:t>
      </w:r>
      <w:proofErr w:type="spellStart"/>
      <w:r>
        <w:t>Фиделя</w:t>
      </w:r>
      <w:proofErr w:type="spellEnd"/>
      <w:r>
        <w:t xml:space="preserve"> Кастро могло быть совершено в каком-нибудь другом месте, а не в актовом зале Панамского университета или же на шоссе, ведущем к аэропорту "</w:t>
      </w:r>
      <w:proofErr w:type="spellStart"/>
      <w:r>
        <w:t>Токумен</w:t>
      </w:r>
      <w:proofErr w:type="spellEnd"/>
      <w:r>
        <w:t>";  а также определить, где, как и при каких обстоятельствах были обнаружены взрывные устройства;  кто еще задержан по этому делу и каков юридический статус этих задержанных;  как попали в страну  указанные устройства и кто их доставил и были ли найдены детонаторы.</w:t>
      </w:r>
    </w:p>
    <w:p w:rsidR="00000000" w:rsidRDefault="00000000"/>
    <w:p w:rsidR="00000000" w:rsidRDefault="00000000">
      <w:pPr>
        <w:pStyle w:val="Heading1"/>
        <w:rPr>
          <w:bCs/>
        </w:rPr>
      </w:pPr>
      <w:r>
        <w:rPr>
          <w:bCs/>
        </w:rPr>
        <w:t>В.</w:t>
      </w:r>
      <w:r>
        <w:rPr>
          <w:bCs/>
        </w:rPr>
        <w:tab/>
        <w:t>Анализ</w:t>
      </w:r>
    </w:p>
    <w:p w:rsidR="00000000" w:rsidRDefault="00000000"/>
    <w:p w:rsidR="00000000" w:rsidRDefault="00000000">
      <w:r>
        <w:t>54.</w:t>
      </w:r>
      <w:r>
        <w:tab/>
        <w:t xml:space="preserve">Хотя поездки в Сальвадор и Панаму позволили собрать интересующие данные, сопоставление и обработка информации, а также анализ полученных свидетельских показаний заставили Специального докладчика поставить тематические вопросы и обратиться к </w:t>
      </w:r>
      <w:proofErr w:type="spellStart"/>
      <w:r>
        <w:t>сальвадорским</w:t>
      </w:r>
      <w:proofErr w:type="spellEnd"/>
      <w:r>
        <w:t xml:space="preserve"> и панамским властям за разъяснениями в тех случаях, когда не было достаточной ясности.</w:t>
      </w:r>
    </w:p>
    <w:p w:rsidR="00000000" w:rsidRDefault="00000000"/>
    <w:p w:rsidR="00000000" w:rsidRDefault="00000000">
      <w:r>
        <w:t>55.</w:t>
      </w:r>
      <w:r>
        <w:tab/>
        <w:t xml:space="preserve">К сожалению, запрошенные разъяснения и дополнительные сведения не были представлены к моменту подготовки настоящего доклада (ноябрь 2002 года).  Той базовой информации, которая была получена в ходе посещения, явно было недостаточно.  Что касается покушений на туристических объектах Гаваны, то материалы судебного расследования на Кубе, представленные доказательства и заявления главных обвиняемых о том, что они были физическими исполнителями этих преступлений, полностью противоречат показаниям Посады </w:t>
      </w:r>
      <w:proofErr w:type="spellStart"/>
      <w:r>
        <w:t>Каррилеса</w:t>
      </w:r>
      <w:proofErr w:type="spellEnd"/>
      <w:r>
        <w:t>, который отрицает свое участие в этих деяниях, хотя и не приводит никаких доказательств в опровержение выдвинутых против него обвинений.  Таким образом, Специальный докладчик, несмотря на свое пребывание на месте, не в состоянии сделать окончательные выводы относительно сообщений о действиях наемников против Кубы, хотя ряд таких действий действительно имели место и были спланированы террористическими ячейками, по всей видимости, действующими из Сальвадора и Майами, тогда как другие, в частности предполагаемый заговор с целью покушения на жизнь президента Кубы, были пресечены еще до их совершения.</w:t>
      </w:r>
    </w:p>
    <w:p w:rsidR="00000000" w:rsidRDefault="00000000"/>
    <w:p w:rsidR="00000000" w:rsidRDefault="00000000">
      <w:r>
        <w:t>56.</w:t>
      </w:r>
      <w:r>
        <w:tab/>
        <w:t>Фактически в данных, представленных должностными лицами, с которыми были проведены беседы в Сальвадоре и Панаме, имеются пробелы и нестыковки:  полученной информации недостаточно, и нуждается в объяснении то либеральное и терпимое отношение, которое было проявлено к каждому из этих лиц, по</w:t>
      </w:r>
      <w:r>
        <w:noBreakHyphen/>
        <w:t>видимому, скомпрометировавших себя совершением противоправных действий.  Как представляется, Посада Каррилес на протяжении многих лет пользовался широкой свободой передвижения в Сальвадоре и других странах Центральной Америки.  Например, трудно себе представить, что никто не осведомлен относительно его профессиональной и коммерческой деятельности;  сделанных им приобретениях;  полученных им прибылях, выплаченных налогах, его банковских сделках и т.п., или что существует полное неведение относительно круга встречавшихся с ним лиц или фальшивых имен, которыми он пользовался при въезде в Сальвадор и выезде с его территории более 50 раз.  Неужели за ним никогда не велась слежка, и разве его причастность к предыдущим заговорам не позволяла предположить, что он мог быть связан с неким планом международно-противоправных действий?</w:t>
      </w:r>
    </w:p>
    <w:p w:rsidR="00000000" w:rsidRDefault="00000000"/>
    <w:p w:rsidR="00000000" w:rsidRDefault="00000000">
      <w:r>
        <w:t>57.</w:t>
      </w:r>
      <w:r>
        <w:tab/>
        <w:t>Что касается заявлений четырех задержанных лиц, с которыми беседовал Специальный докладчик, то они явно представляют собой неполные свидетельские показания, которые Специальный докладчик попытался с максимальной объективностью зафиксировать в отчете о своей поездке.  Вместе с тем он отмечает, что в ходе дачи этих показаний не были представлены материальные доказательства, подтверждающие сделанные заявления.</w:t>
      </w:r>
    </w:p>
    <w:p w:rsidR="00000000" w:rsidRDefault="00000000"/>
    <w:p w:rsidR="00000000" w:rsidRDefault="00000000">
      <w:r>
        <w:t>58.</w:t>
      </w:r>
      <w:r>
        <w:tab/>
        <w:t xml:space="preserve">В любом случае остается надеяться, что судебное разбирательство по их делу будет проведено в Панаме на основе материалов беспристрастного расследования и с соблюдением норм, касающихся надлежащего судопроизводства.  Таким образом, виновность этих лиц будет убедительно доказана или, в противном случае, они будут освобождены.  Как бы то ни было Специальный докладчик считает своим долгом отметить, что запросы в отношении выдачи не были удовлетворены и, с другой стороны, срок предварительного заключения, в котором находятся эти четверо обвиняемых, скоро составит два года, что могло бы считаться чрезмерным с точки зрения "разумных сроков", предусмотренных в международных договорах о правах человека.  Во избежание каких-либо подозрений в этом отношении Специальный докладчик рекомендует органам правосудия Панамы предпринять незамедлительные действия. </w:t>
      </w:r>
    </w:p>
    <w:p w:rsidR="00000000" w:rsidRDefault="00000000"/>
    <w:p w:rsidR="00000000" w:rsidRDefault="00000000">
      <w:r>
        <w:t>59.</w:t>
      </w:r>
      <w:r>
        <w:tab/>
        <w:t>Во исполнение своих обязанностей Специальный докладчик настаивает на необходимости препровождения ему запрошенных документов, с тем чтобы сопоставить их с полученными показаниями.  Однако, как он уже отмечал в своем докладе Генеральной Ассамблее, представляется маловероятным, чтобы лица, имеющие опыт борьбы с правительством политическими и военными средствами, как это следует из заявления лиц, задержанных в Панаме, въехали в страну для помощи высокопоставленному должностному лицу из другой страны в совершении побега, не располагая при этом заранее разработанным планом.  По сути, они заявляют, что у них не было предварительного плана по оказанию помощи предполагаемому беглецу и что они не пользовались услугами какой-либо сети или местной инфраструктуры поддержки, чтобы вывезти его из страны.  Более того, эти лица были задержаны во время их пассивного ожидания в гостинице их проживания.</w:t>
      </w:r>
    </w:p>
    <w:p w:rsidR="00000000" w:rsidRDefault="00000000"/>
    <w:p w:rsidR="00000000" w:rsidRDefault="00000000">
      <w:r>
        <w:t>60.</w:t>
      </w:r>
      <w:r>
        <w:tab/>
        <w:t>Такие признания в наивном поведении со стороны опытных лиц с доказанным многолетним конспиративным прошлым, которые утверждают, что находились в гостинице, пассивно ожидая распоряжений относительно дальнейших действий, представляются неправдоподобными и не заслуживают доверия.  Скорее напрашивается вывод о том, что подлинная информация скрывается и предпринимается попытка защитить других лиц или же, что еще хуже, они прибыли в Панаму в период проведения десятой Ибероамериканской встречи на высшем уровне с совсем другими намерениями.  В этом смысле указанные лица также должны представить более подробные и конкретные сведения относительно своих мотивов и того, что они намеревались сделать.</w:t>
      </w:r>
    </w:p>
    <w:p w:rsidR="00000000" w:rsidRDefault="00000000"/>
    <w:p w:rsidR="00000000" w:rsidRDefault="00000000">
      <w:r>
        <w:t>61.</w:t>
      </w:r>
      <w:r>
        <w:tab/>
        <w:t>Помимо этого, задержанные, по</w:t>
      </w:r>
      <w:r>
        <w:noBreakHyphen/>
        <w:t>видимому, не понимают и не делают какого-либо этического разграничения между борьбой против режима политическими и военными средствами, которую они поддерживают, и совершением преступлений против политических деятелей, которые являются их противниками и вызывают у них ненависть.  Горячность их жестов и речей и прежнее участие в конспиративной деятельности, которую они не отрицают, но интерпретируют как упорное стремление к освобождению своей родины, могут свидетельствовать о том, что они не в полной мере отдают себе отчет в своих действиях или склонны к поведению в нарушение международных норм в области прав человека.  Логика активной политической и военной борьбы, которую они, по их утверждению, ведут собственными силами, может подталкивать к замышлению или совершению деяний, которые нельзя квалифицировать иначе, чем преступления.</w:t>
      </w:r>
    </w:p>
    <w:p w:rsidR="00000000" w:rsidRDefault="00000000"/>
    <w:p w:rsidR="00000000" w:rsidRDefault="00000000">
      <w:pPr>
        <w:tabs>
          <w:tab w:val="clear" w:pos="567"/>
          <w:tab w:val="clear" w:pos="1134"/>
          <w:tab w:val="left" w:pos="374"/>
          <w:tab w:val="left" w:pos="935"/>
        </w:tabs>
        <w:rPr>
          <w:b/>
          <w:bCs/>
        </w:rPr>
      </w:pPr>
      <w:r>
        <w:rPr>
          <w:b/>
          <w:bCs/>
        </w:rPr>
        <w:tab/>
        <w:t>VI.</w:t>
      </w:r>
      <w:r>
        <w:rPr>
          <w:b/>
          <w:bCs/>
        </w:rPr>
        <w:tab/>
        <w:t>НЫНЕШНЕЕ СОСТОЯНИЕ МЕЖДУНАРОДНОЙ КОНВЕНЦИИ O</w:t>
      </w:r>
    </w:p>
    <w:p w:rsidR="00000000" w:rsidRDefault="00000000">
      <w:pPr>
        <w:tabs>
          <w:tab w:val="clear" w:pos="567"/>
          <w:tab w:val="clear" w:pos="1134"/>
          <w:tab w:val="left" w:pos="374"/>
          <w:tab w:val="left" w:pos="935"/>
        </w:tabs>
        <w:rPr>
          <w:b/>
          <w:bCs/>
        </w:rPr>
      </w:pPr>
      <w:r>
        <w:rPr>
          <w:b/>
          <w:bCs/>
        </w:rPr>
        <w:tab/>
      </w:r>
      <w:r>
        <w:rPr>
          <w:b/>
          <w:bCs/>
        </w:rPr>
        <w:tab/>
        <w:t>БОРЬБЕ С ВЕРБОВКОЙ, ИСПОЛЬЗОВАНИЕМ, ФИНАНСИРОВАНИЕМ</w:t>
      </w:r>
    </w:p>
    <w:p w:rsidR="00000000" w:rsidRDefault="00000000">
      <w:pPr>
        <w:pStyle w:val="10"/>
        <w:tabs>
          <w:tab w:val="clear" w:pos="567"/>
          <w:tab w:val="clear" w:pos="1134"/>
          <w:tab w:val="left" w:pos="374"/>
          <w:tab w:val="left" w:pos="935"/>
        </w:tabs>
        <w:rPr>
          <w:bCs/>
        </w:rPr>
      </w:pPr>
      <w:r>
        <w:rPr>
          <w:bCs/>
        </w:rPr>
        <w:t>И ОБУЧЕНИЕМ НАЕМНИКОВ</w:t>
      </w:r>
    </w:p>
    <w:p w:rsidR="00000000" w:rsidRDefault="00000000">
      <w:pPr>
        <w:jc w:val="center"/>
        <w:rPr>
          <w:b/>
          <w:bCs/>
          <w:sz w:val="16"/>
        </w:rPr>
      </w:pPr>
    </w:p>
    <w:p w:rsidR="00000000" w:rsidRDefault="00000000">
      <w:r>
        <w:t>62.</w:t>
      </w:r>
      <w:r>
        <w:tab/>
        <w:t>Международная конвенция о борьбе с вербовкой, использованием, финансированием и обучением наемников, принятая Генеральной Ассамблеей в ее резолюции 44/34 от 4 декабря 1989 года, вступила в силу 20 октября 2001 года после сдачи на хранение Генеральному секретарю Организации двадцать второго документа о ратификации или присоединении.  В настоящее время участниками этой Конвенции являются 24 государства.  Следует отметить, что Коста-Рика сдала на хранение свой документ о присоединении 20 сентября 2001 года, Мали - 12 апреля 2002 года, а Бельгия - 31 мая 2002 года.</w:t>
      </w:r>
    </w:p>
    <w:p w:rsidR="00000000" w:rsidRDefault="00000000"/>
    <w:p w:rsidR="00000000" w:rsidRDefault="00000000">
      <w:r>
        <w:t>63.</w:t>
      </w:r>
      <w:r>
        <w:tab/>
        <w:t>Несмотря на дискуссию относительно определения, содержащегося в статье 1, Специальный докладчик полагает, что вступление в силу Международной конвенции является весьма позитивным шагом, который расширяет возможности для внесения улучшений в этот важный договор наиболее соответствующим образом.  Теперь может быть принято принципиальное решение относительно обновления текста и включения в него критерия для распространения сферы охвата на новые виды деятельности наемников, которые остаются безнаказанными.  Кроме того, Конвенция облегчает сотрудничество между государствами в области принятия превентивных мер, более полную квалификацию ситуаций, характеризующихся участием наемников, четкое определение юрисдикции в каждом случае, процедуры выдачи наемников, а также эффективное преследование и привлечение к уголовной ответственности лиц, причастных к таким преступлениям.</w:t>
      </w:r>
    </w:p>
    <w:p w:rsidR="00000000" w:rsidRDefault="00000000"/>
    <w:p w:rsidR="00000000" w:rsidRDefault="00000000">
      <w:r>
        <w:t>64.</w:t>
      </w:r>
      <w:r>
        <w:tab/>
        <w:t>Как уже отмечалось, 24 государства уже завершили официальные процедуры, позволившие им выразить свое согласие взять на себя обязательства, вытекающие из Международной конвенции.  Этими государствами являются Азербайджан, Барбадос, Беларусь, Бельгия, Грузия, Италия, Камерун, Катар, Кипр, Коста-Рика, Ливийская Арабская Джамахирия, Мавритания, Мали, Мальдивские Острова, Саудовская Аравия, Сейшельские Острова, Сенегал, Суринам, Того, Туркменистан, Узбекистан, Украина, Уругвай и Хорватия.  Еще девять государств подписали, но пока не ратифицировали Международную конвенцию.  К ним относятся Ангола, Германия, Демократическая Республика Конго, Конго, Марокко, Нигерия, Польша, Румыния и Югославия.</w:t>
      </w:r>
    </w:p>
    <w:p w:rsidR="00000000" w:rsidRDefault="00000000"/>
    <w:p w:rsidR="00000000" w:rsidRDefault="00000000">
      <w:pPr>
        <w:rPr>
          <w:b/>
          <w:bCs/>
        </w:rPr>
      </w:pPr>
      <w:r>
        <w:t>65.</w:t>
      </w:r>
      <w:r>
        <w:tab/>
        <w:t>В целях повышения эффективности борьбы с наемничеством Специальный докладчик позволяет себе отметить, что в интересах государств рассмотреть вопрос о принятии благоприятного решения в отношении ратификации или присоединения к Международной конвенции и в этой связи активизировать внутренние процедуры, которые позволили бы им обрести статус государства - участника Конвенции в ближайшее время.  Этот призыв обоснован необходимостью надлежащей поддержки со стороны широкого числа государств международного договора, направленного на борьбу с наемничеством, в условиях роста активности наемников в разных странах мира и расширения масштабов противозаконной деятельности, в которой они участвуют.  Во вторых, если в Конвенцию необходимо внести поправки для повышения ее эффективности в отношении преследования за преступления и международно-противоправные деяния, вменяемые в вину наемникам, то было бы уместно, чтобы предложения в этой связи и разработка процедур вступления в силу этих поправок исходили от широкого круга государств-участников.</w:t>
      </w:r>
    </w:p>
    <w:p w:rsidR="00000000" w:rsidRDefault="00000000">
      <w:pPr>
        <w:rPr>
          <w:b/>
          <w:bCs/>
        </w:rPr>
      </w:pPr>
    </w:p>
    <w:p w:rsidR="00000000" w:rsidRDefault="00000000">
      <w:pPr>
        <w:jc w:val="center"/>
        <w:rPr>
          <w:b/>
          <w:bCs/>
        </w:rPr>
      </w:pPr>
      <w:r>
        <w:rPr>
          <w:b/>
          <w:bCs/>
        </w:rPr>
        <w:t>VII.</w:t>
      </w:r>
      <w:r>
        <w:rPr>
          <w:b/>
          <w:bCs/>
        </w:rPr>
        <w:tab/>
        <w:t>ВЫВОДЫ</w:t>
      </w:r>
    </w:p>
    <w:p w:rsidR="00000000" w:rsidRDefault="00000000">
      <w:pPr>
        <w:jc w:val="center"/>
        <w:rPr>
          <w:b/>
          <w:bCs/>
          <w:sz w:val="16"/>
        </w:rPr>
      </w:pPr>
    </w:p>
    <w:p w:rsidR="00000000" w:rsidRDefault="00000000">
      <w:r>
        <w:t>66.</w:t>
      </w:r>
      <w:r>
        <w:tab/>
        <w:t>В соответствии с резолюцией 2002/5 Комиссии по правам человека Специальный докладчик провел консультации с государствами, межправительственными органами и неправительственными организациями с целью обновления информации относительно использования наемников как средства нарушения прав человека и противодействия осуществлению права народов на самоопределение и с целью отслеживания ситуаций, характеризующихся участием наемников.  Эти консультации и наблюдения позволили сделать вывод о том, что меры, принятые международным сообществом для борьбы с наемничеством, оказались недостаточными.  Деятельность наемников не только продолжается, но и активизировалась.  Кроме того, последние публикации и заявления представителей правительств позволяют даже сделать вывод о возможности легализации наемничества посредством разрешения и формализации их вербовки, найма и использования частными фирмами по оказанию охранных услуг и военной помощи.</w:t>
      </w:r>
    </w:p>
    <w:p w:rsidR="00000000" w:rsidRDefault="00000000"/>
    <w:p w:rsidR="00000000" w:rsidRDefault="00000000">
      <w:r>
        <w:t>67.</w:t>
      </w:r>
      <w:r>
        <w:tab/>
        <w:t>Соглашение о прекращении огня, заключенное в Анголе 5 апреля 2002 года, положило конец жестокому конфликту, в ходе которого УНИТА неоднократно пользовалась услугами наемников.  Несмотря на запрещение Организации Объединенных Наций УНИТА осуществляла на контролируемых ею территориях неограниченную добычу и сбыт алмазов и организовала незаконные поставки драгоценных камней на европейские рынки, в частности Антверпена, используя для этой цели наемников.  В настоящее время благодаря заключению этого соглашения намечено проведение выборов, возврат к мирной жизни и реинтеграция 50 000 членов УНИТА и осуществление чрезвычайного плана помощи внутренним перемещенным лицам.  Кроме того, следует подчеркнуть заключение 30 июля 2002 года в Претории мирного соглашения между Демократической Республикой Конго и Руандой, перемирие в Судане и проведение выборов президента и членов законодательного собрания в Сьерра-Леоне - стране, пострадавшей от наемничества в ходе длительной и жестокой гражданской войны.</w:t>
      </w:r>
    </w:p>
    <w:p w:rsidR="00000000" w:rsidRDefault="00000000"/>
    <w:p w:rsidR="00000000" w:rsidRDefault="00000000">
      <w:r>
        <w:t>68.</w:t>
      </w:r>
      <w:r>
        <w:tab/>
        <w:t>К сожалению, в других частях африканского континента положение в связи с присутствием наемников не претерпело никаких изменений.  Напротив, можно говорить о том, что оно усугубилось, в частности в Кот-д'Ивуаре, на Мадагаскаре и на Коморских Островах.  Вооруженные конфликты в Западной Африке привлекли туда множество наемников, готовых воевать на стороне тех, кто им больше заплатит, а также имело место чрезмерное накопление вооружений.</w:t>
      </w:r>
    </w:p>
    <w:p w:rsidR="00000000" w:rsidRDefault="00000000"/>
    <w:p w:rsidR="00000000" w:rsidRDefault="00000000">
      <w:r>
        <w:t>69.</w:t>
      </w:r>
      <w:r>
        <w:tab/>
        <w:t>Продолжают активно действовать группы и организации, занимающиеся террористической деятельностью и при определенных обстоятельствах поддерживающие оперативные связи с наемниками.  Эти группы прибегают к вербовке, найму и использованию наемников.  Государства должны прилагать более активные усилия для предупреждения и пресечения создания таких групп на своих территориях, а также любых сетей финансовой и материально-технической поддержки, каналов, групп и систем, которые оказывают им помощь.  Вместе с тем борьба с терроризмом должна вестись с учетом соблюдения в полном объеме прав человека и участия гражданского общества в разработке и осуществлении директивных мер и планов, направленных на предупреждение терроризма и борьбу с ним.</w:t>
      </w:r>
    </w:p>
    <w:p w:rsidR="00000000" w:rsidRDefault="00000000"/>
    <w:p w:rsidR="00000000" w:rsidRDefault="00000000">
      <w:r>
        <w:t>70.</w:t>
      </w:r>
      <w:r>
        <w:tab/>
        <w:t>Поездки Специального докладчика в Сальвадор и Панаму давали ему возможность провести более глубокое расследование предполагаемой деятельности наемников на территории этих и других стран Центральной Америки, где планировались действия наемников и граждане которых привлекались к совершению деяний, квалифицируемых в качестве преступлений.  Эти действия были направлены в основном против Кубы и включали террористические акты в гостиницах, туристических центрах и общественных местах этой страны, цель которых состояла в создании обстановки террора и причинении серьезного ущерба экономике страны.  Расследование, предпринятое в ходе этих посещений, не было завершено, и Специальный докладчик ожидает поступления запрошенных дополнительных документов.  Можно подчеркнуть, что показания лиц, содержащихся в панамских тюрьмах, являются неполными, противоречат материалам следствия, проведенного судебными властями этой страны, и, чтобы считаться правдивыми, нуждаются в дополнительных доказательствах.  В настоящий момент они не позволяют снять с этих лиц предъявляемые им обвинения.  Как представляется, недостаточным является также следствие, проведенное в обеих странах.  Тем временем срок предварительного заключения этих четырех лиц, содержащихся в панамских тюрьмах, составил уже более двух лет.</w:t>
      </w:r>
    </w:p>
    <w:p w:rsidR="00000000" w:rsidRDefault="00000000"/>
    <w:p w:rsidR="00000000" w:rsidRDefault="00000000">
      <w:r>
        <w:t>71.</w:t>
      </w:r>
      <w:r>
        <w:tab/>
        <w:t>На втором совещании экспертов по вопросу о наемниках был достигнут существенный прогресс по аспектам, касающимся понимания, определения и классификации явления наемничества.  Этот прогресс должен способствовать повышению эффективности международных мер в области борьбы с деятельностью наемников и наемничеством.</w:t>
      </w:r>
    </w:p>
    <w:p w:rsidR="00000000" w:rsidRDefault="00000000"/>
    <w:p w:rsidR="00000000" w:rsidRDefault="00000000">
      <w:r>
        <w:t>72.</w:t>
      </w:r>
      <w:r>
        <w:tab/>
        <w:t>Специальный докладчик продолжал свое исследование с целью предложить Комиссии на ее шестидесятой сессии обновленное юридическое определение понятия "наемник".  Сделанный им обзор ряда концептуальных элементов этого определения содержится в главе III настоящего доклада.</w:t>
      </w:r>
    </w:p>
    <w:p w:rsidR="00000000" w:rsidRDefault="00000000"/>
    <w:p w:rsidR="00000000" w:rsidRDefault="00000000">
      <w:r>
        <w:t>73.</w:t>
      </w:r>
      <w:r>
        <w:tab/>
        <w:t>Хотя Международная конвенция вступила в силу 20 октября 2001 года, к настоящему моменту ее участниками являются только 24 государства.  Учитывая размах, активизацию и разнообразие наемничества, необходимо обеспечить увеличение числа ее государств-участников, с тем чтобы добиться большей эффективности в деле предупреждения и пресечения такой деятельности.</w:t>
      </w:r>
    </w:p>
    <w:p w:rsidR="00000000" w:rsidRDefault="00000000"/>
    <w:p w:rsidR="00000000" w:rsidRDefault="00000000">
      <w:pPr>
        <w:jc w:val="center"/>
        <w:rPr>
          <w:b/>
          <w:bCs/>
        </w:rPr>
      </w:pPr>
      <w:r>
        <w:rPr>
          <w:b/>
          <w:bCs/>
          <w:lang w:val="en-US"/>
        </w:rPr>
        <w:t>VIII</w:t>
      </w:r>
      <w:r>
        <w:rPr>
          <w:b/>
          <w:bCs/>
        </w:rPr>
        <w:t>.   РЕКОМЕНДАЦИИ</w:t>
      </w:r>
    </w:p>
    <w:p w:rsidR="00000000" w:rsidRDefault="00000000">
      <w:pPr>
        <w:jc w:val="center"/>
        <w:rPr>
          <w:b/>
          <w:bCs/>
          <w:sz w:val="16"/>
        </w:rPr>
      </w:pPr>
    </w:p>
    <w:p w:rsidR="00000000" w:rsidRDefault="00000000">
      <w:r>
        <w:t>74.</w:t>
      </w:r>
      <w:r>
        <w:tab/>
        <w:t xml:space="preserve">Комиссии по правам человека рекомендуется в соответствии с занятым подходом вновь подтвердить свою позицию, состоящую в решительном осуждении </w:t>
      </w:r>
      <w:proofErr w:type="spellStart"/>
      <w:r>
        <w:t>наемничества</w:t>
      </w:r>
      <w:proofErr w:type="spellEnd"/>
      <w:r>
        <w:t xml:space="preserve">;  сообщить об утвержденных ею новых методах работы и о контактах и сферах деятельности, к которым они в настоящее время применяются;  а также вновь подтвердить, что </w:t>
      </w:r>
      <w:proofErr w:type="spellStart"/>
      <w:r>
        <w:t>наемничество</w:t>
      </w:r>
      <w:proofErr w:type="spellEnd"/>
      <w:r>
        <w:t xml:space="preserve"> противоречит целям и принципам Организации Объединенных Наций и не совместимо с правами человека.</w:t>
      </w:r>
    </w:p>
    <w:p w:rsidR="00000000" w:rsidRDefault="00000000"/>
    <w:p w:rsidR="00000000" w:rsidRDefault="00000000">
      <w:r>
        <w:t>75.</w:t>
      </w:r>
      <w:r>
        <w:tab/>
        <w:t>Аналогичным образом, Комиссии следует призвать все государства недвусмысленно заявить о своем решительном осуждении наемничества, с тем чтобы исключить какую</w:t>
      </w:r>
      <w:r>
        <w:noBreakHyphen/>
        <w:t>либо терпимость в отношении попыток использовать их территорию для организации, планирования, подготовки, поддержки или финансирования деятельности наемников.  Необходимо четко предусмотреть во внутреннем праве запрещение какой</w:t>
      </w:r>
      <w:r>
        <w:noBreakHyphen/>
        <w:t>либо формы деятельности по вербовке, использованию, финансированию, сосредоточению или подготовке наемников и определить наказания за такую деятельность.  Это должно охватывать любые формы вербовки, подготовки, найма или финансирования наемников частными фирмами, которые предлагают на международном рынке услуги в области военной помощи и безопасности;  необходимо также недвусмысленно запретить этим фирмам вмешиваться в вооруженные конфликты или участвовать в действиях по дестабилизации конституционных режимов.</w:t>
      </w:r>
    </w:p>
    <w:p w:rsidR="00000000" w:rsidRDefault="00000000"/>
    <w:p w:rsidR="00000000" w:rsidRDefault="00000000">
      <w:r>
        <w:t>76.</w:t>
      </w:r>
      <w:r>
        <w:tab/>
        <w:t>Учитывая факты использования наемников для совершения террористических актов, рекомендуется включить этот аспект в аналитические материалы, последующие меры и резолюции Организации Объединенных Наций, направленные на борьбу с терроризмом.  Такую же задачу следует предусмотреть в национальном законодательстве.  Специальный докладчик будет и впредь следить за изменениями в антитеррористическом законодательстве и координировать свои усилия с механизмами Организации Объединенных Наций, занимающимися вопросами борьбы с этим бедствием.</w:t>
      </w:r>
    </w:p>
    <w:p w:rsidR="00000000" w:rsidRDefault="00000000"/>
    <w:p w:rsidR="00000000" w:rsidRDefault="00000000">
      <w:r>
        <w:t>77.</w:t>
      </w:r>
      <w:r>
        <w:tab/>
        <w:t>Кроме того, рекомендуется уделить особое внимание участию наемников в нелегальной торговле оружием, которая подпитывает вооруженные конфликты и способствует их продолжению, и пресекать такую деятельность.  По мере приобретения опыта в этом деле наемники наращивают интенсивность и масштабы своих операций по осуществлению такой нелегальной торговли.  В этой связи следует более предметно заняться разработкой нормативных документов, предусматривающих эффективное преследование за эту нелегальную торговлю, и мобилизовать политическую волю государств к ее действенному пресечению.</w:t>
      </w:r>
    </w:p>
    <w:p w:rsidR="00000000" w:rsidRDefault="00000000"/>
    <w:p w:rsidR="00000000" w:rsidRDefault="00000000">
      <w:r>
        <w:t>78.</w:t>
      </w:r>
      <w:r>
        <w:tab/>
        <w:t>Комиссии следует уделить особое внимание последним сообщениям о сосредоточении наемников в Африке, особенно в западной части этого континента;  подтвердить свою полную поддержку права на самоопределение народов на этом континенте;  осудить неправомерное использование его ресурсов чуждыми для континента силами и грубое нарушение прав человека африканских народов, состоящее в такой эксплуатации ресурсов, с учетом его последствий для нынешних и будущих поколений народов Африки.</w:t>
      </w:r>
    </w:p>
    <w:p w:rsidR="00000000" w:rsidRDefault="00000000"/>
    <w:p w:rsidR="00000000" w:rsidRDefault="00000000">
      <w:r>
        <w:t>79.</w:t>
      </w:r>
      <w:r>
        <w:tab/>
        <w:t>Рекомендуется активизировать расследования Специального докладчика в связи с возможным наличием политических групп, сотрудничающих с сетями наемников, которые действуют с различных территорий Северной и Центральной Америки и Карибского бассейна, при этом грубо нарушая национальные законы и международные нормы, с целью подрыва стабильности конституционных правительств, что особенно затрагивает правительство Кубы.  Такая экстремистская деятельность противоречит как Уставу Организации Объединенных Наций, так и договорам, регулирующим взаимоотношения в межамериканской системе.  Поэтому Комиссии надлежит, наряду с необходимостью строгого соблюдения прав человека, вновь подтвердить необходимость защиты принципов самоопределения народов и невмешательства во внутренние дела государств.</w:t>
      </w:r>
    </w:p>
    <w:p w:rsidR="00000000" w:rsidRDefault="00000000"/>
    <w:p w:rsidR="00000000" w:rsidRDefault="00000000">
      <w:r>
        <w:t>80.</w:t>
      </w:r>
      <w:r>
        <w:tab/>
        <w:t>После вступления в силу Международной конвенции о борьбе с вербовкой, использованием, финансированием и обучением наемников Комиссии рекомендуется вновь предложить государствам, которые еще не стали ее участниками, ратифицировать Конвенцию или присоединиться к ней с целью более широкого отражения общей заинтересованности государств в предупреждении и искоренении деятельности наемников и привлечении к ответственности за нее.  В то же время она должна предложить государствам-членам пересмотреть свое национальное законодательство на предмет его согласования с этим международным договором.</w:t>
      </w:r>
    </w:p>
    <w:p w:rsidR="00000000" w:rsidRDefault="00000000"/>
    <w:p w:rsidR="00000000" w:rsidRDefault="00000000"/>
    <w:p w:rsidR="00000000" w:rsidRDefault="00000000">
      <w:pPr>
        <w:pStyle w:val="16"/>
        <w:tabs>
          <w:tab w:val="left" w:pos="567"/>
          <w:tab w:val="left" w:pos="1134"/>
          <w:tab w:val="left" w:pos="1701"/>
          <w:tab w:val="left" w:pos="2268"/>
          <w:tab w:val="left" w:pos="6237"/>
        </w:tabs>
      </w:pPr>
      <w:r>
        <w:t>-----</w:t>
      </w:r>
    </w:p>
    <w:p w:rsidR="00000000" w:rsidRDefault="00000000">
      <w:pPr>
        <w:jc w:val="center"/>
      </w:pPr>
    </w:p>
    <w:sectPr w:rsidR="00000000">
      <w:headerReference w:type="even" r:id="rId8"/>
      <w:headerReference w:type="default" r:id="rId9"/>
      <w:type w:val="continuous"/>
      <w:pgSz w:w="11906" w:h="16838"/>
      <w:pgMar w:top="851" w:right="851" w:bottom="1701" w:left="1701" w:header="851" w:footer="851" w:gutter="0"/>
      <w:cols w:space="720"/>
      <w:formProt w:val="0"/>
      <w:noEndnote/>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spacing w:line="240" w:lineRule="auto"/>
      <w:rPr>
        <w:lang w:val="en-US"/>
      </w:rPr>
    </w:pPr>
    <w:r>
      <w:rPr>
        <w:lang w:val="en-US"/>
      </w:rPr>
      <w:t>E/CN.4/2003/16</w:t>
    </w:r>
  </w:p>
  <w:p w:rsidR="00000000" w:rsidRDefault="00000000">
    <w:pPr>
      <w:pStyle w:val="Header"/>
      <w:spacing w:line="240" w:lineRule="auto"/>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000000" w:rsidRDefault="00000000">
    <w:pPr>
      <w:pStyle w:val="Header"/>
      <w:spacing w:line="240" w:lineRule="auto"/>
      <w:rPr>
        <w:rStyle w:val="PageNumber"/>
        <w:lang w:val="en-US"/>
      </w:rPr>
    </w:pPr>
  </w:p>
  <w:p w:rsidR="00000000" w:rsidRDefault="00000000">
    <w:pPr>
      <w:pStyle w:val="Header"/>
      <w:spacing w:line="240" w:lineRule="auto"/>
      <w:rPr>
        <w:lang w:val="en-US"/>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left" w:pos="7088"/>
      </w:tabs>
      <w:spacing w:line="240" w:lineRule="auto"/>
      <w:rPr>
        <w:lang w:val="en-US"/>
      </w:rPr>
    </w:pPr>
    <w:r>
      <w:rPr>
        <w:lang w:val="en-US"/>
      </w:rPr>
      <w:tab/>
    </w:r>
    <w:r>
      <w:rPr>
        <w:lang w:val="en-US"/>
      </w:rPr>
      <w:tab/>
      <w:t>E/CN.4/2003/16</w:t>
    </w:r>
  </w:p>
  <w:p w:rsidR="00000000" w:rsidRDefault="00000000">
    <w:pPr>
      <w:pStyle w:val="Header"/>
      <w:tabs>
        <w:tab w:val="left" w:pos="7088"/>
      </w:tabs>
      <w:spacing w:line="240" w:lineRule="auto"/>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27</w:t>
    </w:r>
    <w:r>
      <w:rPr>
        <w:rStyle w:val="PageNumber"/>
      </w:rPr>
      <w:fldChar w:fldCharType="end"/>
    </w:r>
  </w:p>
  <w:p w:rsidR="00000000" w:rsidRDefault="00000000">
    <w:pPr>
      <w:pStyle w:val="Header"/>
      <w:tabs>
        <w:tab w:val="left" w:pos="6237"/>
      </w:tabs>
      <w:spacing w:line="240" w:lineRule="auto"/>
      <w:rPr>
        <w:rStyle w:val="PageNumber"/>
        <w:lang w:val="en-US"/>
      </w:rPr>
    </w:pPr>
  </w:p>
  <w:p w:rsidR="00000000" w:rsidRDefault="00000000">
    <w:pPr>
      <w:pStyle w:val="Header"/>
      <w:tabs>
        <w:tab w:val="left" w:pos="6237"/>
      </w:tabs>
      <w:spacing w:line="240" w:lineRule="auto"/>
      <w:rPr>
        <w:lang w:val="en-U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FD37597"/>
    <w:multiLevelType w:val="singleLevel"/>
    <w:tmpl w:val="EC5ADA94"/>
    <w:lvl w:ilvl="0">
      <w:start w:val="1"/>
      <w:numFmt w:val="decimal"/>
      <w:pStyle w:val="a"/>
      <w:lvlText w:val="%1."/>
      <w:lvlJc w:val="left"/>
      <w:pPr>
        <w:tabs>
          <w:tab w:val="num" w:pos="405"/>
        </w:tabs>
        <w:ind w:left="405" w:hanging="360"/>
      </w:pPr>
      <w:rPr>
        <w:rFonts w:hint="default"/>
      </w:rPr>
    </w:lvl>
  </w:abstractNum>
  <w:num w:numId="1">
    <w:abstractNumId w:val="0"/>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90"/>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rPr>
  </w:style>
  <w:style w:type="paragraph" w:styleId="Heading1">
    <w:name w:val="heading 1"/>
    <w:basedOn w:val="Normal"/>
    <w:next w:val="Normal"/>
    <w:qFormat/>
    <w:pPr>
      <w:keepNext/>
      <w:outlineLvl w:val="0"/>
    </w:pPr>
    <w:rPr>
      <w:b/>
      <w:kern w:val="28"/>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tabs>
        <w:tab w:val="clear" w:pos="567"/>
        <w:tab w:val="clear" w:pos="1134"/>
        <w:tab w:val="clear" w:pos="1701"/>
        <w:tab w:val="clear" w:pos="2268"/>
        <w:tab w:val="right" w:pos="4458"/>
        <w:tab w:val="right" w:pos="4740"/>
      </w:tabs>
      <w:suppressAutoHyphens/>
      <w:spacing w:line="216" w:lineRule="auto"/>
      <w:jc w:val="right"/>
      <w:outlineLvl w:val="3"/>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0">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a">
    <w:name w:val="текст"/>
    <w:basedOn w:val="Normal"/>
    <w:pPr>
      <w:numPr>
        <w:numId w:val="2"/>
      </w:numPr>
      <w:spacing w:line="240" w:lineRule="auto"/>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pPr>
  </w:style>
  <w:style w:type="character" w:styleId="PageNumber">
    <w:name w:val="page number"/>
    <w:basedOn w:val="DefaultParagraphFont"/>
    <w:semiHidden/>
  </w:style>
  <w:style w:type="paragraph" w:styleId="FootnoteText">
    <w:name w:val="footnote text"/>
    <w:basedOn w:val="Normal"/>
    <w:semiHidden/>
    <w:pPr>
      <w:tabs>
        <w:tab w:val="left" w:pos="567"/>
        <w:tab w:val="left" w:pos="1134"/>
        <w:tab w:val="left" w:pos="1701"/>
        <w:tab w:val="left" w:pos="2268"/>
        <w:tab w:val="left" w:pos="6237"/>
      </w:tabs>
      <w:spacing w:line="240" w:lineRule="auto"/>
    </w:pPr>
  </w:style>
  <w:style w:type="paragraph" w:customStyle="1" w:styleId="10">
    <w:name w:val="Заголовок 10"/>
    <w:basedOn w:val="Title"/>
    <w:pPr>
      <w:tabs>
        <w:tab w:val="left" w:pos="567"/>
        <w:tab w:val="left" w:pos="1134"/>
        <w:tab w:val="left" w:pos="1701"/>
        <w:tab w:val="left" w:pos="2268"/>
        <w:tab w:val="left" w:pos="6237"/>
      </w:tabs>
      <w:spacing w:before="0" w:after="0"/>
      <w:outlineLvl w:val="9"/>
    </w:pPr>
    <w:rPr>
      <w:rFonts w:ascii="Times New Roman" w:hAnsi="Times New Roman" w:cs="Times New Roman"/>
      <w:bCs w:val="0"/>
      <w:kern w:val="0"/>
      <w:sz w:val="24"/>
      <w:szCs w:val="20"/>
    </w:rPr>
  </w:style>
  <w:style w:type="paragraph" w:customStyle="1" w:styleId="11">
    <w:name w:val="Заголовок 11"/>
    <w:basedOn w:val="Subtitle"/>
    <w:pPr>
      <w:tabs>
        <w:tab w:val="left" w:pos="567"/>
        <w:tab w:val="left" w:pos="1134"/>
        <w:tab w:val="left" w:pos="1701"/>
        <w:tab w:val="left" w:pos="2268"/>
        <w:tab w:val="left" w:pos="6237"/>
      </w:tabs>
      <w:spacing w:after="0"/>
      <w:outlineLvl w:val="9"/>
    </w:pPr>
    <w:rPr>
      <w:rFonts w:ascii="Times New Roman" w:hAnsi="Times New Roman" w:cs="Times New Roman"/>
      <w:szCs w:val="20"/>
      <w:u w:val="single"/>
    </w:rPr>
  </w:style>
  <w:style w:type="paragraph" w:customStyle="1" w:styleId="16">
    <w:name w:val="Заголовок 16"/>
    <w:basedOn w:val="Normal"/>
    <w:pPr>
      <w:tabs>
        <w:tab w:val="left" w:pos="567"/>
        <w:tab w:val="left" w:pos="1134"/>
        <w:tab w:val="left" w:pos="1701"/>
        <w:tab w:val="left" w:pos="2268"/>
        <w:tab w:val="left" w:pos="6237"/>
      </w:tabs>
      <w:jc w:val="center"/>
    </w:p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Subtitle">
    <w:name w:val="Subtitle"/>
    <w:basedOn w:val="Normal"/>
    <w:qFormat/>
    <w:pPr>
      <w:spacing w:after="60"/>
      <w:jc w:val="center"/>
      <w:outlineLvl w:val="1"/>
    </w:pPr>
    <w:rPr>
      <w:rFonts w:ascii="Arial" w:hAnsi="Arial" w:cs="Arial"/>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2</TotalTime>
  <Pages>1</Pages>
  <Words>9947</Words>
  <Characters>56701</Characters>
  <Application>Microsoft Office Outlook</Application>
  <DocSecurity>4</DocSecurity>
  <Lines>472</Lines>
  <Paragraphs>113</Paragraphs>
  <ScaleCrop>false</ScaleCrop>
  <HeadingPairs>
    <vt:vector size="2" baseType="variant">
      <vt:variant>
        <vt:lpstr>Название</vt:lpstr>
      </vt:variant>
      <vt:variant>
        <vt:i4>1</vt:i4>
      </vt:variant>
    </vt:vector>
  </HeadingPairs>
  <TitlesOfParts>
    <vt:vector size="1" baseType="lpstr">
      <vt:lpstr>15707.01</vt:lpstr>
    </vt:vector>
  </TitlesOfParts>
  <Company> </Company>
  <LinksUpToDate>false</LinksUpToDate>
  <CharactersWithSpaces>69632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15707.01</dc:title>
  <dc:subject>Клоков</dc:subject>
  <dc:creator>Черняева</dc:creator>
  <cp:keywords/>
  <dc:description/>
  <cp:lastModifiedBy>Tatiana TCHERNIAEVA</cp:lastModifiedBy>
  <cp:revision>4</cp:revision>
  <cp:lastPrinted>2003-01-22T12:07:00Z</cp:lastPrinted>
  <dcterms:created xsi:type="dcterms:W3CDTF">2003-01-22T12:06:00Z</dcterms:created>
  <dcterms:modified xsi:type="dcterms:W3CDTF">2003-01-22T12:08:00Z</dcterms:modified>
</cp:coreProperties>
</file>