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F651105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1231473" w14:textId="77777777" w:rsidR="002D5AAC" w:rsidRDefault="002D5AAC" w:rsidP="00D179E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9D4702B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5E00D24" w14:textId="44B7685A" w:rsidR="002D5AAC" w:rsidRDefault="00D179EB" w:rsidP="00D179EB">
            <w:pPr>
              <w:jc w:val="right"/>
            </w:pPr>
            <w:r w:rsidRPr="00D179EB">
              <w:rPr>
                <w:sz w:val="40"/>
              </w:rPr>
              <w:t>CMW</w:t>
            </w:r>
            <w:r w:rsidRPr="00D179EB">
              <w:t>/C/PRY/CO/2</w:t>
            </w:r>
          </w:p>
        </w:tc>
      </w:tr>
      <w:tr w:rsidR="002D5AAC" w:rsidRPr="009F0A39" w14:paraId="1F74B7A6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4AB8DE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66F91A3" wp14:editId="3133227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A3047F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7BDA848" w14:textId="3E8ECAEA" w:rsidR="002D5AAC" w:rsidRPr="00D179EB" w:rsidRDefault="00D179EB" w:rsidP="007A2AE0">
            <w:pPr>
              <w:spacing w:before="240"/>
              <w:rPr>
                <w:lang w:val="en-US"/>
              </w:rPr>
            </w:pPr>
            <w:r w:rsidRPr="00D179EB">
              <w:rPr>
                <w:lang w:val="en-US"/>
              </w:rPr>
              <w:t xml:space="preserve">Distr.: </w:t>
            </w:r>
            <w:r w:rsidRPr="00D179EB">
              <w:rPr>
                <w:lang w:val="en-GB"/>
              </w:rPr>
              <w:t>General</w:t>
            </w:r>
          </w:p>
          <w:p w14:paraId="4B27AB0B" w14:textId="43B555E2" w:rsidR="00D179EB" w:rsidRPr="00D179EB" w:rsidRDefault="00D179EB" w:rsidP="00D179EB">
            <w:pPr>
              <w:spacing w:line="240" w:lineRule="exact"/>
              <w:rPr>
                <w:lang w:val="en-US"/>
              </w:rPr>
            </w:pPr>
            <w:r w:rsidRPr="00D179EB">
              <w:rPr>
                <w:rFonts w:eastAsia="Times New Roman" w:cs="Times New Roman"/>
                <w:szCs w:val="20"/>
                <w:lang w:val="en-GB"/>
              </w:rPr>
              <w:t>3 June 2022</w:t>
            </w:r>
          </w:p>
          <w:p w14:paraId="3BB95CD6" w14:textId="77777777" w:rsidR="00D179EB" w:rsidRPr="00D179EB" w:rsidRDefault="00D179EB" w:rsidP="00D179EB">
            <w:pPr>
              <w:spacing w:line="240" w:lineRule="exact"/>
              <w:rPr>
                <w:lang w:val="en-US"/>
              </w:rPr>
            </w:pPr>
            <w:r w:rsidRPr="00D179EB">
              <w:rPr>
                <w:lang w:val="en-US"/>
              </w:rPr>
              <w:t>Russian</w:t>
            </w:r>
          </w:p>
          <w:p w14:paraId="2CF072E6" w14:textId="04A569E2" w:rsidR="00D179EB" w:rsidRPr="00D179EB" w:rsidRDefault="00D179EB" w:rsidP="00D179EB">
            <w:pPr>
              <w:spacing w:line="240" w:lineRule="exact"/>
              <w:rPr>
                <w:lang w:val="en-US"/>
              </w:rPr>
            </w:pPr>
            <w:r w:rsidRPr="00D179EB">
              <w:rPr>
                <w:lang w:val="en-US"/>
              </w:rPr>
              <w:t xml:space="preserve">Original: </w:t>
            </w:r>
            <w:r w:rsidRPr="00D179EB">
              <w:rPr>
                <w:rFonts w:eastAsia="Times New Roman" w:cs="Times New Roman"/>
                <w:szCs w:val="20"/>
                <w:lang w:val="en-GB"/>
              </w:rPr>
              <w:t>Spanish</w:t>
            </w:r>
          </w:p>
        </w:tc>
      </w:tr>
    </w:tbl>
    <w:p w14:paraId="4C0F047E" w14:textId="37DA1A69" w:rsidR="00D179EB" w:rsidRPr="00D179EB" w:rsidRDefault="00D179EB" w:rsidP="00D179EB">
      <w:pPr>
        <w:suppressAutoHyphens w:val="0"/>
        <w:spacing w:before="120"/>
        <w:rPr>
          <w:rFonts w:eastAsia="SimSun" w:cs="Times New Roman"/>
          <w:b/>
          <w:sz w:val="24"/>
          <w:szCs w:val="24"/>
          <w:lang w:val="es-ES" w:eastAsia="es-ES"/>
        </w:rPr>
      </w:pPr>
      <w:r w:rsidRPr="00D179EB">
        <w:rPr>
          <w:rFonts w:eastAsia="SimSun" w:cs="Times New Roman"/>
          <w:b/>
          <w:bCs/>
          <w:sz w:val="24"/>
          <w:szCs w:val="24"/>
          <w:lang w:eastAsia="es-ES"/>
        </w:rPr>
        <w:t>Комитет по защите прав всех трудящихся-</w:t>
      </w:r>
      <w:r>
        <w:rPr>
          <w:rFonts w:eastAsia="SimSun" w:cs="Times New Roman"/>
          <w:b/>
          <w:bCs/>
          <w:sz w:val="24"/>
          <w:szCs w:val="24"/>
          <w:lang w:eastAsia="es-ES"/>
        </w:rPr>
        <w:br/>
      </w:r>
      <w:r w:rsidRPr="00D179EB">
        <w:rPr>
          <w:rFonts w:eastAsia="SimSun" w:cs="Times New Roman"/>
          <w:b/>
          <w:bCs/>
          <w:sz w:val="24"/>
          <w:szCs w:val="24"/>
          <w:lang w:eastAsia="es-ES"/>
        </w:rPr>
        <w:t>мигрантов и членов их семей</w:t>
      </w:r>
    </w:p>
    <w:p w14:paraId="772C2113" w14:textId="77777777" w:rsidR="00D179EB" w:rsidRPr="00D179EB" w:rsidRDefault="00D179EB" w:rsidP="00D179EB">
      <w:pPr>
        <w:pStyle w:val="HCh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Заключительные замечания по второму периодическому докладу Парагвая</w:t>
      </w:r>
      <w:r w:rsidRPr="00D179EB">
        <w:rPr>
          <w:rFonts w:eastAsia="SimSun"/>
          <w:b w:val="0"/>
          <w:bCs/>
          <w:position w:val="6"/>
          <w:sz w:val="20"/>
        </w:rPr>
        <w:footnoteReference w:customMarkFollows="1" w:id="1"/>
        <w:t>*</w:t>
      </w:r>
    </w:p>
    <w:p w14:paraId="72FDC4CB" w14:textId="62626AA6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bookmarkStart w:id="0" w:name="_Hlk98746163"/>
      <w:r w:rsidRPr="00D179EB">
        <w:rPr>
          <w:rFonts w:eastAsia="SimSun" w:cs="Times New Roman"/>
          <w:szCs w:val="20"/>
          <w:lang w:eastAsia="es-ES"/>
        </w:rPr>
        <w:t>1.</w:t>
      </w:r>
      <w:r w:rsidRPr="00D179EB">
        <w:rPr>
          <w:rFonts w:eastAsia="SimSun" w:cs="Times New Roman"/>
          <w:szCs w:val="20"/>
          <w:lang w:eastAsia="es-ES"/>
        </w:rPr>
        <w:tab/>
        <w:t>Комитет рассмотрел второй периодический доклад Парагвая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2"/>
      </w:r>
      <w:r w:rsidRPr="00D179EB">
        <w:rPr>
          <w:rFonts w:eastAsia="SimSun" w:cs="Times New Roman"/>
          <w:szCs w:val="20"/>
          <w:lang w:eastAsia="es-ES"/>
        </w:rPr>
        <w:t xml:space="preserve"> на своих 484-м</w:t>
      </w:r>
      <w:r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и 485-м заседаниях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3"/>
      </w:r>
      <w:r w:rsidRPr="00D179EB">
        <w:rPr>
          <w:rFonts w:eastAsia="SimSun" w:cs="Times New Roman"/>
          <w:szCs w:val="20"/>
          <w:lang w:eastAsia="es-ES"/>
        </w:rPr>
        <w:t>, состоявшихся 4 и 5 апреля 2022</w:t>
      </w:r>
      <w:r w:rsidR="00BB3A5E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szCs w:val="20"/>
          <w:lang w:eastAsia="es-ES"/>
        </w:rPr>
        <w:t>года, и на своем 492-м заседании, состоявшемся 8 апреля 2022 года, принял следующие заключительные замечания.</w:t>
      </w:r>
    </w:p>
    <w:bookmarkEnd w:id="0"/>
    <w:p w14:paraId="0C73995C" w14:textId="0760CB7E" w:rsidR="00D179EB" w:rsidRPr="00D179EB" w:rsidRDefault="00D179EB" w:rsidP="00D179EB">
      <w:pPr>
        <w:pStyle w:val="H1G"/>
        <w:rPr>
          <w:rFonts w:eastAsia="SimSun"/>
          <w:lang w:val="es-ES"/>
        </w:rPr>
      </w:pPr>
      <w:r>
        <w:rPr>
          <w:rFonts w:eastAsia="SimSun"/>
        </w:rPr>
        <w:tab/>
      </w:r>
      <w:r w:rsidRPr="00D179EB">
        <w:rPr>
          <w:rFonts w:eastAsia="SimSun"/>
        </w:rPr>
        <w:t>A.</w:t>
      </w:r>
      <w:r w:rsidRPr="00D179EB">
        <w:rPr>
          <w:rFonts w:eastAsia="SimSun"/>
        </w:rPr>
        <w:tab/>
        <w:t>Введение</w:t>
      </w:r>
    </w:p>
    <w:p w14:paraId="49CF0A68" w14:textId="77DA140C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bookmarkStart w:id="1" w:name="_Hlk98746071"/>
      <w:r w:rsidRPr="00D179EB">
        <w:rPr>
          <w:rFonts w:eastAsia="SimSun" w:cs="Times New Roman"/>
          <w:szCs w:val="20"/>
          <w:lang w:eastAsia="es-ES"/>
        </w:rPr>
        <w:t>2.</w:t>
      </w:r>
      <w:r w:rsidRPr="00D179EB">
        <w:rPr>
          <w:rFonts w:eastAsia="SimSun" w:cs="Times New Roman"/>
          <w:szCs w:val="20"/>
          <w:lang w:eastAsia="es-ES"/>
        </w:rPr>
        <w:tab/>
        <w:t>Комитет приветствует представление второго периодического доклада государства-участника, который был подготовлен в ответ на перечень вопросов, составленный до представления доклада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4"/>
      </w:r>
      <w:r w:rsidRPr="00D179EB">
        <w:rPr>
          <w:rFonts w:eastAsia="SimSun" w:cs="Times New Roman"/>
          <w:szCs w:val="20"/>
          <w:lang w:eastAsia="es-ES"/>
        </w:rPr>
        <w:t>, а также дополнительную информацию, представленную в ходе диалога делегацией, которую возглавлял заместитель министра юстиции Эдгар Табоада Инсфран в сопровождении поверенного в делах Постоянного представительства Парагвая при Отделении Организации Объединенных Наций и других международных организациях в Женеве, посла Хулио Перальты.</w:t>
      </w:r>
      <w:r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В состав делегации также входили представители Главного управления по вопросам миграции при Министерстве внутренних дел, Секретариата по делам репатриированных и получивших убежище соотечественников, Министерства иностранных дел и Постоянного представительства Парагвая при Отделении Организации Объединенных Наций и других международных организациях в Женеве.</w:t>
      </w:r>
    </w:p>
    <w:bookmarkEnd w:id="1"/>
    <w:p w14:paraId="26CF0329" w14:textId="04400E65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3.</w:t>
      </w:r>
      <w:r w:rsidRPr="00D179EB">
        <w:rPr>
          <w:rFonts w:eastAsia="SimSun" w:cs="Times New Roman"/>
          <w:szCs w:val="20"/>
          <w:lang w:eastAsia="es-ES"/>
        </w:rPr>
        <w:tab/>
        <w:t>Комитет высоко оценивает открытый и конструктивный диалог, состоявшийся с делегацией, а также полученную от представителей государства-участника информацию и конструктивное взаимодействие в ходе заседаний, позволившее совместно проанализировать и обсудить различные вопросы.</w:t>
      </w:r>
    </w:p>
    <w:p w14:paraId="6EB90B64" w14:textId="2874D9E3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4.</w:t>
      </w:r>
      <w:r w:rsidRPr="00D179EB">
        <w:rPr>
          <w:rFonts w:eastAsia="SimSun" w:cs="Times New Roman"/>
          <w:szCs w:val="20"/>
          <w:lang w:eastAsia="es-ES"/>
        </w:rPr>
        <w:tab/>
        <w:t>Признавая, что Парагвай, как страна происхождения трудящихся-мигрантов, добился прогресса в защите прав своих граждан за рубежом, Комитет отмечает, что государство-участник сталкивается с рядом проблем, связанных с защитой прав трудящихся-мигрантов и членов их семей в качестве страны транзита, возвращения и назначения.</w:t>
      </w:r>
    </w:p>
    <w:p w14:paraId="4BF6F0D1" w14:textId="046124C6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сведению, что парагвайцы в числе прочего проживают в ряде стран, входящих в Общий рынок Юга (МЕРКОСУР) и</w:t>
      </w:r>
      <w:r>
        <w:rPr>
          <w:rFonts w:eastAsia="SimSun" w:cs="Times New Roman"/>
          <w:szCs w:val="20"/>
          <w:lang w:eastAsia="es-ES"/>
        </w:rPr>
        <w:t>,</w:t>
      </w:r>
      <w:r w:rsidRPr="00D179EB">
        <w:rPr>
          <w:rFonts w:eastAsia="SimSun" w:cs="Times New Roman"/>
          <w:szCs w:val="20"/>
          <w:lang w:eastAsia="es-ES"/>
        </w:rPr>
        <w:t xml:space="preserve"> следовательно, могут пользоваться преимуществами, предусмотренными соглашениями МЕРКОСУР.</w:t>
      </w:r>
    </w:p>
    <w:p w14:paraId="5B815492" w14:textId="4B2B2DAB" w:rsidR="00D179EB" w:rsidRPr="00D179EB" w:rsidRDefault="00D179EB" w:rsidP="00D179EB">
      <w:pPr>
        <w:pStyle w:val="H1G"/>
        <w:rPr>
          <w:rFonts w:eastAsia="SimSun"/>
          <w:lang w:val="es-ES"/>
        </w:rPr>
      </w:pPr>
      <w:r>
        <w:rPr>
          <w:rFonts w:eastAsia="SimSun"/>
        </w:rPr>
        <w:lastRenderedPageBreak/>
        <w:tab/>
      </w:r>
      <w:r w:rsidRPr="00D179EB">
        <w:rPr>
          <w:rFonts w:eastAsia="SimSun"/>
        </w:rPr>
        <w:t>B.</w:t>
      </w:r>
      <w:r w:rsidRPr="00D179EB">
        <w:rPr>
          <w:rFonts w:eastAsia="SimSun"/>
        </w:rPr>
        <w:tab/>
        <w:t>Позитивные аспекты</w:t>
      </w:r>
    </w:p>
    <w:p w14:paraId="0B964C4B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6.</w:t>
      </w:r>
      <w:r w:rsidRPr="00D179EB">
        <w:rPr>
          <w:rFonts w:eastAsia="SimSun" w:cs="Times New Roman"/>
          <w:szCs w:val="20"/>
          <w:lang w:eastAsia="es-ES"/>
        </w:rPr>
        <w:tab/>
        <w:t>Комитет приветствует усилия государства-участника и принятые им меры по поощрению и защите прав трудящихся-мигрантов и членов их семей. Комитет также с удовлетворением отмечает гуманитарный прием государством-участником венесуэльских мигрантов и беженцев. В частности, Комитет приветствует:</w:t>
      </w:r>
    </w:p>
    <w:p w14:paraId="1FF99843" w14:textId="28021B85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a)</w:t>
      </w:r>
      <w:r w:rsidRPr="00D179EB">
        <w:rPr>
          <w:rFonts w:eastAsia="SimSun" w:cs="Times New Roman"/>
          <w:szCs w:val="20"/>
          <w:lang w:eastAsia="es-ES"/>
        </w:rPr>
        <w:tab/>
        <w:t>ратификацию в ноябре 2021 года Конвенции Международной организации труда (МОТ) 1994 года о работе на условиях неполного рабочего</w:t>
      </w:r>
      <w:r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времени (№ 175), которая вступит в силу для Парагвая в ноябре 2022 года;</w:t>
      </w:r>
      <w:bookmarkStart w:id="2" w:name="_Hlk104909953"/>
      <w:bookmarkEnd w:id="2"/>
    </w:p>
    <w:p w14:paraId="455312F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b)</w:t>
      </w:r>
      <w:r w:rsidRPr="00D179EB">
        <w:rPr>
          <w:rFonts w:eastAsia="SimSun" w:cs="Times New Roman"/>
          <w:szCs w:val="20"/>
          <w:lang w:eastAsia="es-ES"/>
        </w:rPr>
        <w:tab/>
        <w:t>ратификацию в октябре 2021 года Конвенции МОТ 1952 года о минимальных нормах социального обеспечения (№ 102), которая вступит в силу для Парагвая в октябре 2022 года;</w:t>
      </w:r>
    </w:p>
    <w:p w14:paraId="1F0B524B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c)</w:t>
      </w:r>
      <w:r w:rsidRPr="00D179EB">
        <w:rPr>
          <w:rFonts w:eastAsia="SimSun" w:cs="Times New Roman"/>
          <w:szCs w:val="20"/>
          <w:lang w:eastAsia="es-ES"/>
        </w:rPr>
        <w:tab/>
        <w:t>присоединение в январе 2017 года к Факультативному протоколу к Конвенции о правах ребенка, касающемуся процедуры сообщений;</w:t>
      </w:r>
    </w:p>
    <w:p w14:paraId="1060C271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d)</w:t>
      </w:r>
      <w:r w:rsidRPr="00D179EB">
        <w:rPr>
          <w:rFonts w:eastAsia="SimSun" w:cs="Times New Roman"/>
          <w:szCs w:val="20"/>
          <w:lang w:eastAsia="es-ES"/>
        </w:rPr>
        <w:tab/>
        <w:t>присоединение в июле 2014 года к Конвенции 1954 года о статусе апатридов;</w:t>
      </w:r>
    </w:p>
    <w:p w14:paraId="6B102F8E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e)</w:t>
      </w:r>
      <w:r w:rsidRPr="00D179EB">
        <w:rPr>
          <w:rFonts w:eastAsia="SimSun" w:cs="Times New Roman"/>
          <w:szCs w:val="20"/>
          <w:lang w:eastAsia="es-ES"/>
        </w:rPr>
        <w:tab/>
        <w:t>ратификацию в мае 2013 года Конвенции МОТ 2011 года о достойном труде домашних работников (№ 189);</w:t>
      </w:r>
    </w:p>
    <w:p w14:paraId="66FD57DD" w14:textId="73E67B94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f)</w:t>
      </w:r>
      <w:r w:rsidRPr="00D179EB">
        <w:rPr>
          <w:rFonts w:eastAsia="SimSun" w:cs="Times New Roman"/>
          <w:szCs w:val="20"/>
          <w:lang w:eastAsia="es-ES"/>
        </w:rPr>
        <w:tab/>
        <w:t>присоединение в июне 2012 года к Конвенции 1961 года о сокращении безгражданства.</w:t>
      </w:r>
    </w:p>
    <w:p w14:paraId="2020AE1A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7.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отмечает, что государство-участник занимается созданием нормативной базы на основе национального законодательства и двусторонних и многосторонних соглашений о сотрудничестве. Комитет приветствует принятие следующих законодательных и институциональных мер:</w:t>
      </w:r>
    </w:p>
    <w:p w14:paraId="20C3D5BE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bookmarkStart w:id="3" w:name="_Hlk98746914"/>
      <w:r w:rsidRPr="00D179EB">
        <w:rPr>
          <w:rFonts w:eastAsia="SimSun" w:cs="Times New Roman"/>
          <w:szCs w:val="20"/>
          <w:lang w:eastAsia="es-ES"/>
        </w:rPr>
        <w:tab/>
        <w:t>a)</w:t>
      </w:r>
      <w:r w:rsidRPr="00D179EB">
        <w:rPr>
          <w:rFonts w:eastAsia="SimSun" w:cs="Times New Roman"/>
          <w:szCs w:val="20"/>
          <w:lang w:eastAsia="es-ES"/>
        </w:rPr>
        <w:tab/>
        <w:t>Закона № 6338/19 от июля 2019 года о внесении поправок в статью 10 Закона № 5407/15 о домашнем труде;</w:t>
      </w:r>
    </w:p>
    <w:p w14:paraId="13EB99A4" w14:textId="77531F7D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b)</w:t>
      </w:r>
      <w:r w:rsidRPr="00D179EB">
        <w:rPr>
          <w:rFonts w:eastAsia="SimSun" w:cs="Times New Roman"/>
          <w:szCs w:val="20"/>
          <w:lang w:eastAsia="es-ES"/>
        </w:rPr>
        <w:tab/>
        <w:t xml:space="preserve">Постановления № </w:t>
      </w:r>
      <w:r w:rsidR="009F0A39" w:rsidRPr="0008316B">
        <w:t>62</w:t>
      </w:r>
      <w:r w:rsidR="009F0A39" w:rsidRPr="009F0A39">
        <w:t xml:space="preserve"> </w:t>
      </w:r>
      <w:r w:rsidR="009F0A39">
        <w:t>(</w:t>
      </w:r>
      <w:r w:rsidRPr="009F0A39">
        <w:rPr>
          <w:rFonts w:eastAsia="SimSun" w:cs="Times New Roman"/>
          <w:szCs w:val="20"/>
          <w:lang w:eastAsia="es-ES"/>
        </w:rPr>
        <w:t>62/2019</w:t>
      </w:r>
      <w:r w:rsidR="009F0A39">
        <w:rPr>
          <w:rFonts w:eastAsia="SimSun" w:cs="Times New Roman"/>
          <w:szCs w:val="20"/>
          <w:lang w:eastAsia="es-ES"/>
        </w:rPr>
        <w:t>)</w:t>
      </w:r>
      <w:r w:rsidRPr="00D179EB">
        <w:rPr>
          <w:rFonts w:eastAsia="SimSun" w:cs="Times New Roman"/>
          <w:szCs w:val="20"/>
          <w:lang w:eastAsia="es-ES"/>
        </w:rPr>
        <w:t xml:space="preserve"> от февраля 2019 года о временном виде на жительство для венесуэльцев;</w:t>
      </w:r>
    </w:p>
    <w:p w14:paraId="5071E438" w14:textId="48A8FA66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c)</w:t>
      </w:r>
      <w:r w:rsidRPr="00D179EB">
        <w:rPr>
          <w:rFonts w:eastAsia="SimSun" w:cs="Times New Roman"/>
          <w:szCs w:val="20"/>
          <w:lang w:eastAsia="es-ES"/>
        </w:rPr>
        <w:tab/>
        <w:t>Закона №</w:t>
      </w:r>
      <w:r w:rsidR="00E251CF">
        <w:rPr>
          <w:rFonts w:eastAsia="SimSun" w:cs="Times New Roman"/>
          <w:szCs w:val="20"/>
          <w:lang w:eastAsia="es-ES"/>
        </w:rPr>
        <w:t> </w:t>
      </w:r>
      <w:r w:rsidRPr="00D179EB">
        <w:rPr>
          <w:rFonts w:eastAsia="SimSun" w:cs="Times New Roman"/>
          <w:szCs w:val="20"/>
          <w:lang w:eastAsia="es-ES"/>
        </w:rPr>
        <w:t>6149 от сентября 2018 года о защите апатридов и предоставлении им возможностей для натурализации;</w:t>
      </w:r>
    </w:p>
    <w:p w14:paraId="3C4D28A9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d)</w:t>
      </w:r>
      <w:r w:rsidRPr="00D179EB">
        <w:rPr>
          <w:rFonts w:eastAsia="SimSun" w:cs="Times New Roman"/>
          <w:szCs w:val="20"/>
          <w:lang w:eastAsia="es-ES"/>
        </w:rPr>
        <w:tab/>
        <w:t>Указа № 6285/16 от ноября 2016 года об утверждении Национальной стратегии по предупреждению принудительного труда в Парагвае;</w:t>
      </w:r>
    </w:p>
    <w:p w14:paraId="771DBFF2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e)</w:t>
      </w:r>
      <w:r w:rsidRPr="00D179EB">
        <w:rPr>
          <w:rFonts w:eastAsia="SimSun" w:cs="Times New Roman"/>
          <w:szCs w:val="20"/>
          <w:lang w:eastAsia="es-ES"/>
        </w:rPr>
        <w:tab/>
        <w:t>Указа № 4483/15 от ноября 2015 года об утверждении Национальной миграционной политики Республики Парагвай;</w:t>
      </w:r>
    </w:p>
    <w:p w14:paraId="4B599DFA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ab/>
        <w:t>f)</w:t>
      </w:r>
      <w:r w:rsidRPr="00D179EB">
        <w:rPr>
          <w:rFonts w:eastAsia="SimSun" w:cs="Times New Roman"/>
          <w:szCs w:val="20"/>
          <w:lang w:eastAsia="es-ES"/>
        </w:rPr>
        <w:tab/>
        <w:t>Закона № 4634/12 от июня 2012 года об утверждении Соглашения о социальном обеспечении между Парагваем и Чили.</w:t>
      </w:r>
      <w:bookmarkEnd w:id="3"/>
    </w:p>
    <w:p w14:paraId="480E4B6C" w14:textId="7327F894" w:rsidR="00D179EB" w:rsidRPr="00D179EB" w:rsidRDefault="00D179EB" w:rsidP="00E251C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8.</w:t>
      </w:r>
      <w:r w:rsidRPr="00D179EB">
        <w:rPr>
          <w:rFonts w:eastAsia="SimSun" w:cs="Times New Roman"/>
          <w:szCs w:val="20"/>
          <w:lang w:eastAsia="es-ES"/>
        </w:rPr>
        <w:tab/>
        <w:t>Комитет обращает внимание на организацию консультативных встреч по вопросам легализации мигрантов и оказания им комплексной помощи, а также на деятельность различных коллегиальных органов, таких как советы, рабочие группы и комитеты, работающих над программами и проектами в интересах мигрантов,</w:t>
      </w:r>
      <w:r w:rsidR="00E251CF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и отмечает усилия государства-участника по координации действий всех своих органов в целях выполнения обязательств по Конвенции, а также его активное участие во всех региональных переговорных процессах по вопросам миграционных потоков в Южной Америке, в том числе посредством организации подготовки для других стран региона.</w:t>
      </w:r>
    </w:p>
    <w:p w14:paraId="677052A3" w14:textId="77777777" w:rsidR="00D179EB" w:rsidRPr="00D179EB" w:rsidRDefault="00D179EB" w:rsidP="00E251C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9.</w:t>
      </w:r>
      <w:r w:rsidRPr="00D179EB">
        <w:rPr>
          <w:rFonts w:eastAsia="SimSun" w:cs="Times New Roman"/>
          <w:szCs w:val="20"/>
          <w:lang w:eastAsia="es-ES"/>
        </w:rPr>
        <w:tab/>
        <w:t xml:space="preserve">Комитет с удовлетворением отмечает создание специализированной группы из пяти государственных защитников, специализирующихся на правах мигрантов и беженцев, в целях оптимизации институционального потенциала и обеспечения эффективного доступа к правосудию для растущего числа иммигрантов и просителей убежища в государстве-участнике. Вместе с тем, по мнению Комитета, для того чтобы оказать реальное влияние на положение мигрантов, важно, чтобы деятельность </w:t>
      </w:r>
      <w:r w:rsidRPr="00D179EB">
        <w:rPr>
          <w:rFonts w:eastAsia="SimSun" w:cs="Times New Roman"/>
          <w:szCs w:val="20"/>
          <w:lang w:eastAsia="es-ES"/>
        </w:rPr>
        <w:lastRenderedPageBreak/>
        <w:t xml:space="preserve">государственных защитников, входящих в состав этой группы, распространялась на округа и департаменты, в частности граничащие с другими странами, где отмечается наибольшее число мигрантов. </w:t>
      </w:r>
    </w:p>
    <w:p w14:paraId="5B1F2057" w14:textId="18060625" w:rsidR="00D179EB" w:rsidRPr="00D179EB" w:rsidRDefault="00D179EB" w:rsidP="00E251C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10.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создание Системы мониторинга рекомендаций (СИМОРЕ ПЛЮС) для сбора данных с целью подготовки периодических докладов,</w:t>
      </w:r>
      <w:r w:rsidR="00E251CF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а также то, что доклад, представленный государством, был составлен с использованием этой системы.</w:t>
      </w:r>
    </w:p>
    <w:p w14:paraId="54287D60" w14:textId="4B20EE0B" w:rsidR="00D179EB" w:rsidRPr="00D179EB" w:rsidRDefault="00E251CF" w:rsidP="00E251CF">
      <w:pPr>
        <w:pStyle w:val="H1G"/>
        <w:rPr>
          <w:rFonts w:eastAsia="SimSun"/>
          <w:lang w:val="es-ES"/>
        </w:rPr>
      </w:pPr>
      <w:r>
        <w:rPr>
          <w:rFonts w:eastAsia="SimSun"/>
        </w:rPr>
        <w:tab/>
      </w:r>
      <w:r w:rsidR="00D179EB" w:rsidRPr="00D179EB">
        <w:rPr>
          <w:rFonts w:eastAsia="SimSun"/>
        </w:rPr>
        <w:t>C.</w:t>
      </w:r>
      <w:r w:rsidR="00D179EB" w:rsidRPr="00D179EB">
        <w:rPr>
          <w:rFonts w:eastAsia="SimSun"/>
        </w:rPr>
        <w:tab/>
        <w:t>Основные проблемные области и рекомендации</w:t>
      </w:r>
    </w:p>
    <w:p w14:paraId="305EA890" w14:textId="14266EAD" w:rsidR="00D179EB" w:rsidRPr="00D179EB" w:rsidRDefault="00E251CF" w:rsidP="00E251CF">
      <w:pPr>
        <w:pStyle w:val="H23G"/>
        <w:rPr>
          <w:rFonts w:eastAsia="SimSun"/>
          <w:lang w:val="es-ES"/>
        </w:rPr>
      </w:pPr>
      <w:r>
        <w:rPr>
          <w:rFonts w:eastAsia="SimSun"/>
        </w:rPr>
        <w:tab/>
      </w:r>
      <w:r w:rsidR="00D179EB" w:rsidRPr="00D179EB">
        <w:rPr>
          <w:rFonts w:eastAsia="SimSun"/>
        </w:rPr>
        <w:t>1.</w:t>
      </w:r>
      <w:r w:rsidR="00D179EB" w:rsidRPr="00D179EB">
        <w:rPr>
          <w:rFonts w:eastAsia="SimSun"/>
        </w:rPr>
        <w:tab/>
        <w:t>Общие меры по осуществлению (ст</w:t>
      </w:r>
      <w:r w:rsidR="003F7BCF">
        <w:rPr>
          <w:rFonts w:eastAsia="SimSun"/>
        </w:rPr>
        <w:t>атьи</w:t>
      </w:r>
      <w:r w:rsidR="00D179EB" w:rsidRPr="00D179EB">
        <w:rPr>
          <w:rFonts w:eastAsia="SimSun"/>
        </w:rPr>
        <w:t xml:space="preserve"> 73 и 84)</w:t>
      </w:r>
    </w:p>
    <w:p w14:paraId="3A756A3D" w14:textId="77777777" w:rsidR="00D179EB" w:rsidRPr="00D179EB" w:rsidRDefault="00D179EB" w:rsidP="00E251C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Нынешний контекст</w:t>
      </w:r>
    </w:p>
    <w:p w14:paraId="45797C67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11.</w:t>
      </w:r>
      <w:r w:rsidRPr="00D179EB">
        <w:rPr>
          <w:rFonts w:eastAsia="SimSun" w:cs="Times New Roman"/>
          <w:szCs w:val="20"/>
          <w:lang w:eastAsia="es-ES"/>
        </w:rPr>
        <w:tab/>
        <w:t>Комитет приветствует информацию о том, что с мая 2021 года проживающие в государстве-участнике без документов иностранцы, беженцы, просители убежища и лица без гражданства имеют возможность сделать прививку от коронавирусной инфекции (COVID-19) при наличии действительных документов, полученных от Национальной комиссии по делам беженцев. Вместе с тем Комитет обеспокоен тем, что закрытие границ в течение нескольких месяцев в начале пандемии COVID-19 и ограниченный доступ к средствам существования для мигрантов и беженцев еще больше затруднили доступ к государственной помощи. Комитет обеспокоен тем, что пандемия COVID-19 серьезно отразилась на мигрантах и что в стране отсутствуют конкретные стратегии и программы по смягчению ее последствий. Комитет принимает к сведению постепенное открытие границ с октября 2020 года и проявленную гибкость в вопросе возвращения парагвайцев.</w:t>
      </w:r>
    </w:p>
    <w:p w14:paraId="60A657E1" w14:textId="483ED10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12.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обеспечить защиту прав мигрантов и членов их семей, в частности права на здоровье, и смягчить негативные последствия пандемии коронавирусного заболевания (COVID-19)</w:t>
      </w:r>
      <w:r w:rsidR="00E251C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с учетом Совместной руководящей записки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5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о влиянии пандемии COVID-19 на права мигрантов, подготовленной Комитетом и Специальным докладчиком по вопросу о правах человека мигрантов</w:t>
      </w:r>
      <w:r w:rsidRPr="00D179EB">
        <w:rPr>
          <w:rFonts w:eastAsia="SimSun" w:cs="Times New Roman"/>
          <w:szCs w:val="20"/>
          <w:lang w:eastAsia="es-ES"/>
        </w:rPr>
        <w:t>.</w:t>
      </w:r>
    </w:p>
    <w:p w14:paraId="6886321F" w14:textId="77777777" w:rsidR="00D179EB" w:rsidRPr="00D179EB" w:rsidRDefault="00D179EB" w:rsidP="00E251C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Законодательство и его применение</w:t>
      </w:r>
    </w:p>
    <w:p w14:paraId="7F3DB1DD" w14:textId="2CE5D46F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13.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законопроект о миграции, который направлен на установление миграционного режима в соответствии с международными договорами по правам человека. Вместе с тем Комитет обеспокоен тем, что через более чем пять лет после его представления этот законопроект все еще находится на рассмотрении. В отсутствие закона по данному вопросу особенно важно проводить миграционную политику, охватывающую основные аспекты защиты прав человека.</w:t>
      </w:r>
    </w:p>
    <w:p w14:paraId="7CDD6CFC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bookmarkStart w:id="4" w:name="_Hlk100230174"/>
      <w:r w:rsidRPr="00D179EB">
        <w:rPr>
          <w:rFonts w:eastAsia="SimSun" w:cs="Times New Roman"/>
          <w:szCs w:val="20"/>
          <w:lang w:eastAsia="es-ES"/>
        </w:rPr>
        <w:t>14.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настоятельно призывает государство-участник как можно скорее принять и опубликовать закон о миграции и обеспечить, чтобы его содержание полностью соответствовало положениям Конвенции.</w:t>
      </w:r>
    </w:p>
    <w:bookmarkEnd w:id="4"/>
    <w:p w14:paraId="55AAE992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15.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принять четкие и эффективные меры, с установленными сроками, показателями, контрольными параметрами мониторинга и оценки, для реализации миграционной политики 2015 года, обеспечить выделение на ее осуществление достаточных людских, технических и финансовых ресурсов и включить в свой следующий периодический доклад информацию, подкрепленную статистическими данными, о достигнутых результатах и возникших трудностях.</w:t>
      </w:r>
    </w:p>
    <w:p w14:paraId="18CF60C8" w14:textId="3996072A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16.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Комитет далее рекомендует государству-участнику создать регулируемые законом механизмы получения постоянного статуса в государстве-участнике в </w:t>
      </w:r>
      <w:r w:rsidRPr="00D179EB">
        <w:rPr>
          <w:rFonts w:eastAsia="SimSun" w:cs="Times New Roman"/>
          <w:b/>
          <w:bCs/>
          <w:szCs w:val="20"/>
          <w:lang w:eastAsia="es-ES"/>
        </w:rPr>
        <w:lastRenderedPageBreak/>
        <w:t>соответствии со статьей 69 Конвенции независимо от того, находятся ли мигранты на легальном или нелегальном положении, в частности согласно замечанию общего порядка №</w:t>
      </w:r>
      <w:r w:rsidR="00E251CF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2</w:t>
      </w:r>
      <w:r w:rsidR="00E251CF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(2013) Комитета о правах трудящихся-мигрантов, не имеющих постоянного статуса, и членов их семей.</w:t>
      </w:r>
    </w:p>
    <w:p w14:paraId="66C08ADB" w14:textId="11710254" w:rsidR="00D179EB" w:rsidRPr="00D179EB" w:rsidRDefault="00D179EB" w:rsidP="00E251C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Статьи 76</w:t>
      </w:r>
      <w:r w:rsidR="00063856">
        <w:rPr>
          <w:rFonts w:eastAsia="SimSun"/>
        </w:rPr>
        <w:t xml:space="preserve"> и </w:t>
      </w:r>
      <w:r w:rsidRPr="00D179EB">
        <w:rPr>
          <w:rFonts w:eastAsia="SimSun"/>
        </w:rPr>
        <w:t>77</w:t>
      </w:r>
    </w:p>
    <w:p w14:paraId="039BE83A" w14:textId="2BE12842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17.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6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 призывает государство-участник как можно скорее сделать предусмотренные в статьях 76</w:t>
      </w:r>
      <w:r w:rsidR="00E251C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и 77 Конвенции заявления и признать компетенцию Комитета получать сообщения от государств-участников и отдельных лиц.</w:t>
      </w:r>
    </w:p>
    <w:p w14:paraId="0F28A56E" w14:textId="77777777" w:rsidR="00D179EB" w:rsidRPr="00D179EB" w:rsidRDefault="00D179EB" w:rsidP="00E251C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Ратификация соответствующих договоров</w:t>
      </w:r>
    </w:p>
    <w:p w14:paraId="255F34D2" w14:textId="030068A1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18.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7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призывает государство-участник как можно скорее ратифицировать Конвенцию о работниках-мигрантах (пересмотренную в 1949 году) (№</w:t>
      </w:r>
      <w:r w:rsidR="004A5150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97), Конвенцию</w:t>
      </w:r>
      <w:r w:rsidR="00E251C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1975 года о трудящихся-мигрантах (дополнительные положения) (№</w:t>
      </w:r>
      <w:r w:rsidR="004A5150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143), Конвенцию 1997 года о частных агентствах занятости (№</w:t>
      </w:r>
      <w:r w:rsidR="004A5150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181) и Конвенцию</w:t>
      </w:r>
      <w:r w:rsidR="00E251C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2019 года об искоренении насилия и домогательств (№</w:t>
      </w:r>
      <w:r w:rsidR="004A5150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190) Международной организации труда.</w:t>
      </w:r>
      <w:bookmarkStart w:id="5" w:name="_Hlk100582597"/>
    </w:p>
    <w:bookmarkEnd w:id="5"/>
    <w:p w14:paraId="507A172F" w14:textId="766567B4" w:rsidR="00D179EB" w:rsidRPr="00D179EB" w:rsidRDefault="00D179EB" w:rsidP="00E251C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Политика и стратегия</w:t>
      </w:r>
    </w:p>
    <w:p w14:paraId="76D83712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19.</w:t>
      </w:r>
      <w:r w:rsidRPr="00D179EB">
        <w:rPr>
          <w:rFonts w:eastAsia="SimSun" w:cs="Times New Roman"/>
          <w:szCs w:val="20"/>
          <w:lang w:eastAsia="es-ES"/>
        </w:rPr>
        <w:tab/>
        <w:t>Комитет с озабоченностью отмечает отсутствие стратегии, непосредственно связанной с осуществлением Конвенции, хотя именно существование и осуществление такой стратегии позволяют мигрантам пользоваться своими правами.</w:t>
      </w:r>
    </w:p>
    <w:p w14:paraId="5FC594F0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20.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обеспечить выделение людских, технических и финансовых ресурсов, необходимых для эффективного выполнения обязательств, установленных в Национальном плане по правам человека в отношении прав трудящихся-мигрантов и членов их семей в соответствии с его обязательствами по Конвенции.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Кроме того, Комитет рекомендует государству-участнику разработать стратегию, непосредственно связанную с осуществлением Конвенции, а также обеспечить мониторинг ее реализации и систематическую публикацию четкой и предметной информации по этому вопросу.</w:t>
      </w:r>
    </w:p>
    <w:p w14:paraId="39EFAE81" w14:textId="77777777" w:rsidR="00D179EB" w:rsidRPr="00D179EB" w:rsidRDefault="00D179EB" w:rsidP="00E251C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Координация</w:t>
      </w:r>
    </w:p>
    <w:p w14:paraId="3B06533F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21.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наличие Межведомственного рамочного соглашения об усилении координации действий между Главным управлением по вопросам миграции, Министерством труда, занятости и социального обеспечения, Институтом социального обеспечения и Парагвайским промышленным союзом в интересах иммигрантов, работающих в государстве-участнике. Вместе с тем Комитет обеспокоен тем, что надлежащей координации действий препятствуют финансовые и кадровые проблемы, обострившиеся в связи с пандемией, а отсутствие органа, наделенного соответствующими полномочиями или мандатом, не позволяет координировать действия в интересах реализации прав, защищаемых Конвенцией, на всех уровнях государственного управления.</w:t>
      </w:r>
    </w:p>
    <w:p w14:paraId="7CB45D31" w14:textId="505F3404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22.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государству-участнику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8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укрепить свою институциональную структуру для решения миграционных вопросов, создав соответствующие механизмы и укрепив потенциал на уровне различных координационных органах, а также рекомендует государству-участнику создать компетентный межведомственный орган высокого уровня с четким мандатом и достаточными полномочиями для </w:t>
      </w:r>
      <w:r w:rsidRPr="00D179EB">
        <w:rPr>
          <w:rFonts w:eastAsia="SimSun" w:cs="Times New Roman"/>
          <w:b/>
          <w:bCs/>
          <w:szCs w:val="20"/>
          <w:lang w:eastAsia="es-ES"/>
        </w:rPr>
        <w:lastRenderedPageBreak/>
        <w:t>координации всех стратегий, касающихся прав трудящихся-мигрантов, а также видов деятельности, связанных с осуществлением Конвенции.</w:t>
      </w:r>
    </w:p>
    <w:p w14:paraId="2E6821AE" w14:textId="77777777" w:rsidR="00D179EB" w:rsidRPr="00D179EB" w:rsidRDefault="00D179EB" w:rsidP="00E251CF">
      <w:pPr>
        <w:pStyle w:val="H23G"/>
        <w:rPr>
          <w:rFonts w:eastAsia="SimSun"/>
          <w:lang w:val="es-ES"/>
        </w:rPr>
      </w:pPr>
      <w:bookmarkStart w:id="6" w:name="_Hlk5180366"/>
      <w:r w:rsidRPr="00D179EB">
        <w:rPr>
          <w:rFonts w:eastAsia="SimSun"/>
        </w:rPr>
        <w:tab/>
      </w:r>
      <w:r w:rsidRPr="00D179EB">
        <w:rPr>
          <w:rFonts w:eastAsia="SimSun"/>
        </w:rPr>
        <w:tab/>
        <w:t>Сбор данных</w:t>
      </w:r>
    </w:p>
    <w:p w14:paraId="6BE0D3DE" w14:textId="11598336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es-ES"/>
        </w:rPr>
      </w:pPr>
      <w:r w:rsidRPr="00D179EB">
        <w:rPr>
          <w:rFonts w:eastAsia="SimSun" w:cs="Times New Roman"/>
          <w:szCs w:val="20"/>
          <w:lang w:eastAsia="es-ES"/>
        </w:rPr>
        <w:t>23.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 инициативы государства-участника по систематизации рекомендаций, вынесенных договорными органами по правам человека,</w:t>
      </w:r>
      <w:r w:rsidR="00BB3A5E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и осуществлению в связи с ними последующей деятельности, такие как Система мониторинга рекомендаций (СИМОРЕ ПЛЮС и ОСК ПЛЮС). Вместе с тем он обеспокоен тем, что в работе этой системы участвует малое количество организаций гражданского общества, а ее использование затрудняют технологические барьеры</w:t>
      </w:r>
      <w:bookmarkStart w:id="7" w:name="_Hlk100230861"/>
      <w:bookmarkEnd w:id="7"/>
      <w:r w:rsidRPr="00D179EB">
        <w:rPr>
          <w:rFonts w:eastAsia="SimSun" w:cs="Times New Roman"/>
          <w:szCs w:val="20"/>
          <w:lang w:eastAsia="es-ES"/>
        </w:rPr>
        <w:t>.</w:t>
      </w:r>
    </w:p>
    <w:p w14:paraId="2B2CECAD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24.</w:t>
      </w:r>
      <w:r w:rsidRPr="00D179EB">
        <w:rPr>
          <w:rFonts w:eastAsia="SimSun" w:cs="Times New Roman"/>
          <w:szCs w:val="20"/>
          <w:lang w:eastAsia="es-ES"/>
        </w:rPr>
        <w:tab/>
        <w:t>Комитет выражает особое сожаление по поводу отсутствия подробной информации и статистических данных, которые позволили бы провести исторический и сопоставительный анализ осуществления государством-участником закрепленных в Конвенции прав. Комитет отмечает отсутствие информации по некоторым миграционным вопросам, таким как положение парагвайцев за рубежом, поскольку отсутствует конкретная информация об их статусе занятости и условиях труда; транзитные мигранты; а также мониторинг положения репатриантов после их возвращения и оказание им поддержки. Комитет сожалеет о том, что в следующую национальную перепись населения не будут включены вопросы о причинах миграции и гражданстве.</w:t>
      </w:r>
    </w:p>
    <w:p w14:paraId="75807A97" w14:textId="08F54F76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25.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подтверждает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9"/>
      </w:r>
      <w:r w:rsidR="00BB3A5E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и рекомендует также государству-участнику в соответствии с задачей 17.18</w:t>
      </w:r>
      <w:r w:rsidR="00BB3A5E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целей в области устойчивого развития и на основе правозащитного подхода с учетом принципов гендерного</w:t>
      </w:r>
      <w:r w:rsidR="00BB3A5E">
        <w:rPr>
          <w:rFonts w:eastAsia="SimSun" w:cs="Times New Roman"/>
          <w:b/>
          <w:bCs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равноправия и недискриминации создать систему по систематическому сбору данных о положении трудящихся-мигрантов в государстве-участнике, чтобы иметь в открытом доступе статистические данные об имеющих документы и не имеющих документов мигрантах, трудящихся-мигрантах, осуществляющих транзит через территорию государства-участника, и парагвайцах, работающих за рубежом,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данные о вернувшихся в страну лицах,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а также дезагрегированные статистические данные о трудящихся-мигрантах, подвергнувшихся насилию, торговле людьми или эксплуатации,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и создать реестр трудящихся-мигрантов в государстве-участнике с указанием их вида деятельности.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гарантировать защиту личной информации трудящихся-мигрантов и членов их семей, с тем чтобы личные данные не использовались в целях миграционного контроля или дискриминации при обращении за государственными и частными услугами.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Кроме того, Комитет рекомендует государству-участнику представлять информацию о миграционном статусе в разбивке по гражданству и стране происхождения.</w:t>
      </w:r>
    </w:p>
    <w:p w14:paraId="5CEBF993" w14:textId="77777777" w:rsidR="00D179EB" w:rsidRPr="00D179EB" w:rsidRDefault="00D179EB" w:rsidP="00BB3A5E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Независимый мониторинг</w:t>
      </w:r>
    </w:p>
    <w:p w14:paraId="63D26D05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26.</w:t>
      </w:r>
      <w:r w:rsidRPr="00D179EB">
        <w:rPr>
          <w:rFonts w:eastAsia="SimSun" w:cs="Times New Roman"/>
          <w:szCs w:val="20"/>
          <w:lang w:eastAsia="es-ES"/>
        </w:rPr>
        <w:tab/>
        <w:t>В деле защиты прав человека на национальном уровне ключевое значение имеет работа национальных правозащитных учреждений. Комитет обеспокоен тем, что Управление омбудсмена лишь частично соответствует принципам, касающимся статуса национальных учреждений, занимающихся поощрением и защитой прав человека (Парижские принципы), и еще не выполнило рекомендации Подкомитета по аккредитации.</w:t>
      </w:r>
    </w:p>
    <w:p w14:paraId="1AAD32E2" w14:textId="6DE785F3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27.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повысить независимость Управления омбудсмена и улучшить его функционирование, в том числе с точки зрения его бюджета,</w:t>
      </w:r>
      <w:r w:rsidR="00BB3A5E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в соответствии принципами, касающимся статуса национальных учреждений, занимающихся поощрением и защитой прав человека (Парижские принципы), чтобы оно могло лучше следить за защитой на практике прав человека всех трудящихся-мигрантов и членов их семей, предусмотренных Конвенцией.</w:t>
      </w:r>
    </w:p>
    <w:p w14:paraId="0185C852" w14:textId="660ABFE6" w:rsidR="00D179EB" w:rsidRPr="00D179EB" w:rsidRDefault="00D179EB" w:rsidP="00BB3A5E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lastRenderedPageBreak/>
        <w:tab/>
      </w:r>
      <w:r w:rsidRPr="00D179EB">
        <w:rPr>
          <w:rFonts w:eastAsia="SimSun"/>
        </w:rPr>
        <w:tab/>
        <w:t>Подготовка по вопросам, касающимся Конвенции, и распространение информации о ней</w:t>
      </w:r>
    </w:p>
    <w:p w14:paraId="04629875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28.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проведение второго и третьего цикла курса высокого уровня по правам человека с целью укрепления потенциала государственных служащих, входящих в сеть координаторов Системы мониторинга рекомендаций (СИМОРЕ), и оптимизации мониторинга и выполнения полученных государством-участником рекомендаций и с удовлетворением отмечает, что в программу были включены модули, посвященные Конвенции и Комитету. Вместе с тем Комитет обеспокоен тем, что не проводится достаточного количества программ подготовки по Конвенции и мероприятий по ее популяризации и пропаганде среди различных представителей исполнительной и судебной власти, органов управления на уровне департаментов, местных властей и сотрудников полиции и социальных служб. Комитет также обеспокоен недостаточным распространением информации о Конвенции среди трудящихся-мигрантов в государстве-участнике, а также тем, что информация об административных процедурах для мигрантов размещена в Интернете только на испанском языке. Комитет с удовлетворением отмечает намерение государства-участника развивать научные исследования и обучение по вопросам международной миграции.</w:t>
      </w:r>
    </w:p>
    <w:p w14:paraId="557F697D" w14:textId="4570C7E0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29.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0"/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и настоятельно призывает государство-участник:</w:t>
      </w:r>
    </w:p>
    <w:p w14:paraId="13FED37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a)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укреплять и расширять программы обучения и профессиональной подготовки по вопросам прав, закрепленных в Конвенции, для сотрудников государственных органов, занимающихся вопросами миграции, включая сотрудников правоохранительных органов и пограничной службы, судей, прокуроров, а также представителей органов управления на уровне департаментов и местных властей;</w:t>
      </w:r>
      <w:bookmarkStart w:id="8" w:name="_Hlk100230199"/>
      <w:bookmarkEnd w:id="8"/>
    </w:p>
    <w:p w14:paraId="32031170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b)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обеспечить доступ трудящихся-мигрантов к информации об их правах, закрепленных в Конвенции;</w:t>
      </w:r>
    </w:p>
    <w:p w14:paraId="3AC0B8AD" w14:textId="103886BD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c)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взаимодействовать с вузами, организациями гражданского общества и СМИ в целях распространения информации о Конвенции и содействия ее осуществлению, особенно в приграничных районах.</w:t>
      </w:r>
    </w:p>
    <w:p w14:paraId="0E79872A" w14:textId="6395C7D7" w:rsidR="00D179EB" w:rsidRPr="00D179EB" w:rsidRDefault="00D179EB" w:rsidP="00BB3A5E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Участие гражданского общества</w:t>
      </w:r>
    </w:p>
    <w:p w14:paraId="67430037" w14:textId="3D147D9D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30.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новые возможности для координации действий с гражданским обществом, которые открылись благодаря системе СИМОРЕ ПЛЮС. Вместе с тем Комитет обеспокоен тем, что лишь небольшое число представителей гражданского общества использует эту платформу, поскольку она доступна только тем, кто располагает соответствующими техническими средствами. Комитет</w:t>
      </w:r>
      <w:r w:rsidR="00BB3A5E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по-прежнему обеспокоен ограниченным участием гражданского общества в осуществлении Конвенции, а также в поддержании диалога и координации действий по решениям и нормативным актам, касающимся трудящихся-мигрантов и их семей.</w:t>
      </w:r>
      <w:bookmarkStart w:id="9" w:name="_Hlk100230930"/>
      <w:bookmarkEnd w:id="6"/>
      <w:bookmarkEnd w:id="9"/>
    </w:p>
    <w:p w14:paraId="106C3365" w14:textId="5623B664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31.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1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государству-участнику укрепить диалог с организациями гражданского общества при подготовке своих периодических докладов и рекомендует обеспечить, чтобы этот диалог был инклюзивным и постоянным, не проводился лишь в режиме онлайн и не ограничивался обнародованием докладов.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Кроме того, Комитет рекомендует государству принять конкретные меры для обеспечения постоянного и конструктивного участия гражданского общества в осуществлении Конвенции и миграционного законодательства.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Он настоятельно призывает использовать постоянные механизмы как для подготовки доклада, так и для последующей деятельности в связи с рекомендациями Комитета.</w:t>
      </w:r>
      <w:bookmarkStart w:id="10" w:name="_Hlk100230965"/>
      <w:bookmarkEnd w:id="10"/>
    </w:p>
    <w:p w14:paraId="21FC755F" w14:textId="56C1D074" w:rsidR="00D179EB" w:rsidRPr="00D179EB" w:rsidRDefault="00BB3A5E" w:rsidP="00BB3A5E">
      <w:pPr>
        <w:pStyle w:val="H23G"/>
        <w:rPr>
          <w:rFonts w:eastAsia="SimSun"/>
          <w:lang w:val="es-ES"/>
        </w:rPr>
      </w:pPr>
      <w:r>
        <w:rPr>
          <w:rFonts w:eastAsia="SimSun"/>
        </w:rPr>
        <w:lastRenderedPageBreak/>
        <w:tab/>
      </w:r>
      <w:r w:rsidR="00D179EB" w:rsidRPr="00D179EB">
        <w:rPr>
          <w:rFonts w:eastAsia="SimSun"/>
        </w:rPr>
        <w:t>2.</w:t>
      </w:r>
      <w:r w:rsidR="00D179EB" w:rsidRPr="00D179EB">
        <w:rPr>
          <w:rFonts w:eastAsia="SimSun"/>
        </w:rPr>
        <w:tab/>
        <w:t>Общие принципы (ст</w:t>
      </w:r>
      <w:r w:rsidR="009F0A39">
        <w:rPr>
          <w:rFonts w:eastAsia="SimSun"/>
        </w:rPr>
        <w:t>атьи</w:t>
      </w:r>
      <w:r w:rsidR="00D179EB" w:rsidRPr="00D179EB">
        <w:rPr>
          <w:rFonts w:eastAsia="SimSun"/>
        </w:rPr>
        <w:t xml:space="preserve"> 7 и 83)</w:t>
      </w:r>
    </w:p>
    <w:p w14:paraId="6D2F8285" w14:textId="77777777" w:rsidR="00D179EB" w:rsidRPr="00D179EB" w:rsidRDefault="00D179EB" w:rsidP="00D179EB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val="es-ES" w:eastAsia="es-ES"/>
        </w:rPr>
      </w:pPr>
      <w:r w:rsidRPr="00D179EB">
        <w:rPr>
          <w:rFonts w:eastAsia="SimSun" w:cs="Times New Roman"/>
          <w:b/>
          <w:szCs w:val="20"/>
          <w:lang w:eastAsia="es-ES"/>
        </w:rPr>
        <w:tab/>
      </w:r>
      <w:r w:rsidRPr="00D179EB">
        <w:rPr>
          <w:rFonts w:eastAsia="SimSun" w:cs="Times New Roman"/>
          <w:b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Недискриминация</w:t>
      </w:r>
    </w:p>
    <w:p w14:paraId="52AF0D52" w14:textId="3A0610BF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32.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отмечает, что государство-участник полностью приняло</w:t>
      </w:r>
      <w:r w:rsidR="00BB3A5E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16 рекомендаций о недискриминации, вынесенных в ходе третьего цикла универсального периодического обзора. Вместе с тем Комитет обеспокоен тем, что государство-участник до сих пор не приняло закон, запрещающий все формы дискриминации, несмотря на многочисленные международные рекомендации, вынесенные в этой связи. Кроме того, Комитет обеспокоен тем, что лицам с инфекционными заболеваниями может быть отказано во въезде в государство-участник. Комитет с удовлетворением отмечает, что Национальный секретариат по культуре государства-участника и Национальный план преобразования образования до 2030 года предусматривают привлечение гражданского общества к работе по содействию гармоничному сосуществованию. Вместе с тем Комитет обеспокоен тем, какое место в этих программах отведено новым мигрантам, и предлагает государству-участнику привлечь их к усилиям по достижению гармоничного сосуществования и предоставить информацию по этому вопросу.</w:t>
      </w:r>
      <w:bookmarkStart w:id="11" w:name="_Hlk99540206"/>
      <w:bookmarkEnd w:id="11"/>
    </w:p>
    <w:p w14:paraId="209ED6F0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33.</w:t>
      </w:r>
      <w:r w:rsidRPr="00D179EB">
        <w:rPr>
          <w:rFonts w:eastAsia="SimSun" w:cs="Times New Roman"/>
          <w:szCs w:val="20"/>
          <w:lang w:eastAsia="es-ES"/>
        </w:rPr>
        <w:tab/>
        <w:t>Комитет обеспокоен тем, что для того, чтобы воспользоваться всеми трудовыми правами и основными социальными услугами, предусмотренными для трудящихся-мигрантов и членов их семей, они должны выполнить все административные требования, связанные с получением рабочей визы и, в соответствующих случаях, особые требования, установленные в двусторонних (например в отношении социального обеспечения) или многосторонних (МЕРКОСУР) соглашениях. Комитет с обеспокоенностью отмечает, что на практике из-за стоимости и длительности соответствующей процедуры лицам, не имеющим постоянного вида на жительство, и лицам, чье ходатайство о получении статуса беженца, находится на рассмотрении, сложно получить доступ к рынку труда.</w:t>
      </w:r>
    </w:p>
    <w:p w14:paraId="08A867FE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34.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 принятие национальными властями новых правил и постановлений, позволяющих просителям убежища и беженцам открывать сберегательные счета и получать водительские права, что является важным шагом на пути к интеграции просителей убежища и расширению их возможностей пользоваться правами и получать государственные услуги без какой-либо дискриминации.</w:t>
      </w:r>
    </w:p>
    <w:p w14:paraId="3FAA3498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35.</w:t>
      </w:r>
      <w:r w:rsidRPr="00D179EB">
        <w:rPr>
          <w:rFonts w:eastAsia="SimSun" w:cs="Times New Roman"/>
          <w:szCs w:val="20"/>
          <w:lang w:eastAsia="es-ES"/>
        </w:rPr>
        <w:tab/>
        <w:t>Комитет с большой обеспокоенностью принимает к сведению содержание Закона № 6524/2020 о чрезвычайном положении (Указ № 3506), который лишает мигрантов и беженцев возможности получения субсидии, предусмотренной для работников неформального сектора, поскольку, согласно его положениям, такую субсидию могут получить только лица, имеющие парагвайское гражданство по рождению или натурализации.</w:t>
      </w:r>
    </w:p>
    <w:p w14:paraId="7FB08355" w14:textId="15BD2FC1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bookmarkStart w:id="12" w:name="_Hlk100230234"/>
      <w:r w:rsidRPr="00D179EB">
        <w:rPr>
          <w:rFonts w:eastAsia="SimSun" w:cs="Times New Roman"/>
          <w:szCs w:val="20"/>
          <w:lang w:eastAsia="es-ES"/>
        </w:rPr>
        <w:t>36.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как можно скорее принять и обнародовать закон, запрещающий все формы дискриминации.</w:t>
      </w:r>
    </w:p>
    <w:p w14:paraId="31AB4519" w14:textId="15DDB3B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37.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принять необходимые меры для обеспечения того, чтобы инфекционные заболевания не являлись фактором, препятствующим въезду трудящихся-мигрантов и членов их семей на территорию государства-участника.</w:t>
      </w:r>
    </w:p>
    <w:bookmarkEnd w:id="12"/>
    <w:p w14:paraId="1286953E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38.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выделить надлежащие ресурсы и установить процедуры, чтобы разорвать порочный круг, в котором оказались мигранты в силу того, что для того, чтобы работать, им нужен постоянный вид на жительство, а для его получения они должны иметь оплачиваемую работу.</w:t>
      </w:r>
    </w:p>
    <w:p w14:paraId="50183819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39.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проанализировать причины отсутствия зарегистрированных жалоб на дискриминацию и осуществить меры и программы по расширению доступа к информации, упрощению доступа к механизмам подачи жалоб и правосудию, а также по повышению транспарентности учреждений и доверия к ним, чтобы мигранты могли ходатайствовать о рассмотрении вопроса об их миграционном статусе в суде.</w:t>
      </w:r>
    </w:p>
    <w:p w14:paraId="4C2D0959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lastRenderedPageBreak/>
        <w:t>40.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дипломатическим или консульским представительствам государства-участника разработать информационно-просветительские программы и кампании для предупреждения актов дискриминации и ксенофобии, которым подвергаются парагвайцы за рубежом.</w:t>
      </w:r>
    </w:p>
    <w:p w14:paraId="76CC753E" w14:textId="77777777" w:rsidR="00D179EB" w:rsidRPr="00D179EB" w:rsidRDefault="00D179EB" w:rsidP="00BB3A5E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Право на эффективное средство правовой защиты</w:t>
      </w:r>
    </w:p>
    <w:p w14:paraId="1CBACA88" w14:textId="558874CB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41.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отмечает, что Конституция и законы Парагвая гарантируют любому лицу независимо от того, является ли оно гражданином страны или иностранцем, право ходатайствовать в суде о возмещении ущерба, нанесенного в результате нарушения его прав. Вместе с тем Комитет по-прежнему обеспокоен наличием ограниченных возможностей обращения в органы правосудия и получения возмещения ущерба у жертв актов ущемления и нарушения прав, закрепленных в Конвенции, а также тем, что информация об их миграционном статусе может быть передана другим органам власти.</w:t>
      </w:r>
    </w:p>
    <w:p w14:paraId="44F87263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42.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организацию консультативных встреч по вопросам легализации мигрантов с целью сокращения количества случаев ограничения осуществления мигрантами своих прав из-за отсутствия у них документов, а также информирования иностранцев в целом об их правах. Вместе с тем Комитет выражает обеспокоенность по поводу того, что некоторые лица, подавшие заявку на участие в этих встречах, получили отказ без возможности повторной подачи заявки. Кроме того, Комитет обеспокоен положением нелегальных мигрантов, которые на практике не могут получить постоянный статус, поскольку для этого необходимо в обязательном порядке находиться на территории страны не менее одного года, а также недостаточным распространением информации о Конвенции и учебных программ по ней, что ограничивает возможности нелегальных мигрантов узнать о том, что они могут обратиться в органы правосудия, даже если у них нет всех необходимых документов. Кроме того, Комитет по-прежнему обеспокоен тем, что трудящиеся-мигранты, независимо от их правового статуса, не осведомлены о том, что они могут обратиться в органы правосудия для осуществления своего права на возмещение ущерба.</w:t>
      </w:r>
    </w:p>
    <w:p w14:paraId="0A491589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43.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2"/>
      </w:r>
      <w:r w:rsidRPr="00D179EB">
        <w:rPr>
          <w:rFonts w:eastAsia="SimSun" w:cs="Times New Roman"/>
          <w:szCs w:val="20"/>
          <w:lang w:eastAsia="es-ES"/>
        </w:rPr>
        <w:t xml:space="preserve"> и</w:t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рекомендует государству-участнику активизировать свои усилия по обеспечению того, чтобы на практике трудящиеся-мигранты и члены их семей, включая тех, кто не имеет постоянного статуса, были осведомлены о миграционных процедурах и необходимых документах, о возможности ходатайствовать об урегулировании своего статуса даже в случае отказа, об их правах по прибытии в страну и во время транзита, а также о возможности воспользоваться средствами правовой защиты, механизмами подачи жалоб и другими механизмами защиты.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соблюдать конфиденциальность данных о миграционном статусе лиц, обращающихся в органы правосудия.</w:t>
      </w:r>
    </w:p>
    <w:p w14:paraId="30CBECE1" w14:textId="12F88F50" w:rsidR="00D179EB" w:rsidRPr="00D179EB" w:rsidRDefault="00BB3A5E" w:rsidP="00BB3A5E">
      <w:pPr>
        <w:pStyle w:val="H23G"/>
        <w:rPr>
          <w:rFonts w:eastAsia="SimSun"/>
          <w:lang w:val="es-ES"/>
        </w:rPr>
      </w:pPr>
      <w:r>
        <w:rPr>
          <w:rFonts w:eastAsia="SimSun"/>
        </w:rPr>
        <w:tab/>
      </w:r>
      <w:r w:rsidR="00D179EB" w:rsidRPr="00D179EB">
        <w:rPr>
          <w:rFonts w:eastAsia="SimSun"/>
        </w:rPr>
        <w:t>3.</w:t>
      </w:r>
      <w:r w:rsidR="00D179EB" w:rsidRPr="00D179EB">
        <w:rPr>
          <w:rFonts w:eastAsia="SimSun"/>
        </w:rPr>
        <w:tab/>
        <w:t>Права человека всех трудящихся-мигрантов и членов их семей (ст</w:t>
      </w:r>
      <w:r w:rsidR="009F0A39">
        <w:rPr>
          <w:rFonts w:eastAsia="SimSun"/>
        </w:rPr>
        <w:t>атьи</w:t>
      </w:r>
      <w:r w:rsidR="00D179EB" w:rsidRPr="00D179EB">
        <w:rPr>
          <w:rFonts w:eastAsia="SimSun"/>
        </w:rPr>
        <w:t xml:space="preserve"> 8–35)</w:t>
      </w:r>
    </w:p>
    <w:p w14:paraId="1A4B51DA" w14:textId="77777777" w:rsidR="00D179EB" w:rsidRPr="00D179EB" w:rsidRDefault="00D179EB" w:rsidP="00BB3A5E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Содержание под стражей</w:t>
      </w:r>
    </w:p>
    <w:p w14:paraId="568FD111" w14:textId="140566BC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44.</w:t>
      </w:r>
      <w:r w:rsidRPr="00D179EB">
        <w:rPr>
          <w:rFonts w:eastAsia="SimSun" w:cs="Times New Roman"/>
          <w:szCs w:val="20"/>
          <w:lang w:eastAsia="es-ES"/>
        </w:rPr>
        <w:tab/>
        <w:t xml:space="preserve">Комитет принимает к сведению представленную государством-участником информацию о том, что лица не заключаются под стражу на основании их миграционного статуса. Комитет обеспокоен отсутствием точной информации о числе содержащихся под стражей мигрантов, условиях, при которых происходит </w:t>
      </w:r>
      <w:r w:rsidR="00BB3A5E">
        <w:rPr>
          <w:rFonts w:eastAsia="SimSun" w:cs="Times New Roman"/>
          <w:szCs w:val="20"/>
          <w:lang w:eastAsia="es-ES"/>
        </w:rPr>
        <w:t>«</w:t>
      </w:r>
      <w:r w:rsidRPr="00D179EB">
        <w:rPr>
          <w:rFonts w:eastAsia="SimSun" w:cs="Times New Roman"/>
          <w:szCs w:val="20"/>
          <w:lang w:eastAsia="es-ES"/>
        </w:rPr>
        <w:t>административная задержка</w:t>
      </w:r>
      <w:r w:rsidR="00BB3A5E">
        <w:rPr>
          <w:rFonts w:eastAsia="SimSun" w:cs="Times New Roman"/>
          <w:szCs w:val="20"/>
          <w:lang w:eastAsia="es-ES"/>
        </w:rPr>
        <w:t>»</w:t>
      </w:r>
      <w:r w:rsidRPr="00D179EB">
        <w:rPr>
          <w:rFonts w:eastAsia="SimSun" w:cs="Times New Roman"/>
          <w:szCs w:val="20"/>
          <w:lang w:eastAsia="es-ES"/>
        </w:rPr>
        <w:t xml:space="preserve"> в рамках процедуры въезда в страну, а также о ее продолжительности.</w:t>
      </w:r>
    </w:p>
    <w:p w14:paraId="66544DD8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45.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С учетом своего замечания общего порядка № 5 (2021) о правах мигрантов на свободу и свободу от произвольного задержания Комитет настоятельно призывает государство-участник:</w:t>
      </w:r>
      <w:bookmarkStart w:id="13" w:name="_Hlk100230273"/>
    </w:p>
    <w:p w14:paraId="4B3B3B0C" w14:textId="3DEEDBF5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lastRenderedPageBreak/>
        <w:tab/>
        <w:t>a)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обеспечивать, чтобы содержание под стражей мигрантов было исключительной и крайней мерой, чтобы в каждом случае приводились основания с указанием причин, по которым не могут быть применены меры,</w:t>
      </w:r>
      <w:r w:rsidR="00CD14B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не связанные с заключением под стражу, и чтобы вопрос об обоснованности избрания этой меры рассматривался в течение 24 часов независимым и беспристрастным судебным органом;</w:t>
      </w:r>
    </w:p>
    <w:p w14:paraId="3A55248F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b)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принимать в отношении трудящихся-мигрантов и членов их семей меры, не связанные с административным задержанием, в рамках процедур, связанных с их въездом в страну или высылкой с территории страны;</w:t>
      </w:r>
    </w:p>
    <w:p w14:paraId="6F685CAF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c)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обеспечить наличие надлежащих и достойных условий в местах ограничения свободы, а также, в соответствующих случаях, реальное раздельное содержание трудящихся-мигрантов и членов их семей и лиц, в отношении которых проводится уголовное расследование;</w:t>
      </w:r>
    </w:p>
    <w:p w14:paraId="11B8A482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d)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собирать и предоставлять обновленные данные о мигрантах и членах их семей, находящихся под стражей, в разбивке по возрасту, полу, гражданству, месту и причине содержания под стражей.</w:t>
      </w:r>
    </w:p>
    <w:bookmarkEnd w:id="13"/>
    <w:p w14:paraId="738BB74F" w14:textId="77777777" w:rsidR="00D179EB" w:rsidRPr="00D179EB" w:rsidRDefault="00D179EB" w:rsidP="00CD14B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Консульская помощь</w:t>
      </w:r>
    </w:p>
    <w:p w14:paraId="520458B8" w14:textId="0F791FD9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46.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 прогресс, достигнутый государством-участником в деле улучшения и расширения консульских услуг для парагвайских трудящихся-мигрантов и членов их семей, в частности организацию консультативных встреч по вопросам оказания комплексной помощи мигрантам. Комитет с удовлетворением отмечает, что во время пандемии консульские службы уделяли приоритетное внимание удовлетворению потребностей наиболее уязвимых слоев населения. Комитет обеспокоен тем, что услуги и поддержка, предоставляемые парагвайским мигрантам за рубежом, не сопровождаются усилением защиты мигрантов, живущих в государстве-участнике.</w:t>
      </w:r>
    </w:p>
    <w:p w14:paraId="0BCC70F9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47.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государству-участнику:</w:t>
      </w:r>
    </w:p>
    <w:p w14:paraId="3D16CA0A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a)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далее укреплять потенциал своих консульств и посольств в целях предоставления консультаций, помощи и защиты парагвайским трудящимся-мигрантам и членам их семей, проживающим за рубежом, в том числе за счет выделения большего объема бюджетных средств и сбора статистических данных;</w:t>
      </w:r>
    </w:p>
    <w:p w14:paraId="2E51A359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b)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принять меры для оказания бесплатной юридической помощи парагвайским гражданам, лишенным свободы за рубежом или подлежащим высылке;</w:t>
      </w:r>
    </w:p>
    <w:p w14:paraId="0CF44C4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c)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привлекать организации гражданского общества, ассоциации и добровольческие общества к работе с мигрантами и оказанию им помощи как в стране происхождения, так и в стране назначения, с тем чтобы они могли рассчитывать на поддержку и солидарность своих граждан;</w:t>
      </w:r>
    </w:p>
    <w:p w14:paraId="131EE31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d)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предоставить парагвайцам за рубежом возможность голосовать в любом заграничном представительстве страны;</w:t>
      </w:r>
    </w:p>
    <w:p w14:paraId="22FA8BAD" w14:textId="34C77324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e)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обеспечить, чтобы парагвайцы могли в любой стране проживания в парагвайском консульстве или посольстве ходатайствовать о получении гражданства для своих детей, а также необходимых документов, подтверждающих регистрацию различных актов их гражданского состояния, включая документы, имеющие отношение к их проживанию, а также чтобы этот процесс был оперативным и эффективным и консул был правомочен выдавать необходимые документы.</w:t>
      </w:r>
    </w:p>
    <w:p w14:paraId="00CD26AC" w14:textId="77777777" w:rsidR="00D179EB" w:rsidRPr="00D179EB" w:rsidRDefault="00D179EB" w:rsidP="00CD14B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Вознаграждение и условия труда</w:t>
      </w:r>
    </w:p>
    <w:p w14:paraId="59513826" w14:textId="2507360B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48.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принятие Закона № 6338/19, в котором признается право домашних работников, как граждан страны, так и иностранцев,</w:t>
      </w:r>
      <w:r w:rsidR="00CD14BF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на установленную законом общую минимальную заработную плату. Вместе с тем Комитет обеспокоен тем, что лишь 5,3</w:t>
      </w:r>
      <w:r w:rsidR="00CD14BF">
        <w:rPr>
          <w:rFonts w:eastAsia="SimSun" w:cs="Times New Roman"/>
          <w:szCs w:val="20"/>
          <w:lang w:eastAsia="es-ES"/>
        </w:rPr>
        <w:t> </w:t>
      </w:r>
      <w:r w:rsidRPr="00D179EB">
        <w:rPr>
          <w:rFonts w:eastAsia="SimSun" w:cs="Times New Roman"/>
          <w:szCs w:val="20"/>
          <w:lang w:eastAsia="es-ES"/>
        </w:rPr>
        <w:t xml:space="preserve">% домашних работников стоят на учете в </w:t>
      </w:r>
      <w:r w:rsidRPr="00D179EB">
        <w:rPr>
          <w:rFonts w:eastAsia="SimSun" w:cs="Times New Roman"/>
          <w:szCs w:val="20"/>
          <w:lang w:eastAsia="es-ES"/>
        </w:rPr>
        <w:lastRenderedPageBreak/>
        <w:t>Институте социального обеспечения, а также сохраняющимся высоким уровнем неоформления трудовых отношений в секторе работы по найму в частных домах и недостаточной осведомленностью трудящихся-мигрантов этого сектора о своих правах и обязанностях. Кроме того, Комитет обеспокоен отсутствием политики и процедур по предупреждению принудительного труда среди домашних работников.</w:t>
      </w:r>
    </w:p>
    <w:p w14:paraId="1BE3F555" w14:textId="235B9322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49.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В свете своего замечания общего порядка №</w:t>
      </w:r>
      <w:r w:rsidR="00CD14BF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1</w:t>
      </w:r>
      <w:r w:rsidR="00CD14BF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(2011) о трудящихся-мигрантах, работающих в качестве домашней прислуги, и в соответствии с задачей 8.8 </w:t>
      </w:r>
      <w:r w:rsidRPr="009F0A39">
        <w:rPr>
          <w:rFonts w:eastAsia="SimSun" w:cs="Times New Roman"/>
          <w:b/>
          <w:bCs/>
          <w:szCs w:val="20"/>
          <w:lang w:eastAsia="es-ES"/>
        </w:rPr>
        <w:t>ц</w:t>
      </w:r>
      <w:r w:rsidRPr="00D179EB">
        <w:rPr>
          <w:rFonts w:eastAsia="SimSun" w:cs="Times New Roman"/>
          <w:b/>
          <w:bCs/>
          <w:szCs w:val="20"/>
          <w:lang w:eastAsia="es-ES"/>
        </w:rPr>
        <w:t>елей в области устойчивого развития Комитет рекомендует государству-участнику активизировать усилия по популяризации</w:t>
      </w:r>
      <w:r w:rsidR="00CD14B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Закона №</w:t>
      </w:r>
      <w:r w:rsidR="00CD14BF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6338/19 и обеспечить, чтобы с трудящимися-мигрантами, работающими в качестве домашней прислуги, на справедливых условиях и при их полном согласии бесплатно заключались в письменном виде трудовые договоры, в которых на понятном им языке были бы прописаны их конкретные обязанности, часы работы, размер вознаграждения, нерабочие дни и другие условия труда.</w:t>
      </w:r>
    </w:p>
    <w:p w14:paraId="13476F8F" w14:textId="77777777" w:rsidR="00D179EB" w:rsidRPr="00D179EB" w:rsidRDefault="00D179EB" w:rsidP="00CD14B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Медицинское обслуживание</w:t>
      </w:r>
    </w:p>
    <w:p w14:paraId="368F84D6" w14:textId="5E5C83A6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50.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Национальную политику в области здравоохранения на 2015</w:t>
      </w:r>
      <w:r w:rsidR="00CD14BF" w:rsidRPr="00CD14BF">
        <w:rPr>
          <w:rFonts w:eastAsia="SimSun" w:cs="Times New Roman"/>
          <w:szCs w:val="20"/>
          <w:lang w:eastAsia="es-ES"/>
        </w:rPr>
        <w:t>‒</w:t>
      </w:r>
      <w:r w:rsidRPr="00D179EB">
        <w:rPr>
          <w:rFonts w:eastAsia="SimSun" w:cs="Times New Roman"/>
          <w:szCs w:val="20"/>
          <w:lang w:eastAsia="es-ES"/>
        </w:rPr>
        <w:t>2030 годы (Указ № 4541/2015) и разработку программ, направленных на обеспечение всеобщего доступа к здравоохранению. Комитет отмечает, что в частном секторе иностранные работники имеют доступ к национальной системе социального обеспечения, могут делать соответствующие взносы и получать социальные пособия и пенсию. Вместе с тем Комитет обеспокоен тем, что иностранные работники, не имеющие постоянного статуса, лишены доступа к системе социального обеспечения, поскольку для его получения необходимо предъявить документы, подтверждающие их законное проживание в государстве-участнике.</w:t>
      </w:r>
    </w:p>
    <w:p w14:paraId="3AE7CEF3" w14:textId="1E335471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51.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3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 рекомендует государству-участнику в соответствии со статьей 28 Конвенции принять конкретные меры для обеспечения доступа к своей системе здравоохранения для всех трудящихся-мигрантов и членов их семей, в котором им не может быть отказано в силу каких-либо отклонений в их статусе, поскольку социальная справедливость предполагает равный доступ к услугам с уважением достоинства и без какой-либо дискриминации.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гарантировать, чтобы на практике обеспечение соблюдения миграционного законодательства не препятствовало осуществлению права на здоровье.</w:t>
      </w:r>
    </w:p>
    <w:p w14:paraId="69FB0582" w14:textId="77777777" w:rsidR="00D179EB" w:rsidRPr="00D179EB" w:rsidRDefault="00D179EB" w:rsidP="00CD14B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Регистрация рождения и гражданство</w:t>
      </w:r>
    </w:p>
    <w:p w14:paraId="5E0F4622" w14:textId="1061F910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52.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отмечает, что дети граждан государства-участника, родившиеся</w:t>
      </w:r>
      <w:r w:rsidR="00CD14BF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в третьих странах, могут получить парагвайское гражданство на основании нормы</w:t>
      </w:r>
      <w:r w:rsidR="00CD14BF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jus sanguinis при условии соблюдения определенных требований, а дети иностранцев, родившиеся в государстве-участнике, получают гражданство на основании нормы</w:t>
      </w:r>
      <w:r w:rsidR="00CD14BF">
        <w:rPr>
          <w:rFonts w:eastAsia="SimSun" w:cs="Times New Roman"/>
          <w:szCs w:val="20"/>
          <w:lang w:eastAsia="es-ES"/>
        </w:rPr>
        <w:br/>
      </w:r>
      <w:r w:rsidRPr="00D179EB">
        <w:rPr>
          <w:rFonts w:eastAsia="SimSun" w:cs="Times New Roman"/>
          <w:szCs w:val="20"/>
          <w:lang w:eastAsia="es-ES"/>
        </w:rPr>
        <w:t>jus soli. Вместе с тем Комитет обеспокоен тем, что для получения гражданства необходимо соответствовать ряду критериев: постоянно проживать на территории государства-участника, в возрасте 18 лет подтвердить свое желание сохранить парагвайское гражданство и иметь не больше установленного количества гражданств. Несоблюдение этих требований влечет за собой потерю важных прав, таких как право на гражданство и даже право голоса.</w:t>
      </w:r>
    </w:p>
    <w:p w14:paraId="0B027480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bookmarkStart w:id="14" w:name="_Hlk105059047"/>
      <w:r w:rsidRPr="00D179EB">
        <w:rPr>
          <w:rFonts w:eastAsia="SimSun" w:cs="Times New Roman"/>
          <w:szCs w:val="20"/>
          <w:lang w:eastAsia="es-ES"/>
        </w:rPr>
        <w:t>53.</w:t>
      </w:r>
      <w:r w:rsidRPr="00D179EB">
        <w:rPr>
          <w:rFonts w:eastAsia="SimSun" w:cs="Times New Roman"/>
          <w:szCs w:val="20"/>
          <w:lang w:eastAsia="es-ES"/>
        </w:rPr>
        <w:tab/>
        <w:t xml:space="preserve">Комитет с удовлетворением отмечает, что в 2018 году государство-участник приняло специальный закон о защите апатридов и содействии их натурализации (Закон № 6149) в соответствии с международными нормами. Вместе с тем Комитет обеспокоен тем, что не были приняты необходимые меры по обеспечению его соблюдения и реализации посредством соответствующих указов и административных </w:t>
      </w:r>
      <w:r w:rsidRPr="00D179EB">
        <w:rPr>
          <w:rFonts w:eastAsia="SimSun" w:cs="Times New Roman"/>
          <w:szCs w:val="20"/>
          <w:lang w:eastAsia="es-ES"/>
        </w:rPr>
        <w:lastRenderedPageBreak/>
        <w:t>процедур и что эта задержка продолжает негативно сказываться на детях парагвайских родителей.</w:t>
      </w:r>
      <w:bookmarkEnd w:id="14"/>
    </w:p>
    <w:p w14:paraId="783C066C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54.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4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 призывает создать механизм для оперативной координации действий между консульствами, Национальной комиссией по делам беженцев, национальными гражданскими и коммерческими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судами и Департаментом идентификации граждан для обеспечения соблюдения положений Закона о безгражданстве и обязательств государства-участника по статье 29 Конвенции.</w:t>
      </w:r>
    </w:p>
    <w:p w14:paraId="31CF58B8" w14:textId="0850694B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55.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принять подзаконные акты о порядке осуществления Закона №</w:t>
      </w:r>
      <w:r w:rsidR="00CD14BF">
        <w:rPr>
          <w:rFonts w:eastAsia="SimSun" w:cs="Times New Roman"/>
          <w:b/>
          <w:bCs/>
          <w:szCs w:val="20"/>
          <w:lang w:eastAsia="es-ES"/>
        </w:rPr>
        <w:t> </w:t>
      </w:r>
      <w:r w:rsidRPr="00D179EB">
        <w:rPr>
          <w:rFonts w:eastAsia="SimSun" w:cs="Times New Roman"/>
          <w:b/>
          <w:bCs/>
          <w:szCs w:val="20"/>
          <w:lang w:eastAsia="es-ES"/>
        </w:rPr>
        <w:t>6149 и представлять отчетность о его реализации, в том числе о мерах, принятых для информирования мигрантов, проживающих за рубежом, о его существовании и функционировании, с тем чтобы они могли ходатайствовать о получении гражданства государства-участника из-за рубежа.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Кроме того, Комитет рекомендует собирать и публиковать данные о численности апатридов, их статусе и натурализации.</w:t>
      </w:r>
    </w:p>
    <w:p w14:paraId="7A8B4B81" w14:textId="0FE41D98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56.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рассмотреть вопрос о признании двойного гражданства и предоставлении возможности подачи соответствующих заявлений в консульстве.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Кроме того, Комитет рекомендует в случаях, когда существует риск безгражданства, обеспечить, чтобы парагвайское гражданство предоставлялось как можно скорее и существовала возможность ходатайствовать о его получении в консульстве.</w:t>
      </w:r>
    </w:p>
    <w:p w14:paraId="4CDC8AB3" w14:textId="77777777" w:rsidR="00D179EB" w:rsidRPr="00D179EB" w:rsidRDefault="00D179EB" w:rsidP="00CD14B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Образование</w:t>
      </w:r>
    </w:p>
    <w:p w14:paraId="43C1D22A" w14:textId="40DB9EA6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57.</w:t>
      </w:r>
      <w:r w:rsidRPr="00D179EB">
        <w:rPr>
          <w:rFonts w:eastAsia="SimSun" w:cs="Times New Roman"/>
          <w:szCs w:val="20"/>
          <w:lang w:eastAsia="es-ES"/>
        </w:rPr>
        <w:tab/>
        <w:t>Комитет принимает к сведению информацию о том, что образование является правом, которое гарантируется всем мигрантам независимо от их миграционного статуса. Вместе с тем Комитет обеспокоен тем, что на практике для получения доступа к образованию мигранту необходимо в обязательном порядке предъявить разрешение на проживание и документ, удостоверяющий личность.</w:t>
      </w:r>
    </w:p>
    <w:p w14:paraId="7DA866A0" w14:textId="44621581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58.</w:t>
      </w:r>
      <w:r w:rsidRPr="00D179EB">
        <w:rPr>
          <w:rFonts w:eastAsia="SimSun" w:cs="Times New Roman"/>
          <w:szCs w:val="20"/>
          <w:lang w:eastAsia="es-ES"/>
        </w:rPr>
        <w:tab/>
        <w:t>Комитет по-прежнему обеспокоен отсутствием информации от государства-участника об уровне охвата школьным образованием детей-мигрантов, включая детей, не имеющих постоянного статуса.</w:t>
      </w:r>
    </w:p>
    <w:p w14:paraId="4076125E" w14:textId="01DFCF7B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59.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5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о необходимости сбора государством-участником информации об уровне охвата школьным образованием детей-мигрантов, включая детей, не имеющих постоянного статуса.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гарантировать, чтобы обеспечение соблюдения миграционного законодательства не препятствовало получению образования.</w:t>
      </w:r>
    </w:p>
    <w:p w14:paraId="0CAB7EF0" w14:textId="3B5F4788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60.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В соответствии с совместными замечаниями общего порядка № 3 и № 4 Комитета по защите прав всех трудящихся-мигрантов и членов их семей</w:t>
      </w:r>
      <w:r w:rsidR="00CD14BF">
        <w:rPr>
          <w:rFonts w:eastAsia="SimSun" w:cs="Times New Roman"/>
          <w:b/>
          <w:bCs/>
          <w:szCs w:val="20"/>
          <w:lang w:eastAsia="es-ES"/>
        </w:rPr>
        <w:br/>
      </w:r>
      <w:r w:rsidRPr="00D179EB">
        <w:rPr>
          <w:rFonts w:eastAsia="SimSun" w:cs="Times New Roman"/>
          <w:b/>
          <w:bCs/>
          <w:szCs w:val="20"/>
          <w:lang w:eastAsia="es-ES"/>
        </w:rPr>
        <w:t>и № 22 и № 23 Комитета по правам ребенка (2017), а также со статьей 30 Конвенции государству-участнику рекомендуется:</w:t>
      </w:r>
    </w:p>
    <w:p w14:paraId="2A31680C" w14:textId="54AE10D6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a)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принять конкретные эффективные меры для того, чтобы обеспечить реальный доступ к образованию для детей трудящихся-мигрантов независимо от миграционного статуса их родителей;</w:t>
      </w:r>
    </w:p>
    <w:p w14:paraId="44716A4D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b)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содействовать укреплению потенциала служб защиты детей и подростков на национальном, департаментском и муниципальном уровнях в целях обеспечения проведения скоординированной политики и реализации программ в области оказания помощи и предоставления защиты.</w:t>
      </w:r>
    </w:p>
    <w:p w14:paraId="4E07F2EC" w14:textId="77777777" w:rsidR="00D179EB" w:rsidRPr="00D179EB" w:rsidRDefault="00D179EB" w:rsidP="00CD14B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lastRenderedPageBreak/>
        <w:tab/>
      </w:r>
      <w:r w:rsidRPr="00D179EB">
        <w:rPr>
          <w:rFonts w:eastAsia="SimSun"/>
        </w:rPr>
        <w:tab/>
        <w:t>Перевод заработанных средств и сбережений мигрантами по окончании пребывания в стране</w:t>
      </w:r>
    </w:p>
    <w:p w14:paraId="21FF379B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61.</w:t>
      </w:r>
      <w:r w:rsidRPr="00D179EB">
        <w:rPr>
          <w:rFonts w:eastAsia="SimSun" w:cs="Times New Roman"/>
          <w:szCs w:val="20"/>
          <w:lang w:eastAsia="es-ES"/>
        </w:rPr>
        <w:tab/>
        <w:t>Комитет с обеспокоенностью отмечает, что государство-участник не принимает конкретных мер для содействия переводу денежных средств парагвайцами из-за рубежа.</w:t>
      </w:r>
    </w:p>
    <w:p w14:paraId="5704F00D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62.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6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 рекомендует государству-участнику принять необходимые меры для содействия переводу денежных средств парагвайцами из-за рубежа, а также для предоставления возможности иностранцам, находящимся в государстве-участнике, переводить денежные средства в страну своего происхождения.</w:t>
      </w:r>
    </w:p>
    <w:p w14:paraId="737A0C25" w14:textId="6CE4CD33" w:rsidR="00D179EB" w:rsidRPr="00D179EB" w:rsidRDefault="00CD14BF" w:rsidP="00CD14BF">
      <w:pPr>
        <w:pStyle w:val="H23G"/>
        <w:rPr>
          <w:rFonts w:eastAsia="SimSun"/>
          <w:lang w:val="es-ES"/>
        </w:rPr>
      </w:pPr>
      <w:r>
        <w:rPr>
          <w:rFonts w:eastAsia="SimSun"/>
        </w:rPr>
        <w:tab/>
      </w:r>
      <w:r w:rsidR="00D179EB" w:rsidRPr="00D179EB">
        <w:rPr>
          <w:rFonts w:eastAsia="SimSun"/>
        </w:rPr>
        <w:t>4.</w:t>
      </w:r>
      <w:r w:rsidR="00D179EB" w:rsidRPr="00D179EB">
        <w:rPr>
          <w:rFonts w:eastAsia="SimSun"/>
        </w:rPr>
        <w:tab/>
        <w:t xml:space="preserve">Другие права трудящихся-мигрантов и членов их семей, имеющих документы или постоянный статус </w:t>
      </w:r>
      <w:r w:rsidR="00D179EB" w:rsidRPr="009F0A39">
        <w:rPr>
          <w:rFonts w:eastAsia="SimSun"/>
        </w:rPr>
        <w:t>(статьи</w:t>
      </w:r>
      <w:r w:rsidR="00D179EB" w:rsidRPr="00D179EB">
        <w:rPr>
          <w:rFonts w:eastAsia="SimSun"/>
        </w:rPr>
        <w:t xml:space="preserve"> 36</w:t>
      </w:r>
      <w:r w:rsidRPr="00CD14BF">
        <w:rPr>
          <w:rFonts w:eastAsia="SimSun"/>
        </w:rPr>
        <w:t>‒</w:t>
      </w:r>
      <w:r w:rsidR="00D179EB" w:rsidRPr="00D179EB">
        <w:rPr>
          <w:rFonts w:eastAsia="SimSun"/>
        </w:rPr>
        <w:t>56)</w:t>
      </w:r>
    </w:p>
    <w:p w14:paraId="2C30D716" w14:textId="77777777" w:rsidR="00D179EB" w:rsidRPr="00D179EB" w:rsidRDefault="00D179EB" w:rsidP="00DC4EA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Разрешение на работу и проживание</w:t>
      </w:r>
    </w:p>
    <w:p w14:paraId="68B83358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63.</w:t>
      </w:r>
      <w:r w:rsidRPr="00D179EB">
        <w:rPr>
          <w:rFonts w:eastAsia="SimSun" w:cs="Times New Roman"/>
          <w:szCs w:val="20"/>
          <w:lang w:eastAsia="es-ES"/>
        </w:rPr>
        <w:tab/>
        <w:t>Комитет отмечает, что в государстве-участнике разрешение на работу зависит от вида на жительство, выдаваемого иностранцу, и что не существует отдельной специальной процедуры для получения разрешения на работу. Комитет обеспокоен информацией о том, что работодатели, в том числе государственные должностные лица, не осведомлены о том, что Национальная комиссия по делам беженцев выдает просителям убежища и беженцам временный документ, который позволяет им получить доступ к рынку труда и государственным услугам.</w:t>
      </w:r>
    </w:p>
    <w:p w14:paraId="7D969453" w14:textId="5E3248AC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64.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принять все необходимые меры и нормы для содействия полному и эффективному осуществлению Общего закона № 1938 о беженцах, в частности положений, касающихся временного документа, выдаваемого просителям убежища.</w:t>
      </w:r>
    </w:p>
    <w:p w14:paraId="14C540CC" w14:textId="34A439F4" w:rsidR="00D179EB" w:rsidRPr="00D179EB" w:rsidRDefault="00DC4EAF" w:rsidP="00DC4EAF">
      <w:pPr>
        <w:pStyle w:val="H23G"/>
        <w:rPr>
          <w:rFonts w:eastAsia="SimSun"/>
          <w:lang w:val="es-ES"/>
        </w:rPr>
      </w:pPr>
      <w:r>
        <w:rPr>
          <w:rFonts w:eastAsia="SimSun"/>
        </w:rPr>
        <w:tab/>
      </w:r>
      <w:r w:rsidR="00D179EB" w:rsidRPr="00D179EB">
        <w:rPr>
          <w:rFonts w:eastAsia="SimSun"/>
        </w:rPr>
        <w:t>5.</w:t>
      </w:r>
      <w:r w:rsidR="00D179EB" w:rsidRPr="00D179EB">
        <w:rPr>
          <w:rFonts w:eastAsia="SimSun"/>
        </w:rPr>
        <w:tab/>
        <w:t>Содействие созданию нормальных, справедливых, гуманных и законных условий в отношении международной миграции трудящихся и членов</w:t>
      </w:r>
      <w:r>
        <w:rPr>
          <w:rFonts w:eastAsia="SimSun"/>
        </w:rPr>
        <w:br/>
      </w:r>
      <w:r w:rsidR="00D179EB" w:rsidRPr="00D179EB">
        <w:rPr>
          <w:rFonts w:eastAsia="SimSun"/>
        </w:rPr>
        <w:t>их семей (статьи 64</w:t>
      </w:r>
      <w:r w:rsidRPr="00DC4EAF">
        <w:rPr>
          <w:rFonts w:eastAsia="SimSun"/>
        </w:rPr>
        <w:t>‒</w:t>
      </w:r>
      <w:r w:rsidR="00D179EB" w:rsidRPr="00D179EB">
        <w:rPr>
          <w:rFonts w:eastAsia="SimSun"/>
        </w:rPr>
        <w:t>71)</w:t>
      </w:r>
    </w:p>
    <w:p w14:paraId="6E538356" w14:textId="77777777" w:rsidR="00D179EB" w:rsidRPr="00D179EB" w:rsidRDefault="00D179EB" w:rsidP="00DC4EA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Дети-мигранты и подростки-</w:t>
      </w:r>
      <w:r w:rsidRPr="00DC4EAF">
        <w:t>мигранты</w:t>
      </w:r>
    </w:p>
    <w:p w14:paraId="14E2610C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65.</w:t>
      </w:r>
      <w:r w:rsidRPr="00D179EB">
        <w:rPr>
          <w:rFonts w:eastAsia="SimSun" w:cs="Times New Roman"/>
          <w:szCs w:val="20"/>
          <w:lang w:eastAsia="es-ES"/>
        </w:rPr>
        <w:tab/>
        <w:t>В связи с проблемой детей, оказавшихся в ситуации международной миграции, Комитет отмечает наличие механизма возвращения их в свои семьи, деятельность которого координируется Управлением по работе с парагвайцами за рубежом, а также программы реинтеграции и поддержки репатриантов-предпринимателей, которая позволяет им получить финансовые средства за счет приносящих доход видов деятельности для удовлетворения потребностей членов их семей, включая детей.</w:t>
      </w:r>
    </w:p>
    <w:p w14:paraId="4BB1C4ED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66.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7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 рекомендует также государству-участнику продвинуться вперед в разработке межведомственных механизмов мониторинга положения парагвайских репатриантов.</w:t>
      </w:r>
    </w:p>
    <w:p w14:paraId="7DDCA172" w14:textId="77777777" w:rsidR="00D179EB" w:rsidRPr="00D179EB" w:rsidRDefault="00D179EB" w:rsidP="00DC4EAF">
      <w:pPr>
        <w:pStyle w:val="H23G"/>
        <w:rPr>
          <w:rFonts w:eastAsia="SimSun"/>
          <w:lang w:val="es-ES"/>
        </w:rPr>
      </w:pPr>
      <w:r w:rsidRPr="00D179EB">
        <w:rPr>
          <w:rFonts w:eastAsia="SimSun"/>
        </w:rPr>
        <w:tab/>
      </w:r>
      <w:r w:rsidRPr="00D179EB">
        <w:rPr>
          <w:rFonts w:eastAsia="SimSun"/>
        </w:rPr>
        <w:tab/>
        <w:t>Торговля людьми</w:t>
      </w:r>
    </w:p>
    <w:p w14:paraId="142A7B18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67.</w:t>
      </w:r>
      <w:r w:rsidRPr="00D179EB">
        <w:rPr>
          <w:rFonts w:eastAsia="SimSun" w:cs="Times New Roman"/>
          <w:szCs w:val="20"/>
          <w:lang w:eastAsia="es-ES"/>
        </w:rPr>
        <w:tab/>
        <w:t xml:space="preserve">Комитет отмечает, что в государстве-участнике разработаны распространяющиеся на трудящихся-мигрантов стратегии и политика по борьбе с торговлей людьми, однако ему не известно о наличии каких-либо докладов о реализации этих стратегий. Комитет выражает обеспокоенность в связи с тем, что государство-участник еще не достигло надлежащих стандартов в борьбе с торговлей людьми и что дети, прежде всего живущие на улице в зоне тройной границы, становятся основными жертвами внутригосударственной эксплуатации детей. Кроме того, Комитет по-прежнему обеспокоен незначительным количеством обвинительных </w:t>
      </w:r>
      <w:r w:rsidRPr="00D179EB">
        <w:rPr>
          <w:rFonts w:eastAsia="SimSun" w:cs="Times New Roman"/>
          <w:szCs w:val="20"/>
          <w:lang w:eastAsia="es-ES"/>
        </w:rPr>
        <w:lastRenderedPageBreak/>
        <w:t>приговоров, вынесенных по делам о торговле людьми, в частности в целях сексуальной эксплуатации.</w:t>
      </w:r>
    </w:p>
    <w:p w14:paraId="3CC0F1C1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68.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повторяет свою вынесенную ранее рекомендацию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8"/>
      </w:r>
      <w:r w:rsidRPr="00D179EB">
        <w:rPr>
          <w:rFonts w:eastAsia="SimSun" w:cs="Times New Roman"/>
          <w:b/>
          <w:bCs/>
          <w:szCs w:val="20"/>
          <w:lang w:eastAsia="es-ES"/>
        </w:rPr>
        <w:t xml:space="preserve"> и рекомендует также включить в Уголовный кодекс статьи, конкретно предусматривающие наказание за торговлю людьми и незаконный ввоз мигрантов, в соответствии с Протоколом о предупреждении и пресечении торговли людьми, особенно женщинами и детьми, и наказании за нее и Протоколом против незаконного ввоза мигрантов по суше, морю и воздуху, дополняющими Конвенцию Организации Объединенных Наций против транснациональной организованной преступности, а также принять план действий по борьбе с торговлей людьми и обеспечить сбор достаточной информации о защите жертв.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также призывает обеспечить расследование преступлений, связанных с торговлей людьми в стране, и организовать надлежащую подготовку прокуроров и судей, которые вносят вклад в предупреждение и искоренение этого преступления, а также наказание виновных.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предусмотреть надлежащую правовую процедуру для недопущения того, чтобы находящиеся в государстве-участнике несопровождаемые дети становились жертвами торговли людьми в случае их возвращения или высылки.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</w:p>
    <w:p w14:paraId="51074F21" w14:textId="27DB2FE4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69.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В соответствии с Конвенцией и Рекомендуемыми принципами и руководящими положениями по вопросу о правах человека и торговле людьми Комитет рекомендует государству-участнику:</w:t>
      </w:r>
    </w:p>
    <w:p w14:paraId="207392E9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a)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обеспечить оперативное, эффективное и беспристрастное расследование всех актов торговли людьми, в частности связанных с сексуальной эксплуатацией, а также судебное преследование и наказание виновных в них лиц, в том числе в тех случаях, когда соучастниками в подобных преступлениях являются государственные должностные лица;</w:t>
      </w:r>
    </w:p>
    <w:p w14:paraId="0CD7BA08" w14:textId="1EC906F6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b)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усилить подготовку сотрудников правоохранительных органов, судей, прокуроров, инспекторов труда, преподавателей, медицинских работников и сотрудников посольств и консульств государства-участника с учетом гендерных вопросов и потребностей детей и шире распространять информацию о торговле людьми и оказании помощи жертвам;</w:t>
      </w:r>
    </w:p>
    <w:p w14:paraId="4B08800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c)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выделять достаточный объем ресурсов для оказания жертвам психологической, юридической и медицинской помощи, а также обеспечить наличие специализированных приютов или убежищ как для детей и подростков, так и для женщин, ставших жертвами торговли людьми;</w:t>
      </w:r>
    </w:p>
    <w:p w14:paraId="20244C1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d)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укреплять международное, региональное и двустороннее сотрудничество путем разработки совместных со странами происхождения, транзита и назначения планов действий по предупреждению торговли людьми и выявлению сетей организованной преступности, а также сотрудничать с прокуратурами других стран в целях задержания, привлечения к ответственности и наказания преступников;</w:t>
      </w:r>
    </w:p>
    <w:p w14:paraId="2B879CAB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b/>
          <w:bCs/>
          <w:szCs w:val="20"/>
          <w:lang w:eastAsia="es-ES"/>
        </w:rPr>
        <w:tab/>
        <w:t>e)</w:t>
      </w:r>
      <w:r w:rsidRPr="00D179EB">
        <w:rPr>
          <w:rFonts w:eastAsia="SimSun" w:cs="Times New Roman"/>
          <w:b/>
          <w:bCs/>
          <w:szCs w:val="20"/>
          <w:lang w:eastAsia="es-ES"/>
        </w:rPr>
        <w:tab/>
        <w:t>разработать механизмы воссоединения семьи и установления личности мигрантов, не имеющих документов, удостоверяющих личность, с целью предупреждения торговли людьми и разлучения мигрантов с членами их семьи на неопределенный срок.</w:t>
      </w:r>
    </w:p>
    <w:p w14:paraId="0C921A33" w14:textId="211CC9A3" w:rsidR="00D179EB" w:rsidRPr="00D179EB" w:rsidRDefault="00D179EB" w:rsidP="00D179EB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val="es-ES" w:eastAsia="es-ES"/>
        </w:rPr>
      </w:pPr>
      <w:r w:rsidRPr="00D179EB">
        <w:rPr>
          <w:rFonts w:eastAsia="SimSun" w:cs="Times New Roman"/>
          <w:b/>
          <w:szCs w:val="20"/>
          <w:lang w:eastAsia="es-ES"/>
        </w:rPr>
        <w:tab/>
      </w:r>
      <w:r w:rsidRPr="00D179EB">
        <w:rPr>
          <w:rFonts w:eastAsia="SimSun" w:cs="Times New Roman"/>
          <w:b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Незаконный ввоз мигрантов и нелегальная миграция</w:t>
      </w:r>
    </w:p>
    <w:p w14:paraId="5C03D458" w14:textId="68702384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70.</w:t>
      </w:r>
      <w:r w:rsidRPr="00D179EB">
        <w:rPr>
          <w:rFonts w:eastAsia="SimSun" w:cs="Times New Roman"/>
          <w:szCs w:val="20"/>
          <w:lang w:eastAsia="es-ES"/>
        </w:rPr>
        <w:tab/>
        <w:t>Комитет обеспокоен тем, что в уголовном законодательстве государства-участника не предусмотрена уголовная ответственность за торговлю людьми и поэтому невозможно эффективно противостоять соответствующим противоправным действиям, негативно отражающимся на лицах, находящихся в контексте миграции.</w:t>
      </w:r>
    </w:p>
    <w:p w14:paraId="19F60831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lastRenderedPageBreak/>
        <w:t>71.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ввести уголовную ответственность за торговлю людьми в рамках своего уголовного законодательства.</w:t>
      </w:r>
    </w:p>
    <w:p w14:paraId="0EA4F993" w14:textId="310F6CB9" w:rsidR="00D179EB" w:rsidRPr="00D179EB" w:rsidRDefault="00DC4EAF" w:rsidP="00DC4EAF">
      <w:pPr>
        <w:pStyle w:val="H23G"/>
        <w:rPr>
          <w:rFonts w:eastAsia="SimSun"/>
          <w:lang w:val="es-ES"/>
        </w:rPr>
      </w:pPr>
      <w:r>
        <w:rPr>
          <w:rFonts w:eastAsia="SimSun"/>
        </w:rPr>
        <w:tab/>
      </w:r>
      <w:r w:rsidR="00D179EB" w:rsidRPr="00D179EB">
        <w:rPr>
          <w:rFonts w:eastAsia="SimSun"/>
        </w:rPr>
        <w:t>6.</w:t>
      </w:r>
      <w:r w:rsidR="00D179EB" w:rsidRPr="00D179EB">
        <w:rPr>
          <w:rFonts w:eastAsia="SimSun"/>
        </w:rPr>
        <w:tab/>
        <w:t>Распространение информации и последующая деятельность</w:t>
      </w:r>
    </w:p>
    <w:p w14:paraId="6A073199" w14:textId="77777777" w:rsidR="00D179EB" w:rsidRPr="00DC4EAF" w:rsidRDefault="00D179EB" w:rsidP="00DC4EAF">
      <w:pPr>
        <w:pStyle w:val="SingleTxtG"/>
        <w:rPr>
          <w:rFonts w:eastAsia="SimSun"/>
          <w:b/>
          <w:bCs/>
          <w:lang w:val="es-ES" w:eastAsia="es-ES"/>
        </w:rPr>
      </w:pPr>
      <w:r w:rsidRPr="00D179EB">
        <w:rPr>
          <w:rFonts w:eastAsia="SimSun"/>
          <w:lang w:eastAsia="es-ES"/>
        </w:rPr>
        <w:t>72.</w:t>
      </w:r>
      <w:r w:rsidRPr="00D179EB">
        <w:rPr>
          <w:rFonts w:eastAsia="SimSun"/>
          <w:lang w:eastAsia="es-ES"/>
        </w:rPr>
        <w:tab/>
      </w:r>
      <w:r w:rsidRPr="00DC4EAF">
        <w:rPr>
          <w:rFonts w:eastAsia="SimSun"/>
          <w:b/>
          <w:bCs/>
          <w:shd w:val="clear" w:color="auto" w:fill="FFFFFF"/>
          <w:lang w:val="es-ES" w:eastAsia="es-ES"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членов гражданского общества</w:t>
      </w:r>
      <w:r w:rsidRPr="00DC4EAF">
        <w:rPr>
          <w:rFonts w:eastAsia="SimSun"/>
          <w:b/>
          <w:bCs/>
          <w:lang w:eastAsia="es-ES"/>
        </w:rPr>
        <w:t>.</w:t>
      </w:r>
    </w:p>
    <w:p w14:paraId="3106B970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73.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В соответствии со статьей 84 Конвенции Комитет просит государство-участник включить в свой третий периодический доклад подробную информацию о принятых мерах по выполнению рекомендаций, содержащихся в настоящих заключительных замечаниях, в том числе посредством их препровождения, в частности, членам правительства и Конгресса, сотрудникам судебных органов и местным органам власти.</w:t>
      </w:r>
    </w:p>
    <w:p w14:paraId="6A04C504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D179EB">
        <w:rPr>
          <w:rFonts w:eastAsia="SimSun" w:cs="Times New Roman"/>
          <w:szCs w:val="20"/>
          <w:lang w:eastAsia="es-ES"/>
        </w:rPr>
        <w:t>74.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просит государство-участник представить в течение двух лет информацию в письменном виде о мерах, принятых для выполнения рекомендаций, содержащихся в пунктах 14, 29, 37, 45 и 60 настоящего документа.</w:t>
      </w:r>
    </w:p>
    <w:p w14:paraId="540727A8" w14:textId="77777777" w:rsidR="00D179EB" w:rsidRPr="00D179EB" w:rsidRDefault="00D179EB" w:rsidP="00D179EB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val="es-ES" w:eastAsia="es-ES"/>
        </w:rPr>
      </w:pPr>
      <w:r w:rsidRPr="00D179EB">
        <w:rPr>
          <w:rFonts w:eastAsia="SimSun" w:cs="Times New Roman"/>
          <w:b/>
          <w:szCs w:val="20"/>
          <w:lang w:eastAsia="es-ES"/>
        </w:rPr>
        <w:tab/>
      </w:r>
      <w:r w:rsidRPr="00D179EB">
        <w:rPr>
          <w:rFonts w:eastAsia="SimSun" w:cs="Times New Roman"/>
          <w:b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Следующий периодический доклад</w:t>
      </w:r>
    </w:p>
    <w:p w14:paraId="318945E1" w14:textId="77777777" w:rsidR="00D179EB" w:rsidRPr="00D179EB" w:rsidRDefault="00D179EB" w:rsidP="00D179EB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bookmarkStart w:id="15" w:name="_Hlk98754877"/>
      <w:r w:rsidRPr="00D179EB">
        <w:rPr>
          <w:rFonts w:eastAsia="SimSun" w:cs="Times New Roman"/>
          <w:szCs w:val="20"/>
          <w:lang w:eastAsia="es-ES"/>
        </w:rPr>
        <w:t>75.</w:t>
      </w:r>
      <w:r w:rsidRPr="00D179EB">
        <w:rPr>
          <w:rFonts w:eastAsia="SimSun" w:cs="Times New Roman"/>
          <w:szCs w:val="20"/>
          <w:lang w:eastAsia="es-ES"/>
        </w:rPr>
        <w:tab/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просит государство-участник представить свой следующий периодический доклад не позднее 1 мая 2027 года и включить в него информацию о выполнении рекомендаций, содержащихся в настоящих заключительных замечаниях, и о достигнутых результатах.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color w:val="333333"/>
          <w:szCs w:val="20"/>
          <w:shd w:val="clear" w:color="auto" w:fill="FFFFFF"/>
          <w:lang w:val="es-ES" w:eastAsia="es-ES"/>
        </w:rPr>
        <w:t>С этой целью Комитет предлагает государству-участнику вновь воспользоваться упрощенной процедурой представления докладов</w:t>
      </w:r>
      <w:r w:rsidRPr="00D179EB">
        <w:rPr>
          <w:rFonts w:eastAsia="SimSun" w:cs="Times New Roman"/>
          <w:b/>
          <w:bCs/>
          <w:szCs w:val="20"/>
          <w:lang w:eastAsia="es-ES"/>
        </w:rPr>
        <w:t>.</w:t>
      </w:r>
      <w:r w:rsidRPr="00D179EB">
        <w:rPr>
          <w:rFonts w:eastAsia="SimSun" w:cs="Times New Roman"/>
          <w:szCs w:val="20"/>
          <w:lang w:eastAsia="es-ES"/>
        </w:rPr>
        <w:t xml:space="preserve"> </w:t>
      </w:r>
      <w:r w:rsidRPr="00D179EB">
        <w:rPr>
          <w:rFonts w:eastAsia="SimSun" w:cs="Times New Roman"/>
          <w:b/>
          <w:bCs/>
          <w:szCs w:val="20"/>
          <w:lang w:eastAsia="es-ES"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D179EB">
        <w:rPr>
          <w:rFonts w:eastAsia="SimSun" w:cs="Times New Roman"/>
          <w:sz w:val="18"/>
          <w:szCs w:val="20"/>
          <w:vertAlign w:val="superscript"/>
          <w:lang w:eastAsia="es-ES"/>
        </w:rPr>
        <w:footnoteReference w:id="19"/>
      </w:r>
      <w:r w:rsidRPr="00D179EB">
        <w:rPr>
          <w:rFonts w:eastAsia="SimSun" w:cs="Times New Roman"/>
          <w:b/>
          <w:bCs/>
          <w:szCs w:val="20"/>
          <w:lang w:eastAsia="es-ES"/>
        </w:rPr>
        <w:t>.</w:t>
      </w:r>
    </w:p>
    <w:bookmarkEnd w:id="15"/>
    <w:p w14:paraId="7A4A8726" w14:textId="77777777" w:rsidR="00D179EB" w:rsidRPr="00D179EB" w:rsidRDefault="00D179EB" w:rsidP="00D179EB">
      <w:pPr>
        <w:tabs>
          <w:tab w:val="left" w:pos="1701"/>
          <w:tab w:val="left" w:pos="2268"/>
          <w:tab w:val="left" w:pos="2835"/>
        </w:tabs>
        <w:spacing w:before="240"/>
        <w:ind w:left="1134" w:right="1134"/>
        <w:jc w:val="center"/>
        <w:rPr>
          <w:rFonts w:eastAsia="SimSun" w:cs="Times New Roman"/>
          <w:szCs w:val="20"/>
          <w:u w:val="single"/>
          <w:lang w:val="es-ES" w:eastAsia="es-ES"/>
        </w:rPr>
      </w:pPr>
      <w:r w:rsidRPr="00D179EB">
        <w:rPr>
          <w:rFonts w:eastAsia="SimSun" w:cs="Times New Roman"/>
          <w:szCs w:val="20"/>
          <w:u w:val="single"/>
          <w:lang w:val="es-ES" w:eastAsia="es-ES"/>
        </w:rPr>
        <w:tab/>
      </w:r>
      <w:r w:rsidRPr="00D179EB">
        <w:rPr>
          <w:rFonts w:eastAsia="SimSun" w:cs="Times New Roman"/>
          <w:szCs w:val="20"/>
          <w:u w:val="single"/>
          <w:lang w:val="es-ES" w:eastAsia="es-ES"/>
        </w:rPr>
        <w:tab/>
      </w:r>
      <w:r w:rsidRPr="00D179EB">
        <w:rPr>
          <w:rFonts w:eastAsia="SimSun" w:cs="Times New Roman"/>
          <w:szCs w:val="20"/>
          <w:u w:val="single"/>
          <w:lang w:val="es-ES" w:eastAsia="es-ES"/>
        </w:rPr>
        <w:tab/>
      </w:r>
    </w:p>
    <w:sectPr w:rsidR="00D179EB" w:rsidRPr="00D179EB" w:rsidSect="00D179E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BA3CA" w14:textId="77777777" w:rsidR="00250B56" w:rsidRPr="00A312BC" w:rsidRDefault="00250B56" w:rsidP="00A312BC"/>
  </w:endnote>
  <w:endnote w:type="continuationSeparator" w:id="0">
    <w:p w14:paraId="567F2443" w14:textId="77777777" w:rsidR="00250B56" w:rsidRPr="00A312BC" w:rsidRDefault="00250B5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9F4D" w14:textId="59743289" w:rsidR="00D179EB" w:rsidRPr="00D179EB" w:rsidRDefault="00D179EB">
    <w:pPr>
      <w:pStyle w:val="a8"/>
    </w:pPr>
    <w:r w:rsidRPr="00D179EB">
      <w:rPr>
        <w:b/>
        <w:sz w:val="18"/>
      </w:rPr>
      <w:fldChar w:fldCharType="begin"/>
    </w:r>
    <w:r w:rsidRPr="00D179EB">
      <w:rPr>
        <w:b/>
        <w:sz w:val="18"/>
      </w:rPr>
      <w:instrText xml:space="preserve"> PAGE  \* MERGEFORMAT </w:instrText>
    </w:r>
    <w:r w:rsidRPr="00D179EB">
      <w:rPr>
        <w:b/>
        <w:sz w:val="18"/>
      </w:rPr>
      <w:fldChar w:fldCharType="separate"/>
    </w:r>
    <w:r w:rsidRPr="00D179EB">
      <w:rPr>
        <w:b/>
        <w:noProof/>
        <w:sz w:val="18"/>
      </w:rPr>
      <w:t>2</w:t>
    </w:r>
    <w:r w:rsidRPr="00D179EB">
      <w:rPr>
        <w:b/>
        <w:sz w:val="18"/>
      </w:rPr>
      <w:fldChar w:fldCharType="end"/>
    </w:r>
    <w:r>
      <w:rPr>
        <w:b/>
        <w:sz w:val="18"/>
      </w:rPr>
      <w:tab/>
    </w:r>
    <w:r>
      <w:t>GE.22-08516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8F4F" w14:textId="1F14A454" w:rsidR="00D179EB" w:rsidRPr="00D179EB" w:rsidRDefault="00D179EB" w:rsidP="00D179EB">
    <w:pPr>
      <w:pStyle w:val="a8"/>
      <w:tabs>
        <w:tab w:val="clear" w:pos="9639"/>
        <w:tab w:val="right" w:pos="9638"/>
      </w:tabs>
      <w:rPr>
        <w:b/>
        <w:sz w:val="18"/>
      </w:rPr>
    </w:pPr>
    <w:r>
      <w:t>GE.22-08516</w:t>
    </w:r>
    <w:r>
      <w:tab/>
    </w:r>
    <w:r w:rsidRPr="00D179EB">
      <w:rPr>
        <w:b/>
        <w:sz w:val="18"/>
      </w:rPr>
      <w:fldChar w:fldCharType="begin"/>
    </w:r>
    <w:r w:rsidRPr="00D179EB">
      <w:rPr>
        <w:b/>
        <w:sz w:val="18"/>
      </w:rPr>
      <w:instrText xml:space="preserve"> PAGE  \* MERGEFORMAT </w:instrText>
    </w:r>
    <w:r w:rsidRPr="00D179EB">
      <w:rPr>
        <w:b/>
        <w:sz w:val="18"/>
      </w:rPr>
      <w:fldChar w:fldCharType="separate"/>
    </w:r>
    <w:r w:rsidRPr="00D179EB">
      <w:rPr>
        <w:b/>
        <w:noProof/>
        <w:sz w:val="18"/>
      </w:rPr>
      <w:t>3</w:t>
    </w:r>
    <w:r w:rsidRPr="00D179E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5E541" w14:textId="403CC816" w:rsidR="00042B72" w:rsidRPr="00D179EB" w:rsidRDefault="00D179EB" w:rsidP="00D179E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685D578" wp14:editId="7BB2A5B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22-08516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1716366" wp14:editId="51B513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260922  270922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CDEDC" w14:textId="77777777" w:rsidR="00250B56" w:rsidRPr="001075E9" w:rsidRDefault="00250B5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73B12B" w14:textId="77777777" w:rsidR="00250B56" w:rsidRDefault="00250B5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82FC8C6" w14:textId="77777777" w:rsidR="00D179EB" w:rsidRPr="00F3506D" w:rsidRDefault="00D179EB" w:rsidP="00D179EB">
      <w:pPr>
        <w:pStyle w:val="ad"/>
      </w:pPr>
      <w:r>
        <w:tab/>
        <w:t>*</w:t>
      </w:r>
      <w:r>
        <w:tab/>
        <w:t>Приняты Комитетом на его тридцать четвертой сессии (28 марта ‒‒ 8 апреля 2022 года).</w:t>
      </w:r>
    </w:p>
  </w:footnote>
  <w:footnote w:id="2">
    <w:p w14:paraId="7C361317" w14:textId="11EFDD48" w:rsidR="00D179EB" w:rsidRPr="00A465D3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D179EB">
          <w:rPr>
            <w:rStyle w:val="af1"/>
          </w:rPr>
          <w:t>CMW/C/PRY/2</w:t>
        </w:r>
      </w:hyperlink>
      <w:r>
        <w:t>.</w:t>
      </w:r>
    </w:p>
  </w:footnote>
  <w:footnote w:id="3">
    <w:p w14:paraId="41875E47" w14:textId="3A08C91B" w:rsidR="00D179EB" w:rsidRPr="00A465D3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D179EB">
          <w:rPr>
            <w:rStyle w:val="af1"/>
          </w:rPr>
          <w:t>CMW/C/SR.484</w:t>
        </w:r>
      </w:hyperlink>
      <w:r>
        <w:t xml:space="preserve"> и </w:t>
      </w:r>
      <w:hyperlink r:id="rId3" w:history="1">
        <w:r w:rsidRPr="00D179EB">
          <w:rPr>
            <w:rStyle w:val="af1"/>
          </w:rPr>
          <w:t>CMW/C/SR.485</w:t>
        </w:r>
      </w:hyperlink>
      <w:r>
        <w:t>.</w:t>
      </w:r>
    </w:p>
  </w:footnote>
  <w:footnote w:id="4">
    <w:p w14:paraId="0138ACA1" w14:textId="63D7E743" w:rsidR="00D179EB" w:rsidRPr="00770D10" w:rsidRDefault="00D179EB" w:rsidP="00D179EB">
      <w:pPr>
        <w:pStyle w:val="ad"/>
        <w:spacing w:after="240"/>
      </w:pPr>
      <w:r w:rsidRPr="00450B0F">
        <w:tab/>
      </w:r>
      <w:r>
        <w:rPr>
          <w:rStyle w:val="aa"/>
        </w:rPr>
        <w:footnoteRef/>
      </w:r>
      <w:r w:rsidRPr="00770D10">
        <w:tab/>
      </w:r>
      <w:hyperlink r:id="rId4" w:history="1">
        <w:r w:rsidRPr="00D179EB">
          <w:rPr>
            <w:rStyle w:val="af1"/>
            <w:lang w:val="en-US"/>
          </w:rPr>
          <w:t>CMW</w:t>
        </w:r>
        <w:r w:rsidRPr="00770D10">
          <w:rPr>
            <w:rStyle w:val="af1"/>
          </w:rPr>
          <w:t>/</w:t>
        </w:r>
        <w:r w:rsidRPr="00D179EB">
          <w:rPr>
            <w:rStyle w:val="af1"/>
            <w:lang w:val="en-US"/>
          </w:rPr>
          <w:t>C</w:t>
        </w:r>
        <w:r w:rsidRPr="00770D10">
          <w:rPr>
            <w:rStyle w:val="af1"/>
          </w:rPr>
          <w:t>/</w:t>
        </w:r>
        <w:r w:rsidRPr="00D179EB">
          <w:rPr>
            <w:rStyle w:val="af1"/>
            <w:lang w:val="en-US"/>
          </w:rPr>
          <w:t>PRY</w:t>
        </w:r>
        <w:r w:rsidRPr="00770D10">
          <w:rPr>
            <w:rStyle w:val="af1"/>
          </w:rPr>
          <w:t>/</w:t>
        </w:r>
        <w:r w:rsidRPr="00D179EB">
          <w:rPr>
            <w:rStyle w:val="af1"/>
            <w:lang w:val="en-US"/>
          </w:rPr>
          <w:t>QPR</w:t>
        </w:r>
        <w:r w:rsidRPr="00770D10">
          <w:rPr>
            <w:rStyle w:val="af1"/>
          </w:rPr>
          <w:t>/2</w:t>
        </w:r>
      </w:hyperlink>
      <w:r w:rsidRPr="00770D10">
        <w:t>.</w:t>
      </w:r>
    </w:p>
  </w:footnote>
  <w:footnote w:id="5">
    <w:p w14:paraId="76434000" w14:textId="2C4BE55B" w:rsidR="00D179EB" w:rsidRPr="00406A2D" w:rsidRDefault="00D179EB" w:rsidP="00D179EB">
      <w:pPr>
        <w:pStyle w:val="ad"/>
      </w:pPr>
      <w:r w:rsidRPr="00770D10">
        <w:tab/>
      </w:r>
      <w:r>
        <w:rPr>
          <w:rStyle w:val="aa"/>
        </w:rPr>
        <w:footnoteRef/>
      </w:r>
      <w:r w:rsidRPr="00406A2D">
        <w:tab/>
      </w:r>
      <w:r>
        <w:t>См</w:t>
      </w:r>
      <w:r w:rsidRPr="00406A2D">
        <w:t xml:space="preserve">. </w:t>
      </w:r>
      <w:r w:rsidR="00E251CF" w:rsidRPr="00E251CF">
        <w:rPr>
          <w:lang w:val="en-US"/>
        </w:rPr>
        <w:t>URL</w:t>
      </w:r>
      <w:r w:rsidR="00E251CF" w:rsidRPr="00406A2D">
        <w:t xml:space="preserve">: </w:t>
      </w:r>
      <w:hyperlink r:id="rId5" w:history="1">
        <w:r w:rsidR="00E251CF" w:rsidRPr="003A089E">
          <w:rPr>
            <w:rStyle w:val="af1"/>
            <w:lang w:val="en-US"/>
          </w:rPr>
          <w:t>https</w:t>
        </w:r>
        <w:r w:rsidR="00E251CF" w:rsidRPr="00406A2D">
          <w:rPr>
            <w:rStyle w:val="af1"/>
          </w:rPr>
          <w:t>://</w:t>
        </w:r>
        <w:r w:rsidR="00E251CF" w:rsidRPr="003A089E">
          <w:rPr>
            <w:rStyle w:val="af1"/>
            <w:lang w:val="en-US"/>
          </w:rPr>
          <w:t>www</w:t>
        </w:r>
        <w:r w:rsidR="00E251CF" w:rsidRPr="00406A2D">
          <w:rPr>
            <w:rStyle w:val="af1"/>
          </w:rPr>
          <w:t>.</w:t>
        </w:r>
        <w:proofErr w:type="spellStart"/>
        <w:r w:rsidR="00E251CF" w:rsidRPr="003A089E">
          <w:rPr>
            <w:rStyle w:val="af1"/>
            <w:lang w:val="en-US"/>
          </w:rPr>
          <w:t>ohchr</w:t>
        </w:r>
        <w:proofErr w:type="spellEnd"/>
        <w:r w:rsidR="00E251CF" w:rsidRPr="00406A2D">
          <w:rPr>
            <w:rStyle w:val="af1"/>
          </w:rPr>
          <w:t>.</w:t>
        </w:r>
        <w:r w:rsidR="00E251CF" w:rsidRPr="003A089E">
          <w:rPr>
            <w:rStyle w:val="af1"/>
            <w:lang w:val="en-US"/>
          </w:rPr>
          <w:t>org</w:t>
        </w:r>
        <w:r w:rsidR="00E251CF" w:rsidRPr="00406A2D">
          <w:rPr>
            <w:rStyle w:val="af1"/>
          </w:rPr>
          <w:t>/</w:t>
        </w:r>
        <w:r w:rsidR="00E251CF" w:rsidRPr="003A089E">
          <w:rPr>
            <w:rStyle w:val="af1"/>
            <w:lang w:val="en-US"/>
          </w:rPr>
          <w:t>sites</w:t>
        </w:r>
        <w:r w:rsidR="00E251CF" w:rsidRPr="00406A2D">
          <w:rPr>
            <w:rStyle w:val="af1"/>
          </w:rPr>
          <w:t>/</w:t>
        </w:r>
        <w:r w:rsidR="00E251CF" w:rsidRPr="003A089E">
          <w:rPr>
            <w:rStyle w:val="af1"/>
            <w:lang w:val="en-US"/>
          </w:rPr>
          <w:t>default</w:t>
        </w:r>
        <w:r w:rsidR="00E251CF" w:rsidRPr="00406A2D">
          <w:rPr>
            <w:rStyle w:val="af1"/>
          </w:rPr>
          <w:t>/</w:t>
        </w:r>
        <w:r w:rsidR="00E251CF" w:rsidRPr="003A089E">
          <w:rPr>
            <w:rStyle w:val="af1"/>
            <w:lang w:val="en-US"/>
          </w:rPr>
          <w:t>files</w:t>
        </w:r>
        <w:r w:rsidR="00E251CF" w:rsidRPr="00406A2D">
          <w:rPr>
            <w:rStyle w:val="af1"/>
          </w:rPr>
          <w:t>/</w:t>
        </w:r>
        <w:r w:rsidR="00E251CF" w:rsidRPr="003A089E">
          <w:rPr>
            <w:rStyle w:val="af1"/>
            <w:lang w:val="en-US"/>
          </w:rPr>
          <w:t>Documents</w:t>
        </w:r>
        <w:r w:rsidR="00E251CF" w:rsidRPr="00406A2D">
          <w:rPr>
            <w:rStyle w:val="af1"/>
          </w:rPr>
          <w:t>/</w:t>
        </w:r>
        <w:r w:rsidR="00E251CF" w:rsidRPr="003A089E">
          <w:rPr>
            <w:rStyle w:val="af1"/>
            <w:lang w:val="en-US"/>
          </w:rPr>
          <w:t>Issues</w:t>
        </w:r>
        <w:r w:rsidR="00E251CF" w:rsidRPr="00406A2D">
          <w:rPr>
            <w:rStyle w:val="af1"/>
          </w:rPr>
          <w:t>/</w:t>
        </w:r>
        <w:r w:rsidR="00E251CF" w:rsidRPr="003A089E">
          <w:rPr>
            <w:rStyle w:val="af1"/>
            <w:lang w:val="en-US"/>
          </w:rPr>
          <w:t>Migration</w:t>
        </w:r>
        <w:r w:rsidR="00E251CF" w:rsidRPr="00406A2D">
          <w:rPr>
            <w:rStyle w:val="af1"/>
          </w:rPr>
          <w:t>/</w:t>
        </w:r>
        <w:proofErr w:type="spellStart"/>
        <w:r w:rsidR="00E251CF" w:rsidRPr="003A089E">
          <w:rPr>
            <w:rStyle w:val="af1"/>
            <w:lang w:val="en-US"/>
          </w:rPr>
          <w:t>CMWSPMJointGuidanceNoteCOVID</w:t>
        </w:r>
        <w:proofErr w:type="spellEnd"/>
        <w:r w:rsidR="00E251CF" w:rsidRPr="00406A2D">
          <w:rPr>
            <w:rStyle w:val="af1"/>
          </w:rPr>
          <w:t>-19</w:t>
        </w:r>
        <w:r w:rsidR="00E251CF" w:rsidRPr="003A089E">
          <w:rPr>
            <w:rStyle w:val="af1"/>
            <w:lang w:val="en-US"/>
          </w:rPr>
          <w:t>Migrants</w:t>
        </w:r>
        <w:r w:rsidR="00E251CF" w:rsidRPr="00406A2D">
          <w:rPr>
            <w:rStyle w:val="af1"/>
          </w:rPr>
          <w:t>_</w:t>
        </w:r>
        <w:r w:rsidR="00E251CF" w:rsidRPr="003A089E">
          <w:rPr>
            <w:rStyle w:val="af1"/>
            <w:lang w:val="en-US"/>
          </w:rPr>
          <w:t>SP</w:t>
        </w:r>
        <w:r w:rsidR="00E251CF" w:rsidRPr="00406A2D">
          <w:rPr>
            <w:rStyle w:val="af1"/>
          </w:rPr>
          <w:t>.</w:t>
        </w:r>
        <w:r w:rsidR="00E251CF" w:rsidRPr="003A089E">
          <w:rPr>
            <w:rStyle w:val="af1"/>
            <w:lang w:val="en-US"/>
          </w:rPr>
          <w:t>pdf</w:t>
        </w:r>
      </w:hyperlink>
      <w:r w:rsidR="00736E10" w:rsidRPr="00406A2D">
        <w:t>.</w:t>
      </w:r>
    </w:p>
  </w:footnote>
  <w:footnote w:id="6">
    <w:p w14:paraId="0CFB43F4" w14:textId="20CECBE7" w:rsidR="00D179EB" w:rsidRPr="00D179EB" w:rsidRDefault="00D179EB" w:rsidP="00D179EB">
      <w:pPr>
        <w:pStyle w:val="ad"/>
        <w:rPr>
          <w:lang w:val="en-US"/>
        </w:rPr>
      </w:pPr>
      <w:r w:rsidRPr="00406A2D">
        <w:tab/>
      </w:r>
      <w:r>
        <w:rPr>
          <w:rStyle w:val="aa"/>
        </w:rPr>
        <w:footnoteRef/>
      </w:r>
      <w:r w:rsidRPr="003B5EBC">
        <w:rPr>
          <w:lang w:val="en-US"/>
        </w:rPr>
        <w:tab/>
      </w:r>
      <w:hyperlink r:id="rId6" w:history="1">
        <w:r w:rsidRPr="00D179EB">
          <w:rPr>
            <w:rStyle w:val="af1"/>
            <w:lang w:val="en-US"/>
          </w:rPr>
          <w:t>CMW/C/PRY/CO/1</w:t>
        </w:r>
      </w:hyperlink>
      <w:r w:rsidRPr="003B5EBC">
        <w:rPr>
          <w:lang w:val="en-US"/>
        </w:rPr>
        <w:t xml:space="preserve">, </w:t>
      </w:r>
      <w:r>
        <w:t>п</w:t>
      </w:r>
      <w:r w:rsidRPr="003B5EBC">
        <w:rPr>
          <w:lang w:val="en-US"/>
        </w:rPr>
        <w:t>. 13.</w:t>
      </w:r>
    </w:p>
  </w:footnote>
  <w:footnote w:id="7">
    <w:p w14:paraId="1E6AA1B6" w14:textId="3D59FF12" w:rsidR="00D179EB" w:rsidRPr="001843CF" w:rsidRDefault="00D179EB" w:rsidP="00D179EB">
      <w:pPr>
        <w:pStyle w:val="ad"/>
      </w:pPr>
      <w:r w:rsidRPr="003B5EBC">
        <w:rPr>
          <w:lang w:val="en-US"/>
        </w:rPr>
        <w:tab/>
      </w:r>
      <w:r>
        <w:rPr>
          <w:rStyle w:val="aa"/>
        </w:rPr>
        <w:footnoteRef/>
      </w:r>
      <w:r>
        <w:tab/>
        <w:t>Там же, п</w:t>
      </w:r>
      <w:r w:rsidR="00BB3A5E">
        <w:t>.</w:t>
      </w:r>
      <w:r>
        <w:t xml:space="preserve"> 15.</w:t>
      </w:r>
    </w:p>
  </w:footnote>
  <w:footnote w:id="8">
    <w:p w14:paraId="7BCA9430" w14:textId="6A85089E" w:rsidR="00D179EB" w:rsidRPr="00A465D3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BB3A5E">
        <w:t>.</w:t>
      </w:r>
      <w:r>
        <w:t xml:space="preserve"> 17.</w:t>
      </w:r>
    </w:p>
  </w:footnote>
  <w:footnote w:id="9">
    <w:p w14:paraId="25A3E3CF" w14:textId="51DEDD95" w:rsidR="00D179EB" w:rsidRPr="00AA629B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BB3A5E">
        <w:t>.</w:t>
      </w:r>
      <w:r>
        <w:t xml:space="preserve"> 21.</w:t>
      </w:r>
    </w:p>
  </w:footnote>
  <w:footnote w:id="10">
    <w:p w14:paraId="1B67451B" w14:textId="732265B4" w:rsidR="00D179EB" w:rsidRPr="00450B0F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BB3A5E">
        <w:t>.</w:t>
      </w:r>
      <w:r>
        <w:t xml:space="preserve"> 23.</w:t>
      </w:r>
    </w:p>
  </w:footnote>
  <w:footnote w:id="11">
    <w:p w14:paraId="63D2EC88" w14:textId="79AA8B44" w:rsidR="00D179EB" w:rsidRDefault="00D179EB" w:rsidP="00D179EB">
      <w:pPr>
        <w:pStyle w:val="ad"/>
      </w:pPr>
      <w:r w:rsidRPr="00450B0F">
        <w:tab/>
      </w:r>
      <w:r>
        <w:rPr>
          <w:rStyle w:val="aa"/>
        </w:rPr>
        <w:footnoteRef/>
      </w:r>
      <w:r>
        <w:tab/>
        <w:t>Там же, п</w:t>
      </w:r>
      <w:r w:rsidR="00BB3A5E">
        <w:t>п.</w:t>
      </w:r>
      <w:r>
        <w:t xml:space="preserve"> 23 и 49.</w:t>
      </w:r>
    </w:p>
  </w:footnote>
  <w:footnote w:id="12">
    <w:p w14:paraId="2DC90170" w14:textId="5A72C2A6" w:rsidR="00D179EB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DC4EAF">
        <w:t>.</w:t>
      </w:r>
      <w:r>
        <w:t xml:space="preserve"> 25.</w:t>
      </w:r>
    </w:p>
  </w:footnote>
  <w:footnote w:id="13">
    <w:p w14:paraId="1348EBF9" w14:textId="53F4D11B" w:rsidR="00D179EB" w:rsidRPr="00777094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DC4EAF">
        <w:t>.</w:t>
      </w:r>
      <w:r>
        <w:t xml:space="preserve"> 33.</w:t>
      </w:r>
    </w:p>
  </w:footnote>
  <w:footnote w:id="14">
    <w:p w14:paraId="6F917177" w14:textId="77693F49" w:rsidR="00D179EB" w:rsidRPr="00777094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DC4EAF">
        <w:t>.</w:t>
      </w:r>
      <w:r>
        <w:t xml:space="preserve"> 41.</w:t>
      </w:r>
    </w:p>
  </w:footnote>
  <w:footnote w:id="15">
    <w:p w14:paraId="39BAE368" w14:textId="52928815" w:rsidR="00D179EB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DC4EAF">
        <w:t>.</w:t>
      </w:r>
      <w:r>
        <w:t xml:space="preserve"> 35.</w:t>
      </w:r>
    </w:p>
  </w:footnote>
  <w:footnote w:id="16">
    <w:p w14:paraId="51B2EC50" w14:textId="7C14E7C6" w:rsidR="00D179EB" w:rsidRPr="009434FF" w:rsidRDefault="00D179EB" w:rsidP="00D179EB">
      <w:pPr>
        <w:pStyle w:val="ad"/>
      </w:pPr>
      <w:r>
        <w:rPr>
          <w:i/>
          <w:iCs/>
        </w:rPr>
        <w:tab/>
      </w:r>
      <w:r>
        <w:rPr>
          <w:rStyle w:val="aa"/>
        </w:rPr>
        <w:footnoteRef/>
      </w:r>
      <w:r>
        <w:tab/>
      </w:r>
      <w:r>
        <w:tab/>
        <w:t>Там же, п</w:t>
      </w:r>
      <w:r w:rsidR="00DC4EAF">
        <w:t>.</w:t>
      </w:r>
      <w:r>
        <w:t xml:space="preserve"> 37.</w:t>
      </w:r>
    </w:p>
  </w:footnote>
  <w:footnote w:id="17">
    <w:p w14:paraId="5820A99B" w14:textId="0318E819" w:rsidR="00D179EB" w:rsidRPr="0024316F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DC4EAF">
        <w:t>.</w:t>
      </w:r>
      <w:r>
        <w:t xml:space="preserve"> 29.</w:t>
      </w:r>
    </w:p>
  </w:footnote>
  <w:footnote w:id="18">
    <w:p w14:paraId="78177267" w14:textId="3C4A902E" w:rsidR="00D179EB" w:rsidRPr="00DB2476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  <w:t>Там же, п</w:t>
      </w:r>
      <w:r w:rsidR="00DC4EAF">
        <w:t>.</w:t>
      </w:r>
      <w:r>
        <w:t xml:space="preserve"> 45.</w:t>
      </w:r>
    </w:p>
  </w:footnote>
  <w:footnote w:id="19">
    <w:p w14:paraId="368CC41E" w14:textId="2EC67A8D" w:rsidR="00D179EB" w:rsidRDefault="00D179EB" w:rsidP="00D179E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7" w:history="1">
        <w:r w:rsidRPr="00D179EB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2579" w14:textId="273941A5" w:rsidR="00D179EB" w:rsidRPr="00D179EB" w:rsidRDefault="0052120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CMW/C/PRY/CO/2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F7FDB" w14:textId="1ADF227A" w:rsidR="00D179EB" w:rsidRPr="00D179EB" w:rsidRDefault="00521207" w:rsidP="00D179E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CMW/C/PRY/CO/2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B56"/>
    <w:rsid w:val="00033EE1"/>
    <w:rsid w:val="00042B72"/>
    <w:rsid w:val="000558BD"/>
    <w:rsid w:val="00063856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50B56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3F7BCF"/>
    <w:rsid w:val="00406A2D"/>
    <w:rsid w:val="00407B78"/>
    <w:rsid w:val="004102E9"/>
    <w:rsid w:val="00424203"/>
    <w:rsid w:val="00452493"/>
    <w:rsid w:val="00453318"/>
    <w:rsid w:val="00454E07"/>
    <w:rsid w:val="00472C5C"/>
    <w:rsid w:val="004A5150"/>
    <w:rsid w:val="004B3A26"/>
    <w:rsid w:val="0050108D"/>
    <w:rsid w:val="00513081"/>
    <w:rsid w:val="00517901"/>
    <w:rsid w:val="00521207"/>
    <w:rsid w:val="00526683"/>
    <w:rsid w:val="005709E0"/>
    <w:rsid w:val="0057204F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36E10"/>
    <w:rsid w:val="00757357"/>
    <w:rsid w:val="00770D10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9F0A39"/>
    <w:rsid w:val="00A14DA8"/>
    <w:rsid w:val="00A312BC"/>
    <w:rsid w:val="00A543C6"/>
    <w:rsid w:val="00A81A6E"/>
    <w:rsid w:val="00A84021"/>
    <w:rsid w:val="00A84D35"/>
    <w:rsid w:val="00A917B3"/>
    <w:rsid w:val="00AB4B51"/>
    <w:rsid w:val="00AC42C4"/>
    <w:rsid w:val="00B10CC7"/>
    <w:rsid w:val="00B36DF7"/>
    <w:rsid w:val="00B539E7"/>
    <w:rsid w:val="00B62458"/>
    <w:rsid w:val="00BB3A5E"/>
    <w:rsid w:val="00BC18B2"/>
    <w:rsid w:val="00BD33EE"/>
    <w:rsid w:val="00BD3AA6"/>
    <w:rsid w:val="00BE54CB"/>
    <w:rsid w:val="00C106D6"/>
    <w:rsid w:val="00C60F0C"/>
    <w:rsid w:val="00C805C9"/>
    <w:rsid w:val="00C92939"/>
    <w:rsid w:val="00CA1679"/>
    <w:rsid w:val="00CB151C"/>
    <w:rsid w:val="00CD14BF"/>
    <w:rsid w:val="00CD3F3E"/>
    <w:rsid w:val="00CE5A1A"/>
    <w:rsid w:val="00CF55F6"/>
    <w:rsid w:val="00D179EB"/>
    <w:rsid w:val="00D33D63"/>
    <w:rsid w:val="00D40EFD"/>
    <w:rsid w:val="00D90028"/>
    <w:rsid w:val="00D90138"/>
    <w:rsid w:val="00DA7285"/>
    <w:rsid w:val="00DC4EAF"/>
    <w:rsid w:val="00DD78D1"/>
    <w:rsid w:val="00DE32CD"/>
    <w:rsid w:val="00DF71B9"/>
    <w:rsid w:val="00E251CF"/>
    <w:rsid w:val="00E32CEA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AA6019"/>
  <w15:docId w15:val="{F3C47C2C-E337-4E49-813D-DE64F9ED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D179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MW/C/SR.485" TargetMode="External"/><Relationship Id="rId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ru/CMW/C/SR.484" TargetMode="External"/><Relationship Id="rId1" Type="http://schemas.openxmlformats.org/officeDocument/2006/relationships/hyperlink" Target="http://undocs.org/es/CMW/C/PRY/2" TargetMode="External"/><Relationship Id="rId6" Type="http://schemas.openxmlformats.org/officeDocument/2006/relationships/hyperlink" Target="http://undocs.org/ru/CMW/C/PRY/CO/1" TargetMode="External"/><Relationship Id="rId5" Type="http://schemas.openxmlformats.org/officeDocument/2006/relationships/hyperlink" Target="https://www.ohchr.org/sites/default/files/Documents/Issues/Migration/CMWSPMJointGuidanceNoteCOVID-19Migrants_SP.pdf" TargetMode="External"/><Relationship Id="rId4" Type="http://schemas.openxmlformats.org/officeDocument/2006/relationships/hyperlink" Target="http://undocs.org/es/CMW/C/PRY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14</Pages>
  <Words>5324</Words>
  <Characters>37578</Characters>
  <Application>Microsoft Office Word</Application>
  <DocSecurity>0</DocSecurity>
  <Lines>1789</Lines>
  <Paragraphs>1340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CMW/C/PRY/CO/2</vt:lpstr>
      <vt:lpstr>A/</vt:lpstr>
      <vt:lpstr>A/</vt:lpstr>
      <vt:lpstr>A/</vt:lpstr>
    </vt:vector>
  </TitlesOfParts>
  <Company>DCM</Company>
  <LinksUpToDate>false</LinksUpToDate>
  <CharactersWithSpaces>41562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CMW/C/PRY/CO/2</dc:title>
  <dc:subject/>
  <dc:creator>Anna KISSELEVA</dc:creator>
  <cp:keywords/>
  <cp:lastModifiedBy>Anna Kisseleva</cp:lastModifiedBy>
  <cp:revision>3</cp:revision>
  <cp:lastPrinted>2022-09-27T09:51:00Z</cp:lastPrinted>
  <dcterms:created xsi:type="dcterms:W3CDTF">2022-09-27T09:51:00Z</dcterms:created>
  <dcterms:modified xsi:type="dcterms:W3CDTF">2022-09-27T09:52:00Z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