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Комитет по ликвидации дискриминации</w:t>
      </w:r>
      <w:r>
        <w:br/>
        <w:t>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47" w:hanging="1267"/>
      </w:pPr>
      <w:r>
        <w:tab/>
      </w:r>
      <w:r>
        <w:tab/>
        <w:t>Рассмотрение докладов, представленных государствами- участниками в соответствии со статьей 18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Четвертые периодические доклады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Эстония</w:t>
      </w:r>
      <w:r>
        <w:rPr>
          <w:rStyle w:val="FootnoteReference"/>
          <w:b w:val="0"/>
          <w:sz w:val="20"/>
        </w:rPr>
        <w:footnoteReference w:customMarkFollows="1" w:id="1"/>
        <w:t>*</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Четвертый периодический доклад об осуществлении Конвенции о ликвидации всех форм дискриминации в отношении женщин, представленный Республикой Эстония в соответствии со статьей 18 Конвенции</w:t>
      </w:r>
    </w:p>
    <w:p w:rsidR="00000000" w:rsidRDefault="00000000">
      <w:pPr>
        <w:pStyle w:val="SingleTxt"/>
      </w:pPr>
    </w:p>
    <w:p w:rsidR="00000000" w:rsidRDefault="00000000">
      <w:pPr>
        <w:pStyle w:val="HCh"/>
        <w:spacing w:after="120"/>
      </w:pPr>
      <w: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Стр.</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rPr>
                <w:b/>
              </w:rPr>
              <w:t>Статья 1</w:t>
            </w:r>
            <w:r>
              <w:rPr>
                <w:spacing w:val="60"/>
                <w:sz w:val="17"/>
              </w:rPr>
              <w:tab/>
            </w:r>
          </w:p>
        </w:tc>
        <w:tc>
          <w:tcPr>
            <w:tcW w:w="533"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r>
            <w:r>
              <w:tab/>
              <w:t>Равноправие мужчин и женщин в правовых актах</w:t>
            </w:r>
            <w:r>
              <w:rPr>
                <w:spacing w:val="60"/>
                <w:sz w:val="17"/>
              </w:rPr>
              <w:tab/>
            </w:r>
          </w:p>
        </w:tc>
        <w:tc>
          <w:tcPr>
            <w:tcW w:w="533"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rPr>
                <w:b/>
              </w:rPr>
              <w:t>Статья 2</w:t>
            </w:r>
            <w:r>
              <w:rPr>
                <w:spacing w:val="60"/>
                <w:sz w:val="17"/>
              </w:rPr>
              <w:tab/>
            </w:r>
          </w:p>
        </w:tc>
        <w:tc>
          <w:tcPr>
            <w:tcW w:w="533" w:type="dxa"/>
            <w:vAlign w:val="bottom"/>
          </w:tcPr>
          <w:p w:rsidR="00000000" w:rsidRDefault="00000000">
            <w:pPr>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Закон о равноправии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rPr>
            </w:pPr>
            <w:r>
              <w:tab/>
            </w:r>
            <w:r>
              <w:tab/>
            </w:r>
            <w:r>
              <w:tab/>
              <w:t>Обязанность содействовать обеспечению равноправия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rPr>
            </w:pPr>
            <w:r>
              <w:tab/>
            </w:r>
            <w:r>
              <w:tab/>
            </w:r>
            <w:r>
              <w:tab/>
              <w:t>Обеспечение принципа гендерного равноправия как государством-членом Евр</w:t>
            </w:r>
            <w:r>
              <w:t>о</w:t>
            </w:r>
            <w:r>
              <w:t>пейского союза</w:t>
            </w:r>
            <w:r>
              <w:rPr>
                <w:spacing w:val="60"/>
                <w:sz w:val="17"/>
              </w:rPr>
              <w:tab/>
            </w:r>
          </w:p>
        </w:tc>
        <w:tc>
          <w:tcPr>
            <w:tcW w:w="533" w:type="dxa"/>
            <w:vAlign w:val="bottom"/>
          </w:tcPr>
          <w:p w:rsidR="00000000" w:rsidRDefault="00000000">
            <w:pPr>
              <w:spacing w:after="120"/>
              <w:jc w:val="right"/>
              <w:rPr>
                <w:lang w:val="en-US"/>
              </w:rPr>
            </w:pPr>
            <w:r>
              <w:rPr>
                <w:lang w:val="en-US"/>
              </w:rP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728" w:hanging="1728"/>
              <w:rPr>
                <w:spacing w:val="60"/>
                <w:sz w:val="17"/>
              </w:rPr>
            </w:pPr>
            <w:r>
              <w:tab/>
            </w:r>
            <w:r>
              <w:tab/>
            </w:r>
            <w:r>
              <w:tab/>
              <w:t>Урегулирование споров, касающихся дискриминации по признаку пола</w:t>
            </w:r>
            <w:r>
              <w:rPr>
                <w:spacing w:val="60"/>
                <w:sz w:val="17"/>
              </w:rPr>
              <w:tab/>
            </w:r>
          </w:p>
        </w:tc>
        <w:tc>
          <w:tcPr>
            <w:tcW w:w="533" w:type="dxa"/>
            <w:vAlign w:val="bottom"/>
          </w:tcPr>
          <w:p w:rsidR="00000000" w:rsidRDefault="00000000">
            <w:pPr>
              <w:spacing w:after="120"/>
              <w:jc w:val="right"/>
              <w:rPr>
                <w:lang w:val="en-US"/>
              </w:rPr>
            </w:pPr>
            <w:r>
              <w:rPr>
                <w:lang w:val="en-US"/>
              </w:rPr>
              <w:t>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r>
            <w:r>
              <w:tab/>
              <w:t>Бремя доказывания</w:t>
            </w:r>
            <w:r>
              <w:rPr>
                <w:spacing w:val="60"/>
                <w:sz w:val="17"/>
              </w:rPr>
              <w:tab/>
            </w:r>
          </w:p>
        </w:tc>
        <w:tc>
          <w:tcPr>
            <w:tcW w:w="533" w:type="dxa"/>
            <w:vAlign w:val="bottom"/>
          </w:tcPr>
          <w:p w:rsidR="00000000" w:rsidRDefault="00000000">
            <w:pPr>
              <w:spacing w:after="120"/>
              <w:jc w:val="right"/>
              <w:rPr>
                <w:lang w:val="en-US"/>
              </w:rPr>
            </w:pPr>
            <w:r>
              <w:rPr>
                <w:lang w:val="en-US"/>
              </w:rPr>
              <w:t>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r>
            <w:r>
              <w:tab/>
              <w:t>Компенсация за ущерб</w:t>
            </w:r>
            <w:r>
              <w:rPr>
                <w:spacing w:val="60"/>
                <w:sz w:val="17"/>
              </w:rPr>
              <w:tab/>
            </w:r>
          </w:p>
        </w:tc>
        <w:tc>
          <w:tcPr>
            <w:tcW w:w="533" w:type="dxa"/>
            <w:vAlign w:val="bottom"/>
          </w:tcPr>
          <w:p w:rsidR="00000000" w:rsidRDefault="00000000">
            <w:pPr>
              <w:spacing w:after="120"/>
              <w:jc w:val="right"/>
              <w:rPr>
                <w:lang w:val="en-US"/>
              </w:rPr>
            </w:pPr>
            <w:r>
              <w:rPr>
                <w:lang w:val="en-US"/>
              </w:rPr>
              <w:t>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1728"/>
              <w:rPr>
                <w:spacing w:val="60"/>
                <w:sz w:val="17"/>
              </w:rPr>
            </w:pPr>
            <w:r>
              <w:tab/>
            </w:r>
            <w:r>
              <w:tab/>
            </w:r>
            <w:r>
              <w:tab/>
              <w:t>Уполномоченный по вопросам гендерного равенства</w:t>
            </w:r>
            <w:r>
              <w:rPr>
                <w:spacing w:val="60"/>
                <w:sz w:val="17"/>
              </w:rPr>
              <w:tab/>
            </w:r>
          </w:p>
        </w:tc>
        <w:tc>
          <w:tcPr>
            <w:tcW w:w="533" w:type="dxa"/>
            <w:vAlign w:val="bottom"/>
          </w:tcPr>
          <w:p w:rsidR="00000000" w:rsidRDefault="00000000">
            <w:pPr>
              <w:spacing w:after="120"/>
              <w:jc w:val="right"/>
              <w:rPr>
                <w:lang w:val="en-US"/>
              </w:rPr>
            </w:pPr>
            <w:r>
              <w:rPr>
                <w:lang w:val="en-US"/>
              </w:rP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1728"/>
              <w:rPr>
                <w:spacing w:val="60"/>
                <w:sz w:val="17"/>
              </w:rPr>
            </w:pPr>
            <w:r>
              <w:tab/>
            </w:r>
            <w:r>
              <w:tab/>
            </w:r>
            <w:r>
              <w:tab/>
              <w:t>Канцлер юстиции</w:t>
            </w:r>
            <w:r>
              <w:rPr>
                <w:spacing w:val="60"/>
                <w:sz w:val="17"/>
              </w:rPr>
              <w:tab/>
            </w:r>
          </w:p>
        </w:tc>
        <w:tc>
          <w:tcPr>
            <w:tcW w:w="533" w:type="dxa"/>
            <w:vAlign w:val="bottom"/>
          </w:tcPr>
          <w:p w:rsidR="00000000" w:rsidRDefault="00000000">
            <w:pPr>
              <w:spacing w:after="120"/>
              <w:jc w:val="right"/>
              <w:rPr>
                <w:lang w:val="en-US"/>
              </w:rPr>
            </w:pPr>
            <w:r>
              <w:rPr>
                <w:lang w:val="en-US"/>
              </w:rP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r>
            <w:r>
              <w:tab/>
              <w:t>Деятельность полиции</w:t>
            </w:r>
            <w:r>
              <w:rPr>
                <w:spacing w:val="60"/>
                <w:sz w:val="17"/>
              </w:rPr>
              <w:tab/>
            </w:r>
          </w:p>
        </w:tc>
        <w:tc>
          <w:tcPr>
            <w:tcW w:w="533" w:type="dxa"/>
            <w:vAlign w:val="bottom"/>
          </w:tcPr>
          <w:p w:rsidR="00000000" w:rsidRDefault="00000000">
            <w:pPr>
              <w:spacing w:after="120"/>
              <w:jc w:val="right"/>
              <w:rPr>
                <w:lang w:val="en-US"/>
              </w:rPr>
            </w:pPr>
            <w:r>
              <w:rPr>
                <w:lang w:val="en-US"/>
              </w:rP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r>
            <w:r>
              <w:tab/>
              <w:t>Приюты</w:t>
            </w:r>
            <w:r>
              <w:rPr>
                <w:spacing w:val="60"/>
                <w:sz w:val="17"/>
              </w:rPr>
              <w:tab/>
            </w:r>
          </w:p>
        </w:tc>
        <w:tc>
          <w:tcPr>
            <w:tcW w:w="533" w:type="dxa"/>
            <w:vAlign w:val="bottom"/>
          </w:tcPr>
          <w:p w:rsidR="00000000" w:rsidRDefault="00000000">
            <w:pPr>
              <w:spacing w:after="120"/>
              <w:jc w:val="right"/>
              <w:rPr>
                <w:lang w:val="en-US"/>
              </w:rPr>
            </w:pPr>
            <w:r>
              <w:rPr>
                <w:lang w:val="en-US"/>
              </w:rP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728" w:hanging="1728"/>
              <w:rPr>
                <w:spacing w:val="60"/>
                <w:sz w:val="17"/>
              </w:rPr>
            </w:pPr>
            <w:r>
              <w:tab/>
            </w:r>
            <w:r>
              <w:tab/>
            </w:r>
            <w:r>
              <w:rPr>
                <w:b/>
              </w:rPr>
              <w:t>Статья 3</w:t>
            </w:r>
            <w:r>
              <w:rPr>
                <w:spacing w:val="60"/>
                <w:sz w:val="17"/>
              </w:rPr>
              <w:tab/>
            </w:r>
          </w:p>
        </w:tc>
        <w:tc>
          <w:tcPr>
            <w:tcW w:w="533" w:type="dxa"/>
            <w:vAlign w:val="bottom"/>
          </w:tcPr>
          <w:p w:rsidR="00000000" w:rsidRDefault="00000000">
            <w:pPr>
              <w:spacing w:after="120"/>
              <w:jc w:val="right"/>
              <w:rPr>
                <w:lang w:val="en-US"/>
              </w:rPr>
            </w:pPr>
            <w:r>
              <w:rPr>
                <w:lang w:val="en-US"/>
              </w:rP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rPr>
                <w:spacing w:val="60"/>
                <w:sz w:val="17"/>
              </w:rPr>
            </w:pPr>
            <w:r>
              <w:tab/>
            </w:r>
            <w:r>
              <w:tab/>
            </w:r>
            <w:r>
              <w:tab/>
              <w:t>Департамент по вопросам гендерного равенства в министерстве социальных дел</w:t>
            </w:r>
            <w:r>
              <w:rPr>
                <w:spacing w:val="60"/>
                <w:sz w:val="17"/>
              </w:rPr>
              <w:tab/>
            </w:r>
          </w:p>
        </w:tc>
        <w:tc>
          <w:tcPr>
            <w:tcW w:w="533" w:type="dxa"/>
            <w:vAlign w:val="bottom"/>
          </w:tcPr>
          <w:p w:rsidR="00000000" w:rsidRDefault="00000000">
            <w:pPr>
              <w:spacing w:after="120"/>
              <w:jc w:val="right"/>
              <w:rPr>
                <w:lang w:val="en-US"/>
              </w:rPr>
            </w:pPr>
            <w:r>
              <w:rPr>
                <w:lang w:val="en-US"/>
              </w:rP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rPr>
                <w:spacing w:val="60"/>
                <w:sz w:val="17"/>
                <w:lang w:val="en-US"/>
              </w:rPr>
            </w:pPr>
            <w:r>
              <w:rPr>
                <w:lang w:val="en-US"/>
              </w:rPr>
              <w:tab/>
            </w:r>
            <w:r>
              <w:rPr>
                <w:lang w:val="en-US"/>
              </w:rPr>
              <w:tab/>
            </w:r>
            <w:r>
              <w:rPr>
                <w:lang w:val="en-US"/>
              </w:rPr>
              <w:tab/>
            </w:r>
            <w:r>
              <w:t>Совет по вопросам гендерного равенства</w:t>
            </w:r>
            <w:r>
              <w:rPr>
                <w:spacing w:val="60"/>
                <w:sz w:val="17"/>
              </w:rPr>
              <w:tab/>
            </w:r>
          </w:p>
        </w:tc>
        <w:tc>
          <w:tcPr>
            <w:tcW w:w="533" w:type="dxa"/>
            <w:vAlign w:val="bottom"/>
          </w:tcPr>
          <w:p w:rsidR="00000000" w:rsidRDefault="00000000">
            <w:pPr>
              <w:spacing w:after="120"/>
              <w:jc w:val="right"/>
              <w:rPr>
                <w:lang w:val="en-US"/>
              </w:rPr>
            </w:pPr>
            <w:r>
              <w:rPr>
                <w:lang w:val="en-US"/>
              </w:rP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728" w:hanging="1728"/>
              <w:rPr>
                <w:spacing w:val="60"/>
                <w:sz w:val="17"/>
              </w:rPr>
            </w:pPr>
            <w:r>
              <w:tab/>
            </w:r>
            <w:r>
              <w:tab/>
            </w:r>
            <w:r>
              <w:rPr>
                <w:b/>
              </w:rPr>
              <w:t>Статья 4</w:t>
            </w:r>
            <w:r>
              <w:rPr>
                <w:spacing w:val="60"/>
                <w:sz w:val="17"/>
              </w:rPr>
              <w:tab/>
            </w:r>
          </w:p>
        </w:tc>
        <w:tc>
          <w:tcPr>
            <w:tcW w:w="533" w:type="dxa"/>
            <w:vAlign w:val="bottom"/>
          </w:tcPr>
          <w:p w:rsidR="00000000" w:rsidRDefault="00000000">
            <w:pPr>
              <w:spacing w:after="120"/>
              <w:jc w:val="right"/>
              <w:rPr>
                <w:lang w:val="en-US"/>
              </w:rPr>
            </w:pPr>
            <w:r>
              <w:rPr>
                <w:lang w:val="en-US"/>
              </w:rP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r>
            <w:r>
              <w:tab/>
              <w:t>Квоты</w:t>
            </w:r>
            <w:r>
              <w:rPr>
                <w:spacing w:val="60"/>
                <w:sz w:val="17"/>
              </w:rPr>
              <w:tab/>
            </w:r>
          </w:p>
        </w:tc>
        <w:tc>
          <w:tcPr>
            <w:tcW w:w="533" w:type="dxa"/>
            <w:vAlign w:val="bottom"/>
          </w:tcPr>
          <w:p w:rsidR="00000000" w:rsidRDefault="00000000">
            <w:pPr>
              <w:spacing w:after="120"/>
              <w:jc w:val="right"/>
              <w:rPr>
                <w:lang w:val="en-US"/>
              </w:rPr>
            </w:pPr>
            <w:r>
              <w:rPr>
                <w:lang w:val="en-US"/>
              </w:rP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1728"/>
              <w:rPr>
                <w:spacing w:val="60"/>
                <w:sz w:val="17"/>
              </w:rPr>
            </w:pPr>
            <w:r>
              <w:tab/>
            </w:r>
            <w:r>
              <w:tab/>
            </w:r>
            <w:r>
              <w:tab/>
              <w:t>Ассигнования по линии государственного бюджета</w:t>
            </w:r>
            <w:r>
              <w:rPr>
                <w:spacing w:val="60"/>
                <w:sz w:val="17"/>
              </w:rPr>
              <w:tab/>
            </w:r>
          </w:p>
        </w:tc>
        <w:tc>
          <w:tcPr>
            <w:tcW w:w="533" w:type="dxa"/>
            <w:vAlign w:val="bottom"/>
          </w:tcPr>
          <w:p w:rsidR="00000000" w:rsidRDefault="00000000">
            <w:pPr>
              <w:spacing w:after="120"/>
              <w:jc w:val="right"/>
              <w:rPr>
                <w:lang w:val="en-US"/>
              </w:rPr>
            </w:pPr>
            <w:r>
              <w:rPr>
                <w:lang w:val="en-US"/>
              </w:rP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r>
            <w:r>
              <w:tab/>
              <w:t>Специальные меры по охране материнства</w:t>
            </w:r>
            <w:r>
              <w:rPr>
                <w:spacing w:val="60"/>
                <w:sz w:val="17"/>
              </w:rPr>
              <w:tab/>
            </w:r>
          </w:p>
        </w:tc>
        <w:tc>
          <w:tcPr>
            <w:tcW w:w="533" w:type="dxa"/>
            <w:vAlign w:val="bottom"/>
          </w:tcPr>
          <w:p w:rsidR="00000000" w:rsidRDefault="00000000">
            <w:pPr>
              <w:spacing w:after="120"/>
              <w:jc w:val="right"/>
              <w:rPr>
                <w:lang w:val="en-US"/>
              </w:rPr>
            </w:pPr>
            <w:r>
              <w:rPr>
                <w:lang w:val="en-US"/>
              </w:rP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1728"/>
              <w:rPr>
                <w:spacing w:val="60"/>
                <w:sz w:val="17"/>
              </w:rPr>
            </w:pPr>
            <w:r>
              <w:tab/>
            </w:r>
            <w:r>
              <w:tab/>
            </w:r>
            <w:r>
              <w:tab/>
              <w:t>Закон о трудовом договоре</w:t>
            </w:r>
            <w:r>
              <w:rPr>
                <w:spacing w:val="60"/>
                <w:sz w:val="17"/>
              </w:rPr>
              <w:tab/>
            </w:r>
          </w:p>
        </w:tc>
        <w:tc>
          <w:tcPr>
            <w:tcW w:w="533" w:type="dxa"/>
            <w:vAlign w:val="bottom"/>
          </w:tcPr>
          <w:p w:rsidR="00000000" w:rsidRDefault="00000000">
            <w:pPr>
              <w:spacing w:after="120"/>
              <w:jc w:val="right"/>
              <w:rPr>
                <w:lang w:val="en-US"/>
              </w:rPr>
            </w:pPr>
            <w:r>
              <w:rPr>
                <w:lang w:val="en-US"/>
              </w:rP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1728"/>
              <w:rPr>
                <w:spacing w:val="60"/>
                <w:sz w:val="17"/>
              </w:rPr>
            </w:pPr>
            <w:r>
              <w:tab/>
            </w:r>
            <w:r>
              <w:tab/>
            </w:r>
            <w:r>
              <w:tab/>
              <w:t>Закон о государственной службе</w:t>
            </w:r>
            <w:r>
              <w:rPr>
                <w:spacing w:val="60"/>
                <w:sz w:val="17"/>
              </w:rPr>
              <w:tab/>
            </w:r>
          </w:p>
        </w:tc>
        <w:tc>
          <w:tcPr>
            <w:tcW w:w="533" w:type="dxa"/>
            <w:vAlign w:val="bottom"/>
          </w:tcPr>
          <w:p w:rsidR="00000000" w:rsidRDefault="00000000">
            <w:pPr>
              <w:spacing w:after="120"/>
              <w:jc w:val="right"/>
              <w:rPr>
                <w:lang w:val="en-US"/>
              </w:rPr>
            </w:pPr>
            <w:r>
              <w:rPr>
                <w:lang w:val="en-US"/>
              </w:rP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1728"/>
              <w:rPr>
                <w:spacing w:val="60"/>
                <w:sz w:val="17"/>
              </w:rPr>
            </w:pPr>
            <w:r>
              <w:tab/>
            </w:r>
            <w:r>
              <w:tab/>
            </w:r>
            <w:r>
              <w:tab/>
              <w:t>Закон о службе занятости</w:t>
            </w:r>
            <w:r>
              <w:rPr>
                <w:spacing w:val="60"/>
                <w:sz w:val="17"/>
              </w:rPr>
              <w:tab/>
            </w:r>
          </w:p>
        </w:tc>
        <w:tc>
          <w:tcPr>
            <w:tcW w:w="533" w:type="dxa"/>
            <w:vAlign w:val="bottom"/>
          </w:tcPr>
          <w:p w:rsidR="00000000" w:rsidRDefault="00000000">
            <w:pPr>
              <w:spacing w:after="120"/>
              <w:jc w:val="right"/>
              <w:rPr>
                <w:lang w:val="en-US"/>
              </w:rPr>
            </w:pPr>
            <w:r>
              <w:rPr>
                <w:lang w:val="en-US"/>
              </w:rP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1728"/>
              <w:rPr>
                <w:spacing w:val="60"/>
                <w:sz w:val="17"/>
              </w:rPr>
            </w:pPr>
            <w:r>
              <w:tab/>
            </w:r>
            <w:r>
              <w:tab/>
            </w:r>
            <w:r>
              <w:tab/>
              <w:t>Закон об отпусках</w:t>
            </w:r>
            <w:r>
              <w:rPr>
                <w:spacing w:val="60"/>
                <w:sz w:val="17"/>
              </w:rPr>
              <w:tab/>
            </w:r>
          </w:p>
        </w:tc>
        <w:tc>
          <w:tcPr>
            <w:tcW w:w="533" w:type="dxa"/>
            <w:vAlign w:val="bottom"/>
          </w:tcPr>
          <w:p w:rsidR="00000000" w:rsidRDefault="00000000">
            <w:pPr>
              <w:spacing w:after="120"/>
              <w:jc w:val="right"/>
            </w:pPr>
            <w:r>
              <w:rPr>
                <w:lang w:val="en-US"/>
              </w:rP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r>
            <w:r>
              <w:tab/>
              <w:t>Закон о рабочем времени и времени отдыха</w:t>
            </w:r>
            <w:r>
              <w:rPr>
                <w:spacing w:val="60"/>
                <w:sz w:val="17"/>
              </w:rPr>
              <w:tab/>
            </w:r>
          </w:p>
        </w:tc>
        <w:tc>
          <w:tcPr>
            <w:tcW w:w="533" w:type="dxa"/>
            <w:vAlign w:val="bottom"/>
          </w:tcPr>
          <w:p w:rsidR="00000000" w:rsidRDefault="00000000">
            <w:pPr>
              <w:spacing w:after="120"/>
              <w:jc w:val="right"/>
            </w:pPr>
            <w:r>
              <w:rPr>
                <w:lang w:val="en-US"/>
              </w:rP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1728"/>
              <w:rPr>
                <w:spacing w:val="60"/>
                <w:sz w:val="17"/>
              </w:rPr>
            </w:pPr>
            <w:r>
              <w:tab/>
            </w:r>
            <w:r>
              <w:tab/>
            </w:r>
            <w:r>
              <w:tab/>
              <w:t>Закон о гигиене и безопасности труда</w:t>
            </w:r>
            <w:r>
              <w:rPr>
                <w:spacing w:val="60"/>
                <w:sz w:val="17"/>
              </w:rPr>
              <w:tab/>
            </w:r>
          </w:p>
        </w:tc>
        <w:tc>
          <w:tcPr>
            <w:tcW w:w="533" w:type="dxa"/>
            <w:vAlign w:val="bottom"/>
          </w:tcPr>
          <w:p w:rsidR="00000000" w:rsidRDefault="00000000">
            <w:pPr>
              <w:spacing w:after="120"/>
              <w:jc w:val="right"/>
            </w:pPr>
            <w:r>
              <w:rPr>
                <w:lang w:val="en-US"/>
              </w:rP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keepNext/>
              <w:tabs>
                <w:tab w:val="right" w:pos="1080"/>
                <w:tab w:val="left" w:pos="1296"/>
                <w:tab w:val="left" w:pos="1728"/>
                <w:tab w:val="right" w:leader="dot" w:pos="9360"/>
              </w:tabs>
              <w:spacing w:after="120"/>
              <w:ind w:left="1728" w:hanging="1728"/>
              <w:rPr>
                <w:spacing w:val="60"/>
                <w:sz w:val="17"/>
              </w:rPr>
            </w:pPr>
            <w:r>
              <w:tab/>
            </w:r>
            <w:r>
              <w:tab/>
            </w:r>
            <w:r>
              <w:rPr>
                <w:b/>
              </w:rPr>
              <w:t>Статья 5</w:t>
            </w:r>
            <w:r>
              <w:rPr>
                <w:spacing w:val="60"/>
                <w:sz w:val="17"/>
              </w:rPr>
              <w:tab/>
            </w:r>
          </w:p>
        </w:tc>
        <w:tc>
          <w:tcPr>
            <w:tcW w:w="533" w:type="dxa"/>
            <w:vAlign w:val="bottom"/>
          </w:tcPr>
          <w:p w:rsidR="00000000" w:rsidRDefault="00000000">
            <w:pPr>
              <w:keepNext/>
              <w:spacing w:after="120"/>
              <w:jc w:val="right"/>
              <w:rPr>
                <w:lang w:val="en-US"/>
              </w:rPr>
            </w:pPr>
            <w:r>
              <w:rPr>
                <w:lang w:val="en-US"/>
              </w:rP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1728"/>
              <w:rPr>
                <w:spacing w:val="60"/>
                <w:sz w:val="17"/>
              </w:rPr>
            </w:pPr>
            <w:r>
              <w:tab/>
            </w:r>
            <w:r>
              <w:tab/>
            </w:r>
            <w:r>
              <w:tab/>
              <w:t>Отношение к роли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1728"/>
              <w:rPr>
                <w:spacing w:val="60"/>
                <w:sz w:val="17"/>
              </w:rPr>
            </w:pPr>
            <w:r>
              <w:tab/>
            </w:r>
            <w:r>
              <w:tab/>
            </w:r>
            <w:r>
              <w:tab/>
              <w:t>Отношение к карьере детей</w:t>
            </w:r>
            <w:r>
              <w:rPr>
                <w:spacing w:val="60"/>
                <w:sz w:val="17"/>
              </w:rPr>
              <w:tab/>
            </w:r>
          </w:p>
        </w:tc>
        <w:tc>
          <w:tcPr>
            <w:tcW w:w="533" w:type="dxa"/>
            <w:vAlign w:val="bottom"/>
          </w:tcPr>
          <w:p w:rsidR="00000000" w:rsidRDefault="00000000">
            <w:pPr>
              <w:spacing w:after="120"/>
              <w:jc w:val="right"/>
              <w:rPr>
                <w:lang w:val="en-US"/>
              </w:rPr>
            </w:pPr>
            <w:r>
              <w:rPr>
                <w:lang w:val="en-US"/>
              </w:rP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1728"/>
              <w:rPr>
                <w:spacing w:val="60"/>
                <w:sz w:val="17"/>
              </w:rPr>
            </w:pPr>
            <w:r>
              <w:tab/>
            </w:r>
            <w:r>
              <w:tab/>
            </w:r>
            <w:r>
              <w:tab/>
              <w:t>Использование времени</w:t>
            </w:r>
            <w:r>
              <w:rPr>
                <w:spacing w:val="60"/>
                <w:sz w:val="17"/>
              </w:rPr>
              <w:tab/>
            </w:r>
          </w:p>
        </w:tc>
        <w:tc>
          <w:tcPr>
            <w:tcW w:w="533" w:type="dxa"/>
            <w:vAlign w:val="bottom"/>
          </w:tcPr>
          <w:p w:rsidR="00000000" w:rsidRDefault="00000000">
            <w:pPr>
              <w:spacing w:after="120"/>
              <w:jc w:val="right"/>
            </w:pPr>
            <w:r>
              <w:rPr>
                <w:lang w:val="en-US"/>
              </w:rP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r>
            <w:r>
              <w:tab/>
              <w:t>Роль гибкого использования рабочего времени</w:t>
            </w:r>
            <w:r>
              <w:rPr>
                <w:spacing w:val="60"/>
                <w:sz w:val="17"/>
              </w:rPr>
              <w:tab/>
            </w:r>
          </w:p>
        </w:tc>
        <w:tc>
          <w:tcPr>
            <w:tcW w:w="533" w:type="dxa"/>
            <w:vAlign w:val="bottom"/>
          </w:tcPr>
          <w:p w:rsidR="00000000" w:rsidRDefault="00000000">
            <w:pPr>
              <w:spacing w:after="120"/>
              <w:jc w:val="right"/>
              <w:rPr>
                <w:lang w:val="en-US"/>
              </w:rPr>
            </w:pPr>
            <w:r>
              <w:rPr>
                <w:lang w:val="en-US"/>
              </w:rP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1728"/>
              <w:rPr>
                <w:spacing w:val="60"/>
                <w:sz w:val="17"/>
              </w:rPr>
            </w:pPr>
            <w:r>
              <w:tab/>
            </w:r>
            <w:r>
              <w:tab/>
            </w:r>
            <w:r>
              <w:tab/>
              <w:t>Отношение к родительской роли</w:t>
            </w:r>
            <w:r>
              <w:rPr>
                <w:spacing w:val="60"/>
                <w:sz w:val="17"/>
              </w:rPr>
              <w:tab/>
            </w:r>
          </w:p>
        </w:tc>
        <w:tc>
          <w:tcPr>
            <w:tcW w:w="533" w:type="dxa"/>
            <w:vAlign w:val="bottom"/>
          </w:tcPr>
          <w:p w:rsidR="00000000" w:rsidRDefault="00000000">
            <w:pPr>
              <w:spacing w:after="120"/>
              <w:jc w:val="right"/>
              <w:rPr>
                <w:lang w:val="en-US"/>
              </w:rPr>
            </w:pPr>
            <w:r>
              <w:rPr>
                <w:lang w:val="en-US"/>
              </w:rP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r>
            <w:r>
              <w:tab/>
              <w:t>Роль средств массовой информации, государственных институтов и неправител</w:t>
            </w:r>
            <w:r>
              <w:t>ь</w:t>
            </w:r>
            <w:r>
              <w:t>ственных организаций</w:t>
            </w:r>
            <w:r>
              <w:rPr>
                <w:spacing w:val="60"/>
                <w:sz w:val="17"/>
              </w:rPr>
              <w:tab/>
            </w:r>
          </w:p>
        </w:tc>
        <w:tc>
          <w:tcPr>
            <w:tcW w:w="533" w:type="dxa"/>
            <w:vAlign w:val="bottom"/>
          </w:tcPr>
          <w:p w:rsidR="00000000" w:rsidRDefault="00000000">
            <w:pPr>
              <w:spacing w:after="120"/>
              <w:jc w:val="right"/>
              <w:rPr>
                <w:lang w:val="en-US"/>
              </w:rPr>
            </w:pPr>
            <w:r>
              <w:rPr>
                <w:lang w:val="en-US"/>
              </w:rP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1728"/>
              <w:rPr>
                <w:spacing w:val="60"/>
                <w:sz w:val="17"/>
              </w:rPr>
            </w:pPr>
            <w:r>
              <w:tab/>
            </w:r>
            <w:r>
              <w:tab/>
            </w:r>
            <w:r>
              <w:tab/>
              <w:t>Финансовая поддержка со стороны государства</w:t>
            </w:r>
            <w:r>
              <w:rPr>
                <w:spacing w:val="60"/>
                <w:sz w:val="17"/>
              </w:rPr>
              <w:tab/>
            </w:r>
          </w:p>
        </w:tc>
        <w:tc>
          <w:tcPr>
            <w:tcW w:w="533" w:type="dxa"/>
            <w:vAlign w:val="bottom"/>
          </w:tcPr>
          <w:p w:rsidR="00000000" w:rsidRDefault="00000000">
            <w:pPr>
              <w:spacing w:after="120"/>
              <w:jc w:val="right"/>
              <w:rPr>
                <w:lang w:val="en-US"/>
              </w:rPr>
            </w:pPr>
            <w:r>
              <w:rPr>
                <w:lang w:val="en-US"/>
              </w:rP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rPr>
                <w:spacing w:val="60"/>
                <w:sz w:val="17"/>
              </w:rPr>
            </w:pPr>
            <w:r>
              <w:tab/>
            </w:r>
            <w:r>
              <w:tab/>
            </w:r>
            <w:r>
              <w:tab/>
              <w:t>Совмещение работы и семейной жизни</w:t>
            </w:r>
            <w:r>
              <w:rPr>
                <w:spacing w:val="60"/>
                <w:sz w:val="17"/>
              </w:rPr>
              <w:tab/>
            </w:r>
          </w:p>
        </w:tc>
        <w:tc>
          <w:tcPr>
            <w:tcW w:w="533" w:type="dxa"/>
            <w:vAlign w:val="bottom"/>
          </w:tcPr>
          <w:p w:rsidR="00000000" w:rsidRDefault="00000000">
            <w:pPr>
              <w:spacing w:after="120"/>
              <w:jc w:val="right"/>
              <w:rPr>
                <w:lang w:val="en-US"/>
              </w:rPr>
            </w:pPr>
            <w:r>
              <w:rPr>
                <w:lang w:val="en-US"/>
              </w:rP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1728"/>
              <w:rPr>
                <w:spacing w:val="60"/>
                <w:sz w:val="17"/>
              </w:rPr>
            </w:pPr>
            <w:r>
              <w:tab/>
            </w:r>
            <w:r>
              <w:tab/>
            </w:r>
            <w:r>
              <w:tab/>
              <w:t>Роль родителей</w:t>
            </w:r>
            <w:r>
              <w:rPr>
                <w:spacing w:val="60"/>
                <w:sz w:val="17"/>
              </w:rPr>
              <w:tab/>
            </w:r>
          </w:p>
        </w:tc>
        <w:tc>
          <w:tcPr>
            <w:tcW w:w="533" w:type="dxa"/>
            <w:vAlign w:val="bottom"/>
          </w:tcPr>
          <w:p w:rsidR="00000000" w:rsidRDefault="00000000">
            <w:pPr>
              <w:spacing w:after="120"/>
              <w:jc w:val="right"/>
            </w:pPr>
            <w:r>
              <w:rPr>
                <w:lang w:val="en-US"/>
              </w:rP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1728"/>
              <w:rPr>
                <w:spacing w:val="60"/>
                <w:sz w:val="17"/>
              </w:rPr>
            </w:pPr>
            <w:r>
              <w:tab/>
            </w:r>
            <w:r>
              <w:tab/>
            </w:r>
            <w:r>
              <w:tab/>
              <w:t>Время, проводимое с детьми</w:t>
            </w:r>
            <w:r>
              <w:rPr>
                <w:spacing w:val="60"/>
                <w:sz w:val="17"/>
              </w:rPr>
              <w:tab/>
            </w:r>
          </w:p>
        </w:tc>
        <w:tc>
          <w:tcPr>
            <w:tcW w:w="533" w:type="dxa"/>
            <w:vAlign w:val="bottom"/>
          </w:tcPr>
          <w:p w:rsidR="00000000" w:rsidRDefault="00000000">
            <w:pPr>
              <w:spacing w:after="120"/>
              <w:jc w:val="right"/>
            </w:pPr>
            <w:r>
              <w:rPr>
                <w:lang w:val="en-US"/>
              </w:rP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1728"/>
              <w:rPr>
                <w:spacing w:val="60"/>
                <w:sz w:val="17"/>
              </w:rPr>
            </w:pPr>
            <w:r>
              <w:tab/>
            </w:r>
            <w:r>
              <w:tab/>
            </w:r>
            <w:r>
              <w:tab/>
              <w:t>Ситуация родителей-одиночек</w:t>
            </w:r>
            <w:r>
              <w:rPr>
                <w:spacing w:val="60"/>
                <w:sz w:val="17"/>
              </w:rPr>
              <w:tab/>
            </w:r>
          </w:p>
        </w:tc>
        <w:tc>
          <w:tcPr>
            <w:tcW w:w="533" w:type="dxa"/>
            <w:vAlign w:val="bottom"/>
          </w:tcPr>
          <w:p w:rsidR="00000000" w:rsidRDefault="00000000">
            <w:pPr>
              <w:spacing w:after="120"/>
              <w:jc w:val="right"/>
            </w:pPr>
            <w:r>
              <w:rPr>
                <w:lang w:val="en-US"/>
              </w:rP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r>
            <w:r>
              <w:tab/>
              <w:t>Государственная политика в вопросах семьи</w:t>
            </w:r>
            <w:r>
              <w:rPr>
                <w:spacing w:val="60"/>
                <w:sz w:val="17"/>
              </w:rPr>
              <w:tab/>
            </w:r>
          </w:p>
        </w:tc>
        <w:tc>
          <w:tcPr>
            <w:tcW w:w="533" w:type="dxa"/>
            <w:vAlign w:val="bottom"/>
          </w:tcPr>
          <w:p w:rsidR="00000000" w:rsidRDefault="00000000">
            <w:pPr>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1728"/>
              <w:rPr>
                <w:spacing w:val="60"/>
                <w:sz w:val="17"/>
              </w:rPr>
            </w:pPr>
            <w:r>
              <w:tab/>
            </w:r>
            <w:r>
              <w:tab/>
            </w:r>
            <w:r>
              <w:tab/>
              <w:t>Финансовое благополучие семей</w:t>
            </w:r>
            <w:r>
              <w:rPr>
                <w:spacing w:val="60"/>
                <w:sz w:val="17"/>
              </w:rPr>
              <w:tab/>
            </w:r>
          </w:p>
        </w:tc>
        <w:tc>
          <w:tcPr>
            <w:tcW w:w="533" w:type="dxa"/>
            <w:vAlign w:val="bottom"/>
          </w:tcPr>
          <w:p w:rsidR="00000000" w:rsidRDefault="00000000">
            <w:pPr>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728" w:hanging="1728"/>
              <w:rPr>
                <w:spacing w:val="60"/>
                <w:sz w:val="17"/>
              </w:rPr>
            </w:pPr>
            <w:r>
              <w:tab/>
            </w:r>
            <w:r>
              <w:tab/>
            </w:r>
            <w:r>
              <w:rPr>
                <w:b/>
              </w:rPr>
              <w:t>Статья 6</w:t>
            </w:r>
            <w:r>
              <w:rPr>
                <w:spacing w:val="60"/>
                <w:sz w:val="17"/>
              </w:rPr>
              <w:tab/>
            </w:r>
          </w:p>
        </w:tc>
        <w:tc>
          <w:tcPr>
            <w:tcW w:w="533" w:type="dxa"/>
            <w:vAlign w:val="bottom"/>
          </w:tcPr>
          <w:p w:rsidR="00000000" w:rsidRDefault="00000000">
            <w:pPr>
              <w:spacing w:after="120"/>
              <w:jc w:val="right"/>
              <w:rPr>
                <w:lang w:val="en-US"/>
              </w:rPr>
            </w:pPr>
            <w:r>
              <w:rPr>
                <w:lang w:val="en-US"/>
              </w:rP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r>
            <w:r>
              <w:tab/>
              <w:t>Законодательные меры</w:t>
            </w:r>
            <w:r>
              <w:rPr>
                <w:spacing w:val="60"/>
                <w:sz w:val="17"/>
              </w:rPr>
              <w:tab/>
            </w:r>
          </w:p>
        </w:tc>
        <w:tc>
          <w:tcPr>
            <w:tcW w:w="533" w:type="dxa"/>
            <w:vAlign w:val="bottom"/>
          </w:tcPr>
          <w:p w:rsidR="00000000" w:rsidRDefault="00000000">
            <w:pPr>
              <w:spacing w:after="120"/>
              <w:jc w:val="right"/>
              <w:rPr>
                <w:lang w:val="en-US"/>
              </w:rPr>
            </w:pPr>
            <w:r>
              <w:rPr>
                <w:lang w:val="en-US"/>
              </w:rP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1728"/>
              <w:rPr>
                <w:spacing w:val="60"/>
                <w:sz w:val="17"/>
              </w:rPr>
            </w:pPr>
            <w:r>
              <w:tab/>
            </w:r>
            <w:r>
              <w:tab/>
            </w:r>
            <w:r>
              <w:tab/>
              <w:t>Фактическое положение</w:t>
            </w:r>
            <w:r>
              <w:rPr>
                <w:spacing w:val="60"/>
                <w:sz w:val="17"/>
              </w:rPr>
              <w:tab/>
            </w:r>
          </w:p>
        </w:tc>
        <w:tc>
          <w:tcPr>
            <w:tcW w:w="533" w:type="dxa"/>
            <w:vAlign w:val="bottom"/>
          </w:tcPr>
          <w:p w:rsidR="00000000" w:rsidRDefault="00000000">
            <w:pPr>
              <w:spacing w:after="120"/>
              <w:jc w:val="right"/>
              <w:rPr>
                <w:lang w:val="en-US"/>
              </w:rPr>
            </w:pPr>
            <w:r>
              <w:rPr>
                <w:lang w:val="en-US"/>
              </w:rP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r>
            <w:r>
              <w:tab/>
              <w:t>Информирование общества о данной проблеме</w:t>
            </w:r>
            <w:r>
              <w:rPr>
                <w:spacing w:val="60"/>
                <w:sz w:val="17"/>
              </w:rPr>
              <w:tab/>
            </w:r>
          </w:p>
        </w:tc>
        <w:tc>
          <w:tcPr>
            <w:tcW w:w="533" w:type="dxa"/>
            <w:vAlign w:val="bottom"/>
          </w:tcPr>
          <w:p w:rsidR="00000000" w:rsidRDefault="00000000">
            <w:pPr>
              <w:spacing w:after="120"/>
              <w:jc w:val="right"/>
              <w:rPr>
                <w:lang w:val="en-US"/>
              </w:rPr>
            </w:pPr>
            <w:r>
              <w:rPr>
                <w:lang w:val="en-US"/>
              </w:rP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1728"/>
              <w:rPr>
                <w:spacing w:val="60"/>
                <w:sz w:val="17"/>
              </w:rPr>
            </w:pPr>
            <w:r>
              <w:tab/>
            </w:r>
            <w:r>
              <w:tab/>
            </w:r>
            <w:r>
              <w:tab/>
              <w:t>Кампания в странах Северной Европы и Балтии</w:t>
            </w:r>
            <w:r>
              <w:rPr>
                <w:spacing w:val="60"/>
                <w:sz w:val="17"/>
              </w:rPr>
              <w:tab/>
            </w:r>
          </w:p>
        </w:tc>
        <w:tc>
          <w:tcPr>
            <w:tcW w:w="533" w:type="dxa"/>
            <w:vAlign w:val="bottom"/>
          </w:tcPr>
          <w:p w:rsidR="00000000" w:rsidRDefault="00000000">
            <w:pPr>
              <w:spacing w:after="120"/>
              <w:jc w:val="right"/>
              <w:rPr>
                <w:lang w:val="en-US"/>
              </w:rPr>
            </w:pPr>
            <w:r>
              <w:rPr>
                <w:lang w:val="en-US"/>
              </w:rP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728" w:hanging="1728"/>
              <w:rPr>
                <w:spacing w:val="60"/>
                <w:sz w:val="17"/>
              </w:rPr>
            </w:pPr>
            <w:r>
              <w:tab/>
            </w:r>
            <w:r>
              <w:tab/>
            </w:r>
            <w:r>
              <w:tab/>
              <w:t>Обследования</w:t>
            </w:r>
            <w:r>
              <w:rPr>
                <w:spacing w:val="60"/>
                <w:sz w:val="17"/>
              </w:rPr>
              <w:tab/>
            </w:r>
          </w:p>
        </w:tc>
        <w:tc>
          <w:tcPr>
            <w:tcW w:w="533" w:type="dxa"/>
            <w:vAlign w:val="bottom"/>
          </w:tcPr>
          <w:p w:rsidR="00000000" w:rsidRDefault="00000000">
            <w:pPr>
              <w:spacing w:after="120"/>
              <w:jc w:val="right"/>
              <w:rPr>
                <w:lang w:val="en-US"/>
              </w:rPr>
            </w:pPr>
            <w:r>
              <w:rPr>
                <w:lang w:val="en-US"/>
              </w:rP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r>
            <w:r>
              <w:tab/>
              <w:t>Деятельность полиции</w:t>
            </w:r>
            <w:r>
              <w:rPr>
                <w:spacing w:val="60"/>
                <w:sz w:val="17"/>
              </w:rPr>
              <w:tab/>
            </w:r>
          </w:p>
        </w:tc>
        <w:tc>
          <w:tcPr>
            <w:tcW w:w="533" w:type="dxa"/>
            <w:vAlign w:val="bottom"/>
          </w:tcPr>
          <w:p w:rsidR="00000000" w:rsidRDefault="00000000">
            <w:pPr>
              <w:spacing w:after="120"/>
              <w:jc w:val="right"/>
              <w:rPr>
                <w:lang w:val="en-US"/>
              </w:rPr>
            </w:pPr>
            <w:r>
              <w:rPr>
                <w:lang w:val="en-US"/>
              </w:rP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1728"/>
              <w:rPr>
                <w:spacing w:val="60"/>
                <w:sz w:val="17"/>
              </w:rPr>
            </w:pPr>
            <w:r>
              <w:tab/>
            </w:r>
            <w:r>
              <w:tab/>
            </w:r>
            <w:r>
              <w:tab/>
              <w:t>Национальный план действий по борьбе с торговлей людьми</w:t>
            </w:r>
            <w:r>
              <w:rPr>
                <w:spacing w:val="60"/>
                <w:sz w:val="17"/>
              </w:rPr>
              <w:tab/>
            </w:r>
          </w:p>
        </w:tc>
        <w:tc>
          <w:tcPr>
            <w:tcW w:w="533" w:type="dxa"/>
            <w:vAlign w:val="bottom"/>
          </w:tcPr>
          <w:p w:rsidR="00000000" w:rsidRDefault="00000000">
            <w:pPr>
              <w:spacing w:after="120"/>
              <w:jc w:val="right"/>
              <w:rPr>
                <w:lang w:val="en-US"/>
              </w:rPr>
            </w:pPr>
            <w:r>
              <w:rPr>
                <w:lang w:val="en-US"/>
              </w:rP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728" w:hanging="1728"/>
              <w:rPr>
                <w:spacing w:val="60"/>
                <w:sz w:val="17"/>
              </w:rPr>
            </w:pPr>
            <w:r>
              <w:tab/>
            </w:r>
            <w:r>
              <w:tab/>
            </w:r>
            <w:r>
              <w:tab/>
              <w:t>Ведущиеся обсуждения</w:t>
            </w:r>
            <w:r>
              <w:rPr>
                <w:spacing w:val="60"/>
                <w:sz w:val="17"/>
              </w:rPr>
              <w:tab/>
            </w:r>
          </w:p>
        </w:tc>
        <w:tc>
          <w:tcPr>
            <w:tcW w:w="533" w:type="dxa"/>
            <w:vAlign w:val="bottom"/>
          </w:tcPr>
          <w:p w:rsidR="00000000" w:rsidRDefault="00000000">
            <w:pPr>
              <w:spacing w:after="120"/>
              <w:jc w:val="right"/>
            </w:pPr>
            <w:r>
              <w:rPr>
                <w:lang w:val="en-US"/>
              </w:rP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728" w:hanging="1728"/>
              <w:rPr>
                <w:spacing w:val="60"/>
                <w:sz w:val="17"/>
              </w:rPr>
            </w:pPr>
            <w:r>
              <w:tab/>
            </w:r>
            <w:r>
              <w:tab/>
            </w:r>
            <w:r>
              <w:tab/>
              <w:t>Участие Эстонии в деятельности по борьбе с торговлей людьми в регионе</w:t>
            </w:r>
            <w:r>
              <w:rPr>
                <w:spacing w:val="60"/>
                <w:sz w:val="17"/>
              </w:rPr>
              <w:tab/>
            </w:r>
          </w:p>
        </w:tc>
        <w:tc>
          <w:tcPr>
            <w:tcW w:w="533" w:type="dxa"/>
            <w:vAlign w:val="bottom"/>
          </w:tcPr>
          <w:p w:rsidR="00000000" w:rsidRDefault="00000000">
            <w:pPr>
              <w:spacing w:after="120"/>
              <w:jc w:val="right"/>
              <w:rPr>
                <w:lang w:val="en-US"/>
              </w:rPr>
            </w:pPr>
            <w:r>
              <w:rPr>
                <w:lang w:val="en-US"/>
              </w:rP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728" w:hanging="1728"/>
              <w:rPr>
                <w:spacing w:val="60"/>
                <w:sz w:val="17"/>
              </w:rPr>
            </w:pPr>
            <w:r>
              <w:tab/>
            </w:r>
            <w:r>
              <w:tab/>
            </w:r>
            <w:r>
              <w:rPr>
                <w:b/>
              </w:rPr>
              <w:t>Статья 7</w:t>
            </w:r>
            <w:r>
              <w:rPr>
                <w:spacing w:val="60"/>
                <w:sz w:val="17"/>
              </w:rPr>
              <w:tab/>
            </w:r>
          </w:p>
        </w:tc>
        <w:tc>
          <w:tcPr>
            <w:tcW w:w="533" w:type="dxa"/>
            <w:vAlign w:val="bottom"/>
          </w:tcPr>
          <w:p w:rsidR="00000000" w:rsidRDefault="00000000">
            <w:pPr>
              <w:spacing w:after="120"/>
              <w:jc w:val="right"/>
              <w:rPr>
                <w:lang w:val="en-US"/>
              </w:rPr>
            </w:pPr>
            <w:r>
              <w:rPr>
                <w:lang w:val="en-US"/>
              </w:rP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1728"/>
              <w:rPr>
                <w:spacing w:val="60"/>
                <w:sz w:val="17"/>
              </w:rPr>
            </w:pPr>
            <w:r>
              <w:tab/>
            </w:r>
            <w:r>
              <w:tab/>
            </w:r>
            <w:r>
              <w:tab/>
              <w:t>Женщины в парламенте</w:t>
            </w:r>
            <w:r>
              <w:rPr>
                <w:spacing w:val="60"/>
                <w:sz w:val="17"/>
              </w:rPr>
              <w:tab/>
            </w:r>
          </w:p>
        </w:tc>
        <w:tc>
          <w:tcPr>
            <w:tcW w:w="533" w:type="dxa"/>
            <w:vAlign w:val="bottom"/>
          </w:tcPr>
          <w:p w:rsidR="00000000" w:rsidRDefault="00000000">
            <w:pPr>
              <w:spacing w:after="120"/>
              <w:jc w:val="right"/>
              <w:rPr>
                <w:lang w:val="en-US"/>
              </w:rPr>
            </w:pPr>
            <w:r>
              <w:rPr>
                <w:lang w:val="en-US"/>
              </w:rPr>
              <w:t>43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r>
            <w:r>
              <w:tab/>
              <w:t>Женщины в советах местного самоуправления</w:t>
            </w:r>
            <w:r>
              <w:rPr>
                <w:spacing w:val="60"/>
                <w:sz w:val="17"/>
              </w:rPr>
              <w:tab/>
            </w:r>
          </w:p>
        </w:tc>
        <w:tc>
          <w:tcPr>
            <w:tcW w:w="533" w:type="dxa"/>
            <w:vAlign w:val="bottom"/>
          </w:tcPr>
          <w:p w:rsidR="00000000" w:rsidRDefault="00000000">
            <w:pPr>
              <w:spacing w:after="120"/>
              <w:jc w:val="right"/>
              <w:rPr>
                <w:lang w:val="en-US"/>
              </w:rPr>
            </w:pPr>
            <w:r>
              <w:rPr>
                <w:lang w:val="en-US"/>
              </w:rPr>
              <w:t>43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1728"/>
              <w:rPr>
                <w:spacing w:val="60"/>
                <w:sz w:val="17"/>
              </w:rPr>
            </w:pPr>
            <w:r>
              <w:tab/>
            </w:r>
            <w:r>
              <w:tab/>
            </w:r>
            <w:r>
              <w:tab/>
              <w:t>Женщины на выборах в Европейский парламент</w:t>
            </w:r>
            <w:r>
              <w:rPr>
                <w:spacing w:val="60"/>
                <w:sz w:val="17"/>
              </w:rPr>
              <w:tab/>
            </w:r>
          </w:p>
        </w:tc>
        <w:tc>
          <w:tcPr>
            <w:tcW w:w="533" w:type="dxa"/>
            <w:vAlign w:val="bottom"/>
          </w:tcPr>
          <w:p w:rsidR="00000000" w:rsidRDefault="00000000">
            <w:pPr>
              <w:spacing w:after="120"/>
              <w:jc w:val="right"/>
              <w:rPr>
                <w:lang w:val="en-US"/>
              </w:rPr>
            </w:pPr>
            <w:r>
              <w:rPr>
                <w:lang w:val="en-US"/>
              </w:rPr>
              <w:t>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1728"/>
              <w:rPr>
                <w:spacing w:val="60"/>
                <w:sz w:val="17"/>
              </w:rPr>
            </w:pPr>
            <w:r>
              <w:tab/>
            </w:r>
            <w:r>
              <w:tab/>
            </w:r>
            <w:r>
              <w:tab/>
              <w:t>Доля женщин в крупных политических партиях</w:t>
            </w:r>
            <w:r>
              <w:rPr>
                <w:spacing w:val="60"/>
                <w:sz w:val="17"/>
              </w:rPr>
              <w:tab/>
            </w:r>
          </w:p>
        </w:tc>
        <w:tc>
          <w:tcPr>
            <w:tcW w:w="533" w:type="dxa"/>
            <w:vAlign w:val="bottom"/>
          </w:tcPr>
          <w:p w:rsidR="00000000" w:rsidRDefault="00000000">
            <w:pPr>
              <w:spacing w:after="120"/>
              <w:jc w:val="right"/>
            </w:pPr>
            <w:r>
              <w:rPr>
                <w:lang w:val="en-US"/>
              </w:rPr>
              <w:t>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rPr>
                <w:spacing w:val="60"/>
                <w:sz w:val="17"/>
              </w:rPr>
            </w:pPr>
            <w:r>
              <w:tab/>
            </w:r>
            <w:r>
              <w:tab/>
            </w:r>
            <w:r>
              <w:tab/>
              <w:t>Женщины на государственной службе</w:t>
            </w:r>
            <w:r>
              <w:rPr>
                <w:spacing w:val="60"/>
                <w:sz w:val="17"/>
              </w:rPr>
              <w:tab/>
            </w:r>
          </w:p>
        </w:tc>
        <w:tc>
          <w:tcPr>
            <w:tcW w:w="533" w:type="dxa"/>
            <w:vAlign w:val="bottom"/>
          </w:tcPr>
          <w:p w:rsidR="00000000" w:rsidRDefault="00000000">
            <w:pPr>
              <w:spacing w:after="120"/>
              <w:jc w:val="right"/>
              <w:rPr>
                <w:lang w:val="en-US"/>
              </w:rPr>
            </w:pPr>
            <w:r>
              <w:rPr>
                <w:lang w:val="en-US"/>
              </w:rP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1728"/>
              <w:rPr>
                <w:spacing w:val="60"/>
                <w:sz w:val="17"/>
              </w:rPr>
            </w:pPr>
            <w:r>
              <w:tab/>
            </w:r>
            <w:r>
              <w:tab/>
            </w:r>
            <w:r>
              <w:tab/>
              <w:t>Профессиональные союзы</w:t>
            </w:r>
            <w:r>
              <w:rPr>
                <w:spacing w:val="60"/>
                <w:sz w:val="17"/>
              </w:rPr>
              <w:tab/>
            </w:r>
          </w:p>
        </w:tc>
        <w:tc>
          <w:tcPr>
            <w:tcW w:w="533" w:type="dxa"/>
            <w:vAlign w:val="bottom"/>
          </w:tcPr>
          <w:p w:rsidR="00000000" w:rsidRDefault="00000000">
            <w:pPr>
              <w:spacing w:after="120"/>
              <w:jc w:val="right"/>
              <w:rPr>
                <w:lang w:val="en-US"/>
              </w:rPr>
            </w:pPr>
            <w:r>
              <w:rPr>
                <w:lang w:val="en-US"/>
              </w:rP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728" w:hanging="1728"/>
              <w:rPr>
                <w:spacing w:val="60"/>
                <w:sz w:val="17"/>
              </w:rPr>
            </w:pPr>
            <w:r>
              <w:tab/>
            </w:r>
            <w:r>
              <w:tab/>
            </w:r>
            <w:r>
              <w:rPr>
                <w:b/>
              </w:rPr>
              <w:t>Статья 8</w:t>
            </w:r>
            <w:r>
              <w:rPr>
                <w:spacing w:val="60"/>
                <w:sz w:val="17"/>
              </w:rPr>
              <w:tab/>
            </w:r>
          </w:p>
        </w:tc>
        <w:tc>
          <w:tcPr>
            <w:tcW w:w="533" w:type="dxa"/>
            <w:vAlign w:val="bottom"/>
          </w:tcPr>
          <w:p w:rsidR="00000000" w:rsidRDefault="00000000">
            <w:pPr>
              <w:spacing w:after="120"/>
              <w:jc w:val="right"/>
            </w:pPr>
            <w:r>
              <w:rPr>
                <w:lang w:val="en-US"/>
              </w:rP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r>
            <w:r>
              <w:tab/>
              <w:t>Женщины в международных организациях</w:t>
            </w:r>
            <w:r>
              <w:rPr>
                <w:spacing w:val="60"/>
                <w:sz w:val="17"/>
              </w:rPr>
              <w:tab/>
            </w:r>
          </w:p>
        </w:tc>
        <w:tc>
          <w:tcPr>
            <w:tcW w:w="533" w:type="dxa"/>
            <w:vAlign w:val="bottom"/>
          </w:tcPr>
          <w:p w:rsidR="00000000" w:rsidRDefault="00000000">
            <w:pPr>
              <w:spacing w:after="120"/>
              <w:jc w:val="right"/>
              <w:rPr>
                <w:lang w:val="en-US"/>
              </w:rPr>
            </w:pPr>
            <w:r>
              <w:rPr>
                <w:lang w:val="en-US"/>
              </w:rPr>
              <w:t>52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728" w:hanging="1728"/>
              <w:rPr>
                <w:spacing w:val="60"/>
                <w:sz w:val="17"/>
              </w:rPr>
            </w:pPr>
            <w:r>
              <w:tab/>
            </w:r>
            <w:r>
              <w:tab/>
            </w:r>
            <w:r>
              <w:rPr>
                <w:b/>
              </w:rPr>
              <w:t>Статья 9</w:t>
            </w:r>
            <w:r>
              <w:rPr>
                <w:spacing w:val="60"/>
                <w:sz w:val="17"/>
              </w:rPr>
              <w:tab/>
            </w:r>
          </w:p>
        </w:tc>
        <w:tc>
          <w:tcPr>
            <w:tcW w:w="533" w:type="dxa"/>
            <w:vAlign w:val="bottom"/>
          </w:tcPr>
          <w:p w:rsidR="00000000" w:rsidRDefault="00000000">
            <w:pPr>
              <w:spacing w:after="120"/>
              <w:jc w:val="right"/>
              <w:rPr>
                <w:lang w:val="en-US"/>
              </w:rPr>
            </w:pPr>
            <w:r>
              <w:rPr>
                <w:lang w:val="en-US"/>
              </w:rPr>
              <w:t>53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r>
            <w:r>
              <w:rPr>
                <w:b/>
              </w:rPr>
              <w:t>Статья 10</w:t>
            </w:r>
            <w:r>
              <w:rPr>
                <w:spacing w:val="60"/>
                <w:sz w:val="17"/>
              </w:rPr>
              <w:tab/>
            </w:r>
          </w:p>
        </w:tc>
        <w:tc>
          <w:tcPr>
            <w:tcW w:w="533" w:type="dxa"/>
            <w:vAlign w:val="bottom"/>
          </w:tcPr>
          <w:p w:rsidR="00000000" w:rsidRDefault="00000000">
            <w:pPr>
              <w:spacing w:after="120"/>
              <w:jc w:val="right"/>
              <w:rPr>
                <w:lang w:val="en-US"/>
              </w:rPr>
            </w:pPr>
            <w:r>
              <w:rPr>
                <w:lang w:val="en-US"/>
              </w:rPr>
              <w:t>54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r>
            <w:r>
              <w:rPr>
                <w:b/>
              </w:rPr>
              <w:t>Статья 11</w:t>
            </w:r>
            <w:r>
              <w:rPr>
                <w:spacing w:val="60"/>
                <w:sz w:val="17"/>
              </w:rPr>
              <w:tab/>
            </w:r>
          </w:p>
        </w:tc>
        <w:tc>
          <w:tcPr>
            <w:tcW w:w="533" w:type="dxa"/>
            <w:vAlign w:val="bottom"/>
          </w:tcPr>
          <w:p w:rsidR="00000000" w:rsidRDefault="00000000">
            <w:pPr>
              <w:spacing w:after="120"/>
              <w:jc w:val="right"/>
              <w:rPr>
                <w:lang w:val="en-US"/>
              </w:rPr>
            </w:pPr>
            <w:r>
              <w:rPr>
                <w:lang w:val="en-US"/>
              </w:rP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1728"/>
              <w:rPr>
                <w:spacing w:val="60"/>
                <w:sz w:val="17"/>
              </w:rPr>
            </w:pPr>
            <w:r>
              <w:tab/>
            </w:r>
            <w:r>
              <w:tab/>
            </w:r>
            <w:r>
              <w:tab/>
              <w:t>Горизонтальная и вертикальная сегрегация на рынке труда</w:t>
            </w:r>
            <w:r>
              <w:rPr>
                <w:spacing w:val="60"/>
                <w:sz w:val="17"/>
              </w:rPr>
              <w:tab/>
            </w:r>
          </w:p>
        </w:tc>
        <w:tc>
          <w:tcPr>
            <w:tcW w:w="533" w:type="dxa"/>
            <w:vAlign w:val="bottom"/>
          </w:tcPr>
          <w:p w:rsidR="00000000" w:rsidRDefault="00000000">
            <w:pPr>
              <w:spacing w:after="120"/>
              <w:jc w:val="right"/>
              <w:rPr>
                <w:lang w:val="en-US"/>
              </w:rPr>
            </w:pPr>
            <w:r>
              <w:rPr>
                <w:lang w:val="en-US"/>
              </w:rP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1728"/>
              <w:rPr>
                <w:spacing w:val="60"/>
                <w:sz w:val="17"/>
              </w:rPr>
            </w:pPr>
            <w:r>
              <w:tab/>
            </w:r>
            <w:r>
              <w:tab/>
            </w:r>
            <w:r>
              <w:tab/>
              <w:t>Предпринимательская деятельность</w:t>
            </w:r>
            <w:r>
              <w:rPr>
                <w:spacing w:val="60"/>
                <w:sz w:val="17"/>
              </w:rPr>
              <w:tab/>
            </w:r>
          </w:p>
        </w:tc>
        <w:tc>
          <w:tcPr>
            <w:tcW w:w="533" w:type="dxa"/>
            <w:vAlign w:val="bottom"/>
          </w:tcPr>
          <w:p w:rsidR="00000000" w:rsidRDefault="00000000">
            <w:pPr>
              <w:spacing w:after="120"/>
              <w:jc w:val="right"/>
              <w:rPr>
                <w:lang w:val="en-US"/>
              </w:rPr>
            </w:pPr>
            <w:r>
              <w:rPr>
                <w:lang w:val="en-US"/>
              </w:rP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r>
            <w:r>
              <w:rPr>
                <w:b/>
              </w:rPr>
              <w:t>Статья 12</w:t>
            </w:r>
            <w:r>
              <w:rPr>
                <w:spacing w:val="60"/>
                <w:sz w:val="17"/>
              </w:rPr>
              <w:tab/>
            </w:r>
          </w:p>
        </w:tc>
        <w:tc>
          <w:tcPr>
            <w:tcW w:w="533" w:type="dxa"/>
            <w:vAlign w:val="bottom"/>
          </w:tcPr>
          <w:p w:rsidR="00000000" w:rsidRDefault="00000000">
            <w:pPr>
              <w:spacing w:after="120"/>
              <w:jc w:val="right"/>
              <w:rPr>
                <w:lang w:val="en-US"/>
              </w:rPr>
            </w:pPr>
            <w:r>
              <w:rPr>
                <w:lang w:val="en-US"/>
              </w:rPr>
              <w:t>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1728"/>
              <w:rPr>
                <w:spacing w:val="60"/>
                <w:sz w:val="17"/>
              </w:rPr>
            </w:pPr>
            <w:r>
              <w:tab/>
            </w:r>
            <w:r>
              <w:tab/>
            </w:r>
            <w:r>
              <w:tab/>
              <w:t>Распространение ВИЧ/СПИДа</w:t>
            </w:r>
            <w:r>
              <w:rPr>
                <w:spacing w:val="60"/>
                <w:sz w:val="17"/>
              </w:rPr>
              <w:tab/>
            </w:r>
          </w:p>
        </w:tc>
        <w:tc>
          <w:tcPr>
            <w:tcW w:w="533" w:type="dxa"/>
            <w:vAlign w:val="bottom"/>
          </w:tcPr>
          <w:p w:rsidR="00000000" w:rsidRDefault="00000000">
            <w:pPr>
              <w:spacing w:after="120"/>
              <w:jc w:val="right"/>
              <w:rPr>
                <w:lang w:val="en-US"/>
              </w:rPr>
            </w:pPr>
            <w:r>
              <w:rPr>
                <w:lang w:val="en-US"/>
              </w:rP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r>
            <w:r>
              <w:rPr>
                <w:b/>
              </w:rPr>
              <w:t>Статья 13</w:t>
            </w:r>
            <w:r>
              <w:rPr>
                <w:spacing w:val="60"/>
                <w:sz w:val="17"/>
              </w:rPr>
              <w:tab/>
            </w:r>
          </w:p>
        </w:tc>
        <w:tc>
          <w:tcPr>
            <w:tcW w:w="533" w:type="dxa"/>
            <w:vAlign w:val="bottom"/>
          </w:tcPr>
          <w:p w:rsidR="00000000" w:rsidRDefault="00000000">
            <w:pPr>
              <w:spacing w:after="120"/>
              <w:jc w:val="right"/>
              <w:rPr>
                <w:lang w:val="en-US"/>
              </w:rPr>
            </w:pPr>
            <w:r>
              <w:rPr>
                <w:lang w:val="en-US"/>
              </w:rP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728" w:hanging="1728"/>
              <w:rPr>
                <w:spacing w:val="60"/>
                <w:sz w:val="17"/>
              </w:rPr>
            </w:pPr>
            <w:r>
              <w:tab/>
            </w:r>
            <w:r>
              <w:tab/>
            </w:r>
            <w:r>
              <w:tab/>
              <w:t>Семейные пособия</w:t>
            </w:r>
            <w:r>
              <w:rPr>
                <w:spacing w:val="60"/>
                <w:sz w:val="17"/>
              </w:rPr>
              <w:tab/>
            </w:r>
          </w:p>
        </w:tc>
        <w:tc>
          <w:tcPr>
            <w:tcW w:w="533" w:type="dxa"/>
            <w:vAlign w:val="bottom"/>
          </w:tcPr>
          <w:p w:rsidR="00000000" w:rsidRDefault="00000000">
            <w:pPr>
              <w:spacing w:after="120"/>
              <w:jc w:val="right"/>
            </w:pPr>
            <w:r>
              <w:rPr>
                <w:lang w:val="en-US"/>
              </w:rP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1728"/>
              <w:rPr>
                <w:spacing w:val="60"/>
                <w:sz w:val="17"/>
              </w:rPr>
            </w:pPr>
            <w:r>
              <w:tab/>
            </w:r>
            <w:r>
              <w:tab/>
            </w:r>
            <w:r>
              <w:tab/>
              <w:t>Налоговые льготы семьям с детьми</w:t>
            </w:r>
            <w:r>
              <w:rPr>
                <w:spacing w:val="60"/>
                <w:sz w:val="17"/>
              </w:rPr>
              <w:tab/>
            </w:r>
          </w:p>
        </w:tc>
        <w:tc>
          <w:tcPr>
            <w:tcW w:w="533" w:type="dxa"/>
            <w:vAlign w:val="bottom"/>
          </w:tcPr>
          <w:p w:rsidR="00000000" w:rsidRDefault="00000000">
            <w:pPr>
              <w:spacing w:after="120"/>
              <w:jc w:val="right"/>
            </w:pPr>
            <w:r>
              <w:rPr>
                <w:lang w:val="en-US"/>
              </w:rP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r>
            <w:r>
              <w:rPr>
                <w:b/>
              </w:rPr>
              <w:t>Статья 14</w:t>
            </w:r>
            <w:r>
              <w:rPr>
                <w:spacing w:val="60"/>
                <w:sz w:val="17"/>
              </w:rPr>
              <w:tab/>
            </w:r>
          </w:p>
        </w:tc>
        <w:tc>
          <w:tcPr>
            <w:tcW w:w="533" w:type="dxa"/>
            <w:vAlign w:val="bottom"/>
          </w:tcPr>
          <w:p w:rsidR="00000000" w:rsidRDefault="00000000">
            <w:pPr>
              <w:spacing w:after="120"/>
              <w:jc w:val="right"/>
              <w:rPr>
                <w:lang w:val="en-US"/>
              </w:rPr>
            </w:pPr>
            <w:r>
              <w:rPr>
                <w:lang w:val="en-US"/>
              </w:rPr>
              <w:t>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1728"/>
              <w:rPr>
                <w:spacing w:val="60"/>
                <w:sz w:val="17"/>
              </w:rPr>
            </w:pPr>
            <w:r>
              <w:tab/>
            </w:r>
            <w:r>
              <w:tab/>
            </w:r>
            <w:r>
              <w:tab/>
              <w:t>Безработица в сельской местности</w:t>
            </w:r>
            <w:r>
              <w:rPr>
                <w:spacing w:val="60"/>
                <w:sz w:val="17"/>
              </w:rPr>
              <w:tab/>
            </w:r>
          </w:p>
        </w:tc>
        <w:tc>
          <w:tcPr>
            <w:tcW w:w="533" w:type="dxa"/>
            <w:vAlign w:val="bottom"/>
          </w:tcPr>
          <w:p w:rsidR="00000000" w:rsidRDefault="00000000">
            <w:pPr>
              <w:spacing w:after="120"/>
              <w:jc w:val="right"/>
            </w:pPr>
            <w:r>
              <w:rPr>
                <w:lang w:val="en-US"/>
              </w:rPr>
              <w:t>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1728"/>
              <w:rPr>
                <w:spacing w:val="60"/>
                <w:sz w:val="17"/>
              </w:rPr>
            </w:pPr>
            <w:r>
              <w:tab/>
            </w:r>
            <w:r>
              <w:tab/>
            </w:r>
            <w:r>
              <w:tab/>
              <w:t>Инвестиции и стратегия регионального развития</w:t>
            </w:r>
            <w:r>
              <w:rPr>
                <w:spacing w:val="60"/>
                <w:sz w:val="17"/>
              </w:rPr>
              <w:tab/>
            </w:r>
          </w:p>
        </w:tc>
        <w:tc>
          <w:tcPr>
            <w:tcW w:w="533" w:type="dxa"/>
            <w:vAlign w:val="bottom"/>
          </w:tcPr>
          <w:p w:rsidR="00000000" w:rsidRDefault="00000000">
            <w:pPr>
              <w:spacing w:after="120"/>
              <w:jc w:val="right"/>
              <w:rPr>
                <w:lang w:val="en-US"/>
              </w:rPr>
            </w:pPr>
            <w:r>
              <w:rPr>
                <w:lang w:val="en-US"/>
              </w:rPr>
              <w:t>81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r>
            <w:r>
              <w:rPr>
                <w:b/>
              </w:rPr>
              <w:t>Статья 15</w:t>
            </w:r>
            <w:r>
              <w:rPr>
                <w:spacing w:val="60"/>
                <w:sz w:val="17"/>
              </w:rPr>
              <w:tab/>
            </w:r>
          </w:p>
        </w:tc>
        <w:tc>
          <w:tcPr>
            <w:tcW w:w="533" w:type="dxa"/>
            <w:vAlign w:val="bottom"/>
          </w:tcPr>
          <w:p w:rsidR="00000000" w:rsidRDefault="00000000">
            <w:pPr>
              <w:spacing w:after="120"/>
              <w:jc w:val="right"/>
              <w:rPr>
                <w:lang w:val="en-US"/>
              </w:rPr>
            </w:pPr>
            <w:r>
              <w:rPr>
                <w:lang w:val="en-US"/>
              </w:rPr>
              <w:t>89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rPr>
                <w:spacing w:val="60"/>
                <w:sz w:val="17"/>
              </w:rPr>
            </w:pPr>
            <w:r>
              <w:tab/>
            </w:r>
            <w:r>
              <w:tab/>
            </w:r>
            <w:r>
              <w:tab/>
              <w:t>Равная гражданская правоспособность</w:t>
            </w:r>
            <w:r>
              <w:rPr>
                <w:spacing w:val="60"/>
                <w:sz w:val="17"/>
              </w:rPr>
              <w:tab/>
            </w:r>
          </w:p>
        </w:tc>
        <w:tc>
          <w:tcPr>
            <w:tcW w:w="533" w:type="dxa"/>
            <w:vAlign w:val="bottom"/>
          </w:tcPr>
          <w:p w:rsidR="00000000" w:rsidRDefault="00000000">
            <w:pPr>
              <w:spacing w:after="120"/>
              <w:jc w:val="right"/>
              <w:rPr>
                <w:lang w:val="en-US"/>
              </w:rPr>
            </w:pPr>
            <w:r>
              <w:rPr>
                <w:lang w:val="en-US"/>
              </w:rPr>
              <w:t>89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1728"/>
              <w:rPr>
                <w:spacing w:val="60"/>
                <w:sz w:val="17"/>
              </w:rPr>
            </w:pPr>
            <w:r>
              <w:tab/>
            </w:r>
            <w:r>
              <w:tab/>
            </w:r>
            <w:r>
              <w:tab/>
              <w:t>Деятельность в качестве судей</w:t>
            </w:r>
            <w:r>
              <w:rPr>
                <w:spacing w:val="60"/>
                <w:sz w:val="17"/>
              </w:rPr>
              <w:tab/>
            </w:r>
          </w:p>
        </w:tc>
        <w:tc>
          <w:tcPr>
            <w:tcW w:w="533" w:type="dxa"/>
            <w:vAlign w:val="bottom"/>
          </w:tcPr>
          <w:p w:rsidR="00000000" w:rsidRDefault="00000000">
            <w:pPr>
              <w:spacing w:after="120"/>
              <w:jc w:val="right"/>
              <w:rPr>
                <w:lang w:val="en-US"/>
              </w:rPr>
            </w:pPr>
            <w:r>
              <w:rPr>
                <w:lang w:val="en-US"/>
              </w:rPr>
              <w:t>90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1728"/>
              <w:rPr>
                <w:spacing w:val="60"/>
                <w:sz w:val="17"/>
              </w:rPr>
            </w:pPr>
            <w:r>
              <w:tab/>
            </w:r>
            <w:r>
              <w:tab/>
            </w:r>
            <w:r>
              <w:tab/>
              <w:t>Деятельность в качестве судебного асессора</w:t>
            </w:r>
            <w:r>
              <w:rPr>
                <w:spacing w:val="60"/>
                <w:sz w:val="17"/>
              </w:rPr>
              <w:tab/>
            </w:r>
          </w:p>
        </w:tc>
        <w:tc>
          <w:tcPr>
            <w:tcW w:w="533" w:type="dxa"/>
            <w:vAlign w:val="bottom"/>
          </w:tcPr>
          <w:p w:rsidR="00000000" w:rsidRDefault="00000000">
            <w:pPr>
              <w:spacing w:after="120"/>
              <w:jc w:val="right"/>
            </w:pPr>
            <w:r>
              <w:rPr>
                <w:lang w:val="en-US"/>
              </w:rPr>
              <w:t>90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1728"/>
              <w:rPr>
                <w:spacing w:val="60"/>
                <w:sz w:val="17"/>
              </w:rPr>
            </w:pPr>
            <w:r>
              <w:tab/>
            </w:r>
            <w:r>
              <w:tab/>
            </w:r>
            <w:r>
              <w:tab/>
              <w:t>Деятельность в качестве представителя</w:t>
            </w:r>
            <w:r>
              <w:rPr>
                <w:spacing w:val="60"/>
                <w:sz w:val="17"/>
              </w:rPr>
              <w:tab/>
            </w:r>
          </w:p>
        </w:tc>
        <w:tc>
          <w:tcPr>
            <w:tcW w:w="533" w:type="dxa"/>
            <w:vAlign w:val="bottom"/>
          </w:tcPr>
          <w:p w:rsidR="00000000" w:rsidRDefault="00000000">
            <w:pPr>
              <w:spacing w:after="120"/>
              <w:jc w:val="right"/>
            </w:pPr>
            <w:r>
              <w:rPr>
                <w:lang w:val="en-US"/>
              </w:rPr>
              <w:t>90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1728"/>
              <w:rPr>
                <w:spacing w:val="60"/>
                <w:sz w:val="17"/>
              </w:rPr>
            </w:pPr>
            <w:r>
              <w:tab/>
            </w:r>
            <w:r>
              <w:tab/>
            </w:r>
            <w:r>
              <w:tab/>
              <w:t>Деятельность в качестве прокурора</w:t>
            </w:r>
            <w:r>
              <w:rPr>
                <w:spacing w:val="60"/>
                <w:sz w:val="17"/>
              </w:rPr>
              <w:tab/>
            </w:r>
          </w:p>
        </w:tc>
        <w:tc>
          <w:tcPr>
            <w:tcW w:w="533" w:type="dxa"/>
            <w:vAlign w:val="bottom"/>
          </w:tcPr>
          <w:p w:rsidR="00000000" w:rsidRDefault="00000000">
            <w:pPr>
              <w:spacing w:after="120"/>
              <w:jc w:val="right"/>
              <w:rPr>
                <w:lang w:val="en-US"/>
              </w:rPr>
            </w:pPr>
            <w:r>
              <w:rPr>
                <w:lang w:val="en-US"/>
              </w:rP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1728"/>
              <w:rPr>
                <w:spacing w:val="60"/>
                <w:sz w:val="17"/>
              </w:rPr>
            </w:pPr>
            <w:r>
              <w:tab/>
            </w:r>
            <w:r>
              <w:tab/>
            </w:r>
            <w:r>
              <w:tab/>
              <w:t>Действия в качестве одной из сторон</w:t>
            </w:r>
            <w:r>
              <w:rPr>
                <w:spacing w:val="60"/>
                <w:sz w:val="17"/>
              </w:rPr>
              <w:tab/>
            </w:r>
          </w:p>
        </w:tc>
        <w:tc>
          <w:tcPr>
            <w:tcW w:w="533" w:type="dxa"/>
            <w:vAlign w:val="bottom"/>
          </w:tcPr>
          <w:p w:rsidR="00000000" w:rsidRDefault="00000000">
            <w:pPr>
              <w:spacing w:after="120"/>
              <w:jc w:val="right"/>
              <w:rPr>
                <w:lang w:val="en-US"/>
              </w:rPr>
            </w:pPr>
            <w:r>
              <w:rPr>
                <w:lang w:val="en-US"/>
              </w:rP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1728"/>
              <w:rPr>
                <w:spacing w:val="60"/>
                <w:sz w:val="17"/>
              </w:rPr>
            </w:pPr>
            <w:r>
              <w:tab/>
            </w:r>
            <w:r>
              <w:tab/>
            </w:r>
            <w:r>
              <w:tab/>
              <w:t>Действия в качестве свидетеля</w:t>
            </w:r>
            <w:r>
              <w:rPr>
                <w:spacing w:val="60"/>
                <w:sz w:val="17"/>
              </w:rPr>
              <w:tab/>
            </w:r>
          </w:p>
        </w:tc>
        <w:tc>
          <w:tcPr>
            <w:tcW w:w="533" w:type="dxa"/>
            <w:vAlign w:val="bottom"/>
          </w:tcPr>
          <w:p w:rsidR="00000000" w:rsidRDefault="00000000">
            <w:pPr>
              <w:spacing w:after="120"/>
              <w:jc w:val="right"/>
              <w:rPr>
                <w:lang w:val="en-US"/>
              </w:rPr>
            </w:pPr>
            <w:r>
              <w:rPr>
                <w:lang w:val="en-US"/>
              </w:rP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728" w:hanging="1728"/>
              <w:rPr>
                <w:spacing w:val="60"/>
                <w:sz w:val="17"/>
              </w:rPr>
            </w:pPr>
            <w:r>
              <w:tab/>
            </w:r>
            <w:r>
              <w:tab/>
            </w:r>
            <w:r>
              <w:rPr>
                <w:b/>
              </w:rPr>
              <w:t>Статья 16</w:t>
            </w:r>
            <w:r>
              <w:rPr>
                <w:spacing w:val="60"/>
                <w:sz w:val="17"/>
              </w:rPr>
              <w:tab/>
            </w:r>
          </w:p>
        </w:tc>
        <w:tc>
          <w:tcPr>
            <w:tcW w:w="533" w:type="dxa"/>
            <w:vAlign w:val="bottom"/>
          </w:tcPr>
          <w:p w:rsidR="00000000" w:rsidRDefault="00000000">
            <w:pPr>
              <w:spacing w:after="120"/>
              <w:jc w:val="right"/>
              <w:rPr>
                <w:lang w:val="en-US"/>
              </w:rPr>
            </w:pPr>
            <w:r>
              <w:rPr>
                <w:lang w:val="en-US"/>
              </w:rPr>
              <w:t>92</w:t>
            </w:r>
          </w:p>
        </w:tc>
      </w:tr>
    </w:tbl>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Статья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Для целей настоящей Конвенции понятие «дискриминация в отношении женщин» означает любое различие, исключение или ограничение по пр</w:t>
      </w:r>
      <w:r>
        <w:rPr>
          <w:b/>
        </w:rPr>
        <w:t>и</w:t>
      </w:r>
      <w:r>
        <w:rPr>
          <w:b/>
        </w:rPr>
        <w:t>знаку пола, которое направлено на ослабление или сводит на нет призн</w:t>
      </w:r>
      <w:r>
        <w:rPr>
          <w:b/>
        </w:rPr>
        <w:t>а</w:t>
      </w:r>
      <w:r>
        <w:rPr>
          <w:b/>
        </w:rPr>
        <w:t>ние, пользование или осуществление женщинами, независимо от их с</w:t>
      </w:r>
      <w:r>
        <w:rPr>
          <w:b/>
        </w:rPr>
        <w:t>е</w:t>
      </w:r>
      <w:r>
        <w:rPr>
          <w:b/>
        </w:rPr>
        <w:t>мейного положения, на основе равноправия мужчин и женщин, прав чел</w:t>
      </w:r>
      <w:r>
        <w:rPr>
          <w:b/>
        </w:rPr>
        <w:t>о</w:t>
      </w:r>
      <w:r>
        <w:rPr>
          <w:b/>
        </w:rPr>
        <w:t>века и основных свобод в политической, экономической, социальной, культурной, гражданской или л</w:t>
      </w:r>
      <w:r>
        <w:rPr>
          <w:b/>
        </w:rPr>
        <w:t>ю</w:t>
      </w:r>
      <w:r>
        <w:rPr>
          <w:b/>
        </w:rPr>
        <w:t xml:space="preserve">бой другой области. </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Равноправие мужчин и женщин в правовых актах</w:t>
      </w:r>
    </w:p>
    <w:p w:rsidR="00000000" w:rsidRDefault="00000000">
      <w:pPr>
        <w:pStyle w:val="SingleTxt"/>
        <w:spacing w:after="0" w:line="120" w:lineRule="exact"/>
        <w:rPr>
          <w:sz w:val="10"/>
        </w:rPr>
      </w:pPr>
    </w:p>
    <w:p w:rsidR="00000000" w:rsidRDefault="00000000">
      <w:pPr>
        <w:pStyle w:val="SingleTxt"/>
      </w:pPr>
      <w:r>
        <w:tab/>
        <w:t>1 мая 2004 года вступил в силу Закон о равноправии мужчин и женщин. Закон о равноправии мужчин и женщин является первым законом такого рода в Эстонии, и в нем разъясняются такие понятия, как гендерное равноправие, р</w:t>
      </w:r>
      <w:r>
        <w:t>а</w:t>
      </w:r>
      <w:r>
        <w:t>венство мужчин и женщин, прямая и косвенная дискриминация по признаку пола, и излагаются принципы содействия обеспечению равенства мужчин и женщин.</w:t>
      </w:r>
    </w:p>
    <w:p w:rsidR="00000000" w:rsidRDefault="00000000">
      <w:pPr>
        <w:pStyle w:val="SingleTxt"/>
      </w:pPr>
      <w:r>
        <w:tab/>
        <w:t>В Законе о равноправии мужчин и женщин содержится определение те</w:t>
      </w:r>
      <w:r>
        <w:t>р</w:t>
      </w:r>
      <w:r>
        <w:t>мина «дискриминация в отношении женщин», которое до принятия этого Зак</w:t>
      </w:r>
      <w:r>
        <w:t>о</w:t>
      </w:r>
      <w:r>
        <w:t>на в эстонском праве отсутствовало, что до этого служило для Комитета пре</w:t>
      </w:r>
      <w:r>
        <w:t>д</w:t>
      </w:r>
      <w:r>
        <w:t>метом озабоченности.</w:t>
      </w:r>
    </w:p>
    <w:p w:rsidR="00000000" w:rsidRDefault="00000000">
      <w:pPr>
        <w:pStyle w:val="SingleTxt"/>
      </w:pPr>
      <w:r>
        <w:tab/>
        <w:t>Дискриминация в отношении женщин определяется через требование обеспечивать равноправие, согласно которому равноправие мужчин и женщин озн</w:t>
      </w:r>
      <w:r>
        <w:t>а</w:t>
      </w:r>
      <w:r>
        <w:t>чает отсутствие прямой или косвенной дискриминации.</w:t>
      </w:r>
    </w:p>
    <w:p w:rsidR="00000000" w:rsidRDefault="00000000">
      <w:pPr>
        <w:pStyle w:val="SingleTxt"/>
      </w:pPr>
      <w:r>
        <w:tab/>
        <w:t>Прямая дискриминация по признаку пола имеет место, когда в аналоги</w:t>
      </w:r>
      <w:r>
        <w:t>ч</w:t>
      </w:r>
      <w:r>
        <w:t>ной ситуации одно лицо в силу своего пола пользуется, пользовалось или м</w:t>
      </w:r>
      <w:r>
        <w:t>о</w:t>
      </w:r>
      <w:r>
        <w:t>жет пользоваться менее благоприятным к себе отношением по сравнению с другим лицом. Прямая дискриминация по признаку пола также означает менее благоприятное отношение к лицу вследствие беременности и родов, воспит</w:t>
      </w:r>
      <w:r>
        <w:t>а</w:t>
      </w:r>
      <w:r>
        <w:t>ния детей и выполнения семейных обязанностей или ввиду иных обсто</w:t>
      </w:r>
      <w:r>
        <w:t>я</w:t>
      </w:r>
      <w:r>
        <w:t>тельств, об</w:t>
      </w:r>
      <w:r>
        <w:t>у</w:t>
      </w:r>
      <w:r>
        <w:t>словленных полом, и в связи с сексуальными домогательствами.</w:t>
      </w:r>
    </w:p>
    <w:p w:rsidR="00000000" w:rsidRDefault="00000000">
      <w:pPr>
        <w:pStyle w:val="SingleTxt"/>
      </w:pPr>
      <w:r>
        <w:tab/>
        <w:t>Косвенная дискриминация по признаку пола имеет место, когда, казалось бы, нейтральные положения, критерии или практика ставят лиц одного пола в явно неблагоприятное положение по сравнению с лицами другого пола, если только такие положения, критерии или практика не являются объективно о</w:t>
      </w:r>
      <w:r>
        <w:t>п</w:t>
      </w:r>
      <w:r>
        <w:t>равданными законной целью, а средства достижения этой цели — уместными и необходимыми. Определение косвенной дискриминации распространяется также на такие действия, которые могут выглядеть как нейтральные, но по св</w:t>
      </w:r>
      <w:r>
        <w:t>о</w:t>
      </w:r>
      <w:r>
        <w:t>ему х</w:t>
      </w:r>
      <w:r>
        <w:t>а</w:t>
      </w:r>
      <w:r>
        <w:t>рактеру являются дискриминационными.</w:t>
      </w:r>
    </w:p>
    <w:p w:rsidR="00000000" w:rsidRDefault="00000000">
      <w:pPr>
        <w:pStyle w:val="SingleTxt"/>
      </w:pPr>
      <w:r>
        <w:tab/>
        <w:t>Сексуальное домогательство представляет собой одну из форм дискрим</w:t>
      </w:r>
      <w:r>
        <w:t>и</w:t>
      </w:r>
      <w:r>
        <w:t>нации по признаку пола. Сексуальное домогательство имеет место, когда при любых отношениях подчиненности или зависимости имеет место словесное, молчаливое или физическое действие или поведение сексуального характера, имеющее целью или следствием посягательство на человеческое достоинство индивида, в частности, когда создается ненормальная, беспокоящая, вражде</w:t>
      </w:r>
      <w:r>
        <w:t>б</w:t>
      </w:r>
      <w:r>
        <w:t>ная, унизительная, унижающая достоинство или оскорбительная обстановка и когда индивид отвергает такое поведение или мирится с ним, поскольку это служит прямым или косвенным условием для получения работы, сохранения трудовых отношений, участия в обучении, получения вознаграждения или иных пр</w:t>
      </w:r>
      <w:r>
        <w:t>е</w:t>
      </w:r>
      <w:r>
        <w:t>имуществ или благ.</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 xml:space="preserve">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 </w:t>
      </w:r>
    </w:p>
    <w:p w:rsidR="00000000" w:rsidRDefault="00000000">
      <w:pPr>
        <w:pStyle w:val="SingleTxt"/>
        <w:rPr>
          <w:b/>
        </w:rPr>
      </w:pPr>
      <w:r>
        <w:rPr>
          <w:b/>
        </w:rPr>
        <w:tab/>
        <w:t>a)</w:t>
      </w:r>
      <w:r>
        <w:rPr>
          <w:b/>
        </w:rPr>
        <w:tab/>
        <w:t>включить принцип равноправия мужчин и женщин в свои н</w:t>
      </w:r>
      <w:r>
        <w:rPr>
          <w:b/>
        </w:rPr>
        <w:t>а</w:t>
      </w:r>
      <w:r>
        <w:rPr>
          <w:b/>
        </w:rPr>
        <w:t>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w:t>
      </w:r>
      <w:r>
        <w:rPr>
          <w:b/>
        </w:rPr>
        <w:t>и</w:t>
      </w:r>
      <w:r>
        <w:rPr>
          <w:b/>
        </w:rPr>
        <w:t>па;</w:t>
      </w:r>
    </w:p>
    <w:p w:rsidR="00000000" w:rsidRDefault="00000000">
      <w:pPr>
        <w:pStyle w:val="SingleTxt"/>
      </w:pPr>
      <w:r>
        <w:tab/>
        <w:t>Равноправие мужчин и женщин обеспечивается, когда как мужчины, так и женщины могут на равных условиях приобретать права, выполнять обязанн</w:t>
      </w:r>
      <w:r>
        <w:t>о</w:t>
      </w:r>
      <w:r>
        <w:t>сти и принимать на себя ответственность.</w:t>
      </w:r>
    </w:p>
    <w:p w:rsidR="00000000" w:rsidRDefault="00000000">
      <w:pPr>
        <w:pStyle w:val="SingleTxt"/>
      </w:pPr>
      <w:r>
        <w:tab/>
        <w:t>Мужчинам и женщинам должны быть созданы равные возможности в профессиональной сфере, для получения образования и участия в других сф</w:t>
      </w:r>
      <w:r>
        <w:t>е</w:t>
      </w:r>
      <w:r>
        <w:t>рах общественной жизни. Для достижения такого положения необходимо з</w:t>
      </w:r>
      <w:r>
        <w:t>а</w:t>
      </w:r>
      <w:r>
        <w:t>претить как прямую, так и косвенную дискриминацию, ликвидировать любое существующее неравенство, создать равные возможности для мужчин и же</w:t>
      </w:r>
      <w:r>
        <w:t>н</w:t>
      </w:r>
      <w:r>
        <w:t>щин и реализовать различные стратегии содействия обеспечению гендерного равноправия. Законом о равноправии мужчин и женщин предусмотрены для этого необходимые юридические основания и создаются отвечающие за это инстит</w:t>
      </w:r>
      <w:r>
        <w:t>у</w:t>
      </w:r>
      <w:r>
        <w:t>ты.</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Закон о равноправии мужчин и женщин</w:t>
      </w:r>
    </w:p>
    <w:p w:rsidR="00000000" w:rsidRDefault="00000000">
      <w:pPr>
        <w:pStyle w:val="SingleTxt"/>
        <w:spacing w:after="0" w:line="120" w:lineRule="exact"/>
        <w:rPr>
          <w:sz w:val="10"/>
        </w:rPr>
      </w:pPr>
    </w:p>
    <w:p w:rsidR="00000000" w:rsidRDefault="00000000">
      <w:pPr>
        <w:pStyle w:val="SingleTxt"/>
      </w:pPr>
      <w:r>
        <w:tab/>
        <w:t>Законом о равноправии мужчин и женщин предусмотрены запрещение дискриминации по признаку пола и обязанность содействовать обеспечению равенства мужчин и женщин. В соответствии с этим Законом будут созданы два новых института — должность уполномоченного по вопросам гендерного равенства и совет по вопросам гендерного равенства. Уполномоченный по в</w:t>
      </w:r>
      <w:r>
        <w:t>о</w:t>
      </w:r>
      <w:r>
        <w:t>просам гендерного равенства является независимым и беспристрастным эк</w:t>
      </w:r>
      <w:r>
        <w:t>с</w:t>
      </w:r>
      <w:r>
        <w:t>пертом, который контролирует соблюдение требований, изложенных в Законе о равноправии мужчин и женщин, и выносит заключения по поданным жалобам. Совет консультирует правительство Республики по вопросам обеспечения ге</w:t>
      </w:r>
      <w:r>
        <w:t>н</w:t>
      </w:r>
      <w:r>
        <w:t>дерного р</w:t>
      </w:r>
      <w:r>
        <w:t>а</w:t>
      </w:r>
      <w:r>
        <w:t>венства.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Обязанность содействовать обеспечению равноправия мужчин и женщин</w:t>
      </w:r>
    </w:p>
    <w:p w:rsidR="00000000" w:rsidRDefault="00000000">
      <w:pPr>
        <w:pStyle w:val="SingleTxt"/>
        <w:spacing w:after="0" w:line="120" w:lineRule="exact"/>
        <w:rPr>
          <w:sz w:val="10"/>
          <w:u w:val="single"/>
        </w:rPr>
      </w:pPr>
    </w:p>
    <w:p w:rsidR="00000000" w:rsidRDefault="00000000">
      <w:pPr>
        <w:pStyle w:val="SingleTxt"/>
      </w:pPr>
      <w:r>
        <w:tab/>
        <w:t>Государственные и местные органы власти обязаны систематически и ц</w:t>
      </w:r>
      <w:r>
        <w:t>е</w:t>
      </w:r>
      <w:r>
        <w:t>ленаправленно обеспечивать гендерное равноправие. При необходимости они должны менять условия и обстоятельства, которые препятствуют достижению гендерного равноправия. При планировании, реализации и оценке национал</w:t>
      </w:r>
      <w:r>
        <w:t>ь</w:t>
      </w:r>
      <w:r>
        <w:t>ных, региональных и институциональных стратегий, разработке политики и планов действий органы власти должны принимать во внимание различия в нуждах и социальном статусе мужчин и женщин и учитывать последствия принимаемых или намечаемых мер для положения мужчин и женщин в общ</w:t>
      </w:r>
      <w:r>
        <w:t>е</w:t>
      </w:r>
      <w:r>
        <w:t>стве.</w:t>
      </w:r>
    </w:p>
    <w:p w:rsidR="00000000" w:rsidRDefault="00000000">
      <w:pPr>
        <w:pStyle w:val="SingleTxt"/>
      </w:pPr>
      <w:r>
        <w:tab/>
        <w:t>В Законе также закреплены обязанности работодателей, учебных завед</w:t>
      </w:r>
      <w:r>
        <w:t>е</w:t>
      </w:r>
      <w:r>
        <w:t>ний и научно-исследовательских институтов и учреждений, осуществляющих профессиональную по</w:t>
      </w:r>
      <w:r>
        <w:t>д</w:t>
      </w:r>
      <w:r>
        <w:t>готовку (см. также раздел, посвященный статье 2(е)).</w:t>
      </w:r>
    </w:p>
    <w:p w:rsidR="00000000" w:rsidRDefault="00000000">
      <w:pPr>
        <w:pStyle w:val="SingleTxt"/>
      </w:pPr>
      <w:r>
        <w:tab/>
        <w:t>Министр социальных дел имеет право издавать рекомендации относ</w:t>
      </w:r>
      <w:r>
        <w:t>и</w:t>
      </w:r>
      <w:r>
        <w:t>тельно выполнения упомянутых обязанностей и реализации стратегии учета генде</w:t>
      </w:r>
      <w:r>
        <w:t>р</w:t>
      </w:r>
      <w:r>
        <w:t>ной проблематики.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Обеспечение принципа гендерного равноправия как государством-членом Е</w:t>
      </w:r>
      <w:r>
        <w:t>в</w:t>
      </w:r>
      <w:r>
        <w:t>ропейского союза</w:t>
      </w:r>
    </w:p>
    <w:p w:rsidR="00000000" w:rsidRDefault="00000000">
      <w:pPr>
        <w:pStyle w:val="SingleTxt"/>
        <w:spacing w:after="0" w:line="120" w:lineRule="exact"/>
        <w:rPr>
          <w:sz w:val="10"/>
        </w:rPr>
      </w:pPr>
    </w:p>
    <w:p w:rsidR="00000000" w:rsidRDefault="00000000">
      <w:pPr>
        <w:pStyle w:val="SingleTxt"/>
      </w:pPr>
      <w:r>
        <w:tab/>
        <w:t>С 1 мая 2004 года Эстония является членом Европейского союза. В соо</w:t>
      </w:r>
      <w:r>
        <w:t>т</w:t>
      </w:r>
      <w:r>
        <w:t>ветствии с Договором, учреждающим Европейское сообщество, сокращение неравенства между мужчинами и женщинами и содействие обеспечение ге</w:t>
      </w:r>
      <w:r>
        <w:t>н</w:t>
      </w:r>
      <w:r>
        <w:t>дерного равноправия являются общими целями государств-членов Европейск</w:t>
      </w:r>
      <w:r>
        <w:t>о</w:t>
      </w:r>
      <w:r>
        <w:t>го союза. В постановлении Совета Е</w:t>
      </w:r>
      <w:r>
        <w:rPr>
          <w:lang w:val="en-US"/>
        </w:rPr>
        <w:t>C</w:t>
      </w:r>
      <w:r>
        <w:t xml:space="preserve"> (ЕК) № 1260/1999; OJ L 161, 26/06/1999, в котором излагаются общие положения, касающиеся структурных фондов, также предусмотрены нормы относительно создания для мужчин и женщин равных во</w:t>
      </w:r>
      <w:r>
        <w:t>з</w:t>
      </w:r>
      <w:r>
        <w:t>можностей при подготовке и реализации проектов.</w:t>
      </w:r>
    </w:p>
    <w:p w:rsidR="00000000" w:rsidRDefault="00000000">
      <w:pPr>
        <w:pStyle w:val="SingleTxt"/>
      </w:pPr>
      <w:r>
        <w:tab/>
        <w:t>Для обеспечения равенства мужчин и женщин органы власти, ответстве</w:t>
      </w:r>
      <w:r>
        <w:t>н</w:t>
      </w:r>
      <w:r>
        <w:t>ные за подготовку проектов, финансируемых из структурных фондов, обязаны анализировать и оценивать ожидаемый эффект, который стратегия и помощь могут иметь прежде всего для интеграции женщин и мужчин на рынке труда, для их образования и профессиональной подготовки, для создания женщинами дел</w:t>
      </w:r>
      <w:r>
        <w:t>о</w:t>
      </w:r>
      <w:r>
        <w:t>вых предприятий и совмещения семейной жизни и труда.</w:t>
      </w:r>
    </w:p>
    <w:p w:rsidR="00000000" w:rsidRDefault="00000000">
      <w:pPr>
        <w:pStyle w:val="SingleTxt"/>
        <w:spacing w:after="0" w:line="120" w:lineRule="exact"/>
        <w:rPr>
          <w:sz w:val="10"/>
        </w:rPr>
      </w:pPr>
    </w:p>
    <w:p w:rsidR="00000000" w:rsidRDefault="00000000">
      <w:pPr>
        <w:pStyle w:val="SingleTxt"/>
        <w:rPr>
          <w:b/>
        </w:rPr>
      </w:pPr>
      <w:r>
        <w:rPr>
          <w:b/>
        </w:rPr>
        <w:tab/>
        <w:t>b)</w:t>
      </w:r>
      <w:r>
        <w:rPr>
          <w:b/>
        </w:rPr>
        <w:tab/>
        <w:t>принимать соответствующие законодательные и другие меры, включая санкции, там, где это необходимо, запрещающие всякую дискр</w:t>
      </w:r>
      <w:r>
        <w:rPr>
          <w:b/>
        </w:rPr>
        <w:t>и</w:t>
      </w:r>
      <w:r>
        <w:rPr>
          <w:b/>
        </w:rPr>
        <w:t>минацию в отношении женщин;</w:t>
      </w:r>
    </w:p>
    <w:p w:rsidR="00000000" w:rsidRDefault="00000000">
      <w:pPr>
        <w:pStyle w:val="SingleTxt"/>
      </w:pPr>
      <w:r>
        <w:tab/>
        <w:t>В качестве общего положения Законом о равноправии мужчин и женщин запрещается прямая и косвенная дискриминация по признаку пола во всех сферах общественной жизни. В частности, запрещается дискриминация в пр</w:t>
      </w:r>
      <w:r>
        <w:t>о</w:t>
      </w:r>
      <w:r>
        <w:t>фессиональной жизни (см. также ра</w:t>
      </w:r>
      <w:r>
        <w:t>з</w:t>
      </w:r>
      <w:r>
        <w:t>дел, посвященный статье 11).</w:t>
      </w:r>
    </w:p>
    <w:p w:rsidR="00000000" w:rsidRDefault="00000000">
      <w:pPr>
        <w:pStyle w:val="SingleTxt"/>
      </w:pPr>
      <w:r>
        <w:tab/>
        <w:t>В законе в качестве исключений излагаются ситуации, которые могут иметь признаки дискриминации по признаку пола, но которые по некоторым причинам являются оправданными. Положения, касающиеся особой защиты женщин в связи с беременностью и родами, обязательной военной службы только для мужчин или приема только женщин или только мужчин в члены н</w:t>
      </w:r>
      <w:r>
        <w:t>е</w:t>
      </w:r>
      <w:r>
        <w:t>коммерческой организации, если это предусмотрено уставом этой организации, не сч</w:t>
      </w:r>
      <w:r>
        <w:t>и</w:t>
      </w:r>
      <w:r>
        <w:t xml:space="preserve">таются прямой или косвенной дискриминацией по признаку пола. </w:t>
      </w:r>
    </w:p>
    <w:p w:rsidR="00000000" w:rsidRDefault="00000000">
      <w:pPr>
        <w:pStyle w:val="SingleTxt"/>
      </w:pPr>
      <w:r>
        <w:tab/>
        <w:t>Не считается дискриминацией и обусловленное полом разное отношение к мужчинам и женщинам при трудоустройстве или предоставлении возможн</w:t>
      </w:r>
      <w:r>
        <w:t>о</w:t>
      </w:r>
      <w:r>
        <w:t>стей для получения необходимой для трудоустройства подготовки, если пол является действительно определяющим требованием в силу характера соотве</w:t>
      </w:r>
      <w:r>
        <w:t>т</w:t>
      </w:r>
      <w:r>
        <w:t>ствующей конкретной трудовой деятельности или в силу условий, в которых она осуществляется, при том понимании, что цель такого разного отношения является законной, а требование разумным.</w:t>
      </w:r>
    </w:p>
    <w:p w:rsidR="00000000" w:rsidRDefault="00000000">
      <w:pPr>
        <w:pStyle w:val="SingleTxt"/>
      </w:pPr>
      <w:r>
        <w:tab/>
        <w:t>Применение особых мер, которые содействуют гендерному равноправию и предоставляют преимущества лицам менее представленного пола или сокр</w:t>
      </w:r>
      <w:r>
        <w:t>а</w:t>
      </w:r>
      <w:r>
        <w:t>щают гендерное неравенство, не считаются дискриминацией (см. также раздел, посвященный статье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Урегулирование споров, касающихся дискриминации по признаку пола</w:t>
      </w:r>
    </w:p>
    <w:p w:rsidR="00000000" w:rsidRDefault="00000000">
      <w:pPr>
        <w:pStyle w:val="SingleTxt"/>
        <w:spacing w:after="0" w:line="120" w:lineRule="exact"/>
        <w:rPr>
          <w:sz w:val="10"/>
        </w:rPr>
      </w:pPr>
    </w:p>
    <w:p w:rsidR="00000000" w:rsidRDefault="00000000">
      <w:pPr>
        <w:pStyle w:val="SingleTxt"/>
      </w:pPr>
      <w:r>
        <w:tab/>
        <w:t>Законом о равноправии мужчин и женщин устанавливается право челов</w:t>
      </w:r>
      <w:r>
        <w:t>е</w:t>
      </w:r>
      <w:r>
        <w:t>ка защищать свое конституционное право не подвергаться дискриминации по пр</w:t>
      </w:r>
      <w:r>
        <w:t>и</w:t>
      </w:r>
      <w:r>
        <w:t>знаку пола.</w:t>
      </w:r>
    </w:p>
    <w:p w:rsidR="00000000" w:rsidRDefault="00000000">
      <w:pPr>
        <w:pStyle w:val="SingleTxt"/>
      </w:pPr>
      <w:r>
        <w:tab/>
        <w:t>Споры, касающиеся дискриминации, должны разрешаться в суде. Кроме того, каждый человек имеет право обратиться в Комитет по трудовым спорам и к канцлеру юстиции. Работники и подавшие заявление о приеме на работу л</w:t>
      </w:r>
      <w:r>
        <w:t>и</w:t>
      </w:r>
      <w:r>
        <w:t>ца, которые стали объектом дискриминации со стороны работодателя, имеют право потребовать компенсацию за финансовый и нефинансовый ущерб. Чел</w:t>
      </w:r>
      <w:r>
        <w:t>о</w:t>
      </w:r>
      <w:r>
        <w:t>век имеет право требовать компенсацию за дискриминацию и в том, что кас</w:t>
      </w:r>
      <w:r>
        <w:t>а</w:t>
      </w:r>
      <w:r>
        <w:t>ется предложений по трудоустройству.</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Бремя доказывания</w:t>
      </w:r>
    </w:p>
    <w:p w:rsidR="00000000" w:rsidRDefault="00000000">
      <w:pPr>
        <w:pStyle w:val="SingleTxt"/>
        <w:spacing w:after="0" w:line="120" w:lineRule="exact"/>
        <w:rPr>
          <w:sz w:val="10"/>
        </w:rPr>
      </w:pPr>
    </w:p>
    <w:p w:rsidR="00000000" w:rsidRDefault="00000000">
      <w:pPr>
        <w:pStyle w:val="SingleTxt"/>
      </w:pPr>
      <w:r>
        <w:tab/>
        <w:t>Человеку трудно определить, имела ли место дискриминация по признаку пола, поскольку нередко затруднительно доказать, что лицо было поставлено в менее благоприятные условия именно по причине своего пола.</w:t>
      </w:r>
    </w:p>
    <w:p w:rsidR="00000000" w:rsidRDefault="00000000">
      <w:pPr>
        <w:pStyle w:val="SingleTxt"/>
      </w:pPr>
      <w:r>
        <w:tab/>
        <w:t>В соответствии с Законом о равноправии мужчин и женщин бремя док</w:t>
      </w:r>
      <w:r>
        <w:t>а</w:t>
      </w:r>
      <w:r>
        <w:t>зывания частично возлагается на лицо, на которое подается заявление, жалоба или петиция относительно допущенной дискриминации по признаку пола. Л</w:t>
      </w:r>
      <w:r>
        <w:t>и</w:t>
      </w:r>
      <w:r>
        <w:t>цо, которое считает, что оно подверглось дискриминации, должно сначала и</w:t>
      </w:r>
      <w:r>
        <w:t>з</w:t>
      </w:r>
      <w:r>
        <w:t>ложить факты, которые могут позволить считать, что прямая или косвенная дискриминация по признаку пола имела место. Лицо, на которое подается з</w:t>
      </w:r>
      <w:r>
        <w:t>а</w:t>
      </w:r>
      <w:r>
        <w:t>явление, жалоба или петиция, должно затем объяснить, что его или ее повед</w:t>
      </w:r>
      <w:r>
        <w:t>е</w:t>
      </w:r>
      <w:r>
        <w:t>ние было продиктовано не соображениями гендерного характера, а иными пр</w:t>
      </w:r>
      <w:r>
        <w:t>и</w:t>
      </w:r>
      <w:r>
        <w:t>емлемыми причинами. После того, как обвинение в дискриминации предъя</w:t>
      </w:r>
      <w:r>
        <w:t>в</w:t>
      </w:r>
      <w:r>
        <w:t>лено, бремя доказывания ложиться на лицо, подозреваемое в действиях ди</w:t>
      </w:r>
      <w:r>
        <w:t>с</w:t>
      </w:r>
      <w:r>
        <w:t>криминационного характера. Если такое лицо не может объяснить основания и мотивы для своего поведения или решения, такое поведение будет сочтено равносильным признанию в дискриминации с его стороны.</w:t>
      </w:r>
    </w:p>
    <w:p w:rsidR="00000000" w:rsidRDefault="00000000">
      <w:pPr>
        <w:pStyle w:val="SingleTxt"/>
      </w:pPr>
      <w:r>
        <w:tab/>
        <w:t>Подобный принцип совместного бремени доказывания в администрати</w:t>
      </w:r>
      <w:r>
        <w:t>в</w:t>
      </w:r>
      <w:r>
        <w:t>ном и уголовном судопроизводстве не применяется.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Компенсация за ущерб</w:t>
      </w:r>
    </w:p>
    <w:p w:rsidR="00000000" w:rsidRDefault="00000000">
      <w:pPr>
        <w:pStyle w:val="SingleTxt"/>
        <w:spacing w:after="0" w:line="120" w:lineRule="exact"/>
        <w:rPr>
          <w:sz w:val="10"/>
        </w:rPr>
      </w:pPr>
    </w:p>
    <w:p w:rsidR="00000000" w:rsidRDefault="00000000">
      <w:pPr>
        <w:pStyle w:val="SingleTxt"/>
      </w:pPr>
      <w:r>
        <w:tab/>
        <w:t>Комитет выразил озабоченность по поводу того, что при нарушении прав, изложенных в Конвенции, женщины не имели доступа к средствам правовой защиты с целью получения компенсации за причиненный ущерб. Споры, к</w:t>
      </w:r>
      <w:r>
        <w:t>а</w:t>
      </w:r>
      <w:r>
        <w:t>сающиеся дискриминации, разрешаются в суде, и суд определяет размер во</w:t>
      </w:r>
      <w:r>
        <w:t>з</w:t>
      </w:r>
      <w:r>
        <w:t>мещ</w:t>
      </w:r>
      <w:r>
        <w:t>е</w:t>
      </w:r>
      <w:r>
        <w:t>ния.</w:t>
      </w:r>
    </w:p>
    <w:p w:rsidR="00000000" w:rsidRDefault="00000000">
      <w:pPr>
        <w:pStyle w:val="SingleTxt"/>
      </w:pPr>
      <w:r>
        <w:tab/>
        <w:t>Согласно Закону о равноправии мужчин и женщин, пострадавшая сторона может потребовать компенсацию за ущерб и прекращения наносящей ущерб деятельности. Пострадавшая сторона может потребовать выплату разумной денежной суммы в качестве компенсации за нанесенный в результате наруш</w:t>
      </w:r>
      <w:r>
        <w:t>е</w:t>
      </w:r>
      <w:r>
        <w:t>ния нефинансовый ущерб. При установлении размера возмещения суд, в час</w:t>
      </w:r>
      <w:r>
        <w:t>т</w:t>
      </w:r>
      <w:r>
        <w:t>ности, принимает во внимание объем, продолжительность и характер дискр</w:t>
      </w:r>
      <w:r>
        <w:t>и</w:t>
      </w:r>
      <w:r>
        <w:t>минации. Суд также будет принимать во внимание, устранил ли нарушитель дискриминационные обстоятельства или не устранил. Пострадавшая сторона имеет право предъявить требование о компенсации за ущерб в течение одного года с даты, когда пострадавшей стороне стало известно или должно было стать известно о пр</w:t>
      </w:r>
      <w:r>
        <w:t>и</w:t>
      </w:r>
      <w:r>
        <w:t>чиненном ущербе.</w:t>
      </w:r>
    </w:p>
    <w:p w:rsidR="00000000" w:rsidRDefault="00000000">
      <w:pPr>
        <w:pStyle w:val="SingleTxt"/>
      </w:pPr>
      <w:r>
        <w:tab/>
        <w:t>Эстонский женский научно-исследовательский и информационный центр и Круглый стол женских организаций отметили, что Законом не устанавливае</w:t>
      </w:r>
      <w:r>
        <w:t>т</w:t>
      </w:r>
      <w:r>
        <w:t>ся минимальный размер возмещения. Ввиду того, что предъявление требования о компенсации за ущерб возможно только в суде и что до начала судопроизво</w:t>
      </w:r>
      <w:r>
        <w:t>д</w:t>
      </w:r>
      <w:r>
        <w:t>ства необходимо заплатить государственную пошлину, неправительственные организации придерживаются того мнения, что на деле возможность требовать компенсацию за ущерб не гарантирована всем женщинам, проживающим в Э</w:t>
      </w:r>
      <w:r>
        <w:t>с</w:t>
      </w:r>
      <w:r>
        <w:t xml:space="preserve">тонии. </w:t>
      </w:r>
    </w:p>
    <w:p w:rsidR="00000000" w:rsidRDefault="00000000">
      <w:pPr>
        <w:pStyle w:val="SingleTxt"/>
      </w:pPr>
      <w:r>
        <w:tab/>
        <w:t>В случаях дискриминации по признаку пола можно подавать жалобу на основании положений Закона о трудовом договоре, Закона о заработной плате и Закона о рабочем времени и времени отдыха. Согласно Закону о равноправии мужчин и женщин, индивид может требовать компенсацию за причиненный дискриминацией ущерб в тех случаях, когда его или ее право не подвергаться дискриминации было нарушено. В соответствии с другими законами можно требовать компенсацию за другие виды ущерба: например, работник может п</w:t>
      </w:r>
      <w:r>
        <w:t>о</w:t>
      </w:r>
      <w:r>
        <w:t>требовать компенсацию за ущерб, когда работодателем не соблюдался принцип равной оплаты за равный труд или когда работодатель иным образом нарушил принцип гендерного равенства, предусмотренный в других правовых актах. В таких случаях суд может взыскивать возмещение не только на основании Зак</w:t>
      </w:r>
      <w:r>
        <w:t>о</w:t>
      </w:r>
      <w:r>
        <w:t>на о равноправии мужчин и женщин, но и на основании других законов.</w:t>
      </w:r>
    </w:p>
    <w:p w:rsidR="00000000" w:rsidRDefault="00000000">
      <w:pPr>
        <w:pStyle w:val="SingleTxt"/>
        <w:spacing w:after="0" w:line="120" w:lineRule="exact"/>
        <w:rPr>
          <w:sz w:val="10"/>
        </w:rPr>
      </w:pPr>
    </w:p>
    <w:p w:rsidR="00000000" w:rsidRDefault="00000000">
      <w:pPr>
        <w:pStyle w:val="SingleTxt"/>
        <w:rPr>
          <w:b/>
        </w:rPr>
      </w:pPr>
      <w:r>
        <w:rPr>
          <w:b/>
        </w:rPr>
        <w:tab/>
        <w:t>c)</w:t>
      </w:r>
      <w:r>
        <w:rPr>
          <w:b/>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w:t>
      </w:r>
      <w:r>
        <w:rPr>
          <w:b/>
        </w:rPr>
        <w:t>о</w:t>
      </w:r>
      <w:r>
        <w:rPr>
          <w:b/>
        </w:rPr>
        <w:t xml:space="preserve">тив любого акта дискриминации; </w:t>
      </w:r>
    </w:p>
    <w:p w:rsidR="00000000" w:rsidRDefault="00000000">
      <w:pPr>
        <w:pStyle w:val="SingleTxt"/>
      </w:pPr>
      <w:r>
        <w:tab/>
        <w:t>Вопрос о компетенции суда и Комитета по трудовым спорам будет ра</w:t>
      </w:r>
      <w:r>
        <w:t>с</w:t>
      </w:r>
      <w:r>
        <w:t>смотрен ниже в разделе, посвященном статье 15.</w:t>
      </w:r>
    </w:p>
    <w:p w:rsidR="00000000" w:rsidRDefault="00000000">
      <w:pPr>
        <w:pStyle w:val="SingleTxt"/>
      </w:pPr>
      <w:r>
        <w:tab/>
        <w:t>Информации о применении судами непосредственно положений Конве</w:t>
      </w:r>
      <w:r>
        <w:t>н</w:t>
      </w:r>
      <w:r>
        <w:t>ции не имеется.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Уполномоченный по вопросам гендерного равенства</w:t>
      </w:r>
    </w:p>
    <w:p w:rsidR="00000000" w:rsidRDefault="00000000">
      <w:pPr>
        <w:pStyle w:val="SingleTxt"/>
        <w:spacing w:after="0" w:line="120" w:lineRule="exact"/>
        <w:rPr>
          <w:sz w:val="10"/>
        </w:rPr>
      </w:pPr>
    </w:p>
    <w:p w:rsidR="00000000" w:rsidRDefault="00000000">
      <w:pPr>
        <w:pStyle w:val="SingleTxt"/>
      </w:pPr>
      <w:r>
        <w:tab/>
        <w:t>Законом о равноправии мужчин и женщин предусмотрено создание нов</w:t>
      </w:r>
      <w:r>
        <w:t>о</w:t>
      </w:r>
      <w:r>
        <w:t>го института — должности уполномоченного по вопросам гендерного равенс</w:t>
      </w:r>
      <w:r>
        <w:t>т</w:t>
      </w:r>
      <w:r>
        <w:t>ва. Уполномоченный назначается на должность министром социальных дел на пятилетний срок, и его или ее деятельность финансируется из государственн</w:t>
      </w:r>
      <w:r>
        <w:t>о</w:t>
      </w:r>
      <w:r>
        <w:t>го бюджета.</w:t>
      </w:r>
    </w:p>
    <w:p w:rsidR="00000000" w:rsidRDefault="00000000">
      <w:pPr>
        <w:pStyle w:val="SingleTxt"/>
      </w:pPr>
      <w:r>
        <w:tab/>
        <w:t>Уполномоченный контролирует соблюдение требований закона, приним</w:t>
      </w:r>
      <w:r>
        <w:t>а</w:t>
      </w:r>
      <w:r>
        <w:t>ет заявления от лиц и выносит заключения, касающиеся возможных случаев ди</w:t>
      </w:r>
      <w:r>
        <w:t>с</w:t>
      </w:r>
      <w:r>
        <w:t>криминации.</w:t>
      </w:r>
    </w:p>
    <w:p w:rsidR="00000000" w:rsidRDefault="00000000">
      <w:pPr>
        <w:pStyle w:val="SingleTxt"/>
      </w:pPr>
      <w:r>
        <w:tab/>
        <w:t>Уполномоченный является независимым и беспристрастным экспертом, которому люди, пострадавшие вследствие дискриминации, а также лица, имеющие оправданную заинтересованность в мониторинге соблюдения треб</w:t>
      </w:r>
      <w:r>
        <w:t>о</w:t>
      </w:r>
      <w:r>
        <w:t>вания равноправия, могут подавать жалобы по вопросам дискриминации по признаку пола.</w:t>
      </w:r>
    </w:p>
    <w:p w:rsidR="00000000" w:rsidRDefault="00000000">
      <w:pPr>
        <w:pStyle w:val="SingleTxt"/>
      </w:pPr>
      <w:r>
        <w:tab/>
        <w:t>Уполномоченный выносит заключения по возможным случаям дискрим</w:t>
      </w:r>
      <w:r>
        <w:t>и</w:t>
      </w:r>
      <w:r>
        <w:t>нации. При этом цель заключается в проведении анализа, который на базе З</w:t>
      </w:r>
      <w:r>
        <w:t>а</w:t>
      </w:r>
      <w:r>
        <w:t>кона о равноправии мужчин и женщин, международных соглашений, имеющих обязательную силу для Эстонской Республики, и других законодательных а</w:t>
      </w:r>
      <w:r>
        <w:t>к</w:t>
      </w:r>
      <w:r>
        <w:t>тов позволяет оценить, был ли в тех или иных конкретных правоотношениях нар</w:t>
      </w:r>
      <w:r>
        <w:t>у</w:t>
      </w:r>
      <w:r>
        <w:t>шен принцип равноправия.</w:t>
      </w:r>
    </w:p>
    <w:p w:rsidR="00000000" w:rsidRDefault="00000000">
      <w:pPr>
        <w:pStyle w:val="SingleTxt"/>
      </w:pPr>
      <w:r>
        <w:tab/>
        <w:t>Поэтому можно утверждать, что при вынесении своего заключения упо</w:t>
      </w:r>
      <w:r>
        <w:t>л</w:t>
      </w:r>
      <w:r>
        <w:t>номоченный должен принимать во внимание нормы, закрепленные в Конве</w:t>
      </w:r>
      <w:r>
        <w:t>н</w:t>
      </w:r>
      <w:r>
        <w:t>ции.</w:t>
      </w:r>
    </w:p>
    <w:p w:rsidR="00000000" w:rsidRDefault="00000000">
      <w:pPr>
        <w:pStyle w:val="SingleTxt"/>
      </w:pPr>
      <w:r>
        <w:tab/>
        <w:t>Кроме того, уполномоченный анализирует влияние правовых актов на п</w:t>
      </w:r>
      <w:r>
        <w:t>о</w:t>
      </w:r>
      <w:r>
        <w:t>ложение мужчин и женщин в обществе, готовит предложения правительству Республики, государственным учреждениям, местным органам власти и их у</w:t>
      </w:r>
      <w:r>
        <w:t>ч</w:t>
      </w:r>
      <w:r>
        <w:t>реждениям относительно внесения поправок в правовые акты, консультирует и информирует правительство, государственные учреждения и местные органы власти по вопросам, касающимся осуществления Закона о равноправии му</w:t>
      </w:r>
      <w:r>
        <w:t>ж</w:t>
      </w:r>
      <w:r>
        <w:t>чин и женщин, и принимает меры по содействию обеспечению гендерного ра</w:t>
      </w:r>
      <w:r>
        <w:t>в</w:t>
      </w:r>
      <w:r>
        <w:t>ноправия.</w:t>
      </w:r>
    </w:p>
    <w:p w:rsidR="00000000" w:rsidRDefault="00000000">
      <w:pPr>
        <w:pStyle w:val="SingleTxt"/>
      </w:pPr>
      <w:r>
        <w:tab/>
        <w:t>Чтобы получить заключение уполномоченного, податель заявления до</w:t>
      </w:r>
      <w:r>
        <w:t>л</w:t>
      </w:r>
      <w:r>
        <w:t>жен в своем заявлении изложить обстоятельства, указывающие на то, что им</w:t>
      </w:r>
      <w:r>
        <w:t>е</w:t>
      </w:r>
      <w:r>
        <w:t>ла место дискриминация по признаку пола. Чтобы вынести свое заключение, уполномоченный вправе запрашивать информацию у всех лиц, которые могут иметь сведения, необходимые для выяснения фактов, касающихся случая ди</w:t>
      </w:r>
      <w:r>
        <w:t>с</w:t>
      </w:r>
      <w:r>
        <w:t>криминации, и требовать письменных разъяснений относительно фактов пре</w:t>
      </w:r>
      <w:r>
        <w:t>д</w:t>
      </w:r>
      <w:r>
        <w:t>полагаемой дискриминации по признаку пола и представления документов или их копий в сроки, указанные уполномоченным.</w:t>
      </w:r>
    </w:p>
    <w:p w:rsidR="00000000" w:rsidRDefault="00000000">
      <w:pPr>
        <w:pStyle w:val="SingleTxt"/>
      </w:pPr>
      <w:r>
        <w:tab/>
        <w:t>Ко времени представления настоящего доклада статут, регулирующий деятельность уполномоченного, был представлен различным государственным учреждениям для консультаций, и поэтому в настоящее время не представляе</w:t>
      </w:r>
      <w:r>
        <w:t>т</w:t>
      </w:r>
      <w:r>
        <w:t>ся возможным предоставить дополнительную информацию или проанализир</w:t>
      </w:r>
      <w:r>
        <w:t>о</w:t>
      </w:r>
      <w:r>
        <w:t>вать деятельность уполномоченного. НПО Эстонский женский научно-исследовательский и информационный центр и Круглый стол женских орган</w:t>
      </w:r>
      <w:r>
        <w:t>и</w:t>
      </w:r>
      <w:r>
        <w:t>заций Эстонии выразили беспокойство по поводу того, что статут уполном</w:t>
      </w:r>
      <w:r>
        <w:t>о</w:t>
      </w:r>
      <w:r>
        <w:t>ченного до сих пор не принят и что спустя восемь месяцев после вступления в силу Закона уполномоченный так и не приступил к исполнению своих фун</w:t>
      </w:r>
      <w:r>
        <w:t>к</w:t>
      </w:r>
      <w:r>
        <w:t>ций. Неправительственные организации также выступили с критикой в адрес правительства в связи с тем, что уполномоченный не может быть полностью беспристрастным экспертом, поскольку он или она назначается на должность министром, а министр является политиком, и поскольку уполномоченный р</w:t>
      </w:r>
      <w:r>
        <w:t>а</w:t>
      </w:r>
      <w:r>
        <w:t>ботает в структуре министерства социальных дел.</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Канцлер юстиции</w:t>
      </w:r>
    </w:p>
    <w:p w:rsidR="00000000" w:rsidRDefault="00000000">
      <w:pPr>
        <w:pStyle w:val="SingleTxt"/>
        <w:keepNext/>
        <w:spacing w:after="0" w:line="120" w:lineRule="exact"/>
        <w:rPr>
          <w:sz w:val="10"/>
        </w:rPr>
      </w:pPr>
    </w:p>
    <w:p w:rsidR="00000000" w:rsidRDefault="00000000">
      <w:pPr>
        <w:pStyle w:val="SingleTxt"/>
      </w:pPr>
      <w:r>
        <w:tab/>
        <w:t>С 1 января 2004 года сфера компетенции канцлера юстиции расширилась. Каждый человек имеет право обратиться к канцлеру юстиции с просьбой о проведении согласительной процедуры, если он или она считает, что физич</w:t>
      </w:r>
      <w:r>
        <w:t>е</w:t>
      </w:r>
      <w:r>
        <w:t>ское или частноправовое юридическое лицо допустило в отношении него или нее дискриминацию по признаку пола, расовой или национальной (этнической) принадлежности, цвета кожи, языка, происхождения, религии или вероиспов</w:t>
      </w:r>
      <w:r>
        <w:t>е</w:t>
      </w:r>
      <w:r>
        <w:t>дания, политических или иных взглядов, имущественного или социального п</w:t>
      </w:r>
      <w:r>
        <w:t>о</w:t>
      </w:r>
      <w:r>
        <w:t>ложения, возраста, инвалидности, сексуальной ориентации или иных указа</w:t>
      </w:r>
      <w:r>
        <w:t>н</w:t>
      </w:r>
      <w:r>
        <w:t>ных в законе признаков.</w:t>
      </w:r>
    </w:p>
    <w:p w:rsidR="00000000" w:rsidRDefault="00000000">
      <w:pPr>
        <w:pStyle w:val="SingleTxt"/>
      </w:pPr>
      <w:r>
        <w:tab/>
        <w:t>Чтобы можно было подать петицию канцлеру юстиции, требуется, чтобы не было никакого вступившего в силу судебного решения по тому же вопросу и чтобы в суде по этому вопросу не велось разбирательство или обязательное д</w:t>
      </w:r>
      <w:r>
        <w:t>о</w:t>
      </w:r>
      <w:r>
        <w:t>судебное рассмотрение жалобы.</w:t>
      </w:r>
    </w:p>
    <w:p w:rsidR="00000000" w:rsidRDefault="00000000">
      <w:pPr>
        <w:pStyle w:val="SingleTxt"/>
      </w:pPr>
      <w:r>
        <w:tab/>
        <w:t>Канцлер юстиции проверяет деятельность физического или частноправ</w:t>
      </w:r>
      <w:r>
        <w:t>о</w:t>
      </w:r>
      <w:r>
        <w:t>вого юридического лица и проводит согласительную процедуру по заявлению лица, считающего, что в отношении него или нее была допущена дискримин</w:t>
      </w:r>
      <w:r>
        <w:t>а</w:t>
      </w:r>
      <w:r>
        <w:t>ция по вышеуказанным основаниям. Следует, однако, подчеркнуть, что для проведения согласительной процедуры обе стороны должны согласиться пр</w:t>
      </w:r>
      <w:r>
        <w:t>и</w:t>
      </w:r>
      <w:r>
        <w:t>нять в ней участие. Поскольку согласительная процедура не является обяз</w:t>
      </w:r>
      <w:r>
        <w:t>а</w:t>
      </w:r>
      <w:r>
        <w:t>тельной, сторона, на которую подана жалоба, не обязана принимать участие в согласительной процедуре. Кроме того, такая сторона может на любом этапе прекратить свое участие в согласительной процедуре. Если обе стороны пр</w:t>
      </w:r>
      <w:r>
        <w:t>и</w:t>
      </w:r>
      <w:r>
        <w:t>няли участие в согласительной процедуре, и канцлер юстиции одобрил согл</w:t>
      </w:r>
      <w:r>
        <w:t>а</w:t>
      </w:r>
      <w:r>
        <w:t>шение, это соглашение является окончательным, и обе стороны обязаны его соблюдать.</w:t>
      </w:r>
    </w:p>
    <w:p w:rsidR="00000000" w:rsidRDefault="00000000">
      <w:pPr>
        <w:pStyle w:val="SingleTxt"/>
      </w:pPr>
      <w:r>
        <w:tab/>
        <w:t>На практике канцлер юстиции пока не приступал к проведению соглас</w:t>
      </w:r>
      <w:r>
        <w:t>и</w:t>
      </w:r>
      <w:r>
        <w:t>тельной процедуры по вопросам, касающимся дискриминации по признаку п</w:t>
      </w:r>
      <w:r>
        <w:t>о</w:t>
      </w:r>
      <w:r>
        <w:t>ла. Это может объясняться тем, что люди пока не осведомлены о такой во</w:t>
      </w:r>
      <w:r>
        <w:t>з</w:t>
      </w:r>
      <w:r>
        <w:t>можности, или тем, что они не желают огласки своих проблем, или, возможно, также тем, что люди не могут осознать, что они были дискриминированы по причине их пола.</w:t>
      </w:r>
    </w:p>
    <w:p w:rsidR="00000000" w:rsidRDefault="00000000">
      <w:pPr>
        <w:pStyle w:val="SingleTxt"/>
      </w:pPr>
      <w:r>
        <w:tab/>
        <w:t>До сих пор канцлеру юстиции было подана только одна петиция, в кот</w:t>
      </w:r>
      <w:r>
        <w:t>о</w:t>
      </w:r>
      <w:r>
        <w:t>рой петиционер жаловался на то, что требования для получения эстонского гражданства носят дискриминационный характер. Поскольку согласительная процедура является добровольной, а ответчик отказался принять участие в ра</w:t>
      </w:r>
      <w:r>
        <w:t>з</w:t>
      </w:r>
      <w:r>
        <w:t>бирательстве, дело было прекращено, и, следовательно, никакого решения по сущ</w:t>
      </w:r>
      <w:r>
        <w:t>е</w:t>
      </w:r>
      <w:r>
        <w:t>ству вопроса принято не было.</w:t>
      </w:r>
    </w:p>
    <w:p w:rsidR="00000000" w:rsidRDefault="00000000">
      <w:pPr>
        <w:pStyle w:val="SingleTxt"/>
        <w:spacing w:after="0" w:line="120" w:lineRule="exact"/>
        <w:rPr>
          <w:sz w:val="10"/>
        </w:rPr>
      </w:pPr>
    </w:p>
    <w:p w:rsidR="00000000" w:rsidRDefault="00000000">
      <w:pPr>
        <w:pStyle w:val="SingleTxt"/>
        <w:rPr>
          <w:b/>
        </w:rPr>
      </w:pPr>
      <w:r>
        <w:rPr>
          <w:b/>
        </w:rPr>
        <w:tab/>
        <w:t>d)</w:t>
      </w:r>
      <w:r>
        <w:rPr>
          <w:b/>
        </w:rPr>
        <w:tab/>
        <w:t>воздерживаться от совершения каких-либо дискриминационных актов или действий в отношении женщин и гарантировать, что государс</w:t>
      </w:r>
      <w:r>
        <w:rPr>
          <w:b/>
        </w:rPr>
        <w:t>т</w:t>
      </w:r>
      <w:r>
        <w:rPr>
          <w:b/>
        </w:rPr>
        <w:t>венные органы и учреждения будут действовать в соответствии с этим обязател</w:t>
      </w:r>
      <w:r>
        <w:rPr>
          <w:b/>
        </w:rPr>
        <w:t>ь</w:t>
      </w:r>
      <w:r>
        <w:rPr>
          <w:b/>
        </w:rPr>
        <w:t>ством;</w:t>
      </w:r>
    </w:p>
    <w:p w:rsidR="00000000" w:rsidRDefault="00000000">
      <w:pPr>
        <w:pStyle w:val="SingleTxt"/>
      </w:pPr>
      <w:r>
        <w:tab/>
        <w:t>Начиная с 1 января 2004 года, каждый человек имеет право обратиться к канцлеру юстиции за защитой своих прав, подав заявление с просьбой пров</w:t>
      </w:r>
      <w:r>
        <w:t>е</w:t>
      </w:r>
      <w:r>
        <w:t>рить, придерживается ли государственное учреждение, орган местного сам</w:t>
      </w:r>
      <w:r>
        <w:t>о</w:t>
      </w:r>
      <w:r>
        <w:t>управления или его учреждение, юридическое лицо публичного права, физич</w:t>
      </w:r>
      <w:r>
        <w:t>е</w:t>
      </w:r>
      <w:r>
        <w:t>ское лицо или частноправовое юридическое лицо, выполняющее публичные функции, принципа соблюдения основных прав и свобод и принципа надлеж</w:t>
      </w:r>
      <w:r>
        <w:t>а</w:t>
      </w:r>
      <w:r>
        <w:t>щего управления.</w:t>
      </w:r>
    </w:p>
    <w:p w:rsidR="00000000" w:rsidRDefault="00000000">
      <w:pPr>
        <w:pStyle w:val="SingleTxt"/>
      </w:pPr>
      <w:r>
        <w:tab/>
        <w:t>До этого обращаться к канцлеру юстиции можно было только на предмет проверки соответствия основным правам и свободам лишь действий госуда</w:t>
      </w:r>
      <w:r>
        <w:t>р</w:t>
      </w:r>
      <w:r>
        <w:t>стве</w:t>
      </w:r>
      <w:r>
        <w:t>н</w:t>
      </w:r>
      <w:r>
        <w:t>ных учреждений.</w:t>
      </w:r>
    </w:p>
    <w:p w:rsidR="00000000" w:rsidRDefault="00000000">
      <w:pPr>
        <w:pStyle w:val="SingleTxt"/>
      </w:pPr>
      <w:r>
        <w:tab/>
        <w:t>В Законе об административном процессе излагаются принципы обеспеч</w:t>
      </w:r>
      <w:r>
        <w:t>е</w:t>
      </w:r>
      <w:r>
        <w:t>ния защиты основных прав и свобод человека и принципы надлежащего упра</w:t>
      </w:r>
      <w:r>
        <w:t>в</w:t>
      </w:r>
      <w:r>
        <w:t>ления. Например, предусмотрены следующие принципы: основные права и свободы или другие субъективные права могут в административном порядке ограничиваться только в соответствии с законом; административные действия и меры должны быть надлежащими, необходимыми и отвечать заявленным ц</w:t>
      </w:r>
      <w:r>
        <w:t>е</w:t>
      </w:r>
      <w:r>
        <w:t>лям; административный процесс должен быть целенаправленным, эффекти</w:t>
      </w:r>
      <w:r>
        <w:t>в</w:t>
      </w:r>
      <w:r>
        <w:t>ным и открытым и осуществляться без излишних задержек, чтобы избежать чрезмерных издержек и не создавать для людей неудобств; и процессуальные действия должны совершаться быстро и не позднее, чем в сроки, предусмо</w:t>
      </w:r>
      <w:r>
        <w:t>т</w:t>
      </w:r>
      <w:r>
        <w:t>ренные законом или постановлением.</w:t>
      </w:r>
    </w:p>
    <w:p w:rsidR="00000000" w:rsidRDefault="00000000">
      <w:pPr>
        <w:pStyle w:val="SingleTxt"/>
      </w:pPr>
      <w:r>
        <w:tab/>
        <w:t>В Законе об ответственности государства, вступившем в силу 1 января 2002 года, предусматриваются процедура и основания для защиты и восст</w:t>
      </w:r>
      <w:r>
        <w:t>а</w:t>
      </w:r>
      <w:r>
        <w:t>новления прав, нарушенных в ходе осуществления полномочий государстве</w:t>
      </w:r>
      <w:r>
        <w:t>н</w:t>
      </w:r>
      <w:r>
        <w:t>ного органа и исполнения других государственных функций, и выплата ко</w:t>
      </w:r>
      <w:r>
        <w:t>м</w:t>
      </w:r>
      <w:r>
        <w:t>пенсации за причиненный ущерб (ответственность г</w:t>
      </w:r>
      <w:r>
        <w:t>о</w:t>
      </w:r>
      <w:r>
        <w:t>сударства).</w:t>
      </w:r>
    </w:p>
    <w:p w:rsidR="00000000" w:rsidRDefault="00000000">
      <w:pPr>
        <w:pStyle w:val="SingleTxt"/>
        <w:spacing w:after="0" w:line="120" w:lineRule="exact"/>
        <w:rPr>
          <w:sz w:val="10"/>
        </w:rPr>
      </w:pPr>
    </w:p>
    <w:p w:rsidR="00000000" w:rsidRDefault="00000000">
      <w:pPr>
        <w:pStyle w:val="SingleTxt"/>
        <w:rPr>
          <w:b/>
        </w:rPr>
      </w:pPr>
      <w:r>
        <w:rPr>
          <w:b/>
        </w:rPr>
        <w:tab/>
        <w:t>e)</w:t>
      </w:r>
      <w:r>
        <w:rPr>
          <w:b/>
        </w:rPr>
        <w:tab/>
        <w:t>принимать все соответствующие меры для ликвидации дискр</w:t>
      </w:r>
      <w:r>
        <w:rPr>
          <w:b/>
        </w:rPr>
        <w:t>и</w:t>
      </w:r>
      <w:r>
        <w:rPr>
          <w:b/>
        </w:rPr>
        <w:t>минации в отношении женщин со стороны какого-либо лица, организации или предпр</w:t>
      </w:r>
      <w:r>
        <w:rPr>
          <w:b/>
        </w:rPr>
        <w:t>и</w:t>
      </w:r>
      <w:r>
        <w:rPr>
          <w:b/>
        </w:rPr>
        <w:t>ятия;</w:t>
      </w:r>
    </w:p>
    <w:p w:rsidR="00000000" w:rsidRDefault="00000000">
      <w:pPr>
        <w:pStyle w:val="SingleTxt"/>
      </w:pPr>
      <w:r>
        <w:tab/>
        <w:t>В соответствии с Законом о равноправии мужчин и женщин должностное лицо структурного подразделения министерства социальных дел, ведающего вопросами гендерного равноправия, предоставляет консультации всем лицам по вопросам соблюдения принципа равенства мужчин и женщин. При необх</w:t>
      </w:r>
      <w:r>
        <w:t>о</w:t>
      </w:r>
      <w:r>
        <w:t>димости консультант разъяснит заинтересованному лицу, какое учреждение имеет компетенцию для урегулирования возможного случая дискриминации, и по просьбе этого лица ему будет оказана помощь в подготовке письменного з</w:t>
      </w:r>
      <w:r>
        <w:t>а</w:t>
      </w:r>
      <w:r>
        <w:t>явления и в представлении его компетентному органу, за исключением тех сл</w:t>
      </w:r>
      <w:r>
        <w:t>у</w:t>
      </w:r>
      <w:r>
        <w:t>чаев, когда компетентным органом является суд или Комитет по трудовым сп</w:t>
      </w:r>
      <w:r>
        <w:t>о</w:t>
      </w:r>
      <w:r>
        <w:t>рам.</w:t>
      </w:r>
    </w:p>
    <w:p w:rsidR="00000000" w:rsidRDefault="00000000">
      <w:pPr>
        <w:pStyle w:val="SingleTxt"/>
      </w:pPr>
      <w:r>
        <w:tab/>
        <w:t>Были приняты меры, направленные на изменение патриархальной ге</w:t>
      </w:r>
      <w:r>
        <w:t>н</w:t>
      </w:r>
      <w:r>
        <w:t>дерной системы в Эстонии и на сокращение косвенной дискриминации в о</w:t>
      </w:r>
      <w:r>
        <w:t>т</w:t>
      </w:r>
      <w:r>
        <w:t>нош</w:t>
      </w:r>
      <w:r>
        <w:t>е</w:t>
      </w:r>
      <w:r>
        <w:t>нии женщин в трудовой жизни.</w:t>
      </w:r>
    </w:p>
    <w:p w:rsidR="00000000" w:rsidRDefault="00000000">
      <w:pPr>
        <w:pStyle w:val="SingleTxt"/>
      </w:pPr>
      <w:r>
        <w:tab/>
        <w:t>В Законе о равноправии мужчин и женщин закрепляется обязанность р</w:t>
      </w:r>
      <w:r>
        <w:t>а</w:t>
      </w:r>
      <w:r>
        <w:t>ботодателей активно содействовать обеспечению гендерного равноправия. Эта обязанность распространяется на всех работодателей и в частном, и в госуда</w:t>
      </w:r>
      <w:r>
        <w:t>р</w:t>
      </w:r>
      <w:r>
        <w:t>ственном секторе. Чтобы этому содействовать, законодатель дает в Законе сл</w:t>
      </w:r>
      <w:r>
        <w:t>е</w:t>
      </w:r>
      <w:r>
        <w:t>дующие рекомендации работодателям:</w:t>
      </w:r>
    </w:p>
    <w:p w:rsidR="00000000" w:rsidRDefault="00000000">
      <w:pPr>
        <w:pStyle w:val="SingleTxt"/>
        <w:keepNext/>
      </w:pPr>
      <w:r>
        <w:tab/>
        <w:t>1)</w:t>
      </w:r>
      <w:r>
        <w:tab/>
        <w:t>нанимать для заполнения вакансий лиц обоих полов;</w:t>
      </w:r>
    </w:p>
    <w:p w:rsidR="00000000" w:rsidRDefault="00000000">
      <w:pPr>
        <w:pStyle w:val="SingleTxt"/>
        <w:ind w:left="2218" w:hanging="951"/>
      </w:pPr>
      <w:r>
        <w:tab/>
        <w:t>2)</w:t>
      </w:r>
      <w:r>
        <w:tab/>
        <w:t>обеспечивать максимально возможное равенство числа мужчин и женщин, нанятых на различные должности;</w:t>
      </w:r>
    </w:p>
    <w:p w:rsidR="00000000" w:rsidRDefault="00000000">
      <w:pPr>
        <w:pStyle w:val="SingleTxt"/>
        <w:ind w:left="2218" w:hanging="951"/>
      </w:pPr>
      <w:r>
        <w:tab/>
        <w:t>3)</w:t>
      </w:r>
      <w:r>
        <w:tab/>
        <w:t>создавать такие рабочие условия, которые были бы приемлемы и для женщин, и для мужчин, и с учетом нужд работников помогать им с</w:t>
      </w:r>
      <w:r>
        <w:t>о</w:t>
      </w:r>
      <w:r>
        <w:t>четать труд с семейной жизнью.</w:t>
      </w:r>
    </w:p>
    <w:p w:rsidR="00000000" w:rsidRDefault="00000000">
      <w:pPr>
        <w:pStyle w:val="SingleTxt"/>
      </w:pPr>
      <w:r>
        <w:tab/>
        <w:t>Работодатели обязаны регулярно предоставлять работникам и их предст</w:t>
      </w:r>
      <w:r>
        <w:t>а</w:t>
      </w:r>
      <w:r>
        <w:t>вителям соответствующую информацию, касающуюся равенства мужчин и женщин в их организации и мер, принимаемых для обеспечения равенства. Р</w:t>
      </w:r>
      <w:r>
        <w:t>а</w:t>
      </w:r>
      <w:r>
        <w:t>ботодатели должны также информировать работников об их правах, гарант</w:t>
      </w:r>
      <w:r>
        <w:t>и</w:t>
      </w:r>
      <w:r>
        <w:t>руемых З</w:t>
      </w:r>
      <w:r>
        <w:t>а</w:t>
      </w:r>
      <w:r>
        <w:t>коном.</w:t>
      </w:r>
    </w:p>
    <w:p w:rsidR="00000000" w:rsidRDefault="00000000">
      <w:pPr>
        <w:pStyle w:val="SingleTxt"/>
      </w:pPr>
      <w:r>
        <w:tab/>
        <w:t>Законом о равноправии мужчин и женщин предусмотрена обязанность работодателя собирать статистические данные о занятости с разбивкой по полу работников. При необходимости эти данные должны позволить соответству</w:t>
      </w:r>
      <w:r>
        <w:t>ю</w:t>
      </w:r>
      <w:r>
        <w:t>щим учреждениям проверить и выяснить, соблюдается ли принцип равенства в трудовых отношениях. Это может быть использовано в качестве средства в</w:t>
      </w:r>
      <w:r>
        <w:t>ы</w:t>
      </w:r>
      <w:r>
        <w:t>явления проблем в области равенства мужчин и женщин. Процедура сбора данных и перечень данных подлежат определению в постановлении правител</w:t>
      </w:r>
      <w:r>
        <w:t>ь</w:t>
      </w:r>
      <w:r>
        <w:t>ства Республики; в настоящее время между различными государственными у</w:t>
      </w:r>
      <w:r>
        <w:t>ч</w:t>
      </w:r>
      <w:r>
        <w:t>ре</w:t>
      </w:r>
      <w:r>
        <w:t>ж</w:t>
      </w:r>
      <w:r>
        <w:t>дениями ведутся консультации относительно этого постановления.</w:t>
      </w:r>
    </w:p>
    <w:p w:rsidR="00000000" w:rsidRDefault="00000000">
      <w:pPr>
        <w:pStyle w:val="SingleTxt"/>
      </w:pPr>
      <w:r>
        <w:tab/>
        <w:t>Канцлер юстиции обязан содействовать соблюдению гендерного равн</w:t>
      </w:r>
      <w:r>
        <w:t>о</w:t>
      </w:r>
      <w:r>
        <w:t>правия и принципа равенства мужчин и женщин. Канцлер юстиции считает важным сотрудничать с неправительственными организациями. В 2004 году совместно с представителями неправительственных организаций был орган</w:t>
      </w:r>
      <w:r>
        <w:t>и</w:t>
      </w:r>
      <w:r>
        <w:t>зован «круглый стол» по вопросам гендерного равноправия. Одна из целей эт</w:t>
      </w:r>
      <w:r>
        <w:t>о</w:t>
      </w:r>
      <w:r>
        <w:t>го «круглого стола» заключалась в обсуждении проблем равенства мужчин и женщин в эстонском обществе и в разъяснении компетенции канцлера юстиции в реш</w:t>
      </w:r>
      <w:r>
        <w:t>е</w:t>
      </w:r>
      <w:r>
        <w:t>нии этих проблем.</w:t>
      </w:r>
    </w:p>
    <w:p w:rsidR="00000000" w:rsidRDefault="00000000">
      <w:pPr>
        <w:pStyle w:val="SingleTxt"/>
        <w:spacing w:after="0" w:line="120" w:lineRule="exact"/>
        <w:rPr>
          <w:sz w:val="10"/>
        </w:rPr>
      </w:pPr>
    </w:p>
    <w:p w:rsidR="00000000" w:rsidRDefault="00000000">
      <w:pPr>
        <w:pStyle w:val="SingleTxt"/>
        <w:rPr>
          <w:b/>
        </w:rPr>
      </w:pPr>
      <w:r>
        <w:rPr>
          <w:b/>
        </w:rPr>
        <w:tab/>
        <w:t>f)</w:t>
      </w:r>
      <w:r>
        <w:rPr>
          <w:b/>
        </w:rPr>
        <w:tab/>
        <w:t>принимать все соответствующие меры, включая законодател</w:t>
      </w:r>
      <w:r>
        <w:rPr>
          <w:b/>
        </w:rPr>
        <w:t>ь</w:t>
      </w:r>
      <w:r>
        <w:rPr>
          <w:b/>
        </w:rPr>
        <w:t>ные, для изменения или отмены действующих законов, постановлений, обычаев и практики, которые представляют собой дискриминацию в о</w:t>
      </w:r>
      <w:r>
        <w:rPr>
          <w:b/>
        </w:rPr>
        <w:t>т</w:t>
      </w:r>
      <w:r>
        <w:rPr>
          <w:b/>
        </w:rPr>
        <w:t>ношении женщин;</w:t>
      </w:r>
    </w:p>
    <w:p w:rsidR="00000000" w:rsidRDefault="00000000">
      <w:pPr>
        <w:pStyle w:val="SingleTxt"/>
      </w:pPr>
      <w:r>
        <w:tab/>
        <w:t>Законом о равноправии мужчин и женщин предусмотрена обязанность работодателя обеспечивать такое положение, при котором работники не по</w:t>
      </w:r>
      <w:r>
        <w:t>д</w:t>
      </w:r>
      <w:r>
        <w:t>вергались бы сексуальным домогательствами.</w:t>
      </w:r>
    </w:p>
    <w:p w:rsidR="00000000" w:rsidRDefault="00000000">
      <w:pPr>
        <w:pStyle w:val="SingleTxt"/>
      </w:pPr>
      <w:r>
        <w:tab/>
        <w:t>Лицом, совершающим акт домогательства, может быть лицо, подчиненное работнику, коллега, непосредственный начальник или сам или сама работод</w:t>
      </w:r>
      <w:r>
        <w:t>а</w:t>
      </w:r>
      <w:r>
        <w:t>тель. Люди, работающие в сфере услуг, могут также становиться жертвами д</w:t>
      </w:r>
      <w:r>
        <w:t>о</w:t>
      </w:r>
      <w:r>
        <w:t>могательств со стороны клиентов. Такие ситуации также требуют от работод</w:t>
      </w:r>
      <w:r>
        <w:t>а</w:t>
      </w:r>
      <w:r>
        <w:t>теля принятия мер по недопущению домогательств. Работодатель несет отве</w:t>
      </w:r>
      <w:r>
        <w:t>т</w:t>
      </w:r>
      <w:r>
        <w:t>ственность за невыполнение этой обязанности, если работодатель знал или по разумному предположению должен был бы знать, что имело место сексуальное домогательство, но не принял мер, направленных на пресечение такого домог</w:t>
      </w:r>
      <w:r>
        <w:t>а</w:t>
      </w:r>
      <w:r>
        <w:t xml:space="preserve">тельства. </w:t>
      </w:r>
    </w:p>
    <w:p w:rsidR="00000000" w:rsidRDefault="00000000">
      <w:pPr>
        <w:pStyle w:val="SingleTxt"/>
      </w:pPr>
      <w:r>
        <w:tab/>
        <w:t>Комитет советовал правительству обеспечить, чтобы такое насилие кв</w:t>
      </w:r>
      <w:r>
        <w:t>а</w:t>
      </w:r>
      <w:r>
        <w:t>лифицировалось как преступление, наказуемое в уголовном порядке, чтобы оно преследовалось и наказывалось с необходимой строгостью и быстротой и чтобы женщины, подвергшиеся насилию, могли немедленно получить прав</w:t>
      </w:r>
      <w:r>
        <w:t>о</w:t>
      </w:r>
      <w:r>
        <w:t>вую помощь и защиту. Комитет также предложил правительству принять меры просветительского характера, включая проведение кампании по пропаганде н</w:t>
      </w:r>
      <w:r>
        <w:t>е</w:t>
      </w:r>
      <w:r>
        <w:t>терпимости к такому насилию, чтобы такое насилие стало социально и м</w:t>
      </w:r>
      <w:r>
        <w:t>о</w:t>
      </w:r>
      <w:r>
        <w:t>рально неприемлемым. Он рекомендовал принять специальный закон о запр</w:t>
      </w:r>
      <w:r>
        <w:t>е</w:t>
      </w:r>
      <w:r>
        <w:t>щении семейно-бытового насилия в отношении женщин, предусматривающий меры суде</w:t>
      </w:r>
      <w:r>
        <w:t>б</w:t>
      </w:r>
      <w:r>
        <w:t>ной и правовой защиты и доступ к правовой помощи.</w:t>
      </w:r>
    </w:p>
    <w:p w:rsidR="00000000" w:rsidRDefault="00000000">
      <w:pPr>
        <w:pStyle w:val="SingleTxt"/>
      </w:pPr>
      <w:r>
        <w:tab/>
        <w:t>В эстонском праве нет специального определения насилия в отношении женщин или насилия во взаимоотношениях пар. Акты насилия могут пресл</w:t>
      </w:r>
      <w:r>
        <w:t>е</w:t>
      </w:r>
      <w:r>
        <w:t>доваться в качестве преступлений против личности с 1 сентября 2002 года, к</w:t>
      </w:r>
      <w:r>
        <w:t>о</w:t>
      </w:r>
      <w:r>
        <w:t>гда вступил в силу новый Уголовный кодекс.</w:t>
      </w:r>
    </w:p>
    <w:p w:rsidR="00000000" w:rsidRDefault="00000000">
      <w:pPr>
        <w:pStyle w:val="SingleTxt"/>
      </w:pPr>
      <w:r>
        <w:tab/>
        <w:t>Согласно статье 118 Уголовного кодекса, причинение серьезного вреда здоровью, повлекшего за собой угрозу для жизни, серьезное физическое заб</w:t>
      </w:r>
      <w:r>
        <w:t>о</w:t>
      </w:r>
      <w:r>
        <w:t>левание, тяжелую душевную болезнь, прерывание беременности, неизгладимое обезображивание лица или потерю какого-либо органа или утрату органом его функций, наказывается лишением свободы на срок от четырех до двенадцати лет.</w:t>
      </w:r>
    </w:p>
    <w:p w:rsidR="00000000" w:rsidRDefault="00000000">
      <w:pPr>
        <w:pStyle w:val="SingleTxt"/>
      </w:pPr>
      <w:r>
        <w:tab/>
        <w:t>Угроза (статья 120), насильственные действия над личностью (статья 121) и истязание (статья 122) квалифицируются как акты насилия.</w:t>
      </w:r>
    </w:p>
    <w:p w:rsidR="00000000" w:rsidRDefault="00000000">
      <w:pPr>
        <w:pStyle w:val="SingleTxt"/>
      </w:pPr>
      <w:r>
        <w:tab/>
        <w:t>Угроза убийством, повлекшая за собой причинение вреда здоровью либо повреждение в значительных размерах или уничтожение имущества, если им</w:t>
      </w:r>
      <w:r>
        <w:t>е</w:t>
      </w:r>
      <w:r>
        <w:t>лись основания опасаться осуществления этой угрозы, наказывается штрафом или лишением свободы на срок до одного года.</w:t>
      </w:r>
    </w:p>
    <w:p w:rsidR="00000000" w:rsidRDefault="00000000">
      <w:pPr>
        <w:pStyle w:val="SingleTxt"/>
      </w:pPr>
      <w:r>
        <w:tab/>
        <w:t>Причинение вреда здоровью другого человека, а также нанесение ударов, побоев или иные насильственные действия над личностью, причинившие ф</w:t>
      </w:r>
      <w:r>
        <w:t>и</w:t>
      </w:r>
      <w:r>
        <w:t>зическую боль, наказываются штрафом или лишением свободы на срок до трех лет.</w:t>
      </w:r>
    </w:p>
    <w:p w:rsidR="00000000" w:rsidRDefault="00000000">
      <w:pPr>
        <w:pStyle w:val="SingleTxt"/>
      </w:pPr>
      <w:r>
        <w:tab/>
        <w:t>Продолжительные насильственные действия над личностью или насил</w:t>
      </w:r>
      <w:r>
        <w:t>ь</w:t>
      </w:r>
      <w:r>
        <w:t>ственные действия, причинившие сильную физическую боль, наказываются штр</w:t>
      </w:r>
      <w:r>
        <w:t>а</w:t>
      </w:r>
      <w:r>
        <w:t>фом или лишением свободы на срок до пяти лет.</w:t>
      </w:r>
    </w:p>
    <w:p w:rsidR="00000000" w:rsidRDefault="00000000">
      <w:pPr>
        <w:pStyle w:val="SingleTxt"/>
      </w:pPr>
      <w:r>
        <w:tab/>
        <w:t>Акты насилия, такие, как нанесение ударов или побои, квалифицируются как насильс</w:t>
      </w:r>
      <w:r>
        <w:t>т</w:t>
      </w:r>
      <w:r>
        <w:t>венные действия над личностью.</w:t>
      </w:r>
    </w:p>
    <w:p w:rsidR="00000000" w:rsidRDefault="00000000">
      <w:pPr>
        <w:pStyle w:val="SingleTxt"/>
      </w:pPr>
      <w:r>
        <w:tab/>
        <w:t>Особая серьезность преступлений против члена семьи объясняется отя</w:t>
      </w:r>
      <w:r>
        <w:t>г</w:t>
      </w:r>
      <w:r>
        <w:t>чающими обстоятельствами, изложенными в общей части Уголовного кодекса. Отягчающим обстоятельством является совершение преступления против лица, находящегося в служебной, финансовой или семейной зависимости от вино</w:t>
      </w:r>
      <w:r>
        <w:t>в</w:t>
      </w:r>
      <w:r>
        <w:t>ного; совершение преступления из корыстных или иных низменных побужд</w:t>
      </w:r>
      <w:r>
        <w:t>е</w:t>
      </w:r>
      <w:r>
        <w:t>ний; совершение преступления с особой жестокостью или издевательством над потерпевшим; умышленное совершение преступления против лица, не дости</w:t>
      </w:r>
      <w:r>
        <w:t>г</w:t>
      </w:r>
      <w:r>
        <w:t>шего 18 лет, беременной женщины, престарелого или лица, находящегося в беспомощном состоянии, или против душевнобольного (статья 58).</w:t>
      </w:r>
    </w:p>
    <w:p w:rsidR="00000000" w:rsidRDefault="00000000">
      <w:pPr>
        <w:pStyle w:val="SingleTxt"/>
      </w:pPr>
      <w:r>
        <w:tab/>
        <w:t>В соответствии с Уголовно-процессуальным кодексом следственный о</w:t>
      </w:r>
      <w:r>
        <w:t>р</w:t>
      </w:r>
      <w:r>
        <w:t>ган или прокуратура возбуждает уголовное преследование, если для этого есть повод или основания. Поводом для возбуждения уголовного дела служит с</w:t>
      </w:r>
      <w:r>
        <w:t>о</w:t>
      </w:r>
      <w:r>
        <w:t>общение об уголовном преступлении или иная информация, свидетельству</w:t>
      </w:r>
      <w:r>
        <w:t>ю</w:t>
      </w:r>
      <w:r>
        <w:t>щая о совершении уголовного преступления. Сообщение об уголовном прест</w:t>
      </w:r>
      <w:r>
        <w:t>у</w:t>
      </w:r>
      <w:r>
        <w:t>плении передается следственному органу или прокуратуре устно или в пис</w:t>
      </w:r>
      <w:r>
        <w:t>ь</w:t>
      </w:r>
      <w:r>
        <w:t>менном виде. Устное сообщение об уголовном преступлении, которое делается на месте совершения преступления, оформляется протоколом, а сообщение об уголовном преступлении, переданное по телефону, оформляется в письменном виде или в виде звукозаписи (статьи 193–195).</w:t>
      </w:r>
    </w:p>
    <w:p w:rsidR="00000000" w:rsidRDefault="00000000">
      <w:pPr>
        <w:pStyle w:val="SingleTxt"/>
      </w:pPr>
      <w:r>
        <w:tab/>
        <w:t>В 2001 году Эстонский институт «Открытое общество» провел обслед</w:t>
      </w:r>
      <w:r>
        <w:t>о</w:t>
      </w:r>
      <w:r>
        <w:t>вание по заказу министерства социальных дел. Согласно этому обследованию, в предыдущем году от прямого физического и сексуального насилия пострад</w:t>
      </w:r>
      <w:r>
        <w:t>а</w:t>
      </w:r>
      <w:r>
        <w:t>ли 16 процентов женщин, а вообще подверглись насилию в общей сложности 21 процент женщин (включая психологич</w:t>
      </w:r>
      <w:r>
        <w:t>е</w:t>
      </w:r>
      <w:r>
        <w:t>ское насилие).</w:t>
      </w:r>
    </w:p>
    <w:p w:rsidR="00000000" w:rsidRDefault="00000000">
      <w:pPr>
        <w:pStyle w:val="SingleTxt"/>
      </w:pPr>
      <w:r>
        <w:tab/>
        <w:t>В 2003 году было проведено еще одно обследование по вопросу о насилии и здоровье женщин (в котором участвовало 1008 респондентов, в том числе 544 женщины и 464 мужчины). Согласно этому обследованию, 68 процентов пострадавших в результате семейно-бытового насилия были женщинами в во</w:t>
      </w:r>
      <w:r>
        <w:t>з</w:t>
      </w:r>
      <w:r>
        <w:t>расте до 40 лет. Самой крупной группой риска были женщины в возрасте от 21 до 30 лет, живущие в незарегистрированном браке. На их долю приходился к</w:t>
      </w:r>
      <w:r>
        <w:t>а</w:t>
      </w:r>
      <w:r>
        <w:t>ждый третий случай семейно-бытового насилия. 54 процента медицинских р</w:t>
      </w:r>
      <w:r>
        <w:t>а</w:t>
      </w:r>
      <w:r>
        <w:t>ботников в своей повседневной практике имели дело с женщинами, которые регулярно страдают в результате семейно-бытового насилия. 80 процентов м</w:t>
      </w:r>
      <w:r>
        <w:t>е</w:t>
      </w:r>
      <w:r>
        <w:t>дицинских работников заявили, что они не имеют специальной подготовки, чтобы консультировать жертв насилия, и что они не знают также, куда напра</w:t>
      </w:r>
      <w:r>
        <w:t>в</w:t>
      </w:r>
      <w:r>
        <w:t>лять пострадавших за помощью. В 2004 году за счет финансовой поддержки со стороны эстонского фонда медицинского страхования (Центральной больни</w:t>
      </w:r>
      <w:r>
        <w:t>ч</w:t>
      </w:r>
      <w:r>
        <w:t>ной кассы) начали работать специальные подготовительные курсы. Даже н</w:t>
      </w:r>
      <w:r>
        <w:t>е</w:t>
      </w:r>
      <w:r>
        <w:t>смотря на то, что 75 процентов респондентов осуждают насилие в отношении женщин, в обществе все еще широко бытует терпимое отношение к прямому или косвенному насилию. Каждый третий мужчина и каждая пятая женщина в большей или меньшей степени считают, что муж имеет право требовать пол</w:t>
      </w:r>
      <w:r>
        <w:t>о</w:t>
      </w:r>
      <w:r>
        <w:t>вого сношения даже против воли жены. 21 процент женщин и 27 процентов мужчин не имеют определенного мнения относительно того, должно ли изн</w:t>
      </w:r>
      <w:r>
        <w:t>а</w:t>
      </w:r>
      <w:r>
        <w:t>силование в браке считаться уголовным преступлением. 76 процентов женщин и 70 процентов мужчин убеждены, что применение физической силы в отн</w:t>
      </w:r>
      <w:r>
        <w:t>о</w:t>
      </w:r>
      <w:r>
        <w:t xml:space="preserve">шении жены должно рассматриваться как насилие. </w:t>
      </w:r>
    </w:p>
    <w:p w:rsidR="00000000" w:rsidRDefault="00000000">
      <w:pPr>
        <w:pStyle w:val="SingleTxt"/>
      </w:pPr>
      <w:r>
        <w:tab/>
        <w:t>Треть пострадавших в результате насилия обращаются за помощью к вр</w:t>
      </w:r>
      <w:r>
        <w:t>а</w:t>
      </w:r>
      <w:r>
        <w:t>чам, 2–3 процента женщин, пострадавших от насилия, ищут помощи у соц</w:t>
      </w:r>
      <w:r>
        <w:t>и</w:t>
      </w:r>
      <w:r>
        <w:t>альных работников. 10 процентов жертв насилия сообщают об этом полиции. 2–3 процента случаев насилия заканчиваются предъявлением обвинения или осужд</w:t>
      </w:r>
      <w:r>
        <w:t>е</w:t>
      </w:r>
      <w:r>
        <w:t>нием.</w:t>
      </w:r>
    </w:p>
    <w:p w:rsidR="00000000" w:rsidRDefault="00000000">
      <w:pPr>
        <w:pStyle w:val="SingleTxt"/>
      </w:pPr>
      <w:r>
        <w:tab/>
        <w:t>В плане развития на 2004–2007 годы, утвержденном министерством ю</w:t>
      </w:r>
      <w:r>
        <w:t>с</w:t>
      </w:r>
      <w:r>
        <w:t>тиции 5 марта 2004 года, борьба с преступностью рассматривается в качестве одной из целевых областей деятельности, и одной из ее целей также является сокращение насилия в семье. Чтобы добиться этой цели, для прокуратуры б</w:t>
      </w:r>
      <w:r>
        <w:t>ы</w:t>
      </w:r>
      <w:r>
        <w:t>ли установлены конкретные параметры на каждый год, что также должно обеспечить эффективность работы следственных органов в выявлении, регис</w:t>
      </w:r>
      <w:r>
        <w:t>т</w:t>
      </w:r>
      <w:r>
        <w:t>рации и расследовании случаев насилия в семье. Для усиления надзора в 2004 году во всех отделениях прокуратуры были назначены специальные пр</w:t>
      </w:r>
      <w:r>
        <w:t>о</w:t>
      </w:r>
      <w:r>
        <w:t>куроры по вопросам насилия в семье, и для них была организована соответс</w:t>
      </w:r>
      <w:r>
        <w:t>т</w:t>
      </w:r>
      <w:r>
        <w:t>вующая подготовка. В прокуратуре Северного округа был создан специальный отдел по делам несовершеннолетних, который ведет дела, связанные с насил</w:t>
      </w:r>
      <w:r>
        <w:t>и</w:t>
      </w:r>
      <w:r>
        <w:t>ем в семье, равно как и дела о преступлениях, совершенных несовершенноле</w:t>
      </w:r>
      <w:r>
        <w:t>т</w:t>
      </w:r>
      <w:r>
        <w:t>ними. Прокуроры, специализирующиеся на делах, связанных с насилием в с</w:t>
      </w:r>
      <w:r>
        <w:t>е</w:t>
      </w:r>
      <w:r>
        <w:t>мье, активно участвовали в заседаниях «круглого стола» сотрудников социал</w:t>
      </w:r>
      <w:r>
        <w:t>ь</w:t>
      </w:r>
      <w:r>
        <w:t>ного попечения и семейных врачей, с тем чтобы совместно выяснить причины, по которым многие пострадавшие не хотят сообщать полиции о случаях нас</w:t>
      </w:r>
      <w:r>
        <w:t>и</w:t>
      </w:r>
      <w:r>
        <w:t>лия в семье. В 2004 году прокуратурой было возбуждено 292 уголовных дела, связанных с н</w:t>
      </w:r>
      <w:r>
        <w:t>а</w:t>
      </w:r>
      <w:r>
        <w:t>силием в семье.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Деятельность полиции</w:t>
      </w:r>
    </w:p>
    <w:p w:rsidR="00000000" w:rsidRDefault="00000000">
      <w:pPr>
        <w:pStyle w:val="SingleTxt"/>
        <w:spacing w:after="0" w:line="120" w:lineRule="exact"/>
        <w:rPr>
          <w:sz w:val="10"/>
        </w:rPr>
      </w:pPr>
    </w:p>
    <w:p w:rsidR="00000000" w:rsidRDefault="00000000">
      <w:pPr>
        <w:pStyle w:val="SingleTxt"/>
      </w:pPr>
      <w:r>
        <w:tab/>
        <w:t>В 2004 году полиция объявила, что борьба с семейно-бытовым насилием (включая семейно-бытовое насилие в отношении женщин) является одним из приоритетных направлений ее деятельности. Была разработана и внедрена с</w:t>
      </w:r>
      <w:r>
        <w:t>о</w:t>
      </w:r>
      <w:r>
        <w:t>ответствующая система полицейской статистики и подготовлены руководства, касающиеся дел, связанных с насилием в семье. Развивается сотрудничество с сотрудниками местных социальных и медицинских служб.</w:t>
      </w:r>
    </w:p>
    <w:p w:rsidR="00000000" w:rsidRDefault="00000000">
      <w:pPr>
        <w:pStyle w:val="SingleTxt"/>
      </w:pPr>
      <w:r>
        <w:tab/>
        <w:t>До 1 июля 2004 года случаи семейно-бытового насилия расследовались по предъявлении обвинений частными лицами. Расследование дел затруднялось тем, что пострадавшие нередко забирали свои жалобы, и расследование прих</w:t>
      </w:r>
      <w:r>
        <w:t>о</w:t>
      </w:r>
      <w:r>
        <w:t>дилось прекращать. 1 июля 2004 года вступил в силу новый Уголовно-процес</w:t>
      </w:r>
      <w:r>
        <w:softHyphen/>
        <w:t>суальный кодекс. В течение первых шести месяцев 2004 года по категории н</w:t>
      </w:r>
      <w:r>
        <w:t>а</w:t>
      </w:r>
      <w:r>
        <w:t>сильственных действий над личностью было зарегистрировано 32 случая. П</w:t>
      </w:r>
      <w:r>
        <w:t>о</w:t>
      </w:r>
      <w:r>
        <w:t>сле вступления в силу нового Уголовно-процессуального кодекса число ра</w:t>
      </w:r>
      <w:r>
        <w:t>с</w:t>
      </w:r>
      <w:r>
        <w:t>следованных случаев насильственных действий над личностью резко возросло: за девять месяцев был зарегистрирован 531 случай. В течение первых трех м</w:t>
      </w:r>
      <w:r>
        <w:t>е</w:t>
      </w:r>
      <w:r>
        <w:t>сяцев второй половины года было зарегистрировано примерно 1000 дел, св</w:t>
      </w:r>
      <w:r>
        <w:t>я</w:t>
      </w:r>
      <w:r>
        <w:t>занных с насильственными действиями. Однако предоставить статистические данные о том, сколько из них были делами, связанными с семейно-бытовым насилием, не представляется возможным.</w:t>
      </w:r>
    </w:p>
    <w:p w:rsidR="00000000" w:rsidRDefault="00000000">
      <w:pPr>
        <w:pStyle w:val="SingleTxt"/>
      </w:pPr>
      <w:r>
        <w:tab/>
        <w:t>В течение первой половины 2004 года было зарегистрировано 2036 зво</w:t>
      </w:r>
      <w:r>
        <w:t>н</w:t>
      </w:r>
      <w:r>
        <w:t>ков из проблемных семей («проблемная семья» - это категория, которая и</w:t>
      </w:r>
      <w:r>
        <w:t>с</w:t>
      </w:r>
      <w:r>
        <w:t>пользуется в базе данных полиции POLIS). Участковые констебли обязаны с</w:t>
      </w:r>
      <w:r>
        <w:t>о</w:t>
      </w:r>
      <w:r>
        <w:t>бирать и хранить информацию о проблемных семьях в базе данных своих уч</w:t>
      </w:r>
      <w:r>
        <w:t>а</w:t>
      </w:r>
      <w:r>
        <w:t>стков, и регулярно проверять такую информацию и принимать меры по пред</w:t>
      </w:r>
      <w:r>
        <w:t>у</w:t>
      </w:r>
      <w:r>
        <w:t>преждению правонарушений. В базе данных участковых констеблей содержи</w:t>
      </w:r>
      <w:r>
        <w:t>т</w:t>
      </w:r>
      <w:r>
        <w:t>ся информация о 699 лицах, совершавших насильственные дейс</w:t>
      </w:r>
      <w:r>
        <w:t>т</w:t>
      </w:r>
      <w:r>
        <w:t>вия.</w:t>
      </w:r>
    </w:p>
    <w:p w:rsidR="00000000" w:rsidRDefault="00000000">
      <w:pPr>
        <w:pStyle w:val="SingleTxt"/>
      </w:pPr>
      <w:r>
        <w:tab/>
        <w:t>Для служащих правоохранительной полиции организуется специальная подготовка по вопросам семейно-бытового насилия (в рамках служебной по</w:t>
      </w:r>
      <w:r>
        <w:t>д</w:t>
      </w:r>
      <w:r>
        <w:t>готовки региональной полиции было запланировано проведение пяти недел</w:t>
      </w:r>
      <w:r>
        <w:t>ь</w:t>
      </w:r>
      <w:r>
        <w:t>ных подготовительных курсов, и до настоящего времени четыре из них были уже проведены; к концу 2004 года такую подг</w:t>
      </w:r>
      <w:r>
        <w:t>о</w:t>
      </w:r>
      <w:r>
        <w:t>товку пройдут 100 констеблей).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Приюты</w:t>
      </w:r>
    </w:p>
    <w:p w:rsidR="00000000" w:rsidRDefault="00000000">
      <w:pPr>
        <w:pStyle w:val="SingleTxt"/>
        <w:keepNext/>
        <w:keepLines/>
        <w:spacing w:after="0" w:line="120" w:lineRule="exact"/>
        <w:rPr>
          <w:sz w:val="10"/>
        </w:rPr>
      </w:pPr>
    </w:p>
    <w:p w:rsidR="00000000" w:rsidRDefault="00000000">
      <w:pPr>
        <w:pStyle w:val="SingleTxt"/>
        <w:keepNext/>
        <w:keepLines/>
      </w:pPr>
      <w:r>
        <w:tab/>
        <w:t>В ноябре 2002 года в Тарту был открыт первый женский приют. Постр</w:t>
      </w:r>
      <w:r>
        <w:t>а</w:t>
      </w:r>
      <w:r>
        <w:t>давшим женщинам предоставляется временное убежище, консультационная и медицинская помощь и информация об услугах, оказываемых различными у</w:t>
      </w:r>
      <w:r>
        <w:t>ч</w:t>
      </w:r>
      <w:r>
        <w:t>ре</w:t>
      </w:r>
      <w:r>
        <w:t>ж</w:t>
      </w:r>
      <w:r>
        <w:t>дениями.</w:t>
      </w:r>
    </w:p>
    <w:p w:rsidR="00000000" w:rsidRDefault="00000000">
      <w:pPr>
        <w:pStyle w:val="SingleTxt"/>
      </w:pPr>
      <w:r>
        <w:tab/>
        <w:t>В 2003 году приют предоставлял ночное убежище 1858 раз (42 женщинам и 21 ребенку). С января по сентябрь 2004 года ночное убежище предоставл</w:t>
      </w:r>
      <w:r>
        <w:t>я</w:t>
      </w:r>
      <w:r>
        <w:t>лось 2632 раза (35 женщ</w:t>
      </w:r>
      <w:r>
        <w:t>и</w:t>
      </w:r>
      <w:r>
        <w:t>нам и 22 детям).</w:t>
      </w:r>
    </w:p>
    <w:p w:rsidR="00000000" w:rsidRDefault="00000000">
      <w:pPr>
        <w:pStyle w:val="SingleTxt"/>
      </w:pPr>
      <w:r>
        <w:tab/>
        <w:t>В конце 2003 года в Таллинне по инициативе неправительственной орг</w:t>
      </w:r>
      <w:r>
        <w:t>а</w:t>
      </w:r>
      <w:r>
        <w:t>низации «Центр эстонских социальных программ» начала работать первая группа оказания помощи же</w:t>
      </w:r>
      <w:r>
        <w:t>н</w:t>
      </w:r>
      <w:r>
        <w:t>щинам. В результате различных учебно-подготовительных мероприятий в Эстонии формируется сеть женских групп оказания помощи. В 2004 году такие группы помощи были созданы в десяти городах.</w:t>
      </w:r>
    </w:p>
    <w:p w:rsidR="00000000" w:rsidRDefault="00000000">
      <w:pPr>
        <w:pStyle w:val="SingleTxt"/>
      </w:pPr>
      <w:r>
        <w:tab/>
        <w:t>В настоящее время в Эстонии действуют группы помощи/приюты для женщин и детей, и в скором времени будут также созданы группы помощи для мужчин, желающих покончить со своим насильственным поведением. В 2004 году были организованы первые семинары для специалистов, которые б</w:t>
      </w:r>
      <w:r>
        <w:t>у</w:t>
      </w:r>
      <w:r>
        <w:t>дут оказывать реабилитационные услуги мужчинам, склонным к совершению насильственных действий. В начале 2005 года в Таллинне начнет работать группа помощи склонным к насилию мужчинам.</w:t>
      </w:r>
    </w:p>
    <w:p w:rsidR="00000000" w:rsidRDefault="00000000">
      <w:pPr>
        <w:pStyle w:val="SingleTxt"/>
      </w:pPr>
      <w:r>
        <w:tab/>
        <w:t>Комитет рекомендовал Эстонии вести борьбу с насилием в отношении женщин. Эстония изучила это явление и повысила осведомленность о нем н</w:t>
      </w:r>
      <w:r>
        <w:t>а</w:t>
      </w:r>
      <w:r>
        <w:t>селения и специальных целевых групп — социальных работников, полиции, медицинских работников, средств массовой информации и женских организ</w:t>
      </w:r>
      <w:r>
        <w:t>а</w:t>
      </w:r>
      <w:r>
        <w:t>ций. Законы стали строже, а действия полиции более решительными. Необх</w:t>
      </w:r>
      <w:r>
        <w:t>о</w:t>
      </w:r>
      <w:r>
        <w:t>димости в отдельном законе о семейно-бытовом насилии нет, поскольку этот вопрос регулируется в Уголовном кодексе, в котором также предусмотрена и защита от семейно-бытового насилия.</w:t>
      </w:r>
    </w:p>
    <w:p w:rsidR="00000000" w:rsidRDefault="00000000">
      <w:pPr>
        <w:pStyle w:val="SingleTxt"/>
      </w:pPr>
      <w:r>
        <w:tab/>
        <w:t>В Эстонии есть возможность применять судебное решения о лишении прав. В случае нарушения запретительного приказа суд может наложить штраф на лицо, прибегающее к насилию, а пострадавший имеет право требовать ко</w:t>
      </w:r>
      <w:r>
        <w:t>м</w:t>
      </w:r>
      <w:r>
        <w:t>пенсации за причиненный ущерб. Что касается сбора доказательств, то Уг</w:t>
      </w:r>
      <w:r>
        <w:t>о</w:t>
      </w:r>
      <w:r>
        <w:t>ловно-процессуальным кодексом предусмотрены для этого специальные пр</w:t>
      </w:r>
      <w:r>
        <w:t>а</w:t>
      </w:r>
      <w:r>
        <w:t>вила. Так, если во время обыска, осмотра или получения следственных мат</w:t>
      </w:r>
      <w:r>
        <w:t>е</w:t>
      </w:r>
      <w:r>
        <w:t>риалов требуется осмотреть тело человека, то сотрудник следственного органа, прокурор и участники процедуры, за исключением медицинского персонала или судебно-медицинского эксперта, должны быть людьми того же пола, что и человек, тело которого осматривается.</w:t>
      </w:r>
    </w:p>
    <w:p w:rsidR="00000000" w:rsidRDefault="00000000">
      <w:pPr>
        <w:pStyle w:val="SingleTxt"/>
        <w:spacing w:after="0" w:line="120" w:lineRule="exact"/>
        <w:rPr>
          <w:sz w:val="10"/>
        </w:rPr>
      </w:pPr>
    </w:p>
    <w:p w:rsidR="00000000" w:rsidRDefault="00000000">
      <w:pPr>
        <w:pStyle w:val="SingleTxt"/>
        <w:rPr>
          <w:b/>
        </w:rPr>
      </w:pPr>
      <w:r>
        <w:rPr>
          <w:b/>
        </w:rPr>
        <w:tab/>
        <w:t>g)</w:t>
      </w:r>
      <w:r>
        <w:rPr>
          <w:b/>
        </w:rPr>
        <w:tab/>
        <w:t>отменить все положения своего уголовного законодательства, кот</w:t>
      </w:r>
      <w:r>
        <w:rPr>
          <w:b/>
        </w:rPr>
        <w:t>о</w:t>
      </w:r>
      <w:r>
        <w:rPr>
          <w:b/>
        </w:rPr>
        <w:t xml:space="preserve">рые представляют собой дискриминацию в отношении женщин. </w:t>
      </w:r>
    </w:p>
    <w:p w:rsidR="00000000" w:rsidRDefault="00000000">
      <w:pPr>
        <w:pStyle w:val="SingleTxt"/>
      </w:pPr>
      <w:r>
        <w:tab/>
        <w:t>Требование обеспечивать равенство и запрещение дискриминации кас</w:t>
      </w:r>
      <w:r>
        <w:t>а</w:t>
      </w:r>
      <w:r>
        <w:t>ются и законодателя. Поэтому Уголовный кодекс составлен в нейтральных с точки зрения пола формулировках, и в нем не проводится различия по призн</w:t>
      </w:r>
      <w:r>
        <w:t>а</w:t>
      </w:r>
      <w:r>
        <w:t>ку пола между пострадавшими и пр</w:t>
      </w:r>
      <w:r>
        <w:t>а</w:t>
      </w:r>
      <w:r>
        <w:t>вонарушителями.</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Государства-участники принимают во всех областях, и в частности в п</w:t>
      </w:r>
      <w:r>
        <w:rPr>
          <w:b/>
        </w:rPr>
        <w:t>о</w:t>
      </w:r>
      <w:r>
        <w:rPr>
          <w:b/>
        </w:rPr>
        <w:t>литической, социальной, экономической и культурной областях, все соо</w:t>
      </w:r>
      <w:r>
        <w:rPr>
          <w:b/>
        </w:rPr>
        <w:t>т</w:t>
      </w:r>
      <w:r>
        <w:rPr>
          <w:b/>
        </w:rPr>
        <w:t>ветствующие меры, включая законодательные, для обеспечения всест</w:t>
      </w:r>
      <w:r>
        <w:rPr>
          <w:b/>
        </w:rPr>
        <w:t>о</w:t>
      </w:r>
      <w:r>
        <w:rPr>
          <w:b/>
        </w:rPr>
        <w:t>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w:t>
      </w:r>
      <w:r>
        <w:rPr>
          <w:b/>
        </w:rPr>
        <w:t>и</w:t>
      </w:r>
      <w:r>
        <w:rPr>
          <w:b/>
        </w:rPr>
        <w:t>нами.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Департамент по вопросам гендерного равенства в министерстве социальных дел</w:t>
      </w:r>
    </w:p>
    <w:p w:rsidR="00000000" w:rsidRDefault="00000000">
      <w:pPr>
        <w:pStyle w:val="SingleTxt"/>
        <w:spacing w:after="0" w:line="120" w:lineRule="exact"/>
        <w:rPr>
          <w:sz w:val="10"/>
        </w:rPr>
      </w:pPr>
    </w:p>
    <w:p w:rsidR="00000000" w:rsidRDefault="00000000">
      <w:pPr>
        <w:pStyle w:val="SingleTxt"/>
      </w:pPr>
      <w:r>
        <w:tab/>
        <w:t>Комитет выразил озабоченность по поводу незначительной эффективн</w:t>
      </w:r>
      <w:r>
        <w:t>о</w:t>
      </w:r>
      <w:r>
        <w:t>сти бюро по гендерному равенству. В связи с этим мы рады отметить, что с 1 января 2004 года бюро по гендерному равенству было реорганизовано в д</w:t>
      </w:r>
      <w:r>
        <w:t>е</w:t>
      </w:r>
      <w:r>
        <w:t>партамент по вопросам гендерного равенства. С 2004 года в этом департаменте пять штатных должностей.</w:t>
      </w:r>
    </w:p>
    <w:p w:rsidR="00000000" w:rsidRDefault="00000000">
      <w:pPr>
        <w:pStyle w:val="SingleTxt"/>
      </w:pPr>
      <w:r>
        <w:tab/>
        <w:t>Деятельность департамента по вопросам гендерного равенства регулир</w:t>
      </w:r>
      <w:r>
        <w:t>у</w:t>
      </w:r>
      <w:r>
        <w:t>ется постановлением министра социальных дел от 4 мая 2004 года, согласно которому в основные обязанности департамента входит подготовка законопр</w:t>
      </w:r>
      <w:r>
        <w:t>о</w:t>
      </w:r>
      <w:r>
        <w:t>ектов по вопросам гендерного равенства, планирование мер по сокращению неравенства и координация работы по осущ</w:t>
      </w:r>
      <w:r>
        <w:t>е</w:t>
      </w:r>
      <w:r>
        <w:t>ствлению этих мер.</w:t>
      </w:r>
    </w:p>
    <w:p w:rsidR="00000000" w:rsidRDefault="00000000">
      <w:pPr>
        <w:pStyle w:val="SingleTxt"/>
      </w:pPr>
      <w:r>
        <w:tab/>
        <w:t>К обязанностям департамента также относится проведение анализа пол</w:t>
      </w:r>
      <w:r>
        <w:t>о</w:t>
      </w:r>
      <w:r>
        <w:t>жения женщин и мужчин в различных сферах жизни общества и подготовка рекомендаций и руководств, направленных на сокращение неравенства между мужчинами и женщинами. Департамент по вопросам гендерного равенства и</w:t>
      </w:r>
      <w:r>
        <w:t>н</w:t>
      </w:r>
      <w:r>
        <w:t>формирует заинтересованные группы о различных инициативах и принимает участие в обсуждении их ожидаемых результатов и воздейс</w:t>
      </w:r>
      <w:r>
        <w:t>т</w:t>
      </w:r>
      <w:r>
        <w:t>вия.</w:t>
      </w:r>
    </w:p>
    <w:p w:rsidR="00000000" w:rsidRDefault="00000000">
      <w:pPr>
        <w:pStyle w:val="SingleTxt"/>
      </w:pPr>
      <w:r>
        <w:tab/>
        <w:t>Департамент также обязан информировать правительство и государстве</w:t>
      </w:r>
      <w:r>
        <w:t>н</w:t>
      </w:r>
      <w:r>
        <w:t>ные учреждения, местные органы власти и другие заинтересованные лица об осуществлении мер, направленных на устранение дискриминации в отношении женщин и сокращение социального расслоения в обществе.</w:t>
      </w:r>
    </w:p>
    <w:p w:rsidR="00000000" w:rsidRDefault="00000000">
      <w:pPr>
        <w:pStyle w:val="SingleTxt"/>
      </w:pPr>
      <w:r>
        <w:tab/>
        <w:t>В феврале 2005 года Эстония представила Организации Объединенных Наций доклад об осуществлении Пекинской декларации, который был подг</w:t>
      </w:r>
      <w:r>
        <w:t>о</w:t>
      </w:r>
      <w:r>
        <w:t>товлен департаментом по вопросам гендерного равенства министерства соц</w:t>
      </w:r>
      <w:r>
        <w:t>и</w:t>
      </w:r>
      <w:r>
        <w:t>альных дел.</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Совет по вопросам гендерного равенства</w:t>
      </w:r>
    </w:p>
    <w:p w:rsidR="00000000" w:rsidRDefault="00000000">
      <w:pPr>
        <w:pStyle w:val="SingleTxt"/>
        <w:spacing w:after="0" w:line="120" w:lineRule="exact"/>
        <w:rPr>
          <w:sz w:val="10"/>
        </w:rPr>
      </w:pPr>
    </w:p>
    <w:p w:rsidR="00000000" w:rsidRDefault="00000000">
      <w:pPr>
        <w:pStyle w:val="SingleTxt"/>
      </w:pPr>
      <w:r>
        <w:tab/>
        <w:t>В соответствии с Законом о равноправии мужчин и женщин будет создан совет по вопросам гендерного равенства. Статут совета в настоящее время н</w:t>
      </w:r>
      <w:r>
        <w:t>а</w:t>
      </w:r>
      <w:r>
        <w:t>ходится на утверждении в правительстве.</w:t>
      </w:r>
    </w:p>
    <w:p w:rsidR="00000000" w:rsidRDefault="00000000">
      <w:pPr>
        <w:pStyle w:val="SingleTxt"/>
      </w:pPr>
      <w:r>
        <w:tab/>
        <w:t>Совет является коллегиальным консультативным органом, действующим под руководством министерства социальных дел. Состав совета утверждается правительством. Совет по вопросам гендерного равенства утверждает общие принципы политики обеспечения гендерного равенства, консультирует прав</w:t>
      </w:r>
      <w:r>
        <w:t>и</w:t>
      </w:r>
      <w:r>
        <w:t>тельство по вопросам стратегии содействия обеспечению гендерного равенства и доводит до сведения правительства свою позицию относительно соответс</w:t>
      </w:r>
      <w:r>
        <w:t>т</w:t>
      </w:r>
      <w:r>
        <w:t>вия представленных министерствами национальных программ Закону о равн</w:t>
      </w:r>
      <w:r>
        <w:t>о</w:t>
      </w:r>
      <w:r>
        <w:t>правии мужчин и женщин.</w:t>
      </w:r>
    </w:p>
    <w:p w:rsidR="00000000" w:rsidRDefault="00000000">
      <w:pPr>
        <w:pStyle w:val="SingleTxt"/>
      </w:pPr>
      <w:r>
        <w:tab/>
        <w:t>Эту последнюю задачу совет выполняет в сотрудничестве с департаме</w:t>
      </w:r>
      <w:r>
        <w:t>н</w:t>
      </w:r>
      <w:r>
        <w:t>том по вопросам гендерного равенства министерства социальных дел.</w:t>
      </w:r>
    </w:p>
    <w:p w:rsidR="00000000" w:rsidRDefault="00000000">
      <w:pPr>
        <w:pStyle w:val="SingleTxt"/>
      </w:pPr>
      <w:r>
        <w:tab/>
        <w:t>На основе национальных статистических данных, результатах обследов</w:t>
      </w:r>
      <w:r>
        <w:t>а</w:t>
      </w:r>
      <w:r>
        <w:t>ний и аналитических материалов (боле подробно освещаемых в разделе, п</w:t>
      </w:r>
      <w:r>
        <w:t>о</w:t>
      </w:r>
      <w:r>
        <w:t>священном статье 5) можно сделать вывод о том, что для эстонского общества характерна традиционная гендерная система, иначе говоря, наличие традиц</w:t>
      </w:r>
      <w:r>
        <w:t>и</w:t>
      </w:r>
      <w:r>
        <w:t>онного разделения труда и разделения видов работ на рынке труда на так наз</w:t>
      </w:r>
      <w:r>
        <w:t>ы</w:t>
      </w:r>
      <w:r>
        <w:t>ваемые мужские и женские, практика в области найма и оплаты труда, дискр</w:t>
      </w:r>
      <w:r>
        <w:t>и</w:t>
      </w:r>
      <w:r>
        <w:t>минирующая женщин, низкая представленность женщин в политических и экономических директивных органах, более короткая продолжительность жи</w:t>
      </w:r>
      <w:r>
        <w:t>з</w:t>
      </w:r>
      <w:r>
        <w:t>ни мужчин и их ограниченное участие в выполнении обязанностей в семье и так д</w:t>
      </w:r>
      <w:r>
        <w:t>а</w:t>
      </w:r>
      <w:r>
        <w:t>лее.</w:t>
      </w:r>
    </w:p>
    <w:p w:rsidR="00000000" w:rsidRDefault="00000000">
      <w:pPr>
        <w:pStyle w:val="SingleTxt"/>
      </w:pPr>
      <w:r>
        <w:tab/>
        <w:t>Причины такого широко распространенного неравенства следует главным образом искать в традиционном отношении к роли полов и стереотипных взглядах, согласно которым задатки и навыки женщин и мужчин являются врожденными, а не приобретенными. Такая предвзятость по отношению к женщинам способствует сохранению дискриминационных воззрений и больше всего ограничивает участие женщин в общественной, экономической и пол</w:t>
      </w:r>
      <w:r>
        <w:t>и</w:t>
      </w:r>
      <w:r>
        <w:t>тической жизни.</w:t>
      </w:r>
    </w:p>
    <w:p w:rsidR="00000000" w:rsidRDefault="00000000">
      <w:pPr>
        <w:pStyle w:val="SingleTxt"/>
      </w:pPr>
      <w:r>
        <w:tab/>
        <w:t>Можно сказать, что в обществе по-прежнему сохраняется сопротивление улучшению социальной представленности женщин за счет введения системы квот, и такое сопротивление можно наблюдать в среде политической элиты, а также в общественном мнении и у самих женских организаций.</w:t>
      </w:r>
    </w:p>
    <w:p w:rsidR="00000000" w:rsidRDefault="00000000">
      <w:pPr>
        <w:pStyle w:val="SingleTxt"/>
      </w:pPr>
      <w:r>
        <w:tab/>
        <w:t>Министерство социальных дел инициировало и координирует реализацию программ и проектов содействия достижению гендерного равноправия и с</w:t>
      </w:r>
      <w:r>
        <w:t>о</w:t>
      </w:r>
      <w:r>
        <w:t>кращению неравенства, которые главным образом направлены на информир</w:t>
      </w:r>
      <w:r>
        <w:t>о</w:t>
      </w:r>
      <w:r>
        <w:t>вание и просвещение населения и целевых групп, подготовку и распростран</w:t>
      </w:r>
      <w:r>
        <w:t>е</w:t>
      </w:r>
      <w:r>
        <w:t>ние соответствующих материалов, увеличение административной способности государственных учреждений замечать дискриминацию в отношении женщин и с</w:t>
      </w:r>
      <w:r>
        <w:t>о</w:t>
      </w:r>
      <w:r>
        <w:t>кращать гендерное неравенство.</w:t>
      </w:r>
    </w:p>
    <w:p w:rsidR="00000000" w:rsidRDefault="00000000">
      <w:pPr>
        <w:pStyle w:val="SingleTxt"/>
      </w:pPr>
      <w:r>
        <w:tab/>
        <w:t>По инициативе правительства проводятся исследования об использовании времени женщинами и мужчинами, об освещении проблем гендерного раве</w:t>
      </w:r>
      <w:r>
        <w:t>н</w:t>
      </w:r>
      <w:r>
        <w:t>ства в средствах массовой информации и о проблемах нищеты и социальной отве</w:t>
      </w:r>
      <w:r>
        <w:t>р</w:t>
      </w:r>
      <w:r>
        <w:t>женности.</w:t>
      </w:r>
    </w:p>
    <w:p w:rsidR="00000000" w:rsidRDefault="00000000">
      <w:pPr>
        <w:pStyle w:val="SingleTxt"/>
      </w:pPr>
      <w:r>
        <w:tab/>
        <w:t>В 2000 году на эстонский язык было переведено и опубликовано издание МОТ “</w:t>
      </w:r>
      <w:r>
        <w:rPr>
          <w:lang w:val="en-US"/>
        </w:rPr>
        <w:t>ABC</w:t>
      </w:r>
      <w:r>
        <w:t xml:space="preserve"> </w:t>
      </w:r>
      <w:r>
        <w:rPr>
          <w:lang w:val="en-US"/>
        </w:rPr>
        <w:t>of</w:t>
      </w:r>
      <w:r>
        <w:t xml:space="preserve"> </w:t>
      </w:r>
      <w:r>
        <w:rPr>
          <w:lang w:val="en-US"/>
        </w:rPr>
        <w:t>women</w:t>
      </w:r>
      <w:r>
        <w:t xml:space="preserve"> </w:t>
      </w:r>
      <w:r>
        <w:rPr>
          <w:lang w:val="en-US"/>
        </w:rPr>
        <w:t>workers</w:t>
      </w:r>
      <w:r>
        <w:t xml:space="preserve">’ </w:t>
      </w:r>
      <w:r>
        <w:rPr>
          <w:lang w:val="en-US"/>
        </w:rPr>
        <w:t>rights</w:t>
      </w:r>
      <w:r>
        <w:t xml:space="preserve"> </w:t>
      </w:r>
      <w:r>
        <w:rPr>
          <w:lang w:val="en-US"/>
        </w:rPr>
        <w:t>and</w:t>
      </w:r>
      <w:r>
        <w:t xml:space="preserve"> </w:t>
      </w:r>
      <w:r>
        <w:rPr>
          <w:lang w:val="en-US"/>
        </w:rPr>
        <w:t>gender</w:t>
      </w:r>
      <w:r>
        <w:t xml:space="preserve"> </w:t>
      </w:r>
      <w:r>
        <w:rPr>
          <w:lang w:val="en-US"/>
        </w:rPr>
        <w:t>equality</w:t>
      </w:r>
      <w:r>
        <w:t>” («Азбука прав труд</w:t>
      </w:r>
      <w:r>
        <w:t>я</w:t>
      </w:r>
      <w:r>
        <w:t>щихся-женщин и гендерное равенство»). В сотрудничестве с Фондом Орган</w:t>
      </w:r>
      <w:r>
        <w:t>и</w:t>
      </w:r>
      <w:r>
        <w:t>зации Объединенных Наций в области народонаселения в 2003 году было опубликовано исследование «Разные, но равные», в котором дается краткий и ясный обзор основных понятий и проблем, касающихся равенства между же</w:t>
      </w:r>
      <w:r>
        <w:t>н</w:t>
      </w:r>
      <w:r>
        <w:t>щинами и мужчинами. Это издание используется различными учреждениями для организации общих учебно-подготовительных программ, а также спец</w:t>
      </w:r>
      <w:r>
        <w:t>и</w:t>
      </w:r>
      <w:r>
        <w:t>альных тем</w:t>
      </w:r>
      <w:r>
        <w:t>а</w:t>
      </w:r>
      <w:r>
        <w:t>тических курсов.</w:t>
      </w:r>
    </w:p>
    <w:p w:rsidR="00000000" w:rsidRDefault="00000000">
      <w:pPr>
        <w:pStyle w:val="SingleTxt"/>
      </w:pPr>
      <w:r>
        <w:tab/>
        <w:t>Чтобы увеличить долю женщин старшего поколения на рынке труда, эк</w:t>
      </w:r>
      <w:r>
        <w:t>с</w:t>
      </w:r>
      <w:r>
        <w:t>пертом МОТ было подготовлено учебное пособие по сокращению дискрим</w:t>
      </w:r>
      <w:r>
        <w:t>и</w:t>
      </w:r>
      <w:r>
        <w:t>нации по признаку возраста. Этот материал может использоваться в обучении сотрудн</w:t>
      </w:r>
      <w:r>
        <w:t>и</w:t>
      </w:r>
      <w:r>
        <w:t>ков бюро по трудоустройству и представителей работодателей.</w:t>
      </w:r>
    </w:p>
    <w:p w:rsidR="00000000" w:rsidRDefault="00000000">
      <w:pPr>
        <w:pStyle w:val="SingleTxt"/>
      </w:pPr>
      <w:r>
        <w:tab/>
        <w:t>В 2002 году Эстония присоединилась к рамочной программе Европейск</w:t>
      </w:r>
      <w:r>
        <w:t>о</w:t>
      </w:r>
      <w:r>
        <w:t>го союза, которая используется для претворения в жизнь стратегии Европе</w:t>
      </w:r>
      <w:r>
        <w:t>й</w:t>
      </w:r>
      <w:r>
        <w:t>ского сообщества по вопросам равенства мужчин и женщин (2001–2005 годы). На базе этой программы в Эстонии осуществляются координируемые мин</w:t>
      </w:r>
      <w:r>
        <w:t>и</w:t>
      </w:r>
      <w:r>
        <w:t>стерством социальных дел проекты, которые предусматривают разработку и распространение руководящих принципов оценки влияния различных мер на положение женщин, оказание поддержки карьерному росту женщин в частном секторе и преодоление стереотипного изображения женщин в средствах масс</w:t>
      </w:r>
      <w:r>
        <w:t>о</w:t>
      </w:r>
      <w:r>
        <w:t>вой и</w:t>
      </w:r>
      <w:r>
        <w:t>н</w:t>
      </w:r>
      <w:r>
        <w:t>формации.</w:t>
      </w:r>
    </w:p>
    <w:p w:rsidR="00000000" w:rsidRDefault="00000000">
      <w:pPr>
        <w:pStyle w:val="SingleTxt"/>
      </w:pPr>
      <w:r>
        <w:tab/>
        <w:t>В руководящих принципах, подготовленных министерством социальных дел («Оценка воздействия — гендерный аспект»), приводится перечень име</w:t>
      </w:r>
      <w:r>
        <w:t>ю</w:t>
      </w:r>
      <w:r>
        <w:t>щих обязательную юридическую силу документов, в которых содержатся но</w:t>
      </w:r>
      <w:r>
        <w:t>р</w:t>
      </w:r>
      <w:r>
        <w:t>мы содействия гендерному равенству, прежде всего для учета принципов ге</w:t>
      </w:r>
      <w:r>
        <w:t>н</w:t>
      </w:r>
      <w:r>
        <w:t>дерного равенства в различных видах политики и мер. Эти принципы могут использоваться для анализа положения женщин и мужчин на национальном и местном уровнях.</w:t>
      </w:r>
    </w:p>
    <w:p w:rsidR="00000000" w:rsidRDefault="00000000">
      <w:pPr>
        <w:pStyle w:val="SingleTxt"/>
      </w:pPr>
      <w:r>
        <w:tab/>
        <w:t>На основе проекта «Женщин — в руководство», которым предусматрив</w:t>
      </w:r>
      <w:r>
        <w:t>а</w:t>
      </w:r>
      <w:r>
        <w:t>ется оказание помощи карьерному росту женщин, в пяти частных компаниях в Эстонии началась реализация наставнических программ, и в настоящее время осуществляется перевод издания по вопросам теории организации, освеща</w:t>
      </w:r>
      <w:r>
        <w:t>е</w:t>
      </w:r>
      <w:r>
        <w:t>мой с феминистской точки зрения. Этот проект осуществляется в сотруднич</w:t>
      </w:r>
      <w:r>
        <w:t>е</w:t>
      </w:r>
      <w:r>
        <w:t>стве со шведским, датским и греческим учреждениями по вопросам гендерного равенства.</w:t>
      </w:r>
    </w:p>
    <w:p w:rsidR="00000000" w:rsidRDefault="00000000">
      <w:pPr>
        <w:pStyle w:val="SingleTxt"/>
      </w:pPr>
      <w:r>
        <w:tab/>
        <w:t>В сотрудничестве с Латвией, Данией и Италией начато осуществление проекта «Роль средств массовой информации в (пере)распределении власти», в рамках которого анализируется практика средств массовой информации в о</w:t>
      </w:r>
      <w:r>
        <w:t>с</w:t>
      </w:r>
      <w:r>
        <w:t>вещении жизни и деятельности женщин-политиков и отношение самих же</w:t>
      </w:r>
      <w:r>
        <w:t>н</w:t>
      </w:r>
      <w:r>
        <w:t>щин-политиков к своему имиджу.</w:t>
      </w:r>
    </w:p>
    <w:p w:rsidR="00000000" w:rsidRDefault="00000000">
      <w:pPr>
        <w:pStyle w:val="SingleTxt"/>
      </w:pPr>
      <w:r>
        <w:tab/>
        <w:t>В июле 2004 года было начато осуществление партнерского проекта PHARE 2003 под названием «Улучшение деятельности государственных адм</w:t>
      </w:r>
      <w:r>
        <w:t>и</w:t>
      </w:r>
      <w:r>
        <w:t>нистративных органов по актуализации гендерного равенства». Этим проектом предусматривается включение тематики равенства мужчин и женщин в уче</w:t>
      </w:r>
      <w:r>
        <w:t>б</w:t>
      </w:r>
      <w:r>
        <w:t>ные программы высших учебных заведений и создание виртуального центра знаний — базы данных/веб-страницы по вопросам гендерного равенства. В рамках этого проекта обучение в основном будет предназначено для препод</w:t>
      </w:r>
      <w:r>
        <w:t>а</w:t>
      </w:r>
      <w:r>
        <w:t>вателей и трехсот государственных служащих, и будут составлены стратегии об</w:t>
      </w:r>
      <w:r>
        <w:t>у</w:t>
      </w:r>
      <w:r>
        <w:t>чения.</w:t>
      </w:r>
    </w:p>
    <w:p w:rsidR="00000000" w:rsidRDefault="00000000">
      <w:pPr>
        <w:pStyle w:val="SingleTxt"/>
      </w:pPr>
      <w:r>
        <w:tab/>
        <w:t>За время, прошедшее после представления Эстонией последнего доклада, количество учреждений, занимающихся вопросами содействия обеспечению равенства женщин и мужчин, возросло. В 2004 году была сформирована раб</w:t>
      </w:r>
      <w:r>
        <w:t>о</w:t>
      </w:r>
      <w:r>
        <w:t>чая группа по вопросам равенства женщин и мужчин, которая занимается пр</w:t>
      </w:r>
      <w:r>
        <w:t>и</w:t>
      </w:r>
      <w:r>
        <w:t>менением законодательства Европейского союза о гендерном равенстве на н</w:t>
      </w:r>
      <w:r>
        <w:t>а</w:t>
      </w:r>
      <w:r>
        <w:t>ци</w:t>
      </w:r>
      <w:r>
        <w:t>о</w:t>
      </w:r>
      <w:r>
        <w:t>нальном уровне.</w:t>
      </w:r>
    </w:p>
    <w:p w:rsidR="00000000" w:rsidRDefault="00000000">
      <w:pPr>
        <w:pStyle w:val="SingleTxt"/>
      </w:pPr>
      <w:r>
        <w:tab/>
        <w:t>Приказом правительства от 27 ноября 2003 года был создан межведомс</w:t>
      </w:r>
      <w:r>
        <w:t>т</w:t>
      </w:r>
      <w:r>
        <w:t>венный комитет по содействию обеспечению гендерного равенства. В задачи этого комитета входит составление стратегического плана ликвидации нер</w:t>
      </w:r>
      <w:r>
        <w:t>а</w:t>
      </w:r>
      <w:r>
        <w:t>венства между женщинами и мужчинами и включение тематики равенства в планы действий, программы и проекты государственных учреждений. Этот к</w:t>
      </w:r>
      <w:r>
        <w:t>о</w:t>
      </w:r>
      <w:r>
        <w:t>митет также выносит рекомендации относительно реализации разработанных мер в различных областях.</w:t>
      </w:r>
    </w:p>
    <w:p w:rsidR="00000000" w:rsidRDefault="00000000">
      <w:pPr>
        <w:pStyle w:val="SingleTxt"/>
      </w:pPr>
      <w:r>
        <w:tab/>
        <w:t>В период подготовки настоящего доклада с женскими организациями проводились консультации относительно составления основного документа по политике обеспечения равенства женщин и мужчин, в котором предусматрив</w:t>
      </w:r>
      <w:r>
        <w:t>а</w:t>
      </w:r>
      <w:r>
        <w:t>ется деятельность по следующим направлениям:</w:t>
      </w:r>
    </w:p>
    <w:p w:rsidR="00000000" w:rsidRDefault="00000000">
      <w:pPr>
        <w:pStyle w:val="SingleTxt"/>
        <w:tabs>
          <w:tab w:val="right" w:pos="1685"/>
        </w:tabs>
        <w:ind w:left="1742" w:hanging="475"/>
      </w:pPr>
      <w:r>
        <w:tab/>
        <w:t>•</w:t>
      </w:r>
      <w:r>
        <w:tab/>
        <w:t>равная представленность женщин и мужчин в политике и директивных орг</w:t>
      </w:r>
      <w:r>
        <w:t>а</w:t>
      </w:r>
      <w:r>
        <w:t>нах;</w:t>
      </w:r>
    </w:p>
    <w:p w:rsidR="00000000" w:rsidRDefault="00000000">
      <w:pPr>
        <w:pStyle w:val="SingleTxt"/>
        <w:tabs>
          <w:tab w:val="right" w:pos="1685"/>
        </w:tabs>
        <w:ind w:left="1742" w:hanging="475"/>
      </w:pPr>
      <w:r>
        <w:tab/>
        <w:t>•</w:t>
      </w:r>
      <w:r>
        <w:tab/>
        <w:t>горизонтальная и вертикальная сегрегация по признаку пола на рынке труда и ра</w:t>
      </w:r>
      <w:r>
        <w:t>в</w:t>
      </w:r>
      <w:r>
        <w:t>ное вознаграждение за равный труд;</w:t>
      </w:r>
    </w:p>
    <w:p w:rsidR="00000000" w:rsidRDefault="00000000">
      <w:pPr>
        <w:pStyle w:val="SingleTxt"/>
        <w:tabs>
          <w:tab w:val="right" w:pos="1685"/>
        </w:tabs>
        <w:ind w:left="1742" w:hanging="475"/>
      </w:pPr>
      <w:r>
        <w:tab/>
        <w:t>•</w:t>
      </w:r>
      <w:r>
        <w:tab/>
        <w:t>положение женщин и мужчин в экономике и бизнесе;</w:t>
      </w:r>
    </w:p>
    <w:p w:rsidR="00000000" w:rsidRDefault="00000000">
      <w:pPr>
        <w:pStyle w:val="SingleTxt"/>
        <w:tabs>
          <w:tab w:val="right" w:pos="1685"/>
        </w:tabs>
        <w:ind w:left="1742" w:hanging="475"/>
      </w:pPr>
      <w:r>
        <w:tab/>
        <w:t>•</w:t>
      </w:r>
      <w:r>
        <w:tab/>
        <w:t>сегрегация по признаку пола и гендерные стереотипы в образовании и науке;</w:t>
      </w:r>
    </w:p>
    <w:p w:rsidR="00000000" w:rsidRDefault="00000000">
      <w:pPr>
        <w:pStyle w:val="SingleTxt"/>
        <w:tabs>
          <w:tab w:val="right" w:pos="1685"/>
        </w:tabs>
        <w:ind w:left="1742" w:hanging="475"/>
      </w:pPr>
      <w:r>
        <w:tab/>
        <w:t>•</w:t>
      </w:r>
      <w:r>
        <w:tab/>
        <w:t>насилие в отношении женщин и торговля людьми;</w:t>
      </w:r>
    </w:p>
    <w:p w:rsidR="00000000" w:rsidRDefault="00000000">
      <w:pPr>
        <w:pStyle w:val="SingleTxt"/>
        <w:tabs>
          <w:tab w:val="right" w:pos="1685"/>
        </w:tabs>
        <w:ind w:left="1742" w:hanging="475"/>
      </w:pPr>
      <w:r>
        <w:tab/>
        <w:t>•</w:t>
      </w:r>
      <w:r>
        <w:tab/>
        <w:t>здоровье и стиль жизни женщин и мужчин;</w:t>
      </w:r>
    </w:p>
    <w:p w:rsidR="00000000" w:rsidRDefault="00000000">
      <w:pPr>
        <w:pStyle w:val="SingleTxt"/>
        <w:tabs>
          <w:tab w:val="right" w:pos="1685"/>
        </w:tabs>
        <w:ind w:left="1742" w:hanging="475"/>
      </w:pPr>
      <w:r>
        <w:tab/>
        <w:t>•</w:t>
      </w:r>
      <w:r>
        <w:tab/>
        <w:t>отражение ролей женщин и мужчин в средствах массовой информации и кул</w:t>
      </w:r>
      <w:r>
        <w:t>ь</w:t>
      </w:r>
      <w:r>
        <w:t>туре;</w:t>
      </w:r>
    </w:p>
    <w:p w:rsidR="00000000" w:rsidRDefault="00000000">
      <w:pPr>
        <w:pStyle w:val="SingleTxt"/>
        <w:tabs>
          <w:tab w:val="right" w:pos="1685"/>
        </w:tabs>
        <w:ind w:left="1742" w:hanging="475"/>
      </w:pPr>
      <w:r>
        <w:tab/>
        <w:t>•</w:t>
      </w:r>
      <w:r>
        <w:tab/>
        <w:t>деятельность государственных административных органов по обеспеч</w:t>
      </w:r>
      <w:r>
        <w:t>е</w:t>
      </w:r>
      <w:r>
        <w:t>нию гендерного равенства.</w:t>
      </w:r>
    </w:p>
    <w:p w:rsidR="00000000" w:rsidRDefault="00000000">
      <w:pPr>
        <w:pStyle w:val="SingleTxt"/>
      </w:pPr>
      <w:r>
        <w:tab/>
        <w:t>В 2003 году эстонские женские организации сформировали два объедин</w:t>
      </w:r>
      <w:r>
        <w:t>е</w:t>
      </w:r>
      <w:r>
        <w:t>ния — Круглый стол женских организаций Эстонии, в который вошли почти все региональные женские организации «круглого стола», Ассоциация сел</w:t>
      </w:r>
      <w:r>
        <w:t>ь</w:t>
      </w:r>
      <w:r>
        <w:t>ских женщин Эстонии, Союз эстонских женщин и Эстонская женская сеть с</w:t>
      </w:r>
      <w:r>
        <w:t>о</w:t>
      </w:r>
      <w:r>
        <w:t>трудничества, объединяющая в основном женские организации политических партий и высокопоставленных женщин-политиков. Круглый стол женских о</w:t>
      </w:r>
      <w:r>
        <w:t>р</w:t>
      </w:r>
      <w:r>
        <w:t>ганизаций Эстонии объединяет примерно 180 организаций. Среди других о</w:t>
      </w:r>
      <w:r>
        <w:t>р</w:t>
      </w:r>
      <w:r>
        <w:t>ганизаций можно отметить также входящие в Круглый стол женские организ</w:t>
      </w:r>
      <w:r>
        <w:t>а</w:t>
      </w:r>
      <w:r>
        <w:t xml:space="preserve">ции трех политических партий (Союза «Отечество» — Pro Patria, Объединения «За Республику» — </w:t>
      </w:r>
      <w:r>
        <w:rPr>
          <w:lang w:val="en-US"/>
        </w:rPr>
        <w:t>Res</w:t>
      </w:r>
      <w:r>
        <w:t xml:space="preserve"> </w:t>
      </w:r>
      <w:r>
        <w:rPr>
          <w:lang w:val="en-US"/>
        </w:rPr>
        <w:t>Publica</w:t>
      </w:r>
      <w:r>
        <w:t xml:space="preserve"> и Социал-демократической партии).</w:t>
      </w:r>
    </w:p>
    <w:p w:rsidR="00000000" w:rsidRDefault="00000000">
      <w:pPr>
        <w:pStyle w:val="SingleTxt"/>
      </w:pPr>
      <w:r>
        <w:tab/>
        <w:t>Женская ассоциация Рийгикогу, Круглый стол женских организаций пол</w:t>
      </w:r>
      <w:r>
        <w:t>и</w:t>
      </w:r>
      <w:r>
        <w:t>тических партий, Женский учебно-подготовительный центр, Гражданский учебно-подготовительный центр, женские научно-исследовательские центры в Тартуском университете и Таллиннском педагогическом университете и Эсто</w:t>
      </w:r>
      <w:r>
        <w:t>н</w:t>
      </w:r>
      <w:r>
        <w:t>ский женский научно-исследовательский и информационный центр направл</w:t>
      </w:r>
      <w:r>
        <w:t>я</w:t>
      </w:r>
      <w:r>
        <w:t>ют свою деятельность на формирование у женщин самосознания и изменение господствующих в обществе традиционных воззрений. Эта деятельность дает хорошие результаты. Все упомянутые выше организации были особенно а</w:t>
      </w:r>
      <w:r>
        <w:t>к</w:t>
      </w:r>
      <w:r>
        <w:t>тивными в период обсуждения в Рийгикогу Закона о равноправии мужчин и женщин; они организовывали встречи с членами Рийгикогу, направляли совм</w:t>
      </w:r>
      <w:r>
        <w:t>е</w:t>
      </w:r>
      <w:r>
        <w:t>стные заявления парламентским группам и выступали в средствах массовой информации.</w:t>
      </w:r>
    </w:p>
    <w:p w:rsidR="00000000" w:rsidRDefault="00000000">
      <w:pPr>
        <w:pStyle w:val="SingleTxt"/>
      </w:pPr>
      <w:r>
        <w:tab/>
        <w:t>Для модернизации общества необходимо, чтобы все понимали причины и следствия гендерного неравенства. Повысить понимание женщинами этих пр</w:t>
      </w:r>
      <w:r>
        <w:t>о</w:t>
      </w:r>
      <w:r>
        <w:t>блем можно с помощью учебно-подготовительных программ и сети женского сотрудничества, которой оказывается финансовая поддержка со стороны гос</w:t>
      </w:r>
      <w:r>
        <w:t>у</w:t>
      </w:r>
      <w:r>
        <w:t>дарства. Этому может также содействовать международное сотрудничество. Однако ясно также, что для изменения системы ценностей и воззрений потр</w:t>
      </w:r>
      <w:r>
        <w:t>е</w:t>
      </w:r>
      <w:r>
        <w:t>буется время.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1.</w:t>
      </w:r>
      <w:r>
        <w:rPr>
          <w:b/>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w:t>
      </w:r>
      <w:r>
        <w:rPr>
          <w:b/>
        </w:rPr>
        <w:t>е</w:t>
      </w:r>
      <w:r>
        <w:rPr>
          <w:b/>
        </w:rPr>
        <w:t>ли равенства возможностей и равноправного отношения.</w:t>
      </w:r>
    </w:p>
    <w:p w:rsidR="00000000" w:rsidRDefault="00000000">
      <w:pPr>
        <w:pStyle w:val="SingleTxt"/>
      </w:pPr>
      <w:r>
        <w:tab/>
        <w:t>Эстония не разрабатывала отдельного закона о временных специальных мерах, рекомендованного Комитетом. В Законе о равноправии мужчин и же</w:t>
      </w:r>
      <w:r>
        <w:t>н</w:t>
      </w:r>
      <w:r>
        <w:t>щин уже содержится ряд специальных мер.</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Квоты</w:t>
      </w:r>
    </w:p>
    <w:p w:rsidR="00000000" w:rsidRDefault="00000000">
      <w:pPr>
        <w:pStyle w:val="SingleTxt"/>
        <w:spacing w:after="0" w:line="120" w:lineRule="exact"/>
        <w:rPr>
          <w:sz w:val="10"/>
        </w:rPr>
      </w:pPr>
    </w:p>
    <w:p w:rsidR="00000000" w:rsidRDefault="00000000">
      <w:pPr>
        <w:pStyle w:val="SingleTxt"/>
      </w:pPr>
      <w:r>
        <w:tab/>
        <w:t>В Эстонии проводились обследования по вопросу об отношении насел</w:t>
      </w:r>
      <w:r>
        <w:t>е</w:t>
      </w:r>
      <w:r>
        <w:t>ния к использованию системы квот для увеличения доли женщин в парламенте и советах местного самоуправления. Согласно проведенному в 2002 году опр</w:t>
      </w:r>
      <w:r>
        <w:t>о</w:t>
      </w:r>
      <w:r>
        <w:t xml:space="preserve">су общественного мнения, 37 процентов эстонцев поддерживают введение для этого системы квот. 41 процент выступает против этого. Среди сторонников системы квот женщины составляют 63 процента. Среди тех, кто против такой системы, женщин 43 процента (Marti </w:t>
      </w:r>
      <w:r>
        <w:rPr>
          <w:lang w:val="en-US"/>
        </w:rPr>
        <w:t>Taru</w:t>
      </w:r>
      <w:r>
        <w:t xml:space="preserve">, </w:t>
      </w:r>
      <w:r>
        <w:rPr>
          <w:lang w:val="en-US"/>
        </w:rPr>
        <w:t>Rein</w:t>
      </w:r>
      <w:r>
        <w:t xml:space="preserve"> </w:t>
      </w:r>
      <w:r>
        <w:rPr>
          <w:lang w:val="en-US"/>
        </w:rPr>
        <w:t>Toomla</w:t>
      </w:r>
      <w:r>
        <w:t xml:space="preserve">, </w:t>
      </w:r>
      <w:r>
        <w:rPr>
          <w:i/>
          <w:lang w:val="en-US"/>
        </w:rPr>
        <w:t>Eesti</w:t>
      </w:r>
      <w:r>
        <w:rPr>
          <w:i/>
        </w:rPr>
        <w:t xml:space="preserve"> </w:t>
      </w:r>
      <w:r>
        <w:rPr>
          <w:i/>
          <w:lang w:val="en-US"/>
        </w:rPr>
        <w:t>elanikkonna</w:t>
      </w:r>
      <w:r>
        <w:rPr>
          <w:i/>
        </w:rPr>
        <w:t xml:space="preserve"> </w:t>
      </w:r>
      <w:r>
        <w:rPr>
          <w:i/>
          <w:lang w:val="en-US"/>
        </w:rPr>
        <w:t>valmiskatumisemotiivad</w:t>
      </w:r>
      <w:r>
        <w:rPr>
          <w:i/>
        </w:rPr>
        <w:t xml:space="preserve"> </w:t>
      </w:r>
      <w:r>
        <w:rPr>
          <w:i/>
          <w:lang w:val="en-US"/>
        </w:rPr>
        <w:t>ja</w:t>
      </w:r>
      <w:r>
        <w:rPr>
          <w:i/>
        </w:rPr>
        <w:t xml:space="preserve"> </w:t>
      </w:r>
      <w:r>
        <w:rPr>
          <w:i/>
          <w:lang w:val="en-US"/>
        </w:rPr>
        <w:t>mehhanismid</w:t>
      </w:r>
      <w:r>
        <w:rPr>
          <w:i/>
        </w:rPr>
        <w:t xml:space="preserve">. </w:t>
      </w:r>
      <w:r>
        <w:rPr>
          <w:i/>
          <w:lang w:val="en-US"/>
        </w:rPr>
        <w:t>Avaliku</w:t>
      </w:r>
      <w:r>
        <w:rPr>
          <w:i/>
        </w:rPr>
        <w:t xml:space="preserve"> </w:t>
      </w:r>
      <w:r>
        <w:rPr>
          <w:i/>
          <w:lang w:val="en-US"/>
        </w:rPr>
        <w:t>arvamuse</w:t>
      </w:r>
      <w:r>
        <w:rPr>
          <w:i/>
        </w:rPr>
        <w:t xml:space="preserve"> </w:t>
      </w:r>
      <w:r>
        <w:rPr>
          <w:i/>
          <w:lang w:val="en-US"/>
        </w:rPr>
        <w:t>kusitluste</w:t>
      </w:r>
      <w:r>
        <w:rPr>
          <w:i/>
        </w:rPr>
        <w:t xml:space="preserve"> </w:t>
      </w:r>
      <w:r>
        <w:rPr>
          <w:i/>
          <w:lang w:val="en-US"/>
        </w:rPr>
        <w:t>seku</w:t>
      </w:r>
      <w:r>
        <w:rPr>
          <w:i/>
          <w:lang w:val="en-US"/>
        </w:rPr>
        <w:t>n</w:t>
      </w:r>
      <w:r>
        <w:rPr>
          <w:i/>
          <w:lang w:val="en-US"/>
        </w:rPr>
        <w:t>daaranaluus</w:t>
      </w:r>
      <w:r>
        <w:t xml:space="preserve"> [«Мотивы и механизмы, определяющие поведение избирателей Эстонии при голосовании. Вторичный анализ опросов общественного мн</w:t>
      </w:r>
      <w:r>
        <w:t>е</w:t>
      </w:r>
      <w:r>
        <w:t xml:space="preserve">ния»], </w:t>
      </w:r>
      <w:r>
        <w:rPr>
          <w:lang w:val="en-US"/>
        </w:rPr>
        <w:t>Tartu</w:t>
      </w:r>
      <w:r>
        <w:t>, 2002). Никакого широкого обсуждения вопроса о введении сист</w:t>
      </w:r>
      <w:r>
        <w:t>е</w:t>
      </w:r>
      <w:r>
        <w:t>мы квот не проводилось.</w:t>
      </w:r>
    </w:p>
    <w:p w:rsidR="00000000" w:rsidRDefault="00000000">
      <w:pPr>
        <w:pStyle w:val="SingleTxt"/>
      </w:pPr>
      <w:r>
        <w:tab/>
        <w:t>Наряду с созданием механизма защиты прав человека Законом о равн</w:t>
      </w:r>
      <w:r>
        <w:t>о</w:t>
      </w:r>
      <w:r>
        <w:t>правии мужчин и женщин также заложена основа для двух главных страт</w:t>
      </w:r>
      <w:r>
        <w:t>е</w:t>
      </w:r>
      <w:r>
        <w:t>гий — стратегии осуществления мер, предусматривающих предоставление особых преимуществ лицам слабо представленного пола, или мер по уменьш</w:t>
      </w:r>
      <w:r>
        <w:t>е</w:t>
      </w:r>
      <w:r>
        <w:t>нию неравенства, и стратегии обеспечения равенства полов как горизонтал</w:t>
      </w:r>
      <w:r>
        <w:t>ь</w:t>
      </w:r>
      <w:r>
        <w:t>ной политики, т.е. политики, присущей всем другим областям де</w:t>
      </w:r>
      <w:r>
        <w:t>я</w:t>
      </w:r>
      <w:r>
        <w:t>тельности.</w:t>
      </w:r>
    </w:p>
    <w:p w:rsidR="00000000" w:rsidRDefault="00000000">
      <w:pPr>
        <w:pStyle w:val="SingleTxt"/>
      </w:pPr>
      <w:r>
        <w:tab/>
        <w:t>Законодательно не предусмотрено установление каких-либо квот, однако в соответствии с Законом о равноправии мужчин и женщин лица обоих полов должны быть в максимально возможной степени представлены в комитетах, советах и других коллегиальных органах, формируемых государственными и местными органами власти.</w:t>
      </w:r>
    </w:p>
    <w:p w:rsidR="00000000" w:rsidRDefault="00000000">
      <w:pPr>
        <w:pStyle w:val="SingleTxt"/>
      </w:pPr>
      <w:r>
        <w:tab/>
        <w:t>Осуществление надзора за соблюдением норм, установленных в Законе, во</w:t>
      </w:r>
      <w:r>
        <w:t>з</w:t>
      </w:r>
      <w:r>
        <w:t>ложено на уполномоченного по вопросам гендерного равенства.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Ассигнования по линии государственного бюджета</w:t>
      </w:r>
    </w:p>
    <w:p w:rsidR="00000000" w:rsidRDefault="00000000">
      <w:pPr>
        <w:pStyle w:val="SingleTxt"/>
        <w:spacing w:after="0" w:line="120" w:lineRule="exact"/>
        <w:rPr>
          <w:sz w:val="10"/>
        </w:rPr>
      </w:pPr>
    </w:p>
    <w:p w:rsidR="00000000" w:rsidRDefault="00000000">
      <w:pPr>
        <w:pStyle w:val="SingleTxt"/>
      </w:pPr>
      <w:r>
        <w:tab/>
        <w:t>С 2002 года из государственного бюджета выделяются ассигнования на развитие сотрудничества женских организаций. Постановлением министра с</w:t>
      </w:r>
      <w:r>
        <w:t>о</w:t>
      </w:r>
      <w:r>
        <w:t>циальных дел от 28 февраля 2003 года установлена процедура подачи и утве</w:t>
      </w:r>
      <w:r>
        <w:t>р</w:t>
      </w:r>
      <w:r>
        <w:t>ждения заявок на выделение ассигнований на развитие женского сотруднич</w:t>
      </w:r>
      <w:r>
        <w:t>е</w:t>
      </w:r>
      <w:r>
        <w:t>ства.</w:t>
      </w:r>
    </w:p>
    <w:p w:rsidR="00000000" w:rsidRDefault="00000000">
      <w:pPr>
        <w:pStyle w:val="SingleTxt"/>
      </w:pPr>
      <w:r>
        <w:tab/>
        <w:t>Финансовые средства государственного бюджета, выделяемые министе</w:t>
      </w:r>
      <w:r>
        <w:t>р</w:t>
      </w:r>
      <w:r>
        <w:t>ству социальных дел на развитие женского сотрудничества, используются для содействия созданию сетей сотрудничества женских организаций в Эстонии и обеспечения их финансовой стабильности. Эта специальная мера используется для того, чтобы компенсировать недостатки в отношении доступа к информ</w:t>
      </w:r>
      <w:r>
        <w:t>а</w:t>
      </w:r>
      <w:r>
        <w:t>ции, ресурсам и уровню принятия решений, обусловленные разницей в сетях общения мужских и женских организаций.</w:t>
      </w:r>
    </w:p>
    <w:p w:rsidR="00000000" w:rsidRDefault="00000000">
      <w:pPr>
        <w:pStyle w:val="SingleTxt"/>
      </w:pPr>
      <w:r>
        <w:tab/>
        <w:t>В соответствии с постановлением министра представители женских орг</w:t>
      </w:r>
      <w:r>
        <w:t>а</w:t>
      </w:r>
      <w:r>
        <w:t>низаций ежегодно определяют свои приоритеты и сообщают их министерству социальных дел. В ходе переговоров министерство социальных дел имеет пр</w:t>
      </w:r>
      <w:r>
        <w:t>а</w:t>
      </w:r>
      <w:r>
        <w:t>во конкретизировать предложения или, если необходимо, добавлять темы.</w:t>
      </w:r>
    </w:p>
    <w:p w:rsidR="00000000" w:rsidRDefault="00000000">
      <w:pPr>
        <w:pStyle w:val="SingleTxt"/>
      </w:pPr>
      <w:r>
        <w:tab/>
        <w:t>Цели проекта и намечаемые мероприятия должны соответствовать пр</w:t>
      </w:r>
      <w:r>
        <w:t>и</w:t>
      </w:r>
      <w:r>
        <w:t>оритетным темам, объявленным на конкурсе проектов министерства социал</w:t>
      </w:r>
      <w:r>
        <w:t>ь</w:t>
      </w:r>
      <w:r>
        <w:t>ных дел, и должны содействовать уменьшению гендерного неравенства и обе</w:t>
      </w:r>
      <w:r>
        <w:t>с</w:t>
      </w:r>
      <w:r>
        <w:t>печению равноправия. Цели и мероприятия проектов должны быть ориентир</w:t>
      </w:r>
      <w:r>
        <w:t>о</w:t>
      </w:r>
      <w:r>
        <w:t>ваны на развитие сотрудничества между женскими организациями и на пов</w:t>
      </w:r>
      <w:r>
        <w:t>ы</w:t>
      </w:r>
      <w:r>
        <w:t>шение роли женских организаций на местном и наци</w:t>
      </w:r>
      <w:r>
        <w:t>о</w:t>
      </w:r>
      <w:r>
        <w:t>нальном уровнях.</w:t>
      </w:r>
    </w:p>
    <w:p w:rsidR="00000000" w:rsidRDefault="00000000">
      <w:pPr>
        <w:pStyle w:val="SingleTxt"/>
      </w:pPr>
      <w:r>
        <w:tab/>
        <w:t>Министерство социальных дел распределяет ресурсы государственного бюджета, выделенные на цели развития женского сотрудничества, в соответс</w:t>
      </w:r>
      <w:r>
        <w:t>т</w:t>
      </w:r>
      <w:r>
        <w:t>вии с полученными заявками и с учетом соображений обеспечения регионал</w:t>
      </w:r>
      <w:r>
        <w:t>ь</w:t>
      </w:r>
      <w:r>
        <w:t>ного баланса. В 2004 году на конкурс проектов по теме «Развитие женского с</w:t>
      </w:r>
      <w:r>
        <w:t>о</w:t>
      </w:r>
      <w:r>
        <w:t>трудничества» было подано 35 заявок. Общая сумма финансовых средств, в</w:t>
      </w:r>
      <w:r>
        <w:t>ы</w:t>
      </w:r>
      <w:r>
        <w:t>деленных на проекты, составила около 400 000 эсто</w:t>
      </w:r>
      <w:r>
        <w:t>н</w:t>
      </w:r>
      <w:r>
        <w:t>ских крон.</w:t>
      </w:r>
    </w:p>
    <w:p w:rsidR="00000000" w:rsidRDefault="00000000">
      <w:pPr>
        <w:pStyle w:val="SingleTxt"/>
      </w:pPr>
      <w:r>
        <w:tab/>
        <w:t>Программа «Расширение и улучшение трудоустройства женщин», осущ</w:t>
      </w:r>
      <w:r>
        <w:t>е</w:t>
      </w:r>
      <w:r>
        <w:t>ствлявшаяся в 2001–2003 годах при содействии МОТ, была направлена на ув</w:t>
      </w:r>
      <w:r>
        <w:t>е</w:t>
      </w:r>
      <w:r>
        <w:t>личение доли женщин среди предпринимателей и повышение занятости же</w:t>
      </w:r>
      <w:r>
        <w:t>н</w:t>
      </w:r>
      <w:r>
        <w:t>щин. В результате этого проекта было создано 100 новых рабочих мест и было создано восемь новых женских организ</w:t>
      </w:r>
      <w:r>
        <w:t>а</w:t>
      </w:r>
      <w:r>
        <w:t>ций.</w:t>
      </w:r>
    </w:p>
    <w:p w:rsidR="00000000" w:rsidRDefault="00000000">
      <w:pPr>
        <w:pStyle w:val="SingleTxt"/>
        <w:spacing w:after="0" w:line="120" w:lineRule="exact"/>
        <w:rPr>
          <w:sz w:val="10"/>
        </w:rPr>
      </w:pPr>
    </w:p>
    <w:p w:rsidR="00000000" w:rsidRDefault="00000000">
      <w:pPr>
        <w:pStyle w:val="SingleTxt"/>
        <w:rPr>
          <w:b/>
        </w:rPr>
      </w:pPr>
      <w:r>
        <w:rPr>
          <w:b/>
        </w:rPr>
        <w:t>2.</w:t>
      </w:r>
      <w:r>
        <w:rPr>
          <w:b/>
        </w:rPr>
        <w:tab/>
        <w:t>Принятие государствами-участниками специальных мер, направле</w:t>
      </w:r>
      <w:r>
        <w:rPr>
          <w:b/>
        </w:rPr>
        <w:t>н</w:t>
      </w:r>
      <w:r>
        <w:rPr>
          <w:b/>
        </w:rPr>
        <w:t>ных на охрану материнства, включая меры, содержащиеся в настоящей Конвенции, не считае</w:t>
      </w:r>
      <w:r>
        <w:rPr>
          <w:b/>
        </w:rPr>
        <w:t>т</w:t>
      </w:r>
      <w:r>
        <w:rPr>
          <w:b/>
        </w:rPr>
        <w:t>ся дискриминационным.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Специальные меры по охране материнства</w:t>
      </w:r>
    </w:p>
    <w:p w:rsidR="00000000" w:rsidRDefault="00000000">
      <w:pPr>
        <w:pStyle w:val="SingleTxt"/>
        <w:spacing w:after="0" w:line="120" w:lineRule="exact"/>
        <w:rPr>
          <w:sz w:val="10"/>
        </w:rPr>
      </w:pPr>
    </w:p>
    <w:p w:rsidR="00000000" w:rsidRDefault="00000000">
      <w:pPr>
        <w:pStyle w:val="SingleTxt"/>
      </w:pPr>
      <w:r>
        <w:tab/>
        <w:t>В эстонском законодательстве положения, касающиеся особой защиты женщин в связи с беременностью и родами, не считаются ни прямой, ни ко</w:t>
      </w:r>
      <w:r>
        <w:t>с</w:t>
      </w:r>
      <w:r>
        <w:t>венной дискриминацией по признаку пола.</w:t>
      </w:r>
    </w:p>
    <w:p w:rsidR="00000000" w:rsidRDefault="00000000">
      <w:pPr>
        <w:pStyle w:val="SingleTxt"/>
      </w:pPr>
      <w:r>
        <w:tab/>
        <w:t>Охрана материнства в Эстонии гарантируется Законом о трудовом дог</w:t>
      </w:r>
      <w:r>
        <w:t>о</w:t>
      </w:r>
      <w:r>
        <w:t>воре, Законом о государственной службе, Законом о рабочем времени и врем</w:t>
      </w:r>
      <w:r>
        <w:t>е</w:t>
      </w:r>
      <w:r>
        <w:t>ни отдыха, Законом об отпусках, Законом о медицинском страховании, Законом о социальном налоге, Законом о пособиях на детей и Законом о государстве</w:t>
      </w:r>
      <w:r>
        <w:t>н</w:t>
      </w:r>
      <w:r>
        <w:t>ном пенсионном обеспечении.</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Закон о трудовом договоре</w:t>
      </w:r>
    </w:p>
    <w:p w:rsidR="00000000" w:rsidRDefault="00000000">
      <w:pPr>
        <w:pStyle w:val="SingleTxt"/>
        <w:spacing w:after="0" w:line="120" w:lineRule="exact"/>
        <w:rPr>
          <w:sz w:val="10"/>
        </w:rPr>
      </w:pPr>
    </w:p>
    <w:p w:rsidR="00000000" w:rsidRDefault="00000000">
      <w:pPr>
        <w:pStyle w:val="SingleTxt"/>
      </w:pPr>
      <w:r>
        <w:tab/>
        <w:t>Не считается дискриминацией создание женщинам льготных условий труда в связи с беременностью, родами, уходом за несовершеннолетними детьми или взрослыми нетрудоспособными детьми и нетрудоспособными р</w:t>
      </w:r>
      <w:r>
        <w:t>о</w:t>
      </w:r>
      <w:r>
        <w:t>дителями.</w:t>
      </w:r>
    </w:p>
    <w:p w:rsidR="00000000" w:rsidRDefault="00000000">
      <w:pPr>
        <w:pStyle w:val="SingleTxt"/>
      </w:pPr>
      <w:r>
        <w:tab/>
        <w:t>Работодатели обязаны оценивать опасность определенных видов работы для здоровья женщин, характер, объем и продолжительность такой работы, включая возможные последствия для хода беременности и грудного вскармл</w:t>
      </w:r>
      <w:r>
        <w:t>и</w:t>
      </w:r>
      <w:r>
        <w:t>вания. Женщины и их представители должны информироваться о результатах любых оценок риска и безопасности и о принятых мерах по охране здоровья.</w:t>
      </w:r>
    </w:p>
    <w:p w:rsidR="00000000" w:rsidRDefault="00000000">
      <w:pPr>
        <w:pStyle w:val="SingleTxt"/>
      </w:pPr>
      <w:r>
        <w:tab/>
        <w:t>Беременные женщины не могут привлекаться к выполнению работ, кот</w:t>
      </w:r>
      <w:r>
        <w:t>о</w:t>
      </w:r>
      <w:r>
        <w:t>рые могут причинить ущерб их здоровью, или к работе в ночное время. Раб</w:t>
      </w:r>
      <w:r>
        <w:t>о</w:t>
      </w:r>
      <w:r>
        <w:t>тодатели обязаны предоставить отпуск беременным работницам для предрод</w:t>
      </w:r>
      <w:r>
        <w:t>о</w:t>
      </w:r>
      <w:r>
        <w:t>вого медицинского осмотра без сокращения заработной платы. Беременные женщ</w:t>
      </w:r>
      <w:r>
        <w:t>и</w:t>
      </w:r>
      <w:r>
        <w:t>ны не могут направляться в служебные командировки.</w:t>
      </w:r>
    </w:p>
    <w:p w:rsidR="00000000" w:rsidRDefault="00000000">
      <w:pPr>
        <w:pStyle w:val="SingleTxt"/>
      </w:pPr>
      <w:r>
        <w:tab/>
        <w:t>На основании больничного листа, выданного врачом, беременные же</w:t>
      </w:r>
      <w:r>
        <w:t>н</w:t>
      </w:r>
      <w:r>
        <w:t>щины могут требовать временного облегчения условий труда или временного перевода на другую работу. В этом случае работнице компенсируется разница в оплате труда в соответствии с процедурой, установленной в Законе о медици</w:t>
      </w:r>
      <w:r>
        <w:t>н</w:t>
      </w:r>
      <w:r>
        <w:t>ском страховании. Если по заключению инспектора Трудовой инспекции раб</w:t>
      </w:r>
      <w:r>
        <w:t>о</w:t>
      </w:r>
      <w:r>
        <w:t>тодатель не может облегчить беременной работнице условия труда или пер</w:t>
      </w:r>
      <w:r>
        <w:t>е</w:t>
      </w:r>
      <w:r>
        <w:t>вести ее на более легкое место работы, то беременная женщина освобождается от работы на срок, указанный в больничном листе, и ей будет выплачиваться обязательное пособие по медицинскому страхованию в соответствии с проц</w:t>
      </w:r>
      <w:r>
        <w:t>е</w:t>
      </w:r>
      <w:r>
        <w:t>дурой, уст</w:t>
      </w:r>
      <w:r>
        <w:t>а</w:t>
      </w:r>
      <w:r>
        <w:t>новленной Законом о медицинском страховании.</w:t>
      </w:r>
    </w:p>
    <w:p w:rsidR="00000000" w:rsidRDefault="00000000">
      <w:pPr>
        <w:pStyle w:val="SingleTxt"/>
      </w:pPr>
      <w:r>
        <w:tab/>
        <w:t>Работодателям запрещается расторгать трудовой договор с беременными женщинами или лицами, воспитывающими детей в возрасте до 3 лет, за и</w:t>
      </w:r>
      <w:r>
        <w:t>с</w:t>
      </w:r>
      <w:r>
        <w:t>ключением случаев ликвидации компании, учреждения или организации, об</w:t>
      </w:r>
      <w:r>
        <w:t>ъ</w:t>
      </w:r>
      <w:r>
        <w:t>явления о банкротстве работодателя, неудовлетворительных результатов раб</w:t>
      </w:r>
      <w:r>
        <w:t>о</w:t>
      </w:r>
      <w:r>
        <w:t>ты в течение испытательного срока, нарушения производственных обязанн</w:t>
      </w:r>
      <w:r>
        <w:t>о</w:t>
      </w:r>
      <w:r>
        <w:t>стей, утраты доверия к работнику, безнравственного поведения работника или найма на работу сотрудника на полный рабочий день. Однако расторжение трудового договора с беременной женщиной или лицом, воспитывающим р</w:t>
      </w:r>
      <w:r>
        <w:t>е</w:t>
      </w:r>
      <w:r>
        <w:t>бенка в возрасте до 3 лет, даже по вышеуказанным основаниям возможно тол</w:t>
      </w:r>
      <w:r>
        <w:t>ь</w:t>
      </w:r>
      <w:r>
        <w:t>ко с согласия инспе</w:t>
      </w:r>
      <w:r>
        <w:t>к</w:t>
      </w:r>
      <w:r>
        <w:t>тора Трудовой инспекции.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Закон о государственной службе</w:t>
      </w:r>
    </w:p>
    <w:p w:rsidR="00000000" w:rsidRDefault="00000000">
      <w:pPr>
        <w:pStyle w:val="SingleTxt"/>
        <w:spacing w:after="0" w:line="120" w:lineRule="exact"/>
        <w:rPr>
          <w:sz w:val="10"/>
        </w:rPr>
      </w:pPr>
    </w:p>
    <w:p w:rsidR="00000000" w:rsidRDefault="00000000">
      <w:pPr>
        <w:pStyle w:val="SingleTxt"/>
      </w:pPr>
      <w:r>
        <w:tab/>
        <w:t>В период беременности сотрудница на основании больничного листа, в</w:t>
      </w:r>
      <w:r>
        <w:t>ы</w:t>
      </w:r>
      <w:r>
        <w:t>данного врачом, имеет право на временное облегчение условий службы или на временный перевод на другую должность, за исключением должностей, по</w:t>
      </w:r>
      <w:r>
        <w:t>д</w:t>
      </w:r>
      <w:r>
        <w:t>лежащих заполнению по конкурсу. Разница в жаловании будет компенсир</w:t>
      </w:r>
      <w:r>
        <w:t>о</w:t>
      </w:r>
      <w:r>
        <w:t>ваться. Если возможности облегчить условия службы или перевести сотрудн</w:t>
      </w:r>
      <w:r>
        <w:t>и</w:t>
      </w:r>
      <w:r>
        <w:t>цу на другую должность нет, то она освобождается от выполнения своих об</w:t>
      </w:r>
      <w:r>
        <w:t>я</w:t>
      </w:r>
      <w:r>
        <w:t>занностей на срок, указанный в больничном листе, и ей будет выплачиваться обязательное пособие по медицинскому страхованию. Беременных женщин или лиц, воспитывающих ребенка-инвалида, инвалида детства или ребенка в возрасте до 3 лет, запрещается направлять в служебную командировку без их согласия. Сотрудница в период беременности или лицо, воспитывающее р</w:t>
      </w:r>
      <w:r>
        <w:t>е</w:t>
      </w:r>
      <w:r>
        <w:t>бенка в возрасте до 3 лет, не может увольняться со службы по сокращению должности, в силу длительной нетрудоспособности или состояния здоровья либо по результатам оценки служебной деятельности.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Закон о службе занятости</w:t>
      </w:r>
    </w:p>
    <w:p w:rsidR="00000000" w:rsidRDefault="00000000">
      <w:pPr>
        <w:pStyle w:val="SingleTxt"/>
        <w:spacing w:after="0" w:line="120" w:lineRule="exact"/>
        <w:rPr>
          <w:sz w:val="10"/>
        </w:rPr>
      </w:pPr>
    </w:p>
    <w:p w:rsidR="00000000" w:rsidRDefault="00000000">
      <w:pPr>
        <w:pStyle w:val="SingleTxt"/>
      </w:pPr>
      <w:r>
        <w:tab/>
        <w:t>В соответствии с Законом о службе занятости работодателю через бюро по трудоустройству выплачивается субсидия службы занятости, если работод</w:t>
      </w:r>
      <w:r>
        <w:t>а</w:t>
      </w:r>
      <w:r>
        <w:t>тель нанимает менее конкурентоспособного безработного. Безработные бер</w:t>
      </w:r>
      <w:r>
        <w:t>е</w:t>
      </w:r>
      <w:r>
        <w:t>менные женщины и лица, воспитывающие детей в возрасте до 6 лет, также рассматриваются как менее конкурентоспособные безработные. При найме на полный рабочий день безработную беременную женщину или лицо, воспит</w:t>
      </w:r>
      <w:r>
        <w:t>ы</w:t>
      </w:r>
      <w:r>
        <w:t>вающее ребенка в возрасте до 6 лет, работодатель имеет право на получение субсидии службы занятости в размере ежемесячной минимальной заработной платы в течение первых шести месяцев и 50 процентов ежемесячной мин</w:t>
      </w:r>
      <w:r>
        <w:t>и</w:t>
      </w:r>
      <w:r>
        <w:t>мальной з</w:t>
      </w:r>
      <w:r>
        <w:t>а</w:t>
      </w:r>
      <w:r>
        <w:t>работанной платы в течение следующих шести месяцев.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Закон об отпусках</w:t>
      </w:r>
    </w:p>
    <w:p w:rsidR="00000000" w:rsidRDefault="00000000">
      <w:pPr>
        <w:pStyle w:val="SingleTxt"/>
        <w:spacing w:after="0" w:line="120" w:lineRule="exact"/>
        <w:rPr>
          <w:sz w:val="10"/>
        </w:rPr>
      </w:pPr>
    </w:p>
    <w:p w:rsidR="00000000" w:rsidRDefault="00000000">
      <w:pPr>
        <w:pStyle w:val="SingleTxt"/>
      </w:pPr>
      <w:r>
        <w:tab/>
        <w:t>Женщины имеют право на отпуск по беременности и родам продолж</w:t>
      </w:r>
      <w:r>
        <w:t>и</w:t>
      </w:r>
      <w:r>
        <w:t>тельностью в 140 календарных дней. В случае рождения двух или более детей или в случае осложнений при родах отпуск предоставляется продолжительн</w:t>
      </w:r>
      <w:r>
        <w:t>о</w:t>
      </w:r>
      <w:r>
        <w:t>стью в 154 календарных дня.</w:t>
      </w:r>
    </w:p>
    <w:p w:rsidR="00000000" w:rsidRDefault="00000000">
      <w:pPr>
        <w:pStyle w:val="SingleTxt"/>
      </w:pPr>
      <w:r>
        <w:tab/>
        <w:t>Женщины имеют право на получение отпуска по беременности и родам за 70 календарных дней до предполагаемых родов, дата которых определяется врачом. Во время отпуска по беременности и родам женщинам выплачивается пособие по временной нетрудоспособности в размере 100 процентов из расчета их среднего дохода за один календарный год.</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Закон о рабочем времени и времени отдыха</w:t>
      </w:r>
    </w:p>
    <w:p w:rsidR="00000000" w:rsidRDefault="00000000">
      <w:pPr>
        <w:pStyle w:val="SingleTxt"/>
        <w:spacing w:after="0" w:line="120" w:lineRule="exact"/>
        <w:rPr>
          <w:sz w:val="10"/>
        </w:rPr>
      </w:pPr>
    </w:p>
    <w:p w:rsidR="00000000" w:rsidRDefault="00000000">
      <w:pPr>
        <w:pStyle w:val="SingleTxt"/>
      </w:pPr>
      <w:r>
        <w:tab/>
        <w:t>Работодатель обязан предоставить беременной женщине отпуск для пре</w:t>
      </w:r>
      <w:r>
        <w:t>д</w:t>
      </w:r>
      <w:r>
        <w:t>родового медицинского осмотра в указанные врачом сроки, и время такого о</w:t>
      </w:r>
      <w:r>
        <w:t>т</w:t>
      </w:r>
      <w:r>
        <w:t>пуска рассматривается как рабочее время.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Закон о гигиене и безопасности труда</w:t>
      </w:r>
    </w:p>
    <w:p w:rsidR="00000000" w:rsidRDefault="00000000">
      <w:pPr>
        <w:pStyle w:val="SingleTxt"/>
        <w:spacing w:after="0" w:line="120" w:lineRule="exact"/>
        <w:rPr>
          <w:sz w:val="10"/>
        </w:rPr>
      </w:pPr>
    </w:p>
    <w:p w:rsidR="00000000" w:rsidRDefault="00000000">
      <w:pPr>
        <w:pStyle w:val="SingleTxt"/>
      </w:pPr>
      <w:r>
        <w:tab/>
        <w:t>Работодатели должны обеспечивать соответствующие условия труда и о</w:t>
      </w:r>
      <w:r>
        <w:t>т</w:t>
      </w:r>
      <w:r>
        <w:t>дыха беременных женщин и кормящих матерей. Работодатель должен собл</w:t>
      </w:r>
      <w:r>
        <w:t>ю</w:t>
      </w:r>
      <w:r>
        <w:t>дать предусмотренные законами ограничения, имеющие целью обеспечить безопасные условия труда для беременных женщин и кормящих матерей. Б</w:t>
      </w:r>
      <w:r>
        <w:t>е</w:t>
      </w:r>
      <w:r>
        <w:t>ременным и кормящим женщинам должны быть созданы соответствующие у</w:t>
      </w:r>
      <w:r>
        <w:t>с</w:t>
      </w:r>
      <w:r>
        <w:t>ловия, чтобы они могли лежа отдохнуть в отведенном для отдыха месте. В и</w:t>
      </w:r>
      <w:r>
        <w:t>з</w:t>
      </w:r>
      <w:r>
        <w:t>данном правительством постановлении «О требованиях, касающихся гигиены и безопасности труда беременных и кормящих женщин» излагаются обязанн</w:t>
      </w:r>
      <w:r>
        <w:t>о</w:t>
      </w:r>
      <w:r>
        <w:t>сти работодателей по созданию безопасных условий труда для беременных с</w:t>
      </w:r>
      <w:r>
        <w:t>о</w:t>
      </w:r>
      <w:r>
        <w:t>трудниц; меры по обеспечению безопасных условий труда для работающих женщин; работа, которую запрещено поручать беременным женщинам; работа, которую запрещено поручать кормящим женщинам; и факторы риска и прои</w:t>
      </w:r>
      <w:r>
        <w:t>з</w:t>
      </w:r>
      <w:r>
        <w:t>водственные процессы, которые должны уч</w:t>
      </w:r>
      <w:r>
        <w:t>и</w:t>
      </w:r>
      <w:r>
        <w:t>тываться при оценке рисков.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 xml:space="preserve">Государства-участники принимают все соответствующие меры с целью: </w:t>
      </w:r>
    </w:p>
    <w:p w:rsidR="00000000" w:rsidRDefault="00000000">
      <w:pPr>
        <w:pStyle w:val="SingleTxt"/>
        <w:rPr>
          <w:b/>
        </w:rPr>
      </w:pPr>
      <w:r>
        <w:rPr>
          <w:b/>
        </w:rPr>
        <w:tab/>
        <w:t>а)</w:t>
      </w:r>
      <w:r>
        <w:rPr>
          <w:b/>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w:t>
      </w:r>
      <w:r>
        <w:rPr>
          <w:b/>
        </w:rPr>
        <w:t>н</w:t>
      </w:r>
      <w:r>
        <w:rPr>
          <w:b/>
        </w:rPr>
        <w:t>ности или превосходства одного из полов или стереотипности роли му</w:t>
      </w:r>
      <w:r>
        <w:rPr>
          <w:b/>
        </w:rPr>
        <w:t>ж</w:t>
      </w:r>
      <w:r>
        <w:rPr>
          <w:b/>
        </w:rPr>
        <w:t>чин и же</w:t>
      </w:r>
      <w:r>
        <w:rPr>
          <w:b/>
        </w:rPr>
        <w:t>н</w:t>
      </w:r>
      <w:r>
        <w:rPr>
          <w:b/>
        </w:rPr>
        <w:t>щин;</w:t>
      </w:r>
    </w:p>
    <w:p w:rsidR="00000000" w:rsidRDefault="00000000">
      <w:pPr>
        <w:pStyle w:val="SingleTxt"/>
      </w:pPr>
      <w:r>
        <w:tab/>
        <w:t>Учебным заведениям, научно-исследовательским институтам и учрежд</w:t>
      </w:r>
      <w:r>
        <w:t>е</w:t>
      </w:r>
      <w:r>
        <w:t>ниям, ведущим разного рода подготовку, запрещается проводить дискримин</w:t>
      </w:r>
      <w:r>
        <w:t>а</w:t>
      </w:r>
      <w:r>
        <w:t>цию по признаку пола в вопросах оказания профессионально-технических ко</w:t>
      </w:r>
      <w:r>
        <w:t>н</w:t>
      </w:r>
      <w:r>
        <w:t>сультационных услуг, получения образования, профессионально-технического обучения и переподготовки. Кроме того, эти учреждения должны обеспечивать, чтобы учебные программы, учебные материалы и проводимые исследования содействовали ликвидации неравенства между женщинами и мужчинами и обеспечению равноправия полов.</w:t>
      </w:r>
    </w:p>
    <w:p w:rsidR="00000000" w:rsidRDefault="00000000">
      <w:pPr>
        <w:pStyle w:val="SingleTxt"/>
      </w:pPr>
      <w:r>
        <w:tab/>
        <w:t>В течение периода, охватываемого настоящим докладом, категория пола стала одним из показателей регулярного статистического анализа, что позвол</w:t>
      </w:r>
      <w:r>
        <w:t>я</w:t>
      </w:r>
      <w:r>
        <w:t>ет анализировать условия жизни мужчин и женщин и изменения, происход</w:t>
      </w:r>
      <w:r>
        <w:t>я</w:t>
      </w:r>
      <w:r>
        <w:t>щие в с</w:t>
      </w:r>
      <w:r>
        <w:t>о</w:t>
      </w:r>
      <w:r>
        <w:t>циально-культурных моделях поведения.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Отношение к роли мужчин и женщин</w:t>
      </w:r>
    </w:p>
    <w:p w:rsidR="00000000" w:rsidRDefault="00000000">
      <w:pPr>
        <w:pStyle w:val="SingleTxt"/>
        <w:spacing w:after="0" w:line="120" w:lineRule="exact"/>
        <w:rPr>
          <w:sz w:val="10"/>
        </w:rPr>
      </w:pPr>
    </w:p>
    <w:p w:rsidR="00000000" w:rsidRDefault="00000000">
      <w:pPr>
        <w:pStyle w:val="SingleTxt"/>
      </w:pPr>
      <w:r>
        <w:tab/>
        <w:t>В 2003 году институт «Открытое общество» провел по заказу министе</w:t>
      </w:r>
      <w:r>
        <w:t>р</w:t>
      </w:r>
      <w:r>
        <w:t>ства социальных дел обследование по анализу положения в вопросе о равенс</w:t>
      </w:r>
      <w:r>
        <w:t>т</w:t>
      </w:r>
      <w:r>
        <w:t>ве мужчин и женщин для выяснения бытующих в обществе взглядов и мнений относительно гендерного равенства и роли женщин и мужчин.</w:t>
      </w:r>
    </w:p>
    <w:p w:rsidR="00000000" w:rsidRDefault="00000000">
      <w:pPr>
        <w:pStyle w:val="SingleTxt"/>
      </w:pPr>
      <w:r>
        <w:tab/>
        <w:t>Согласно этому обследованию, в Эстонии, с одной стороны, бытуют сер</w:t>
      </w:r>
      <w:r>
        <w:t>ь</w:t>
      </w:r>
      <w:r>
        <w:t>езные предрассудки, а с другой, население готово поддержать равное отнош</w:t>
      </w:r>
      <w:r>
        <w:t>е</w:t>
      </w:r>
      <w:r>
        <w:t>ние к мужчинам и женщ</w:t>
      </w:r>
      <w:r>
        <w:t>и</w:t>
      </w:r>
      <w:r>
        <w:t>нам на рынке труда.</w:t>
      </w:r>
    </w:p>
    <w:p w:rsidR="00000000" w:rsidRDefault="00000000">
      <w:pPr>
        <w:pStyle w:val="SingleTxt"/>
      </w:pPr>
      <w:r>
        <w:tab/>
        <w:t>Население Эстонии осознало наличие гендерной сегрегации в обществе. 83 процента женщин и 73 процента мужчин считают, что по доходу и профе</w:t>
      </w:r>
      <w:r>
        <w:t>с</w:t>
      </w:r>
      <w:r>
        <w:t>сиональному статусу мужчины занимают более высокое положение по сравн</w:t>
      </w:r>
      <w:r>
        <w:t>е</w:t>
      </w:r>
      <w:r>
        <w:t>нию с женщинами. 9 процентов полагают, что их положение равное.</w:t>
      </w:r>
    </w:p>
    <w:p w:rsidR="00000000" w:rsidRDefault="00000000">
      <w:pPr>
        <w:pStyle w:val="SingleTxt"/>
      </w:pPr>
      <w:r>
        <w:tab/>
        <w:t>Согласно этому обследованию, каждая вторая женщина и каждый четве</w:t>
      </w:r>
      <w:r>
        <w:t>р</w:t>
      </w:r>
      <w:r>
        <w:t>тый мужчина считают, что положение женщин необходимо улучшить. 75 пр</w:t>
      </w:r>
      <w:r>
        <w:t>о</w:t>
      </w:r>
      <w:r>
        <w:t>центов мужчин и 50 процентов женщин относятся к этой проблеме нейтрально. 2 процента не согласны с необходимостью помогать женщинам. Наиболее бл</w:t>
      </w:r>
      <w:r>
        <w:t>а</w:t>
      </w:r>
      <w:r>
        <w:t>гоприятное отношение у населения находит увеличение доли женщин в парл</w:t>
      </w:r>
      <w:r>
        <w:t>а</w:t>
      </w:r>
      <w:r>
        <w:t>менте.</w:t>
      </w:r>
    </w:p>
    <w:p w:rsidR="00000000" w:rsidRDefault="00000000">
      <w:pPr>
        <w:pStyle w:val="SingleTxt"/>
      </w:pPr>
      <w:r>
        <w:tab/>
        <w:t>В то же время результаты обследования также свидетельствуют о том, что отношение зачастую является более негативным, когда речь идет о женщинах на руководящих должностях. В общественном мнении существует неодобр</w:t>
      </w:r>
      <w:r>
        <w:t>и</w:t>
      </w:r>
      <w:r>
        <w:t>тельное отношение к женщинам-лидерам и преобладают сомнения в их сп</w:t>
      </w:r>
      <w:r>
        <w:t>о</w:t>
      </w:r>
      <w:r>
        <w:t>собности руководить. Как среди женщин, так и среди мужчин преобладает мнение, что женщины не являются хорошими руководителями и что они не справляются с такой работой потому, что они слишком скромны и эмоционал</w:t>
      </w:r>
      <w:r>
        <w:t>ь</w:t>
      </w:r>
      <w:r>
        <w:t>ны (75 процентов респондентов). Большинство респондентов были также уб</w:t>
      </w:r>
      <w:r>
        <w:t>е</w:t>
      </w:r>
      <w:r>
        <w:t>ждены в том, что мужчины-лидеры, несомненно, предпочтительнее женщин, поскольку мужчины как руководители более рациональны, уверены в себе и внушают больший авторитет. Женщины не солидарны с другими женщин</w:t>
      </w:r>
      <w:r>
        <w:t>а</w:t>
      </w:r>
      <w:r>
        <w:t>ми — они не поддерживают женщин-руководителей и не голосуют за женщин-политиков.</w:t>
      </w:r>
    </w:p>
    <w:p w:rsidR="00000000" w:rsidRDefault="00000000">
      <w:pPr>
        <w:pStyle w:val="SingleTxt"/>
      </w:pPr>
      <w:r>
        <w:tab/>
        <w:t>Вместе с тем готовность уменьшить неравенство между мужчинами и женщинами на рынке труда является весьма высокой: от 74 до 91 процента респондентов высказались в пользу введения с этой целью различных мер (в частности мер правового характера). Готовность к уменьшению неравенства у женщин существенно выше, чем у мужчин, поскольку большая часть мер обе</w:t>
      </w:r>
      <w:r>
        <w:t>с</w:t>
      </w:r>
      <w:r>
        <w:t>п</w:t>
      </w:r>
      <w:r>
        <w:t>е</w:t>
      </w:r>
      <w:r>
        <w:t>чивала бы им на рынке труда равенство с мужчинами.</w:t>
      </w:r>
    </w:p>
    <w:p w:rsidR="00000000" w:rsidRDefault="00000000">
      <w:pPr>
        <w:pStyle w:val="SingleTxt"/>
      </w:pPr>
      <w:r>
        <w:tab/>
        <w:t>Как эстонские мужчины, так и эстонские женщины разделяют мнение о том, что между так называемыми «мужскими и женскими видами работы» с</w:t>
      </w:r>
      <w:r>
        <w:t>у</w:t>
      </w:r>
      <w:r>
        <w:t>ществует четкое различие. 72 процента мужчин считают, что их нынешняя р</w:t>
      </w:r>
      <w:r>
        <w:t>а</w:t>
      </w:r>
      <w:r>
        <w:t>бота пригодна только для мужчин. Женщины менее консервативны, но среди них 43 процента также считают, что их нынешняя работа годится только для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Отношение к карьере детей</w:t>
      </w:r>
    </w:p>
    <w:p w:rsidR="00000000" w:rsidRDefault="00000000">
      <w:pPr>
        <w:pStyle w:val="SingleTxt"/>
        <w:spacing w:after="0" w:line="120" w:lineRule="exact"/>
        <w:rPr>
          <w:sz w:val="10"/>
        </w:rPr>
      </w:pPr>
    </w:p>
    <w:p w:rsidR="00000000" w:rsidRDefault="00000000">
      <w:pPr>
        <w:pStyle w:val="SingleTxt"/>
      </w:pPr>
      <w:r>
        <w:tab/>
        <w:t>Согласно обследованию, проведенному по этому вопросу, и матери, и о</w:t>
      </w:r>
      <w:r>
        <w:t>т</w:t>
      </w:r>
      <w:r>
        <w:t>цы придают большое значение профессиональной карьере своих детей. Му</w:t>
      </w:r>
      <w:r>
        <w:t>ж</w:t>
      </w:r>
      <w:r>
        <w:t>чины к карьере своих детей относятся столь же ревностно, как и к своей собс</w:t>
      </w:r>
      <w:r>
        <w:t>т</w:t>
      </w:r>
      <w:r>
        <w:t>венной карьере. Карьере своих дочерей мужчины придают столь же большое значение, что и карьере своих сыновей. Матери придают карьере своих детей значительно большее значение, чем своей собственной карьере, и в отличие от мужчин ценят карьеру своих сыновей несколько больше, чем карьеру своих дочерей. Таким образом, можно сделать вывод о том, что в целом семьи пр</w:t>
      </w:r>
      <w:r>
        <w:t>и</w:t>
      </w:r>
      <w:r>
        <w:t>дают профессиональной карьере большое значение и что в будущем профе</w:t>
      </w:r>
      <w:r>
        <w:t>с</w:t>
      </w:r>
      <w:r>
        <w:t>сионал</w:t>
      </w:r>
      <w:r>
        <w:t>ь</w:t>
      </w:r>
      <w:r>
        <w:t>ная занятость женщин возрастет.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Использование времени</w:t>
      </w:r>
    </w:p>
    <w:p w:rsidR="00000000" w:rsidRDefault="00000000">
      <w:pPr>
        <w:pStyle w:val="SingleTxt"/>
        <w:spacing w:after="0" w:line="120" w:lineRule="exact"/>
        <w:rPr>
          <w:sz w:val="10"/>
        </w:rPr>
      </w:pPr>
    </w:p>
    <w:p w:rsidR="00000000" w:rsidRDefault="00000000">
      <w:pPr>
        <w:pStyle w:val="SingleTxt"/>
      </w:pPr>
      <w:r>
        <w:tab/>
        <w:t>Результаты проведенного в Эстонии в 1999 и 2000 годах обследования свидетельствуют о различиях в оплачиваемом и неоплачиваемом труде мужчин и женщин в частной и публичной жизни. Согласно результатам этого обслед</w:t>
      </w:r>
      <w:r>
        <w:t>о</w:t>
      </w:r>
      <w:r>
        <w:t>вания, мужчины испытывают чрезмерную нагрузку на оплачиваемой работе, а женщины имеют мало времени для отдыха и любимых занятий или самообр</w:t>
      </w:r>
      <w:r>
        <w:t>а</w:t>
      </w:r>
      <w:r>
        <w:t>зования.</w:t>
      </w:r>
    </w:p>
    <w:p w:rsidR="00000000" w:rsidRDefault="00000000">
      <w:pPr>
        <w:pStyle w:val="SingleTxt"/>
      </w:pPr>
      <w:r>
        <w:tab/>
        <w:t>Средняя продолжительность рабочего времени в сутки у женщин (8 часов и 3 минуты) почти на час больше среднего рабочего времени у мужчин (7 часов и 8 минут). Таким образом, хотя мужчины в целом больше трудятся на оплач</w:t>
      </w:r>
      <w:r>
        <w:t>и</w:t>
      </w:r>
      <w:r>
        <w:t>ваемой работе, женщины работают в общей сложности значительно больше. Главный аспект гендерного неравенства в повседневной жизни находит свое отражение в существенно большем объеме выполняемой женщинами неопл</w:t>
      </w:r>
      <w:r>
        <w:t>а</w:t>
      </w:r>
      <w:r>
        <w:t>чиваемой работы, в результате чего женщины имеют меньше свободного вр</w:t>
      </w:r>
      <w:r>
        <w:t>е</w:t>
      </w:r>
      <w:r>
        <w:t>мени, т.е. времени которое они могут использовать для отдыха, развлечений, люб</w:t>
      </w:r>
      <w:r>
        <w:t>и</w:t>
      </w:r>
      <w:r>
        <w:t>мых занятий и самообразования.</w:t>
      </w:r>
    </w:p>
    <w:p w:rsidR="00000000" w:rsidRDefault="00000000">
      <w:pPr>
        <w:pStyle w:val="SingleTxt"/>
      </w:pPr>
      <w:r>
        <w:tab/>
        <w:t>Самое большое неравенство наблюдалось в возрастной группе от 20 до 34 лет, в которой объем работы по хозяйству у женщин на 2 часа 45 минут пр</w:t>
      </w:r>
      <w:r>
        <w:t>е</w:t>
      </w:r>
      <w:r>
        <w:t>вышал объем работы у му</w:t>
      </w:r>
      <w:r>
        <w:t>ж</w:t>
      </w:r>
      <w:r>
        <w:t>чин.</w:t>
      </w:r>
    </w:p>
    <w:p w:rsidR="00000000" w:rsidRDefault="00000000">
      <w:pPr>
        <w:pStyle w:val="SingleTxt"/>
      </w:pPr>
      <w:r>
        <w:tab/>
        <w:t>Результаты обследования также показали, что у более молодых и более образованных брачных пар обычная работа по хозяйству распределяется между пол</w:t>
      </w:r>
      <w:r>
        <w:t>а</w:t>
      </w:r>
      <w:r>
        <w:t>ми несколько более равномерно.</w:t>
      </w:r>
    </w:p>
    <w:p w:rsidR="00000000" w:rsidRDefault="00000000">
      <w:pPr>
        <w:pStyle w:val="SingleTxt"/>
      </w:pPr>
      <w:r>
        <w:tab/>
        <w:t>Можно отметить, что по сравнению с 1990 годом в строгом распредел</w:t>
      </w:r>
      <w:r>
        <w:t>е</w:t>
      </w:r>
      <w:r>
        <w:t>нии ролей между полами произошли определенные изменения. По результатам проведенного в 1999 году общеевропейского «Обследования европейских це</w:t>
      </w:r>
      <w:r>
        <w:t>н</w:t>
      </w:r>
      <w:r>
        <w:t>ностей» можно сделать вывод о том, что по сравнению с 1990 годом женщины в Эстонии теперь в меньшей степени ассоциируются с семьей и детьми. Н</w:t>
      </w:r>
      <w:r>
        <w:t>а</w:t>
      </w:r>
      <w:r>
        <w:t>пример, в ответ на вопрос «Должна ли женщина иметь детей для своей сам</w:t>
      </w:r>
      <w:r>
        <w:t>о</w:t>
      </w:r>
      <w:r>
        <w:t>реализации?» 84 процента эстонских респондентов в 1990 году ответили, что женщина должна иметь детей, тогда как десять лет спустя такого мнения пр</w:t>
      </w:r>
      <w:r>
        <w:t>и</w:t>
      </w:r>
      <w:r>
        <w:t>де</w:t>
      </w:r>
      <w:r>
        <w:t>р</w:t>
      </w:r>
      <w:r>
        <w:t>живались 67 процентов.</w:t>
      </w:r>
    </w:p>
    <w:p w:rsidR="00000000" w:rsidRDefault="00000000">
      <w:pPr>
        <w:pStyle w:val="SingleTxt"/>
      </w:pPr>
      <w:r>
        <w:tab/>
        <w:t>Профессиональная занятость матерей больше не рассматривается как п</w:t>
      </w:r>
      <w:r>
        <w:t>о</w:t>
      </w:r>
      <w:r>
        <w:t>меха формированию эмоциональных уз с детьми. Например, число людей, сч</w:t>
      </w:r>
      <w:r>
        <w:t>и</w:t>
      </w:r>
      <w:r>
        <w:t>тающих, что дети дошкольного возраста страдают оттого, что их мать работает, уменьшилось. Число людей, отдающих предпочтение прежней ситуации, де</w:t>
      </w:r>
      <w:r>
        <w:t>й</w:t>
      </w:r>
      <w:r>
        <w:t>ствительно резко сократилось. В 1990 году 89 процентов женщин в Эстонии считали, что хотя хорошо иметь профессиональную карьеру, большинство женщин все же самым важным считали наличие дома и детей. Десять лет спу</w:t>
      </w:r>
      <w:r>
        <w:t>с</w:t>
      </w:r>
      <w:r>
        <w:t>тя такое мнение разделяли 69 процентов. В 1990 году 51 процент взрослого н</w:t>
      </w:r>
      <w:r>
        <w:t>а</w:t>
      </w:r>
      <w:r>
        <w:t>селения полагали, что работа может помочь женщине стать более независимой, тогда как в 1999 году это число составило уже 73 процента.</w:t>
      </w:r>
    </w:p>
    <w:p w:rsidR="00000000" w:rsidRDefault="00000000">
      <w:pPr>
        <w:pStyle w:val="SingleTxt"/>
      </w:pPr>
      <w:r>
        <w:tab/>
        <w:t>Что касается принятия важных решений в семье, то эстонские семьи в этом отношении довольно демократичны — супруги/партнеры большинство решений принимают сообща. Когда решение принимается в основном одним партнером, то можно провести различие между так называемыми женскими областями компетенции (увеличение семьи, использование свободного врем</w:t>
      </w:r>
      <w:r>
        <w:t>е</w:t>
      </w:r>
      <w:r>
        <w:t>ни, образование детей и так далее) и мужскими областями компетенции (реш</w:t>
      </w:r>
      <w:r>
        <w:t>е</w:t>
      </w:r>
      <w:r>
        <w:t>ние о крупных расходах). Исходя из результатов обследования «Женщина, с</w:t>
      </w:r>
      <w:r>
        <w:t>е</w:t>
      </w:r>
      <w:r>
        <w:t>мья и труд», проведенного в 2000 году Институтом международных и социал</w:t>
      </w:r>
      <w:r>
        <w:t>ь</w:t>
      </w:r>
      <w:r>
        <w:t>ных исследований Таллиннского педагогического университета, можно утве</w:t>
      </w:r>
      <w:r>
        <w:t>р</w:t>
      </w:r>
      <w:r>
        <w:t>ждать, что в большинстве семей с малолетними детьми в Таллинне самые ва</w:t>
      </w:r>
      <w:r>
        <w:t>ж</w:t>
      </w:r>
      <w:r>
        <w:t>ные решения супруги принимают сообща. Судя по ответам женщин, можно сделать тот вывод, что мужчины не имеют последнего слова в вопросах, имеющих большое значение для семьи. В финансовых вопросах в семье гла</w:t>
      </w:r>
      <w:r>
        <w:t>в</w:t>
      </w:r>
      <w:r>
        <w:t>ное место занимают решения о крупных расходах. Четверть женщин заявили, что этот вопрос решается ими самими, тогда как каждая седьмая женщина о</w:t>
      </w:r>
      <w:r>
        <w:t>т</w:t>
      </w:r>
      <w:r>
        <w:t>ветила, что ответственность за такие решения лежит на муже. Большинство женщин, участвовавших в обследовании, полагали, что работа по хозяйству должна распределяться в зависимости от ситуации, а не в силу традиций (80 процентов). Более одного их десяти респондентов (12 процентов) считали, что работа по хозяйству должна распределяться поровну в зависимости от об</w:t>
      </w:r>
      <w:r>
        <w:t>ъ</w:t>
      </w:r>
      <w:r>
        <w:t>ема работы или наличия времени.</w:t>
      </w:r>
    </w:p>
    <w:p w:rsidR="00000000" w:rsidRDefault="00000000">
      <w:pPr>
        <w:pStyle w:val="SingleTxt"/>
      </w:pPr>
      <w:r>
        <w:tab/>
        <w:t>В поддержку традиционного взгляда — что женщины должны выполнять женскую работу, а мужчины мужскую — высказались 8 процентов женщин. Сторонники традиционного взгляда несколько преобладали среди женщин с более низким уровнем образования. Типичным для большинства матерей с детьми дошкольного возраста было мнение, согласно которому супруги (род</w:t>
      </w:r>
      <w:r>
        <w:t>и</w:t>
      </w:r>
      <w:r>
        <w:t>тели) должны в равной мере выполнять работу по дому как с точки зрения времени, так и сточки зрения объема.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Роль гибкого использования рабочего времени</w:t>
      </w:r>
    </w:p>
    <w:p w:rsidR="00000000" w:rsidRDefault="00000000">
      <w:pPr>
        <w:pStyle w:val="SingleTxt"/>
        <w:spacing w:after="0" w:line="120" w:lineRule="exact"/>
        <w:rPr>
          <w:sz w:val="10"/>
        </w:rPr>
      </w:pPr>
    </w:p>
    <w:p w:rsidR="00000000" w:rsidRDefault="00000000">
      <w:pPr>
        <w:pStyle w:val="SingleTxt"/>
      </w:pPr>
      <w:r>
        <w:tab/>
        <w:t>По результатам обследования «Женщина, семья и труд» можно утве</w:t>
      </w:r>
      <w:r>
        <w:t>р</w:t>
      </w:r>
      <w:r>
        <w:t>ждать, что женщины с малолетними детьми придерживаются современных взглядов — менее четверти из них (23 процента) хотели бы оставаться домох</w:t>
      </w:r>
      <w:r>
        <w:t>о</w:t>
      </w:r>
      <w:r>
        <w:t>зяйками в случае финансового благополучия. Вместе с тем относительно н</w:t>
      </w:r>
      <w:r>
        <w:t>е</w:t>
      </w:r>
      <w:r>
        <w:t>много (15 процентов) было также тех женщин, которые сказали, что в случае значительного улучшения их финансового положения они, тем не менее, хот</w:t>
      </w:r>
      <w:r>
        <w:t>е</w:t>
      </w:r>
      <w:r>
        <w:t>ли бы работать полный рабочий день. Остальные женщины предпочли бы р</w:t>
      </w:r>
      <w:r>
        <w:t>а</w:t>
      </w:r>
      <w:r>
        <w:t>ботать по сокращенному рабочему графику. Исходя из результатов этого обсл</w:t>
      </w:r>
      <w:r>
        <w:t>е</w:t>
      </w:r>
      <w:r>
        <w:t>дования, можно сделать тот вывод, что желание оставаться дома или продо</w:t>
      </w:r>
      <w:r>
        <w:t>л</w:t>
      </w:r>
      <w:r>
        <w:t>жать работать не зависит существенно от возраста женщин или возраста и к</w:t>
      </w:r>
      <w:r>
        <w:t>о</w:t>
      </w:r>
      <w:r>
        <w:t>личества детей. Однако существует корреляция между желанием продолжать работать и уровнем образования женщин, их профессиональным положением и финансовой ситуацией в семье. Среди женщин с высшим образование по сра</w:t>
      </w:r>
      <w:r>
        <w:t>в</w:t>
      </w:r>
      <w:r>
        <w:t>нению с женщинами, имеющими среднее образование, больше тех, кто пр</w:t>
      </w:r>
      <w:r>
        <w:t>о</w:t>
      </w:r>
      <w:r>
        <w:t>должил бы работать даже в том случае, когда финансовое положение позволяло бы им оставаться дома. Очевидно, инвестиции в образование и приобретенные через образование взгляды позволяют женщинам с высшим образованием ра</w:t>
      </w:r>
      <w:r>
        <w:t>с</w:t>
      </w:r>
      <w:r>
        <w:t>сматривать труд в более широком контексте, нежели как простую возможность зар</w:t>
      </w:r>
      <w:r>
        <w:t>а</w:t>
      </w:r>
      <w:r>
        <w:t>батывать на жизнь.</w:t>
      </w:r>
    </w:p>
    <w:p w:rsidR="00000000" w:rsidRDefault="00000000">
      <w:pPr>
        <w:pStyle w:val="SingleTxt"/>
      </w:pPr>
      <w:r>
        <w:tab/>
        <w:t>В год проведения обследования матери после родов имели право на о</w:t>
      </w:r>
      <w:r>
        <w:t>т</w:t>
      </w:r>
      <w:r>
        <w:t>пуск продолжительностью 56 дней, после чего они также могли использовать отпуск по уходу за ребенком до достижения ребенком трехлетнего возраста. Лишь чуть больше трети женщин, участвовавших в обследовании (36 проце</w:t>
      </w:r>
      <w:r>
        <w:t>н</w:t>
      </w:r>
      <w:r>
        <w:t>тов), использовали возможность оставаться дома до достижения ребенком трехлетнего возраста, и почти пятая часть (18 процентов) вернулась на работу до достижения ребенком возраста в один год. Молодые женщины в возрасте до 30 лет и в основном с высшим образованием чаще считали возможным и нео</w:t>
      </w:r>
      <w:r>
        <w:t>б</w:t>
      </w:r>
      <w:r>
        <w:t>ходимым вернуться на работу раньше, чем женщины старше 30 лет или же</w:t>
      </w:r>
      <w:r>
        <w:t>н</w:t>
      </w:r>
      <w:r>
        <w:t>щины со средним образованием. Важным фактором являлось также профе</w:t>
      </w:r>
      <w:r>
        <w:t>с</w:t>
      </w:r>
      <w:r>
        <w:t>сиональное положение женщин. Почти четверть женщин (24 процента) на р</w:t>
      </w:r>
      <w:r>
        <w:t>у</w:t>
      </w:r>
      <w:r>
        <w:t>ководящих должностях и женщин-специалистов вернулись на работу до до</w:t>
      </w:r>
      <w:r>
        <w:t>с</w:t>
      </w:r>
      <w:r>
        <w:t>тижения ребенком возраста в один год, а среди женщин в частном бизнесе т</w:t>
      </w:r>
      <w:r>
        <w:t>а</w:t>
      </w:r>
      <w:r>
        <w:t>ких было 33 процента по сравнению лишь с 11 процентами в секторе услуг и среди работниц физического труда.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Отношение к родительской роли</w:t>
      </w:r>
    </w:p>
    <w:p w:rsidR="00000000" w:rsidRDefault="00000000">
      <w:pPr>
        <w:pStyle w:val="SingleTxt"/>
        <w:spacing w:after="0" w:line="120" w:lineRule="exact"/>
        <w:rPr>
          <w:sz w:val="10"/>
        </w:rPr>
      </w:pPr>
    </w:p>
    <w:p w:rsidR="00000000" w:rsidRDefault="00000000">
      <w:pPr>
        <w:pStyle w:val="SingleTxt"/>
      </w:pPr>
      <w:r>
        <w:tab/>
        <w:t>Эстонские работодатели имеют стереотипную тенденцию относиться к женщинам как к родителям, тогда как на мужчин такое отношение не распр</w:t>
      </w:r>
      <w:r>
        <w:t>о</w:t>
      </w:r>
      <w:r>
        <w:t>страняется. Это, однако, имеет негативные последствия для обоих полов. Ди</w:t>
      </w:r>
      <w:r>
        <w:t>с</w:t>
      </w:r>
      <w:r>
        <w:t>криминация по признаку пола на рынке труда нередко обусловлена «уязв</w:t>
      </w:r>
      <w:r>
        <w:t>и</w:t>
      </w:r>
      <w:r>
        <w:t>мым» статусом женщин еще на этапе поиска работы, поскольку работодатели склонны уделять чрезмерное внимание аспектам, не связанным с функциями работника. Существование семьи и детей нередко ассоциируется с традицио</w:t>
      </w:r>
      <w:r>
        <w:t>н</w:t>
      </w:r>
      <w:r>
        <w:t>ной домашней ролью женщины, и работодатели нередко опасаются проблем, которые могут возникать, когда женщины пытаются совмещать свою семейную жизнь с работой. В силу такого отношения женщины с малолетними детьми нередко считают, что при конкуренции за получение более хорошей работы д</w:t>
      </w:r>
      <w:r>
        <w:t>е</w:t>
      </w:r>
      <w:r>
        <w:t>ти становятся препятствием для получения работы или повышения в должн</w:t>
      </w:r>
      <w:r>
        <w:t>о</w:t>
      </w:r>
      <w:r>
        <w:t>сти. В этих условиях мы можем говорить о существующем в Эстонии явном конфликте между ожиданиями мужчин и ожиданиями женщин. Дилеммы, с к</w:t>
      </w:r>
      <w:r>
        <w:t>о</w:t>
      </w:r>
      <w:r>
        <w:t>торыми сталкиваются женщины в совмещении своих ролей в семье и на раб</w:t>
      </w:r>
      <w:r>
        <w:t>о</w:t>
      </w:r>
      <w:r>
        <w:t>те, были подробно проанализированы, тогда как подобные проблемы среди мужчин не подвергались тщательному изучению.</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Роль средств массовой информации, государственных институтов и неправительственных организаций</w:t>
      </w:r>
    </w:p>
    <w:p w:rsidR="00000000" w:rsidRDefault="00000000">
      <w:pPr>
        <w:pStyle w:val="SingleTxt"/>
        <w:spacing w:after="0" w:line="120" w:lineRule="exact"/>
        <w:rPr>
          <w:sz w:val="10"/>
        </w:rPr>
      </w:pPr>
    </w:p>
    <w:p w:rsidR="00000000" w:rsidRDefault="00000000">
      <w:pPr>
        <w:pStyle w:val="SingleTxt"/>
      </w:pPr>
      <w:r>
        <w:tab/>
        <w:t>Средства массовой информации играют большую роль в возникновении и з</w:t>
      </w:r>
      <w:r>
        <w:t>а</w:t>
      </w:r>
      <w:r>
        <w:t>креплении стереотипов, равно как и в формировании новых воззрений.</w:t>
      </w:r>
    </w:p>
    <w:p w:rsidR="00000000" w:rsidRDefault="00000000">
      <w:pPr>
        <w:pStyle w:val="SingleTxt"/>
      </w:pPr>
      <w:r>
        <w:tab/>
        <w:t>Хотя в средствах массовой информации в Эстонии работает большое чи</w:t>
      </w:r>
      <w:r>
        <w:t>с</w:t>
      </w:r>
      <w:r>
        <w:t>ло журналистов-женщин, немногие из них занимаю руководящие должности. Женщины являются редакторами в основном женских журналов и журналов по вопросам здоровья и семьи, но не общенациональных ежедневных и иных г</w:t>
      </w:r>
      <w:r>
        <w:t>а</w:t>
      </w:r>
      <w:r>
        <w:t>зет. Эстонские светские и женские журналы зачастую весьма стереотипно трактуют роль мужчин и женщин и тем самым закрепляют и возрождают тр</w:t>
      </w:r>
      <w:r>
        <w:t>а</w:t>
      </w:r>
      <w:r>
        <w:t>диционные представления о роли мужчин и женщин в обществе.</w:t>
      </w:r>
    </w:p>
    <w:p w:rsidR="00000000" w:rsidRDefault="00000000">
      <w:pPr>
        <w:pStyle w:val="SingleTxt"/>
      </w:pPr>
      <w:r>
        <w:tab/>
        <w:t>Проведенное Тартуским университетом в 2000 году обследование средств массовой информации показало, что доля тематики для женщин во всех сре</w:t>
      </w:r>
      <w:r>
        <w:t>д</w:t>
      </w:r>
      <w:r>
        <w:t>ствах массовой информации в Эстонии составляла 28 процентов. В 2002–</w:t>
      </w:r>
      <w:r>
        <w:br/>
        <w:t>2004 годах было проанализировано, как изображаются женщины в телевизио</w:t>
      </w:r>
      <w:r>
        <w:t>н</w:t>
      </w:r>
      <w:r>
        <w:t>ных передачах, и для журналистов были подготовлены материалы исследов</w:t>
      </w:r>
      <w:r>
        <w:t>а</w:t>
      </w:r>
      <w:r>
        <w:t>ния, показывающие стереотипы и манипуляции, с помощью которых в средс</w:t>
      </w:r>
      <w:r>
        <w:t>т</w:t>
      </w:r>
      <w:r>
        <w:t>вах массовой информации женщины изображаются как представители своей гру</w:t>
      </w:r>
      <w:r>
        <w:t>п</w:t>
      </w:r>
      <w:r>
        <w:t>пы, а не как самостоятельные личности.</w:t>
      </w:r>
    </w:p>
    <w:p w:rsidR="00000000" w:rsidRDefault="00000000">
      <w:pPr>
        <w:pStyle w:val="SingleTxt"/>
      </w:pPr>
      <w:r>
        <w:tab/>
        <w:t>В 2002 году было проведено обследование по вопросу о женщинах в тел</w:t>
      </w:r>
      <w:r>
        <w:t>е</w:t>
      </w:r>
      <w:r>
        <w:t>визионных передачах. Оказалось, что за 55 часов телевизионного времени те, кому на телевидении было предоставлено время для выступления, 33 процента были женщины и 67 процентов — мужчины. В то же время женщины выступ</w:t>
      </w:r>
      <w:r>
        <w:t>а</w:t>
      </w:r>
      <w:r>
        <w:t>ли только в течение 20 процентов телевизионного времени, поскольку их в</w:t>
      </w:r>
      <w:r>
        <w:t>ы</w:t>
      </w:r>
      <w:r>
        <w:t>ступления были короче выступлений мужчин. Женщинам предоставлялась возможность выступать в основном в качестве обычных граждан, а не в кач</w:t>
      </w:r>
      <w:r>
        <w:t>е</w:t>
      </w:r>
      <w:r>
        <w:t>стве эк</w:t>
      </w:r>
      <w:r>
        <w:t>с</w:t>
      </w:r>
      <w:r>
        <w:t>пертов или ведущих представителей общественного мнения.</w:t>
      </w:r>
    </w:p>
    <w:p w:rsidR="00000000" w:rsidRDefault="00000000">
      <w:pPr>
        <w:pStyle w:val="SingleTxt"/>
      </w:pPr>
      <w:r>
        <w:tab/>
        <w:t>В течение периода, охватываемого настоящим докладом, была написана дюжина работ на соискание степени бакалавра и магистра, в которых анализ</w:t>
      </w:r>
      <w:r>
        <w:t>и</w:t>
      </w:r>
      <w:r>
        <w:t>ровалось, как средства массовой информации создают благоприятную среду для предвзятых и стереотипных взглядов и представлений. Навязываемые средствами массовой информации представления о роли женщин и мужчин, прежде всего с помощью рекламы, ограничивают свободу выбора и побуждают молодых женщин воспринимать себя в качестве объектов сексуальных вожд</w:t>
      </w:r>
      <w:r>
        <w:t>е</w:t>
      </w:r>
      <w:r>
        <w:t>лений.</w:t>
      </w:r>
    </w:p>
    <w:p w:rsidR="00000000" w:rsidRDefault="00000000">
      <w:pPr>
        <w:pStyle w:val="SingleTxt"/>
      </w:pPr>
      <w:r>
        <w:tab/>
        <w:t>Чтобы добиться осознания этой проблемы вообще и журналистами в ч</w:t>
      </w:r>
      <w:r>
        <w:t>а</w:t>
      </w:r>
      <w:r>
        <w:t>стности, Эстония принимает участие в реализации международного проекта «Роль средств массовой информации в (пере)распределении власти», финанс</w:t>
      </w:r>
      <w:r>
        <w:t>и</w:t>
      </w:r>
      <w:r>
        <w:t>руемом по линии рамочной программы обеспечения гендерного равенства Е</w:t>
      </w:r>
      <w:r>
        <w:t>в</w:t>
      </w:r>
      <w:r>
        <w:t>ропейского союза. В рамках этого проекта анализируется, какой образ же</w:t>
      </w:r>
      <w:r>
        <w:t>н</w:t>
      </w:r>
      <w:r>
        <w:t>щин-политиков рисуют средства массовой информации и как освещается их роль в жизни общества, а также организуются семинары для журналистов, политиков и руководителей по вопросам общественных связей.</w:t>
      </w:r>
    </w:p>
    <w:p w:rsidR="00000000" w:rsidRDefault="00000000">
      <w:pPr>
        <w:pStyle w:val="SingleTxt"/>
      </w:pPr>
      <w:r>
        <w:tab/>
        <w:t>Многие мероприятия государственных учреждений (министерства соц</w:t>
      </w:r>
      <w:r>
        <w:t>и</w:t>
      </w:r>
      <w:r>
        <w:t>альных дел, канцлера юстиции), а также неправительственных организаций, таких, как Эстонский женский научно-исследовательский и информационный центр, Женский учебно-подготовительный центр и Гражданский учебно-подготовительный центр, были направлены на повышение осведомленности о проблемах неравенства и на изменение стереотипов и представлений в вопросе о роли женщин. Повышению осведомленности в этом отношении также соде</w:t>
      </w:r>
      <w:r>
        <w:t>й</w:t>
      </w:r>
      <w:r>
        <w:t>ствовало активное участие в этой работе женских организаций на местном уровне.</w:t>
      </w:r>
    </w:p>
    <w:p w:rsidR="00000000" w:rsidRDefault="00000000">
      <w:pPr>
        <w:pStyle w:val="SingleTxt"/>
      </w:pPr>
      <w:r>
        <w:tab/>
        <w:t>Комитет настоятельно призвал к разработке всеобъемлющих программ в сфере образования, которые способствовали бы изменению традиционных ст</w:t>
      </w:r>
      <w:r>
        <w:t>е</w:t>
      </w:r>
      <w:r>
        <w:t>реотипных представлений о распределении ролей в семье, на работе, в полит</w:t>
      </w:r>
      <w:r>
        <w:t>и</w:t>
      </w:r>
      <w:r>
        <w:t>ке и обществе. Эстонии еще предстоит в полной мере выполнить эту рекоме</w:t>
      </w:r>
      <w:r>
        <w:t>н</w:t>
      </w:r>
      <w:r>
        <w:t>дацию, но данная проблема была уже осознана.</w:t>
      </w:r>
    </w:p>
    <w:p w:rsidR="00000000" w:rsidRDefault="00000000">
      <w:pPr>
        <w:pStyle w:val="SingleTxt"/>
        <w:spacing w:after="0" w:line="120" w:lineRule="exact"/>
        <w:rPr>
          <w:sz w:val="10"/>
        </w:rPr>
      </w:pPr>
    </w:p>
    <w:p w:rsidR="00000000" w:rsidRDefault="00000000">
      <w:pPr>
        <w:pStyle w:val="SingleTxt"/>
        <w:rPr>
          <w:b/>
        </w:rPr>
      </w:pPr>
      <w:r>
        <w:rPr>
          <w:b/>
        </w:rPr>
        <w:tab/>
        <w:t>b)</w:t>
      </w:r>
      <w:r>
        <w:rPr>
          <w:b/>
        </w:rPr>
        <w:tab/>
        <w:t>обеспечить, чтобы семейное воспитание включало в себя пр</w:t>
      </w:r>
      <w:r>
        <w:rPr>
          <w:b/>
        </w:rPr>
        <w:t>а</w:t>
      </w:r>
      <w:r>
        <w:rPr>
          <w:b/>
        </w:rPr>
        <w:t>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w:t>
      </w:r>
      <w:r>
        <w:rPr>
          <w:b/>
        </w:rPr>
        <w:t>а</w:t>
      </w:r>
      <w:r>
        <w:rPr>
          <w:b/>
        </w:rPr>
        <w:t>дающими.</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Финансовая поддержка со стороны государства</w:t>
      </w:r>
    </w:p>
    <w:p w:rsidR="00000000" w:rsidRDefault="00000000">
      <w:pPr>
        <w:pStyle w:val="SingleTxt"/>
        <w:spacing w:after="0" w:line="120" w:lineRule="exact"/>
        <w:rPr>
          <w:sz w:val="10"/>
        </w:rPr>
      </w:pPr>
    </w:p>
    <w:p w:rsidR="00000000" w:rsidRDefault="00000000">
      <w:pPr>
        <w:pStyle w:val="SingleTxt"/>
      </w:pPr>
      <w:r>
        <w:tab/>
        <w:t>1 января 2004 года вступил в силу Закон о родительском пособии, цель которого компенсировать потерю дохода, вызванную уходом за малолетним р</w:t>
      </w:r>
      <w:r>
        <w:t>е</w:t>
      </w:r>
      <w:r>
        <w:t>бенком, и помочь совмещению работы и семейной жизни. Родитель, наход</w:t>
      </w:r>
      <w:r>
        <w:t>я</w:t>
      </w:r>
      <w:r>
        <w:t>щийся в родительском отпуске, может получать родительское пособие до тех пор, пока ребенку не исполнится 11 месяцев, после чего родитель будет пол</w:t>
      </w:r>
      <w:r>
        <w:t>у</w:t>
      </w:r>
      <w:r>
        <w:t>чать пособие по уходу за ребенком до достижения ребенком трехлетнего во</w:t>
      </w:r>
      <w:r>
        <w:t>з</w:t>
      </w:r>
      <w:r>
        <w:t>раста.</w:t>
      </w:r>
    </w:p>
    <w:p w:rsidR="00000000" w:rsidRDefault="00000000">
      <w:pPr>
        <w:pStyle w:val="SingleTxt"/>
      </w:pPr>
      <w:r>
        <w:tab/>
        <w:t>Сумма родительского пособия рассчитывается по облагаемому социал</w:t>
      </w:r>
      <w:r>
        <w:t>ь</w:t>
      </w:r>
      <w:r>
        <w:t>ным налогом доходу, полученному за предыдущий календарный год по отн</w:t>
      </w:r>
      <w:r>
        <w:t>о</w:t>
      </w:r>
      <w:r>
        <w:t>шению к дате, на которую возникает право на получение родительского пос</w:t>
      </w:r>
      <w:r>
        <w:t>о</w:t>
      </w:r>
      <w:r>
        <w:t>бия. Родителям, которые не работали, выплачивается сумма государственного родительского пособия (в 2004 году она равнялась 2200 эстонских крон в м</w:t>
      </w:r>
      <w:r>
        <w:t>е</w:t>
      </w:r>
      <w:r>
        <w:t>сяц).</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Совмещение работы и семейной жизни</w:t>
      </w:r>
    </w:p>
    <w:p w:rsidR="00000000" w:rsidRDefault="00000000">
      <w:pPr>
        <w:pStyle w:val="SingleTxt"/>
        <w:spacing w:after="0" w:line="120" w:lineRule="exact"/>
        <w:rPr>
          <w:sz w:val="10"/>
        </w:rPr>
      </w:pPr>
    </w:p>
    <w:p w:rsidR="00000000" w:rsidRDefault="00000000">
      <w:pPr>
        <w:pStyle w:val="SingleTxt"/>
      </w:pPr>
      <w:r>
        <w:tab/>
        <w:t>В 2001 году по заказу канцелярии министра по вопросам народонаселения было проведено обследование на тему «Семьи с детьми и национальная пол</w:t>
      </w:r>
      <w:r>
        <w:t>и</w:t>
      </w:r>
      <w:r>
        <w:t>тика в вопросах семьи: проблемы совмещения профессиональной и семейной жизни и их связь с демографическим поведением населения». Это обследов</w:t>
      </w:r>
      <w:r>
        <w:t>а</w:t>
      </w:r>
      <w:r>
        <w:t>ние проводилось исследователями Института международных и социальных исследований Таллиннского педагогического университета, и при его провед</w:t>
      </w:r>
      <w:r>
        <w:t>е</w:t>
      </w:r>
      <w:r>
        <w:t>нии прежде всего выяснялись положение на таллиннском рынке труда женщин с детьми в возрасте до 10 лет и наиболее частые препятствия для совмещения работы с семейной жизнью. Впервые в столь широком плане была поставлена пробл</w:t>
      </w:r>
      <w:r>
        <w:t>е</w:t>
      </w:r>
      <w:r>
        <w:t>ма несовместимости работы и семейной жизни в Эстонии.</w:t>
      </w:r>
    </w:p>
    <w:p w:rsidR="00000000" w:rsidRDefault="00000000">
      <w:pPr>
        <w:pStyle w:val="SingleTxt"/>
      </w:pPr>
      <w:r>
        <w:tab/>
        <w:t>Комитет был обеспокоен ситуацией молодых женщин, которые сталкив</w:t>
      </w:r>
      <w:r>
        <w:t>а</w:t>
      </w:r>
      <w:r>
        <w:t>ются с трудностями на рынке труда ввиду лежащих на них домашних и семе</w:t>
      </w:r>
      <w:r>
        <w:t>й</w:t>
      </w:r>
      <w:r>
        <w:t>ных об</w:t>
      </w:r>
      <w:r>
        <w:t>я</w:t>
      </w:r>
      <w:r>
        <w:t>занностях.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Роль родителей</w:t>
      </w:r>
    </w:p>
    <w:p w:rsidR="00000000" w:rsidRDefault="00000000">
      <w:pPr>
        <w:pStyle w:val="SingleTxt"/>
        <w:spacing w:after="0" w:line="120" w:lineRule="exact"/>
        <w:rPr>
          <w:sz w:val="10"/>
        </w:rPr>
      </w:pPr>
    </w:p>
    <w:p w:rsidR="00000000" w:rsidRDefault="00000000">
      <w:pPr>
        <w:pStyle w:val="SingleTxt"/>
      </w:pPr>
      <w:r>
        <w:tab/>
        <w:t>Одной из самых разительных перемен в последнее десятилетие стало распространение возможности семейных родов и изменение к этому отнош</w:t>
      </w:r>
      <w:r>
        <w:t>е</w:t>
      </w:r>
      <w:r>
        <w:t>ния. Если 1992 году на семейные роды приходилось 12,6 процента всех рожд</w:t>
      </w:r>
      <w:r>
        <w:t>е</w:t>
      </w:r>
      <w:r>
        <w:t>ний, то в 2002 году их доля уже составляла 60,3 процента (по данным эсто</w:t>
      </w:r>
      <w:r>
        <w:t>н</w:t>
      </w:r>
      <w:r>
        <w:t>ского мед</w:t>
      </w:r>
      <w:r>
        <w:t>и</w:t>
      </w:r>
      <w:r>
        <w:t>цинского реестра деторождений).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Время, проводимое с детьми</w:t>
      </w:r>
    </w:p>
    <w:p w:rsidR="00000000" w:rsidRDefault="00000000">
      <w:pPr>
        <w:pStyle w:val="SingleTxt"/>
        <w:spacing w:after="0" w:line="120" w:lineRule="exact"/>
        <w:rPr>
          <w:sz w:val="10"/>
        </w:rPr>
      </w:pPr>
    </w:p>
    <w:p w:rsidR="00000000" w:rsidRDefault="00000000">
      <w:pPr>
        <w:pStyle w:val="SingleTxt"/>
      </w:pPr>
      <w:r>
        <w:tab/>
        <w:t>В период 1993–2003 годов матери и отцы по-разному оценивали время, которое они проводят с детьми. К 2003 году число мужчин, которые считают, что они проводят достаточно времени с детьми, удвоилось. В 1993 и 1998 годах только 10 процентов мужчин считали, что они проводят достаточно времени со своими детьми, тогда как в 2003 году их стало в два раза больше. Такая же те</w:t>
      </w:r>
      <w:r>
        <w:t>н</w:t>
      </w:r>
      <w:r>
        <w:t>денция наблюдалась и среди матерей. Согласно обследованиям 1993 и 1998 г</w:t>
      </w:r>
      <w:r>
        <w:t>о</w:t>
      </w:r>
      <w:r>
        <w:t>дов, 25 процентов женщин были удовлетворены количеством временем, пров</w:t>
      </w:r>
      <w:r>
        <w:t>о</w:t>
      </w:r>
      <w:r>
        <w:t>димым с детьми, тогда как в 2003 году их доля составляла уже 42 процента.</w:t>
      </w:r>
    </w:p>
    <w:p w:rsidR="00000000" w:rsidRDefault="00000000">
      <w:pPr>
        <w:pStyle w:val="SingleTxt"/>
      </w:pPr>
      <w:r>
        <w:tab/>
        <w:t>Однако все еще большое число мужчин (50 процентов) с беспокойством отмечают, что они проводят со своими детьми меньше времени, чем это нео</w:t>
      </w:r>
      <w:r>
        <w:t>б</w:t>
      </w:r>
      <w:r>
        <w:t>ходимо (Институт международных и социальных исследований Таллиннского педагогического университета, обследования «Эстония 93», «Эстония 98», «Эстония 2003»).</w:t>
      </w:r>
    </w:p>
    <w:p w:rsidR="00000000" w:rsidRDefault="00000000">
      <w:pPr>
        <w:pStyle w:val="SingleTxt"/>
      </w:pPr>
      <w:r>
        <w:tab/>
        <w:t>Можно утверждать, что в обществе число отцов, которые уделяют (и х</w:t>
      </w:r>
      <w:r>
        <w:t>о</w:t>
      </w:r>
      <w:r>
        <w:t>тят уделять) во</w:t>
      </w:r>
      <w:r>
        <w:t>с</w:t>
      </w:r>
      <w:r>
        <w:t>питанию детей столько же времени, что и матери, возрастает.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Ситуация родителей-одиночек</w:t>
      </w:r>
    </w:p>
    <w:p w:rsidR="00000000" w:rsidRDefault="00000000">
      <w:pPr>
        <w:pStyle w:val="SingleTxt"/>
        <w:spacing w:after="0" w:line="120" w:lineRule="exact"/>
        <w:rPr>
          <w:sz w:val="10"/>
        </w:rPr>
      </w:pPr>
    </w:p>
    <w:p w:rsidR="00000000" w:rsidRDefault="00000000">
      <w:pPr>
        <w:pStyle w:val="SingleTxt"/>
      </w:pPr>
      <w:r>
        <w:tab/>
        <w:t>Женщины составляют подавляющее большинство родителей-одиночек, и только 1 пр</w:t>
      </w:r>
      <w:r>
        <w:t>о</w:t>
      </w:r>
      <w:r>
        <w:t>цент родителей-одиночек — мужчины.</w:t>
      </w:r>
    </w:p>
    <w:p w:rsidR="00000000" w:rsidRDefault="00000000">
      <w:pPr>
        <w:pStyle w:val="SingleTxt"/>
      </w:pPr>
      <w:r>
        <w:tab/>
        <w:t>Более сложное экономическое положение матерей-одиночек обусловлено недостаточной финансовой поддержкой со стороны другого родителя. Фина</w:t>
      </w:r>
      <w:r>
        <w:t>н</w:t>
      </w:r>
      <w:r>
        <w:t>совую поддержку со стороны другого родителя получали 11 процентов мат</w:t>
      </w:r>
      <w:r>
        <w:t>е</w:t>
      </w:r>
      <w:r>
        <w:t>рей-одиночек и 40 процентов разведенных матерей и матерей, проживающих отдельно. 75 процентов матерей-одиночек получали помощь со стороны своих родственников.</w:t>
      </w:r>
    </w:p>
    <w:p w:rsidR="00000000" w:rsidRDefault="00000000">
      <w:pPr>
        <w:pStyle w:val="SingleTxt"/>
      </w:pPr>
      <w:r>
        <w:tab/>
        <w:t>После развода уровень жизни матери-одиночки ухудшается, и ее социал</w:t>
      </w:r>
      <w:r>
        <w:t>ь</w:t>
      </w:r>
      <w:r>
        <w:t>ная среда меняется. Плохие отношения между родителями, отсутствие отца или редкие встречи с отцом могут искажать представление ребенка о роли отца в семье.</w:t>
      </w:r>
    </w:p>
    <w:p w:rsidR="00000000" w:rsidRDefault="00000000">
      <w:pPr>
        <w:pStyle w:val="SingleTxt"/>
      </w:pPr>
      <w:r>
        <w:tab/>
        <w:t>В 2003 году Эстонский детский фонд организовал кампанию, имеющую целью информировать общество о важной роли фигуры отца и роли отцовства и стимулировать налаж</w:t>
      </w:r>
      <w:r>
        <w:t>и</w:t>
      </w:r>
      <w:r>
        <w:t>вание отцами отношений со своими детьми.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Государственная политика в вопросах семьи</w:t>
      </w:r>
    </w:p>
    <w:p w:rsidR="00000000" w:rsidRDefault="00000000">
      <w:pPr>
        <w:pStyle w:val="SingleTxt"/>
        <w:spacing w:after="0" w:line="120" w:lineRule="exact"/>
        <w:rPr>
          <w:sz w:val="10"/>
        </w:rPr>
      </w:pPr>
    </w:p>
    <w:p w:rsidR="00000000" w:rsidRDefault="00000000">
      <w:pPr>
        <w:pStyle w:val="SingleTxt"/>
      </w:pPr>
      <w:r>
        <w:tab/>
        <w:t>Семья, основанная на традиционном зарегистрированном браке, теряет в Эстонии популярность. Все больше пар не регистрируют официально свое партне</w:t>
      </w:r>
      <w:r>
        <w:t>р</w:t>
      </w:r>
      <w:r>
        <w:t>ство, даже когда в семье рождаются дети.</w:t>
      </w:r>
    </w:p>
    <w:p w:rsidR="00000000" w:rsidRDefault="00000000">
      <w:pPr>
        <w:pStyle w:val="SingleTxt"/>
      </w:pPr>
      <w:r>
        <w:tab/>
        <w:t>Согласно исследованиям Института международных и социальных иссл</w:t>
      </w:r>
      <w:r>
        <w:t>е</w:t>
      </w:r>
      <w:r>
        <w:t>дований Таллиннского педагогического университета, число незарегистрир</w:t>
      </w:r>
      <w:r>
        <w:t>о</w:t>
      </w:r>
      <w:r>
        <w:t>ванных браков увеличивается. В1993 году в возрастной группе от 18 до 24 лет на незарегистрированные совместно проживающие пары приходилось 24 пр</w:t>
      </w:r>
      <w:r>
        <w:t>о</w:t>
      </w:r>
      <w:r>
        <w:t>цента всех совместно проживающих пар, а в 2003 году их доля возросла до 79 пр</w:t>
      </w:r>
      <w:r>
        <w:t>о</w:t>
      </w:r>
      <w:r>
        <w:t>центов.</w:t>
      </w:r>
    </w:p>
    <w:p w:rsidR="00000000" w:rsidRDefault="00000000">
      <w:pPr>
        <w:pStyle w:val="SingleTxt"/>
      </w:pPr>
      <w:r>
        <w:tab/>
        <w:t>Традиционная модель семьи чаще всего наблюдается среди жителей, не являющихся эстонцами. Хотя считается, что сельские жители обычно приде</w:t>
      </w:r>
      <w:r>
        <w:t>р</w:t>
      </w:r>
      <w:r>
        <w:t>живаются более традиционных семейных ценностей, доля совместно прож</w:t>
      </w:r>
      <w:r>
        <w:t>и</w:t>
      </w:r>
      <w:r>
        <w:t>вающих партнерств в сельской мес</w:t>
      </w:r>
      <w:r>
        <w:t>т</w:t>
      </w:r>
      <w:r>
        <w:t>ности выше, чем в городах.</w:t>
      </w:r>
    </w:p>
    <w:p w:rsidR="00000000" w:rsidRDefault="00000000">
      <w:pPr>
        <w:pStyle w:val="SingleTxt"/>
      </w:pPr>
      <w:r>
        <w:tab/>
        <w:t xml:space="preserve">В соответствии с концепцией эстонской политики по вопросам детей и семьи политика в вопросах семьи в первую очередь служит следующим целям: а) улучшению качества жизни детей и семей; </w:t>
      </w:r>
      <w:r>
        <w:rPr>
          <w:lang w:val="en-US"/>
        </w:rPr>
        <w:t>b</w:t>
      </w:r>
      <w:r>
        <w:t>) оказанию помощи в совмещ</w:t>
      </w:r>
      <w:r>
        <w:t>е</w:t>
      </w:r>
      <w:r>
        <w:t>нии семейной жизни и работы; и с) повышению значимости воспитания детей.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Финансовое благополучие семей</w:t>
      </w:r>
    </w:p>
    <w:p w:rsidR="00000000" w:rsidRDefault="00000000">
      <w:pPr>
        <w:pStyle w:val="SingleTxt"/>
        <w:spacing w:after="0" w:line="120" w:lineRule="exact"/>
        <w:rPr>
          <w:sz w:val="10"/>
        </w:rPr>
      </w:pPr>
    </w:p>
    <w:p w:rsidR="00000000" w:rsidRDefault="00000000">
      <w:pPr>
        <w:pStyle w:val="SingleTxt"/>
      </w:pPr>
      <w:r>
        <w:tab/>
        <w:t>Согласно проведенному в 2002 году обследованию уровня жизни, самый низкий уровень дохода и расходов на одного члена домашнего хозяйства был у семей, имеющих троих и большее число детей, и у семей с одним родителем. Это объясняется неблагоприятным соотношением между работающими член</w:t>
      </w:r>
      <w:r>
        <w:t>а</w:t>
      </w:r>
      <w:r>
        <w:t>ми семьи и числом иждивенцев. Доход родителя-одиночки составляет приме</w:t>
      </w:r>
      <w:r>
        <w:t>р</w:t>
      </w:r>
      <w:r>
        <w:t>но 84 процента от среднего дохода члена домашнего хозяйства в Эстонии. П</w:t>
      </w:r>
      <w:r>
        <w:t>о</w:t>
      </w:r>
      <w:r>
        <w:t>душевой доход в семьях, имеющих троих и большее число детей, составляет 81 процент от среднего дохода в Эстонии.</w:t>
      </w:r>
    </w:p>
    <w:p w:rsidR="00000000" w:rsidRDefault="00000000">
      <w:pPr>
        <w:pStyle w:val="SingleTxt"/>
      </w:pPr>
      <w:r>
        <w:tab/>
        <w:t>Согласно проведенному в 2003 году обследованию выплаты прожиточн</w:t>
      </w:r>
      <w:r>
        <w:t>о</w:t>
      </w:r>
      <w:r>
        <w:t>го пособия (пособия по бедности), если не считать безработных, то семьи с детьми дольше всех получали прожиточное пособие. На семьи с детьми прих</w:t>
      </w:r>
      <w:r>
        <w:t>о</w:t>
      </w:r>
      <w:r>
        <w:t>дилось 39 процентов всех удовлетворенных ходатайств о получении прожито</w:t>
      </w:r>
      <w:r>
        <w:t>ч</w:t>
      </w:r>
      <w:r>
        <w:t>ного пособия. Число ходатайств, поступивших от семей с одним родителем, на 25 процентов превышало число ходатайств от всех семей с детьми. 17,4 процента ходатайств поступило от семей, имеющих троих и большее чи</w:t>
      </w:r>
      <w:r>
        <w:t>с</w:t>
      </w:r>
      <w:r>
        <w:t>ло детей. Доля получающих прожиточное пособие многодетных семей и семей с одним род</w:t>
      </w:r>
      <w:r>
        <w:t>и</w:t>
      </w:r>
      <w:r>
        <w:t>телем в последние годы возросла.</w:t>
      </w:r>
    </w:p>
    <w:p w:rsidR="00000000" w:rsidRDefault="00000000">
      <w:pPr>
        <w:pStyle w:val="SingleTxt"/>
      </w:pPr>
      <w:r>
        <w:tab/>
        <w:t>Комитет рекомендовал осуществлять эффективные программы, напра</w:t>
      </w:r>
      <w:r>
        <w:t>в</w:t>
      </w:r>
      <w:r>
        <w:t>ленные на снижение остроты проблемы бедности. В Эстонии разработан план действий по социальной интеграции, направленный на смягчение проблемы бедности. Эта проблема решается, например, за счет введения родительской зарплаты, уменьшения ставки подоходного налога, повышения суммы не обл</w:t>
      </w:r>
      <w:r>
        <w:t>а</w:t>
      </w:r>
      <w:r>
        <w:t>гаемого налогом дохода, индексации пенсий и так далее.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Государства-участники принимают все соответствующие меры, включая законодательные, для пресечения всех видов торговли женщинами и эк</w:t>
      </w:r>
      <w:r>
        <w:rPr>
          <w:b/>
        </w:rPr>
        <w:t>с</w:t>
      </w:r>
      <w:r>
        <w:rPr>
          <w:b/>
        </w:rPr>
        <w:t>плуатации прост</w:t>
      </w:r>
      <w:r>
        <w:rPr>
          <w:b/>
        </w:rPr>
        <w:t>и</w:t>
      </w:r>
      <w:r>
        <w:rPr>
          <w:b/>
        </w:rPr>
        <w:t>туции женщин.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Законодательные меры</w:t>
      </w:r>
    </w:p>
    <w:p w:rsidR="00000000" w:rsidRDefault="00000000">
      <w:pPr>
        <w:pStyle w:val="SingleTxt"/>
        <w:spacing w:after="0" w:line="120" w:lineRule="exact"/>
        <w:rPr>
          <w:sz w:val="10"/>
        </w:rPr>
      </w:pPr>
    </w:p>
    <w:p w:rsidR="00000000" w:rsidRDefault="00000000">
      <w:pPr>
        <w:pStyle w:val="SingleTxt"/>
      </w:pPr>
      <w:r>
        <w:tab/>
        <w:t>Хотя в Эстонии нет специальных правовых актов о борьбе с торговлей людьми, подобные действия рассматриваются как уголовное преступление в нескольких статьях Уголовного кодекса. В этом отношении действуют сл</w:t>
      </w:r>
      <w:r>
        <w:t>е</w:t>
      </w:r>
      <w:r>
        <w:t>дующие полож</w:t>
      </w:r>
      <w:r>
        <w:t>е</w:t>
      </w:r>
      <w:r>
        <w:t>ния Уголовного кодекса.</w:t>
      </w:r>
    </w:p>
    <w:p w:rsidR="00000000" w:rsidRDefault="00000000">
      <w:pPr>
        <w:pStyle w:val="SingleTxt"/>
      </w:pPr>
      <w:r>
        <w:tab/>
        <w:t>Обращение в рабство означает помещение человека с помощью насилия или обмана в положение, когда он принуждается к работе или выполнению других обязанностей против его воли к выгоде другого лица, или удержание человека в таком состоянии. Обращение в рабство наказывается лишением свободы на срок от 1 года до 5 лет. То же деяние, совершенное против двух или более лиц или против лица, не достигшего 18-летнеого возраста, наказывается лишением свободы на срок от 3 до 12 лет (статья 133).</w:t>
      </w:r>
    </w:p>
    <w:p w:rsidR="00000000" w:rsidRDefault="00000000">
      <w:pPr>
        <w:pStyle w:val="SingleTxt"/>
      </w:pPr>
      <w:r>
        <w:tab/>
        <w:t>В понятие такого уголовного преступления входит как рабство в его кла</w:t>
      </w:r>
      <w:r>
        <w:t>с</w:t>
      </w:r>
      <w:r>
        <w:t>сическом смысле (удержание лица в своей власти для присвоения плодов его труда), так и действия, схожие с рабством, такие, как долговая кабала, получ</w:t>
      </w:r>
      <w:r>
        <w:t>е</w:t>
      </w:r>
      <w:r>
        <w:t>ние наживы от принуждения к пр</w:t>
      </w:r>
      <w:r>
        <w:t>о</w:t>
      </w:r>
      <w:r>
        <w:t>ституции и т.д.</w:t>
      </w:r>
    </w:p>
    <w:p w:rsidR="00000000" w:rsidRDefault="00000000">
      <w:pPr>
        <w:pStyle w:val="SingleTxt"/>
      </w:pPr>
      <w:r>
        <w:tab/>
        <w:t>Помещение лица с применением насилия или путем обмана в состояние, когда оно может подвергаться преследованию или унижениям по признаку р</w:t>
      </w:r>
      <w:r>
        <w:t>а</w:t>
      </w:r>
      <w:r>
        <w:t>сы или пола либо по другим признакам и когда оно не может пользоваться пр</w:t>
      </w:r>
      <w:r>
        <w:t>а</w:t>
      </w:r>
      <w:r>
        <w:t>вовой защитой и не имеет возможности выйти из этого состояния, или удерж</w:t>
      </w:r>
      <w:r>
        <w:t>а</w:t>
      </w:r>
      <w:r>
        <w:t>ние лица с применением насилия или путем обмана в таком состоянии наказ</w:t>
      </w:r>
      <w:r>
        <w:t>ы</w:t>
      </w:r>
      <w:r>
        <w:t>вается штрафом или лишением свободы на срок до 5 лет. То же деяние, сове</w:t>
      </w:r>
      <w:r>
        <w:t>р</w:t>
      </w:r>
      <w:r>
        <w:t>шенное против двух или более лиц или против лица, не достигшего 18</w:t>
      </w:r>
      <w:r>
        <w:noBreakHyphen/>
        <w:t>летнего возраста, наказывается лишением свободы на срок от 2 до 10 лет (статья 134).</w:t>
      </w:r>
    </w:p>
    <w:p w:rsidR="00000000" w:rsidRDefault="00000000">
      <w:pPr>
        <w:pStyle w:val="SingleTxt"/>
      </w:pPr>
      <w:r>
        <w:tab/>
        <w:t>Незаконное лишение свободы наказывается штрафом или лишением св</w:t>
      </w:r>
      <w:r>
        <w:t>о</w:t>
      </w:r>
      <w:r>
        <w:t>боды на срок до 5 лет. То же деяние, совершенное против лица, не достигшего 18-летнего возраста, наказывается лишением свободы на срок от 1 года до 5 лет (статья 136).</w:t>
      </w:r>
    </w:p>
    <w:p w:rsidR="00000000" w:rsidRDefault="00000000">
      <w:pPr>
        <w:pStyle w:val="SingleTxt"/>
      </w:pPr>
      <w:r>
        <w:tab/>
        <w:t>Любые формы склонения к занятию проституцией и посредничества в проституции нак</w:t>
      </w:r>
      <w:r>
        <w:t>а</w:t>
      </w:r>
      <w:r>
        <w:t>зываются в Эстонии в уголовном порядке.</w:t>
      </w:r>
    </w:p>
    <w:p w:rsidR="00000000" w:rsidRDefault="00000000">
      <w:pPr>
        <w:pStyle w:val="SingleTxt"/>
      </w:pPr>
      <w:r>
        <w:tab/>
        <w:t>Лицо, которое с помощью принуждения, угрозы или любого иного дейс</w:t>
      </w:r>
      <w:r>
        <w:t>т</w:t>
      </w:r>
      <w:r>
        <w:t>вия склоняет лицо, не достигшее 18-летнего возраста, к занятию проституцией, но такое действие не имеет необходимых признаков деяния, предусмотренного в статьях 133 или 143 Кодекса, наказывается штрафом или лишением свободы на срок до 3 лет (статья 175).</w:t>
      </w:r>
    </w:p>
    <w:p w:rsidR="00000000" w:rsidRDefault="00000000">
      <w:pPr>
        <w:pStyle w:val="SingleTxt"/>
      </w:pPr>
      <w:r>
        <w:tab/>
        <w:t>Оказание содействия в занятии проституцией лицу, не достигшему 18</w:t>
      </w:r>
      <w:r>
        <w:noBreakHyphen/>
        <w:t>летнего возраста, путем посредничества, предоставления помещения или каким-либо иным образом, наказывается штрафом или лишением свободы на срок до 5 лет. То же деяние, совершенное юридическим лицом, наказывается штрафом (статья 176). Кроме того, в качестве дополнительного наказания суд может налагать штрафные санкции в размере до полной суммы активов (ст</w:t>
      </w:r>
      <w:r>
        <w:t>а</w:t>
      </w:r>
      <w:r>
        <w:t>тья 176). Если суд признает лицо виновным в совершении уголовного престу</w:t>
      </w:r>
      <w:r>
        <w:t>п</w:t>
      </w:r>
      <w:r>
        <w:t>ления и приговаривает его к лишению свободы на срок более трех лет или к пожизненному заключению, то суд может в предусмотренных законом случаях определить дополнительное наказание, в соответствии с которым осужденный преступник должен выплатить штраф в размере до полной стоимости всех св</w:t>
      </w:r>
      <w:r>
        <w:t>о</w:t>
      </w:r>
      <w:r>
        <w:t>их активов (статья 53).</w:t>
      </w:r>
    </w:p>
    <w:p w:rsidR="00000000" w:rsidRDefault="00000000">
      <w:pPr>
        <w:pStyle w:val="SingleTxt"/>
      </w:pPr>
      <w:r>
        <w:tab/>
        <w:t>Сводничество, или предоставление помещений для незаконного потре</w:t>
      </w:r>
      <w:r>
        <w:t>б</w:t>
      </w:r>
      <w:r>
        <w:t>ления наркотиков или психотропных веществ, для организации незаконного игорного бизнеса или для занятия проституцией, наказывается штрафом или лишением свободы на срок до 5 лет. В качестве дополнительного наказания суд может также налагать штрафные санкции в размере до полной стоимости акт</w:t>
      </w:r>
      <w:r>
        <w:t>и</w:t>
      </w:r>
      <w:r>
        <w:t>вов (статья 268). В период представления настоящего доклада в Рийгикогу в</w:t>
      </w:r>
      <w:r>
        <w:t>е</w:t>
      </w:r>
      <w:r>
        <w:t>дется обсуждение законопроекта о защите свидетелей.</w:t>
      </w:r>
    </w:p>
    <w:p w:rsidR="00000000" w:rsidRDefault="00000000">
      <w:pPr>
        <w:pStyle w:val="SingleTxt"/>
      </w:pPr>
      <w:r>
        <w:tab/>
        <w:t>4 декабря 2002 года Эстония ратифицировала Конвенцию Организации Объединенных Наций против транснациональной организованной преступн</w:t>
      </w:r>
      <w:r>
        <w:t>о</w:t>
      </w:r>
      <w:r>
        <w:t>сти (2000 года). 10 марта 2004 года Эстония также ратифицировала Протокол о предупреждении и пресечении торговли людьми, особенно женщинами и дет</w:t>
      </w:r>
      <w:r>
        <w:t>ь</w:t>
      </w:r>
      <w:r>
        <w:t>ми, и наказании за нее, дополняющий Конвенцию Организации Объединенных Наций против транснациональной организованной преступности (так называ</w:t>
      </w:r>
      <w:r>
        <w:t>е</w:t>
      </w:r>
      <w:r>
        <w:t>мый Палермский протокол).</w:t>
      </w:r>
    </w:p>
    <w:p w:rsidR="00000000" w:rsidRDefault="00000000">
      <w:pPr>
        <w:pStyle w:val="SingleTxt"/>
      </w:pPr>
      <w:r>
        <w:tab/>
        <w:t>2 июня 2004 года Эстония ратифицировала Факультативный протокол к Конвенции о правах ребенка, касающийся торговли детьми, детской простит</w:t>
      </w:r>
      <w:r>
        <w:t>у</w:t>
      </w:r>
      <w:r>
        <w:t>ции и детской порнографии (2000 года), в котором впервые даются определ</w:t>
      </w:r>
      <w:r>
        <w:t>е</w:t>
      </w:r>
      <w:r>
        <w:t>ния таких понятий, как «торговля детьми», «детская проституция» и «детская порн</w:t>
      </w:r>
      <w:r>
        <w:t>о</w:t>
      </w:r>
      <w:r>
        <w:t>графия».</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Фактическое положение</w:t>
      </w:r>
    </w:p>
    <w:p w:rsidR="00000000" w:rsidRDefault="00000000">
      <w:pPr>
        <w:pStyle w:val="SingleTxt"/>
        <w:spacing w:after="0" w:line="120" w:lineRule="exact"/>
        <w:rPr>
          <w:sz w:val="10"/>
        </w:rPr>
      </w:pPr>
    </w:p>
    <w:p w:rsidR="00000000" w:rsidRDefault="00000000">
      <w:pPr>
        <w:pStyle w:val="SingleTxt"/>
      </w:pPr>
      <w:r>
        <w:tab/>
        <w:t>Основной формой торговли женщинами в Эстонии является сводничес</w:t>
      </w:r>
      <w:r>
        <w:t>т</w:t>
      </w:r>
      <w:r>
        <w:t>во.</w:t>
      </w:r>
    </w:p>
    <w:p w:rsidR="00000000" w:rsidRDefault="00000000">
      <w:pPr>
        <w:pStyle w:val="SingleTxt"/>
      </w:pPr>
      <w:r>
        <w:tab/>
        <w:t>Лица, распоряжающиеся притонами, зачастую входят в хорошо организ</w:t>
      </w:r>
      <w:r>
        <w:t>о</w:t>
      </w:r>
      <w:r>
        <w:t>ванные преступные сообщества и при организации своей деятельности нередко прибегают к теневым видам бизнеса. Нередко это те же люди, которые совм</w:t>
      </w:r>
      <w:r>
        <w:t>е</w:t>
      </w:r>
      <w:r>
        <w:t>стно с международными преступными сообществами организуют в целях пр</w:t>
      </w:r>
      <w:r>
        <w:t>о</w:t>
      </w:r>
      <w:r>
        <w:t>ституции торговлю женщинами из бывших советских республик, переправляя их в Эстонию и другие страны. Как правило, их переправляют в страны Севе</w:t>
      </w:r>
      <w:r>
        <w:t>р</w:t>
      </w:r>
      <w:r>
        <w:t>ной Европы, хотя из Испании, Италии, Греции и даже Японии поступала также информация о женщинах из Эстонии. Количество проституток из других стран (в основном из бывших советских республик), незаконно находящихся в Эст</w:t>
      </w:r>
      <w:r>
        <w:t>о</w:t>
      </w:r>
      <w:r>
        <w:t>нии, сократилось.</w:t>
      </w:r>
    </w:p>
    <w:p w:rsidR="00000000" w:rsidRDefault="00000000">
      <w:pPr>
        <w:pStyle w:val="SingleTxt"/>
      </w:pPr>
      <w:r>
        <w:tab/>
        <w:t>Причины проституции в основном заключаются в финансовом и генде</w:t>
      </w:r>
      <w:r>
        <w:t>р</w:t>
      </w:r>
      <w:r>
        <w:t>ном неравенстве, которым в своих интересах пользуются сети преступных с</w:t>
      </w:r>
      <w:r>
        <w:t>о</w:t>
      </w:r>
      <w:r>
        <w:t>обществ. Распространение торговли женщинами связано с насилием, нищетой, безработицей, распространением ВИЧ/СПИДа и болезней, передаваемых пол</w:t>
      </w:r>
      <w:r>
        <w:t>о</w:t>
      </w:r>
      <w:r>
        <w:t>вым путем, проблемами общественного здравоохранения, преступностью и другими факторами. Проституция как бизнес маскируется под такие виды де</w:t>
      </w:r>
      <w:r>
        <w:t>я</w:t>
      </w:r>
      <w:r>
        <w:t>тельности, как предоставление жилья, ресторанные услуги, стриптиз, массаж, сауна и т.д.</w:t>
      </w:r>
    </w:p>
    <w:p w:rsidR="00000000" w:rsidRDefault="00000000">
      <w:pPr>
        <w:pStyle w:val="SingleTxt"/>
      </w:pPr>
      <w:r>
        <w:tab/>
        <w:t>Поскольку проституция является в Эстонии незаконным видом эконом</w:t>
      </w:r>
      <w:r>
        <w:t>и</w:t>
      </w:r>
      <w:r>
        <w:t>ческой деятельности, статистические данные о таких фирмах, поставщиках у</w:t>
      </w:r>
      <w:r>
        <w:t>с</w:t>
      </w:r>
      <w:r>
        <w:t>луг, количестве клиентов и финансовых потоках в значительной мере основаны на предположениях, а не на данных обследований. Исходя из экспертных оц</w:t>
      </w:r>
      <w:r>
        <w:t>е</w:t>
      </w:r>
      <w:r>
        <w:t>нок, можно утверждать, что проституция в основном сосредоточена в Талли</w:t>
      </w:r>
      <w:r>
        <w:t>н</w:t>
      </w:r>
      <w:r>
        <w:t>не, х</w:t>
      </w:r>
      <w:r>
        <w:t>о</w:t>
      </w:r>
      <w:r>
        <w:t>тя наблюдается также и в более мелких городах.</w:t>
      </w:r>
    </w:p>
    <w:p w:rsidR="00000000" w:rsidRDefault="00000000">
      <w:pPr>
        <w:pStyle w:val="SingleTxt"/>
      </w:pPr>
      <w:r>
        <w:tab/>
        <w:t>Ввиду малой численности населения Эстонии и порождаемых простит</w:t>
      </w:r>
      <w:r>
        <w:t>у</w:t>
      </w:r>
      <w:r>
        <w:t>цией социальных проблем проституция в Эстонии представляет собой серье</w:t>
      </w:r>
      <w:r>
        <w:t>з</w:t>
      </w:r>
      <w:r>
        <w:t>ную проблему.</w:t>
      </w:r>
    </w:p>
    <w:p w:rsidR="00000000" w:rsidRDefault="00000000">
      <w:pPr>
        <w:pStyle w:val="SingleTxt"/>
      </w:pPr>
      <w:r>
        <w:tab/>
        <w:t>Проституция в Эстонии находит благодатную почву среди женщин, кот</w:t>
      </w:r>
      <w:r>
        <w:t>о</w:t>
      </w:r>
      <w:r>
        <w:t>рые менее образованны, бедны, не имеет работы, не достигли совершеннол</w:t>
      </w:r>
      <w:r>
        <w:t>е</w:t>
      </w:r>
      <w:r>
        <w:t>тия, не имеют гражданства или злоупотребляют наркотиками. Нередко в детс</w:t>
      </w:r>
      <w:r>
        <w:t>т</w:t>
      </w:r>
      <w:r>
        <w:t>ве они пострадали от физического и сексуального насилия.</w:t>
      </w:r>
    </w:p>
    <w:p w:rsidR="00000000" w:rsidRDefault="00000000">
      <w:pPr>
        <w:pStyle w:val="SingleTxt"/>
      </w:pPr>
      <w:r>
        <w:tab/>
        <w:t>Таким образом, распространение проституции связано с безработицей среди женщин, их низким статусом на рынке труда и низкими доходами по сравнению с потенциальным доходом от проституции, и традиционными во</w:t>
      </w:r>
      <w:r>
        <w:t>з</w:t>
      </w:r>
      <w:r>
        <w:t>зрениями на роли, которые отводятся же</w:t>
      </w:r>
      <w:r>
        <w:t>н</w:t>
      </w:r>
      <w:r>
        <w:t>щинам.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Информирование общества о данной проблеме</w:t>
      </w:r>
    </w:p>
    <w:p w:rsidR="00000000" w:rsidRDefault="00000000">
      <w:pPr>
        <w:pStyle w:val="SingleTxt"/>
        <w:spacing w:after="0" w:line="120" w:lineRule="exact"/>
        <w:rPr>
          <w:sz w:val="10"/>
        </w:rPr>
      </w:pPr>
    </w:p>
    <w:p w:rsidR="00000000" w:rsidRDefault="00000000">
      <w:pPr>
        <w:pStyle w:val="SingleTxt"/>
      </w:pPr>
      <w:r>
        <w:tab/>
        <w:t>Проекты Международной организации по миграции:</w:t>
      </w:r>
    </w:p>
    <w:p w:rsidR="00000000" w:rsidRDefault="00000000">
      <w:pPr>
        <w:pStyle w:val="SingleTxt"/>
      </w:pPr>
      <w:r>
        <w:tab/>
        <w:t>В рамках пилотного проекта «Исследования, информация и законодател</w:t>
      </w:r>
      <w:r>
        <w:t>ь</w:t>
      </w:r>
      <w:r>
        <w:t>ство — торговля женщинами в странах Балтии», осуществлявшегося Межд</w:t>
      </w:r>
      <w:r>
        <w:t>у</w:t>
      </w:r>
      <w:r>
        <w:t>народной организацией по миграции с сентября 2000 года по август 2001 года, было проведено обследование осведомленности общества об этой проблеме, и были проанализированы социальные аспекты торговли женщинами и прост</w:t>
      </w:r>
      <w:r>
        <w:t>и</w:t>
      </w:r>
      <w:r>
        <w:t>туции и законодательства, касающегося торговли людьми.</w:t>
      </w:r>
    </w:p>
    <w:p w:rsidR="00000000" w:rsidRDefault="00000000">
      <w:pPr>
        <w:pStyle w:val="SingleTxt"/>
      </w:pPr>
      <w:r>
        <w:tab/>
        <w:t>Результаты этого анализа были опубликованы в книге «Торговля женщ</w:t>
      </w:r>
      <w:r>
        <w:t>и</w:t>
      </w:r>
      <w:r>
        <w:t>нами и проституция в странах Балтии». На базе результатов обследования была подготовлена информационная кампания, которая заключалась в социальной пропаганде (уличная пропаганда, короткие ролики на ТВ и передачи по радио, пропаганда в помещениях, пропаганда в печати) и в подготовке информацио</w:t>
      </w:r>
      <w:r>
        <w:t>н</w:t>
      </w:r>
      <w:r>
        <w:t>ных материалов (брошюр, бюллетеней, плакатов и т.д., содержащих советы и информацию). В ходе этой кампании оказывалась консультационная помощь желающим получить работу за рубежом, жертвам торговли людьми, близким пропавших без вести лиц, и организовывалось проведение учебных меропри</w:t>
      </w:r>
      <w:r>
        <w:t>я</w:t>
      </w:r>
      <w:r>
        <w:t>тий и освещение этой проблемы в средствах массовой информации. Содейс</w:t>
      </w:r>
      <w:r>
        <w:t>т</w:t>
      </w:r>
      <w:r>
        <w:t>вие организации этой кампании наряду с государственными учреждениями и неправительственными организациями оказывали Центр правовой информации по правам человека и Центр оказания п</w:t>
      </w:r>
      <w:r>
        <w:t>о</w:t>
      </w:r>
      <w:r>
        <w:t>мощи больным СПИДом.</w:t>
      </w:r>
    </w:p>
    <w:p w:rsidR="00000000" w:rsidRDefault="00000000">
      <w:pPr>
        <w:pStyle w:val="SingleTxt"/>
      </w:pPr>
      <w:r>
        <w:tab/>
        <w:t>В 2004 году Международная организация по миграции реализовала пр</w:t>
      </w:r>
      <w:r>
        <w:t>о</w:t>
      </w:r>
      <w:r>
        <w:t>ект «Исследования и информация по проблеме торговли женщинами и дет</w:t>
      </w:r>
      <w:r>
        <w:t>ь</w:t>
      </w:r>
      <w:r>
        <w:t>ми», целью которого было провести анализ положения в вопросе о торговле людьми в Эстонии. Осуществление этого проекта завершилось в декабре 2004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Кампания в странах Северной Европы и Балтии</w:t>
      </w:r>
    </w:p>
    <w:p w:rsidR="00000000" w:rsidRDefault="00000000">
      <w:pPr>
        <w:pStyle w:val="SingleTxt"/>
        <w:spacing w:after="0" w:line="120" w:lineRule="exact"/>
        <w:rPr>
          <w:sz w:val="10"/>
        </w:rPr>
      </w:pPr>
    </w:p>
    <w:p w:rsidR="00000000" w:rsidRDefault="00000000">
      <w:pPr>
        <w:pStyle w:val="SingleTxt"/>
      </w:pPr>
      <w:r>
        <w:tab/>
        <w:t>Комитет просил предоставить больше информации о деятельности Совета министров стран Северной Европы в сфере, относящейся к торговле женщ</w:t>
      </w:r>
      <w:r>
        <w:t>и</w:t>
      </w:r>
      <w:r>
        <w:t>нами.</w:t>
      </w:r>
    </w:p>
    <w:p w:rsidR="00000000" w:rsidRDefault="00000000">
      <w:pPr>
        <w:pStyle w:val="SingleTxt"/>
      </w:pPr>
      <w:r>
        <w:tab/>
        <w:t>В 2002–2003 годах по инициативе Совета министров стран Северной Е</w:t>
      </w:r>
      <w:r>
        <w:t>в</w:t>
      </w:r>
      <w:r>
        <w:t>ропы была организована кампания по борьбе с торговлей женщинами. Целью этой кампании в Эстонии было начать обсуждение проблемы торговли женщ</w:t>
      </w:r>
      <w:r>
        <w:t>и</w:t>
      </w:r>
      <w:r>
        <w:t>нами как социальной проблемы и инициировать изменение существующих представлений. Другая цель заключалась в выявлении готовности Эстонии признать торговлю людьми в качестве социальной проблемы, вести с ней бор</w:t>
      </w:r>
      <w:r>
        <w:t>ь</w:t>
      </w:r>
      <w:r>
        <w:t>бу и информировать занимающие стратегически важные позиции социальные гру</w:t>
      </w:r>
      <w:r>
        <w:t>п</w:t>
      </w:r>
      <w:r>
        <w:t>пы о причинах и последствиях этого явления.</w:t>
      </w:r>
    </w:p>
    <w:p w:rsidR="00000000" w:rsidRDefault="00000000">
      <w:pPr>
        <w:pStyle w:val="SingleTxt"/>
      </w:pPr>
      <w:r>
        <w:tab/>
        <w:t>Кампания началась проведением совместного трехдневного семинара на тему «Торговля женщинами — современная работорговля», на котором ра</w:t>
      </w:r>
      <w:r>
        <w:t>с</w:t>
      </w:r>
      <w:r>
        <w:t>сматривались разные аспекты данной проблемы. В Эстонии были проведены различные обследования, послужившие основой для последующих меропри</w:t>
      </w:r>
      <w:r>
        <w:t>я</w:t>
      </w:r>
      <w:r>
        <w:t>тий.</w:t>
      </w:r>
    </w:p>
    <w:p w:rsidR="00000000" w:rsidRDefault="00000000">
      <w:pPr>
        <w:pStyle w:val="SingleTxt"/>
        <w:ind w:left="2218" w:hanging="951"/>
      </w:pPr>
      <w:r>
        <w:tab/>
        <w:t>1.</w:t>
      </w:r>
      <w:r>
        <w:tab/>
        <w:t>Обследование осведомленности заканчивающих среднюю школу д</w:t>
      </w:r>
      <w:r>
        <w:t>е</w:t>
      </w:r>
      <w:r>
        <w:t>вушек о торговле людьми, чтобы выяснить, знают ли они и в какой мере осведомлены о том, что делать, чтобы не стать жертвами то</w:t>
      </w:r>
      <w:r>
        <w:t>р</w:t>
      </w:r>
      <w:r>
        <w:t>говли людьми (ве</w:t>
      </w:r>
      <w:r>
        <w:t>с</w:t>
      </w:r>
      <w:r>
        <w:t xml:space="preserve">на — лето 2002 года). </w:t>
      </w:r>
    </w:p>
    <w:p w:rsidR="00000000" w:rsidRDefault="00000000">
      <w:pPr>
        <w:pStyle w:val="SingleTxt"/>
        <w:ind w:left="2218" w:hanging="951"/>
      </w:pPr>
      <w:r>
        <w:tab/>
        <w:t>2.</w:t>
      </w:r>
      <w:r>
        <w:tab/>
        <w:t>Анализ оценок и мнений о проституции и торговле женщинами ср</w:t>
      </w:r>
      <w:r>
        <w:t>е</w:t>
      </w:r>
      <w:r>
        <w:t>ди пол</w:t>
      </w:r>
      <w:r>
        <w:t>и</w:t>
      </w:r>
      <w:r>
        <w:t>цейских в Таллинне (весна 2002 года).</w:t>
      </w:r>
    </w:p>
    <w:p w:rsidR="00000000" w:rsidRDefault="00000000">
      <w:pPr>
        <w:pStyle w:val="SingleTxt"/>
        <w:ind w:left="2218" w:hanging="951"/>
      </w:pPr>
      <w:r>
        <w:tab/>
        <w:t>3.</w:t>
      </w:r>
      <w:r>
        <w:tab/>
        <w:t>Обследование для проведения анализа осведомленности частных посреднических компаний по трудоустройству о проблеме торговли людьми и для выяснения, какие советы они дают женщинам, напра</w:t>
      </w:r>
      <w:r>
        <w:t>в</w:t>
      </w:r>
      <w:r>
        <w:t>ляющимся на работу за р</w:t>
      </w:r>
      <w:r>
        <w:t>у</w:t>
      </w:r>
      <w:r>
        <w:t>беж (осень 2002 года).</w:t>
      </w:r>
    </w:p>
    <w:p w:rsidR="00000000" w:rsidRDefault="00000000">
      <w:pPr>
        <w:pStyle w:val="SingleTxt"/>
        <w:ind w:left="2218" w:hanging="951"/>
      </w:pPr>
      <w:r>
        <w:tab/>
        <w:t>4.</w:t>
      </w:r>
      <w:r>
        <w:tab/>
        <w:t>Было выяснено, являются ли определенные предложения по труд</w:t>
      </w:r>
      <w:r>
        <w:t>о</w:t>
      </w:r>
      <w:r>
        <w:t>устройству фактически лишь прикрытием для лиц и заведений, п</w:t>
      </w:r>
      <w:r>
        <w:t>о</w:t>
      </w:r>
      <w:r>
        <w:t>средничающих в пр</w:t>
      </w:r>
      <w:r>
        <w:t>о</w:t>
      </w:r>
      <w:r>
        <w:t>ституции (осень 2002 года).</w:t>
      </w:r>
    </w:p>
    <w:p w:rsidR="00000000" w:rsidRDefault="00000000">
      <w:pPr>
        <w:pStyle w:val="SingleTxt"/>
        <w:ind w:left="2218" w:hanging="951"/>
      </w:pPr>
      <w:r>
        <w:tab/>
        <w:t>5.</w:t>
      </w:r>
      <w:r>
        <w:tab/>
        <w:t>Анализ мнений эстонских государственных служащих и сотрудников неправительственных организаций о возможностях борьбы с пр</w:t>
      </w:r>
      <w:r>
        <w:t>о</w:t>
      </w:r>
      <w:r>
        <w:t>ституцией и торговлей женщинами для выяснения, насколько сер</w:t>
      </w:r>
      <w:r>
        <w:t>ь</w:t>
      </w:r>
      <w:r>
        <w:t>езными считают проблемы проституции и торговли женщинами г</w:t>
      </w:r>
      <w:r>
        <w:t>о</w:t>
      </w:r>
      <w:r>
        <w:t>сударственные служащие и эксперты неправительственных орган</w:t>
      </w:r>
      <w:r>
        <w:t>и</w:t>
      </w:r>
      <w:r>
        <w:t>заций; как, по их мнению, можно вести борьбу с этими проблемами; какими должны быть роль и взгляды государства на эти проблемы и т.д. (осень 2002 года).</w:t>
      </w:r>
    </w:p>
    <w:p w:rsidR="00000000" w:rsidRDefault="00000000">
      <w:pPr>
        <w:pStyle w:val="SingleTxt"/>
        <w:ind w:left="2218" w:hanging="951"/>
      </w:pPr>
      <w:r>
        <w:tab/>
        <w:t>6.</w:t>
      </w:r>
      <w:r>
        <w:tab/>
        <w:t>Анализ мнения специалистов пограничной службы и полиции о пр</w:t>
      </w:r>
      <w:r>
        <w:t>о</w:t>
      </w:r>
      <w:r>
        <w:t>ституции и торговле женщинами и их предложений о борьбе с этими явлени</w:t>
      </w:r>
      <w:r>
        <w:t>я</w:t>
      </w:r>
      <w:r>
        <w:t>ми (осень 2002 года).</w:t>
      </w:r>
    </w:p>
    <w:p w:rsidR="00000000" w:rsidRDefault="00000000">
      <w:pPr>
        <w:pStyle w:val="SingleTxt"/>
        <w:ind w:left="2218" w:hanging="951"/>
      </w:pPr>
      <w:r>
        <w:tab/>
        <w:t>7.</w:t>
      </w:r>
      <w:r>
        <w:tab/>
        <w:t>Анализ мнения о проституции людей, работающих с молодежью, — учит</w:t>
      </w:r>
      <w:r>
        <w:t>е</w:t>
      </w:r>
      <w:r>
        <w:t>лей, наставников и молодых рабочих (осень 2002 года).</w:t>
      </w:r>
    </w:p>
    <w:p w:rsidR="00000000" w:rsidRDefault="00000000">
      <w:pPr>
        <w:pStyle w:val="SingleTxt"/>
      </w:pPr>
      <w:r>
        <w:tab/>
        <w:t>В рамках этой кампании были организованы учебные семинары по темам «Роль общины в предупреждении торговли людьми» и «Предупреждение то</w:t>
      </w:r>
      <w:r>
        <w:t>р</w:t>
      </w:r>
      <w:r>
        <w:t>говли людьми». Первый семинар предусматривал проведение просветительных занятий, предназначенных для родителей, полиции, социальных работников, учителей, руководителей органов местного самоуправления и других лиц, к</w:t>
      </w:r>
      <w:r>
        <w:t>о</w:t>
      </w:r>
      <w:r>
        <w:t>торые в своей работе могут повлиять на осведомленность и взгляды молодежи. В общей сложности было проведено девять занятий, в которых принимал уч</w:t>
      </w:r>
      <w:r>
        <w:t>а</w:t>
      </w:r>
      <w:r>
        <w:t>стие 251 человек. В работе семинара «Предупреждение торговли людьми» по</w:t>
      </w:r>
      <w:r>
        <w:t>д</w:t>
      </w:r>
      <w:r>
        <w:t>готовку проходили учителя, работники по делам молодежи и консультанты по трудоустройству.</w:t>
      </w:r>
    </w:p>
    <w:p w:rsidR="00000000" w:rsidRDefault="00000000">
      <w:pPr>
        <w:pStyle w:val="SingleTxt"/>
      </w:pPr>
      <w:r>
        <w:tab/>
        <w:t>В конце 2003 года было принято решение продлить эту кампанию, и в 2004 году Совет министров стран Северной Европы в сотрудничестве с мин</w:t>
      </w:r>
      <w:r>
        <w:t>и</w:t>
      </w:r>
      <w:r>
        <w:t>стерством социальных дел в качестве последующего мероприятия провел ка</w:t>
      </w:r>
      <w:r>
        <w:t>м</w:t>
      </w:r>
      <w:r>
        <w:t>панию «Наркотики, проституция, торговля людьми с гендерных позиций». В 2004 году были проведены двухдневные и трехдневные семинары для учителей средних школ, школьных психологов, работников по делам молодежи, преп</w:t>
      </w:r>
      <w:r>
        <w:t>о</w:t>
      </w:r>
      <w:r>
        <w:t>давателей кружков любимых занятий и консультантов по трудоустройству. В общей сложности в Таллинне, Пярну и Йыхви были проведены пять семин</w:t>
      </w:r>
      <w:r>
        <w:t>а</w:t>
      </w:r>
      <w:r>
        <w:t>ров, в которых приняли участие 100 человек. Наряду с вопросами торговли женщинами в учебных программах рассматривались также такие темы, как гендерные стереотипы, СМИ, проституция, наркомания, СПИД и т.д. Поскол</w:t>
      </w:r>
      <w:r>
        <w:t>ь</w:t>
      </w:r>
      <w:r>
        <w:t>ку таким учебным программам сопутствовал успех, их проведение планируе</w:t>
      </w:r>
      <w:r>
        <w:t>т</w:t>
      </w:r>
      <w:r>
        <w:t>ся продолжить в 2005 году.</w:t>
      </w:r>
    </w:p>
    <w:p w:rsidR="00000000" w:rsidRDefault="00000000">
      <w:pPr>
        <w:pStyle w:val="SingleTxt"/>
      </w:pPr>
      <w:r>
        <w:tab/>
        <w:t>В ходе кампании было организовано два конкурса по написанию сочин</w:t>
      </w:r>
      <w:r>
        <w:t>е</w:t>
      </w:r>
      <w:r>
        <w:t>ний на тему торговли людьми. Их цель заключалась в том, чтобы стимулир</w:t>
      </w:r>
      <w:r>
        <w:t>о</w:t>
      </w:r>
      <w:r>
        <w:t>вать размышления молодежи о торговле людьми и тем самым помочь им самим не стать жертвами этой практики. Темами для сочинений были «Простит</w:t>
      </w:r>
      <w:r>
        <w:t>у</w:t>
      </w:r>
      <w:r>
        <w:t>ция — вопрос спроса и предложения» и «Как я могу стать жертвой торговли людьми».</w:t>
      </w:r>
    </w:p>
    <w:p w:rsidR="00000000" w:rsidRDefault="00000000">
      <w:pPr>
        <w:pStyle w:val="SingleTxt"/>
      </w:pPr>
      <w:r>
        <w:tab/>
        <w:t>Были также проведены пять международных семинаров по вопросам то</w:t>
      </w:r>
      <w:r>
        <w:t>р</w:t>
      </w:r>
      <w:r>
        <w:t>говли людьми и ее связи с проституцией, наркоманией и гендерным неравенс</w:t>
      </w:r>
      <w:r>
        <w:t>т</w:t>
      </w:r>
      <w:r>
        <w:t>вом. Эти семинары проводились в России, Эстонии, Латвии и Литве. Их цель заключалась в обмене мнениями по этим вопросам между экспертами из ра</w:t>
      </w:r>
      <w:r>
        <w:t>з</w:t>
      </w:r>
      <w:r>
        <w:t>ных стран (должностными лицами полиции, социальными работниками, пре</w:t>
      </w:r>
      <w:r>
        <w:t>д</w:t>
      </w:r>
      <w:r>
        <w:t>став</w:t>
      </w:r>
      <w:r>
        <w:t>и</w:t>
      </w:r>
      <w:r>
        <w:t>телями НПО).</w:t>
      </w:r>
    </w:p>
    <w:p w:rsidR="00000000" w:rsidRDefault="00000000">
      <w:pPr>
        <w:pStyle w:val="SingleTxt"/>
      </w:pPr>
      <w:r>
        <w:tab/>
        <w:t>Эта кампания достигла своей цели — данная тема, которая прежде полн</w:t>
      </w:r>
      <w:r>
        <w:t>о</w:t>
      </w:r>
      <w:r>
        <w:t>стью оставалась без внимания, теперь вызывает интерес у средств массовой информации и политиков. После этой кампании отношение к теме торговли людьми в эстонских СМИ изменилось. Тем не менее, все еще много такой ре</w:t>
      </w:r>
      <w:r>
        <w:t>к</w:t>
      </w:r>
      <w:r>
        <w:t>ламы, в которой женщины изображаются как объекты сексуальных вождел</w:t>
      </w:r>
      <w:r>
        <w:t>е</w:t>
      </w:r>
      <w:r>
        <w:t>ний. Министерство социальных дел выступило с предложениями о запрещении подобной рекламы.</w:t>
      </w:r>
    </w:p>
    <w:p w:rsidR="00000000" w:rsidRDefault="00000000">
      <w:pPr>
        <w:pStyle w:val="SingleTxt"/>
      </w:pPr>
      <w:r>
        <w:tab/>
        <w:t>Различные неправительственные организации продолжают свою просв</w:t>
      </w:r>
      <w:r>
        <w:t>е</w:t>
      </w:r>
      <w:r>
        <w:t>тительскую работу, в том числе и среди журналистов, информируя их о делах, связанных с проституцией и торговлей людьми. Так, например, Центр пред</w:t>
      </w:r>
      <w:r>
        <w:t>у</w:t>
      </w:r>
      <w:r>
        <w:t>преждения СПИДа запланировал на 2004 год проведение для журналистов двух учебных семинаров по теме торговли людьми. НПО Эстонский женский нау</w:t>
      </w:r>
      <w:r>
        <w:t>ч</w:t>
      </w:r>
      <w:r>
        <w:t>но-исследовательский и информационный центр планирует организовать уче</w:t>
      </w:r>
      <w:r>
        <w:t>б</w:t>
      </w:r>
      <w:r>
        <w:t>ный семинар для полиции.</w:t>
      </w:r>
    </w:p>
    <w:p w:rsidR="00000000" w:rsidRDefault="00000000">
      <w:pPr>
        <w:pStyle w:val="SingleTxt"/>
      </w:pPr>
      <w:r>
        <w:tab/>
        <w:t>В октябре 2004 года была создана «горячая линия» для предупреждения случаев торговли людьми, предоставляющая бесплатные юридические ко</w:t>
      </w:r>
      <w:r>
        <w:t>н</w:t>
      </w:r>
      <w:r>
        <w:t>сультации и информацию относительно безопасности поездок и возможностей трудоустройства. Этот проект — «</w:t>
      </w:r>
      <w:r>
        <w:rPr>
          <w:lang w:val="en-US"/>
        </w:rPr>
        <w:t>“</w:t>
      </w:r>
      <w:r>
        <w:t>Горячая линия” для женщин для предупр</w:t>
      </w:r>
      <w:r>
        <w:t>е</w:t>
      </w:r>
      <w:r>
        <w:t>ждения случаев торговли людьми» — имеет продолжительность в один год и финансируется государственным департаментом США. Реализацию проекта осуществляют Центр предупреждения СПИДа, неправительственная организ</w:t>
      </w:r>
      <w:r>
        <w:t>а</w:t>
      </w:r>
      <w:r>
        <w:t>ция «Жить ради завтрашнего дня» и организация финских профсоюзов.</w:t>
      </w:r>
    </w:p>
    <w:p w:rsidR="00000000" w:rsidRDefault="00000000">
      <w:pPr>
        <w:pStyle w:val="SingleTxt"/>
      </w:pPr>
      <w:r>
        <w:tab/>
        <w:t>Неправительственная организация «Центр правовой информации по пр</w:t>
      </w:r>
      <w:r>
        <w:t>а</w:t>
      </w:r>
      <w:r>
        <w:t>вам человека» осенью 2004 года опубликовала пособие под названием «Пред</w:t>
      </w:r>
      <w:r>
        <w:t>у</w:t>
      </w:r>
      <w:r>
        <w:t>пр</w:t>
      </w:r>
      <w:r>
        <w:t>е</w:t>
      </w:r>
      <w:r>
        <w:t>ждение торговли людьми и работа за рубежом».</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Обследования</w:t>
      </w:r>
    </w:p>
    <w:p w:rsidR="00000000" w:rsidRDefault="00000000">
      <w:pPr>
        <w:pStyle w:val="SingleTxt"/>
        <w:spacing w:after="0" w:line="120" w:lineRule="exact"/>
        <w:rPr>
          <w:sz w:val="10"/>
        </w:rPr>
      </w:pPr>
    </w:p>
    <w:p w:rsidR="00000000" w:rsidRDefault="00000000">
      <w:pPr>
        <w:pStyle w:val="SingleTxt"/>
      </w:pPr>
      <w:r>
        <w:tab/>
        <w:t>В 2003 году началось осуществление проекта «Проституция — социал</w:t>
      </w:r>
      <w:r>
        <w:t>ь</w:t>
      </w:r>
      <w:r>
        <w:t>ная проблема? Взгляды лидеров общественного мнения в странах Балтии и С</w:t>
      </w:r>
      <w:r>
        <w:t>е</w:t>
      </w:r>
      <w:r>
        <w:t>веро-Западной России», реализация которого координировалась при сотрудн</w:t>
      </w:r>
      <w:r>
        <w:t>и</w:t>
      </w:r>
      <w:r>
        <w:t>честве Эстонского женского научно-исследовательского и информационного центра и министерства социальных дел. Полученная информация должна п</w:t>
      </w:r>
      <w:r>
        <w:t>о</w:t>
      </w:r>
      <w:r>
        <w:t>зволить составить общее представление о взглядах лидеров общественного мнения относительно причин и последствий сексуальной эксплуатации же</w:t>
      </w:r>
      <w:r>
        <w:t>н</w:t>
      </w:r>
      <w:r>
        <w:t>щин и возможности принятия соответствующих законов в странах этого реги</w:t>
      </w:r>
      <w:r>
        <w:t>о</w:t>
      </w:r>
      <w:r>
        <w:t>на.</w:t>
      </w:r>
    </w:p>
    <w:p w:rsidR="00000000" w:rsidRDefault="00000000">
      <w:pPr>
        <w:pStyle w:val="SingleTxt"/>
      </w:pPr>
      <w:r>
        <w:tab/>
        <w:t>Весной и летом 2004 года Советом министров стран Северной Европы в сотрудничестве с Эстонским женским научно-исследовательским и информ</w:t>
      </w:r>
      <w:r>
        <w:t>а</w:t>
      </w:r>
      <w:r>
        <w:t>ционным центром был проведен опрос на тему «Мероприятия по борьбе с то</w:t>
      </w:r>
      <w:r>
        <w:t>р</w:t>
      </w:r>
      <w:r>
        <w:t>говлей людьми в Эстонии: мнения экспертов и возможные решения». Цель эт</w:t>
      </w:r>
      <w:r>
        <w:t>о</w:t>
      </w:r>
      <w:r>
        <w:t>го опроса заключалась в выяснении проблем, с которыми приходится сталк</w:t>
      </w:r>
      <w:r>
        <w:t>и</w:t>
      </w:r>
      <w:r>
        <w:t>ваться специалистам, ведущим борьбу с торговлей людьми. Выяснялось также мнение о том, как усилить борьбу с торговлей людьми в Эстонии.</w:t>
      </w:r>
    </w:p>
    <w:p w:rsidR="00000000" w:rsidRDefault="00000000">
      <w:pPr>
        <w:pStyle w:val="SingleTxt"/>
      </w:pPr>
      <w:r>
        <w:tab/>
        <w:t>В 2003 году в Эстонии проводился опрос по теме насилия в отношении женщин и здоровья женщин, в ходе которого преследовалась цель выяснить отношение в обществе к проституции, к наказанию за пользование услугами проституток и к клиентам, пользующимся их услугами. По результатам этого опроса был составлен доклад «Проституция. Социальные риски и экономич</w:t>
      </w:r>
      <w:r>
        <w:t>е</w:t>
      </w:r>
      <w:r>
        <w:t>ский пресс», согласно которому две трети населения поддерживают ныне де</w:t>
      </w:r>
      <w:r>
        <w:t>й</w:t>
      </w:r>
      <w:r>
        <w:t>ствующие правовые нормы, запрещающие сводничество. Число респондентов, поддерживающих идею наказания потребителей услуг проституток, было в два раза меньше. Эстонцы скорее поддержат наказание проститутки (39 процентов) или отмену нынешних ограничений и легализацию публичных домов (40 пр</w:t>
      </w:r>
      <w:r>
        <w:t>о</w:t>
      </w:r>
      <w:r>
        <w:t>центов).</w:t>
      </w:r>
    </w:p>
    <w:p w:rsidR="00000000" w:rsidRDefault="00000000">
      <w:pPr>
        <w:pStyle w:val="SingleTxt"/>
      </w:pPr>
      <w:r>
        <w:tab/>
        <w:t>Исходя из результатов обследования взрослого населения Эстонии, пр</w:t>
      </w:r>
      <w:r>
        <w:t>о</w:t>
      </w:r>
      <w:r>
        <w:t>веденного эстонским Институтом «Открытое общество», можно сделать вывод о том, что жители Эстонии не имеют определенного мнения о проституции и что проституция не считается формой насилия в отношении женщин.</w:t>
      </w:r>
    </w:p>
    <w:p w:rsidR="00000000" w:rsidRDefault="00000000">
      <w:pPr>
        <w:pStyle w:val="SingleTxt"/>
      </w:pPr>
      <w:r>
        <w:tab/>
        <w:t>Кампания по борьбе с торговлей женщинами в странах Балтии и Севе</w:t>
      </w:r>
      <w:r>
        <w:t>р</w:t>
      </w:r>
      <w:r>
        <w:t>ной Европы и другие меры помогли начать весной 2004 года дебаты о крим</w:t>
      </w:r>
      <w:r>
        <w:t>и</w:t>
      </w:r>
      <w:r>
        <w:t>нализации приобретения сексуальных услуг. В то же время, однако, эстонское общество не созрело для внесения такой поправки в законы — каждый второй житель Эстонии положительно относится к проституции, в том числе 60 пр</w:t>
      </w:r>
      <w:r>
        <w:t>о</w:t>
      </w:r>
      <w:r>
        <w:t>це</w:t>
      </w:r>
      <w:r>
        <w:t>н</w:t>
      </w:r>
      <w:r>
        <w:t>тов мужчин и 42 процента женщин.</w:t>
      </w:r>
    </w:p>
    <w:p w:rsidR="00000000" w:rsidRDefault="00000000">
      <w:pPr>
        <w:pStyle w:val="SingleTxt"/>
      </w:pPr>
      <w:r>
        <w:tab/>
        <w:t>Анализ отношения женщин показывает, что женщины не видят социал</w:t>
      </w:r>
      <w:r>
        <w:t>ь</w:t>
      </w:r>
      <w:r>
        <w:t>ной опасности в распространении проституции и расширении сети публичных домов. Женщины не понимают того, что быстрое распространение публичных домов и всех форм проституции в Эстонии несет в себе серьезную угрозу для женщин, которых может поглотить расш</w:t>
      </w:r>
      <w:r>
        <w:t>и</w:t>
      </w:r>
      <w:r>
        <w:t>ряющийся рынок сексуальных услуг.</w:t>
      </w:r>
    </w:p>
    <w:p w:rsidR="00000000" w:rsidRDefault="00000000">
      <w:pPr>
        <w:pStyle w:val="SingleTxt"/>
      </w:pPr>
      <w:r>
        <w:tab/>
        <w:t>Посещение публичных домов мужчинами считается естественным, при условии, что у них достаточно для этого денег. Три четверти населения Эст</w:t>
      </w:r>
      <w:r>
        <w:t>о</w:t>
      </w:r>
      <w:r>
        <w:t>нии с пониманием относится к посещению публичных домов как к чему-то т</w:t>
      </w:r>
      <w:r>
        <w:t>а</w:t>
      </w:r>
      <w:r>
        <w:t>кому, что оказывает стабилизирующее влияние на семью, и считает, что это оправдано более высокими сексуальными потребностям мужчин и холодн</w:t>
      </w:r>
      <w:r>
        <w:t>о</w:t>
      </w:r>
      <w:r>
        <w:t>стью и неприязнью к сексу их жен. Это свидетельствует о необходимости пр</w:t>
      </w:r>
      <w:r>
        <w:t>о</w:t>
      </w:r>
      <w:r>
        <w:t>ведения просветительной работы в обществе.</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Деятельность полиции</w:t>
      </w:r>
    </w:p>
    <w:p w:rsidR="00000000" w:rsidRDefault="00000000">
      <w:pPr>
        <w:pStyle w:val="SingleTxt"/>
        <w:spacing w:after="0" w:line="120" w:lineRule="exact"/>
        <w:rPr>
          <w:sz w:val="10"/>
        </w:rPr>
      </w:pPr>
    </w:p>
    <w:p w:rsidR="00000000" w:rsidRDefault="00000000">
      <w:pPr>
        <w:pStyle w:val="SingleTxt"/>
      </w:pPr>
      <w:r>
        <w:tab/>
        <w:t>С 1 ноября 2003 года в отделе преступлений против личности уголовного департамента префектуры полиции северного Таллинна существует рабочая группа, цель которой вести борьбу со сводничеством. Эта рабочая группа с</w:t>
      </w:r>
      <w:r>
        <w:t>о</w:t>
      </w:r>
      <w:r>
        <w:t>бирает информацию о сводничестве, систематизирует данные, осуществляет надзорные функции и занимается досудебным расследованием уголовных дел. Группа была создана в Таллинне, поскольку на Таллинн и его окрестности приходится примерно 80 процентов всех случаев сводничества. В результате мер, принятых против держателей публичных домов, в первые восемь месяцев 2004 года была пресечена незаконная деятельность девяти притонов, где усл</w:t>
      </w:r>
      <w:r>
        <w:t>у</w:t>
      </w:r>
      <w:r>
        <w:t>ги оказывались прямо на месте, и трех «фирм», оперирующих как квартирные публичные дома с обслуживанием клиентов по телефонным звонкам.</w:t>
      </w:r>
    </w:p>
    <w:p w:rsidR="00000000" w:rsidRDefault="00000000">
      <w:pPr>
        <w:pStyle w:val="SingleTxt"/>
      </w:pPr>
      <w:r>
        <w:tab/>
        <w:t>Аналогичных специальных подразделений в других префектурах полиции не существует, и делами, связанными со сводничеством, занимаются бюро о</w:t>
      </w:r>
      <w:r>
        <w:t>р</w:t>
      </w:r>
      <w:r>
        <w:t>ганизованной преступности. Важную роль в выявлении иностранцев, незако</w:t>
      </w:r>
      <w:r>
        <w:t>н</w:t>
      </w:r>
      <w:r>
        <w:t>но находящихся в Эстонии, играют сотрудники миграционной службы.</w:t>
      </w:r>
    </w:p>
    <w:p w:rsidR="00000000" w:rsidRDefault="00000000">
      <w:pPr>
        <w:pStyle w:val="SingleTxt"/>
      </w:pPr>
      <w:r>
        <w:tab/>
        <w:t>Центральная криминальная полиция занимается делами, связанными со сводничеством, когда проститутки из Эстонии переправляются в другие стр</w:t>
      </w:r>
      <w:r>
        <w:t>а</w:t>
      </w:r>
      <w:r>
        <w:t>ны. Департамент международной криминальной информации центральной криминальной полиции ежегодно получает 40–50 запросов из других стран, связанных с задержанием эстонских девушек, подозреваемых в проституции. Те лица, которые активно занимаются наркобизнесом и, в частности, контр</w:t>
      </w:r>
      <w:r>
        <w:t>а</w:t>
      </w:r>
      <w:r>
        <w:t>бандой наркотиков, нередко занимаются и организацией проституции.</w:t>
      </w:r>
    </w:p>
    <w:p w:rsidR="00000000" w:rsidRDefault="00000000">
      <w:pPr>
        <w:pStyle w:val="SingleTxt"/>
      </w:pPr>
      <w:r>
        <w:tab/>
        <w:t>В первой половине 2004 года центральная криминальная полиция возб</w:t>
      </w:r>
      <w:r>
        <w:t>у</w:t>
      </w:r>
      <w:r>
        <w:t>дила или направила в суды четыре дела, расследование по которым началось по разделу 268 Уголовного кодекса, касающемуся сводничества. За первые д</w:t>
      </w:r>
      <w:r>
        <w:t>е</w:t>
      </w:r>
      <w:r>
        <w:t>вять месяцев 2004 года по разделу 268 Уголовного кодекса было начато рассл</w:t>
      </w:r>
      <w:r>
        <w:t>е</w:t>
      </w:r>
      <w:r>
        <w:t>дование 43 уголовных дел. С осени 2003 года только одно дело, касающееся обращения в рабство, было передано в суд (статья 133 Уголовного кодекса). По этому делу проходили девять человек.</w:t>
      </w:r>
    </w:p>
    <w:p w:rsidR="00000000" w:rsidRDefault="00000000">
      <w:pPr>
        <w:pStyle w:val="SingleTxt"/>
      </w:pPr>
      <w:r>
        <w:tab/>
        <w:t>Несмотря на различные виды незаконного бизнеса и лицензий, которыми прикрывают подобную деятельность, преступления выявляются и расследую</w:t>
      </w:r>
      <w:r>
        <w:t>т</w:t>
      </w:r>
      <w:r>
        <w:t>ся. Это помогает сокращать доходы, получаемые преступниками от такого рода деятельности.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Национальный план действий по борьбе с торговлей людьми</w:t>
      </w:r>
    </w:p>
    <w:p w:rsidR="00000000" w:rsidRDefault="00000000">
      <w:pPr>
        <w:pStyle w:val="SingleTxt"/>
        <w:spacing w:after="0" w:line="120" w:lineRule="exact"/>
        <w:rPr>
          <w:sz w:val="10"/>
        </w:rPr>
      </w:pPr>
    </w:p>
    <w:p w:rsidR="00000000" w:rsidRDefault="00000000">
      <w:pPr>
        <w:pStyle w:val="SingleTxt"/>
      </w:pPr>
      <w:r>
        <w:tab/>
        <w:t>9 апреля 2003 года на неофициальном совещании в Стокгольме министры по вопросам гендерного равенства, юстиции и внутренних дел стран Северной Европы и Балтии приняли совместное заявление и рекомендации. Они догов</w:t>
      </w:r>
      <w:r>
        <w:t>о</w:t>
      </w:r>
      <w:r>
        <w:t>рились о том, что к 2005 году все участвующие страны разработают наци</w:t>
      </w:r>
      <w:r>
        <w:t>о</w:t>
      </w:r>
      <w:r>
        <w:t>нальные планы действий по борьбе с торговлей людьми, особенно женщинами и детьми.</w:t>
      </w:r>
    </w:p>
    <w:p w:rsidR="00000000" w:rsidRDefault="00000000">
      <w:pPr>
        <w:pStyle w:val="SingleTxt"/>
      </w:pPr>
      <w:r>
        <w:tab/>
        <w:t>Эстония в настоящее время разрабатывает национальный план действий по борьбе с торговлей людьми. 13 января 2005 года правительство приняло р</w:t>
      </w:r>
      <w:r>
        <w:t>е</w:t>
      </w:r>
      <w:r>
        <w:t>шение о том, что координация деятельности по борьбе с торговлей людьми в качестве меры национальной криминальной политики будет возложена на м</w:t>
      </w:r>
      <w:r>
        <w:t>и</w:t>
      </w:r>
      <w:r>
        <w:t>нистерство юстиции, которое к 1 мая 2005 года должно будет представить пр</w:t>
      </w:r>
      <w:r>
        <w:t>а</w:t>
      </w:r>
      <w:r>
        <w:t>в</w:t>
      </w:r>
      <w:r>
        <w:t>и</w:t>
      </w:r>
      <w:r>
        <w:t>тельству проект национального плана действий.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Ведущиеся обсуждения</w:t>
      </w:r>
    </w:p>
    <w:p w:rsidR="00000000" w:rsidRDefault="00000000">
      <w:pPr>
        <w:pStyle w:val="SingleTxt"/>
        <w:spacing w:after="0" w:line="120" w:lineRule="exact"/>
        <w:rPr>
          <w:sz w:val="10"/>
        </w:rPr>
      </w:pPr>
    </w:p>
    <w:p w:rsidR="00000000" w:rsidRDefault="00000000">
      <w:pPr>
        <w:pStyle w:val="SingleTxt"/>
      </w:pPr>
      <w:r>
        <w:tab/>
        <w:t>12 ноября 2003 года министерство внутренних дел и представительство Международной организации по миграции в Эстонии организовали совещание «круглого стола» для обсуждения темы торговли людьми. В этом совещании приняли участие представители МОМ, национальных учреждений и иностра</w:t>
      </w:r>
      <w:r>
        <w:t>н</w:t>
      </w:r>
      <w:r>
        <w:t>ных посольств.</w:t>
      </w:r>
    </w:p>
    <w:p w:rsidR="00000000" w:rsidRDefault="00000000">
      <w:pPr>
        <w:pStyle w:val="SingleTxt"/>
      </w:pPr>
      <w:r>
        <w:tab/>
        <w:t>Участники обменялись информацией о том, как различные учреждения ведут борьбу с торговлей людьми. Все участники этого совещания считали, что оно было успешным и что работу «круглого стола» следует продолжить. В п</w:t>
      </w:r>
      <w:r>
        <w:t>о</w:t>
      </w:r>
      <w:r>
        <w:t>рядке продолжения этого мероприятия участники «круглого стола» ведут о</w:t>
      </w:r>
      <w:r>
        <w:t>б</w:t>
      </w:r>
      <w:r>
        <w:t>мен и</w:t>
      </w:r>
      <w:r>
        <w:t>н</w:t>
      </w:r>
      <w:r>
        <w:t>формацией, главным образом по электронной почте.</w:t>
      </w:r>
    </w:p>
    <w:p w:rsidR="00000000" w:rsidRDefault="00000000">
      <w:pPr>
        <w:pStyle w:val="SingleTxt"/>
      </w:pPr>
      <w:r>
        <w:tab/>
        <w:t>Представительство Международной организации по миграции в Эстонии предложило участникам «круглого стола» и представителям других учрежд</w:t>
      </w:r>
      <w:r>
        <w:t>е</w:t>
      </w:r>
      <w:r>
        <w:t>ний, ведущих борьбу с торговлей людьми (министерства, НПО), вновь собрат</w:t>
      </w:r>
      <w:r>
        <w:t>ь</w:t>
      </w:r>
      <w:r>
        <w:t>ся в ноябре 2004 года. Участники «круглого стола» рассказали о мерах, кот</w:t>
      </w:r>
      <w:r>
        <w:t>о</w:t>
      </w:r>
      <w:r>
        <w:t>рые ими уже были приняты и которые они намереваются принять для решения этой проблемы.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Участие Эстонии в деятельности по борьбе с торговлей людьми в регионе</w:t>
      </w:r>
    </w:p>
    <w:p w:rsidR="00000000" w:rsidRDefault="00000000">
      <w:pPr>
        <w:pStyle w:val="SingleTxt"/>
        <w:spacing w:after="0" w:line="120" w:lineRule="exact"/>
        <w:rPr>
          <w:sz w:val="10"/>
        </w:rPr>
      </w:pPr>
    </w:p>
    <w:p w:rsidR="00000000" w:rsidRDefault="00000000">
      <w:pPr>
        <w:pStyle w:val="SingleTxt"/>
      </w:pPr>
      <w:r>
        <w:tab/>
        <w:t>Эстония принимает активное участие в деятельности, направленной на борьбу с торговлей людьми в регионе стран Северной Европы и Балтии. В р</w:t>
      </w:r>
      <w:r>
        <w:t>е</w:t>
      </w:r>
      <w:r>
        <w:t>гионе была сформирована целевая группа по борьбе с торговлей людьми. Э</w:t>
      </w:r>
      <w:r>
        <w:t>с</w:t>
      </w:r>
      <w:r>
        <w:t>тония в этой целевой группе предста</w:t>
      </w:r>
      <w:r>
        <w:t>в</w:t>
      </w:r>
      <w:r>
        <w:t>лена министерством иностранных дел.</w:t>
      </w:r>
    </w:p>
    <w:p w:rsidR="00000000" w:rsidRDefault="00000000">
      <w:pPr>
        <w:pStyle w:val="SingleTxt"/>
      </w:pPr>
      <w:r>
        <w:tab/>
        <w:t>Основные задачи целевой группы заключаются в координации и монит</w:t>
      </w:r>
      <w:r>
        <w:t>о</w:t>
      </w:r>
      <w:r>
        <w:t>ринге деятельности по борьбе с торговлей людьми в регионе и в сохранении актуал</w:t>
      </w:r>
      <w:r>
        <w:t>ь</w:t>
      </w:r>
      <w:r>
        <w:t>ности этой темы в политической повестке дня участвующих стран.</w:t>
      </w:r>
    </w:p>
    <w:p w:rsidR="00000000" w:rsidRDefault="00000000">
      <w:pPr>
        <w:pStyle w:val="SingleTxt"/>
      </w:pPr>
      <w:r>
        <w:tab/>
        <w:t>В 2005 году целевая группа намеревается начать осуществление проекта, направленного на обеспечение безопасного возвращения жертв торговли людьми в страны их происхождения и на оказание им помощи в странах пр</w:t>
      </w:r>
      <w:r>
        <w:t>е</w:t>
      </w:r>
      <w:r>
        <w:t>бывания.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Государства-участники принимают все соответствующие меры по ликв</w:t>
      </w:r>
      <w:r>
        <w:rPr>
          <w:b/>
        </w:rPr>
        <w:t>и</w:t>
      </w:r>
      <w:r>
        <w:rPr>
          <w:b/>
        </w:rPr>
        <w:t>дации дискриминации в отношении женщин в политической и обществе</w:t>
      </w:r>
      <w:r>
        <w:rPr>
          <w:b/>
        </w:rPr>
        <w:t>н</w:t>
      </w:r>
      <w:r>
        <w:rPr>
          <w:b/>
        </w:rPr>
        <w:t>ной жизни страны и, в частности, обеспечивают женщинам на равных у</w:t>
      </w:r>
      <w:r>
        <w:rPr>
          <w:b/>
        </w:rPr>
        <w:t>с</w:t>
      </w:r>
      <w:r>
        <w:rPr>
          <w:b/>
        </w:rPr>
        <w:t>ловиях с мужч</w:t>
      </w:r>
      <w:r>
        <w:rPr>
          <w:b/>
        </w:rPr>
        <w:t>и</w:t>
      </w:r>
      <w:r>
        <w:rPr>
          <w:b/>
        </w:rPr>
        <w:t xml:space="preserve">нами право: </w:t>
      </w:r>
    </w:p>
    <w:p w:rsidR="00000000" w:rsidRDefault="00000000">
      <w:pPr>
        <w:pStyle w:val="SingleTxt"/>
        <w:rPr>
          <w:b/>
        </w:rPr>
      </w:pPr>
      <w:r>
        <w:rPr>
          <w:b/>
        </w:rPr>
        <w:tab/>
        <w:t>а)</w:t>
      </w:r>
      <w:r>
        <w:rPr>
          <w:b/>
        </w:rPr>
        <w:tab/>
        <w:t>голосовать на всех выборах и публичных референдумах и изб</w:t>
      </w:r>
      <w:r>
        <w:rPr>
          <w:b/>
        </w:rPr>
        <w:t>и</w:t>
      </w:r>
      <w:r>
        <w:rPr>
          <w:b/>
        </w:rPr>
        <w:t>раться во все публично избираемые органы;</w:t>
      </w:r>
    </w:p>
    <w:p w:rsidR="00000000" w:rsidRDefault="00000000">
      <w:pPr>
        <w:pStyle w:val="SingleTxt"/>
      </w:pPr>
      <w:r>
        <w:tab/>
        <w:t>Помимо информации о национальном законодательстве в этой области, предоставленной в предыдущем докладе, в связи с вступлением Эстонии в Е</w:t>
      </w:r>
      <w:r>
        <w:t>в</w:t>
      </w:r>
      <w:r>
        <w:t>ропейский союз был принят Закон о выборах в Европейский парламент, кот</w:t>
      </w:r>
      <w:r>
        <w:t>о</w:t>
      </w:r>
      <w:r>
        <w:t>рый вступил в силу 23 января 2003 года. Этим Законом предусмотрено пров</w:t>
      </w:r>
      <w:r>
        <w:t>е</w:t>
      </w:r>
      <w:r>
        <w:t>дение свободных, всеобщих, единообразных и прямых выборов. Каждый изб</w:t>
      </w:r>
      <w:r>
        <w:t>и</w:t>
      </w:r>
      <w:r>
        <w:t>ратель имеет один голос. Результаты выборов определяются по принципу пр</w:t>
      </w:r>
      <w:r>
        <w:t>о</w:t>
      </w:r>
      <w:r>
        <w:t>порци</w:t>
      </w:r>
      <w:r>
        <w:t>о</w:t>
      </w:r>
      <w:r>
        <w:t>нальности.</w:t>
      </w:r>
    </w:p>
    <w:p w:rsidR="00000000" w:rsidRDefault="00000000">
      <w:pPr>
        <w:pStyle w:val="SingleTxt"/>
      </w:pPr>
      <w:r>
        <w:tab/>
        <w:t>Право голоса имеет каждый гражданин Эстонии, достигший ко дню в</w:t>
      </w:r>
      <w:r>
        <w:t>ы</w:t>
      </w:r>
      <w:r>
        <w:t>боров восемнадцатилетнего возраста. Кроме того, граждане Европейского со</w:t>
      </w:r>
      <w:r>
        <w:t>ю</w:t>
      </w:r>
      <w:r>
        <w:t>за, не являющиеся гражданами Эстонии, имеют право голоса, если им ко дню выборов исполнилось 18 лет, их местом постоянного проживания является Э</w:t>
      </w:r>
      <w:r>
        <w:t>с</w:t>
      </w:r>
      <w:r>
        <w:t>тония, т.е. данные об их адресе занесены в реестр народонаселения Эстонии, и если они не были лишены права голоса в государстве, гражданами которого они являются. Лицо, лишенное дееспособности по суду или осужденное судом и о</w:t>
      </w:r>
      <w:r>
        <w:t>т</w:t>
      </w:r>
      <w:r>
        <w:t>бывающее наказание в местах лишения свободы, не имеет права голоса.</w:t>
      </w:r>
    </w:p>
    <w:p w:rsidR="00000000" w:rsidRDefault="00000000">
      <w:pPr>
        <w:pStyle w:val="SingleTxt"/>
      </w:pPr>
      <w:r>
        <w:tab/>
        <w:t>Правом выдвигаться кандидатом на выборах имеет каждый гражданин Эстонии, которому ко дню выборов исполнился 21 год. Кроме того, граждане Европейского союза, не являющиеся гражданами Эстонии, имеют право в</w:t>
      </w:r>
      <w:r>
        <w:t>ы</w:t>
      </w:r>
      <w:r>
        <w:t>двигаться кандидатами на выборах, если им ко дню выборов исполнился 21 год, их местом постоянного проживания является Эстония, т.е. данные об их адресе занесены в реестр народонаселения Эстонии, и если они не были лиш</w:t>
      </w:r>
      <w:r>
        <w:t>е</w:t>
      </w:r>
      <w:r>
        <w:t>ны права голоса в государстве, гражданами которого они являются. Лица, л</w:t>
      </w:r>
      <w:r>
        <w:t>и</w:t>
      </w:r>
      <w:r>
        <w:t>шенные дееспособности по суду или осужденные судом за уголовные престу</w:t>
      </w:r>
      <w:r>
        <w:t>п</w:t>
      </w:r>
      <w:r>
        <w:t>ления и отбывающие наказание в местах лишения свободы, а также военн</w:t>
      </w:r>
      <w:r>
        <w:t>о</w:t>
      </w:r>
      <w:r>
        <w:t>служащие регулярных вооруженных сил Эстонии, не могут выдвигаться ка</w:t>
      </w:r>
      <w:r>
        <w:t>н</w:t>
      </w:r>
      <w:r>
        <w:t>дидатами на выборах в Европейский парламент.</w:t>
      </w:r>
    </w:p>
    <w:p w:rsidR="00000000" w:rsidRDefault="00000000">
      <w:pPr>
        <w:pStyle w:val="SingleTxt"/>
      </w:pPr>
      <w:r>
        <w:tab/>
        <w:t>В составе Европейского парламента шесть депутатов от Эстонии, в том числе два депут</w:t>
      </w:r>
      <w:r>
        <w:t>а</w:t>
      </w:r>
      <w:r>
        <w:t>та в настоящее время — женщины.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Женщины в парламенте</w:t>
      </w:r>
    </w:p>
    <w:p w:rsidR="00000000" w:rsidRDefault="00000000">
      <w:pPr>
        <w:pStyle w:val="SingleTxt"/>
        <w:spacing w:after="0" w:line="120" w:lineRule="exact"/>
        <w:rPr>
          <w:sz w:val="10"/>
        </w:rPr>
      </w:pPr>
    </w:p>
    <w:p w:rsidR="00000000" w:rsidRDefault="00000000">
      <w:pPr>
        <w:pStyle w:val="SingleTxt"/>
      </w:pPr>
      <w:r>
        <w:tab/>
        <w:t>В состав парламента Эстонии входит 101 член, и в настоящее время 18 из них — женщины. Таким образом, доля женщин в парламенте составляет 18,8 процента. По сравнению с предыдущим составом доля женщин сущес</w:t>
      </w:r>
      <w:r>
        <w:t>т</w:t>
      </w:r>
      <w:r>
        <w:t>венно не изменилась. В таблице 7.1 можно видеть, что доля женщин в парл</w:t>
      </w:r>
      <w:r>
        <w:t>а</w:t>
      </w:r>
      <w:r>
        <w:t>менте, избранном в 1999 году, составляла 17,8 процента. Однако важно также отметить, что в 2003 году Спикером парламента была избрана женщина (Эне Э</w:t>
      </w:r>
      <w:r>
        <w:t>р</w:t>
      </w:r>
      <w:r>
        <w:t>гма).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Женщины в советах местного самоуправления</w:t>
      </w:r>
    </w:p>
    <w:p w:rsidR="00000000" w:rsidRDefault="00000000">
      <w:pPr>
        <w:pStyle w:val="SingleTxt"/>
        <w:spacing w:after="0" w:line="120" w:lineRule="exact"/>
        <w:rPr>
          <w:sz w:val="10"/>
        </w:rPr>
      </w:pPr>
    </w:p>
    <w:p w:rsidR="00000000" w:rsidRDefault="00000000">
      <w:pPr>
        <w:pStyle w:val="SingleTxt"/>
      </w:pPr>
      <w:r>
        <w:tab/>
        <w:t>Доля женщин-кандидатов на выборах в советы местного самоуправления выше, чем на парламентских выборах. Доля избранных женщин также выше по сравнению с парламентскими выборами. На двух последних выборах, в 1999 и 2002 годах, в советы местного самоуправления было избрано 28,3 процента женщин, выдвигавшихся кандидатами (см. таблицу 7.1).</w:t>
      </w:r>
    </w:p>
    <w:p w:rsidR="00000000" w:rsidRDefault="00000000">
      <w:pPr>
        <w:pStyle w:val="SingleTxt"/>
      </w:pPr>
      <w:r>
        <w:tab/>
        <w:t>Однако среди руководителей советов местного самоуправления женщин немного: среди председателей городских советов женщин насчитывается 15,4 процента, а среди председателей волостных советов — 12,4 процента (по состоянию на 15 января 2003 года). Председателем городского совета Талли</w:t>
      </w:r>
      <w:r>
        <w:t>н</w:t>
      </w:r>
      <w:r>
        <w:t>на, столицы Эстонии, является женщина. Мэром Тарту, второго по величине гор</w:t>
      </w:r>
      <w:r>
        <w:t>о</w:t>
      </w:r>
      <w:r>
        <w:t>да Эстонии, также является женщина.</w:t>
      </w:r>
    </w:p>
    <w:p w:rsidR="00000000" w:rsidRDefault="00000000">
      <w:pPr>
        <w:pStyle w:val="SingleTxt"/>
      </w:pPr>
      <w:r>
        <w:tab/>
        <w:t xml:space="preserve">Рост числа женщин-кандидатов как на парламентских выборах, так и на выборах в советы местного самоуправления является позитивной тенденцией. Женщины все больше проявляют интерес к политике, хотя их эффективность при голосовании ниже, чем у мужчин (Tiina Raitviir, </w:t>
      </w:r>
      <w:r>
        <w:rPr>
          <w:i/>
          <w:lang w:val="en-US"/>
        </w:rPr>
        <w:t>Eesti</w:t>
      </w:r>
      <w:r>
        <w:rPr>
          <w:i/>
        </w:rPr>
        <w:t xml:space="preserve"> </w:t>
      </w:r>
      <w:r>
        <w:rPr>
          <w:i/>
          <w:lang w:val="en-US"/>
        </w:rPr>
        <w:t>naised</w:t>
      </w:r>
      <w:r>
        <w:rPr>
          <w:i/>
        </w:rPr>
        <w:t xml:space="preserve"> </w:t>
      </w:r>
      <w:r>
        <w:rPr>
          <w:i/>
          <w:lang w:val="en-US"/>
        </w:rPr>
        <w:t>voimu</w:t>
      </w:r>
      <w:r>
        <w:rPr>
          <w:i/>
        </w:rPr>
        <w:t xml:space="preserve"> </w:t>
      </w:r>
      <w:r>
        <w:rPr>
          <w:i/>
          <w:lang w:val="en-US"/>
        </w:rPr>
        <w:t>juures</w:t>
      </w:r>
      <w:r>
        <w:rPr>
          <w:i/>
        </w:rPr>
        <w:t xml:space="preserve"> 1992–2003</w:t>
      </w:r>
      <w:r>
        <w:t xml:space="preserve"> [Эстонские женщины во власти],</w:t>
      </w:r>
      <w:r>
        <w:rPr>
          <w:i/>
        </w:rPr>
        <w:t xml:space="preserve"> </w:t>
      </w:r>
      <w:r>
        <w:rPr>
          <w:i/>
          <w:lang w:val="en-US"/>
        </w:rPr>
        <w:t>Riigikogu</w:t>
      </w:r>
      <w:r>
        <w:rPr>
          <w:i/>
        </w:rPr>
        <w:t xml:space="preserve"> </w:t>
      </w:r>
      <w:r>
        <w:rPr>
          <w:i/>
          <w:lang w:val="en-US"/>
        </w:rPr>
        <w:t>Toimetised</w:t>
      </w:r>
      <w:r>
        <w:rPr>
          <w:i/>
        </w:rPr>
        <w:t>, 7/2003</w:t>
      </w:r>
      <w:r>
        <w:t>). Женщине труднее победить на выборах. Женщины обычно не имеют круга зн</w:t>
      </w:r>
      <w:r>
        <w:t>а</w:t>
      </w:r>
      <w:r>
        <w:t>комств и покровителей, какой есть у мужчин, их финансовое положение также хуже, и они, как правило, не пользуются поддержкой других женщин.</w:t>
      </w:r>
    </w:p>
    <w:p w:rsidR="00000000" w:rsidRDefault="00000000">
      <w:pPr>
        <w:pStyle w:val="SingleTxt"/>
      </w:pPr>
      <w:r>
        <w:tab/>
        <w:t>Одна из причин, почему женщины не часто побеждают на выборах, об</w:t>
      </w:r>
      <w:r>
        <w:t>ъ</w:t>
      </w:r>
      <w:r>
        <w:t>ясняется эстонской избирательной системой, при которой женщины не ставя</w:t>
      </w:r>
      <w:r>
        <w:t>т</w:t>
      </w:r>
      <w:r>
        <w:t>ся на достаточно высокое место в списках кандидатов. Даже при том, что же</w:t>
      </w:r>
      <w:r>
        <w:t>н</w:t>
      </w:r>
      <w:r>
        <w:t>щины состоят в политических партиях, немногие их них выдвигаются канд</w:t>
      </w:r>
      <w:r>
        <w:t>и</w:t>
      </w:r>
      <w:r>
        <w:t>датами на выборах.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Таблица 7.1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Женщины-кандидаты на выборах и доля избранных женщин на выборах в Э</w:t>
      </w:r>
      <w:r>
        <w:t>с</w:t>
      </w:r>
      <w:r>
        <w:t>тонии в 1999–2004 годах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17"/>
        <w:gridCol w:w="936"/>
        <w:gridCol w:w="864"/>
        <w:gridCol w:w="864"/>
        <w:gridCol w:w="504"/>
        <w:gridCol w:w="864"/>
        <w:gridCol w:w="864"/>
        <w:gridCol w:w="507"/>
      </w:tblGrid>
      <w:tr w:rsidR="00000000">
        <w:tblPrEx>
          <w:tblCellMar>
            <w:top w:w="0" w:type="dxa"/>
            <w:left w:w="0" w:type="dxa"/>
            <w:bottom w:w="0" w:type="dxa"/>
            <w:right w:w="0" w:type="dxa"/>
          </w:tblCellMar>
        </w:tblPrEx>
        <w:trPr>
          <w:cantSplit/>
          <w:tblHeader/>
        </w:trPr>
        <w:tc>
          <w:tcPr>
            <w:tcW w:w="1917"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rPr>
                <w:i/>
                <w:sz w:val="14"/>
              </w:rPr>
            </w:pPr>
          </w:p>
        </w:tc>
        <w:tc>
          <w:tcPr>
            <w:tcW w:w="936"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81" w:line="160" w:lineRule="exact"/>
              <w:ind w:right="43"/>
              <w:jc w:val="right"/>
              <w:rPr>
                <w:i/>
                <w:sz w:val="14"/>
              </w:rPr>
            </w:pPr>
            <w:r>
              <w:rPr>
                <w:i/>
                <w:sz w:val="14"/>
              </w:rPr>
              <w:t>Время проведения</w:t>
            </w:r>
          </w:p>
        </w:tc>
        <w:tc>
          <w:tcPr>
            <w:tcW w:w="17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Кандидаты</w:t>
            </w:r>
          </w:p>
        </w:tc>
        <w:tc>
          <w:tcPr>
            <w:tcW w:w="504"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right"/>
              <w:rPr>
                <w:i/>
                <w:sz w:val="14"/>
              </w:rPr>
            </w:pPr>
          </w:p>
        </w:tc>
        <w:tc>
          <w:tcPr>
            <w:tcW w:w="864"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81" w:line="160" w:lineRule="exact"/>
              <w:ind w:right="43"/>
              <w:jc w:val="right"/>
              <w:rPr>
                <w:i/>
                <w:sz w:val="14"/>
              </w:rPr>
            </w:pPr>
            <w:r>
              <w:rPr>
                <w:i/>
                <w:sz w:val="14"/>
              </w:rPr>
              <w:t>Всего мандатов</w:t>
            </w:r>
          </w:p>
        </w:tc>
        <w:tc>
          <w:tcPr>
            <w:tcW w:w="864" w:type="dxa"/>
            <w:vMerge w:val="restart"/>
            <w:tcBorders>
              <w:top w:val="single" w:sz="4" w:space="0" w:color="auto"/>
            </w:tcBorders>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Избрано женщин</w:t>
            </w:r>
          </w:p>
        </w:tc>
        <w:tc>
          <w:tcPr>
            <w:tcW w:w="507"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right"/>
              <w:rPr>
                <w:i/>
                <w:sz w:val="14"/>
              </w:rPr>
            </w:pPr>
          </w:p>
        </w:tc>
      </w:tr>
      <w:tr w:rsidR="00000000">
        <w:tblPrEx>
          <w:tblCellMar>
            <w:top w:w="0" w:type="dxa"/>
            <w:left w:w="0" w:type="dxa"/>
            <w:bottom w:w="0" w:type="dxa"/>
            <w:right w:w="0" w:type="dxa"/>
          </w:tblCellMar>
        </w:tblPrEx>
        <w:trPr>
          <w:cantSplit/>
          <w:tblHeader/>
        </w:trPr>
        <w:tc>
          <w:tcPr>
            <w:tcW w:w="1917" w:type="dxa"/>
            <w:vAlign w:val="bottom"/>
          </w:tcPr>
          <w:p w:rsidR="00000000" w:rsidRDefault="00000000">
            <w:pPr>
              <w:tabs>
                <w:tab w:val="left" w:pos="288"/>
                <w:tab w:val="left" w:pos="576"/>
                <w:tab w:val="left" w:pos="864"/>
                <w:tab w:val="left" w:pos="1152"/>
              </w:tabs>
              <w:spacing w:before="40" w:after="81" w:line="160" w:lineRule="exact"/>
              <w:ind w:right="43"/>
              <w:rPr>
                <w:i/>
                <w:sz w:val="14"/>
              </w:rPr>
            </w:pPr>
            <w:r>
              <w:rPr>
                <w:i/>
                <w:sz w:val="14"/>
              </w:rPr>
              <w:t>Выборы</w:t>
            </w:r>
          </w:p>
        </w:tc>
        <w:tc>
          <w:tcPr>
            <w:tcW w:w="936" w:type="dxa"/>
            <w:vMerge/>
            <w:vAlign w:val="bottom"/>
          </w:tcPr>
          <w:p w:rsidR="00000000" w:rsidRDefault="00000000">
            <w:pPr>
              <w:tabs>
                <w:tab w:val="left" w:pos="288"/>
                <w:tab w:val="left" w:pos="576"/>
                <w:tab w:val="left" w:pos="864"/>
                <w:tab w:val="left" w:pos="1152"/>
              </w:tabs>
              <w:suppressAutoHyphens/>
              <w:spacing w:before="40" w:after="81" w:line="160" w:lineRule="exact"/>
              <w:ind w:right="43"/>
              <w:jc w:val="right"/>
              <w:rPr>
                <w:i/>
                <w:sz w:val="14"/>
              </w:rPr>
            </w:pPr>
          </w:p>
        </w:tc>
        <w:tc>
          <w:tcPr>
            <w:tcW w:w="86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Всего</w:t>
            </w:r>
          </w:p>
        </w:tc>
        <w:tc>
          <w:tcPr>
            <w:tcW w:w="86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Женщины</w:t>
            </w:r>
          </w:p>
        </w:tc>
        <w:tc>
          <w:tcPr>
            <w:tcW w:w="50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lang w:val="en-US"/>
              </w:rPr>
              <w:t>%</w:t>
            </w:r>
          </w:p>
        </w:tc>
        <w:tc>
          <w:tcPr>
            <w:tcW w:w="864" w:type="dxa"/>
            <w:vMerge/>
            <w:vAlign w:val="bottom"/>
          </w:tcPr>
          <w:p w:rsidR="00000000" w:rsidRDefault="00000000">
            <w:pPr>
              <w:tabs>
                <w:tab w:val="left" w:pos="288"/>
                <w:tab w:val="left" w:pos="576"/>
                <w:tab w:val="left" w:pos="864"/>
                <w:tab w:val="left" w:pos="1152"/>
              </w:tabs>
              <w:suppressAutoHyphens/>
              <w:spacing w:before="40" w:after="81" w:line="160" w:lineRule="exact"/>
              <w:ind w:right="43"/>
              <w:jc w:val="right"/>
              <w:rPr>
                <w:i/>
                <w:sz w:val="14"/>
              </w:rPr>
            </w:pPr>
          </w:p>
        </w:tc>
        <w:tc>
          <w:tcPr>
            <w:tcW w:w="864" w:type="dxa"/>
            <w:vMerge/>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p>
        </w:tc>
        <w:tc>
          <w:tcPr>
            <w:tcW w:w="507"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lang w:val="en-US"/>
              </w:rPr>
              <w:t>%</w:t>
            </w:r>
          </w:p>
        </w:tc>
      </w:tr>
      <w:tr w:rsidR="00000000">
        <w:tblPrEx>
          <w:tblCellMar>
            <w:top w:w="0" w:type="dxa"/>
            <w:left w:w="0" w:type="dxa"/>
            <w:bottom w:w="0" w:type="dxa"/>
            <w:right w:w="0" w:type="dxa"/>
          </w:tblCellMar>
        </w:tblPrEx>
        <w:trPr>
          <w:trHeight w:hRule="exact" w:val="115"/>
          <w:tblHeader/>
        </w:trPr>
        <w:tc>
          <w:tcPr>
            <w:tcW w:w="191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Выборы в парламент</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Рийгикогу</w:t>
            </w:r>
          </w:p>
        </w:tc>
        <w:tc>
          <w:tcPr>
            <w:tcW w:w="936" w:type="dxa"/>
            <w:vAlign w:val="bottom"/>
          </w:tcPr>
          <w:p w:rsidR="00000000" w:rsidRDefault="00000000">
            <w:pPr>
              <w:spacing w:before="40" w:after="40" w:line="210" w:lineRule="exact"/>
              <w:ind w:right="40"/>
              <w:jc w:val="right"/>
              <w:rPr>
                <w:sz w:val="17"/>
              </w:rPr>
            </w:pPr>
            <w:r>
              <w:rPr>
                <w:sz w:val="17"/>
              </w:rPr>
              <w:t>07.03.1999</w:t>
            </w:r>
          </w:p>
        </w:tc>
        <w:tc>
          <w:tcPr>
            <w:tcW w:w="864" w:type="dxa"/>
            <w:vAlign w:val="bottom"/>
          </w:tcPr>
          <w:p w:rsidR="00000000" w:rsidRDefault="00000000">
            <w:pPr>
              <w:spacing w:before="40" w:after="40" w:line="210" w:lineRule="exact"/>
              <w:ind w:right="40"/>
              <w:jc w:val="right"/>
              <w:rPr>
                <w:sz w:val="17"/>
              </w:rPr>
            </w:pPr>
            <w:r>
              <w:rPr>
                <w:sz w:val="17"/>
              </w:rPr>
              <w:t>1</w:t>
            </w:r>
            <w:r>
              <w:rPr>
                <w:sz w:val="17"/>
                <w:lang w:val="en-US"/>
              </w:rPr>
              <w:t xml:space="preserve"> </w:t>
            </w:r>
            <w:r>
              <w:rPr>
                <w:sz w:val="17"/>
              </w:rPr>
              <w:t>884</w:t>
            </w:r>
          </w:p>
        </w:tc>
        <w:tc>
          <w:tcPr>
            <w:tcW w:w="864" w:type="dxa"/>
            <w:vAlign w:val="bottom"/>
          </w:tcPr>
          <w:p w:rsidR="00000000" w:rsidRDefault="00000000">
            <w:pPr>
              <w:spacing w:before="40" w:after="40" w:line="210" w:lineRule="exact"/>
              <w:ind w:right="40"/>
              <w:jc w:val="right"/>
              <w:rPr>
                <w:sz w:val="17"/>
              </w:rPr>
            </w:pPr>
            <w:r>
              <w:rPr>
                <w:sz w:val="17"/>
              </w:rPr>
              <w:t>508</w:t>
            </w:r>
          </w:p>
        </w:tc>
        <w:tc>
          <w:tcPr>
            <w:tcW w:w="504" w:type="dxa"/>
            <w:vAlign w:val="bottom"/>
          </w:tcPr>
          <w:p w:rsidR="00000000" w:rsidRDefault="00000000">
            <w:pPr>
              <w:spacing w:before="40" w:after="40" w:line="210" w:lineRule="exact"/>
              <w:ind w:right="40"/>
              <w:jc w:val="right"/>
              <w:rPr>
                <w:sz w:val="17"/>
              </w:rPr>
            </w:pPr>
            <w:r>
              <w:rPr>
                <w:sz w:val="17"/>
              </w:rPr>
              <w:t>27,0</w:t>
            </w:r>
          </w:p>
        </w:tc>
        <w:tc>
          <w:tcPr>
            <w:tcW w:w="864" w:type="dxa"/>
            <w:vAlign w:val="bottom"/>
          </w:tcPr>
          <w:p w:rsidR="00000000" w:rsidRDefault="00000000">
            <w:pPr>
              <w:spacing w:before="40" w:after="40" w:line="210" w:lineRule="exact"/>
              <w:ind w:right="40"/>
              <w:jc w:val="right"/>
              <w:rPr>
                <w:sz w:val="17"/>
              </w:rPr>
            </w:pPr>
            <w:r>
              <w:rPr>
                <w:sz w:val="17"/>
              </w:rPr>
              <w:t>101</w:t>
            </w:r>
          </w:p>
        </w:tc>
        <w:tc>
          <w:tcPr>
            <w:tcW w:w="864" w:type="dxa"/>
            <w:vAlign w:val="bottom"/>
          </w:tcPr>
          <w:p w:rsidR="00000000" w:rsidRDefault="00000000">
            <w:pPr>
              <w:spacing w:before="40" w:after="40" w:line="210" w:lineRule="exact"/>
              <w:ind w:right="40"/>
              <w:jc w:val="right"/>
              <w:rPr>
                <w:sz w:val="17"/>
              </w:rPr>
            </w:pPr>
            <w:r>
              <w:rPr>
                <w:sz w:val="17"/>
              </w:rPr>
              <w:t>18</w:t>
            </w:r>
          </w:p>
        </w:tc>
        <w:tc>
          <w:tcPr>
            <w:tcW w:w="507" w:type="dxa"/>
            <w:vAlign w:val="bottom"/>
          </w:tcPr>
          <w:p w:rsidR="00000000" w:rsidRDefault="00000000">
            <w:pPr>
              <w:spacing w:before="40" w:after="40" w:line="210" w:lineRule="exact"/>
              <w:ind w:right="40"/>
              <w:jc w:val="right"/>
              <w:rPr>
                <w:sz w:val="17"/>
              </w:rPr>
            </w:pPr>
            <w:r>
              <w:rPr>
                <w:sz w:val="17"/>
              </w:rPr>
              <w:t>17,8</w:t>
            </w:r>
          </w:p>
        </w:tc>
      </w:tr>
      <w:tr w:rsidR="00000000">
        <w:tblPrEx>
          <w:tblCellMar>
            <w:top w:w="0" w:type="dxa"/>
            <w:left w:w="0" w:type="dxa"/>
            <w:bottom w:w="0" w:type="dxa"/>
            <w:right w:w="0" w:type="dxa"/>
          </w:tblCellMar>
        </w:tblPrEx>
        <w:tc>
          <w:tcPr>
            <w:tcW w:w="19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Рийгикогу</w:t>
            </w:r>
          </w:p>
        </w:tc>
        <w:tc>
          <w:tcPr>
            <w:tcW w:w="936" w:type="dxa"/>
            <w:vAlign w:val="bottom"/>
          </w:tcPr>
          <w:p w:rsidR="00000000" w:rsidRDefault="00000000">
            <w:pPr>
              <w:spacing w:before="40" w:after="40" w:line="210" w:lineRule="exact"/>
              <w:ind w:right="40"/>
              <w:jc w:val="right"/>
              <w:rPr>
                <w:sz w:val="17"/>
              </w:rPr>
            </w:pPr>
            <w:r>
              <w:rPr>
                <w:sz w:val="17"/>
              </w:rPr>
              <w:t>02.03.2003</w:t>
            </w:r>
          </w:p>
        </w:tc>
        <w:tc>
          <w:tcPr>
            <w:tcW w:w="864" w:type="dxa"/>
            <w:vAlign w:val="bottom"/>
          </w:tcPr>
          <w:p w:rsidR="00000000" w:rsidRDefault="00000000">
            <w:pPr>
              <w:spacing w:before="40" w:after="40" w:line="210" w:lineRule="exact"/>
              <w:ind w:right="40"/>
              <w:jc w:val="right"/>
              <w:rPr>
                <w:sz w:val="17"/>
              </w:rPr>
            </w:pPr>
            <w:r>
              <w:rPr>
                <w:sz w:val="17"/>
              </w:rPr>
              <w:t>963</w:t>
            </w:r>
          </w:p>
        </w:tc>
        <w:tc>
          <w:tcPr>
            <w:tcW w:w="864" w:type="dxa"/>
            <w:vAlign w:val="bottom"/>
          </w:tcPr>
          <w:p w:rsidR="00000000" w:rsidRDefault="00000000">
            <w:pPr>
              <w:spacing w:before="40" w:after="40" w:line="210" w:lineRule="exact"/>
              <w:ind w:right="40"/>
              <w:jc w:val="right"/>
              <w:rPr>
                <w:sz w:val="17"/>
              </w:rPr>
            </w:pPr>
            <w:r>
              <w:rPr>
                <w:sz w:val="17"/>
              </w:rPr>
              <w:t>206</w:t>
            </w:r>
          </w:p>
        </w:tc>
        <w:tc>
          <w:tcPr>
            <w:tcW w:w="504" w:type="dxa"/>
            <w:vAlign w:val="bottom"/>
          </w:tcPr>
          <w:p w:rsidR="00000000" w:rsidRDefault="00000000">
            <w:pPr>
              <w:spacing w:before="40" w:after="40" w:line="210" w:lineRule="exact"/>
              <w:ind w:right="40"/>
              <w:jc w:val="right"/>
              <w:rPr>
                <w:sz w:val="17"/>
              </w:rPr>
            </w:pPr>
            <w:r>
              <w:rPr>
                <w:sz w:val="17"/>
              </w:rPr>
              <w:t>21,4</w:t>
            </w:r>
          </w:p>
        </w:tc>
        <w:tc>
          <w:tcPr>
            <w:tcW w:w="864" w:type="dxa"/>
            <w:vAlign w:val="bottom"/>
          </w:tcPr>
          <w:p w:rsidR="00000000" w:rsidRDefault="00000000">
            <w:pPr>
              <w:spacing w:before="40" w:after="40" w:line="210" w:lineRule="exact"/>
              <w:ind w:right="40"/>
              <w:jc w:val="right"/>
              <w:rPr>
                <w:sz w:val="17"/>
              </w:rPr>
            </w:pPr>
            <w:r>
              <w:rPr>
                <w:sz w:val="17"/>
              </w:rPr>
              <w:t>101</w:t>
            </w:r>
          </w:p>
        </w:tc>
        <w:tc>
          <w:tcPr>
            <w:tcW w:w="864" w:type="dxa"/>
            <w:vAlign w:val="bottom"/>
          </w:tcPr>
          <w:p w:rsidR="00000000" w:rsidRDefault="00000000">
            <w:pPr>
              <w:spacing w:before="40" w:after="40" w:line="210" w:lineRule="exact"/>
              <w:ind w:right="40"/>
              <w:jc w:val="right"/>
              <w:rPr>
                <w:sz w:val="17"/>
              </w:rPr>
            </w:pPr>
            <w:r>
              <w:rPr>
                <w:sz w:val="17"/>
              </w:rPr>
              <w:t>19</w:t>
            </w:r>
          </w:p>
        </w:tc>
        <w:tc>
          <w:tcPr>
            <w:tcW w:w="507" w:type="dxa"/>
            <w:vAlign w:val="bottom"/>
          </w:tcPr>
          <w:p w:rsidR="00000000" w:rsidRDefault="00000000">
            <w:pPr>
              <w:spacing w:before="40" w:after="40" w:line="210" w:lineRule="exact"/>
              <w:ind w:right="40"/>
              <w:jc w:val="right"/>
              <w:rPr>
                <w:sz w:val="17"/>
              </w:rPr>
            </w:pPr>
            <w:r>
              <w:rPr>
                <w:sz w:val="17"/>
              </w:rPr>
              <w:t>18,8</w:t>
            </w:r>
          </w:p>
        </w:tc>
      </w:tr>
      <w:tr w:rsidR="00000000">
        <w:tblPrEx>
          <w:tblCellMar>
            <w:top w:w="0" w:type="dxa"/>
            <w:left w:w="0" w:type="dxa"/>
            <w:bottom w:w="0" w:type="dxa"/>
            <w:right w:w="0" w:type="dxa"/>
          </w:tblCellMar>
        </w:tblPrEx>
        <w:tc>
          <w:tcPr>
            <w:tcW w:w="19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Выборы в Европейский па</w:t>
            </w:r>
            <w:r>
              <w:rPr>
                <w:sz w:val="17"/>
              </w:rPr>
              <w:t>р</w:t>
            </w:r>
            <w:r>
              <w:rPr>
                <w:sz w:val="17"/>
              </w:rPr>
              <w:t>ламент</w:t>
            </w:r>
          </w:p>
        </w:tc>
        <w:tc>
          <w:tcPr>
            <w:tcW w:w="936" w:type="dxa"/>
            <w:vAlign w:val="bottom"/>
          </w:tcPr>
          <w:p w:rsidR="00000000" w:rsidRDefault="00000000">
            <w:pPr>
              <w:spacing w:before="40" w:after="40" w:line="210" w:lineRule="exact"/>
              <w:ind w:right="40"/>
              <w:jc w:val="right"/>
              <w:rPr>
                <w:sz w:val="17"/>
              </w:rPr>
            </w:pPr>
            <w:r>
              <w:rPr>
                <w:sz w:val="17"/>
              </w:rPr>
              <w:t>13.06.2004</w:t>
            </w:r>
          </w:p>
        </w:tc>
        <w:tc>
          <w:tcPr>
            <w:tcW w:w="864" w:type="dxa"/>
            <w:vAlign w:val="bottom"/>
          </w:tcPr>
          <w:p w:rsidR="00000000" w:rsidRDefault="00000000">
            <w:pPr>
              <w:spacing w:before="40" w:after="40" w:line="210" w:lineRule="exact"/>
              <w:ind w:right="40"/>
              <w:jc w:val="right"/>
              <w:rPr>
                <w:sz w:val="17"/>
              </w:rPr>
            </w:pPr>
            <w:r>
              <w:rPr>
                <w:sz w:val="17"/>
              </w:rPr>
              <w:t>95</w:t>
            </w:r>
          </w:p>
        </w:tc>
        <w:tc>
          <w:tcPr>
            <w:tcW w:w="864" w:type="dxa"/>
            <w:vAlign w:val="bottom"/>
          </w:tcPr>
          <w:p w:rsidR="00000000" w:rsidRDefault="00000000">
            <w:pPr>
              <w:spacing w:before="40" w:after="40" w:line="210" w:lineRule="exact"/>
              <w:ind w:right="40"/>
              <w:jc w:val="right"/>
              <w:rPr>
                <w:sz w:val="17"/>
              </w:rPr>
            </w:pPr>
            <w:r>
              <w:rPr>
                <w:sz w:val="17"/>
              </w:rPr>
              <w:t>23</w:t>
            </w:r>
          </w:p>
        </w:tc>
        <w:tc>
          <w:tcPr>
            <w:tcW w:w="504" w:type="dxa"/>
            <w:vAlign w:val="bottom"/>
          </w:tcPr>
          <w:p w:rsidR="00000000" w:rsidRDefault="00000000">
            <w:pPr>
              <w:spacing w:before="40" w:after="40" w:line="210" w:lineRule="exact"/>
              <w:ind w:right="40"/>
              <w:jc w:val="right"/>
              <w:rPr>
                <w:sz w:val="17"/>
              </w:rPr>
            </w:pPr>
            <w:r>
              <w:rPr>
                <w:sz w:val="17"/>
              </w:rPr>
              <w:t>24,2</w:t>
            </w:r>
          </w:p>
        </w:tc>
        <w:tc>
          <w:tcPr>
            <w:tcW w:w="864" w:type="dxa"/>
            <w:vAlign w:val="bottom"/>
          </w:tcPr>
          <w:p w:rsidR="00000000" w:rsidRDefault="00000000">
            <w:pPr>
              <w:spacing w:before="40" w:after="40" w:line="210" w:lineRule="exact"/>
              <w:ind w:right="40"/>
              <w:jc w:val="right"/>
              <w:rPr>
                <w:sz w:val="17"/>
              </w:rPr>
            </w:pPr>
            <w:r>
              <w:rPr>
                <w:sz w:val="17"/>
              </w:rPr>
              <w:t>6</w:t>
            </w:r>
          </w:p>
        </w:tc>
        <w:tc>
          <w:tcPr>
            <w:tcW w:w="864" w:type="dxa"/>
            <w:vAlign w:val="bottom"/>
          </w:tcPr>
          <w:p w:rsidR="00000000" w:rsidRDefault="00000000">
            <w:pPr>
              <w:spacing w:before="40" w:after="40" w:line="210" w:lineRule="exact"/>
              <w:ind w:right="40"/>
              <w:jc w:val="right"/>
              <w:rPr>
                <w:sz w:val="17"/>
              </w:rPr>
            </w:pPr>
            <w:r>
              <w:rPr>
                <w:sz w:val="17"/>
              </w:rPr>
              <w:t>2</w:t>
            </w:r>
          </w:p>
        </w:tc>
        <w:tc>
          <w:tcPr>
            <w:tcW w:w="507" w:type="dxa"/>
            <w:vAlign w:val="bottom"/>
          </w:tcPr>
          <w:p w:rsidR="00000000" w:rsidRDefault="00000000">
            <w:pPr>
              <w:spacing w:before="40" w:after="40" w:line="210" w:lineRule="exact"/>
              <w:ind w:right="40"/>
              <w:jc w:val="right"/>
              <w:rPr>
                <w:sz w:val="17"/>
              </w:rPr>
            </w:pPr>
            <w:r>
              <w:rPr>
                <w:sz w:val="17"/>
              </w:rPr>
              <w:t>33,3</w:t>
            </w:r>
          </w:p>
        </w:tc>
      </w:tr>
      <w:tr w:rsidR="00000000">
        <w:tblPrEx>
          <w:tblCellMar>
            <w:top w:w="0" w:type="dxa"/>
            <w:left w:w="0" w:type="dxa"/>
            <w:bottom w:w="0" w:type="dxa"/>
            <w:right w:w="0" w:type="dxa"/>
          </w:tblCellMar>
        </w:tblPrEx>
        <w:tc>
          <w:tcPr>
            <w:tcW w:w="19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Выборы в советы м</w:t>
            </w:r>
            <w:r>
              <w:rPr>
                <w:sz w:val="17"/>
              </w:rPr>
              <w:t>е</w:t>
            </w:r>
            <w:r>
              <w:rPr>
                <w:sz w:val="17"/>
              </w:rPr>
              <w:t>стного самоуправл</w:t>
            </w:r>
            <w:r>
              <w:rPr>
                <w:sz w:val="17"/>
              </w:rPr>
              <w:t>е</w:t>
            </w:r>
            <w:r>
              <w:rPr>
                <w:sz w:val="17"/>
              </w:rPr>
              <w:t>ния</w:t>
            </w:r>
          </w:p>
        </w:tc>
        <w:tc>
          <w:tcPr>
            <w:tcW w:w="936" w:type="dxa"/>
            <w:vAlign w:val="bottom"/>
          </w:tcPr>
          <w:p w:rsidR="00000000" w:rsidRDefault="00000000">
            <w:pPr>
              <w:spacing w:before="40" w:after="40" w:line="210" w:lineRule="exact"/>
              <w:ind w:right="40"/>
              <w:jc w:val="right"/>
              <w:rPr>
                <w:sz w:val="17"/>
              </w:rPr>
            </w:pPr>
            <w:r>
              <w:rPr>
                <w:sz w:val="17"/>
                <w:lang w:val="en-US"/>
              </w:rPr>
              <w:t> </w:t>
            </w:r>
          </w:p>
        </w:tc>
        <w:tc>
          <w:tcPr>
            <w:tcW w:w="864" w:type="dxa"/>
            <w:vAlign w:val="bottom"/>
          </w:tcPr>
          <w:p w:rsidR="00000000" w:rsidRDefault="00000000">
            <w:pPr>
              <w:spacing w:before="40" w:after="40" w:line="210" w:lineRule="exact"/>
              <w:ind w:right="40"/>
              <w:jc w:val="right"/>
              <w:rPr>
                <w:sz w:val="17"/>
              </w:rPr>
            </w:pPr>
          </w:p>
        </w:tc>
        <w:tc>
          <w:tcPr>
            <w:tcW w:w="864" w:type="dxa"/>
            <w:vAlign w:val="bottom"/>
          </w:tcPr>
          <w:p w:rsidR="00000000" w:rsidRDefault="00000000">
            <w:pPr>
              <w:spacing w:before="40" w:after="40" w:line="210" w:lineRule="exact"/>
              <w:ind w:right="40"/>
              <w:jc w:val="right"/>
              <w:rPr>
                <w:sz w:val="17"/>
              </w:rPr>
            </w:pPr>
          </w:p>
        </w:tc>
        <w:tc>
          <w:tcPr>
            <w:tcW w:w="504" w:type="dxa"/>
            <w:vAlign w:val="bottom"/>
          </w:tcPr>
          <w:p w:rsidR="00000000" w:rsidRDefault="00000000">
            <w:pPr>
              <w:spacing w:before="40" w:after="40" w:line="210" w:lineRule="exact"/>
              <w:ind w:right="40"/>
              <w:jc w:val="right"/>
              <w:rPr>
                <w:sz w:val="17"/>
              </w:rPr>
            </w:pPr>
          </w:p>
        </w:tc>
        <w:tc>
          <w:tcPr>
            <w:tcW w:w="864" w:type="dxa"/>
            <w:vAlign w:val="bottom"/>
          </w:tcPr>
          <w:p w:rsidR="00000000" w:rsidRDefault="00000000">
            <w:pPr>
              <w:spacing w:before="40" w:after="40" w:line="210" w:lineRule="exact"/>
              <w:ind w:right="40"/>
              <w:jc w:val="right"/>
              <w:rPr>
                <w:sz w:val="17"/>
              </w:rPr>
            </w:pPr>
          </w:p>
        </w:tc>
        <w:tc>
          <w:tcPr>
            <w:tcW w:w="864" w:type="dxa"/>
            <w:vAlign w:val="bottom"/>
          </w:tcPr>
          <w:p w:rsidR="00000000" w:rsidRDefault="00000000">
            <w:pPr>
              <w:spacing w:before="40" w:after="40" w:line="210" w:lineRule="exact"/>
              <w:ind w:right="40"/>
              <w:jc w:val="right"/>
              <w:rPr>
                <w:sz w:val="17"/>
              </w:rPr>
            </w:pPr>
          </w:p>
        </w:tc>
        <w:tc>
          <w:tcPr>
            <w:tcW w:w="507" w:type="dxa"/>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91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Местные советы</w:t>
            </w:r>
          </w:p>
        </w:tc>
        <w:tc>
          <w:tcPr>
            <w:tcW w:w="936" w:type="dxa"/>
            <w:vAlign w:val="bottom"/>
          </w:tcPr>
          <w:p w:rsidR="00000000" w:rsidRDefault="00000000">
            <w:pPr>
              <w:spacing w:before="40" w:after="40" w:line="210" w:lineRule="exact"/>
              <w:ind w:right="40"/>
              <w:jc w:val="right"/>
              <w:rPr>
                <w:sz w:val="17"/>
              </w:rPr>
            </w:pPr>
            <w:r>
              <w:rPr>
                <w:sz w:val="17"/>
              </w:rPr>
              <w:t>17.10.1999</w:t>
            </w:r>
          </w:p>
        </w:tc>
        <w:tc>
          <w:tcPr>
            <w:tcW w:w="864" w:type="dxa"/>
            <w:vAlign w:val="bottom"/>
          </w:tcPr>
          <w:p w:rsidR="00000000" w:rsidRDefault="00000000">
            <w:pPr>
              <w:spacing w:before="40" w:after="40" w:line="210" w:lineRule="exact"/>
              <w:ind w:right="40"/>
              <w:jc w:val="right"/>
              <w:rPr>
                <w:sz w:val="17"/>
              </w:rPr>
            </w:pPr>
            <w:r>
              <w:rPr>
                <w:sz w:val="17"/>
              </w:rPr>
              <w:t>12</w:t>
            </w:r>
            <w:r>
              <w:rPr>
                <w:sz w:val="17"/>
                <w:lang w:val="en-US"/>
              </w:rPr>
              <w:t xml:space="preserve"> </w:t>
            </w:r>
            <w:r>
              <w:rPr>
                <w:sz w:val="17"/>
              </w:rPr>
              <w:t>802</w:t>
            </w:r>
          </w:p>
        </w:tc>
        <w:tc>
          <w:tcPr>
            <w:tcW w:w="864" w:type="dxa"/>
            <w:vAlign w:val="bottom"/>
          </w:tcPr>
          <w:p w:rsidR="00000000" w:rsidRDefault="00000000">
            <w:pPr>
              <w:spacing w:before="40" w:after="40" w:line="210" w:lineRule="exact"/>
              <w:ind w:right="40"/>
              <w:jc w:val="right"/>
              <w:rPr>
                <w:sz w:val="17"/>
              </w:rPr>
            </w:pPr>
            <w:r>
              <w:rPr>
                <w:sz w:val="17"/>
              </w:rPr>
              <w:t>4</w:t>
            </w:r>
            <w:r>
              <w:rPr>
                <w:sz w:val="17"/>
                <w:lang w:val="en-US"/>
              </w:rPr>
              <w:t xml:space="preserve"> </w:t>
            </w:r>
            <w:r>
              <w:rPr>
                <w:sz w:val="17"/>
              </w:rPr>
              <w:t>562</w:t>
            </w:r>
          </w:p>
        </w:tc>
        <w:tc>
          <w:tcPr>
            <w:tcW w:w="504" w:type="dxa"/>
            <w:vAlign w:val="bottom"/>
          </w:tcPr>
          <w:p w:rsidR="00000000" w:rsidRDefault="00000000">
            <w:pPr>
              <w:spacing w:before="40" w:after="40" w:line="210" w:lineRule="exact"/>
              <w:ind w:right="40"/>
              <w:jc w:val="right"/>
              <w:rPr>
                <w:sz w:val="17"/>
              </w:rPr>
            </w:pPr>
            <w:r>
              <w:rPr>
                <w:sz w:val="17"/>
              </w:rPr>
              <w:t>35,6</w:t>
            </w:r>
          </w:p>
        </w:tc>
        <w:tc>
          <w:tcPr>
            <w:tcW w:w="864" w:type="dxa"/>
            <w:vAlign w:val="bottom"/>
          </w:tcPr>
          <w:p w:rsidR="00000000" w:rsidRDefault="00000000">
            <w:pPr>
              <w:spacing w:before="40" w:after="40" w:line="210" w:lineRule="exact"/>
              <w:ind w:right="40"/>
              <w:jc w:val="right"/>
              <w:rPr>
                <w:sz w:val="17"/>
              </w:rPr>
            </w:pPr>
            <w:r>
              <w:rPr>
                <w:sz w:val="17"/>
              </w:rPr>
              <w:t>3355</w:t>
            </w:r>
          </w:p>
        </w:tc>
        <w:tc>
          <w:tcPr>
            <w:tcW w:w="864" w:type="dxa"/>
            <w:vAlign w:val="bottom"/>
          </w:tcPr>
          <w:p w:rsidR="00000000" w:rsidRDefault="00000000">
            <w:pPr>
              <w:spacing w:before="40" w:after="40" w:line="210" w:lineRule="exact"/>
              <w:ind w:right="40"/>
              <w:jc w:val="right"/>
              <w:rPr>
                <w:sz w:val="17"/>
              </w:rPr>
            </w:pPr>
            <w:r>
              <w:rPr>
                <w:sz w:val="17"/>
              </w:rPr>
              <w:t>951</w:t>
            </w:r>
          </w:p>
        </w:tc>
        <w:tc>
          <w:tcPr>
            <w:tcW w:w="507" w:type="dxa"/>
            <w:vAlign w:val="bottom"/>
          </w:tcPr>
          <w:p w:rsidR="00000000" w:rsidRDefault="00000000">
            <w:pPr>
              <w:spacing w:before="40" w:after="40" w:line="210" w:lineRule="exact"/>
              <w:ind w:right="40"/>
              <w:jc w:val="right"/>
              <w:rPr>
                <w:sz w:val="17"/>
              </w:rPr>
            </w:pPr>
            <w:r>
              <w:rPr>
                <w:sz w:val="17"/>
              </w:rPr>
              <w:t>28,3</w:t>
            </w:r>
          </w:p>
        </w:tc>
      </w:tr>
      <w:tr w:rsidR="00000000">
        <w:tblPrEx>
          <w:tblCellMar>
            <w:top w:w="0" w:type="dxa"/>
            <w:left w:w="0" w:type="dxa"/>
            <w:bottom w:w="0" w:type="dxa"/>
            <w:right w:w="0" w:type="dxa"/>
          </w:tblCellMar>
        </w:tblPrEx>
        <w:tc>
          <w:tcPr>
            <w:tcW w:w="191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Местные советы</w:t>
            </w:r>
          </w:p>
        </w:tc>
        <w:tc>
          <w:tcPr>
            <w:tcW w:w="936" w:type="dxa"/>
            <w:tcBorders>
              <w:bottom w:val="single" w:sz="12" w:space="0" w:color="auto"/>
            </w:tcBorders>
            <w:vAlign w:val="bottom"/>
          </w:tcPr>
          <w:p w:rsidR="00000000" w:rsidRDefault="00000000">
            <w:pPr>
              <w:spacing w:before="40" w:after="40" w:line="210" w:lineRule="exact"/>
              <w:ind w:right="40"/>
              <w:jc w:val="right"/>
              <w:rPr>
                <w:sz w:val="17"/>
              </w:rPr>
            </w:pPr>
            <w:r>
              <w:rPr>
                <w:sz w:val="17"/>
              </w:rPr>
              <w:t>20.10.2002</w:t>
            </w:r>
          </w:p>
        </w:tc>
        <w:tc>
          <w:tcPr>
            <w:tcW w:w="864" w:type="dxa"/>
            <w:tcBorders>
              <w:bottom w:val="single" w:sz="12" w:space="0" w:color="auto"/>
            </w:tcBorders>
            <w:vAlign w:val="bottom"/>
          </w:tcPr>
          <w:p w:rsidR="00000000" w:rsidRDefault="00000000">
            <w:pPr>
              <w:spacing w:before="40" w:after="40" w:line="210" w:lineRule="exact"/>
              <w:ind w:right="40"/>
              <w:jc w:val="right"/>
              <w:rPr>
                <w:sz w:val="17"/>
              </w:rPr>
            </w:pPr>
            <w:r>
              <w:rPr>
                <w:sz w:val="17"/>
              </w:rPr>
              <w:t>15</w:t>
            </w:r>
            <w:r>
              <w:rPr>
                <w:sz w:val="17"/>
                <w:lang w:val="en-US"/>
              </w:rPr>
              <w:t xml:space="preserve"> </w:t>
            </w:r>
            <w:r>
              <w:rPr>
                <w:sz w:val="17"/>
              </w:rPr>
              <w:t>181</w:t>
            </w:r>
          </w:p>
        </w:tc>
        <w:tc>
          <w:tcPr>
            <w:tcW w:w="864" w:type="dxa"/>
            <w:tcBorders>
              <w:bottom w:val="single" w:sz="12" w:space="0" w:color="auto"/>
            </w:tcBorders>
            <w:vAlign w:val="bottom"/>
          </w:tcPr>
          <w:p w:rsidR="00000000" w:rsidRDefault="00000000">
            <w:pPr>
              <w:spacing w:before="40" w:after="40" w:line="210" w:lineRule="exact"/>
              <w:ind w:right="40"/>
              <w:jc w:val="right"/>
              <w:rPr>
                <w:sz w:val="17"/>
              </w:rPr>
            </w:pPr>
            <w:r>
              <w:rPr>
                <w:sz w:val="17"/>
              </w:rPr>
              <w:t>5</w:t>
            </w:r>
            <w:r>
              <w:rPr>
                <w:sz w:val="17"/>
                <w:lang w:val="en-US"/>
              </w:rPr>
              <w:t xml:space="preserve"> </w:t>
            </w:r>
            <w:r>
              <w:rPr>
                <w:sz w:val="17"/>
              </w:rPr>
              <w:t>727</w:t>
            </w:r>
          </w:p>
        </w:tc>
        <w:tc>
          <w:tcPr>
            <w:tcW w:w="504" w:type="dxa"/>
            <w:tcBorders>
              <w:bottom w:val="single" w:sz="12" w:space="0" w:color="auto"/>
            </w:tcBorders>
            <w:vAlign w:val="bottom"/>
          </w:tcPr>
          <w:p w:rsidR="00000000" w:rsidRDefault="00000000">
            <w:pPr>
              <w:spacing w:before="40" w:after="40" w:line="210" w:lineRule="exact"/>
              <w:ind w:right="40"/>
              <w:jc w:val="right"/>
              <w:rPr>
                <w:sz w:val="17"/>
              </w:rPr>
            </w:pPr>
            <w:r>
              <w:rPr>
                <w:sz w:val="17"/>
              </w:rPr>
              <w:t>37,7</w:t>
            </w:r>
          </w:p>
        </w:tc>
        <w:tc>
          <w:tcPr>
            <w:tcW w:w="864" w:type="dxa"/>
            <w:tcBorders>
              <w:bottom w:val="single" w:sz="12" w:space="0" w:color="auto"/>
            </w:tcBorders>
            <w:vAlign w:val="bottom"/>
          </w:tcPr>
          <w:p w:rsidR="00000000" w:rsidRDefault="00000000">
            <w:pPr>
              <w:spacing w:before="40" w:after="40" w:line="210" w:lineRule="exact"/>
              <w:ind w:right="40"/>
              <w:jc w:val="right"/>
              <w:rPr>
                <w:sz w:val="17"/>
              </w:rPr>
            </w:pPr>
            <w:r>
              <w:rPr>
                <w:sz w:val="17"/>
              </w:rPr>
              <w:t>3</w:t>
            </w:r>
            <w:r>
              <w:rPr>
                <w:sz w:val="17"/>
                <w:lang w:val="en-US"/>
              </w:rPr>
              <w:t xml:space="preserve"> </w:t>
            </w:r>
            <w:r>
              <w:rPr>
                <w:sz w:val="17"/>
              </w:rPr>
              <w:t>273</w:t>
            </w:r>
          </w:p>
        </w:tc>
        <w:tc>
          <w:tcPr>
            <w:tcW w:w="864" w:type="dxa"/>
            <w:tcBorders>
              <w:bottom w:val="single" w:sz="12" w:space="0" w:color="auto"/>
            </w:tcBorders>
            <w:vAlign w:val="bottom"/>
          </w:tcPr>
          <w:p w:rsidR="00000000" w:rsidRDefault="00000000">
            <w:pPr>
              <w:spacing w:before="40" w:after="40" w:line="210" w:lineRule="exact"/>
              <w:ind w:right="40"/>
              <w:jc w:val="right"/>
              <w:rPr>
                <w:sz w:val="17"/>
              </w:rPr>
            </w:pPr>
            <w:r>
              <w:rPr>
                <w:sz w:val="17"/>
              </w:rPr>
              <w:t>923</w:t>
            </w:r>
          </w:p>
        </w:tc>
        <w:tc>
          <w:tcPr>
            <w:tcW w:w="507" w:type="dxa"/>
            <w:tcBorders>
              <w:bottom w:val="single" w:sz="12" w:space="0" w:color="auto"/>
            </w:tcBorders>
            <w:vAlign w:val="bottom"/>
          </w:tcPr>
          <w:p w:rsidR="00000000" w:rsidRDefault="00000000">
            <w:pPr>
              <w:spacing w:before="40" w:after="40" w:line="210" w:lineRule="exact"/>
              <w:ind w:right="40"/>
              <w:jc w:val="right"/>
              <w:rPr>
                <w:sz w:val="17"/>
              </w:rPr>
            </w:pPr>
            <w:r>
              <w:rPr>
                <w:sz w:val="17"/>
              </w:rPr>
              <w:t>28,3</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rPr>
        <w:t>Источник</w:t>
      </w:r>
      <w:r>
        <w:t>: Избирательная комиссия Эстонской Республики. www.e-riik/valimiskomisjon.ee/</w:t>
      </w:r>
    </w:p>
    <w:p w:rsidR="00000000" w:rsidRDefault="00000000">
      <w:pPr>
        <w:pStyle w:val="FootnoteText"/>
        <w:tabs>
          <w:tab w:val="clear" w:pos="418"/>
          <w:tab w:val="right" w:pos="1476"/>
          <w:tab w:val="left" w:pos="1548"/>
          <w:tab w:val="right" w:pos="1836"/>
          <w:tab w:val="left" w:pos="1908"/>
        </w:tabs>
        <w:ind w:left="1548" w:right="1267" w:hanging="288"/>
        <w:rPr>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Женщины на выборах в Европейский парламент</w:t>
      </w:r>
    </w:p>
    <w:p w:rsidR="00000000" w:rsidRDefault="00000000">
      <w:pPr>
        <w:pStyle w:val="SingleTxt"/>
        <w:spacing w:after="0" w:line="120" w:lineRule="exact"/>
        <w:rPr>
          <w:sz w:val="10"/>
          <w:lang w:val="en-US"/>
        </w:rPr>
      </w:pPr>
    </w:p>
    <w:p w:rsidR="00000000" w:rsidRDefault="00000000">
      <w:pPr>
        <w:pStyle w:val="SingleTxt"/>
      </w:pPr>
      <w:r>
        <w:rPr>
          <w:lang w:val="en-US"/>
        </w:rPr>
        <w:tab/>
      </w:r>
      <w:r>
        <w:t>В конце 2003 года эстонские женские организации выступили с воззван</w:t>
      </w:r>
      <w:r>
        <w:t>и</w:t>
      </w:r>
      <w:r>
        <w:t>ем, в котором призывали политические партии поместить женщин в верхнюю часть списка кандидатов на выборах в Европейский парламент. 202 женщины из 98 женских организаций призвали население голосовать на этих выборах за ка</w:t>
      </w:r>
      <w:r>
        <w:t>н</w:t>
      </w:r>
      <w:r>
        <w:t>дидатов-женщин.</w:t>
      </w:r>
    </w:p>
    <w:p w:rsidR="00000000" w:rsidRDefault="00000000">
      <w:pPr>
        <w:pStyle w:val="SingleTxt"/>
      </w:pPr>
      <w:r>
        <w:rPr>
          <w:lang w:val="en-US"/>
        </w:rPr>
        <w:tab/>
      </w:r>
      <w:r>
        <w:t>В Европейский парламент были избраны две женщины (Сиири Овиир и Марианне Микко), и одна из них (Марианне Микко) в нестоящее время во</w:t>
      </w:r>
      <w:r>
        <w:t>з</w:t>
      </w:r>
      <w:r>
        <w:t>главляет делегацию Европейского парламента по сотрудничеству ЕС</w:t>
      </w:r>
      <w:r>
        <w:rPr>
          <w:lang w:val="en-US"/>
        </w:rPr>
        <w:t xml:space="preserve"> — </w:t>
      </w:r>
      <w:r>
        <w:t>Мо</w:t>
      </w:r>
      <w:r>
        <w:t>л</w:t>
      </w:r>
      <w:r>
        <w:t>дова.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Доля женщин в крупных политических партиях</w:t>
      </w:r>
    </w:p>
    <w:p w:rsidR="00000000" w:rsidRDefault="00000000">
      <w:pPr>
        <w:pStyle w:val="SingleTxt"/>
        <w:spacing w:after="0" w:line="120" w:lineRule="exact"/>
        <w:rPr>
          <w:sz w:val="10"/>
        </w:rPr>
      </w:pPr>
    </w:p>
    <w:p w:rsidR="00000000" w:rsidRDefault="00000000">
      <w:pPr>
        <w:pStyle w:val="SingleTxt"/>
      </w:pPr>
      <w:r>
        <w:tab/>
        <w:t>Доля женщин среди рядовых членов партий существенно отличается от доли женщин среди партийных руководителей. По состоянию на 1 января 2002 года в среднем 48 процентов членов партий, представленных в парламе</w:t>
      </w:r>
      <w:r>
        <w:t>н</w:t>
      </w:r>
      <w:r>
        <w:t>те, были женщинами. В составе консервативных партий женщин меньше, чем в составе либеральных партий, и среди молодых членов партий доля женщин выше, чем в среднем среди всех членов партий. Однако во внутрипартийной иерархии такая сбалансированность между числом женщин и числом мужчин отсутствует — среди членов руководящих органов политических партий же</w:t>
      </w:r>
      <w:r>
        <w:t>н</w:t>
      </w:r>
      <w:r>
        <w:t>щин в среднем насчитывается 16 процентов; в четырех из 19 политических партий в составе руководящих органов женщин нет, а в пяти партиях в их р</w:t>
      </w:r>
      <w:r>
        <w:t>у</w:t>
      </w:r>
      <w:r>
        <w:t>ководящих органах всего по одной женщине (данные на 4 марта 2002 года, T</w:t>
      </w:r>
      <w:r>
        <w:t>i</w:t>
      </w:r>
      <w:r>
        <w:t xml:space="preserve">ina Raiviir, </w:t>
      </w:r>
      <w:r>
        <w:rPr>
          <w:i/>
          <w:lang w:val="en-US"/>
        </w:rPr>
        <w:t>Eesti</w:t>
      </w:r>
      <w:r>
        <w:rPr>
          <w:i/>
        </w:rPr>
        <w:t xml:space="preserve"> </w:t>
      </w:r>
      <w:r>
        <w:rPr>
          <w:i/>
          <w:lang w:val="en-US"/>
        </w:rPr>
        <w:t>naised</w:t>
      </w:r>
      <w:r>
        <w:rPr>
          <w:i/>
        </w:rPr>
        <w:t xml:space="preserve"> </w:t>
      </w:r>
      <w:r>
        <w:rPr>
          <w:i/>
          <w:lang w:val="en-US"/>
        </w:rPr>
        <w:t>poliitilise</w:t>
      </w:r>
      <w:r>
        <w:rPr>
          <w:i/>
        </w:rPr>
        <w:t xml:space="preserve"> </w:t>
      </w:r>
      <w:r>
        <w:rPr>
          <w:i/>
          <w:lang w:val="en-US"/>
        </w:rPr>
        <w:t>voimu</w:t>
      </w:r>
      <w:r>
        <w:rPr>
          <w:i/>
        </w:rPr>
        <w:t xml:space="preserve"> </w:t>
      </w:r>
      <w:r>
        <w:rPr>
          <w:i/>
          <w:lang w:val="en-US"/>
        </w:rPr>
        <w:t>juures</w:t>
      </w:r>
      <w:r>
        <w:rPr>
          <w:i/>
        </w:rPr>
        <w:t xml:space="preserve"> </w:t>
      </w:r>
      <w:r>
        <w:t>[Эстонские женщины в политич</w:t>
      </w:r>
      <w:r>
        <w:t>е</w:t>
      </w:r>
      <w:r>
        <w:t xml:space="preserve">ской власти], </w:t>
      </w:r>
      <w:r>
        <w:rPr>
          <w:i/>
          <w:lang w:val="en-US"/>
        </w:rPr>
        <w:t>Ariadne</w:t>
      </w:r>
      <w:r>
        <w:rPr>
          <w:i/>
        </w:rPr>
        <w:t xml:space="preserve"> </w:t>
      </w:r>
      <w:r>
        <w:rPr>
          <w:i/>
          <w:lang w:val="en-US"/>
        </w:rPr>
        <w:t>Long</w:t>
      </w:r>
      <w:r>
        <w:rPr>
          <w:i/>
        </w:rPr>
        <w:t>, 1/2</w:t>
      </w:r>
      <w:r>
        <w:t>, 2002)</w:t>
      </w:r>
    </w:p>
    <w:p w:rsidR="00000000" w:rsidRDefault="00000000">
      <w:pPr>
        <w:pStyle w:val="SingleTxt"/>
      </w:pPr>
      <w:r>
        <w:tab/>
        <w:t>Мало женщин и среди руководителей региональных отделений и орган</w:t>
      </w:r>
      <w:r>
        <w:t>и</w:t>
      </w:r>
      <w:r>
        <w:t>заций политических партий. В одной политической партии — Эстонская левая партия — лидером партии является женщина. Поскольку женщин среди лид</w:t>
      </w:r>
      <w:r>
        <w:t>е</w:t>
      </w:r>
      <w:r>
        <w:t>ров политических партий мало, их возможности принимать участие в принятии важных решений, таких, как составление списков кандидатов на выборах, та</w:t>
      </w:r>
      <w:r>
        <w:t>к</w:t>
      </w:r>
      <w:r>
        <w:t>же являются ограниченными. Вместе с тем некоторые партии специально о</w:t>
      </w:r>
      <w:r>
        <w:t>б</w:t>
      </w:r>
      <w:r>
        <w:t>ращались к женщинам вступать в ряды партии (например, Центристская па</w:t>
      </w:r>
      <w:r>
        <w:t>р</w:t>
      </w:r>
      <w:r>
        <w:t xml:space="preserve">тия Эстонии, Социал-демократическая партия). </w:t>
      </w:r>
    </w:p>
    <w:p w:rsidR="00000000" w:rsidRDefault="00000000">
      <w:pPr>
        <w:pStyle w:val="SingleTxt"/>
      </w:pPr>
      <w:r>
        <w:tab/>
        <w:t xml:space="preserve">Все самые крупные политические партии (Союз «Отечество» — </w:t>
      </w:r>
      <w:r>
        <w:rPr>
          <w:lang w:val="en-US"/>
        </w:rPr>
        <w:t>Pro</w:t>
      </w:r>
      <w:r>
        <w:t xml:space="preserve"> </w:t>
      </w:r>
      <w:r>
        <w:rPr>
          <w:lang w:val="en-US"/>
        </w:rPr>
        <w:t>P</w:t>
      </w:r>
      <w:r>
        <w:rPr>
          <w:lang w:val="en-US"/>
        </w:rPr>
        <w:t>a</w:t>
      </w:r>
      <w:r>
        <w:rPr>
          <w:lang w:val="en-US"/>
        </w:rPr>
        <w:t>tria</w:t>
      </w:r>
      <w:r>
        <w:t>, Партия реформ, Объединенная народная партия, Социал-демократическая партия, Центристская партия) имеют свои же</w:t>
      </w:r>
      <w:r>
        <w:t>н</w:t>
      </w:r>
      <w:r>
        <w:t>ские организации.</w:t>
      </w:r>
    </w:p>
    <w:p w:rsidR="00000000" w:rsidRDefault="00000000">
      <w:pPr>
        <w:pStyle w:val="SingleTxt"/>
      </w:pPr>
      <w:r>
        <w:tab/>
        <w:t>В настоящее время ни одна политическая партия не заявила о том, что обеспечение равноправия женщин и мужчин и гендерной сбалансированности в обществе является одной из главных задач в их программах. Только некот</w:t>
      </w:r>
      <w:r>
        <w:t>о</w:t>
      </w:r>
      <w:r>
        <w:t>рые партии упоминают в своих программах необходимость гендерного раве</w:t>
      </w:r>
      <w:r>
        <w:t>н</w:t>
      </w:r>
      <w:r>
        <w:t>ства. Программы и действия партий, однако, не всегда отличаются последов</w:t>
      </w:r>
      <w:r>
        <w:t>а</w:t>
      </w:r>
      <w:r>
        <w:t>тельностью: необходимость обеспечения гендерного равенства порой подче</w:t>
      </w:r>
      <w:r>
        <w:t>р</w:t>
      </w:r>
      <w:r>
        <w:t>кивается теми политическими партиями, в органах, руководящих политической деятельностью которых, доминирующее положение занимают мужчины (Объ</w:t>
      </w:r>
      <w:r>
        <w:t>е</w:t>
      </w:r>
      <w:r>
        <w:t>диненная народная партия, Объединение «За Республику» — Res Publica). С другой стороны, некоторые партии, которые выдвинули женщин на должности высокого политического уровня (например, Центристская партия) не упомин</w:t>
      </w:r>
      <w:r>
        <w:t>а</w:t>
      </w:r>
      <w:r>
        <w:t>ют гендерную проблему в своих программах.</w:t>
      </w:r>
    </w:p>
    <w:p w:rsidR="00000000" w:rsidRDefault="00000000">
      <w:pPr>
        <w:pStyle w:val="SingleTxt"/>
        <w:spacing w:after="0" w:line="120" w:lineRule="exact"/>
        <w:rPr>
          <w:sz w:val="10"/>
        </w:rPr>
      </w:pPr>
    </w:p>
    <w:p w:rsidR="00000000" w:rsidRDefault="00000000">
      <w:pPr>
        <w:pStyle w:val="SingleTxt"/>
        <w:rPr>
          <w:b/>
        </w:rPr>
      </w:pPr>
      <w:r>
        <w:rPr>
          <w:b/>
        </w:rPr>
        <w:tab/>
        <w:t>b)</w:t>
      </w:r>
      <w:r>
        <w:rPr>
          <w:b/>
        </w:rPr>
        <w:tab/>
        <w:t>участвовать в формулировании и осуществлении политики пр</w:t>
      </w:r>
      <w:r>
        <w:rPr>
          <w:b/>
        </w:rPr>
        <w:t>а</w:t>
      </w:r>
      <w:r>
        <w:rPr>
          <w:b/>
        </w:rPr>
        <w:t>вительства и занимать государственные посты, а также осуществлять все государс</w:t>
      </w:r>
      <w:r>
        <w:rPr>
          <w:b/>
        </w:rPr>
        <w:t>т</w:t>
      </w:r>
      <w:r>
        <w:rPr>
          <w:b/>
        </w:rPr>
        <w:t>венные функции на всех уровнях государственного управления;</w:t>
      </w:r>
    </w:p>
    <w:p w:rsidR="00000000" w:rsidRDefault="00000000">
      <w:pPr>
        <w:pStyle w:val="SingleTxt"/>
      </w:pPr>
      <w:r>
        <w:tab/>
        <w:t>Доля женщин в правительстве Эстонии подвержена колебаниям, но в среднем женщины составляют 12,5 процента членов правительства (см. табл</w:t>
      </w:r>
      <w:r>
        <w:t>и</w:t>
      </w:r>
      <w:r>
        <w:t>цу 7.2). После выборов 2003 года в правительство сначала вошла одна женщ</w:t>
      </w:r>
      <w:r>
        <w:t>и</w:t>
      </w:r>
      <w:r>
        <w:t>на (министр иностранных дел) (что составляло 7,1 процента членов правител</w:t>
      </w:r>
      <w:r>
        <w:t>ь</w:t>
      </w:r>
      <w:r>
        <w:t>ства), год спустя в правительстве было уже две женщины (министр иностра</w:t>
      </w:r>
      <w:r>
        <w:t>н</w:t>
      </w:r>
      <w:r>
        <w:t>ных дел и министр сельского хозяйства) (14,2 процента). Следует, однако, о</w:t>
      </w:r>
      <w:r>
        <w:t>т</w:t>
      </w:r>
      <w:r>
        <w:t>метить, что министры-женщины имеют важные портфели.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Таблица 7.2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Женщины в правительстве Эстонии, 1999–2004 годы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981"/>
        <w:gridCol w:w="864"/>
        <w:gridCol w:w="864"/>
        <w:gridCol w:w="864"/>
        <w:gridCol w:w="1143"/>
      </w:tblGrid>
      <w:tr w:rsidR="00000000">
        <w:tblPrEx>
          <w:tblCellMar>
            <w:top w:w="0" w:type="dxa"/>
            <w:left w:w="0" w:type="dxa"/>
            <w:bottom w:w="0" w:type="dxa"/>
            <w:right w:w="0" w:type="dxa"/>
          </w:tblCellMar>
        </w:tblPrEx>
        <w:trPr>
          <w:cantSplit/>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rPr>
                <w:i/>
                <w:sz w:val="14"/>
              </w:rPr>
            </w:pPr>
          </w:p>
        </w:tc>
        <w:tc>
          <w:tcPr>
            <w:tcW w:w="981"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81" w:line="160" w:lineRule="exact"/>
              <w:ind w:right="43"/>
              <w:jc w:val="right"/>
              <w:rPr>
                <w:i/>
                <w:sz w:val="14"/>
              </w:rPr>
            </w:pPr>
            <w:r>
              <w:rPr>
                <w:i/>
                <w:sz w:val="14"/>
              </w:rPr>
              <w:t>Период</w:t>
            </w:r>
          </w:p>
        </w:tc>
        <w:tc>
          <w:tcPr>
            <w:tcW w:w="17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Члены</w:t>
            </w:r>
          </w:p>
        </w:tc>
        <w:tc>
          <w:tcPr>
            <w:tcW w:w="864"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right"/>
              <w:rPr>
                <w:i/>
                <w:sz w:val="14"/>
              </w:rPr>
            </w:pPr>
          </w:p>
        </w:tc>
        <w:tc>
          <w:tcPr>
            <w:tcW w:w="1143"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81" w:line="160" w:lineRule="exact"/>
              <w:ind w:right="43"/>
              <w:jc w:val="right"/>
              <w:rPr>
                <w:i/>
                <w:sz w:val="14"/>
              </w:rPr>
            </w:pPr>
            <w:r>
              <w:rPr>
                <w:i/>
                <w:sz w:val="14"/>
              </w:rPr>
              <w:t>Функции женщин-министров*</w:t>
            </w:r>
          </w:p>
        </w:tc>
      </w:tr>
      <w:tr w:rsidR="00000000">
        <w:tblPrEx>
          <w:tblCellMar>
            <w:top w:w="0" w:type="dxa"/>
            <w:left w:w="0" w:type="dxa"/>
            <w:bottom w:w="0" w:type="dxa"/>
            <w:right w:w="0" w:type="dxa"/>
          </w:tblCellMar>
        </w:tblPrEx>
        <w:trPr>
          <w:cantSplit/>
          <w:tblHeader/>
        </w:trPr>
        <w:tc>
          <w:tcPr>
            <w:tcW w:w="2610" w:type="dxa"/>
            <w:vAlign w:val="bottom"/>
          </w:tcPr>
          <w:p w:rsidR="00000000" w:rsidRDefault="00000000">
            <w:pPr>
              <w:tabs>
                <w:tab w:val="left" w:pos="288"/>
                <w:tab w:val="left" w:pos="576"/>
                <w:tab w:val="left" w:pos="864"/>
                <w:tab w:val="left" w:pos="1152"/>
              </w:tabs>
              <w:spacing w:before="40" w:after="81" w:line="160" w:lineRule="exact"/>
              <w:ind w:right="43"/>
              <w:rPr>
                <w:i/>
                <w:sz w:val="14"/>
              </w:rPr>
            </w:pPr>
            <w:r>
              <w:rPr>
                <w:i/>
                <w:sz w:val="14"/>
              </w:rPr>
              <w:t>Правительство</w:t>
            </w:r>
          </w:p>
        </w:tc>
        <w:tc>
          <w:tcPr>
            <w:tcW w:w="981" w:type="dxa"/>
            <w:vMerge/>
            <w:vAlign w:val="bottom"/>
          </w:tcPr>
          <w:p w:rsidR="00000000" w:rsidRDefault="00000000">
            <w:pPr>
              <w:tabs>
                <w:tab w:val="left" w:pos="288"/>
                <w:tab w:val="left" w:pos="576"/>
                <w:tab w:val="left" w:pos="864"/>
                <w:tab w:val="left" w:pos="1152"/>
              </w:tabs>
              <w:suppressAutoHyphens/>
              <w:spacing w:before="40" w:after="81" w:line="160" w:lineRule="exact"/>
              <w:ind w:right="43"/>
              <w:jc w:val="right"/>
              <w:rPr>
                <w:i/>
                <w:sz w:val="14"/>
              </w:rPr>
            </w:pPr>
          </w:p>
        </w:tc>
        <w:tc>
          <w:tcPr>
            <w:tcW w:w="86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Всего</w:t>
            </w:r>
          </w:p>
        </w:tc>
        <w:tc>
          <w:tcPr>
            <w:tcW w:w="86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Женщины</w:t>
            </w:r>
          </w:p>
        </w:tc>
        <w:tc>
          <w:tcPr>
            <w:tcW w:w="86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lang w:val="en-US"/>
              </w:rPr>
              <w:t>% женщин</w:t>
            </w:r>
          </w:p>
        </w:tc>
        <w:tc>
          <w:tcPr>
            <w:tcW w:w="1143" w:type="dxa"/>
            <w:vMerge/>
            <w:vAlign w:val="bottom"/>
          </w:tcPr>
          <w:p w:rsidR="00000000" w:rsidRDefault="00000000">
            <w:pPr>
              <w:tabs>
                <w:tab w:val="left" w:pos="288"/>
                <w:tab w:val="left" w:pos="576"/>
                <w:tab w:val="left" w:pos="864"/>
                <w:tab w:val="left" w:pos="1152"/>
              </w:tabs>
              <w:suppressAutoHyphens/>
              <w:spacing w:before="40" w:after="81" w:line="160" w:lineRule="exact"/>
              <w:ind w:right="43"/>
              <w:jc w:val="right"/>
              <w:rPr>
                <w:i/>
                <w:sz w:val="14"/>
              </w:rPr>
            </w:pP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Март Лаар, 2-е правител</w:t>
            </w:r>
            <w:r>
              <w:rPr>
                <w:sz w:val="17"/>
              </w:rPr>
              <w:t>ь</w:t>
            </w:r>
            <w:r>
              <w:rPr>
                <w:sz w:val="17"/>
              </w:rPr>
              <w:t>ство</w:t>
            </w:r>
          </w:p>
        </w:tc>
        <w:tc>
          <w:tcPr>
            <w:tcW w:w="981"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25.03.99–</w:t>
            </w:r>
            <w:r>
              <w:rPr>
                <w:sz w:val="17"/>
                <w:lang w:val="en-US"/>
              </w:rPr>
              <w:br/>
              <w:t>28.01.02</w:t>
            </w:r>
          </w:p>
        </w:tc>
        <w:tc>
          <w:tcPr>
            <w:tcW w:w="864"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w:t>
            </w:r>
          </w:p>
        </w:tc>
        <w:tc>
          <w:tcPr>
            <w:tcW w:w="864"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w:t>
            </w:r>
          </w:p>
        </w:tc>
        <w:tc>
          <w:tcPr>
            <w:tcW w:w="864"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13,3</w:t>
            </w:r>
          </w:p>
        </w:tc>
        <w:tc>
          <w:tcPr>
            <w:tcW w:w="1143" w:type="dxa"/>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S; S</w:t>
            </w:r>
          </w:p>
        </w:tc>
      </w:tr>
      <w:tr w:rsidR="00000000">
        <w:tblPrEx>
          <w:tblCellMar>
            <w:top w:w="0" w:type="dxa"/>
            <w:left w:w="0" w:type="dxa"/>
            <w:bottom w:w="0" w:type="dxa"/>
            <w:right w:w="0" w:type="dxa"/>
          </w:tblCellMar>
        </w:tblPrEx>
        <w:tc>
          <w:tcPr>
            <w:tcW w:w="26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Сийм Каллас</w:t>
            </w:r>
          </w:p>
        </w:tc>
        <w:tc>
          <w:tcPr>
            <w:tcW w:w="981" w:type="dxa"/>
          </w:tcPr>
          <w:p w:rsidR="00000000" w:rsidRDefault="00000000">
            <w:pPr>
              <w:spacing w:before="40" w:after="40" w:line="210" w:lineRule="exact"/>
              <w:ind w:right="40"/>
              <w:jc w:val="right"/>
              <w:rPr>
                <w:sz w:val="17"/>
                <w:lang w:val="en-US"/>
              </w:rPr>
            </w:pPr>
            <w:r>
              <w:rPr>
                <w:sz w:val="17"/>
                <w:lang w:val="en-US"/>
              </w:rPr>
              <w:t>28.01.02–</w:t>
            </w:r>
            <w:r>
              <w:rPr>
                <w:sz w:val="17"/>
                <w:lang w:val="en-US"/>
              </w:rPr>
              <w:br/>
              <w:t>10.04.03</w:t>
            </w:r>
          </w:p>
        </w:tc>
        <w:tc>
          <w:tcPr>
            <w:tcW w:w="864" w:type="dxa"/>
          </w:tcPr>
          <w:p w:rsidR="00000000" w:rsidRDefault="00000000">
            <w:pPr>
              <w:spacing w:before="40" w:after="40" w:line="210" w:lineRule="exact"/>
              <w:ind w:right="40"/>
              <w:jc w:val="right"/>
              <w:rPr>
                <w:sz w:val="17"/>
                <w:lang w:val="en-US"/>
              </w:rPr>
            </w:pPr>
            <w:r>
              <w:rPr>
                <w:sz w:val="17"/>
                <w:lang w:val="en-US"/>
              </w:rPr>
              <w:t>14</w:t>
            </w:r>
          </w:p>
        </w:tc>
        <w:tc>
          <w:tcPr>
            <w:tcW w:w="864" w:type="dxa"/>
          </w:tcPr>
          <w:p w:rsidR="00000000" w:rsidRDefault="00000000">
            <w:pPr>
              <w:spacing w:before="40" w:after="40" w:line="210" w:lineRule="exact"/>
              <w:ind w:right="40"/>
              <w:jc w:val="right"/>
              <w:rPr>
                <w:sz w:val="17"/>
                <w:lang w:val="en-US"/>
              </w:rPr>
            </w:pPr>
            <w:r>
              <w:rPr>
                <w:sz w:val="17"/>
                <w:lang w:val="en-US"/>
              </w:rPr>
              <w:t>5</w:t>
            </w:r>
          </w:p>
        </w:tc>
        <w:tc>
          <w:tcPr>
            <w:tcW w:w="864" w:type="dxa"/>
          </w:tcPr>
          <w:p w:rsidR="00000000" w:rsidRDefault="00000000">
            <w:pPr>
              <w:spacing w:before="40" w:after="40" w:line="210" w:lineRule="exact"/>
              <w:ind w:right="40"/>
              <w:jc w:val="right"/>
              <w:rPr>
                <w:sz w:val="17"/>
                <w:lang w:val="en-US"/>
              </w:rPr>
            </w:pPr>
            <w:r>
              <w:rPr>
                <w:sz w:val="17"/>
                <w:lang w:val="en-US"/>
              </w:rPr>
              <w:t>35,7</w:t>
            </w:r>
          </w:p>
        </w:tc>
        <w:tc>
          <w:tcPr>
            <w:tcW w:w="1143" w:type="dxa"/>
          </w:tcPr>
          <w:p w:rsidR="00000000" w:rsidRDefault="00000000">
            <w:pPr>
              <w:spacing w:before="40" w:after="40" w:line="210" w:lineRule="exact"/>
              <w:ind w:right="40"/>
              <w:jc w:val="right"/>
              <w:rPr>
                <w:sz w:val="17"/>
                <w:lang w:val="en-US"/>
              </w:rPr>
            </w:pPr>
            <w:r>
              <w:rPr>
                <w:sz w:val="17"/>
                <w:lang w:val="en-US"/>
              </w:rPr>
              <w:t>B; E/I; S; S; S</w:t>
            </w:r>
          </w:p>
        </w:tc>
      </w:tr>
      <w:tr w:rsidR="00000000">
        <w:tblPrEx>
          <w:tblCellMar>
            <w:top w:w="0" w:type="dxa"/>
            <w:left w:w="0" w:type="dxa"/>
            <w:bottom w:w="0" w:type="dxa"/>
            <w:right w:w="0" w:type="dxa"/>
          </w:tblCellMar>
        </w:tblPrEx>
        <w:tc>
          <w:tcPr>
            <w:tcW w:w="261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Юхан Партс</w:t>
            </w:r>
          </w:p>
        </w:tc>
        <w:tc>
          <w:tcPr>
            <w:tcW w:w="981" w:type="dxa"/>
          </w:tcPr>
          <w:p w:rsidR="00000000" w:rsidRDefault="00000000">
            <w:pPr>
              <w:spacing w:before="40" w:after="40" w:line="210" w:lineRule="exact"/>
              <w:ind w:right="40"/>
              <w:jc w:val="right"/>
              <w:rPr>
                <w:sz w:val="17"/>
                <w:lang w:val="en-US"/>
              </w:rPr>
            </w:pPr>
            <w:r>
              <w:rPr>
                <w:sz w:val="17"/>
              </w:rPr>
              <w:t xml:space="preserve">с </w:t>
            </w:r>
            <w:r>
              <w:rPr>
                <w:sz w:val="17"/>
                <w:lang w:val="en-US"/>
              </w:rPr>
              <w:t>10.04.03</w:t>
            </w:r>
          </w:p>
        </w:tc>
        <w:tc>
          <w:tcPr>
            <w:tcW w:w="864" w:type="dxa"/>
          </w:tcPr>
          <w:p w:rsidR="00000000" w:rsidRDefault="00000000">
            <w:pPr>
              <w:spacing w:before="40" w:after="40" w:line="210" w:lineRule="exact"/>
              <w:ind w:right="40"/>
              <w:jc w:val="right"/>
              <w:rPr>
                <w:sz w:val="17"/>
                <w:lang w:val="en-US"/>
              </w:rPr>
            </w:pPr>
            <w:r>
              <w:rPr>
                <w:sz w:val="17"/>
                <w:lang w:val="en-US"/>
              </w:rPr>
              <w:t>14</w:t>
            </w:r>
          </w:p>
        </w:tc>
        <w:tc>
          <w:tcPr>
            <w:tcW w:w="864" w:type="dxa"/>
          </w:tcPr>
          <w:p w:rsidR="00000000" w:rsidRDefault="00000000">
            <w:pPr>
              <w:spacing w:before="40" w:after="40" w:line="210" w:lineRule="exact"/>
              <w:ind w:right="40"/>
              <w:jc w:val="right"/>
              <w:rPr>
                <w:sz w:val="17"/>
                <w:lang w:val="en-US"/>
              </w:rPr>
            </w:pPr>
            <w:r>
              <w:rPr>
                <w:sz w:val="17"/>
                <w:lang w:val="en-US"/>
              </w:rPr>
              <w:t>1</w:t>
            </w:r>
          </w:p>
        </w:tc>
        <w:tc>
          <w:tcPr>
            <w:tcW w:w="864" w:type="dxa"/>
          </w:tcPr>
          <w:p w:rsidR="00000000" w:rsidRDefault="00000000">
            <w:pPr>
              <w:spacing w:before="40" w:after="40" w:line="210" w:lineRule="exact"/>
              <w:ind w:right="40"/>
              <w:jc w:val="right"/>
              <w:rPr>
                <w:sz w:val="17"/>
                <w:lang w:val="en-US"/>
              </w:rPr>
            </w:pPr>
            <w:r>
              <w:rPr>
                <w:sz w:val="17"/>
                <w:lang w:val="en-US"/>
              </w:rPr>
              <w:t>7,1</w:t>
            </w:r>
          </w:p>
        </w:tc>
        <w:tc>
          <w:tcPr>
            <w:tcW w:w="1143" w:type="dxa"/>
          </w:tcPr>
          <w:p w:rsidR="00000000" w:rsidRDefault="00000000">
            <w:pPr>
              <w:spacing w:before="40" w:after="40" w:line="210" w:lineRule="exact"/>
              <w:ind w:right="40"/>
              <w:jc w:val="right"/>
              <w:rPr>
                <w:sz w:val="17"/>
                <w:lang w:val="en-US"/>
              </w:rPr>
            </w:pPr>
            <w:r>
              <w:rPr>
                <w:sz w:val="17"/>
                <w:lang w:val="en-US"/>
              </w:rPr>
              <w:t>B</w:t>
            </w:r>
          </w:p>
        </w:tc>
      </w:tr>
      <w:tr w:rsidR="00000000">
        <w:tblPrEx>
          <w:tblCellMar>
            <w:top w:w="0" w:type="dxa"/>
            <w:left w:w="0" w:type="dxa"/>
            <w:bottom w:w="0" w:type="dxa"/>
            <w:right w:w="0" w:type="dxa"/>
          </w:tblCellMar>
        </w:tblPrEx>
        <w:tc>
          <w:tcPr>
            <w:tcW w:w="2610" w:type="dxa"/>
          </w:tcPr>
          <w:p w:rsidR="00000000" w:rsidRDefault="00000000">
            <w:pPr>
              <w:tabs>
                <w:tab w:val="left" w:pos="288"/>
                <w:tab w:val="left" w:pos="576"/>
                <w:tab w:val="left" w:pos="864"/>
                <w:tab w:val="left" w:pos="1152"/>
              </w:tabs>
              <w:spacing w:before="40" w:after="40" w:line="210" w:lineRule="exact"/>
              <w:ind w:right="40"/>
              <w:rPr>
                <w:sz w:val="17"/>
              </w:rPr>
            </w:pPr>
          </w:p>
        </w:tc>
        <w:tc>
          <w:tcPr>
            <w:tcW w:w="981" w:type="dxa"/>
          </w:tcPr>
          <w:p w:rsidR="00000000" w:rsidRDefault="00000000">
            <w:pPr>
              <w:spacing w:before="40" w:after="40" w:line="210" w:lineRule="exact"/>
              <w:ind w:right="40"/>
              <w:jc w:val="right"/>
              <w:rPr>
                <w:sz w:val="17"/>
                <w:lang w:val="en-US"/>
              </w:rPr>
            </w:pPr>
            <w:r>
              <w:rPr>
                <w:sz w:val="17"/>
              </w:rPr>
              <w:t xml:space="preserve">с </w:t>
            </w:r>
            <w:r>
              <w:rPr>
                <w:sz w:val="17"/>
                <w:lang w:val="en-US"/>
              </w:rPr>
              <w:t>05.04.04</w:t>
            </w:r>
          </w:p>
        </w:tc>
        <w:tc>
          <w:tcPr>
            <w:tcW w:w="864" w:type="dxa"/>
          </w:tcPr>
          <w:p w:rsidR="00000000" w:rsidRDefault="00000000">
            <w:pPr>
              <w:spacing w:before="40" w:after="40" w:line="210" w:lineRule="exact"/>
              <w:ind w:right="40"/>
              <w:jc w:val="right"/>
              <w:rPr>
                <w:sz w:val="17"/>
                <w:lang w:val="en-US"/>
              </w:rPr>
            </w:pPr>
            <w:r>
              <w:rPr>
                <w:sz w:val="17"/>
                <w:lang w:val="en-US"/>
              </w:rPr>
              <w:t>14</w:t>
            </w:r>
          </w:p>
        </w:tc>
        <w:tc>
          <w:tcPr>
            <w:tcW w:w="864" w:type="dxa"/>
          </w:tcPr>
          <w:p w:rsidR="00000000" w:rsidRDefault="00000000">
            <w:pPr>
              <w:spacing w:before="40" w:after="40" w:line="210" w:lineRule="exact"/>
              <w:ind w:right="40"/>
              <w:jc w:val="right"/>
              <w:rPr>
                <w:sz w:val="17"/>
                <w:lang w:val="en-US"/>
              </w:rPr>
            </w:pPr>
            <w:r>
              <w:rPr>
                <w:sz w:val="17"/>
                <w:lang w:val="en-US"/>
              </w:rPr>
              <w:t>2</w:t>
            </w:r>
          </w:p>
        </w:tc>
        <w:tc>
          <w:tcPr>
            <w:tcW w:w="864" w:type="dxa"/>
          </w:tcPr>
          <w:p w:rsidR="00000000" w:rsidRDefault="00000000">
            <w:pPr>
              <w:spacing w:before="40" w:after="40" w:line="210" w:lineRule="exact"/>
              <w:ind w:right="40"/>
              <w:jc w:val="right"/>
              <w:rPr>
                <w:sz w:val="17"/>
                <w:lang w:val="en-US"/>
              </w:rPr>
            </w:pPr>
            <w:r>
              <w:rPr>
                <w:sz w:val="17"/>
                <w:lang w:val="en-US"/>
              </w:rPr>
              <w:t>14,3</w:t>
            </w:r>
          </w:p>
        </w:tc>
        <w:tc>
          <w:tcPr>
            <w:tcW w:w="1143" w:type="dxa"/>
          </w:tcPr>
          <w:p w:rsidR="00000000" w:rsidRDefault="00000000">
            <w:pPr>
              <w:spacing w:before="40" w:after="40" w:line="210" w:lineRule="exact"/>
              <w:ind w:right="40"/>
              <w:jc w:val="right"/>
              <w:rPr>
                <w:sz w:val="17"/>
                <w:lang w:val="en-US"/>
              </w:rPr>
            </w:pPr>
            <w:r>
              <w:rPr>
                <w:sz w:val="17"/>
                <w:lang w:val="en-US"/>
              </w:rPr>
              <w:t>B; E</w:t>
            </w:r>
          </w:p>
        </w:tc>
      </w:tr>
      <w:tr w:rsidR="00000000">
        <w:tblPrEx>
          <w:tblCellMar>
            <w:top w:w="0" w:type="dxa"/>
            <w:left w:w="0" w:type="dxa"/>
            <w:bottom w:w="0" w:type="dxa"/>
            <w:right w:w="0" w:type="dxa"/>
          </w:tblCellMar>
        </w:tblPrEx>
        <w:tc>
          <w:tcPr>
            <w:tcW w:w="261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Всего/в среднем</w:t>
            </w:r>
          </w:p>
        </w:tc>
        <w:tc>
          <w:tcPr>
            <w:tcW w:w="981" w:type="dxa"/>
            <w:tcBorders>
              <w:bottom w:val="single" w:sz="12" w:space="0" w:color="auto"/>
            </w:tcBorders>
          </w:tcPr>
          <w:p w:rsidR="00000000" w:rsidRDefault="00000000">
            <w:pPr>
              <w:spacing w:before="40" w:after="40" w:line="210" w:lineRule="exact"/>
              <w:ind w:right="40"/>
              <w:jc w:val="right"/>
              <w:rPr>
                <w:sz w:val="17"/>
              </w:rPr>
            </w:pPr>
          </w:p>
        </w:tc>
        <w:tc>
          <w:tcPr>
            <w:tcW w:w="864" w:type="dxa"/>
            <w:tcBorders>
              <w:bottom w:val="single" w:sz="12" w:space="0" w:color="auto"/>
            </w:tcBorders>
          </w:tcPr>
          <w:p w:rsidR="00000000" w:rsidRDefault="00000000">
            <w:pPr>
              <w:spacing w:before="40" w:after="40" w:line="210" w:lineRule="exact"/>
              <w:ind w:right="40"/>
              <w:jc w:val="right"/>
              <w:rPr>
                <w:sz w:val="17"/>
                <w:lang w:val="en-US"/>
              </w:rPr>
            </w:pPr>
            <w:r>
              <w:rPr>
                <w:sz w:val="17"/>
                <w:lang w:val="en-US"/>
              </w:rPr>
              <w:t>176</w:t>
            </w:r>
          </w:p>
        </w:tc>
        <w:tc>
          <w:tcPr>
            <w:tcW w:w="864" w:type="dxa"/>
            <w:tcBorders>
              <w:bottom w:val="single" w:sz="12" w:space="0" w:color="auto"/>
            </w:tcBorders>
          </w:tcPr>
          <w:p w:rsidR="00000000" w:rsidRDefault="00000000">
            <w:pPr>
              <w:spacing w:before="40" w:after="40" w:line="210" w:lineRule="exact"/>
              <w:ind w:right="40"/>
              <w:jc w:val="right"/>
              <w:rPr>
                <w:sz w:val="17"/>
                <w:lang w:val="en-US"/>
              </w:rPr>
            </w:pPr>
            <w:r>
              <w:rPr>
                <w:sz w:val="17"/>
                <w:lang w:val="en-US"/>
              </w:rPr>
              <w:t>22</w:t>
            </w:r>
          </w:p>
        </w:tc>
        <w:tc>
          <w:tcPr>
            <w:tcW w:w="864" w:type="dxa"/>
            <w:tcBorders>
              <w:bottom w:val="single" w:sz="12" w:space="0" w:color="auto"/>
            </w:tcBorders>
          </w:tcPr>
          <w:p w:rsidR="00000000" w:rsidRDefault="00000000">
            <w:pPr>
              <w:spacing w:before="40" w:after="40" w:line="210" w:lineRule="exact"/>
              <w:ind w:right="40"/>
              <w:jc w:val="right"/>
              <w:rPr>
                <w:sz w:val="17"/>
                <w:lang w:val="en-US"/>
              </w:rPr>
            </w:pPr>
            <w:r>
              <w:rPr>
                <w:sz w:val="17"/>
                <w:lang w:val="en-US"/>
              </w:rPr>
              <w:t>12,5</w:t>
            </w:r>
          </w:p>
        </w:tc>
        <w:tc>
          <w:tcPr>
            <w:tcW w:w="1143" w:type="dxa"/>
            <w:tcBorders>
              <w:bottom w:val="single" w:sz="12" w:space="0" w:color="auto"/>
            </w:tcBorders>
          </w:tcPr>
          <w:p w:rsidR="00000000" w:rsidRDefault="00000000">
            <w:pPr>
              <w:spacing w:before="40" w:after="40" w:line="210" w:lineRule="exact"/>
              <w:ind w:right="40"/>
              <w:jc w:val="right"/>
              <w:rPr>
                <w:sz w:val="17"/>
              </w:rPr>
            </w:pP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rPr>
        <w:t>Источник</w:t>
      </w:r>
      <w:r>
        <w:t>: правительство Эстонии, www.e-riik/vali</w:t>
      </w:r>
      <w:r>
        <w:rPr>
          <w:lang w:val="en-US"/>
        </w:rPr>
        <w:t>tsus.ee</w:t>
      </w:r>
      <w:r>
        <w:t>/</w:t>
      </w:r>
    </w:p>
    <w:p w:rsidR="00000000" w:rsidRDefault="00000000">
      <w:pPr>
        <w:pStyle w:val="FootnoteText"/>
        <w:tabs>
          <w:tab w:val="clear" w:pos="418"/>
          <w:tab w:val="right" w:pos="1476"/>
          <w:tab w:val="left" w:pos="1548"/>
          <w:tab w:val="right" w:pos="1836"/>
          <w:tab w:val="left" w:pos="1908"/>
        </w:tabs>
        <w:ind w:left="1548" w:right="1267" w:hanging="288"/>
      </w:pPr>
      <w:r>
        <w:rPr>
          <w:lang w:val="en-US"/>
        </w:rPr>
        <w:tab/>
        <w:t>*</w:t>
      </w:r>
      <w:r>
        <w:rPr>
          <w:lang w:val="en-US"/>
        </w:rPr>
        <w:tab/>
      </w:r>
      <w:r>
        <w:t xml:space="preserve">Использована классификация </w:t>
      </w:r>
      <w:r>
        <w:rPr>
          <w:lang w:val="en-US"/>
        </w:rPr>
        <w:t>BEIS</w:t>
      </w:r>
      <w:r>
        <w:t>, в соответствии с которой:</w:t>
      </w:r>
    </w:p>
    <w:p w:rsidR="00000000" w:rsidRDefault="00000000">
      <w:pPr>
        <w:pStyle w:val="FootnoteText"/>
        <w:tabs>
          <w:tab w:val="clear" w:pos="418"/>
          <w:tab w:val="right" w:pos="1476"/>
          <w:tab w:val="left" w:pos="1548"/>
          <w:tab w:val="right" w:pos="1836"/>
          <w:tab w:val="left" w:pos="1908"/>
        </w:tabs>
        <w:ind w:left="1548" w:right="1267" w:hanging="288"/>
      </w:pPr>
      <w:r>
        <w:tab/>
      </w:r>
      <w:r>
        <w:tab/>
      </w:r>
      <w:r>
        <w:rPr>
          <w:lang w:val="en-US"/>
        </w:rPr>
        <w:t>B-</w:t>
      </w:r>
      <w:r>
        <w:t>функции, или главные функции, исполняемые министрами иностранных дел, внутренних дел, обороны и юстиции, а иногда и министром финансов;</w:t>
      </w:r>
    </w:p>
    <w:p w:rsidR="00000000" w:rsidRDefault="00000000">
      <w:pPr>
        <w:pStyle w:val="FootnoteText"/>
        <w:tabs>
          <w:tab w:val="clear" w:pos="418"/>
          <w:tab w:val="right" w:pos="1476"/>
          <w:tab w:val="left" w:pos="1548"/>
          <w:tab w:val="right" w:pos="1836"/>
          <w:tab w:val="left" w:pos="1908"/>
        </w:tabs>
        <w:ind w:left="1548" w:right="1267" w:hanging="288"/>
      </w:pPr>
      <w:r>
        <w:rPr>
          <w:lang w:val="en-US"/>
        </w:rPr>
        <w:tab/>
      </w:r>
      <w:r>
        <w:rPr>
          <w:lang w:val="en-US"/>
        </w:rPr>
        <w:tab/>
        <w:t>E-</w:t>
      </w:r>
      <w:r>
        <w:t>функции, или функции министров экономического блока: министры финансов, торговли, промышленности и сельского хозяйства;</w:t>
      </w:r>
    </w:p>
    <w:p w:rsidR="00000000" w:rsidRDefault="00000000">
      <w:pPr>
        <w:pStyle w:val="FootnoteText"/>
        <w:tabs>
          <w:tab w:val="clear" w:pos="418"/>
          <w:tab w:val="right" w:pos="1476"/>
          <w:tab w:val="left" w:pos="1548"/>
          <w:tab w:val="right" w:pos="1836"/>
          <w:tab w:val="left" w:pos="1908"/>
        </w:tabs>
        <w:ind w:left="1548" w:right="1267" w:hanging="288"/>
      </w:pPr>
      <w:r>
        <w:rPr>
          <w:lang w:val="en-US"/>
        </w:rPr>
        <w:tab/>
      </w:r>
      <w:r>
        <w:rPr>
          <w:lang w:val="en-US"/>
        </w:rPr>
        <w:tab/>
        <w:t>I-</w:t>
      </w:r>
      <w:r>
        <w:t>функции, или функции министров по вопросам инфраструктуры: министры связи, внутренних дел, информации и окружающей среды;</w:t>
      </w:r>
    </w:p>
    <w:p w:rsidR="00000000" w:rsidRDefault="00000000">
      <w:pPr>
        <w:pStyle w:val="FootnoteText"/>
        <w:tabs>
          <w:tab w:val="clear" w:pos="418"/>
          <w:tab w:val="right" w:pos="1476"/>
          <w:tab w:val="left" w:pos="1548"/>
          <w:tab w:val="right" w:pos="1836"/>
          <w:tab w:val="left" w:pos="1908"/>
        </w:tabs>
        <w:ind w:left="1548" w:right="1267" w:hanging="288"/>
      </w:pPr>
      <w:r>
        <w:rPr>
          <w:lang w:val="en-US"/>
        </w:rPr>
        <w:tab/>
      </w:r>
      <w:r>
        <w:rPr>
          <w:lang w:val="en-US"/>
        </w:rPr>
        <w:tab/>
        <w:t>S-</w:t>
      </w:r>
      <w:r>
        <w:t>функции, или функции социально-культурного блока: министры социальных дел (или по вопросам рынка труда, здравоохранения, народонаселения, семьи, детей и пенсионеров), культуры и образования.</w:t>
      </w:r>
    </w:p>
    <w:p w:rsidR="00000000" w:rsidRDefault="00000000">
      <w:pPr>
        <w:pStyle w:val="SingleTxt"/>
        <w:rPr>
          <w:lang w:val="en-US"/>
        </w:rPr>
      </w:pPr>
    </w:p>
    <w:p w:rsidR="00000000" w:rsidRDefault="00000000">
      <w:pPr>
        <w:pStyle w:val="SingleTxt"/>
      </w:pPr>
      <w:r>
        <w:tab/>
        <w:t>Среди руководителей местных органов власти женщин еще меньше, чем на центральном уровне: среди мэров городов женщин 12,8 процента (пять из 39</w:t>
      </w:r>
      <w:r>
        <w:rPr>
          <w:lang w:val="en-US"/>
        </w:rPr>
        <w:t> </w:t>
      </w:r>
      <w:r>
        <w:t>мэров — женщины), а среди мэров сельских муниципалитетов их 13,4 пр</w:t>
      </w:r>
      <w:r>
        <w:t>о</w:t>
      </w:r>
      <w:r>
        <w:t>цента (27 из 202 мэров сельских мун</w:t>
      </w:r>
      <w:r>
        <w:t>и</w:t>
      </w:r>
      <w:r>
        <w:t>ципалитетов) (в декабре 2004 года).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Женщины на государственной службе</w:t>
      </w:r>
    </w:p>
    <w:p w:rsidR="00000000" w:rsidRDefault="00000000">
      <w:pPr>
        <w:pStyle w:val="SingleTxt"/>
        <w:spacing w:after="0" w:line="120" w:lineRule="exact"/>
        <w:rPr>
          <w:sz w:val="10"/>
        </w:rPr>
      </w:pPr>
    </w:p>
    <w:p w:rsidR="00000000" w:rsidRDefault="00000000">
      <w:pPr>
        <w:pStyle w:val="SingleTxt"/>
      </w:pPr>
      <w:r>
        <w:tab/>
        <w:t>Среди государственных служащих женщины составляют большинство, что также может служить основой для продвижения женщин на руководящие должности. Большое число женщин работают в подразделениях, которые обе</w:t>
      </w:r>
      <w:r>
        <w:t>с</w:t>
      </w:r>
      <w:r>
        <w:t>печивают техническое обслуживание парламента и правительства (департ</w:t>
      </w:r>
      <w:r>
        <w:t>а</w:t>
      </w:r>
      <w:r>
        <w:t>мент заседаний правительства, департамент информационных систем и подг</w:t>
      </w:r>
      <w:r>
        <w:t>о</w:t>
      </w:r>
      <w:r>
        <w:t>товки документации, бухгалтерия). Несмотря на то, что женщины занимают больше одной трети должностей старших руководителей и управленцев, на должностях руководителей высшего звена женщин меньше одной пятой. Чтобы занять высокое положение, женщинам приходится преодолевать распростр</w:t>
      </w:r>
      <w:r>
        <w:t>а</w:t>
      </w:r>
      <w:r>
        <w:t>ненную в обществе предвзятость. Кроме того, они должны быть готовыми взять на себя ответственность и, что тоже имеет немаловажное значение, пол</w:t>
      </w:r>
      <w:r>
        <w:t>ь</w:t>
      </w:r>
      <w:r>
        <w:t>зоваться поддержкой в семье.</w:t>
      </w:r>
    </w:p>
    <w:p w:rsidR="00000000" w:rsidRDefault="00000000">
      <w:pPr>
        <w:pStyle w:val="SingleTxt"/>
      </w:pPr>
      <w:r>
        <w:tab/>
        <w:t>По сравнению с более старыми демократиями Европы в Эстонии трад</w:t>
      </w:r>
      <w:r>
        <w:t>и</w:t>
      </w:r>
      <w:r>
        <w:t>ционно много женщин в судейском корпусе, в том числе среди председателей суда. В то же время мужчины по-прежнему занимают руководящие должности в учреждениях по вопросам конституционности и законности, такие, как кан</w:t>
      </w:r>
      <w:r>
        <w:t>ц</w:t>
      </w:r>
      <w:r>
        <w:t>лер юстиции, генеральный государственный контролер, главный государстве</w:t>
      </w:r>
      <w:r>
        <w:t>н</w:t>
      </w:r>
      <w:r>
        <w:t>ный прокурор и председатель Государственного суда, государственный секр</w:t>
      </w:r>
      <w:r>
        <w:t>е</w:t>
      </w:r>
      <w:r>
        <w:t>тарь, директор Государственной канцелярии и т.д. До 2003 года должность г</w:t>
      </w:r>
      <w:r>
        <w:t>о</w:t>
      </w:r>
      <w:r>
        <w:t>суда</w:t>
      </w:r>
      <w:r>
        <w:t>р</w:t>
      </w:r>
      <w:r>
        <w:t>ственного секретаря занимала женщина.</w:t>
      </w:r>
    </w:p>
    <w:p w:rsidR="00000000" w:rsidRDefault="00000000">
      <w:pPr>
        <w:pStyle w:val="SingleTxt"/>
        <w:spacing w:after="0" w:line="120" w:lineRule="exact"/>
        <w:rPr>
          <w:sz w:val="10"/>
        </w:rPr>
      </w:pPr>
    </w:p>
    <w:p w:rsidR="00000000" w:rsidRDefault="00000000">
      <w:pPr>
        <w:pStyle w:val="SingleTxt"/>
        <w:rPr>
          <w:b/>
        </w:rPr>
      </w:pPr>
      <w:r>
        <w:rPr>
          <w:b/>
        </w:rPr>
        <w:tab/>
        <w:t>с)</w:t>
      </w:r>
      <w:r>
        <w:rPr>
          <w:b/>
        </w:rPr>
        <w:tab/>
        <w:t>принимать участие в деятельности неправительственных орг</w:t>
      </w:r>
      <w:r>
        <w:rPr>
          <w:b/>
        </w:rPr>
        <w:t>а</w:t>
      </w:r>
      <w:r>
        <w:rPr>
          <w:b/>
        </w:rPr>
        <w:t>низаций и ассоциаций, занимающихся проблемами общественной и пол</w:t>
      </w:r>
      <w:r>
        <w:rPr>
          <w:b/>
        </w:rPr>
        <w:t>и</w:t>
      </w:r>
      <w:r>
        <w:rPr>
          <w:b/>
        </w:rPr>
        <w:t>тической жизни страны.</w:t>
      </w:r>
    </w:p>
    <w:p w:rsidR="00000000" w:rsidRDefault="00000000">
      <w:pPr>
        <w:pStyle w:val="SingleTxt"/>
      </w:pPr>
      <w:r>
        <w:tab/>
        <w:t>Женские организации и женские ассоциации политических партий оказ</w:t>
      </w:r>
      <w:r>
        <w:t>ы</w:t>
      </w:r>
      <w:r>
        <w:t>вают существенное влияние на политику политических партий. Женские асс</w:t>
      </w:r>
      <w:r>
        <w:t>о</w:t>
      </w:r>
      <w:r>
        <w:t>циации политических партий организуют учебные мероприятия и тем самым предоставляют женщинам возможность для саморазвития и самореализации, помогают женщинам-политикам проявить свои способности, дают возмо</w:t>
      </w:r>
      <w:r>
        <w:t>ж</w:t>
      </w:r>
      <w:r>
        <w:t>ность почувствовать уверенность и установить новые контакты. В благоприя</w:t>
      </w:r>
      <w:r>
        <w:t>т</w:t>
      </w:r>
      <w:r>
        <w:t>ных условиях эти ассоциации могут также оказывать влияние на руководство и лидера партии, в том числе при составлении списка кандидатов на выборах. Женская фракция парламента имеет большие потенциальные возможности з</w:t>
      </w:r>
      <w:r>
        <w:t>а</w:t>
      </w:r>
      <w:r>
        <w:t>щищать интересы женщин. Одной из главных тем в настоящий момент являе</w:t>
      </w:r>
      <w:r>
        <w:t>т</w:t>
      </w:r>
      <w:r>
        <w:t>ся содействие созданию благоприятных условий для избрания большего числа женщин в представител</w:t>
      </w:r>
      <w:r>
        <w:t>ь</w:t>
      </w:r>
      <w:r>
        <w:t>ные органы.</w:t>
      </w:r>
    </w:p>
    <w:p w:rsidR="00000000" w:rsidRDefault="00000000">
      <w:pPr>
        <w:pStyle w:val="SingleTxt"/>
      </w:pPr>
      <w:r>
        <w:tab/>
        <w:t>4 августа 2003 года была создана Эстонская женская сеть сотрудничества, которая является организацией, объединяющей различные женские политич</w:t>
      </w:r>
      <w:r>
        <w:t>е</w:t>
      </w:r>
      <w:r>
        <w:t>ские организации. Членами-основателями Сети сотрудничества стали Эсто</w:t>
      </w:r>
      <w:r>
        <w:t>н</w:t>
      </w:r>
      <w:r>
        <w:t>ский союз женщин, Эстонский союз женщин с инвалидностью, женская орг</w:t>
      </w:r>
      <w:r>
        <w:t>а</w:t>
      </w:r>
      <w:r>
        <w:t xml:space="preserve">низация Объединенной народной партии Эстонии, </w:t>
      </w:r>
      <w:r>
        <w:rPr>
          <w:i/>
          <w:lang w:val="en-US"/>
        </w:rPr>
        <w:t>EPP</w:t>
      </w:r>
      <w:r>
        <w:t xml:space="preserve"> (женская ассоциация Народного союза Эстонии), женская ассоциация Союза «Отечество» — </w:t>
      </w:r>
      <w:r>
        <w:rPr>
          <w:lang w:val="en-US"/>
        </w:rPr>
        <w:t>Pro</w:t>
      </w:r>
      <w:r>
        <w:t xml:space="preserve"> </w:t>
      </w:r>
      <w:r>
        <w:rPr>
          <w:lang w:val="en-US"/>
        </w:rPr>
        <w:t>P</w:t>
      </w:r>
      <w:r>
        <w:rPr>
          <w:lang w:val="en-US"/>
        </w:rPr>
        <w:t>a</w:t>
      </w:r>
      <w:r>
        <w:rPr>
          <w:lang w:val="en-US"/>
        </w:rPr>
        <w:t>tria</w:t>
      </w:r>
      <w:r>
        <w:t xml:space="preserve">, женская ассоциация Центристской партии </w:t>
      </w:r>
      <w:r>
        <w:rPr>
          <w:i/>
          <w:lang w:val="en-US"/>
        </w:rPr>
        <w:t>KENA</w:t>
      </w:r>
      <w:r>
        <w:t xml:space="preserve">, «Гражданское мужество» («круглый стол» женских ассоциаций города Пярну) и Женский клуб реформ </w:t>
      </w:r>
      <w:r>
        <w:rPr>
          <w:i/>
          <w:lang w:val="en-US"/>
        </w:rPr>
        <w:t>NaiRe</w:t>
      </w:r>
      <w:r>
        <w:t>.</w:t>
      </w:r>
    </w:p>
    <w:p w:rsidR="00000000" w:rsidRDefault="00000000">
      <w:pPr>
        <w:pStyle w:val="SingleTxt"/>
      </w:pPr>
      <w:r>
        <w:tab/>
        <w:t>Сеть сотрудничества основана на принципах демократии и создает лу</w:t>
      </w:r>
      <w:r>
        <w:t>ч</w:t>
      </w:r>
      <w:r>
        <w:t>шие возможности для отстаивания прав женщин. Цель Сети сотрудничества заключается в том, чтобы служить для эстонских женщин связующим звеном в национальном и международном сотрудничестве, поддерживать участие же</w:t>
      </w:r>
      <w:r>
        <w:t>н</w:t>
      </w:r>
      <w:r>
        <w:t>щин в общественной и политической жизни, улучшать политический климат в обществе, обеспечивать реализацию принципа равноправия женщин и мужчин в эстонском законодательстве, в политике и повседневной жизни.</w:t>
      </w:r>
    </w:p>
    <w:p w:rsidR="00000000" w:rsidRDefault="00000000">
      <w:pPr>
        <w:pStyle w:val="SingleTxt"/>
      </w:pPr>
      <w:r>
        <w:rPr>
          <w:lang w:val="en-US"/>
        </w:rPr>
        <w:tab/>
      </w:r>
      <w:r>
        <w:t>Хотя до следующих выборов в органы местного самоуправления еще по</w:t>
      </w:r>
      <w:r>
        <w:t>ч</w:t>
      </w:r>
      <w:r>
        <w:t>ти год, женские ассоциации политических партий уже готовят своих членов к тому, чтобы участвовать в этих выборах в качестве кандидатов. В ноябре 2004</w:t>
      </w:r>
      <w:r>
        <w:rPr>
          <w:lang w:val="en-US"/>
        </w:rPr>
        <w:t> </w:t>
      </w:r>
      <w:r>
        <w:t>года форум женских организаций принял заявление Эстонской женской сети сотрудничества, в котором содержался призыв к политическим партиям поместить компетентных и авторитетных женщин на первые места в списках канд</w:t>
      </w:r>
      <w:r>
        <w:t>и</w:t>
      </w:r>
      <w:r>
        <w:t>датов, а к избирателям — поддержать кандидатов-женщин.</w:t>
      </w:r>
    </w:p>
    <w:p w:rsidR="00000000" w:rsidRDefault="00000000">
      <w:pPr>
        <w:pStyle w:val="SingleTxt"/>
      </w:pPr>
      <w:r>
        <w:tab/>
        <w:t>В 14 из 15 уездов в Эстонии были созданы организации «круглого стола», объединившие большое число уездных женских организаций и женщин из др</w:t>
      </w:r>
      <w:r>
        <w:t>у</w:t>
      </w:r>
      <w:r>
        <w:t>гих организаций. Цель «круглого стола» заключается в том, чтобы обобщить мнения и идеи в виде предложений и направить эти предложения тем, кто формирует политику — местным органам власти, правительству Республики, парламенту и политическим партиям. Региональные «круглые столы» регуля</w:t>
      </w:r>
      <w:r>
        <w:t>р</w:t>
      </w:r>
      <w:r>
        <w:t>но вносят предложения на рассмотрение региональных союзов местных орг</w:t>
      </w:r>
      <w:r>
        <w:t>а</w:t>
      </w:r>
      <w:r>
        <w:t>нов власти, уездных органов управления, правительства и парламента страны, с тем чтобы повлиять на решения и законодательство во многих областях жи</w:t>
      </w:r>
      <w:r>
        <w:t>з</w:t>
      </w:r>
      <w:r>
        <w:t>ни. Когда в парламенте обсуждался Закон о равноправии мужчин и женщин, была организована кампания обращения с письмами к членам парламента, и аналогичная кампания была организована в целях принятия мер по борьбе с проституцией.</w:t>
      </w:r>
    </w:p>
    <w:p w:rsidR="00000000" w:rsidRDefault="00000000">
      <w:pPr>
        <w:pStyle w:val="SingleTxt"/>
      </w:pPr>
      <w:r>
        <w:tab/>
        <w:t>В июле 2003 года женскими организациями в сотрудничестве с организ</w:t>
      </w:r>
      <w:r>
        <w:t>а</w:t>
      </w:r>
      <w:r>
        <w:t>циями по правам человека был сформирован Круглый стол женских организ</w:t>
      </w:r>
      <w:r>
        <w:t>а</w:t>
      </w:r>
      <w:r>
        <w:t>ций Эстонии. Цель этого объединения заключается в укреплении гражданского общества, содействии обеспечению равенства между женщинами и мужчинами и поддержке сети сотрудничества женских организаций. Круглый стол женских организаций Эстонии является также эстонским национальным координатором в рамках Европейского женского лобби. Одной из важнейших его задач являе</w:t>
      </w:r>
      <w:r>
        <w:t>т</w:t>
      </w:r>
      <w:r>
        <w:t>ся обеспечение представленности женщин во всех национальных комитетах и советах.</w:t>
      </w:r>
    </w:p>
    <w:p w:rsidR="00000000" w:rsidRDefault="00000000">
      <w:pPr>
        <w:pStyle w:val="SingleTxt"/>
      </w:pPr>
      <w:r>
        <w:tab/>
        <w:t>В 2002 году некоммерческая ассоциация «Гражданское обучение» орган</w:t>
      </w:r>
      <w:r>
        <w:t>и</w:t>
      </w:r>
      <w:r>
        <w:t>зовала предвыборный форум для 300 женщин, выдвинутых кандидатами на выборах в советы местного самоуправления.</w:t>
      </w:r>
    </w:p>
    <w:p w:rsidR="00000000" w:rsidRDefault="00000000">
      <w:pPr>
        <w:pStyle w:val="SingleTxt"/>
      </w:pPr>
      <w:r>
        <w:tab/>
        <w:t>6 сентября 2003 года перед референдумом по вопросу о вступлении Эст</w:t>
      </w:r>
      <w:r>
        <w:t>о</w:t>
      </w:r>
      <w:r>
        <w:t>нии в Европейский союз был организован женский форум «Женщины реш</w:t>
      </w:r>
      <w:r>
        <w:t>а</w:t>
      </w:r>
      <w:r>
        <w:t>ют — 2003». На этом форуме были представлены все более или менее крупные политические и неполитические женские организации, и в его работе приняли участие в общей сложности примерно 300 женщин. На общем собрании фор</w:t>
      </w:r>
      <w:r>
        <w:t>у</w:t>
      </w:r>
      <w:r>
        <w:t>ма было принято заключительное заявление, содержащее призыв к эстонским женщинам принять участие в голосовании на рефере</w:t>
      </w:r>
      <w:r>
        <w:t>н</w:t>
      </w:r>
      <w:r>
        <w:t>думе.</w:t>
      </w:r>
    </w:p>
    <w:p w:rsidR="00000000" w:rsidRDefault="00000000">
      <w:pPr>
        <w:pStyle w:val="SingleTxt"/>
      </w:pPr>
      <w:r>
        <w:tab/>
        <w:t>Чтобы начать подготовку к следующим выборам в органы местного сам</w:t>
      </w:r>
      <w:r>
        <w:t>о</w:t>
      </w:r>
      <w:r>
        <w:t>управления, был организован форум «Женщины решают — 2004». Тот факт, что такой форум стал проводиться ежегодно, свидетельствует об интересе, проявляемом женщинами к участию в п</w:t>
      </w:r>
      <w:r>
        <w:t>о</w:t>
      </w:r>
      <w:r>
        <w:t>литической жизни.</w:t>
      </w:r>
    </w:p>
    <w:p w:rsidR="00000000" w:rsidRDefault="00000000">
      <w:pPr>
        <w:pStyle w:val="SingleTxt"/>
      </w:pPr>
      <w:r>
        <w:tab/>
        <w:t>Конференция женских организаций, проводимая Эстонским женским н</w:t>
      </w:r>
      <w:r>
        <w:t>а</w:t>
      </w:r>
      <w:r>
        <w:t>учно-исследовательским и информационным центром, также стала ежегодным мероприятием, в ходе которого рассматриваются темы, представляющие инт</w:t>
      </w:r>
      <w:r>
        <w:t>е</w:t>
      </w:r>
      <w:r>
        <w:t>рес для женщин.</w:t>
      </w:r>
    </w:p>
    <w:p w:rsidR="00000000" w:rsidRDefault="00000000">
      <w:pPr>
        <w:pStyle w:val="SingleTxt"/>
      </w:pPr>
      <w:r>
        <w:tab/>
        <w:t>Неправительственная организация «Эстонский институт прав человека» в период с декабря 2003 по март 2004 года осуществляла проект под названием «Равноценное участие женщин и мужчин в процессе принятия политических и публичных решений в Эстонии». В рамках этого проекта был подготовлен о</w:t>
      </w:r>
      <w:r>
        <w:t>б</w:t>
      </w:r>
      <w:r>
        <w:t>щий обзор положения в Эстонии, который был использован в качестве темы проведения в феврале 2004 года мероприятий «круглого стола» в Йыхви и Та</w:t>
      </w:r>
      <w:r>
        <w:t>л</w:t>
      </w:r>
      <w:r>
        <w:t>линне. Предложения, подготовленные в ходе этих мероприятий, были напра</w:t>
      </w:r>
      <w:r>
        <w:t>в</w:t>
      </w:r>
      <w:r>
        <w:t>лены всем политическим фракциям парламента, парламентским комитетам по конституционным вопросам, социальным вопросам и правовым вопросам, в канцелярию министра по вопросам народонаселения, министерству юстиции, министерству социальных дел, ряду советов местного самоуправления и н</w:t>
      </w:r>
      <w:r>
        <w:t>е</w:t>
      </w:r>
      <w:r>
        <w:t>правительственным организ</w:t>
      </w:r>
      <w:r>
        <w:t>а</w:t>
      </w:r>
      <w:r>
        <w:t>циям.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Профессиональные союзы </w:t>
      </w:r>
    </w:p>
    <w:p w:rsidR="00000000" w:rsidRDefault="00000000">
      <w:pPr>
        <w:pStyle w:val="SingleTxt"/>
        <w:keepNext/>
        <w:spacing w:after="0" w:line="120" w:lineRule="exact"/>
        <w:rPr>
          <w:sz w:val="10"/>
        </w:rPr>
      </w:pPr>
    </w:p>
    <w:p w:rsidR="00000000" w:rsidRDefault="00000000">
      <w:pPr>
        <w:pStyle w:val="SingleTxt"/>
      </w:pPr>
      <w:r>
        <w:tab/>
        <w:t>В соответствии с Законом о профессиональных союзах люди имеют право свободно, без предварительного разрешения, создавать и вступать или не вст</w:t>
      </w:r>
      <w:r>
        <w:t>у</w:t>
      </w:r>
      <w:r>
        <w:t>пать в профессиональные союзы. Военнослужащие, находящиеся на действ</w:t>
      </w:r>
      <w:r>
        <w:t>и</w:t>
      </w:r>
      <w:r>
        <w:t>тельной военной службе в вооруже</w:t>
      </w:r>
      <w:r>
        <w:t>н</w:t>
      </w:r>
      <w:r>
        <w:t>ных силах не могут создавать профсоюзы.</w:t>
      </w:r>
    </w:p>
    <w:p w:rsidR="00000000" w:rsidRDefault="00000000">
      <w:pPr>
        <w:pStyle w:val="SingleTxt"/>
      </w:pPr>
      <w:r>
        <w:tab/>
        <w:t>По сравнению с положением на конец периода, рассмотренного в пред</w:t>
      </w:r>
      <w:r>
        <w:t>ы</w:t>
      </w:r>
      <w:r>
        <w:t>дущем докладе, число организаций, входящих в Центральный союз профе</w:t>
      </w:r>
      <w:r>
        <w:t>с</w:t>
      </w:r>
      <w:r>
        <w:t>сиональных союзов Эстонии (ЦСПСЭ), сократилось, но это объясняется сли</w:t>
      </w:r>
      <w:r>
        <w:t>я</w:t>
      </w:r>
      <w:r>
        <w:t>нием некоторых организаций. Вместе с тем сократилось и общая численность членов — с 65 000 до 48 467. С другой стороны, численность и доля женщин в профсоюзах возросли —  на конец предыдущего отчетного периода в про</w:t>
      </w:r>
      <w:r>
        <w:t>ф</w:t>
      </w:r>
      <w:r>
        <w:t>союзах состояли 25 600 женщин, или 42,7 процента от общей численности членов профсоюзов, а в октябре 2004 года численность женщин возросла до 27 482 членов и составила 56,7 процента от общей численности членов про</w:t>
      </w:r>
      <w:r>
        <w:t>ф</w:t>
      </w:r>
      <w:r>
        <w:t>союзов. В рамках ЦСПСЭ была создана комиссия по вопросам равенства в с</w:t>
      </w:r>
      <w:r>
        <w:t>о</w:t>
      </w:r>
      <w:r>
        <w:t>ставе 10 членов. Эта комиссия принимает участие в работе женского комитета Международной конфедерации свободных профсоюзов (МКСП). Данный ком</w:t>
      </w:r>
      <w:r>
        <w:t>и</w:t>
      </w:r>
      <w:r>
        <w:t>тет организует профсоюзные семинары для женщин, являющихся членами вх</w:t>
      </w:r>
      <w:r>
        <w:t>о</w:t>
      </w:r>
      <w:r>
        <w:t>дящих в Конфедерацию организаций; в этих семинарах также принимают уч</w:t>
      </w:r>
      <w:r>
        <w:t>а</w:t>
      </w:r>
      <w:r>
        <w:t>стие представ</w:t>
      </w:r>
      <w:r>
        <w:t>и</w:t>
      </w:r>
      <w:r>
        <w:t>тели ЦСПСЭ.</w:t>
      </w:r>
    </w:p>
    <w:p w:rsidR="00000000" w:rsidRDefault="00000000">
      <w:pPr>
        <w:pStyle w:val="SingleTxt"/>
      </w:pPr>
      <w:r>
        <w:tab/>
        <w:t>Другим крупным профсоюзным объединением является Центральная о</w:t>
      </w:r>
      <w:r>
        <w:t>р</w:t>
      </w:r>
      <w:r>
        <w:t>ганизация профсоюзов служащих Эстонии (ТАЛО). В ТАЛО входят 13 орган</w:t>
      </w:r>
      <w:r>
        <w:t>и</w:t>
      </w:r>
      <w:r>
        <w:t>заций, насчитывающих в своем составе в общей сложности 32 000 членов. Около 60 процентов — женщины. В ТАЛО также существует женский комитет, но он в данное время не функционирует. Служащие, являющиеся членами ТАЛО, регулярно принимают участие в мероприятиях, посвященных вопросам генде</w:t>
      </w:r>
      <w:r>
        <w:t>р</w:t>
      </w:r>
      <w:r>
        <w:t>ного равноправия (семинары, учебные курсы и т.д.).</w:t>
      </w:r>
    </w:p>
    <w:p w:rsidR="00000000" w:rsidRDefault="00000000">
      <w:pPr>
        <w:pStyle w:val="SingleTxt"/>
      </w:pPr>
      <w:r>
        <w:rPr>
          <w:lang w:val="en-US"/>
        </w:rPr>
        <w:tab/>
      </w:r>
      <w:r>
        <w:t>Комитет выразил озабоченность в связи с низкой представленностью женщин в директивных органах. Интерес женщин к профсоюзному движению и их численность в составе профсоюзов возросли, и расширилось их участие в учебных мероприятиях.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w:t>
      </w:r>
      <w:r>
        <w:rPr>
          <w:b/>
        </w:rPr>
        <w:t>ж</w:t>
      </w:r>
      <w:r>
        <w:rPr>
          <w:b/>
        </w:rPr>
        <w:t>дународном уровне и учас</w:t>
      </w:r>
      <w:r>
        <w:rPr>
          <w:b/>
        </w:rPr>
        <w:t>т</w:t>
      </w:r>
      <w:r>
        <w:rPr>
          <w:b/>
        </w:rPr>
        <w:t>вовать в работе международных организаций.</w:t>
      </w:r>
    </w:p>
    <w:p w:rsidR="00000000" w:rsidRDefault="00000000">
      <w:pPr>
        <w:pStyle w:val="SingleTxt"/>
      </w:pPr>
      <w:r>
        <w:tab/>
        <w:t>Как указывалось в предыдущем докладе, требования для поступления на дипломатическую службу, регламентированы в Законе о дипломатической службе. Каждый человек, независимо от пола, имеет право начать карьеру на дипломатической службе.</w:t>
      </w:r>
    </w:p>
    <w:p w:rsidR="00000000" w:rsidRDefault="00000000">
      <w:pPr>
        <w:pStyle w:val="SingleTxt"/>
      </w:pPr>
      <w:r>
        <w:tab/>
        <w:t>Если дипломат находится в служебной командировке вместе со своей (своим) супругой (супругом), ему или ей выплачивается надбавка к жалованию в размере 35 процентов основного оклада, и время пребывания в командировке вместе с супругом (супругой) зачитывается в ее (его) трудовой стаж. Если су</w:t>
      </w:r>
      <w:r>
        <w:t>п</w:t>
      </w:r>
      <w:r>
        <w:t>руга (супруг) дипломата в служебной командировке работает, то надбавка не выплачивается. Супруги дипломатов обеспечиваются медицинским страхов</w:t>
      </w:r>
      <w:r>
        <w:t>а</w:t>
      </w:r>
      <w:r>
        <w:t>нием.</w:t>
      </w:r>
    </w:p>
    <w:p w:rsidR="00000000" w:rsidRDefault="00000000">
      <w:pPr>
        <w:pStyle w:val="SingleTxt"/>
      </w:pPr>
      <w:r>
        <w:tab/>
        <w:t>В приведенных ниже таблицах показаны доля женщин на дипломатич</w:t>
      </w:r>
      <w:r>
        <w:t>е</w:t>
      </w:r>
      <w:r>
        <w:t>ских должностях и доля женщин, работающих в министерстве иностранных дел и в посольствах.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8.1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Доля женщин на дипломатических должностях</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3528"/>
        <w:gridCol w:w="758"/>
        <w:gridCol w:w="758"/>
        <w:gridCol w:w="759"/>
        <w:gridCol w:w="758"/>
        <w:gridCol w:w="759"/>
      </w:tblGrid>
      <w:tr w:rsidR="00000000">
        <w:tblPrEx>
          <w:tblCellMar>
            <w:top w:w="0" w:type="dxa"/>
            <w:left w:w="0" w:type="dxa"/>
            <w:bottom w:w="0" w:type="dxa"/>
            <w:right w:w="0" w:type="dxa"/>
          </w:tblCellMar>
        </w:tblPrEx>
        <w:trPr>
          <w:tblHeader/>
        </w:trPr>
        <w:tc>
          <w:tcPr>
            <w:tcW w:w="352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Доля женщин на дипломатических должностях</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r>
              <w:rPr>
                <w:i/>
                <w:sz w:val="14"/>
                <w:lang w:val="en-US"/>
              </w:rPr>
              <w:t>2000 год</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r>
              <w:rPr>
                <w:i/>
                <w:sz w:val="14"/>
                <w:lang w:val="en-US"/>
              </w:rPr>
              <w:t>2001 год</w:t>
            </w:r>
          </w:p>
        </w:tc>
        <w:tc>
          <w:tcPr>
            <w:tcW w:w="75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r>
              <w:rPr>
                <w:i/>
                <w:sz w:val="14"/>
                <w:lang w:val="en-US"/>
              </w:rPr>
              <w:t>2002 год</w:t>
            </w:r>
          </w:p>
        </w:tc>
        <w:tc>
          <w:tcPr>
            <w:tcW w:w="7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r>
              <w:rPr>
                <w:i/>
                <w:sz w:val="14"/>
                <w:lang w:val="en-US"/>
              </w:rPr>
              <w:t>2003 год</w:t>
            </w:r>
          </w:p>
        </w:tc>
        <w:tc>
          <w:tcPr>
            <w:tcW w:w="75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r>
              <w:rPr>
                <w:i/>
                <w:sz w:val="14"/>
                <w:lang w:val="en-US"/>
              </w:rPr>
              <w:t>2004 год</w:t>
            </w:r>
          </w:p>
        </w:tc>
      </w:tr>
      <w:tr w:rsidR="00000000">
        <w:tblPrEx>
          <w:tblCellMar>
            <w:top w:w="0" w:type="dxa"/>
            <w:left w:w="0" w:type="dxa"/>
            <w:bottom w:w="0" w:type="dxa"/>
            <w:right w:w="0" w:type="dxa"/>
          </w:tblCellMar>
        </w:tblPrEx>
        <w:trPr>
          <w:trHeight w:hRule="exact" w:val="115"/>
          <w:tblHeader/>
        </w:trPr>
        <w:tc>
          <w:tcPr>
            <w:tcW w:w="35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352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Всего дипломатических должностей</w:t>
            </w:r>
          </w:p>
        </w:tc>
        <w:tc>
          <w:tcPr>
            <w:tcW w:w="758" w:type="dxa"/>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254</w:t>
            </w:r>
          </w:p>
        </w:tc>
        <w:tc>
          <w:tcPr>
            <w:tcW w:w="758" w:type="dxa"/>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292</w:t>
            </w:r>
          </w:p>
        </w:tc>
        <w:tc>
          <w:tcPr>
            <w:tcW w:w="759" w:type="dxa"/>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309</w:t>
            </w:r>
          </w:p>
        </w:tc>
        <w:tc>
          <w:tcPr>
            <w:tcW w:w="758" w:type="dxa"/>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329</w:t>
            </w:r>
          </w:p>
        </w:tc>
        <w:tc>
          <w:tcPr>
            <w:tcW w:w="759" w:type="dxa"/>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349</w:t>
            </w:r>
          </w:p>
        </w:tc>
      </w:tr>
      <w:tr w:rsidR="00000000">
        <w:tblPrEx>
          <w:tblCellMar>
            <w:top w:w="0" w:type="dxa"/>
            <w:left w:w="0" w:type="dxa"/>
            <w:bottom w:w="0" w:type="dxa"/>
            <w:right w:w="0" w:type="dxa"/>
          </w:tblCellMar>
        </w:tblPrEx>
        <w:tc>
          <w:tcPr>
            <w:tcW w:w="3528"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Из них занятых женщинами</w:t>
            </w:r>
          </w:p>
        </w:tc>
        <w:tc>
          <w:tcPr>
            <w:tcW w:w="758" w:type="dxa"/>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128</w:t>
            </w:r>
          </w:p>
        </w:tc>
        <w:tc>
          <w:tcPr>
            <w:tcW w:w="758" w:type="dxa"/>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156</w:t>
            </w:r>
          </w:p>
        </w:tc>
        <w:tc>
          <w:tcPr>
            <w:tcW w:w="759" w:type="dxa"/>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171</w:t>
            </w:r>
          </w:p>
        </w:tc>
        <w:tc>
          <w:tcPr>
            <w:tcW w:w="758" w:type="dxa"/>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179</w:t>
            </w:r>
          </w:p>
        </w:tc>
        <w:tc>
          <w:tcPr>
            <w:tcW w:w="759" w:type="dxa"/>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193</w:t>
            </w:r>
          </w:p>
        </w:tc>
      </w:tr>
      <w:tr w:rsidR="00000000">
        <w:tblPrEx>
          <w:tblCellMar>
            <w:top w:w="0" w:type="dxa"/>
            <w:left w:w="0" w:type="dxa"/>
            <w:bottom w:w="0" w:type="dxa"/>
            <w:right w:w="0" w:type="dxa"/>
          </w:tblCellMar>
        </w:tblPrEx>
        <w:tc>
          <w:tcPr>
            <w:tcW w:w="352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lang w:val="en-US"/>
              </w:rPr>
              <w:t>%</w:t>
            </w:r>
            <w:r>
              <w:rPr>
                <w:sz w:val="17"/>
              </w:rPr>
              <w:t xml:space="preserve"> женщин</w:t>
            </w:r>
          </w:p>
        </w:tc>
        <w:tc>
          <w:tcPr>
            <w:tcW w:w="758" w:type="dxa"/>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50%</w:t>
            </w:r>
          </w:p>
        </w:tc>
        <w:tc>
          <w:tcPr>
            <w:tcW w:w="758" w:type="dxa"/>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53%</w:t>
            </w:r>
          </w:p>
        </w:tc>
        <w:tc>
          <w:tcPr>
            <w:tcW w:w="759" w:type="dxa"/>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55%</w:t>
            </w:r>
          </w:p>
        </w:tc>
        <w:tc>
          <w:tcPr>
            <w:tcW w:w="758" w:type="dxa"/>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54%</w:t>
            </w:r>
          </w:p>
        </w:tc>
        <w:tc>
          <w:tcPr>
            <w:tcW w:w="759" w:type="dxa"/>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55%</w:t>
            </w:r>
          </w:p>
        </w:tc>
      </w:tr>
      <w:tr w:rsidR="00000000">
        <w:tblPrEx>
          <w:tblCellMar>
            <w:top w:w="0" w:type="dxa"/>
            <w:left w:w="0" w:type="dxa"/>
            <w:bottom w:w="0" w:type="dxa"/>
            <w:right w:w="0" w:type="dxa"/>
          </w:tblCellMar>
        </w:tblPrEx>
        <w:tc>
          <w:tcPr>
            <w:tcW w:w="35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Семейные пары, в которых оба супруга дипломаты</w:t>
            </w:r>
          </w:p>
        </w:tc>
        <w:tc>
          <w:tcPr>
            <w:tcW w:w="758" w:type="dxa"/>
            <w:tcBorders>
              <w:bottom w:val="single" w:sz="12" w:space="0" w:color="auto"/>
            </w:tcBorders>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4</w:t>
            </w:r>
          </w:p>
        </w:tc>
        <w:tc>
          <w:tcPr>
            <w:tcW w:w="758" w:type="dxa"/>
            <w:tcBorders>
              <w:bottom w:val="single" w:sz="12" w:space="0" w:color="auto"/>
            </w:tcBorders>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4</w:t>
            </w:r>
          </w:p>
        </w:tc>
        <w:tc>
          <w:tcPr>
            <w:tcW w:w="759" w:type="dxa"/>
            <w:tcBorders>
              <w:bottom w:val="single" w:sz="12" w:space="0" w:color="auto"/>
            </w:tcBorders>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6</w:t>
            </w:r>
          </w:p>
        </w:tc>
        <w:tc>
          <w:tcPr>
            <w:tcW w:w="758" w:type="dxa"/>
            <w:tcBorders>
              <w:bottom w:val="single" w:sz="12" w:space="0" w:color="auto"/>
            </w:tcBorders>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6</w:t>
            </w:r>
          </w:p>
        </w:tc>
        <w:tc>
          <w:tcPr>
            <w:tcW w:w="759" w:type="dxa"/>
            <w:tcBorders>
              <w:bottom w:val="single" w:sz="12" w:space="0" w:color="auto"/>
            </w:tcBorders>
            <w:vAlign w:val="bottom"/>
          </w:tcPr>
          <w:p w:rsidR="00000000" w:rsidRDefault="00000000">
            <w:pPr>
              <w:keepNext/>
              <w:widowControl w:val="0"/>
              <w:autoSpaceDE w:val="0"/>
              <w:autoSpaceDN w:val="0"/>
              <w:adjustRightInd w:val="0"/>
              <w:spacing w:before="40" w:after="40" w:line="210" w:lineRule="exact"/>
              <w:jc w:val="right"/>
              <w:rPr>
                <w:color w:val="000000"/>
                <w:sz w:val="17"/>
              </w:rPr>
            </w:pPr>
            <w:r>
              <w:rPr>
                <w:color w:val="000000"/>
                <w:sz w:val="17"/>
              </w:rPr>
              <w:t>6</w:t>
            </w:r>
          </w:p>
        </w:tc>
      </w:tr>
    </w:tbl>
    <w:p w:rsidR="00000000" w:rsidRDefault="00000000">
      <w:pPr>
        <w:pStyle w:val="SingleTxt"/>
        <w:spacing w:after="0" w:line="120" w:lineRule="exact"/>
        <w:rPr>
          <w:sz w:val="10"/>
          <w:lang w:val="en-US"/>
        </w:rPr>
      </w:pPr>
    </w:p>
    <w:p w:rsidR="00000000" w:rsidRDefault="00000000">
      <w:pPr>
        <w:pStyle w:val="FootnoteText"/>
        <w:tabs>
          <w:tab w:val="clear" w:pos="418"/>
          <w:tab w:val="right" w:pos="1476"/>
          <w:tab w:val="left" w:pos="1548"/>
          <w:tab w:val="right" w:pos="1836"/>
          <w:tab w:val="left" w:pos="1908"/>
        </w:tabs>
        <w:ind w:left="1548" w:right="1267" w:hanging="288"/>
      </w:pPr>
      <w:r>
        <w:rPr>
          <w:i/>
        </w:rPr>
        <w:t>Источник</w:t>
      </w:r>
      <w:r>
        <w:t>: министерство иностранных дел.</w:t>
      </w:r>
    </w:p>
    <w:p w:rsidR="00000000" w:rsidRDefault="00000000">
      <w:pPr>
        <w:pStyle w:val="SingleTxt"/>
        <w:rPr>
          <w:lang w:val="en-US"/>
        </w:rPr>
      </w:pPr>
    </w:p>
    <w:p w:rsidR="00000000" w:rsidRDefault="00000000">
      <w:pPr>
        <w:pStyle w:val="SingleTxt"/>
      </w:pPr>
      <w:r>
        <w:tab/>
        <w:t>Эта таблица свидетельствует об увеличении в период 2000–2004 годов доли женщин, занимающих дипломатические должности. В 2000 году на д</w:t>
      </w:r>
      <w:r>
        <w:t>и</w:t>
      </w:r>
      <w:r>
        <w:t>пломатической работе находились 128 женщин, или 50 процентов от общего числа дипломатических должностей. В 2002 году доля женщин уже составляла 55 процентов и оставалась на этом уровне до 2004 года. С 2002 года на дипл</w:t>
      </w:r>
      <w:r>
        <w:t>о</w:t>
      </w:r>
      <w:r>
        <w:t>матической службе Эстонии находится 6 семейных пар, годе оба супруга зан</w:t>
      </w:r>
      <w:r>
        <w:t>и</w:t>
      </w:r>
      <w:r>
        <w:t>м</w:t>
      </w:r>
      <w:r>
        <w:t>а</w:t>
      </w:r>
      <w:r>
        <w:t>ют дипломатические должности.</w:t>
      </w:r>
    </w:p>
    <w:p w:rsidR="00000000" w:rsidRDefault="00000000">
      <w:pPr>
        <w:pStyle w:val="SingleTxt"/>
      </w:pPr>
      <w:r>
        <w:tab/>
        <w:t>По состоянию на октябрь 2004 года в министерстве иностранных дел р</w:t>
      </w:r>
      <w:r>
        <w:t>а</w:t>
      </w:r>
      <w:r>
        <w:t>ботали 590 человек, в том числе 360 женщин и 230 мужчин; из 343 дипломатов 188 были женщинами. Женщины составляют 61 процент всех сотрудников м</w:t>
      </w:r>
      <w:r>
        <w:t>и</w:t>
      </w:r>
      <w:r>
        <w:t>нистерства иностранных дел. Тем не менее следует отметить, что чем выше должность, тем меньше на таких должностях женщин. Наряду с министром иностранных дел, которым является женщина, и мужчиной на должности канцлера женщины на старших должностях в министерстве иностранных дел занимают 3 должности вице-канцлеров (из 6), 5 должностей директора депа</w:t>
      </w:r>
      <w:r>
        <w:t>р</w:t>
      </w:r>
      <w:r>
        <w:t>тамента (из 17) и 32 должности директора отдела (из 47).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Таблица 8.2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Доля женщин в центральном аппарате министерства иностранных дел в Таллинне</w:t>
      </w:r>
    </w:p>
    <w:p w:rsidR="00000000" w:rsidRDefault="00000000">
      <w:pPr>
        <w:pStyle w:val="SingleTxt"/>
        <w:spacing w:after="0" w:line="120" w:lineRule="exact"/>
        <w:rPr>
          <w:sz w:val="10"/>
        </w:rPr>
      </w:pPr>
    </w:p>
    <w:tbl>
      <w:tblPr>
        <w:tblW w:w="0" w:type="auto"/>
        <w:tblInd w:w="11" w:type="dxa"/>
        <w:tblLayout w:type="fixed"/>
        <w:tblCellMar>
          <w:left w:w="0" w:type="dxa"/>
          <w:right w:w="0" w:type="dxa"/>
        </w:tblCellMar>
        <w:tblLook w:val="0000" w:firstRow="0" w:lastRow="0" w:firstColumn="0" w:lastColumn="0" w:noHBand="0" w:noVBand="0"/>
      </w:tblPr>
      <w:tblGrid>
        <w:gridCol w:w="1659"/>
        <w:gridCol w:w="409"/>
        <w:gridCol w:w="409"/>
        <w:gridCol w:w="408"/>
        <w:gridCol w:w="409"/>
        <w:gridCol w:w="45"/>
        <w:gridCol w:w="364"/>
        <w:gridCol w:w="408"/>
        <w:gridCol w:w="409"/>
        <w:gridCol w:w="409"/>
        <w:gridCol w:w="48"/>
        <w:gridCol w:w="360"/>
        <w:gridCol w:w="409"/>
        <w:gridCol w:w="409"/>
        <w:gridCol w:w="408"/>
        <w:gridCol w:w="43"/>
        <w:gridCol w:w="366"/>
        <w:gridCol w:w="409"/>
        <w:gridCol w:w="408"/>
        <w:gridCol w:w="409"/>
        <w:gridCol w:w="28"/>
        <w:gridCol w:w="381"/>
        <w:gridCol w:w="408"/>
        <w:gridCol w:w="409"/>
        <w:gridCol w:w="409"/>
      </w:tblGrid>
      <w:tr w:rsidR="00000000">
        <w:tblPrEx>
          <w:tblCellMar>
            <w:top w:w="0" w:type="dxa"/>
            <w:left w:w="0" w:type="dxa"/>
            <w:bottom w:w="0" w:type="dxa"/>
            <w:right w:w="0" w:type="dxa"/>
          </w:tblCellMar>
        </w:tblPrEx>
        <w:trPr>
          <w:cantSplit/>
          <w:tblHeader/>
        </w:trPr>
        <w:tc>
          <w:tcPr>
            <w:tcW w:w="1659"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635"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2000 год</w:t>
            </w:r>
          </w:p>
        </w:tc>
        <w:tc>
          <w:tcPr>
            <w:tcW w:w="45"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59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2001 год</w:t>
            </w:r>
          </w:p>
        </w:tc>
        <w:tc>
          <w:tcPr>
            <w:tcW w:w="48"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58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2002 год</w:t>
            </w:r>
          </w:p>
        </w:tc>
        <w:tc>
          <w:tcPr>
            <w:tcW w:w="43"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592"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2003 год</w:t>
            </w:r>
          </w:p>
        </w:tc>
        <w:tc>
          <w:tcPr>
            <w:tcW w:w="28"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607"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2004 год</w:t>
            </w:r>
          </w:p>
        </w:tc>
      </w:tr>
      <w:tr w:rsidR="00000000">
        <w:tblPrEx>
          <w:tblCellMar>
            <w:top w:w="0" w:type="dxa"/>
            <w:left w:w="0" w:type="dxa"/>
            <w:bottom w:w="0" w:type="dxa"/>
            <w:right w:w="0" w:type="dxa"/>
          </w:tblCellMar>
        </w:tblPrEx>
        <w:trPr>
          <w:cantSplit/>
          <w:trHeight w:val="885"/>
          <w:tblHeader/>
        </w:trPr>
        <w:tc>
          <w:tcPr>
            <w:tcW w:w="1659" w:type="dxa"/>
            <w:vAlign w:val="bottom"/>
          </w:tcPr>
          <w:p w:rsidR="00000000" w:rsidRDefault="00000000">
            <w:pPr>
              <w:tabs>
                <w:tab w:val="left" w:pos="288"/>
                <w:tab w:val="left" w:pos="576"/>
                <w:tab w:val="left" w:pos="864"/>
                <w:tab w:val="left" w:pos="1152"/>
              </w:tabs>
              <w:spacing w:before="40" w:after="81" w:line="160" w:lineRule="exact"/>
              <w:ind w:left="29" w:right="144"/>
              <w:rPr>
                <w:i/>
                <w:sz w:val="14"/>
              </w:rPr>
            </w:pP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Всего</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Мужчины</w:t>
            </w:r>
          </w:p>
        </w:tc>
        <w:tc>
          <w:tcPr>
            <w:tcW w:w="408"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Женщины</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lang w:val="en-US"/>
              </w:rPr>
              <w:t>%</w:t>
            </w:r>
            <w:r>
              <w:rPr>
                <w:i/>
                <w:sz w:val="14"/>
              </w:rPr>
              <w:t xml:space="preserve"> женщин</w:t>
            </w:r>
          </w:p>
        </w:tc>
        <w:tc>
          <w:tcPr>
            <w:tcW w:w="409" w:type="dxa"/>
            <w:gridSpan w:val="2"/>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Всего</w:t>
            </w:r>
          </w:p>
        </w:tc>
        <w:tc>
          <w:tcPr>
            <w:tcW w:w="408"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Мужчины</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Женщины</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lang w:val="en-US"/>
              </w:rPr>
              <w:t>%</w:t>
            </w:r>
            <w:r>
              <w:rPr>
                <w:i/>
                <w:sz w:val="14"/>
              </w:rPr>
              <w:t xml:space="preserve"> женщин</w:t>
            </w:r>
          </w:p>
        </w:tc>
        <w:tc>
          <w:tcPr>
            <w:tcW w:w="408" w:type="dxa"/>
            <w:gridSpan w:val="2"/>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Всего</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Мужчины</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Женщины</w:t>
            </w:r>
          </w:p>
        </w:tc>
        <w:tc>
          <w:tcPr>
            <w:tcW w:w="408"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lang w:val="en-US"/>
              </w:rPr>
              <w:t>%</w:t>
            </w:r>
            <w:r>
              <w:rPr>
                <w:i/>
                <w:sz w:val="14"/>
              </w:rPr>
              <w:t xml:space="preserve"> женщин</w:t>
            </w:r>
          </w:p>
        </w:tc>
        <w:tc>
          <w:tcPr>
            <w:tcW w:w="409" w:type="dxa"/>
            <w:gridSpan w:val="2"/>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Всего</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Мужчины</w:t>
            </w:r>
          </w:p>
        </w:tc>
        <w:tc>
          <w:tcPr>
            <w:tcW w:w="408"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Женщины</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lang w:val="en-US"/>
              </w:rPr>
              <w:t>%</w:t>
            </w:r>
            <w:r>
              <w:rPr>
                <w:i/>
                <w:sz w:val="14"/>
              </w:rPr>
              <w:t xml:space="preserve"> женщин</w:t>
            </w:r>
          </w:p>
        </w:tc>
        <w:tc>
          <w:tcPr>
            <w:tcW w:w="409" w:type="dxa"/>
            <w:gridSpan w:val="2"/>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Всего</w:t>
            </w:r>
          </w:p>
        </w:tc>
        <w:tc>
          <w:tcPr>
            <w:tcW w:w="408"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Мужчины</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Женщины</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lang w:val="en-US"/>
              </w:rPr>
              <w:t>%</w:t>
            </w:r>
            <w:r>
              <w:rPr>
                <w:i/>
                <w:sz w:val="14"/>
              </w:rPr>
              <w:t xml:space="preserve"> женщин</w:t>
            </w:r>
          </w:p>
        </w:tc>
      </w:tr>
      <w:tr w:rsidR="00000000">
        <w:tblPrEx>
          <w:tblCellMar>
            <w:top w:w="0" w:type="dxa"/>
            <w:left w:w="0" w:type="dxa"/>
            <w:bottom w:w="0" w:type="dxa"/>
            <w:right w:w="0" w:type="dxa"/>
          </w:tblCellMar>
        </w:tblPrEx>
        <w:trPr>
          <w:trHeight w:hRule="exact" w:val="115"/>
          <w:tblHeader/>
        </w:trPr>
        <w:tc>
          <w:tcPr>
            <w:tcW w:w="16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По дипломатич</w:t>
            </w:r>
            <w:r>
              <w:rPr>
                <w:b/>
                <w:sz w:val="17"/>
              </w:rPr>
              <w:t>е</w:t>
            </w:r>
            <w:r>
              <w:rPr>
                <w:b/>
                <w:sz w:val="17"/>
              </w:rPr>
              <w:t>скому рангу и ср</w:t>
            </w:r>
            <w:r>
              <w:rPr>
                <w:b/>
                <w:sz w:val="17"/>
              </w:rPr>
              <w:t>о</w:t>
            </w:r>
            <w:r>
              <w:rPr>
                <w:b/>
                <w:sz w:val="17"/>
              </w:rPr>
              <w:t>ку службы</w:t>
            </w: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Советник</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42</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12</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16</w:t>
            </w:r>
          </w:p>
        </w:tc>
        <w:tc>
          <w:tcPr>
            <w:tcW w:w="40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17</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14</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18</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16</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14</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13</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21</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16</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24</w:t>
            </w: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Первый секретарь</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8</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50</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17</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41</w:t>
            </w:r>
          </w:p>
        </w:tc>
        <w:tc>
          <w:tcPr>
            <w:tcW w:w="40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16</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38</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14</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50</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12</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58</w:t>
            </w: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Второй секретарь</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12</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58</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15</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8</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53</w:t>
            </w:r>
          </w:p>
        </w:tc>
        <w:tc>
          <w:tcPr>
            <w:tcW w:w="40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24</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8</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16</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67</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9</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70</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32</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63</w:t>
            </w: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Третий секретарь</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19</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15</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79</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38</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28</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74</w:t>
            </w:r>
          </w:p>
        </w:tc>
        <w:tc>
          <w:tcPr>
            <w:tcW w:w="40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36</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8</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29</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81</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29</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25</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86</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30</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27</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90</w:t>
            </w: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Атташе</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12</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29</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70</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57</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14</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75</w:t>
            </w:r>
          </w:p>
        </w:tc>
        <w:tc>
          <w:tcPr>
            <w:tcW w:w="40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58</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12</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46</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79</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59</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16</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73</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68</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46</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68</w:t>
            </w: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По должности</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Канцлер</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0</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0</w:t>
            </w:r>
          </w:p>
        </w:tc>
        <w:tc>
          <w:tcPr>
            <w:tcW w:w="40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0</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0</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0</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0</w:t>
            </w: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Вице-канцлер</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0</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0</w:t>
            </w:r>
          </w:p>
        </w:tc>
        <w:tc>
          <w:tcPr>
            <w:tcW w:w="40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29</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29</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50</w:t>
            </w: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Генеральный дире</w:t>
            </w:r>
            <w:r>
              <w:rPr>
                <w:sz w:val="17"/>
              </w:rPr>
              <w:t>к</w:t>
            </w:r>
            <w:r>
              <w:rPr>
                <w:sz w:val="17"/>
              </w:rPr>
              <w:t>тор департамента</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15</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9</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40</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18</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8</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80</w:t>
            </w:r>
          </w:p>
        </w:tc>
        <w:tc>
          <w:tcPr>
            <w:tcW w:w="40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22</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9</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41</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14</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9</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39</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19</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32</w:t>
            </w:r>
          </w:p>
        </w:tc>
      </w:tr>
      <w:tr w:rsidR="00000000">
        <w:tblPrEx>
          <w:tblCellMar>
            <w:top w:w="0" w:type="dxa"/>
            <w:left w:w="0" w:type="dxa"/>
            <w:bottom w:w="0" w:type="dxa"/>
            <w:right w:w="0" w:type="dxa"/>
          </w:tblCellMar>
        </w:tblPrEx>
        <w:tc>
          <w:tcPr>
            <w:tcW w:w="16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Директор отдела</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20</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w:t>
            </w:r>
          </w:p>
        </w:tc>
        <w:tc>
          <w:tcPr>
            <w:tcW w:w="40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14</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70</w:t>
            </w:r>
          </w:p>
        </w:tc>
        <w:tc>
          <w:tcPr>
            <w:tcW w:w="409"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38</w:t>
            </w:r>
          </w:p>
        </w:tc>
        <w:tc>
          <w:tcPr>
            <w:tcW w:w="40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14</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24</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63</w:t>
            </w:r>
          </w:p>
        </w:tc>
        <w:tc>
          <w:tcPr>
            <w:tcW w:w="408"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44</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18</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26</w:t>
            </w:r>
          </w:p>
        </w:tc>
        <w:tc>
          <w:tcPr>
            <w:tcW w:w="40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59</w:t>
            </w:r>
          </w:p>
        </w:tc>
        <w:tc>
          <w:tcPr>
            <w:tcW w:w="409"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43</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17</w:t>
            </w:r>
          </w:p>
        </w:tc>
        <w:tc>
          <w:tcPr>
            <w:tcW w:w="40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26</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60</w:t>
            </w:r>
          </w:p>
        </w:tc>
        <w:tc>
          <w:tcPr>
            <w:tcW w:w="409"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44</w:t>
            </w:r>
          </w:p>
        </w:tc>
        <w:tc>
          <w:tcPr>
            <w:tcW w:w="40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14</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30</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68</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Источник</w:t>
      </w:r>
      <w:r>
        <w:t>: министерство иностранных дел.</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8.3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Доля женщин-дипломатов в посольствах по уровню должности </w:t>
      </w:r>
    </w:p>
    <w:p w:rsidR="00000000" w:rsidRDefault="00000000">
      <w:pPr>
        <w:pStyle w:val="SingleTxt"/>
        <w:spacing w:after="0" w:line="120" w:lineRule="exact"/>
        <w:rPr>
          <w:sz w:val="10"/>
        </w:rPr>
      </w:pPr>
    </w:p>
    <w:tbl>
      <w:tblPr>
        <w:tblW w:w="0" w:type="auto"/>
        <w:tblInd w:w="11" w:type="dxa"/>
        <w:tblLayout w:type="fixed"/>
        <w:tblCellMar>
          <w:left w:w="0" w:type="dxa"/>
          <w:right w:w="0" w:type="dxa"/>
        </w:tblCellMar>
        <w:tblLook w:val="0000" w:firstRow="0" w:lastRow="0" w:firstColumn="0" w:lastColumn="0" w:noHBand="0" w:noVBand="0"/>
      </w:tblPr>
      <w:tblGrid>
        <w:gridCol w:w="1659"/>
        <w:gridCol w:w="409"/>
        <w:gridCol w:w="409"/>
        <w:gridCol w:w="408"/>
        <w:gridCol w:w="409"/>
        <w:gridCol w:w="45"/>
        <w:gridCol w:w="364"/>
        <w:gridCol w:w="408"/>
        <w:gridCol w:w="409"/>
        <w:gridCol w:w="409"/>
        <w:gridCol w:w="48"/>
        <w:gridCol w:w="360"/>
        <w:gridCol w:w="409"/>
        <w:gridCol w:w="409"/>
        <w:gridCol w:w="408"/>
        <w:gridCol w:w="43"/>
        <w:gridCol w:w="366"/>
        <w:gridCol w:w="409"/>
        <w:gridCol w:w="408"/>
        <w:gridCol w:w="409"/>
        <w:gridCol w:w="28"/>
        <w:gridCol w:w="381"/>
        <w:gridCol w:w="408"/>
        <w:gridCol w:w="409"/>
        <w:gridCol w:w="409"/>
      </w:tblGrid>
      <w:tr w:rsidR="00000000">
        <w:tblPrEx>
          <w:tblCellMar>
            <w:top w:w="0" w:type="dxa"/>
            <w:left w:w="0" w:type="dxa"/>
            <w:bottom w:w="0" w:type="dxa"/>
            <w:right w:w="0" w:type="dxa"/>
          </w:tblCellMar>
        </w:tblPrEx>
        <w:trPr>
          <w:cantSplit/>
          <w:tblHeader/>
        </w:trPr>
        <w:tc>
          <w:tcPr>
            <w:tcW w:w="1659"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635"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2000 год</w:t>
            </w:r>
          </w:p>
        </w:tc>
        <w:tc>
          <w:tcPr>
            <w:tcW w:w="45"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59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2001 год</w:t>
            </w:r>
          </w:p>
        </w:tc>
        <w:tc>
          <w:tcPr>
            <w:tcW w:w="48"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58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2002 год</w:t>
            </w:r>
          </w:p>
        </w:tc>
        <w:tc>
          <w:tcPr>
            <w:tcW w:w="43"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592"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2003 год</w:t>
            </w:r>
          </w:p>
        </w:tc>
        <w:tc>
          <w:tcPr>
            <w:tcW w:w="28"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607"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2004 год</w:t>
            </w:r>
          </w:p>
        </w:tc>
      </w:tr>
      <w:tr w:rsidR="00000000">
        <w:tblPrEx>
          <w:tblCellMar>
            <w:top w:w="0" w:type="dxa"/>
            <w:left w:w="0" w:type="dxa"/>
            <w:bottom w:w="0" w:type="dxa"/>
            <w:right w:w="0" w:type="dxa"/>
          </w:tblCellMar>
        </w:tblPrEx>
        <w:trPr>
          <w:cantSplit/>
          <w:trHeight w:val="885"/>
          <w:tblHeader/>
        </w:trPr>
        <w:tc>
          <w:tcPr>
            <w:tcW w:w="1659" w:type="dxa"/>
            <w:vAlign w:val="bottom"/>
          </w:tcPr>
          <w:p w:rsidR="00000000" w:rsidRDefault="00000000">
            <w:pPr>
              <w:tabs>
                <w:tab w:val="left" w:pos="288"/>
                <w:tab w:val="left" w:pos="576"/>
                <w:tab w:val="left" w:pos="864"/>
                <w:tab w:val="left" w:pos="1152"/>
              </w:tabs>
              <w:spacing w:before="40" w:after="81" w:line="160" w:lineRule="exact"/>
              <w:ind w:left="29" w:right="144"/>
              <w:rPr>
                <w:i/>
                <w:sz w:val="14"/>
              </w:rPr>
            </w:pP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Всего</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Мужчины</w:t>
            </w:r>
          </w:p>
        </w:tc>
        <w:tc>
          <w:tcPr>
            <w:tcW w:w="408"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Женщины</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lang w:val="en-US"/>
              </w:rPr>
              <w:t>%</w:t>
            </w:r>
            <w:r>
              <w:rPr>
                <w:i/>
                <w:sz w:val="14"/>
              </w:rPr>
              <w:t xml:space="preserve"> женщин</w:t>
            </w:r>
          </w:p>
        </w:tc>
        <w:tc>
          <w:tcPr>
            <w:tcW w:w="409" w:type="dxa"/>
            <w:gridSpan w:val="2"/>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Всего</w:t>
            </w:r>
          </w:p>
        </w:tc>
        <w:tc>
          <w:tcPr>
            <w:tcW w:w="408"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Мужчины</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Женщины</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lang w:val="en-US"/>
              </w:rPr>
              <w:t>%</w:t>
            </w:r>
            <w:r>
              <w:rPr>
                <w:i/>
                <w:sz w:val="14"/>
              </w:rPr>
              <w:t xml:space="preserve"> женщин</w:t>
            </w:r>
          </w:p>
        </w:tc>
        <w:tc>
          <w:tcPr>
            <w:tcW w:w="408" w:type="dxa"/>
            <w:gridSpan w:val="2"/>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Всего</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Мужчины</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Женщины</w:t>
            </w:r>
          </w:p>
        </w:tc>
        <w:tc>
          <w:tcPr>
            <w:tcW w:w="408"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lang w:val="en-US"/>
              </w:rPr>
              <w:t>%</w:t>
            </w:r>
            <w:r>
              <w:rPr>
                <w:i/>
                <w:sz w:val="14"/>
              </w:rPr>
              <w:t xml:space="preserve"> женщин</w:t>
            </w:r>
          </w:p>
        </w:tc>
        <w:tc>
          <w:tcPr>
            <w:tcW w:w="409" w:type="dxa"/>
            <w:gridSpan w:val="2"/>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Всего</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Мужчины</w:t>
            </w:r>
          </w:p>
        </w:tc>
        <w:tc>
          <w:tcPr>
            <w:tcW w:w="408"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Женщины</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lang w:val="en-US"/>
              </w:rPr>
              <w:t>%</w:t>
            </w:r>
            <w:r>
              <w:rPr>
                <w:i/>
                <w:sz w:val="14"/>
              </w:rPr>
              <w:t xml:space="preserve"> женщин</w:t>
            </w:r>
          </w:p>
        </w:tc>
        <w:tc>
          <w:tcPr>
            <w:tcW w:w="409" w:type="dxa"/>
            <w:gridSpan w:val="2"/>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Всего</w:t>
            </w:r>
          </w:p>
        </w:tc>
        <w:tc>
          <w:tcPr>
            <w:tcW w:w="408"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Мужчины</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rPr>
              <w:t>Женщины</w:t>
            </w:r>
          </w:p>
        </w:tc>
        <w:tc>
          <w:tcPr>
            <w:tcW w:w="409" w:type="dxa"/>
            <w:textDirection w:val="btLr"/>
            <w:vAlign w:val="bottom"/>
          </w:tcPr>
          <w:p w:rsidR="00000000" w:rsidRDefault="00000000">
            <w:pPr>
              <w:tabs>
                <w:tab w:val="left" w:pos="288"/>
                <w:tab w:val="left" w:pos="576"/>
                <w:tab w:val="left" w:pos="864"/>
                <w:tab w:val="left" w:pos="1152"/>
              </w:tabs>
              <w:spacing w:before="40" w:after="81" w:line="160" w:lineRule="exact"/>
              <w:ind w:left="29" w:right="144"/>
              <w:jc w:val="right"/>
              <w:rPr>
                <w:i/>
                <w:sz w:val="14"/>
              </w:rPr>
            </w:pPr>
            <w:r>
              <w:rPr>
                <w:i/>
                <w:sz w:val="14"/>
                <w:lang w:val="en-US"/>
              </w:rPr>
              <w:t>%</w:t>
            </w:r>
            <w:r>
              <w:rPr>
                <w:i/>
                <w:sz w:val="14"/>
              </w:rPr>
              <w:t xml:space="preserve"> женщин</w:t>
            </w:r>
          </w:p>
        </w:tc>
      </w:tr>
      <w:tr w:rsidR="00000000">
        <w:tblPrEx>
          <w:tblCellMar>
            <w:top w:w="0" w:type="dxa"/>
            <w:left w:w="0" w:type="dxa"/>
            <w:bottom w:w="0" w:type="dxa"/>
            <w:right w:w="0" w:type="dxa"/>
          </w:tblCellMar>
        </w:tblPrEx>
        <w:trPr>
          <w:trHeight w:hRule="exact" w:val="115"/>
          <w:tblHeader/>
        </w:trPr>
        <w:tc>
          <w:tcPr>
            <w:tcW w:w="16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По дипломатич</w:t>
            </w:r>
            <w:r>
              <w:rPr>
                <w:b/>
                <w:sz w:val="17"/>
              </w:rPr>
              <w:t>е</w:t>
            </w:r>
            <w:r>
              <w:rPr>
                <w:b/>
                <w:sz w:val="17"/>
              </w:rPr>
              <w:t>скому рангу и ср</w:t>
            </w:r>
            <w:r>
              <w:rPr>
                <w:b/>
                <w:sz w:val="17"/>
              </w:rPr>
              <w:t>о</w:t>
            </w:r>
            <w:r>
              <w:rPr>
                <w:b/>
                <w:sz w:val="17"/>
              </w:rPr>
              <w:t>ку службы</w:t>
            </w: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Чрезвычайный и полномочный посол</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22</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27</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22</w:t>
            </w:r>
          </w:p>
        </w:tc>
        <w:tc>
          <w:tcPr>
            <w:tcW w:w="40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34</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24</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38</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29</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Советник-посланник</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50</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50</w:t>
            </w:r>
          </w:p>
        </w:tc>
        <w:tc>
          <w:tcPr>
            <w:tcW w:w="40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33</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Консул и генерал</w:t>
            </w:r>
            <w:r>
              <w:rPr>
                <w:sz w:val="17"/>
              </w:rPr>
              <w:t>ь</w:t>
            </w:r>
            <w:r>
              <w:rPr>
                <w:sz w:val="17"/>
              </w:rPr>
              <w:t>ный консул</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0</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w:t>
            </w:r>
          </w:p>
        </w:tc>
        <w:tc>
          <w:tcPr>
            <w:tcW w:w="40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45</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60</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Советник</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rFonts w:eastAsia="Arial Unicode MS"/>
                <w:sz w:val="17"/>
              </w:rPr>
              <w:t>18</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22</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18</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15</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17</w:t>
            </w:r>
          </w:p>
        </w:tc>
        <w:tc>
          <w:tcPr>
            <w:tcW w:w="40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18</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14</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14</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33</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25</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14</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44</w:t>
            </w: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Первый секретарь</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17</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12</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29</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15</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8</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47</w:t>
            </w:r>
          </w:p>
        </w:tc>
        <w:tc>
          <w:tcPr>
            <w:tcW w:w="40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15</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10</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67</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15</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7</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8</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53</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16</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9</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31</w:t>
            </w:r>
          </w:p>
        </w:tc>
      </w:tr>
      <w:tr w:rsidR="00000000">
        <w:tblPrEx>
          <w:tblCellMar>
            <w:top w:w="0" w:type="dxa"/>
            <w:left w:w="0" w:type="dxa"/>
            <w:bottom w:w="0" w:type="dxa"/>
            <w:right w:w="0" w:type="dxa"/>
          </w:tblCellMar>
        </w:tblPrEx>
        <w:tc>
          <w:tcPr>
            <w:tcW w:w="165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Второй секретарь</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21</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9</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12</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57</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25</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12</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48</w:t>
            </w:r>
          </w:p>
        </w:tc>
        <w:tc>
          <w:tcPr>
            <w:tcW w:w="40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28</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13</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15</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54</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32</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15</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17</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53</w:t>
            </w:r>
          </w:p>
        </w:tc>
        <w:tc>
          <w:tcPr>
            <w:tcW w:w="409"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36</w:t>
            </w:r>
          </w:p>
        </w:tc>
        <w:tc>
          <w:tcPr>
            <w:tcW w:w="408"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16</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20</w:t>
            </w:r>
          </w:p>
        </w:tc>
        <w:tc>
          <w:tcPr>
            <w:tcW w:w="40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56</w:t>
            </w:r>
          </w:p>
        </w:tc>
      </w:tr>
      <w:tr w:rsidR="00000000">
        <w:tblPrEx>
          <w:tblCellMar>
            <w:top w:w="0" w:type="dxa"/>
            <w:left w:w="0" w:type="dxa"/>
            <w:bottom w:w="0" w:type="dxa"/>
            <w:right w:w="0" w:type="dxa"/>
          </w:tblCellMar>
        </w:tblPrEx>
        <w:tc>
          <w:tcPr>
            <w:tcW w:w="16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Третий секретарь</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33</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13</w:t>
            </w:r>
          </w:p>
        </w:tc>
        <w:tc>
          <w:tcPr>
            <w:tcW w:w="40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20</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61</w:t>
            </w:r>
          </w:p>
        </w:tc>
        <w:tc>
          <w:tcPr>
            <w:tcW w:w="409"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38</w:t>
            </w:r>
          </w:p>
        </w:tc>
        <w:tc>
          <w:tcPr>
            <w:tcW w:w="40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13</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25</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66</w:t>
            </w:r>
          </w:p>
        </w:tc>
        <w:tc>
          <w:tcPr>
            <w:tcW w:w="408"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47</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17</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30</w:t>
            </w:r>
          </w:p>
        </w:tc>
        <w:tc>
          <w:tcPr>
            <w:tcW w:w="40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64</w:t>
            </w:r>
          </w:p>
        </w:tc>
        <w:tc>
          <w:tcPr>
            <w:tcW w:w="409"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40</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18</w:t>
            </w:r>
          </w:p>
        </w:tc>
        <w:tc>
          <w:tcPr>
            <w:tcW w:w="40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22</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55</w:t>
            </w:r>
          </w:p>
        </w:tc>
        <w:tc>
          <w:tcPr>
            <w:tcW w:w="409"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38</w:t>
            </w:r>
          </w:p>
        </w:tc>
        <w:tc>
          <w:tcPr>
            <w:tcW w:w="408"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15</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23</w:t>
            </w:r>
          </w:p>
        </w:tc>
        <w:tc>
          <w:tcPr>
            <w:tcW w:w="409"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rFonts w:eastAsia="Arial Unicode MS"/>
                <w:sz w:val="17"/>
              </w:rPr>
            </w:pPr>
            <w:r>
              <w:rPr>
                <w:sz w:val="17"/>
              </w:rPr>
              <w:t>61</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Источник</w:t>
      </w:r>
      <w:r>
        <w:t>: министерство иностранных дел.</w:t>
      </w:r>
    </w:p>
    <w:p w:rsidR="00000000" w:rsidRDefault="00000000">
      <w:pPr>
        <w:pStyle w:val="SingleTxt"/>
      </w:pPr>
      <w:r>
        <w:rPr>
          <w:lang w:val="en-US"/>
        </w:rPr>
        <w:tab/>
      </w:r>
      <w:r>
        <w:t>Большинство женщин работают на должностях атташе, третьего и второго секретаря, а число женщин на должности советника в 2003 и 2004 годах увел</w:t>
      </w:r>
      <w:r>
        <w:t>и</w:t>
      </w:r>
      <w:r>
        <w:t>ч</w:t>
      </w:r>
      <w:r>
        <w:t>и</w:t>
      </w:r>
      <w:r>
        <w:t>лось.</w:t>
      </w:r>
    </w:p>
    <w:p w:rsidR="00000000" w:rsidRDefault="00000000">
      <w:pPr>
        <w:pStyle w:val="SingleTxt"/>
      </w:pPr>
      <w:r>
        <w:rPr>
          <w:lang w:val="en-US"/>
        </w:rPr>
        <w:tab/>
      </w:r>
      <w:r>
        <w:t>Эстония имеет 27 посольств, в шести из которых женщины являются п</w:t>
      </w:r>
      <w:r>
        <w:t>о</w:t>
      </w:r>
      <w:r>
        <w:t>слами (Соединенное Королевство Великобритании и Северной Ирландии, А</w:t>
      </w:r>
      <w:r>
        <w:t>в</w:t>
      </w:r>
      <w:r>
        <w:t>стрия (аккредитована также при международных организациях) Россия, Че</w:t>
      </w:r>
      <w:r>
        <w:t>ш</w:t>
      </w:r>
      <w:r>
        <w:t>ская Республика, Бельгия и Португалия). Для Эстонии как малой страны х</w:t>
      </w:r>
      <w:r>
        <w:t>а</w:t>
      </w:r>
      <w:r>
        <w:t>рактерно, что ее послы аккредитованы по совместительству в нескольких стр</w:t>
      </w:r>
      <w:r>
        <w:t>а</w:t>
      </w:r>
      <w:r>
        <w:t>нах. Так, например, женщина-посол в Австрии  аккредитована также в Слов</w:t>
      </w:r>
      <w:r>
        <w:t>е</w:t>
      </w:r>
      <w:r>
        <w:t>нии, Швейцарии и Словакии.</w:t>
      </w:r>
    </w:p>
    <w:p w:rsidR="00000000" w:rsidRDefault="00000000">
      <w:pPr>
        <w:pStyle w:val="SingleTxt"/>
      </w:pPr>
      <w:r>
        <w:rPr>
          <w:lang w:val="en-US"/>
        </w:rPr>
        <w:tab/>
      </w:r>
      <w:r>
        <w:t>У Эстонии 10 постоянных представительств при международных орган</w:t>
      </w:r>
      <w:r>
        <w:t>и</w:t>
      </w:r>
      <w:r>
        <w:t>зациях; в двух из них послами являются женщины (ОБСЕ, МАГАТЭ вместе со штаб-квартирой ООН в В</w:t>
      </w:r>
      <w:r>
        <w:t>е</w:t>
      </w:r>
      <w:r>
        <w:t>не).</w:t>
      </w:r>
    </w:p>
    <w:p w:rsidR="00000000" w:rsidRDefault="00000000">
      <w:pPr>
        <w:pStyle w:val="SingleTxt"/>
      </w:pPr>
      <w:r>
        <w:rPr>
          <w:lang w:val="en-US"/>
        </w:rPr>
        <w:tab/>
      </w:r>
      <w:r>
        <w:t>Эстония имеет трех послов, не являющихся резидентами; одним из них является женщ</w:t>
      </w:r>
      <w:r>
        <w:t>и</w:t>
      </w:r>
      <w:r>
        <w:t>на, аккредитованная в Израиле.</w:t>
      </w:r>
    </w:p>
    <w:p w:rsidR="00000000" w:rsidRDefault="00000000">
      <w:pPr>
        <w:pStyle w:val="SingleTxt"/>
      </w:pPr>
      <w:r>
        <w:rPr>
          <w:lang w:val="en-US"/>
        </w:rPr>
        <w:tab/>
      </w:r>
      <w:r>
        <w:t>Когда министерство иностранных дел направляет представителей для участия в международных форумах, делегация обычно состоит из женщины и мужчины. Тем самым оно стремиться подать хороший пример другим госуда</w:t>
      </w:r>
      <w:r>
        <w:t>р</w:t>
      </w:r>
      <w:r>
        <w:t>ственным учреждениям и организ</w:t>
      </w:r>
      <w:r>
        <w:t>а</w:t>
      </w:r>
      <w:r>
        <w:t>циям.</w:t>
      </w:r>
    </w:p>
    <w:p w:rsidR="00000000" w:rsidRDefault="00000000">
      <w:pPr>
        <w:pStyle w:val="SingleTxt"/>
      </w:pPr>
      <w:r>
        <w:rPr>
          <w:lang w:val="en-US"/>
        </w:rPr>
        <w:tab/>
      </w:r>
      <w:r>
        <w:t>В июне 2004 года министр иностранных дел Эстонии являлась кандид</w:t>
      </w:r>
      <w:r>
        <w:t>а</w:t>
      </w:r>
      <w:r>
        <w:t>том на пост Генерального секретаря Совета Европы. В сентябре 2004 года э</w:t>
      </w:r>
      <w:r>
        <w:t>с</w:t>
      </w:r>
      <w:r>
        <w:t>тонский министр иностранных дел была избрана вместе с министром ин</w:t>
      </w:r>
      <w:r>
        <w:t>о</w:t>
      </w:r>
      <w:r>
        <w:t>странных дел Швеции руководителем неофициальной группы женщин-министров иностра</w:t>
      </w:r>
      <w:r>
        <w:t>н</w:t>
      </w:r>
      <w:r>
        <w:t>ных дел.</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Женщины в международных организациях</w:t>
      </w:r>
    </w:p>
    <w:p w:rsidR="00000000" w:rsidRDefault="00000000">
      <w:pPr>
        <w:pStyle w:val="SingleTxt"/>
        <w:spacing w:after="0" w:line="120" w:lineRule="exact"/>
        <w:rPr>
          <w:sz w:val="10"/>
        </w:rPr>
      </w:pPr>
    </w:p>
    <w:p w:rsidR="00000000" w:rsidRDefault="00000000">
      <w:pPr>
        <w:pStyle w:val="SingleTxt"/>
      </w:pPr>
      <w:r>
        <w:rPr>
          <w:lang w:val="en-US"/>
        </w:rPr>
        <w:tab/>
      </w:r>
      <w:r>
        <w:t>Две эстонки работают в Европейской экономической комиссии Организ</w:t>
      </w:r>
      <w:r>
        <w:t>а</w:t>
      </w:r>
      <w:r>
        <w:t>ции Объедине</w:t>
      </w:r>
      <w:r>
        <w:t>н</w:t>
      </w:r>
      <w:r>
        <w:t>ных Наций.</w:t>
      </w:r>
    </w:p>
    <w:p w:rsidR="00000000" w:rsidRDefault="00000000">
      <w:pPr>
        <w:pStyle w:val="SingleTxt"/>
      </w:pPr>
      <w:r>
        <w:rPr>
          <w:lang w:val="en-US"/>
        </w:rPr>
        <w:tab/>
      </w:r>
      <w:r>
        <w:t>Эстония представлена женщиной в руководящем органе Всемирной орг</w:t>
      </w:r>
      <w:r>
        <w:t>а</w:t>
      </w:r>
      <w:r>
        <w:t>низации здравоохранения (ВОЗ). В системе ВОЗ работают четыре сотрудника из Эстонии, в том числе две женщины. В представительстве ВОЗ в Эстонии их двух сотрудников одна женщина.</w:t>
      </w:r>
    </w:p>
    <w:p w:rsidR="00000000" w:rsidRDefault="00000000">
      <w:pPr>
        <w:pStyle w:val="SingleTxt"/>
      </w:pPr>
      <w:r>
        <w:rPr>
          <w:lang w:val="en-US"/>
        </w:rPr>
        <w:tab/>
      </w:r>
      <w:r>
        <w:t>Две женщины работают в Совете Европы (и 3 мужчины, включая одного судью), и 2 женщины работают в представительстве Совета Европы в Талли</w:t>
      </w:r>
      <w:r>
        <w:t>н</w:t>
      </w:r>
      <w:r>
        <w:t>не.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Статья 9</w:t>
      </w:r>
    </w:p>
    <w:p w:rsidR="00000000" w:rsidRDefault="00000000">
      <w:pPr>
        <w:pStyle w:val="SingleTxt"/>
        <w:keepNext/>
        <w:spacing w:after="0" w:line="120" w:lineRule="exact"/>
        <w:rPr>
          <w:sz w:val="10"/>
          <w:lang w:val="en-US"/>
        </w:rPr>
      </w:pPr>
    </w:p>
    <w:p w:rsidR="00000000" w:rsidRDefault="00000000">
      <w:pPr>
        <w:pStyle w:val="SingleTxt"/>
        <w:keepNext/>
        <w:spacing w:after="0" w:line="120" w:lineRule="exact"/>
        <w:rPr>
          <w:sz w:val="10"/>
          <w:lang w:val="en-US"/>
        </w:rPr>
      </w:pPr>
    </w:p>
    <w:p w:rsidR="00000000" w:rsidRDefault="00000000">
      <w:pPr>
        <w:pStyle w:val="SingleTxt"/>
        <w:keepNext/>
      </w:pPr>
      <w:r>
        <w:rPr>
          <w:b/>
        </w:rPr>
        <w:t>1.</w:t>
      </w:r>
      <w:r>
        <w:rPr>
          <w:b/>
          <w:lang w:val="en-US"/>
        </w:rPr>
        <w:tab/>
      </w:r>
      <w:r>
        <w:rPr>
          <w:b/>
        </w:rPr>
        <w:t>Государства-участники предоставляют женщинам равные с мужч</w:t>
      </w:r>
      <w:r>
        <w:rPr>
          <w:b/>
        </w:rPr>
        <w:t>и</w:t>
      </w:r>
      <w:r>
        <w:rPr>
          <w:b/>
        </w:rPr>
        <w:t xml:space="preserve">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 </w:t>
      </w:r>
    </w:p>
    <w:p w:rsidR="00000000" w:rsidRDefault="00000000">
      <w:pPr>
        <w:pStyle w:val="SingleTxt"/>
      </w:pPr>
      <w:r>
        <w:rPr>
          <w:lang w:val="en-US"/>
        </w:rPr>
        <w:tab/>
      </w:r>
      <w:r>
        <w:t>Условия и процедура приобретения, восстановления и утраты гражданс</w:t>
      </w:r>
      <w:r>
        <w:t>т</w:t>
      </w:r>
      <w:r>
        <w:t>ва Эстонии регулируются Законом о гражданстве. Приобретение или восст</w:t>
      </w:r>
      <w:r>
        <w:t>а</w:t>
      </w:r>
      <w:r>
        <w:t>новление гражданства не зависит от пола; женщины и мужчины имеют в этом отношении равные возможности. Изменение гражданства одним супругом не ведет к автоматическому изменению гражданс</w:t>
      </w:r>
      <w:r>
        <w:t>т</w:t>
      </w:r>
      <w:r>
        <w:t>ва другого супруга.</w:t>
      </w:r>
    </w:p>
    <w:p w:rsidR="00000000" w:rsidRDefault="00000000">
      <w:pPr>
        <w:pStyle w:val="SingleTxt"/>
      </w:pPr>
      <w:r>
        <w:rPr>
          <w:lang w:val="en-US"/>
        </w:rPr>
        <w:tab/>
      </w:r>
      <w:r>
        <w:t>20 марта 2004 года вступили в силу поправки к Закону о гражданстве, цель которых заключается в ускорении процедуры подачи ходатайств о прио</w:t>
      </w:r>
      <w:r>
        <w:t>б</w:t>
      </w:r>
      <w:r>
        <w:t>ретении гражданства и сокращении числа лиц без гражданства. Срок рассмо</w:t>
      </w:r>
      <w:r>
        <w:t>т</w:t>
      </w:r>
      <w:r>
        <w:t>рения ходатайств о получении эстонского гражданства в Совете по вопросам гражда</w:t>
      </w:r>
      <w:r>
        <w:t>н</w:t>
      </w:r>
      <w:r>
        <w:t>ства и миграции сократился с шести до трех месяцев.</w:t>
      </w:r>
    </w:p>
    <w:p w:rsidR="00000000" w:rsidRDefault="00000000">
      <w:pPr>
        <w:pStyle w:val="SingleTxt"/>
      </w:pPr>
      <w:r>
        <w:rPr>
          <w:lang w:val="en-US"/>
        </w:rPr>
        <w:tab/>
      </w:r>
      <w:r>
        <w:t>Эстонское гражданство по натурализации приобрели 149 251 человек, в том числе 65 418 мужчин и 83 833 женщины.</w:t>
      </w:r>
    </w:p>
    <w:p w:rsidR="00000000" w:rsidRDefault="00000000">
      <w:pPr>
        <w:pStyle w:val="SingleTxt"/>
        <w:spacing w:after="0" w:line="120" w:lineRule="exact"/>
        <w:rPr>
          <w:b/>
          <w:sz w:val="10"/>
          <w:lang w:val="en-US"/>
        </w:rPr>
      </w:pPr>
    </w:p>
    <w:p w:rsidR="00000000" w:rsidRDefault="00000000">
      <w:pPr>
        <w:pStyle w:val="SingleTxt"/>
      </w:pPr>
      <w:r>
        <w:rPr>
          <w:b/>
        </w:rPr>
        <w:t>2.</w:t>
      </w:r>
      <w:r>
        <w:rPr>
          <w:b/>
          <w:lang w:val="en-US"/>
        </w:rPr>
        <w:tab/>
      </w:r>
      <w:r>
        <w:rPr>
          <w:b/>
        </w:rPr>
        <w:t>Государства-участники предоставляют женщинам равные с мужч</w:t>
      </w:r>
      <w:r>
        <w:rPr>
          <w:b/>
        </w:rPr>
        <w:t>и</w:t>
      </w:r>
      <w:r>
        <w:rPr>
          <w:b/>
        </w:rPr>
        <w:t>нами права в отношении гражданства их детей.</w:t>
      </w:r>
    </w:p>
    <w:p w:rsidR="00000000" w:rsidRDefault="00000000">
      <w:pPr>
        <w:pStyle w:val="SingleTxt"/>
      </w:pPr>
      <w:r>
        <w:rPr>
          <w:lang w:val="en-US"/>
        </w:rPr>
        <w:tab/>
      </w:r>
      <w:r>
        <w:t>Дети, которые родились после 1992 года и родители которых не имеют гражданства какого-либо государства, приобретают гражданство по упроще</w:t>
      </w:r>
      <w:r>
        <w:t>н</w:t>
      </w:r>
      <w:r>
        <w:t>ной процедуре по ходатайству родителей.</w:t>
      </w:r>
    </w:p>
    <w:p w:rsidR="00000000" w:rsidRDefault="00000000">
      <w:pPr>
        <w:pStyle w:val="SingleTxt"/>
      </w:pPr>
      <w:r>
        <w:rPr>
          <w:lang w:val="en-US"/>
        </w:rPr>
        <w:tab/>
      </w:r>
      <w:r>
        <w:t>В 2004 году срок рассмотрения ходатайств о получении гражданства был сокращен, и по состоянию на май 2004 года срок рассмотрения ходатайств о предоставлении гражданства детям составляет три месяца, а не шесть, как это б</w:t>
      </w:r>
      <w:r>
        <w:t>ы</w:t>
      </w:r>
      <w:r>
        <w:t>ло раньше.</w:t>
      </w:r>
    </w:p>
    <w:p w:rsidR="00000000" w:rsidRDefault="00000000">
      <w:pPr>
        <w:pStyle w:val="SingleTxt"/>
      </w:pPr>
      <w:r>
        <w:rPr>
          <w:lang w:val="en-US"/>
        </w:rPr>
        <w:tab/>
      </w:r>
      <w:r>
        <w:t>С 2002 года каждому человеку выдается проездной документ, и личные данные ребенка более не вносятся в документ родителя. Это в основном нео</w:t>
      </w:r>
      <w:r>
        <w:t>б</w:t>
      </w:r>
      <w:r>
        <w:t>ходимо для того, чтобы защитить интересы ребенка и уменьшить возможности для подделки записей, вносимых в документы.</w:t>
      </w:r>
    </w:p>
    <w:p w:rsidR="00000000" w:rsidRDefault="00000000">
      <w:pPr>
        <w:pStyle w:val="SingleTxt"/>
      </w:pPr>
      <w:r>
        <w:rPr>
          <w:lang w:val="en-US"/>
        </w:rPr>
        <w:tab/>
      </w:r>
      <w:r>
        <w:t>Число детей, получающих гражданство по натурализации, возросло. В 1996</w:t>
      </w:r>
      <w:r>
        <w:rPr>
          <w:lang w:val="en-US"/>
        </w:rPr>
        <w:t> </w:t>
      </w:r>
      <w:r>
        <w:t>году доля детей моложе 15</w:t>
      </w:r>
      <w:r>
        <w:rPr>
          <w:lang w:val="en-US"/>
        </w:rPr>
        <w:t> </w:t>
      </w:r>
      <w:r>
        <w:t>лет составляла только 10</w:t>
      </w:r>
      <w:r>
        <w:rPr>
          <w:lang w:val="en-US"/>
        </w:rPr>
        <w:t> </w:t>
      </w:r>
      <w:r>
        <w:t>процентов. В 2004</w:t>
      </w:r>
      <w:r>
        <w:rPr>
          <w:lang w:val="en-US"/>
        </w:rPr>
        <w:t> </w:t>
      </w:r>
      <w:r>
        <w:t>года такая доля составляла уже 50</w:t>
      </w:r>
      <w:r>
        <w:rPr>
          <w:lang w:val="en-US"/>
        </w:rPr>
        <w:t> </w:t>
      </w:r>
      <w:r>
        <w:t>процентов. В течение первых 9 мес</w:t>
      </w:r>
      <w:r>
        <w:t>я</w:t>
      </w:r>
      <w:r>
        <w:t>цев 2004</w:t>
      </w:r>
      <w:r>
        <w:rPr>
          <w:lang w:val="en-US"/>
        </w:rPr>
        <w:t> </w:t>
      </w:r>
      <w:r>
        <w:t>года было получено в общей сложности 2283</w:t>
      </w:r>
      <w:r>
        <w:rPr>
          <w:lang w:val="en-US"/>
        </w:rPr>
        <w:t> </w:t>
      </w:r>
      <w:r>
        <w:t>ходатайства о получ</w:t>
      </w:r>
      <w:r>
        <w:t>е</w:t>
      </w:r>
      <w:r>
        <w:t>нии гражданства от лиц моложе 15</w:t>
      </w:r>
      <w:r>
        <w:rPr>
          <w:lang w:val="en-US"/>
        </w:rPr>
        <w:t> </w:t>
      </w:r>
      <w:r>
        <w:t>лет, что на 60</w:t>
      </w:r>
      <w:r>
        <w:rPr>
          <w:lang w:val="en-US"/>
        </w:rPr>
        <w:t> </w:t>
      </w:r>
      <w:r>
        <w:t>процентов больше, чем в 2003</w:t>
      </w:r>
      <w:r>
        <w:rPr>
          <w:lang w:val="en-US"/>
        </w:rPr>
        <w:t> </w:t>
      </w:r>
      <w:r>
        <w:t>г</w:t>
      </w:r>
      <w:r>
        <w:t>о</w:t>
      </w:r>
      <w:r>
        <w:t>ду.</w:t>
      </w:r>
    </w:p>
    <w:p w:rsidR="00000000" w:rsidRDefault="00000000">
      <w:pPr>
        <w:pStyle w:val="SingleTxt"/>
      </w:pPr>
      <w:r>
        <w:rPr>
          <w:lang w:val="en-US"/>
        </w:rPr>
        <w:tab/>
      </w:r>
      <w:r>
        <w:t>4907 детей, родившихся у родителей без гражданства после 1992</w:t>
      </w:r>
      <w:r>
        <w:rPr>
          <w:lang w:val="en-US"/>
        </w:rPr>
        <w:t> </w:t>
      </w:r>
      <w:r>
        <w:t>года, п</w:t>
      </w:r>
      <w:r>
        <w:t>о</w:t>
      </w:r>
      <w:r>
        <w:t>лучили гражданство по натурализации, что составляет 18,5 процента от общего числа детей.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Статья 10</w:t>
      </w:r>
    </w:p>
    <w:p w:rsidR="00000000" w:rsidRDefault="00000000">
      <w:pPr>
        <w:pStyle w:val="SingleTxt"/>
        <w:keepNext/>
        <w:spacing w:after="0" w:line="120" w:lineRule="exact"/>
        <w:rPr>
          <w:b/>
          <w:sz w:val="10"/>
        </w:rPr>
      </w:pPr>
    </w:p>
    <w:p w:rsidR="00000000" w:rsidRDefault="00000000">
      <w:pPr>
        <w:pStyle w:val="SingleTxt"/>
        <w:keepNext/>
        <w:spacing w:after="0" w:line="120" w:lineRule="exact"/>
        <w:rPr>
          <w:b/>
          <w:sz w:val="10"/>
        </w:rPr>
      </w:pPr>
    </w:p>
    <w:p w:rsidR="00000000" w:rsidRDefault="00000000">
      <w:pPr>
        <w:pStyle w:val="SingleTxt"/>
        <w:rPr>
          <w:b/>
        </w:rPr>
      </w:pPr>
      <w:r>
        <w:rPr>
          <w:b/>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w:t>
      </w:r>
      <w:r>
        <w:rPr>
          <w:b/>
        </w:rPr>
        <w:t>а</w:t>
      </w:r>
      <w:r>
        <w:rPr>
          <w:b/>
        </w:rPr>
        <w:t>стности, обеспечить на основе равенства мужчин и женщин:</w:t>
      </w:r>
    </w:p>
    <w:p w:rsidR="00000000" w:rsidRDefault="00000000">
      <w:pPr>
        <w:pStyle w:val="SingleTxt"/>
      </w:pPr>
      <w:r>
        <w:rPr>
          <w:b/>
        </w:rPr>
        <w:tab/>
        <w:t>а)</w:t>
      </w:r>
      <w:r>
        <w:rPr>
          <w:b/>
        </w:rPr>
        <w:tab/>
        <w:t>одинаковые условия для ориентации в выборе профессии или специальности, для доступа к образованию и получению дипломов в уче</w:t>
      </w:r>
      <w:r>
        <w:rPr>
          <w:b/>
        </w:rPr>
        <w:t>б</w:t>
      </w:r>
      <w:r>
        <w:rPr>
          <w:b/>
        </w:rPr>
        <w:t>ных заведениях всех категорий как в сельских, так и в городских районах; это равенство обеспечивается в дошкольном, общем, специальном и вы</w:t>
      </w:r>
      <w:r>
        <w:rPr>
          <w:b/>
        </w:rPr>
        <w:t>с</w:t>
      </w:r>
      <w:r>
        <w:rPr>
          <w:b/>
        </w:rPr>
        <w:t>шем техническом образовании, а также во всех видах профессиональной по</w:t>
      </w:r>
      <w:r>
        <w:rPr>
          <w:b/>
        </w:rPr>
        <w:t>д</w:t>
      </w:r>
      <w:r>
        <w:rPr>
          <w:b/>
        </w:rPr>
        <w:t>готовки;</w:t>
      </w:r>
    </w:p>
    <w:p w:rsidR="00000000" w:rsidRDefault="00000000">
      <w:pPr>
        <w:pStyle w:val="SingleTxt"/>
      </w:pPr>
      <w:r>
        <w:rPr>
          <w:lang w:val="en-US"/>
        </w:rPr>
        <w:tab/>
      </w:r>
      <w:r>
        <w:t>В соответствии с Законом о равноправии мужчин и женщин учебные з</w:t>
      </w:r>
      <w:r>
        <w:t>а</w:t>
      </w:r>
      <w:r>
        <w:t>ведения и научно-исследовательские институты и учреждения в сфере образ</w:t>
      </w:r>
      <w:r>
        <w:t>о</w:t>
      </w:r>
      <w:r>
        <w:t>вания и профессиональной подготовки обязаны обеспечивать равное отнош</w:t>
      </w:r>
      <w:r>
        <w:t>е</w:t>
      </w:r>
      <w:r>
        <w:t>ние к мужчинам и женщинам в профессиональном обучении, получении обр</w:t>
      </w:r>
      <w:r>
        <w:t>а</w:t>
      </w:r>
      <w:r>
        <w:t>зования, профессионально-техническом росте и переподготовке. Программы обучения, учебные пособия и проводимые исследования должны содействовать ликвидации неравноправия мужчин и женщин и обеспечивать р</w:t>
      </w:r>
      <w:r>
        <w:t>а</w:t>
      </w:r>
      <w:r>
        <w:t>венство.</w:t>
      </w:r>
    </w:p>
    <w:p w:rsidR="00000000" w:rsidRDefault="00000000">
      <w:pPr>
        <w:pStyle w:val="SingleTxt"/>
      </w:pPr>
      <w:r>
        <w:rPr>
          <w:lang w:val="en-US"/>
        </w:rPr>
        <w:tab/>
      </w:r>
      <w:r>
        <w:t>Запрещается предлагать возможности для получения образования и по</w:t>
      </w:r>
      <w:r>
        <w:t>д</w:t>
      </w:r>
      <w:r>
        <w:t>готовки лицам только одного пола. Такие предложения для получения образ</w:t>
      </w:r>
      <w:r>
        <w:t>о</w:t>
      </w:r>
      <w:r>
        <w:t>вания и подготовки не считаются дискриминацией в тех случаях, когда в силу характера той или иной конкретной трудовой деятельности или в силу обсто</w:t>
      </w:r>
      <w:r>
        <w:t>я</w:t>
      </w:r>
      <w:r>
        <w:t>тельств, в которых она осуществляется, это является действительно опред</w:t>
      </w:r>
      <w:r>
        <w:t>е</w:t>
      </w:r>
      <w:r>
        <w:t xml:space="preserve">ляющим профессиональным требованием. Это не считается дискриминацией и тогда, когда цель такого разного отношения является законной, а требование разумным, или когда обучение можно рассматривать как особые меры, которые содействуют гендерному равноправию и предоставляют преимущества лицам менее представленного пола или сокращают гендерное неравенство. </w:t>
      </w:r>
    </w:p>
    <w:p w:rsidR="00000000" w:rsidRDefault="00000000">
      <w:pPr>
        <w:pStyle w:val="SingleTxt"/>
      </w:pPr>
      <w:r>
        <w:rPr>
          <w:lang w:val="en-US"/>
        </w:rPr>
        <w:tab/>
      </w:r>
      <w:r>
        <w:t>В 2003/2004 академическом году действовало 627</w:t>
      </w:r>
      <w:r>
        <w:rPr>
          <w:lang w:val="en-US"/>
        </w:rPr>
        <w:t> </w:t>
      </w:r>
      <w:r>
        <w:t>очных общеобразов</w:t>
      </w:r>
      <w:r>
        <w:t>а</w:t>
      </w:r>
      <w:r>
        <w:t>тельных учебных заведений, 38</w:t>
      </w:r>
      <w:r>
        <w:rPr>
          <w:lang w:val="en-US"/>
        </w:rPr>
        <w:t> </w:t>
      </w:r>
      <w:r>
        <w:t>учебных заведений вечернего или заочного обучения и 71</w:t>
      </w:r>
      <w:r>
        <w:rPr>
          <w:lang w:val="en-US"/>
        </w:rPr>
        <w:t> </w:t>
      </w:r>
      <w:r>
        <w:t>учебное заведение в сфере профессионально-технического, высшего профессионально-технического или специального среднего образов</w:t>
      </w:r>
      <w:r>
        <w:t>а</w:t>
      </w:r>
      <w:r>
        <w:t>ния.</w:t>
      </w:r>
    </w:p>
    <w:p w:rsidR="00000000" w:rsidRDefault="00000000">
      <w:pPr>
        <w:pStyle w:val="SingleTxt"/>
        <w:rPr>
          <w:lang w:val="en-US"/>
        </w:rPr>
      </w:pPr>
      <w:r>
        <w:rPr>
          <w:lang w:val="en-US"/>
        </w:rPr>
        <w:tab/>
      </w:r>
      <w:r>
        <w:t>Общее число учащихся сократилось с 305 795 в 2000/2001 академическом году до 292 926 в 2003/2004 академическом году. Численность женского ко</w:t>
      </w:r>
      <w:r>
        <w:t>н</w:t>
      </w:r>
      <w:r>
        <w:t>тингента в учебных заведениях в течение многих лет оставалась на одном уровне (см. также таблицу</w:t>
      </w:r>
      <w:r>
        <w:rPr>
          <w:lang w:val="en-US"/>
        </w:rPr>
        <w:t> </w:t>
      </w:r>
      <w:r>
        <w:t>10.1). Самая высокая доля женщин наблюдается среди выпускников с полным средним образованием, а также среди диплом</w:t>
      </w:r>
      <w:r>
        <w:t>и</w:t>
      </w:r>
      <w:r>
        <w:t>рованных специалистов, бакалавров и магистров. Доля женщин среди соиск</w:t>
      </w:r>
      <w:r>
        <w:t>а</w:t>
      </w:r>
      <w:r>
        <w:t>телей степени доктора начала сокращаться, но все еще остается на уровне в</w:t>
      </w:r>
      <w:r>
        <w:t>ы</w:t>
      </w:r>
      <w:r>
        <w:t>ше 50 проце</w:t>
      </w:r>
      <w:r>
        <w:t>н</w:t>
      </w:r>
      <w:r>
        <w:t>тов.</w:t>
      </w:r>
    </w:p>
    <w:p w:rsidR="00000000" w:rsidRDefault="00000000">
      <w:pPr>
        <w:pStyle w:val="SingleTxt"/>
        <w:spacing w:after="0" w:line="120" w:lineRule="exact"/>
        <w:rPr>
          <w:sz w:val="10"/>
          <w:lang w:val="en-US"/>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Таблица 10.1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Доля лиц женского пола среди учащихся всех уровней</w:t>
      </w: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248"/>
        <w:gridCol w:w="1024"/>
        <w:gridCol w:w="1024"/>
        <w:gridCol w:w="1024"/>
      </w:tblGrid>
      <w:tr w:rsidR="00000000">
        <w:tblPrEx>
          <w:tblCellMar>
            <w:top w:w="0" w:type="dxa"/>
            <w:left w:w="0" w:type="dxa"/>
            <w:bottom w:w="0" w:type="dxa"/>
            <w:right w:w="0" w:type="dxa"/>
          </w:tblCellMar>
        </w:tblPrEx>
        <w:trPr>
          <w:tblHeader/>
        </w:trPr>
        <w:tc>
          <w:tcPr>
            <w:tcW w:w="4248"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rPr>
            </w:pPr>
            <w:r>
              <w:rPr>
                <w:i/>
                <w:sz w:val="14"/>
              </w:rPr>
              <w:t>Уровень образования</w:t>
            </w:r>
          </w:p>
        </w:tc>
        <w:tc>
          <w:tcPr>
            <w:tcW w:w="1024"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2001/01 год</w:t>
            </w:r>
          </w:p>
        </w:tc>
        <w:tc>
          <w:tcPr>
            <w:tcW w:w="1024"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2002/03 год</w:t>
            </w:r>
          </w:p>
        </w:tc>
        <w:tc>
          <w:tcPr>
            <w:tcW w:w="1024"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2003/04 год</w:t>
            </w:r>
          </w:p>
        </w:tc>
      </w:tr>
      <w:tr w:rsidR="00000000">
        <w:tblPrEx>
          <w:tblCellMar>
            <w:top w:w="0" w:type="dxa"/>
            <w:left w:w="0" w:type="dxa"/>
            <w:bottom w:w="0" w:type="dxa"/>
            <w:right w:w="0" w:type="dxa"/>
          </w:tblCellMar>
        </w:tblPrEx>
        <w:trPr>
          <w:trHeight w:hRule="exact" w:val="115"/>
          <w:tblHeader/>
        </w:trPr>
        <w:tc>
          <w:tcPr>
            <w:tcW w:w="4248"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024"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24"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24"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248"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rPr>
                <w:color w:val="000000"/>
                <w:sz w:val="17"/>
              </w:rPr>
            </w:pPr>
            <w:r>
              <w:rPr>
                <w:color w:val="000000"/>
                <w:sz w:val="17"/>
              </w:rPr>
              <w:t>1.</w:t>
            </w:r>
            <w:r>
              <w:rPr>
                <w:color w:val="000000"/>
                <w:sz w:val="17"/>
                <w:lang w:val="en-US"/>
              </w:rPr>
              <w:tab/>
            </w:r>
            <w:r>
              <w:rPr>
                <w:color w:val="000000"/>
                <w:sz w:val="17"/>
              </w:rPr>
              <w:t>Общее образование</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49,8</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50,0</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50,0</w:t>
            </w:r>
          </w:p>
        </w:tc>
      </w:tr>
      <w:tr w:rsidR="00000000">
        <w:tblPrEx>
          <w:tblCellMar>
            <w:top w:w="0" w:type="dxa"/>
            <w:left w:w="0" w:type="dxa"/>
            <w:bottom w:w="0" w:type="dxa"/>
            <w:right w:w="0" w:type="dxa"/>
          </w:tblCellMar>
        </w:tblPrEx>
        <w:tc>
          <w:tcPr>
            <w:tcW w:w="4248"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left="288" w:right="43" w:hanging="288"/>
              <w:rPr>
                <w:color w:val="000000"/>
                <w:sz w:val="17"/>
              </w:rPr>
            </w:pPr>
            <w:r>
              <w:rPr>
                <w:color w:val="000000"/>
                <w:sz w:val="17"/>
              </w:rPr>
              <w:t>2.</w:t>
            </w:r>
            <w:r>
              <w:rPr>
                <w:color w:val="000000"/>
                <w:sz w:val="17"/>
                <w:lang w:val="en-US"/>
              </w:rPr>
              <w:tab/>
            </w:r>
            <w:r>
              <w:rPr>
                <w:color w:val="000000"/>
                <w:sz w:val="17"/>
              </w:rPr>
              <w:t xml:space="preserve">Профессионально-техническое и среднее </w:t>
            </w:r>
            <w:r>
              <w:rPr>
                <w:color w:val="000000"/>
                <w:sz w:val="17"/>
                <w:lang w:val="en-US"/>
              </w:rPr>
              <w:br/>
            </w:r>
            <w:r>
              <w:rPr>
                <w:color w:val="000000"/>
                <w:sz w:val="17"/>
              </w:rPr>
              <w:t>профессионально-техническое образ</w:t>
            </w:r>
            <w:r>
              <w:rPr>
                <w:color w:val="000000"/>
                <w:sz w:val="17"/>
              </w:rPr>
              <w:t>о</w:t>
            </w:r>
            <w:r>
              <w:rPr>
                <w:color w:val="000000"/>
                <w:sz w:val="17"/>
              </w:rPr>
              <w:t>вание</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46,1</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45,6</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44,5</w:t>
            </w:r>
          </w:p>
        </w:tc>
      </w:tr>
      <w:tr w:rsidR="00000000">
        <w:tblPrEx>
          <w:tblCellMar>
            <w:top w:w="0" w:type="dxa"/>
            <w:left w:w="0" w:type="dxa"/>
            <w:bottom w:w="0" w:type="dxa"/>
            <w:right w:w="0" w:type="dxa"/>
          </w:tblCellMar>
        </w:tblPrEx>
        <w:tc>
          <w:tcPr>
            <w:tcW w:w="4248"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rPr>
                <w:color w:val="000000"/>
                <w:sz w:val="17"/>
              </w:rPr>
            </w:pPr>
            <w:r>
              <w:rPr>
                <w:color w:val="000000"/>
                <w:sz w:val="17"/>
              </w:rPr>
              <w:t>3.</w:t>
            </w:r>
            <w:r>
              <w:rPr>
                <w:color w:val="000000"/>
                <w:sz w:val="17"/>
                <w:lang w:val="en-US"/>
              </w:rPr>
              <w:tab/>
            </w:r>
            <w:r>
              <w:rPr>
                <w:color w:val="000000"/>
                <w:sz w:val="17"/>
              </w:rPr>
              <w:t>Высшее образов</w:t>
            </w:r>
            <w:r>
              <w:rPr>
                <w:color w:val="000000"/>
                <w:sz w:val="17"/>
              </w:rPr>
              <w:t>а</w:t>
            </w:r>
            <w:r>
              <w:rPr>
                <w:color w:val="000000"/>
                <w:sz w:val="17"/>
              </w:rPr>
              <w:t>ние</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60,4</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61,5</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61,8</w:t>
            </w:r>
          </w:p>
        </w:tc>
      </w:tr>
      <w:tr w:rsidR="00000000">
        <w:tblPrEx>
          <w:tblCellMar>
            <w:top w:w="0" w:type="dxa"/>
            <w:left w:w="0" w:type="dxa"/>
            <w:bottom w:w="0" w:type="dxa"/>
            <w:right w:w="0" w:type="dxa"/>
          </w:tblCellMar>
        </w:tblPrEx>
        <w:tc>
          <w:tcPr>
            <w:tcW w:w="4248"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rPr>
                <w:color w:val="000000"/>
                <w:sz w:val="17"/>
              </w:rPr>
            </w:pPr>
            <w:r>
              <w:rPr>
                <w:color w:val="000000"/>
                <w:sz w:val="17"/>
              </w:rPr>
              <w:t>4.</w:t>
            </w:r>
            <w:r>
              <w:rPr>
                <w:color w:val="000000"/>
                <w:sz w:val="17"/>
                <w:lang w:val="en-US"/>
              </w:rPr>
              <w:tab/>
            </w:r>
            <w:r>
              <w:rPr>
                <w:color w:val="000000"/>
                <w:sz w:val="17"/>
              </w:rPr>
              <w:t>Получение диплома специалиста</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59,5</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60,1</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58,7</w:t>
            </w:r>
          </w:p>
        </w:tc>
      </w:tr>
      <w:tr w:rsidR="00000000">
        <w:tblPrEx>
          <w:tblCellMar>
            <w:top w:w="0" w:type="dxa"/>
            <w:left w:w="0" w:type="dxa"/>
            <w:bottom w:w="0" w:type="dxa"/>
            <w:right w:w="0" w:type="dxa"/>
          </w:tblCellMar>
        </w:tblPrEx>
        <w:tc>
          <w:tcPr>
            <w:tcW w:w="4248"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rPr>
                <w:color w:val="000000"/>
                <w:sz w:val="17"/>
              </w:rPr>
            </w:pPr>
            <w:r>
              <w:rPr>
                <w:color w:val="000000"/>
                <w:sz w:val="17"/>
              </w:rPr>
              <w:t>5.</w:t>
            </w:r>
            <w:r>
              <w:rPr>
                <w:color w:val="000000"/>
                <w:sz w:val="17"/>
                <w:lang w:val="en-US"/>
              </w:rPr>
              <w:tab/>
            </w:r>
            <w:r>
              <w:rPr>
                <w:color w:val="000000"/>
                <w:sz w:val="17"/>
              </w:rPr>
              <w:t>Получение степени бакалавра</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56,7</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59,2</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60,7</w:t>
            </w:r>
          </w:p>
        </w:tc>
      </w:tr>
      <w:tr w:rsidR="00000000">
        <w:tblPrEx>
          <w:tblCellMar>
            <w:top w:w="0" w:type="dxa"/>
            <w:left w:w="0" w:type="dxa"/>
            <w:bottom w:w="0" w:type="dxa"/>
            <w:right w:w="0" w:type="dxa"/>
          </w:tblCellMar>
        </w:tblPrEx>
        <w:tc>
          <w:tcPr>
            <w:tcW w:w="4248"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rPr>
                <w:color w:val="000000"/>
                <w:sz w:val="17"/>
              </w:rPr>
            </w:pPr>
            <w:r>
              <w:rPr>
                <w:color w:val="000000"/>
                <w:sz w:val="17"/>
              </w:rPr>
              <w:t>6.</w:t>
            </w:r>
            <w:r>
              <w:rPr>
                <w:color w:val="000000"/>
                <w:sz w:val="17"/>
                <w:lang w:val="en-US"/>
              </w:rPr>
              <w:tab/>
            </w:r>
            <w:r>
              <w:rPr>
                <w:color w:val="000000"/>
                <w:sz w:val="17"/>
              </w:rPr>
              <w:t>Получение степени магистра</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60,4</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63,3</w:t>
            </w:r>
          </w:p>
        </w:tc>
        <w:tc>
          <w:tcPr>
            <w:tcW w:w="102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64,7</w:t>
            </w:r>
          </w:p>
        </w:tc>
      </w:tr>
      <w:tr w:rsidR="00000000">
        <w:tblPrEx>
          <w:tblCellMar>
            <w:top w:w="0" w:type="dxa"/>
            <w:left w:w="0" w:type="dxa"/>
            <w:bottom w:w="0" w:type="dxa"/>
            <w:right w:w="0" w:type="dxa"/>
          </w:tblCellMar>
        </w:tblPrEx>
        <w:tc>
          <w:tcPr>
            <w:tcW w:w="4248"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rPr>
                <w:color w:val="000000"/>
                <w:sz w:val="17"/>
              </w:rPr>
            </w:pPr>
            <w:r>
              <w:rPr>
                <w:color w:val="000000"/>
                <w:sz w:val="17"/>
              </w:rPr>
              <w:t>7.</w:t>
            </w:r>
            <w:r>
              <w:rPr>
                <w:color w:val="000000"/>
                <w:sz w:val="17"/>
                <w:lang w:val="en-US"/>
              </w:rPr>
              <w:tab/>
            </w:r>
            <w:r>
              <w:rPr>
                <w:color w:val="000000"/>
                <w:sz w:val="17"/>
              </w:rPr>
              <w:t>Получение степени доктора</w:t>
            </w:r>
          </w:p>
        </w:tc>
        <w:tc>
          <w:tcPr>
            <w:tcW w:w="1024"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56,1</w:t>
            </w:r>
          </w:p>
        </w:tc>
        <w:tc>
          <w:tcPr>
            <w:tcW w:w="1024"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55,0</w:t>
            </w:r>
          </w:p>
        </w:tc>
        <w:tc>
          <w:tcPr>
            <w:tcW w:w="1024"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53,5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Источник</w:t>
      </w:r>
      <w:r>
        <w:t>: Образование в 2003/2004 году. Таллинн, 2004 год.</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lang w:val="en-US"/>
        </w:rPr>
        <w:tab/>
      </w:r>
      <w:r>
        <w:t>Все больше и больше учащихся начинают получать полное среднее обр</w:t>
      </w:r>
      <w:r>
        <w:t>а</w:t>
      </w:r>
      <w:r>
        <w:t>зование по завершении 9 лет обучения в неполной средней школе (базовое о</w:t>
      </w:r>
      <w:r>
        <w:t>б</w:t>
      </w:r>
      <w:r>
        <w:t>разование). В 2002/2003 академическом году 70,8 процента учащихся, око</w:t>
      </w:r>
      <w:r>
        <w:t>н</w:t>
      </w:r>
      <w:r>
        <w:t>чивших девятилетнюю школу, начали обучение в полной средней школе, и 81,3</w:t>
      </w:r>
      <w:r>
        <w:rPr>
          <w:lang w:val="en-US"/>
        </w:rPr>
        <w:t> </w:t>
      </w:r>
      <w:r>
        <w:t>проце</w:t>
      </w:r>
      <w:r>
        <w:t>н</w:t>
      </w:r>
      <w:r>
        <w:t>та из них были лицами женского пола. Среднее профессионально-техническое обучение в 2003/2004 году проходили 5798 лиц женского пола и 11 322 лица мужского пола.</w:t>
      </w:r>
    </w:p>
    <w:p w:rsidR="00000000" w:rsidRDefault="00000000">
      <w:pPr>
        <w:pStyle w:val="SingleTxt"/>
      </w:pPr>
      <w:r>
        <w:rPr>
          <w:lang w:val="en-US"/>
        </w:rPr>
        <w:tab/>
      </w:r>
      <w:r>
        <w:t>Хотя в профессионально-техническом обучении все еще существуют ра</w:t>
      </w:r>
      <w:r>
        <w:t>з</w:t>
      </w:r>
      <w:r>
        <w:t>личия между девочками и мальчиками в том, что касается выбора профессии, девушки есть также и среди тех, кто обучается так называемым «мужским профессиям», исключая профессии, закрытые для женщин по Закону о гигиене и безопасности труда (подземная горная добыча, некоторые морские профе</w:t>
      </w:r>
      <w:r>
        <w:t>с</w:t>
      </w:r>
      <w:r>
        <w:t>сии, и т.д.). Критериями для приема учащихся являются обязательное заверш</w:t>
      </w:r>
      <w:r>
        <w:t>е</w:t>
      </w:r>
      <w:r>
        <w:t>ние базового обучения и успешное прохождение проверки на профессионал</w:t>
      </w:r>
      <w:r>
        <w:t>ь</w:t>
      </w:r>
      <w:r>
        <w:t>ную пригодность.</w:t>
      </w:r>
    </w:p>
    <w:p w:rsidR="00000000" w:rsidRDefault="00000000">
      <w:pPr>
        <w:pStyle w:val="SingleTxt"/>
      </w:pPr>
      <w:r>
        <w:rPr>
          <w:lang w:val="en-US"/>
        </w:rPr>
        <w:tab/>
      </w:r>
      <w:r>
        <w:t>Для традиционных различий в выборе образования характерна более в</w:t>
      </w:r>
      <w:r>
        <w:t>ы</w:t>
      </w:r>
      <w:r>
        <w:t>сокая доля женщин в таких областях, как педагогика, искусства и гуманита</w:t>
      </w:r>
      <w:r>
        <w:t>р</w:t>
      </w:r>
      <w:r>
        <w:t>ные науки. Доля студенток на начальных уровнях высшего образования выше на отделениях экономических наук, права, экологических наук и журналист</w:t>
      </w:r>
      <w:r>
        <w:t>и</w:t>
      </w:r>
      <w:r>
        <w:t>ки.</w:t>
      </w:r>
    </w:p>
    <w:p w:rsidR="00000000" w:rsidRDefault="00000000">
      <w:pPr>
        <w:pStyle w:val="SingleTxt"/>
      </w:pPr>
      <w:r>
        <w:rPr>
          <w:lang w:val="en-US"/>
        </w:rPr>
        <w:tab/>
      </w:r>
      <w:r>
        <w:t>На уровне подготовки к получению степени доктора так называемыми женскими областями являются педагогика (82 процента), медицина (77 пр</w:t>
      </w:r>
      <w:r>
        <w:t>о</w:t>
      </w:r>
      <w:r>
        <w:t>центов), журналистика (70 процентов), социальная работа (64 процента) и э</w:t>
      </w:r>
      <w:r>
        <w:t>с</w:t>
      </w:r>
      <w:r>
        <w:t>тонская филология (64 процента). Среди соискателей степени доктора в бол</w:t>
      </w:r>
      <w:r>
        <w:t>ь</w:t>
      </w:r>
      <w:r>
        <w:t>шинстве специальностей наблюдается б</w:t>
      </w:r>
      <w:r>
        <w:rPr>
          <w:i/>
        </w:rPr>
        <w:t>о</w:t>
      </w:r>
      <w:r>
        <w:t>льшая сбалансированность в генде</w:t>
      </w:r>
      <w:r>
        <w:t>р</w:t>
      </w:r>
      <w:r>
        <w:t>ном отн</w:t>
      </w:r>
      <w:r>
        <w:t>о</w:t>
      </w:r>
      <w:r>
        <w:t>шении.</w:t>
      </w:r>
    </w:p>
    <w:p w:rsidR="00000000" w:rsidRDefault="00000000">
      <w:pPr>
        <w:pStyle w:val="SingleTxt"/>
      </w:pPr>
      <w:r>
        <w:rPr>
          <w:lang w:val="en-US"/>
        </w:rPr>
        <w:tab/>
      </w:r>
      <w:r>
        <w:t>Количество женщин в профессорско-преподавательском составе в 2001</w:t>
      </w:r>
      <w:r>
        <w:rPr>
          <w:lang w:val="en-US"/>
        </w:rPr>
        <w:t>–</w:t>
      </w:r>
      <w:r>
        <w:rPr>
          <w:lang w:val="en-US"/>
        </w:rPr>
        <w:br/>
      </w:r>
      <w:r>
        <w:t>2004</w:t>
      </w:r>
      <w:r>
        <w:rPr>
          <w:lang w:val="en-US"/>
        </w:rPr>
        <w:t> </w:t>
      </w:r>
      <w:r>
        <w:t>годах было стабильным, что иллюстрируется в таблице 10.2.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Таблица 10.2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 xml:space="preserve">Количество женщин в профессорско-преподавательском составе </w:t>
      </w:r>
      <w:r>
        <w:rPr>
          <w:lang w:val="en-US"/>
        </w:rPr>
        <w:br/>
      </w:r>
      <w:r>
        <w:t>с 2001/02 по 2003/04 академический год</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74"/>
        <w:gridCol w:w="720"/>
        <w:gridCol w:w="864"/>
        <w:gridCol w:w="54"/>
        <w:gridCol w:w="666"/>
        <w:gridCol w:w="864"/>
        <w:gridCol w:w="45"/>
        <w:gridCol w:w="675"/>
        <w:gridCol w:w="860"/>
      </w:tblGrid>
      <w:tr w:rsidR="00000000">
        <w:tblPrEx>
          <w:tblCellMar>
            <w:top w:w="0" w:type="dxa"/>
            <w:left w:w="0" w:type="dxa"/>
            <w:bottom w:w="0" w:type="dxa"/>
            <w:right w:w="0" w:type="dxa"/>
          </w:tblCellMar>
        </w:tblPrEx>
        <w:trPr>
          <w:cantSplit/>
          <w:tblHeader/>
        </w:trPr>
        <w:tc>
          <w:tcPr>
            <w:tcW w:w="2574"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58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2001/02 год</w:t>
            </w:r>
          </w:p>
        </w:tc>
        <w:tc>
          <w:tcPr>
            <w:tcW w:w="54"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5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2002/03 год</w:t>
            </w:r>
          </w:p>
        </w:tc>
        <w:tc>
          <w:tcPr>
            <w:tcW w:w="45"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53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2003/04 год</w:t>
            </w:r>
          </w:p>
        </w:tc>
      </w:tr>
      <w:tr w:rsidR="00000000">
        <w:tblPrEx>
          <w:tblCellMar>
            <w:top w:w="0" w:type="dxa"/>
            <w:left w:w="0" w:type="dxa"/>
            <w:bottom w:w="0" w:type="dxa"/>
            <w:right w:w="0" w:type="dxa"/>
          </w:tblCellMar>
        </w:tblPrEx>
        <w:trPr>
          <w:tblHeader/>
        </w:trPr>
        <w:tc>
          <w:tcPr>
            <w:tcW w:w="2574" w:type="dxa"/>
            <w:vAlign w:val="bottom"/>
          </w:tcPr>
          <w:p w:rsidR="00000000" w:rsidRDefault="00000000">
            <w:pPr>
              <w:tabs>
                <w:tab w:val="left" w:pos="288"/>
                <w:tab w:val="left" w:pos="576"/>
                <w:tab w:val="left" w:pos="864"/>
                <w:tab w:val="left" w:pos="1152"/>
              </w:tabs>
              <w:spacing w:before="40" w:after="81" w:line="160" w:lineRule="exact"/>
              <w:ind w:right="43"/>
              <w:rPr>
                <w:i/>
                <w:sz w:val="14"/>
              </w:rPr>
            </w:pPr>
            <w:r>
              <w:rPr>
                <w:i/>
                <w:sz w:val="14"/>
              </w:rPr>
              <w:t>Официальная должность</w:t>
            </w:r>
          </w:p>
        </w:tc>
        <w:tc>
          <w:tcPr>
            <w:tcW w:w="72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Всего</w:t>
            </w:r>
          </w:p>
        </w:tc>
        <w:tc>
          <w:tcPr>
            <w:tcW w:w="86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Женщины</w:t>
            </w:r>
          </w:p>
        </w:tc>
        <w:tc>
          <w:tcPr>
            <w:tcW w:w="720"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Всего</w:t>
            </w:r>
          </w:p>
        </w:tc>
        <w:tc>
          <w:tcPr>
            <w:tcW w:w="86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Женщины</w:t>
            </w:r>
          </w:p>
        </w:tc>
        <w:tc>
          <w:tcPr>
            <w:tcW w:w="720"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Всего</w:t>
            </w:r>
          </w:p>
        </w:tc>
        <w:tc>
          <w:tcPr>
            <w:tcW w:w="86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Женщины</w:t>
            </w:r>
          </w:p>
        </w:tc>
      </w:tr>
      <w:tr w:rsidR="00000000">
        <w:tblPrEx>
          <w:tblCellMar>
            <w:top w:w="0" w:type="dxa"/>
            <w:left w:w="0" w:type="dxa"/>
            <w:bottom w:w="0" w:type="dxa"/>
            <w:right w:w="0" w:type="dxa"/>
          </w:tblCellMar>
        </w:tblPrEx>
        <w:trPr>
          <w:trHeight w:hRule="exact" w:val="115"/>
          <w:tblHeader/>
        </w:trPr>
        <w:tc>
          <w:tcPr>
            <w:tcW w:w="257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7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both"/>
              <w:rPr>
                <w:color w:val="000000"/>
                <w:sz w:val="17"/>
              </w:rPr>
            </w:pPr>
            <w:r>
              <w:rPr>
                <w:color w:val="000000"/>
                <w:sz w:val="17"/>
              </w:rPr>
              <w:t>Профессор</w:t>
            </w:r>
          </w:p>
        </w:tc>
        <w:tc>
          <w:tcPr>
            <w:tcW w:w="720"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480</w:t>
            </w:r>
          </w:p>
        </w:tc>
        <w:tc>
          <w:tcPr>
            <w:tcW w:w="86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78</w:t>
            </w:r>
          </w:p>
        </w:tc>
        <w:tc>
          <w:tcPr>
            <w:tcW w:w="720" w:type="dxa"/>
            <w:gridSpan w:val="2"/>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486</w:t>
            </w:r>
          </w:p>
        </w:tc>
        <w:tc>
          <w:tcPr>
            <w:tcW w:w="86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76</w:t>
            </w:r>
          </w:p>
        </w:tc>
        <w:tc>
          <w:tcPr>
            <w:tcW w:w="720" w:type="dxa"/>
            <w:gridSpan w:val="2"/>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467</w:t>
            </w:r>
          </w:p>
        </w:tc>
        <w:tc>
          <w:tcPr>
            <w:tcW w:w="860"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76</w:t>
            </w:r>
          </w:p>
        </w:tc>
      </w:tr>
      <w:tr w:rsidR="00000000">
        <w:tblPrEx>
          <w:tblCellMar>
            <w:top w:w="0" w:type="dxa"/>
            <w:left w:w="0" w:type="dxa"/>
            <w:bottom w:w="0" w:type="dxa"/>
            <w:right w:w="0" w:type="dxa"/>
          </w:tblCellMar>
        </w:tblPrEx>
        <w:tc>
          <w:tcPr>
            <w:tcW w:w="257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both"/>
              <w:rPr>
                <w:color w:val="000000"/>
                <w:sz w:val="17"/>
              </w:rPr>
            </w:pPr>
            <w:r>
              <w:rPr>
                <w:color w:val="000000"/>
                <w:sz w:val="17"/>
              </w:rPr>
              <w:t>Чрезвычайный пр</w:t>
            </w:r>
            <w:r>
              <w:rPr>
                <w:color w:val="000000"/>
                <w:sz w:val="17"/>
              </w:rPr>
              <w:t>о</w:t>
            </w:r>
            <w:r>
              <w:rPr>
                <w:color w:val="000000"/>
                <w:sz w:val="17"/>
              </w:rPr>
              <w:t>фессор</w:t>
            </w:r>
          </w:p>
        </w:tc>
        <w:tc>
          <w:tcPr>
            <w:tcW w:w="720"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75</w:t>
            </w:r>
          </w:p>
        </w:tc>
        <w:tc>
          <w:tcPr>
            <w:tcW w:w="86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19</w:t>
            </w:r>
          </w:p>
        </w:tc>
        <w:tc>
          <w:tcPr>
            <w:tcW w:w="720" w:type="dxa"/>
            <w:gridSpan w:val="2"/>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99</w:t>
            </w:r>
          </w:p>
        </w:tc>
        <w:tc>
          <w:tcPr>
            <w:tcW w:w="86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25</w:t>
            </w:r>
          </w:p>
        </w:tc>
        <w:tc>
          <w:tcPr>
            <w:tcW w:w="720" w:type="dxa"/>
            <w:gridSpan w:val="2"/>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62</w:t>
            </w:r>
          </w:p>
        </w:tc>
        <w:tc>
          <w:tcPr>
            <w:tcW w:w="860"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10</w:t>
            </w:r>
          </w:p>
        </w:tc>
      </w:tr>
      <w:tr w:rsidR="00000000">
        <w:tblPrEx>
          <w:tblCellMar>
            <w:top w:w="0" w:type="dxa"/>
            <w:left w:w="0" w:type="dxa"/>
            <w:bottom w:w="0" w:type="dxa"/>
            <w:right w:w="0" w:type="dxa"/>
          </w:tblCellMar>
        </w:tblPrEx>
        <w:tc>
          <w:tcPr>
            <w:tcW w:w="257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both"/>
              <w:rPr>
                <w:color w:val="000000"/>
                <w:sz w:val="17"/>
              </w:rPr>
            </w:pPr>
            <w:r>
              <w:rPr>
                <w:color w:val="000000"/>
                <w:sz w:val="17"/>
              </w:rPr>
              <w:t>Доцент</w:t>
            </w:r>
          </w:p>
        </w:tc>
        <w:tc>
          <w:tcPr>
            <w:tcW w:w="720"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726</w:t>
            </w:r>
          </w:p>
        </w:tc>
        <w:tc>
          <w:tcPr>
            <w:tcW w:w="86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250</w:t>
            </w:r>
          </w:p>
        </w:tc>
        <w:tc>
          <w:tcPr>
            <w:tcW w:w="720" w:type="dxa"/>
            <w:gridSpan w:val="2"/>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756</w:t>
            </w:r>
          </w:p>
        </w:tc>
        <w:tc>
          <w:tcPr>
            <w:tcW w:w="86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245</w:t>
            </w:r>
          </w:p>
        </w:tc>
        <w:tc>
          <w:tcPr>
            <w:tcW w:w="720" w:type="dxa"/>
            <w:gridSpan w:val="2"/>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680</w:t>
            </w:r>
          </w:p>
        </w:tc>
        <w:tc>
          <w:tcPr>
            <w:tcW w:w="860"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242</w:t>
            </w:r>
          </w:p>
        </w:tc>
      </w:tr>
      <w:tr w:rsidR="00000000">
        <w:tblPrEx>
          <w:tblCellMar>
            <w:top w:w="0" w:type="dxa"/>
            <w:left w:w="0" w:type="dxa"/>
            <w:bottom w:w="0" w:type="dxa"/>
            <w:right w:w="0" w:type="dxa"/>
          </w:tblCellMar>
        </w:tblPrEx>
        <w:tc>
          <w:tcPr>
            <w:tcW w:w="257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both"/>
              <w:rPr>
                <w:color w:val="000000"/>
                <w:sz w:val="17"/>
              </w:rPr>
            </w:pPr>
            <w:r>
              <w:rPr>
                <w:color w:val="000000"/>
                <w:sz w:val="17"/>
              </w:rPr>
              <w:t>Лектор</w:t>
            </w:r>
          </w:p>
        </w:tc>
        <w:tc>
          <w:tcPr>
            <w:tcW w:w="720"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1</w:t>
            </w:r>
            <w:r>
              <w:rPr>
                <w:color w:val="000000"/>
                <w:sz w:val="17"/>
                <w:lang w:val="en-US"/>
              </w:rPr>
              <w:t xml:space="preserve"> </w:t>
            </w:r>
            <w:r>
              <w:rPr>
                <w:color w:val="000000"/>
                <w:sz w:val="17"/>
              </w:rPr>
              <w:t>000</w:t>
            </w:r>
          </w:p>
        </w:tc>
        <w:tc>
          <w:tcPr>
            <w:tcW w:w="86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520</w:t>
            </w:r>
          </w:p>
        </w:tc>
        <w:tc>
          <w:tcPr>
            <w:tcW w:w="720" w:type="dxa"/>
            <w:gridSpan w:val="2"/>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1</w:t>
            </w:r>
            <w:r>
              <w:rPr>
                <w:color w:val="000000"/>
                <w:sz w:val="17"/>
                <w:lang w:val="en-US"/>
              </w:rPr>
              <w:t xml:space="preserve"> </w:t>
            </w:r>
            <w:r>
              <w:rPr>
                <w:color w:val="000000"/>
                <w:sz w:val="17"/>
              </w:rPr>
              <w:t>022</w:t>
            </w:r>
          </w:p>
        </w:tc>
        <w:tc>
          <w:tcPr>
            <w:tcW w:w="86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556</w:t>
            </w:r>
          </w:p>
        </w:tc>
        <w:tc>
          <w:tcPr>
            <w:tcW w:w="720" w:type="dxa"/>
            <w:gridSpan w:val="2"/>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1</w:t>
            </w:r>
            <w:r>
              <w:rPr>
                <w:color w:val="000000"/>
                <w:sz w:val="17"/>
                <w:lang w:val="en-US"/>
              </w:rPr>
              <w:t xml:space="preserve"> </w:t>
            </w:r>
            <w:r>
              <w:rPr>
                <w:color w:val="000000"/>
                <w:sz w:val="17"/>
              </w:rPr>
              <w:t>046</w:t>
            </w:r>
          </w:p>
        </w:tc>
        <w:tc>
          <w:tcPr>
            <w:tcW w:w="860"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579</w:t>
            </w:r>
          </w:p>
        </w:tc>
      </w:tr>
      <w:tr w:rsidR="00000000">
        <w:tblPrEx>
          <w:tblCellMar>
            <w:top w:w="0" w:type="dxa"/>
            <w:left w:w="0" w:type="dxa"/>
            <w:bottom w:w="0" w:type="dxa"/>
            <w:right w:w="0" w:type="dxa"/>
          </w:tblCellMar>
        </w:tblPrEx>
        <w:tc>
          <w:tcPr>
            <w:tcW w:w="257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both"/>
              <w:rPr>
                <w:color w:val="000000"/>
                <w:sz w:val="17"/>
              </w:rPr>
            </w:pPr>
            <w:r>
              <w:rPr>
                <w:color w:val="000000"/>
                <w:sz w:val="17"/>
              </w:rPr>
              <w:t>Старший преподав</w:t>
            </w:r>
            <w:r>
              <w:rPr>
                <w:color w:val="000000"/>
                <w:sz w:val="17"/>
              </w:rPr>
              <w:t>а</w:t>
            </w:r>
            <w:r>
              <w:rPr>
                <w:color w:val="000000"/>
                <w:sz w:val="17"/>
              </w:rPr>
              <w:t>тель</w:t>
            </w:r>
          </w:p>
        </w:tc>
        <w:tc>
          <w:tcPr>
            <w:tcW w:w="720"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31</w:t>
            </w:r>
          </w:p>
        </w:tc>
        <w:tc>
          <w:tcPr>
            <w:tcW w:w="86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24</w:t>
            </w:r>
          </w:p>
        </w:tc>
        <w:tc>
          <w:tcPr>
            <w:tcW w:w="720" w:type="dxa"/>
            <w:gridSpan w:val="2"/>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141</w:t>
            </w:r>
          </w:p>
        </w:tc>
        <w:tc>
          <w:tcPr>
            <w:tcW w:w="864"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129</w:t>
            </w:r>
          </w:p>
        </w:tc>
        <w:tc>
          <w:tcPr>
            <w:tcW w:w="720" w:type="dxa"/>
            <w:gridSpan w:val="2"/>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134</w:t>
            </w:r>
          </w:p>
        </w:tc>
        <w:tc>
          <w:tcPr>
            <w:tcW w:w="860"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119</w:t>
            </w:r>
          </w:p>
        </w:tc>
      </w:tr>
      <w:tr w:rsidR="00000000">
        <w:tblPrEx>
          <w:tblCellMar>
            <w:top w:w="0" w:type="dxa"/>
            <w:left w:w="0" w:type="dxa"/>
            <w:bottom w:w="0" w:type="dxa"/>
            <w:right w:w="0" w:type="dxa"/>
          </w:tblCellMar>
        </w:tblPrEx>
        <w:tc>
          <w:tcPr>
            <w:tcW w:w="2574"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both"/>
              <w:rPr>
                <w:color w:val="000000"/>
                <w:sz w:val="17"/>
              </w:rPr>
            </w:pPr>
            <w:r>
              <w:rPr>
                <w:color w:val="000000"/>
                <w:sz w:val="17"/>
              </w:rPr>
              <w:t>Преподав</w:t>
            </w:r>
            <w:r>
              <w:rPr>
                <w:color w:val="000000"/>
                <w:sz w:val="17"/>
              </w:rPr>
              <w:t>а</w:t>
            </w:r>
            <w:r>
              <w:rPr>
                <w:color w:val="000000"/>
                <w:sz w:val="17"/>
              </w:rPr>
              <w:t>тель</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242</w:t>
            </w:r>
          </w:p>
        </w:tc>
        <w:tc>
          <w:tcPr>
            <w:tcW w:w="864"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179</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514</w:t>
            </w:r>
          </w:p>
        </w:tc>
        <w:tc>
          <w:tcPr>
            <w:tcW w:w="864"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373</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434</w:t>
            </w:r>
          </w:p>
        </w:tc>
        <w:tc>
          <w:tcPr>
            <w:tcW w:w="860"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3"/>
              <w:jc w:val="right"/>
              <w:rPr>
                <w:color w:val="000000"/>
                <w:sz w:val="17"/>
              </w:rPr>
            </w:pPr>
            <w:r>
              <w:rPr>
                <w:color w:val="000000"/>
                <w:sz w:val="17"/>
              </w:rPr>
              <w:t>337</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Источник</w:t>
      </w:r>
      <w:r>
        <w:t>: Образование в 2003/2004 году. Таллинн, 2004 год; Образование в 2001/2002 году. Таллинн, 2002 год; Образование в 2002/2003. Таллинн, 2003 год.</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ab/>
        <w:t>b)</w:t>
      </w:r>
      <w:r>
        <w:rPr>
          <w:b/>
        </w:rPr>
        <w:tab/>
        <w:t>доступ к одинаковым программам обучения, одинаковым экз</w:t>
      </w:r>
      <w:r>
        <w:rPr>
          <w:b/>
        </w:rPr>
        <w:t>а</w:t>
      </w:r>
      <w:r>
        <w:rPr>
          <w:b/>
        </w:rPr>
        <w:t>менам, преподавательскому составу одинаковой квалификации, школ</w:t>
      </w:r>
      <w:r>
        <w:rPr>
          <w:b/>
        </w:rPr>
        <w:t>ь</w:t>
      </w:r>
      <w:r>
        <w:rPr>
          <w:b/>
        </w:rPr>
        <w:t>ным помещен</w:t>
      </w:r>
      <w:r>
        <w:rPr>
          <w:b/>
        </w:rPr>
        <w:t>и</w:t>
      </w:r>
      <w:r>
        <w:rPr>
          <w:b/>
        </w:rPr>
        <w:t>ям и оборудованию равного качества;</w:t>
      </w:r>
    </w:p>
    <w:p w:rsidR="00000000" w:rsidRDefault="00000000">
      <w:pPr>
        <w:pStyle w:val="SingleTxt"/>
      </w:pPr>
      <w:r>
        <w:tab/>
        <w:t>В соответствии с национальной программой обучения в базовой и полной общеобразовательной средней школе (принципы составления учебных пр</w:t>
      </w:r>
      <w:r>
        <w:t>о</w:t>
      </w:r>
      <w:r>
        <w:t>грамм, цели обучения и воспитания, прививаемые навыки, организация обуч</w:t>
      </w:r>
      <w:r>
        <w:t>е</w:t>
      </w:r>
      <w:r>
        <w:t>ния) и процедурой приема студентов в профессионально-технические учебные заведения различия по признаку пола не выделяются и в расчет не принимаю</w:t>
      </w:r>
      <w:r>
        <w:t>т</w:t>
      </w:r>
      <w:r>
        <w:t>ся.</w:t>
      </w:r>
    </w:p>
    <w:p w:rsidR="00000000" w:rsidRDefault="00000000">
      <w:pPr>
        <w:pStyle w:val="SingleTxt"/>
      </w:pPr>
      <w:r>
        <w:tab/>
        <w:t>Например, канцлер юстиции по поступившей жалобе провел расследов</w:t>
      </w:r>
      <w:r>
        <w:t>а</w:t>
      </w:r>
      <w:r>
        <w:t>ние соблюдения принципа равенства полов в Таллиннской технической гимн</w:t>
      </w:r>
      <w:r>
        <w:t>а</w:t>
      </w:r>
      <w:r>
        <w:t>зии (ТТГ). Являясь школой технического и экономического профиля, ТТГ сл</w:t>
      </w:r>
      <w:r>
        <w:t>у</w:t>
      </w:r>
      <w:r>
        <w:t>жит своего рода подготовительным училищем для Таллиннского технического университета (ТТУ). По результатам тестов и собеседований студенты ТТГ д</w:t>
      </w:r>
      <w:r>
        <w:t>е</w:t>
      </w:r>
      <w:r>
        <w:t>лятся на три класса: один класс для девочек и два класса для мальчиков. Кан</w:t>
      </w:r>
      <w:r>
        <w:t>ц</w:t>
      </w:r>
      <w:r>
        <w:t>лер юстиции в ходе своего расследования рассмотрел вопрос о том, соответс</w:t>
      </w:r>
      <w:r>
        <w:t>т</w:t>
      </w:r>
      <w:r>
        <w:t>вует ли такая практика в гимназии запрещению дискриминации, закрепленн</w:t>
      </w:r>
      <w:r>
        <w:t>о</w:t>
      </w:r>
      <w:r>
        <w:t>му в Конституции и в Законе о равноправии мужчин и женщин. Канцлер юст</w:t>
      </w:r>
      <w:r>
        <w:t>и</w:t>
      </w:r>
      <w:r>
        <w:t>ции рекомендовал ТТГ рассмотреть возможность отказаться от практики, кот</w:t>
      </w:r>
      <w:r>
        <w:t>о</w:t>
      </w:r>
      <w:r>
        <w:t>рая допускает нарушение принципа равенства полов при формировании уче</w:t>
      </w:r>
      <w:r>
        <w:t>б</w:t>
      </w:r>
      <w:r>
        <w:t>ных классов в гимназии. Кроме того, канцлер юстиции подчеркнул, что с точки зрения обеспечения равного отношения и равенства неправильно предоста</w:t>
      </w:r>
      <w:r>
        <w:t>в</w:t>
      </w:r>
      <w:r>
        <w:t>лять в этом учебном заведении возможность специализироваться в электроте</w:t>
      </w:r>
      <w:r>
        <w:t>х</w:t>
      </w:r>
      <w:r>
        <w:t>нике и национальной обороне только юношам. Канцлер юстиции подчеркнул, что возможность изучать эти предметы должны иметь оба пола.</w:t>
      </w:r>
    </w:p>
    <w:p w:rsidR="00000000" w:rsidRDefault="00000000">
      <w:pPr>
        <w:pStyle w:val="SingleTxt"/>
        <w:spacing w:after="0" w:line="120" w:lineRule="exact"/>
        <w:rPr>
          <w:sz w:val="10"/>
        </w:rPr>
      </w:pPr>
    </w:p>
    <w:p w:rsidR="00000000" w:rsidRDefault="00000000">
      <w:pPr>
        <w:pStyle w:val="SingleTxt"/>
        <w:keepNext/>
        <w:rPr>
          <w:b/>
        </w:rPr>
      </w:pPr>
      <w:r>
        <w:rPr>
          <w:b/>
        </w:rPr>
        <w:tab/>
        <w:t>с)</w:t>
      </w:r>
      <w:r>
        <w:rPr>
          <w:b/>
        </w:rPr>
        <w:tab/>
        <w:t>устранение любой стереотипной концепции роли мужчин и же</w:t>
      </w:r>
      <w:r>
        <w:rPr>
          <w:b/>
        </w:rPr>
        <w:t>н</w:t>
      </w:r>
      <w:r>
        <w:rPr>
          <w:b/>
        </w:rPr>
        <w:t>щин на всех уровнях и во всех формах обучения путем поощрения совм</w:t>
      </w:r>
      <w:r>
        <w:rPr>
          <w:b/>
        </w:rPr>
        <w:t>е</w:t>
      </w:r>
      <w:r>
        <w:rPr>
          <w:b/>
        </w:rPr>
        <w:t>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w:t>
      </w:r>
      <w:r>
        <w:rPr>
          <w:b/>
        </w:rPr>
        <w:t>а</w:t>
      </w:r>
      <w:r>
        <w:rPr>
          <w:b/>
        </w:rPr>
        <w:t>ции методов обучения;</w:t>
      </w:r>
    </w:p>
    <w:p w:rsidR="00000000" w:rsidRDefault="00000000">
      <w:pPr>
        <w:pStyle w:val="SingleTxt"/>
      </w:pPr>
      <w:r>
        <w:tab/>
        <w:t>В 2002 году исследователи Тартуского университет проанализировали, как отражаются роли мужчин и женщин в школьных учебниках. В результате анализа содержания учебников по истории, обществоведению, домоводству и книг для чтения стало ясно, что учебники по различным предметам и разного уровня формируют стереотипные представления о ролях мужчин и женщин в обществе и содействуют их сохранению, не отражают в равной мере опыт мужчин и женщин и не прививают современных воззрений относительно прав человека и распределения ролей между мужчинами и женщинами. Это иссл</w:t>
      </w:r>
      <w:r>
        <w:t>е</w:t>
      </w:r>
      <w:r>
        <w:t>дование было опубликовано и доступно в электронном виде (http://www.enut.ee/lisa/soorollid/pdf).</w:t>
      </w:r>
    </w:p>
    <w:p w:rsidR="00000000" w:rsidRDefault="00000000">
      <w:pPr>
        <w:pStyle w:val="SingleTxt"/>
      </w:pPr>
      <w:r>
        <w:tab/>
        <w:t>Учебный веб-сайт «Миксике» (www.miksike.ee) предоставляет молодым людям возможность пройти в режиме «он-лайн» учебный курс по правам чел</w:t>
      </w:r>
      <w:r>
        <w:t>о</w:t>
      </w:r>
      <w:r>
        <w:t>века, отдельная глава которого посвящена правам женщин и вопросам генде</w:t>
      </w:r>
      <w:r>
        <w:t>р</w:t>
      </w:r>
      <w:r>
        <w:t>ной сегрегации в обществе.</w:t>
      </w:r>
    </w:p>
    <w:p w:rsidR="00000000" w:rsidRDefault="00000000">
      <w:pPr>
        <w:pStyle w:val="SingleTxt"/>
        <w:spacing w:after="0" w:line="120" w:lineRule="exact"/>
        <w:rPr>
          <w:sz w:val="10"/>
        </w:rPr>
      </w:pPr>
    </w:p>
    <w:p w:rsidR="00000000" w:rsidRDefault="00000000">
      <w:pPr>
        <w:pStyle w:val="SingleTxt"/>
        <w:rPr>
          <w:b/>
        </w:rPr>
      </w:pPr>
      <w:r>
        <w:rPr>
          <w:b/>
        </w:rPr>
        <w:tab/>
      </w:r>
      <w:r>
        <w:rPr>
          <w:b/>
          <w:lang w:val="en-US"/>
        </w:rPr>
        <w:t>d</w:t>
      </w:r>
      <w:r>
        <w:rPr>
          <w:b/>
        </w:rPr>
        <w:t>)</w:t>
      </w:r>
      <w:r>
        <w:rPr>
          <w:b/>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w:t>
      </w:r>
      <w:r>
        <w:rPr>
          <w:b/>
        </w:rPr>
        <w:t>н</w:t>
      </w:r>
      <w:r>
        <w:rPr>
          <w:b/>
        </w:rPr>
        <w:t>щин;</w:t>
      </w:r>
    </w:p>
    <w:p w:rsidR="00000000" w:rsidRDefault="00000000">
      <w:pPr>
        <w:pStyle w:val="SingleTxt"/>
      </w:pPr>
      <w:r>
        <w:tab/>
        <w:t>В 2002–2004 годах был реализован проект «Look@World» («Гляди на мир»), при осуществлении которого 102 697 человек (10 процентов населения Эстонии) приобрели компьютерную грамотность. Женщины составили 71 пр</w:t>
      </w:r>
      <w:r>
        <w:t>о</w:t>
      </w:r>
      <w:r>
        <w:t>цент участников этой программы.</w:t>
      </w:r>
    </w:p>
    <w:p w:rsidR="00000000" w:rsidRDefault="00000000">
      <w:pPr>
        <w:pStyle w:val="SingleTxt"/>
      </w:pPr>
      <w:r>
        <w:tab/>
        <w:t>В 2001 году, чтобы получить информацию об учебных потребностях и возможностях взрослого населения, был проведен опрос, которым было охв</w:t>
      </w:r>
      <w:r>
        <w:t>а</w:t>
      </w:r>
      <w:r>
        <w:t xml:space="preserve">чено 1008 человек. </w:t>
      </w:r>
    </w:p>
    <w:p w:rsidR="00000000" w:rsidRDefault="00000000">
      <w:pPr>
        <w:pStyle w:val="SingleTxt"/>
      </w:pPr>
      <w:r>
        <w:tab/>
        <w:t>Результаты опроса показали, что главной причиной начать обучение для женщин было стремление к саморазвитию (64 процента), тогда как главной причиной для мужчин было повышение профессиональной квалификации (45 процентов). Если мужчины довольно часто жертвуют для учебы своим о</w:t>
      </w:r>
      <w:r>
        <w:t>т</w:t>
      </w:r>
      <w:r>
        <w:t>пуском (20 процентов), то женщины в основном сочетают учебу с работой (89 процентов) и сами выбирают курсы для обучения (50 процентов женщин и 34 проце</w:t>
      </w:r>
      <w:r>
        <w:t>н</w:t>
      </w:r>
      <w:r>
        <w:t>та мужчин).</w:t>
      </w:r>
    </w:p>
    <w:p w:rsidR="00000000" w:rsidRDefault="00000000">
      <w:pPr>
        <w:pStyle w:val="SingleTxt"/>
      </w:pPr>
      <w:r>
        <w:tab/>
        <w:t>И мужчины, и женщины положительно относятся к системе образования для взрослых — 40 процентов мужчин и женщин планировали продолжить обучение в следующем году. 34 процента мужчин хотели бы получить допо</w:t>
      </w:r>
      <w:r>
        <w:t>л</w:t>
      </w:r>
      <w:r>
        <w:t>нительное образование в таких областях, как промышленность, энергетика и строительство, тогда как только 4 процента женщин имели такие же предпо</w:t>
      </w:r>
      <w:r>
        <w:t>ч</w:t>
      </w:r>
      <w:r>
        <w:t>тения. Тремя главными областями обучения для женщин были услуги (19 пр</w:t>
      </w:r>
      <w:r>
        <w:t>о</w:t>
      </w:r>
      <w:r>
        <w:t>центов), предпринимательство и бизнес (19 процентов) и бухгалтерский учет (18 проце</w:t>
      </w:r>
      <w:r>
        <w:t>н</w:t>
      </w:r>
      <w:r>
        <w:t>тов).</w:t>
      </w:r>
    </w:p>
    <w:p w:rsidR="00000000" w:rsidRDefault="00000000">
      <w:pPr>
        <w:pStyle w:val="SingleTxt"/>
      </w:pPr>
      <w:r>
        <w:tab/>
        <w:t>Вышеприведенная информация свидетельствует о том, что учебные п</w:t>
      </w:r>
      <w:r>
        <w:t>о</w:t>
      </w:r>
      <w:r>
        <w:t>требности взрослого населения отражают гендерную сегрегацию на рынке труда.</w:t>
      </w:r>
    </w:p>
    <w:p w:rsidR="00000000" w:rsidRDefault="00000000">
      <w:pPr>
        <w:pStyle w:val="SingleTxt"/>
      </w:pPr>
      <w:r>
        <w:tab/>
        <w:t>Комитет выразил обеспокоенность сохраняющимися различиями в выб</w:t>
      </w:r>
      <w:r>
        <w:t>о</w:t>
      </w:r>
      <w:r>
        <w:t>ре образования между мальчиками и девочками. Это отчасти объясняется все еще распространенными в обществе представлениями о «подходящей» работе для мужчин и женщин.</w:t>
      </w:r>
    </w:p>
    <w:p w:rsidR="00000000" w:rsidRDefault="00000000">
      <w:pPr>
        <w:pStyle w:val="SingleTxt"/>
        <w:spacing w:after="0" w:line="120" w:lineRule="exact"/>
        <w:rPr>
          <w:sz w:val="10"/>
        </w:rPr>
      </w:pPr>
    </w:p>
    <w:p w:rsidR="00000000" w:rsidRDefault="00000000">
      <w:pPr>
        <w:pStyle w:val="SingleTxt"/>
        <w:rPr>
          <w:b/>
        </w:rPr>
      </w:pPr>
      <w:r>
        <w:rPr>
          <w:b/>
        </w:rPr>
        <w:tab/>
      </w:r>
      <w:r>
        <w:rPr>
          <w:b/>
          <w:lang w:val="en-US"/>
        </w:rPr>
        <w:t>e</w:t>
      </w:r>
      <w:r>
        <w:rPr>
          <w:b/>
        </w:rPr>
        <w:t>)</w:t>
      </w:r>
      <w:r>
        <w:rPr>
          <w:b/>
        </w:rPr>
        <w:tab/>
        <w:t>сокращение числа девушек, не заканчивающих школу, и разр</w:t>
      </w:r>
      <w:r>
        <w:rPr>
          <w:b/>
        </w:rPr>
        <w:t>а</w:t>
      </w:r>
      <w:r>
        <w:rPr>
          <w:b/>
        </w:rPr>
        <w:t>ботка программ для девушек и женщин, преждевременно покинувших школу;</w:t>
      </w:r>
    </w:p>
    <w:p w:rsidR="00000000" w:rsidRDefault="00000000">
      <w:pPr>
        <w:pStyle w:val="SingleTxt"/>
      </w:pPr>
      <w:r>
        <w:tab/>
        <w:t>Отсев из общеобразовательных школ оставался на довольно стабильном уровне. Таблица 10.3 свидетельствует об увеличении числа учащихся, прекр</w:t>
      </w:r>
      <w:r>
        <w:t>а</w:t>
      </w:r>
      <w:r>
        <w:t>тивших обучение в школе в 2002/2003 учебном году, но это объясняется уто</w:t>
      </w:r>
      <w:r>
        <w:t>ч</w:t>
      </w:r>
      <w:r>
        <w:t>нением критериев, по которым определяются лица, прекращающие обучение. Отсев среди мальчиков базовых и полных средних школ выше, чем среди дев</w:t>
      </w:r>
      <w:r>
        <w:t>о</w:t>
      </w:r>
      <w:r>
        <w:t>чек (Таблица 10.3).</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Отсев в базовой средней и полной средней школе </w:t>
      </w:r>
      <w:r>
        <w:br/>
        <w:t>с 2000/2001 по 2002/2003 учебный год</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9"/>
        <w:gridCol w:w="937"/>
        <w:gridCol w:w="104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rPr>
                <w:i/>
                <w:sz w:val="14"/>
              </w:rPr>
            </w:pPr>
          </w:p>
        </w:tc>
        <w:tc>
          <w:tcPr>
            <w:tcW w:w="313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Базовая сре</w:t>
            </w:r>
            <w:r>
              <w:rPr>
                <w:i/>
                <w:sz w:val="14"/>
              </w:rPr>
              <w:t>д</w:t>
            </w:r>
            <w:r>
              <w:rPr>
                <w:i/>
                <w:sz w:val="14"/>
              </w:rPr>
              <w:t>няя школа</w:t>
            </w:r>
          </w:p>
        </w:tc>
        <w:tc>
          <w:tcPr>
            <w:tcW w:w="109"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right"/>
              <w:rPr>
                <w:i/>
                <w:sz w:val="14"/>
              </w:rPr>
            </w:pPr>
          </w:p>
        </w:tc>
        <w:tc>
          <w:tcPr>
            <w:tcW w:w="3029"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Полная сре</w:t>
            </w:r>
            <w:r>
              <w:rPr>
                <w:i/>
                <w:sz w:val="14"/>
              </w:rPr>
              <w:t>д</w:t>
            </w:r>
            <w:r>
              <w:rPr>
                <w:i/>
                <w:sz w:val="14"/>
              </w:rPr>
              <w:t>няя школа</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before="40" w:after="81" w:line="160" w:lineRule="exact"/>
              <w:ind w:right="43"/>
              <w:rPr>
                <w:i/>
                <w:sz w:val="14"/>
              </w:rPr>
            </w:pPr>
          </w:p>
        </w:tc>
        <w:tc>
          <w:tcPr>
            <w:tcW w:w="1046"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Всего</w:t>
            </w:r>
          </w:p>
        </w:tc>
        <w:tc>
          <w:tcPr>
            <w:tcW w:w="1046"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Девочки</w:t>
            </w:r>
          </w:p>
        </w:tc>
        <w:tc>
          <w:tcPr>
            <w:tcW w:w="1046"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Мальчики</w:t>
            </w:r>
          </w:p>
        </w:tc>
        <w:tc>
          <w:tcPr>
            <w:tcW w:w="1046"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Всего</w:t>
            </w:r>
          </w:p>
        </w:tc>
        <w:tc>
          <w:tcPr>
            <w:tcW w:w="1046"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Девочки</w:t>
            </w:r>
          </w:p>
        </w:tc>
        <w:tc>
          <w:tcPr>
            <w:tcW w:w="1046"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Мальчики</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2000/01 год</w:t>
            </w:r>
          </w:p>
        </w:tc>
        <w:tc>
          <w:tcPr>
            <w:tcW w:w="1046" w:type="dxa"/>
            <w:vAlign w:val="bottom"/>
          </w:tcPr>
          <w:p w:rsidR="00000000" w:rsidRDefault="00000000">
            <w:pPr>
              <w:autoSpaceDE w:val="0"/>
              <w:autoSpaceDN w:val="0"/>
              <w:adjustRightInd w:val="0"/>
              <w:spacing w:before="40" w:after="40" w:line="210" w:lineRule="exact"/>
              <w:ind w:right="43"/>
              <w:jc w:val="right"/>
              <w:rPr>
                <w:sz w:val="17"/>
              </w:rPr>
            </w:pPr>
            <w:r>
              <w:rPr>
                <w:sz w:val="17"/>
              </w:rPr>
              <w:t>1</w:t>
            </w:r>
            <w:r>
              <w:rPr>
                <w:sz w:val="17"/>
                <w:lang w:val="en-US"/>
              </w:rPr>
              <w:t xml:space="preserve"> </w:t>
            </w:r>
            <w:r>
              <w:rPr>
                <w:sz w:val="17"/>
              </w:rPr>
              <w:t>025</w:t>
            </w:r>
          </w:p>
        </w:tc>
        <w:tc>
          <w:tcPr>
            <w:tcW w:w="1046" w:type="dxa"/>
            <w:vAlign w:val="bottom"/>
          </w:tcPr>
          <w:p w:rsidR="00000000" w:rsidRDefault="00000000">
            <w:pPr>
              <w:autoSpaceDE w:val="0"/>
              <w:autoSpaceDN w:val="0"/>
              <w:adjustRightInd w:val="0"/>
              <w:spacing w:before="40" w:after="40" w:line="210" w:lineRule="exact"/>
              <w:ind w:right="43"/>
              <w:jc w:val="right"/>
              <w:rPr>
                <w:sz w:val="17"/>
              </w:rPr>
            </w:pPr>
            <w:r>
              <w:rPr>
                <w:sz w:val="17"/>
              </w:rPr>
              <w:t>263</w:t>
            </w:r>
          </w:p>
        </w:tc>
        <w:tc>
          <w:tcPr>
            <w:tcW w:w="1046" w:type="dxa"/>
            <w:vAlign w:val="bottom"/>
          </w:tcPr>
          <w:p w:rsidR="00000000" w:rsidRDefault="00000000">
            <w:pPr>
              <w:autoSpaceDE w:val="0"/>
              <w:autoSpaceDN w:val="0"/>
              <w:adjustRightInd w:val="0"/>
              <w:spacing w:before="40" w:after="40" w:line="210" w:lineRule="exact"/>
              <w:ind w:right="43"/>
              <w:jc w:val="right"/>
              <w:rPr>
                <w:sz w:val="17"/>
              </w:rPr>
            </w:pPr>
            <w:r>
              <w:rPr>
                <w:sz w:val="17"/>
              </w:rPr>
              <w:t>762</w:t>
            </w:r>
          </w:p>
        </w:tc>
        <w:tc>
          <w:tcPr>
            <w:tcW w:w="1046" w:type="dxa"/>
            <w:gridSpan w:val="2"/>
            <w:vAlign w:val="bottom"/>
          </w:tcPr>
          <w:p w:rsidR="00000000" w:rsidRDefault="00000000">
            <w:pPr>
              <w:autoSpaceDE w:val="0"/>
              <w:autoSpaceDN w:val="0"/>
              <w:adjustRightInd w:val="0"/>
              <w:spacing w:before="40" w:after="40" w:line="210" w:lineRule="exact"/>
              <w:ind w:right="43"/>
              <w:jc w:val="right"/>
              <w:rPr>
                <w:sz w:val="17"/>
              </w:rPr>
            </w:pPr>
            <w:r>
              <w:rPr>
                <w:sz w:val="17"/>
              </w:rPr>
              <w:t>610</w:t>
            </w:r>
          </w:p>
        </w:tc>
        <w:tc>
          <w:tcPr>
            <w:tcW w:w="1046" w:type="dxa"/>
            <w:vAlign w:val="bottom"/>
          </w:tcPr>
          <w:p w:rsidR="00000000" w:rsidRDefault="00000000">
            <w:pPr>
              <w:autoSpaceDE w:val="0"/>
              <w:autoSpaceDN w:val="0"/>
              <w:adjustRightInd w:val="0"/>
              <w:spacing w:before="40" w:after="40" w:line="210" w:lineRule="exact"/>
              <w:ind w:right="43"/>
              <w:jc w:val="right"/>
              <w:rPr>
                <w:sz w:val="17"/>
              </w:rPr>
            </w:pPr>
            <w:r>
              <w:rPr>
                <w:sz w:val="17"/>
              </w:rPr>
              <w:t>176</w:t>
            </w:r>
          </w:p>
        </w:tc>
        <w:tc>
          <w:tcPr>
            <w:tcW w:w="1046" w:type="dxa"/>
            <w:vAlign w:val="bottom"/>
          </w:tcPr>
          <w:p w:rsidR="00000000" w:rsidRDefault="00000000">
            <w:pPr>
              <w:autoSpaceDE w:val="0"/>
              <w:autoSpaceDN w:val="0"/>
              <w:adjustRightInd w:val="0"/>
              <w:spacing w:before="40" w:after="40" w:line="210" w:lineRule="exact"/>
              <w:ind w:right="43"/>
              <w:jc w:val="right"/>
              <w:rPr>
                <w:sz w:val="17"/>
              </w:rPr>
            </w:pPr>
            <w:r>
              <w:rPr>
                <w:sz w:val="17"/>
              </w:rPr>
              <w:t>434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2001/02 год</w:t>
            </w:r>
          </w:p>
        </w:tc>
        <w:tc>
          <w:tcPr>
            <w:tcW w:w="1046" w:type="dxa"/>
            <w:vAlign w:val="bottom"/>
          </w:tcPr>
          <w:p w:rsidR="00000000" w:rsidRDefault="00000000">
            <w:pPr>
              <w:autoSpaceDE w:val="0"/>
              <w:autoSpaceDN w:val="0"/>
              <w:adjustRightInd w:val="0"/>
              <w:spacing w:before="40" w:after="40" w:line="210" w:lineRule="exact"/>
              <w:ind w:right="43"/>
              <w:jc w:val="right"/>
              <w:rPr>
                <w:sz w:val="17"/>
              </w:rPr>
            </w:pPr>
            <w:r>
              <w:rPr>
                <w:sz w:val="17"/>
              </w:rPr>
              <w:t>907</w:t>
            </w:r>
          </w:p>
        </w:tc>
        <w:tc>
          <w:tcPr>
            <w:tcW w:w="1046" w:type="dxa"/>
            <w:vAlign w:val="bottom"/>
          </w:tcPr>
          <w:p w:rsidR="00000000" w:rsidRDefault="00000000">
            <w:pPr>
              <w:autoSpaceDE w:val="0"/>
              <w:autoSpaceDN w:val="0"/>
              <w:adjustRightInd w:val="0"/>
              <w:spacing w:before="40" w:after="40" w:line="210" w:lineRule="exact"/>
              <w:ind w:right="43"/>
              <w:jc w:val="right"/>
              <w:rPr>
                <w:sz w:val="17"/>
              </w:rPr>
            </w:pPr>
            <w:r>
              <w:rPr>
                <w:sz w:val="17"/>
              </w:rPr>
              <w:t>234</w:t>
            </w:r>
          </w:p>
        </w:tc>
        <w:tc>
          <w:tcPr>
            <w:tcW w:w="1046" w:type="dxa"/>
            <w:vAlign w:val="bottom"/>
          </w:tcPr>
          <w:p w:rsidR="00000000" w:rsidRDefault="00000000">
            <w:pPr>
              <w:autoSpaceDE w:val="0"/>
              <w:autoSpaceDN w:val="0"/>
              <w:adjustRightInd w:val="0"/>
              <w:spacing w:before="40" w:after="40" w:line="210" w:lineRule="exact"/>
              <w:ind w:right="43"/>
              <w:jc w:val="right"/>
              <w:rPr>
                <w:sz w:val="17"/>
              </w:rPr>
            </w:pPr>
            <w:r>
              <w:rPr>
                <w:sz w:val="17"/>
              </w:rPr>
              <w:t>673</w:t>
            </w:r>
          </w:p>
        </w:tc>
        <w:tc>
          <w:tcPr>
            <w:tcW w:w="1046" w:type="dxa"/>
            <w:gridSpan w:val="2"/>
            <w:vAlign w:val="bottom"/>
          </w:tcPr>
          <w:p w:rsidR="00000000" w:rsidRDefault="00000000">
            <w:pPr>
              <w:autoSpaceDE w:val="0"/>
              <w:autoSpaceDN w:val="0"/>
              <w:adjustRightInd w:val="0"/>
              <w:spacing w:before="40" w:after="40" w:line="210" w:lineRule="exact"/>
              <w:ind w:right="43"/>
              <w:jc w:val="right"/>
              <w:rPr>
                <w:sz w:val="17"/>
              </w:rPr>
            </w:pPr>
            <w:r>
              <w:rPr>
                <w:sz w:val="17"/>
              </w:rPr>
              <w:t>707</w:t>
            </w:r>
          </w:p>
        </w:tc>
        <w:tc>
          <w:tcPr>
            <w:tcW w:w="1046" w:type="dxa"/>
            <w:vAlign w:val="bottom"/>
          </w:tcPr>
          <w:p w:rsidR="00000000" w:rsidRDefault="00000000">
            <w:pPr>
              <w:autoSpaceDE w:val="0"/>
              <w:autoSpaceDN w:val="0"/>
              <w:adjustRightInd w:val="0"/>
              <w:spacing w:before="40" w:after="40" w:line="210" w:lineRule="exact"/>
              <w:ind w:right="43"/>
              <w:jc w:val="right"/>
              <w:rPr>
                <w:sz w:val="17"/>
              </w:rPr>
            </w:pPr>
            <w:r>
              <w:rPr>
                <w:sz w:val="17"/>
              </w:rPr>
              <w:t>341</w:t>
            </w:r>
          </w:p>
        </w:tc>
        <w:tc>
          <w:tcPr>
            <w:tcW w:w="1046" w:type="dxa"/>
            <w:vAlign w:val="bottom"/>
          </w:tcPr>
          <w:p w:rsidR="00000000" w:rsidRDefault="00000000">
            <w:pPr>
              <w:autoSpaceDE w:val="0"/>
              <w:autoSpaceDN w:val="0"/>
              <w:adjustRightInd w:val="0"/>
              <w:spacing w:before="40" w:after="40" w:line="210" w:lineRule="exact"/>
              <w:ind w:right="43"/>
              <w:jc w:val="right"/>
              <w:rPr>
                <w:sz w:val="17"/>
              </w:rPr>
            </w:pPr>
            <w:r>
              <w:rPr>
                <w:sz w:val="17"/>
              </w:rPr>
              <w:t>366</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2002/03 год</w:t>
            </w:r>
          </w:p>
        </w:tc>
        <w:tc>
          <w:tcPr>
            <w:tcW w:w="1046" w:type="dxa"/>
            <w:tcBorders>
              <w:bottom w:val="single" w:sz="12" w:space="0" w:color="auto"/>
            </w:tcBorders>
            <w:vAlign w:val="bottom"/>
          </w:tcPr>
          <w:p w:rsidR="00000000" w:rsidRDefault="00000000">
            <w:pPr>
              <w:autoSpaceDE w:val="0"/>
              <w:autoSpaceDN w:val="0"/>
              <w:adjustRightInd w:val="0"/>
              <w:spacing w:before="40" w:after="40" w:line="210" w:lineRule="exact"/>
              <w:ind w:right="43"/>
              <w:jc w:val="right"/>
              <w:rPr>
                <w:sz w:val="17"/>
              </w:rPr>
            </w:pPr>
            <w:r>
              <w:rPr>
                <w:sz w:val="17"/>
              </w:rPr>
              <w:t>1</w:t>
            </w:r>
            <w:r>
              <w:rPr>
                <w:sz w:val="17"/>
                <w:lang w:val="en-US"/>
              </w:rPr>
              <w:t xml:space="preserve"> </w:t>
            </w:r>
            <w:r>
              <w:rPr>
                <w:sz w:val="17"/>
              </w:rPr>
              <w:t>145</w:t>
            </w:r>
          </w:p>
        </w:tc>
        <w:tc>
          <w:tcPr>
            <w:tcW w:w="1046" w:type="dxa"/>
            <w:tcBorders>
              <w:bottom w:val="single" w:sz="12" w:space="0" w:color="auto"/>
            </w:tcBorders>
            <w:vAlign w:val="bottom"/>
          </w:tcPr>
          <w:p w:rsidR="00000000" w:rsidRDefault="00000000">
            <w:pPr>
              <w:autoSpaceDE w:val="0"/>
              <w:autoSpaceDN w:val="0"/>
              <w:adjustRightInd w:val="0"/>
              <w:spacing w:before="40" w:after="40" w:line="210" w:lineRule="exact"/>
              <w:ind w:right="43"/>
              <w:jc w:val="right"/>
              <w:rPr>
                <w:sz w:val="17"/>
              </w:rPr>
            </w:pPr>
            <w:r>
              <w:rPr>
                <w:sz w:val="17"/>
              </w:rPr>
              <w:t>293</w:t>
            </w:r>
          </w:p>
        </w:tc>
        <w:tc>
          <w:tcPr>
            <w:tcW w:w="1046" w:type="dxa"/>
            <w:tcBorders>
              <w:bottom w:val="single" w:sz="12" w:space="0" w:color="auto"/>
            </w:tcBorders>
            <w:vAlign w:val="bottom"/>
          </w:tcPr>
          <w:p w:rsidR="00000000" w:rsidRDefault="00000000">
            <w:pPr>
              <w:autoSpaceDE w:val="0"/>
              <w:autoSpaceDN w:val="0"/>
              <w:adjustRightInd w:val="0"/>
              <w:spacing w:before="40" w:after="40" w:line="210" w:lineRule="exact"/>
              <w:ind w:right="43"/>
              <w:jc w:val="right"/>
              <w:rPr>
                <w:sz w:val="17"/>
              </w:rPr>
            </w:pPr>
            <w:r>
              <w:rPr>
                <w:sz w:val="17"/>
              </w:rPr>
              <w:t>852</w:t>
            </w:r>
          </w:p>
        </w:tc>
        <w:tc>
          <w:tcPr>
            <w:tcW w:w="1046" w:type="dxa"/>
            <w:gridSpan w:val="2"/>
            <w:tcBorders>
              <w:bottom w:val="single" w:sz="12" w:space="0" w:color="auto"/>
            </w:tcBorders>
            <w:vAlign w:val="bottom"/>
          </w:tcPr>
          <w:p w:rsidR="00000000" w:rsidRDefault="00000000">
            <w:pPr>
              <w:autoSpaceDE w:val="0"/>
              <w:autoSpaceDN w:val="0"/>
              <w:adjustRightInd w:val="0"/>
              <w:spacing w:before="40" w:after="40" w:line="210" w:lineRule="exact"/>
              <w:ind w:right="43"/>
              <w:jc w:val="right"/>
              <w:rPr>
                <w:sz w:val="17"/>
              </w:rPr>
            </w:pPr>
            <w:r>
              <w:rPr>
                <w:sz w:val="17"/>
              </w:rPr>
              <w:t>1</w:t>
            </w:r>
            <w:r>
              <w:rPr>
                <w:sz w:val="17"/>
                <w:lang w:val="en-US"/>
              </w:rPr>
              <w:t xml:space="preserve"> </w:t>
            </w:r>
            <w:r>
              <w:rPr>
                <w:sz w:val="17"/>
              </w:rPr>
              <w:t>038</w:t>
            </w:r>
          </w:p>
        </w:tc>
        <w:tc>
          <w:tcPr>
            <w:tcW w:w="1046" w:type="dxa"/>
            <w:tcBorders>
              <w:bottom w:val="single" w:sz="12" w:space="0" w:color="auto"/>
            </w:tcBorders>
            <w:vAlign w:val="bottom"/>
          </w:tcPr>
          <w:p w:rsidR="00000000" w:rsidRDefault="00000000">
            <w:pPr>
              <w:autoSpaceDE w:val="0"/>
              <w:autoSpaceDN w:val="0"/>
              <w:adjustRightInd w:val="0"/>
              <w:spacing w:before="40" w:after="40" w:line="210" w:lineRule="exact"/>
              <w:ind w:right="43"/>
              <w:jc w:val="right"/>
              <w:rPr>
                <w:sz w:val="17"/>
              </w:rPr>
            </w:pPr>
            <w:r>
              <w:rPr>
                <w:sz w:val="17"/>
              </w:rPr>
              <w:t>528</w:t>
            </w:r>
          </w:p>
        </w:tc>
        <w:tc>
          <w:tcPr>
            <w:tcW w:w="1046" w:type="dxa"/>
            <w:tcBorders>
              <w:bottom w:val="single" w:sz="12" w:space="0" w:color="auto"/>
            </w:tcBorders>
            <w:vAlign w:val="bottom"/>
          </w:tcPr>
          <w:p w:rsidR="00000000" w:rsidRDefault="00000000">
            <w:pPr>
              <w:autoSpaceDE w:val="0"/>
              <w:autoSpaceDN w:val="0"/>
              <w:adjustRightInd w:val="0"/>
              <w:spacing w:before="40" w:after="40" w:line="210" w:lineRule="exact"/>
              <w:ind w:right="43"/>
              <w:jc w:val="right"/>
              <w:rPr>
                <w:sz w:val="17"/>
              </w:rPr>
            </w:pPr>
            <w:r>
              <w:rPr>
                <w:sz w:val="17"/>
              </w:rPr>
              <w:t>510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rPr>
        <w:t>Источник</w:t>
      </w:r>
      <w:r>
        <w:t>: Министерство образования и науки</w:t>
      </w:r>
      <w:r>
        <w:rPr>
          <w:lang w:val="en-US"/>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lang w:val="en-US"/>
        </w:rPr>
        <w:tab/>
      </w:r>
      <w:r>
        <w:t>Причины отсева могут быть разными: отъезд из Эстонии, достижение возраста, при котором посещение школы уже не является обязательным, и</w:t>
      </w:r>
      <w:r>
        <w:t>с</w:t>
      </w:r>
      <w:r>
        <w:t>ключение из школы, финансовые причины, смерть, семейные обстоятельства и прочие причины.</w:t>
      </w:r>
    </w:p>
    <w:p w:rsidR="00000000" w:rsidRDefault="00000000">
      <w:pPr>
        <w:pStyle w:val="SingleTxt"/>
      </w:pPr>
      <w:r>
        <w:rPr>
          <w:lang w:val="en-US"/>
        </w:rPr>
        <w:tab/>
      </w:r>
      <w:r>
        <w:t>Статистика образования не показывает, как часто прекращение обучения было вызвано беременностью. Для продолжения своего образования молодые матери имеют возмо</w:t>
      </w:r>
      <w:r>
        <w:t>ж</w:t>
      </w:r>
      <w:r>
        <w:t>ность выбора между очным и заочным обучением.</w:t>
      </w:r>
    </w:p>
    <w:p w:rsidR="00000000" w:rsidRDefault="00000000">
      <w:pPr>
        <w:pStyle w:val="SingleTxt"/>
      </w:pPr>
      <w:r>
        <w:rPr>
          <w:lang w:val="en-US"/>
        </w:rPr>
        <w:tab/>
      </w:r>
      <w:r>
        <w:t>Одной из главных причин высокого показателя отсева среди мальчиков считается отсу</w:t>
      </w:r>
      <w:r>
        <w:t>т</w:t>
      </w:r>
      <w:r>
        <w:t>ствие у них мотивации.</w:t>
      </w:r>
    </w:p>
    <w:p w:rsidR="00000000" w:rsidRDefault="00000000">
      <w:pPr>
        <w:pStyle w:val="SingleTxt"/>
      </w:pPr>
      <w:r>
        <w:rPr>
          <w:lang w:val="en-US"/>
        </w:rPr>
        <w:tab/>
      </w:r>
      <w:r>
        <w:t>Чтобы повысить компетентность учителей в гендерных вопросах, мин</w:t>
      </w:r>
      <w:r>
        <w:t>и</w:t>
      </w:r>
      <w:r>
        <w:t xml:space="preserve">стерство образования и науки финансировало перевод и издание пособия «Boys and </w:t>
      </w:r>
      <w:r>
        <w:rPr>
          <w:lang w:val="en-US"/>
        </w:rPr>
        <w:t>G</w:t>
      </w:r>
      <w:r>
        <w:t xml:space="preserve">irls </w:t>
      </w:r>
      <w:r>
        <w:rPr>
          <w:lang w:val="en-US"/>
        </w:rPr>
        <w:t>Study</w:t>
      </w:r>
      <w:r>
        <w:t xml:space="preserve"> </w:t>
      </w:r>
      <w:r>
        <w:rPr>
          <w:lang w:val="en-US"/>
        </w:rPr>
        <w:t>Differently</w:t>
      </w:r>
      <w:r>
        <w:t xml:space="preserve">» (M. </w:t>
      </w:r>
      <w:r>
        <w:rPr>
          <w:lang w:val="en-US"/>
        </w:rPr>
        <w:t>Guriani</w:t>
      </w:r>
      <w:r>
        <w:t xml:space="preserve"> </w:t>
      </w:r>
      <w:r>
        <w:rPr>
          <w:lang w:val="en-US"/>
        </w:rPr>
        <w:t>and</w:t>
      </w:r>
      <w:r>
        <w:t xml:space="preserve"> </w:t>
      </w:r>
      <w:r>
        <w:rPr>
          <w:lang w:val="en-US"/>
        </w:rPr>
        <w:t>A</w:t>
      </w:r>
      <w:r>
        <w:t>.</w:t>
      </w:r>
      <w:r>
        <w:rPr>
          <w:lang w:val="en-US"/>
        </w:rPr>
        <w:t>C</w:t>
      </w:r>
      <w:r>
        <w:t xml:space="preserve">. </w:t>
      </w:r>
      <w:r>
        <w:rPr>
          <w:lang w:val="en-US"/>
        </w:rPr>
        <w:t>Ballew</w:t>
      </w:r>
      <w:r>
        <w:t>) («Мальчики и девочки учатся по-разному», М.Гуриани и А.К. Болью). Книга опубликована на эсто</w:t>
      </w:r>
      <w:r>
        <w:t>н</w:t>
      </w:r>
      <w:r>
        <w:t>ском языке в ноябре 2004 года.</w:t>
      </w:r>
    </w:p>
    <w:p w:rsidR="00000000" w:rsidRDefault="00000000">
      <w:pPr>
        <w:pStyle w:val="SingleTxt"/>
      </w:pPr>
      <w:r>
        <w:rPr>
          <w:lang w:val="en-US"/>
        </w:rPr>
        <w:tab/>
      </w:r>
      <w:r>
        <w:t>По заказу министерства образования и науки проводились исследования для выяснения причин трудностей в усвоении учебного материала и отсева среди учащихся. В качестве примера здесь можно сослаться на исследование, начатое в 2004 году Научно-исследовательским институтом социальной пед</w:t>
      </w:r>
      <w:r>
        <w:t>а</w:t>
      </w:r>
      <w:r>
        <w:t>гогики. Оно является всеобъемлющим опросом учащихся 8-х и 9-х классов, их родителей и учителей, и полученные в ходе опроса данные будут обработаны и проанализированы главным образом  под гендерным углом зрения, с тем чтобы принять меры, позволяющие предупреждать возникновение трудностей в у</w:t>
      </w:r>
      <w:r>
        <w:t>с</w:t>
      </w:r>
      <w:r>
        <w:t>воении учебного материала и сократить отсев.</w:t>
      </w:r>
    </w:p>
    <w:p w:rsidR="00000000" w:rsidRDefault="00000000">
      <w:pPr>
        <w:pStyle w:val="SingleTxt"/>
        <w:spacing w:after="0" w:line="120" w:lineRule="exact"/>
        <w:rPr>
          <w:b/>
          <w:sz w:val="10"/>
          <w:lang w:val="en-US"/>
        </w:rPr>
      </w:pPr>
    </w:p>
    <w:p w:rsidR="00000000" w:rsidRDefault="00000000">
      <w:pPr>
        <w:pStyle w:val="SingleTxt"/>
        <w:rPr>
          <w:b/>
        </w:rPr>
      </w:pPr>
      <w:r>
        <w:rPr>
          <w:b/>
          <w:lang w:val="en-US"/>
        </w:rPr>
        <w:tab/>
        <w:t>f</w:t>
      </w:r>
      <w:r>
        <w:rPr>
          <w:b/>
        </w:rPr>
        <w:t>)</w:t>
      </w:r>
      <w:r>
        <w:rPr>
          <w:b/>
          <w:lang w:val="en-US"/>
        </w:rPr>
        <w:tab/>
      </w:r>
      <w:r>
        <w:rPr>
          <w:b/>
        </w:rPr>
        <w:t>одинаковые возможности активно участвовать в занятиях спо</w:t>
      </w:r>
      <w:r>
        <w:rPr>
          <w:b/>
        </w:rPr>
        <w:t>р</w:t>
      </w:r>
      <w:r>
        <w:rPr>
          <w:b/>
        </w:rPr>
        <w:t>том и физической подготовкой;</w:t>
      </w:r>
    </w:p>
    <w:p w:rsidR="00000000" w:rsidRDefault="00000000">
      <w:pPr>
        <w:pStyle w:val="SingleTxt"/>
      </w:pPr>
      <w:r>
        <w:rPr>
          <w:lang w:val="en-US"/>
        </w:rPr>
        <w:tab/>
      </w:r>
      <w:r>
        <w:t>Физическое воспитание и спорт входят в компетенцию министерства культуры.</w:t>
      </w:r>
    </w:p>
    <w:p w:rsidR="00000000" w:rsidRDefault="00000000">
      <w:pPr>
        <w:pStyle w:val="SingleTxt"/>
      </w:pPr>
      <w:r>
        <w:rPr>
          <w:lang w:val="en-US"/>
        </w:rPr>
        <w:tab/>
      </w:r>
      <w:r>
        <w:t>Министерство образования и науки ведает вопросами организации уроков физического воспитания в школах, подготовки спортивных специалистов и развития спортивной науки. Министерство социальных дел отвечает за созд</w:t>
      </w:r>
      <w:r>
        <w:t>а</w:t>
      </w:r>
      <w:r>
        <w:t>ние лучших возможностей инвалидам для занятия физкультурой и участия в спортивных соревнованиях и за решение их социальных проблем, имеющих отн</w:t>
      </w:r>
      <w:r>
        <w:t>о</w:t>
      </w:r>
      <w:r>
        <w:t>шение к спортивному движению.</w:t>
      </w:r>
    </w:p>
    <w:p w:rsidR="00000000" w:rsidRDefault="00000000">
      <w:pPr>
        <w:pStyle w:val="SingleTxt"/>
      </w:pPr>
      <w:r>
        <w:rPr>
          <w:lang w:val="en-US"/>
        </w:rPr>
        <w:tab/>
      </w:r>
      <w:r>
        <w:t>Законом о спорте определяются общие организационные и правовые принципы организации и развития спорта, отношения между спортивными о</w:t>
      </w:r>
      <w:r>
        <w:t>р</w:t>
      </w:r>
      <w:r>
        <w:t>ганизациями и государственными и местными органами власти, основные з</w:t>
      </w:r>
      <w:r>
        <w:t>а</w:t>
      </w:r>
      <w:r>
        <w:t>дачи развития спорта, основания для финансирования спорта и принципы уч</w:t>
      </w:r>
      <w:r>
        <w:t>а</w:t>
      </w:r>
      <w:r>
        <w:t>стия в ме</w:t>
      </w:r>
      <w:r>
        <w:t>ж</w:t>
      </w:r>
      <w:r>
        <w:t>дународном спортивном движении.</w:t>
      </w:r>
    </w:p>
    <w:p w:rsidR="00000000" w:rsidRDefault="00000000">
      <w:pPr>
        <w:pStyle w:val="SingleTxt"/>
      </w:pPr>
      <w:r>
        <w:rPr>
          <w:lang w:val="en-US"/>
        </w:rPr>
        <w:tab/>
      </w:r>
      <w:r>
        <w:t>Количество спортивных клубов из года в год увеличивается, как увелич</w:t>
      </w:r>
      <w:r>
        <w:t>и</w:t>
      </w:r>
      <w:r>
        <w:t>вается и число людей, в том числе и женщин, активно занимающихся люб</w:t>
      </w:r>
      <w:r>
        <w:t>и</w:t>
      </w:r>
      <w:r>
        <w:t>тельским спортом. Так, например, в 1998 году среди активно занимающихся любительским спортом женщины составляли 25 процентов, в 1999 году их д</w:t>
      </w:r>
      <w:r>
        <w:t>о</w:t>
      </w:r>
      <w:r>
        <w:t>ля была 24,4 процента, а 2000 году уже 28,7 процента.</w:t>
      </w:r>
    </w:p>
    <w:p w:rsidR="00000000" w:rsidRDefault="00000000">
      <w:pPr>
        <w:pStyle w:val="SingleTxt"/>
        <w:spacing w:after="0" w:line="120" w:lineRule="exact"/>
        <w:rPr>
          <w:sz w:val="10"/>
        </w:rPr>
      </w:pPr>
    </w:p>
    <w:p w:rsidR="00000000" w:rsidRDefault="00000000">
      <w:pPr>
        <w:pStyle w:val="SingleTxt"/>
      </w:pPr>
      <w:r>
        <w:rPr>
          <w:b/>
          <w:lang w:val="en-US"/>
        </w:rPr>
        <w:tab/>
        <w:t>g</w:t>
      </w:r>
      <w:r>
        <w:rPr>
          <w:b/>
        </w:rPr>
        <w:t>)</w:t>
      </w:r>
      <w:r>
        <w:rPr>
          <w:b/>
          <w:lang w:val="en-US"/>
        </w:rPr>
        <w:tab/>
      </w:r>
      <w:r>
        <w:rPr>
          <w:b/>
        </w:rPr>
        <w:t>доступ к специальной информации образовательного характера в целях содействия обеспечению здоровья и благосостояния семьи, вкл</w:t>
      </w:r>
      <w:r>
        <w:rPr>
          <w:b/>
        </w:rPr>
        <w:t>ю</w:t>
      </w:r>
      <w:r>
        <w:rPr>
          <w:b/>
        </w:rPr>
        <w:t>чая информацию и консультации о планировании размера с</w:t>
      </w:r>
      <w:r>
        <w:rPr>
          <w:b/>
        </w:rPr>
        <w:t>е</w:t>
      </w:r>
      <w:r>
        <w:rPr>
          <w:b/>
        </w:rPr>
        <w:t>мьи.</w:t>
      </w:r>
    </w:p>
    <w:p w:rsidR="00000000" w:rsidRDefault="00000000">
      <w:pPr>
        <w:pStyle w:val="SingleTxt"/>
      </w:pPr>
      <w:r>
        <w:rPr>
          <w:lang w:val="en-US"/>
        </w:rPr>
        <w:tab/>
      </w:r>
      <w:r>
        <w:t>Комитет рекомендовал ввести программы полового просвещения для р</w:t>
      </w:r>
      <w:r>
        <w:t>е</w:t>
      </w:r>
      <w:r>
        <w:t>шения проблемы подростковой беременности. На период 2002</w:t>
      </w:r>
      <w:r>
        <w:rPr>
          <w:lang w:val="en-US"/>
        </w:rPr>
        <w:t>–</w:t>
      </w:r>
      <w:r>
        <w:t>2006 годов во всех уездах запланировано предоставление молодым людям консультационной помощи по вопросам репродуктивн</w:t>
      </w:r>
      <w:r>
        <w:t>о</w:t>
      </w:r>
      <w:r>
        <w:t>го здоровья.</w:t>
      </w:r>
    </w:p>
    <w:p w:rsidR="00000000" w:rsidRDefault="00000000">
      <w:pPr>
        <w:pStyle w:val="SingleTxt"/>
      </w:pPr>
      <w:r>
        <w:rPr>
          <w:lang w:val="en-US"/>
        </w:rPr>
        <w:tab/>
      </w:r>
      <w:r>
        <w:t>Эстонский союз по вопросам планирования семьи организует семинары и издает бюллетени по вопросам репродуктивного здоровья, полового воспит</w:t>
      </w:r>
      <w:r>
        <w:t>а</w:t>
      </w:r>
      <w:r>
        <w:t>ния и планирования семьи для социальных работников и лиц, работающих в областях здравоохранения и образования. Эстонский союз по вопросам план</w:t>
      </w:r>
      <w:r>
        <w:t>и</w:t>
      </w:r>
      <w:r>
        <w:t>рования семьи и различные неправительственные организации ведут работу по пропаганде использования современных высококачественных методов контр</w:t>
      </w:r>
      <w:r>
        <w:t>а</w:t>
      </w:r>
      <w:r>
        <w:t>цепции и стремятся обеспечить доступность контрацептических средств для населения.</w:t>
      </w:r>
    </w:p>
    <w:p w:rsidR="00000000" w:rsidRDefault="00000000">
      <w:pPr>
        <w:pStyle w:val="SingleTxt"/>
        <w:rPr>
          <w:lang w:val="en-US"/>
        </w:rPr>
      </w:pPr>
      <w:r>
        <w:rPr>
          <w:lang w:val="en-US"/>
        </w:rPr>
        <w:tab/>
      </w:r>
      <w:r>
        <w:t>В результате такой работы число случаев беременности и родов среди д</w:t>
      </w:r>
      <w:r>
        <w:t>е</w:t>
      </w:r>
      <w:r>
        <w:t>вушек в возрасте от 16 до 17 лет сокращается. (См. таблицу 10.4).</w:t>
      </w:r>
    </w:p>
    <w:p w:rsidR="00000000" w:rsidRDefault="00000000">
      <w:pPr>
        <w:pStyle w:val="SingleTxt"/>
        <w:spacing w:after="0" w:line="120" w:lineRule="exact"/>
        <w:rPr>
          <w:sz w:val="10"/>
          <w:lang w:val="en-US"/>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Таблица</w:t>
      </w:r>
      <w:r>
        <w:rPr>
          <w:lang w:val="en-US"/>
        </w:rPr>
        <w:t xml:space="preserve"> 10.4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Возраст</w:t>
      </w:r>
      <w:r>
        <w:rPr>
          <w:lang w:val="en-US"/>
        </w:rPr>
        <w:t xml:space="preserve"> </w:t>
      </w:r>
      <w:r>
        <w:t xml:space="preserve">рожениц моложе </w:t>
      </w:r>
      <w:r>
        <w:rPr>
          <w:lang w:val="en-US"/>
        </w:rPr>
        <w:t>18</w:t>
      </w:r>
      <w:r>
        <w:t xml:space="preserve"> лет</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Возраст рожениц</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r>
              <w:rPr>
                <w:i/>
                <w:sz w:val="14"/>
                <w:lang w:val="en-US"/>
              </w:rPr>
              <w:t>1999 год</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r>
              <w:rPr>
                <w:i/>
                <w:sz w:val="14"/>
                <w:lang w:val="en-US"/>
              </w:rPr>
              <w:t>2000 год</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r>
              <w:rPr>
                <w:i/>
                <w:sz w:val="14"/>
                <w:lang w:val="en-US"/>
              </w:rPr>
              <w:t>2001 год</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r>
              <w:rPr>
                <w:i/>
                <w:sz w:val="14"/>
                <w:lang w:val="en-US"/>
              </w:rPr>
              <w:t>2002 год</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center"/>
              <w:rPr>
                <w:color w:val="000000"/>
                <w:sz w:val="17"/>
              </w:rPr>
            </w:pPr>
            <w:r>
              <w:rPr>
                <w:color w:val="000000"/>
                <w:sz w:val="17"/>
              </w:rPr>
              <w:t>13</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1</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1</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1</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0</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center"/>
              <w:rPr>
                <w:color w:val="000000"/>
                <w:sz w:val="17"/>
              </w:rPr>
            </w:pPr>
            <w:r>
              <w:rPr>
                <w:color w:val="000000"/>
                <w:sz w:val="17"/>
              </w:rPr>
              <w:t>14</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2</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3</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2</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2</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center"/>
              <w:rPr>
                <w:color w:val="000000"/>
                <w:sz w:val="17"/>
              </w:rPr>
            </w:pPr>
            <w:r>
              <w:rPr>
                <w:color w:val="000000"/>
                <w:sz w:val="17"/>
              </w:rPr>
              <w:t>15</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14</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23</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19</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22</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center"/>
              <w:rPr>
                <w:color w:val="000000"/>
                <w:sz w:val="17"/>
              </w:rPr>
            </w:pPr>
            <w:r>
              <w:rPr>
                <w:color w:val="000000"/>
                <w:sz w:val="17"/>
              </w:rPr>
              <w:t>16</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92</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97</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87</w:t>
            </w:r>
          </w:p>
        </w:tc>
        <w:tc>
          <w:tcPr>
            <w:tcW w:w="1464"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75</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center"/>
              <w:rPr>
                <w:color w:val="000000"/>
                <w:sz w:val="17"/>
              </w:rPr>
            </w:pPr>
            <w:r>
              <w:rPr>
                <w:color w:val="000000"/>
                <w:sz w:val="17"/>
              </w:rPr>
              <w:t>17</w:t>
            </w:r>
          </w:p>
        </w:tc>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216</w:t>
            </w:r>
          </w:p>
        </w:tc>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225</w:t>
            </w:r>
          </w:p>
        </w:tc>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184</w:t>
            </w:r>
          </w:p>
        </w:tc>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left="14" w:right="43"/>
              <w:jc w:val="right"/>
              <w:rPr>
                <w:color w:val="000000"/>
                <w:sz w:val="17"/>
              </w:rPr>
            </w:pPr>
            <w:r>
              <w:rPr>
                <w:color w:val="000000"/>
                <w:sz w:val="17"/>
              </w:rPr>
              <w:t>196</w:t>
            </w:r>
          </w:p>
        </w:tc>
      </w:tr>
    </w:tbl>
    <w:p w:rsidR="00000000" w:rsidRDefault="00000000">
      <w:pPr>
        <w:pStyle w:val="SingleTxt"/>
        <w:spacing w:after="0" w:line="120" w:lineRule="exact"/>
        <w:rPr>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rPr>
        <w:t>Источник</w:t>
      </w:r>
      <w:r>
        <w:t>: министерство социальных дел</w:t>
      </w:r>
      <w:r>
        <w:rPr>
          <w:lang w:val="en-US"/>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Статья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1.</w:t>
      </w:r>
      <w:r>
        <w:rPr>
          <w:b/>
        </w:rP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w:t>
      </w:r>
      <w:r>
        <w:rPr>
          <w:b/>
        </w:rPr>
        <w:t>а</w:t>
      </w:r>
      <w:r>
        <w:rPr>
          <w:b/>
        </w:rPr>
        <w:t xml:space="preserve">ва, в частности: </w:t>
      </w:r>
    </w:p>
    <w:p w:rsidR="00000000" w:rsidRDefault="00000000">
      <w:pPr>
        <w:pStyle w:val="SingleTxt"/>
        <w:rPr>
          <w:b/>
        </w:rPr>
      </w:pPr>
      <w:r>
        <w:rPr>
          <w:b/>
        </w:rPr>
        <w:tab/>
        <w:t>а)</w:t>
      </w:r>
      <w:r>
        <w:rPr>
          <w:b/>
        </w:rPr>
        <w:tab/>
        <w:t>право на труд как неотъемлемое право всех людей;</w:t>
      </w:r>
    </w:p>
    <w:p w:rsidR="00000000" w:rsidRDefault="00000000">
      <w:pPr>
        <w:pStyle w:val="SingleTxt"/>
      </w:pPr>
      <w:r>
        <w:rPr>
          <w:lang w:val="en-US"/>
        </w:rPr>
        <w:tab/>
      </w:r>
      <w:r>
        <w:t>На государственном уровне регулируется оказание всем людям следу</w:t>
      </w:r>
      <w:r>
        <w:t>ю</w:t>
      </w:r>
      <w:r>
        <w:t>щих услуг по вопросам трудоустройства: информирование о положении на рынке труда и о возможностях получения подготовки для трудоустройства, п</w:t>
      </w:r>
      <w:r>
        <w:t>о</w:t>
      </w:r>
      <w:r>
        <w:t>средничество при трудоустройстве; профессионально-техническое обучение; консультирование по профессиональным вопросам; предоставление субсидии для начала предпринимательской деятельности; предоставление работы в м</w:t>
      </w:r>
      <w:r>
        <w:t>е</w:t>
      </w:r>
      <w:r>
        <w:t>стной общ</w:t>
      </w:r>
      <w:r>
        <w:t>и</w:t>
      </w:r>
      <w:r>
        <w:t>не.</w:t>
      </w:r>
    </w:p>
    <w:p w:rsidR="00000000" w:rsidRDefault="00000000">
      <w:pPr>
        <w:pStyle w:val="SingleTxt"/>
      </w:pPr>
      <w:r>
        <w:tab/>
        <w:t>В соответствии с Законом о равноправии мужчин и женщин запрещается предлагать возможности для получения образования и подготовки лицам тол</w:t>
      </w:r>
      <w:r>
        <w:t>ь</w:t>
      </w:r>
      <w:r>
        <w:t>ко одного пола, если только в силу характера той или иной конкретной труд</w:t>
      </w:r>
      <w:r>
        <w:t>о</w:t>
      </w:r>
      <w:r>
        <w:t>вой деятельности или в силу условий, в которых она осуществляется, это явл</w:t>
      </w:r>
      <w:r>
        <w:t>я</w:t>
      </w:r>
      <w:r>
        <w:t>ется действительно определяющим профессиональным требованием при том, что цель такого разного отношения является законной, а требование разумным.</w:t>
      </w:r>
    </w:p>
    <w:p w:rsidR="00000000" w:rsidRDefault="00000000">
      <w:pPr>
        <w:pStyle w:val="SingleTxt"/>
      </w:pPr>
      <w:r>
        <w:tab/>
        <w:t>В Эстонии сегодня соображения карьеры имеют для женщин такое же большое значение, как и для мужчин, причем не только по соображениям ф</w:t>
      </w:r>
      <w:r>
        <w:t>и</w:t>
      </w:r>
      <w:r>
        <w:t>нансового порядка, но и в силу возможности самореализации. В 2003 году 23 процента женщин заявили, что они полностью прекратили бы работать и оставались бы дома, если бы это позволяло их финансовое положение; доля мужчин, приде</w:t>
      </w:r>
      <w:r>
        <w:t>р</w:t>
      </w:r>
      <w:r>
        <w:t>живающихся того же мнения, была даже несколько выше.</w:t>
      </w:r>
    </w:p>
    <w:p w:rsidR="00000000" w:rsidRDefault="00000000">
      <w:pPr>
        <w:pStyle w:val="SingleTxt"/>
      </w:pPr>
      <w:r>
        <w:tab/>
        <w:t>Доля женщин в составе рабочей силы составляла в 2002 году 48 проце</w:t>
      </w:r>
      <w:r>
        <w:t>н</w:t>
      </w:r>
      <w:r>
        <w:t>тов, а в трудосп</w:t>
      </w:r>
      <w:r>
        <w:t>о</w:t>
      </w:r>
      <w:r>
        <w:t>собном населении женщин около 52 процентов.</w:t>
      </w:r>
    </w:p>
    <w:p w:rsidR="00000000" w:rsidRDefault="00000000">
      <w:pPr>
        <w:pStyle w:val="SingleTxt"/>
      </w:pPr>
      <w:r>
        <w:tab/>
        <w:t>Средний коэффициент занятости эстонского населения (в возрасте от 15 до 64 лет) в 2003 году равнялся 62,6 процента, тогда как коэффициент занят</w:t>
      </w:r>
      <w:r>
        <w:t>о</w:t>
      </w:r>
      <w:r>
        <w:t>сти мужчин был равен 66,7 процента, а женщин — 58,8 процента.</w:t>
      </w:r>
    </w:p>
    <w:p w:rsidR="00000000" w:rsidRDefault="00000000">
      <w:pPr>
        <w:pStyle w:val="SingleTxt"/>
      </w:pPr>
      <w:r>
        <w:tab/>
        <w:t>Показатель безработицы составлял 10 процентов. Несмотря на то, что к</w:t>
      </w:r>
      <w:r>
        <w:t>о</w:t>
      </w:r>
      <w:r>
        <w:t>эффициент занятости мужчин выше коэффициента занятости женщин, безр</w:t>
      </w:r>
      <w:r>
        <w:t>а</w:t>
      </w:r>
      <w:r>
        <w:t>ботных среди мужчин (10,2 процента) больше, чем среди женщин (9,9 проце</w:t>
      </w:r>
      <w:r>
        <w:t>н</w:t>
      </w:r>
      <w:r>
        <w:t>та). Среди молодых мужчин (в возрасте от 15 до 24 лет) безработных в 2003 году было 16,9 процента, а среди женщин этот показатель равнялся 26 проце</w:t>
      </w:r>
      <w:r>
        <w:t>н</w:t>
      </w:r>
      <w:r>
        <w:t>там.</w:t>
      </w:r>
    </w:p>
    <w:p w:rsidR="00000000" w:rsidRDefault="00000000">
      <w:pPr>
        <w:pStyle w:val="SingleTxt"/>
      </w:pPr>
      <w:r>
        <w:tab/>
        <w:t>Согласно обследованию, проведенному социологами Таллиннского пед</w:t>
      </w:r>
      <w:r>
        <w:t>а</w:t>
      </w:r>
      <w:r>
        <w:t>гогического университета в 2003 году, 10 процентов женщин добровольно р</w:t>
      </w:r>
      <w:r>
        <w:t>а</w:t>
      </w:r>
      <w:r>
        <w:t>ботали неполный рабочий день, 8 процентов работали неполный рабочий день по решению работодателя; для мужчин эти цифры равнялись соответственно 5 и 6 процентам (Ханссон, 2004 год).</w:t>
      </w:r>
    </w:p>
    <w:p w:rsidR="00000000" w:rsidRDefault="00000000">
      <w:pPr>
        <w:pStyle w:val="SingleTxt"/>
      </w:pPr>
      <w:r>
        <w:tab/>
        <w:t>Чтобы повысить информированность работодателей и работников в да</w:t>
      </w:r>
      <w:r>
        <w:t>н</w:t>
      </w:r>
      <w:r>
        <w:t>ных вопросах, на эстонский язык было переведено издание МОТ «</w:t>
      </w:r>
      <w:r>
        <w:rPr>
          <w:lang w:val="en-US"/>
        </w:rPr>
        <w:t>ABC</w:t>
      </w:r>
      <w:r>
        <w:t xml:space="preserve"> </w:t>
      </w:r>
      <w:r>
        <w:rPr>
          <w:lang w:val="en-US"/>
        </w:rPr>
        <w:t>of</w:t>
      </w:r>
      <w:r>
        <w:t xml:space="preserve"> </w:t>
      </w:r>
      <w:r>
        <w:rPr>
          <w:lang w:val="en-US"/>
        </w:rPr>
        <w:t>women</w:t>
      </w:r>
      <w:r>
        <w:t xml:space="preserve"> </w:t>
      </w:r>
      <w:r>
        <w:rPr>
          <w:lang w:val="en-US"/>
        </w:rPr>
        <w:t>workers</w:t>
      </w:r>
      <w:r>
        <w:t xml:space="preserve">’ </w:t>
      </w:r>
      <w:r>
        <w:rPr>
          <w:lang w:val="en-US"/>
        </w:rPr>
        <w:t>rights</w:t>
      </w:r>
      <w:r>
        <w:t xml:space="preserve"> </w:t>
      </w:r>
      <w:r>
        <w:rPr>
          <w:lang w:val="en-US"/>
        </w:rPr>
        <w:t>and</w:t>
      </w:r>
      <w:r>
        <w:t xml:space="preserve"> </w:t>
      </w:r>
      <w:r>
        <w:rPr>
          <w:lang w:val="en-US"/>
        </w:rPr>
        <w:t>gender</w:t>
      </w:r>
      <w:r>
        <w:t xml:space="preserve"> </w:t>
      </w:r>
      <w:r>
        <w:rPr>
          <w:lang w:val="en-US"/>
        </w:rPr>
        <w:t>equality</w:t>
      </w:r>
      <w:r>
        <w:t>» («Азбука прав трудящихся-женщин и ге</w:t>
      </w:r>
      <w:r>
        <w:t>н</w:t>
      </w:r>
      <w:r>
        <w:t xml:space="preserve">дерное равенство»). </w:t>
      </w:r>
    </w:p>
    <w:p w:rsidR="00000000" w:rsidRDefault="00000000">
      <w:pPr>
        <w:pStyle w:val="SingleTxt"/>
        <w:spacing w:after="0" w:line="120" w:lineRule="exact"/>
        <w:rPr>
          <w:sz w:val="10"/>
        </w:rPr>
      </w:pPr>
    </w:p>
    <w:p w:rsidR="00000000" w:rsidRDefault="00000000">
      <w:pPr>
        <w:pStyle w:val="SingleTxt"/>
        <w:rPr>
          <w:b/>
        </w:rPr>
      </w:pPr>
      <w:r>
        <w:rPr>
          <w:b/>
        </w:rPr>
        <w:tab/>
        <w:t>b)</w:t>
      </w:r>
      <w:r>
        <w:rPr>
          <w:b/>
        </w:rPr>
        <w:tab/>
        <w:t>право на одинаковые возможности при найме на работу, в том числе применение одинаковых критериев отбора при найме;</w:t>
      </w:r>
    </w:p>
    <w:p w:rsidR="00000000" w:rsidRDefault="00000000">
      <w:pPr>
        <w:pStyle w:val="SingleTxt"/>
      </w:pPr>
      <w:r>
        <w:tab/>
        <w:t>Право на одинаковые условия и критерии отбора при найме мужчин и женщин устано</w:t>
      </w:r>
      <w:r>
        <w:t>в</w:t>
      </w:r>
      <w:r>
        <w:t>лено Законом о равноправии мужчин и женщин.</w:t>
      </w:r>
    </w:p>
    <w:p w:rsidR="00000000" w:rsidRDefault="00000000">
      <w:pPr>
        <w:pStyle w:val="SingleTxt"/>
      </w:pPr>
      <w:r>
        <w:tab/>
        <w:t>Согласно Закону о равноправии мужчин и женщин, случаи, когда работ</w:t>
      </w:r>
      <w:r>
        <w:t>о</w:t>
      </w:r>
      <w:r>
        <w:t>датель отбирает для работы или занятия должности, нанимает или принимает для прохождения практической подготовки, повышает в должности, отбирает для обучения или выполнения какого-либо задания либо направляет на обуч</w:t>
      </w:r>
      <w:r>
        <w:t>е</w:t>
      </w:r>
      <w:r>
        <w:t>ние лицо одного пола в обход лица, имеющего более высокую квалификацию и являющегося лицом противоположного пола, рассматриваются как дискрим</w:t>
      </w:r>
      <w:r>
        <w:t>и</w:t>
      </w:r>
      <w:r>
        <w:t>нация, если только не имеется серьезных причин для такого решения работод</w:t>
      </w:r>
      <w:r>
        <w:t>а</w:t>
      </w:r>
      <w:r>
        <w:t>теля или если такое решение не обусловлено обстоятельствами, не связанными с полом.</w:t>
      </w:r>
    </w:p>
    <w:p w:rsidR="00000000" w:rsidRDefault="00000000">
      <w:pPr>
        <w:pStyle w:val="SingleTxt"/>
      </w:pPr>
      <w:r>
        <w:tab/>
        <w:t>В Законе прямо предусмотрено, что действия работодателя будут также рассматриваться как дискриминация, если работодатель при найме создает т</w:t>
      </w:r>
      <w:r>
        <w:t>а</w:t>
      </w:r>
      <w:r>
        <w:t>кие условия, которые ставят лица одного пола в явно неблагоприятное полож</w:t>
      </w:r>
      <w:r>
        <w:t>е</w:t>
      </w:r>
      <w:r>
        <w:t>ние по сравнению с лицами другого пола, или если лицо обходится вниманием по причине беременности, родов или иных обусловленных полом обсто</w:t>
      </w:r>
      <w:r>
        <w:t>я</w:t>
      </w:r>
      <w:r>
        <w:t>тельств. В последнем случае факт дискриминации может также устанавливат</w:t>
      </w:r>
      <w:r>
        <w:t>ь</w:t>
      </w:r>
      <w:r>
        <w:t>ся мет</w:t>
      </w:r>
      <w:r>
        <w:t>о</w:t>
      </w:r>
      <w:r>
        <w:t>дом сравнения с другими лицами женского пола.</w:t>
      </w:r>
    </w:p>
    <w:p w:rsidR="00000000" w:rsidRDefault="00000000">
      <w:pPr>
        <w:pStyle w:val="SingleTxt"/>
      </w:pPr>
      <w:r>
        <w:tab/>
        <w:t>В случае возникновения подозрений относительно дискриминационного поведения работодатель обязан по просьбе лица предоставить такому лицу письменные разъяснения в течение десяти рабочих дней со дня подачи соо</w:t>
      </w:r>
      <w:r>
        <w:t>т</w:t>
      </w:r>
      <w:r>
        <w:t>ветствующего письменного заявления. В своих разъяснениях работодатель должен представить информацию об отобранном лице, указав его или ее раб</w:t>
      </w:r>
      <w:r>
        <w:t>о</w:t>
      </w:r>
      <w:r>
        <w:t>чий стаж, образование, трудовой опыт и другие требуемые для работы навыки и иные навыки или причины, дающие отобранному лицу явное преимущество, или иные причины.</w:t>
      </w:r>
    </w:p>
    <w:p w:rsidR="00000000" w:rsidRDefault="00000000">
      <w:pPr>
        <w:pStyle w:val="SingleTxt"/>
      </w:pPr>
      <w:r>
        <w:tab/>
        <w:t>Прямая и косвенная дискриминация по признаку пола запрещается также Законом о тр</w:t>
      </w:r>
      <w:r>
        <w:t>у</w:t>
      </w:r>
      <w:r>
        <w:t>довом договоре.</w:t>
      </w:r>
    </w:p>
    <w:p w:rsidR="00000000" w:rsidRDefault="00000000">
      <w:pPr>
        <w:pStyle w:val="SingleTxt"/>
      </w:pPr>
      <w:r>
        <w:tab/>
        <w:t>Закон о трудовом договоре запрещает работодателям при найме и закл</w:t>
      </w:r>
      <w:r>
        <w:t>ю</w:t>
      </w:r>
      <w:r>
        <w:t>чении трудовых договоров проводить дискриминацию в отношении лиц, п</w:t>
      </w:r>
      <w:r>
        <w:t>о</w:t>
      </w:r>
      <w:r>
        <w:t>дающих заявления о приеме на работу. Не разрешается работодателям дискр</w:t>
      </w:r>
      <w:r>
        <w:t>и</w:t>
      </w:r>
      <w:r>
        <w:t>минировать работников и в трудовых отношениях, как, например, в вопросах вознаграждения, повышения в должности, отдачи распоряжений, прекращения трудового договора, доступа к возможностям переподготовки или подготовки без отрыва от работы.</w:t>
      </w:r>
    </w:p>
    <w:p w:rsidR="00000000" w:rsidRDefault="00000000">
      <w:pPr>
        <w:pStyle w:val="SingleTxt"/>
        <w:spacing w:after="0" w:line="120" w:lineRule="exact"/>
        <w:rPr>
          <w:sz w:val="10"/>
        </w:rPr>
      </w:pPr>
    </w:p>
    <w:p w:rsidR="00000000" w:rsidRDefault="00000000">
      <w:pPr>
        <w:pStyle w:val="SingleTxt"/>
        <w:rPr>
          <w:b/>
        </w:rPr>
      </w:pPr>
      <w:r>
        <w:rPr>
          <w:b/>
        </w:rPr>
        <w:tab/>
        <w:t>с)</w:t>
      </w:r>
      <w:r>
        <w:rPr>
          <w:b/>
        </w:rPr>
        <w:tab/>
        <w:t>право на свободный выбор профессии или рода работы, на пр</w:t>
      </w:r>
      <w:r>
        <w:rPr>
          <w:b/>
        </w:rPr>
        <w:t>о</w:t>
      </w:r>
      <w:r>
        <w:rPr>
          <w:b/>
        </w:rPr>
        <w:t>движение в должности и гарантию занятости, а также на пользование вс</w:t>
      </w:r>
      <w:r>
        <w:rPr>
          <w:b/>
        </w:rPr>
        <w:t>е</w:t>
      </w:r>
      <w:r>
        <w:rPr>
          <w:b/>
        </w:rPr>
        <w:t>ми льготами и условиями работы, на получение профессиональной подг</w:t>
      </w:r>
      <w:r>
        <w:rPr>
          <w:b/>
        </w:rPr>
        <w:t>о</w:t>
      </w:r>
      <w:r>
        <w:rPr>
          <w:b/>
        </w:rPr>
        <w:t>товки и переподготовки, включая ученичество, профессиональную подг</w:t>
      </w:r>
      <w:r>
        <w:rPr>
          <w:b/>
        </w:rPr>
        <w:t>о</w:t>
      </w:r>
      <w:r>
        <w:rPr>
          <w:b/>
        </w:rPr>
        <w:t>товку повышенн</w:t>
      </w:r>
      <w:r>
        <w:rPr>
          <w:b/>
        </w:rPr>
        <w:t>о</w:t>
      </w:r>
      <w:r>
        <w:rPr>
          <w:b/>
        </w:rPr>
        <w:t>го уровня и регулярную переподготовку;</w:t>
      </w:r>
    </w:p>
    <w:p w:rsidR="00000000" w:rsidRDefault="00000000">
      <w:pPr>
        <w:pStyle w:val="SingleTxt"/>
      </w:pPr>
      <w:r>
        <w:tab/>
        <w:t>Согласно Закону о равноправии мужчин и женщин, любое лицо может защищать свои права также в случаях, когда работодатель поручает работу, распределяет рабочие задания или создает рабочие условия таким образом, что это ставит лица одного пола в явно неблагоприятное положение по сравнению с лицами другого пола. Законом запрещается работодателям ограничивать пр</w:t>
      </w:r>
      <w:r>
        <w:t>о</w:t>
      </w:r>
      <w:r>
        <w:t>должительность или объем работы по причине беременности и родов или в с</w:t>
      </w:r>
      <w:r>
        <w:t>и</w:t>
      </w:r>
      <w:r>
        <w:t>лу других обусловленных полом обстоятельств.</w:t>
      </w:r>
    </w:p>
    <w:p w:rsidR="00000000" w:rsidRDefault="00000000">
      <w:pPr>
        <w:pStyle w:val="SingleTxt"/>
      </w:pPr>
      <w:r>
        <w:tab/>
        <w:t>Законом о равноправии мужчин и женщин предусмотрена обязанность работодателя собирать статистические данные о занятости с разбивкой по полу работников. Когда возникает необходимость, эти данные должны позволить соответствующим учреждениям проконтролировать и выяснить, соблюдается ли принцип равенства в трудовых отношениях.</w:t>
      </w:r>
    </w:p>
    <w:p w:rsidR="00000000" w:rsidRDefault="00000000">
      <w:pPr>
        <w:pStyle w:val="SingleTxt"/>
      </w:pPr>
      <w:r>
        <w:tab/>
        <w:t>Работодатели обязаны информировать работников о правах, гарантир</w:t>
      </w:r>
      <w:r>
        <w:t>о</w:t>
      </w:r>
      <w:r>
        <w:t>ванных им Законом о равноправии мужчин и женщин, и регулярно предоста</w:t>
      </w:r>
      <w:r>
        <w:t>в</w:t>
      </w:r>
      <w:r>
        <w:t>лять работникам и/или их представителям информацию относительно равного отношения к мужчинам и женщинам в их организации и мер, принятых в целях обеспечения равенства.</w:t>
      </w:r>
    </w:p>
    <w:p w:rsidR="00000000" w:rsidRDefault="00000000">
      <w:pPr>
        <w:pStyle w:val="SingleTxt"/>
      </w:pPr>
      <w:r>
        <w:tab/>
        <w:t>Законом о равноправии мужчин и женщин также предусмотрена защита от применения работодателем контрмер.</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Горизонтальная и вертикальная сегрегация на рынке труда</w:t>
      </w:r>
    </w:p>
    <w:p w:rsidR="00000000" w:rsidRDefault="00000000">
      <w:pPr>
        <w:pStyle w:val="SingleTxt"/>
        <w:spacing w:after="0" w:line="120" w:lineRule="exact"/>
        <w:rPr>
          <w:sz w:val="10"/>
        </w:rPr>
      </w:pPr>
    </w:p>
    <w:p w:rsidR="00000000" w:rsidRDefault="00000000">
      <w:pPr>
        <w:pStyle w:val="SingleTxt"/>
      </w:pPr>
      <w:r>
        <w:tab/>
        <w:t>Со времени представления предыдущего доклада горизонтальная и верт</w:t>
      </w:r>
      <w:r>
        <w:t>и</w:t>
      </w:r>
      <w:r>
        <w:t>кальная сегрегация по признаку пола не уменьшилась. Сегрегация может об</w:t>
      </w:r>
      <w:r>
        <w:t>ъ</w:t>
      </w:r>
      <w:r>
        <w:t>ясняться сознательным выбором людей, который продиктован их возможн</w:t>
      </w:r>
      <w:r>
        <w:t>о</w:t>
      </w:r>
      <w:r>
        <w:t>стями трудоустройства, а также их поведением, обусловленным сложившимися в обществе представлениями о ролях му</w:t>
      </w:r>
      <w:r>
        <w:t>ж</w:t>
      </w:r>
      <w:r>
        <w:t>чин и женщин.</w:t>
      </w:r>
    </w:p>
    <w:p w:rsidR="00000000" w:rsidRDefault="00000000">
      <w:pPr>
        <w:pStyle w:val="SingleTxt"/>
      </w:pPr>
      <w:r>
        <w:tab/>
        <w:t>Анализ параметров занятости по видам трудовой деятельности и профе</w:t>
      </w:r>
      <w:r>
        <w:t>с</w:t>
      </w:r>
      <w:r>
        <w:t>сиям свидетельствует о наличии вертикальной и горизонтальной сегрегации. По сравнению с женщинами мужчины чаще работают в качестве квалифицир</w:t>
      </w:r>
      <w:r>
        <w:t>о</w:t>
      </w:r>
      <w:r>
        <w:t>ванных рабочих и ремесленников и в качестве операторов технических ус</w:t>
      </w:r>
      <w:r>
        <w:t>т</w:t>
      </w:r>
      <w:r>
        <w:t>ройств и механизмов. В вышеупомянутых профессиях занята почти половина мужчин (48,7 процента), тогда как женщин в этих профессиях только 13 пр</w:t>
      </w:r>
      <w:r>
        <w:t>о</w:t>
      </w:r>
      <w:r>
        <w:t>центов. Кроме того, больше мужчин работает на управленческих должностях (в качестве законодателей, высокопоставленных должностных лиц и упра</w:t>
      </w:r>
      <w:r>
        <w:t>в</w:t>
      </w:r>
      <w:r>
        <w:t>ляющих). Большинство женщин работают в качестве специалистов высокого или среднего уровня. По сравнению с мужчинами женщины чаще работают в качестве служащих и работников сферы услуг и торговли. Что касается отра</w:t>
      </w:r>
      <w:r>
        <w:t>с</w:t>
      </w:r>
      <w:r>
        <w:t>лей экономики, то мужчины чаще работают в сельском хозяйстве, строительс</w:t>
      </w:r>
      <w:r>
        <w:t>т</w:t>
      </w:r>
      <w:r>
        <w:t>ве и транспортных перевозках, а женщины в сфере образования, в здравоохр</w:t>
      </w:r>
      <w:r>
        <w:t>а</w:t>
      </w:r>
      <w:r>
        <w:t>нении и торговле.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Предпринимательская деятельность</w:t>
      </w:r>
    </w:p>
    <w:p w:rsidR="00000000" w:rsidRDefault="00000000">
      <w:pPr>
        <w:pStyle w:val="SingleTxt"/>
        <w:spacing w:after="0" w:line="120" w:lineRule="exact"/>
        <w:rPr>
          <w:sz w:val="10"/>
        </w:rPr>
      </w:pPr>
    </w:p>
    <w:p w:rsidR="00000000" w:rsidRDefault="00000000">
      <w:pPr>
        <w:pStyle w:val="SingleTxt"/>
      </w:pPr>
      <w:r>
        <w:tab/>
        <w:t>Предпринимательская деятельность женщин главным образом зависит от их веры в свои силы и инициативности, но также и от существующих в общ</w:t>
      </w:r>
      <w:r>
        <w:t>е</w:t>
      </w:r>
      <w:r>
        <w:t>стве традиционных стереотипов относительно роли женщин. В общественном мнении существует неодобрительное отношение к женщинам-лидерам. Качес</w:t>
      </w:r>
      <w:r>
        <w:t>т</w:t>
      </w:r>
      <w:r>
        <w:t>ва, присущие лидеру, — авторитарность, рациональность, ответственность, достоинство, видение всей картины, способность к усвоению новых знаний и т.д. — главным образом считаются качествами мужскими, которые не к лицу женщине. Только 18 процентов мужчин и женщин придерживаются того мн</w:t>
      </w:r>
      <w:r>
        <w:t>е</w:t>
      </w:r>
      <w:r>
        <w:t>ния, что число женщин среди управленцев должно быть выше, чем сейчас, т</w:t>
      </w:r>
      <w:r>
        <w:t>о</w:t>
      </w:r>
      <w:r>
        <w:t>гда как 51 процент считают, что этот вопрос вообще не имеет никакого знач</w:t>
      </w:r>
      <w:r>
        <w:t>е</w:t>
      </w:r>
      <w:r>
        <w:t>ния. Сильная и независимая женщина-лидер — новое явление в эстонском о</w:t>
      </w:r>
      <w:r>
        <w:t>б</w:t>
      </w:r>
      <w:r>
        <w:t>ществе, отражающее новые ценности и разрыв со сложившимися моделями поведения.</w:t>
      </w:r>
    </w:p>
    <w:p w:rsidR="00000000" w:rsidRDefault="00000000">
      <w:pPr>
        <w:pStyle w:val="SingleTxt"/>
      </w:pPr>
      <w:r>
        <w:tab/>
        <w:t>По сравнению с мужчинами среди женщин все еще очень мало упра</w:t>
      </w:r>
      <w:r>
        <w:t>в</w:t>
      </w:r>
      <w:r>
        <w:t>ляющих деловыми предприятиями. В каталоге наиболее успешных деловых предприятий за 2001 год женщины составляют всего 4–6 процентов от общего числа управляющих: 5–10 процентов на предприятиях уездного уровня, около 11 процентов на малых предприятиях и в среднем около 14 процентов на ра</w:t>
      </w:r>
      <w:r>
        <w:t>з</w:t>
      </w:r>
      <w:r>
        <w:t>личных других предприятиях (в основу этого анализа положены различные списки ведущих бизнесменов, опубликованные в деловой газете «Aripaev» в 2002 году; Raitviir, 2003b). Чаще всего женщины руководят такими деловыми предприятиями, в которых владельцами являются только женщины или где женщины входят в группу владельцев. Должность управляющего деловым предприятием обычно занимает сама главный владелец предприятия. В дел</w:t>
      </w:r>
      <w:r>
        <w:t>о</w:t>
      </w:r>
      <w:r>
        <w:t>вых предприятиях, которыми владеют мужчины, женщин среди управляющих практически не бывает. Значительная сегрегация по полу наблюдается в бизн</w:t>
      </w:r>
      <w:r>
        <w:t>е</w:t>
      </w:r>
      <w:r>
        <w:t>се по отраслевому признаку. Женщины часто управляют аудиторскими и тур</w:t>
      </w:r>
      <w:r>
        <w:t>и</w:t>
      </w:r>
      <w:r>
        <w:t>стическими компаниями, компаниями, занимающимися учебной деятельн</w:t>
      </w:r>
      <w:r>
        <w:t>о</w:t>
      </w:r>
      <w:r>
        <w:t>стью, швейными компаниями, компаниями в ресторанном и гостиничном се</w:t>
      </w:r>
      <w:r>
        <w:t>к</w:t>
      </w:r>
      <w:r>
        <w:t>торе и в издательской деятельности (21–54 процента). В то же время их почти нет в секторе производства древесины и строительных материалов, в торговле автомобил</w:t>
      </w:r>
      <w:r>
        <w:t>я</w:t>
      </w:r>
      <w:r>
        <w:t>ми, в автотранспорте и перевозках (0–5 процентов).</w:t>
      </w:r>
    </w:p>
    <w:p w:rsidR="00000000" w:rsidRDefault="00000000">
      <w:pPr>
        <w:pStyle w:val="SingleTxt"/>
      </w:pPr>
      <w:r>
        <w:tab/>
        <w:t>Согласно проведенному в 2002 году обследованию, одна треть предпр</w:t>
      </w:r>
      <w:r>
        <w:t>и</w:t>
      </w:r>
      <w:r>
        <w:t>нимателей являются женщинами. Женщины чаще всего являются мелкими предпринимателями или единственными владельцами предприятия. Средняя женщина-управляющий — это женщина в возрасте от 30 до 45 лет, замужняя и имеющая двух детей.</w:t>
      </w:r>
    </w:p>
    <w:p w:rsidR="00000000" w:rsidRDefault="00000000">
      <w:pPr>
        <w:pStyle w:val="SingleTxt"/>
        <w:spacing w:after="0" w:line="120" w:lineRule="exact"/>
        <w:rPr>
          <w:sz w:val="10"/>
        </w:rPr>
      </w:pPr>
    </w:p>
    <w:p w:rsidR="00000000" w:rsidRDefault="00000000">
      <w:pPr>
        <w:pStyle w:val="SingleTxt"/>
        <w:keepNext/>
        <w:rPr>
          <w:b/>
        </w:rPr>
      </w:pPr>
      <w:r>
        <w:rPr>
          <w:b/>
        </w:rPr>
        <w:tab/>
        <w:t>d)</w:t>
      </w:r>
      <w:r>
        <w:rPr>
          <w:b/>
        </w:rPr>
        <w:tab/>
        <w:t>право на равное вознаграждение, включая получение льгот, на равные условия в отношении труда равной ценности, а также на равный подход к оце</w:t>
      </w:r>
      <w:r>
        <w:rPr>
          <w:b/>
        </w:rPr>
        <w:t>н</w:t>
      </w:r>
      <w:r>
        <w:rPr>
          <w:b/>
        </w:rPr>
        <w:t>ке качества работы;</w:t>
      </w:r>
    </w:p>
    <w:p w:rsidR="00000000" w:rsidRDefault="00000000">
      <w:pPr>
        <w:pStyle w:val="SingleTxt"/>
      </w:pPr>
      <w:r>
        <w:tab/>
        <w:t>Принцип равного вознаграждения мужчин и женщин за равный труд з</w:t>
      </w:r>
      <w:r>
        <w:t>а</w:t>
      </w:r>
      <w:r>
        <w:t>креплен Законом о заработной плате.</w:t>
      </w:r>
    </w:p>
    <w:p w:rsidR="00000000" w:rsidRDefault="00000000">
      <w:pPr>
        <w:pStyle w:val="SingleTxt"/>
      </w:pPr>
      <w:r>
        <w:tab/>
        <w:t>Согласно Закону о равноправии мужчин и женщин, работодатель не имеет права определять такие условия вознаграждения или иные условия, которые являются менее благоприятными для работников одного пола по сравнению с работниками другого пола, выполняющими ту же или равноценную работу. В Законе предусмотрены принципы сопоставления заработной платы мужчин и женщин, выполняющих ту же или равноценную работу. Этот Закон применяе</w:t>
      </w:r>
      <w:r>
        <w:t>т</w:t>
      </w:r>
      <w:r>
        <w:t>ся для ликвидации дискриминации, вызванной разными системами оплаты труда, классификации должностей или критериев оценки труда.</w:t>
      </w:r>
    </w:p>
    <w:p w:rsidR="00000000" w:rsidRDefault="00000000">
      <w:pPr>
        <w:pStyle w:val="SingleTxt"/>
      </w:pPr>
      <w:r>
        <w:tab/>
        <w:t>Если, по мнению работника, в его или ее случае была допущена дискр</w:t>
      </w:r>
      <w:r>
        <w:t>и</w:t>
      </w:r>
      <w:r>
        <w:t>минация, то работник имеет право потребовать от работодателя разъяснения критериев расчета заработной платы и получить от работодателя письменное раз</w:t>
      </w:r>
      <w:r>
        <w:t>ъ</w:t>
      </w:r>
      <w:r>
        <w:t xml:space="preserve">яснение действий работодателя в течение 15 рабочих дней. </w:t>
      </w:r>
    </w:p>
    <w:p w:rsidR="00000000" w:rsidRDefault="00000000">
      <w:pPr>
        <w:pStyle w:val="SingleTxt"/>
      </w:pPr>
      <w:r>
        <w:tab/>
        <w:t>По информации, полученной от Трудовой инспекции, до настоящего вр</w:t>
      </w:r>
      <w:r>
        <w:t>е</w:t>
      </w:r>
      <w:r>
        <w:t>мени в Эстонии было издано только два предписания, касающиеся неравного вознаграждения за равную или равноценную работу. В 2002 году было издано предписание компании, в которой женщина и мужчина за выполнение той же работы получали разную заработную плату: 25 эстонских крон в час плюс пр</w:t>
      </w:r>
      <w:r>
        <w:t>е</w:t>
      </w:r>
      <w:r>
        <w:t>миальные — мужчина и 15 эстонских крон в час плюс премиальные — женщ</w:t>
      </w:r>
      <w:r>
        <w:t>и</w:t>
      </w:r>
      <w:r>
        <w:t>на, несмотря на то, что описание обязанностей у мужчины и женщины были одинаковыми. После получения предписания работодатель стал выплачивать мужчине 15 крон в час, но, тем не менее, премиальные за дополнительные тр</w:t>
      </w:r>
      <w:r>
        <w:t>у</w:t>
      </w:r>
      <w:r>
        <w:t>довые об</w:t>
      </w:r>
      <w:r>
        <w:t>я</w:t>
      </w:r>
      <w:r>
        <w:t>занности гарантировали мужчине сохранение его прежнего дохода.</w:t>
      </w:r>
    </w:p>
    <w:p w:rsidR="00000000" w:rsidRDefault="00000000">
      <w:pPr>
        <w:pStyle w:val="SingleTxt"/>
      </w:pPr>
      <w:r>
        <w:tab/>
        <w:t>В 2003 году было издано еще одно предписание компании в другом уезде, в которой продавцы — все женщины — получали на 100 крон в месяц меньше, чем транспортные рабочие, все из которых были мужчинами. Утверждение представителя работодателя, что мужчины за меньшую заработную плату р</w:t>
      </w:r>
      <w:r>
        <w:t>а</w:t>
      </w:r>
      <w:r>
        <w:t>ботать не будут, также указывало на то, что в данном случае имела место пр</w:t>
      </w:r>
      <w:r>
        <w:t>я</w:t>
      </w:r>
      <w:r>
        <w:t>мая ди</w:t>
      </w:r>
      <w:r>
        <w:t>с</w:t>
      </w:r>
      <w:r>
        <w:t>криминация.</w:t>
      </w:r>
    </w:p>
    <w:p w:rsidR="00000000" w:rsidRDefault="00000000">
      <w:pPr>
        <w:pStyle w:val="SingleTxt"/>
      </w:pPr>
      <w:r>
        <w:tab/>
        <w:t>За последние несколько лет общество признало наличие проблемы нера</w:t>
      </w:r>
      <w:r>
        <w:t>в</w:t>
      </w:r>
      <w:r>
        <w:t>ного вознагра</w:t>
      </w:r>
      <w:r>
        <w:t>ж</w:t>
      </w:r>
      <w:r>
        <w:t>дения мужчин и женщин и начало обсуждение этой проблемы.</w:t>
      </w:r>
    </w:p>
    <w:p w:rsidR="00000000" w:rsidRDefault="00000000">
      <w:pPr>
        <w:pStyle w:val="SingleTxt"/>
      </w:pPr>
      <w:r>
        <w:tab/>
        <w:t>На основе сведений базы данных, касающейся эстонской рабочей силы в 1998–2000 годы, Центром изучения политики — PRAXIS было проведено и</w:t>
      </w:r>
      <w:r>
        <w:t>с</w:t>
      </w:r>
      <w:r>
        <w:t>следование различий в уровне оплаты труда мужчин и женщин. В период 1998–</w:t>
      </w:r>
      <w:r>
        <w:br/>
        <w:t>2000 годов заработная плата женщин составляла 72,7 процента от заработной платы мужчин.</w:t>
      </w:r>
    </w:p>
    <w:p w:rsidR="00000000" w:rsidRDefault="00000000">
      <w:pPr>
        <w:pStyle w:val="SingleTxt"/>
      </w:pPr>
      <w:r>
        <w:tab/>
        <w:t>Исследование показало, что если принимать во внимание различия в ли</w:t>
      </w:r>
      <w:r>
        <w:t>ч</w:t>
      </w:r>
      <w:r>
        <w:t>ных качествах и выборе профессий, то заработная плата мужчин была в сре</w:t>
      </w:r>
      <w:r>
        <w:t>д</w:t>
      </w:r>
      <w:r>
        <w:t>нем на 23 процента выше заработной платы женщин. Так, 4,3 процентных пункта исходной средней разницы в 27,4 процента можно отнести на счет ра</w:t>
      </w:r>
      <w:r>
        <w:t>з</w:t>
      </w:r>
      <w:r>
        <w:t>личий в человеческом капитале мужчин и женщин и других наблюдаемых фа</w:t>
      </w:r>
      <w:r>
        <w:t>к</w:t>
      </w:r>
      <w:r>
        <w:t>торов.</w:t>
      </w:r>
    </w:p>
    <w:p w:rsidR="00000000" w:rsidRDefault="00000000">
      <w:pPr>
        <w:pStyle w:val="SingleTxt"/>
        <w:rPr>
          <w:b/>
        </w:rPr>
      </w:pPr>
      <w:r>
        <w:rPr>
          <w:b/>
        </w:rPr>
        <w:tab/>
        <w:t>е)</w:t>
      </w:r>
      <w:r>
        <w:rPr>
          <w:b/>
        </w:rPr>
        <w:tab/>
        <w:t>право на социальное обеспечение, в частности в случае ухода на пенсию, безработицы, болезни, инвалидности, по старости и в других сл</w:t>
      </w:r>
      <w:r>
        <w:rPr>
          <w:b/>
        </w:rPr>
        <w:t>у</w:t>
      </w:r>
      <w:r>
        <w:rPr>
          <w:b/>
        </w:rPr>
        <w:t>чаях потери трудоспособности, а также право на оплачиваемый отпуск;</w:t>
      </w:r>
    </w:p>
    <w:p w:rsidR="00000000" w:rsidRDefault="00000000">
      <w:pPr>
        <w:pStyle w:val="SingleTxt"/>
      </w:pPr>
      <w:r>
        <w:tab/>
        <w:t>Законом о социальной защите безработного регулируется постановка бе</w:t>
      </w:r>
      <w:r>
        <w:t>з</w:t>
      </w:r>
      <w:r>
        <w:t>работных на учет и выплата безработным через бюро по трудоустройству гос</w:t>
      </w:r>
      <w:r>
        <w:t>у</w:t>
      </w:r>
      <w:r>
        <w:t>дарственного пособия по безработице, единовременного пособия и учебной стипендии.</w:t>
      </w:r>
    </w:p>
    <w:p w:rsidR="00000000" w:rsidRDefault="00000000">
      <w:pPr>
        <w:pStyle w:val="SingleTxt"/>
      </w:pPr>
      <w:r>
        <w:tab/>
        <w:t>Лица, которые имели работу или занимались деятельностью, приравне</w:t>
      </w:r>
      <w:r>
        <w:t>н</w:t>
      </w:r>
      <w:r>
        <w:t>ной к трудовой, в течение не менее 180 дней за двенадцатимесячный период, предшествующий постановке на учет в качестве безработных, имеют право на получение государственного пособия по безработице. Исключения из этого правила перечислены в Законе о социальной защите безработного.</w:t>
      </w:r>
    </w:p>
    <w:p w:rsidR="00000000" w:rsidRDefault="00000000">
      <w:pPr>
        <w:pStyle w:val="SingleTxt"/>
      </w:pPr>
      <w:r>
        <w:tab/>
        <w:t>Пособия обычно выплачиваются в период нахождения на учете в качестве безработного, но не больше 270 дней. Беременная безработная женщина имеет право после истечения вышеуказанного срока и дальше получать государс</w:t>
      </w:r>
      <w:r>
        <w:t>т</w:t>
      </w:r>
      <w:r>
        <w:t>венное пособие по безработице до тех пор, пока она не родит, если по закл</w:t>
      </w:r>
      <w:r>
        <w:t>ю</w:t>
      </w:r>
      <w:r>
        <w:t>чению врача роды должны наступить не позднее, чем через 70 календарных дней.</w:t>
      </w:r>
    </w:p>
    <w:p w:rsidR="00000000" w:rsidRDefault="00000000">
      <w:pPr>
        <w:pStyle w:val="SingleTxt"/>
      </w:pPr>
      <w:r>
        <w:tab/>
        <w:t>Законом о страховании безработицы, вступившим в силу в 2001 году, пр</w:t>
      </w:r>
      <w:r>
        <w:t>е</w:t>
      </w:r>
      <w:r>
        <w:t>дусмотрена выплата компенсации по безработице в случае потери работы, увольнения группы работн</w:t>
      </w:r>
      <w:r>
        <w:t>и</w:t>
      </w:r>
      <w:r>
        <w:t>ков и неплатежеспособности работодателя.</w:t>
      </w:r>
    </w:p>
    <w:p w:rsidR="00000000" w:rsidRDefault="00000000">
      <w:pPr>
        <w:pStyle w:val="SingleTxt"/>
      </w:pPr>
      <w:r>
        <w:tab/>
        <w:t>Средний размер пенсии  в 2004 году повысился с 1551 эстонской кроны в 2000 году до 2072 эстонских крон в 2004 году.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Количество пенсионеров с разбивкой по полу и возрасту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052"/>
        <w:gridCol w:w="702"/>
        <w:gridCol w:w="648"/>
        <w:gridCol w:w="630"/>
        <w:gridCol w:w="630"/>
        <w:gridCol w:w="657"/>
        <w:gridCol w:w="657"/>
        <w:gridCol w:w="648"/>
        <w:gridCol w:w="648"/>
        <w:gridCol w:w="639"/>
        <w:gridCol w:w="648"/>
        <w:gridCol w:w="648"/>
        <w:gridCol w:w="647"/>
      </w:tblGrid>
      <w:tr w:rsidR="00000000">
        <w:tblPrEx>
          <w:tblCellMar>
            <w:top w:w="0" w:type="dxa"/>
            <w:left w:w="0" w:type="dxa"/>
            <w:bottom w:w="0" w:type="dxa"/>
            <w:right w:w="0" w:type="dxa"/>
          </w:tblCellMar>
        </w:tblPrEx>
        <w:trPr>
          <w:cantSplit/>
          <w:tblHeader/>
        </w:trPr>
        <w:tc>
          <w:tcPr>
            <w:tcW w:w="2052" w:type="dxa"/>
            <w:tcBorders>
              <w:top w:val="single" w:sz="4" w:space="0" w:color="auto"/>
            </w:tcBorders>
            <w:vAlign w:val="bottom"/>
          </w:tcPr>
          <w:p w:rsidR="00000000" w:rsidRDefault="00000000">
            <w:pPr>
              <w:spacing w:before="81" w:after="81" w:line="160" w:lineRule="exact"/>
              <w:ind w:right="40"/>
              <w:rPr>
                <w:i/>
                <w:sz w:val="14"/>
              </w:rPr>
            </w:pPr>
          </w:p>
        </w:tc>
        <w:tc>
          <w:tcPr>
            <w:tcW w:w="702" w:type="dxa"/>
            <w:tcBorders>
              <w:top w:val="single" w:sz="4" w:space="0" w:color="auto"/>
            </w:tcBorders>
            <w:vAlign w:val="bottom"/>
          </w:tcPr>
          <w:p w:rsidR="00000000" w:rsidRDefault="00000000">
            <w:pPr>
              <w:spacing w:before="81" w:after="81" w:line="160" w:lineRule="exact"/>
              <w:ind w:right="40"/>
              <w:jc w:val="right"/>
              <w:rPr>
                <w:i/>
                <w:sz w:val="14"/>
              </w:rPr>
            </w:pPr>
          </w:p>
        </w:tc>
        <w:tc>
          <w:tcPr>
            <w:tcW w:w="7100" w:type="dxa"/>
            <w:gridSpan w:val="11"/>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Возра</w:t>
            </w:r>
            <w:r>
              <w:rPr>
                <w:i/>
                <w:sz w:val="14"/>
              </w:rPr>
              <w:t>с</w:t>
            </w:r>
            <w:r>
              <w:rPr>
                <w:i/>
                <w:sz w:val="14"/>
              </w:rPr>
              <w:t>тная группа</w:t>
            </w:r>
          </w:p>
        </w:tc>
      </w:tr>
      <w:tr w:rsidR="00000000">
        <w:tblPrEx>
          <w:tblCellMar>
            <w:top w:w="0" w:type="dxa"/>
            <w:left w:w="0" w:type="dxa"/>
            <w:bottom w:w="0" w:type="dxa"/>
            <w:right w:w="0" w:type="dxa"/>
          </w:tblCellMar>
        </w:tblPrEx>
        <w:trPr>
          <w:tblHeader/>
        </w:trPr>
        <w:tc>
          <w:tcPr>
            <w:tcW w:w="2052" w:type="dxa"/>
            <w:vAlign w:val="bottom"/>
          </w:tcPr>
          <w:p w:rsidR="00000000" w:rsidRDefault="00000000">
            <w:pPr>
              <w:spacing w:before="40" w:after="81" w:line="160" w:lineRule="exact"/>
              <w:ind w:right="43"/>
              <w:rPr>
                <w:i/>
                <w:sz w:val="14"/>
              </w:rPr>
            </w:pPr>
            <w:r>
              <w:rPr>
                <w:i/>
                <w:sz w:val="14"/>
              </w:rPr>
              <w:t>Катег</w:t>
            </w:r>
            <w:r>
              <w:rPr>
                <w:i/>
                <w:sz w:val="14"/>
              </w:rPr>
              <w:t>о</w:t>
            </w:r>
            <w:r>
              <w:rPr>
                <w:i/>
                <w:sz w:val="14"/>
              </w:rPr>
              <w:t>рия</w:t>
            </w:r>
          </w:p>
        </w:tc>
        <w:tc>
          <w:tcPr>
            <w:tcW w:w="702" w:type="dxa"/>
            <w:vAlign w:val="bottom"/>
          </w:tcPr>
          <w:p w:rsidR="00000000" w:rsidRDefault="00000000">
            <w:pPr>
              <w:spacing w:before="40" w:after="81" w:line="160" w:lineRule="exact"/>
              <w:ind w:right="43"/>
              <w:jc w:val="right"/>
              <w:rPr>
                <w:i/>
                <w:sz w:val="14"/>
              </w:rPr>
            </w:pPr>
            <w:r>
              <w:rPr>
                <w:i/>
                <w:sz w:val="14"/>
              </w:rPr>
              <w:t>Всего</w:t>
            </w:r>
          </w:p>
        </w:tc>
        <w:tc>
          <w:tcPr>
            <w:tcW w:w="648" w:type="dxa"/>
            <w:vAlign w:val="bottom"/>
          </w:tcPr>
          <w:p w:rsidR="00000000" w:rsidRDefault="00000000">
            <w:pPr>
              <w:spacing w:before="40" w:after="81" w:line="160" w:lineRule="exact"/>
              <w:ind w:right="43"/>
              <w:jc w:val="right"/>
              <w:rPr>
                <w:i/>
                <w:sz w:val="14"/>
              </w:rPr>
            </w:pPr>
            <w:r>
              <w:rPr>
                <w:i/>
                <w:sz w:val="14"/>
              </w:rPr>
              <w:t>Моложе 18 лет</w:t>
            </w:r>
          </w:p>
        </w:tc>
        <w:tc>
          <w:tcPr>
            <w:tcW w:w="630" w:type="dxa"/>
            <w:vAlign w:val="bottom"/>
          </w:tcPr>
          <w:p w:rsidR="00000000" w:rsidRDefault="00000000">
            <w:pPr>
              <w:spacing w:before="40" w:after="81" w:line="160" w:lineRule="exact"/>
              <w:ind w:right="43"/>
              <w:jc w:val="right"/>
              <w:rPr>
                <w:i/>
                <w:sz w:val="14"/>
              </w:rPr>
            </w:pPr>
            <w:r>
              <w:rPr>
                <w:i/>
                <w:sz w:val="14"/>
              </w:rPr>
              <w:t>18–24</w:t>
            </w:r>
          </w:p>
        </w:tc>
        <w:tc>
          <w:tcPr>
            <w:tcW w:w="630" w:type="dxa"/>
            <w:vAlign w:val="bottom"/>
          </w:tcPr>
          <w:p w:rsidR="00000000" w:rsidRDefault="00000000">
            <w:pPr>
              <w:spacing w:before="40" w:after="81" w:line="160" w:lineRule="exact"/>
              <w:ind w:right="43"/>
              <w:jc w:val="right"/>
              <w:rPr>
                <w:i/>
                <w:sz w:val="14"/>
              </w:rPr>
            </w:pPr>
            <w:r>
              <w:rPr>
                <w:i/>
                <w:sz w:val="14"/>
              </w:rPr>
              <w:t>25–39</w:t>
            </w:r>
          </w:p>
        </w:tc>
        <w:tc>
          <w:tcPr>
            <w:tcW w:w="657" w:type="dxa"/>
            <w:vAlign w:val="bottom"/>
          </w:tcPr>
          <w:p w:rsidR="00000000" w:rsidRDefault="00000000">
            <w:pPr>
              <w:spacing w:before="40" w:after="81" w:line="160" w:lineRule="exact"/>
              <w:ind w:right="43"/>
              <w:jc w:val="right"/>
              <w:rPr>
                <w:i/>
                <w:sz w:val="14"/>
              </w:rPr>
            </w:pPr>
            <w:r>
              <w:rPr>
                <w:i/>
                <w:sz w:val="14"/>
              </w:rPr>
              <w:t>40–54</w:t>
            </w:r>
          </w:p>
        </w:tc>
        <w:tc>
          <w:tcPr>
            <w:tcW w:w="657" w:type="dxa"/>
            <w:vAlign w:val="bottom"/>
          </w:tcPr>
          <w:p w:rsidR="00000000" w:rsidRDefault="00000000">
            <w:pPr>
              <w:spacing w:before="40" w:after="81" w:line="160" w:lineRule="exact"/>
              <w:ind w:right="43"/>
              <w:jc w:val="right"/>
              <w:rPr>
                <w:i/>
                <w:sz w:val="14"/>
              </w:rPr>
            </w:pPr>
            <w:r>
              <w:rPr>
                <w:i/>
                <w:sz w:val="14"/>
              </w:rPr>
              <w:t>55–59</w:t>
            </w:r>
          </w:p>
        </w:tc>
        <w:tc>
          <w:tcPr>
            <w:tcW w:w="648" w:type="dxa"/>
            <w:vAlign w:val="bottom"/>
          </w:tcPr>
          <w:p w:rsidR="00000000" w:rsidRDefault="00000000">
            <w:pPr>
              <w:spacing w:before="40" w:after="81" w:line="160" w:lineRule="exact"/>
              <w:ind w:right="43"/>
              <w:jc w:val="right"/>
              <w:rPr>
                <w:i/>
                <w:sz w:val="14"/>
              </w:rPr>
            </w:pPr>
            <w:r>
              <w:rPr>
                <w:i/>
                <w:sz w:val="14"/>
              </w:rPr>
              <w:t>60–62</w:t>
            </w:r>
          </w:p>
        </w:tc>
        <w:tc>
          <w:tcPr>
            <w:tcW w:w="648" w:type="dxa"/>
            <w:vAlign w:val="bottom"/>
          </w:tcPr>
          <w:p w:rsidR="00000000" w:rsidRDefault="00000000">
            <w:pPr>
              <w:spacing w:before="40" w:after="81" w:line="160" w:lineRule="exact"/>
              <w:ind w:right="43"/>
              <w:jc w:val="right"/>
              <w:rPr>
                <w:i/>
                <w:sz w:val="14"/>
              </w:rPr>
            </w:pPr>
            <w:r>
              <w:rPr>
                <w:i/>
                <w:sz w:val="14"/>
              </w:rPr>
              <w:t>63–64</w:t>
            </w:r>
          </w:p>
        </w:tc>
        <w:tc>
          <w:tcPr>
            <w:tcW w:w="639" w:type="dxa"/>
            <w:vAlign w:val="bottom"/>
          </w:tcPr>
          <w:p w:rsidR="00000000" w:rsidRDefault="00000000">
            <w:pPr>
              <w:spacing w:before="40" w:after="81" w:line="160" w:lineRule="exact"/>
              <w:ind w:right="43"/>
              <w:jc w:val="right"/>
              <w:rPr>
                <w:i/>
                <w:sz w:val="14"/>
              </w:rPr>
            </w:pPr>
            <w:r>
              <w:rPr>
                <w:i/>
                <w:sz w:val="14"/>
              </w:rPr>
              <w:t>65–69</w:t>
            </w:r>
          </w:p>
        </w:tc>
        <w:tc>
          <w:tcPr>
            <w:tcW w:w="648" w:type="dxa"/>
            <w:vAlign w:val="bottom"/>
          </w:tcPr>
          <w:p w:rsidR="00000000" w:rsidRDefault="00000000">
            <w:pPr>
              <w:spacing w:before="40" w:after="81" w:line="160" w:lineRule="exact"/>
              <w:ind w:right="43"/>
              <w:jc w:val="right"/>
              <w:rPr>
                <w:i/>
                <w:sz w:val="14"/>
              </w:rPr>
            </w:pPr>
            <w:r>
              <w:rPr>
                <w:i/>
                <w:sz w:val="14"/>
              </w:rPr>
              <w:t>70–74</w:t>
            </w:r>
          </w:p>
        </w:tc>
        <w:tc>
          <w:tcPr>
            <w:tcW w:w="648" w:type="dxa"/>
            <w:vAlign w:val="bottom"/>
          </w:tcPr>
          <w:p w:rsidR="00000000" w:rsidRDefault="00000000">
            <w:pPr>
              <w:spacing w:before="40" w:after="81" w:line="160" w:lineRule="exact"/>
              <w:ind w:right="43"/>
              <w:jc w:val="right"/>
              <w:rPr>
                <w:i/>
                <w:sz w:val="14"/>
              </w:rPr>
            </w:pPr>
            <w:r>
              <w:rPr>
                <w:i/>
                <w:sz w:val="14"/>
              </w:rPr>
              <w:t>75–79</w:t>
            </w:r>
          </w:p>
        </w:tc>
        <w:tc>
          <w:tcPr>
            <w:tcW w:w="647" w:type="dxa"/>
            <w:vAlign w:val="bottom"/>
          </w:tcPr>
          <w:p w:rsidR="00000000" w:rsidRDefault="00000000">
            <w:pPr>
              <w:spacing w:before="40" w:after="81" w:line="160" w:lineRule="exact"/>
              <w:ind w:right="43"/>
              <w:jc w:val="right"/>
              <w:rPr>
                <w:i/>
                <w:sz w:val="14"/>
              </w:rPr>
            </w:pPr>
            <w:r>
              <w:rPr>
                <w:i/>
                <w:sz w:val="14"/>
              </w:rPr>
              <w:t>80 лет и больше</w:t>
            </w:r>
          </w:p>
        </w:tc>
      </w:tr>
      <w:tr w:rsidR="00000000">
        <w:tblPrEx>
          <w:tblCellMar>
            <w:top w:w="0" w:type="dxa"/>
            <w:left w:w="0" w:type="dxa"/>
            <w:bottom w:w="0" w:type="dxa"/>
            <w:right w:w="0" w:type="dxa"/>
          </w:tblCellMar>
        </w:tblPrEx>
        <w:trPr>
          <w:trHeight w:hRule="exact" w:val="115"/>
          <w:tblHeader/>
        </w:trPr>
        <w:tc>
          <w:tcPr>
            <w:tcW w:w="2052" w:type="dxa"/>
            <w:tcBorders>
              <w:top w:val="single" w:sz="12" w:space="0" w:color="auto"/>
            </w:tcBorders>
            <w:vAlign w:val="bottom"/>
          </w:tcPr>
          <w:p w:rsidR="00000000" w:rsidRDefault="00000000">
            <w:pPr>
              <w:spacing w:before="40" w:after="40" w:line="210" w:lineRule="exact"/>
              <w:ind w:right="40"/>
              <w:rPr>
                <w:sz w:val="17"/>
              </w:rPr>
            </w:pPr>
          </w:p>
        </w:tc>
        <w:tc>
          <w:tcPr>
            <w:tcW w:w="702" w:type="dxa"/>
            <w:tcBorders>
              <w:top w:val="single" w:sz="12" w:space="0" w:color="auto"/>
            </w:tcBorders>
            <w:vAlign w:val="bottom"/>
          </w:tcPr>
          <w:p w:rsidR="00000000" w:rsidRDefault="00000000">
            <w:pPr>
              <w:spacing w:before="40" w:after="40" w:line="210" w:lineRule="exact"/>
              <w:ind w:right="40"/>
              <w:jc w:val="right"/>
              <w:rPr>
                <w:sz w:val="17"/>
              </w:rPr>
            </w:pPr>
          </w:p>
        </w:tc>
        <w:tc>
          <w:tcPr>
            <w:tcW w:w="648"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57" w:type="dxa"/>
            <w:tcBorders>
              <w:top w:val="single" w:sz="12" w:space="0" w:color="auto"/>
            </w:tcBorders>
            <w:vAlign w:val="bottom"/>
          </w:tcPr>
          <w:p w:rsidR="00000000" w:rsidRDefault="00000000">
            <w:pPr>
              <w:spacing w:before="40" w:after="40" w:line="210" w:lineRule="exact"/>
              <w:ind w:right="40"/>
              <w:jc w:val="right"/>
              <w:rPr>
                <w:sz w:val="17"/>
              </w:rPr>
            </w:pPr>
          </w:p>
        </w:tc>
        <w:tc>
          <w:tcPr>
            <w:tcW w:w="657" w:type="dxa"/>
            <w:tcBorders>
              <w:top w:val="single" w:sz="12" w:space="0" w:color="auto"/>
            </w:tcBorders>
            <w:vAlign w:val="bottom"/>
          </w:tcPr>
          <w:p w:rsidR="00000000" w:rsidRDefault="00000000">
            <w:pPr>
              <w:spacing w:before="40" w:after="40" w:line="210" w:lineRule="exact"/>
              <w:ind w:right="40"/>
              <w:jc w:val="right"/>
              <w:rPr>
                <w:sz w:val="17"/>
              </w:rPr>
            </w:pPr>
          </w:p>
        </w:tc>
        <w:tc>
          <w:tcPr>
            <w:tcW w:w="648" w:type="dxa"/>
            <w:tcBorders>
              <w:top w:val="single" w:sz="12" w:space="0" w:color="auto"/>
            </w:tcBorders>
            <w:vAlign w:val="bottom"/>
          </w:tcPr>
          <w:p w:rsidR="00000000" w:rsidRDefault="00000000">
            <w:pPr>
              <w:spacing w:before="40" w:after="40" w:line="210" w:lineRule="exact"/>
              <w:ind w:right="40"/>
              <w:jc w:val="right"/>
              <w:rPr>
                <w:sz w:val="17"/>
              </w:rPr>
            </w:pPr>
          </w:p>
        </w:tc>
        <w:tc>
          <w:tcPr>
            <w:tcW w:w="648" w:type="dxa"/>
            <w:tcBorders>
              <w:top w:val="single" w:sz="12" w:space="0" w:color="auto"/>
            </w:tcBorders>
            <w:vAlign w:val="bottom"/>
          </w:tcPr>
          <w:p w:rsidR="00000000" w:rsidRDefault="00000000">
            <w:pPr>
              <w:spacing w:before="40" w:after="40" w:line="210" w:lineRule="exact"/>
              <w:ind w:right="40"/>
              <w:jc w:val="right"/>
              <w:rPr>
                <w:sz w:val="17"/>
              </w:rPr>
            </w:pPr>
          </w:p>
        </w:tc>
        <w:tc>
          <w:tcPr>
            <w:tcW w:w="639" w:type="dxa"/>
            <w:tcBorders>
              <w:top w:val="single" w:sz="12" w:space="0" w:color="auto"/>
            </w:tcBorders>
            <w:vAlign w:val="bottom"/>
          </w:tcPr>
          <w:p w:rsidR="00000000" w:rsidRDefault="00000000">
            <w:pPr>
              <w:spacing w:before="40" w:after="40" w:line="210" w:lineRule="exact"/>
              <w:ind w:right="40"/>
              <w:jc w:val="right"/>
              <w:rPr>
                <w:sz w:val="17"/>
              </w:rPr>
            </w:pPr>
          </w:p>
        </w:tc>
        <w:tc>
          <w:tcPr>
            <w:tcW w:w="648" w:type="dxa"/>
            <w:tcBorders>
              <w:top w:val="single" w:sz="12" w:space="0" w:color="auto"/>
            </w:tcBorders>
            <w:vAlign w:val="bottom"/>
          </w:tcPr>
          <w:p w:rsidR="00000000" w:rsidRDefault="00000000">
            <w:pPr>
              <w:spacing w:before="40" w:after="40" w:line="210" w:lineRule="exact"/>
              <w:ind w:right="40"/>
              <w:jc w:val="right"/>
              <w:rPr>
                <w:sz w:val="17"/>
              </w:rPr>
            </w:pPr>
          </w:p>
        </w:tc>
        <w:tc>
          <w:tcPr>
            <w:tcW w:w="648" w:type="dxa"/>
            <w:tcBorders>
              <w:top w:val="single" w:sz="12" w:space="0" w:color="auto"/>
            </w:tcBorders>
            <w:vAlign w:val="bottom"/>
          </w:tcPr>
          <w:p w:rsidR="00000000" w:rsidRDefault="00000000">
            <w:pPr>
              <w:spacing w:before="40" w:after="40" w:line="210" w:lineRule="exact"/>
              <w:ind w:right="40"/>
              <w:jc w:val="right"/>
              <w:rPr>
                <w:sz w:val="17"/>
              </w:rPr>
            </w:pPr>
          </w:p>
        </w:tc>
        <w:tc>
          <w:tcPr>
            <w:tcW w:w="647"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0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Пенсионеры по старо</w:t>
            </w:r>
            <w:r>
              <w:rPr>
                <w:sz w:val="17"/>
              </w:rPr>
              <w:t>с</w:t>
            </w:r>
            <w:r>
              <w:rPr>
                <w:sz w:val="17"/>
              </w:rPr>
              <w:t>ти</w:t>
            </w:r>
          </w:p>
        </w:tc>
        <w:tc>
          <w:tcPr>
            <w:tcW w:w="7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294 063</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r>
              <w:rPr>
                <w:sz w:val="17"/>
                <w:lang w:val="en-US"/>
              </w:rPr>
              <w:t xml:space="preserve"> </w:t>
            </w:r>
            <w:r>
              <w:rPr>
                <w:sz w:val="17"/>
              </w:rPr>
              <w:t>503</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r>
              <w:rPr>
                <w:sz w:val="17"/>
                <w:lang w:val="en-US"/>
              </w:rPr>
              <w:t xml:space="preserve"> </w:t>
            </w:r>
            <w:r>
              <w:rPr>
                <w:sz w:val="17"/>
              </w:rPr>
              <w:t>447</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r>
              <w:rPr>
                <w:sz w:val="17"/>
                <w:lang w:val="en-US"/>
              </w:rPr>
              <w:t xml:space="preserve"> </w:t>
            </w:r>
            <w:r>
              <w:rPr>
                <w:sz w:val="17"/>
              </w:rPr>
              <w:t>508</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r>
              <w:rPr>
                <w:sz w:val="17"/>
                <w:lang w:val="en-US"/>
              </w:rPr>
              <w:t xml:space="preserve"> </w:t>
            </w:r>
            <w:r>
              <w:rPr>
                <w:sz w:val="17"/>
              </w:rPr>
              <w:t>883</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r>
              <w:rPr>
                <w:sz w:val="17"/>
                <w:lang w:val="en-US"/>
              </w:rPr>
              <w:t xml:space="preserve"> </w:t>
            </w:r>
            <w:r>
              <w:rPr>
                <w:sz w:val="17"/>
              </w:rPr>
              <w:t>803</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r>
              <w:rPr>
                <w:sz w:val="17"/>
                <w:lang w:val="en-US"/>
              </w:rPr>
              <w:t xml:space="preserve"> </w:t>
            </w:r>
            <w:r>
              <w:rPr>
                <w:sz w:val="17"/>
              </w:rPr>
              <w:t>227</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r>
              <w:rPr>
                <w:sz w:val="17"/>
                <w:lang w:val="en-US"/>
              </w:rPr>
              <w:t xml:space="preserve"> </w:t>
            </w:r>
            <w:r>
              <w:rPr>
                <w:sz w:val="17"/>
              </w:rPr>
              <w:t>114</w:t>
            </w:r>
          </w:p>
        </w:tc>
        <w:tc>
          <w:tcPr>
            <w:tcW w:w="6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r>
              <w:rPr>
                <w:sz w:val="17"/>
                <w:lang w:val="en-US"/>
              </w:rPr>
              <w:t xml:space="preserve"> </w:t>
            </w:r>
            <w:r>
              <w:rPr>
                <w:sz w:val="17"/>
              </w:rPr>
              <w:t>578</w:t>
            </w:r>
          </w:p>
        </w:tc>
      </w:tr>
      <w:tr w:rsidR="00000000">
        <w:tblPrEx>
          <w:tblCellMar>
            <w:top w:w="0" w:type="dxa"/>
            <w:left w:w="0" w:type="dxa"/>
            <w:bottom w:w="0" w:type="dxa"/>
            <w:right w:w="0" w:type="dxa"/>
          </w:tblCellMar>
        </w:tblPrEx>
        <w:tc>
          <w:tcPr>
            <w:tcW w:w="20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Мужч</w:t>
            </w:r>
            <w:r>
              <w:rPr>
                <w:sz w:val="17"/>
              </w:rPr>
              <w:t>и</w:t>
            </w:r>
            <w:r>
              <w:rPr>
                <w:sz w:val="17"/>
              </w:rPr>
              <w:t>ны</w:t>
            </w:r>
          </w:p>
        </w:tc>
        <w:tc>
          <w:tcPr>
            <w:tcW w:w="7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91 427</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696</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r>
              <w:rPr>
                <w:sz w:val="17"/>
                <w:lang w:val="en-US"/>
              </w:rPr>
              <w:t xml:space="preserve"> </w:t>
            </w:r>
            <w:r>
              <w:rPr>
                <w:sz w:val="17"/>
              </w:rPr>
              <w:t>531</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r>
              <w:rPr>
                <w:sz w:val="17"/>
                <w:lang w:val="en-US"/>
              </w:rPr>
              <w:t xml:space="preserve"> </w:t>
            </w:r>
            <w:r>
              <w:rPr>
                <w:sz w:val="17"/>
              </w:rPr>
              <w:t>368</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r>
              <w:rPr>
                <w:sz w:val="17"/>
                <w:lang w:val="en-US"/>
              </w:rPr>
              <w:t xml:space="preserve"> </w:t>
            </w:r>
            <w:r>
              <w:rPr>
                <w:sz w:val="17"/>
              </w:rPr>
              <w:t>454</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r>
              <w:rPr>
                <w:sz w:val="17"/>
                <w:lang w:val="en-US"/>
              </w:rPr>
              <w:t xml:space="preserve"> </w:t>
            </w:r>
            <w:r>
              <w:rPr>
                <w:sz w:val="17"/>
              </w:rPr>
              <w:t>014</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r>
              <w:rPr>
                <w:sz w:val="17"/>
                <w:lang w:val="en-US"/>
              </w:rPr>
              <w:t xml:space="preserve"> </w:t>
            </w:r>
            <w:r>
              <w:rPr>
                <w:sz w:val="17"/>
              </w:rPr>
              <w:t>104</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r>
              <w:rPr>
                <w:sz w:val="17"/>
                <w:lang w:val="en-US"/>
              </w:rPr>
              <w:t xml:space="preserve"> </w:t>
            </w:r>
            <w:r>
              <w:rPr>
                <w:sz w:val="17"/>
              </w:rPr>
              <w:t>754</w:t>
            </w:r>
          </w:p>
        </w:tc>
        <w:tc>
          <w:tcPr>
            <w:tcW w:w="6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r>
              <w:rPr>
                <w:sz w:val="17"/>
                <w:lang w:val="en-US"/>
              </w:rPr>
              <w:t xml:space="preserve"> </w:t>
            </w:r>
            <w:r>
              <w:rPr>
                <w:sz w:val="17"/>
              </w:rPr>
              <w:t>508</w:t>
            </w:r>
          </w:p>
        </w:tc>
      </w:tr>
      <w:tr w:rsidR="00000000">
        <w:tblPrEx>
          <w:tblCellMar>
            <w:top w:w="0" w:type="dxa"/>
            <w:left w:w="0" w:type="dxa"/>
            <w:bottom w:w="0" w:type="dxa"/>
            <w:right w:w="0" w:type="dxa"/>
          </w:tblCellMar>
        </w:tblPrEx>
        <w:tc>
          <w:tcPr>
            <w:tcW w:w="20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Женщ</w:t>
            </w:r>
            <w:r>
              <w:rPr>
                <w:sz w:val="17"/>
              </w:rPr>
              <w:t>и</w:t>
            </w:r>
            <w:r>
              <w:rPr>
                <w:sz w:val="17"/>
              </w:rPr>
              <w:t>ны</w:t>
            </w:r>
          </w:p>
        </w:tc>
        <w:tc>
          <w:tcPr>
            <w:tcW w:w="7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202 636</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807</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r>
              <w:rPr>
                <w:sz w:val="17"/>
                <w:lang w:val="en-US"/>
              </w:rPr>
              <w:t xml:space="preserve"> </w:t>
            </w:r>
            <w:r>
              <w:rPr>
                <w:sz w:val="17"/>
              </w:rPr>
              <w:t>916</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r>
              <w:rPr>
                <w:sz w:val="17"/>
                <w:lang w:val="en-US"/>
              </w:rPr>
              <w:t xml:space="preserve"> </w:t>
            </w:r>
            <w:r>
              <w:rPr>
                <w:sz w:val="17"/>
              </w:rPr>
              <w:t>140</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r>
              <w:rPr>
                <w:sz w:val="17"/>
                <w:lang w:val="en-US"/>
              </w:rPr>
              <w:t xml:space="preserve"> </w:t>
            </w:r>
            <w:r>
              <w:rPr>
                <w:sz w:val="17"/>
              </w:rPr>
              <w:t>429</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r>
              <w:rPr>
                <w:sz w:val="17"/>
                <w:lang w:val="en-US"/>
              </w:rPr>
              <w:t xml:space="preserve"> </w:t>
            </w:r>
            <w:r>
              <w:rPr>
                <w:sz w:val="17"/>
              </w:rPr>
              <w:t>789</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r>
              <w:rPr>
                <w:sz w:val="17"/>
                <w:lang w:val="en-US"/>
              </w:rPr>
              <w:t xml:space="preserve"> </w:t>
            </w:r>
            <w:r>
              <w:rPr>
                <w:sz w:val="17"/>
              </w:rPr>
              <w:t>123</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r>
              <w:rPr>
                <w:sz w:val="17"/>
                <w:lang w:val="en-US"/>
              </w:rPr>
              <w:t xml:space="preserve"> </w:t>
            </w:r>
            <w:r>
              <w:rPr>
                <w:sz w:val="17"/>
              </w:rPr>
              <w:t>360</w:t>
            </w:r>
          </w:p>
        </w:tc>
        <w:tc>
          <w:tcPr>
            <w:tcW w:w="6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r>
              <w:rPr>
                <w:sz w:val="17"/>
                <w:lang w:val="en-US"/>
              </w:rPr>
              <w:t xml:space="preserve"> </w:t>
            </w:r>
            <w:r>
              <w:rPr>
                <w:sz w:val="17"/>
              </w:rPr>
              <w:t>072</w:t>
            </w:r>
          </w:p>
        </w:tc>
      </w:tr>
      <w:tr w:rsidR="00000000">
        <w:tblPrEx>
          <w:tblCellMar>
            <w:top w:w="0" w:type="dxa"/>
            <w:left w:w="0" w:type="dxa"/>
            <w:bottom w:w="0" w:type="dxa"/>
            <w:right w:w="0" w:type="dxa"/>
          </w:tblCellMar>
        </w:tblPrEx>
        <w:tc>
          <w:tcPr>
            <w:tcW w:w="20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Пенсионеры по выслуге лет</w:t>
            </w:r>
          </w:p>
        </w:tc>
        <w:tc>
          <w:tcPr>
            <w:tcW w:w="7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2 820</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r>
              <w:rPr>
                <w:sz w:val="17"/>
                <w:lang w:val="en-US"/>
              </w:rPr>
              <w:t xml:space="preserve"> </w:t>
            </w:r>
            <w:r>
              <w:rPr>
                <w:sz w:val="17"/>
              </w:rPr>
              <w:t>430</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965</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20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Мужч</w:t>
            </w:r>
            <w:r>
              <w:rPr>
                <w:sz w:val="17"/>
              </w:rPr>
              <w:t>и</w:t>
            </w:r>
            <w:r>
              <w:rPr>
                <w:sz w:val="17"/>
              </w:rPr>
              <w:t>ны</w:t>
            </w:r>
          </w:p>
        </w:tc>
        <w:tc>
          <w:tcPr>
            <w:tcW w:w="7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2 183</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r>
              <w:rPr>
                <w:sz w:val="17"/>
                <w:lang w:val="en-US"/>
              </w:rPr>
              <w:t xml:space="preserve"> </w:t>
            </w:r>
            <w:r>
              <w:rPr>
                <w:sz w:val="17"/>
              </w:rPr>
              <w:t>243</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20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Женщ</w:t>
            </w:r>
            <w:r>
              <w:rPr>
                <w:sz w:val="17"/>
              </w:rPr>
              <w:t>и</w:t>
            </w:r>
            <w:r>
              <w:rPr>
                <w:sz w:val="17"/>
              </w:rPr>
              <w:t>ны</w:t>
            </w:r>
          </w:p>
        </w:tc>
        <w:tc>
          <w:tcPr>
            <w:tcW w:w="7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0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Пенсионеры по нетруд</w:t>
            </w:r>
            <w:r>
              <w:rPr>
                <w:sz w:val="17"/>
              </w:rPr>
              <w:t>о</w:t>
            </w:r>
            <w:r>
              <w:rPr>
                <w:sz w:val="17"/>
              </w:rPr>
              <w:t>спосо</w:t>
            </w:r>
            <w:r>
              <w:rPr>
                <w:sz w:val="17"/>
              </w:rPr>
              <w:t>б</w:t>
            </w:r>
            <w:r>
              <w:rPr>
                <w:sz w:val="17"/>
              </w:rPr>
              <w:t>ности</w:t>
            </w:r>
          </w:p>
        </w:tc>
        <w:tc>
          <w:tcPr>
            <w:tcW w:w="7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55 480</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r>
              <w:rPr>
                <w:sz w:val="17"/>
                <w:lang w:val="en-US"/>
              </w:rPr>
              <w:t xml:space="preserve"> </w:t>
            </w:r>
            <w:r>
              <w:rPr>
                <w:sz w:val="17"/>
              </w:rPr>
              <w:t>724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r>
              <w:rPr>
                <w:sz w:val="17"/>
                <w:lang w:val="en-US"/>
              </w:rPr>
              <w:t xml:space="preserve"> </w:t>
            </w:r>
            <w:r>
              <w:rPr>
                <w:sz w:val="17"/>
              </w:rPr>
              <w:t>794</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r>
              <w:rPr>
                <w:sz w:val="17"/>
                <w:lang w:val="en-US"/>
              </w:rPr>
              <w:t xml:space="preserve"> </w:t>
            </w:r>
            <w:r>
              <w:rPr>
                <w:sz w:val="17"/>
              </w:rPr>
              <w:t>700</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r>
              <w:rPr>
                <w:sz w:val="17"/>
                <w:lang w:val="en-US"/>
              </w:rPr>
              <w:t xml:space="preserve"> </w:t>
            </w:r>
            <w:r>
              <w:rPr>
                <w:sz w:val="17"/>
              </w:rPr>
              <w:t>536</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r>
              <w:rPr>
                <w:sz w:val="17"/>
                <w:lang w:val="en-US"/>
              </w:rPr>
              <w:t xml:space="preserve"> </w:t>
            </w:r>
            <w:r>
              <w:rPr>
                <w:sz w:val="17"/>
              </w:rPr>
              <w:t>821</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0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Мужч</w:t>
            </w:r>
            <w:r>
              <w:rPr>
                <w:sz w:val="17"/>
              </w:rPr>
              <w:t>и</w:t>
            </w:r>
            <w:r>
              <w:rPr>
                <w:sz w:val="17"/>
              </w:rPr>
              <w:t>ны</w:t>
            </w:r>
          </w:p>
        </w:tc>
        <w:tc>
          <w:tcPr>
            <w:tcW w:w="7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30 897</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r>
              <w:rPr>
                <w:sz w:val="17"/>
                <w:lang w:val="en-US"/>
              </w:rPr>
              <w:t xml:space="preserve"> </w:t>
            </w:r>
            <w:r>
              <w:rPr>
                <w:sz w:val="17"/>
              </w:rPr>
              <w:t>162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r>
              <w:rPr>
                <w:sz w:val="17"/>
                <w:lang w:val="en-US"/>
              </w:rPr>
              <w:t xml:space="preserve"> </w:t>
            </w:r>
            <w:r>
              <w:rPr>
                <w:sz w:val="17"/>
              </w:rPr>
              <w:t>527</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r>
              <w:rPr>
                <w:sz w:val="17"/>
                <w:lang w:val="en-US"/>
              </w:rPr>
              <w:t xml:space="preserve"> </w:t>
            </w:r>
            <w:r>
              <w:rPr>
                <w:sz w:val="17"/>
              </w:rPr>
              <w:t>703</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r>
              <w:rPr>
                <w:sz w:val="17"/>
                <w:lang w:val="en-US"/>
              </w:rPr>
              <w:t xml:space="preserve"> </w:t>
            </w:r>
            <w:r>
              <w:rPr>
                <w:sz w:val="17"/>
              </w:rPr>
              <w:t>172</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r>
              <w:rPr>
                <w:sz w:val="17"/>
                <w:lang w:val="en-US"/>
              </w:rPr>
              <w:t xml:space="preserve"> </w:t>
            </w:r>
            <w:r>
              <w:rPr>
                <w:sz w:val="17"/>
              </w:rPr>
              <w:t>821</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0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Женщ</w:t>
            </w:r>
            <w:r>
              <w:rPr>
                <w:sz w:val="17"/>
              </w:rPr>
              <w:t>и</w:t>
            </w:r>
            <w:r>
              <w:rPr>
                <w:sz w:val="17"/>
              </w:rPr>
              <w:t>ны</w:t>
            </w:r>
          </w:p>
        </w:tc>
        <w:tc>
          <w:tcPr>
            <w:tcW w:w="7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24 583</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r>
              <w:rPr>
                <w:sz w:val="17"/>
                <w:lang w:val="en-US"/>
              </w:rPr>
              <w:t xml:space="preserve"> </w:t>
            </w:r>
            <w:r>
              <w:rPr>
                <w:sz w:val="17"/>
              </w:rPr>
              <w:t>562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r>
              <w:rPr>
                <w:sz w:val="17"/>
                <w:lang w:val="en-US"/>
              </w:rPr>
              <w:t xml:space="preserve"> </w:t>
            </w:r>
            <w:r>
              <w:rPr>
                <w:sz w:val="17"/>
              </w:rPr>
              <w:t>267</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r>
              <w:rPr>
                <w:sz w:val="17"/>
                <w:lang w:val="en-US"/>
              </w:rPr>
              <w:t xml:space="preserve"> </w:t>
            </w:r>
            <w:r>
              <w:rPr>
                <w:sz w:val="17"/>
              </w:rPr>
              <w:t>997</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r>
              <w:rPr>
                <w:sz w:val="17"/>
                <w:lang w:val="en-US"/>
              </w:rPr>
              <w:t xml:space="preserve"> </w:t>
            </w:r>
            <w:r>
              <w:rPr>
                <w:sz w:val="17"/>
              </w:rPr>
              <w:t>364</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0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Члены семей, получа</w:t>
            </w:r>
            <w:r>
              <w:rPr>
                <w:sz w:val="17"/>
              </w:rPr>
              <w:t>ю</w:t>
            </w:r>
            <w:r>
              <w:rPr>
                <w:sz w:val="17"/>
              </w:rPr>
              <w:t>щие пенсию в связи с потерей ко</w:t>
            </w:r>
            <w:r>
              <w:rPr>
                <w:sz w:val="17"/>
              </w:rPr>
              <w:t>р</w:t>
            </w:r>
            <w:r>
              <w:rPr>
                <w:sz w:val="17"/>
              </w:rPr>
              <w:t>мильца</w:t>
            </w:r>
          </w:p>
        </w:tc>
        <w:tc>
          <w:tcPr>
            <w:tcW w:w="7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11 613</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r>
              <w:rPr>
                <w:sz w:val="17"/>
                <w:lang w:val="en-US"/>
              </w:rPr>
              <w:t xml:space="preserve"> </w:t>
            </w:r>
            <w:r>
              <w:rPr>
                <w:sz w:val="17"/>
              </w:rPr>
              <w:t>455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r>
              <w:rPr>
                <w:sz w:val="17"/>
                <w:lang w:val="en-US"/>
              </w:rPr>
              <w:t xml:space="preserve"> </w:t>
            </w:r>
            <w:r>
              <w:rPr>
                <w:sz w:val="17"/>
              </w:rPr>
              <w:t>584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0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Мужч</w:t>
            </w:r>
            <w:r>
              <w:rPr>
                <w:sz w:val="17"/>
              </w:rPr>
              <w:t>и</w:t>
            </w:r>
            <w:r>
              <w:rPr>
                <w:sz w:val="17"/>
              </w:rPr>
              <w:t>ны</w:t>
            </w:r>
          </w:p>
        </w:tc>
        <w:tc>
          <w:tcPr>
            <w:tcW w:w="7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5 348</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r>
              <w:rPr>
                <w:sz w:val="17"/>
                <w:lang w:val="en-US"/>
              </w:rPr>
              <w:t xml:space="preserve"> </w:t>
            </w:r>
            <w:r>
              <w:rPr>
                <w:sz w:val="17"/>
              </w:rPr>
              <w:t>854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r>
              <w:rPr>
                <w:sz w:val="17"/>
                <w:lang w:val="en-US"/>
              </w:rPr>
              <w:t xml:space="preserve"> </w:t>
            </w:r>
            <w:r>
              <w:rPr>
                <w:sz w:val="17"/>
              </w:rPr>
              <w:t>467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0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Женщ</w:t>
            </w:r>
            <w:r>
              <w:rPr>
                <w:sz w:val="17"/>
              </w:rPr>
              <w:t>и</w:t>
            </w:r>
            <w:r>
              <w:rPr>
                <w:sz w:val="17"/>
              </w:rPr>
              <w:t>ны</w:t>
            </w:r>
          </w:p>
        </w:tc>
        <w:tc>
          <w:tcPr>
            <w:tcW w:w="7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6 265</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r>
              <w:rPr>
                <w:sz w:val="17"/>
                <w:lang w:val="en-US"/>
              </w:rPr>
              <w:t xml:space="preserve"> </w:t>
            </w:r>
            <w:r>
              <w:rPr>
                <w:sz w:val="17"/>
              </w:rPr>
              <w:t>601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r>
              <w:rPr>
                <w:sz w:val="17"/>
                <w:lang w:val="en-US"/>
              </w:rPr>
              <w:t xml:space="preserve"> </w:t>
            </w:r>
            <w:r>
              <w:rPr>
                <w:sz w:val="17"/>
              </w:rPr>
              <w:t>117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r>
      <w:tr w:rsidR="00000000">
        <w:tblPrEx>
          <w:tblCellMar>
            <w:top w:w="0" w:type="dxa"/>
            <w:left w:w="0" w:type="dxa"/>
            <w:bottom w:w="0" w:type="dxa"/>
            <w:right w:w="0" w:type="dxa"/>
          </w:tblCellMar>
        </w:tblPrEx>
        <w:tc>
          <w:tcPr>
            <w:tcW w:w="20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Реципиенты народной пенсии — члены семей, потерявшие ко</w:t>
            </w:r>
            <w:r>
              <w:rPr>
                <w:sz w:val="17"/>
              </w:rPr>
              <w:t>р</w:t>
            </w:r>
            <w:r>
              <w:rPr>
                <w:sz w:val="17"/>
              </w:rPr>
              <w:t>мильца</w:t>
            </w:r>
          </w:p>
        </w:tc>
        <w:tc>
          <w:tcPr>
            <w:tcW w:w="7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13 367</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r>
              <w:rPr>
                <w:sz w:val="17"/>
                <w:lang w:val="en-US"/>
              </w:rPr>
              <w:t xml:space="preserve"> </w:t>
            </w:r>
            <w:r>
              <w:rPr>
                <w:sz w:val="17"/>
              </w:rPr>
              <w:t>210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r>
              <w:rPr>
                <w:sz w:val="17"/>
                <w:lang w:val="en-US"/>
              </w:rPr>
              <w:t xml:space="preserve"> </w:t>
            </w:r>
            <w:r>
              <w:rPr>
                <w:sz w:val="17"/>
              </w:rPr>
              <w:t>778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r>
              <w:rPr>
                <w:sz w:val="17"/>
                <w:lang w:val="en-US"/>
              </w:rPr>
              <w:t xml:space="preserve"> </w:t>
            </w:r>
            <w:r>
              <w:rPr>
                <w:sz w:val="17"/>
              </w:rPr>
              <w:t>257</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r>
              <w:rPr>
                <w:sz w:val="17"/>
                <w:lang w:val="en-US"/>
              </w:rPr>
              <w:t xml:space="preserve"> </w:t>
            </w:r>
            <w:r>
              <w:rPr>
                <w:sz w:val="17"/>
              </w:rPr>
              <w:t>284</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6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r>
              <w:rPr>
                <w:sz w:val="17"/>
                <w:lang w:val="en-US"/>
              </w:rPr>
              <w:t xml:space="preserve"> </w:t>
            </w:r>
            <w:r>
              <w:rPr>
                <w:sz w:val="17"/>
              </w:rPr>
              <w:t>287</w:t>
            </w:r>
          </w:p>
        </w:tc>
      </w:tr>
      <w:tr w:rsidR="00000000">
        <w:tblPrEx>
          <w:tblCellMar>
            <w:top w:w="0" w:type="dxa"/>
            <w:left w:w="0" w:type="dxa"/>
            <w:bottom w:w="0" w:type="dxa"/>
            <w:right w:w="0" w:type="dxa"/>
          </w:tblCellMar>
        </w:tblPrEx>
        <w:tc>
          <w:tcPr>
            <w:tcW w:w="205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Мужч</w:t>
            </w:r>
            <w:r>
              <w:rPr>
                <w:sz w:val="17"/>
              </w:rPr>
              <w:t>и</w:t>
            </w:r>
            <w:r>
              <w:rPr>
                <w:sz w:val="17"/>
              </w:rPr>
              <w:t>ны</w:t>
            </w:r>
          </w:p>
        </w:tc>
        <w:tc>
          <w:tcPr>
            <w:tcW w:w="7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6 083</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r>
              <w:rPr>
                <w:sz w:val="17"/>
                <w:lang w:val="en-US"/>
              </w:rPr>
              <w:t xml:space="preserve"> </w:t>
            </w:r>
            <w:r>
              <w:rPr>
                <w:sz w:val="17"/>
              </w:rPr>
              <w:t>717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694</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827</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6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r>
      <w:tr w:rsidR="00000000">
        <w:tblPrEx>
          <w:tblCellMar>
            <w:top w:w="0" w:type="dxa"/>
            <w:left w:w="0" w:type="dxa"/>
            <w:bottom w:w="0" w:type="dxa"/>
            <w:right w:w="0" w:type="dxa"/>
          </w:tblCellMar>
        </w:tblPrEx>
        <w:tc>
          <w:tcPr>
            <w:tcW w:w="20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Женщ</w:t>
            </w:r>
            <w:r>
              <w:rPr>
                <w:sz w:val="17"/>
              </w:rPr>
              <w:t>и</w:t>
            </w:r>
            <w:r>
              <w:rPr>
                <w:sz w:val="17"/>
              </w:rPr>
              <w:t>ны</w:t>
            </w:r>
          </w:p>
        </w:tc>
        <w:tc>
          <w:tcPr>
            <w:tcW w:w="7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7 284</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r>
              <w:rPr>
                <w:sz w:val="17"/>
                <w:lang w:val="en-US"/>
              </w:rPr>
              <w:t xml:space="preserve"> </w:t>
            </w:r>
            <w:r>
              <w:rPr>
                <w:sz w:val="17"/>
              </w:rPr>
              <w:t xml:space="preserve">493 </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r>
              <w:rPr>
                <w:sz w:val="17"/>
                <w:lang w:val="en-US"/>
              </w:rPr>
              <w:t xml:space="preserve"> </w:t>
            </w:r>
            <w:r>
              <w:rPr>
                <w:sz w:val="17"/>
              </w:rPr>
              <w:t>022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6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457</w:t>
            </w:r>
          </w:p>
        </w:tc>
        <w:tc>
          <w:tcPr>
            <w:tcW w:w="6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6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6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r>
              <w:rPr>
                <w:sz w:val="17"/>
                <w:lang w:val="en-US"/>
              </w:rPr>
              <w:t xml:space="preserve"> </w:t>
            </w:r>
            <w:r>
              <w:rPr>
                <w:sz w:val="17"/>
              </w:rPr>
              <w:t>200</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Источник</w:t>
      </w:r>
      <w:r>
        <w:t>: Совет социального обеспечения, www.ensib.ee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Помимо Закона о государственном пенсионном страховании с 2004 года действует Закон о накопительной пенсии, цель которого создать возможность для лиц, делающих взносы на цели накопительной пенсии, получать по дост</w:t>
      </w:r>
      <w:r>
        <w:t>и</w:t>
      </w:r>
      <w:r>
        <w:t>жению пенсионного возраста дополнительный доход наряду с государственной пенсией.</w:t>
      </w:r>
    </w:p>
    <w:p w:rsidR="00000000" w:rsidRDefault="00000000">
      <w:pPr>
        <w:pStyle w:val="SingleTxt"/>
      </w:pPr>
      <w:r>
        <w:tab/>
        <w:t>В Законе предусмотрены два вида накопительной пенсии: обязательная накопительная пенсия и дополнительная накопительная пенсия (</w:t>
      </w:r>
      <w:r>
        <w:rPr>
          <w:lang w:val="en-US"/>
        </w:rPr>
        <w:t>I</w:t>
      </w:r>
      <w:r>
        <w:t xml:space="preserve"> и </w:t>
      </w:r>
      <w:r>
        <w:rPr>
          <w:lang w:val="en-US"/>
        </w:rPr>
        <w:t>II</w:t>
      </w:r>
      <w:r>
        <w:t xml:space="preserve"> элеме</w:t>
      </w:r>
      <w:r>
        <w:t>н</w:t>
      </w:r>
      <w:r>
        <w:t>ты). Обязательная накопительная пенсия — это гарантированное по закону п</w:t>
      </w:r>
      <w:r>
        <w:t>е</w:t>
      </w:r>
      <w:r>
        <w:t>риодическое возмещение, для получения которого в соответствии с Законом о накопительной пенсии и Законом о социальном налоге приобретаются паи пе</w:t>
      </w:r>
      <w:r>
        <w:t>н</w:t>
      </w:r>
      <w:r>
        <w:t>сионного фонда и выплата которого происходит из пенсионного фонда или в</w:t>
      </w:r>
      <w:r>
        <w:t>ы</w:t>
      </w:r>
      <w:r>
        <w:t>полняется страховщиком.</w:t>
      </w:r>
    </w:p>
    <w:p w:rsidR="00000000" w:rsidRDefault="00000000">
      <w:pPr>
        <w:pStyle w:val="SingleTxt"/>
      </w:pPr>
      <w:r>
        <w:tab/>
        <w:t>По существу это представляет собой систему индивидуальных сбереж</w:t>
      </w:r>
      <w:r>
        <w:t>е</w:t>
      </w:r>
      <w:r>
        <w:t>ний, при которой размер пенсии зависит от общей суммы внесенных платежей и прибыльности пенсионного фонда. Лица, родившиеся в 1983 году и в посл</w:t>
      </w:r>
      <w:r>
        <w:t>е</w:t>
      </w:r>
      <w:r>
        <w:t>дующие годы, обязаны вносить платежи на обязательную накопительную пе</w:t>
      </w:r>
      <w:r>
        <w:t>н</w:t>
      </w:r>
      <w:r>
        <w:t>сию.</w:t>
      </w:r>
    </w:p>
    <w:p w:rsidR="00000000" w:rsidRDefault="00000000">
      <w:pPr>
        <w:pStyle w:val="SingleTxt"/>
      </w:pPr>
      <w:r>
        <w:tab/>
        <w:t>По состоянию на ноябрь 2003 года 44,6 процента лиц, вступивших в фонд, были мужчинами и 55,4 процента — женщинами. По сравнению с общей численностью населения большинство вступивших в фонд имели возраст от 18 до 20 лет (90 процентов). В возрастной группе от 42 до 46 лет в фонд вступили 65 процентов мужчин и 50 процентов женщин. В возрастной группе 21–41 год в фонд вступили почти половина женщин и чуть больше 40 процентов мужчин.</w:t>
      </w:r>
    </w:p>
    <w:p w:rsidR="00000000" w:rsidRDefault="00000000">
      <w:pPr>
        <w:pStyle w:val="SingleTxt"/>
      </w:pPr>
      <w:r>
        <w:tab/>
        <w:t>Дополнительная накопительная пенсия - это возмещение, для получения которого приобретаются паи пенсионного фонда или заключается договор пе</w:t>
      </w:r>
      <w:r>
        <w:t>н</w:t>
      </w:r>
      <w:r>
        <w:t>сионного страхования. Доля женщин, вступивших в дополнительный накоп</w:t>
      </w:r>
      <w:r>
        <w:t>и</w:t>
      </w:r>
      <w:r>
        <w:t>тельный пенсионный фонд составляет 54 процента (в первые три месяца 2004 года в фонд вступили 58 248 человек).</w:t>
      </w:r>
    </w:p>
    <w:p w:rsidR="00000000" w:rsidRDefault="00000000">
      <w:pPr>
        <w:pStyle w:val="SingleTxt"/>
      </w:pPr>
      <w:r>
        <w:tab/>
        <w:t>Законом об отпусках, вступившим в силу 1 января 2002 года, предусмо</w:t>
      </w:r>
      <w:r>
        <w:t>т</w:t>
      </w:r>
      <w:r>
        <w:t>рен ряд поправок, создающих семьям льготные условия. Работодатель обязан предоставить одному из родителей, который воспитывает ребенка в возрасте до 7 лет, отпуск в удобное для него или нее время, и одному из родителей, кот</w:t>
      </w:r>
      <w:r>
        <w:t>о</w:t>
      </w:r>
      <w:r>
        <w:t>рый воспитывает ребенка в возрасте от 7 до 10 лет, по его или ее желанию должен быть предоставлен отпуск во время каникул ребенка. Законом об о</w:t>
      </w:r>
      <w:r>
        <w:t>т</w:t>
      </w:r>
      <w:r>
        <w:t>пусках также предусмотрена возможность получения так называемого род</w:t>
      </w:r>
      <w:r>
        <w:t>и</w:t>
      </w:r>
      <w:r>
        <w:t>тельского отпуска. Отец имеет право на получение дополнительного отпуска продолжительностью в 14 календарных дней в период отпуска жены по бер</w:t>
      </w:r>
      <w:r>
        <w:t>е</w:t>
      </w:r>
      <w:r>
        <w:t>менности или отпуска жены по уходу за ребенком либо в течение двух месяцев после рождения ребенка.</w:t>
      </w:r>
    </w:p>
    <w:p w:rsidR="00000000" w:rsidRDefault="00000000">
      <w:pPr>
        <w:pStyle w:val="SingleTxt"/>
        <w:spacing w:after="0" w:line="120" w:lineRule="exact"/>
        <w:rPr>
          <w:sz w:val="10"/>
        </w:rPr>
      </w:pPr>
    </w:p>
    <w:p w:rsidR="00000000" w:rsidRDefault="00000000">
      <w:pPr>
        <w:pStyle w:val="SingleTxt"/>
      </w:pPr>
      <w:r>
        <w:rPr>
          <w:b/>
        </w:rPr>
        <w:tab/>
        <w:t>f)</w:t>
      </w:r>
      <w:r>
        <w:rPr>
          <w:b/>
        </w:rPr>
        <w:tab/>
        <w:t>право на охрану здоровья и безопасные условия труда, в том числе по сохранению функции продолжения рода.</w:t>
      </w:r>
    </w:p>
    <w:p w:rsidR="00000000" w:rsidRDefault="00000000">
      <w:pPr>
        <w:pStyle w:val="SingleTxt"/>
      </w:pPr>
      <w:r>
        <w:tab/>
        <w:t>Законом о гигиене и безопасности труда и поправкой к Закону о безопа</w:t>
      </w:r>
      <w:r>
        <w:t>с</w:t>
      </w:r>
      <w:r>
        <w:t>ности продукции предусмотрены требования обеспечения гигиены и безопа</w:t>
      </w:r>
      <w:r>
        <w:t>с</w:t>
      </w:r>
      <w:r>
        <w:t>ности труда; обязанности работодателей и трудящихся по созданию безопа</w:t>
      </w:r>
      <w:r>
        <w:t>с</w:t>
      </w:r>
      <w:r>
        <w:t>ных для здоровья условий труда; организация служб гигиены и безопасности труда на предприятиях и на государственном уровне; процедура рассмотрения жалоб в административном порядке; и ответственность за нарушение требов</w:t>
      </w:r>
      <w:r>
        <w:t>а</w:t>
      </w:r>
      <w:r>
        <w:t>ний г</w:t>
      </w:r>
      <w:r>
        <w:t>и</w:t>
      </w:r>
      <w:r>
        <w:t>гиены и безопасности труда.</w:t>
      </w:r>
    </w:p>
    <w:p w:rsidR="00000000" w:rsidRDefault="00000000">
      <w:pPr>
        <w:pStyle w:val="SingleTxt"/>
      </w:pPr>
      <w:r>
        <w:tab/>
        <w:t>Государственный надзор за соблюдением требований обеспечения гиги</w:t>
      </w:r>
      <w:r>
        <w:t>е</w:t>
      </w:r>
      <w:r>
        <w:t>ны и безопасн</w:t>
      </w:r>
      <w:r>
        <w:t>о</w:t>
      </w:r>
      <w:r>
        <w:t>сти труда осуществляется Трудовой инспекцией.</w:t>
      </w:r>
    </w:p>
    <w:p w:rsidR="00000000" w:rsidRDefault="00000000">
      <w:pPr>
        <w:pStyle w:val="SingleTxt"/>
      </w:pPr>
      <w:r>
        <w:tab/>
        <w:t>По Закону о равноправии мужчин и женщин работодатели обязаны созд</w:t>
      </w:r>
      <w:r>
        <w:t>а</w:t>
      </w:r>
      <w:r>
        <w:t>вать работникам такие рабочие условия, которые приемлемы как для женщин, так и для мужчин, и помогают сочетать работу и семейную жизнь с учетом п</w:t>
      </w:r>
      <w:r>
        <w:t>о</w:t>
      </w:r>
      <w:r>
        <w:t>тре</w:t>
      </w:r>
      <w:r>
        <w:t>б</w:t>
      </w:r>
      <w:r>
        <w:t>ностей работников.</w:t>
      </w:r>
    </w:p>
    <w:p w:rsidR="00000000" w:rsidRDefault="00000000">
      <w:pPr>
        <w:pStyle w:val="SingleTxt"/>
        <w:spacing w:after="0" w:line="120" w:lineRule="exact"/>
        <w:rPr>
          <w:sz w:val="10"/>
        </w:rPr>
      </w:pPr>
    </w:p>
    <w:p w:rsidR="00000000" w:rsidRDefault="00000000">
      <w:pPr>
        <w:pStyle w:val="SingleTxt"/>
        <w:rPr>
          <w:b/>
        </w:rPr>
      </w:pPr>
      <w:r>
        <w:rPr>
          <w:b/>
        </w:rPr>
        <w:t>2.</w:t>
      </w:r>
      <w:r>
        <w:rPr>
          <w:b/>
        </w:rPr>
        <w:tab/>
        <w:t>Для предупреждения дискриминации в отношении женщин по пр</w:t>
      </w:r>
      <w:r>
        <w:rPr>
          <w:b/>
        </w:rPr>
        <w:t>и</w:t>
      </w:r>
      <w:r>
        <w:rPr>
          <w:b/>
        </w:rPr>
        <w:t>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00000" w:rsidRDefault="00000000">
      <w:pPr>
        <w:pStyle w:val="SingleTxt"/>
      </w:pPr>
      <w:r>
        <w:rPr>
          <w:b/>
        </w:rPr>
        <w:tab/>
        <w:t>a)</w:t>
      </w:r>
      <w:r>
        <w:rPr>
          <w:b/>
        </w:rPr>
        <w:tab/>
        <w:t>запретить, под угрозой применения санкций, увольнение с раб</w:t>
      </w:r>
      <w:r>
        <w:rPr>
          <w:b/>
        </w:rPr>
        <w:t>о</w:t>
      </w:r>
      <w:r>
        <w:rPr>
          <w:b/>
        </w:rPr>
        <w:t>ты на основании беременности или отпуска по беременности и родам или дискриминацию ввиду семейного положения при увольнении;</w:t>
      </w:r>
    </w:p>
    <w:p w:rsidR="00000000" w:rsidRDefault="00000000">
      <w:pPr>
        <w:pStyle w:val="SingleTxt"/>
      </w:pPr>
      <w:r>
        <w:tab/>
        <w:t>Правовые нормы, указанные в предыдущем докладе, по-прежнему ост</w:t>
      </w:r>
      <w:r>
        <w:t>а</w:t>
      </w:r>
      <w:r>
        <w:t>ются в силе.</w:t>
      </w:r>
    </w:p>
    <w:p w:rsidR="00000000" w:rsidRDefault="00000000">
      <w:pPr>
        <w:pStyle w:val="SingleTxt"/>
      </w:pPr>
      <w:r>
        <w:tab/>
        <w:t>Если работодатель, будь то по экономическим причинам или причинам производственного характера, увольняет или отправляет в обязательный отпуск всех тех, кто в недавнем прошлом находился в отпуске по уходу за ребенком или брал отпуск в силу семейных обстоятельств, то это рассматривается как ди</w:t>
      </w:r>
      <w:r>
        <w:t>с</w:t>
      </w:r>
      <w:r>
        <w:t>криминация.</w:t>
      </w:r>
    </w:p>
    <w:p w:rsidR="00000000" w:rsidRDefault="00000000">
      <w:pPr>
        <w:pStyle w:val="SingleTxt"/>
        <w:spacing w:after="0" w:line="120" w:lineRule="exact"/>
        <w:rPr>
          <w:sz w:val="10"/>
        </w:rPr>
      </w:pPr>
    </w:p>
    <w:p w:rsidR="00000000" w:rsidRDefault="00000000">
      <w:pPr>
        <w:pStyle w:val="SingleTxt"/>
      </w:pPr>
      <w:r>
        <w:rPr>
          <w:b/>
        </w:rPr>
        <w:tab/>
        <w:t>b)</w:t>
      </w:r>
      <w:r>
        <w:rPr>
          <w:b/>
        </w:rPr>
        <w:tab/>
        <w:t>ввести оплачиваемые отпуска или отпуска с сопоставимыми с</w:t>
      </w:r>
      <w:r>
        <w:rPr>
          <w:b/>
        </w:rPr>
        <w:t>о</w:t>
      </w:r>
      <w:r>
        <w:rPr>
          <w:b/>
        </w:rPr>
        <w:t>циальными пособиями по беременности и родам без утраты прежнего ме</w:t>
      </w:r>
      <w:r>
        <w:rPr>
          <w:b/>
        </w:rPr>
        <w:t>с</w:t>
      </w:r>
      <w:r>
        <w:rPr>
          <w:b/>
        </w:rPr>
        <w:t>та работы, старшинства или социальных пособий;</w:t>
      </w:r>
    </w:p>
    <w:p w:rsidR="00000000" w:rsidRDefault="00000000">
      <w:pPr>
        <w:pStyle w:val="SingleTxt"/>
      </w:pPr>
      <w:r>
        <w:tab/>
        <w:t>В соответствии с Законом об отпусках, действующим с 2001 года, матери или отцу по ее или его просьбе должен быть предоставлен родительский о</w:t>
      </w:r>
      <w:r>
        <w:t>т</w:t>
      </w:r>
      <w:r>
        <w:t>пуск для воспитания ребенка в возрасте до 3 лет. На период нахождения в т</w:t>
      </w:r>
      <w:r>
        <w:t>а</w:t>
      </w:r>
      <w:r>
        <w:t>ком отпуске трудовой договор или служебные отношения приостанавливаются и работнику выплачивается пособие в соответствии с Законом о родительском пособии или пособие по уходу за ребенком в соответствии с Законом о гос</w:t>
      </w:r>
      <w:r>
        <w:t>у</w:t>
      </w:r>
      <w:r>
        <w:t>дарс</w:t>
      </w:r>
      <w:r>
        <w:t>т</w:t>
      </w:r>
      <w:r>
        <w:t>венных пособиях семьям.</w:t>
      </w:r>
    </w:p>
    <w:p w:rsidR="00000000" w:rsidRDefault="00000000">
      <w:pPr>
        <w:pStyle w:val="SingleTxt"/>
      </w:pPr>
      <w:r>
        <w:tab/>
        <w:t>Начиная с 2002 года, возмещение в период отпуска по беременности и о</w:t>
      </w:r>
      <w:r>
        <w:t>т</w:t>
      </w:r>
      <w:r>
        <w:t>пуска по уходу за ребенком рассчитывается по доходу, который был получен в пре</w:t>
      </w:r>
      <w:r>
        <w:t>д</w:t>
      </w:r>
      <w:r>
        <w:t>шествующий год и с которого взимался социальный налог.</w:t>
      </w:r>
    </w:p>
    <w:p w:rsidR="00000000" w:rsidRDefault="00000000">
      <w:pPr>
        <w:pStyle w:val="SingleTxt"/>
        <w:spacing w:after="0" w:line="120" w:lineRule="exact"/>
        <w:rPr>
          <w:sz w:val="10"/>
        </w:rPr>
      </w:pPr>
    </w:p>
    <w:p w:rsidR="00000000" w:rsidRDefault="00000000">
      <w:pPr>
        <w:pStyle w:val="SingleTxt"/>
      </w:pPr>
      <w:r>
        <w:rPr>
          <w:b/>
        </w:rPr>
        <w:tab/>
        <w:t>с)</w:t>
      </w:r>
      <w:r>
        <w:rPr>
          <w:b/>
        </w:rPr>
        <w:tab/>
        <w:t>поощрять предоставление необходимых дополнительных соц</w:t>
      </w:r>
      <w:r>
        <w:rPr>
          <w:b/>
        </w:rPr>
        <w:t>и</w:t>
      </w:r>
      <w:r>
        <w:rPr>
          <w:b/>
        </w:rPr>
        <w:t>альных услуг, с тем чтобы позволить родителям совмещать выполнение семейных обязанностей с трудовой деятельностью и участием в общес</w:t>
      </w:r>
      <w:r>
        <w:rPr>
          <w:b/>
        </w:rPr>
        <w:t>т</w:t>
      </w:r>
      <w:r>
        <w:rPr>
          <w:b/>
        </w:rPr>
        <w:t>венной жизни, в частности посредством создания и расширения сети у</w:t>
      </w:r>
      <w:r>
        <w:rPr>
          <w:b/>
        </w:rPr>
        <w:t>ч</w:t>
      </w:r>
      <w:r>
        <w:rPr>
          <w:b/>
        </w:rPr>
        <w:t>реждений по уходу за детьми;</w:t>
      </w:r>
    </w:p>
    <w:p w:rsidR="00000000" w:rsidRDefault="00000000">
      <w:pPr>
        <w:pStyle w:val="SingleTxt"/>
      </w:pPr>
      <w:r>
        <w:tab/>
        <w:t>Забота о детях в дневное время является самым важным видом услуг для семей с малолетними детьми, позволяющим обоим родителям участвовать в трудовой жизни.</w:t>
      </w:r>
    </w:p>
    <w:p w:rsidR="00000000" w:rsidRDefault="00000000">
      <w:pPr>
        <w:pStyle w:val="SingleTxt"/>
      </w:pPr>
      <w:r>
        <w:tab/>
        <w:t>Уездные и городские органы власти обязаны на своей административной территории обеспечивать каждому ребенку до 7 лет возможность посещать детское дошкольное учреждение (в пределах района, обслуживаемого учре</w:t>
      </w:r>
      <w:r>
        <w:t>ж</w:t>
      </w:r>
      <w:r>
        <w:t>ден</w:t>
      </w:r>
      <w:r>
        <w:t>и</w:t>
      </w:r>
      <w:r>
        <w:t>ем).</w:t>
      </w:r>
    </w:p>
    <w:p w:rsidR="00000000" w:rsidRDefault="00000000">
      <w:pPr>
        <w:pStyle w:val="SingleTxt"/>
      </w:pPr>
      <w:r>
        <w:tab/>
        <w:t>Местные органы власти располагают базами данных о детях, посеща</w:t>
      </w:r>
      <w:r>
        <w:t>ю</w:t>
      </w:r>
      <w:r>
        <w:t>щих детские дошкольные учреждения, и информацией о деторождениях. Кол</w:t>
      </w:r>
      <w:r>
        <w:t>и</w:t>
      </w:r>
      <w:r>
        <w:t>чество зарегистрированных деторождений и данные реестра народонаселения служат основой для прогнозирования количества мест, требующихся в таких учреждениях.</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Виды детских учреждений по состоянию на 1 января 2002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23"/>
        <w:gridCol w:w="1038"/>
        <w:gridCol w:w="1353"/>
        <w:gridCol w:w="1353"/>
        <w:gridCol w:w="1353"/>
      </w:tblGrid>
      <w:tr w:rsidR="00000000">
        <w:tblPrEx>
          <w:tblCellMar>
            <w:top w:w="0" w:type="dxa"/>
            <w:left w:w="0" w:type="dxa"/>
            <w:bottom w:w="0" w:type="dxa"/>
            <w:right w:w="0" w:type="dxa"/>
          </w:tblCellMar>
        </w:tblPrEx>
        <w:trPr>
          <w:tblHeader/>
        </w:trPr>
        <w:tc>
          <w:tcPr>
            <w:tcW w:w="222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Детское учреждение</w:t>
            </w:r>
          </w:p>
        </w:tc>
        <w:tc>
          <w:tcPr>
            <w:tcW w:w="103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Количество </w:t>
            </w:r>
            <w:r>
              <w:rPr>
                <w:i/>
                <w:sz w:val="14"/>
              </w:rPr>
              <w:br/>
              <w:t>учре</w:t>
            </w:r>
            <w:r>
              <w:rPr>
                <w:i/>
                <w:sz w:val="14"/>
              </w:rPr>
              <w:t>ж</w:t>
            </w:r>
            <w:r>
              <w:rPr>
                <w:i/>
                <w:sz w:val="14"/>
              </w:rPr>
              <w:t>дений</w:t>
            </w:r>
          </w:p>
        </w:tc>
        <w:tc>
          <w:tcPr>
            <w:tcW w:w="135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Количество мест</w:t>
            </w:r>
          </w:p>
        </w:tc>
        <w:tc>
          <w:tcPr>
            <w:tcW w:w="135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Количество детей</w:t>
            </w:r>
          </w:p>
        </w:tc>
        <w:tc>
          <w:tcPr>
            <w:tcW w:w="1353"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Количество детей </w:t>
            </w:r>
            <w:r>
              <w:rPr>
                <w:i/>
                <w:sz w:val="14"/>
              </w:rPr>
              <w:br/>
              <w:t>на 100 мест</w:t>
            </w:r>
          </w:p>
        </w:tc>
      </w:tr>
      <w:tr w:rsidR="00000000">
        <w:tblPrEx>
          <w:tblCellMar>
            <w:top w:w="0" w:type="dxa"/>
            <w:left w:w="0" w:type="dxa"/>
            <w:bottom w:w="0" w:type="dxa"/>
            <w:right w:w="0" w:type="dxa"/>
          </w:tblCellMar>
        </w:tblPrEx>
        <w:trPr>
          <w:trHeight w:hRule="exact" w:val="115"/>
          <w:tblHeader/>
        </w:trPr>
        <w:tc>
          <w:tcPr>
            <w:tcW w:w="22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23" w:type="dxa"/>
            <w:vAlign w:val="bottom"/>
          </w:tcPr>
          <w:p w:rsidR="00000000" w:rsidRDefault="00000000">
            <w:pPr>
              <w:pStyle w:val="NormalWeb"/>
              <w:keepNext/>
              <w:keepLines/>
              <w:tabs>
                <w:tab w:val="left" w:pos="288"/>
                <w:tab w:val="left" w:pos="576"/>
                <w:tab w:val="left" w:pos="864"/>
                <w:tab w:val="left" w:pos="1152"/>
              </w:tabs>
              <w:spacing w:before="40" w:after="40" w:line="210" w:lineRule="exact"/>
              <w:ind w:right="43"/>
              <w:rPr>
                <w:sz w:val="17"/>
                <w:lang w:val="ru-RU"/>
              </w:rPr>
            </w:pPr>
            <w:r>
              <w:rPr>
                <w:sz w:val="17"/>
                <w:lang w:val="ru-RU"/>
              </w:rPr>
              <w:t>Ясли</w:t>
            </w:r>
          </w:p>
        </w:tc>
        <w:tc>
          <w:tcPr>
            <w:tcW w:w="1038"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10</w:t>
            </w:r>
          </w:p>
        </w:tc>
        <w:tc>
          <w:tcPr>
            <w:tcW w:w="135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406</w:t>
            </w:r>
          </w:p>
        </w:tc>
        <w:tc>
          <w:tcPr>
            <w:tcW w:w="135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473</w:t>
            </w:r>
          </w:p>
        </w:tc>
        <w:tc>
          <w:tcPr>
            <w:tcW w:w="135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117</w:t>
            </w:r>
          </w:p>
        </w:tc>
      </w:tr>
      <w:tr w:rsidR="00000000">
        <w:tblPrEx>
          <w:tblCellMar>
            <w:top w:w="0" w:type="dxa"/>
            <w:left w:w="0" w:type="dxa"/>
            <w:bottom w:w="0" w:type="dxa"/>
            <w:right w:w="0" w:type="dxa"/>
          </w:tblCellMar>
        </w:tblPrEx>
        <w:tc>
          <w:tcPr>
            <w:tcW w:w="2223"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Детский сад</w:t>
            </w:r>
          </w:p>
        </w:tc>
        <w:tc>
          <w:tcPr>
            <w:tcW w:w="1038"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533</w:t>
            </w:r>
          </w:p>
        </w:tc>
        <w:tc>
          <w:tcPr>
            <w:tcW w:w="135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45 412</w:t>
            </w:r>
          </w:p>
        </w:tc>
        <w:tc>
          <w:tcPr>
            <w:tcW w:w="135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45 956</w:t>
            </w:r>
          </w:p>
        </w:tc>
        <w:tc>
          <w:tcPr>
            <w:tcW w:w="135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101</w:t>
            </w:r>
          </w:p>
        </w:tc>
      </w:tr>
      <w:tr w:rsidR="00000000">
        <w:tblPrEx>
          <w:tblCellMar>
            <w:top w:w="0" w:type="dxa"/>
            <w:left w:w="0" w:type="dxa"/>
            <w:bottom w:w="0" w:type="dxa"/>
            <w:right w:w="0" w:type="dxa"/>
          </w:tblCellMar>
        </w:tblPrEx>
        <w:tc>
          <w:tcPr>
            <w:tcW w:w="2223"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Детский сад для детей с особыми ну</w:t>
            </w:r>
            <w:r>
              <w:rPr>
                <w:sz w:val="17"/>
              </w:rPr>
              <w:t>ж</w:t>
            </w:r>
            <w:r>
              <w:rPr>
                <w:sz w:val="17"/>
              </w:rPr>
              <w:t>дами</w:t>
            </w:r>
          </w:p>
        </w:tc>
        <w:tc>
          <w:tcPr>
            <w:tcW w:w="1038"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6</w:t>
            </w:r>
          </w:p>
        </w:tc>
        <w:tc>
          <w:tcPr>
            <w:tcW w:w="135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264</w:t>
            </w:r>
          </w:p>
        </w:tc>
        <w:tc>
          <w:tcPr>
            <w:tcW w:w="135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253</w:t>
            </w:r>
          </w:p>
        </w:tc>
        <w:tc>
          <w:tcPr>
            <w:tcW w:w="135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96</w:t>
            </w:r>
          </w:p>
        </w:tc>
      </w:tr>
      <w:tr w:rsidR="00000000">
        <w:tblPrEx>
          <w:tblCellMar>
            <w:top w:w="0" w:type="dxa"/>
            <w:left w:w="0" w:type="dxa"/>
            <w:bottom w:w="0" w:type="dxa"/>
            <w:right w:w="0" w:type="dxa"/>
          </w:tblCellMar>
        </w:tblPrEx>
        <w:tc>
          <w:tcPr>
            <w:tcW w:w="2223"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Детские це</w:t>
            </w:r>
            <w:r>
              <w:rPr>
                <w:sz w:val="17"/>
              </w:rPr>
              <w:t>н</w:t>
            </w:r>
            <w:r>
              <w:rPr>
                <w:sz w:val="17"/>
              </w:rPr>
              <w:t>тры</w:t>
            </w:r>
          </w:p>
        </w:tc>
        <w:tc>
          <w:tcPr>
            <w:tcW w:w="1038"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1</w:t>
            </w:r>
          </w:p>
        </w:tc>
        <w:tc>
          <w:tcPr>
            <w:tcW w:w="135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180</w:t>
            </w:r>
          </w:p>
        </w:tc>
        <w:tc>
          <w:tcPr>
            <w:tcW w:w="135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151</w:t>
            </w:r>
          </w:p>
        </w:tc>
        <w:tc>
          <w:tcPr>
            <w:tcW w:w="1353"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color w:val="000000"/>
                <w:sz w:val="17"/>
              </w:rPr>
            </w:pPr>
            <w:r>
              <w:rPr>
                <w:color w:val="000000"/>
                <w:sz w:val="17"/>
              </w:rPr>
              <w:t>84</w:t>
            </w:r>
          </w:p>
        </w:tc>
      </w:tr>
      <w:tr w:rsidR="00000000">
        <w:tblPrEx>
          <w:tblCellMar>
            <w:top w:w="0" w:type="dxa"/>
            <w:left w:w="0" w:type="dxa"/>
            <w:bottom w:w="0" w:type="dxa"/>
            <w:right w:w="0" w:type="dxa"/>
          </w:tblCellMar>
        </w:tblPrEx>
        <w:tc>
          <w:tcPr>
            <w:tcW w:w="2223" w:type="dxa"/>
            <w:vAlign w:val="bottom"/>
          </w:tcPr>
          <w:p w:rsidR="00000000" w:rsidRDefault="00000000">
            <w:pPr>
              <w:keepNext/>
              <w:keepLines/>
              <w:tabs>
                <w:tab w:val="left" w:pos="288"/>
                <w:tab w:val="left" w:pos="576"/>
                <w:tab w:val="left" w:pos="864"/>
                <w:tab w:val="left" w:pos="1152"/>
              </w:tabs>
              <w:spacing w:before="40" w:after="81" w:line="210" w:lineRule="exact"/>
              <w:ind w:right="43"/>
              <w:rPr>
                <w:sz w:val="17"/>
              </w:rPr>
            </w:pPr>
            <w:r>
              <w:rPr>
                <w:sz w:val="17"/>
              </w:rPr>
              <w:t>Детский сад — начальные классы школы</w:t>
            </w:r>
          </w:p>
        </w:tc>
        <w:tc>
          <w:tcPr>
            <w:tcW w:w="1038" w:type="dxa"/>
            <w:vAlign w:val="bottom"/>
          </w:tcPr>
          <w:p w:rsidR="00000000" w:rsidRDefault="00000000">
            <w:pPr>
              <w:keepNext/>
              <w:keepLines/>
              <w:tabs>
                <w:tab w:val="left" w:pos="288"/>
                <w:tab w:val="left" w:pos="576"/>
                <w:tab w:val="left" w:pos="864"/>
                <w:tab w:val="left" w:pos="1152"/>
              </w:tabs>
              <w:spacing w:before="40" w:after="81" w:line="210" w:lineRule="exact"/>
              <w:ind w:right="43"/>
              <w:jc w:val="right"/>
              <w:rPr>
                <w:color w:val="000000"/>
                <w:sz w:val="17"/>
              </w:rPr>
            </w:pPr>
            <w:r>
              <w:rPr>
                <w:color w:val="000000"/>
                <w:sz w:val="17"/>
              </w:rPr>
              <w:t>74</w:t>
            </w:r>
          </w:p>
        </w:tc>
        <w:tc>
          <w:tcPr>
            <w:tcW w:w="1353" w:type="dxa"/>
            <w:vAlign w:val="bottom"/>
          </w:tcPr>
          <w:p w:rsidR="00000000" w:rsidRDefault="00000000">
            <w:pPr>
              <w:keepNext/>
              <w:keepLines/>
              <w:tabs>
                <w:tab w:val="left" w:pos="288"/>
                <w:tab w:val="left" w:pos="576"/>
                <w:tab w:val="left" w:pos="864"/>
                <w:tab w:val="left" w:pos="1152"/>
              </w:tabs>
              <w:spacing w:before="40" w:after="81" w:line="210" w:lineRule="exact"/>
              <w:ind w:right="43"/>
              <w:jc w:val="right"/>
              <w:rPr>
                <w:color w:val="000000"/>
                <w:sz w:val="17"/>
              </w:rPr>
            </w:pPr>
            <w:r>
              <w:rPr>
                <w:color w:val="000000"/>
                <w:sz w:val="17"/>
              </w:rPr>
              <w:t>3 155</w:t>
            </w:r>
          </w:p>
        </w:tc>
        <w:tc>
          <w:tcPr>
            <w:tcW w:w="1353" w:type="dxa"/>
            <w:vAlign w:val="bottom"/>
          </w:tcPr>
          <w:p w:rsidR="00000000" w:rsidRDefault="00000000">
            <w:pPr>
              <w:keepNext/>
              <w:keepLines/>
              <w:tabs>
                <w:tab w:val="left" w:pos="288"/>
                <w:tab w:val="left" w:pos="576"/>
                <w:tab w:val="left" w:pos="864"/>
                <w:tab w:val="left" w:pos="1152"/>
              </w:tabs>
              <w:spacing w:before="40" w:after="81" w:line="210" w:lineRule="exact"/>
              <w:ind w:right="43"/>
              <w:jc w:val="right"/>
              <w:rPr>
                <w:color w:val="000000"/>
                <w:sz w:val="17"/>
              </w:rPr>
            </w:pPr>
            <w:r>
              <w:rPr>
                <w:color w:val="000000"/>
                <w:sz w:val="17"/>
              </w:rPr>
              <w:t>3 019</w:t>
            </w:r>
          </w:p>
        </w:tc>
        <w:tc>
          <w:tcPr>
            <w:tcW w:w="1353" w:type="dxa"/>
            <w:vAlign w:val="bottom"/>
          </w:tcPr>
          <w:p w:rsidR="00000000" w:rsidRDefault="00000000">
            <w:pPr>
              <w:keepNext/>
              <w:keepLines/>
              <w:tabs>
                <w:tab w:val="left" w:pos="288"/>
                <w:tab w:val="left" w:pos="576"/>
                <w:tab w:val="left" w:pos="864"/>
                <w:tab w:val="left" w:pos="1152"/>
              </w:tabs>
              <w:spacing w:before="40" w:after="81" w:line="210" w:lineRule="exact"/>
              <w:ind w:right="43"/>
              <w:jc w:val="right"/>
              <w:rPr>
                <w:color w:val="000000"/>
                <w:sz w:val="17"/>
              </w:rPr>
            </w:pPr>
            <w:r>
              <w:rPr>
                <w:color w:val="000000"/>
                <w:sz w:val="17"/>
              </w:rPr>
              <w:t>96</w:t>
            </w:r>
          </w:p>
        </w:tc>
      </w:tr>
      <w:tr w:rsidR="00000000">
        <w:tblPrEx>
          <w:tblCellMar>
            <w:top w:w="0" w:type="dxa"/>
            <w:left w:w="0" w:type="dxa"/>
            <w:bottom w:w="0" w:type="dxa"/>
            <w:right w:w="0" w:type="dxa"/>
          </w:tblCellMar>
        </w:tblPrEx>
        <w:tc>
          <w:tcPr>
            <w:tcW w:w="2223"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rPr>
                <w:b/>
                <w:sz w:val="17"/>
              </w:rPr>
            </w:pPr>
            <w:r>
              <w:rPr>
                <w:b/>
                <w:sz w:val="17"/>
              </w:rPr>
              <w:tab/>
              <w:t>Всего</w:t>
            </w:r>
          </w:p>
        </w:tc>
        <w:tc>
          <w:tcPr>
            <w:tcW w:w="1038"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jc w:val="right"/>
              <w:rPr>
                <w:b/>
                <w:color w:val="000000"/>
                <w:sz w:val="17"/>
              </w:rPr>
            </w:pPr>
            <w:r>
              <w:rPr>
                <w:b/>
                <w:color w:val="000000"/>
                <w:sz w:val="17"/>
              </w:rPr>
              <w:t>624</w:t>
            </w:r>
          </w:p>
        </w:tc>
        <w:tc>
          <w:tcPr>
            <w:tcW w:w="1353"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jc w:val="right"/>
              <w:rPr>
                <w:b/>
                <w:color w:val="000000"/>
                <w:sz w:val="17"/>
              </w:rPr>
            </w:pPr>
            <w:r>
              <w:rPr>
                <w:b/>
                <w:color w:val="000000"/>
                <w:sz w:val="17"/>
              </w:rPr>
              <w:t>49 417</w:t>
            </w:r>
          </w:p>
        </w:tc>
        <w:tc>
          <w:tcPr>
            <w:tcW w:w="1353"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jc w:val="right"/>
              <w:rPr>
                <w:b/>
                <w:color w:val="000000"/>
                <w:sz w:val="17"/>
              </w:rPr>
            </w:pPr>
            <w:r>
              <w:rPr>
                <w:b/>
                <w:color w:val="000000"/>
                <w:sz w:val="17"/>
              </w:rPr>
              <w:t>49 852</w:t>
            </w:r>
          </w:p>
        </w:tc>
        <w:tc>
          <w:tcPr>
            <w:tcW w:w="1353"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jc w:val="right"/>
              <w:rPr>
                <w:b/>
                <w:color w:val="000000"/>
                <w:sz w:val="17"/>
              </w:rPr>
            </w:pPr>
            <w:r>
              <w:rPr>
                <w:b/>
                <w:color w:val="000000"/>
                <w:sz w:val="17"/>
              </w:rPr>
              <w:t>101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Источник</w:t>
      </w:r>
      <w:r>
        <w:t>: министерство социальных дел.</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Помимо муниципальных дошкольных детских учреждений в Эстонии с</w:t>
      </w:r>
      <w:r>
        <w:t>у</w:t>
      </w:r>
      <w:r>
        <w:t>ществует 34 зарегистрированных частных детских учреждения (имеющих л</w:t>
      </w:r>
      <w:r>
        <w:t>и</w:t>
      </w:r>
      <w:r>
        <w:t>цензии на работу с дет</w:t>
      </w:r>
      <w:r>
        <w:t>ь</w:t>
      </w:r>
      <w:r>
        <w:t>ми).</w:t>
      </w:r>
    </w:p>
    <w:p w:rsidR="00000000" w:rsidRDefault="00000000">
      <w:pPr>
        <w:pStyle w:val="SingleTxt"/>
      </w:pPr>
      <w:r>
        <w:tab/>
        <w:t>Дети в возрасте 5 и 6 лет являются самой многочисленной группой детей в дошкольных детских учреждениях. 83 процента детей в этом возрасте пос</w:t>
      </w:r>
      <w:r>
        <w:t>е</w:t>
      </w:r>
      <w:r>
        <w:t>щают детские учреждения. Детские учреждения в Эстонии посещают 31,8 процента детей в возрасте от одного года до двух лет и 74,6 процента д</w:t>
      </w:r>
      <w:r>
        <w:t>е</w:t>
      </w:r>
      <w:r>
        <w:t>тей трехлетнего возраста (согласно данным Статистического бюро за 2002 год). Хотя родителю, воспитывающему одного или большее число детей в возрасте до трех лет, выплачивается пособие по уходу за ребенком, многие семьи пом</w:t>
      </w:r>
      <w:r>
        <w:t>е</w:t>
      </w:r>
      <w:r>
        <w:t>щают своих детей в детские учреждения до того, как им исполнится три года. Это объясняется тем, что матери возвращаются на работу либо потому, что п</w:t>
      </w:r>
      <w:r>
        <w:t>о</w:t>
      </w:r>
      <w:r>
        <w:t>собие недостаточно большое, чтобы мать могла оставаться дома с ребенком, либо потому, что мать боится п</w:t>
      </w:r>
      <w:r>
        <w:t>о</w:t>
      </w:r>
      <w:r>
        <w:t>терять свою квалификацию.</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Доля детей в детских учреждениях с разбивкой по возрасту (исключая школьников) по состоянию на 1 января 2002 года</w:t>
      </w:r>
    </w:p>
    <w:p w:rsidR="00000000" w:rsidRDefault="00000000">
      <w:pPr>
        <w:pStyle w:val="SingleTxt"/>
      </w:pPr>
    </w:p>
    <w:tbl>
      <w:tblPr>
        <w:tblW w:w="0" w:type="auto"/>
        <w:tblInd w:w="1280" w:type="dxa"/>
        <w:tblLayout w:type="fixed"/>
        <w:tblCellMar>
          <w:left w:w="0" w:type="dxa"/>
          <w:right w:w="0" w:type="dxa"/>
        </w:tblCellMar>
        <w:tblLook w:val="0000" w:firstRow="0" w:lastRow="0" w:firstColumn="0" w:lastColumn="0" w:noHBand="0" w:noVBand="0"/>
      </w:tblPr>
      <w:tblGrid>
        <w:gridCol w:w="2043"/>
        <w:gridCol w:w="763"/>
        <w:gridCol w:w="764"/>
        <w:gridCol w:w="764"/>
        <w:gridCol w:w="763"/>
        <w:gridCol w:w="764"/>
        <w:gridCol w:w="764"/>
        <w:gridCol w:w="764"/>
      </w:tblGrid>
      <w:tr w:rsidR="00000000">
        <w:tblPrEx>
          <w:tblCellMar>
            <w:top w:w="0" w:type="dxa"/>
            <w:left w:w="0" w:type="dxa"/>
            <w:bottom w:w="0" w:type="dxa"/>
            <w:right w:w="0" w:type="dxa"/>
          </w:tblCellMar>
        </w:tblPrEx>
        <w:trPr>
          <w:cantSplit/>
          <w:trHeight w:val="187"/>
          <w:tblHeader/>
        </w:trPr>
        <w:tc>
          <w:tcPr>
            <w:tcW w:w="2043" w:type="dxa"/>
            <w:tcBorders>
              <w:top w:val="single" w:sz="4" w:space="0" w:color="auto"/>
              <w:bottom w:val="single" w:sz="12" w:space="0" w:color="auto"/>
            </w:tcBorders>
            <w:vAlign w:val="bottom"/>
          </w:tcPr>
          <w:p w:rsidR="00000000" w:rsidRDefault="00000000">
            <w:pPr>
              <w:spacing w:before="81" w:after="81" w:line="160" w:lineRule="exact"/>
              <w:ind w:right="40"/>
              <w:jc w:val="both"/>
              <w:rPr>
                <w:b/>
                <w:i/>
                <w:color w:val="000000"/>
                <w:sz w:val="14"/>
              </w:rPr>
            </w:pPr>
          </w:p>
        </w:tc>
        <w:tc>
          <w:tcPr>
            <w:tcW w:w="763" w:type="dxa"/>
            <w:tcBorders>
              <w:top w:val="single" w:sz="4" w:space="0" w:color="auto"/>
              <w:bottom w:val="single" w:sz="12" w:space="0" w:color="auto"/>
            </w:tcBorders>
            <w:vAlign w:val="bottom"/>
          </w:tcPr>
          <w:p w:rsidR="00000000" w:rsidRDefault="00000000">
            <w:pPr>
              <w:spacing w:before="81" w:after="81" w:line="160" w:lineRule="exact"/>
              <w:ind w:right="40"/>
              <w:jc w:val="right"/>
              <w:rPr>
                <w:b/>
                <w:i/>
                <w:color w:val="000000"/>
                <w:sz w:val="14"/>
              </w:rPr>
            </w:pPr>
            <w:r>
              <w:rPr>
                <w:b/>
                <w:i/>
                <w:color w:val="000000"/>
                <w:sz w:val="14"/>
              </w:rPr>
              <w:t>1</w:t>
            </w:r>
          </w:p>
        </w:tc>
        <w:tc>
          <w:tcPr>
            <w:tcW w:w="764" w:type="dxa"/>
            <w:tcBorders>
              <w:top w:val="single" w:sz="4" w:space="0" w:color="auto"/>
              <w:bottom w:val="single" w:sz="12" w:space="0" w:color="auto"/>
            </w:tcBorders>
            <w:vAlign w:val="bottom"/>
          </w:tcPr>
          <w:p w:rsidR="00000000" w:rsidRDefault="00000000">
            <w:pPr>
              <w:spacing w:before="81" w:after="81" w:line="160" w:lineRule="exact"/>
              <w:ind w:right="40"/>
              <w:jc w:val="right"/>
              <w:rPr>
                <w:b/>
                <w:i/>
                <w:color w:val="000000"/>
                <w:sz w:val="14"/>
              </w:rPr>
            </w:pPr>
            <w:r>
              <w:rPr>
                <w:b/>
                <w:i/>
                <w:color w:val="000000"/>
                <w:sz w:val="14"/>
              </w:rPr>
              <w:t>2</w:t>
            </w:r>
          </w:p>
        </w:tc>
        <w:tc>
          <w:tcPr>
            <w:tcW w:w="764" w:type="dxa"/>
            <w:tcBorders>
              <w:top w:val="single" w:sz="4" w:space="0" w:color="auto"/>
              <w:bottom w:val="single" w:sz="12" w:space="0" w:color="auto"/>
            </w:tcBorders>
            <w:vAlign w:val="bottom"/>
          </w:tcPr>
          <w:p w:rsidR="00000000" w:rsidRDefault="00000000">
            <w:pPr>
              <w:spacing w:before="81" w:after="81" w:line="160" w:lineRule="exact"/>
              <w:ind w:right="40"/>
              <w:jc w:val="right"/>
              <w:rPr>
                <w:b/>
                <w:i/>
                <w:color w:val="000000"/>
                <w:sz w:val="14"/>
              </w:rPr>
            </w:pPr>
            <w:r>
              <w:rPr>
                <w:b/>
                <w:i/>
                <w:color w:val="000000"/>
                <w:sz w:val="14"/>
              </w:rPr>
              <w:t>3</w:t>
            </w:r>
          </w:p>
        </w:tc>
        <w:tc>
          <w:tcPr>
            <w:tcW w:w="763" w:type="dxa"/>
            <w:tcBorders>
              <w:top w:val="single" w:sz="4" w:space="0" w:color="auto"/>
              <w:bottom w:val="single" w:sz="12" w:space="0" w:color="auto"/>
            </w:tcBorders>
            <w:vAlign w:val="bottom"/>
          </w:tcPr>
          <w:p w:rsidR="00000000" w:rsidRDefault="00000000">
            <w:pPr>
              <w:spacing w:before="81" w:after="81" w:line="160" w:lineRule="exact"/>
              <w:ind w:right="40"/>
              <w:jc w:val="right"/>
              <w:rPr>
                <w:b/>
                <w:i/>
                <w:color w:val="000000"/>
                <w:sz w:val="14"/>
              </w:rPr>
            </w:pPr>
            <w:r>
              <w:rPr>
                <w:b/>
                <w:i/>
                <w:color w:val="000000"/>
                <w:sz w:val="14"/>
              </w:rPr>
              <w:t>4</w:t>
            </w:r>
          </w:p>
        </w:tc>
        <w:tc>
          <w:tcPr>
            <w:tcW w:w="764" w:type="dxa"/>
            <w:tcBorders>
              <w:top w:val="single" w:sz="4" w:space="0" w:color="auto"/>
              <w:bottom w:val="single" w:sz="12" w:space="0" w:color="auto"/>
            </w:tcBorders>
            <w:vAlign w:val="bottom"/>
          </w:tcPr>
          <w:p w:rsidR="00000000" w:rsidRDefault="00000000">
            <w:pPr>
              <w:spacing w:before="81" w:after="81" w:line="160" w:lineRule="exact"/>
              <w:ind w:right="40"/>
              <w:jc w:val="right"/>
              <w:rPr>
                <w:b/>
                <w:i/>
                <w:color w:val="000000"/>
                <w:sz w:val="14"/>
              </w:rPr>
            </w:pPr>
            <w:r>
              <w:rPr>
                <w:b/>
                <w:i/>
                <w:color w:val="000000"/>
                <w:sz w:val="14"/>
              </w:rPr>
              <w:t>5</w:t>
            </w:r>
          </w:p>
        </w:tc>
        <w:tc>
          <w:tcPr>
            <w:tcW w:w="764" w:type="dxa"/>
            <w:tcBorders>
              <w:top w:val="single" w:sz="4" w:space="0" w:color="auto"/>
              <w:bottom w:val="single" w:sz="12" w:space="0" w:color="auto"/>
            </w:tcBorders>
            <w:vAlign w:val="bottom"/>
          </w:tcPr>
          <w:p w:rsidR="00000000" w:rsidRDefault="00000000">
            <w:pPr>
              <w:spacing w:before="81" w:after="81" w:line="160" w:lineRule="exact"/>
              <w:ind w:right="40"/>
              <w:jc w:val="right"/>
              <w:rPr>
                <w:b/>
                <w:i/>
                <w:color w:val="000000"/>
                <w:sz w:val="14"/>
              </w:rPr>
            </w:pPr>
            <w:r>
              <w:rPr>
                <w:b/>
                <w:i/>
                <w:color w:val="000000"/>
                <w:sz w:val="14"/>
              </w:rPr>
              <w:t>6</w:t>
            </w:r>
          </w:p>
        </w:tc>
        <w:tc>
          <w:tcPr>
            <w:tcW w:w="764" w:type="dxa"/>
            <w:tcBorders>
              <w:top w:val="single" w:sz="4" w:space="0" w:color="auto"/>
              <w:bottom w:val="single" w:sz="12" w:space="0" w:color="auto"/>
            </w:tcBorders>
            <w:vAlign w:val="bottom"/>
          </w:tcPr>
          <w:p w:rsidR="00000000" w:rsidRDefault="00000000">
            <w:pPr>
              <w:spacing w:before="81" w:after="81" w:line="160" w:lineRule="exact"/>
              <w:ind w:right="40"/>
              <w:jc w:val="right"/>
              <w:rPr>
                <w:b/>
                <w:i/>
                <w:color w:val="000000"/>
                <w:sz w:val="14"/>
              </w:rPr>
            </w:pPr>
            <w:r>
              <w:rPr>
                <w:b/>
                <w:i/>
                <w:color w:val="000000"/>
                <w:sz w:val="14"/>
              </w:rPr>
              <w:t>7</w:t>
            </w:r>
          </w:p>
        </w:tc>
      </w:tr>
      <w:tr w:rsidR="00000000">
        <w:tblPrEx>
          <w:tblCellMar>
            <w:top w:w="0" w:type="dxa"/>
            <w:left w:w="0" w:type="dxa"/>
            <w:bottom w:w="0" w:type="dxa"/>
            <w:right w:w="0" w:type="dxa"/>
          </w:tblCellMar>
        </w:tblPrEx>
        <w:trPr>
          <w:cantSplit/>
          <w:trHeight w:hRule="exact" w:val="115"/>
          <w:tblHeader/>
        </w:trPr>
        <w:tc>
          <w:tcPr>
            <w:tcW w:w="2043" w:type="dxa"/>
            <w:vAlign w:val="bottom"/>
          </w:tcPr>
          <w:p w:rsidR="00000000" w:rsidRDefault="00000000">
            <w:pPr>
              <w:spacing w:before="40" w:after="40" w:line="210" w:lineRule="exact"/>
              <w:ind w:right="40"/>
              <w:rPr>
                <w:color w:val="000000"/>
                <w:sz w:val="17"/>
              </w:rPr>
            </w:pPr>
          </w:p>
        </w:tc>
        <w:tc>
          <w:tcPr>
            <w:tcW w:w="763" w:type="dxa"/>
            <w:vAlign w:val="bottom"/>
          </w:tcPr>
          <w:p w:rsidR="00000000" w:rsidRDefault="00000000">
            <w:pPr>
              <w:spacing w:before="40" w:after="40" w:line="210" w:lineRule="exact"/>
              <w:ind w:right="40"/>
              <w:jc w:val="right"/>
              <w:rPr>
                <w:snapToGrid w:val="0"/>
                <w:color w:val="000000"/>
                <w:sz w:val="17"/>
              </w:rPr>
            </w:pPr>
          </w:p>
        </w:tc>
        <w:tc>
          <w:tcPr>
            <w:tcW w:w="764" w:type="dxa"/>
            <w:vAlign w:val="bottom"/>
          </w:tcPr>
          <w:p w:rsidR="00000000" w:rsidRDefault="00000000">
            <w:pPr>
              <w:spacing w:before="40" w:after="40" w:line="210" w:lineRule="exact"/>
              <w:ind w:right="40"/>
              <w:jc w:val="right"/>
              <w:rPr>
                <w:snapToGrid w:val="0"/>
                <w:color w:val="000000"/>
                <w:sz w:val="17"/>
              </w:rPr>
            </w:pPr>
          </w:p>
        </w:tc>
        <w:tc>
          <w:tcPr>
            <w:tcW w:w="764" w:type="dxa"/>
            <w:vAlign w:val="bottom"/>
          </w:tcPr>
          <w:p w:rsidR="00000000" w:rsidRDefault="00000000">
            <w:pPr>
              <w:spacing w:before="40" w:after="40" w:line="210" w:lineRule="exact"/>
              <w:ind w:right="40"/>
              <w:jc w:val="right"/>
              <w:rPr>
                <w:snapToGrid w:val="0"/>
                <w:color w:val="000000"/>
                <w:sz w:val="17"/>
              </w:rPr>
            </w:pPr>
          </w:p>
        </w:tc>
        <w:tc>
          <w:tcPr>
            <w:tcW w:w="763" w:type="dxa"/>
            <w:vAlign w:val="bottom"/>
          </w:tcPr>
          <w:p w:rsidR="00000000" w:rsidRDefault="00000000">
            <w:pPr>
              <w:spacing w:before="40" w:after="40" w:line="210" w:lineRule="exact"/>
              <w:ind w:right="40"/>
              <w:jc w:val="right"/>
              <w:rPr>
                <w:snapToGrid w:val="0"/>
                <w:color w:val="000000"/>
                <w:sz w:val="17"/>
              </w:rPr>
            </w:pPr>
          </w:p>
        </w:tc>
        <w:tc>
          <w:tcPr>
            <w:tcW w:w="764" w:type="dxa"/>
            <w:vAlign w:val="bottom"/>
          </w:tcPr>
          <w:p w:rsidR="00000000" w:rsidRDefault="00000000">
            <w:pPr>
              <w:spacing w:before="40" w:after="40" w:line="210" w:lineRule="exact"/>
              <w:ind w:right="40"/>
              <w:jc w:val="right"/>
              <w:rPr>
                <w:snapToGrid w:val="0"/>
                <w:color w:val="000000"/>
                <w:sz w:val="17"/>
              </w:rPr>
            </w:pPr>
          </w:p>
        </w:tc>
        <w:tc>
          <w:tcPr>
            <w:tcW w:w="764" w:type="dxa"/>
            <w:vAlign w:val="bottom"/>
          </w:tcPr>
          <w:p w:rsidR="00000000" w:rsidRDefault="00000000">
            <w:pPr>
              <w:spacing w:before="40" w:after="40" w:line="210" w:lineRule="exact"/>
              <w:ind w:right="40"/>
              <w:jc w:val="right"/>
              <w:rPr>
                <w:snapToGrid w:val="0"/>
                <w:color w:val="000000"/>
                <w:sz w:val="17"/>
              </w:rPr>
            </w:pPr>
          </w:p>
        </w:tc>
        <w:tc>
          <w:tcPr>
            <w:tcW w:w="764" w:type="dxa"/>
            <w:vAlign w:val="bottom"/>
          </w:tcPr>
          <w:p w:rsidR="00000000" w:rsidRDefault="00000000">
            <w:pPr>
              <w:spacing w:before="40" w:after="40" w:line="210" w:lineRule="exact"/>
              <w:ind w:right="40"/>
              <w:jc w:val="right"/>
              <w:rPr>
                <w:snapToGrid w:val="0"/>
                <w:color w:val="000000"/>
                <w:sz w:val="17"/>
              </w:rPr>
            </w:pPr>
          </w:p>
        </w:tc>
      </w:tr>
      <w:tr w:rsidR="00000000">
        <w:tblPrEx>
          <w:tblCellMar>
            <w:top w:w="0" w:type="dxa"/>
            <w:left w:w="0" w:type="dxa"/>
            <w:bottom w:w="0" w:type="dxa"/>
            <w:right w:w="0" w:type="dxa"/>
          </w:tblCellMar>
        </w:tblPrEx>
        <w:trPr>
          <w:cantSplit/>
        </w:trPr>
        <w:tc>
          <w:tcPr>
            <w:tcW w:w="2043" w:type="dxa"/>
            <w:vAlign w:val="bottom"/>
          </w:tcPr>
          <w:p w:rsidR="00000000" w:rsidRDefault="00000000">
            <w:pPr>
              <w:tabs>
                <w:tab w:val="left" w:pos="288"/>
                <w:tab w:val="left" w:pos="576"/>
                <w:tab w:val="left" w:pos="864"/>
                <w:tab w:val="left" w:pos="1152"/>
              </w:tabs>
              <w:spacing w:before="40" w:after="40" w:line="210" w:lineRule="exact"/>
              <w:ind w:right="43"/>
              <w:rPr>
                <w:color w:val="000000"/>
                <w:sz w:val="17"/>
              </w:rPr>
            </w:pPr>
            <w:r>
              <w:rPr>
                <w:color w:val="000000"/>
                <w:sz w:val="17"/>
              </w:rPr>
              <w:t>Всего д</w:t>
            </w:r>
            <w:r>
              <w:rPr>
                <w:color w:val="000000"/>
                <w:sz w:val="17"/>
              </w:rPr>
              <w:t>е</w:t>
            </w:r>
            <w:r>
              <w:rPr>
                <w:color w:val="000000"/>
                <w:sz w:val="17"/>
              </w:rPr>
              <w:t>тей</w:t>
            </w:r>
          </w:p>
        </w:tc>
        <w:tc>
          <w:tcPr>
            <w:tcW w:w="763" w:type="dxa"/>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12 932</w:t>
            </w:r>
          </w:p>
        </w:tc>
        <w:tc>
          <w:tcPr>
            <w:tcW w:w="764" w:type="dxa"/>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12 044</w:t>
            </w:r>
          </w:p>
        </w:tc>
        <w:tc>
          <w:tcPr>
            <w:tcW w:w="764" w:type="dxa"/>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11 752</w:t>
            </w:r>
          </w:p>
        </w:tc>
        <w:tc>
          <w:tcPr>
            <w:tcW w:w="763" w:type="dxa"/>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12 082</w:t>
            </w:r>
          </w:p>
        </w:tc>
        <w:tc>
          <w:tcPr>
            <w:tcW w:w="764" w:type="dxa"/>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12 674</w:t>
            </w:r>
          </w:p>
        </w:tc>
        <w:tc>
          <w:tcPr>
            <w:tcW w:w="764" w:type="dxa"/>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12 816</w:t>
            </w:r>
          </w:p>
        </w:tc>
        <w:tc>
          <w:tcPr>
            <w:tcW w:w="764" w:type="dxa"/>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13 292</w:t>
            </w:r>
          </w:p>
        </w:tc>
      </w:tr>
      <w:tr w:rsidR="00000000">
        <w:tblPrEx>
          <w:tblCellMar>
            <w:top w:w="0" w:type="dxa"/>
            <w:left w:w="0" w:type="dxa"/>
            <w:bottom w:w="0" w:type="dxa"/>
            <w:right w:w="0" w:type="dxa"/>
          </w:tblCellMar>
        </w:tblPrEx>
        <w:trPr>
          <w:cantSplit/>
        </w:trPr>
        <w:tc>
          <w:tcPr>
            <w:tcW w:w="2043" w:type="dxa"/>
            <w:vAlign w:val="bottom"/>
          </w:tcPr>
          <w:p w:rsidR="00000000" w:rsidRDefault="00000000">
            <w:pPr>
              <w:tabs>
                <w:tab w:val="left" w:pos="288"/>
                <w:tab w:val="left" w:pos="576"/>
                <w:tab w:val="left" w:pos="864"/>
                <w:tab w:val="left" w:pos="1152"/>
                <w:tab w:val="left" w:pos="3828"/>
              </w:tabs>
              <w:spacing w:before="40" w:after="40" w:line="210" w:lineRule="exact"/>
              <w:ind w:right="43"/>
              <w:rPr>
                <w:color w:val="000000"/>
                <w:sz w:val="17"/>
              </w:rPr>
            </w:pPr>
            <w:r>
              <w:rPr>
                <w:color w:val="000000"/>
                <w:sz w:val="17"/>
              </w:rPr>
              <w:t>Количество детей в де</w:t>
            </w:r>
            <w:r>
              <w:rPr>
                <w:color w:val="000000"/>
                <w:sz w:val="17"/>
              </w:rPr>
              <w:t>т</w:t>
            </w:r>
            <w:r>
              <w:rPr>
                <w:color w:val="000000"/>
                <w:sz w:val="17"/>
              </w:rPr>
              <w:t>ских учре</w:t>
            </w:r>
            <w:r>
              <w:rPr>
                <w:color w:val="000000"/>
                <w:sz w:val="17"/>
              </w:rPr>
              <w:t>ж</w:t>
            </w:r>
            <w:r>
              <w:rPr>
                <w:color w:val="000000"/>
                <w:sz w:val="17"/>
              </w:rPr>
              <w:t>дениях</w:t>
            </w:r>
          </w:p>
        </w:tc>
        <w:tc>
          <w:tcPr>
            <w:tcW w:w="763" w:type="dxa"/>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1 615</w:t>
            </w:r>
          </w:p>
        </w:tc>
        <w:tc>
          <w:tcPr>
            <w:tcW w:w="764" w:type="dxa"/>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6 321</w:t>
            </w:r>
          </w:p>
        </w:tc>
        <w:tc>
          <w:tcPr>
            <w:tcW w:w="764" w:type="dxa"/>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8 770</w:t>
            </w:r>
          </w:p>
        </w:tc>
        <w:tc>
          <w:tcPr>
            <w:tcW w:w="763" w:type="dxa"/>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9 639</w:t>
            </w:r>
          </w:p>
        </w:tc>
        <w:tc>
          <w:tcPr>
            <w:tcW w:w="764" w:type="dxa"/>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10 497</w:t>
            </w:r>
          </w:p>
        </w:tc>
        <w:tc>
          <w:tcPr>
            <w:tcW w:w="764" w:type="dxa"/>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10 680</w:t>
            </w:r>
          </w:p>
        </w:tc>
        <w:tc>
          <w:tcPr>
            <w:tcW w:w="764" w:type="dxa"/>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2 241</w:t>
            </w:r>
          </w:p>
        </w:tc>
      </w:tr>
      <w:tr w:rsidR="00000000">
        <w:tblPrEx>
          <w:tblCellMar>
            <w:top w:w="0" w:type="dxa"/>
            <w:left w:w="0" w:type="dxa"/>
            <w:bottom w:w="0" w:type="dxa"/>
            <w:right w:w="0" w:type="dxa"/>
          </w:tblCellMar>
        </w:tblPrEx>
        <w:trPr>
          <w:cantSplit/>
        </w:trPr>
        <w:tc>
          <w:tcPr>
            <w:tcW w:w="20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color w:val="000000"/>
                <w:sz w:val="17"/>
              </w:rPr>
            </w:pPr>
            <w:r>
              <w:rPr>
                <w:color w:val="000000"/>
                <w:sz w:val="17"/>
              </w:rPr>
              <w:t>Доля в процентах</w:t>
            </w:r>
          </w:p>
        </w:tc>
        <w:tc>
          <w:tcPr>
            <w:tcW w:w="7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12,5</w:t>
            </w:r>
          </w:p>
        </w:tc>
        <w:tc>
          <w:tcPr>
            <w:tcW w:w="7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52,5</w:t>
            </w:r>
          </w:p>
        </w:tc>
        <w:tc>
          <w:tcPr>
            <w:tcW w:w="7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74,6</w:t>
            </w:r>
          </w:p>
        </w:tc>
        <w:tc>
          <w:tcPr>
            <w:tcW w:w="7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79,8</w:t>
            </w:r>
          </w:p>
        </w:tc>
        <w:tc>
          <w:tcPr>
            <w:tcW w:w="7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82,8</w:t>
            </w:r>
          </w:p>
        </w:tc>
        <w:tc>
          <w:tcPr>
            <w:tcW w:w="7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83,3</w:t>
            </w:r>
          </w:p>
        </w:tc>
        <w:tc>
          <w:tcPr>
            <w:tcW w:w="7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napToGrid w:val="0"/>
                <w:color w:val="000000"/>
                <w:sz w:val="17"/>
              </w:rPr>
            </w:pPr>
            <w:r>
              <w:rPr>
                <w:snapToGrid w:val="0"/>
                <w:color w:val="000000"/>
                <w:sz w:val="17"/>
              </w:rPr>
              <w:t>16,9*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rPr>
        <w:t>Источник:</w:t>
      </w:r>
      <w:r>
        <w:t xml:space="preserve"> министерство социальных дел</w:t>
      </w:r>
      <w:r>
        <w:rPr>
          <w:lang w:val="en-US"/>
        </w:rPr>
        <w:t>.</w:t>
      </w: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lang w:val="en-US"/>
        </w:rPr>
        <w:tab/>
      </w:r>
      <w:r>
        <w:t>*</w:t>
      </w:r>
      <w:r>
        <w:rPr>
          <w:lang w:val="en-US"/>
        </w:rPr>
        <w:tab/>
      </w:r>
      <w:r>
        <w:t>Включая детей, которым исполнилось 7 лет, но которые пока не посещают школу.</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SingleTxt"/>
      </w:pPr>
      <w:r>
        <w:rPr>
          <w:lang w:val="en-US"/>
        </w:rPr>
        <w:tab/>
      </w:r>
      <w:r>
        <w:t>Во второй половине 1990-х годов число детей моложе 3 лет в дошкольных детских учреждениях выросло, и были вновь открыто несколько яслей. Это привело к сокращению числа мест, имеющихся для детей в возрасте 5 и 6 лет. Местные органы власти начали обсуждения, касающиеся создания и финанс</w:t>
      </w:r>
      <w:r>
        <w:t>и</w:t>
      </w:r>
      <w:r>
        <w:t>рования дополнительного числа детских учреждений и форм деятельности по обеспечению ухода за детьми в возрасте до трех лет.</w:t>
      </w:r>
    </w:p>
    <w:p w:rsidR="00000000" w:rsidRDefault="00000000">
      <w:pPr>
        <w:pStyle w:val="SingleTxt"/>
      </w:pPr>
      <w:r>
        <w:tab/>
        <w:t>При установлении времени начала работы дошкольных детских учрежд</w:t>
      </w:r>
      <w:r>
        <w:t>е</w:t>
      </w:r>
      <w:r>
        <w:t>ний принимаются во внимание рабочие часы родителей (выясняемые методом опроса). Принимаются также во внимание потребности родителей, имеющих в определенные дни продленный рабочий день.</w:t>
      </w:r>
    </w:p>
    <w:p w:rsidR="00000000" w:rsidRDefault="00000000">
      <w:pPr>
        <w:pStyle w:val="SingleTxt"/>
      </w:pPr>
      <w:r>
        <w:tab/>
        <w:t>Стратегия претворения в жизнь «Принципов стратегии в области народ</w:t>
      </w:r>
      <w:r>
        <w:t>о</w:t>
      </w:r>
      <w:r>
        <w:t>населения на 2005–2008 годы» предусматривает меры по содействию совм</w:t>
      </w:r>
      <w:r>
        <w:t>е</w:t>
      </w:r>
      <w:r>
        <w:t>щению труда с семейной жизнью. К таким мерам относятся следующие мер</w:t>
      </w:r>
      <w:r>
        <w:t>о</w:t>
      </w:r>
      <w:r>
        <w:t>приятия:</w:t>
      </w:r>
    </w:p>
    <w:p w:rsidR="00000000" w:rsidRDefault="00000000">
      <w:pPr>
        <w:pStyle w:val="SingleTxt"/>
        <w:tabs>
          <w:tab w:val="right" w:pos="1685"/>
        </w:tabs>
        <w:ind w:left="1742" w:hanging="475"/>
      </w:pPr>
      <w:r>
        <w:tab/>
        <w:t>•</w:t>
      </w:r>
      <w:r>
        <w:tab/>
        <w:t>информирование населения (в том числе с помощью создания веб-страницы) о необходимости и возможностях сочетания труда с семейной жизнью, мотивирование мужчин к более активному участию в жизни с</w:t>
      </w:r>
      <w:r>
        <w:t>е</w:t>
      </w:r>
      <w:r>
        <w:t>мьи и выпо</w:t>
      </w:r>
      <w:r>
        <w:t>л</w:t>
      </w:r>
      <w:r>
        <w:t>нению большего круга обязанностей;</w:t>
      </w:r>
    </w:p>
    <w:p w:rsidR="00000000" w:rsidRDefault="00000000">
      <w:pPr>
        <w:pStyle w:val="SingleTxt"/>
        <w:tabs>
          <w:tab w:val="right" w:pos="1685"/>
        </w:tabs>
        <w:ind w:left="1742" w:hanging="475"/>
      </w:pPr>
      <w:r>
        <w:tab/>
        <w:t>•</w:t>
      </w:r>
      <w:r>
        <w:tab/>
        <w:t>разработка предложений и концепций относительно альтернативных во</w:t>
      </w:r>
      <w:r>
        <w:t>з</w:t>
      </w:r>
      <w:r>
        <w:t>можностей ухода за детьми (игровые комнаты, уход за детьми в дневное время и т.д.), созд</w:t>
      </w:r>
      <w:r>
        <w:t>а</w:t>
      </w:r>
      <w:r>
        <w:t>ние реестра приходящих нянь и домработниц;</w:t>
      </w:r>
    </w:p>
    <w:p w:rsidR="00000000" w:rsidRDefault="00000000">
      <w:pPr>
        <w:pStyle w:val="SingleTxt"/>
        <w:tabs>
          <w:tab w:val="right" w:pos="1685"/>
        </w:tabs>
        <w:ind w:left="1742" w:hanging="475"/>
      </w:pPr>
      <w:r>
        <w:tab/>
        <w:t>•</w:t>
      </w:r>
      <w:r>
        <w:tab/>
        <w:t>создание учебного модуля по вопросам ухода за детьми в системе пр</w:t>
      </w:r>
      <w:r>
        <w:t>о</w:t>
      </w:r>
      <w:r>
        <w:t>фессионального образования и разработка соответствующих професси</w:t>
      </w:r>
      <w:r>
        <w:t>о</w:t>
      </w:r>
      <w:r>
        <w:t>нальных ста</w:t>
      </w:r>
      <w:r>
        <w:t>н</w:t>
      </w:r>
      <w:r>
        <w:t>дартов;</w:t>
      </w:r>
    </w:p>
    <w:p w:rsidR="00000000" w:rsidRDefault="00000000">
      <w:pPr>
        <w:pStyle w:val="SingleTxt"/>
        <w:tabs>
          <w:tab w:val="right" w:pos="1685"/>
        </w:tabs>
        <w:ind w:left="1742" w:hanging="475"/>
      </w:pPr>
      <w:r>
        <w:tab/>
        <w:t>•</w:t>
      </w:r>
      <w:r>
        <w:tab/>
        <w:t>создание возможностей переподготовки по линии Службы занятости для получения профессии специалиста по уходу за детьми (курсы оказания первой п</w:t>
      </w:r>
      <w:r>
        <w:t>о</w:t>
      </w:r>
      <w:r>
        <w:t>мощи, навыки обучения и т.д.).</w:t>
      </w:r>
    </w:p>
    <w:p w:rsidR="00000000" w:rsidRDefault="00000000">
      <w:pPr>
        <w:pStyle w:val="SingleTxt"/>
        <w:spacing w:after="0" w:line="120" w:lineRule="exact"/>
        <w:rPr>
          <w:sz w:val="10"/>
        </w:rPr>
      </w:pPr>
    </w:p>
    <w:p w:rsidR="00000000" w:rsidRDefault="00000000">
      <w:pPr>
        <w:pStyle w:val="SingleTxt"/>
        <w:rPr>
          <w:b/>
        </w:rPr>
      </w:pPr>
      <w:r>
        <w:rPr>
          <w:b/>
        </w:rPr>
        <w:tab/>
      </w:r>
      <w:r>
        <w:rPr>
          <w:b/>
          <w:lang w:val="en-US"/>
        </w:rPr>
        <w:t>d</w:t>
      </w:r>
      <w:r>
        <w:rPr>
          <w:b/>
        </w:rPr>
        <w:t>)</w:t>
      </w:r>
      <w:r>
        <w:rPr>
          <w:b/>
        </w:rP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pStyle w:val="SingleTxt"/>
      </w:pPr>
      <w:r>
        <w:tab/>
        <w:t>Постановление министра социальных дел от 24 апреля 2003 года устана</w:t>
      </w:r>
      <w:r>
        <w:t>в</w:t>
      </w:r>
      <w:r>
        <w:t>ливает процедуру медицинского контроля здоровья работников, который ос</w:t>
      </w:r>
      <w:r>
        <w:t>у</w:t>
      </w:r>
      <w:r>
        <w:t>ществляется в рабочее время и за счет работодателя. Медицинский контроль здоровья работников начинается с первого медицинского осмотра, который проводится в течение первых трех месяцев работы, а в дальнейшем периодич</w:t>
      </w:r>
      <w:r>
        <w:t>е</w:t>
      </w:r>
      <w:r>
        <w:t>ски через промежутки времени, указанные врачом-гигиенистом, но не реже, чем раз в три года.</w:t>
      </w:r>
    </w:p>
    <w:p w:rsidR="00000000" w:rsidRDefault="00000000">
      <w:pPr>
        <w:pStyle w:val="SingleTxt"/>
      </w:pPr>
      <w:r>
        <w:tab/>
        <w:t>Требования в отношении охраны здоровья и безопасности труда береме</w:t>
      </w:r>
      <w:r>
        <w:t>н</w:t>
      </w:r>
      <w:r>
        <w:t>ных женщин и кормящих матерей были закреплены в постановлении прав</w:t>
      </w:r>
      <w:r>
        <w:t>и</w:t>
      </w:r>
      <w:r>
        <w:t>тельства от 7 февраля 2001 года, цель которого заключается в обеспечении этой категории работниц безопасную производственную среду. Работодатель обязан соблюдать требования в отношении охраны здоровья и безопасности, предусмотренные этим постановлением, если работница представит работод</w:t>
      </w:r>
      <w:r>
        <w:t>а</w:t>
      </w:r>
      <w:r>
        <w:t>телю в</w:t>
      </w:r>
      <w:r>
        <w:t>ы</w:t>
      </w:r>
      <w:r>
        <w:t>данную врачом справку, свидетельствующую о ее состоянии.</w:t>
      </w:r>
    </w:p>
    <w:p w:rsidR="00000000" w:rsidRDefault="00000000">
      <w:pPr>
        <w:pStyle w:val="SingleTxt"/>
      </w:pPr>
      <w:r>
        <w:tab/>
        <w:t>В соответствии с этим постановлением работодатель обязан проводить анализ рисков, сопряженных со всеми видами работ, которые могут быть опа</w:t>
      </w:r>
      <w:r>
        <w:t>с</w:t>
      </w:r>
      <w:r>
        <w:t>ными для здоровья и выполняться беременными женщинами и кормящими м</w:t>
      </w:r>
      <w:r>
        <w:t>а</w:t>
      </w:r>
      <w:r>
        <w:t>терями (для целей этого постановления термин «работница» означает корм</w:t>
      </w:r>
      <w:r>
        <w:t>я</w:t>
      </w:r>
      <w:r>
        <w:t>щую мать). Анализ рисков для безопасности труда и здоровья работницы пр</w:t>
      </w:r>
      <w:r>
        <w:t>о</w:t>
      </w:r>
      <w:r>
        <w:t>водится с учетом характера, степени и продолжительности воздействия факт</w:t>
      </w:r>
      <w:r>
        <w:t>о</w:t>
      </w:r>
      <w:r>
        <w:t>ров риска, а также возможного вредного воздействия таких факторов для ее б</w:t>
      </w:r>
      <w:r>
        <w:t>е</w:t>
      </w:r>
      <w:r>
        <w:t>ременности или для здоровья грудного ребенка.</w:t>
      </w:r>
    </w:p>
    <w:p w:rsidR="00000000" w:rsidRDefault="00000000">
      <w:pPr>
        <w:pStyle w:val="SingleTxt"/>
      </w:pPr>
      <w:r>
        <w:tab/>
        <w:t>При анализе рисков работодатель должен также принимать во внимание биологические факторы, указанные в постановлении правительства от 5 мая 2000 года, и создающие канцерогенные и мутагенные риски производственные процессы, которые указаны в постановлении правительства от 15 февраля 2000 г</w:t>
      </w:r>
      <w:r>
        <w:t>о</w:t>
      </w:r>
      <w:r>
        <w:t>да.</w:t>
      </w:r>
    </w:p>
    <w:p w:rsidR="00000000" w:rsidRDefault="00000000">
      <w:pPr>
        <w:pStyle w:val="SingleTxt"/>
      </w:pPr>
      <w:r>
        <w:tab/>
        <w:t>Если анализ показывает наличие риска, то работодатель должен принять меры к тому, чтобы обеспечить безопасные условия труда, обратиться за ко</w:t>
      </w:r>
      <w:r>
        <w:t>н</w:t>
      </w:r>
      <w:r>
        <w:t>сультацией в совет по производственной среде или, если необходимо, к врачу; и информировать работницу и представителя по вопросам производственной среды о результатах анализа и о принимаемых мерах. Кроме того, работодатель должен создать беременным и кормящим женщинам соответствующие условия, чтобы они могли лежа отдохнуть в отведенном для отдыха месте, и обязан пр</w:t>
      </w:r>
      <w:r>
        <w:t>е</w:t>
      </w:r>
      <w:r>
        <w:t>доставить беременной женщине свободное время для предродового медици</w:t>
      </w:r>
      <w:r>
        <w:t>н</w:t>
      </w:r>
      <w:r>
        <w:t>ского осмотра. Если такой осмотр проводится в рабочее время, то за время, з</w:t>
      </w:r>
      <w:r>
        <w:t>а</w:t>
      </w:r>
      <w:r>
        <w:t>траченное на осмотр, вычеты из заработной платы производить не разрешае</w:t>
      </w:r>
      <w:r>
        <w:t>т</w:t>
      </w:r>
      <w:r>
        <w:t>ся.</w:t>
      </w:r>
    </w:p>
    <w:p w:rsidR="00000000" w:rsidRDefault="00000000">
      <w:pPr>
        <w:pStyle w:val="SingleTxt"/>
      </w:pPr>
      <w:r>
        <w:tab/>
        <w:t>Чтобы создать работнице безопасную рабочую среду, работодатель может временно облегчить ей условия труда, изменить организацию труда (включая сокращение рабочего дня и разрешение на перерывы в удобное время) или временно перевести работницу на дневную или вечернюю работу. Если ук</w:t>
      </w:r>
      <w:r>
        <w:t>а</w:t>
      </w:r>
      <w:r>
        <w:t>занные меры не обеспечивают работнице, кормящей грудного ребенка, без</w:t>
      </w:r>
      <w:r>
        <w:t>о</w:t>
      </w:r>
      <w:r>
        <w:t>пасные условия труда, работодатель обязан временно перевести работницу на более легкую работу или на другую работу с учетом ее способностей и пр</w:t>
      </w:r>
      <w:r>
        <w:t>о</w:t>
      </w:r>
      <w:r>
        <w:t>фессионального опыта. Одной из мер, которой может пользоваться работод</w:t>
      </w:r>
      <w:r>
        <w:t>а</w:t>
      </w:r>
      <w:r>
        <w:t>тель, является временный перевод работницы на дневную или вечернюю раб</w:t>
      </w:r>
      <w:r>
        <w:t>о</w:t>
      </w:r>
      <w:r>
        <w:t>ту. Если работодатель не может предложить работнице более легкую или др</w:t>
      </w:r>
      <w:r>
        <w:t>у</w:t>
      </w:r>
      <w:r>
        <w:t>гую работу, то он должен временно освободить ее от работы с согласия и</w:t>
      </w:r>
      <w:r>
        <w:t>н</w:t>
      </w:r>
      <w:r>
        <w:t>спектора Трудовой инспекции. Продолжительность такого освобождения от работы определяется по заключению врача.</w:t>
      </w:r>
    </w:p>
    <w:p w:rsidR="00000000" w:rsidRDefault="00000000">
      <w:pPr>
        <w:pStyle w:val="SingleTxt"/>
        <w:spacing w:after="0" w:line="120" w:lineRule="exact"/>
        <w:rPr>
          <w:sz w:val="10"/>
        </w:rPr>
      </w:pPr>
    </w:p>
    <w:p w:rsidR="00000000" w:rsidRDefault="00000000">
      <w:pPr>
        <w:pStyle w:val="SingleTxt"/>
        <w:rPr>
          <w:b/>
        </w:rPr>
      </w:pPr>
      <w:r>
        <w:rPr>
          <w:b/>
        </w:rPr>
        <w:t>3.</w:t>
      </w:r>
      <w:r>
        <w:rPr>
          <w:b/>
        </w:rPr>
        <w:tab/>
        <w:t>Законодательство, касающееся защиты прав, затрагиваемых в н</w:t>
      </w:r>
      <w:r>
        <w:rPr>
          <w:b/>
        </w:rPr>
        <w:t>а</w:t>
      </w:r>
      <w:r>
        <w:rPr>
          <w:b/>
        </w:rPr>
        <w:t>стоящей статье, периодически рассматривается в свете научно-техничес</w:t>
      </w:r>
      <w:r>
        <w:rPr>
          <w:b/>
        </w:rPr>
        <w:softHyphen/>
        <w:t>ких знаний, а также пересматривается, отменяется или расширяется, н</w:t>
      </w:r>
      <w:r>
        <w:rPr>
          <w:b/>
        </w:rPr>
        <w:t>а</w:t>
      </w:r>
      <w:r>
        <w:rPr>
          <w:b/>
        </w:rPr>
        <w:t>сколько это необходимо.</w:t>
      </w:r>
    </w:p>
    <w:p w:rsidR="00000000" w:rsidRDefault="00000000">
      <w:pPr>
        <w:pStyle w:val="SingleTxt"/>
      </w:pPr>
      <w:r>
        <w:tab/>
        <w:t>Требования относительно охраны здоровья и безопасности труда бер</w:t>
      </w:r>
      <w:r>
        <w:t>е</w:t>
      </w:r>
      <w:r>
        <w:t>менных женщин и кормящих матерей установлены постановлением правител</w:t>
      </w:r>
      <w:r>
        <w:t>ь</w:t>
      </w:r>
      <w:r>
        <w:t>ства от 2001 года.</w:t>
      </w:r>
    </w:p>
    <w:p w:rsidR="00000000" w:rsidRDefault="00000000">
      <w:pPr>
        <w:pStyle w:val="SingleTxt"/>
      </w:pPr>
      <w:r>
        <w:tab/>
        <w:t>В постановлении содержится перечень работ, которые не разрешается п</w:t>
      </w:r>
      <w:r>
        <w:t>о</w:t>
      </w:r>
      <w:r>
        <w:t>ручать беременным женщинам, и работ, которые не разрешается поручать ко</w:t>
      </w:r>
      <w:r>
        <w:t>р</w:t>
      </w:r>
      <w:r>
        <w:t>мящим матерям. В соответствии с этим постановлением беременным женщ</w:t>
      </w:r>
      <w:r>
        <w:t>и</w:t>
      </w:r>
      <w:r>
        <w:t>нам нельзя поручать работу в условиях повышенного барометрического давл</w:t>
      </w:r>
      <w:r>
        <w:t>е</w:t>
      </w:r>
      <w:r>
        <w:t>ния; в случае риска инфицирования коревой краснухой и токсоплазмозом, если только беременная женщина не защищена от этого с помощью иммунизации; со свинцовыми и токсическими соединениями; подземные работы; в ночное время; и работу, связанную с переносом тяжестей вручную. Кормящим мат</w:t>
      </w:r>
      <w:r>
        <w:t>е</w:t>
      </w:r>
      <w:r>
        <w:t>рям не должна поручаться работа со свинцовыми и токсическими соединени</w:t>
      </w:r>
      <w:r>
        <w:t>я</w:t>
      </w:r>
      <w:r>
        <w:t>ми и под землей. Это постановление основано на европейских нормах безопа</w:t>
      </w:r>
      <w:r>
        <w:t>с</w:t>
      </w:r>
      <w:r>
        <w:t>ности производственной среды (директива 92/85/ЕЕС Совета Европейского союза).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rPr>
      </w:pPr>
      <w:r>
        <w:rPr>
          <w:b/>
          <w:spacing w:val="-2"/>
        </w:rPr>
        <w:t>1.</w:t>
      </w:r>
      <w:r>
        <w:rPr>
          <w:b/>
          <w:spacing w:val="-2"/>
        </w:rPr>
        <w:tab/>
        <w:t>Государства-участники принимают все соответствующие меры для ли</w:t>
      </w:r>
      <w:r>
        <w:rPr>
          <w:b/>
          <w:spacing w:val="-2"/>
        </w:rPr>
        <w:t>к</w:t>
      </w:r>
      <w:r>
        <w:rPr>
          <w:b/>
          <w:spacing w:val="-2"/>
        </w:rPr>
        <w:t>видации дискриминации в отношении женщин в области здравоохранения, с тем чтобы обеспечить на основе равенства мужчин и женщин доступ к мед</w:t>
      </w:r>
      <w:r>
        <w:rPr>
          <w:b/>
          <w:spacing w:val="-2"/>
        </w:rPr>
        <w:t>и</w:t>
      </w:r>
      <w:r>
        <w:rPr>
          <w:b/>
          <w:spacing w:val="-2"/>
        </w:rPr>
        <w:t>цинскому обслуживанию, в частности в том, что касается планирования ра</w:t>
      </w:r>
      <w:r>
        <w:rPr>
          <w:b/>
          <w:spacing w:val="-2"/>
        </w:rPr>
        <w:t>з</w:t>
      </w:r>
      <w:r>
        <w:rPr>
          <w:b/>
          <w:spacing w:val="-2"/>
        </w:rPr>
        <w:t>мера семьи.</w:t>
      </w:r>
    </w:p>
    <w:p w:rsidR="00000000" w:rsidRDefault="00000000">
      <w:pPr>
        <w:pStyle w:val="SingleTxt"/>
      </w:pPr>
      <w:r>
        <w:tab/>
        <w:t>Лица, находящиеся на иждивении своих супругов, имеют право на защиту по системе государственного медицинского страхования, если их супруг(а) я</w:t>
      </w:r>
      <w:r>
        <w:t>в</w:t>
      </w:r>
      <w:r>
        <w:t>ляется работником, застрахованным по линии медицинского страхования, н</w:t>
      </w:r>
      <w:r>
        <w:t>а</w:t>
      </w:r>
      <w:r>
        <w:t>ходится на государственной службе, является членом правления или контрол</w:t>
      </w:r>
      <w:r>
        <w:t>и</w:t>
      </w:r>
      <w:r>
        <w:t>рующего органа юридического лица, лицом, получающим вознаграждение или гонорары по обязательственному праву или зарегистрированным в качестве единственного собственника, и если он или она воспитывает по крайней мере одного ребенка в возрасте до 8 лет или ребенка в возрасте 8 лет до окончания им первого класса начальной школы или не менее троих детей в возрасте до 16 лет. Право на медицинское страхование имеют также лица, которым на 1 я</w:t>
      </w:r>
      <w:r>
        <w:t>н</w:t>
      </w:r>
      <w:r>
        <w:t>варя 2003 года осталось 5 лет или меньше до наступления пенсионного возра</w:t>
      </w:r>
      <w:r>
        <w:t>с</w:t>
      </w:r>
      <w:r>
        <w:t>та и которые находятся на иждивении своих застрахованных супругов.</w:t>
      </w:r>
    </w:p>
    <w:p w:rsidR="00000000" w:rsidRDefault="00000000">
      <w:pPr>
        <w:pStyle w:val="SingleTxt"/>
      </w:pPr>
      <w:r>
        <w:tab/>
        <w:t>Согласно результатам обследования «Доступность и использование бол</w:t>
      </w:r>
      <w:r>
        <w:t>ь</w:t>
      </w:r>
      <w:r>
        <w:t>ничного лечения в Эстонии» (проведенного медицинским факультетом Тарт</w:t>
      </w:r>
      <w:r>
        <w:t>у</w:t>
      </w:r>
      <w:r>
        <w:t>ского университета), основной причиной, по которой женщины в возрастной группе от 15 до 44 лет нуждаются в больничном обслуживании, являются б</w:t>
      </w:r>
      <w:r>
        <w:t>е</w:t>
      </w:r>
      <w:r>
        <w:t>ременность и роды. Все больше отцов присутствуют при родах, а также ост</w:t>
      </w:r>
      <w:r>
        <w:t>а</w:t>
      </w:r>
      <w:r>
        <w:t>ются после родов в больнице, когда есть возможность находиться в семейной палате. В эти палаты допускаются также более взрослые дети. Родильные дома и женские консультации организуют специальные школы молодой семьи, где будущим родителям оказываются консультационные услуги и куда они могут также обращаться после рождения ребенка.</w:t>
      </w:r>
    </w:p>
    <w:p w:rsidR="00000000" w:rsidRDefault="00000000">
      <w:pPr>
        <w:pStyle w:val="SingleTxt"/>
      </w:pPr>
      <w:r>
        <w:tab/>
        <w:t>После наступления возраста в 45 лет больничное лечение и мужчин, и женщин чаще всего вызвано заболеваниями сердечно-сосудистой системы, а также опухолями, заболев</w:t>
      </w:r>
      <w:r>
        <w:t>а</w:t>
      </w:r>
      <w:r>
        <w:t xml:space="preserve">ниями костно-мышечных тканей и связок. </w:t>
      </w:r>
    </w:p>
    <w:p w:rsidR="00000000" w:rsidRDefault="00000000">
      <w:pPr>
        <w:pStyle w:val="SingleTxt"/>
      </w:pPr>
      <w:r>
        <w:tab/>
        <w:t>Перинатальная смертность в период 1992–2001 годы существенно сокр</w:t>
      </w:r>
      <w:r>
        <w:t>а</w:t>
      </w:r>
      <w:r>
        <w:t>тилась, хотя в значительной мере это объясняется сокращением неонатальной смертности. Это свидетельствует о резком улучшении системы предродового наблюдения беременных женщин, и особенно интенсивного ухода за новоро</w:t>
      </w:r>
      <w:r>
        <w:t>ж</w:t>
      </w:r>
      <w:r>
        <w:t>денными. Сократилось также и число мертворожденных, что отчасти объясн</w:t>
      </w:r>
      <w:r>
        <w:t>я</w:t>
      </w:r>
      <w:r>
        <w:t>ется улучшением предродовой диагностики, позволяющей выявлять врожде</w:t>
      </w:r>
      <w:r>
        <w:t>н</w:t>
      </w:r>
      <w:r>
        <w:t>ные пороки и семьям принимать решение прервать беременность в случае о</w:t>
      </w:r>
      <w:r>
        <w:t>б</w:t>
      </w:r>
      <w:r>
        <w:t>наружения эмбриональной хромосомной аномалии.</w:t>
      </w:r>
    </w:p>
    <w:p w:rsidR="00000000" w:rsidRDefault="00000000">
      <w:pPr>
        <w:pStyle w:val="SingleTxt"/>
      </w:pPr>
      <w:r>
        <w:tab/>
        <w:t>Повышение среднего возраста рожениц свидетельствует о том, что же</w:t>
      </w:r>
      <w:r>
        <w:t>н</w:t>
      </w:r>
      <w:r>
        <w:t>щины стали не торопиться заводить детей. На треть сократилась доля матерей подросткового возраста — в 2001 году одна из десяти рожениц была в подр</w:t>
      </w:r>
      <w:r>
        <w:t>о</w:t>
      </w:r>
      <w:r>
        <w:t>стковом возрасте. Причины сокращения числа несовершеннолетних матерей связаны с возросшей информированностью девушек и наличием надежных контрацепт</w:t>
      </w:r>
      <w:r>
        <w:t>и</w:t>
      </w:r>
      <w:r>
        <w:t>ческих средств.</w:t>
      </w:r>
    </w:p>
    <w:p w:rsidR="00000000" w:rsidRDefault="00000000">
      <w:pPr>
        <w:pStyle w:val="SingleTxt"/>
      </w:pPr>
      <w:r>
        <w:tab/>
        <w:t>Для обеспечения хорошего репродуктивного здоровья эстонской молод</w:t>
      </w:r>
      <w:r>
        <w:t>е</w:t>
      </w:r>
      <w:r>
        <w:t>жи реализуется проект «Консультирование по вопросам репродуктивного зд</w:t>
      </w:r>
      <w:r>
        <w:t>о</w:t>
      </w:r>
      <w:r>
        <w:t>ровья молодежи и профилактика заболеваний, передаваемых половым путем, 2002–2006 годы». Одним из результатов этого проекта стало сокращение числа абортов на 25 процентов. Кроме того, число случаев первой беременности и число случаев заражения заболеваниями, передаваемыми половым путем (ЗППП), среди 15–19-летних сократилось на 10 процентов (по данным Бюро медицинской статистики Эстонии в 1999 году было зарегистрировано 9606 случаев первого заражения ЗППП). Координатором проекта является Э</w:t>
      </w:r>
      <w:r>
        <w:t>с</w:t>
      </w:r>
      <w:r>
        <w:t>тонский союз планиров</w:t>
      </w:r>
      <w:r>
        <w:t>а</w:t>
      </w:r>
      <w:r>
        <w:t>ния семьи.</w:t>
      </w:r>
    </w:p>
    <w:p w:rsidR="00000000" w:rsidRDefault="00000000">
      <w:pPr>
        <w:pStyle w:val="SingleTxt"/>
      </w:pPr>
      <w:r>
        <w:tab/>
        <w:t xml:space="preserve"> рамках проекта по консультированию молодежи по вопросам репроду</w:t>
      </w:r>
      <w:r>
        <w:t>к</w:t>
      </w:r>
      <w:r>
        <w:t>тивного здоровья почти во всех уездах были созданы консультационные це</w:t>
      </w:r>
      <w:r>
        <w:t>н</w:t>
      </w:r>
      <w:r>
        <w:t>тры. В 2004 году в этих центрах было зарегистрировано почти 24 000 посещ</w:t>
      </w:r>
      <w:r>
        <w:t>е</w:t>
      </w:r>
      <w:r>
        <w:t>ний. Центры проводят лабораторные анализы для молодых людей по подозр</w:t>
      </w:r>
      <w:r>
        <w:t>е</w:t>
      </w:r>
      <w:r>
        <w:t>нию заражения ЗППП и консультируют их по вопросам полового здоровья. Большинство посещений, однако, было связано с желанием получить контр</w:t>
      </w:r>
      <w:r>
        <w:t>а</w:t>
      </w:r>
      <w:r>
        <w:t>цептические средства. Молодые мужчины не очень часто посещают центры; на них приходится только 4 процента от общего числа посетителей. В 2003 году пропаганда консультационных услуг велась среди русскоязычной молодежи. В 2004 году усилия были направлены на информирование молодых людей му</w:t>
      </w:r>
      <w:r>
        <w:t>ж</w:t>
      </w:r>
      <w:r>
        <w:t>ского пола.</w:t>
      </w:r>
    </w:p>
    <w:p w:rsidR="00000000" w:rsidRDefault="00000000">
      <w:pPr>
        <w:pStyle w:val="SingleTxt"/>
      </w:pPr>
      <w:r>
        <w:tab/>
        <w:t>О работе молодежных консультационных центров молодые люди узнают также в результате реализации других проектов в области полового воспит</w:t>
      </w:r>
      <w:r>
        <w:t>а</w:t>
      </w:r>
      <w:r>
        <w:t>ния. Хорошие возможности получения совета при сохранении анонимности предо</w:t>
      </w:r>
      <w:r>
        <w:t>с</w:t>
      </w:r>
      <w:r>
        <w:t>тавляет в Интернете сайт www.amor.ee.</w:t>
      </w:r>
    </w:p>
    <w:p w:rsidR="00000000" w:rsidRDefault="00000000">
      <w:pPr>
        <w:pStyle w:val="SingleTxt"/>
      </w:pPr>
      <w:r>
        <w:tab/>
        <w:t>В 2003 году молодежные консультационные центры посетили 22 189 м</w:t>
      </w:r>
      <w:r>
        <w:t>о</w:t>
      </w:r>
      <w:r>
        <w:t>лодых людей (в том числе 82 человека, не имеющих медицинского страхов</w:t>
      </w:r>
      <w:r>
        <w:t>а</w:t>
      </w:r>
      <w:r>
        <w:t>ния), и 17 процентов посещений были в первый раз. 88 процентов посетителей молодежных центров составляли школьники и студенты университетов, 78 процентов — эстонцы и 22 процента — молодые люди других национальн</w:t>
      </w:r>
      <w:r>
        <w:t>о</w:t>
      </w:r>
      <w:r>
        <w:t>стей.</w:t>
      </w:r>
    </w:p>
    <w:p w:rsidR="00000000" w:rsidRDefault="00000000">
      <w:pPr>
        <w:pStyle w:val="SingleTxt"/>
      </w:pPr>
      <w:r>
        <w:tab/>
        <w:t>В Эстонии нет точных и систематизированных данных об использовании противозачаточных средств. Согласно статистическим данным министерства социальных дел, в 2001 году 18,2 процента фертильных женщин пользовались гормональной контрацепцией и 14,5 процента — внутриматочной спиралью. По сравнению с 1992 годом число женщин, пользующихся гормональной ко</w:t>
      </w:r>
      <w:r>
        <w:t>н</w:t>
      </w:r>
      <w:r>
        <w:t>трацепцией, выросло больше, чем в четыре раза, тогда как число женщин, пр</w:t>
      </w:r>
      <w:r>
        <w:t>и</w:t>
      </w:r>
      <w:r>
        <w:t>бегающих к внутриматочной спирали, сократилось: соответственно на 3,9 пр</w:t>
      </w:r>
      <w:r>
        <w:t>о</w:t>
      </w:r>
      <w:r>
        <w:t>цента и 20,9 процента. Эта информация отражает лишь поведение женщин, п</w:t>
      </w:r>
      <w:r>
        <w:t>о</w:t>
      </w:r>
      <w:r>
        <w:t>сещающих гинекологов.</w:t>
      </w:r>
    </w:p>
    <w:p w:rsidR="00000000" w:rsidRDefault="00000000">
      <w:pPr>
        <w:pStyle w:val="SingleTxt"/>
      </w:pPr>
      <w:r>
        <w:tab/>
        <w:t>Общее число абортов и случаев искусственного прерывания беременн</w:t>
      </w:r>
      <w:r>
        <w:t>о</w:t>
      </w:r>
      <w:r>
        <w:t>сти на законном основании на 1000 женщин фертильного возраста в последние 10 лет сократилось более, чем не половину. Число повторных абортов, однако, оставалось на том же уровне: за период с 1996 по 2001 год 68 процентов пац</w:t>
      </w:r>
      <w:r>
        <w:t>и</w:t>
      </w:r>
      <w:r>
        <w:t>ентов раньше уже прерывали беременность один или большее число раз.</w:t>
      </w:r>
    </w:p>
    <w:p w:rsidR="00000000" w:rsidRDefault="00000000">
      <w:pPr>
        <w:pStyle w:val="SingleTxt"/>
      </w:pPr>
      <w:r>
        <w:tab/>
        <w:t>Всем зарегистрированным беременным женщинам рекомендуется пройти проверку на ВИЧ. За последние годы у 140 женщин в Эстонии анализ на ВИЧ оказался положительным. Некоторые из этих беременностей не завершились родами и либо сами прервались, либо были искусственно прерваны. Первая ВИЧ-положительная беременная женщина в Эстонии была зарегистрирована в 1993 году. Первый случай рождения ребенка ВИЧ-положительной женщиной имел место в 1999 году. Согласно имеющимся данным, до настоящего времени родами закончилась беременность у 63 ВИЧ-положительных женщин. Пятеро детей унаследовали инфекцию от своих матерей. Число ВИЧ-положительных беременных женщин с годами увеличилось — с 35 случаев в 2001 году до 55 в 2002 году и до 64 в 2003 году.</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Рисунок 12.1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Носители ВИЧ-инфекции с разбивкой по возрасту и полу</w:t>
      </w:r>
    </w:p>
    <w:p w:rsidR="00000000" w:rsidRDefault="00000000">
      <w:pPr>
        <w:pStyle w:val="SingleTxt"/>
      </w:pPr>
      <w:r>
        <w:rPr>
          <w:noProof/>
          <w:w w:val="1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49.75pt;margin-top:4.1pt;width:442.5pt;height:224.25pt;z-index:1;mso-position-horizontal:absolute;mso-position-horizontal-relative:text;mso-position-vertical:absolute;mso-position-vertical-relative:text" o:allowincell="f" fillcolor="window">
            <v:imagedata r:id="rId14" o:title=""/>
          </v:shape>
          <o:OLEObject Type="Embed" ProgID="MSGraph.Chart.8" ShapeID="_x0000_s2050" DrawAspect="Content" ObjectID="_1395238211" r:id="rId15">
            <o:FieldCodes>\s</o:FieldCodes>
          </o:OLEObject>
        </w:pict>
      </w:r>
    </w:p>
    <w:p w:rsidR="00000000" w:rsidRDefault="00000000">
      <w:pPr>
        <w:pStyle w:val="SingleTxt"/>
        <w:spacing w:line="240" w:lineRule="auto"/>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Распространение ВИЧ/СПИДа</w:t>
      </w:r>
    </w:p>
    <w:p w:rsidR="00000000" w:rsidRDefault="00000000">
      <w:pPr>
        <w:pStyle w:val="SingleTxt"/>
        <w:spacing w:after="0" w:line="120" w:lineRule="exact"/>
        <w:rPr>
          <w:sz w:val="10"/>
        </w:rPr>
      </w:pPr>
    </w:p>
    <w:p w:rsidR="00000000" w:rsidRDefault="00000000">
      <w:pPr>
        <w:pStyle w:val="SingleTxt"/>
      </w:pPr>
      <w:r>
        <w:tab/>
        <w:t>Хотя большинство носителей ВИЧ-инфекции — мужчины, доля женщин среди носителей этой инфекции в последние годы возросла. Если в 2000 году же</w:t>
      </w:r>
      <w:r>
        <w:t>н</w:t>
      </w:r>
      <w:r>
        <w:t>щины составляли 20 процентов всех зарегистрированных носителей ВИЧ-инфекции, то в 2002 году их доля уже составляла 30 процентов. В 2003 году женщины составляли 28 процентов зарегис</w:t>
      </w:r>
      <w:r>
        <w:t>т</w:t>
      </w:r>
      <w:r>
        <w:t>рированных ВИЧ-инфицирован</w:t>
      </w:r>
      <w:r>
        <w:softHyphen/>
        <w:t>ных, а по данным на 19 августа 2004 года доля женщин среди инфицированных составила 32 процента.</w:t>
      </w:r>
    </w:p>
    <w:p w:rsidR="00000000" w:rsidRDefault="00000000">
      <w:pPr>
        <w:pStyle w:val="SingleTxt"/>
      </w:pPr>
      <w:r>
        <w:tab/>
        <w:t>Согласно опросу, проведенному министерством социальных дел в 2003 году в возрастной группе от 15 до 24 лет, 54 процента респондентов не практиковали безопасные половые отношения в предыдущем году. Только 53 процента были осведомлены о причинах зар</w:t>
      </w:r>
      <w:r>
        <w:t>а</w:t>
      </w:r>
      <w:r>
        <w:t xml:space="preserve">жения ВИЧ-инфекцией. </w:t>
      </w:r>
    </w:p>
    <w:p w:rsidR="00000000" w:rsidRDefault="00000000">
      <w:pPr>
        <w:pStyle w:val="SingleTxt"/>
      </w:pPr>
      <w:r>
        <w:tab/>
        <w:t>Ввиду бытующих воззрений относительно роли мужчин и женщин пов</w:t>
      </w:r>
      <w:r>
        <w:t>е</w:t>
      </w:r>
      <w:r>
        <w:t>дение молодых мужчин в половых отношениях и потреблении наркотиков я</w:t>
      </w:r>
      <w:r>
        <w:t>в</w:t>
      </w:r>
      <w:r>
        <w:t>ляется более рискованным. Мужчины, принадлежащие к тем группам, в кот</w:t>
      </w:r>
      <w:r>
        <w:t>о</w:t>
      </w:r>
      <w:r>
        <w:t>рых превалируют традиционные представления о мужских качествах, считают, что инъекция наркотиков больше к лицу мужчине, чем потребление таблеток. Опрос также показал, что половина ВИЧ-инфицированных молодых женщин начали потреблять наркотики по примеру своих др</w:t>
      </w:r>
      <w:r>
        <w:t>у</w:t>
      </w:r>
      <w:r>
        <w:t>зей-мужчин.</w:t>
      </w:r>
    </w:p>
    <w:p w:rsidR="00000000" w:rsidRDefault="00000000">
      <w:pPr>
        <w:pStyle w:val="SingleTxt"/>
      </w:pPr>
      <w:r>
        <w:tab/>
        <w:t>Наряду с биологическими различиями, в силу которых молодые женщины во много раз восприимчивей мужчин к инфекциям, социальная обусловле</w:t>
      </w:r>
      <w:r>
        <w:t>н</w:t>
      </w:r>
      <w:r>
        <w:t>ность роли полов имеет столь же большое значение, поскольку в этом случае акцент делается на уступчивости и согласии, а не на самоуважении и заботе о здор</w:t>
      </w:r>
      <w:r>
        <w:t>о</w:t>
      </w:r>
      <w:r>
        <w:t>вье.</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Рисунок 12.2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sz w:val="24"/>
        </w:rPr>
        <w:pict>
          <v:shape id="_x0000_s2051" type="#_x0000_t75" style="position:absolute;left:0;text-align:left;margin-left:50.35pt;margin-top:23.3pt;width:415.5pt;height:176.25pt;z-index:2;mso-position-horizontal:absolute;mso-position-horizontal-relative:text;mso-position-vertical:absolute;mso-position-vertical-relative:text" o:allowincell="f" fillcolor="window">
            <v:imagedata r:id="rId16" o:title=""/>
          </v:shape>
          <o:OLEObject Type="Embed" ProgID="MSGraph.Chart.8" ShapeID="_x0000_s2051" DrawAspect="Content" ObjectID="_1395238212" r:id="rId17">
            <o:FieldCodes>\s</o:FieldCodes>
          </o:OLEObject>
        </w:pict>
      </w:r>
      <w:r>
        <w:tab/>
      </w:r>
      <w:r>
        <w:tab/>
        <w:t xml:space="preserve">Зарегистрированные носители ВИЧ-инфекции, 2000–20003 годы, </w:t>
      </w:r>
      <w:r>
        <w:br/>
      </w:r>
      <w:r>
        <w:rPr>
          <w:lang w:val="en-US"/>
        </w:rPr>
        <w:t>c</w:t>
      </w:r>
      <w:r>
        <w:t xml:space="preserve"> разбивкой по полу (в процентах)</w:t>
      </w:r>
    </w:p>
    <w:p w:rsidR="00000000" w:rsidRDefault="00000000">
      <w:pPr>
        <w:pStyle w:val="SingleTxt"/>
      </w:pPr>
    </w:p>
    <w:p w:rsidR="00000000" w:rsidRDefault="00000000">
      <w:pPr>
        <w:pStyle w:val="SingleTxt"/>
        <w:spacing w:line="240" w:lineRule="auto"/>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ab/>
        <w:t>К 19 августа 2004 года СПИД был диагностирован в Эстонии у 54 чел</w:t>
      </w:r>
      <w:r>
        <w:t>о</w:t>
      </w:r>
      <w:r>
        <w:t>век. По состоянию на конец 2003 года умерло 60 ВИЧ-инфицированных (в том числе 21 человек с диагнозом СПИД), из которых 19 человек умерли от СПИДа, а остальные от передозировки нарк</w:t>
      </w:r>
      <w:r>
        <w:t>о</w:t>
      </w:r>
      <w:r>
        <w:t>тиков, травм, инфарктов и т.д.</w:t>
      </w:r>
    </w:p>
    <w:p w:rsidR="00000000" w:rsidRDefault="00000000">
      <w:pPr>
        <w:pStyle w:val="SingleTxt"/>
      </w:pPr>
      <w:r>
        <w:tab/>
        <w:t>Если сравнивать с 2002 годом, то в 2003 году было диагностировано по</w:t>
      </w:r>
      <w:r>
        <w:t>ч</w:t>
      </w:r>
      <w:r>
        <w:t>ти в три раза больше случаев заболевания СПИДом. В 2002 году на миллион человек было 2,9 больных СПИДом, тогда как в 2003 году этот показатель был уже 8,1.</w:t>
      </w:r>
    </w:p>
    <w:p w:rsidR="00000000" w:rsidRDefault="00000000">
      <w:pPr>
        <w:pStyle w:val="SingleTxt"/>
      </w:pPr>
      <w:r>
        <w:tab/>
        <w:t>Мониторинг распространения инфекции ВИЧ был начат в Эстонии в 1987 году. Мониторинг ведется диагностическими группами (25 лабораториям общего профиля), существующими во всех крупных государственных мед</w:t>
      </w:r>
      <w:r>
        <w:t>и</w:t>
      </w:r>
      <w:r>
        <w:t>цинских учреждениях, и специальной лабораторией в Таллинне. Тестирование на ВИЧ в Эстонии является добровольным и может осуществляться только с согласия тестируемого. Тестирование донорской крови и органов для тран</w:t>
      </w:r>
      <w:r>
        <w:t>с</w:t>
      </w:r>
      <w:r>
        <w:t>плантации является обязательным. Анонимное бесплатное тестирование ос</w:t>
      </w:r>
      <w:r>
        <w:t>у</w:t>
      </w:r>
      <w:r>
        <w:t>ществляется консультационными кабинетами по СПИДу и молодежными ко</w:t>
      </w:r>
      <w:r>
        <w:t>н</w:t>
      </w:r>
      <w:r>
        <w:t>сультационными центрами (для молодежи в возрасте до 18 лет оно беспла</w:t>
      </w:r>
      <w:r>
        <w:t>т</w:t>
      </w:r>
      <w:r>
        <w:t>ное). Тестирование на ВИЧ также проводится для доноров крови, заключе</w:t>
      </w:r>
      <w:r>
        <w:t>н</w:t>
      </w:r>
      <w:r>
        <w:t>ных, военнослужащих, беременных женщин и больных туберкулезом и ЗППП. Тестирование может также проводиться семейными врачами и специальными врачами.</w:t>
      </w:r>
    </w:p>
    <w:p w:rsidR="00000000" w:rsidRDefault="00000000">
      <w:pPr>
        <w:pStyle w:val="SingleTxt"/>
      </w:pPr>
      <w:r>
        <w:tab/>
        <w:t>Профилактическая работа по ВИЧ/СПИДу ведется на основе национал</w:t>
      </w:r>
      <w:r>
        <w:t>ь</w:t>
      </w:r>
      <w:r>
        <w:t>ного плана развития профилактики ВИЧ/СПИДа на 2002–2006 годы (утве</w:t>
      </w:r>
      <w:r>
        <w:t>р</w:t>
      </w:r>
      <w:r>
        <w:t>жденного правительством 16 января 2002 года). По заказу департамента экон</w:t>
      </w:r>
      <w:r>
        <w:t>о</w:t>
      </w:r>
      <w:r>
        <w:t>мической и социальной информации парламента был проведен анализ проф</w:t>
      </w:r>
      <w:r>
        <w:t>и</w:t>
      </w:r>
      <w:r>
        <w:t>лактической работы по ВИЧ/СПИДу в 2004 году, и были приняты рекоменд</w:t>
      </w:r>
      <w:r>
        <w:t>а</w:t>
      </w:r>
      <w:r>
        <w:t>ции, направленные на обеспечение ее непрерывного и неослабного характера. Национальная целевая программа научных исследований и разработок на 1999–2009 годы была утверждена приказом правительства от 11 августа 1998 года.</w:t>
      </w:r>
    </w:p>
    <w:p w:rsidR="00000000" w:rsidRDefault="00000000">
      <w:pPr>
        <w:pStyle w:val="SingleTxt"/>
        <w:spacing w:after="0" w:line="120" w:lineRule="exact"/>
        <w:rPr>
          <w:sz w:val="10"/>
        </w:rPr>
      </w:pPr>
    </w:p>
    <w:p w:rsidR="00000000" w:rsidRDefault="00000000">
      <w:pPr>
        <w:pStyle w:val="SingleTxt"/>
        <w:rPr>
          <w:spacing w:val="-2"/>
        </w:rPr>
      </w:pPr>
      <w:r>
        <w:rPr>
          <w:b/>
          <w:spacing w:val="-2"/>
        </w:rPr>
        <w:t>2.</w:t>
      </w:r>
      <w:r>
        <w:rPr>
          <w:b/>
          <w:spacing w:val="-2"/>
        </w:rP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w:t>
      </w:r>
      <w:r>
        <w:rPr>
          <w:b/>
          <w:spacing w:val="-2"/>
        </w:rPr>
        <w:t>и</w:t>
      </w:r>
      <w:r>
        <w:rPr>
          <w:b/>
          <w:spacing w:val="-2"/>
        </w:rPr>
        <w:t>мо, бесплатные услуги, а также соответствующее питание в период беременн</w:t>
      </w:r>
      <w:r>
        <w:rPr>
          <w:b/>
          <w:spacing w:val="-2"/>
        </w:rPr>
        <w:t>о</w:t>
      </w:r>
      <w:r>
        <w:rPr>
          <w:b/>
          <w:spacing w:val="-2"/>
        </w:rPr>
        <w:t>сти и кормления.</w:t>
      </w:r>
    </w:p>
    <w:p w:rsidR="00000000" w:rsidRDefault="00000000">
      <w:pPr>
        <w:pStyle w:val="SingleTxt"/>
      </w:pPr>
      <w:r>
        <w:tab/>
        <w:t>Количество акушерских отделений (родильных домов) не изменилось (в общей сложности их 19). Есть 3 ведущих центра акушерства и гинекологии. Акушерские отделения уездных и частных больниц являются учреждениями второго уровня.</w:t>
      </w:r>
    </w:p>
    <w:p w:rsidR="00000000" w:rsidRDefault="00000000">
      <w:pPr>
        <w:pStyle w:val="SingleTxt"/>
      </w:pPr>
      <w:r>
        <w:tab/>
        <w:t>Значительные изменения произошли в практике обследования в период беременности. В 1992 году 29,6 процента беременных женщин прошли УЗИ до 21-й недели беременности, тогда как в 2001 году доля беременных женщин, прошедших УЗИ, выросла до 86,2 пр</w:t>
      </w:r>
      <w:r>
        <w:t>о</w:t>
      </w:r>
      <w:r>
        <w:t>цента.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pacing w:val="-2"/>
        </w:rPr>
      </w:pPr>
      <w:r>
        <w:rPr>
          <w:b/>
          <w:spacing w:val="-2"/>
        </w:rPr>
        <w:t>Государства-участники принимают все соответствующие меры для ликвид</w:t>
      </w:r>
      <w:r>
        <w:rPr>
          <w:b/>
          <w:spacing w:val="-2"/>
        </w:rPr>
        <w:t>а</w:t>
      </w:r>
      <w:r>
        <w:rPr>
          <w:b/>
          <w:spacing w:val="-2"/>
        </w:rPr>
        <w:t>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pStyle w:val="SingleTxt"/>
        <w:rPr>
          <w:spacing w:val="-2"/>
        </w:rPr>
      </w:pPr>
      <w:r>
        <w:rPr>
          <w:b/>
          <w:spacing w:val="-2"/>
        </w:rPr>
        <w:tab/>
        <w:t>а)</w:t>
      </w:r>
      <w:r>
        <w:rPr>
          <w:b/>
          <w:spacing w:val="-2"/>
        </w:rPr>
        <w:tab/>
        <w:t>право на семейные пособия;</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Семейные пособия</w:t>
      </w:r>
    </w:p>
    <w:p w:rsidR="00000000" w:rsidRDefault="00000000">
      <w:pPr>
        <w:pStyle w:val="SingleTxt"/>
        <w:spacing w:after="0" w:line="120" w:lineRule="exact"/>
        <w:rPr>
          <w:sz w:val="10"/>
        </w:rPr>
      </w:pPr>
    </w:p>
    <w:p w:rsidR="00000000" w:rsidRDefault="00000000">
      <w:pPr>
        <w:pStyle w:val="SingleTxt"/>
      </w:pPr>
      <w:r>
        <w:tab/>
        <w:t>Государственными семейными пособиями являются пособие по рожд</w:t>
      </w:r>
      <w:r>
        <w:t>е</w:t>
      </w:r>
      <w:r>
        <w:t>нию ребенка, детское пособие, пособие по уходу за ребенком, пособие родит</w:t>
      </w:r>
      <w:r>
        <w:t>е</w:t>
      </w:r>
      <w:r>
        <w:t>лю-одиночке, пособие на ребенка военнослужащего срочной службы, школ</w:t>
      </w:r>
      <w:r>
        <w:t>ь</w:t>
      </w:r>
      <w:r>
        <w:t>ное пособие, пособие на опекаемого или находящегося на содержании у семьи ребенка, пособие для вступления в самостоятельную жизнь, пособие семьям, воспитывающим не менее троих детей, и семьям, воспитывающим тройню, и пособие на приемного ребенка.</w:t>
      </w:r>
    </w:p>
    <w:p w:rsidR="00000000" w:rsidRDefault="00000000">
      <w:pPr>
        <w:pStyle w:val="SingleTxt"/>
      </w:pPr>
      <w:r>
        <w:tab/>
        <w:t>Каждый ребенок имеет право на получение детского пособия до достиж</w:t>
      </w:r>
      <w:r>
        <w:t>е</w:t>
      </w:r>
      <w:r>
        <w:t>ния 16-летнего возраста. Ребенок, посещающий базовую среднюю школу, по</w:t>
      </w:r>
      <w:r>
        <w:t>л</w:t>
      </w:r>
      <w:r>
        <w:t>ную среднюю школу или профессиональное училище, работающее по пр</w:t>
      </w:r>
      <w:r>
        <w:t>о</w:t>
      </w:r>
      <w:r>
        <w:t>грамме базовой средней школы, имеет право на получение семейных пособий до до</w:t>
      </w:r>
      <w:r>
        <w:t>с</w:t>
      </w:r>
      <w:r>
        <w:t>тижения 19-летнего возраста.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Налоговые льготы семьям с детьми</w:t>
      </w:r>
    </w:p>
    <w:p w:rsidR="00000000" w:rsidRDefault="00000000">
      <w:pPr>
        <w:pStyle w:val="SingleTxt"/>
        <w:spacing w:after="0" w:line="120" w:lineRule="exact"/>
        <w:rPr>
          <w:sz w:val="10"/>
          <w:u w:val="single"/>
        </w:rPr>
      </w:pPr>
    </w:p>
    <w:p w:rsidR="00000000" w:rsidRDefault="00000000">
      <w:pPr>
        <w:pStyle w:val="SingleTxt"/>
      </w:pPr>
      <w:r>
        <w:tab/>
        <w:t>Жители Эстонии для целей налогообложения могут вычитать из своего годового дохода сумму расходов на образование своих детей в возрасте до 26 лет и детей, находящихся у них на содержании. Один из родителей ребенка или лицо, на иждивении у которого находится ребенок, также может вычитать дополнительную сумму не облагаемого налогом дохода на каждого ребенка до 17 лет, начиная с третьего ребенка.</w:t>
      </w:r>
    </w:p>
    <w:p w:rsidR="00000000" w:rsidRDefault="00000000">
      <w:pPr>
        <w:pStyle w:val="SingleTxt"/>
      </w:pPr>
      <w:r>
        <w:tab/>
        <w:t>В качестве меры, направленной на повышение рождаемости, государство погашает часть студенческих займов родителей, которые по окончании высш</w:t>
      </w:r>
      <w:r>
        <w:t>е</w:t>
      </w:r>
      <w:r>
        <w:t>го учебного заведения или профессионального училища воспитывают мал</w:t>
      </w:r>
      <w:r>
        <w:t>о</w:t>
      </w:r>
      <w:r>
        <w:t>летнего ребенка. Доля погашаемого займа на каждого ребенка составляет 50 процентов от оставшейся суммы займа, и в случае рождения каждого посл</w:t>
      </w:r>
      <w:r>
        <w:t>е</w:t>
      </w:r>
      <w:r>
        <w:t>дующего ребенка государство погашает еще 50 процентов от оставшейся су</w:t>
      </w:r>
      <w:r>
        <w:t>м</w:t>
      </w:r>
      <w:r>
        <w:t>мы займа. В случае рождения двойни государство погашает 75 процентов, а при рожд</w:t>
      </w:r>
      <w:r>
        <w:t>е</w:t>
      </w:r>
      <w:r>
        <w:t>нии тройни 100 процентов оставшейся суммы займа.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13.1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Размер семейных пособий в эстонских кронах (ЭК)</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1" w:type="dxa"/>
        <w:tblLayout w:type="fixed"/>
        <w:tblCellMar>
          <w:left w:w="0" w:type="dxa"/>
          <w:right w:w="0" w:type="dxa"/>
        </w:tblCellMar>
        <w:tblLook w:val="0000" w:firstRow="0" w:lastRow="0" w:firstColumn="0" w:lastColumn="0" w:noHBand="0" w:noVBand="0"/>
      </w:tblPr>
      <w:tblGrid>
        <w:gridCol w:w="4626"/>
        <w:gridCol w:w="2754"/>
      </w:tblGrid>
      <w:tr w:rsidR="00000000">
        <w:tblPrEx>
          <w:tblCellMar>
            <w:top w:w="0" w:type="dxa"/>
            <w:left w:w="0" w:type="dxa"/>
            <w:bottom w:w="0" w:type="dxa"/>
            <w:right w:w="0" w:type="dxa"/>
          </w:tblCellMar>
        </w:tblPrEx>
        <w:trPr>
          <w:tblHeader/>
        </w:trPr>
        <w:tc>
          <w:tcPr>
            <w:tcW w:w="4626" w:type="dxa"/>
            <w:tcBorders>
              <w:top w:val="single" w:sz="4" w:space="0" w:color="auto"/>
              <w:bottom w:val="single" w:sz="12" w:space="0" w:color="auto"/>
            </w:tcBorders>
            <w:vAlign w:val="bottom"/>
          </w:tcPr>
          <w:p w:rsidR="00000000" w:rsidRDefault="00000000">
            <w:pPr>
              <w:spacing w:before="81" w:after="81" w:line="160" w:lineRule="exact"/>
              <w:ind w:right="40"/>
              <w:jc w:val="both"/>
              <w:rPr>
                <w:i/>
                <w:color w:val="000000"/>
                <w:sz w:val="14"/>
                <w:lang w:eastAsia="et-EE"/>
              </w:rPr>
            </w:pPr>
            <w:r>
              <w:rPr>
                <w:b/>
                <w:i/>
                <w:color w:val="000000"/>
                <w:sz w:val="14"/>
                <w:lang w:eastAsia="et-EE"/>
              </w:rPr>
              <w:t>Вид пособия</w:t>
            </w:r>
          </w:p>
        </w:tc>
        <w:tc>
          <w:tcPr>
            <w:tcW w:w="2754" w:type="dxa"/>
            <w:tcBorders>
              <w:top w:val="single" w:sz="4" w:space="0" w:color="auto"/>
              <w:bottom w:val="single" w:sz="12" w:space="0" w:color="auto"/>
            </w:tcBorders>
            <w:vAlign w:val="bottom"/>
          </w:tcPr>
          <w:p w:rsidR="00000000" w:rsidRDefault="00000000">
            <w:pPr>
              <w:spacing w:before="81" w:after="81" w:line="160" w:lineRule="exact"/>
              <w:ind w:right="40"/>
              <w:jc w:val="right"/>
              <w:rPr>
                <w:i/>
                <w:color w:val="000000"/>
                <w:sz w:val="14"/>
                <w:lang w:eastAsia="et-EE"/>
              </w:rPr>
            </w:pPr>
            <w:r>
              <w:rPr>
                <w:b/>
                <w:i/>
                <w:color w:val="000000"/>
                <w:sz w:val="14"/>
                <w:lang w:eastAsia="et-EE"/>
              </w:rPr>
              <w:t>Размер пособия (ЭК)</w:t>
            </w:r>
          </w:p>
        </w:tc>
      </w:tr>
      <w:tr w:rsidR="00000000">
        <w:tblPrEx>
          <w:tblCellMar>
            <w:top w:w="0" w:type="dxa"/>
            <w:left w:w="0" w:type="dxa"/>
            <w:bottom w:w="0" w:type="dxa"/>
            <w:right w:w="0" w:type="dxa"/>
          </w:tblCellMar>
        </w:tblPrEx>
        <w:trPr>
          <w:trHeight w:hRule="exact" w:val="115"/>
          <w:tblHeader/>
        </w:trPr>
        <w:tc>
          <w:tcPr>
            <w:tcW w:w="4626" w:type="dxa"/>
            <w:shd w:val="clear" w:color="auto" w:fill="FFFFFF"/>
            <w:vAlign w:val="bottom"/>
          </w:tcPr>
          <w:p w:rsidR="00000000" w:rsidRDefault="00000000">
            <w:pPr>
              <w:pStyle w:val="Heading9"/>
              <w:spacing w:before="40" w:after="40" w:line="210" w:lineRule="exact"/>
              <w:ind w:right="40"/>
              <w:rPr>
                <w:sz w:val="17"/>
                <w:lang w:val="ru-RU"/>
              </w:rPr>
            </w:pPr>
          </w:p>
        </w:tc>
        <w:tc>
          <w:tcPr>
            <w:tcW w:w="2754" w:type="dxa"/>
            <w:shd w:val="clear" w:color="auto" w:fill="FFFFFF"/>
            <w:vAlign w:val="bottom"/>
          </w:tcPr>
          <w:p w:rsidR="00000000" w:rsidRDefault="00000000">
            <w:pPr>
              <w:spacing w:before="40" w:after="40" w:line="210" w:lineRule="exact"/>
              <w:ind w:right="40"/>
              <w:jc w:val="right"/>
              <w:rPr>
                <w:color w:val="000000"/>
                <w:sz w:val="17"/>
                <w:lang w:eastAsia="et-EE"/>
              </w:rPr>
            </w:pPr>
          </w:p>
        </w:tc>
      </w:tr>
      <w:tr w:rsidR="00000000">
        <w:tblPrEx>
          <w:tblCellMar>
            <w:top w:w="0" w:type="dxa"/>
            <w:left w:w="0" w:type="dxa"/>
            <w:bottom w:w="0" w:type="dxa"/>
            <w:right w:w="0" w:type="dxa"/>
          </w:tblCellMar>
        </w:tblPrEx>
        <w:tc>
          <w:tcPr>
            <w:tcW w:w="4626" w:type="dxa"/>
            <w:shd w:val="clear" w:color="auto" w:fill="FFFFFF"/>
          </w:tcPr>
          <w:p w:rsidR="00000000" w:rsidRDefault="00000000">
            <w:pPr>
              <w:pStyle w:val="Heading9"/>
              <w:tabs>
                <w:tab w:val="left" w:pos="288"/>
                <w:tab w:val="left" w:pos="576"/>
                <w:tab w:val="left" w:pos="864"/>
                <w:tab w:val="left" w:pos="1152"/>
              </w:tabs>
              <w:spacing w:before="40" w:after="40" w:line="210" w:lineRule="exact"/>
              <w:ind w:right="43"/>
              <w:rPr>
                <w:sz w:val="17"/>
                <w:lang w:val="ru-RU"/>
              </w:rPr>
            </w:pPr>
            <w:r>
              <w:rPr>
                <w:sz w:val="17"/>
                <w:lang w:val="ru-RU"/>
              </w:rPr>
              <w:t>Пособие по рождению ребенка</w:t>
            </w:r>
          </w:p>
        </w:tc>
        <w:tc>
          <w:tcPr>
            <w:tcW w:w="2754" w:type="dxa"/>
            <w:shd w:val="clear" w:color="auto" w:fill="FFFFFF"/>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r>
              <w:rPr>
                <w:color w:val="000000"/>
                <w:sz w:val="17"/>
                <w:lang w:eastAsia="et-EE"/>
              </w:rPr>
              <w:t>Первый ребенок 3750</w:t>
            </w:r>
            <w:r>
              <w:rPr>
                <w:color w:val="000000"/>
                <w:sz w:val="17"/>
                <w:lang w:val="en-US" w:eastAsia="et-EE"/>
              </w:rPr>
              <w:br/>
            </w:r>
            <w:r>
              <w:rPr>
                <w:color w:val="000000"/>
                <w:sz w:val="17"/>
                <w:lang w:eastAsia="et-EE"/>
              </w:rPr>
              <w:t xml:space="preserve">каждый последующий </w:t>
            </w:r>
            <w:r>
              <w:rPr>
                <w:color w:val="000000"/>
                <w:sz w:val="17"/>
                <w:lang w:val="en-US" w:eastAsia="et-EE"/>
              </w:rPr>
              <w:br/>
            </w:r>
            <w:r>
              <w:rPr>
                <w:color w:val="000000"/>
                <w:sz w:val="17"/>
                <w:lang w:eastAsia="et-EE"/>
              </w:rPr>
              <w:t>ребенок 3000</w:t>
            </w:r>
          </w:p>
        </w:tc>
      </w:tr>
      <w:tr w:rsidR="00000000">
        <w:tblPrEx>
          <w:tblCellMar>
            <w:top w:w="0" w:type="dxa"/>
            <w:left w:w="0" w:type="dxa"/>
            <w:bottom w:w="0" w:type="dxa"/>
            <w:right w:w="0" w:type="dxa"/>
          </w:tblCellMar>
        </w:tblPrEx>
        <w:tc>
          <w:tcPr>
            <w:tcW w:w="4626" w:type="dxa"/>
            <w:vAlign w:val="bottom"/>
          </w:tcPr>
          <w:p w:rsidR="00000000" w:rsidRDefault="00000000">
            <w:pPr>
              <w:tabs>
                <w:tab w:val="left" w:pos="288"/>
                <w:tab w:val="left" w:pos="576"/>
                <w:tab w:val="left" w:pos="864"/>
                <w:tab w:val="left" w:pos="1152"/>
              </w:tabs>
              <w:spacing w:before="40" w:after="40" w:line="210" w:lineRule="exact"/>
              <w:ind w:right="43"/>
              <w:rPr>
                <w:color w:val="000000"/>
                <w:sz w:val="17"/>
                <w:lang w:eastAsia="et-EE"/>
              </w:rPr>
            </w:pPr>
            <w:r>
              <w:rPr>
                <w:b/>
                <w:color w:val="000000"/>
                <w:sz w:val="17"/>
                <w:lang w:eastAsia="et-EE"/>
              </w:rPr>
              <w:t>Детское пособие</w:t>
            </w:r>
            <w:r>
              <w:rPr>
                <w:color w:val="000000"/>
                <w:sz w:val="17"/>
                <w:lang w:eastAsia="et-EE"/>
              </w:rPr>
              <w:t xml:space="preserve"> (выплачивается до достижения ребе</w:t>
            </w:r>
            <w:r>
              <w:rPr>
                <w:color w:val="000000"/>
                <w:sz w:val="17"/>
                <w:lang w:eastAsia="et-EE"/>
              </w:rPr>
              <w:t>н</w:t>
            </w:r>
            <w:r>
              <w:rPr>
                <w:color w:val="000000"/>
                <w:sz w:val="17"/>
                <w:lang w:eastAsia="et-EE"/>
              </w:rPr>
              <w:t>ком 16-летнего возраста или, если ребенок учится на о</w:t>
            </w:r>
            <w:r>
              <w:rPr>
                <w:color w:val="000000"/>
                <w:sz w:val="17"/>
                <w:lang w:eastAsia="et-EE"/>
              </w:rPr>
              <w:t>ч</w:t>
            </w:r>
            <w:r>
              <w:rPr>
                <w:color w:val="000000"/>
                <w:sz w:val="17"/>
                <w:lang w:eastAsia="et-EE"/>
              </w:rPr>
              <w:t>ном отделении учебного заведения или по медицинским причинам пользуется другой формой обучения, до до</w:t>
            </w:r>
            <w:r>
              <w:rPr>
                <w:color w:val="000000"/>
                <w:sz w:val="17"/>
                <w:lang w:eastAsia="et-EE"/>
              </w:rPr>
              <w:t>с</w:t>
            </w:r>
            <w:r>
              <w:rPr>
                <w:color w:val="000000"/>
                <w:sz w:val="17"/>
                <w:lang w:eastAsia="et-EE"/>
              </w:rPr>
              <w:t>тижения 19-летнего возраста, или, если ребенку исполн</w:t>
            </w:r>
            <w:r>
              <w:rPr>
                <w:color w:val="000000"/>
                <w:sz w:val="17"/>
                <w:lang w:eastAsia="et-EE"/>
              </w:rPr>
              <w:t>и</w:t>
            </w:r>
            <w:r>
              <w:rPr>
                <w:color w:val="000000"/>
                <w:sz w:val="17"/>
                <w:lang w:eastAsia="et-EE"/>
              </w:rPr>
              <w:t xml:space="preserve">лось 19 лет, до конца учебного года) </w:t>
            </w:r>
          </w:p>
        </w:tc>
        <w:tc>
          <w:tcPr>
            <w:tcW w:w="2754" w:type="dxa"/>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p>
        </w:tc>
      </w:tr>
      <w:tr w:rsidR="00000000">
        <w:tblPrEx>
          <w:tblCellMar>
            <w:top w:w="0" w:type="dxa"/>
            <w:left w:w="0" w:type="dxa"/>
            <w:bottom w:w="0" w:type="dxa"/>
            <w:right w:w="0" w:type="dxa"/>
          </w:tblCellMar>
        </w:tblPrEx>
        <w:tc>
          <w:tcPr>
            <w:tcW w:w="4626" w:type="dxa"/>
            <w:shd w:val="clear" w:color="auto" w:fill="FFFFFF"/>
            <w:vAlign w:val="bottom"/>
          </w:tcPr>
          <w:p w:rsidR="00000000" w:rsidRDefault="00000000">
            <w:pPr>
              <w:tabs>
                <w:tab w:val="left" w:pos="288"/>
                <w:tab w:val="left" w:pos="576"/>
                <w:tab w:val="left" w:pos="864"/>
                <w:tab w:val="left" w:pos="1152"/>
              </w:tabs>
              <w:spacing w:before="40" w:after="40" w:line="210" w:lineRule="exact"/>
              <w:ind w:right="43"/>
              <w:rPr>
                <w:color w:val="000000"/>
                <w:sz w:val="17"/>
                <w:lang w:eastAsia="et-EE"/>
              </w:rPr>
            </w:pPr>
            <w:r>
              <w:rPr>
                <w:color w:val="000000"/>
                <w:sz w:val="17"/>
                <w:lang w:val="en-US" w:eastAsia="et-EE"/>
              </w:rPr>
              <w:tab/>
            </w:r>
            <w:r>
              <w:rPr>
                <w:color w:val="000000"/>
                <w:sz w:val="17"/>
                <w:lang w:eastAsia="et-EE"/>
              </w:rPr>
              <w:t>На первого ребенка</w:t>
            </w:r>
          </w:p>
        </w:tc>
        <w:tc>
          <w:tcPr>
            <w:tcW w:w="2754" w:type="dxa"/>
            <w:shd w:val="clear" w:color="auto" w:fill="FFFFFF"/>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r>
              <w:rPr>
                <w:color w:val="000000"/>
                <w:sz w:val="17"/>
                <w:lang w:eastAsia="et-EE"/>
              </w:rPr>
              <w:t>300</w:t>
            </w:r>
          </w:p>
        </w:tc>
      </w:tr>
      <w:tr w:rsidR="00000000">
        <w:tblPrEx>
          <w:tblCellMar>
            <w:top w:w="0" w:type="dxa"/>
            <w:left w:w="0" w:type="dxa"/>
            <w:bottom w:w="0" w:type="dxa"/>
            <w:right w:w="0" w:type="dxa"/>
          </w:tblCellMar>
        </w:tblPrEx>
        <w:trPr>
          <w:trHeight w:val="340"/>
        </w:trPr>
        <w:tc>
          <w:tcPr>
            <w:tcW w:w="4626" w:type="dxa"/>
            <w:vAlign w:val="bottom"/>
          </w:tcPr>
          <w:p w:rsidR="00000000" w:rsidRDefault="00000000">
            <w:pPr>
              <w:tabs>
                <w:tab w:val="left" w:pos="288"/>
                <w:tab w:val="left" w:pos="576"/>
                <w:tab w:val="left" w:pos="864"/>
                <w:tab w:val="left" w:pos="1152"/>
              </w:tabs>
              <w:spacing w:before="40" w:after="40" w:line="210" w:lineRule="exact"/>
              <w:ind w:right="43"/>
              <w:rPr>
                <w:color w:val="000000"/>
                <w:sz w:val="17"/>
                <w:lang w:eastAsia="et-EE"/>
              </w:rPr>
            </w:pPr>
            <w:r>
              <w:rPr>
                <w:color w:val="000000"/>
                <w:sz w:val="17"/>
                <w:lang w:val="en-US" w:eastAsia="et-EE"/>
              </w:rPr>
              <w:tab/>
            </w:r>
            <w:r>
              <w:rPr>
                <w:color w:val="000000"/>
                <w:sz w:val="17"/>
                <w:lang w:eastAsia="et-EE"/>
              </w:rPr>
              <w:t>На каждого последующего</w:t>
            </w:r>
          </w:p>
        </w:tc>
        <w:tc>
          <w:tcPr>
            <w:tcW w:w="2754" w:type="dxa"/>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r>
              <w:rPr>
                <w:color w:val="000000"/>
                <w:sz w:val="17"/>
                <w:lang w:eastAsia="et-EE"/>
              </w:rPr>
              <w:t>300</w:t>
            </w:r>
          </w:p>
        </w:tc>
      </w:tr>
      <w:tr w:rsidR="00000000">
        <w:tblPrEx>
          <w:tblCellMar>
            <w:top w:w="0" w:type="dxa"/>
            <w:left w:w="0" w:type="dxa"/>
            <w:bottom w:w="0" w:type="dxa"/>
            <w:right w:w="0" w:type="dxa"/>
          </w:tblCellMar>
        </w:tblPrEx>
        <w:tc>
          <w:tcPr>
            <w:tcW w:w="4626" w:type="dxa"/>
            <w:shd w:val="clear" w:color="auto" w:fill="FFFFFF"/>
            <w:vAlign w:val="bottom"/>
          </w:tcPr>
          <w:p w:rsidR="00000000" w:rsidRDefault="00000000">
            <w:pPr>
              <w:tabs>
                <w:tab w:val="left" w:pos="288"/>
                <w:tab w:val="left" w:pos="576"/>
                <w:tab w:val="left" w:pos="864"/>
                <w:tab w:val="left" w:pos="1152"/>
              </w:tabs>
              <w:spacing w:before="40" w:after="40" w:line="210" w:lineRule="exact"/>
              <w:ind w:right="43"/>
              <w:rPr>
                <w:color w:val="000000"/>
                <w:sz w:val="17"/>
                <w:lang w:eastAsia="et-EE"/>
              </w:rPr>
            </w:pPr>
            <w:r>
              <w:rPr>
                <w:b/>
                <w:color w:val="000000"/>
                <w:sz w:val="17"/>
                <w:lang w:eastAsia="et-EE"/>
              </w:rPr>
              <w:t>Пособие по уходу за ребенком</w:t>
            </w:r>
            <w:r>
              <w:rPr>
                <w:color w:val="000000"/>
                <w:sz w:val="17"/>
                <w:lang w:eastAsia="et-EE"/>
              </w:rPr>
              <w:t xml:space="preserve"> (на одного ребенка)</w:t>
            </w:r>
          </w:p>
        </w:tc>
        <w:tc>
          <w:tcPr>
            <w:tcW w:w="2754" w:type="dxa"/>
            <w:shd w:val="clear" w:color="auto" w:fill="FFFFFF"/>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p>
        </w:tc>
      </w:tr>
      <w:tr w:rsidR="00000000">
        <w:tblPrEx>
          <w:tblCellMar>
            <w:top w:w="0" w:type="dxa"/>
            <w:left w:w="0" w:type="dxa"/>
            <w:bottom w:w="0" w:type="dxa"/>
            <w:right w:w="0" w:type="dxa"/>
          </w:tblCellMar>
        </w:tblPrEx>
        <w:tc>
          <w:tcPr>
            <w:tcW w:w="4626" w:type="dxa"/>
            <w:vAlign w:val="bottom"/>
          </w:tcPr>
          <w:p w:rsidR="00000000" w:rsidRDefault="00000000">
            <w:pPr>
              <w:tabs>
                <w:tab w:val="left" w:pos="288"/>
                <w:tab w:val="left" w:pos="576"/>
                <w:tab w:val="left" w:pos="864"/>
                <w:tab w:val="left" w:pos="1152"/>
              </w:tabs>
              <w:spacing w:before="40" w:after="40" w:line="210" w:lineRule="exact"/>
              <w:ind w:right="43"/>
              <w:rPr>
                <w:color w:val="000000"/>
                <w:sz w:val="17"/>
                <w:lang w:eastAsia="et-EE"/>
              </w:rPr>
            </w:pPr>
            <w:r>
              <w:rPr>
                <w:color w:val="000000"/>
                <w:sz w:val="17"/>
                <w:lang w:val="en-US" w:eastAsia="et-EE"/>
              </w:rPr>
              <w:tab/>
            </w:r>
            <w:r>
              <w:rPr>
                <w:color w:val="000000"/>
                <w:sz w:val="17"/>
                <w:lang w:eastAsia="et-EE"/>
              </w:rPr>
              <w:t>родителю ребенка в возрасте до одного года</w:t>
            </w:r>
          </w:p>
        </w:tc>
        <w:tc>
          <w:tcPr>
            <w:tcW w:w="2754" w:type="dxa"/>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r>
              <w:rPr>
                <w:color w:val="000000"/>
                <w:sz w:val="17"/>
                <w:lang w:eastAsia="et-EE"/>
              </w:rPr>
              <w:t>700</w:t>
            </w:r>
          </w:p>
        </w:tc>
      </w:tr>
      <w:tr w:rsidR="00000000">
        <w:tblPrEx>
          <w:tblCellMar>
            <w:top w:w="0" w:type="dxa"/>
            <w:left w:w="0" w:type="dxa"/>
            <w:bottom w:w="0" w:type="dxa"/>
            <w:right w:w="0" w:type="dxa"/>
          </w:tblCellMar>
        </w:tblPrEx>
        <w:tc>
          <w:tcPr>
            <w:tcW w:w="4626" w:type="dxa"/>
            <w:shd w:val="clear" w:color="auto" w:fill="FFFFFF"/>
            <w:vAlign w:val="bottom"/>
          </w:tcPr>
          <w:p w:rsidR="00000000" w:rsidRDefault="00000000">
            <w:pPr>
              <w:tabs>
                <w:tab w:val="left" w:pos="288"/>
                <w:tab w:val="left" w:pos="576"/>
                <w:tab w:val="left" w:pos="864"/>
                <w:tab w:val="left" w:pos="1152"/>
              </w:tabs>
              <w:spacing w:before="40" w:after="40" w:line="210" w:lineRule="exact"/>
              <w:ind w:right="43"/>
              <w:rPr>
                <w:color w:val="000000"/>
                <w:sz w:val="17"/>
                <w:lang w:eastAsia="et-EE"/>
              </w:rPr>
            </w:pPr>
            <w:r>
              <w:rPr>
                <w:color w:val="000000"/>
                <w:sz w:val="17"/>
                <w:lang w:val="en-US" w:eastAsia="et-EE"/>
              </w:rPr>
              <w:tab/>
            </w:r>
            <w:r>
              <w:rPr>
                <w:color w:val="000000"/>
                <w:sz w:val="17"/>
                <w:lang w:eastAsia="et-EE"/>
              </w:rPr>
              <w:t>родителю ребенка в возрасте от 1 до 3 лет</w:t>
            </w:r>
          </w:p>
        </w:tc>
        <w:tc>
          <w:tcPr>
            <w:tcW w:w="2754" w:type="dxa"/>
            <w:shd w:val="clear" w:color="auto" w:fill="FFFFFF"/>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r>
              <w:rPr>
                <w:color w:val="000000"/>
                <w:sz w:val="17"/>
                <w:lang w:eastAsia="et-EE"/>
              </w:rPr>
              <w:t>600</w:t>
            </w:r>
          </w:p>
        </w:tc>
      </w:tr>
      <w:tr w:rsidR="00000000">
        <w:tblPrEx>
          <w:tblCellMar>
            <w:top w:w="0" w:type="dxa"/>
            <w:left w:w="0" w:type="dxa"/>
            <w:bottom w:w="0" w:type="dxa"/>
            <w:right w:w="0" w:type="dxa"/>
          </w:tblCellMar>
        </w:tblPrEx>
        <w:tc>
          <w:tcPr>
            <w:tcW w:w="4626" w:type="dxa"/>
            <w:vAlign w:val="bottom"/>
          </w:tcPr>
          <w:p w:rsidR="00000000" w:rsidRDefault="00000000">
            <w:pPr>
              <w:tabs>
                <w:tab w:val="left" w:pos="288"/>
                <w:tab w:val="left" w:pos="576"/>
                <w:tab w:val="left" w:pos="864"/>
                <w:tab w:val="left" w:pos="1152"/>
              </w:tabs>
              <w:spacing w:before="40" w:after="40" w:line="210" w:lineRule="exact"/>
              <w:ind w:left="288" w:right="43" w:hanging="288"/>
              <w:rPr>
                <w:color w:val="000000"/>
                <w:sz w:val="17"/>
                <w:lang w:eastAsia="et-EE"/>
              </w:rPr>
            </w:pPr>
            <w:r>
              <w:rPr>
                <w:color w:val="000000"/>
                <w:sz w:val="17"/>
                <w:lang w:val="en-US" w:eastAsia="et-EE"/>
              </w:rPr>
              <w:tab/>
            </w:r>
            <w:r>
              <w:rPr>
                <w:color w:val="000000"/>
                <w:sz w:val="17"/>
                <w:lang w:eastAsia="et-EE"/>
              </w:rPr>
              <w:t>родителю ребенка в возрасте от 3 до 8 лет (выплач</w:t>
            </w:r>
            <w:r>
              <w:rPr>
                <w:color w:val="000000"/>
                <w:sz w:val="17"/>
                <w:lang w:eastAsia="et-EE"/>
              </w:rPr>
              <w:t>и</w:t>
            </w:r>
            <w:r>
              <w:rPr>
                <w:color w:val="000000"/>
                <w:sz w:val="17"/>
                <w:lang w:eastAsia="et-EE"/>
              </w:rPr>
              <w:t>вается, если в семье есть еще дети в возрасте до 3</w:t>
            </w:r>
            <w:r>
              <w:rPr>
                <w:color w:val="000000"/>
                <w:sz w:val="17"/>
                <w:lang w:val="en-US" w:eastAsia="et-EE"/>
              </w:rPr>
              <w:t> </w:t>
            </w:r>
            <w:r>
              <w:rPr>
                <w:color w:val="000000"/>
                <w:sz w:val="17"/>
                <w:lang w:eastAsia="et-EE"/>
              </w:rPr>
              <w:t>лет)</w:t>
            </w:r>
          </w:p>
        </w:tc>
        <w:tc>
          <w:tcPr>
            <w:tcW w:w="2754" w:type="dxa"/>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r>
              <w:rPr>
                <w:color w:val="000000"/>
                <w:sz w:val="17"/>
                <w:lang w:eastAsia="et-EE"/>
              </w:rPr>
              <w:t>300</w:t>
            </w:r>
          </w:p>
        </w:tc>
      </w:tr>
      <w:tr w:rsidR="00000000">
        <w:tblPrEx>
          <w:tblCellMar>
            <w:top w:w="0" w:type="dxa"/>
            <w:left w:w="0" w:type="dxa"/>
            <w:bottom w:w="0" w:type="dxa"/>
            <w:right w:w="0" w:type="dxa"/>
          </w:tblCellMar>
        </w:tblPrEx>
        <w:tc>
          <w:tcPr>
            <w:tcW w:w="4626" w:type="dxa"/>
            <w:shd w:val="clear" w:color="auto" w:fill="FFFFFF"/>
            <w:vAlign w:val="bottom"/>
          </w:tcPr>
          <w:p w:rsidR="00000000" w:rsidRDefault="00000000">
            <w:pPr>
              <w:tabs>
                <w:tab w:val="left" w:pos="288"/>
                <w:tab w:val="left" w:pos="576"/>
                <w:tab w:val="left" w:pos="864"/>
                <w:tab w:val="left" w:pos="1152"/>
              </w:tabs>
              <w:spacing w:before="40" w:after="40" w:line="210" w:lineRule="exact"/>
              <w:ind w:left="288" w:right="43" w:hanging="288"/>
              <w:rPr>
                <w:color w:val="000000"/>
                <w:sz w:val="17"/>
                <w:lang w:eastAsia="et-EE"/>
              </w:rPr>
            </w:pPr>
            <w:r>
              <w:rPr>
                <w:color w:val="000000"/>
                <w:sz w:val="17"/>
                <w:lang w:val="en-US" w:eastAsia="et-EE"/>
              </w:rPr>
              <w:tab/>
            </w:r>
            <w:r>
              <w:rPr>
                <w:color w:val="000000"/>
                <w:sz w:val="17"/>
                <w:lang w:eastAsia="et-EE"/>
              </w:rPr>
              <w:t>родителю ребенка в возрасте от 3 до 8 лет, если в с</w:t>
            </w:r>
            <w:r>
              <w:rPr>
                <w:color w:val="000000"/>
                <w:sz w:val="17"/>
                <w:lang w:eastAsia="et-EE"/>
              </w:rPr>
              <w:t>е</w:t>
            </w:r>
            <w:r>
              <w:rPr>
                <w:color w:val="000000"/>
                <w:sz w:val="17"/>
                <w:lang w:eastAsia="et-EE"/>
              </w:rPr>
              <w:t>мье трое или больше детей (выплачивается, если в семье, получающей детское пособие, не меньше тр</w:t>
            </w:r>
            <w:r>
              <w:rPr>
                <w:color w:val="000000"/>
                <w:sz w:val="17"/>
                <w:lang w:eastAsia="et-EE"/>
              </w:rPr>
              <w:t>о</w:t>
            </w:r>
            <w:r>
              <w:rPr>
                <w:color w:val="000000"/>
                <w:sz w:val="17"/>
                <w:lang w:eastAsia="et-EE"/>
              </w:rPr>
              <w:t>их детей ста</w:t>
            </w:r>
            <w:r>
              <w:rPr>
                <w:color w:val="000000"/>
                <w:sz w:val="17"/>
                <w:lang w:eastAsia="et-EE"/>
              </w:rPr>
              <w:t>р</w:t>
            </w:r>
            <w:r>
              <w:rPr>
                <w:color w:val="000000"/>
                <w:sz w:val="17"/>
                <w:lang w:eastAsia="et-EE"/>
              </w:rPr>
              <w:t>ше трех лет)</w:t>
            </w:r>
          </w:p>
        </w:tc>
        <w:tc>
          <w:tcPr>
            <w:tcW w:w="2754" w:type="dxa"/>
            <w:shd w:val="clear" w:color="auto" w:fill="FFFFFF"/>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r>
              <w:rPr>
                <w:color w:val="000000"/>
                <w:sz w:val="17"/>
                <w:lang w:eastAsia="et-EE"/>
              </w:rPr>
              <w:t>300</w:t>
            </w:r>
          </w:p>
        </w:tc>
      </w:tr>
      <w:tr w:rsidR="00000000">
        <w:tblPrEx>
          <w:tblCellMar>
            <w:top w:w="0" w:type="dxa"/>
            <w:left w:w="0" w:type="dxa"/>
            <w:bottom w:w="0" w:type="dxa"/>
            <w:right w:w="0" w:type="dxa"/>
          </w:tblCellMar>
        </w:tblPrEx>
        <w:tc>
          <w:tcPr>
            <w:tcW w:w="4626" w:type="dxa"/>
            <w:vAlign w:val="bottom"/>
          </w:tcPr>
          <w:p w:rsidR="00000000" w:rsidRDefault="00000000">
            <w:pPr>
              <w:tabs>
                <w:tab w:val="left" w:pos="288"/>
                <w:tab w:val="left" w:pos="576"/>
                <w:tab w:val="left" w:pos="864"/>
                <w:tab w:val="left" w:pos="1152"/>
              </w:tabs>
              <w:spacing w:before="40" w:after="40" w:line="210" w:lineRule="exact"/>
              <w:ind w:right="43"/>
              <w:rPr>
                <w:color w:val="000000"/>
                <w:sz w:val="17"/>
                <w:lang w:eastAsia="et-EE"/>
              </w:rPr>
            </w:pPr>
            <w:r>
              <w:rPr>
                <w:b/>
                <w:color w:val="000000"/>
                <w:sz w:val="17"/>
                <w:lang w:eastAsia="et-EE"/>
              </w:rPr>
              <w:t xml:space="preserve">Пособие родителю-одиночке </w:t>
            </w:r>
            <w:r>
              <w:rPr>
                <w:color w:val="000000"/>
                <w:sz w:val="17"/>
                <w:lang w:eastAsia="et-EE"/>
              </w:rPr>
              <w:t>(на ребенка, в свидетельс</w:t>
            </w:r>
            <w:r>
              <w:rPr>
                <w:color w:val="000000"/>
                <w:sz w:val="17"/>
                <w:lang w:eastAsia="et-EE"/>
              </w:rPr>
              <w:t>т</w:t>
            </w:r>
            <w:r>
              <w:rPr>
                <w:color w:val="000000"/>
                <w:sz w:val="17"/>
                <w:lang w:eastAsia="et-EE"/>
              </w:rPr>
              <w:t xml:space="preserve">ве о рождении которого </w:t>
            </w:r>
            <w:r>
              <w:rPr>
                <w:sz w:val="17"/>
              </w:rPr>
              <w:t>не указан отец или отец указан по заявлению матери или один из родителей которого объявлен в розыск</w:t>
            </w:r>
            <w:r>
              <w:rPr>
                <w:color w:val="000000"/>
                <w:sz w:val="17"/>
                <w:lang w:eastAsia="et-EE"/>
              </w:rPr>
              <w:t>)</w:t>
            </w:r>
          </w:p>
        </w:tc>
        <w:tc>
          <w:tcPr>
            <w:tcW w:w="2754" w:type="dxa"/>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r>
              <w:rPr>
                <w:color w:val="000000"/>
                <w:sz w:val="17"/>
                <w:lang w:eastAsia="et-EE"/>
              </w:rPr>
              <w:t>300</w:t>
            </w:r>
          </w:p>
        </w:tc>
      </w:tr>
      <w:tr w:rsidR="00000000">
        <w:tblPrEx>
          <w:tblCellMar>
            <w:top w:w="0" w:type="dxa"/>
            <w:left w:w="0" w:type="dxa"/>
            <w:bottom w:w="0" w:type="dxa"/>
            <w:right w:w="0" w:type="dxa"/>
          </w:tblCellMar>
        </w:tblPrEx>
        <w:tc>
          <w:tcPr>
            <w:tcW w:w="4626" w:type="dxa"/>
            <w:shd w:val="clear" w:color="auto" w:fill="FFFFFF"/>
            <w:vAlign w:val="bottom"/>
          </w:tcPr>
          <w:p w:rsidR="00000000" w:rsidRDefault="00000000">
            <w:pPr>
              <w:tabs>
                <w:tab w:val="left" w:pos="288"/>
                <w:tab w:val="left" w:pos="576"/>
                <w:tab w:val="left" w:pos="864"/>
                <w:tab w:val="left" w:pos="1152"/>
              </w:tabs>
              <w:spacing w:before="40" w:after="40" w:line="210" w:lineRule="exact"/>
              <w:ind w:right="43"/>
              <w:rPr>
                <w:color w:val="000000"/>
                <w:sz w:val="17"/>
                <w:lang w:eastAsia="et-EE"/>
              </w:rPr>
            </w:pPr>
            <w:r>
              <w:rPr>
                <w:b/>
                <w:color w:val="000000"/>
                <w:sz w:val="17"/>
                <w:lang w:eastAsia="et-EE"/>
              </w:rPr>
              <w:t>Пособие на ребенка военнослужащего срочной слу</w:t>
            </w:r>
            <w:r>
              <w:rPr>
                <w:b/>
                <w:color w:val="000000"/>
                <w:sz w:val="17"/>
                <w:lang w:eastAsia="et-EE"/>
              </w:rPr>
              <w:t>ж</w:t>
            </w:r>
            <w:r>
              <w:rPr>
                <w:b/>
                <w:color w:val="000000"/>
                <w:sz w:val="17"/>
                <w:lang w:eastAsia="et-EE"/>
              </w:rPr>
              <w:t>бы</w:t>
            </w:r>
          </w:p>
        </w:tc>
        <w:tc>
          <w:tcPr>
            <w:tcW w:w="2754" w:type="dxa"/>
            <w:shd w:val="clear" w:color="auto" w:fill="FFFFFF"/>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r>
              <w:rPr>
                <w:color w:val="000000"/>
                <w:sz w:val="17"/>
                <w:lang w:eastAsia="et-EE"/>
              </w:rPr>
              <w:t>750</w:t>
            </w:r>
          </w:p>
        </w:tc>
      </w:tr>
      <w:tr w:rsidR="00000000">
        <w:tblPrEx>
          <w:tblCellMar>
            <w:top w:w="0" w:type="dxa"/>
            <w:left w:w="0" w:type="dxa"/>
            <w:bottom w:w="0" w:type="dxa"/>
            <w:right w:w="0" w:type="dxa"/>
          </w:tblCellMar>
        </w:tblPrEx>
        <w:tc>
          <w:tcPr>
            <w:tcW w:w="4626" w:type="dxa"/>
            <w:vAlign w:val="bottom"/>
          </w:tcPr>
          <w:p w:rsidR="00000000" w:rsidRDefault="00000000">
            <w:pPr>
              <w:tabs>
                <w:tab w:val="left" w:pos="288"/>
                <w:tab w:val="left" w:pos="576"/>
                <w:tab w:val="left" w:pos="864"/>
                <w:tab w:val="left" w:pos="1152"/>
              </w:tabs>
              <w:spacing w:before="40" w:after="40" w:line="210" w:lineRule="exact"/>
              <w:ind w:right="43"/>
              <w:rPr>
                <w:color w:val="000000"/>
                <w:sz w:val="17"/>
                <w:lang w:eastAsia="et-EE"/>
              </w:rPr>
            </w:pPr>
            <w:r>
              <w:rPr>
                <w:b/>
                <w:color w:val="000000"/>
                <w:sz w:val="17"/>
                <w:lang w:eastAsia="et-EE"/>
              </w:rPr>
              <w:t>Школьное пособие</w:t>
            </w:r>
            <w:r>
              <w:rPr>
                <w:color w:val="000000"/>
                <w:sz w:val="17"/>
                <w:lang w:eastAsia="et-EE"/>
              </w:rPr>
              <w:t xml:space="preserve"> (выплачивается в начале каждого школьного года)</w:t>
            </w:r>
          </w:p>
        </w:tc>
        <w:tc>
          <w:tcPr>
            <w:tcW w:w="2754" w:type="dxa"/>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r>
              <w:rPr>
                <w:color w:val="000000"/>
                <w:sz w:val="17"/>
                <w:lang w:eastAsia="et-EE"/>
              </w:rPr>
              <w:t>450</w:t>
            </w:r>
          </w:p>
        </w:tc>
      </w:tr>
      <w:tr w:rsidR="00000000">
        <w:tblPrEx>
          <w:tblCellMar>
            <w:top w:w="0" w:type="dxa"/>
            <w:left w:w="0" w:type="dxa"/>
            <w:bottom w:w="0" w:type="dxa"/>
            <w:right w:w="0" w:type="dxa"/>
          </w:tblCellMar>
        </w:tblPrEx>
        <w:tc>
          <w:tcPr>
            <w:tcW w:w="4626" w:type="dxa"/>
            <w:shd w:val="clear" w:color="auto" w:fill="FFFFFF"/>
            <w:vAlign w:val="bottom"/>
          </w:tcPr>
          <w:p w:rsidR="00000000" w:rsidRDefault="00000000">
            <w:pPr>
              <w:tabs>
                <w:tab w:val="left" w:pos="288"/>
                <w:tab w:val="left" w:pos="576"/>
                <w:tab w:val="left" w:pos="864"/>
                <w:tab w:val="left" w:pos="1152"/>
              </w:tabs>
              <w:spacing w:before="40" w:after="40" w:line="210" w:lineRule="exact"/>
              <w:ind w:right="43"/>
              <w:rPr>
                <w:color w:val="000000"/>
                <w:sz w:val="17"/>
                <w:lang w:eastAsia="et-EE"/>
              </w:rPr>
            </w:pPr>
            <w:r>
              <w:rPr>
                <w:b/>
                <w:color w:val="000000"/>
                <w:sz w:val="17"/>
                <w:lang w:eastAsia="et-EE"/>
              </w:rPr>
              <w:t>Пособие на опекаемого или находящегося на содерж</w:t>
            </w:r>
            <w:r>
              <w:rPr>
                <w:b/>
                <w:color w:val="000000"/>
                <w:sz w:val="17"/>
                <w:lang w:eastAsia="et-EE"/>
              </w:rPr>
              <w:t>а</w:t>
            </w:r>
            <w:r>
              <w:rPr>
                <w:b/>
                <w:color w:val="000000"/>
                <w:sz w:val="17"/>
                <w:lang w:eastAsia="et-EE"/>
              </w:rPr>
              <w:t>нии у семьи р</w:t>
            </w:r>
            <w:r>
              <w:rPr>
                <w:b/>
                <w:color w:val="000000"/>
                <w:sz w:val="17"/>
                <w:lang w:eastAsia="et-EE"/>
              </w:rPr>
              <w:t>е</w:t>
            </w:r>
            <w:r>
              <w:rPr>
                <w:b/>
                <w:color w:val="000000"/>
                <w:sz w:val="17"/>
                <w:lang w:eastAsia="et-EE"/>
              </w:rPr>
              <w:t>бенка</w:t>
            </w:r>
          </w:p>
        </w:tc>
        <w:tc>
          <w:tcPr>
            <w:tcW w:w="2754" w:type="dxa"/>
            <w:shd w:val="clear" w:color="auto" w:fill="FFFFFF"/>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r>
              <w:rPr>
                <w:color w:val="000000"/>
                <w:sz w:val="17"/>
                <w:lang w:eastAsia="et-EE"/>
              </w:rPr>
              <w:t>900</w:t>
            </w:r>
          </w:p>
        </w:tc>
      </w:tr>
      <w:tr w:rsidR="00000000">
        <w:tblPrEx>
          <w:tblCellMar>
            <w:top w:w="0" w:type="dxa"/>
            <w:left w:w="0" w:type="dxa"/>
            <w:bottom w:w="0" w:type="dxa"/>
            <w:right w:w="0" w:type="dxa"/>
          </w:tblCellMar>
        </w:tblPrEx>
        <w:tc>
          <w:tcPr>
            <w:tcW w:w="4626" w:type="dxa"/>
            <w:vAlign w:val="bottom"/>
          </w:tcPr>
          <w:p w:rsidR="00000000" w:rsidRDefault="00000000">
            <w:pPr>
              <w:tabs>
                <w:tab w:val="left" w:pos="288"/>
                <w:tab w:val="left" w:pos="576"/>
                <w:tab w:val="left" w:pos="864"/>
                <w:tab w:val="left" w:pos="1152"/>
              </w:tabs>
              <w:spacing w:before="40" w:after="40" w:line="210" w:lineRule="exact"/>
              <w:ind w:right="43"/>
              <w:rPr>
                <w:color w:val="000000"/>
                <w:sz w:val="17"/>
                <w:lang w:eastAsia="et-EE"/>
              </w:rPr>
            </w:pPr>
            <w:r>
              <w:rPr>
                <w:b/>
                <w:color w:val="000000"/>
                <w:sz w:val="17"/>
                <w:lang w:eastAsia="et-EE"/>
              </w:rPr>
              <w:t xml:space="preserve">Пособие для вступления в самостоятельную жизнь </w:t>
            </w:r>
            <w:r>
              <w:rPr>
                <w:color w:val="000000"/>
                <w:sz w:val="17"/>
                <w:lang w:eastAsia="et-EE"/>
              </w:rPr>
              <w:t>(молодым людям, покидающим учреждения социального попечения)</w:t>
            </w:r>
          </w:p>
        </w:tc>
        <w:tc>
          <w:tcPr>
            <w:tcW w:w="2754" w:type="dxa"/>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r>
              <w:rPr>
                <w:color w:val="000000"/>
                <w:sz w:val="17"/>
                <w:lang w:eastAsia="et-EE"/>
              </w:rPr>
              <w:t>6000</w:t>
            </w:r>
          </w:p>
        </w:tc>
      </w:tr>
      <w:tr w:rsidR="00000000">
        <w:tblPrEx>
          <w:tblCellMar>
            <w:top w:w="0" w:type="dxa"/>
            <w:left w:w="0" w:type="dxa"/>
            <w:bottom w:w="0" w:type="dxa"/>
            <w:right w:w="0" w:type="dxa"/>
          </w:tblCellMar>
        </w:tblPrEx>
        <w:tc>
          <w:tcPr>
            <w:tcW w:w="4626" w:type="dxa"/>
            <w:shd w:val="clear" w:color="auto" w:fill="FFFFFF"/>
          </w:tcPr>
          <w:p w:rsidR="00000000" w:rsidRDefault="00000000">
            <w:pPr>
              <w:tabs>
                <w:tab w:val="left" w:pos="288"/>
                <w:tab w:val="left" w:pos="576"/>
                <w:tab w:val="left" w:pos="864"/>
                <w:tab w:val="left" w:pos="1152"/>
              </w:tabs>
              <w:spacing w:before="40" w:after="40" w:line="210" w:lineRule="exact"/>
              <w:ind w:right="43"/>
              <w:rPr>
                <w:color w:val="000000"/>
                <w:sz w:val="17"/>
                <w:lang w:eastAsia="et-EE"/>
              </w:rPr>
            </w:pPr>
            <w:r>
              <w:rPr>
                <w:b/>
                <w:color w:val="000000"/>
                <w:sz w:val="17"/>
                <w:lang w:eastAsia="et-EE"/>
              </w:rPr>
              <w:t xml:space="preserve">Пособие семьям, воспитывающим троих и большее число детей, и семьям, воспитывающим тройню </w:t>
            </w:r>
            <w:r>
              <w:rPr>
                <w:b/>
                <w:color w:val="000000"/>
                <w:sz w:val="17"/>
                <w:lang w:val="en-US" w:eastAsia="et-EE"/>
              </w:rPr>
              <w:br/>
            </w:r>
            <w:r>
              <w:rPr>
                <w:color w:val="000000"/>
                <w:sz w:val="17"/>
                <w:lang w:eastAsia="et-EE"/>
              </w:rPr>
              <w:t>(в</w:t>
            </w:r>
            <w:r>
              <w:rPr>
                <w:color w:val="000000"/>
                <w:sz w:val="17"/>
                <w:lang w:eastAsia="et-EE"/>
              </w:rPr>
              <w:t>ы</w:t>
            </w:r>
            <w:r>
              <w:rPr>
                <w:color w:val="000000"/>
                <w:sz w:val="17"/>
                <w:lang w:eastAsia="et-EE"/>
              </w:rPr>
              <w:t>плачивается ежеквартально)</w:t>
            </w:r>
          </w:p>
        </w:tc>
        <w:tc>
          <w:tcPr>
            <w:tcW w:w="2754" w:type="dxa"/>
            <w:shd w:val="clear" w:color="auto" w:fill="FFFFFF"/>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r>
              <w:rPr>
                <w:color w:val="000000"/>
                <w:sz w:val="17"/>
                <w:lang w:eastAsia="et-EE"/>
              </w:rPr>
              <w:t>Число детей, получающих п</w:t>
            </w:r>
            <w:r>
              <w:rPr>
                <w:color w:val="000000"/>
                <w:sz w:val="17"/>
                <w:lang w:eastAsia="et-EE"/>
              </w:rPr>
              <w:t>о</w:t>
            </w:r>
            <w:r>
              <w:rPr>
                <w:color w:val="000000"/>
                <w:sz w:val="17"/>
                <w:lang w:eastAsia="et-EE"/>
              </w:rPr>
              <w:t xml:space="preserve">мощь, умноженное на 150 </w:t>
            </w:r>
            <w:r>
              <w:rPr>
                <w:color w:val="000000"/>
                <w:sz w:val="17"/>
                <w:lang w:val="en-US" w:eastAsia="et-EE"/>
              </w:rPr>
              <w:br/>
            </w:r>
            <w:r>
              <w:rPr>
                <w:color w:val="000000"/>
                <w:sz w:val="17"/>
                <w:lang w:eastAsia="et-EE"/>
              </w:rPr>
              <w:t>(в случае тройни сумма пособия с</w:t>
            </w:r>
            <w:r>
              <w:rPr>
                <w:color w:val="000000"/>
                <w:sz w:val="17"/>
                <w:lang w:eastAsia="et-EE"/>
              </w:rPr>
              <w:t>о</w:t>
            </w:r>
            <w:r>
              <w:rPr>
                <w:color w:val="000000"/>
                <w:sz w:val="17"/>
                <w:lang w:eastAsia="et-EE"/>
              </w:rPr>
              <w:t>ставляет 4</w:t>
            </w:r>
            <w:r>
              <w:rPr>
                <w:color w:val="000000"/>
                <w:sz w:val="17"/>
                <w:lang w:val="en-US" w:eastAsia="et-EE"/>
              </w:rPr>
              <w:t xml:space="preserve"> </w:t>
            </w:r>
            <w:r>
              <w:rPr>
                <w:color w:val="000000"/>
                <w:sz w:val="17"/>
                <w:lang w:val="en-US" w:eastAsia="et-EE"/>
              </w:rPr>
              <w:sym w:font="Symbol" w:char="F0B4"/>
            </w:r>
            <w:r>
              <w:rPr>
                <w:color w:val="000000"/>
                <w:sz w:val="17"/>
                <w:lang w:val="en-US" w:eastAsia="et-EE"/>
              </w:rPr>
              <w:t xml:space="preserve"> </w:t>
            </w:r>
            <w:r>
              <w:rPr>
                <w:color w:val="000000"/>
                <w:sz w:val="17"/>
                <w:lang w:eastAsia="et-EE"/>
              </w:rPr>
              <w:t>150)</w:t>
            </w:r>
          </w:p>
        </w:tc>
      </w:tr>
      <w:tr w:rsidR="00000000">
        <w:tblPrEx>
          <w:tblCellMar>
            <w:top w:w="0" w:type="dxa"/>
            <w:left w:w="0" w:type="dxa"/>
            <w:bottom w:w="0" w:type="dxa"/>
            <w:right w:w="0" w:type="dxa"/>
          </w:tblCellMar>
        </w:tblPrEx>
        <w:tc>
          <w:tcPr>
            <w:tcW w:w="462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color w:val="000000"/>
                <w:sz w:val="17"/>
                <w:lang w:eastAsia="et-EE"/>
              </w:rPr>
            </w:pPr>
            <w:r>
              <w:rPr>
                <w:b/>
                <w:color w:val="000000"/>
                <w:sz w:val="17"/>
                <w:lang w:eastAsia="et-EE"/>
              </w:rPr>
              <w:t>Пособие на приемного ребенка</w:t>
            </w:r>
            <w:r>
              <w:rPr>
                <w:color w:val="000000"/>
                <w:sz w:val="17"/>
                <w:lang w:eastAsia="et-EE"/>
              </w:rPr>
              <w:t xml:space="preserve"> (единовременное)</w:t>
            </w:r>
          </w:p>
        </w:tc>
        <w:tc>
          <w:tcPr>
            <w:tcW w:w="275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color w:val="000000"/>
                <w:sz w:val="17"/>
                <w:lang w:eastAsia="et-EE"/>
              </w:rPr>
            </w:pPr>
            <w:r>
              <w:rPr>
                <w:color w:val="000000"/>
                <w:sz w:val="17"/>
                <w:lang w:eastAsia="et-EE"/>
              </w:rPr>
              <w:t>3000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ab/>
        <w:t>b)</w:t>
      </w:r>
      <w:r>
        <w:rPr>
          <w:b/>
          <w:lang w:val="en-US"/>
        </w:rPr>
        <w:tab/>
      </w:r>
      <w:r>
        <w:rPr>
          <w:b/>
        </w:rPr>
        <w:t>право на получение займов, ссуд под недвижимость и других форм ф</w:t>
      </w:r>
      <w:r>
        <w:rPr>
          <w:b/>
        </w:rPr>
        <w:t>и</w:t>
      </w:r>
      <w:r>
        <w:rPr>
          <w:b/>
        </w:rPr>
        <w:t>нансового кредита;</w:t>
      </w:r>
    </w:p>
    <w:p w:rsidR="00000000" w:rsidRDefault="00000000">
      <w:pPr>
        <w:pStyle w:val="SingleTxt"/>
      </w:pPr>
      <w:r>
        <w:rPr>
          <w:lang w:val="en-US"/>
        </w:rPr>
        <w:tab/>
      </w:r>
      <w:r>
        <w:t>В Эстонии существуют многочисленные кредитные учреждения, предо</w:t>
      </w:r>
      <w:r>
        <w:t>с</w:t>
      </w:r>
      <w:r>
        <w:t>тавляющие займы. Если человек, обращающийся за займом, удовлетворяет всем требованиям, установленным банком, то никаких препятствий для пол</w:t>
      </w:r>
      <w:r>
        <w:t>у</w:t>
      </w:r>
      <w:r>
        <w:t>чения займа нет.</w:t>
      </w:r>
    </w:p>
    <w:p w:rsidR="00000000" w:rsidRDefault="00000000">
      <w:pPr>
        <w:pStyle w:val="SingleTxt"/>
      </w:pPr>
      <w:r>
        <w:rPr>
          <w:lang w:val="en-US"/>
        </w:rPr>
        <w:tab/>
      </w:r>
      <w:r>
        <w:t>Статистических данных о клиентах кредитных учреждений с разбивкой по п</w:t>
      </w:r>
      <w:r>
        <w:t>о</w:t>
      </w:r>
      <w:r>
        <w:t>лу не имеется.</w:t>
      </w:r>
    </w:p>
    <w:p w:rsidR="00000000" w:rsidRDefault="00000000">
      <w:pPr>
        <w:pStyle w:val="SingleTxt"/>
        <w:spacing w:after="0" w:line="120" w:lineRule="exact"/>
        <w:rPr>
          <w:sz w:val="10"/>
        </w:rPr>
      </w:pPr>
    </w:p>
    <w:p w:rsidR="00000000" w:rsidRDefault="00000000">
      <w:pPr>
        <w:pStyle w:val="SingleTxt"/>
        <w:rPr>
          <w:b/>
        </w:rPr>
      </w:pPr>
      <w:r>
        <w:rPr>
          <w:b/>
        </w:rPr>
        <w:tab/>
        <w:t>с)</w:t>
      </w:r>
      <w:r>
        <w:rPr>
          <w:b/>
          <w:lang w:val="en-US"/>
        </w:rPr>
        <w:tab/>
      </w:r>
      <w:r>
        <w:rPr>
          <w:b/>
        </w:rPr>
        <w:t>право участвовать в мероприятиях, связанных с отдыхом, зан</w:t>
      </w:r>
      <w:r>
        <w:rPr>
          <w:b/>
        </w:rPr>
        <w:t>я</w:t>
      </w:r>
      <w:r>
        <w:rPr>
          <w:b/>
        </w:rPr>
        <w:t>тиях спортом и во всех областях культурной жизни.</w:t>
      </w:r>
    </w:p>
    <w:p w:rsidR="00000000" w:rsidRDefault="00000000">
      <w:pPr>
        <w:pStyle w:val="SingleTxt"/>
      </w:pPr>
      <w:r>
        <w:rPr>
          <w:lang w:val="en-US"/>
        </w:rPr>
        <w:tab/>
      </w:r>
      <w:r>
        <w:t>Общее запрещение дискриминации по признаку пола распространяется на все сферы общественной жизни. Не существует никаких препятствий для женщин принимать участие в мероприятиях, связанных с отдыхом, занятием спортом, и в других областях культурной жизни. Самое большое препятс</w:t>
      </w:r>
      <w:r>
        <w:t>т</w:t>
      </w:r>
      <w:r>
        <w:t>вие — это наличие времени и денег. Ввиду большего в целом объема работы, выполняемой женщинами, у них меньше свободного времени, чем у мужчин. Разница составляет 45 минут в день, причем в рабочие дни она уменьшается до 30 м</w:t>
      </w:r>
      <w:r>
        <w:t>и</w:t>
      </w:r>
      <w:r>
        <w:t>нут, а в выходные дни возрастает до 1 часа.</w:t>
      </w:r>
    </w:p>
    <w:p w:rsidR="00000000" w:rsidRDefault="00000000">
      <w:pPr>
        <w:pStyle w:val="SingleTxt"/>
      </w:pPr>
      <w:r>
        <w:tab/>
        <w:t>Женщины выполняют больший объем неоплачиваемой работы по хозя</w:t>
      </w:r>
      <w:r>
        <w:t>й</w:t>
      </w:r>
      <w:r>
        <w:t>ству, чем мужчины во всех возрастных группах. Самые большие различия не в пользу женщин наблюдаются в средние годы жизни (ввиду воспитания детей), когда несовершеннолетние дети все еще живут дома, а объем профессионал</w:t>
      </w:r>
      <w:r>
        <w:t>ь</w:t>
      </w:r>
      <w:r>
        <w:t>ной работы также выше среднего уровня. Так, например, матери детей дошк</w:t>
      </w:r>
      <w:r>
        <w:t>о</w:t>
      </w:r>
      <w:r>
        <w:t>льного возраста работают по хозяйству больше 5 часов в день, что в 2,5 раза больше отцов детей того же возраста. Помимо ухода за детьми и занятий с детьми (включая помощь детям в выполнении домашних заданий) объем св</w:t>
      </w:r>
      <w:r>
        <w:t>я</w:t>
      </w:r>
      <w:r>
        <w:t>занной с детьми домашней работы также увеличивается (приготовление пищи, уборка, стирка и т.д.), поскольку эти обязанности главным образом ложатся на матерей.</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13.2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Время досуга у мужчин и женщин с разбивкой по возрастным группам, среднее количество времени в день (в часах и минутах)</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41"/>
        <w:gridCol w:w="778"/>
        <w:gridCol w:w="850"/>
        <w:gridCol w:w="850"/>
        <w:gridCol w:w="850"/>
        <w:gridCol w:w="851"/>
      </w:tblGrid>
      <w:tr w:rsidR="00000000">
        <w:tblPrEx>
          <w:tblCellMar>
            <w:top w:w="0" w:type="dxa"/>
            <w:left w:w="0" w:type="dxa"/>
            <w:bottom w:w="0" w:type="dxa"/>
            <w:right w:w="0" w:type="dxa"/>
          </w:tblCellMar>
        </w:tblPrEx>
        <w:trPr>
          <w:cantSplit/>
          <w:tblHeader/>
        </w:trPr>
        <w:tc>
          <w:tcPr>
            <w:tcW w:w="3141"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rPr>
                <w:i/>
                <w:sz w:val="14"/>
              </w:rPr>
            </w:pPr>
          </w:p>
        </w:tc>
        <w:tc>
          <w:tcPr>
            <w:tcW w:w="4179"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Во</w:t>
            </w:r>
            <w:r>
              <w:rPr>
                <w:i/>
                <w:sz w:val="14"/>
              </w:rPr>
              <w:t>з</w:t>
            </w:r>
            <w:r>
              <w:rPr>
                <w:i/>
                <w:sz w:val="14"/>
              </w:rPr>
              <w:t>раст</w:t>
            </w:r>
          </w:p>
        </w:tc>
      </w:tr>
      <w:tr w:rsidR="00000000">
        <w:tblPrEx>
          <w:tblCellMar>
            <w:top w:w="0" w:type="dxa"/>
            <w:left w:w="0" w:type="dxa"/>
            <w:bottom w:w="0" w:type="dxa"/>
            <w:right w:w="0" w:type="dxa"/>
          </w:tblCellMar>
        </w:tblPrEx>
        <w:trPr>
          <w:tblHeader/>
        </w:trPr>
        <w:tc>
          <w:tcPr>
            <w:tcW w:w="3141" w:type="dxa"/>
            <w:vAlign w:val="bottom"/>
          </w:tcPr>
          <w:p w:rsidR="00000000" w:rsidRDefault="00000000">
            <w:pPr>
              <w:tabs>
                <w:tab w:val="left" w:pos="288"/>
                <w:tab w:val="left" w:pos="576"/>
                <w:tab w:val="left" w:pos="864"/>
                <w:tab w:val="left" w:pos="1152"/>
              </w:tabs>
              <w:spacing w:before="40" w:after="81" w:line="160" w:lineRule="exact"/>
              <w:ind w:right="43"/>
              <w:rPr>
                <w:i/>
                <w:sz w:val="14"/>
              </w:rPr>
            </w:pPr>
            <w:r>
              <w:rPr>
                <w:i/>
                <w:sz w:val="14"/>
              </w:rPr>
              <w:t>Основная форма проведения дос</w:t>
            </w:r>
            <w:r>
              <w:rPr>
                <w:i/>
                <w:sz w:val="14"/>
              </w:rPr>
              <w:t>у</w:t>
            </w:r>
            <w:r>
              <w:rPr>
                <w:i/>
                <w:sz w:val="14"/>
              </w:rPr>
              <w:t>га</w:t>
            </w:r>
          </w:p>
        </w:tc>
        <w:tc>
          <w:tcPr>
            <w:tcW w:w="778"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Вс</w:t>
            </w:r>
            <w:r>
              <w:rPr>
                <w:i/>
                <w:sz w:val="14"/>
              </w:rPr>
              <w:t>е</w:t>
            </w:r>
            <w:r>
              <w:rPr>
                <w:i/>
                <w:sz w:val="14"/>
              </w:rPr>
              <w:t>го</w:t>
            </w:r>
          </w:p>
        </w:tc>
        <w:tc>
          <w:tcPr>
            <w:tcW w:w="85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15–24</w:t>
            </w:r>
          </w:p>
        </w:tc>
        <w:tc>
          <w:tcPr>
            <w:tcW w:w="85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25–44</w:t>
            </w:r>
          </w:p>
        </w:tc>
        <w:tc>
          <w:tcPr>
            <w:tcW w:w="85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45–64</w:t>
            </w:r>
          </w:p>
        </w:tc>
        <w:tc>
          <w:tcPr>
            <w:tcW w:w="851"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65</w:t>
            </w:r>
            <w:r>
              <w:rPr>
                <w:i/>
                <w:sz w:val="14"/>
                <w:lang w:val="en-US"/>
              </w:rPr>
              <w:t>+</w:t>
            </w:r>
          </w:p>
        </w:tc>
      </w:tr>
      <w:tr w:rsidR="00000000">
        <w:tblPrEx>
          <w:tblCellMar>
            <w:top w:w="0" w:type="dxa"/>
            <w:left w:w="0" w:type="dxa"/>
            <w:bottom w:w="0" w:type="dxa"/>
            <w:right w:w="0" w:type="dxa"/>
          </w:tblCellMar>
        </w:tblPrEx>
        <w:trPr>
          <w:trHeight w:hRule="exact" w:val="115"/>
          <w:tblHeader/>
        </w:trPr>
        <w:tc>
          <w:tcPr>
            <w:tcW w:w="31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b/>
                <w:sz w:val="17"/>
                <w:lang w:val="ru-RU"/>
              </w:rPr>
              <w:t>Телевидение и радио</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en-GB"/>
              </w:rPr>
            </w:pPr>
            <w:r>
              <w:rPr>
                <w:sz w:val="17"/>
                <w:lang w:val="ru-RU"/>
              </w:rPr>
              <w:t>Мужчины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2:23</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2:18</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2:25</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2:24</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2:14</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en-GB"/>
              </w:rPr>
            </w:pPr>
            <w:r>
              <w:rPr>
                <w:sz w:val="17"/>
                <w:lang w:val="ru-RU"/>
              </w:rPr>
              <w:t>Женщины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1:52</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1:56</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1:46</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2:00</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1:54</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en-GB"/>
              </w:rPr>
            </w:pPr>
            <w:r>
              <w:rPr>
                <w:sz w:val="17"/>
                <w:lang w:val="ru-RU"/>
              </w:rPr>
              <w:t xml:space="preserve">Разница </w:t>
            </w:r>
            <w:r>
              <w:rPr>
                <w:sz w:val="17"/>
                <w:lang w:val="en-GB"/>
              </w:rPr>
              <w:t>+</w:t>
            </w:r>
            <w:r>
              <w:rPr>
                <w:sz w:val="17"/>
                <w:lang w:val="ru-RU"/>
              </w:rPr>
              <w:t>/</w:t>
            </w:r>
            <w:r>
              <w:rPr>
                <w:sz w:val="17"/>
                <w:lang w:val="en-GB"/>
              </w:rPr>
              <w:t>-</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-0:31</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-0:22</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-0:39</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-0:24</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-0:20</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en-US"/>
              </w:rPr>
            </w:pPr>
            <w:r>
              <w:rPr>
                <w:b/>
                <w:sz w:val="17"/>
                <w:lang w:val="ru-RU"/>
              </w:rPr>
              <w:t xml:space="preserve">Общение </w:t>
            </w:r>
            <w:r>
              <w:rPr>
                <w:b/>
                <w:sz w:val="17"/>
                <w:lang w:val="en-US"/>
              </w:rPr>
              <w:t>*</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Мужчины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0:34</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1:13</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0:32</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0:22</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0:31</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Женщины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0:35</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0:49</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0:37</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0:30</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0:09</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en-GB"/>
              </w:rPr>
            </w:pPr>
            <w:r>
              <w:rPr>
                <w:sz w:val="17"/>
                <w:lang w:val="ru-RU"/>
              </w:rPr>
              <w:t>Разница</w:t>
            </w:r>
            <w:r>
              <w:rPr>
                <w:sz w:val="17"/>
                <w:lang w:val="en-GB"/>
              </w:rPr>
              <w:t xml:space="preserve"> +</w:t>
            </w:r>
            <w:r>
              <w:rPr>
                <w:sz w:val="17"/>
                <w:lang w:val="ru-RU"/>
              </w:rPr>
              <w:t>/</w:t>
            </w:r>
            <w:r>
              <w:rPr>
                <w:sz w:val="17"/>
                <w:lang w:val="en-GB"/>
              </w:rPr>
              <w:t>-</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+0:01</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-0:24</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+0:05</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+0:08</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-0:22</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keepNext/>
              <w:tabs>
                <w:tab w:val="left" w:pos="288"/>
                <w:tab w:val="left" w:pos="576"/>
                <w:tab w:val="left" w:pos="864"/>
                <w:tab w:val="left" w:pos="1152"/>
              </w:tabs>
              <w:spacing w:before="35" w:after="35" w:line="200" w:lineRule="exact"/>
              <w:ind w:right="43" w:firstLine="0"/>
              <w:jc w:val="left"/>
              <w:rPr>
                <w:b/>
                <w:sz w:val="17"/>
                <w:lang w:val="ru-RU"/>
              </w:rPr>
            </w:pPr>
            <w:r>
              <w:rPr>
                <w:b/>
                <w:sz w:val="17"/>
                <w:lang w:val="ru-RU"/>
              </w:rPr>
              <w:t>Чтение</w:t>
            </w:r>
          </w:p>
        </w:tc>
        <w:tc>
          <w:tcPr>
            <w:tcW w:w="778" w:type="dxa"/>
            <w:vAlign w:val="bottom"/>
          </w:tcPr>
          <w:p w:rsidR="00000000" w:rsidRDefault="00000000">
            <w:pPr>
              <w:pStyle w:val="BodyTextIndent2"/>
              <w:keepNext/>
              <w:tabs>
                <w:tab w:val="left" w:pos="288"/>
                <w:tab w:val="left" w:pos="576"/>
                <w:tab w:val="left" w:pos="864"/>
                <w:tab w:val="left" w:pos="1152"/>
              </w:tabs>
              <w:spacing w:before="35" w:after="35" w:line="200" w:lineRule="exact"/>
              <w:ind w:right="43" w:firstLine="0"/>
              <w:jc w:val="right"/>
              <w:rPr>
                <w:sz w:val="17"/>
                <w:lang w:val="en-GB"/>
              </w:rPr>
            </w:pPr>
          </w:p>
        </w:tc>
        <w:tc>
          <w:tcPr>
            <w:tcW w:w="850" w:type="dxa"/>
            <w:vAlign w:val="bottom"/>
          </w:tcPr>
          <w:p w:rsidR="00000000" w:rsidRDefault="00000000">
            <w:pPr>
              <w:pStyle w:val="BodyTextIndent2"/>
              <w:keepNext/>
              <w:tabs>
                <w:tab w:val="left" w:pos="288"/>
                <w:tab w:val="left" w:pos="576"/>
                <w:tab w:val="left" w:pos="864"/>
                <w:tab w:val="left" w:pos="1152"/>
              </w:tabs>
              <w:spacing w:before="35" w:after="35" w:line="200" w:lineRule="exact"/>
              <w:ind w:right="43" w:firstLine="0"/>
              <w:jc w:val="right"/>
              <w:rPr>
                <w:sz w:val="17"/>
                <w:lang w:val="en-GB"/>
              </w:rPr>
            </w:pPr>
          </w:p>
        </w:tc>
        <w:tc>
          <w:tcPr>
            <w:tcW w:w="850" w:type="dxa"/>
            <w:vAlign w:val="bottom"/>
          </w:tcPr>
          <w:p w:rsidR="00000000" w:rsidRDefault="00000000">
            <w:pPr>
              <w:pStyle w:val="BodyTextIndent2"/>
              <w:keepNext/>
              <w:tabs>
                <w:tab w:val="left" w:pos="288"/>
                <w:tab w:val="left" w:pos="576"/>
                <w:tab w:val="left" w:pos="864"/>
                <w:tab w:val="left" w:pos="1152"/>
              </w:tabs>
              <w:spacing w:before="35" w:after="35" w:line="200" w:lineRule="exact"/>
              <w:ind w:right="43" w:firstLine="0"/>
              <w:jc w:val="right"/>
              <w:rPr>
                <w:sz w:val="17"/>
                <w:lang w:val="en-GB"/>
              </w:rPr>
            </w:pPr>
          </w:p>
        </w:tc>
        <w:tc>
          <w:tcPr>
            <w:tcW w:w="850" w:type="dxa"/>
            <w:vAlign w:val="bottom"/>
          </w:tcPr>
          <w:p w:rsidR="00000000" w:rsidRDefault="00000000">
            <w:pPr>
              <w:pStyle w:val="BodyTextIndent2"/>
              <w:keepNext/>
              <w:tabs>
                <w:tab w:val="left" w:pos="288"/>
                <w:tab w:val="left" w:pos="576"/>
                <w:tab w:val="left" w:pos="864"/>
                <w:tab w:val="left" w:pos="1152"/>
              </w:tabs>
              <w:spacing w:before="35" w:after="35" w:line="200" w:lineRule="exact"/>
              <w:ind w:right="43" w:firstLine="0"/>
              <w:jc w:val="right"/>
              <w:rPr>
                <w:sz w:val="17"/>
                <w:lang w:val="en-GB"/>
              </w:rPr>
            </w:pPr>
          </w:p>
        </w:tc>
        <w:tc>
          <w:tcPr>
            <w:tcW w:w="851" w:type="dxa"/>
            <w:vAlign w:val="bottom"/>
          </w:tcPr>
          <w:p w:rsidR="00000000" w:rsidRDefault="00000000">
            <w:pPr>
              <w:pStyle w:val="BodyTextIndent2"/>
              <w:keepNext/>
              <w:tabs>
                <w:tab w:val="left" w:pos="288"/>
                <w:tab w:val="left" w:pos="576"/>
                <w:tab w:val="left" w:pos="864"/>
                <w:tab w:val="left" w:pos="1152"/>
              </w:tabs>
              <w:spacing w:before="35" w:after="35" w:line="200" w:lineRule="exact"/>
              <w:ind w:right="43" w:firstLine="0"/>
              <w:jc w:val="right"/>
              <w:rPr>
                <w:sz w:val="17"/>
                <w:lang w:val="en-GB"/>
              </w:rPr>
            </w:pP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Мужчины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0:32</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0:20</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0:29</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0:38</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0:44</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Женщины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0:35</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0:22</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0:32</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0:42</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1:06</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en-GB"/>
              </w:rPr>
            </w:pPr>
            <w:r>
              <w:rPr>
                <w:sz w:val="17"/>
                <w:lang w:val="ru-RU"/>
              </w:rPr>
              <w:t xml:space="preserve">Разница </w:t>
            </w:r>
            <w:r>
              <w:rPr>
                <w:sz w:val="17"/>
                <w:lang w:val="en-GB"/>
              </w:rPr>
              <w:t>+</w:t>
            </w:r>
            <w:r>
              <w:rPr>
                <w:sz w:val="17"/>
                <w:lang w:val="ru-RU"/>
              </w:rPr>
              <w:t>/</w:t>
            </w:r>
            <w:r>
              <w:rPr>
                <w:sz w:val="17"/>
                <w:lang w:val="en-GB"/>
              </w:rPr>
              <w:t>-</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+0.03</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+0:02</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+0:03</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+0:04</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+0:22</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uppressAutoHyphens/>
              <w:spacing w:before="35" w:after="35" w:line="200" w:lineRule="exact"/>
              <w:ind w:right="40" w:firstLine="0"/>
              <w:jc w:val="left"/>
              <w:rPr>
                <w:sz w:val="17"/>
                <w:lang w:val="ru-RU"/>
              </w:rPr>
            </w:pPr>
            <w:r>
              <w:rPr>
                <w:b/>
                <w:sz w:val="17"/>
                <w:lang w:val="ru-RU"/>
              </w:rPr>
              <w:t xml:space="preserve">Занятия спортом и физические упражнения </w:t>
            </w:r>
            <w:r>
              <w:rPr>
                <w:sz w:val="17"/>
                <w:lang w:val="ru-RU"/>
              </w:rPr>
              <w:t>(включая рыбалку, охоту, прогулки в лесу)</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en-GB"/>
              </w:rPr>
            </w:pPr>
            <w:r>
              <w:rPr>
                <w:sz w:val="17"/>
                <w:lang w:val="ru-RU"/>
              </w:rPr>
              <w:t>Мужчины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0:21</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0:27</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0:19</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0:21</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0:26</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Женщины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0:14</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0:24</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0:14</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0:10</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0:23</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en-GB"/>
              </w:rPr>
            </w:pPr>
            <w:r>
              <w:rPr>
                <w:sz w:val="17"/>
                <w:lang w:val="ru-RU"/>
              </w:rPr>
              <w:t xml:space="preserve">Разница </w:t>
            </w:r>
            <w:r>
              <w:rPr>
                <w:sz w:val="17"/>
                <w:lang w:val="en-GB"/>
              </w:rPr>
              <w:t>+</w:t>
            </w:r>
            <w:r>
              <w:rPr>
                <w:sz w:val="17"/>
                <w:lang w:val="ru-RU"/>
              </w:rPr>
              <w:t>/</w:t>
            </w:r>
            <w:r>
              <w:rPr>
                <w:sz w:val="17"/>
                <w:lang w:val="en-GB"/>
              </w:rPr>
              <w:t>-</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-0:07</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-0:03</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-0:05</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-0:11</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-0:03</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en-GB"/>
              </w:rPr>
            </w:pPr>
            <w:r>
              <w:rPr>
                <w:b/>
                <w:sz w:val="17"/>
                <w:lang w:val="ru-RU"/>
              </w:rPr>
              <w:t>Другие хобби и игры</w:t>
            </w:r>
            <w:r>
              <w:rPr>
                <w:sz w:val="17"/>
                <w:lang w:val="en-GB"/>
              </w:rPr>
              <w:t>**</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Мужчины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0:10</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0:18</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0:08</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0:08</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0:15</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en-GB"/>
              </w:rPr>
            </w:pPr>
            <w:r>
              <w:rPr>
                <w:sz w:val="17"/>
                <w:lang w:val="ru-RU"/>
              </w:rPr>
              <w:t>Женщины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0:06</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0:08</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0:05</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0:05</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0:07</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en-GB"/>
              </w:rPr>
            </w:pPr>
            <w:r>
              <w:rPr>
                <w:sz w:val="17"/>
                <w:lang w:val="ru-RU"/>
              </w:rPr>
              <w:t xml:space="preserve">Разница </w:t>
            </w:r>
            <w:r>
              <w:rPr>
                <w:sz w:val="17"/>
                <w:lang w:val="en-GB"/>
              </w:rPr>
              <w:t>+</w:t>
            </w:r>
            <w:r>
              <w:rPr>
                <w:sz w:val="17"/>
                <w:lang w:val="ru-RU"/>
              </w:rPr>
              <w:t>/</w:t>
            </w:r>
            <w:r>
              <w:rPr>
                <w:sz w:val="17"/>
                <w:lang w:val="en-GB"/>
              </w:rPr>
              <w:t>-</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-0:04</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-0:10</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-0:03</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-0:03</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-0:08</w:t>
            </w:r>
          </w:p>
        </w:tc>
      </w:tr>
      <w:tr w:rsidR="00000000">
        <w:tblPrEx>
          <w:tblCellMar>
            <w:top w:w="0" w:type="dxa"/>
            <w:left w:w="0" w:type="dxa"/>
            <w:bottom w:w="0" w:type="dxa"/>
            <w:right w:w="0" w:type="dxa"/>
          </w:tblCellMar>
        </w:tblPrEx>
        <w:tc>
          <w:tcPr>
            <w:tcW w:w="3141" w:type="dxa"/>
            <w:vAlign w:val="bottom"/>
          </w:tcPr>
          <w:p w:rsidR="00000000" w:rsidRDefault="00000000">
            <w:pPr>
              <w:tabs>
                <w:tab w:val="left" w:pos="288"/>
                <w:tab w:val="left" w:pos="576"/>
                <w:tab w:val="left" w:pos="864"/>
                <w:tab w:val="left" w:pos="1152"/>
              </w:tabs>
              <w:spacing w:before="35" w:after="35" w:line="200" w:lineRule="exact"/>
              <w:ind w:right="40"/>
              <w:rPr>
                <w:sz w:val="17"/>
                <w:lang w:val="en-GB"/>
              </w:rPr>
            </w:pPr>
            <w:r>
              <w:rPr>
                <w:b/>
                <w:sz w:val="17"/>
              </w:rPr>
              <w:t>Пассивный отдых</w:t>
            </w:r>
          </w:p>
        </w:tc>
        <w:tc>
          <w:tcPr>
            <w:tcW w:w="778" w:type="dxa"/>
            <w:vAlign w:val="bottom"/>
          </w:tcPr>
          <w:p w:rsidR="00000000" w:rsidRDefault="00000000">
            <w:pPr>
              <w:tabs>
                <w:tab w:val="left" w:pos="288"/>
                <w:tab w:val="left" w:pos="576"/>
                <w:tab w:val="left" w:pos="864"/>
                <w:tab w:val="left" w:pos="1152"/>
              </w:tabs>
              <w:spacing w:before="35" w:after="35" w:line="200" w:lineRule="exact"/>
              <w:ind w:right="40"/>
              <w:jc w:val="right"/>
              <w:rPr>
                <w:sz w:val="17"/>
              </w:rPr>
            </w:pPr>
          </w:p>
        </w:tc>
        <w:tc>
          <w:tcPr>
            <w:tcW w:w="850" w:type="dxa"/>
            <w:vAlign w:val="bottom"/>
          </w:tcPr>
          <w:p w:rsidR="00000000" w:rsidRDefault="00000000">
            <w:pPr>
              <w:tabs>
                <w:tab w:val="left" w:pos="288"/>
                <w:tab w:val="left" w:pos="576"/>
                <w:tab w:val="left" w:pos="864"/>
                <w:tab w:val="left" w:pos="1152"/>
              </w:tabs>
              <w:spacing w:before="35" w:after="35" w:line="200" w:lineRule="exact"/>
              <w:ind w:right="40"/>
              <w:jc w:val="right"/>
              <w:rPr>
                <w:sz w:val="17"/>
                <w:lang w:val="en-GB"/>
              </w:rPr>
            </w:pPr>
          </w:p>
        </w:tc>
        <w:tc>
          <w:tcPr>
            <w:tcW w:w="850" w:type="dxa"/>
            <w:vAlign w:val="bottom"/>
          </w:tcPr>
          <w:p w:rsidR="00000000" w:rsidRDefault="00000000">
            <w:pPr>
              <w:tabs>
                <w:tab w:val="left" w:pos="288"/>
                <w:tab w:val="left" w:pos="576"/>
                <w:tab w:val="left" w:pos="864"/>
                <w:tab w:val="left" w:pos="1152"/>
              </w:tabs>
              <w:spacing w:before="35" w:after="35" w:line="200" w:lineRule="exact"/>
              <w:ind w:right="40"/>
              <w:jc w:val="right"/>
              <w:rPr>
                <w:sz w:val="17"/>
              </w:rPr>
            </w:pPr>
          </w:p>
        </w:tc>
        <w:tc>
          <w:tcPr>
            <w:tcW w:w="850" w:type="dxa"/>
            <w:vAlign w:val="bottom"/>
          </w:tcPr>
          <w:p w:rsidR="00000000" w:rsidRDefault="00000000">
            <w:pPr>
              <w:tabs>
                <w:tab w:val="left" w:pos="288"/>
                <w:tab w:val="left" w:pos="576"/>
                <w:tab w:val="left" w:pos="864"/>
                <w:tab w:val="left" w:pos="1152"/>
              </w:tabs>
              <w:spacing w:before="35" w:after="35" w:line="200" w:lineRule="exact"/>
              <w:ind w:right="40"/>
              <w:jc w:val="right"/>
              <w:rPr>
                <w:sz w:val="17"/>
                <w:lang w:val="en-GB"/>
              </w:rPr>
            </w:pPr>
          </w:p>
        </w:tc>
        <w:tc>
          <w:tcPr>
            <w:tcW w:w="851" w:type="dxa"/>
            <w:vAlign w:val="bottom"/>
          </w:tcPr>
          <w:p w:rsidR="00000000" w:rsidRDefault="00000000">
            <w:pPr>
              <w:tabs>
                <w:tab w:val="left" w:pos="288"/>
                <w:tab w:val="left" w:pos="576"/>
                <w:tab w:val="left" w:pos="864"/>
                <w:tab w:val="left" w:pos="1152"/>
              </w:tabs>
              <w:spacing w:before="35" w:after="35" w:line="200" w:lineRule="exact"/>
              <w:ind w:right="40"/>
              <w:jc w:val="right"/>
              <w:rPr>
                <w:sz w:val="17"/>
              </w:rPr>
            </w:pP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Мужчины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0:14</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0:09</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0:13</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0:17</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0:33</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Женщины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0:10</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0:07</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0:10</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0:12</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0:19</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en-GB"/>
              </w:rPr>
            </w:pPr>
            <w:r>
              <w:rPr>
                <w:sz w:val="17"/>
                <w:lang w:val="ru-RU"/>
              </w:rPr>
              <w:t xml:space="preserve">Разница </w:t>
            </w:r>
            <w:r>
              <w:rPr>
                <w:sz w:val="17"/>
                <w:lang w:val="en-GB"/>
              </w:rPr>
              <w:t>+</w:t>
            </w:r>
            <w:r>
              <w:rPr>
                <w:sz w:val="17"/>
                <w:lang w:val="ru-RU"/>
              </w:rPr>
              <w:t>/</w:t>
            </w:r>
            <w:r>
              <w:rPr>
                <w:sz w:val="17"/>
                <w:lang w:val="en-GB"/>
              </w:rPr>
              <w:t>-</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-0:04</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-0:02</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-0:03</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-0:05</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-0:14</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b/>
                <w:sz w:val="17"/>
                <w:lang w:val="ru-RU"/>
              </w:rPr>
              <w:t>Культурные и развлекательные мер</w:t>
            </w:r>
            <w:r>
              <w:rPr>
                <w:b/>
                <w:sz w:val="17"/>
                <w:lang w:val="ru-RU"/>
              </w:rPr>
              <w:t>о</w:t>
            </w:r>
            <w:r>
              <w:rPr>
                <w:b/>
                <w:sz w:val="17"/>
                <w:lang w:val="ru-RU"/>
              </w:rPr>
              <w:t>при</w:t>
            </w:r>
            <w:r>
              <w:rPr>
                <w:b/>
                <w:sz w:val="17"/>
                <w:lang w:val="ru-RU"/>
              </w:rPr>
              <w:t>я</w:t>
            </w:r>
            <w:r>
              <w:rPr>
                <w:b/>
                <w:sz w:val="17"/>
                <w:lang w:val="ru-RU"/>
              </w:rPr>
              <w:t>тия</w:t>
            </w:r>
            <w:r>
              <w:rPr>
                <w:sz w:val="17"/>
                <w:lang w:val="ru-RU"/>
              </w:rPr>
              <w:t>***</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Мужчины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0:07</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0:16</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0:06</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0:04</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0:02</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Женщины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0:05</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0:13</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0:05</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0:03</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0:09</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en-GB"/>
              </w:rPr>
            </w:pPr>
            <w:r>
              <w:rPr>
                <w:sz w:val="17"/>
                <w:lang w:val="ru-RU"/>
              </w:rPr>
              <w:t xml:space="preserve">Разница </w:t>
            </w:r>
            <w:r>
              <w:rPr>
                <w:sz w:val="17"/>
                <w:lang w:val="en-GB"/>
              </w:rPr>
              <w:t>+</w:t>
            </w:r>
            <w:r>
              <w:rPr>
                <w:sz w:val="17"/>
                <w:lang w:val="ru-RU"/>
              </w:rPr>
              <w:t>/</w:t>
            </w:r>
            <w:r>
              <w:rPr>
                <w:sz w:val="17"/>
                <w:lang w:val="en-GB"/>
              </w:rPr>
              <w:t>-</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-0:02</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-0:03</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-0.01</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-0:01</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+0:07</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b/>
                <w:sz w:val="17"/>
                <w:lang w:val="ru-RU"/>
              </w:rPr>
            </w:pPr>
            <w:r>
              <w:rPr>
                <w:b/>
                <w:sz w:val="17"/>
                <w:lang w:val="ru-RU"/>
              </w:rPr>
              <w:t xml:space="preserve">Слушание радио и музыки </w:t>
            </w:r>
            <w:r>
              <w:rPr>
                <w:sz w:val="17"/>
                <w:lang w:val="ru-RU"/>
              </w:rPr>
              <w:t>(включая звукоз</w:t>
            </w:r>
            <w:r>
              <w:rPr>
                <w:sz w:val="17"/>
                <w:lang w:val="ru-RU"/>
              </w:rPr>
              <w:t>а</w:t>
            </w:r>
            <w:r>
              <w:rPr>
                <w:sz w:val="17"/>
                <w:lang w:val="ru-RU"/>
              </w:rPr>
              <w:t>пись)</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Мужчины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0:06</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0:06</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0:04</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0:07</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0:17</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Женщины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0:04</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0:05</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0:02</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0:05</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0:07</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en-GB"/>
              </w:rPr>
            </w:pPr>
            <w:r>
              <w:rPr>
                <w:sz w:val="17"/>
                <w:lang w:val="ru-RU"/>
              </w:rPr>
              <w:t xml:space="preserve">Разница </w:t>
            </w:r>
            <w:r>
              <w:rPr>
                <w:sz w:val="17"/>
                <w:lang w:val="en-GB"/>
              </w:rPr>
              <w:t>+</w:t>
            </w:r>
            <w:r>
              <w:rPr>
                <w:sz w:val="17"/>
                <w:lang w:val="ru-RU"/>
              </w:rPr>
              <w:t>/</w:t>
            </w:r>
            <w:r>
              <w:rPr>
                <w:sz w:val="17"/>
                <w:lang w:val="en-GB"/>
              </w:rPr>
              <w:t>-</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-0:02</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-0:01</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-0:02</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-0:02</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-0:10</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b/>
                <w:sz w:val="17"/>
                <w:lang w:val="ru-RU"/>
              </w:rPr>
            </w:pPr>
            <w:r>
              <w:rPr>
                <w:b/>
                <w:sz w:val="17"/>
                <w:lang w:val="ru-RU"/>
              </w:rPr>
              <w:t>Движение как занятие в свободное время</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ru-RU"/>
              </w:rPr>
            </w:pP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Мужчины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0:20</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0:31</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0:21</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0:14</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0:17</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Женщины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0:19</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0:33</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0:22</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0:12</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0:11</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en-GB"/>
              </w:rPr>
            </w:pPr>
            <w:r>
              <w:rPr>
                <w:sz w:val="17"/>
                <w:lang w:val="ru-RU"/>
              </w:rPr>
              <w:t xml:space="preserve">Разница </w:t>
            </w:r>
            <w:r>
              <w:rPr>
                <w:sz w:val="17"/>
                <w:lang w:val="en-GB"/>
              </w:rPr>
              <w:t>+</w:t>
            </w:r>
            <w:r>
              <w:rPr>
                <w:sz w:val="17"/>
                <w:lang w:val="ru-RU"/>
              </w:rPr>
              <w:t>/</w:t>
            </w:r>
            <w:r>
              <w:rPr>
                <w:sz w:val="17"/>
                <w:lang w:val="en-GB"/>
              </w:rPr>
              <w:t>-</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-0:01</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-0:01</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+0:01</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-0:02</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sz w:val="17"/>
                <w:lang w:val="en-GB"/>
              </w:rPr>
              <w:t>-0:06</w:t>
            </w: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b/>
                <w:sz w:val="17"/>
                <w:lang w:val="ru-RU"/>
              </w:rPr>
            </w:pPr>
            <w:r>
              <w:rPr>
                <w:b/>
                <w:sz w:val="17"/>
                <w:lang w:val="ru-RU"/>
              </w:rPr>
              <w:t>Общее количество свободного врем</w:t>
            </w:r>
            <w:r>
              <w:rPr>
                <w:b/>
                <w:sz w:val="17"/>
                <w:lang w:val="ru-RU"/>
              </w:rPr>
              <w:t>е</w:t>
            </w:r>
            <w:r>
              <w:rPr>
                <w:b/>
                <w:sz w:val="17"/>
                <w:lang w:val="ru-RU"/>
              </w:rPr>
              <w:t>ни</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b/>
                <w:sz w:val="17"/>
                <w:lang w:val="en-GB"/>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b/>
                <w:sz w:val="17"/>
                <w:lang w:val="en-GB"/>
              </w:rPr>
            </w:pP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b/>
                <w:sz w:val="17"/>
                <w:lang w:val="en-GB"/>
              </w:rPr>
            </w:pP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b/>
                <w:sz w:val="17"/>
                <w:lang w:val="en-GB"/>
              </w:rPr>
            </w:pPr>
          </w:p>
        </w:tc>
      </w:tr>
      <w:tr w:rsidR="00000000">
        <w:tblPrEx>
          <w:tblCellMar>
            <w:top w:w="0" w:type="dxa"/>
            <w:left w:w="0" w:type="dxa"/>
            <w:bottom w:w="0" w:type="dxa"/>
            <w:right w:w="0" w:type="dxa"/>
          </w:tblCellMar>
        </w:tblPrEx>
        <w:tc>
          <w:tcPr>
            <w:tcW w:w="314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Мужчины</w:t>
            </w:r>
          </w:p>
        </w:tc>
        <w:tc>
          <w:tcPr>
            <w:tcW w:w="778"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sz w:val="17"/>
                <w:lang w:val="en-GB"/>
              </w:rPr>
            </w:pPr>
            <w:r>
              <w:rPr>
                <w:b/>
                <w:sz w:val="17"/>
                <w:lang w:val="en-GB"/>
              </w:rPr>
              <w:t>4:47</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b/>
                <w:sz w:val="17"/>
                <w:lang w:val="en-GB"/>
              </w:rPr>
            </w:pPr>
            <w:r>
              <w:rPr>
                <w:b/>
                <w:sz w:val="17"/>
                <w:lang w:val="en-GB"/>
              </w:rPr>
              <w:t>5:38</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b/>
                <w:sz w:val="17"/>
                <w:lang w:val="en-GB"/>
              </w:rPr>
            </w:pPr>
            <w:r>
              <w:rPr>
                <w:b/>
                <w:sz w:val="17"/>
                <w:lang w:val="en-GB"/>
              </w:rPr>
              <w:t>4:37</w:t>
            </w:r>
          </w:p>
        </w:tc>
        <w:tc>
          <w:tcPr>
            <w:tcW w:w="850"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b/>
                <w:sz w:val="17"/>
                <w:lang w:val="en-GB"/>
              </w:rPr>
            </w:pPr>
            <w:r>
              <w:rPr>
                <w:b/>
                <w:sz w:val="17"/>
                <w:lang w:val="en-GB"/>
              </w:rPr>
              <w:t>4:35</w:t>
            </w:r>
          </w:p>
        </w:tc>
        <w:tc>
          <w:tcPr>
            <w:tcW w:w="851" w:type="dxa"/>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b/>
                <w:sz w:val="17"/>
                <w:lang w:val="en-GB"/>
              </w:rPr>
            </w:pPr>
            <w:r>
              <w:rPr>
                <w:b/>
                <w:sz w:val="17"/>
                <w:lang w:val="en-GB"/>
              </w:rPr>
              <w:t>5:19</w:t>
            </w:r>
          </w:p>
        </w:tc>
      </w:tr>
      <w:tr w:rsidR="00000000">
        <w:tblPrEx>
          <w:tblCellMar>
            <w:top w:w="0" w:type="dxa"/>
            <w:left w:w="0" w:type="dxa"/>
            <w:bottom w:w="0" w:type="dxa"/>
            <w:right w:w="0" w:type="dxa"/>
          </w:tblCellMar>
        </w:tblPrEx>
        <w:tc>
          <w:tcPr>
            <w:tcW w:w="3141" w:type="dxa"/>
            <w:tcBorders>
              <w:bottom w:val="single" w:sz="12" w:space="0" w:color="auto"/>
            </w:tcBorders>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left"/>
              <w:rPr>
                <w:sz w:val="17"/>
                <w:lang w:val="ru-RU"/>
              </w:rPr>
            </w:pPr>
            <w:r>
              <w:rPr>
                <w:sz w:val="17"/>
                <w:lang w:val="ru-RU"/>
              </w:rPr>
              <w:t>Женщины</w:t>
            </w:r>
          </w:p>
        </w:tc>
        <w:tc>
          <w:tcPr>
            <w:tcW w:w="778" w:type="dxa"/>
            <w:tcBorders>
              <w:bottom w:val="single" w:sz="12" w:space="0" w:color="auto"/>
            </w:tcBorders>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b/>
                <w:sz w:val="17"/>
                <w:lang w:val="en-GB"/>
              </w:rPr>
            </w:pPr>
            <w:r>
              <w:rPr>
                <w:b/>
                <w:sz w:val="17"/>
                <w:lang w:val="en-GB"/>
              </w:rPr>
              <w:t>4:00</w:t>
            </w:r>
          </w:p>
        </w:tc>
        <w:tc>
          <w:tcPr>
            <w:tcW w:w="850" w:type="dxa"/>
            <w:tcBorders>
              <w:bottom w:val="single" w:sz="12" w:space="0" w:color="auto"/>
            </w:tcBorders>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b/>
                <w:sz w:val="17"/>
                <w:lang w:val="en-GB"/>
              </w:rPr>
            </w:pPr>
            <w:r>
              <w:rPr>
                <w:b/>
                <w:sz w:val="17"/>
                <w:lang w:val="en-GB"/>
              </w:rPr>
              <w:t>4:37</w:t>
            </w:r>
          </w:p>
        </w:tc>
        <w:tc>
          <w:tcPr>
            <w:tcW w:w="850" w:type="dxa"/>
            <w:tcBorders>
              <w:bottom w:val="single" w:sz="12" w:space="0" w:color="auto"/>
            </w:tcBorders>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b/>
                <w:sz w:val="17"/>
                <w:lang w:val="en-GB"/>
              </w:rPr>
            </w:pPr>
            <w:r>
              <w:rPr>
                <w:b/>
                <w:sz w:val="17"/>
                <w:lang w:val="en-GB"/>
              </w:rPr>
              <w:t>3:53</w:t>
            </w:r>
          </w:p>
        </w:tc>
        <w:tc>
          <w:tcPr>
            <w:tcW w:w="850" w:type="dxa"/>
            <w:tcBorders>
              <w:bottom w:val="single" w:sz="12" w:space="0" w:color="auto"/>
            </w:tcBorders>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b/>
                <w:sz w:val="17"/>
                <w:lang w:val="en-GB"/>
              </w:rPr>
            </w:pPr>
            <w:r>
              <w:rPr>
                <w:b/>
                <w:sz w:val="17"/>
                <w:lang w:val="en-GB"/>
              </w:rPr>
              <w:t>3:59</w:t>
            </w:r>
          </w:p>
        </w:tc>
        <w:tc>
          <w:tcPr>
            <w:tcW w:w="851" w:type="dxa"/>
            <w:tcBorders>
              <w:bottom w:val="single" w:sz="12" w:space="0" w:color="auto"/>
            </w:tcBorders>
            <w:vAlign w:val="bottom"/>
          </w:tcPr>
          <w:p w:rsidR="00000000" w:rsidRDefault="00000000">
            <w:pPr>
              <w:pStyle w:val="BodyTextIndent2"/>
              <w:tabs>
                <w:tab w:val="left" w:pos="288"/>
                <w:tab w:val="left" w:pos="576"/>
                <w:tab w:val="left" w:pos="864"/>
                <w:tab w:val="left" w:pos="1152"/>
              </w:tabs>
              <w:spacing w:before="35" w:after="35" w:line="200" w:lineRule="exact"/>
              <w:ind w:right="40" w:firstLine="0"/>
              <w:jc w:val="right"/>
              <w:rPr>
                <w:b/>
                <w:sz w:val="17"/>
                <w:lang w:val="en-GB"/>
              </w:rPr>
            </w:pPr>
            <w:r>
              <w:rPr>
                <w:b/>
                <w:sz w:val="17"/>
                <w:lang w:val="en-GB"/>
              </w:rPr>
              <w:t>4:25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spacing w:line="190" w:lineRule="exact"/>
        <w:ind w:left="1555" w:right="1267" w:hanging="288"/>
      </w:pPr>
      <w:r>
        <w:rPr>
          <w:lang w:val="en-US"/>
        </w:rPr>
        <w:tab/>
      </w:r>
      <w:r>
        <w:rPr>
          <w:vertAlign w:val="superscript"/>
        </w:rPr>
        <w:t>*</w:t>
      </w:r>
      <w:r>
        <w:rPr>
          <w:lang w:val="en-US"/>
        </w:rPr>
        <w:tab/>
      </w:r>
      <w:r>
        <w:t>Понятие общения включает в себя общение и беседы как с членами семьи, так и с другими людьми, в том числе разговоры по телефону, прием гостей и общение с людьми вне дома (кафетерии, рестораны, бары и т.д.).</w:t>
      </w:r>
    </w:p>
    <w:p w:rsidR="00000000" w:rsidRDefault="00000000">
      <w:pPr>
        <w:pStyle w:val="FootnoteText"/>
        <w:tabs>
          <w:tab w:val="clear" w:pos="418"/>
          <w:tab w:val="right" w:pos="1476"/>
          <w:tab w:val="left" w:pos="1548"/>
          <w:tab w:val="right" w:pos="1836"/>
          <w:tab w:val="left" w:pos="1908"/>
        </w:tabs>
        <w:spacing w:line="190" w:lineRule="exact"/>
        <w:ind w:left="1555" w:right="1267" w:hanging="288"/>
      </w:pPr>
      <w:r>
        <w:rPr>
          <w:lang w:val="en-US"/>
        </w:rPr>
        <w:tab/>
      </w:r>
      <w:r>
        <w:rPr>
          <w:vertAlign w:val="superscript"/>
        </w:rPr>
        <w:t>**</w:t>
      </w:r>
      <w:r>
        <w:rPr>
          <w:lang w:val="en-US"/>
        </w:rPr>
        <w:tab/>
      </w:r>
      <w:r>
        <w:t>В понятие «другие хобби и игры» включаются художественные, технические и другие хобби или любимое времяпрепровождение, в том числе использование в развлекательных целях компьютера, а также настольные игры, компьютерные игры, одиночные игры и азартные игры.</w:t>
      </w:r>
    </w:p>
    <w:p w:rsidR="00000000" w:rsidRDefault="00000000">
      <w:pPr>
        <w:pStyle w:val="FootnoteText"/>
        <w:tabs>
          <w:tab w:val="clear" w:pos="418"/>
          <w:tab w:val="right" w:pos="1476"/>
          <w:tab w:val="left" w:pos="1548"/>
          <w:tab w:val="right" w:pos="1836"/>
          <w:tab w:val="left" w:pos="1908"/>
        </w:tabs>
        <w:spacing w:line="190" w:lineRule="exact"/>
        <w:ind w:left="1555" w:right="1267" w:hanging="288"/>
      </w:pPr>
      <w:r>
        <w:rPr>
          <w:lang w:val="en-US"/>
        </w:rPr>
        <w:tab/>
      </w:r>
      <w:r>
        <w:rPr>
          <w:vertAlign w:val="superscript"/>
        </w:rPr>
        <w:t>***</w:t>
      </w:r>
      <w:r>
        <w:rPr>
          <w:lang w:val="en-US"/>
        </w:rPr>
        <w:tab/>
      </w:r>
      <w:r>
        <w:t>Под культурными и развлекательными мероприятиями понимается посещение учреждений культуры (кинотеатров, театров, концертов, выставок, музеев, библиотек), а также спортивных соревнований и экскурсий, зоопарков и развлекательных центров (увес</w:t>
      </w:r>
      <w:r>
        <w:t>е</w:t>
      </w:r>
      <w:r>
        <w:t>лительных парков, казино).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lang w:val="en-US"/>
        </w:rPr>
        <w:tab/>
      </w:r>
      <w:r>
        <w:t>Согласно информации Центра спортивного образования Эстонии, с 1990</w:t>
      </w:r>
      <w:r>
        <w:rPr>
          <w:lang w:val="en-US"/>
        </w:rPr>
        <w:noBreakHyphen/>
      </w:r>
      <w:r>
        <w:t>х годов женщины все больше приобщаются к регулярным занятиям спо</w:t>
      </w:r>
      <w:r>
        <w:t>р</w:t>
      </w:r>
      <w:r>
        <w:t>том и физической культурой. Эстонский олимпийский комитет ведет работу по развитию движения «Женщины в спорте». Каждый год в стране определяются спортсмен года и спортсменка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Статья 14</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b/>
        </w:rPr>
      </w:pPr>
      <w:r>
        <w:rPr>
          <w:b/>
        </w:rPr>
        <w:t>1.</w:t>
      </w:r>
      <w:r>
        <w:rPr>
          <w:b/>
          <w:lang w:val="en-US"/>
        </w:rPr>
        <w:tab/>
      </w:r>
      <w:r>
        <w:rPr>
          <w:b/>
        </w:rPr>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w:t>
      </w:r>
      <w:r>
        <w:rPr>
          <w:b/>
        </w:rPr>
        <w:t>е</w:t>
      </w:r>
      <w:r>
        <w:rPr>
          <w:b/>
        </w:rPr>
        <w:t>чения применения положений настоящей Конвенции к женщинам, прож</w:t>
      </w:r>
      <w:r>
        <w:rPr>
          <w:b/>
        </w:rPr>
        <w:t>и</w:t>
      </w:r>
      <w:r>
        <w:rPr>
          <w:b/>
        </w:rPr>
        <w:t>вающим в сельской м</w:t>
      </w:r>
      <w:r>
        <w:rPr>
          <w:b/>
        </w:rPr>
        <w:t>е</w:t>
      </w:r>
      <w:r>
        <w:rPr>
          <w:b/>
        </w:rPr>
        <w:t>стности.</w:t>
      </w:r>
    </w:p>
    <w:p w:rsidR="00000000" w:rsidRDefault="00000000">
      <w:pPr>
        <w:pStyle w:val="SingleTxt"/>
        <w:spacing w:after="0" w:line="120" w:lineRule="exact"/>
        <w:rPr>
          <w:sz w:val="10"/>
          <w:u w:val="single"/>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Безработица в сельской местности</w:t>
      </w:r>
    </w:p>
    <w:p w:rsidR="00000000" w:rsidRDefault="00000000">
      <w:pPr>
        <w:pStyle w:val="SingleTxt"/>
        <w:spacing w:after="0" w:line="120" w:lineRule="exact"/>
        <w:rPr>
          <w:sz w:val="10"/>
        </w:rPr>
      </w:pPr>
    </w:p>
    <w:p w:rsidR="00000000" w:rsidRDefault="00000000">
      <w:pPr>
        <w:pStyle w:val="SingleTxt"/>
      </w:pPr>
      <w:r>
        <w:rPr>
          <w:lang w:val="en-US"/>
        </w:rPr>
        <w:tab/>
      </w:r>
      <w:r>
        <w:t>Безработица и бездеятельность превратились в сельских районах в ос</w:t>
      </w:r>
      <w:r>
        <w:t>т</w:t>
      </w:r>
      <w:r>
        <w:t>рую проблему. В 2000 году в сельских районах было 28 500 безработных (13,8</w:t>
      </w:r>
      <w:r>
        <w:rPr>
          <w:lang w:val="en-US"/>
        </w:rPr>
        <w:t> </w:t>
      </w:r>
      <w:r>
        <w:t>процента) и 144 300 бездеятельных лиц, ищущих работу (около 41,2 пр</w:t>
      </w:r>
      <w:r>
        <w:t>о</w:t>
      </w:r>
      <w:r>
        <w:t>цента чи</w:t>
      </w:r>
      <w:r>
        <w:t>с</w:t>
      </w:r>
      <w:r>
        <w:t>ленности рабочей силы).</w:t>
      </w:r>
    </w:p>
    <w:p w:rsidR="00000000" w:rsidRDefault="00000000">
      <w:pPr>
        <w:pStyle w:val="SingleTxt"/>
      </w:pPr>
      <w:r>
        <w:rPr>
          <w:lang w:val="en-US"/>
        </w:rPr>
        <w:tab/>
      </w:r>
      <w:r>
        <w:t>В 2001 и 2002 годах уровень безработицы понизился. В 2001 году доля бездеятельных людей, ищущих работу, понизилась на 0,4 процента, но в 2002</w:t>
      </w:r>
      <w:r>
        <w:rPr>
          <w:lang w:val="en-US"/>
        </w:rPr>
        <w:t> </w:t>
      </w:r>
      <w:r>
        <w:t>году вновь повысилась (+2,8 процента). В 2001 году численность безр</w:t>
      </w:r>
      <w:r>
        <w:t>а</w:t>
      </w:r>
      <w:r>
        <w:t>ботных в сельской местности сократилась на 800 человек, в результате чего уровень безработицы понизился до 13,4 процента. В 2002 году уровень безр</w:t>
      </w:r>
      <w:r>
        <w:t>а</w:t>
      </w:r>
      <w:r>
        <w:t>ботицы дополнительно понизился и составил 9,4 процента, и по сравнению с предшествующим годом в сельских районах было на 10 700 безработных меньше.</w:t>
      </w:r>
    </w:p>
    <w:p w:rsidR="00000000" w:rsidRDefault="00000000">
      <w:pPr>
        <w:pStyle w:val="SingleTxt"/>
      </w:pPr>
      <w:r>
        <w:rPr>
          <w:lang w:val="en-US"/>
        </w:rPr>
        <w:tab/>
      </w:r>
      <w:r>
        <w:t>В то же время при довольно высоком уровне безработицы существует также и нехватка квалифицированной рабочей силы. В 2001 году по поручению министерства сельского хозяйства Институт сельского развития провел иссл</w:t>
      </w:r>
      <w:r>
        <w:t>е</w:t>
      </w:r>
      <w:r>
        <w:t>дование по вопросу о предпринимательстве в не связанном с сельским хозя</w:t>
      </w:r>
      <w:r>
        <w:t>й</w:t>
      </w:r>
      <w:r>
        <w:t>ством секторе. Это исследование констатировало нехватку работников, чья квалификация отвечала бы требованиям работодателей в сельских районах. Среди зарегистрированных безработных значительная доля (28 процентов) приходилась на тех, кто имел только базовое образование или образование д</w:t>
      </w:r>
      <w:r>
        <w:t>а</w:t>
      </w:r>
      <w:r>
        <w:t>же ниже базового, тогда как среди работающих только 10,4 процента имели б</w:t>
      </w:r>
      <w:r>
        <w:t>а</w:t>
      </w:r>
      <w:r>
        <w:t>зовое образ</w:t>
      </w:r>
      <w:r>
        <w:t>о</w:t>
      </w:r>
      <w:r>
        <w:t>вание.</w:t>
      </w:r>
    </w:p>
    <w:p w:rsidR="00000000" w:rsidRDefault="00000000">
      <w:pPr>
        <w:pStyle w:val="SingleTxt"/>
      </w:pPr>
      <w:r>
        <w:rPr>
          <w:lang w:val="en-US"/>
        </w:rPr>
        <w:tab/>
      </w:r>
      <w:r>
        <w:t>По сравнению с городским населением рабочая неделя у женщин и ос</w:t>
      </w:r>
      <w:r>
        <w:t>о</w:t>
      </w:r>
      <w:r>
        <w:t>бенно мужчин, проживающих в сельских районах, продолжительнее, причем как у работающих полный рабочий день, так и у работающих неполный раб</w:t>
      </w:r>
      <w:r>
        <w:t>о</w:t>
      </w:r>
      <w:r>
        <w:t>чий день. В то же время в сельской местности разница между продолжител</w:t>
      </w:r>
      <w:r>
        <w:t>ь</w:t>
      </w:r>
      <w:r>
        <w:t>ностью рабочей недели у мужчин и продолжительностью рабочей недели у женщин больше, чем в городах.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Таблица 14.1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 xml:space="preserve">Средняя продолжительность рабочей недели* с разбивкой по полу, месту жительства и работе полное и неполное рабочее время, 1999 и 2002 годы </w:t>
      </w:r>
      <w:r>
        <w:rPr>
          <w:lang w:val="en-US"/>
        </w:rPr>
        <w:br/>
      </w:r>
      <w:r>
        <w:t>(в часах в среднем за год).</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29" w:type="dxa"/>
        <w:tblLayout w:type="fixed"/>
        <w:tblCellMar>
          <w:left w:w="0" w:type="dxa"/>
          <w:right w:w="0" w:type="dxa"/>
        </w:tblCellMar>
        <w:tblLook w:val="0000" w:firstRow="0" w:lastRow="0" w:firstColumn="0" w:lastColumn="0" w:noHBand="0" w:noVBand="0"/>
      </w:tblPr>
      <w:tblGrid>
        <w:gridCol w:w="2013"/>
        <w:gridCol w:w="780"/>
        <w:gridCol w:w="780"/>
        <w:gridCol w:w="54"/>
        <w:gridCol w:w="726"/>
        <w:gridCol w:w="780"/>
        <w:gridCol w:w="69"/>
        <w:gridCol w:w="712"/>
        <w:gridCol w:w="780"/>
        <w:gridCol w:w="56"/>
        <w:gridCol w:w="724"/>
        <w:gridCol w:w="780"/>
        <w:gridCol w:w="71"/>
        <w:gridCol w:w="709"/>
        <w:gridCol w:w="781"/>
      </w:tblGrid>
      <w:tr w:rsidR="00000000">
        <w:tblPrEx>
          <w:tblCellMar>
            <w:top w:w="0" w:type="dxa"/>
            <w:left w:w="0" w:type="dxa"/>
            <w:bottom w:w="0" w:type="dxa"/>
            <w:right w:w="0" w:type="dxa"/>
          </w:tblCellMar>
        </w:tblPrEx>
        <w:trPr>
          <w:cantSplit/>
          <w:tblHeader/>
        </w:trPr>
        <w:tc>
          <w:tcPr>
            <w:tcW w:w="2013"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312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lang w:val="en-US"/>
              </w:rPr>
            </w:pPr>
            <w:r>
              <w:rPr>
                <w:i/>
                <w:sz w:val="14"/>
                <w:lang w:val="en-US"/>
              </w:rPr>
              <w:t>Мужчины</w:t>
            </w:r>
          </w:p>
        </w:tc>
        <w:tc>
          <w:tcPr>
            <w:tcW w:w="69"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lang w:val="en-US"/>
              </w:rPr>
            </w:pPr>
          </w:p>
        </w:tc>
        <w:tc>
          <w:tcPr>
            <w:tcW w:w="3052"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lang w:val="en-US"/>
              </w:rPr>
            </w:pPr>
            <w:r>
              <w:rPr>
                <w:i/>
                <w:sz w:val="14"/>
                <w:lang w:val="en-US"/>
              </w:rPr>
              <w:t>Женщины</w:t>
            </w:r>
          </w:p>
        </w:tc>
        <w:tc>
          <w:tcPr>
            <w:tcW w:w="71"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lang w:val="en-US"/>
              </w:rPr>
            </w:pPr>
          </w:p>
        </w:tc>
        <w:tc>
          <w:tcPr>
            <w:tcW w:w="14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lang w:val="en-US"/>
              </w:rPr>
              <w:t>Разница по сравнению с мужчинами +/-</w:t>
            </w:r>
            <w:r>
              <w:rPr>
                <w:i/>
                <w:sz w:val="14"/>
              </w:rPr>
              <w:t xml:space="preserve"> часов</w:t>
            </w:r>
          </w:p>
        </w:tc>
      </w:tr>
      <w:tr w:rsidR="00000000">
        <w:tblPrEx>
          <w:tblCellMar>
            <w:top w:w="0" w:type="dxa"/>
            <w:left w:w="0" w:type="dxa"/>
            <w:bottom w:w="0" w:type="dxa"/>
            <w:right w:w="0" w:type="dxa"/>
          </w:tblCellMar>
        </w:tblPrEx>
        <w:trPr>
          <w:cantSplit/>
          <w:tblHeader/>
        </w:trPr>
        <w:tc>
          <w:tcPr>
            <w:tcW w:w="2013" w:type="dxa"/>
            <w:vAlign w:val="bottom"/>
          </w:tcPr>
          <w:p w:rsidR="00000000" w:rsidRDefault="00000000">
            <w:pPr>
              <w:tabs>
                <w:tab w:val="left" w:pos="288"/>
                <w:tab w:val="left" w:pos="576"/>
                <w:tab w:val="left" w:pos="864"/>
                <w:tab w:val="left" w:pos="1152"/>
              </w:tabs>
              <w:spacing w:before="40" w:after="40" w:line="160" w:lineRule="exact"/>
              <w:ind w:right="43"/>
              <w:jc w:val="center"/>
              <w:rPr>
                <w:i/>
                <w:sz w:val="14"/>
                <w:lang w:val="en-US"/>
              </w:rPr>
            </w:pPr>
          </w:p>
        </w:tc>
        <w:tc>
          <w:tcPr>
            <w:tcW w:w="156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160" w:lineRule="exact"/>
              <w:ind w:right="43"/>
              <w:jc w:val="center"/>
              <w:rPr>
                <w:i/>
                <w:sz w:val="14"/>
                <w:lang w:val="en-US"/>
              </w:rPr>
            </w:pPr>
            <w:r>
              <w:rPr>
                <w:i/>
                <w:sz w:val="14"/>
                <w:lang w:val="en-US"/>
              </w:rPr>
              <w:t>Нормальная неделя</w:t>
            </w:r>
          </w:p>
        </w:tc>
        <w:tc>
          <w:tcPr>
            <w:tcW w:w="54" w:type="dxa"/>
            <w:vAlign w:val="bottom"/>
          </w:tcPr>
          <w:p w:rsidR="00000000" w:rsidRDefault="00000000">
            <w:pPr>
              <w:tabs>
                <w:tab w:val="left" w:pos="288"/>
                <w:tab w:val="left" w:pos="576"/>
                <w:tab w:val="left" w:pos="864"/>
                <w:tab w:val="left" w:pos="1152"/>
              </w:tabs>
              <w:spacing w:before="40" w:after="40" w:line="160" w:lineRule="exact"/>
              <w:ind w:right="43"/>
              <w:jc w:val="center"/>
              <w:rPr>
                <w:i/>
                <w:sz w:val="14"/>
                <w:lang w:val="en-US"/>
              </w:rPr>
            </w:pPr>
          </w:p>
        </w:tc>
        <w:tc>
          <w:tcPr>
            <w:tcW w:w="1506"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160" w:lineRule="exact"/>
              <w:ind w:right="43"/>
              <w:jc w:val="center"/>
              <w:rPr>
                <w:i/>
                <w:sz w:val="14"/>
                <w:lang w:val="en-US"/>
              </w:rPr>
            </w:pPr>
            <w:r>
              <w:rPr>
                <w:i/>
                <w:sz w:val="14"/>
                <w:lang w:val="en-US"/>
              </w:rPr>
              <w:t>Неделя во время обследования</w:t>
            </w:r>
          </w:p>
        </w:tc>
        <w:tc>
          <w:tcPr>
            <w:tcW w:w="69" w:type="dxa"/>
            <w:vAlign w:val="bottom"/>
          </w:tcPr>
          <w:p w:rsidR="00000000" w:rsidRDefault="00000000">
            <w:pPr>
              <w:tabs>
                <w:tab w:val="left" w:pos="288"/>
                <w:tab w:val="left" w:pos="576"/>
                <w:tab w:val="left" w:pos="864"/>
                <w:tab w:val="left" w:pos="1152"/>
              </w:tabs>
              <w:spacing w:before="40" w:after="40" w:line="160" w:lineRule="exact"/>
              <w:ind w:right="43"/>
              <w:jc w:val="center"/>
              <w:rPr>
                <w:i/>
                <w:sz w:val="14"/>
                <w:lang w:val="en-US"/>
              </w:rPr>
            </w:pPr>
          </w:p>
        </w:tc>
        <w:tc>
          <w:tcPr>
            <w:tcW w:w="1492"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160" w:lineRule="exact"/>
              <w:ind w:right="43"/>
              <w:jc w:val="center"/>
              <w:rPr>
                <w:i/>
                <w:sz w:val="14"/>
                <w:lang w:val="en-US"/>
              </w:rPr>
            </w:pPr>
            <w:r>
              <w:rPr>
                <w:i/>
                <w:sz w:val="14"/>
                <w:lang w:val="en-US"/>
              </w:rPr>
              <w:t>Нормальная неделя</w:t>
            </w:r>
          </w:p>
        </w:tc>
        <w:tc>
          <w:tcPr>
            <w:tcW w:w="56" w:type="dxa"/>
            <w:vAlign w:val="bottom"/>
          </w:tcPr>
          <w:p w:rsidR="00000000" w:rsidRDefault="00000000">
            <w:pPr>
              <w:tabs>
                <w:tab w:val="left" w:pos="288"/>
                <w:tab w:val="left" w:pos="576"/>
                <w:tab w:val="left" w:pos="864"/>
                <w:tab w:val="left" w:pos="1152"/>
              </w:tabs>
              <w:spacing w:before="40" w:after="40" w:line="160" w:lineRule="exact"/>
              <w:ind w:right="43"/>
              <w:jc w:val="center"/>
              <w:rPr>
                <w:i/>
                <w:sz w:val="14"/>
                <w:lang w:val="en-US"/>
              </w:rPr>
            </w:pPr>
          </w:p>
        </w:tc>
        <w:tc>
          <w:tcPr>
            <w:tcW w:w="1504"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160" w:lineRule="exact"/>
              <w:ind w:right="43"/>
              <w:jc w:val="center"/>
              <w:rPr>
                <w:i/>
                <w:sz w:val="14"/>
                <w:lang w:val="en-US"/>
              </w:rPr>
            </w:pPr>
            <w:r>
              <w:rPr>
                <w:i/>
                <w:sz w:val="14"/>
                <w:lang w:val="en-US"/>
              </w:rPr>
              <w:t>Неделя во время обследования</w:t>
            </w:r>
          </w:p>
        </w:tc>
        <w:tc>
          <w:tcPr>
            <w:tcW w:w="71" w:type="dxa"/>
            <w:vAlign w:val="bottom"/>
          </w:tcPr>
          <w:p w:rsidR="00000000" w:rsidRDefault="00000000">
            <w:pPr>
              <w:tabs>
                <w:tab w:val="left" w:pos="288"/>
                <w:tab w:val="left" w:pos="576"/>
                <w:tab w:val="left" w:pos="864"/>
                <w:tab w:val="left" w:pos="1152"/>
              </w:tabs>
              <w:spacing w:before="40" w:after="40" w:line="160" w:lineRule="exact"/>
              <w:ind w:right="43"/>
              <w:jc w:val="center"/>
              <w:rPr>
                <w:i/>
                <w:sz w:val="14"/>
                <w:lang w:val="en-US"/>
              </w:rPr>
            </w:pPr>
          </w:p>
        </w:tc>
        <w:tc>
          <w:tcPr>
            <w:tcW w:w="149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40" w:line="160" w:lineRule="exact"/>
              <w:ind w:right="43"/>
              <w:jc w:val="center"/>
              <w:rPr>
                <w:i/>
                <w:sz w:val="14"/>
                <w:lang w:val="en-US"/>
              </w:rPr>
            </w:pPr>
            <w:r>
              <w:rPr>
                <w:i/>
                <w:sz w:val="14"/>
                <w:lang w:val="en-US"/>
              </w:rPr>
              <w:t>Обычная рабочая неделя</w:t>
            </w:r>
          </w:p>
        </w:tc>
      </w:tr>
      <w:tr w:rsidR="00000000">
        <w:tblPrEx>
          <w:tblCellMar>
            <w:top w:w="0" w:type="dxa"/>
            <w:left w:w="0" w:type="dxa"/>
            <w:bottom w:w="0" w:type="dxa"/>
            <w:right w:w="0" w:type="dxa"/>
          </w:tblCellMar>
        </w:tblPrEx>
        <w:trPr>
          <w:tblHeader/>
        </w:trPr>
        <w:tc>
          <w:tcPr>
            <w:tcW w:w="2013" w:type="dxa"/>
            <w:vAlign w:val="bottom"/>
          </w:tcPr>
          <w:p w:rsidR="00000000" w:rsidRDefault="00000000">
            <w:pPr>
              <w:tabs>
                <w:tab w:val="left" w:pos="288"/>
                <w:tab w:val="left" w:pos="576"/>
                <w:tab w:val="left" w:pos="864"/>
                <w:tab w:val="left" w:pos="1152"/>
              </w:tabs>
              <w:spacing w:before="40" w:after="81" w:line="160" w:lineRule="exact"/>
              <w:ind w:right="43"/>
              <w:rPr>
                <w:i/>
                <w:sz w:val="14"/>
                <w:lang w:val="en-US"/>
              </w:rPr>
            </w:pPr>
          </w:p>
        </w:tc>
        <w:tc>
          <w:tcPr>
            <w:tcW w:w="78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1999 год</w:t>
            </w:r>
          </w:p>
        </w:tc>
        <w:tc>
          <w:tcPr>
            <w:tcW w:w="78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2002 год</w:t>
            </w:r>
          </w:p>
        </w:tc>
        <w:tc>
          <w:tcPr>
            <w:tcW w:w="780"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1999 год</w:t>
            </w:r>
          </w:p>
        </w:tc>
        <w:tc>
          <w:tcPr>
            <w:tcW w:w="78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2002 год</w:t>
            </w:r>
          </w:p>
        </w:tc>
        <w:tc>
          <w:tcPr>
            <w:tcW w:w="781"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1999 год</w:t>
            </w:r>
          </w:p>
        </w:tc>
        <w:tc>
          <w:tcPr>
            <w:tcW w:w="78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2002 год</w:t>
            </w:r>
          </w:p>
        </w:tc>
        <w:tc>
          <w:tcPr>
            <w:tcW w:w="780"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1999 год</w:t>
            </w:r>
          </w:p>
        </w:tc>
        <w:tc>
          <w:tcPr>
            <w:tcW w:w="78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2002 год</w:t>
            </w:r>
          </w:p>
        </w:tc>
        <w:tc>
          <w:tcPr>
            <w:tcW w:w="780"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1999 год</w:t>
            </w:r>
          </w:p>
        </w:tc>
        <w:tc>
          <w:tcPr>
            <w:tcW w:w="781"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2002 год</w:t>
            </w:r>
          </w:p>
        </w:tc>
      </w:tr>
      <w:tr w:rsidR="00000000">
        <w:tblPrEx>
          <w:tblCellMar>
            <w:top w:w="0" w:type="dxa"/>
            <w:left w:w="0" w:type="dxa"/>
            <w:bottom w:w="0" w:type="dxa"/>
            <w:right w:w="0" w:type="dxa"/>
          </w:tblCellMar>
        </w:tblPrEx>
        <w:trPr>
          <w:trHeight w:hRule="exact" w:val="115"/>
          <w:tblHeader/>
        </w:trPr>
        <w:tc>
          <w:tcPr>
            <w:tcW w:w="20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8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2013" w:type="dxa"/>
            <w:vAlign w:val="bottom"/>
          </w:tcPr>
          <w:p w:rsidR="00000000" w:rsidRDefault="00000000">
            <w:pPr>
              <w:pStyle w:val="Heading3"/>
              <w:keepNext w:val="0"/>
              <w:tabs>
                <w:tab w:val="left" w:pos="288"/>
                <w:tab w:val="left" w:pos="576"/>
                <w:tab w:val="left" w:pos="864"/>
                <w:tab w:val="left" w:pos="1152"/>
              </w:tabs>
              <w:spacing w:before="40" w:after="40" w:line="210" w:lineRule="exact"/>
              <w:ind w:right="40"/>
              <w:rPr>
                <w:rFonts w:ascii="Times New Roman" w:hAnsi="Times New Roman"/>
                <w:sz w:val="17"/>
              </w:rPr>
            </w:pPr>
            <w:r>
              <w:rPr>
                <w:rFonts w:ascii="Times New Roman" w:hAnsi="Times New Roman"/>
                <w:sz w:val="17"/>
              </w:rPr>
              <w:t>Все</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Полное рабочее вр</w:t>
            </w:r>
            <w:r>
              <w:rPr>
                <w:sz w:val="17"/>
              </w:rPr>
              <w:t>е</w:t>
            </w:r>
            <w:r>
              <w:rPr>
                <w:sz w:val="17"/>
              </w:rPr>
              <w:t>мя</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43,10</w:t>
            </w: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40,98</w:t>
            </w:r>
          </w:p>
        </w:tc>
        <w:tc>
          <w:tcPr>
            <w:tcW w:w="7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41,52</w:t>
            </w: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38,77</w:t>
            </w: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- 2,31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- 1,58</w:t>
            </w:r>
          </w:p>
        </w:tc>
      </w:tr>
      <w:tr w:rsidR="00000000">
        <w:tblPrEx>
          <w:tblCellMar>
            <w:top w:w="0" w:type="dxa"/>
            <w:left w:w="0" w:type="dxa"/>
            <w:bottom w:w="0" w:type="dxa"/>
            <w:right w:w="0" w:type="dxa"/>
          </w:tblCellMar>
        </w:tblPrEx>
        <w:tc>
          <w:tcPr>
            <w:tcW w:w="2013"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Неполное р</w:t>
            </w:r>
            <w:r>
              <w:rPr>
                <w:sz w:val="17"/>
              </w:rPr>
              <w:t>а</w:t>
            </w:r>
            <w:r>
              <w:rPr>
                <w:sz w:val="17"/>
              </w:rPr>
              <w:t>бочее время</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23,62</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22,18</w:t>
            </w:r>
          </w:p>
        </w:tc>
        <w:tc>
          <w:tcPr>
            <w:tcW w:w="78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21,01</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19,45</w:t>
            </w:r>
          </w:p>
        </w:tc>
        <w:tc>
          <w:tcPr>
            <w:tcW w:w="78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21,83</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22,21</w:t>
            </w:r>
          </w:p>
        </w:tc>
        <w:tc>
          <w:tcPr>
            <w:tcW w:w="78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20,34</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19,40</w:t>
            </w:r>
          </w:p>
        </w:tc>
        <w:tc>
          <w:tcPr>
            <w:tcW w:w="78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- 1,79</w:t>
            </w:r>
          </w:p>
        </w:tc>
        <w:tc>
          <w:tcPr>
            <w:tcW w:w="7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+ 0,03</w:t>
            </w:r>
          </w:p>
        </w:tc>
      </w:tr>
      <w:tr w:rsidR="00000000">
        <w:tblPrEx>
          <w:tblCellMar>
            <w:top w:w="0" w:type="dxa"/>
            <w:left w:w="0" w:type="dxa"/>
            <w:bottom w:w="0" w:type="dxa"/>
            <w:right w:w="0" w:type="dxa"/>
          </w:tblCellMar>
        </w:tblPrEx>
        <w:tc>
          <w:tcPr>
            <w:tcW w:w="201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Итого</w:t>
            </w:r>
          </w:p>
        </w:tc>
        <w:tc>
          <w:tcPr>
            <w:tcW w:w="7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43,49</w:t>
            </w:r>
          </w:p>
        </w:tc>
        <w:tc>
          <w:tcPr>
            <w:tcW w:w="7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42,11</w:t>
            </w:r>
          </w:p>
        </w:tc>
        <w:tc>
          <w:tcPr>
            <w:tcW w:w="7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41,35</w:t>
            </w:r>
          </w:p>
        </w:tc>
        <w:tc>
          <w:tcPr>
            <w:tcW w:w="7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39,96</w:t>
            </w:r>
          </w:p>
        </w:tc>
        <w:tc>
          <w:tcPr>
            <w:tcW w:w="78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40,44</w:t>
            </w:r>
          </w:p>
        </w:tc>
        <w:tc>
          <w:tcPr>
            <w:tcW w:w="7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39,15</w:t>
            </w:r>
          </w:p>
        </w:tc>
        <w:tc>
          <w:tcPr>
            <w:tcW w:w="7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37,76</w:t>
            </w:r>
          </w:p>
        </w:tc>
        <w:tc>
          <w:tcPr>
            <w:tcW w:w="7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36,39</w:t>
            </w:r>
          </w:p>
        </w:tc>
        <w:tc>
          <w:tcPr>
            <w:tcW w:w="7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- 3,05</w:t>
            </w:r>
          </w:p>
        </w:tc>
        <w:tc>
          <w:tcPr>
            <w:tcW w:w="78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- 2,96</w:t>
            </w:r>
          </w:p>
        </w:tc>
      </w:tr>
      <w:tr w:rsidR="00000000">
        <w:tblPrEx>
          <w:tblCellMar>
            <w:top w:w="0" w:type="dxa"/>
            <w:left w:w="0" w:type="dxa"/>
            <w:bottom w:w="0" w:type="dxa"/>
            <w:right w:w="0" w:type="dxa"/>
          </w:tblCellMar>
        </w:tblPrEx>
        <w:tc>
          <w:tcPr>
            <w:tcW w:w="2013" w:type="dxa"/>
            <w:vAlign w:val="bottom"/>
          </w:tcPr>
          <w:p w:rsidR="00000000" w:rsidRDefault="00000000">
            <w:pPr>
              <w:pStyle w:val="Heading3"/>
              <w:keepNext w:val="0"/>
              <w:tabs>
                <w:tab w:val="left" w:pos="288"/>
                <w:tab w:val="left" w:pos="576"/>
                <w:tab w:val="left" w:pos="864"/>
                <w:tab w:val="left" w:pos="1152"/>
              </w:tabs>
              <w:spacing w:before="81" w:after="40" w:line="210" w:lineRule="exact"/>
              <w:ind w:right="40"/>
              <w:rPr>
                <w:rFonts w:ascii="Times New Roman" w:hAnsi="Times New Roman"/>
                <w:sz w:val="17"/>
              </w:rPr>
            </w:pPr>
            <w:r>
              <w:rPr>
                <w:rFonts w:ascii="Times New Roman" w:hAnsi="Times New Roman"/>
                <w:sz w:val="17"/>
              </w:rPr>
              <w:t>В городах</w:t>
            </w:r>
          </w:p>
        </w:tc>
        <w:tc>
          <w:tcPr>
            <w:tcW w:w="7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1"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20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Полное рабочее вр</w:t>
            </w:r>
            <w:r>
              <w:rPr>
                <w:sz w:val="17"/>
              </w:rPr>
              <w:t>е</w:t>
            </w:r>
            <w:r>
              <w:rPr>
                <w:sz w:val="17"/>
              </w:rPr>
              <w:t>мя</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42,61</w:t>
            </w: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40,38</w:t>
            </w:r>
          </w:p>
        </w:tc>
        <w:tc>
          <w:tcPr>
            <w:tcW w:w="7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41,24</w:t>
            </w: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38,55</w:t>
            </w: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- 2,32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- 1,37</w:t>
            </w:r>
          </w:p>
        </w:tc>
      </w:tr>
      <w:tr w:rsidR="00000000">
        <w:tblPrEx>
          <w:tblCellMar>
            <w:top w:w="0" w:type="dxa"/>
            <w:left w:w="0" w:type="dxa"/>
            <w:bottom w:w="0" w:type="dxa"/>
            <w:right w:w="0" w:type="dxa"/>
          </w:tblCellMar>
        </w:tblPrEx>
        <w:tc>
          <w:tcPr>
            <w:tcW w:w="2013"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Неполное р</w:t>
            </w:r>
            <w:r>
              <w:rPr>
                <w:sz w:val="17"/>
              </w:rPr>
              <w:t>а</w:t>
            </w:r>
            <w:r>
              <w:rPr>
                <w:sz w:val="17"/>
              </w:rPr>
              <w:t>бочее время</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23,67</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21,82</w:t>
            </w:r>
          </w:p>
        </w:tc>
        <w:tc>
          <w:tcPr>
            <w:tcW w:w="78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21,72</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18,28</w:t>
            </w:r>
          </w:p>
        </w:tc>
        <w:tc>
          <w:tcPr>
            <w:tcW w:w="78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21,83</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21,82</w:t>
            </w:r>
          </w:p>
        </w:tc>
        <w:tc>
          <w:tcPr>
            <w:tcW w:w="78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20,35</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18,90</w:t>
            </w:r>
          </w:p>
        </w:tc>
        <w:tc>
          <w:tcPr>
            <w:tcW w:w="78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- 1,84</w:t>
            </w:r>
          </w:p>
        </w:tc>
        <w:tc>
          <w:tcPr>
            <w:tcW w:w="7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0,00</w:t>
            </w:r>
          </w:p>
        </w:tc>
      </w:tr>
      <w:tr w:rsidR="00000000">
        <w:tblPrEx>
          <w:tblCellMar>
            <w:top w:w="0" w:type="dxa"/>
            <w:left w:w="0" w:type="dxa"/>
            <w:bottom w:w="0" w:type="dxa"/>
            <w:right w:w="0" w:type="dxa"/>
          </w:tblCellMar>
        </w:tblPrEx>
        <w:tc>
          <w:tcPr>
            <w:tcW w:w="201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Итого</w:t>
            </w:r>
          </w:p>
        </w:tc>
        <w:tc>
          <w:tcPr>
            <w:tcW w:w="7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42,99</w:t>
            </w:r>
          </w:p>
        </w:tc>
        <w:tc>
          <w:tcPr>
            <w:tcW w:w="7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41,61</w:t>
            </w:r>
          </w:p>
        </w:tc>
        <w:tc>
          <w:tcPr>
            <w:tcW w:w="7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40,92</w:t>
            </w:r>
          </w:p>
        </w:tc>
        <w:tc>
          <w:tcPr>
            <w:tcW w:w="7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39,32</w:t>
            </w:r>
          </w:p>
        </w:tc>
        <w:tc>
          <w:tcPr>
            <w:tcW w:w="78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39,96</w:t>
            </w:r>
          </w:p>
        </w:tc>
        <w:tc>
          <w:tcPr>
            <w:tcW w:w="7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38,94</w:t>
            </w:r>
          </w:p>
        </w:tc>
        <w:tc>
          <w:tcPr>
            <w:tcW w:w="7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37,51</w:t>
            </w:r>
          </w:p>
        </w:tc>
        <w:tc>
          <w:tcPr>
            <w:tcW w:w="7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36,22</w:t>
            </w:r>
          </w:p>
        </w:tc>
        <w:tc>
          <w:tcPr>
            <w:tcW w:w="7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- 3,03</w:t>
            </w:r>
          </w:p>
        </w:tc>
        <w:tc>
          <w:tcPr>
            <w:tcW w:w="78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- 2,67</w:t>
            </w:r>
          </w:p>
        </w:tc>
      </w:tr>
      <w:tr w:rsidR="00000000">
        <w:tblPrEx>
          <w:tblCellMar>
            <w:top w:w="0" w:type="dxa"/>
            <w:left w:w="0" w:type="dxa"/>
            <w:bottom w:w="0" w:type="dxa"/>
            <w:right w:w="0" w:type="dxa"/>
          </w:tblCellMar>
        </w:tblPrEx>
        <w:tc>
          <w:tcPr>
            <w:tcW w:w="2013" w:type="dxa"/>
            <w:vAlign w:val="bottom"/>
          </w:tcPr>
          <w:p w:rsidR="00000000" w:rsidRDefault="00000000">
            <w:pPr>
              <w:pStyle w:val="Heading3"/>
              <w:keepNext w:val="0"/>
              <w:tabs>
                <w:tab w:val="left" w:pos="288"/>
                <w:tab w:val="left" w:pos="576"/>
                <w:tab w:val="left" w:pos="864"/>
                <w:tab w:val="left" w:pos="1152"/>
              </w:tabs>
              <w:spacing w:before="81" w:after="40" w:line="210" w:lineRule="exact"/>
              <w:ind w:right="40"/>
              <w:rPr>
                <w:rFonts w:ascii="Times New Roman" w:hAnsi="Times New Roman"/>
                <w:sz w:val="17"/>
              </w:rPr>
            </w:pPr>
            <w:r>
              <w:rPr>
                <w:rFonts w:ascii="Times New Roman" w:hAnsi="Times New Roman"/>
                <w:sz w:val="17"/>
              </w:rPr>
              <w:t>В сельской местности</w:t>
            </w:r>
          </w:p>
        </w:tc>
        <w:tc>
          <w:tcPr>
            <w:tcW w:w="7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1"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0" w:type="dxa"/>
            <w:gridSpan w:val="2"/>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20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Полное рабочее вр</w:t>
            </w:r>
            <w:r>
              <w:rPr>
                <w:sz w:val="17"/>
              </w:rPr>
              <w:t>е</w:t>
            </w:r>
            <w:r>
              <w:rPr>
                <w:sz w:val="17"/>
              </w:rPr>
              <w:t>мя</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45,83</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44,25</w:t>
            </w: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43,63</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42,38</w:t>
            </w:r>
          </w:p>
        </w:tc>
        <w:tc>
          <w:tcPr>
            <w:tcW w:w="78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43,83</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42,36</w:t>
            </w: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39,41</w:t>
            </w:r>
          </w:p>
        </w:tc>
        <w:tc>
          <w:tcPr>
            <w:tcW w:w="7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- 2,00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- 1,89</w:t>
            </w:r>
          </w:p>
        </w:tc>
      </w:tr>
      <w:tr w:rsidR="00000000">
        <w:tblPrEx>
          <w:tblCellMar>
            <w:top w:w="0" w:type="dxa"/>
            <w:left w:w="0" w:type="dxa"/>
            <w:bottom w:w="0" w:type="dxa"/>
            <w:right w:w="0" w:type="dxa"/>
          </w:tblCellMar>
        </w:tblPrEx>
        <w:tc>
          <w:tcPr>
            <w:tcW w:w="2013"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Неполное р</w:t>
            </w:r>
            <w:r>
              <w:rPr>
                <w:sz w:val="17"/>
              </w:rPr>
              <w:t>а</w:t>
            </w:r>
            <w:r>
              <w:rPr>
                <w:sz w:val="17"/>
              </w:rPr>
              <w:t xml:space="preserve">бочее время </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23,53</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23,08</w:t>
            </w:r>
          </w:p>
        </w:tc>
        <w:tc>
          <w:tcPr>
            <w:tcW w:w="78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19,68</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22,33</w:t>
            </w:r>
          </w:p>
        </w:tc>
        <w:tc>
          <w:tcPr>
            <w:tcW w:w="781"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21,82</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23,20</w:t>
            </w:r>
          </w:p>
        </w:tc>
        <w:tc>
          <w:tcPr>
            <w:tcW w:w="78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20,33</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20,67</w:t>
            </w:r>
          </w:p>
        </w:tc>
        <w:tc>
          <w:tcPr>
            <w:tcW w:w="78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- 1,71</w:t>
            </w:r>
          </w:p>
        </w:tc>
        <w:tc>
          <w:tcPr>
            <w:tcW w:w="7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+ 0,12</w:t>
            </w:r>
          </w:p>
        </w:tc>
      </w:tr>
      <w:tr w:rsidR="00000000">
        <w:tblPrEx>
          <w:tblCellMar>
            <w:top w:w="0" w:type="dxa"/>
            <w:left w:w="0" w:type="dxa"/>
            <w:bottom w:w="0" w:type="dxa"/>
            <w:right w:w="0" w:type="dxa"/>
          </w:tblCellMar>
        </w:tblPrEx>
        <w:tc>
          <w:tcPr>
            <w:tcW w:w="20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lang w:val="en-US"/>
              </w:rPr>
              <w:tab/>
            </w:r>
            <w:r>
              <w:rPr>
                <w:b/>
                <w:sz w:val="17"/>
              </w:rPr>
              <w:t>Итого</w:t>
            </w:r>
          </w:p>
        </w:tc>
        <w:tc>
          <w:tcPr>
            <w:tcW w:w="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44,56</w:t>
            </w:r>
          </w:p>
        </w:tc>
        <w:tc>
          <w:tcPr>
            <w:tcW w:w="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43,28</w:t>
            </w:r>
          </w:p>
        </w:tc>
        <w:tc>
          <w:tcPr>
            <w:tcW w:w="7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42,26</w:t>
            </w:r>
          </w:p>
        </w:tc>
        <w:tc>
          <w:tcPr>
            <w:tcW w:w="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41,46</w:t>
            </w:r>
          </w:p>
        </w:tc>
        <w:tc>
          <w:tcPr>
            <w:tcW w:w="78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41,73</w:t>
            </w:r>
          </w:p>
        </w:tc>
        <w:tc>
          <w:tcPr>
            <w:tcW w:w="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39,77</w:t>
            </w:r>
          </w:p>
        </w:tc>
        <w:tc>
          <w:tcPr>
            <w:tcW w:w="7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38,43</w:t>
            </w:r>
          </w:p>
        </w:tc>
        <w:tc>
          <w:tcPr>
            <w:tcW w:w="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36,88</w:t>
            </w:r>
          </w:p>
        </w:tc>
        <w:tc>
          <w:tcPr>
            <w:tcW w:w="7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- 2,83</w:t>
            </w:r>
          </w:p>
        </w:tc>
        <w:tc>
          <w:tcPr>
            <w:tcW w:w="7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- 3,51</w:t>
            </w:r>
          </w:p>
        </w:tc>
      </w:tr>
    </w:tbl>
    <w:p w:rsidR="00000000" w:rsidRDefault="00000000">
      <w:pPr>
        <w:pStyle w:val="SingleTxt"/>
        <w:spacing w:after="0" w:line="120" w:lineRule="exact"/>
        <w:rPr>
          <w:sz w:val="10"/>
          <w:lang w:val="en-US"/>
        </w:rPr>
      </w:pPr>
    </w:p>
    <w:p w:rsidR="00000000" w:rsidRDefault="00000000">
      <w:pPr>
        <w:pStyle w:val="FootnoteText"/>
        <w:tabs>
          <w:tab w:val="clear" w:pos="418"/>
          <w:tab w:val="right" w:pos="216"/>
          <w:tab w:val="left" w:pos="288"/>
          <w:tab w:val="right" w:pos="576"/>
          <w:tab w:val="left" w:pos="648"/>
        </w:tabs>
        <w:ind w:left="288" w:hanging="288"/>
        <w:rPr>
          <w:lang w:val="en-US"/>
        </w:rPr>
      </w:pPr>
      <w:r>
        <w:rPr>
          <w:i/>
        </w:rPr>
        <w:t>Источник</w:t>
      </w:r>
      <w:r>
        <w:rPr>
          <w:lang w:val="en-US"/>
        </w:rPr>
        <w:t>: Workforce 1999, ESA, 2992, p. 73; Workforce 2002, ESA, p. 97.</w:t>
      </w:r>
    </w:p>
    <w:p w:rsidR="00000000" w:rsidRDefault="00000000">
      <w:pPr>
        <w:pStyle w:val="FootnoteText"/>
        <w:tabs>
          <w:tab w:val="clear" w:pos="418"/>
          <w:tab w:val="right" w:pos="216"/>
          <w:tab w:val="left" w:pos="288"/>
          <w:tab w:val="right" w:pos="576"/>
          <w:tab w:val="left" w:pos="648"/>
        </w:tabs>
        <w:ind w:left="288" w:hanging="288"/>
      </w:pPr>
      <w:r>
        <w:rPr>
          <w:lang w:val="en-US"/>
        </w:rPr>
        <w:tab/>
      </w:r>
      <w:r>
        <w:t>*</w:t>
      </w:r>
      <w:r>
        <w:rPr>
          <w:lang w:val="en-US"/>
        </w:rPr>
        <w:tab/>
      </w:r>
      <w:r>
        <w:t>Пояснительное примечание: нормальная неделя — типичная рабочая неделя в течение продолжительного периода времени; неделя во время обследования — фактическое количество часов во время проведения обследования об использовании времени; данные за 1999 год отражают данные за II квартал.</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По данным сводки Статистического бюро Эстонии «Экономические пок</w:t>
      </w:r>
      <w:r>
        <w:t>а</w:t>
      </w:r>
      <w:r>
        <w:t>затели предприятий за 2001 год», в 2001 году в Эстонии действовало 753 сел</w:t>
      </w:r>
      <w:r>
        <w:t>ь</w:t>
      </w:r>
      <w:r>
        <w:t>скохозяйственного и охотничьего предприятия, что на 50 предприятий меньше, чем в 2000 году. Почти 75 процентов предприятий имели менее 20 работников; только 22 предприятия имели более 100 р</w:t>
      </w:r>
      <w:r>
        <w:t>а</w:t>
      </w:r>
      <w:r>
        <w:t>ботников.</w:t>
      </w:r>
    </w:p>
    <w:p w:rsidR="00000000" w:rsidRDefault="00000000">
      <w:pPr>
        <w:pStyle w:val="SingleTxt"/>
        <w:rPr>
          <w:lang w:val="en-US"/>
        </w:rPr>
      </w:pPr>
      <w:r>
        <w:tab/>
        <w:t>В документе о политике правительства в области предпринимательства под названием «Предприниматели в Эстонии» подчеркивается необходимость развития человеческого капитала и системы поддержки предпринимательства, улучшения возможностей финансирования предпринимательской деятельн</w:t>
      </w:r>
      <w:r>
        <w:t>о</w:t>
      </w:r>
      <w:r>
        <w:t>сти, распространения предпринимательской информации и упрощения бюр</w:t>
      </w:r>
      <w:r>
        <w:t>о</w:t>
      </w:r>
      <w:r>
        <w:t>кратических процедур.</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Инвестиции и стратегия регионального развития</w:t>
      </w:r>
    </w:p>
    <w:p w:rsidR="00000000" w:rsidRDefault="00000000">
      <w:pPr>
        <w:pStyle w:val="SingleTxt"/>
        <w:spacing w:after="0" w:line="120" w:lineRule="exact"/>
        <w:rPr>
          <w:sz w:val="10"/>
        </w:rPr>
      </w:pPr>
    </w:p>
    <w:p w:rsidR="00000000" w:rsidRDefault="00000000">
      <w:pPr>
        <w:pStyle w:val="SingleTxt"/>
      </w:pPr>
      <w:r>
        <w:tab/>
        <w:t>В 2001 году в Эстонии началась реализация программы Европейского союза «</w:t>
      </w:r>
      <w:r>
        <w:rPr>
          <w:lang w:val="en-US"/>
        </w:rPr>
        <w:t>SAPARD</w:t>
      </w:r>
      <w:r>
        <w:t>», нацеленной на подготовку Эстонии к вступлению в Евр</w:t>
      </w:r>
      <w:r>
        <w:t>о</w:t>
      </w:r>
      <w:r>
        <w:t>пейский союз. Для решения проблем, сдерживающих сельское развитие, Эст</w:t>
      </w:r>
      <w:r>
        <w:t>о</w:t>
      </w:r>
      <w:r>
        <w:t>ния направила финансирование по линии программы «SAPARD» на цели п</w:t>
      </w:r>
      <w:r>
        <w:t>о</w:t>
      </w:r>
      <w:r>
        <w:t>вышения конкурентоспособности сельскохозяйственного сектора и улучшения сельской жизни, на развитие предпринимательства и инфраструктуры. Фина</w:t>
      </w:r>
      <w:r>
        <w:t>н</w:t>
      </w:r>
      <w:r>
        <w:t>совая поддержка оказывалась развитию сельского туризма, кустарного пр</w:t>
      </w:r>
      <w:r>
        <w:t>о</w:t>
      </w:r>
      <w:r>
        <w:t>мысла и сектора услуг, предприятиям по разведению раков и рыбы и мелким предприятиям пищевой промышленности (в этих областях деловой активности нередко зан</w:t>
      </w:r>
      <w:r>
        <w:t>я</w:t>
      </w:r>
      <w:r>
        <w:t>ты в основном женщины).</w:t>
      </w:r>
    </w:p>
    <w:p w:rsidR="00000000" w:rsidRDefault="00000000">
      <w:pPr>
        <w:pStyle w:val="SingleTxt"/>
      </w:pPr>
      <w:r>
        <w:tab/>
        <w:t>В 2003 году началось оказание поддержки местным инициативам, напра</w:t>
      </w:r>
      <w:r>
        <w:t>в</w:t>
      </w:r>
      <w:r>
        <w:t>ленным на развитие деревень. Цель этой меры состоит в содействии развитию деревень, гражданской инициативы и кооперации и в повышении качества жизни в деревнях. Так, например, оказывается поддержка инвестированию в объекты коммунального обслуживания и созданию информационных центров с дост</w:t>
      </w:r>
      <w:r>
        <w:t>у</w:t>
      </w:r>
      <w:r>
        <w:t>пом в Интернет.</w:t>
      </w:r>
    </w:p>
    <w:p w:rsidR="00000000" w:rsidRDefault="00000000">
      <w:pPr>
        <w:pStyle w:val="SingleTxt"/>
      </w:pPr>
      <w:r>
        <w:tab/>
        <w:t>Согласно эстонской стратегии регионального развития, цель региональн</w:t>
      </w:r>
      <w:r>
        <w:t>о</w:t>
      </w:r>
      <w:r>
        <w:t>го развития состоит в достижении сбалансированности регионального разв</w:t>
      </w:r>
      <w:r>
        <w:t>и</w:t>
      </w:r>
      <w:r>
        <w:t>тия, с тем чтобы во всех уездах: а) средний уровень жизни составлял не менее 75 процентов от среднего уровня жизни в Эстонии; b) безработица не прев</w:t>
      </w:r>
      <w:r>
        <w:t>ы</w:t>
      </w:r>
      <w:r>
        <w:t xml:space="preserve">шала средний для Эстонии уровень больше, чем на 35 процентов; и </w:t>
      </w:r>
      <w:r>
        <w:rPr>
          <w:lang w:val="en-US"/>
        </w:rPr>
        <w:t>c</w:t>
      </w:r>
      <w:r>
        <w:t>) налог</w:t>
      </w:r>
      <w:r>
        <w:t>о</w:t>
      </w:r>
      <w:r>
        <w:t>вые поступления местных органов власти составляли не меньше 75 процентов от среднего уровня в Эстонии (из расчета средних показателей город Таллинн и</w:t>
      </w:r>
      <w:r>
        <w:t>с</w:t>
      </w:r>
      <w:r>
        <w:t>ключается).</w:t>
      </w:r>
    </w:p>
    <w:p w:rsidR="00000000" w:rsidRDefault="00000000">
      <w:pPr>
        <w:pStyle w:val="SingleTxt"/>
      </w:pPr>
      <w:r>
        <w:tab/>
        <w:t>Для улучшения сельской инфраструктуры и повышения уровня жизни на селе Законом о сельском развитии и регулировании сельскохозяйственного рынка предусмотрено предоставление людям, живущим в сельской местности, разн</w:t>
      </w:r>
      <w:r>
        <w:t>о</w:t>
      </w:r>
      <w:r>
        <w:t>го рода государственных льгот.</w:t>
      </w:r>
    </w:p>
    <w:p w:rsidR="00000000" w:rsidRDefault="00000000">
      <w:pPr>
        <w:pStyle w:val="SingleTxt"/>
        <w:spacing w:after="0" w:line="120" w:lineRule="exact"/>
        <w:rPr>
          <w:sz w:val="10"/>
        </w:rPr>
      </w:pPr>
    </w:p>
    <w:p w:rsidR="00000000" w:rsidRDefault="00000000">
      <w:pPr>
        <w:pStyle w:val="SingleTxt"/>
        <w:rPr>
          <w:b/>
          <w:spacing w:val="-2"/>
        </w:rPr>
      </w:pPr>
      <w:r>
        <w:rPr>
          <w:b/>
          <w:spacing w:val="-2"/>
        </w:rPr>
        <w:t>2.</w:t>
      </w:r>
      <w:r>
        <w:rPr>
          <w:b/>
          <w:spacing w:val="-2"/>
        </w:rPr>
        <w:tab/>
        <w:t>Государства-участники принимают все соответствующие меры для ли</w:t>
      </w:r>
      <w:r>
        <w:rPr>
          <w:b/>
          <w:spacing w:val="-2"/>
        </w:rPr>
        <w:t>к</w:t>
      </w:r>
      <w:r>
        <w:rPr>
          <w:b/>
          <w:spacing w:val="-2"/>
        </w:rPr>
        <w:t>видации дискриминации в отношении женщин в сельских районах, с тем чт</w:t>
      </w:r>
      <w:r>
        <w:rPr>
          <w:b/>
          <w:spacing w:val="-2"/>
        </w:rPr>
        <w:t>о</w:t>
      </w:r>
      <w:r>
        <w:rPr>
          <w:b/>
          <w:spacing w:val="-2"/>
        </w:rPr>
        <w:t>бы обеспечить на основе равенства мужчин и женщин их участие в развитии сельских районов и в получении выгод от такого развития и, в частности, обесп</w:t>
      </w:r>
      <w:r>
        <w:rPr>
          <w:b/>
          <w:spacing w:val="-2"/>
        </w:rPr>
        <w:t>е</w:t>
      </w:r>
      <w:r>
        <w:rPr>
          <w:b/>
          <w:spacing w:val="-2"/>
        </w:rPr>
        <w:t>чивают таким женщинам право:</w:t>
      </w:r>
    </w:p>
    <w:p w:rsidR="00000000" w:rsidRDefault="00000000">
      <w:pPr>
        <w:pStyle w:val="SingleTxt"/>
        <w:rPr>
          <w:spacing w:val="-2"/>
        </w:rPr>
      </w:pPr>
      <w:r>
        <w:rPr>
          <w:b/>
          <w:spacing w:val="-2"/>
        </w:rPr>
        <w:tab/>
        <w:t>а)</w:t>
      </w:r>
      <w:r>
        <w:rPr>
          <w:b/>
          <w:spacing w:val="-2"/>
        </w:rPr>
        <w:tab/>
        <w:t>участвовать в разработке и осуществлении планов развития на всех уровнях;</w:t>
      </w:r>
    </w:p>
    <w:p w:rsidR="00000000" w:rsidRDefault="00000000">
      <w:pPr>
        <w:pStyle w:val="SingleTxt"/>
      </w:pPr>
      <w:r>
        <w:tab/>
        <w:t>Хотя по результатам последних выборов в советы местного самоуправл</w:t>
      </w:r>
      <w:r>
        <w:t>е</w:t>
      </w:r>
      <w:r>
        <w:t>ния женщины возглавляют менее 20 процентов местных органов власти, же</w:t>
      </w:r>
      <w:r>
        <w:t>н</w:t>
      </w:r>
      <w:r>
        <w:t>щины в сельских районах оказывают влияние на сельскую жизнь и ее развитие и принимают участие в процессе принятия решений.</w:t>
      </w:r>
    </w:p>
    <w:p w:rsidR="00000000" w:rsidRDefault="00000000">
      <w:pPr>
        <w:pStyle w:val="SingleTxt"/>
      </w:pPr>
      <w:r>
        <w:tab/>
        <w:t>При планировании, осуществлении и анализе национальных, регионал</w:t>
      </w:r>
      <w:r>
        <w:t>ь</w:t>
      </w:r>
      <w:r>
        <w:t>ных и институциональных стратегий, при разработке политики и планов де</w:t>
      </w:r>
      <w:r>
        <w:t>й</w:t>
      </w:r>
      <w:r>
        <w:t>ствий местные органы власти должны принимать во внимание различия в п</w:t>
      </w:r>
      <w:r>
        <w:t>о</w:t>
      </w:r>
      <w:r>
        <w:t>требностях и социальном статусе мужчин и женщин и анализировать, как ос</w:t>
      </w:r>
      <w:r>
        <w:t>у</w:t>
      </w:r>
      <w:r>
        <w:t>ществляемые и подлежащие осуществлению меры влияют на положение му</w:t>
      </w:r>
      <w:r>
        <w:t>ж</w:t>
      </w:r>
      <w:r>
        <w:t>чин и женщин в обществе. В комитетах, советах и других коллегиальных орг</w:t>
      </w:r>
      <w:r>
        <w:t>а</w:t>
      </w:r>
      <w:r>
        <w:t>нах м</w:t>
      </w:r>
      <w:r>
        <w:t>е</w:t>
      </w:r>
      <w:r>
        <w:t>стного самоуправления должны быть представлены оба пола.</w:t>
      </w:r>
    </w:p>
    <w:p w:rsidR="00000000" w:rsidRDefault="00000000">
      <w:pPr>
        <w:pStyle w:val="SingleTxt"/>
      </w:pPr>
      <w:r>
        <w:tab/>
        <w:t>С 2001 года государство оказывает поддержку сотрудничеству между женскими организациями. Две трети финансируемых проектов неизменно н</w:t>
      </w:r>
      <w:r>
        <w:t>а</w:t>
      </w:r>
      <w:r>
        <w:t>правлены на оказание помощи организациям, ведущим работу в сельских ра</w:t>
      </w:r>
      <w:r>
        <w:t>й</w:t>
      </w:r>
      <w:r>
        <w:t>онах.</w:t>
      </w:r>
    </w:p>
    <w:p w:rsidR="00000000" w:rsidRDefault="00000000">
      <w:pPr>
        <w:pStyle w:val="SingleTxt"/>
      </w:pPr>
      <w:r>
        <w:tab/>
        <w:t>Исходя из результатов обследования, проведенного Сетью некоммерч</w:t>
      </w:r>
      <w:r>
        <w:t>е</w:t>
      </w:r>
      <w:r>
        <w:t>ских организаций Эстонии в 2003 году, можно утверждать, что население Э</w:t>
      </w:r>
      <w:r>
        <w:t>с</w:t>
      </w:r>
      <w:r>
        <w:t>тонии твердо считает, что люди сами должны принимать участие в решении местных и национальных проблем, а не ждать этого от политиков, должнос</w:t>
      </w:r>
      <w:r>
        <w:t>т</w:t>
      </w:r>
      <w:r>
        <w:t>ных лиц, парламента и правительства.</w:t>
      </w:r>
    </w:p>
    <w:p w:rsidR="00000000" w:rsidRDefault="00000000">
      <w:pPr>
        <w:pStyle w:val="SingleTxt"/>
      </w:pPr>
      <w:r>
        <w:tab/>
        <w:t>К числу самых важных задач некоммерческих организаций относятся следующие: служить выразителем мнений заинтересованных групп и инфо</w:t>
      </w:r>
      <w:r>
        <w:t>р</w:t>
      </w:r>
      <w:r>
        <w:t>мировать о них население, мобилизовывать гражданскую инициативу и быть выразителем и защитником демократ</w:t>
      </w:r>
      <w:r>
        <w:t>и</w:t>
      </w:r>
      <w:r>
        <w:t>ческих ценностей.</w:t>
      </w:r>
    </w:p>
    <w:p w:rsidR="00000000" w:rsidRDefault="00000000">
      <w:pPr>
        <w:pStyle w:val="SingleTxt"/>
      </w:pPr>
      <w:r>
        <w:tab/>
        <w:t>Различные женские объединения — Ассоциация сельских женщин Эст</w:t>
      </w:r>
      <w:r>
        <w:t>о</w:t>
      </w:r>
      <w:r>
        <w:t>нии, А</w:t>
      </w:r>
      <w:r>
        <w:t>с</w:t>
      </w:r>
      <w:r>
        <w:t>социация женщин деловых и свободных профессий Эстонии (БПУ-Эстония), Союз эстонских женщин, Эстонская лига защиты женщин, а также женские организации политических партий — имеют разветвленную сеть о</w:t>
      </w:r>
      <w:r>
        <w:t>р</w:t>
      </w:r>
      <w:r>
        <w:t>ганизаций в Эстонии. Женские организации входят в региональные объедин</w:t>
      </w:r>
      <w:r>
        <w:t>е</w:t>
      </w:r>
      <w:r>
        <w:t>ния женских «круглых столов».</w:t>
      </w:r>
    </w:p>
    <w:p w:rsidR="00000000" w:rsidRDefault="00000000">
      <w:pPr>
        <w:pStyle w:val="SingleTxt"/>
      </w:pPr>
      <w:r>
        <w:tab/>
        <w:t>В октябре 1997 года 13 организаций основали союз некоммерческих орг</w:t>
      </w:r>
      <w:r>
        <w:t>а</w:t>
      </w:r>
      <w:r>
        <w:t>низаций — движение «Кодукант», которое является движением за развитие э</w:t>
      </w:r>
      <w:r>
        <w:t>с</w:t>
      </w:r>
      <w:r>
        <w:t>тонских деревень и малых городов. Сегодня «Кодукант» объединяет 15 уез</w:t>
      </w:r>
      <w:r>
        <w:t>д</w:t>
      </w:r>
      <w:r>
        <w:t>ных союзов, три национальных союза и семь местных организаций. Главная цель движения состоит в сохранении и возрождении эстонского сельского и деревенского уклада жизни, содействии его гармоничному развитию, а также в оказании поддержки развитию сельской экономики, деревенского движения и н</w:t>
      </w:r>
      <w:r>
        <w:t>а</w:t>
      </w:r>
      <w:r>
        <w:t>циональной культуры.</w:t>
      </w:r>
    </w:p>
    <w:p w:rsidR="00000000" w:rsidRDefault="00000000">
      <w:pPr>
        <w:pStyle w:val="SingleTxt"/>
      </w:pPr>
      <w:r>
        <w:tab/>
        <w:t>В 2003 году в основном по местной инициативе во всех уездах Эстонии были созданы деревенские организации или местные организации «Кодукант».</w:t>
      </w:r>
    </w:p>
    <w:p w:rsidR="00000000" w:rsidRDefault="00000000">
      <w:pPr>
        <w:pStyle w:val="SingleTxt"/>
      </w:pPr>
      <w:r>
        <w:tab/>
        <w:t>Председателем движения «Кодукант» является женщина, и в правление движения входят пять женщин и двое мужчин. Движение издает свой инфо</w:t>
      </w:r>
      <w:r>
        <w:t>р</w:t>
      </w:r>
      <w:r>
        <w:t>мационный бюллетень, редактором которого является женщина. Представит</w:t>
      </w:r>
      <w:r>
        <w:t>е</w:t>
      </w:r>
      <w:r>
        <w:t>лями движения в других организациях и фондах также в основном являются женщ</w:t>
      </w:r>
      <w:r>
        <w:t>и</w:t>
      </w:r>
      <w:r>
        <w:t>ны.</w:t>
      </w:r>
    </w:p>
    <w:p w:rsidR="00000000" w:rsidRDefault="00000000">
      <w:pPr>
        <w:pStyle w:val="SingleTxt"/>
      </w:pPr>
      <w:r>
        <w:tab/>
        <w:t>С каждым годом движение «Кодукант» все активнее принимает участие в законотворческом процессе и в инициации различных национальных программ и программ ЕС, касающихся сельской жизни, сотрудничает с рабочей группой парламента по развитию местной инициативы и с различными организациями и министерствами. Женщины в сельских районах имеют организации, которые ведут информационную и учебную деятел</w:t>
      </w:r>
      <w:r>
        <w:t>ь</w:t>
      </w:r>
      <w:r>
        <w:t>ность.</w:t>
      </w:r>
    </w:p>
    <w:p w:rsidR="00000000" w:rsidRDefault="00000000">
      <w:pPr>
        <w:pStyle w:val="SingleTxt"/>
        <w:spacing w:after="0" w:line="120" w:lineRule="exact"/>
        <w:rPr>
          <w:b/>
          <w:spacing w:val="-2"/>
          <w:sz w:val="10"/>
        </w:rPr>
      </w:pPr>
    </w:p>
    <w:p w:rsidR="00000000" w:rsidRDefault="00000000">
      <w:pPr>
        <w:pStyle w:val="SingleTxt"/>
        <w:rPr>
          <w:b/>
          <w:spacing w:val="-2"/>
        </w:rPr>
      </w:pPr>
      <w:r>
        <w:rPr>
          <w:b/>
          <w:spacing w:val="-2"/>
        </w:rPr>
        <w:tab/>
        <w:t>b)</w:t>
      </w:r>
      <w:r>
        <w:rPr>
          <w:b/>
          <w:spacing w:val="-2"/>
        </w:rPr>
        <w:tab/>
        <w:t>на доступ к соответствующему медицинскому обслуживанию, вкл</w:t>
      </w:r>
      <w:r>
        <w:rPr>
          <w:b/>
          <w:spacing w:val="-2"/>
        </w:rPr>
        <w:t>ю</w:t>
      </w:r>
      <w:r>
        <w:rPr>
          <w:b/>
          <w:spacing w:val="-2"/>
        </w:rPr>
        <w:t>чая информацию, консультации и обслуживание по вопросам планирования размеров семьи;</w:t>
      </w:r>
    </w:p>
    <w:p w:rsidR="00000000" w:rsidRDefault="00000000">
      <w:pPr>
        <w:pStyle w:val="SingleTxt"/>
        <w:rPr>
          <w:spacing w:val="-2"/>
        </w:rPr>
      </w:pPr>
      <w:r>
        <w:rPr>
          <w:spacing w:val="-2"/>
        </w:rPr>
        <w:tab/>
        <w:t xml:space="preserve">Данная тема рассматривается в разделе, касающемся статьи 12. </w:t>
      </w:r>
    </w:p>
    <w:p w:rsidR="00000000" w:rsidRDefault="00000000">
      <w:pPr>
        <w:pStyle w:val="SingleTxt"/>
        <w:spacing w:after="0" w:line="120" w:lineRule="exact"/>
        <w:rPr>
          <w:b/>
          <w:spacing w:val="-2"/>
          <w:sz w:val="10"/>
        </w:rPr>
      </w:pPr>
    </w:p>
    <w:p w:rsidR="00000000" w:rsidRDefault="00000000">
      <w:pPr>
        <w:pStyle w:val="SingleTxt"/>
        <w:keepNext/>
        <w:rPr>
          <w:spacing w:val="-2"/>
        </w:rPr>
      </w:pPr>
      <w:r>
        <w:rPr>
          <w:b/>
          <w:spacing w:val="-2"/>
        </w:rPr>
        <w:tab/>
        <w:t>с)</w:t>
      </w:r>
      <w:r>
        <w:rPr>
          <w:b/>
          <w:spacing w:val="-2"/>
        </w:rPr>
        <w:tab/>
        <w:t>непосредственно пользоваться благами программ социального стр</w:t>
      </w:r>
      <w:r>
        <w:rPr>
          <w:b/>
          <w:spacing w:val="-2"/>
        </w:rPr>
        <w:t>а</w:t>
      </w:r>
      <w:r>
        <w:rPr>
          <w:b/>
          <w:spacing w:val="-2"/>
        </w:rPr>
        <w:t>х</w:t>
      </w:r>
      <w:r>
        <w:rPr>
          <w:b/>
          <w:spacing w:val="-2"/>
        </w:rPr>
        <w:t>о</w:t>
      </w:r>
      <w:r>
        <w:rPr>
          <w:b/>
          <w:spacing w:val="-2"/>
        </w:rPr>
        <w:t>вания;</w:t>
      </w:r>
    </w:p>
    <w:p w:rsidR="00000000" w:rsidRDefault="00000000">
      <w:pPr>
        <w:pStyle w:val="SingleTxt"/>
      </w:pPr>
      <w:r>
        <w:tab/>
        <w:t>Наряду с программами и схемами социального страхования, которые ра</w:t>
      </w:r>
      <w:r>
        <w:t>с</w:t>
      </w:r>
      <w:r>
        <w:t>пространяются на женщин как в городских, так и в сельских районах, женщ</w:t>
      </w:r>
      <w:r>
        <w:t>и</w:t>
      </w:r>
      <w:r>
        <w:t>ны могут также получать различные пособия от городских и местных органов власти на основании Закона об организации местного самоуправления и Закона о волостном и городском бюджете.</w:t>
      </w:r>
    </w:p>
    <w:p w:rsidR="00000000" w:rsidRDefault="00000000">
      <w:pPr>
        <w:pStyle w:val="SingleTxt"/>
      </w:pPr>
      <w:r>
        <w:tab/>
        <w:t>Фермеры также могут обращаться за финансовой помощью по частичн</w:t>
      </w:r>
      <w:r>
        <w:t>о</w:t>
      </w:r>
      <w:r>
        <w:t>му возмещению расходов, связанных с использованием на ферме услуг вр</w:t>
      </w:r>
      <w:r>
        <w:t>е</w:t>
      </w:r>
      <w:r>
        <w:t>менных работников и найма временной рабочей силы для выполнения работы сельскохозяйственных производителей во время их отпуска продолжительн</w:t>
      </w:r>
      <w:r>
        <w:t>о</w:t>
      </w:r>
      <w:r>
        <w:t>стью до 28 дней. Обращаться за помощью для возмещения расходов по найму временных работников могут следующие категории сельскохозяйственных производителей: единственный владелец хозяйства, частная компания с огр</w:t>
      </w:r>
      <w:r>
        <w:t>а</w:t>
      </w:r>
      <w:r>
        <w:t>ниченной ответственностью или публичная компания с ограниченной ответс</w:t>
      </w:r>
      <w:r>
        <w:t>т</w:t>
      </w:r>
      <w:r>
        <w:t>венностью только с одним партнером или акционером, которые внесены в р</w:t>
      </w:r>
      <w:r>
        <w:t>е</w:t>
      </w:r>
      <w:r>
        <w:t>естр лиц, подлежащих налогообложению, хозяйство которых является живо</w:t>
      </w:r>
      <w:r>
        <w:t>т</w:t>
      </w:r>
      <w:r>
        <w:t>новодческим и которые оплатили работу заменившего их квалифицированного рабо</w:t>
      </w:r>
      <w:r>
        <w:t>т</w:t>
      </w:r>
      <w:r>
        <w:t>ника (квалификация которого отвечает профессиональным стандартам).</w:t>
      </w:r>
    </w:p>
    <w:p w:rsidR="00000000" w:rsidRDefault="00000000">
      <w:pPr>
        <w:pStyle w:val="SingleTxt"/>
      </w:pPr>
      <w:r>
        <w:tab/>
        <w:t>Обследование по вопросу о помощи органов местного самоуправления семьям с детьми, проведенное факультетом социологии и социальной политики Тартуского университета по заказу канцелярии министра по вопросам народ</w:t>
      </w:r>
      <w:r>
        <w:t>о</w:t>
      </w:r>
      <w:r>
        <w:t>населения, показало, что самая большая доля вспомоществования, выплач</w:t>
      </w:r>
      <w:r>
        <w:t>и</w:t>
      </w:r>
      <w:r>
        <w:t>ваемого семьям с детьми, приходилась на расходы на образование (70 проце</w:t>
      </w:r>
      <w:r>
        <w:t>н</w:t>
      </w:r>
      <w:r>
        <w:t>тов). Вспомоществование по уходу за детьми в дневное время составляло 21 процент, помощь на обучение занятиям по интересам — 7 процентов и вспомоществование семьям из местного бюджета — 2 процента от общей су</w:t>
      </w:r>
      <w:r>
        <w:t>м</w:t>
      </w:r>
      <w:r>
        <w:t>мы вспом</w:t>
      </w:r>
      <w:r>
        <w:t>о</w:t>
      </w:r>
      <w:r>
        <w:t>ществования, предназначенного для детей.</w:t>
      </w:r>
    </w:p>
    <w:p w:rsidR="00000000" w:rsidRDefault="00000000">
      <w:pPr>
        <w:pStyle w:val="SingleTxt"/>
      </w:pPr>
      <w:r>
        <w:tab/>
        <w:t>25 процентов местных самоуправлений (59) оказывали помощь семьям, предоставляя им «младенческие наборы», в которые входили предметы, нео</w:t>
      </w:r>
      <w:r>
        <w:t>б</w:t>
      </w:r>
      <w:r>
        <w:t>ходимые для ухода за новорожденными. 9 процентов местных самоуправлений выплачивали пособия многодетным семьям. В городах средняя сумма пособия на ребенка составляла 512 эстонских крон, а в сельской местности — 1085 э</w:t>
      </w:r>
      <w:r>
        <w:t>с</w:t>
      </w:r>
      <w:r>
        <w:t>тонских крон. Средняя сумма пособия в Эстонии равнялась 1004 кронам.</w:t>
      </w:r>
    </w:p>
    <w:p w:rsidR="00000000" w:rsidRDefault="00000000">
      <w:pPr>
        <w:pStyle w:val="SingleTxt"/>
        <w:spacing w:after="0" w:line="120" w:lineRule="exact"/>
        <w:rPr>
          <w:b/>
          <w:spacing w:val="-2"/>
          <w:sz w:val="10"/>
        </w:rPr>
      </w:pPr>
    </w:p>
    <w:p w:rsidR="00000000" w:rsidRDefault="00000000">
      <w:pPr>
        <w:pStyle w:val="SingleTxt"/>
        <w:rPr>
          <w:spacing w:val="-2"/>
        </w:rPr>
      </w:pPr>
      <w:r>
        <w:rPr>
          <w:b/>
          <w:spacing w:val="-2"/>
        </w:rPr>
        <w:tab/>
        <w:t>d)</w:t>
      </w:r>
      <w:r>
        <w:rPr>
          <w:b/>
          <w:spacing w:val="-2"/>
        </w:rPr>
        <w:tab/>
        <w:t>получать все виды подготовки и формального и неформального о</w:t>
      </w:r>
      <w:r>
        <w:rPr>
          <w:b/>
          <w:spacing w:val="-2"/>
        </w:rPr>
        <w:t>б</w:t>
      </w:r>
      <w:r>
        <w:rPr>
          <w:b/>
          <w:spacing w:val="-2"/>
        </w:rPr>
        <w:t>разования, включая функциональную грамотность, а также пользоваться у</w:t>
      </w:r>
      <w:r>
        <w:rPr>
          <w:b/>
          <w:spacing w:val="-2"/>
        </w:rPr>
        <w:t>с</w:t>
      </w:r>
      <w:r>
        <w:rPr>
          <w:b/>
          <w:spacing w:val="-2"/>
        </w:rPr>
        <w:t>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pStyle w:val="SingleTxt"/>
      </w:pPr>
      <w:r>
        <w:tab/>
        <w:t>Региональные центры развития оказывают бесплатные консультативные услуги только что созданным компаниям, а также компаниям, существующим уже более продолжительное время. Такими услугами могут также пользоваться местные самоуправления и создаваемые и уже созданные некоммерческие о</w:t>
      </w:r>
      <w:r>
        <w:t>р</w:t>
      </w:r>
      <w:r>
        <w:t>ганизации и фонды. Центры развития образуют сеть, деятельность которой к</w:t>
      </w:r>
      <w:r>
        <w:t>о</w:t>
      </w:r>
      <w:r>
        <w:t>орд</w:t>
      </w:r>
      <w:r>
        <w:t>и</w:t>
      </w:r>
      <w:r>
        <w:t>нируется фондом развития предпринимательства в Эстонии.</w:t>
      </w:r>
    </w:p>
    <w:p w:rsidR="00000000" w:rsidRDefault="00000000">
      <w:pPr>
        <w:pStyle w:val="SingleTxt"/>
      </w:pPr>
      <w:r>
        <w:tab/>
        <w:t>В конце 2001 года министерство сельского хозяйства инициировало пр</w:t>
      </w:r>
      <w:r>
        <w:t>о</w:t>
      </w:r>
      <w:r>
        <w:t>ект по улучшению распространения информации по сельскому хозяйству и сельской экономике и оказанию консультативных услуг (проект ПИКК). В ра</w:t>
      </w:r>
      <w:r>
        <w:t>м</w:t>
      </w:r>
      <w:r>
        <w:t>ках этого проекта был создан портал в Интернете (</w:t>
      </w:r>
      <w:r>
        <w:rPr>
          <w:lang w:val="en-US"/>
        </w:rPr>
        <w:t>http</w:t>
      </w:r>
      <w:r>
        <w:t>:\\www.</w:t>
      </w:r>
      <w:r>
        <w:rPr>
          <w:lang w:val="en-US"/>
        </w:rPr>
        <w:t>pikk</w:t>
      </w:r>
      <w:r>
        <w:t>.</w:t>
      </w:r>
      <w:r>
        <w:rPr>
          <w:lang w:val="en-US"/>
        </w:rPr>
        <w:t>ee</w:t>
      </w:r>
      <w:r>
        <w:t>) для сел</w:t>
      </w:r>
      <w:r>
        <w:t>ь</w:t>
      </w:r>
      <w:r>
        <w:t>ских предпринимателей, и была организована система распространения и</w:t>
      </w:r>
      <w:r>
        <w:t>н</w:t>
      </w:r>
      <w:r>
        <w:t>формации, имеющая национальный координационный центр и региональные координационные центры. Эта система распространения информации помогает сельскохозяйственным производителям и сельским предпринимателям нах</w:t>
      </w:r>
      <w:r>
        <w:t>о</w:t>
      </w:r>
      <w:r>
        <w:t>дить и понимать предоставляемую информацию и обеспечивает регулярную обратную связь с министерством сельского хозяйства относительно информ</w:t>
      </w:r>
      <w:r>
        <w:t>а</w:t>
      </w:r>
      <w:r>
        <w:t>ционных потребностей сел</w:t>
      </w:r>
      <w:r>
        <w:t>ь</w:t>
      </w:r>
      <w:r>
        <w:t>ских предпринимателей.</w:t>
      </w:r>
    </w:p>
    <w:p w:rsidR="00000000" w:rsidRDefault="00000000">
      <w:pPr>
        <w:pStyle w:val="SingleTxt"/>
      </w:pPr>
      <w:r>
        <w:tab/>
        <w:t>В 2003 году общим собранием движения деревень и малых городов «К</w:t>
      </w:r>
      <w:r>
        <w:t>о</w:t>
      </w:r>
      <w:r>
        <w:t>дукант» была создана частная школа «Учебный центр «Кодукант», которая р</w:t>
      </w:r>
      <w:r>
        <w:t>а</w:t>
      </w:r>
      <w:r>
        <w:t>ботает в различных районах Эстонии. Этот учебный центр является учебным заведением для взрослых, предоставляющим всем сельским жителям возмо</w:t>
      </w:r>
      <w:r>
        <w:t>ж</w:t>
      </w:r>
      <w:r>
        <w:t>ности для обучения без отрыва от работы и для получения неформального о</w:t>
      </w:r>
      <w:r>
        <w:t>б</w:t>
      </w:r>
      <w:r>
        <w:t>разования по всем аспектам сельской жизни, и помогает создавать условия для всест</w:t>
      </w:r>
      <w:r>
        <w:t>о</w:t>
      </w:r>
      <w:r>
        <w:t>роннего сельского развития.</w:t>
      </w:r>
    </w:p>
    <w:p w:rsidR="00000000" w:rsidRDefault="00000000">
      <w:pPr>
        <w:pStyle w:val="SingleTxt"/>
      </w:pPr>
      <w:r>
        <w:tab/>
        <w:t>С 2003 года Сельскохозяйственная торговая палата Эстонии действует в качестве национального координационного центра. Региональные информац</w:t>
      </w:r>
      <w:r>
        <w:t>и</w:t>
      </w:r>
      <w:r>
        <w:t>онные центры ведут свою работу под руководством информационного центра, связанного с Палатой. В большинстве уездов существуют местные фермерские союзы, которые также выступают в качестве информационных центров. Пом</w:t>
      </w:r>
      <w:r>
        <w:t>и</w:t>
      </w:r>
      <w:r>
        <w:t>мо предоставления информации информационные центры организуют для сельских предпринимателей учебные дни. Все вышеуказанные возможности для получения информации и обучения предназначены в равной мере как для му</w:t>
      </w:r>
      <w:r>
        <w:t>ж</w:t>
      </w:r>
      <w:r>
        <w:t>чин, так и для женщин.</w:t>
      </w:r>
    </w:p>
    <w:p w:rsidR="00000000" w:rsidRDefault="00000000">
      <w:pPr>
        <w:pStyle w:val="SingleTxt"/>
      </w:pPr>
      <w:r>
        <w:tab/>
        <w:t>Фонд развития предпринимательства в Эстонии постоянно принимает з</w:t>
      </w:r>
      <w:r>
        <w:t>а</w:t>
      </w:r>
      <w:r>
        <w:t>явки на предоставление консультационных пособий. Цель консультационных пособий заключается в обеспечении предпринимателям возможности получить на льготных условиях консультацию по вопросам предпринимательства у пр</w:t>
      </w:r>
      <w:r>
        <w:t>о</w:t>
      </w:r>
      <w:r>
        <w:t>фессиональных консультантов, помочь росту предприятия и созданию новых рабочих мест, предоставить предпринимателям «ноу-хау» и помочь предпр</w:t>
      </w:r>
      <w:r>
        <w:t>и</w:t>
      </w:r>
      <w:r>
        <w:t>нимателям найти новые рынки. Заявки могут подавать единственные собстве</w:t>
      </w:r>
      <w:r>
        <w:t>н</w:t>
      </w:r>
      <w:r>
        <w:t>ники предприятия или малые и средние предприятия, зарегистрированные в торговом реестре Эстонии, при этом доля участия государственных или мес</w:t>
      </w:r>
      <w:r>
        <w:t>т</w:t>
      </w:r>
      <w:r>
        <w:t>ных о</w:t>
      </w:r>
      <w:r>
        <w:t>р</w:t>
      </w:r>
      <w:r>
        <w:t>ганов власти в предприятии не может превышать 25 процентов.</w:t>
      </w:r>
    </w:p>
    <w:p w:rsidR="00000000" w:rsidRDefault="00000000">
      <w:pPr>
        <w:pStyle w:val="SingleTxt"/>
      </w:pPr>
      <w:r>
        <w:tab/>
        <w:t>Ежегодно примерно 2000–2500 сельскохозяйственных производителей пользуются индивидуальными сельскохозяйственными консультационными усл</w:t>
      </w:r>
      <w:r>
        <w:t>у</w:t>
      </w:r>
      <w:r>
        <w:t>гами.</w:t>
      </w:r>
    </w:p>
    <w:p w:rsidR="00000000" w:rsidRDefault="00000000">
      <w:pPr>
        <w:pStyle w:val="SingleTxt"/>
        <w:spacing w:after="0" w:line="120" w:lineRule="exact"/>
        <w:rPr>
          <w:b/>
          <w:spacing w:val="-2"/>
          <w:sz w:val="10"/>
        </w:rPr>
      </w:pPr>
    </w:p>
    <w:p w:rsidR="00000000" w:rsidRDefault="00000000">
      <w:pPr>
        <w:pStyle w:val="SingleTxt"/>
        <w:rPr>
          <w:spacing w:val="-2"/>
        </w:rPr>
      </w:pPr>
      <w:r>
        <w:rPr>
          <w:b/>
          <w:spacing w:val="-2"/>
        </w:rPr>
        <w:tab/>
        <w:t>е)</w:t>
      </w:r>
      <w:r>
        <w:rPr>
          <w:b/>
          <w:spacing w:val="-2"/>
        </w:rPr>
        <w:tab/>
        <w:t>организовывать группы самопомощи и кооперативы, с тем чтобы обеспечить равный доступ к экономическим возможностям посредством раб</w:t>
      </w:r>
      <w:r>
        <w:rPr>
          <w:b/>
          <w:spacing w:val="-2"/>
        </w:rPr>
        <w:t>о</w:t>
      </w:r>
      <w:r>
        <w:rPr>
          <w:b/>
          <w:spacing w:val="-2"/>
        </w:rPr>
        <w:t>ты по найму или независимой трудовой деятельности;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14.2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Доля мужчин и женщин на оплачиваемой работе в возрасте от 15 до 74 лет в сельском хозяйстве, на охотничьих предприятиях, в лесном хозяйстве и рыболовстве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08"/>
        <w:gridCol w:w="720"/>
        <w:gridCol w:w="720"/>
        <w:gridCol w:w="720"/>
        <w:gridCol w:w="729"/>
        <w:gridCol w:w="723"/>
      </w:tblGrid>
      <w:tr w:rsidR="00000000">
        <w:tblPrEx>
          <w:tblCellMar>
            <w:top w:w="0" w:type="dxa"/>
            <w:left w:w="0" w:type="dxa"/>
            <w:bottom w:w="0" w:type="dxa"/>
            <w:right w:w="0" w:type="dxa"/>
          </w:tblCellMar>
        </w:tblPrEx>
        <w:trPr>
          <w:cantSplit/>
          <w:tblHeader/>
        </w:trPr>
        <w:tc>
          <w:tcPr>
            <w:tcW w:w="7320"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Лица на оплачиваемой работе в возрасте от 15 до 74 лет</w:t>
            </w:r>
          </w:p>
        </w:tc>
      </w:tr>
      <w:tr w:rsidR="00000000">
        <w:tblPrEx>
          <w:tblCellMar>
            <w:top w:w="0" w:type="dxa"/>
            <w:left w:w="0" w:type="dxa"/>
            <w:bottom w:w="0" w:type="dxa"/>
            <w:right w:w="0" w:type="dxa"/>
          </w:tblCellMar>
        </w:tblPrEx>
        <w:trPr>
          <w:tblHeader/>
        </w:trPr>
        <w:tc>
          <w:tcPr>
            <w:tcW w:w="3708" w:type="dxa"/>
            <w:vAlign w:val="bottom"/>
          </w:tcPr>
          <w:p w:rsidR="00000000" w:rsidRDefault="00000000">
            <w:pPr>
              <w:tabs>
                <w:tab w:val="left" w:pos="288"/>
                <w:tab w:val="left" w:pos="576"/>
                <w:tab w:val="left" w:pos="864"/>
                <w:tab w:val="left" w:pos="1152"/>
              </w:tabs>
              <w:spacing w:before="40" w:after="81" w:line="160" w:lineRule="exact"/>
              <w:ind w:right="43"/>
              <w:rPr>
                <w:i/>
                <w:sz w:val="14"/>
              </w:rPr>
            </w:pPr>
          </w:p>
        </w:tc>
        <w:tc>
          <w:tcPr>
            <w:tcW w:w="72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1999 год</w:t>
            </w:r>
          </w:p>
        </w:tc>
        <w:tc>
          <w:tcPr>
            <w:tcW w:w="72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2000 год</w:t>
            </w:r>
          </w:p>
        </w:tc>
        <w:tc>
          <w:tcPr>
            <w:tcW w:w="72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2001 год</w:t>
            </w:r>
          </w:p>
        </w:tc>
        <w:tc>
          <w:tcPr>
            <w:tcW w:w="729"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2002 год</w:t>
            </w:r>
          </w:p>
        </w:tc>
        <w:tc>
          <w:tcPr>
            <w:tcW w:w="723"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2003 год</w:t>
            </w:r>
          </w:p>
        </w:tc>
      </w:tr>
      <w:tr w:rsidR="00000000">
        <w:tblPrEx>
          <w:tblCellMar>
            <w:top w:w="0" w:type="dxa"/>
            <w:left w:w="0" w:type="dxa"/>
            <w:bottom w:w="0" w:type="dxa"/>
            <w:right w:w="0" w:type="dxa"/>
          </w:tblCellMar>
        </w:tblPrEx>
        <w:trPr>
          <w:trHeight w:hRule="exact" w:val="115"/>
          <w:tblHeader/>
        </w:trPr>
        <w:tc>
          <w:tcPr>
            <w:tcW w:w="37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Мужчины и женщины</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22,9</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22,9</w:t>
            </w: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21,3</w:t>
            </w: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Сельское хозяйство, охота и лесное х</w:t>
            </w:r>
            <w:r>
              <w:rPr>
                <w:sz w:val="17"/>
              </w:rPr>
              <w:t>о</w:t>
            </w:r>
            <w:r>
              <w:rPr>
                <w:sz w:val="17"/>
              </w:rPr>
              <w:t>зяйство</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w:t>
            </w: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w:t>
            </w: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Рыболовство</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Мужчины</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Сельское хозяйство, охота и лесное х</w:t>
            </w:r>
            <w:r>
              <w:rPr>
                <w:sz w:val="17"/>
              </w:rPr>
              <w:t>о</w:t>
            </w:r>
            <w:r>
              <w:rPr>
                <w:sz w:val="17"/>
              </w:rPr>
              <w:t>зяйство</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Рыболовство</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Женщины</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Сельское хозяйство, охота и лесное х</w:t>
            </w:r>
            <w:r>
              <w:rPr>
                <w:sz w:val="17"/>
              </w:rPr>
              <w:t>о</w:t>
            </w:r>
            <w:r>
              <w:rPr>
                <w:sz w:val="17"/>
              </w:rPr>
              <w:t>зяйство</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r>
      <w:tr w:rsidR="00000000">
        <w:tblPrEx>
          <w:tblCellMar>
            <w:top w:w="0" w:type="dxa"/>
            <w:left w:w="0" w:type="dxa"/>
            <w:bottom w:w="0" w:type="dxa"/>
            <w:right w:w="0" w:type="dxa"/>
          </w:tblCellMar>
        </w:tblPrEx>
        <w:tc>
          <w:tcPr>
            <w:tcW w:w="37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Рыболовство</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lang w:val="en-US"/>
        </w:rPr>
      </w:pPr>
    </w:p>
    <w:p w:rsidR="00000000" w:rsidRDefault="00000000">
      <w:pPr>
        <w:pStyle w:val="FootnoteText"/>
        <w:tabs>
          <w:tab w:val="clear" w:pos="418"/>
          <w:tab w:val="right" w:pos="1476"/>
          <w:tab w:val="left" w:pos="1548"/>
          <w:tab w:val="right" w:pos="1836"/>
          <w:tab w:val="left" w:pos="1908"/>
        </w:tabs>
        <w:ind w:left="1548" w:right="1267" w:hanging="288"/>
      </w:pPr>
      <w:r>
        <w:rPr>
          <w:i/>
        </w:rPr>
        <w:t>Примечание</w:t>
      </w:r>
      <w:r>
        <w:t>: единица измерения — тысяча, среднегодовой показатель.</w:t>
      </w: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rPr>
        <w:t>Источник:</w:t>
      </w:r>
      <w:r>
        <w:t xml:space="preserve"> Статистическое бюро Эстонии, www.stat.ee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Таблица 14.3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Доля мужчин и женщин в возрасте от 15 до 74 лет, занятых в сельском хозяйстве, на охотничьих предприятиях, в лесном хозяйстве и рыб</w:t>
      </w:r>
      <w:r>
        <w:t>о</w:t>
      </w:r>
      <w:r>
        <w:t>ловстве</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08"/>
        <w:gridCol w:w="720"/>
        <w:gridCol w:w="720"/>
        <w:gridCol w:w="720"/>
        <w:gridCol w:w="729"/>
        <w:gridCol w:w="723"/>
      </w:tblGrid>
      <w:tr w:rsidR="00000000">
        <w:tblPrEx>
          <w:tblCellMar>
            <w:top w:w="0" w:type="dxa"/>
            <w:left w:w="0" w:type="dxa"/>
            <w:bottom w:w="0" w:type="dxa"/>
            <w:right w:w="0" w:type="dxa"/>
          </w:tblCellMar>
        </w:tblPrEx>
        <w:trPr>
          <w:cantSplit/>
          <w:tblHeader/>
        </w:trPr>
        <w:tc>
          <w:tcPr>
            <w:tcW w:w="7320"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Занятые лица в возрасте от 15 до 74 лет</w:t>
            </w:r>
          </w:p>
        </w:tc>
      </w:tr>
      <w:tr w:rsidR="00000000">
        <w:tblPrEx>
          <w:tblCellMar>
            <w:top w:w="0" w:type="dxa"/>
            <w:left w:w="0" w:type="dxa"/>
            <w:bottom w:w="0" w:type="dxa"/>
            <w:right w:w="0" w:type="dxa"/>
          </w:tblCellMar>
        </w:tblPrEx>
        <w:trPr>
          <w:tblHeader/>
        </w:trPr>
        <w:tc>
          <w:tcPr>
            <w:tcW w:w="3708" w:type="dxa"/>
            <w:vAlign w:val="bottom"/>
          </w:tcPr>
          <w:p w:rsidR="00000000" w:rsidRDefault="00000000">
            <w:pPr>
              <w:tabs>
                <w:tab w:val="left" w:pos="288"/>
                <w:tab w:val="left" w:pos="576"/>
                <w:tab w:val="left" w:pos="864"/>
                <w:tab w:val="left" w:pos="1152"/>
              </w:tabs>
              <w:spacing w:before="40" w:after="81" w:line="160" w:lineRule="exact"/>
              <w:ind w:right="43"/>
              <w:rPr>
                <w:i/>
                <w:sz w:val="14"/>
              </w:rPr>
            </w:pPr>
          </w:p>
        </w:tc>
        <w:tc>
          <w:tcPr>
            <w:tcW w:w="72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1999 год</w:t>
            </w:r>
          </w:p>
        </w:tc>
        <w:tc>
          <w:tcPr>
            <w:tcW w:w="72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2000 год</w:t>
            </w:r>
          </w:p>
        </w:tc>
        <w:tc>
          <w:tcPr>
            <w:tcW w:w="72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2001 год</w:t>
            </w:r>
          </w:p>
        </w:tc>
        <w:tc>
          <w:tcPr>
            <w:tcW w:w="729"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2002 год</w:t>
            </w:r>
          </w:p>
        </w:tc>
        <w:tc>
          <w:tcPr>
            <w:tcW w:w="723"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2003 год</w:t>
            </w:r>
          </w:p>
        </w:tc>
      </w:tr>
      <w:tr w:rsidR="00000000">
        <w:tblPrEx>
          <w:tblCellMar>
            <w:top w:w="0" w:type="dxa"/>
            <w:left w:w="0" w:type="dxa"/>
            <w:bottom w:w="0" w:type="dxa"/>
            <w:right w:w="0" w:type="dxa"/>
          </w:tblCellMar>
        </w:tblPrEx>
        <w:trPr>
          <w:trHeight w:hRule="exact" w:val="115"/>
          <w:tblHeader/>
        </w:trPr>
        <w:tc>
          <w:tcPr>
            <w:tcW w:w="37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Мужчины и женщины</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Сельское хозяйство, охота и лесное х</w:t>
            </w:r>
            <w:r>
              <w:rPr>
                <w:sz w:val="17"/>
              </w:rPr>
              <w:t>о</w:t>
            </w:r>
            <w:r>
              <w:rPr>
                <w:sz w:val="17"/>
              </w:rPr>
              <w:t>зяйство</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Рыболовство</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Мужчины</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Сельское хозяйство, охота и лесное х</w:t>
            </w:r>
            <w:r>
              <w:rPr>
                <w:sz w:val="17"/>
              </w:rPr>
              <w:t>о</w:t>
            </w:r>
            <w:r>
              <w:rPr>
                <w:sz w:val="17"/>
              </w:rPr>
              <w:t>зяйство</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Рыболовство</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Женщины</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08"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Сельское хозяйство, охота и лесное х</w:t>
            </w:r>
            <w:r>
              <w:rPr>
                <w:sz w:val="17"/>
              </w:rPr>
              <w:t>о</w:t>
            </w:r>
            <w:r>
              <w:rPr>
                <w:sz w:val="17"/>
              </w:rPr>
              <w:t>зяйство</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7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r>
      <w:tr w:rsidR="00000000">
        <w:tblPrEx>
          <w:tblCellMar>
            <w:top w:w="0" w:type="dxa"/>
            <w:left w:w="0" w:type="dxa"/>
            <w:bottom w:w="0" w:type="dxa"/>
            <w:right w:w="0" w:type="dxa"/>
          </w:tblCellMar>
        </w:tblPrEx>
        <w:tc>
          <w:tcPr>
            <w:tcW w:w="37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Рыболовство</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Примечание</w:t>
      </w:r>
      <w:r>
        <w:t>: единица измерения — тысяча, среднегодовой показатель.</w:t>
      </w: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rPr>
        <w:t>Источник:</w:t>
      </w:r>
      <w:r>
        <w:t xml:space="preserve"> Статистическое бюро Эстонии, www.stat.ee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SingleTxt"/>
        <w:rPr>
          <w:b/>
        </w:rPr>
      </w:pPr>
      <w:r>
        <w:rPr>
          <w:b/>
          <w:lang w:val="en-US"/>
        </w:rPr>
        <w:tab/>
      </w:r>
      <w:r>
        <w:rPr>
          <w:b/>
        </w:rPr>
        <w:t>f)</w:t>
      </w:r>
      <w:r>
        <w:rPr>
          <w:b/>
          <w:lang w:val="en-US"/>
        </w:rPr>
        <w:tab/>
      </w:r>
      <w:r>
        <w:rPr>
          <w:b/>
        </w:rPr>
        <w:t>участвовать во всех видах коллективной деятельности;</w:t>
      </w:r>
    </w:p>
    <w:p w:rsidR="00000000" w:rsidRDefault="00000000">
      <w:pPr>
        <w:pStyle w:val="SingleTxt"/>
      </w:pPr>
      <w:r>
        <w:rPr>
          <w:lang w:val="en-US"/>
        </w:rPr>
        <w:tab/>
      </w:r>
      <w:r>
        <w:t>Ассоциация сельских женщин Эстонии является объединением организ</w:t>
      </w:r>
      <w:r>
        <w:t>а</w:t>
      </w:r>
      <w:r>
        <w:t>ций, служащих интересам сельских женщин. С 1996 года Ассоциация сельских женщин входит в Федерацию эстонских фермеров. В правление Ассоциации входит по одной женщине-представителю от каждого уезда Эстонии. Ассоци</w:t>
      </w:r>
      <w:r>
        <w:t>а</w:t>
      </w:r>
      <w:r>
        <w:t>ция привлекает внимание общественности к проблемам, с которыми сталкив</w:t>
      </w:r>
      <w:r>
        <w:t>а</w:t>
      </w:r>
      <w:r>
        <w:t>ются сельские женщины, поддерживает избрание женщин в советы местного самоуправления и в правление Федерации эстонских фермеров. Б</w:t>
      </w:r>
      <w:r>
        <w:rPr>
          <w:i/>
        </w:rPr>
        <w:t>о</w:t>
      </w:r>
      <w:r>
        <w:t>льшая часть работы приходится на учебные мероприятия, которые содействуют личному развитию женщин. Организуются учебные семинары, ознакомительные поез</w:t>
      </w:r>
      <w:r>
        <w:t>д</w:t>
      </w:r>
      <w:r>
        <w:t>ки и семинары по развитию качеств лидера, оказывается поддержка деятельн</w:t>
      </w:r>
      <w:r>
        <w:t>о</w:t>
      </w:r>
      <w:r>
        <w:t>сти сельских женских обществ в деревнях и т.д. Наряду с информированием населения о движении эстонских сельских женщин и истории фермерской культуры эта организация также помогает решать социальные проблемы в сельской местности.</w:t>
      </w:r>
    </w:p>
    <w:p w:rsidR="00000000" w:rsidRDefault="00000000">
      <w:pPr>
        <w:pStyle w:val="SingleTxt"/>
      </w:pPr>
      <w:r>
        <w:rPr>
          <w:lang w:val="en-US"/>
        </w:rPr>
        <w:tab/>
      </w:r>
      <w:r>
        <w:t>Организация насчитывает в своих рядах более 700 членов и выпускает свой бюллетень. Она помогает ценить жизнь в сельской местности и вносить оживление в деревенскую жизнь за счет деятельности различных обществ, проведения общих мероприятий, конкурсов по благоустройству и добровол</w:t>
      </w:r>
      <w:r>
        <w:t>ь</w:t>
      </w:r>
      <w:r>
        <w:t>ной раб</w:t>
      </w:r>
      <w:r>
        <w:t>о</w:t>
      </w:r>
      <w:r>
        <w:t>ты.</w:t>
      </w:r>
    </w:p>
    <w:p w:rsidR="00000000" w:rsidRDefault="00000000">
      <w:pPr>
        <w:pStyle w:val="SingleTxt"/>
      </w:pPr>
      <w:r>
        <w:rPr>
          <w:lang w:val="en-US"/>
        </w:rPr>
        <w:tab/>
      </w:r>
      <w:r>
        <w:t>Уже упоминавшееся выше эстонское движение деревень и малых городов «Кодукант» также оказывает поддержку и содействие движению семей и же</w:t>
      </w:r>
      <w:r>
        <w:t>н</w:t>
      </w:r>
      <w:r>
        <w:t>ским и молодежным движениям.</w:t>
      </w:r>
    </w:p>
    <w:p w:rsidR="00000000" w:rsidRDefault="00000000">
      <w:pPr>
        <w:pStyle w:val="SingleTxt"/>
      </w:pPr>
      <w:r>
        <w:rPr>
          <w:lang w:val="en-US"/>
        </w:rPr>
        <w:tab/>
      </w:r>
      <w:r>
        <w:t>Сельские женщины наряду с членством в организациях сельских женщин та</w:t>
      </w:r>
      <w:r>
        <w:t>к</w:t>
      </w:r>
      <w:r>
        <w:t>же входят в другие национальные женские организации.</w:t>
      </w:r>
    </w:p>
    <w:p w:rsidR="00000000" w:rsidRDefault="00000000">
      <w:pPr>
        <w:pStyle w:val="SingleTxt"/>
        <w:spacing w:after="0" w:line="120" w:lineRule="exact"/>
        <w:rPr>
          <w:sz w:val="10"/>
        </w:rPr>
      </w:pPr>
    </w:p>
    <w:p w:rsidR="00000000" w:rsidRDefault="00000000">
      <w:pPr>
        <w:pStyle w:val="SingleTxt"/>
        <w:rPr>
          <w:b/>
        </w:rPr>
      </w:pPr>
      <w:r>
        <w:rPr>
          <w:b/>
        </w:rPr>
        <w:tab/>
        <w:t>g)</w:t>
      </w:r>
      <w:r>
        <w:rPr>
          <w:b/>
        </w:rPr>
        <w:tab/>
        <w:t>на доступ к сельскохозяйственным кредитам и займам, системе сбыта, соответствующей технологии и на равный статус в земельных и а</w:t>
      </w:r>
      <w:r>
        <w:rPr>
          <w:b/>
        </w:rPr>
        <w:t>г</w:t>
      </w:r>
      <w:r>
        <w:rPr>
          <w:b/>
        </w:rPr>
        <w:t>рарных реформах, а также в планах перезаселения земель;</w:t>
      </w:r>
    </w:p>
    <w:p w:rsidR="00000000" w:rsidRDefault="00000000">
      <w:pPr>
        <w:pStyle w:val="SingleTxt"/>
      </w:pPr>
      <w:r>
        <w:rPr>
          <w:lang w:val="en-US"/>
        </w:rPr>
        <w:tab/>
      </w:r>
      <w:r>
        <w:t>В Законе о сельском развитии и регулировании сельскохозяйственного рынка предусмотрены различные виды государственной поддержки: финанс</w:t>
      </w:r>
      <w:r>
        <w:t>и</w:t>
      </w:r>
      <w:r>
        <w:t>рование ссудного процента, помощь в сфере профессиональной подготовки, помощь при ученичестве, возмещение расходов по найму временной рабочей силы на ферме, поддержка совместной экономической деятельности сельскох</w:t>
      </w:r>
      <w:r>
        <w:t>о</w:t>
      </w:r>
      <w:r>
        <w:t>зяйс</w:t>
      </w:r>
      <w:r>
        <w:t>т</w:t>
      </w:r>
      <w:r>
        <w:t>венных производителей и т.д.</w:t>
      </w:r>
    </w:p>
    <w:p w:rsidR="00000000" w:rsidRDefault="00000000">
      <w:pPr>
        <w:pStyle w:val="SingleTxt"/>
      </w:pPr>
      <w:r>
        <w:rPr>
          <w:lang w:val="en-US"/>
        </w:rPr>
        <w:tab/>
      </w:r>
      <w:r>
        <w:t>Поддержка совместной экономической деятельности сельскохозяйстве</w:t>
      </w:r>
      <w:r>
        <w:t>н</w:t>
      </w:r>
      <w:r>
        <w:t>ных производителей может оказываться коммерческой ассоциации, если не м</w:t>
      </w:r>
      <w:r>
        <w:t>е</w:t>
      </w:r>
      <w:r>
        <w:t>нее пяти ее членов являются сельскохозяйственными производителями и обл</w:t>
      </w:r>
      <w:r>
        <w:t>а</w:t>
      </w:r>
      <w:r>
        <w:t>стью деятельности коммерческой ассоциации является сбыт или переработка произведенной ее членами сельскохозяйственной продукции, торговля прои</w:t>
      </w:r>
      <w:r>
        <w:t>з</w:t>
      </w:r>
      <w:r>
        <w:t>веде</w:t>
      </w:r>
      <w:r>
        <w:t>н</w:t>
      </w:r>
      <w:r>
        <w:t>ной ею сельскохозяйственной продукцией и торговля материально-техническими средствами, необходимыми для производства сельскохозяйс</w:t>
      </w:r>
      <w:r>
        <w:t>т</w:t>
      </w:r>
      <w:r>
        <w:t>венной продукции.</w:t>
      </w:r>
    </w:p>
    <w:p w:rsidR="00000000" w:rsidRDefault="00000000">
      <w:pPr>
        <w:pStyle w:val="SingleTxt"/>
      </w:pPr>
      <w:r>
        <w:rPr>
          <w:lang w:val="en-US"/>
        </w:rPr>
        <w:tab/>
      </w:r>
      <w:r>
        <w:t>В некоторых ограниченных сферах бизнеса Фонд развития предприним</w:t>
      </w:r>
      <w:r>
        <w:t>а</w:t>
      </w:r>
      <w:r>
        <w:t>тельства в Эстонии предоставляет за пределами Таллинна начальный капитал предприятиям, которые функционировали менее одного года.</w:t>
      </w:r>
    </w:p>
    <w:p w:rsidR="00000000" w:rsidRDefault="00000000">
      <w:pPr>
        <w:pStyle w:val="SingleTxt"/>
      </w:pPr>
      <w:r>
        <w:rPr>
          <w:lang w:val="en-US"/>
        </w:rPr>
        <w:tab/>
      </w:r>
      <w:r>
        <w:t>При предоставлении начального капитала предпочтение отдается прое</w:t>
      </w:r>
      <w:r>
        <w:t>к</w:t>
      </w:r>
      <w:r>
        <w:t>там, связанным с местным производством и использованием сырья, и проектам развития туризма. Данная мера является единственной мерой государственной поддержки предпринимательства, при которой предпочтение отдается прое</w:t>
      </w:r>
      <w:r>
        <w:t>к</w:t>
      </w:r>
      <w:r>
        <w:t>там, инициированным предпринимателями-женщинами.</w:t>
      </w:r>
    </w:p>
    <w:p w:rsidR="00000000" w:rsidRDefault="00000000">
      <w:pPr>
        <w:pStyle w:val="SingleTxt"/>
      </w:pPr>
      <w:r>
        <w:rPr>
          <w:lang w:val="en-US"/>
        </w:rPr>
        <w:tab/>
      </w:r>
      <w:r>
        <w:t>Максимальная сумма помощи составляет 75 процентов от суммы инв</w:t>
      </w:r>
      <w:r>
        <w:t>е</w:t>
      </w:r>
      <w:r>
        <w:t>стиций в проект, но не более 100 000 эстонских крон на одно заявление. В 2002</w:t>
      </w:r>
      <w:r>
        <w:rPr>
          <w:lang w:val="en-US"/>
        </w:rPr>
        <w:t> </w:t>
      </w:r>
      <w:r>
        <w:t>году в Эстонии было предоставлено помощи на финансирование начал</w:t>
      </w:r>
      <w:r>
        <w:t>ь</w:t>
      </w:r>
      <w:r>
        <w:t>ного капитала на сумму 8 миллионов крон.</w:t>
      </w:r>
    </w:p>
    <w:p w:rsidR="00000000" w:rsidRDefault="00000000">
      <w:pPr>
        <w:pStyle w:val="SingleTxt"/>
      </w:pPr>
      <w:r>
        <w:rPr>
          <w:lang w:val="en-US"/>
        </w:rPr>
        <w:tab/>
      </w:r>
      <w:r>
        <w:t>Цель существующего Фонда сельского развития состоит в том, чтобы ок</w:t>
      </w:r>
      <w:r>
        <w:t>а</w:t>
      </w:r>
      <w:r>
        <w:t>зывать помощь сельскохозяйственным производителям и другим предприятиям в сельской местности посредством предоставления им дополнительных гара</w:t>
      </w:r>
      <w:r>
        <w:t>н</w:t>
      </w:r>
      <w:r>
        <w:t>тий обеспечения, когда они обращаются в кредитные учреждения за займами на развитие экономической деятельности и покупку земли. В 2004 году план</w:t>
      </w:r>
      <w:r>
        <w:t>и</w:t>
      </w:r>
      <w:r>
        <w:t>ровалось предоставить 180 миллионов крон в виде займов и еще 100 милли</w:t>
      </w:r>
      <w:r>
        <w:t>о</w:t>
      </w:r>
      <w:r>
        <w:t>нов крон в виде гарантий обеспечения.</w:t>
      </w:r>
    </w:p>
    <w:p w:rsidR="00000000" w:rsidRDefault="00000000">
      <w:pPr>
        <w:pStyle w:val="SingleTxt"/>
        <w:spacing w:after="0" w:line="120" w:lineRule="exact"/>
        <w:rPr>
          <w:sz w:val="10"/>
          <w:lang w:val="en-US"/>
        </w:rPr>
      </w:pPr>
    </w:p>
    <w:p w:rsidR="00000000" w:rsidRDefault="00000000">
      <w:pPr>
        <w:pStyle w:val="SingleTxt"/>
        <w:rPr>
          <w:b/>
        </w:rPr>
      </w:pPr>
      <w:r>
        <w:rPr>
          <w:b/>
          <w:lang w:val="en-US"/>
        </w:rPr>
        <w:tab/>
      </w:r>
      <w:r>
        <w:rPr>
          <w:b/>
        </w:rPr>
        <w:t>h)</w:t>
      </w:r>
      <w:r>
        <w:rPr>
          <w:b/>
        </w:rPr>
        <w:tab/>
        <w:t>пользоваться надлежащими условиями жизни, особенно жили</w:t>
      </w:r>
      <w:r>
        <w:rPr>
          <w:b/>
        </w:rPr>
        <w:t>щ</w:t>
      </w:r>
      <w:r>
        <w:rPr>
          <w:b/>
        </w:rPr>
        <w:t>ными условиями, санитарными услугами, электро- и водоснабжением, а также транспортом и средствами связи.</w:t>
      </w:r>
    </w:p>
    <w:p w:rsidR="00000000" w:rsidRDefault="00000000">
      <w:pPr>
        <w:pStyle w:val="SingleTxt"/>
      </w:pPr>
      <w:r>
        <w:rPr>
          <w:lang w:val="en-US"/>
        </w:rPr>
        <w:tab/>
      </w:r>
      <w:r>
        <w:t>Жилье в основном находится в частной собственности. Только 4 процента жилищного фонда принадлежит государству или органам местного самоупра</w:t>
      </w:r>
      <w:r>
        <w:t>в</w:t>
      </w:r>
      <w:r>
        <w:t>л</w:t>
      </w:r>
      <w:r>
        <w:t>е</w:t>
      </w:r>
      <w:r>
        <w:t>ния.</w:t>
      </w:r>
    </w:p>
    <w:p w:rsidR="00000000" w:rsidRDefault="00000000">
      <w:pPr>
        <w:pStyle w:val="SingleTxt"/>
      </w:pPr>
      <w:r>
        <w:rPr>
          <w:lang w:val="en-US"/>
        </w:rPr>
        <w:tab/>
      </w:r>
      <w:r>
        <w:t>В 2004 году министерство социальных дел поручило Центру изучения п</w:t>
      </w:r>
      <w:r>
        <w:t>о</w:t>
      </w:r>
      <w:r>
        <w:t>литики-PRAXIS повести исследование «Доступность жилья для групп риска». Результаты исследования показали, что почти треть эстонских домашних х</w:t>
      </w:r>
      <w:r>
        <w:t>о</w:t>
      </w:r>
      <w:r>
        <w:t>зяйств живут в плохих жилищных условиях или в условиях, не отвечающих их потребностям. 1,2 процента домашних хозяйств живут в помещениях, которые не отвечают даже самым минимальным стандартам. Это означает, что жилье не имеет электричества, отопления, чистой воды или туалета. 23,3 процента нас</w:t>
      </w:r>
      <w:r>
        <w:t>е</w:t>
      </w:r>
      <w:r>
        <w:t>ления живет в домах без душа, ванной комнаты или сауны и с туалетом, расп</w:t>
      </w:r>
      <w:r>
        <w:t>о</w:t>
      </w:r>
      <w:r>
        <w:t>ложенным вне дома.</w:t>
      </w:r>
    </w:p>
    <w:p w:rsidR="00000000" w:rsidRDefault="00000000">
      <w:pPr>
        <w:pStyle w:val="SingleTxt"/>
      </w:pPr>
      <w:r>
        <w:rPr>
          <w:lang w:val="en-US"/>
        </w:rPr>
        <w:tab/>
      </w:r>
      <w:r>
        <w:t>В наихудшем положении на рынке недвижимости находятся домашние хозяйства, доход у которых составляет 25 процентов от среднего уровня дохода в Эстонии — безработные, многодетные семьи, родители-одиночки, инвалиды и престарелые (особенно одинокие).</w:t>
      </w:r>
    </w:p>
    <w:p w:rsidR="00000000" w:rsidRDefault="00000000">
      <w:pPr>
        <w:pStyle w:val="SingleTxt"/>
      </w:pPr>
      <w:r>
        <w:tab/>
        <w:t>К функциям органов местного самоуправления относятся организация с</w:t>
      </w:r>
      <w:r>
        <w:t>о</w:t>
      </w:r>
      <w:r>
        <w:t>циальных служб и оказание социальной помощи, услуги по вспомоществов</w:t>
      </w:r>
      <w:r>
        <w:t>а</w:t>
      </w:r>
      <w:r>
        <w:t>нию престарелым, работа с молодежью, жилищно-коммунальные услуги, вод</w:t>
      </w:r>
      <w:r>
        <w:t>о</w:t>
      </w:r>
      <w:r>
        <w:t>снабжение и канализация, благоустройство, территориальная планировка, о</w:t>
      </w:r>
      <w:r>
        <w:t>б</w:t>
      </w:r>
      <w:r>
        <w:t>щественный транспорт в пределах волости или города и ремонт волостных д</w:t>
      </w:r>
      <w:r>
        <w:t>о</w:t>
      </w:r>
      <w:r>
        <w:t>рог и городских улиц.</w:t>
      </w:r>
    </w:p>
    <w:p w:rsidR="00000000" w:rsidRDefault="00000000">
      <w:pPr>
        <w:pStyle w:val="SingleTxt"/>
      </w:pPr>
      <w:r>
        <w:tab/>
        <w:t>В задачу органов местного самоуправления входит организация здрав</w:t>
      </w:r>
      <w:r>
        <w:t>о</w:t>
      </w:r>
      <w:r>
        <w:t>охранения и контроль за соблюдением законодательства по вопросам здрав</w:t>
      </w:r>
      <w:r>
        <w:t>о</w:t>
      </w:r>
      <w:r>
        <w:t>охранения, а также профилактика заболеваний и создание условий для улу</w:t>
      </w:r>
      <w:r>
        <w:t>ч</w:t>
      </w:r>
      <w:r>
        <w:t>шения здоровья населения в пределах соответствующей муниципальной терр</w:t>
      </w:r>
      <w:r>
        <w:t>и</w:t>
      </w:r>
      <w:r>
        <w:t>тории.</w:t>
      </w:r>
    </w:p>
    <w:p w:rsidR="00000000" w:rsidRDefault="00000000">
      <w:pPr>
        <w:pStyle w:val="SingleTxt"/>
      </w:pPr>
      <w:r>
        <w:tab/>
        <w:t>Положение в области телефонной и телекоммуникационной связи улу</w:t>
      </w:r>
      <w:r>
        <w:t>ч</w:t>
      </w:r>
      <w:r>
        <w:t>шилось. Было начато осуществление общенационального проекта «</w:t>
      </w:r>
      <w:r>
        <w:rPr>
          <w:lang w:val="en-US"/>
        </w:rPr>
        <w:t>Kulatee</w:t>
      </w:r>
      <w:r>
        <w:t>» («Деревенская дорога»), предусматривающего развитие уездных коммуникац</w:t>
      </w:r>
      <w:r>
        <w:t>и</w:t>
      </w:r>
      <w:r>
        <w:t>онных сетей. В рамках проекта «</w:t>
      </w:r>
      <w:r>
        <w:rPr>
          <w:lang w:val="en-US"/>
        </w:rPr>
        <w:t>Kulatee</w:t>
      </w:r>
      <w:r>
        <w:t>» органам местного самоуправления оказывается поддержка в установлении по каналам Интернета прямой связи с основной государственной сетью «Peatee» («Главная дорога»).</w:t>
      </w:r>
    </w:p>
    <w:p w:rsidR="00000000" w:rsidRDefault="00000000">
      <w:pPr>
        <w:pStyle w:val="SingleTxt"/>
      </w:pPr>
      <w:r>
        <w:tab/>
        <w:t>Обследования по использованию Интернета, проведенные консалтинг</w:t>
      </w:r>
      <w:r>
        <w:t>о</w:t>
      </w:r>
      <w:r>
        <w:t>вой компанией «ТНС Эмор», показали, что услугами Интернета пользуются 52 процента эстонцев в возрасте от 6 до 74 лет, иначе говоря, общая числе</w:t>
      </w:r>
      <w:r>
        <w:t>н</w:t>
      </w:r>
      <w:r>
        <w:t>ность пользователей услугами Интернета в Эстонии составляет 621 000 чел</w:t>
      </w:r>
      <w:r>
        <w:t>о</w:t>
      </w:r>
      <w:r>
        <w:t>век. Гарантированный доступ к Интернету обеспечивается в пунктах общес</w:t>
      </w:r>
      <w:r>
        <w:t>т</w:t>
      </w:r>
      <w:r>
        <w:t>венного доступа к Интернету и в публичных библиотеках.</w:t>
      </w:r>
    </w:p>
    <w:p w:rsidR="00000000" w:rsidRDefault="00000000">
      <w:pPr>
        <w:pStyle w:val="SingleTxt"/>
      </w:pPr>
      <w:r>
        <w:tab/>
        <w:t>В результате сотрудничества между эстонскими предприятиями и гос</w:t>
      </w:r>
      <w:r>
        <w:t>у</w:t>
      </w:r>
      <w:r>
        <w:t>дарством бал реализован рассчитанный на два года проект «Vaata maailma» («Гляди на мир»). Цель этого проекта состояла в том, чтобы значительно ув</w:t>
      </w:r>
      <w:r>
        <w:t>е</w:t>
      </w:r>
      <w:r>
        <w:t>личить число людей, пользующихся Интернетом, и тем самым повысить кач</w:t>
      </w:r>
      <w:r>
        <w:t>е</w:t>
      </w:r>
      <w:r>
        <w:t>ство жизни населения Эстонии. С 24 апреля 2002 года по 31 марта 2004 года в Эстонии было проведено 11 693 учебных курса, и было обучено 102 697 чел</w:t>
      </w:r>
      <w:r>
        <w:t>о</w:t>
      </w:r>
      <w:r>
        <w:t>век, большинство из которых составляли женщины (www.vaatamaailma.ee). В рамках проекта «Гляди на мир» 10 процентов взрослого населения Эстонии получили и</w:t>
      </w:r>
      <w:r>
        <w:t>н</w:t>
      </w:r>
      <w:r>
        <w:t>формацию о том, как пользоваться услугами Интернета.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1.</w:t>
      </w:r>
      <w:r>
        <w:rPr>
          <w:b/>
        </w:rPr>
        <w:tab/>
        <w:t>Государства-участники признают за женщинами равенство с мужч</w:t>
      </w:r>
      <w:r>
        <w:rPr>
          <w:b/>
        </w:rPr>
        <w:t>и</w:t>
      </w:r>
      <w:r>
        <w:rPr>
          <w:b/>
        </w:rPr>
        <w:t>нами п</w:t>
      </w:r>
      <w:r>
        <w:rPr>
          <w:b/>
        </w:rPr>
        <w:t>е</w:t>
      </w:r>
      <w:r>
        <w:rPr>
          <w:b/>
        </w:rPr>
        <w:t>ред законом.</w:t>
      </w:r>
    </w:p>
    <w:p w:rsidR="00000000" w:rsidRDefault="00000000">
      <w:pPr>
        <w:pStyle w:val="SingleTxt"/>
      </w:pPr>
      <w:r>
        <w:tab/>
        <w:t>По сравнению с периодом, рассмотренном в предыдущем докладе, ник</w:t>
      </w:r>
      <w:r>
        <w:t>а</w:t>
      </w:r>
      <w:r>
        <w:t>ких изменений не произошло, если не считать вступление в силу 1 мая 2004 года З</w:t>
      </w:r>
      <w:r>
        <w:t>а</w:t>
      </w:r>
      <w:r>
        <w:t>кона о равноправии мужчин и женщин.</w:t>
      </w:r>
    </w:p>
    <w:p w:rsidR="00000000" w:rsidRDefault="00000000">
      <w:pPr>
        <w:pStyle w:val="SingleTxt"/>
        <w:spacing w:after="0" w:line="120" w:lineRule="exact"/>
        <w:rPr>
          <w:sz w:val="10"/>
        </w:rPr>
      </w:pPr>
    </w:p>
    <w:p w:rsidR="00000000" w:rsidRDefault="00000000">
      <w:pPr>
        <w:pStyle w:val="SingleTxt"/>
        <w:rPr>
          <w:b/>
        </w:rPr>
      </w:pPr>
      <w:r>
        <w:rPr>
          <w:b/>
        </w:rPr>
        <w:t>2.</w:t>
      </w:r>
      <w:r>
        <w:rPr>
          <w:b/>
        </w:rPr>
        <w:tab/>
        <w:t>Государства-участники предоставляют женщинам равную с мужч</w:t>
      </w:r>
      <w:r>
        <w:rPr>
          <w:b/>
        </w:rPr>
        <w:t>и</w:t>
      </w:r>
      <w:r>
        <w:rPr>
          <w:b/>
        </w:rPr>
        <w:t>нами гражданскую правоспособность и одинаковые возможности ее реал</w:t>
      </w:r>
      <w:r>
        <w:rPr>
          <w:b/>
        </w:rPr>
        <w:t>и</w:t>
      </w:r>
      <w:r>
        <w:rPr>
          <w:b/>
        </w:rPr>
        <w:t>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w:t>
      </w:r>
      <w:r>
        <w:rPr>
          <w:b/>
        </w:rPr>
        <w:t>а</w:t>
      </w:r>
      <w:r>
        <w:rPr>
          <w:b/>
        </w:rPr>
        <w:t>тельства в судах и трибуналах.</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Равная гражданская правоспособность</w:t>
      </w:r>
    </w:p>
    <w:p w:rsidR="00000000" w:rsidRDefault="00000000">
      <w:pPr>
        <w:pStyle w:val="SingleTxt"/>
        <w:spacing w:after="0" w:line="120" w:lineRule="exact"/>
        <w:rPr>
          <w:sz w:val="10"/>
        </w:rPr>
      </w:pPr>
    </w:p>
    <w:p w:rsidR="00000000" w:rsidRDefault="00000000">
      <w:pPr>
        <w:pStyle w:val="SingleTxt"/>
      </w:pPr>
      <w:r>
        <w:tab/>
        <w:t>1 июля 2002 года вступил в силу новый Закон об общих принципах гра</w:t>
      </w:r>
      <w:r>
        <w:t>ж</w:t>
      </w:r>
      <w:r>
        <w:t>данского кодекса, согласно которому каждое физическое лицо имеет общую и н</w:t>
      </w:r>
      <w:r>
        <w:t>е</w:t>
      </w:r>
      <w:r>
        <w:t>ограниченную правоспособность.</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t>Заключение договоров</w:t>
      </w:r>
    </w:p>
    <w:p w:rsidR="00000000" w:rsidRDefault="00000000">
      <w:pPr>
        <w:pStyle w:val="SingleTxt"/>
        <w:spacing w:after="0" w:line="120" w:lineRule="exact"/>
        <w:rPr>
          <w:sz w:val="10"/>
        </w:rPr>
      </w:pPr>
    </w:p>
    <w:p w:rsidR="00000000" w:rsidRDefault="00000000">
      <w:pPr>
        <w:pStyle w:val="SingleTxt"/>
      </w:pPr>
      <w:r>
        <w:tab/>
        <w:t>Принципы заключения договоров со времени представления предыдущего доклада не изменились.</w:t>
      </w:r>
    </w:p>
    <w:p w:rsidR="00000000" w:rsidRDefault="00000000">
      <w:pPr>
        <w:pStyle w:val="SingleTxt"/>
        <w:spacing w:after="0" w:line="120" w:lineRule="exact"/>
        <w:rPr>
          <w:sz w:val="10"/>
          <w:u w:val="single"/>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t>b</w:t>
      </w:r>
      <w:r>
        <w:t>)</w:t>
      </w:r>
      <w:r>
        <w:tab/>
        <w:t>Управление имуществом</w:t>
      </w:r>
    </w:p>
    <w:p w:rsidR="00000000" w:rsidRDefault="00000000">
      <w:pPr>
        <w:pStyle w:val="SingleTxt"/>
        <w:spacing w:after="0" w:line="120" w:lineRule="exact"/>
        <w:rPr>
          <w:sz w:val="10"/>
        </w:rPr>
      </w:pPr>
    </w:p>
    <w:p w:rsidR="00000000" w:rsidRDefault="00000000">
      <w:pPr>
        <w:pStyle w:val="SingleTxt"/>
      </w:pPr>
      <w:r>
        <w:tab/>
        <w:t>Положения, касающиеся права женщин управлять имуществом, не изм</w:t>
      </w:r>
      <w:r>
        <w:t>е</w:t>
      </w:r>
      <w:r>
        <w:t>нились.</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с)</w:t>
      </w:r>
      <w:r>
        <w:tab/>
        <w:t>Положение в судах всех инстанций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Деятельность в качестве судей</w:t>
      </w:r>
    </w:p>
    <w:p w:rsidR="00000000" w:rsidRDefault="00000000">
      <w:pPr>
        <w:pStyle w:val="SingleTxt"/>
        <w:spacing w:after="0" w:line="120" w:lineRule="exact"/>
        <w:rPr>
          <w:sz w:val="10"/>
        </w:rPr>
      </w:pPr>
    </w:p>
    <w:p w:rsidR="00000000" w:rsidRDefault="00000000">
      <w:pPr>
        <w:pStyle w:val="SingleTxt"/>
      </w:pPr>
      <w:r>
        <w:tab/>
        <w:t>В соответствии с Законом о судах, вступившим в силу 29 июля 2002 года, судьями могут быть назначены гражданине Эстонии, прошедшие полный курс обучения на юридическом факультете высшего учебного заведения, свободно владеющие эстонским языком, имеющие высокие моральные качества и обл</w:t>
      </w:r>
      <w:r>
        <w:t>а</w:t>
      </w:r>
      <w:r>
        <w:t>дающие способностями и личными данными, необходимыми для работы в к</w:t>
      </w:r>
      <w:r>
        <w:t>а</w:t>
      </w:r>
      <w:r>
        <w:t>честве судей. Приемлемость личных данных кандидата на должность судьи о</w:t>
      </w:r>
      <w:r>
        <w:t>п</w:t>
      </w:r>
      <w:r>
        <w:t>редел</w:t>
      </w:r>
      <w:r>
        <w:t>я</w:t>
      </w:r>
      <w:r>
        <w:t>ется в ходе собеседования.</w:t>
      </w:r>
    </w:p>
    <w:p w:rsidR="00000000" w:rsidRDefault="00000000">
      <w:pPr>
        <w:pStyle w:val="SingleTxt"/>
      </w:pPr>
      <w:r>
        <w:tab/>
        <w:t>По состоянию на 4 ноября 2004 года в Эстонии было 238 судей, в том числе 151 женщина. В судах первой инстанции работают 175 судей, в том чи</w:t>
      </w:r>
      <w:r>
        <w:t>с</w:t>
      </w:r>
      <w:r>
        <w:t>ле 121 женщина. В судах второй инстанции из 44 судей 27 являются женщин</w:t>
      </w:r>
      <w:r>
        <w:t>а</w:t>
      </w:r>
      <w:r>
        <w:t>ми. В составе Верховного суда 19 судей, в том числе 3 женщины.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Деятельность в качестве судебного асессора</w:t>
      </w:r>
    </w:p>
    <w:p w:rsidR="00000000" w:rsidRDefault="00000000">
      <w:pPr>
        <w:pStyle w:val="SingleTxt"/>
        <w:spacing w:after="0" w:line="120" w:lineRule="exact"/>
        <w:rPr>
          <w:sz w:val="10"/>
        </w:rPr>
      </w:pPr>
    </w:p>
    <w:p w:rsidR="00000000" w:rsidRDefault="00000000">
      <w:pPr>
        <w:pStyle w:val="SingleTxt"/>
      </w:pPr>
      <w:r>
        <w:tab/>
        <w:t>В соответствии с Законом о судах судебный асессор принимает участие в отправлении правосудия в уездных и городских судах на предусмотренных в кодексах судопроизводства основаниях и согласно установленной в них проц</w:t>
      </w:r>
      <w:r>
        <w:t>е</w:t>
      </w:r>
      <w:r>
        <w:t>дуре. При отправлении правосудия судебные асессоры обладают равными пр</w:t>
      </w:r>
      <w:r>
        <w:t>а</w:t>
      </w:r>
      <w:r>
        <w:t>вами с судьями. Судебными асессорами могут быть назначены дееспособные граждане Эстонии в возрасте от 25 до 70 лет, проживающие в Эстонии, св</w:t>
      </w:r>
      <w:r>
        <w:t>о</w:t>
      </w:r>
      <w:r>
        <w:t>бодно владеющие эстонским языком и имеющие надлежащие моральные кач</w:t>
      </w:r>
      <w:r>
        <w:t>е</w:t>
      </w:r>
      <w:r>
        <w:t>ства для работы в качестве судебного асессора. Судебными асессорами не м</w:t>
      </w:r>
      <w:r>
        <w:t>о</w:t>
      </w:r>
      <w:r>
        <w:t>гут назначаться лица, осужденные за уголовное преступление; обанкротивши</w:t>
      </w:r>
      <w:r>
        <w:t>е</w:t>
      </w:r>
      <w:r>
        <w:t>ся лица; лица, которые не могут выполнять эту работу по состоянию здоровья; лица, находящиеся на службе в вооруженных силах; адвокаты, нотариусы или судебные приставы. Не могут работать в качестве судебного асессора также члены правительства Республики; члены сельских или городских органов м</w:t>
      </w:r>
      <w:r>
        <w:t>е</w:t>
      </w:r>
      <w:r>
        <w:t>стного самоуправления; президент Республики; члены парламента или уездные губернаторы. Лица, обвиняемые в совершении уголовного преступления, не могут назначаться судебными асессорами во время уголовного судопроизво</w:t>
      </w:r>
      <w:r>
        <w:t>д</w:t>
      </w:r>
      <w:r>
        <w:t>ства. Судебные асессоры назначаются на четыре года.</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Деятельность в качестве представителя</w:t>
      </w:r>
    </w:p>
    <w:p w:rsidR="00000000" w:rsidRDefault="00000000">
      <w:pPr>
        <w:pStyle w:val="SingleTxt"/>
        <w:spacing w:after="0" w:line="120" w:lineRule="exact"/>
        <w:rPr>
          <w:sz w:val="10"/>
        </w:rPr>
      </w:pPr>
    </w:p>
    <w:p w:rsidR="00000000" w:rsidRDefault="00000000">
      <w:pPr>
        <w:pStyle w:val="SingleTxt"/>
      </w:pPr>
      <w:r>
        <w:tab/>
        <w:t>За период, прошедший со времени представления предыдущего доклада, был принят новый Закон об адвокатуре. Мы разъясним вытекающие из него основные новые положения. Дополнительная информация, содержащаяся в пред</w:t>
      </w:r>
      <w:r>
        <w:t>ы</w:t>
      </w:r>
      <w:r>
        <w:t>дущем докладе, по-прежнему отражает существующее положение дел.</w:t>
      </w:r>
    </w:p>
    <w:p w:rsidR="00000000" w:rsidRDefault="00000000">
      <w:pPr>
        <w:pStyle w:val="SingleTxt"/>
      </w:pPr>
      <w:r>
        <w:tab/>
        <w:t>Членами Коллегии адвокатов Эстонии могут являться все лица, отвеча</w:t>
      </w:r>
      <w:r>
        <w:t>ю</w:t>
      </w:r>
      <w:r>
        <w:t>щие требованиям, предусмотренным в Законе об адвокатуре, и успешно сда</w:t>
      </w:r>
      <w:r>
        <w:t>в</w:t>
      </w:r>
      <w:r>
        <w:t>шие экзамен на получение квалификации адвоката. В Эстонии юридические услуги в качестве адвоката могут оказывать только члены Коллегии адвокатов, если только законом не предусмотрено иное. В члены Коллегии адвокатов м</w:t>
      </w:r>
      <w:r>
        <w:t>о</w:t>
      </w:r>
      <w:r>
        <w:t>гут быть приняты лица, обладающие дееспособностью, проживающие в Эст</w:t>
      </w:r>
      <w:r>
        <w:t>о</w:t>
      </w:r>
      <w:r>
        <w:t>нии либо являющиеся гражданами Эстонской Республики или государства-члена Европейского союза, прошедшие полный курс обучения на юридическом факультете высшего учебного заведения, свободно владеющие устным и пис</w:t>
      </w:r>
      <w:r>
        <w:t>ь</w:t>
      </w:r>
      <w:r>
        <w:t>менным эстонским языком и демонстрирующие честность и высокие морал</w:t>
      </w:r>
      <w:r>
        <w:t>ь</w:t>
      </w:r>
      <w:r>
        <w:t>ные качества. Для вступления в члены Коллегии адвокатов необходимо подать заявление и успешно сдать экзамен на получение квалификации адвоката. Чл</w:t>
      </w:r>
      <w:r>
        <w:t>е</w:t>
      </w:r>
      <w:r>
        <w:t>ны принимаются в Коллегию адвокатов по решению правления.</w:t>
      </w:r>
    </w:p>
    <w:p w:rsidR="00000000" w:rsidRDefault="00000000">
      <w:pPr>
        <w:pStyle w:val="SingleTxt"/>
      </w:pPr>
      <w:r>
        <w:tab/>
        <w:t>По состоянию на октябрь 2004 года Коллегия адвокатов Эстонии насч</w:t>
      </w:r>
      <w:r>
        <w:t>и</w:t>
      </w:r>
      <w:r>
        <w:t>тывала 445 членов, из которых 155 — женщины.</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Деятельность в качестве прокурора</w:t>
      </w:r>
    </w:p>
    <w:p w:rsidR="00000000" w:rsidRDefault="00000000">
      <w:pPr>
        <w:pStyle w:val="SingleTxt"/>
        <w:spacing w:after="0" w:line="120" w:lineRule="exact"/>
        <w:rPr>
          <w:sz w:val="10"/>
        </w:rPr>
      </w:pPr>
    </w:p>
    <w:p w:rsidR="00000000" w:rsidRDefault="00000000">
      <w:pPr>
        <w:pStyle w:val="SingleTxt"/>
      </w:pPr>
      <w:r>
        <w:tab/>
        <w:t>В соответствии с Законом о прокуратуре главным государственным пр</w:t>
      </w:r>
      <w:r>
        <w:t>о</w:t>
      </w:r>
      <w:r>
        <w:t>курором, ведущим государственным прокурором, ведущим прокурором, гос</w:t>
      </w:r>
      <w:r>
        <w:t>у</w:t>
      </w:r>
      <w:r>
        <w:t>дарственным прокурором, старшим прокурором, специальным прокурором или окружным прокурором могут назначаться эстонские граждане в возрасте не менее 21 года, обладающие дееспособностью, прошедшие полный курс обуч</w:t>
      </w:r>
      <w:r>
        <w:t>е</w:t>
      </w:r>
      <w:r>
        <w:t>ния на юридическом факультете высшего учебного заведения, свободно вл</w:t>
      </w:r>
      <w:r>
        <w:t>а</w:t>
      </w:r>
      <w:r>
        <w:t>деющие эстонским языком в пределах, установленных или предусмотренных законом, имеющие высокие моральные качества и обладающие необходимыми для этого способностями и личными данными. Законом также предусмотрен ряд ограничений. Не могут назначаться прокурором следующие лица: лицо, в отношении которого вступил в силу приговор за совершение преднамеренного уголовного преступления; лицо, уволенное с государственной службы за ди</w:t>
      </w:r>
      <w:r>
        <w:t>с</w:t>
      </w:r>
      <w:r>
        <w:t>циплинарный проступок; лицо, исключенное из Коллегии адвокатов Эстонии или лишенное права быть нотариусом; лицо связанное кровными узами (род</w:t>
      </w:r>
      <w:r>
        <w:t>и</w:t>
      </w:r>
      <w:r>
        <w:t>тель, брат, сестра, ребенок) или на основании брака (супруг(а), родитель, брат, сестра или ребенок супруга(супруги)) с прокурором, у которого оно находится в непосредственном подчинении, или лицо, неспособное выполнять обязанн</w:t>
      </w:r>
      <w:r>
        <w:t>о</w:t>
      </w:r>
      <w:r>
        <w:t>сти прокурора по состоянию здоровья. В сомнительных случаях состояние здоровья лица о</w:t>
      </w:r>
      <w:r>
        <w:t>п</w:t>
      </w:r>
      <w:r>
        <w:t>ределяет медицинская комиссия.</w:t>
      </w:r>
    </w:p>
    <w:p w:rsidR="00000000" w:rsidRDefault="00000000">
      <w:pPr>
        <w:pStyle w:val="SingleTxt"/>
      </w:pPr>
      <w:r>
        <w:tab/>
        <w:t>В Эстонии 192 прокурора, и 75 процентов из них — женщины.</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Действия в качестве одной из сторон</w:t>
      </w:r>
    </w:p>
    <w:p w:rsidR="00000000" w:rsidRDefault="00000000">
      <w:pPr>
        <w:pStyle w:val="SingleTxt"/>
        <w:spacing w:after="0" w:line="120" w:lineRule="exact"/>
        <w:rPr>
          <w:sz w:val="10"/>
        </w:rPr>
      </w:pPr>
    </w:p>
    <w:p w:rsidR="00000000" w:rsidRDefault="00000000">
      <w:pPr>
        <w:pStyle w:val="SingleTxt"/>
      </w:pPr>
      <w:r>
        <w:tab/>
        <w:t>В дополнение информации, изложенной в предыдущем докладе, следует упомянуть о том, что в Гражданском процессуальном кодексе прямо пред</w:t>
      </w:r>
      <w:r>
        <w:t>у</w:t>
      </w:r>
      <w:r>
        <w:t>смотрено, что при отправлении правосудия по гражданским делам все люди равны перед законом и в суде. Никаких различий по признаку пола для обр</w:t>
      </w:r>
      <w:r>
        <w:t>а</w:t>
      </w:r>
      <w:r>
        <w:t>щения в суд не проводится ни по закону, ни на практике.</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Действия в качестве свидетеля</w:t>
      </w:r>
    </w:p>
    <w:p w:rsidR="00000000" w:rsidRDefault="00000000">
      <w:pPr>
        <w:pStyle w:val="SingleTxt"/>
        <w:spacing w:after="0" w:line="120" w:lineRule="exact"/>
        <w:rPr>
          <w:sz w:val="10"/>
        </w:rPr>
      </w:pPr>
    </w:p>
    <w:p w:rsidR="00000000" w:rsidRDefault="00000000">
      <w:pPr>
        <w:pStyle w:val="SingleTxt"/>
      </w:pPr>
      <w:r>
        <w:tab/>
        <w:t>По сравнению с предыдущим докладом расширился круг людей, которые могут отказываться от дачи показаний по личным причинам. Свидетель имеет право отказываться от дачи показаний, если он или она является родственн</w:t>
      </w:r>
      <w:r>
        <w:t>и</w:t>
      </w:r>
      <w:r>
        <w:t>ком истца или подзащитного по восходящей или нисходящей линии или сост</w:t>
      </w:r>
      <w:r>
        <w:t>о</w:t>
      </w:r>
      <w:r>
        <w:t>ит или состоял(а) в браке с родственником такого лица по восходящей или ни</w:t>
      </w:r>
      <w:r>
        <w:t>с</w:t>
      </w:r>
      <w:r>
        <w:t>ходящей линии, или состоит или состоял(а) в браке с братом или сестрой так</w:t>
      </w:r>
      <w:r>
        <w:t>о</w:t>
      </w:r>
      <w:r>
        <w:t>го лица, а также является приемным родителем, приемным ребенком, мужем или лицом, проживающим совместно с таким лицом, даже если брак растор</w:t>
      </w:r>
      <w:r>
        <w:t>г</w:t>
      </w:r>
      <w:r>
        <w:t>нут, а совместное проживание прекращено.</w:t>
      </w:r>
    </w:p>
    <w:p w:rsidR="00000000" w:rsidRDefault="00000000">
      <w:pPr>
        <w:pStyle w:val="SingleTxt"/>
        <w:spacing w:after="0" w:line="120" w:lineRule="exact"/>
        <w:rPr>
          <w:sz w:val="10"/>
        </w:rPr>
      </w:pPr>
    </w:p>
    <w:p w:rsidR="00000000" w:rsidRDefault="00000000">
      <w:pPr>
        <w:pStyle w:val="SingleTxt"/>
        <w:keepNext/>
        <w:rPr>
          <w:b/>
        </w:rPr>
      </w:pPr>
      <w:r>
        <w:rPr>
          <w:b/>
        </w:rPr>
        <w:t>3.</w:t>
      </w:r>
      <w:r>
        <w:rPr>
          <w:b/>
        </w:rPr>
        <w:tab/>
        <w:t>Государства-участники соглашаются, что все договоры и все другие частные документы любого рода, имеющие своим правовым последствием огран</w:t>
      </w:r>
      <w:r>
        <w:rPr>
          <w:b/>
        </w:rPr>
        <w:t>и</w:t>
      </w:r>
      <w:r>
        <w:rPr>
          <w:b/>
        </w:rPr>
        <w:t>чение правоспособности женщин, считаются недействительными.</w:t>
      </w:r>
    </w:p>
    <w:p w:rsidR="00000000" w:rsidRDefault="00000000">
      <w:pPr>
        <w:pStyle w:val="SingleTxt"/>
      </w:pPr>
      <w:r>
        <w:tab/>
        <w:t xml:space="preserve">В соответствии с Законом о семье договоры, ограничивающие личные права и свободы супругов, являются ничтожными. </w:t>
      </w:r>
    </w:p>
    <w:p w:rsidR="00000000" w:rsidRDefault="00000000">
      <w:pPr>
        <w:pStyle w:val="SingleTxt"/>
        <w:spacing w:after="0" w:line="120" w:lineRule="exact"/>
        <w:rPr>
          <w:sz w:val="10"/>
        </w:rPr>
      </w:pPr>
    </w:p>
    <w:p w:rsidR="00000000" w:rsidRDefault="00000000">
      <w:pPr>
        <w:pStyle w:val="SingleTxt"/>
        <w:rPr>
          <w:b/>
        </w:rPr>
      </w:pPr>
      <w:r>
        <w:rPr>
          <w:b/>
        </w:rPr>
        <w:t>4.</w:t>
      </w:r>
      <w:r>
        <w:rPr>
          <w:b/>
        </w:rPr>
        <w:tab/>
        <w:t>Государства-участники предоставляют мужчинам и женщинам од</w:t>
      </w:r>
      <w:r>
        <w:rPr>
          <w:b/>
        </w:rPr>
        <w:t>и</w:t>
      </w:r>
      <w:r>
        <w:rPr>
          <w:b/>
        </w:rPr>
        <w:t>наковые права в отношении законодательства, касающегося передвиж</w:t>
      </w:r>
      <w:r>
        <w:rPr>
          <w:b/>
        </w:rPr>
        <w:t>е</w:t>
      </w:r>
      <w:r>
        <w:rPr>
          <w:b/>
        </w:rPr>
        <w:t>ния лиц и своб</w:t>
      </w:r>
      <w:r>
        <w:rPr>
          <w:b/>
        </w:rPr>
        <w:t>о</w:t>
      </w:r>
      <w:r>
        <w:rPr>
          <w:b/>
        </w:rPr>
        <w:t>ды выбора места проживания и местожительства.</w:t>
      </w:r>
    </w:p>
    <w:p w:rsidR="00000000" w:rsidRDefault="00000000">
      <w:pPr>
        <w:pStyle w:val="SingleTxt"/>
      </w:pPr>
      <w:r>
        <w:tab/>
        <w:t>По сравнению с предыдущим докладом новой информации не имеется.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1.</w:t>
      </w:r>
      <w:r>
        <w:rPr>
          <w:b/>
        </w:rPr>
        <w:tab/>
        <w:t>Государства-участники принимают все соответствующие меры для ликвидации дискриминации в отношении женщин во всех вопросах, к</w:t>
      </w:r>
      <w:r>
        <w:rPr>
          <w:b/>
        </w:rPr>
        <w:t>а</w:t>
      </w:r>
      <w:r>
        <w:rPr>
          <w:b/>
        </w:rPr>
        <w:t>сающихся брака и семейных отношений, и, в частности, обеспечивают на основе равенс</w:t>
      </w:r>
      <w:r>
        <w:rPr>
          <w:b/>
        </w:rPr>
        <w:t>т</w:t>
      </w:r>
      <w:r>
        <w:rPr>
          <w:b/>
        </w:rPr>
        <w:t>ва мужчин и женщин:</w:t>
      </w:r>
    </w:p>
    <w:p w:rsidR="00000000" w:rsidRDefault="00000000">
      <w:pPr>
        <w:pStyle w:val="SingleTxt"/>
        <w:rPr>
          <w:b/>
        </w:rPr>
      </w:pPr>
      <w:r>
        <w:rPr>
          <w:b/>
        </w:rPr>
        <w:tab/>
        <w:t>а)</w:t>
      </w:r>
      <w:r>
        <w:rPr>
          <w:b/>
        </w:rPr>
        <w:tab/>
        <w:t>одинаковые права на вступление в брак;</w:t>
      </w:r>
    </w:p>
    <w:p w:rsidR="00000000" w:rsidRDefault="00000000">
      <w:pPr>
        <w:pStyle w:val="SingleTxt"/>
      </w:pPr>
      <w:r>
        <w:tab/>
        <w:t>Брак заключается по взаимному желанию будущих супругов. Брак не з</w:t>
      </w:r>
      <w:r>
        <w:t>а</w:t>
      </w:r>
      <w:r>
        <w:t>ключается, если один из будущих супругов не подтверждает свое желание вступить в брак или если один из будущих супругов не достиг брачного во</w:t>
      </w:r>
      <w:r>
        <w:t>з</w:t>
      </w:r>
      <w:r>
        <w:t>раста, или если появляются обстоятельства, препятствующие заключению бр</w:t>
      </w:r>
      <w:r>
        <w:t>а</w:t>
      </w:r>
      <w:r>
        <w:t>ка.</w:t>
      </w:r>
    </w:p>
    <w:p w:rsidR="00000000" w:rsidRDefault="00000000">
      <w:pPr>
        <w:pStyle w:val="SingleTxt"/>
      </w:pPr>
      <w:r>
        <w:tab/>
        <w:t>Брак не может быть заключен между лицами, хотя бы одно их которых уже находится в браке; между прямыми родственниками по восходящей или нисходящей линии, между братьями и сестрами, между сводными братьям и сестрами или между приемными детьми одного и того же лица; а также между лицами, в отношении хотя бы одного из которых назначено опекунство ввиду его или ее ограниченной дееспособности.</w:t>
      </w:r>
    </w:p>
    <w:p w:rsidR="00000000" w:rsidRDefault="00000000">
      <w:pPr>
        <w:pStyle w:val="SingleTxt"/>
        <w:spacing w:after="0" w:line="120" w:lineRule="exact"/>
        <w:rPr>
          <w:sz w:val="10"/>
        </w:rPr>
      </w:pPr>
    </w:p>
    <w:p w:rsidR="00000000" w:rsidRDefault="00000000">
      <w:pPr>
        <w:pStyle w:val="SingleTxt"/>
        <w:rPr>
          <w:b/>
        </w:rPr>
      </w:pPr>
      <w:r>
        <w:rPr>
          <w:b/>
        </w:rPr>
        <w:tab/>
        <w:t>b)</w:t>
      </w:r>
      <w:r>
        <w:rPr>
          <w:b/>
        </w:rPr>
        <w:tab/>
        <w:t>одинаковые права на свободный выбор супруга и на вступление в брак только со своего свободного и полного согласия;</w:t>
      </w:r>
    </w:p>
    <w:p w:rsidR="00000000" w:rsidRDefault="00000000">
      <w:pPr>
        <w:pStyle w:val="SingleTxt"/>
      </w:pPr>
      <w:r>
        <w:tab/>
        <w:t>Никаких изменений по сравнению с информацией, изложенной в пред</w:t>
      </w:r>
      <w:r>
        <w:t>ы</w:t>
      </w:r>
      <w:r>
        <w:t>дущем докладе, не произошло.</w:t>
      </w:r>
    </w:p>
    <w:p w:rsidR="00000000" w:rsidRDefault="00000000">
      <w:pPr>
        <w:pStyle w:val="SingleTxt"/>
      </w:pPr>
      <w:r>
        <w:tab/>
        <w:t>Хотя в 2000 году тенденция к снижению числа регистрируемых браков, проявившаяся в 1990-е годы, сохранялась, с 2001 года наметился небольшой рост. В 2002 году было зарегистрировано на 368 браков больше, чем в 2000 г</w:t>
      </w:r>
      <w:r>
        <w:t>о</w:t>
      </w:r>
      <w:r>
        <w:t>ду. Количество браков на 1000 жителей возросло с 4,0 в 2000 году до 4,3 в 2002 году, что является самым высоким показателем с 1995 года.</w:t>
      </w:r>
    </w:p>
    <w:p w:rsidR="00000000" w:rsidRDefault="00000000">
      <w:pPr>
        <w:pStyle w:val="SingleTxt"/>
      </w:pPr>
      <w:r>
        <w:tab/>
        <w:t>В 2000 году в Эстонии было заключено 5485 браков, в 2001 году — 5647 браков и в 2002 году — 5853 брака.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Таблица16.1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Количество первых браков и неоднократных браков</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3"/>
        <w:gridCol w:w="813"/>
        <w:gridCol w:w="813"/>
        <w:gridCol w:w="45"/>
        <w:gridCol w:w="768"/>
        <w:gridCol w:w="813"/>
        <w:gridCol w:w="39"/>
        <w:gridCol w:w="774"/>
        <w:gridCol w:w="813"/>
        <w:gridCol w:w="42"/>
        <w:gridCol w:w="771"/>
        <w:gridCol w:w="813"/>
      </w:tblGrid>
      <w:tr w:rsidR="00000000">
        <w:tblPrEx>
          <w:tblCellMar>
            <w:top w:w="0" w:type="dxa"/>
            <w:left w:w="0" w:type="dxa"/>
            <w:bottom w:w="0" w:type="dxa"/>
            <w:right w:w="0" w:type="dxa"/>
          </w:tblCellMar>
        </w:tblPrEx>
        <w:trPr>
          <w:cantSplit/>
          <w:tblHeader/>
        </w:trPr>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62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Первые браки</w:t>
            </w:r>
          </w:p>
        </w:tc>
        <w:tc>
          <w:tcPr>
            <w:tcW w:w="45"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58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Неоднократные браки</w:t>
            </w:r>
          </w:p>
        </w:tc>
        <w:tc>
          <w:tcPr>
            <w:tcW w:w="39"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58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Количество предыд</w:t>
            </w:r>
            <w:r>
              <w:rPr>
                <w:i/>
                <w:sz w:val="14"/>
              </w:rPr>
              <w:t>у</w:t>
            </w:r>
            <w:r>
              <w:rPr>
                <w:i/>
                <w:sz w:val="14"/>
              </w:rPr>
              <w:t>щих браков неизвестно</w:t>
            </w:r>
          </w:p>
        </w:tc>
        <w:tc>
          <w:tcPr>
            <w:tcW w:w="42"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p>
        </w:tc>
        <w:tc>
          <w:tcPr>
            <w:tcW w:w="158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 xml:space="preserve">Доля неоднократных браков, </w:t>
            </w:r>
            <w:r>
              <w:rPr>
                <w:i/>
                <w:sz w:val="14"/>
                <w:lang w:val="en-US"/>
              </w:rPr>
              <w:t>%</w:t>
            </w:r>
          </w:p>
        </w:tc>
      </w:tr>
      <w:tr w:rsidR="00000000">
        <w:tblPrEx>
          <w:tblCellMar>
            <w:top w:w="0" w:type="dxa"/>
            <w:left w:w="0" w:type="dxa"/>
            <w:bottom w:w="0" w:type="dxa"/>
            <w:right w:w="0" w:type="dxa"/>
          </w:tblCellMar>
        </w:tblPrEx>
        <w:trPr>
          <w:tblHeader/>
        </w:trPr>
        <w:tc>
          <w:tcPr>
            <w:tcW w:w="813" w:type="dxa"/>
            <w:vAlign w:val="bottom"/>
          </w:tcPr>
          <w:p w:rsidR="00000000" w:rsidRDefault="00000000">
            <w:pPr>
              <w:tabs>
                <w:tab w:val="left" w:pos="288"/>
                <w:tab w:val="left" w:pos="576"/>
                <w:tab w:val="left" w:pos="864"/>
                <w:tab w:val="left" w:pos="1152"/>
              </w:tabs>
              <w:spacing w:before="40" w:after="81" w:line="160" w:lineRule="exact"/>
              <w:ind w:right="43"/>
              <w:rPr>
                <w:i/>
                <w:sz w:val="14"/>
              </w:rPr>
            </w:pPr>
          </w:p>
        </w:tc>
        <w:tc>
          <w:tcPr>
            <w:tcW w:w="813"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Мужчины</w:t>
            </w:r>
          </w:p>
        </w:tc>
        <w:tc>
          <w:tcPr>
            <w:tcW w:w="813"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Женщины</w:t>
            </w:r>
          </w:p>
        </w:tc>
        <w:tc>
          <w:tcPr>
            <w:tcW w:w="813"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Мужчины</w:t>
            </w:r>
          </w:p>
        </w:tc>
        <w:tc>
          <w:tcPr>
            <w:tcW w:w="813"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Женщины</w:t>
            </w:r>
          </w:p>
        </w:tc>
        <w:tc>
          <w:tcPr>
            <w:tcW w:w="813"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Мужчины</w:t>
            </w:r>
          </w:p>
        </w:tc>
        <w:tc>
          <w:tcPr>
            <w:tcW w:w="813"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Женщины</w:t>
            </w:r>
          </w:p>
        </w:tc>
        <w:tc>
          <w:tcPr>
            <w:tcW w:w="813"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Мужчины</w:t>
            </w:r>
          </w:p>
        </w:tc>
        <w:tc>
          <w:tcPr>
            <w:tcW w:w="813"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Женщины</w:t>
            </w:r>
          </w:p>
        </w:tc>
      </w:tr>
      <w:tr w:rsidR="00000000">
        <w:tblPrEx>
          <w:tblCellMar>
            <w:top w:w="0" w:type="dxa"/>
            <w:left w:w="0" w:type="dxa"/>
            <w:bottom w:w="0" w:type="dxa"/>
            <w:right w:w="0" w:type="dxa"/>
          </w:tblCellMar>
        </w:tblPrEx>
        <w:trPr>
          <w:trHeight w:hRule="exact" w:val="115"/>
          <w:tblHeader/>
        </w:trPr>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 год</w:t>
            </w:r>
          </w:p>
        </w:tc>
        <w:tc>
          <w:tcPr>
            <w:tcW w:w="813" w:type="dxa"/>
            <w:vAlign w:val="bottom"/>
          </w:tcPr>
          <w:p w:rsidR="00000000" w:rsidRDefault="00000000">
            <w:pPr>
              <w:keepNext/>
              <w:keepLines/>
              <w:spacing w:before="40" w:after="40" w:line="210" w:lineRule="exact"/>
              <w:jc w:val="right"/>
              <w:rPr>
                <w:sz w:val="17"/>
              </w:rPr>
            </w:pPr>
            <w:r>
              <w:rPr>
                <w:sz w:val="17"/>
              </w:rPr>
              <w:t>3 785</w:t>
            </w:r>
          </w:p>
        </w:tc>
        <w:tc>
          <w:tcPr>
            <w:tcW w:w="813" w:type="dxa"/>
            <w:vAlign w:val="bottom"/>
          </w:tcPr>
          <w:p w:rsidR="00000000" w:rsidRDefault="00000000">
            <w:pPr>
              <w:keepNext/>
              <w:keepLines/>
              <w:spacing w:before="40" w:after="40" w:line="210" w:lineRule="exact"/>
              <w:jc w:val="right"/>
              <w:rPr>
                <w:sz w:val="17"/>
              </w:rPr>
            </w:pPr>
            <w:r>
              <w:rPr>
                <w:sz w:val="17"/>
              </w:rPr>
              <w:t>3 825</w:t>
            </w:r>
          </w:p>
        </w:tc>
        <w:tc>
          <w:tcPr>
            <w:tcW w:w="813" w:type="dxa"/>
            <w:gridSpan w:val="2"/>
            <w:vAlign w:val="bottom"/>
          </w:tcPr>
          <w:p w:rsidR="00000000" w:rsidRDefault="00000000">
            <w:pPr>
              <w:keepNext/>
              <w:keepLines/>
              <w:spacing w:before="40" w:after="40" w:line="210" w:lineRule="exact"/>
              <w:jc w:val="right"/>
              <w:rPr>
                <w:sz w:val="17"/>
              </w:rPr>
            </w:pPr>
            <w:r>
              <w:rPr>
                <w:sz w:val="17"/>
              </w:rPr>
              <w:t>1 805</w:t>
            </w:r>
          </w:p>
        </w:tc>
        <w:tc>
          <w:tcPr>
            <w:tcW w:w="813" w:type="dxa"/>
            <w:vAlign w:val="bottom"/>
          </w:tcPr>
          <w:p w:rsidR="00000000" w:rsidRDefault="00000000">
            <w:pPr>
              <w:keepNext/>
              <w:keepLines/>
              <w:spacing w:before="40" w:after="40" w:line="210" w:lineRule="exact"/>
              <w:jc w:val="right"/>
              <w:rPr>
                <w:sz w:val="17"/>
              </w:rPr>
            </w:pPr>
            <w:r>
              <w:rPr>
                <w:sz w:val="17"/>
              </w:rPr>
              <w:t>1 765</w:t>
            </w:r>
          </w:p>
        </w:tc>
        <w:tc>
          <w:tcPr>
            <w:tcW w:w="813" w:type="dxa"/>
            <w:gridSpan w:val="2"/>
            <w:vAlign w:val="bottom"/>
          </w:tcPr>
          <w:p w:rsidR="00000000" w:rsidRDefault="00000000">
            <w:pPr>
              <w:keepNext/>
              <w:keepLines/>
              <w:spacing w:before="40" w:after="40" w:line="210" w:lineRule="exact"/>
              <w:jc w:val="right"/>
              <w:rPr>
                <w:sz w:val="17"/>
              </w:rPr>
            </w:pPr>
            <w:r>
              <w:rPr>
                <w:sz w:val="17"/>
              </w:rPr>
              <w:t>0</w:t>
            </w:r>
          </w:p>
        </w:tc>
        <w:tc>
          <w:tcPr>
            <w:tcW w:w="813" w:type="dxa"/>
            <w:vAlign w:val="bottom"/>
          </w:tcPr>
          <w:p w:rsidR="00000000" w:rsidRDefault="00000000">
            <w:pPr>
              <w:keepNext/>
              <w:keepLines/>
              <w:spacing w:before="40" w:after="40" w:line="210" w:lineRule="exact"/>
              <w:jc w:val="right"/>
              <w:rPr>
                <w:sz w:val="17"/>
              </w:rPr>
            </w:pPr>
            <w:r>
              <w:rPr>
                <w:sz w:val="17"/>
              </w:rPr>
              <w:t>0</w:t>
            </w:r>
          </w:p>
        </w:tc>
        <w:tc>
          <w:tcPr>
            <w:tcW w:w="813" w:type="dxa"/>
            <w:gridSpan w:val="2"/>
            <w:vAlign w:val="bottom"/>
          </w:tcPr>
          <w:p w:rsidR="00000000" w:rsidRDefault="00000000">
            <w:pPr>
              <w:keepNext/>
              <w:keepLines/>
              <w:spacing w:before="40" w:after="40" w:line="210" w:lineRule="exact"/>
              <w:jc w:val="right"/>
              <w:rPr>
                <w:sz w:val="17"/>
              </w:rPr>
            </w:pPr>
            <w:r>
              <w:rPr>
                <w:sz w:val="17"/>
              </w:rPr>
              <w:t>32,3</w:t>
            </w:r>
          </w:p>
        </w:tc>
        <w:tc>
          <w:tcPr>
            <w:tcW w:w="813" w:type="dxa"/>
            <w:vAlign w:val="bottom"/>
          </w:tcPr>
          <w:p w:rsidR="00000000" w:rsidRDefault="00000000">
            <w:pPr>
              <w:keepNext/>
              <w:keepLines/>
              <w:spacing w:before="40" w:after="40" w:line="210" w:lineRule="exact"/>
              <w:jc w:val="right"/>
              <w:rPr>
                <w:sz w:val="17"/>
              </w:rPr>
            </w:pPr>
            <w:r>
              <w:rPr>
                <w:sz w:val="17"/>
              </w:rPr>
              <w:t>31,6</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 год</w:t>
            </w:r>
          </w:p>
        </w:tc>
        <w:tc>
          <w:tcPr>
            <w:tcW w:w="813" w:type="dxa"/>
            <w:vAlign w:val="bottom"/>
          </w:tcPr>
          <w:p w:rsidR="00000000" w:rsidRDefault="00000000">
            <w:pPr>
              <w:spacing w:before="40" w:after="40" w:line="210" w:lineRule="exact"/>
              <w:jc w:val="right"/>
              <w:rPr>
                <w:sz w:val="17"/>
              </w:rPr>
            </w:pPr>
            <w:r>
              <w:rPr>
                <w:sz w:val="17"/>
              </w:rPr>
              <w:t>3 711</w:t>
            </w:r>
          </w:p>
        </w:tc>
        <w:tc>
          <w:tcPr>
            <w:tcW w:w="813" w:type="dxa"/>
            <w:vAlign w:val="bottom"/>
          </w:tcPr>
          <w:p w:rsidR="00000000" w:rsidRDefault="00000000">
            <w:pPr>
              <w:spacing w:before="40" w:after="40" w:line="210" w:lineRule="exact"/>
              <w:jc w:val="right"/>
              <w:rPr>
                <w:sz w:val="17"/>
              </w:rPr>
            </w:pPr>
            <w:r>
              <w:rPr>
                <w:sz w:val="17"/>
              </w:rPr>
              <w:t>3 706</w:t>
            </w:r>
          </w:p>
        </w:tc>
        <w:tc>
          <w:tcPr>
            <w:tcW w:w="813" w:type="dxa"/>
            <w:gridSpan w:val="2"/>
            <w:vAlign w:val="bottom"/>
          </w:tcPr>
          <w:p w:rsidR="00000000" w:rsidRDefault="00000000">
            <w:pPr>
              <w:spacing w:before="40" w:after="40" w:line="210" w:lineRule="exact"/>
              <w:jc w:val="right"/>
              <w:rPr>
                <w:sz w:val="17"/>
              </w:rPr>
            </w:pPr>
            <w:r>
              <w:rPr>
                <w:sz w:val="17"/>
              </w:rPr>
              <w:t>1 774</w:t>
            </w:r>
          </w:p>
        </w:tc>
        <w:tc>
          <w:tcPr>
            <w:tcW w:w="813" w:type="dxa"/>
            <w:vAlign w:val="bottom"/>
          </w:tcPr>
          <w:p w:rsidR="00000000" w:rsidRDefault="00000000">
            <w:pPr>
              <w:spacing w:before="40" w:after="40" w:line="210" w:lineRule="exact"/>
              <w:jc w:val="right"/>
              <w:rPr>
                <w:sz w:val="17"/>
              </w:rPr>
            </w:pPr>
            <w:r>
              <w:rPr>
                <w:sz w:val="17"/>
              </w:rPr>
              <w:t>1 778</w:t>
            </w:r>
          </w:p>
        </w:tc>
        <w:tc>
          <w:tcPr>
            <w:tcW w:w="813" w:type="dxa"/>
            <w:gridSpan w:val="2"/>
            <w:vAlign w:val="bottom"/>
          </w:tcPr>
          <w:p w:rsidR="00000000" w:rsidRDefault="00000000">
            <w:pPr>
              <w:spacing w:before="40" w:after="40" w:line="210" w:lineRule="exact"/>
              <w:jc w:val="right"/>
              <w:rPr>
                <w:sz w:val="17"/>
              </w:rPr>
            </w:pPr>
            <w:r>
              <w:rPr>
                <w:sz w:val="17"/>
              </w:rPr>
              <w:t>0</w:t>
            </w:r>
          </w:p>
        </w:tc>
        <w:tc>
          <w:tcPr>
            <w:tcW w:w="813" w:type="dxa"/>
            <w:vAlign w:val="bottom"/>
          </w:tcPr>
          <w:p w:rsidR="00000000" w:rsidRDefault="00000000">
            <w:pPr>
              <w:spacing w:before="40" w:after="40" w:line="210" w:lineRule="exact"/>
              <w:jc w:val="right"/>
              <w:rPr>
                <w:sz w:val="17"/>
              </w:rPr>
            </w:pPr>
            <w:r>
              <w:rPr>
                <w:sz w:val="17"/>
              </w:rPr>
              <w:t>1</w:t>
            </w:r>
          </w:p>
        </w:tc>
        <w:tc>
          <w:tcPr>
            <w:tcW w:w="813" w:type="dxa"/>
            <w:gridSpan w:val="2"/>
            <w:vAlign w:val="bottom"/>
          </w:tcPr>
          <w:p w:rsidR="00000000" w:rsidRDefault="00000000">
            <w:pPr>
              <w:spacing w:before="40" w:after="40" w:line="210" w:lineRule="exact"/>
              <w:jc w:val="right"/>
              <w:rPr>
                <w:sz w:val="17"/>
              </w:rPr>
            </w:pPr>
            <w:r>
              <w:rPr>
                <w:sz w:val="17"/>
              </w:rPr>
              <w:t>32,3</w:t>
            </w:r>
          </w:p>
        </w:tc>
        <w:tc>
          <w:tcPr>
            <w:tcW w:w="813" w:type="dxa"/>
            <w:vAlign w:val="bottom"/>
          </w:tcPr>
          <w:p w:rsidR="00000000" w:rsidRDefault="00000000">
            <w:pPr>
              <w:spacing w:before="40" w:after="40" w:line="210" w:lineRule="exact"/>
              <w:jc w:val="right"/>
              <w:rPr>
                <w:sz w:val="17"/>
              </w:rPr>
            </w:pPr>
            <w:r>
              <w:rPr>
                <w:sz w:val="17"/>
              </w:rPr>
              <w:t>32,4</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 год</w:t>
            </w:r>
          </w:p>
        </w:tc>
        <w:tc>
          <w:tcPr>
            <w:tcW w:w="813" w:type="dxa"/>
            <w:vAlign w:val="bottom"/>
          </w:tcPr>
          <w:p w:rsidR="00000000" w:rsidRDefault="00000000">
            <w:pPr>
              <w:spacing w:before="40" w:after="40" w:line="210" w:lineRule="exact"/>
              <w:jc w:val="right"/>
              <w:rPr>
                <w:sz w:val="17"/>
              </w:rPr>
            </w:pPr>
            <w:r>
              <w:rPr>
                <w:sz w:val="17"/>
              </w:rPr>
              <w:t>3 785</w:t>
            </w:r>
          </w:p>
        </w:tc>
        <w:tc>
          <w:tcPr>
            <w:tcW w:w="813" w:type="dxa"/>
            <w:vAlign w:val="bottom"/>
          </w:tcPr>
          <w:p w:rsidR="00000000" w:rsidRDefault="00000000">
            <w:pPr>
              <w:spacing w:before="40" w:after="40" w:line="210" w:lineRule="exact"/>
              <w:jc w:val="right"/>
              <w:rPr>
                <w:sz w:val="17"/>
              </w:rPr>
            </w:pPr>
            <w:r>
              <w:rPr>
                <w:sz w:val="17"/>
              </w:rPr>
              <w:t>3 816</w:t>
            </w:r>
          </w:p>
        </w:tc>
        <w:tc>
          <w:tcPr>
            <w:tcW w:w="813" w:type="dxa"/>
            <w:gridSpan w:val="2"/>
            <w:vAlign w:val="bottom"/>
          </w:tcPr>
          <w:p w:rsidR="00000000" w:rsidRDefault="00000000">
            <w:pPr>
              <w:spacing w:before="40" w:after="40" w:line="210" w:lineRule="exact"/>
              <w:jc w:val="right"/>
              <w:rPr>
                <w:sz w:val="17"/>
              </w:rPr>
            </w:pPr>
            <w:r>
              <w:rPr>
                <w:sz w:val="17"/>
              </w:rPr>
              <w:t>1 862</w:t>
            </w:r>
          </w:p>
        </w:tc>
        <w:tc>
          <w:tcPr>
            <w:tcW w:w="813" w:type="dxa"/>
            <w:vAlign w:val="bottom"/>
          </w:tcPr>
          <w:p w:rsidR="00000000" w:rsidRDefault="00000000">
            <w:pPr>
              <w:spacing w:before="40" w:after="40" w:line="210" w:lineRule="exact"/>
              <w:jc w:val="right"/>
              <w:rPr>
                <w:sz w:val="17"/>
              </w:rPr>
            </w:pPr>
            <w:r>
              <w:rPr>
                <w:sz w:val="17"/>
              </w:rPr>
              <w:t>1 831</w:t>
            </w:r>
          </w:p>
        </w:tc>
        <w:tc>
          <w:tcPr>
            <w:tcW w:w="813" w:type="dxa"/>
            <w:gridSpan w:val="2"/>
            <w:vAlign w:val="bottom"/>
          </w:tcPr>
          <w:p w:rsidR="00000000" w:rsidRDefault="00000000">
            <w:pPr>
              <w:spacing w:before="40" w:after="40" w:line="210" w:lineRule="exact"/>
              <w:jc w:val="right"/>
              <w:rPr>
                <w:sz w:val="17"/>
              </w:rPr>
            </w:pPr>
            <w:r>
              <w:rPr>
                <w:sz w:val="17"/>
              </w:rPr>
              <w:t>0</w:t>
            </w:r>
          </w:p>
        </w:tc>
        <w:tc>
          <w:tcPr>
            <w:tcW w:w="813" w:type="dxa"/>
            <w:vAlign w:val="bottom"/>
          </w:tcPr>
          <w:p w:rsidR="00000000" w:rsidRDefault="00000000">
            <w:pPr>
              <w:spacing w:before="40" w:after="40" w:line="210" w:lineRule="exact"/>
              <w:jc w:val="right"/>
              <w:rPr>
                <w:sz w:val="17"/>
              </w:rPr>
            </w:pPr>
            <w:r>
              <w:rPr>
                <w:sz w:val="17"/>
              </w:rPr>
              <w:t>0</w:t>
            </w:r>
          </w:p>
        </w:tc>
        <w:tc>
          <w:tcPr>
            <w:tcW w:w="813" w:type="dxa"/>
            <w:gridSpan w:val="2"/>
            <w:vAlign w:val="bottom"/>
          </w:tcPr>
          <w:p w:rsidR="00000000" w:rsidRDefault="00000000">
            <w:pPr>
              <w:spacing w:before="40" w:after="40" w:line="210" w:lineRule="exact"/>
              <w:jc w:val="right"/>
              <w:rPr>
                <w:sz w:val="17"/>
              </w:rPr>
            </w:pPr>
            <w:r>
              <w:rPr>
                <w:sz w:val="17"/>
              </w:rPr>
              <w:t>33,0</w:t>
            </w:r>
          </w:p>
        </w:tc>
        <w:tc>
          <w:tcPr>
            <w:tcW w:w="813" w:type="dxa"/>
            <w:vAlign w:val="bottom"/>
          </w:tcPr>
          <w:p w:rsidR="00000000" w:rsidRDefault="00000000">
            <w:pPr>
              <w:spacing w:before="40" w:after="40" w:line="210" w:lineRule="exact"/>
              <w:jc w:val="right"/>
              <w:rPr>
                <w:sz w:val="17"/>
              </w:rPr>
            </w:pPr>
            <w:r>
              <w:rPr>
                <w:sz w:val="17"/>
              </w:rPr>
              <w:t>32,4</w:t>
            </w:r>
          </w:p>
        </w:tc>
      </w:tr>
      <w:tr w:rsidR="00000000">
        <w:tblPrEx>
          <w:tblCellMar>
            <w:top w:w="0" w:type="dxa"/>
            <w:left w:w="0" w:type="dxa"/>
            <w:bottom w:w="0" w:type="dxa"/>
            <w:right w:w="0" w:type="dxa"/>
          </w:tblCellMar>
        </w:tblPrEx>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 год</w:t>
            </w:r>
          </w:p>
        </w:tc>
        <w:tc>
          <w:tcPr>
            <w:tcW w:w="813" w:type="dxa"/>
            <w:tcBorders>
              <w:bottom w:val="single" w:sz="12" w:space="0" w:color="auto"/>
            </w:tcBorders>
            <w:vAlign w:val="bottom"/>
          </w:tcPr>
          <w:p w:rsidR="00000000" w:rsidRDefault="00000000">
            <w:pPr>
              <w:spacing w:before="40" w:after="40" w:line="210" w:lineRule="exact"/>
              <w:jc w:val="right"/>
              <w:rPr>
                <w:sz w:val="17"/>
              </w:rPr>
            </w:pPr>
            <w:r>
              <w:rPr>
                <w:sz w:val="17"/>
              </w:rPr>
              <w:t>4 024</w:t>
            </w:r>
          </w:p>
        </w:tc>
        <w:tc>
          <w:tcPr>
            <w:tcW w:w="813" w:type="dxa"/>
            <w:tcBorders>
              <w:bottom w:val="single" w:sz="12" w:space="0" w:color="auto"/>
            </w:tcBorders>
            <w:vAlign w:val="bottom"/>
          </w:tcPr>
          <w:p w:rsidR="00000000" w:rsidRDefault="00000000">
            <w:pPr>
              <w:spacing w:before="40" w:after="40" w:line="210" w:lineRule="exact"/>
              <w:jc w:val="right"/>
              <w:rPr>
                <w:sz w:val="17"/>
              </w:rPr>
            </w:pPr>
            <w:r>
              <w:rPr>
                <w:sz w:val="17"/>
              </w:rPr>
              <w:t>4 048</w:t>
            </w:r>
          </w:p>
        </w:tc>
        <w:tc>
          <w:tcPr>
            <w:tcW w:w="813" w:type="dxa"/>
            <w:gridSpan w:val="2"/>
            <w:tcBorders>
              <w:bottom w:val="single" w:sz="12" w:space="0" w:color="auto"/>
            </w:tcBorders>
            <w:vAlign w:val="bottom"/>
          </w:tcPr>
          <w:p w:rsidR="00000000" w:rsidRDefault="00000000">
            <w:pPr>
              <w:spacing w:before="40" w:after="40" w:line="210" w:lineRule="exact"/>
              <w:jc w:val="right"/>
              <w:rPr>
                <w:sz w:val="17"/>
              </w:rPr>
            </w:pPr>
            <w:r>
              <w:rPr>
                <w:sz w:val="17"/>
              </w:rPr>
              <w:t>1 829</w:t>
            </w:r>
          </w:p>
        </w:tc>
        <w:tc>
          <w:tcPr>
            <w:tcW w:w="813" w:type="dxa"/>
            <w:tcBorders>
              <w:bottom w:val="single" w:sz="12" w:space="0" w:color="auto"/>
            </w:tcBorders>
            <w:vAlign w:val="bottom"/>
          </w:tcPr>
          <w:p w:rsidR="00000000" w:rsidRDefault="00000000">
            <w:pPr>
              <w:spacing w:before="40" w:after="40" w:line="210" w:lineRule="exact"/>
              <w:jc w:val="right"/>
              <w:rPr>
                <w:sz w:val="17"/>
              </w:rPr>
            </w:pPr>
            <w:r>
              <w:rPr>
                <w:sz w:val="17"/>
              </w:rPr>
              <w:t>1 805</w:t>
            </w:r>
          </w:p>
        </w:tc>
        <w:tc>
          <w:tcPr>
            <w:tcW w:w="813" w:type="dxa"/>
            <w:gridSpan w:val="2"/>
            <w:tcBorders>
              <w:bottom w:val="single" w:sz="12" w:space="0" w:color="auto"/>
            </w:tcBorders>
            <w:vAlign w:val="bottom"/>
          </w:tcPr>
          <w:p w:rsidR="00000000" w:rsidRDefault="00000000">
            <w:pPr>
              <w:spacing w:before="40" w:after="40" w:line="210" w:lineRule="exact"/>
              <w:jc w:val="right"/>
              <w:rPr>
                <w:sz w:val="17"/>
              </w:rPr>
            </w:pPr>
            <w:r>
              <w:rPr>
                <w:sz w:val="17"/>
              </w:rPr>
              <w:t>0</w:t>
            </w:r>
          </w:p>
        </w:tc>
        <w:tc>
          <w:tcPr>
            <w:tcW w:w="813" w:type="dxa"/>
            <w:tcBorders>
              <w:bottom w:val="single" w:sz="12" w:space="0" w:color="auto"/>
            </w:tcBorders>
            <w:vAlign w:val="bottom"/>
          </w:tcPr>
          <w:p w:rsidR="00000000" w:rsidRDefault="00000000">
            <w:pPr>
              <w:spacing w:before="40" w:after="40" w:line="210" w:lineRule="exact"/>
              <w:jc w:val="right"/>
              <w:rPr>
                <w:sz w:val="17"/>
              </w:rPr>
            </w:pPr>
            <w:r>
              <w:rPr>
                <w:sz w:val="17"/>
              </w:rPr>
              <w:t>0</w:t>
            </w:r>
          </w:p>
        </w:tc>
        <w:tc>
          <w:tcPr>
            <w:tcW w:w="813" w:type="dxa"/>
            <w:gridSpan w:val="2"/>
            <w:tcBorders>
              <w:bottom w:val="single" w:sz="12" w:space="0" w:color="auto"/>
            </w:tcBorders>
            <w:vAlign w:val="bottom"/>
          </w:tcPr>
          <w:p w:rsidR="00000000" w:rsidRDefault="00000000">
            <w:pPr>
              <w:spacing w:before="40" w:after="40" w:line="210" w:lineRule="exact"/>
              <w:jc w:val="right"/>
              <w:rPr>
                <w:sz w:val="17"/>
              </w:rPr>
            </w:pPr>
            <w:r>
              <w:rPr>
                <w:sz w:val="17"/>
              </w:rPr>
              <w:t>31,2</w:t>
            </w:r>
          </w:p>
        </w:tc>
        <w:tc>
          <w:tcPr>
            <w:tcW w:w="813" w:type="dxa"/>
            <w:tcBorders>
              <w:bottom w:val="single" w:sz="12" w:space="0" w:color="auto"/>
            </w:tcBorders>
            <w:vAlign w:val="bottom"/>
          </w:tcPr>
          <w:p w:rsidR="00000000" w:rsidRDefault="00000000">
            <w:pPr>
              <w:spacing w:before="40" w:after="40" w:line="210" w:lineRule="exact"/>
              <w:jc w:val="right"/>
              <w:rPr>
                <w:sz w:val="17"/>
              </w:rPr>
            </w:pPr>
            <w:r>
              <w:rPr>
                <w:sz w:val="17"/>
              </w:rPr>
              <w:t>30,8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sz w:val="20"/>
        </w:rPr>
        <w:t>И</w:t>
      </w:r>
      <w:r>
        <w:rPr>
          <w:i/>
        </w:rPr>
        <w:t>сточник:</w:t>
      </w:r>
      <w:r>
        <w:t xml:space="preserve"> Статистическое бюро Эстонии, www.stat.ee </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000000" w:rsidRDefault="00000000">
      <w:pPr>
        <w:pStyle w:val="SingleTxt"/>
        <w:rPr>
          <w:b/>
        </w:rPr>
      </w:pPr>
      <w:r>
        <w:rPr>
          <w:b/>
        </w:rPr>
        <w:tab/>
        <w:t>c)</w:t>
      </w:r>
      <w:r>
        <w:rPr>
          <w:b/>
          <w:lang w:val="en-US"/>
        </w:rPr>
        <w:tab/>
      </w:r>
      <w:r>
        <w:rPr>
          <w:b/>
        </w:rPr>
        <w:t>одинаковые права и обязанности в период брака и при его ра</w:t>
      </w:r>
      <w:r>
        <w:rPr>
          <w:b/>
        </w:rPr>
        <w:t>с</w:t>
      </w:r>
      <w:r>
        <w:rPr>
          <w:b/>
        </w:rPr>
        <w:t>торж</w:t>
      </w:r>
      <w:r>
        <w:rPr>
          <w:b/>
        </w:rPr>
        <w:t>е</w:t>
      </w:r>
      <w:r>
        <w:rPr>
          <w:b/>
        </w:rPr>
        <w:t>нии;</w:t>
      </w:r>
    </w:p>
    <w:p w:rsidR="00000000" w:rsidRDefault="00000000">
      <w:pPr>
        <w:pStyle w:val="SingleTxt"/>
        <w:rPr>
          <w:lang w:val="en-US"/>
        </w:rPr>
      </w:pPr>
      <w:r>
        <w:rPr>
          <w:lang w:val="en-US"/>
        </w:rPr>
        <w:tab/>
      </w:r>
      <w:r>
        <w:t>В этом отношении никаких поправок со времени представления пред</w:t>
      </w:r>
      <w:r>
        <w:t>ы</w:t>
      </w:r>
      <w:r>
        <w:t>дущего доклада принято не было. Соответствующие положения Закона о семье не м</w:t>
      </w:r>
      <w:r>
        <w:t>е</w:t>
      </w:r>
      <w:r>
        <w:t>нялись.</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Таблица 16.2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Средний возраст мужчин и женщин при заключении первого брака</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Год</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r>
              <w:rPr>
                <w:i/>
                <w:sz w:val="14"/>
                <w:lang w:val="en-US"/>
              </w:rPr>
              <w:t>Мужчины</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r>
              <w:rPr>
                <w:i/>
                <w:sz w:val="14"/>
                <w:lang w:val="en-US"/>
              </w:rPr>
              <w:t>Женщины</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1999</w:t>
            </w:r>
          </w:p>
        </w:tc>
        <w:tc>
          <w:tcPr>
            <w:tcW w:w="244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27,1</w:t>
            </w:r>
          </w:p>
        </w:tc>
        <w:tc>
          <w:tcPr>
            <w:tcW w:w="244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24,6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2000</w:t>
            </w:r>
          </w:p>
        </w:tc>
        <w:tc>
          <w:tcPr>
            <w:tcW w:w="244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27,5</w:t>
            </w:r>
          </w:p>
        </w:tc>
        <w:tc>
          <w:tcPr>
            <w:tcW w:w="244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25,0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2001</w:t>
            </w:r>
          </w:p>
        </w:tc>
        <w:tc>
          <w:tcPr>
            <w:tcW w:w="244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27,8</w:t>
            </w:r>
          </w:p>
        </w:tc>
        <w:tc>
          <w:tcPr>
            <w:tcW w:w="244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25,2</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2002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28,2</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25,5</w:t>
            </w:r>
          </w:p>
        </w:tc>
      </w:tr>
    </w:tbl>
    <w:p w:rsidR="00000000" w:rsidRDefault="00000000">
      <w:pPr>
        <w:pStyle w:val="SingleTxt"/>
        <w:spacing w:after="0" w:line="120" w:lineRule="exact"/>
        <w:rPr>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sz w:val="20"/>
        </w:rPr>
        <w:t>И</w:t>
      </w:r>
      <w:r>
        <w:rPr>
          <w:i/>
        </w:rPr>
        <w:t>сточник:</w:t>
      </w:r>
      <w:r>
        <w:t xml:space="preserve"> Статистическое бюро Эстонии, www.stat.ee </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pPr>
      <w:r>
        <w:tab/>
        <w:t>Количество разводов по сравнению с 1999 годом, когда были расторгнуты 4 561 брак, в 2002 году сократилось до 4 074 браков. Количество разводов в 2002 году составило 3,0 на 1000 жителей.</w:t>
      </w:r>
    </w:p>
    <w:p w:rsidR="00000000" w:rsidRDefault="00000000">
      <w:pPr>
        <w:pStyle w:val="SingleTxt"/>
      </w:pPr>
      <w:r>
        <w:tab/>
        <w:t>Доля разводов среди людей, неоднократно вступавших в брак, оставалась неизменной примерно на уровне 20 процентов, причем как для мужчин, так и для женщин. Статистические данные показывают, что число разводов резко возрастает после 5–9 лет совместной жизни и достигает пика после 10–19 лет жи</w:t>
      </w:r>
      <w:r>
        <w:t>з</w:t>
      </w:r>
      <w:r>
        <w:t>ни в браке.</w:t>
      </w:r>
    </w:p>
    <w:p w:rsidR="00000000" w:rsidRDefault="00000000">
      <w:pPr>
        <w:pStyle w:val="SingleTxt"/>
      </w:pPr>
      <w:r>
        <w:tab/>
        <w:t>В 2000 году в Эстонии были расторгнуты 4230 браков, в 2001 году — 4312 бр</w:t>
      </w:r>
      <w:r>
        <w:t>а</w:t>
      </w:r>
      <w:r>
        <w:t>ков и в 2002 году — 4074 брака.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16.3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Число лиц, расторгнувших первый или не первый брак</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80"/>
        <w:gridCol w:w="780"/>
        <w:gridCol w:w="780"/>
        <w:gridCol w:w="54"/>
        <w:gridCol w:w="726"/>
        <w:gridCol w:w="780"/>
        <w:gridCol w:w="51"/>
        <w:gridCol w:w="730"/>
        <w:gridCol w:w="780"/>
        <w:gridCol w:w="38"/>
        <w:gridCol w:w="742"/>
        <w:gridCol w:w="780"/>
        <w:gridCol w:w="44"/>
        <w:gridCol w:w="736"/>
        <w:gridCol w:w="839"/>
      </w:tblGrid>
      <w:tr w:rsidR="00000000">
        <w:tblPrEx>
          <w:tblCellMar>
            <w:top w:w="0" w:type="dxa"/>
            <w:left w:w="0" w:type="dxa"/>
            <w:bottom w:w="0" w:type="dxa"/>
            <w:right w:w="0" w:type="dxa"/>
          </w:tblCellMar>
        </w:tblPrEx>
        <w:trPr>
          <w:cantSplit/>
          <w:tblHeader/>
        </w:trPr>
        <w:tc>
          <w:tcPr>
            <w:tcW w:w="780" w:type="dxa"/>
            <w:tcBorders>
              <w:top w:val="single" w:sz="4" w:space="0" w:color="auto"/>
            </w:tcBorders>
            <w:vAlign w:val="bottom"/>
          </w:tcPr>
          <w:p w:rsidR="00000000" w:rsidRDefault="00000000">
            <w:pPr>
              <w:keepNext/>
              <w:tabs>
                <w:tab w:val="left" w:pos="288"/>
                <w:tab w:val="left" w:pos="576"/>
                <w:tab w:val="left" w:pos="864"/>
                <w:tab w:val="left" w:pos="1152"/>
              </w:tabs>
              <w:spacing w:before="81" w:after="40" w:line="160" w:lineRule="exact"/>
              <w:ind w:right="43"/>
              <w:jc w:val="center"/>
              <w:rPr>
                <w:i/>
                <w:sz w:val="14"/>
              </w:rPr>
            </w:pPr>
          </w:p>
        </w:tc>
        <w:tc>
          <w:tcPr>
            <w:tcW w:w="1560" w:type="dxa"/>
            <w:gridSpan w:val="2"/>
            <w:tcBorders>
              <w:top w:val="single" w:sz="4" w:space="0" w:color="auto"/>
              <w:bottom w:val="single" w:sz="4" w:space="0" w:color="auto"/>
            </w:tcBorders>
            <w:vAlign w:val="bottom"/>
          </w:tcPr>
          <w:p w:rsidR="00000000" w:rsidRDefault="00000000">
            <w:pPr>
              <w:keepNext/>
              <w:tabs>
                <w:tab w:val="left" w:pos="288"/>
                <w:tab w:val="left" w:pos="576"/>
                <w:tab w:val="left" w:pos="864"/>
                <w:tab w:val="left" w:pos="1152"/>
              </w:tabs>
              <w:spacing w:before="81" w:after="40" w:line="160" w:lineRule="exact"/>
              <w:ind w:right="43"/>
              <w:jc w:val="center"/>
              <w:rPr>
                <w:i/>
                <w:sz w:val="14"/>
              </w:rPr>
            </w:pPr>
            <w:r>
              <w:rPr>
                <w:i/>
                <w:sz w:val="14"/>
              </w:rPr>
              <w:t>Расторгли первый брак</w:t>
            </w:r>
          </w:p>
        </w:tc>
        <w:tc>
          <w:tcPr>
            <w:tcW w:w="54" w:type="dxa"/>
            <w:tcBorders>
              <w:top w:val="single" w:sz="4" w:space="0" w:color="auto"/>
            </w:tcBorders>
            <w:vAlign w:val="bottom"/>
          </w:tcPr>
          <w:p w:rsidR="00000000" w:rsidRDefault="00000000">
            <w:pPr>
              <w:keepNext/>
              <w:tabs>
                <w:tab w:val="left" w:pos="288"/>
                <w:tab w:val="left" w:pos="576"/>
                <w:tab w:val="left" w:pos="864"/>
                <w:tab w:val="left" w:pos="1152"/>
              </w:tabs>
              <w:spacing w:before="81" w:after="40" w:line="160" w:lineRule="exact"/>
              <w:ind w:right="43"/>
              <w:jc w:val="center"/>
              <w:rPr>
                <w:i/>
                <w:sz w:val="14"/>
              </w:rPr>
            </w:pPr>
          </w:p>
        </w:tc>
        <w:tc>
          <w:tcPr>
            <w:tcW w:w="1506" w:type="dxa"/>
            <w:gridSpan w:val="2"/>
            <w:tcBorders>
              <w:top w:val="single" w:sz="4" w:space="0" w:color="auto"/>
              <w:bottom w:val="single" w:sz="4" w:space="0" w:color="auto"/>
            </w:tcBorders>
            <w:vAlign w:val="bottom"/>
          </w:tcPr>
          <w:p w:rsidR="00000000" w:rsidRDefault="00000000">
            <w:pPr>
              <w:keepNext/>
              <w:tabs>
                <w:tab w:val="left" w:pos="288"/>
                <w:tab w:val="left" w:pos="576"/>
                <w:tab w:val="left" w:pos="864"/>
                <w:tab w:val="left" w:pos="1152"/>
              </w:tabs>
              <w:spacing w:before="81" w:after="40" w:line="160" w:lineRule="exact"/>
              <w:ind w:right="43"/>
              <w:jc w:val="center"/>
              <w:rPr>
                <w:i/>
                <w:sz w:val="14"/>
              </w:rPr>
            </w:pPr>
            <w:r>
              <w:rPr>
                <w:i/>
                <w:sz w:val="14"/>
              </w:rPr>
              <w:t>Расторгли не первый брак</w:t>
            </w:r>
          </w:p>
        </w:tc>
        <w:tc>
          <w:tcPr>
            <w:tcW w:w="51" w:type="dxa"/>
            <w:tcBorders>
              <w:top w:val="single" w:sz="4" w:space="0" w:color="auto"/>
            </w:tcBorders>
            <w:vAlign w:val="bottom"/>
          </w:tcPr>
          <w:p w:rsidR="00000000" w:rsidRDefault="00000000">
            <w:pPr>
              <w:keepNext/>
              <w:tabs>
                <w:tab w:val="left" w:pos="288"/>
                <w:tab w:val="left" w:pos="576"/>
                <w:tab w:val="left" w:pos="864"/>
                <w:tab w:val="left" w:pos="1152"/>
              </w:tabs>
              <w:spacing w:before="81" w:after="40" w:line="160" w:lineRule="exact"/>
              <w:ind w:right="43"/>
              <w:jc w:val="center"/>
              <w:rPr>
                <w:i/>
                <w:sz w:val="14"/>
              </w:rPr>
            </w:pPr>
          </w:p>
        </w:tc>
        <w:tc>
          <w:tcPr>
            <w:tcW w:w="1510" w:type="dxa"/>
            <w:gridSpan w:val="2"/>
            <w:tcBorders>
              <w:top w:val="single" w:sz="4" w:space="0" w:color="auto"/>
              <w:bottom w:val="single" w:sz="4" w:space="0" w:color="auto"/>
            </w:tcBorders>
            <w:vAlign w:val="bottom"/>
          </w:tcPr>
          <w:p w:rsidR="00000000" w:rsidRDefault="00000000">
            <w:pPr>
              <w:keepNext/>
              <w:tabs>
                <w:tab w:val="left" w:pos="288"/>
                <w:tab w:val="left" w:pos="576"/>
                <w:tab w:val="left" w:pos="864"/>
                <w:tab w:val="left" w:pos="1152"/>
              </w:tabs>
              <w:spacing w:before="81" w:after="40" w:line="160" w:lineRule="exact"/>
              <w:ind w:right="43"/>
              <w:jc w:val="center"/>
              <w:rPr>
                <w:i/>
                <w:sz w:val="14"/>
              </w:rPr>
            </w:pPr>
            <w:r>
              <w:rPr>
                <w:i/>
                <w:sz w:val="14"/>
              </w:rPr>
              <w:t>Количество растор</w:t>
            </w:r>
            <w:r>
              <w:rPr>
                <w:i/>
                <w:sz w:val="14"/>
              </w:rPr>
              <w:t>г</w:t>
            </w:r>
            <w:r>
              <w:rPr>
                <w:i/>
                <w:sz w:val="14"/>
              </w:rPr>
              <w:t>нутых браков неи</w:t>
            </w:r>
            <w:r>
              <w:rPr>
                <w:i/>
                <w:sz w:val="14"/>
              </w:rPr>
              <w:t>з</w:t>
            </w:r>
            <w:r>
              <w:rPr>
                <w:i/>
                <w:sz w:val="14"/>
              </w:rPr>
              <w:t>вестно</w:t>
            </w:r>
          </w:p>
        </w:tc>
        <w:tc>
          <w:tcPr>
            <w:tcW w:w="38" w:type="dxa"/>
            <w:tcBorders>
              <w:top w:val="single" w:sz="4" w:space="0" w:color="auto"/>
            </w:tcBorders>
            <w:vAlign w:val="bottom"/>
          </w:tcPr>
          <w:p w:rsidR="00000000" w:rsidRDefault="00000000">
            <w:pPr>
              <w:keepNext/>
              <w:tabs>
                <w:tab w:val="left" w:pos="288"/>
                <w:tab w:val="left" w:pos="576"/>
                <w:tab w:val="left" w:pos="864"/>
                <w:tab w:val="left" w:pos="1152"/>
              </w:tabs>
              <w:spacing w:before="81" w:after="40" w:line="160" w:lineRule="exact"/>
              <w:ind w:right="43"/>
              <w:jc w:val="center"/>
              <w:rPr>
                <w:i/>
                <w:sz w:val="14"/>
              </w:rPr>
            </w:pPr>
          </w:p>
        </w:tc>
        <w:tc>
          <w:tcPr>
            <w:tcW w:w="1522" w:type="dxa"/>
            <w:gridSpan w:val="2"/>
            <w:tcBorders>
              <w:top w:val="single" w:sz="4" w:space="0" w:color="auto"/>
              <w:bottom w:val="single" w:sz="4" w:space="0" w:color="auto"/>
            </w:tcBorders>
            <w:vAlign w:val="bottom"/>
          </w:tcPr>
          <w:p w:rsidR="00000000" w:rsidRDefault="00000000">
            <w:pPr>
              <w:keepNext/>
              <w:tabs>
                <w:tab w:val="left" w:pos="288"/>
                <w:tab w:val="left" w:pos="576"/>
                <w:tab w:val="left" w:pos="864"/>
                <w:tab w:val="left" w:pos="1152"/>
              </w:tabs>
              <w:spacing w:before="81" w:after="40" w:line="160" w:lineRule="exact"/>
              <w:ind w:right="43"/>
              <w:jc w:val="center"/>
              <w:rPr>
                <w:i/>
                <w:sz w:val="14"/>
              </w:rPr>
            </w:pPr>
            <w:r>
              <w:rPr>
                <w:i/>
                <w:sz w:val="14"/>
              </w:rPr>
              <w:t>Доля лиц, растор</w:t>
            </w:r>
            <w:r>
              <w:rPr>
                <w:i/>
                <w:sz w:val="14"/>
              </w:rPr>
              <w:t>г</w:t>
            </w:r>
            <w:r>
              <w:rPr>
                <w:i/>
                <w:sz w:val="14"/>
              </w:rPr>
              <w:t xml:space="preserve">нувших не первый брак, </w:t>
            </w:r>
            <w:r>
              <w:rPr>
                <w:i/>
                <w:sz w:val="14"/>
                <w:lang w:val="en-US"/>
              </w:rPr>
              <w:t>%</w:t>
            </w:r>
          </w:p>
        </w:tc>
        <w:tc>
          <w:tcPr>
            <w:tcW w:w="44" w:type="dxa"/>
            <w:tcBorders>
              <w:top w:val="single" w:sz="4" w:space="0" w:color="auto"/>
            </w:tcBorders>
            <w:vAlign w:val="bottom"/>
          </w:tcPr>
          <w:p w:rsidR="00000000" w:rsidRDefault="00000000">
            <w:pPr>
              <w:keepNext/>
              <w:tabs>
                <w:tab w:val="left" w:pos="288"/>
                <w:tab w:val="left" w:pos="576"/>
                <w:tab w:val="left" w:pos="864"/>
                <w:tab w:val="left" w:pos="1152"/>
              </w:tabs>
              <w:spacing w:before="81" w:after="40" w:line="160" w:lineRule="exact"/>
              <w:ind w:right="43"/>
              <w:jc w:val="center"/>
              <w:rPr>
                <w:i/>
                <w:sz w:val="14"/>
              </w:rPr>
            </w:pPr>
          </w:p>
        </w:tc>
        <w:tc>
          <w:tcPr>
            <w:tcW w:w="1575" w:type="dxa"/>
            <w:gridSpan w:val="2"/>
            <w:tcBorders>
              <w:top w:val="single" w:sz="4" w:space="0" w:color="auto"/>
              <w:bottom w:val="single" w:sz="4" w:space="0" w:color="auto"/>
            </w:tcBorders>
            <w:vAlign w:val="bottom"/>
          </w:tcPr>
          <w:p w:rsidR="00000000" w:rsidRDefault="00000000">
            <w:pPr>
              <w:keepNext/>
              <w:tabs>
                <w:tab w:val="left" w:pos="288"/>
                <w:tab w:val="left" w:pos="576"/>
                <w:tab w:val="left" w:pos="864"/>
                <w:tab w:val="left" w:pos="1152"/>
              </w:tabs>
              <w:spacing w:before="81" w:after="40" w:line="160" w:lineRule="exact"/>
              <w:ind w:right="43"/>
              <w:jc w:val="center"/>
              <w:rPr>
                <w:i/>
                <w:sz w:val="14"/>
              </w:rPr>
            </w:pPr>
            <w:r>
              <w:rPr>
                <w:i/>
                <w:sz w:val="14"/>
              </w:rPr>
              <w:t>Доля лиц, расторгну</w:t>
            </w:r>
            <w:r>
              <w:rPr>
                <w:i/>
                <w:sz w:val="14"/>
              </w:rPr>
              <w:t>в</w:t>
            </w:r>
            <w:r>
              <w:rPr>
                <w:i/>
                <w:sz w:val="14"/>
              </w:rPr>
              <w:t>ших брак, но в кот</w:t>
            </w:r>
            <w:r>
              <w:rPr>
                <w:i/>
                <w:sz w:val="14"/>
              </w:rPr>
              <w:t>о</w:t>
            </w:r>
            <w:r>
              <w:rPr>
                <w:i/>
                <w:sz w:val="14"/>
              </w:rPr>
              <w:t xml:space="preserve">рый раз, неизвестно, </w:t>
            </w:r>
            <w:r>
              <w:rPr>
                <w:i/>
                <w:sz w:val="14"/>
                <w:lang w:val="en-US"/>
              </w:rPr>
              <w:t>%</w:t>
            </w:r>
          </w:p>
        </w:tc>
      </w:tr>
      <w:tr w:rsidR="00000000">
        <w:tblPrEx>
          <w:tblCellMar>
            <w:top w:w="0" w:type="dxa"/>
            <w:left w:w="0" w:type="dxa"/>
            <w:bottom w:w="0" w:type="dxa"/>
            <w:right w:w="0" w:type="dxa"/>
          </w:tblCellMar>
        </w:tblPrEx>
        <w:trPr>
          <w:tblHeader/>
        </w:trPr>
        <w:tc>
          <w:tcPr>
            <w:tcW w:w="780" w:type="dxa"/>
            <w:vAlign w:val="bottom"/>
          </w:tcPr>
          <w:p w:rsidR="00000000" w:rsidRDefault="00000000">
            <w:pPr>
              <w:tabs>
                <w:tab w:val="left" w:pos="288"/>
                <w:tab w:val="left" w:pos="576"/>
                <w:tab w:val="left" w:pos="864"/>
                <w:tab w:val="left" w:pos="1152"/>
              </w:tabs>
              <w:spacing w:before="40" w:after="81" w:line="160" w:lineRule="exact"/>
              <w:ind w:right="43"/>
              <w:rPr>
                <w:i/>
                <w:sz w:val="14"/>
              </w:rPr>
            </w:pPr>
          </w:p>
        </w:tc>
        <w:tc>
          <w:tcPr>
            <w:tcW w:w="78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Мужчины</w:t>
            </w:r>
          </w:p>
        </w:tc>
        <w:tc>
          <w:tcPr>
            <w:tcW w:w="78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Женщины</w:t>
            </w:r>
          </w:p>
        </w:tc>
        <w:tc>
          <w:tcPr>
            <w:tcW w:w="780"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Мужчины</w:t>
            </w:r>
          </w:p>
        </w:tc>
        <w:tc>
          <w:tcPr>
            <w:tcW w:w="78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Женщины</w:t>
            </w:r>
          </w:p>
        </w:tc>
        <w:tc>
          <w:tcPr>
            <w:tcW w:w="781"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Мужчины</w:t>
            </w:r>
          </w:p>
        </w:tc>
        <w:tc>
          <w:tcPr>
            <w:tcW w:w="78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Женщины</w:t>
            </w:r>
          </w:p>
        </w:tc>
        <w:tc>
          <w:tcPr>
            <w:tcW w:w="780"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Мужчины</w:t>
            </w:r>
          </w:p>
        </w:tc>
        <w:tc>
          <w:tcPr>
            <w:tcW w:w="78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Женщины</w:t>
            </w:r>
          </w:p>
        </w:tc>
        <w:tc>
          <w:tcPr>
            <w:tcW w:w="780"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Мужчины</w:t>
            </w:r>
          </w:p>
        </w:tc>
        <w:tc>
          <w:tcPr>
            <w:tcW w:w="839"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Женщины</w:t>
            </w:r>
          </w:p>
        </w:tc>
      </w:tr>
      <w:tr w:rsidR="00000000">
        <w:tblPrEx>
          <w:tblCellMar>
            <w:top w:w="0" w:type="dxa"/>
            <w:left w:w="0" w:type="dxa"/>
            <w:bottom w:w="0" w:type="dxa"/>
            <w:right w:w="0" w:type="dxa"/>
          </w:tblCellMar>
        </w:tblPrEx>
        <w:trPr>
          <w:trHeight w:hRule="exact" w:val="115"/>
          <w:tblHeader/>
        </w:trPr>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 год</w:t>
            </w:r>
          </w:p>
        </w:tc>
        <w:tc>
          <w:tcPr>
            <w:tcW w:w="780" w:type="dxa"/>
            <w:vAlign w:val="bottom"/>
          </w:tcPr>
          <w:p w:rsidR="00000000" w:rsidRDefault="00000000">
            <w:pPr>
              <w:spacing w:before="40" w:after="40" w:line="210" w:lineRule="exact"/>
              <w:jc w:val="right"/>
              <w:rPr>
                <w:sz w:val="17"/>
              </w:rPr>
            </w:pPr>
            <w:r>
              <w:rPr>
                <w:sz w:val="17"/>
              </w:rPr>
              <w:t>3 424</w:t>
            </w:r>
          </w:p>
        </w:tc>
        <w:tc>
          <w:tcPr>
            <w:tcW w:w="780" w:type="dxa"/>
            <w:vAlign w:val="bottom"/>
          </w:tcPr>
          <w:p w:rsidR="00000000" w:rsidRDefault="00000000">
            <w:pPr>
              <w:spacing w:before="40" w:after="40" w:line="210" w:lineRule="exact"/>
              <w:jc w:val="right"/>
              <w:rPr>
                <w:sz w:val="17"/>
              </w:rPr>
            </w:pPr>
            <w:r>
              <w:rPr>
                <w:sz w:val="17"/>
              </w:rPr>
              <w:t>3 440</w:t>
            </w:r>
          </w:p>
        </w:tc>
        <w:tc>
          <w:tcPr>
            <w:tcW w:w="780" w:type="dxa"/>
            <w:gridSpan w:val="2"/>
            <w:vAlign w:val="bottom"/>
          </w:tcPr>
          <w:p w:rsidR="00000000" w:rsidRDefault="00000000">
            <w:pPr>
              <w:spacing w:before="40" w:after="40" w:line="210" w:lineRule="exact"/>
              <w:jc w:val="right"/>
              <w:rPr>
                <w:sz w:val="17"/>
              </w:rPr>
            </w:pPr>
            <w:r>
              <w:rPr>
                <w:sz w:val="17"/>
              </w:rPr>
              <w:t>806</w:t>
            </w:r>
          </w:p>
        </w:tc>
        <w:tc>
          <w:tcPr>
            <w:tcW w:w="780" w:type="dxa"/>
            <w:vAlign w:val="bottom"/>
          </w:tcPr>
          <w:p w:rsidR="00000000" w:rsidRDefault="00000000">
            <w:pPr>
              <w:spacing w:before="40" w:after="40" w:line="210" w:lineRule="exact"/>
              <w:jc w:val="right"/>
              <w:rPr>
                <w:sz w:val="17"/>
              </w:rPr>
            </w:pPr>
            <w:r>
              <w:rPr>
                <w:sz w:val="17"/>
              </w:rPr>
              <w:t>789</w:t>
            </w:r>
          </w:p>
        </w:tc>
        <w:tc>
          <w:tcPr>
            <w:tcW w:w="781" w:type="dxa"/>
            <w:gridSpan w:val="2"/>
            <w:vAlign w:val="bottom"/>
          </w:tcPr>
          <w:p w:rsidR="00000000" w:rsidRDefault="00000000">
            <w:pPr>
              <w:spacing w:before="40" w:after="40" w:line="210" w:lineRule="exact"/>
              <w:jc w:val="right"/>
              <w:rPr>
                <w:sz w:val="17"/>
              </w:rPr>
            </w:pPr>
            <w:r>
              <w:rPr>
                <w:sz w:val="17"/>
              </w:rPr>
              <w:t>0</w:t>
            </w:r>
          </w:p>
        </w:tc>
        <w:tc>
          <w:tcPr>
            <w:tcW w:w="780" w:type="dxa"/>
            <w:vAlign w:val="bottom"/>
          </w:tcPr>
          <w:p w:rsidR="00000000" w:rsidRDefault="00000000">
            <w:pPr>
              <w:spacing w:before="40" w:after="40" w:line="210" w:lineRule="exact"/>
              <w:jc w:val="right"/>
              <w:rPr>
                <w:sz w:val="17"/>
              </w:rPr>
            </w:pPr>
            <w:r>
              <w:rPr>
                <w:sz w:val="17"/>
              </w:rPr>
              <w:t>1</w:t>
            </w:r>
          </w:p>
        </w:tc>
        <w:tc>
          <w:tcPr>
            <w:tcW w:w="780" w:type="dxa"/>
            <w:gridSpan w:val="2"/>
            <w:vAlign w:val="bottom"/>
          </w:tcPr>
          <w:p w:rsidR="00000000" w:rsidRDefault="00000000">
            <w:pPr>
              <w:spacing w:before="40" w:after="40" w:line="210" w:lineRule="exact"/>
              <w:jc w:val="right"/>
              <w:rPr>
                <w:sz w:val="17"/>
              </w:rPr>
            </w:pPr>
            <w:r>
              <w:rPr>
                <w:sz w:val="17"/>
              </w:rPr>
              <w:t>19,1</w:t>
            </w:r>
          </w:p>
        </w:tc>
        <w:tc>
          <w:tcPr>
            <w:tcW w:w="780" w:type="dxa"/>
            <w:vAlign w:val="bottom"/>
          </w:tcPr>
          <w:p w:rsidR="00000000" w:rsidRDefault="00000000">
            <w:pPr>
              <w:spacing w:before="40" w:after="40" w:line="210" w:lineRule="exact"/>
              <w:jc w:val="right"/>
              <w:rPr>
                <w:sz w:val="17"/>
              </w:rPr>
            </w:pPr>
            <w:r>
              <w:rPr>
                <w:sz w:val="17"/>
              </w:rPr>
              <w:t>18,7</w:t>
            </w:r>
          </w:p>
        </w:tc>
        <w:tc>
          <w:tcPr>
            <w:tcW w:w="780" w:type="dxa"/>
            <w:gridSpan w:val="2"/>
            <w:vAlign w:val="bottom"/>
          </w:tcPr>
          <w:p w:rsidR="00000000" w:rsidRDefault="00000000">
            <w:pPr>
              <w:spacing w:before="40" w:after="40" w:line="210" w:lineRule="exact"/>
              <w:jc w:val="right"/>
              <w:rPr>
                <w:sz w:val="17"/>
              </w:rPr>
            </w:pPr>
            <w:r>
              <w:rPr>
                <w:sz w:val="17"/>
              </w:rPr>
              <w:t>0</w:t>
            </w:r>
          </w:p>
        </w:tc>
        <w:tc>
          <w:tcPr>
            <w:tcW w:w="839" w:type="dxa"/>
            <w:vAlign w:val="bottom"/>
          </w:tcPr>
          <w:p w:rsidR="00000000" w:rsidRDefault="00000000">
            <w:pPr>
              <w:spacing w:before="40" w:after="40" w:line="210" w:lineRule="exact"/>
              <w:jc w:val="right"/>
              <w:rPr>
                <w:sz w:val="17"/>
              </w:rPr>
            </w:pPr>
            <w:r>
              <w:rPr>
                <w:sz w:val="17"/>
              </w:rPr>
              <w:t>0</w:t>
            </w:r>
          </w:p>
        </w:tc>
      </w:tr>
      <w:tr w:rsidR="00000000">
        <w:tblPrEx>
          <w:tblCellMar>
            <w:top w:w="0" w:type="dxa"/>
            <w:left w:w="0" w:type="dxa"/>
            <w:bottom w:w="0" w:type="dxa"/>
            <w:right w:w="0" w:type="dxa"/>
          </w:tblCellMar>
        </w:tblPrEx>
        <w:tc>
          <w:tcPr>
            <w:tcW w:w="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 год</w:t>
            </w:r>
          </w:p>
        </w:tc>
        <w:tc>
          <w:tcPr>
            <w:tcW w:w="780" w:type="dxa"/>
            <w:vAlign w:val="bottom"/>
          </w:tcPr>
          <w:p w:rsidR="00000000" w:rsidRDefault="00000000">
            <w:pPr>
              <w:spacing w:before="40" w:after="40" w:line="210" w:lineRule="exact"/>
              <w:jc w:val="right"/>
              <w:rPr>
                <w:sz w:val="17"/>
              </w:rPr>
            </w:pPr>
            <w:r>
              <w:rPr>
                <w:sz w:val="17"/>
              </w:rPr>
              <w:t>3 393</w:t>
            </w:r>
          </w:p>
        </w:tc>
        <w:tc>
          <w:tcPr>
            <w:tcW w:w="780" w:type="dxa"/>
            <w:vAlign w:val="bottom"/>
          </w:tcPr>
          <w:p w:rsidR="00000000" w:rsidRDefault="00000000">
            <w:pPr>
              <w:spacing w:before="40" w:after="40" w:line="210" w:lineRule="exact"/>
              <w:jc w:val="right"/>
              <w:rPr>
                <w:sz w:val="17"/>
              </w:rPr>
            </w:pPr>
            <w:r>
              <w:rPr>
                <w:sz w:val="17"/>
              </w:rPr>
              <w:t>3 467</w:t>
            </w:r>
          </w:p>
        </w:tc>
        <w:tc>
          <w:tcPr>
            <w:tcW w:w="780" w:type="dxa"/>
            <w:gridSpan w:val="2"/>
            <w:vAlign w:val="bottom"/>
          </w:tcPr>
          <w:p w:rsidR="00000000" w:rsidRDefault="00000000">
            <w:pPr>
              <w:spacing w:before="40" w:after="40" w:line="210" w:lineRule="exact"/>
              <w:jc w:val="right"/>
              <w:rPr>
                <w:sz w:val="17"/>
              </w:rPr>
            </w:pPr>
            <w:r>
              <w:rPr>
                <w:sz w:val="17"/>
              </w:rPr>
              <w:t>918</w:t>
            </w:r>
          </w:p>
        </w:tc>
        <w:tc>
          <w:tcPr>
            <w:tcW w:w="780" w:type="dxa"/>
            <w:vAlign w:val="bottom"/>
          </w:tcPr>
          <w:p w:rsidR="00000000" w:rsidRDefault="00000000">
            <w:pPr>
              <w:spacing w:before="40" w:after="40" w:line="210" w:lineRule="exact"/>
              <w:jc w:val="right"/>
              <w:rPr>
                <w:sz w:val="17"/>
              </w:rPr>
            </w:pPr>
            <w:r>
              <w:rPr>
                <w:sz w:val="17"/>
              </w:rPr>
              <w:t>845</w:t>
            </w:r>
          </w:p>
        </w:tc>
        <w:tc>
          <w:tcPr>
            <w:tcW w:w="781" w:type="dxa"/>
            <w:gridSpan w:val="2"/>
            <w:vAlign w:val="bottom"/>
          </w:tcPr>
          <w:p w:rsidR="00000000" w:rsidRDefault="00000000">
            <w:pPr>
              <w:spacing w:before="40" w:after="40" w:line="210" w:lineRule="exact"/>
              <w:jc w:val="right"/>
              <w:rPr>
                <w:sz w:val="17"/>
              </w:rPr>
            </w:pPr>
            <w:r>
              <w:rPr>
                <w:sz w:val="17"/>
              </w:rPr>
              <w:t>1</w:t>
            </w:r>
          </w:p>
        </w:tc>
        <w:tc>
          <w:tcPr>
            <w:tcW w:w="780" w:type="dxa"/>
            <w:vAlign w:val="bottom"/>
          </w:tcPr>
          <w:p w:rsidR="00000000" w:rsidRDefault="00000000">
            <w:pPr>
              <w:spacing w:before="40" w:after="40" w:line="210" w:lineRule="exact"/>
              <w:jc w:val="right"/>
              <w:rPr>
                <w:sz w:val="17"/>
              </w:rPr>
            </w:pPr>
            <w:r>
              <w:rPr>
                <w:sz w:val="17"/>
              </w:rPr>
              <w:t>0</w:t>
            </w:r>
          </w:p>
        </w:tc>
        <w:tc>
          <w:tcPr>
            <w:tcW w:w="780" w:type="dxa"/>
            <w:gridSpan w:val="2"/>
            <w:vAlign w:val="bottom"/>
          </w:tcPr>
          <w:p w:rsidR="00000000" w:rsidRDefault="00000000">
            <w:pPr>
              <w:spacing w:before="40" w:after="40" w:line="210" w:lineRule="exact"/>
              <w:jc w:val="right"/>
              <w:rPr>
                <w:sz w:val="17"/>
              </w:rPr>
            </w:pPr>
            <w:r>
              <w:rPr>
                <w:sz w:val="17"/>
              </w:rPr>
              <w:t>21,3</w:t>
            </w:r>
          </w:p>
        </w:tc>
        <w:tc>
          <w:tcPr>
            <w:tcW w:w="780" w:type="dxa"/>
            <w:vAlign w:val="bottom"/>
          </w:tcPr>
          <w:p w:rsidR="00000000" w:rsidRDefault="00000000">
            <w:pPr>
              <w:spacing w:before="40" w:after="40" w:line="210" w:lineRule="exact"/>
              <w:jc w:val="right"/>
              <w:rPr>
                <w:sz w:val="17"/>
              </w:rPr>
            </w:pPr>
            <w:r>
              <w:rPr>
                <w:sz w:val="17"/>
              </w:rPr>
              <w:t>19,6</w:t>
            </w:r>
          </w:p>
        </w:tc>
        <w:tc>
          <w:tcPr>
            <w:tcW w:w="780" w:type="dxa"/>
            <w:gridSpan w:val="2"/>
            <w:vAlign w:val="bottom"/>
          </w:tcPr>
          <w:p w:rsidR="00000000" w:rsidRDefault="00000000">
            <w:pPr>
              <w:spacing w:before="40" w:after="40" w:line="210" w:lineRule="exact"/>
              <w:jc w:val="right"/>
              <w:rPr>
                <w:sz w:val="17"/>
              </w:rPr>
            </w:pPr>
            <w:r>
              <w:rPr>
                <w:sz w:val="17"/>
              </w:rPr>
              <w:t>0</w:t>
            </w:r>
          </w:p>
        </w:tc>
        <w:tc>
          <w:tcPr>
            <w:tcW w:w="839" w:type="dxa"/>
            <w:vAlign w:val="bottom"/>
          </w:tcPr>
          <w:p w:rsidR="00000000" w:rsidRDefault="00000000">
            <w:pPr>
              <w:spacing w:before="40" w:after="40" w:line="210" w:lineRule="exact"/>
              <w:jc w:val="right"/>
              <w:rPr>
                <w:sz w:val="17"/>
              </w:rPr>
            </w:pPr>
            <w:r>
              <w:rPr>
                <w:sz w:val="17"/>
              </w:rPr>
              <w:t>0</w:t>
            </w:r>
          </w:p>
        </w:tc>
      </w:tr>
      <w:tr w:rsidR="00000000">
        <w:tblPrEx>
          <w:tblCellMar>
            <w:top w:w="0" w:type="dxa"/>
            <w:left w:w="0" w:type="dxa"/>
            <w:bottom w:w="0" w:type="dxa"/>
            <w:right w:w="0" w:type="dxa"/>
          </w:tblCellMar>
        </w:tblPrEx>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 год</w:t>
            </w:r>
          </w:p>
        </w:tc>
        <w:tc>
          <w:tcPr>
            <w:tcW w:w="780" w:type="dxa"/>
            <w:tcBorders>
              <w:bottom w:val="single" w:sz="12" w:space="0" w:color="auto"/>
            </w:tcBorders>
            <w:vAlign w:val="bottom"/>
          </w:tcPr>
          <w:p w:rsidR="00000000" w:rsidRDefault="00000000">
            <w:pPr>
              <w:spacing w:before="40" w:after="40" w:line="210" w:lineRule="exact"/>
              <w:jc w:val="right"/>
              <w:rPr>
                <w:sz w:val="17"/>
              </w:rPr>
            </w:pPr>
            <w:r>
              <w:rPr>
                <w:sz w:val="17"/>
              </w:rPr>
              <w:t>3 267</w:t>
            </w:r>
          </w:p>
        </w:tc>
        <w:tc>
          <w:tcPr>
            <w:tcW w:w="780" w:type="dxa"/>
            <w:tcBorders>
              <w:bottom w:val="single" w:sz="12" w:space="0" w:color="auto"/>
            </w:tcBorders>
            <w:vAlign w:val="bottom"/>
          </w:tcPr>
          <w:p w:rsidR="00000000" w:rsidRDefault="00000000">
            <w:pPr>
              <w:spacing w:before="40" w:after="40" w:line="210" w:lineRule="exact"/>
              <w:jc w:val="right"/>
              <w:rPr>
                <w:sz w:val="17"/>
              </w:rPr>
            </w:pPr>
            <w:r>
              <w:rPr>
                <w:sz w:val="17"/>
              </w:rPr>
              <w:t>3 225</w:t>
            </w:r>
          </w:p>
        </w:tc>
        <w:tc>
          <w:tcPr>
            <w:tcW w:w="780" w:type="dxa"/>
            <w:gridSpan w:val="2"/>
            <w:tcBorders>
              <w:bottom w:val="single" w:sz="12" w:space="0" w:color="auto"/>
            </w:tcBorders>
            <w:vAlign w:val="bottom"/>
          </w:tcPr>
          <w:p w:rsidR="00000000" w:rsidRDefault="00000000">
            <w:pPr>
              <w:spacing w:before="40" w:after="40" w:line="210" w:lineRule="exact"/>
              <w:jc w:val="right"/>
              <w:rPr>
                <w:sz w:val="17"/>
              </w:rPr>
            </w:pPr>
            <w:r>
              <w:rPr>
                <w:sz w:val="17"/>
              </w:rPr>
              <w:t>798</w:t>
            </w:r>
          </w:p>
        </w:tc>
        <w:tc>
          <w:tcPr>
            <w:tcW w:w="780" w:type="dxa"/>
            <w:tcBorders>
              <w:bottom w:val="single" w:sz="12" w:space="0" w:color="auto"/>
            </w:tcBorders>
            <w:vAlign w:val="bottom"/>
          </w:tcPr>
          <w:p w:rsidR="00000000" w:rsidRDefault="00000000">
            <w:pPr>
              <w:spacing w:before="40" w:after="40" w:line="210" w:lineRule="exact"/>
              <w:jc w:val="right"/>
              <w:rPr>
                <w:sz w:val="17"/>
              </w:rPr>
            </w:pPr>
            <w:r>
              <w:rPr>
                <w:sz w:val="17"/>
              </w:rPr>
              <w:t>829</w:t>
            </w:r>
          </w:p>
        </w:tc>
        <w:tc>
          <w:tcPr>
            <w:tcW w:w="781" w:type="dxa"/>
            <w:gridSpan w:val="2"/>
            <w:tcBorders>
              <w:bottom w:val="single" w:sz="12" w:space="0" w:color="auto"/>
            </w:tcBorders>
            <w:vAlign w:val="bottom"/>
          </w:tcPr>
          <w:p w:rsidR="00000000" w:rsidRDefault="00000000">
            <w:pPr>
              <w:spacing w:before="40" w:after="40" w:line="210" w:lineRule="exact"/>
              <w:jc w:val="right"/>
              <w:rPr>
                <w:sz w:val="17"/>
              </w:rPr>
            </w:pPr>
            <w:r>
              <w:rPr>
                <w:sz w:val="17"/>
              </w:rPr>
              <w:t>9</w:t>
            </w:r>
          </w:p>
        </w:tc>
        <w:tc>
          <w:tcPr>
            <w:tcW w:w="780" w:type="dxa"/>
            <w:tcBorders>
              <w:bottom w:val="single" w:sz="12" w:space="0" w:color="auto"/>
            </w:tcBorders>
            <w:vAlign w:val="bottom"/>
          </w:tcPr>
          <w:p w:rsidR="00000000" w:rsidRDefault="00000000">
            <w:pPr>
              <w:spacing w:before="40" w:after="40" w:line="210" w:lineRule="exact"/>
              <w:jc w:val="right"/>
              <w:rPr>
                <w:sz w:val="17"/>
              </w:rPr>
            </w:pPr>
            <w:r>
              <w:rPr>
                <w:sz w:val="17"/>
              </w:rPr>
              <w:t>20</w:t>
            </w:r>
          </w:p>
        </w:tc>
        <w:tc>
          <w:tcPr>
            <w:tcW w:w="780" w:type="dxa"/>
            <w:gridSpan w:val="2"/>
            <w:tcBorders>
              <w:bottom w:val="single" w:sz="12" w:space="0" w:color="auto"/>
            </w:tcBorders>
            <w:vAlign w:val="bottom"/>
          </w:tcPr>
          <w:p w:rsidR="00000000" w:rsidRDefault="00000000">
            <w:pPr>
              <w:spacing w:before="40" w:after="40" w:line="210" w:lineRule="exact"/>
              <w:jc w:val="right"/>
              <w:rPr>
                <w:sz w:val="17"/>
              </w:rPr>
            </w:pPr>
            <w:r>
              <w:rPr>
                <w:sz w:val="17"/>
              </w:rPr>
              <w:t>19,6</w:t>
            </w:r>
          </w:p>
        </w:tc>
        <w:tc>
          <w:tcPr>
            <w:tcW w:w="780" w:type="dxa"/>
            <w:tcBorders>
              <w:bottom w:val="single" w:sz="12" w:space="0" w:color="auto"/>
            </w:tcBorders>
            <w:vAlign w:val="bottom"/>
          </w:tcPr>
          <w:p w:rsidR="00000000" w:rsidRDefault="00000000">
            <w:pPr>
              <w:spacing w:before="40" w:after="40" w:line="210" w:lineRule="exact"/>
              <w:jc w:val="right"/>
              <w:rPr>
                <w:sz w:val="17"/>
              </w:rPr>
            </w:pPr>
            <w:r>
              <w:rPr>
                <w:sz w:val="17"/>
              </w:rPr>
              <w:t>20,3</w:t>
            </w:r>
          </w:p>
        </w:tc>
        <w:tc>
          <w:tcPr>
            <w:tcW w:w="780" w:type="dxa"/>
            <w:gridSpan w:val="2"/>
            <w:tcBorders>
              <w:bottom w:val="single" w:sz="12" w:space="0" w:color="auto"/>
            </w:tcBorders>
            <w:vAlign w:val="bottom"/>
          </w:tcPr>
          <w:p w:rsidR="00000000" w:rsidRDefault="00000000">
            <w:pPr>
              <w:spacing w:before="40" w:after="40" w:line="210" w:lineRule="exact"/>
              <w:jc w:val="right"/>
              <w:rPr>
                <w:sz w:val="17"/>
              </w:rPr>
            </w:pPr>
            <w:r>
              <w:rPr>
                <w:sz w:val="17"/>
              </w:rPr>
              <w:t>0,2</w:t>
            </w:r>
          </w:p>
        </w:tc>
        <w:tc>
          <w:tcPr>
            <w:tcW w:w="839" w:type="dxa"/>
            <w:tcBorders>
              <w:bottom w:val="single" w:sz="12" w:space="0" w:color="auto"/>
            </w:tcBorders>
            <w:vAlign w:val="bottom"/>
          </w:tcPr>
          <w:p w:rsidR="00000000" w:rsidRDefault="00000000">
            <w:pPr>
              <w:spacing w:before="40" w:after="40" w:line="210" w:lineRule="exact"/>
              <w:jc w:val="right"/>
              <w:rPr>
                <w:sz w:val="17"/>
              </w:rPr>
            </w:pPr>
            <w:r>
              <w:rPr>
                <w:sz w:val="17"/>
              </w:rPr>
              <w:t>0,5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sz w:val="20"/>
        </w:rPr>
        <w:t>И</w:t>
      </w:r>
      <w:r>
        <w:rPr>
          <w:i/>
        </w:rPr>
        <w:t>сточник:</w:t>
      </w:r>
      <w:r>
        <w:t xml:space="preserve"> Статистическое бюро Эстонии, www.stat.ee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Таблица 16.4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Количество разводов по продолжительности брака</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2142"/>
        <w:gridCol w:w="864"/>
        <w:gridCol w:w="864"/>
        <w:gridCol w:w="54"/>
        <w:gridCol w:w="810"/>
        <w:gridCol w:w="864"/>
        <w:gridCol w:w="54"/>
        <w:gridCol w:w="810"/>
        <w:gridCol w:w="860"/>
      </w:tblGrid>
      <w:tr w:rsidR="00000000">
        <w:tblPrEx>
          <w:tblCellMar>
            <w:top w:w="0" w:type="dxa"/>
            <w:left w:w="0" w:type="dxa"/>
            <w:bottom w:w="0" w:type="dxa"/>
            <w:right w:w="0" w:type="dxa"/>
          </w:tblCellMar>
        </w:tblPrEx>
        <w:trPr>
          <w:cantSplit/>
          <w:tblHeader/>
        </w:trPr>
        <w:tc>
          <w:tcPr>
            <w:tcW w:w="2142"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lang w:val="en-US"/>
              </w:rPr>
            </w:pPr>
          </w:p>
        </w:tc>
        <w:tc>
          <w:tcPr>
            <w:tcW w:w="17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2000 год</w:t>
            </w:r>
          </w:p>
        </w:tc>
        <w:tc>
          <w:tcPr>
            <w:tcW w:w="54"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lang w:val="en-US"/>
              </w:rPr>
            </w:pPr>
          </w:p>
        </w:tc>
        <w:tc>
          <w:tcPr>
            <w:tcW w:w="167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lang w:val="en-US"/>
              </w:rPr>
            </w:pPr>
            <w:r>
              <w:rPr>
                <w:i/>
                <w:sz w:val="14"/>
                <w:lang w:val="en-US"/>
              </w:rPr>
              <w:t>2001 год</w:t>
            </w:r>
          </w:p>
        </w:tc>
        <w:tc>
          <w:tcPr>
            <w:tcW w:w="54"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lang w:val="en-US"/>
              </w:rPr>
            </w:pPr>
          </w:p>
        </w:tc>
        <w:tc>
          <w:tcPr>
            <w:tcW w:w="16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lang w:val="en-US"/>
              </w:rPr>
            </w:pPr>
            <w:r>
              <w:rPr>
                <w:i/>
                <w:sz w:val="14"/>
                <w:lang w:val="en-US"/>
              </w:rPr>
              <w:t>2002 год</w:t>
            </w:r>
          </w:p>
        </w:tc>
      </w:tr>
      <w:tr w:rsidR="00000000">
        <w:tblPrEx>
          <w:tblCellMar>
            <w:top w:w="0" w:type="dxa"/>
            <w:left w:w="0" w:type="dxa"/>
            <w:bottom w:w="0" w:type="dxa"/>
            <w:right w:w="0" w:type="dxa"/>
          </w:tblCellMar>
        </w:tblPrEx>
        <w:trPr>
          <w:tblHeader/>
        </w:trPr>
        <w:tc>
          <w:tcPr>
            <w:tcW w:w="2142" w:type="dxa"/>
            <w:vAlign w:val="bottom"/>
          </w:tcPr>
          <w:p w:rsidR="00000000" w:rsidRDefault="00000000">
            <w:pPr>
              <w:tabs>
                <w:tab w:val="left" w:pos="288"/>
                <w:tab w:val="left" w:pos="576"/>
                <w:tab w:val="left" w:pos="864"/>
                <w:tab w:val="left" w:pos="1152"/>
              </w:tabs>
              <w:spacing w:before="40" w:after="81" w:line="160" w:lineRule="exact"/>
              <w:ind w:right="43"/>
              <w:rPr>
                <w:i/>
                <w:sz w:val="14"/>
                <w:lang w:val="en-US"/>
              </w:rPr>
            </w:pPr>
          </w:p>
        </w:tc>
        <w:tc>
          <w:tcPr>
            <w:tcW w:w="86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Мужчины</w:t>
            </w:r>
          </w:p>
        </w:tc>
        <w:tc>
          <w:tcPr>
            <w:tcW w:w="86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Женщины</w:t>
            </w:r>
          </w:p>
        </w:tc>
        <w:tc>
          <w:tcPr>
            <w:tcW w:w="864"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Мужчины</w:t>
            </w:r>
          </w:p>
        </w:tc>
        <w:tc>
          <w:tcPr>
            <w:tcW w:w="86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Женщины</w:t>
            </w:r>
          </w:p>
        </w:tc>
        <w:tc>
          <w:tcPr>
            <w:tcW w:w="864"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Мужчины</w:t>
            </w:r>
          </w:p>
        </w:tc>
        <w:tc>
          <w:tcPr>
            <w:tcW w:w="86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Женщины</w:t>
            </w:r>
          </w:p>
        </w:tc>
      </w:tr>
      <w:tr w:rsidR="00000000">
        <w:tblPrEx>
          <w:tblCellMar>
            <w:top w:w="0" w:type="dxa"/>
            <w:left w:w="0" w:type="dxa"/>
            <w:bottom w:w="0" w:type="dxa"/>
            <w:right w:w="0" w:type="dxa"/>
          </w:tblCellMar>
        </w:tblPrEx>
        <w:trPr>
          <w:trHeight w:hRule="exact" w:val="115"/>
          <w:tblHeader/>
        </w:trPr>
        <w:tc>
          <w:tcPr>
            <w:tcW w:w="21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2142" w:type="dxa"/>
            <w:vAlign w:val="bottom"/>
          </w:tcPr>
          <w:p w:rsidR="00000000" w:rsidRDefault="00000000">
            <w:pPr>
              <w:spacing w:before="40" w:after="40" w:line="210" w:lineRule="exact"/>
              <w:rPr>
                <w:sz w:val="17"/>
              </w:rPr>
            </w:pPr>
            <w:r>
              <w:rPr>
                <w:sz w:val="17"/>
              </w:rPr>
              <w:t>Всего</w:t>
            </w:r>
          </w:p>
        </w:tc>
        <w:tc>
          <w:tcPr>
            <w:tcW w:w="864" w:type="dxa"/>
            <w:vAlign w:val="bottom"/>
          </w:tcPr>
          <w:p w:rsidR="00000000" w:rsidRDefault="00000000">
            <w:pPr>
              <w:spacing w:before="40" w:after="40" w:line="210" w:lineRule="exact"/>
              <w:jc w:val="right"/>
              <w:rPr>
                <w:sz w:val="17"/>
              </w:rPr>
            </w:pPr>
            <w:r>
              <w:rPr>
                <w:sz w:val="17"/>
              </w:rPr>
              <w:t>4 230</w:t>
            </w:r>
          </w:p>
        </w:tc>
        <w:tc>
          <w:tcPr>
            <w:tcW w:w="864" w:type="dxa"/>
            <w:vAlign w:val="bottom"/>
          </w:tcPr>
          <w:p w:rsidR="00000000" w:rsidRDefault="00000000">
            <w:pPr>
              <w:spacing w:before="40" w:after="40" w:line="210" w:lineRule="exact"/>
              <w:jc w:val="right"/>
              <w:rPr>
                <w:sz w:val="17"/>
              </w:rPr>
            </w:pPr>
            <w:r>
              <w:rPr>
                <w:sz w:val="17"/>
              </w:rPr>
              <w:t>4 230</w:t>
            </w:r>
          </w:p>
        </w:tc>
        <w:tc>
          <w:tcPr>
            <w:tcW w:w="864" w:type="dxa"/>
            <w:gridSpan w:val="2"/>
            <w:vAlign w:val="bottom"/>
          </w:tcPr>
          <w:p w:rsidR="00000000" w:rsidRDefault="00000000">
            <w:pPr>
              <w:spacing w:before="40" w:after="40" w:line="210" w:lineRule="exact"/>
              <w:jc w:val="right"/>
              <w:rPr>
                <w:sz w:val="17"/>
              </w:rPr>
            </w:pPr>
            <w:r>
              <w:rPr>
                <w:sz w:val="17"/>
              </w:rPr>
              <w:t>4 312</w:t>
            </w:r>
          </w:p>
        </w:tc>
        <w:tc>
          <w:tcPr>
            <w:tcW w:w="864" w:type="dxa"/>
            <w:vAlign w:val="bottom"/>
          </w:tcPr>
          <w:p w:rsidR="00000000" w:rsidRDefault="00000000">
            <w:pPr>
              <w:spacing w:before="40" w:after="40" w:line="210" w:lineRule="exact"/>
              <w:jc w:val="right"/>
              <w:rPr>
                <w:sz w:val="17"/>
              </w:rPr>
            </w:pPr>
            <w:r>
              <w:rPr>
                <w:sz w:val="17"/>
              </w:rPr>
              <w:t>4 312</w:t>
            </w:r>
          </w:p>
        </w:tc>
        <w:tc>
          <w:tcPr>
            <w:tcW w:w="864" w:type="dxa"/>
            <w:gridSpan w:val="2"/>
            <w:vAlign w:val="bottom"/>
          </w:tcPr>
          <w:p w:rsidR="00000000" w:rsidRDefault="00000000">
            <w:pPr>
              <w:spacing w:before="40" w:after="40" w:line="210" w:lineRule="exact"/>
              <w:jc w:val="right"/>
              <w:rPr>
                <w:sz w:val="17"/>
              </w:rPr>
            </w:pPr>
            <w:r>
              <w:rPr>
                <w:sz w:val="17"/>
              </w:rPr>
              <w:t>4 074</w:t>
            </w:r>
          </w:p>
        </w:tc>
        <w:tc>
          <w:tcPr>
            <w:tcW w:w="860" w:type="dxa"/>
            <w:vAlign w:val="bottom"/>
          </w:tcPr>
          <w:p w:rsidR="00000000" w:rsidRDefault="00000000">
            <w:pPr>
              <w:spacing w:before="40" w:after="40" w:line="210" w:lineRule="exact"/>
              <w:jc w:val="right"/>
              <w:rPr>
                <w:sz w:val="17"/>
              </w:rPr>
            </w:pPr>
            <w:r>
              <w:rPr>
                <w:sz w:val="17"/>
              </w:rPr>
              <w:t>4 074</w:t>
            </w:r>
          </w:p>
        </w:tc>
      </w:tr>
      <w:tr w:rsidR="00000000">
        <w:tblPrEx>
          <w:tblCellMar>
            <w:top w:w="0" w:type="dxa"/>
            <w:left w:w="0" w:type="dxa"/>
            <w:bottom w:w="0" w:type="dxa"/>
            <w:right w:w="0" w:type="dxa"/>
          </w:tblCellMar>
        </w:tblPrEx>
        <w:tc>
          <w:tcPr>
            <w:tcW w:w="2142" w:type="dxa"/>
            <w:vAlign w:val="bottom"/>
          </w:tcPr>
          <w:p w:rsidR="00000000" w:rsidRDefault="00000000">
            <w:pPr>
              <w:spacing w:before="40" w:after="40" w:line="210" w:lineRule="exact"/>
              <w:rPr>
                <w:sz w:val="17"/>
              </w:rPr>
            </w:pPr>
            <w:r>
              <w:rPr>
                <w:sz w:val="17"/>
              </w:rPr>
              <w:t>Мен</w:t>
            </w:r>
            <w:r>
              <w:rPr>
                <w:sz w:val="17"/>
              </w:rPr>
              <w:t>ь</w:t>
            </w:r>
            <w:r>
              <w:rPr>
                <w:sz w:val="17"/>
              </w:rPr>
              <w:t>ше 1 года</w:t>
            </w:r>
          </w:p>
        </w:tc>
        <w:tc>
          <w:tcPr>
            <w:tcW w:w="864" w:type="dxa"/>
            <w:vAlign w:val="bottom"/>
          </w:tcPr>
          <w:p w:rsidR="00000000" w:rsidRDefault="00000000">
            <w:pPr>
              <w:spacing w:before="40" w:after="40" w:line="210" w:lineRule="exact"/>
              <w:jc w:val="right"/>
              <w:rPr>
                <w:sz w:val="17"/>
              </w:rPr>
            </w:pPr>
            <w:r>
              <w:rPr>
                <w:sz w:val="17"/>
              </w:rPr>
              <w:t>116</w:t>
            </w:r>
          </w:p>
        </w:tc>
        <w:tc>
          <w:tcPr>
            <w:tcW w:w="864" w:type="dxa"/>
            <w:vAlign w:val="bottom"/>
          </w:tcPr>
          <w:p w:rsidR="00000000" w:rsidRDefault="00000000">
            <w:pPr>
              <w:spacing w:before="40" w:after="40" w:line="210" w:lineRule="exact"/>
              <w:jc w:val="right"/>
              <w:rPr>
                <w:sz w:val="17"/>
              </w:rPr>
            </w:pPr>
            <w:r>
              <w:rPr>
                <w:sz w:val="17"/>
              </w:rPr>
              <w:t>116</w:t>
            </w:r>
          </w:p>
        </w:tc>
        <w:tc>
          <w:tcPr>
            <w:tcW w:w="864" w:type="dxa"/>
            <w:gridSpan w:val="2"/>
            <w:vAlign w:val="bottom"/>
          </w:tcPr>
          <w:p w:rsidR="00000000" w:rsidRDefault="00000000">
            <w:pPr>
              <w:spacing w:before="40" w:after="40" w:line="210" w:lineRule="exact"/>
              <w:jc w:val="right"/>
              <w:rPr>
                <w:sz w:val="17"/>
              </w:rPr>
            </w:pPr>
            <w:r>
              <w:rPr>
                <w:sz w:val="17"/>
              </w:rPr>
              <w:t>93</w:t>
            </w:r>
          </w:p>
        </w:tc>
        <w:tc>
          <w:tcPr>
            <w:tcW w:w="864" w:type="dxa"/>
            <w:vAlign w:val="bottom"/>
          </w:tcPr>
          <w:p w:rsidR="00000000" w:rsidRDefault="00000000">
            <w:pPr>
              <w:spacing w:before="40" w:after="40" w:line="210" w:lineRule="exact"/>
              <w:jc w:val="right"/>
              <w:rPr>
                <w:sz w:val="17"/>
              </w:rPr>
            </w:pPr>
            <w:r>
              <w:rPr>
                <w:sz w:val="17"/>
              </w:rPr>
              <w:t>93</w:t>
            </w:r>
          </w:p>
        </w:tc>
        <w:tc>
          <w:tcPr>
            <w:tcW w:w="864" w:type="dxa"/>
            <w:gridSpan w:val="2"/>
            <w:vAlign w:val="bottom"/>
          </w:tcPr>
          <w:p w:rsidR="00000000" w:rsidRDefault="00000000">
            <w:pPr>
              <w:spacing w:before="40" w:after="40" w:line="210" w:lineRule="exact"/>
              <w:jc w:val="right"/>
              <w:rPr>
                <w:sz w:val="17"/>
              </w:rPr>
            </w:pPr>
            <w:r>
              <w:rPr>
                <w:sz w:val="17"/>
              </w:rPr>
              <w:t>95</w:t>
            </w:r>
          </w:p>
        </w:tc>
        <w:tc>
          <w:tcPr>
            <w:tcW w:w="860" w:type="dxa"/>
            <w:vAlign w:val="bottom"/>
          </w:tcPr>
          <w:p w:rsidR="00000000" w:rsidRDefault="00000000">
            <w:pPr>
              <w:spacing w:before="40" w:after="40" w:line="210" w:lineRule="exact"/>
              <w:jc w:val="right"/>
              <w:rPr>
                <w:sz w:val="17"/>
              </w:rPr>
            </w:pPr>
            <w:r>
              <w:rPr>
                <w:sz w:val="17"/>
              </w:rPr>
              <w:t>95</w:t>
            </w:r>
          </w:p>
        </w:tc>
      </w:tr>
      <w:tr w:rsidR="00000000">
        <w:tblPrEx>
          <w:tblCellMar>
            <w:top w:w="0" w:type="dxa"/>
            <w:left w:w="0" w:type="dxa"/>
            <w:bottom w:w="0" w:type="dxa"/>
            <w:right w:w="0" w:type="dxa"/>
          </w:tblCellMar>
        </w:tblPrEx>
        <w:tc>
          <w:tcPr>
            <w:tcW w:w="2142" w:type="dxa"/>
            <w:vAlign w:val="bottom"/>
          </w:tcPr>
          <w:p w:rsidR="00000000" w:rsidRDefault="00000000">
            <w:pPr>
              <w:spacing w:before="40" w:after="40" w:line="210" w:lineRule="exact"/>
              <w:rPr>
                <w:sz w:val="17"/>
              </w:rPr>
            </w:pPr>
            <w:r>
              <w:rPr>
                <w:sz w:val="17"/>
              </w:rPr>
              <w:t>1 год</w:t>
            </w:r>
          </w:p>
        </w:tc>
        <w:tc>
          <w:tcPr>
            <w:tcW w:w="864" w:type="dxa"/>
            <w:vAlign w:val="bottom"/>
          </w:tcPr>
          <w:p w:rsidR="00000000" w:rsidRDefault="00000000">
            <w:pPr>
              <w:spacing w:before="40" w:after="40" w:line="210" w:lineRule="exact"/>
              <w:jc w:val="right"/>
              <w:rPr>
                <w:sz w:val="17"/>
              </w:rPr>
            </w:pPr>
            <w:r>
              <w:rPr>
                <w:sz w:val="17"/>
              </w:rPr>
              <w:t>151</w:t>
            </w:r>
          </w:p>
        </w:tc>
        <w:tc>
          <w:tcPr>
            <w:tcW w:w="864" w:type="dxa"/>
            <w:vAlign w:val="bottom"/>
          </w:tcPr>
          <w:p w:rsidR="00000000" w:rsidRDefault="00000000">
            <w:pPr>
              <w:spacing w:before="40" w:after="40" w:line="210" w:lineRule="exact"/>
              <w:jc w:val="right"/>
              <w:rPr>
                <w:sz w:val="17"/>
              </w:rPr>
            </w:pPr>
            <w:r>
              <w:rPr>
                <w:sz w:val="17"/>
              </w:rPr>
              <w:t>151</w:t>
            </w:r>
          </w:p>
        </w:tc>
        <w:tc>
          <w:tcPr>
            <w:tcW w:w="864" w:type="dxa"/>
            <w:gridSpan w:val="2"/>
            <w:vAlign w:val="bottom"/>
          </w:tcPr>
          <w:p w:rsidR="00000000" w:rsidRDefault="00000000">
            <w:pPr>
              <w:spacing w:before="40" w:after="40" w:line="210" w:lineRule="exact"/>
              <w:jc w:val="right"/>
              <w:rPr>
                <w:sz w:val="17"/>
              </w:rPr>
            </w:pPr>
            <w:r>
              <w:rPr>
                <w:sz w:val="17"/>
              </w:rPr>
              <w:t>181</w:t>
            </w:r>
          </w:p>
        </w:tc>
        <w:tc>
          <w:tcPr>
            <w:tcW w:w="864" w:type="dxa"/>
            <w:vAlign w:val="bottom"/>
          </w:tcPr>
          <w:p w:rsidR="00000000" w:rsidRDefault="00000000">
            <w:pPr>
              <w:spacing w:before="40" w:after="40" w:line="210" w:lineRule="exact"/>
              <w:jc w:val="right"/>
              <w:rPr>
                <w:sz w:val="17"/>
              </w:rPr>
            </w:pPr>
            <w:r>
              <w:rPr>
                <w:sz w:val="17"/>
              </w:rPr>
              <w:t>181</w:t>
            </w:r>
          </w:p>
        </w:tc>
        <w:tc>
          <w:tcPr>
            <w:tcW w:w="864" w:type="dxa"/>
            <w:gridSpan w:val="2"/>
            <w:vAlign w:val="bottom"/>
          </w:tcPr>
          <w:p w:rsidR="00000000" w:rsidRDefault="00000000">
            <w:pPr>
              <w:spacing w:before="40" w:after="40" w:line="210" w:lineRule="exact"/>
              <w:jc w:val="right"/>
              <w:rPr>
                <w:sz w:val="17"/>
              </w:rPr>
            </w:pPr>
            <w:r>
              <w:rPr>
                <w:sz w:val="17"/>
              </w:rPr>
              <w:t>177</w:t>
            </w:r>
          </w:p>
        </w:tc>
        <w:tc>
          <w:tcPr>
            <w:tcW w:w="860" w:type="dxa"/>
            <w:vAlign w:val="bottom"/>
          </w:tcPr>
          <w:p w:rsidR="00000000" w:rsidRDefault="00000000">
            <w:pPr>
              <w:spacing w:before="40" w:after="40" w:line="210" w:lineRule="exact"/>
              <w:jc w:val="right"/>
              <w:rPr>
                <w:sz w:val="17"/>
              </w:rPr>
            </w:pPr>
            <w:r>
              <w:rPr>
                <w:sz w:val="17"/>
              </w:rPr>
              <w:t>177</w:t>
            </w:r>
          </w:p>
        </w:tc>
      </w:tr>
      <w:tr w:rsidR="00000000">
        <w:tblPrEx>
          <w:tblCellMar>
            <w:top w:w="0" w:type="dxa"/>
            <w:left w:w="0" w:type="dxa"/>
            <w:bottom w:w="0" w:type="dxa"/>
            <w:right w:w="0" w:type="dxa"/>
          </w:tblCellMar>
        </w:tblPrEx>
        <w:tc>
          <w:tcPr>
            <w:tcW w:w="2142" w:type="dxa"/>
            <w:vAlign w:val="bottom"/>
          </w:tcPr>
          <w:p w:rsidR="00000000" w:rsidRDefault="00000000">
            <w:pPr>
              <w:spacing w:before="40" w:after="40" w:line="210" w:lineRule="exact"/>
              <w:rPr>
                <w:sz w:val="17"/>
              </w:rPr>
            </w:pPr>
            <w:r>
              <w:rPr>
                <w:sz w:val="17"/>
              </w:rPr>
              <w:t>2 года</w:t>
            </w:r>
          </w:p>
        </w:tc>
        <w:tc>
          <w:tcPr>
            <w:tcW w:w="864" w:type="dxa"/>
            <w:vAlign w:val="bottom"/>
          </w:tcPr>
          <w:p w:rsidR="00000000" w:rsidRDefault="00000000">
            <w:pPr>
              <w:spacing w:before="40" w:after="40" w:line="210" w:lineRule="exact"/>
              <w:jc w:val="right"/>
              <w:rPr>
                <w:sz w:val="17"/>
              </w:rPr>
            </w:pPr>
            <w:r>
              <w:rPr>
                <w:sz w:val="17"/>
              </w:rPr>
              <w:t>208</w:t>
            </w:r>
          </w:p>
        </w:tc>
        <w:tc>
          <w:tcPr>
            <w:tcW w:w="864" w:type="dxa"/>
            <w:vAlign w:val="bottom"/>
          </w:tcPr>
          <w:p w:rsidR="00000000" w:rsidRDefault="00000000">
            <w:pPr>
              <w:spacing w:before="40" w:after="40" w:line="210" w:lineRule="exact"/>
              <w:jc w:val="right"/>
              <w:rPr>
                <w:sz w:val="17"/>
              </w:rPr>
            </w:pPr>
            <w:r>
              <w:rPr>
                <w:sz w:val="17"/>
              </w:rPr>
              <w:t>208</w:t>
            </w:r>
          </w:p>
        </w:tc>
        <w:tc>
          <w:tcPr>
            <w:tcW w:w="864" w:type="dxa"/>
            <w:gridSpan w:val="2"/>
            <w:vAlign w:val="bottom"/>
          </w:tcPr>
          <w:p w:rsidR="00000000" w:rsidRDefault="00000000">
            <w:pPr>
              <w:spacing w:before="40" w:after="40" w:line="210" w:lineRule="exact"/>
              <w:jc w:val="right"/>
              <w:rPr>
                <w:sz w:val="17"/>
              </w:rPr>
            </w:pPr>
            <w:r>
              <w:rPr>
                <w:sz w:val="17"/>
              </w:rPr>
              <w:t>195</w:t>
            </w:r>
          </w:p>
        </w:tc>
        <w:tc>
          <w:tcPr>
            <w:tcW w:w="864" w:type="dxa"/>
            <w:vAlign w:val="bottom"/>
          </w:tcPr>
          <w:p w:rsidR="00000000" w:rsidRDefault="00000000">
            <w:pPr>
              <w:spacing w:before="40" w:after="40" w:line="210" w:lineRule="exact"/>
              <w:jc w:val="right"/>
              <w:rPr>
                <w:sz w:val="17"/>
              </w:rPr>
            </w:pPr>
            <w:r>
              <w:rPr>
                <w:sz w:val="17"/>
              </w:rPr>
              <w:t>195</w:t>
            </w:r>
          </w:p>
        </w:tc>
        <w:tc>
          <w:tcPr>
            <w:tcW w:w="864" w:type="dxa"/>
            <w:gridSpan w:val="2"/>
            <w:vAlign w:val="bottom"/>
          </w:tcPr>
          <w:p w:rsidR="00000000" w:rsidRDefault="00000000">
            <w:pPr>
              <w:spacing w:before="40" w:after="40" w:line="210" w:lineRule="exact"/>
              <w:jc w:val="right"/>
              <w:rPr>
                <w:sz w:val="17"/>
              </w:rPr>
            </w:pPr>
            <w:r>
              <w:rPr>
                <w:sz w:val="17"/>
              </w:rPr>
              <w:t>221</w:t>
            </w:r>
          </w:p>
        </w:tc>
        <w:tc>
          <w:tcPr>
            <w:tcW w:w="860" w:type="dxa"/>
            <w:vAlign w:val="bottom"/>
          </w:tcPr>
          <w:p w:rsidR="00000000" w:rsidRDefault="00000000">
            <w:pPr>
              <w:spacing w:before="40" w:after="40" w:line="210" w:lineRule="exact"/>
              <w:jc w:val="right"/>
              <w:rPr>
                <w:sz w:val="17"/>
              </w:rPr>
            </w:pPr>
            <w:r>
              <w:rPr>
                <w:sz w:val="17"/>
              </w:rPr>
              <w:t>221</w:t>
            </w:r>
          </w:p>
        </w:tc>
      </w:tr>
      <w:tr w:rsidR="00000000">
        <w:tblPrEx>
          <w:tblCellMar>
            <w:top w:w="0" w:type="dxa"/>
            <w:left w:w="0" w:type="dxa"/>
            <w:bottom w:w="0" w:type="dxa"/>
            <w:right w:w="0" w:type="dxa"/>
          </w:tblCellMar>
        </w:tblPrEx>
        <w:tc>
          <w:tcPr>
            <w:tcW w:w="2142" w:type="dxa"/>
            <w:vAlign w:val="bottom"/>
          </w:tcPr>
          <w:p w:rsidR="00000000" w:rsidRDefault="00000000">
            <w:pPr>
              <w:spacing w:before="40" w:after="40" w:line="210" w:lineRule="exact"/>
              <w:rPr>
                <w:sz w:val="17"/>
              </w:rPr>
            </w:pPr>
            <w:r>
              <w:rPr>
                <w:sz w:val="17"/>
              </w:rPr>
              <w:t>3 года</w:t>
            </w:r>
          </w:p>
        </w:tc>
        <w:tc>
          <w:tcPr>
            <w:tcW w:w="864" w:type="dxa"/>
            <w:vAlign w:val="bottom"/>
          </w:tcPr>
          <w:p w:rsidR="00000000" w:rsidRDefault="00000000">
            <w:pPr>
              <w:spacing w:before="40" w:after="40" w:line="210" w:lineRule="exact"/>
              <w:jc w:val="right"/>
              <w:rPr>
                <w:sz w:val="17"/>
              </w:rPr>
            </w:pPr>
            <w:r>
              <w:rPr>
                <w:sz w:val="17"/>
              </w:rPr>
              <w:t>158</w:t>
            </w:r>
          </w:p>
        </w:tc>
        <w:tc>
          <w:tcPr>
            <w:tcW w:w="864" w:type="dxa"/>
            <w:vAlign w:val="bottom"/>
          </w:tcPr>
          <w:p w:rsidR="00000000" w:rsidRDefault="00000000">
            <w:pPr>
              <w:spacing w:before="40" w:after="40" w:line="210" w:lineRule="exact"/>
              <w:jc w:val="right"/>
              <w:rPr>
                <w:sz w:val="17"/>
              </w:rPr>
            </w:pPr>
            <w:r>
              <w:rPr>
                <w:sz w:val="17"/>
              </w:rPr>
              <w:t>158</w:t>
            </w:r>
          </w:p>
        </w:tc>
        <w:tc>
          <w:tcPr>
            <w:tcW w:w="864" w:type="dxa"/>
            <w:gridSpan w:val="2"/>
            <w:vAlign w:val="bottom"/>
          </w:tcPr>
          <w:p w:rsidR="00000000" w:rsidRDefault="00000000">
            <w:pPr>
              <w:spacing w:before="40" w:after="40" w:line="210" w:lineRule="exact"/>
              <w:jc w:val="right"/>
              <w:rPr>
                <w:sz w:val="17"/>
              </w:rPr>
            </w:pPr>
            <w:r>
              <w:rPr>
                <w:sz w:val="17"/>
              </w:rPr>
              <w:t>201</w:t>
            </w:r>
          </w:p>
        </w:tc>
        <w:tc>
          <w:tcPr>
            <w:tcW w:w="864" w:type="dxa"/>
            <w:vAlign w:val="bottom"/>
          </w:tcPr>
          <w:p w:rsidR="00000000" w:rsidRDefault="00000000">
            <w:pPr>
              <w:spacing w:before="40" w:after="40" w:line="210" w:lineRule="exact"/>
              <w:jc w:val="right"/>
              <w:rPr>
                <w:sz w:val="17"/>
              </w:rPr>
            </w:pPr>
            <w:r>
              <w:rPr>
                <w:sz w:val="17"/>
              </w:rPr>
              <w:t>201</w:t>
            </w:r>
          </w:p>
        </w:tc>
        <w:tc>
          <w:tcPr>
            <w:tcW w:w="864" w:type="dxa"/>
            <w:gridSpan w:val="2"/>
            <w:vAlign w:val="bottom"/>
          </w:tcPr>
          <w:p w:rsidR="00000000" w:rsidRDefault="00000000">
            <w:pPr>
              <w:spacing w:before="40" w:after="40" w:line="210" w:lineRule="exact"/>
              <w:jc w:val="right"/>
              <w:rPr>
                <w:sz w:val="17"/>
              </w:rPr>
            </w:pPr>
            <w:r>
              <w:rPr>
                <w:sz w:val="17"/>
              </w:rPr>
              <w:t>179</w:t>
            </w:r>
          </w:p>
        </w:tc>
        <w:tc>
          <w:tcPr>
            <w:tcW w:w="860" w:type="dxa"/>
            <w:vAlign w:val="bottom"/>
          </w:tcPr>
          <w:p w:rsidR="00000000" w:rsidRDefault="00000000">
            <w:pPr>
              <w:spacing w:before="40" w:after="40" w:line="210" w:lineRule="exact"/>
              <w:jc w:val="right"/>
              <w:rPr>
                <w:sz w:val="17"/>
              </w:rPr>
            </w:pPr>
            <w:r>
              <w:rPr>
                <w:sz w:val="17"/>
              </w:rPr>
              <w:t>179</w:t>
            </w:r>
          </w:p>
        </w:tc>
      </w:tr>
      <w:tr w:rsidR="00000000">
        <w:tblPrEx>
          <w:tblCellMar>
            <w:top w:w="0" w:type="dxa"/>
            <w:left w:w="0" w:type="dxa"/>
            <w:bottom w:w="0" w:type="dxa"/>
            <w:right w:w="0" w:type="dxa"/>
          </w:tblCellMar>
        </w:tblPrEx>
        <w:tc>
          <w:tcPr>
            <w:tcW w:w="2142" w:type="dxa"/>
            <w:vAlign w:val="bottom"/>
          </w:tcPr>
          <w:p w:rsidR="00000000" w:rsidRDefault="00000000">
            <w:pPr>
              <w:spacing w:before="40" w:after="40" w:line="210" w:lineRule="exact"/>
              <w:rPr>
                <w:sz w:val="17"/>
              </w:rPr>
            </w:pPr>
            <w:r>
              <w:rPr>
                <w:sz w:val="17"/>
              </w:rPr>
              <w:t>4 года</w:t>
            </w:r>
          </w:p>
        </w:tc>
        <w:tc>
          <w:tcPr>
            <w:tcW w:w="864" w:type="dxa"/>
            <w:vAlign w:val="bottom"/>
          </w:tcPr>
          <w:p w:rsidR="00000000" w:rsidRDefault="00000000">
            <w:pPr>
              <w:spacing w:before="40" w:after="40" w:line="210" w:lineRule="exact"/>
              <w:jc w:val="right"/>
              <w:rPr>
                <w:sz w:val="17"/>
              </w:rPr>
            </w:pPr>
            <w:r>
              <w:rPr>
                <w:sz w:val="17"/>
              </w:rPr>
              <w:t>199</w:t>
            </w:r>
          </w:p>
        </w:tc>
        <w:tc>
          <w:tcPr>
            <w:tcW w:w="864" w:type="dxa"/>
            <w:vAlign w:val="bottom"/>
          </w:tcPr>
          <w:p w:rsidR="00000000" w:rsidRDefault="00000000">
            <w:pPr>
              <w:spacing w:before="40" w:after="40" w:line="210" w:lineRule="exact"/>
              <w:jc w:val="right"/>
              <w:rPr>
                <w:sz w:val="17"/>
              </w:rPr>
            </w:pPr>
            <w:r>
              <w:rPr>
                <w:sz w:val="17"/>
              </w:rPr>
              <w:t>199</w:t>
            </w:r>
          </w:p>
        </w:tc>
        <w:tc>
          <w:tcPr>
            <w:tcW w:w="864" w:type="dxa"/>
            <w:gridSpan w:val="2"/>
            <w:vAlign w:val="bottom"/>
          </w:tcPr>
          <w:p w:rsidR="00000000" w:rsidRDefault="00000000">
            <w:pPr>
              <w:spacing w:before="40" w:after="40" w:line="210" w:lineRule="exact"/>
              <w:jc w:val="right"/>
              <w:rPr>
                <w:sz w:val="17"/>
              </w:rPr>
            </w:pPr>
            <w:r>
              <w:rPr>
                <w:sz w:val="17"/>
              </w:rPr>
              <w:t>205</w:t>
            </w:r>
          </w:p>
        </w:tc>
        <w:tc>
          <w:tcPr>
            <w:tcW w:w="864" w:type="dxa"/>
            <w:vAlign w:val="bottom"/>
          </w:tcPr>
          <w:p w:rsidR="00000000" w:rsidRDefault="00000000">
            <w:pPr>
              <w:spacing w:before="40" w:after="40" w:line="210" w:lineRule="exact"/>
              <w:jc w:val="right"/>
              <w:rPr>
                <w:sz w:val="17"/>
              </w:rPr>
            </w:pPr>
            <w:r>
              <w:rPr>
                <w:sz w:val="17"/>
              </w:rPr>
              <w:t>205</w:t>
            </w:r>
          </w:p>
        </w:tc>
        <w:tc>
          <w:tcPr>
            <w:tcW w:w="864" w:type="dxa"/>
            <w:gridSpan w:val="2"/>
            <w:vAlign w:val="bottom"/>
          </w:tcPr>
          <w:p w:rsidR="00000000" w:rsidRDefault="00000000">
            <w:pPr>
              <w:spacing w:before="40" w:after="40" w:line="210" w:lineRule="exact"/>
              <w:jc w:val="right"/>
              <w:rPr>
                <w:sz w:val="17"/>
              </w:rPr>
            </w:pPr>
            <w:r>
              <w:rPr>
                <w:sz w:val="17"/>
              </w:rPr>
              <w:t>210</w:t>
            </w:r>
          </w:p>
        </w:tc>
        <w:tc>
          <w:tcPr>
            <w:tcW w:w="860" w:type="dxa"/>
            <w:vAlign w:val="bottom"/>
          </w:tcPr>
          <w:p w:rsidR="00000000" w:rsidRDefault="00000000">
            <w:pPr>
              <w:spacing w:before="40" w:after="40" w:line="210" w:lineRule="exact"/>
              <w:jc w:val="right"/>
              <w:rPr>
                <w:sz w:val="17"/>
              </w:rPr>
            </w:pPr>
            <w:r>
              <w:rPr>
                <w:sz w:val="17"/>
              </w:rPr>
              <w:t>210</w:t>
            </w:r>
          </w:p>
        </w:tc>
      </w:tr>
      <w:tr w:rsidR="00000000">
        <w:tblPrEx>
          <w:tblCellMar>
            <w:top w:w="0" w:type="dxa"/>
            <w:left w:w="0" w:type="dxa"/>
            <w:bottom w:w="0" w:type="dxa"/>
            <w:right w:w="0" w:type="dxa"/>
          </w:tblCellMar>
        </w:tblPrEx>
        <w:tc>
          <w:tcPr>
            <w:tcW w:w="2142" w:type="dxa"/>
            <w:vAlign w:val="bottom"/>
          </w:tcPr>
          <w:p w:rsidR="00000000" w:rsidRDefault="00000000">
            <w:pPr>
              <w:spacing w:before="40" w:after="40" w:line="210" w:lineRule="exact"/>
              <w:rPr>
                <w:sz w:val="17"/>
              </w:rPr>
            </w:pPr>
            <w:r>
              <w:rPr>
                <w:sz w:val="17"/>
              </w:rPr>
              <w:t>5 лет</w:t>
            </w:r>
          </w:p>
        </w:tc>
        <w:tc>
          <w:tcPr>
            <w:tcW w:w="864" w:type="dxa"/>
            <w:vAlign w:val="bottom"/>
          </w:tcPr>
          <w:p w:rsidR="00000000" w:rsidRDefault="00000000">
            <w:pPr>
              <w:spacing w:before="40" w:after="40" w:line="210" w:lineRule="exact"/>
              <w:jc w:val="right"/>
              <w:rPr>
                <w:sz w:val="17"/>
              </w:rPr>
            </w:pPr>
            <w:r>
              <w:rPr>
                <w:sz w:val="17"/>
              </w:rPr>
              <w:t>223</w:t>
            </w:r>
          </w:p>
        </w:tc>
        <w:tc>
          <w:tcPr>
            <w:tcW w:w="864" w:type="dxa"/>
            <w:vAlign w:val="bottom"/>
          </w:tcPr>
          <w:p w:rsidR="00000000" w:rsidRDefault="00000000">
            <w:pPr>
              <w:spacing w:before="40" w:after="40" w:line="210" w:lineRule="exact"/>
              <w:jc w:val="right"/>
              <w:rPr>
                <w:sz w:val="17"/>
              </w:rPr>
            </w:pPr>
            <w:r>
              <w:rPr>
                <w:sz w:val="17"/>
              </w:rPr>
              <w:t>223</w:t>
            </w:r>
          </w:p>
        </w:tc>
        <w:tc>
          <w:tcPr>
            <w:tcW w:w="864" w:type="dxa"/>
            <w:gridSpan w:val="2"/>
            <w:vAlign w:val="bottom"/>
          </w:tcPr>
          <w:p w:rsidR="00000000" w:rsidRDefault="00000000">
            <w:pPr>
              <w:spacing w:before="40" w:after="40" w:line="210" w:lineRule="exact"/>
              <w:jc w:val="right"/>
              <w:rPr>
                <w:sz w:val="17"/>
              </w:rPr>
            </w:pPr>
            <w:r>
              <w:rPr>
                <w:sz w:val="17"/>
              </w:rPr>
              <w:t>204</w:t>
            </w:r>
          </w:p>
        </w:tc>
        <w:tc>
          <w:tcPr>
            <w:tcW w:w="864" w:type="dxa"/>
            <w:vAlign w:val="bottom"/>
          </w:tcPr>
          <w:p w:rsidR="00000000" w:rsidRDefault="00000000">
            <w:pPr>
              <w:spacing w:before="40" w:after="40" w:line="210" w:lineRule="exact"/>
              <w:jc w:val="right"/>
              <w:rPr>
                <w:sz w:val="17"/>
              </w:rPr>
            </w:pPr>
            <w:r>
              <w:rPr>
                <w:sz w:val="17"/>
              </w:rPr>
              <w:t>204</w:t>
            </w:r>
          </w:p>
        </w:tc>
        <w:tc>
          <w:tcPr>
            <w:tcW w:w="864" w:type="dxa"/>
            <w:gridSpan w:val="2"/>
            <w:vAlign w:val="bottom"/>
          </w:tcPr>
          <w:p w:rsidR="00000000" w:rsidRDefault="00000000">
            <w:pPr>
              <w:spacing w:before="40" w:after="40" w:line="210" w:lineRule="exact"/>
              <w:jc w:val="right"/>
              <w:rPr>
                <w:sz w:val="17"/>
              </w:rPr>
            </w:pPr>
            <w:r>
              <w:rPr>
                <w:sz w:val="17"/>
              </w:rPr>
              <w:t>169</w:t>
            </w:r>
          </w:p>
        </w:tc>
        <w:tc>
          <w:tcPr>
            <w:tcW w:w="860" w:type="dxa"/>
            <w:vAlign w:val="bottom"/>
          </w:tcPr>
          <w:p w:rsidR="00000000" w:rsidRDefault="00000000">
            <w:pPr>
              <w:spacing w:before="40" w:after="40" w:line="210" w:lineRule="exact"/>
              <w:jc w:val="right"/>
              <w:rPr>
                <w:sz w:val="17"/>
              </w:rPr>
            </w:pPr>
            <w:r>
              <w:rPr>
                <w:sz w:val="17"/>
              </w:rPr>
              <w:t>169</w:t>
            </w:r>
          </w:p>
        </w:tc>
      </w:tr>
      <w:tr w:rsidR="00000000">
        <w:tblPrEx>
          <w:tblCellMar>
            <w:top w:w="0" w:type="dxa"/>
            <w:left w:w="0" w:type="dxa"/>
            <w:bottom w:w="0" w:type="dxa"/>
            <w:right w:w="0" w:type="dxa"/>
          </w:tblCellMar>
        </w:tblPrEx>
        <w:tc>
          <w:tcPr>
            <w:tcW w:w="2142" w:type="dxa"/>
            <w:vAlign w:val="bottom"/>
          </w:tcPr>
          <w:p w:rsidR="00000000" w:rsidRDefault="00000000">
            <w:pPr>
              <w:spacing w:before="40" w:after="40" w:line="210" w:lineRule="exact"/>
              <w:rPr>
                <w:sz w:val="17"/>
              </w:rPr>
            </w:pPr>
            <w:r>
              <w:rPr>
                <w:sz w:val="17"/>
              </w:rPr>
              <w:t>6 лет</w:t>
            </w:r>
          </w:p>
        </w:tc>
        <w:tc>
          <w:tcPr>
            <w:tcW w:w="864" w:type="dxa"/>
            <w:vAlign w:val="bottom"/>
          </w:tcPr>
          <w:p w:rsidR="00000000" w:rsidRDefault="00000000">
            <w:pPr>
              <w:spacing w:before="40" w:after="40" w:line="210" w:lineRule="exact"/>
              <w:jc w:val="right"/>
              <w:rPr>
                <w:sz w:val="17"/>
              </w:rPr>
            </w:pPr>
            <w:r>
              <w:rPr>
                <w:sz w:val="17"/>
              </w:rPr>
              <w:t>205</w:t>
            </w:r>
          </w:p>
        </w:tc>
        <w:tc>
          <w:tcPr>
            <w:tcW w:w="864" w:type="dxa"/>
            <w:vAlign w:val="bottom"/>
          </w:tcPr>
          <w:p w:rsidR="00000000" w:rsidRDefault="00000000">
            <w:pPr>
              <w:spacing w:before="40" w:after="40" w:line="210" w:lineRule="exact"/>
              <w:jc w:val="right"/>
              <w:rPr>
                <w:sz w:val="17"/>
              </w:rPr>
            </w:pPr>
            <w:r>
              <w:rPr>
                <w:sz w:val="17"/>
              </w:rPr>
              <w:t>205</w:t>
            </w:r>
          </w:p>
        </w:tc>
        <w:tc>
          <w:tcPr>
            <w:tcW w:w="864" w:type="dxa"/>
            <w:gridSpan w:val="2"/>
            <w:vAlign w:val="bottom"/>
          </w:tcPr>
          <w:p w:rsidR="00000000" w:rsidRDefault="00000000">
            <w:pPr>
              <w:spacing w:before="40" w:after="40" w:line="210" w:lineRule="exact"/>
              <w:jc w:val="right"/>
              <w:rPr>
                <w:sz w:val="17"/>
              </w:rPr>
            </w:pPr>
            <w:r>
              <w:rPr>
                <w:sz w:val="17"/>
              </w:rPr>
              <w:t>216</w:t>
            </w:r>
          </w:p>
        </w:tc>
        <w:tc>
          <w:tcPr>
            <w:tcW w:w="864" w:type="dxa"/>
            <w:vAlign w:val="bottom"/>
          </w:tcPr>
          <w:p w:rsidR="00000000" w:rsidRDefault="00000000">
            <w:pPr>
              <w:spacing w:before="40" w:after="40" w:line="210" w:lineRule="exact"/>
              <w:jc w:val="right"/>
              <w:rPr>
                <w:sz w:val="17"/>
              </w:rPr>
            </w:pPr>
            <w:r>
              <w:rPr>
                <w:sz w:val="17"/>
              </w:rPr>
              <w:t>216</w:t>
            </w:r>
          </w:p>
        </w:tc>
        <w:tc>
          <w:tcPr>
            <w:tcW w:w="864" w:type="dxa"/>
            <w:gridSpan w:val="2"/>
            <w:vAlign w:val="bottom"/>
          </w:tcPr>
          <w:p w:rsidR="00000000" w:rsidRDefault="00000000">
            <w:pPr>
              <w:spacing w:before="40" w:after="40" w:line="210" w:lineRule="exact"/>
              <w:jc w:val="right"/>
              <w:rPr>
                <w:sz w:val="17"/>
              </w:rPr>
            </w:pPr>
            <w:r>
              <w:rPr>
                <w:sz w:val="17"/>
              </w:rPr>
              <w:t>165</w:t>
            </w:r>
          </w:p>
        </w:tc>
        <w:tc>
          <w:tcPr>
            <w:tcW w:w="860" w:type="dxa"/>
            <w:vAlign w:val="bottom"/>
          </w:tcPr>
          <w:p w:rsidR="00000000" w:rsidRDefault="00000000">
            <w:pPr>
              <w:spacing w:before="40" w:after="40" w:line="210" w:lineRule="exact"/>
              <w:jc w:val="right"/>
              <w:rPr>
                <w:sz w:val="17"/>
              </w:rPr>
            </w:pPr>
            <w:r>
              <w:rPr>
                <w:sz w:val="17"/>
              </w:rPr>
              <w:t>165</w:t>
            </w:r>
          </w:p>
        </w:tc>
      </w:tr>
      <w:tr w:rsidR="00000000">
        <w:tblPrEx>
          <w:tblCellMar>
            <w:top w:w="0" w:type="dxa"/>
            <w:left w:w="0" w:type="dxa"/>
            <w:bottom w:w="0" w:type="dxa"/>
            <w:right w:w="0" w:type="dxa"/>
          </w:tblCellMar>
        </w:tblPrEx>
        <w:tc>
          <w:tcPr>
            <w:tcW w:w="2142" w:type="dxa"/>
            <w:vAlign w:val="bottom"/>
          </w:tcPr>
          <w:p w:rsidR="00000000" w:rsidRDefault="00000000">
            <w:pPr>
              <w:spacing w:before="40" w:after="40" w:line="210" w:lineRule="exact"/>
              <w:rPr>
                <w:sz w:val="17"/>
              </w:rPr>
            </w:pPr>
            <w:r>
              <w:rPr>
                <w:sz w:val="17"/>
              </w:rPr>
              <w:t>7 лет</w:t>
            </w:r>
          </w:p>
        </w:tc>
        <w:tc>
          <w:tcPr>
            <w:tcW w:w="864" w:type="dxa"/>
            <w:vAlign w:val="bottom"/>
          </w:tcPr>
          <w:p w:rsidR="00000000" w:rsidRDefault="00000000">
            <w:pPr>
              <w:spacing w:before="40" w:after="40" w:line="210" w:lineRule="exact"/>
              <w:jc w:val="right"/>
              <w:rPr>
                <w:sz w:val="17"/>
              </w:rPr>
            </w:pPr>
            <w:r>
              <w:rPr>
                <w:sz w:val="17"/>
              </w:rPr>
              <w:t>212</w:t>
            </w:r>
          </w:p>
        </w:tc>
        <w:tc>
          <w:tcPr>
            <w:tcW w:w="864" w:type="dxa"/>
            <w:vAlign w:val="bottom"/>
          </w:tcPr>
          <w:p w:rsidR="00000000" w:rsidRDefault="00000000">
            <w:pPr>
              <w:spacing w:before="40" w:after="40" w:line="210" w:lineRule="exact"/>
              <w:jc w:val="right"/>
              <w:rPr>
                <w:sz w:val="17"/>
              </w:rPr>
            </w:pPr>
            <w:r>
              <w:rPr>
                <w:sz w:val="17"/>
              </w:rPr>
              <w:t>212</w:t>
            </w:r>
          </w:p>
        </w:tc>
        <w:tc>
          <w:tcPr>
            <w:tcW w:w="864" w:type="dxa"/>
            <w:gridSpan w:val="2"/>
            <w:vAlign w:val="bottom"/>
          </w:tcPr>
          <w:p w:rsidR="00000000" w:rsidRDefault="00000000">
            <w:pPr>
              <w:spacing w:before="40" w:after="40" w:line="210" w:lineRule="exact"/>
              <w:jc w:val="right"/>
              <w:rPr>
                <w:sz w:val="17"/>
              </w:rPr>
            </w:pPr>
            <w:r>
              <w:rPr>
                <w:sz w:val="17"/>
              </w:rPr>
              <w:t>176</w:t>
            </w:r>
          </w:p>
        </w:tc>
        <w:tc>
          <w:tcPr>
            <w:tcW w:w="864" w:type="dxa"/>
            <w:vAlign w:val="bottom"/>
          </w:tcPr>
          <w:p w:rsidR="00000000" w:rsidRDefault="00000000">
            <w:pPr>
              <w:spacing w:before="40" w:after="40" w:line="210" w:lineRule="exact"/>
              <w:jc w:val="right"/>
              <w:rPr>
                <w:sz w:val="17"/>
              </w:rPr>
            </w:pPr>
            <w:r>
              <w:rPr>
                <w:sz w:val="17"/>
              </w:rPr>
              <w:t>176</w:t>
            </w:r>
          </w:p>
        </w:tc>
        <w:tc>
          <w:tcPr>
            <w:tcW w:w="864" w:type="dxa"/>
            <w:gridSpan w:val="2"/>
            <w:vAlign w:val="bottom"/>
          </w:tcPr>
          <w:p w:rsidR="00000000" w:rsidRDefault="00000000">
            <w:pPr>
              <w:spacing w:before="40" w:after="40" w:line="210" w:lineRule="exact"/>
              <w:jc w:val="right"/>
              <w:rPr>
                <w:sz w:val="17"/>
              </w:rPr>
            </w:pPr>
            <w:r>
              <w:rPr>
                <w:sz w:val="17"/>
              </w:rPr>
              <w:t>208</w:t>
            </w:r>
          </w:p>
        </w:tc>
        <w:tc>
          <w:tcPr>
            <w:tcW w:w="860" w:type="dxa"/>
            <w:vAlign w:val="bottom"/>
          </w:tcPr>
          <w:p w:rsidR="00000000" w:rsidRDefault="00000000">
            <w:pPr>
              <w:spacing w:before="40" w:after="40" w:line="210" w:lineRule="exact"/>
              <w:jc w:val="right"/>
              <w:rPr>
                <w:sz w:val="17"/>
              </w:rPr>
            </w:pPr>
            <w:r>
              <w:rPr>
                <w:sz w:val="17"/>
              </w:rPr>
              <w:t>208</w:t>
            </w:r>
          </w:p>
        </w:tc>
      </w:tr>
      <w:tr w:rsidR="00000000">
        <w:tblPrEx>
          <w:tblCellMar>
            <w:top w:w="0" w:type="dxa"/>
            <w:left w:w="0" w:type="dxa"/>
            <w:bottom w:w="0" w:type="dxa"/>
            <w:right w:w="0" w:type="dxa"/>
          </w:tblCellMar>
        </w:tblPrEx>
        <w:tc>
          <w:tcPr>
            <w:tcW w:w="2142" w:type="dxa"/>
            <w:vAlign w:val="bottom"/>
          </w:tcPr>
          <w:p w:rsidR="00000000" w:rsidRDefault="00000000">
            <w:pPr>
              <w:spacing w:before="40" w:after="40" w:line="210" w:lineRule="exact"/>
              <w:rPr>
                <w:sz w:val="17"/>
              </w:rPr>
            </w:pPr>
            <w:r>
              <w:rPr>
                <w:sz w:val="17"/>
              </w:rPr>
              <w:t>8 лет</w:t>
            </w:r>
          </w:p>
        </w:tc>
        <w:tc>
          <w:tcPr>
            <w:tcW w:w="864" w:type="dxa"/>
            <w:vAlign w:val="bottom"/>
          </w:tcPr>
          <w:p w:rsidR="00000000" w:rsidRDefault="00000000">
            <w:pPr>
              <w:spacing w:before="40" w:after="40" w:line="210" w:lineRule="exact"/>
              <w:jc w:val="right"/>
              <w:rPr>
                <w:sz w:val="17"/>
              </w:rPr>
            </w:pPr>
            <w:r>
              <w:rPr>
                <w:sz w:val="17"/>
              </w:rPr>
              <w:t>195</w:t>
            </w:r>
          </w:p>
        </w:tc>
        <w:tc>
          <w:tcPr>
            <w:tcW w:w="864" w:type="dxa"/>
            <w:vAlign w:val="bottom"/>
          </w:tcPr>
          <w:p w:rsidR="00000000" w:rsidRDefault="00000000">
            <w:pPr>
              <w:spacing w:before="40" w:after="40" w:line="210" w:lineRule="exact"/>
              <w:jc w:val="right"/>
              <w:rPr>
                <w:sz w:val="17"/>
              </w:rPr>
            </w:pPr>
            <w:r>
              <w:rPr>
                <w:sz w:val="17"/>
              </w:rPr>
              <w:t>195</w:t>
            </w:r>
          </w:p>
        </w:tc>
        <w:tc>
          <w:tcPr>
            <w:tcW w:w="864" w:type="dxa"/>
            <w:gridSpan w:val="2"/>
            <w:vAlign w:val="bottom"/>
          </w:tcPr>
          <w:p w:rsidR="00000000" w:rsidRDefault="00000000">
            <w:pPr>
              <w:spacing w:before="40" w:after="40" w:line="210" w:lineRule="exact"/>
              <w:jc w:val="right"/>
              <w:rPr>
                <w:sz w:val="17"/>
              </w:rPr>
            </w:pPr>
            <w:r>
              <w:rPr>
                <w:sz w:val="17"/>
              </w:rPr>
              <w:t>187</w:t>
            </w:r>
          </w:p>
        </w:tc>
        <w:tc>
          <w:tcPr>
            <w:tcW w:w="864" w:type="dxa"/>
            <w:vAlign w:val="bottom"/>
          </w:tcPr>
          <w:p w:rsidR="00000000" w:rsidRDefault="00000000">
            <w:pPr>
              <w:spacing w:before="40" w:after="40" w:line="210" w:lineRule="exact"/>
              <w:jc w:val="right"/>
              <w:rPr>
                <w:sz w:val="17"/>
              </w:rPr>
            </w:pPr>
            <w:r>
              <w:rPr>
                <w:sz w:val="17"/>
              </w:rPr>
              <w:t>187</w:t>
            </w:r>
          </w:p>
        </w:tc>
        <w:tc>
          <w:tcPr>
            <w:tcW w:w="864" w:type="dxa"/>
            <w:gridSpan w:val="2"/>
            <w:vAlign w:val="bottom"/>
          </w:tcPr>
          <w:p w:rsidR="00000000" w:rsidRDefault="00000000">
            <w:pPr>
              <w:spacing w:before="40" w:after="40" w:line="210" w:lineRule="exact"/>
              <w:jc w:val="right"/>
              <w:rPr>
                <w:sz w:val="17"/>
              </w:rPr>
            </w:pPr>
            <w:r>
              <w:rPr>
                <w:sz w:val="17"/>
              </w:rPr>
              <w:t>168</w:t>
            </w:r>
          </w:p>
        </w:tc>
        <w:tc>
          <w:tcPr>
            <w:tcW w:w="860" w:type="dxa"/>
            <w:vAlign w:val="bottom"/>
          </w:tcPr>
          <w:p w:rsidR="00000000" w:rsidRDefault="00000000">
            <w:pPr>
              <w:spacing w:before="40" w:after="40" w:line="210" w:lineRule="exact"/>
              <w:jc w:val="right"/>
              <w:rPr>
                <w:sz w:val="17"/>
              </w:rPr>
            </w:pPr>
            <w:r>
              <w:rPr>
                <w:sz w:val="17"/>
              </w:rPr>
              <w:t>168</w:t>
            </w:r>
          </w:p>
        </w:tc>
      </w:tr>
      <w:tr w:rsidR="00000000">
        <w:tblPrEx>
          <w:tblCellMar>
            <w:top w:w="0" w:type="dxa"/>
            <w:left w:w="0" w:type="dxa"/>
            <w:bottom w:w="0" w:type="dxa"/>
            <w:right w:w="0" w:type="dxa"/>
          </w:tblCellMar>
        </w:tblPrEx>
        <w:tc>
          <w:tcPr>
            <w:tcW w:w="2142" w:type="dxa"/>
            <w:vAlign w:val="bottom"/>
          </w:tcPr>
          <w:p w:rsidR="00000000" w:rsidRDefault="00000000">
            <w:pPr>
              <w:spacing w:before="40" w:after="40" w:line="210" w:lineRule="exact"/>
              <w:rPr>
                <w:sz w:val="17"/>
              </w:rPr>
            </w:pPr>
            <w:r>
              <w:rPr>
                <w:sz w:val="17"/>
              </w:rPr>
              <w:t>9 лет</w:t>
            </w:r>
          </w:p>
        </w:tc>
        <w:tc>
          <w:tcPr>
            <w:tcW w:w="864" w:type="dxa"/>
            <w:vAlign w:val="bottom"/>
          </w:tcPr>
          <w:p w:rsidR="00000000" w:rsidRDefault="00000000">
            <w:pPr>
              <w:spacing w:before="40" w:after="40" w:line="210" w:lineRule="exact"/>
              <w:jc w:val="right"/>
              <w:rPr>
                <w:sz w:val="17"/>
              </w:rPr>
            </w:pPr>
            <w:r>
              <w:rPr>
                <w:sz w:val="17"/>
              </w:rPr>
              <w:t>233</w:t>
            </w:r>
          </w:p>
        </w:tc>
        <w:tc>
          <w:tcPr>
            <w:tcW w:w="864" w:type="dxa"/>
            <w:vAlign w:val="bottom"/>
          </w:tcPr>
          <w:p w:rsidR="00000000" w:rsidRDefault="00000000">
            <w:pPr>
              <w:spacing w:before="40" w:after="40" w:line="210" w:lineRule="exact"/>
              <w:jc w:val="right"/>
              <w:rPr>
                <w:sz w:val="17"/>
              </w:rPr>
            </w:pPr>
            <w:r>
              <w:rPr>
                <w:sz w:val="17"/>
              </w:rPr>
              <w:t>233</w:t>
            </w:r>
          </w:p>
        </w:tc>
        <w:tc>
          <w:tcPr>
            <w:tcW w:w="864" w:type="dxa"/>
            <w:gridSpan w:val="2"/>
            <w:vAlign w:val="bottom"/>
          </w:tcPr>
          <w:p w:rsidR="00000000" w:rsidRDefault="00000000">
            <w:pPr>
              <w:spacing w:before="40" w:after="40" w:line="210" w:lineRule="exact"/>
              <w:jc w:val="right"/>
              <w:rPr>
                <w:sz w:val="17"/>
              </w:rPr>
            </w:pPr>
            <w:r>
              <w:rPr>
                <w:sz w:val="17"/>
              </w:rPr>
              <w:t>193</w:t>
            </w:r>
          </w:p>
        </w:tc>
        <w:tc>
          <w:tcPr>
            <w:tcW w:w="864" w:type="dxa"/>
            <w:vAlign w:val="bottom"/>
          </w:tcPr>
          <w:p w:rsidR="00000000" w:rsidRDefault="00000000">
            <w:pPr>
              <w:spacing w:before="40" w:after="40" w:line="210" w:lineRule="exact"/>
              <w:jc w:val="right"/>
              <w:rPr>
                <w:sz w:val="17"/>
              </w:rPr>
            </w:pPr>
            <w:r>
              <w:rPr>
                <w:sz w:val="17"/>
              </w:rPr>
              <w:t>193</w:t>
            </w:r>
          </w:p>
        </w:tc>
        <w:tc>
          <w:tcPr>
            <w:tcW w:w="864" w:type="dxa"/>
            <w:gridSpan w:val="2"/>
            <w:vAlign w:val="bottom"/>
          </w:tcPr>
          <w:p w:rsidR="00000000" w:rsidRDefault="00000000">
            <w:pPr>
              <w:spacing w:before="40" w:after="40" w:line="210" w:lineRule="exact"/>
              <w:jc w:val="right"/>
              <w:rPr>
                <w:sz w:val="17"/>
              </w:rPr>
            </w:pPr>
            <w:r>
              <w:rPr>
                <w:sz w:val="17"/>
              </w:rPr>
              <w:t>158</w:t>
            </w:r>
          </w:p>
        </w:tc>
        <w:tc>
          <w:tcPr>
            <w:tcW w:w="860" w:type="dxa"/>
            <w:vAlign w:val="bottom"/>
          </w:tcPr>
          <w:p w:rsidR="00000000" w:rsidRDefault="00000000">
            <w:pPr>
              <w:spacing w:before="40" w:after="40" w:line="210" w:lineRule="exact"/>
              <w:jc w:val="right"/>
              <w:rPr>
                <w:sz w:val="17"/>
              </w:rPr>
            </w:pPr>
            <w:r>
              <w:rPr>
                <w:sz w:val="17"/>
              </w:rPr>
              <w:t>158</w:t>
            </w:r>
          </w:p>
        </w:tc>
      </w:tr>
      <w:tr w:rsidR="00000000">
        <w:tblPrEx>
          <w:tblCellMar>
            <w:top w:w="0" w:type="dxa"/>
            <w:left w:w="0" w:type="dxa"/>
            <w:bottom w:w="0" w:type="dxa"/>
            <w:right w:w="0" w:type="dxa"/>
          </w:tblCellMar>
        </w:tblPrEx>
        <w:tc>
          <w:tcPr>
            <w:tcW w:w="2142" w:type="dxa"/>
            <w:vAlign w:val="bottom"/>
          </w:tcPr>
          <w:p w:rsidR="00000000" w:rsidRDefault="00000000">
            <w:pPr>
              <w:spacing w:before="40" w:after="40" w:line="210" w:lineRule="exact"/>
              <w:rPr>
                <w:sz w:val="17"/>
              </w:rPr>
            </w:pPr>
            <w:r>
              <w:rPr>
                <w:sz w:val="17"/>
              </w:rPr>
              <w:t>10</w:t>
            </w:r>
            <w:r>
              <w:rPr>
                <w:sz w:val="17"/>
                <w:lang w:val="en-US"/>
              </w:rPr>
              <w:t>–</w:t>
            </w:r>
            <w:r>
              <w:rPr>
                <w:sz w:val="17"/>
              </w:rPr>
              <w:t>14 лет</w:t>
            </w:r>
          </w:p>
        </w:tc>
        <w:tc>
          <w:tcPr>
            <w:tcW w:w="864" w:type="dxa"/>
            <w:vAlign w:val="bottom"/>
          </w:tcPr>
          <w:p w:rsidR="00000000" w:rsidRDefault="00000000">
            <w:pPr>
              <w:spacing w:before="40" w:after="40" w:line="210" w:lineRule="exact"/>
              <w:jc w:val="right"/>
              <w:rPr>
                <w:sz w:val="17"/>
              </w:rPr>
            </w:pPr>
            <w:r>
              <w:rPr>
                <w:sz w:val="17"/>
              </w:rPr>
              <w:t>969</w:t>
            </w:r>
          </w:p>
        </w:tc>
        <w:tc>
          <w:tcPr>
            <w:tcW w:w="864" w:type="dxa"/>
            <w:vAlign w:val="bottom"/>
          </w:tcPr>
          <w:p w:rsidR="00000000" w:rsidRDefault="00000000">
            <w:pPr>
              <w:spacing w:before="40" w:after="40" w:line="210" w:lineRule="exact"/>
              <w:jc w:val="right"/>
              <w:rPr>
                <w:sz w:val="17"/>
              </w:rPr>
            </w:pPr>
            <w:r>
              <w:rPr>
                <w:sz w:val="17"/>
              </w:rPr>
              <w:t>969</w:t>
            </w:r>
          </w:p>
        </w:tc>
        <w:tc>
          <w:tcPr>
            <w:tcW w:w="864" w:type="dxa"/>
            <w:gridSpan w:val="2"/>
            <w:vAlign w:val="bottom"/>
          </w:tcPr>
          <w:p w:rsidR="00000000" w:rsidRDefault="00000000">
            <w:pPr>
              <w:spacing w:before="40" w:after="40" w:line="210" w:lineRule="exact"/>
              <w:jc w:val="right"/>
              <w:rPr>
                <w:sz w:val="17"/>
              </w:rPr>
            </w:pPr>
            <w:r>
              <w:rPr>
                <w:sz w:val="17"/>
              </w:rPr>
              <w:t>983</w:t>
            </w:r>
          </w:p>
        </w:tc>
        <w:tc>
          <w:tcPr>
            <w:tcW w:w="864" w:type="dxa"/>
            <w:vAlign w:val="bottom"/>
          </w:tcPr>
          <w:p w:rsidR="00000000" w:rsidRDefault="00000000">
            <w:pPr>
              <w:spacing w:before="40" w:after="40" w:line="210" w:lineRule="exact"/>
              <w:jc w:val="right"/>
              <w:rPr>
                <w:sz w:val="17"/>
              </w:rPr>
            </w:pPr>
            <w:r>
              <w:rPr>
                <w:sz w:val="17"/>
              </w:rPr>
              <w:t>983</w:t>
            </w:r>
          </w:p>
        </w:tc>
        <w:tc>
          <w:tcPr>
            <w:tcW w:w="864" w:type="dxa"/>
            <w:gridSpan w:val="2"/>
            <w:vAlign w:val="bottom"/>
          </w:tcPr>
          <w:p w:rsidR="00000000" w:rsidRDefault="00000000">
            <w:pPr>
              <w:spacing w:before="40" w:after="40" w:line="210" w:lineRule="exact"/>
              <w:jc w:val="right"/>
              <w:rPr>
                <w:sz w:val="17"/>
              </w:rPr>
            </w:pPr>
            <w:r>
              <w:rPr>
                <w:sz w:val="17"/>
              </w:rPr>
              <w:t>855</w:t>
            </w:r>
          </w:p>
        </w:tc>
        <w:tc>
          <w:tcPr>
            <w:tcW w:w="860" w:type="dxa"/>
            <w:vAlign w:val="bottom"/>
          </w:tcPr>
          <w:p w:rsidR="00000000" w:rsidRDefault="00000000">
            <w:pPr>
              <w:spacing w:before="40" w:after="40" w:line="210" w:lineRule="exact"/>
              <w:jc w:val="right"/>
              <w:rPr>
                <w:sz w:val="17"/>
              </w:rPr>
            </w:pPr>
            <w:r>
              <w:rPr>
                <w:sz w:val="17"/>
              </w:rPr>
              <w:t>855</w:t>
            </w:r>
          </w:p>
        </w:tc>
      </w:tr>
      <w:tr w:rsidR="00000000">
        <w:tblPrEx>
          <w:tblCellMar>
            <w:top w:w="0" w:type="dxa"/>
            <w:left w:w="0" w:type="dxa"/>
            <w:bottom w:w="0" w:type="dxa"/>
            <w:right w:w="0" w:type="dxa"/>
          </w:tblCellMar>
        </w:tblPrEx>
        <w:tc>
          <w:tcPr>
            <w:tcW w:w="2142" w:type="dxa"/>
            <w:vAlign w:val="bottom"/>
          </w:tcPr>
          <w:p w:rsidR="00000000" w:rsidRDefault="00000000">
            <w:pPr>
              <w:spacing w:before="40" w:after="40" w:line="210" w:lineRule="exact"/>
              <w:rPr>
                <w:sz w:val="17"/>
              </w:rPr>
            </w:pPr>
            <w:r>
              <w:rPr>
                <w:sz w:val="17"/>
              </w:rPr>
              <w:t>15</w:t>
            </w:r>
            <w:r>
              <w:rPr>
                <w:sz w:val="17"/>
                <w:lang w:val="en-US"/>
              </w:rPr>
              <w:t>–</w:t>
            </w:r>
            <w:r>
              <w:rPr>
                <w:sz w:val="17"/>
              </w:rPr>
              <w:t>19 лет</w:t>
            </w:r>
          </w:p>
        </w:tc>
        <w:tc>
          <w:tcPr>
            <w:tcW w:w="864" w:type="dxa"/>
            <w:vAlign w:val="bottom"/>
          </w:tcPr>
          <w:p w:rsidR="00000000" w:rsidRDefault="00000000">
            <w:pPr>
              <w:spacing w:before="40" w:after="40" w:line="210" w:lineRule="exact"/>
              <w:jc w:val="right"/>
              <w:rPr>
                <w:sz w:val="17"/>
              </w:rPr>
            </w:pPr>
            <w:r>
              <w:rPr>
                <w:sz w:val="17"/>
              </w:rPr>
              <w:t>612</w:t>
            </w:r>
          </w:p>
        </w:tc>
        <w:tc>
          <w:tcPr>
            <w:tcW w:w="864" w:type="dxa"/>
            <w:vAlign w:val="bottom"/>
          </w:tcPr>
          <w:p w:rsidR="00000000" w:rsidRDefault="00000000">
            <w:pPr>
              <w:spacing w:before="40" w:after="40" w:line="210" w:lineRule="exact"/>
              <w:jc w:val="right"/>
              <w:rPr>
                <w:sz w:val="17"/>
              </w:rPr>
            </w:pPr>
            <w:r>
              <w:rPr>
                <w:sz w:val="17"/>
              </w:rPr>
              <w:t>612</w:t>
            </w:r>
          </w:p>
        </w:tc>
        <w:tc>
          <w:tcPr>
            <w:tcW w:w="864" w:type="dxa"/>
            <w:gridSpan w:val="2"/>
            <w:vAlign w:val="bottom"/>
          </w:tcPr>
          <w:p w:rsidR="00000000" w:rsidRDefault="00000000">
            <w:pPr>
              <w:spacing w:before="40" w:after="40" w:line="210" w:lineRule="exact"/>
              <w:jc w:val="right"/>
              <w:rPr>
                <w:sz w:val="17"/>
              </w:rPr>
            </w:pPr>
            <w:r>
              <w:rPr>
                <w:sz w:val="17"/>
              </w:rPr>
              <w:t>639</w:t>
            </w:r>
          </w:p>
        </w:tc>
        <w:tc>
          <w:tcPr>
            <w:tcW w:w="864" w:type="dxa"/>
            <w:vAlign w:val="bottom"/>
          </w:tcPr>
          <w:p w:rsidR="00000000" w:rsidRDefault="00000000">
            <w:pPr>
              <w:spacing w:before="40" w:after="40" w:line="210" w:lineRule="exact"/>
              <w:jc w:val="right"/>
              <w:rPr>
                <w:sz w:val="17"/>
              </w:rPr>
            </w:pPr>
            <w:r>
              <w:rPr>
                <w:sz w:val="17"/>
              </w:rPr>
              <w:t>639</w:t>
            </w:r>
          </w:p>
        </w:tc>
        <w:tc>
          <w:tcPr>
            <w:tcW w:w="864" w:type="dxa"/>
            <w:gridSpan w:val="2"/>
            <w:vAlign w:val="bottom"/>
          </w:tcPr>
          <w:p w:rsidR="00000000" w:rsidRDefault="00000000">
            <w:pPr>
              <w:spacing w:before="40" w:after="40" w:line="210" w:lineRule="exact"/>
              <w:jc w:val="right"/>
              <w:rPr>
                <w:sz w:val="17"/>
              </w:rPr>
            </w:pPr>
            <w:r>
              <w:rPr>
                <w:sz w:val="17"/>
              </w:rPr>
              <w:t>633</w:t>
            </w:r>
          </w:p>
        </w:tc>
        <w:tc>
          <w:tcPr>
            <w:tcW w:w="860" w:type="dxa"/>
            <w:vAlign w:val="bottom"/>
          </w:tcPr>
          <w:p w:rsidR="00000000" w:rsidRDefault="00000000">
            <w:pPr>
              <w:spacing w:before="40" w:after="40" w:line="210" w:lineRule="exact"/>
              <w:jc w:val="right"/>
              <w:rPr>
                <w:sz w:val="17"/>
              </w:rPr>
            </w:pPr>
            <w:r>
              <w:rPr>
                <w:sz w:val="17"/>
              </w:rPr>
              <w:t>633</w:t>
            </w:r>
          </w:p>
        </w:tc>
      </w:tr>
      <w:tr w:rsidR="00000000">
        <w:tblPrEx>
          <w:tblCellMar>
            <w:top w:w="0" w:type="dxa"/>
            <w:left w:w="0" w:type="dxa"/>
            <w:bottom w:w="0" w:type="dxa"/>
            <w:right w:w="0" w:type="dxa"/>
          </w:tblCellMar>
        </w:tblPrEx>
        <w:tc>
          <w:tcPr>
            <w:tcW w:w="2142" w:type="dxa"/>
            <w:tcBorders>
              <w:bottom w:val="single" w:sz="12" w:space="0" w:color="auto"/>
            </w:tcBorders>
            <w:vAlign w:val="bottom"/>
          </w:tcPr>
          <w:p w:rsidR="00000000" w:rsidRDefault="00000000">
            <w:pPr>
              <w:spacing w:before="40" w:after="40" w:line="210" w:lineRule="exact"/>
              <w:rPr>
                <w:sz w:val="17"/>
              </w:rPr>
            </w:pPr>
            <w:r>
              <w:rPr>
                <w:sz w:val="17"/>
              </w:rPr>
              <w:t xml:space="preserve">20 лет и больше </w:t>
            </w:r>
          </w:p>
        </w:tc>
        <w:tc>
          <w:tcPr>
            <w:tcW w:w="864" w:type="dxa"/>
            <w:tcBorders>
              <w:bottom w:val="single" w:sz="12" w:space="0" w:color="auto"/>
            </w:tcBorders>
            <w:vAlign w:val="bottom"/>
          </w:tcPr>
          <w:p w:rsidR="00000000" w:rsidRDefault="00000000">
            <w:pPr>
              <w:spacing w:before="40" w:after="40" w:line="210" w:lineRule="exact"/>
              <w:jc w:val="right"/>
              <w:rPr>
                <w:sz w:val="17"/>
              </w:rPr>
            </w:pPr>
            <w:r>
              <w:rPr>
                <w:sz w:val="17"/>
              </w:rPr>
              <w:t>749</w:t>
            </w:r>
          </w:p>
        </w:tc>
        <w:tc>
          <w:tcPr>
            <w:tcW w:w="864" w:type="dxa"/>
            <w:tcBorders>
              <w:bottom w:val="single" w:sz="12" w:space="0" w:color="auto"/>
            </w:tcBorders>
            <w:vAlign w:val="bottom"/>
          </w:tcPr>
          <w:p w:rsidR="00000000" w:rsidRDefault="00000000">
            <w:pPr>
              <w:spacing w:before="40" w:after="40" w:line="210" w:lineRule="exact"/>
              <w:jc w:val="right"/>
              <w:rPr>
                <w:sz w:val="17"/>
              </w:rPr>
            </w:pPr>
            <w:r>
              <w:rPr>
                <w:sz w:val="17"/>
              </w:rPr>
              <w:t>749</w:t>
            </w:r>
          </w:p>
        </w:tc>
        <w:tc>
          <w:tcPr>
            <w:tcW w:w="864" w:type="dxa"/>
            <w:gridSpan w:val="2"/>
            <w:tcBorders>
              <w:bottom w:val="single" w:sz="12" w:space="0" w:color="auto"/>
            </w:tcBorders>
            <w:vAlign w:val="bottom"/>
          </w:tcPr>
          <w:p w:rsidR="00000000" w:rsidRDefault="00000000">
            <w:pPr>
              <w:spacing w:before="40" w:after="40" w:line="210" w:lineRule="exact"/>
              <w:jc w:val="right"/>
              <w:rPr>
                <w:sz w:val="17"/>
              </w:rPr>
            </w:pPr>
            <w:r>
              <w:rPr>
                <w:sz w:val="17"/>
              </w:rPr>
              <w:t>839</w:t>
            </w:r>
          </w:p>
        </w:tc>
        <w:tc>
          <w:tcPr>
            <w:tcW w:w="864" w:type="dxa"/>
            <w:tcBorders>
              <w:bottom w:val="single" w:sz="12" w:space="0" w:color="auto"/>
            </w:tcBorders>
            <w:vAlign w:val="bottom"/>
          </w:tcPr>
          <w:p w:rsidR="00000000" w:rsidRDefault="00000000">
            <w:pPr>
              <w:spacing w:before="40" w:after="40" w:line="210" w:lineRule="exact"/>
              <w:jc w:val="right"/>
              <w:rPr>
                <w:sz w:val="17"/>
              </w:rPr>
            </w:pPr>
            <w:r>
              <w:rPr>
                <w:sz w:val="17"/>
              </w:rPr>
              <w:t>839</w:t>
            </w:r>
          </w:p>
        </w:tc>
        <w:tc>
          <w:tcPr>
            <w:tcW w:w="864" w:type="dxa"/>
            <w:gridSpan w:val="2"/>
            <w:tcBorders>
              <w:bottom w:val="single" w:sz="12" w:space="0" w:color="auto"/>
            </w:tcBorders>
            <w:vAlign w:val="bottom"/>
          </w:tcPr>
          <w:p w:rsidR="00000000" w:rsidRDefault="00000000">
            <w:pPr>
              <w:spacing w:before="40" w:after="40" w:line="210" w:lineRule="exact"/>
              <w:jc w:val="right"/>
              <w:rPr>
                <w:sz w:val="17"/>
              </w:rPr>
            </w:pPr>
            <w:r>
              <w:rPr>
                <w:sz w:val="17"/>
              </w:rPr>
              <w:t>836</w:t>
            </w:r>
          </w:p>
        </w:tc>
        <w:tc>
          <w:tcPr>
            <w:tcW w:w="860" w:type="dxa"/>
            <w:tcBorders>
              <w:bottom w:val="single" w:sz="12" w:space="0" w:color="auto"/>
            </w:tcBorders>
            <w:vAlign w:val="bottom"/>
          </w:tcPr>
          <w:p w:rsidR="00000000" w:rsidRDefault="00000000">
            <w:pPr>
              <w:spacing w:before="40" w:after="40" w:line="210" w:lineRule="exact"/>
              <w:jc w:val="right"/>
              <w:rPr>
                <w:sz w:val="17"/>
              </w:rPr>
            </w:pPr>
            <w:r>
              <w:rPr>
                <w:sz w:val="17"/>
              </w:rPr>
              <w:t>836</w:t>
            </w:r>
          </w:p>
        </w:tc>
      </w:tr>
    </w:tbl>
    <w:p w:rsidR="00000000" w:rsidRDefault="00000000">
      <w:pPr>
        <w:pStyle w:val="SingleTxt"/>
        <w:spacing w:after="0" w:line="120" w:lineRule="exact"/>
        <w:rPr>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sz w:val="20"/>
        </w:rPr>
        <w:t>И</w:t>
      </w:r>
      <w:r>
        <w:rPr>
          <w:i/>
        </w:rPr>
        <w:t>сточник:</w:t>
      </w:r>
      <w:r>
        <w:t xml:space="preserve"> Статистическое бюро Эстонии, www.stat.ee </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b/>
        </w:rPr>
      </w:pPr>
      <w:r>
        <w:rPr>
          <w:b/>
        </w:rPr>
        <w:tab/>
        <w:t>d)</w:t>
      </w:r>
      <w:r>
        <w:rPr>
          <w:b/>
        </w:rPr>
        <w:tab/>
        <w:t>одинаковые права и обязанности мужчин и женщин как родит</w:t>
      </w:r>
      <w:r>
        <w:rPr>
          <w:b/>
        </w:rPr>
        <w:t>е</w:t>
      </w:r>
      <w:r>
        <w:rPr>
          <w:b/>
        </w:rPr>
        <w:t>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pStyle w:val="SingleTxt"/>
      </w:pPr>
      <w:r>
        <w:rPr>
          <w:lang w:val="en-US"/>
        </w:rPr>
        <w:tab/>
      </w:r>
      <w:r>
        <w:t>Семья несет ответственность за обеспечение душевного и финансового благополучия д</w:t>
      </w:r>
      <w:r>
        <w:t>е</w:t>
      </w:r>
      <w:r>
        <w:t>тей, равно как и за их воспитание и развитие.</w:t>
      </w:r>
    </w:p>
    <w:p w:rsidR="00000000" w:rsidRDefault="00000000">
      <w:pPr>
        <w:pStyle w:val="SingleTxt"/>
      </w:pPr>
      <w:r>
        <w:rPr>
          <w:lang w:val="en-US"/>
        </w:rPr>
        <w:tab/>
      </w:r>
      <w:r>
        <w:t>В соответствии с концепцией политики по вопросам детей и семьи гос</w:t>
      </w:r>
      <w:r>
        <w:t>у</w:t>
      </w:r>
      <w:r>
        <w:t>дарство поддерживает право и обязанность обоих родителей в деле воспитания их детей и ухода за ними и создает равные возможности для участия в труд</w:t>
      </w:r>
      <w:r>
        <w:t>о</w:t>
      </w:r>
      <w:r>
        <w:t>вой и семейной жизни. При выработке политики по вопросам семьи государс</w:t>
      </w:r>
      <w:r>
        <w:t>т</w:t>
      </w:r>
      <w:r>
        <w:t>во должно принимать во внимание различные и многогранные формы и отн</w:t>
      </w:r>
      <w:r>
        <w:t>о</w:t>
      </w:r>
      <w:r>
        <w:t>шения, присущие семейной жизни.</w:t>
      </w:r>
    </w:p>
    <w:p w:rsidR="00000000" w:rsidRDefault="00000000">
      <w:pPr>
        <w:pStyle w:val="SingleTxt"/>
      </w:pPr>
      <w:r>
        <w:rPr>
          <w:lang w:val="en-US"/>
        </w:rPr>
        <w:tab/>
      </w:r>
      <w:r>
        <w:t>Родитель обязан содержать своего несовершеннолетнего ребенка, но та</w:t>
      </w:r>
      <w:r>
        <w:t>к</w:t>
      </w:r>
      <w:r>
        <w:t>же и совершеннолетнего, если тот нуждается в помощи и нетрудоспособен. Если ребенок учится в базовой школе, полной средней школе или професси</w:t>
      </w:r>
      <w:r>
        <w:t>о</w:t>
      </w:r>
      <w:r>
        <w:t>нальном училище и продолжает учиться до достижения им совершеннолетия, родитель обязан его содержать на протяжении всего периода обучения.</w:t>
      </w:r>
    </w:p>
    <w:p w:rsidR="00000000" w:rsidRDefault="00000000">
      <w:pPr>
        <w:pStyle w:val="SingleTxt"/>
      </w:pPr>
      <w:r>
        <w:rPr>
          <w:lang w:val="en-US"/>
        </w:rPr>
        <w:tab/>
      </w:r>
      <w:r>
        <w:t>Если родитель не выполняет обязанности по содержанию ребенка, суд по требованию другого родителя, опекуна или учреждения опеки взыскивает с н</w:t>
      </w:r>
      <w:r>
        <w:t>е</w:t>
      </w:r>
      <w:r>
        <w:t>го алименты в пользу предъявившего требование родителя, опекуна или лица, в интересах которого учреждение опеки предъявило требование. Алименты на ребенка определяются в виде ежемесячного денежного содержания с учетом материального положения обоих родителей и потребностей ребенка. В случае изменения материального положения родителей или потребностей ребенка суд может по требованию заинтересованного лица изменить размер алиментов.</w:t>
      </w:r>
    </w:p>
    <w:p w:rsidR="00000000" w:rsidRDefault="00000000">
      <w:pPr>
        <w:pStyle w:val="SingleTxt"/>
      </w:pPr>
      <w:r>
        <w:rPr>
          <w:lang w:val="en-US"/>
        </w:rPr>
        <w:tab/>
      </w:r>
      <w:r>
        <w:t>Ежемесячное денежное содержание на одного ребенка не может быть меньше половины минимальной ставки месячного оклада, установленной пр</w:t>
      </w:r>
      <w:r>
        <w:t>а</w:t>
      </w:r>
      <w:r>
        <w:t>вительством Республики. В 2004 году установленная правительством мин</w:t>
      </w:r>
      <w:r>
        <w:t>и</w:t>
      </w:r>
      <w:r>
        <w:t>мальная ставка месячного оклада соста</w:t>
      </w:r>
      <w:r>
        <w:t>в</w:t>
      </w:r>
      <w:r>
        <w:t>ляла 1240 эстонских крон.</w:t>
      </w:r>
    </w:p>
    <w:p w:rsidR="00000000" w:rsidRDefault="00000000">
      <w:pPr>
        <w:pStyle w:val="SingleTxt"/>
      </w:pPr>
      <w:r>
        <w:rPr>
          <w:lang w:val="en-US"/>
        </w:rPr>
        <w:tab/>
      </w:r>
      <w:r>
        <w:t>Если родитель не выполняет обязанность по содержанию ребенка, суд может взыскать алименты на содержание ребенка со дня предъявления иска о взыск</w:t>
      </w:r>
      <w:r>
        <w:t>а</w:t>
      </w:r>
      <w:r>
        <w:t>нии алиментов.</w:t>
      </w:r>
    </w:p>
    <w:p w:rsidR="00000000" w:rsidRDefault="00000000">
      <w:pPr>
        <w:pStyle w:val="SingleTxt"/>
      </w:pPr>
      <w:r>
        <w:rPr>
          <w:lang w:val="en-US"/>
        </w:rPr>
        <w:tab/>
      </w:r>
      <w:r>
        <w:t>Суд может отказать в присуждении алиментов или уменьшить их размер до суммы меньше половины минимальной ставки месячного оклада либо о</w:t>
      </w:r>
      <w:r>
        <w:t>т</w:t>
      </w:r>
      <w:r>
        <w:t>менить уплату алиментов, если родитель, с которого взыскиваются алименты, является нетрудоспособным, или если ребенок имеет достаточный доход, либо выявляются иные причины, признанные с</w:t>
      </w:r>
      <w:r>
        <w:t>у</w:t>
      </w:r>
      <w:r>
        <w:t>дом уважительными.</w:t>
      </w:r>
    </w:p>
    <w:p w:rsidR="00000000" w:rsidRDefault="00000000">
      <w:pPr>
        <w:pStyle w:val="SingleTxt"/>
      </w:pPr>
      <w:r>
        <w:rPr>
          <w:lang w:val="en-US"/>
        </w:rPr>
        <w:tab/>
      </w:r>
      <w:r>
        <w:t>Например, суд может счесть уважительной причиной, если у родителя имеется другой ребенок, который при взыскании алиментов в указанном ра</w:t>
      </w:r>
      <w:r>
        <w:t>з</w:t>
      </w:r>
      <w:r>
        <w:t>мере оказался бы менее обеспеченным материально, чем ребенок, получающий алиме</w:t>
      </w:r>
      <w:r>
        <w:t>н</w:t>
      </w:r>
      <w:r>
        <w:t xml:space="preserve">ты. </w:t>
      </w:r>
    </w:p>
    <w:p w:rsidR="00000000" w:rsidRDefault="00000000">
      <w:pPr>
        <w:pStyle w:val="SingleTxt"/>
      </w:pPr>
      <w:r>
        <w:rPr>
          <w:lang w:val="en-US"/>
        </w:rPr>
        <w:tab/>
      </w:r>
      <w:r>
        <w:t>Суд принимает решение о взыскании минимально возможной суммы только в тех случаях, когда финансовое положение родителя, в отношении к</w:t>
      </w:r>
      <w:r>
        <w:t>о</w:t>
      </w:r>
      <w:r>
        <w:t>торого поступило требование о взыскании алиментов, не позволяет взыскать большей суммы или когда родитель, требующий взыскания алиментов, не в достаточной мере обосновал испрашиваемую сумму.</w:t>
      </w:r>
    </w:p>
    <w:p w:rsidR="00000000" w:rsidRDefault="00000000">
      <w:pPr>
        <w:pStyle w:val="SingleTxt"/>
        <w:rPr>
          <w:lang w:val="en-US"/>
        </w:rPr>
      </w:pPr>
      <w:r>
        <w:rPr>
          <w:lang w:val="en-US"/>
        </w:rPr>
        <w:tab/>
      </w:r>
      <w:r>
        <w:t>Родитель, который намеренно уклоняется от уплаты установленной судом ежемесячной суммы алиментов его или ее ребенку в возрасте до 18 лет или его или ее ребенку, достигшему совершеннолетия, но являющемуся нетрудосп</w:t>
      </w:r>
      <w:r>
        <w:t>о</w:t>
      </w:r>
      <w:r>
        <w:t>собным и нуждающемуся в помощи, наказывается штрафом или лишением свободы на срок до одного года.</w:t>
      </w:r>
    </w:p>
    <w:p w:rsidR="00000000" w:rsidRDefault="00000000">
      <w:pPr>
        <w:pStyle w:val="SingleTxt"/>
        <w:spacing w:after="0" w:line="120" w:lineRule="exact"/>
        <w:rPr>
          <w:sz w:val="10"/>
        </w:rPr>
      </w:pPr>
    </w:p>
    <w:p w:rsidR="00000000" w:rsidRDefault="00000000">
      <w:pPr>
        <w:pStyle w:val="SingleTxt"/>
        <w:keepNext/>
        <w:rPr>
          <w:b/>
        </w:rPr>
      </w:pPr>
      <w:r>
        <w:rPr>
          <w:b/>
        </w:rPr>
        <w:tab/>
        <w:t>е)</w:t>
      </w:r>
      <w:r>
        <w:rPr>
          <w:b/>
          <w:lang w:val="en-US"/>
        </w:rPr>
        <w:tab/>
      </w:r>
      <w:r>
        <w:rPr>
          <w:b/>
        </w:rPr>
        <w:t>одинаковые права свободно и ответственно решать вопрос о числе детей и промежутках между их рождениями и иметь доступ к и</w:t>
      </w:r>
      <w:r>
        <w:rPr>
          <w:b/>
        </w:rPr>
        <w:t>н</w:t>
      </w:r>
      <w:r>
        <w:rPr>
          <w:b/>
        </w:rPr>
        <w:t>формации, образованию, а также средствам, которые позволяют им осущ</w:t>
      </w:r>
      <w:r>
        <w:rPr>
          <w:b/>
        </w:rPr>
        <w:t>е</w:t>
      </w:r>
      <w:r>
        <w:rPr>
          <w:b/>
        </w:rPr>
        <w:t>ствлять это право;</w:t>
      </w:r>
    </w:p>
    <w:p w:rsidR="00000000" w:rsidRDefault="00000000">
      <w:pPr>
        <w:pStyle w:val="SingleTxt"/>
      </w:pPr>
      <w:r>
        <w:rPr>
          <w:lang w:val="en-US"/>
        </w:rPr>
        <w:tab/>
      </w:r>
      <w:r>
        <w:t>В соответствии с концепцией политики по вопросам детей и семьи гос</w:t>
      </w:r>
      <w:r>
        <w:t>у</w:t>
      </w:r>
      <w:r>
        <w:t>дарство поддерживает право каждого человека свободно решать, заводить ли и когда заводить семью и детей. Информацию, необходимую для того, чтобы н</w:t>
      </w:r>
      <w:r>
        <w:t>а</w:t>
      </w:r>
      <w:r>
        <w:t>чать планировать семью, можно получить во время консультаций, из публик</w:t>
      </w:r>
      <w:r>
        <w:t>а</w:t>
      </w:r>
      <w:r>
        <w:t>ций и по электронным каналам (http://www.perekool.ee; http://www.amor.ee).</w:t>
      </w:r>
    </w:p>
    <w:p w:rsidR="00000000" w:rsidRDefault="00000000">
      <w:pPr>
        <w:pStyle w:val="SingleTxt"/>
      </w:pPr>
      <w:r>
        <w:rPr>
          <w:lang w:val="en-US"/>
        </w:rPr>
        <w:tab/>
      </w:r>
      <w:r>
        <w:t>Консультационные центры в крупных городах и муниципальных районах оказывают бесплатные консультационные услуги. Задачей семейных медсестер является консультирование людей по вопросам планирования семьи и полового здоровья. Семейные медсестры должны каждую неделю отводить на индив</w:t>
      </w:r>
      <w:r>
        <w:t>и</w:t>
      </w:r>
      <w:r>
        <w:t>дуальные консультации не менее 10 ч</w:t>
      </w:r>
      <w:r>
        <w:t>а</w:t>
      </w:r>
      <w:r>
        <w:t>сов.</w:t>
      </w:r>
    </w:p>
    <w:p w:rsidR="00000000" w:rsidRDefault="00000000">
      <w:pPr>
        <w:pStyle w:val="SingleTxt"/>
      </w:pPr>
      <w:r>
        <w:rPr>
          <w:lang w:val="en-US"/>
        </w:rPr>
        <w:tab/>
      </w:r>
      <w:r>
        <w:t>С 2003 года действует распоряжение министра социальных дел, разр</w:t>
      </w:r>
      <w:r>
        <w:t>е</w:t>
      </w:r>
      <w:r>
        <w:t>шающее по два или три раза использовать выписанный рецепт на противозач</w:t>
      </w:r>
      <w:r>
        <w:t>а</w:t>
      </w:r>
      <w:r>
        <w:t>точные пилюли. Этим распоряжением устранено существовавшее ранее пол</w:t>
      </w:r>
      <w:r>
        <w:t>о</w:t>
      </w:r>
      <w:r>
        <w:t>жение, когда для получения рецепта на противозачаточные пилюли приход</w:t>
      </w:r>
      <w:r>
        <w:t>и</w:t>
      </w:r>
      <w:r>
        <w:t>лось по несколько недель дожидаться визита к врачу.</w:t>
      </w:r>
    </w:p>
    <w:p w:rsidR="00000000" w:rsidRDefault="00000000">
      <w:pPr>
        <w:pStyle w:val="SingleTxt"/>
      </w:pPr>
      <w:r>
        <w:rPr>
          <w:lang w:val="en-US"/>
        </w:rPr>
        <w:tab/>
      </w:r>
      <w:r>
        <w:t>Почти половина тех, кто в конце 1990-х годов хотел бы иметь детей, р</w:t>
      </w:r>
      <w:r>
        <w:t>е</w:t>
      </w:r>
      <w:r>
        <w:t>шили с этим не торопиться по финансовым соображениям. Более одной трети тех, в чьи планы входило завести детей, отмечали, что сначала они хотят обе</w:t>
      </w:r>
      <w:r>
        <w:t>с</w:t>
      </w:r>
      <w:r>
        <w:t>печить себя в финансовом отношении. 30 процентов приводили причины, св</w:t>
      </w:r>
      <w:r>
        <w:t>я</w:t>
      </w:r>
      <w:r>
        <w:t>занные с жилищными проблемами и учебой. Среди других причин отмечалось отсутс</w:t>
      </w:r>
      <w:r>
        <w:t>т</w:t>
      </w:r>
      <w:r>
        <w:t>вие партнера (27 процентов) и неуверенность в будущем (23 процента).</w:t>
      </w:r>
    </w:p>
    <w:p w:rsidR="00000000" w:rsidRDefault="00000000">
      <w:pPr>
        <w:pStyle w:val="SingleTxt"/>
      </w:pPr>
      <w:r>
        <w:rPr>
          <w:lang w:val="en-US"/>
        </w:rPr>
        <w:tab/>
      </w:r>
      <w:r>
        <w:t>Согласно Закону об искусственном оплодотворении и защите эмбриона, искусственное оплодотворение разрешается только взрослым женщинам в во</w:t>
      </w:r>
      <w:r>
        <w:t>з</w:t>
      </w:r>
      <w:r>
        <w:t>расте до 50 лет, обладающим дееспособностью, и производится по их личной просьбе. Никто не имеет права принуждать или склонять женщину к искусс</w:t>
      </w:r>
      <w:r>
        <w:t>т</w:t>
      </w:r>
      <w:r>
        <w:t>венному оплодотворению. Согласие женщины на искусственное оплодотвор</w:t>
      </w:r>
      <w:r>
        <w:t>е</w:t>
      </w:r>
      <w:r>
        <w:t>ние дол</w:t>
      </w:r>
      <w:r>
        <w:t>ж</w:t>
      </w:r>
      <w:r>
        <w:t>но быть оформлено письменно.</w:t>
      </w:r>
    </w:p>
    <w:p w:rsidR="00000000" w:rsidRDefault="00000000">
      <w:pPr>
        <w:pStyle w:val="SingleTxt"/>
      </w:pPr>
      <w:r>
        <w:rPr>
          <w:lang w:val="en-US"/>
        </w:rPr>
        <w:tab/>
      </w:r>
      <w:r>
        <w:t>Чтобы произвести операцию искусственного оплодотворения замужней женщины, требуется письменное согласие мужа, которое должно соответств</w:t>
      </w:r>
      <w:r>
        <w:t>о</w:t>
      </w:r>
      <w:r>
        <w:t>вать согласию, предоставленному женщиной. В согласии мужа должно указ</w:t>
      </w:r>
      <w:r>
        <w:t>ы</w:t>
      </w:r>
      <w:r>
        <w:t>ваться, согласен ли он на искусственное оплодотворение жены своей спермой даже в случае своей смерти.</w:t>
      </w:r>
    </w:p>
    <w:p w:rsidR="00000000" w:rsidRDefault="00000000">
      <w:pPr>
        <w:pStyle w:val="SingleTxt"/>
      </w:pPr>
      <w:r>
        <w:rPr>
          <w:lang w:val="en-US"/>
        </w:rPr>
        <w:tab/>
      </w:r>
      <w:r>
        <w:t>Женщина имеет право отказаться от искусственного оплодотворения, пока операция не произведена, и объявить свое согласие недействительным. Муж также имеет право до начала операции по искусственному оплодотворению письменно отменить свое согласие, объявив его недействительным.</w:t>
      </w:r>
    </w:p>
    <w:p w:rsidR="00000000" w:rsidRDefault="00000000">
      <w:pPr>
        <w:pStyle w:val="SingleTxt"/>
      </w:pPr>
      <w:r>
        <w:rPr>
          <w:lang w:val="en-US"/>
        </w:rPr>
        <w:tab/>
      </w:r>
      <w:r>
        <w:t>В случае искусственного оплодотворения женщины спермой мужчины, не давшего на это своего согласия или объявившего свое согласие недействител</w:t>
      </w:r>
      <w:r>
        <w:t>ь</w:t>
      </w:r>
      <w:r>
        <w:t>ным, вопрос об отцовстве ребенка решается в соответствии с положениями З</w:t>
      </w:r>
      <w:r>
        <w:t>а</w:t>
      </w:r>
      <w:r>
        <w:t>кона о семье.</w:t>
      </w:r>
    </w:p>
    <w:p w:rsidR="00000000" w:rsidRDefault="00000000">
      <w:pPr>
        <w:pStyle w:val="SingleTxt"/>
      </w:pPr>
      <w:r>
        <w:rPr>
          <w:lang w:val="en-US"/>
        </w:rPr>
        <w:tab/>
      </w:r>
      <w:r>
        <w:t>В Музее здравоохранения Эстонии действует постоянная экспозиция «Ч</w:t>
      </w:r>
      <w:r>
        <w:t>е</w:t>
      </w:r>
      <w:r>
        <w:t>ловек. Здоровье. Семья», которая освещает вопрос о репродуктивном здоровье чел</w:t>
      </w:r>
      <w:r>
        <w:t>о</w:t>
      </w:r>
      <w:r>
        <w:t>века.</w:t>
      </w:r>
    </w:p>
    <w:p w:rsidR="00000000" w:rsidRDefault="00000000">
      <w:pPr>
        <w:pStyle w:val="SingleTxt"/>
        <w:spacing w:after="0" w:line="120" w:lineRule="exact"/>
        <w:rPr>
          <w:sz w:val="10"/>
        </w:rPr>
      </w:pPr>
    </w:p>
    <w:p w:rsidR="00000000" w:rsidRDefault="00000000">
      <w:pPr>
        <w:pStyle w:val="SingleTxt"/>
        <w:rPr>
          <w:b/>
        </w:rPr>
      </w:pPr>
      <w:r>
        <w:rPr>
          <w:b/>
        </w:rPr>
        <w:tab/>
        <w:t>f)</w:t>
      </w:r>
      <w:r>
        <w:rPr>
          <w:b/>
          <w:lang w:val="en-US"/>
        </w:rPr>
        <w:tab/>
      </w:r>
      <w:r>
        <w:rPr>
          <w:b/>
        </w:rPr>
        <w:t>одинаковые права и обязанности быть опекунами, попечител</w:t>
      </w:r>
      <w:r>
        <w:rPr>
          <w:b/>
        </w:rPr>
        <w:t>я</w:t>
      </w:r>
      <w:r>
        <w:rPr>
          <w:b/>
        </w:rPr>
        <w:t>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w:t>
      </w:r>
      <w:r>
        <w:rPr>
          <w:b/>
        </w:rPr>
        <w:t>е</w:t>
      </w:r>
      <w:r>
        <w:rPr>
          <w:b/>
        </w:rPr>
        <w:t>ресы детей являются преобладающими;</w:t>
      </w:r>
    </w:p>
    <w:p w:rsidR="00000000" w:rsidRDefault="00000000">
      <w:pPr>
        <w:pStyle w:val="SingleTxt"/>
      </w:pPr>
      <w:r>
        <w:rPr>
          <w:lang w:val="en-US"/>
        </w:rPr>
        <w:tab/>
      </w:r>
      <w:r>
        <w:t>За период, прошедший со времени представления предыдущего доклада, были внесены поправки в положение, касающееся суррогатного материнства.</w:t>
      </w:r>
    </w:p>
    <w:p w:rsidR="00000000" w:rsidRDefault="00000000">
      <w:pPr>
        <w:pStyle w:val="SingleTxt"/>
      </w:pPr>
      <w:r>
        <w:rPr>
          <w:lang w:val="en-US"/>
        </w:rPr>
        <w:tab/>
      </w:r>
      <w:r>
        <w:t>Суррогатное материнство, или пересадка чужой яйцеклетки либо эмбри</w:t>
      </w:r>
      <w:r>
        <w:t>о</w:t>
      </w:r>
      <w:r>
        <w:t>на или полученного из него зародыша женщине, намерение которой отказаться от ребенка после его рождения известно, запрещается и наказывается штр</w:t>
      </w:r>
      <w:r>
        <w:t>а</w:t>
      </w:r>
      <w:r>
        <w:t>фом.</w:t>
      </w:r>
    </w:p>
    <w:p w:rsidR="00000000" w:rsidRDefault="00000000">
      <w:pPr>
        <w:pStyle w:val="SingleTxt"/>
        <w:spacing w:after="0" w:line="120" w:lineRule="exact"/>
        <w:rPr>
          <w:sz w:val="10"/>
        </w:rPr>
      </w:pPr>
    </w:p>
    <w:p w:rsidR="00000000" w:rsidRDefault="00000000">
      <w:pPr>
        <w:pStyle w:val="SingleTxt"/>
        <w:rPr>
          <w:b/>
        </w:rPr>
      </w:pPr>
      <w:r>
        <w:rPr>
          <w:b/>
        </w:rPr>
        <w:tab/>
        <w:t>g)</w:t>
      </w:r>
      <w:r>
        <w:rPr>
          <w:b/>
          <w:lang w:val="en-US"/>
        </w:rPr>
        <w:tab/>
      </w:r>
      <w:r>
        <w:rPr>
          <w:b/>
        </w:rPr>
        <w:t>одинаковые личные права мужа и жены, в том числе право в</w:t>
      </w:r>
      <w:r>
        <w:rPr>
          <w:b/>
        </w:rPr>
        <w:t>ы</w:t>
      </w:r>
      <w:r>
        <w:rPr>
          <w:b/>
        </w:rPr>
        <w:t>бора фамилии, профессии и занятия;</w:t>
      </w:r>
    </w:p>
    <w:p w:rsidR="00000000" w:rsidRDefault="00000000">
      <w:pPr>
        <w:pStyle w:val="SingleTxt"/>
      </w:pPr>
      <w:r>
        <w:rPr>
          <w:lang w:val="en-US"/>
        </w:rPr>
        <w:tab/>
      </w:r>
      <w:r>
        <w:t>Никаких изменений по сравнению с предыдущим докладом не произо</w:t>
      </w:r>
      <w:r>
        <w:t>ш</w:t>
      </w:r>
      <w:r>
        <w:t>ло.</w:t>
      </w:r>
    </w:p>
    <w:p w:rsidR="00000000" w:rsidRDefault="00000000">
      <w:pPr>
        <w:pStyle w:val="SingleTxt"/>
        <w:spacing w:after="0" w:line="120" w:lineRule="exact"/>
        <w:rPr>
          <w:sz w:val="10"/>
        </w:rPr>
      </w:pPr>
    </w:p>
    <w:p w:rsidR="00000000" w:rsidRDefault="00000000">
      <w:pPr>
        <w:pStyle w:val="SingleTxt"/>
        <w:rPr>
          <w:b/>
        </w:rPr>
      </w:pPr>
      <w:r>
        <w:rPr>
          <w:b/>
        </w:rPr>
        <w:tab/>
        <w:t>h)</w:t>
      </w:r>
      <w:r>
        <w:rPr>
          <w:b/>
          <w:lang w:val="en-US"/>
        </w:rPr>
        <w:tab/>
      </w:r>
      <w:r>
        <w:rPr>
          <w:b/>
        </w:rPr>
        <w:t>одинаковые права супругов в отношении владения, приобрет</w:t>
      </w:r>
      <w:r>
        <w:rPr>
          <w:b/>
        </w:rPr>
        <w:t>е</w:t>
      </w:r>
      <w:r>
        <w:rPr>
          <w:b/>
        </w:rPr>
        <w:t>ния, управления, пользования и распоряжения имуществом как беспла</w:t>
      </w:r>
      <w:r>
        <w:rPr>
          <w:b/>
        </w:rPr>
        <w:t>т</w:t>
      </w:r>
      <w:r>
        <w:rPr>
          <w:b/>
        </w:rPr>
        <w:t>но, так и за плату.</w:t>
      </w:r>
    </w:p>
    <w:p w:rsidR="00000000" w:rsidRDefault="00000000">
      <w:pPr>
        <w:pStyle w:val="SingleTxt"/>
      </w:pPr>
      <w:r>
        <w:rPr>
          <w:lang w:val="en-US"/>
        </w:rPr>
        <w:tab/>
      </w:r>
      <w:r>
        <w:t>Система брачных имущественных соглашений, освещенная в предыд</w:t>
      </w:r>
      <w:r>
        <w:t>у</w:t>
      </w:r>
      <w:r>
        <w:t>щем докладе, не изменилась. Имущественные права лиц, живущих в незарег</w:t>
      </w:r>
      <w:r>
        <w:t>и</w:t>
      </w:r>
      <w:r>
        <w:t>стрированном браке, защищаются в соответствии с нормами частного права об о</w:t>
      </w:r>
      <w:r>
        <w:t>б</w:t>
      </w:r>
      <w:r>
        <w:t>щих отношениях имущественного характера.</w:t>
      </w:r>
    </w:p>
    <w:p w:rsidR="00000000" w:rsidRDefault="00000000">
      <w:pPr>
        <w:pStyle w:val="SingleTxt"/>
        <w:spacing w:after="0" w:line="120" w:lineRule="exact"/>
        <w:rPr>
          <w:sz w:val="10"/>
        </w:rPr>
      </w:pPr>
    </w:p>
    <w:p w:rsidR="00000000" w:rsidRDefault="00000000">
      <w:pPr>
        <w:pStyle w:val="SingleTxt"/>
        <w:rPr>
          <w:b/>
        </w:rPr>
      </w:pPr>
      <w:r>
        <w:rPr>
          <w:b/>
        </w:rPr>
        <w:t>2.</w:t>
      </w:r>
      <w:r>
        <w:rPr>
          <w:b/>
          <w:lang w:val="en-US"/>
        </w:rPr>
        <w:tab/>
      </w:r>
      <w:r>
        <w:rPr>
          <w:b/>
        </w:rPr>
        <w:t>Обручение и брак ребенка не имеют юридической силы, и приним</w:t>
      </w:r>
      <w:r>
        <w:rPr>
          <w:b/>
        </w:rPr>
        <w:t>а</w:t>
      </w:r>
      <w:r>
        <w:rPr>
          <w:b/>
        </w:rPr>
        <w:t>ются все необходимые меры, включая законодательные, с целью опред</w:t>
      </w:r>
      <w:r>
        <w:rPr>
          <w:b/>
        </w:rPr>
        <w:t>е</w:t>
      </w:r>
      <w:r>
        <w:rPr>
          <w:b/>
        </w:rPr>
        <w:t>ления минимального брачного возраста и обязательной регистрации бр</w:t>
      </w:r>
      <w:r>
        <w:rPr>
          <w:b/>
        </w:rPr>
        <w:t>а</w:t>
      </w:r>
      <w:r>
        <w:rPr>
          <w:b/>
        </w:rPr>
        <w:t>ков в актах гражданского с</w:t>
      </w:r>
      <w:r>
        <w:rPr>
          <w:b/>
        </w:rPr>
        <w:t>о</w:t>
      </w:r>
      <w:r>
        <w:rPr>
          <w:b/>
        </w:rPr>
        <w:t>стояния.</w:t>
      </w:r>
    </w:p>
    <w:p w:rsidR="00000000" w:rsidRDefault="00000000">
      <w:pPr>
        <w:pStyle w:val="SingleTxt"/>
      </w:pPr>
      <w:r>
        <w:rPr>
          <w:lang w:val="en-US"/>
        </w:rPr>
        <w:tab/>
      </w:r>
      <w:r>
        <w:t>Минимальный возраст для вступления в брак и составление акта о закл</w:t>
      </w:r>
      <w:r>
        <w:t>ю</w:t>
      </w:r>
      <w:r>
        <w:t>чении брака о</w:t>
      </w:r>
      <w:r>
        <w:t>т</w:t>
      </w:r>
      <w:r>
        <w:t>делом регистрации актов гражданского состояния регулируются.</w:t>
      </w:r>
    </w:p>
    <w:p w:rsidR="00000000" w:rsidRDefault="00000000">
      <w:pPr>
        <w:pStyle w:val="SingleTxt"/>
      </w:pPr>
      <w:r>
        <w:rPr>
          <w:lang w:val="en-US"/>
        </w:rPr>
        <w:tab/>
      </w:r>
      <w:r>
        <w:t>Несовершеннолетний в возрасте от 15 до 18 лет может вступать в брак при наличии письменного согласия его или ее родителей или опекуна. В том случае, если у ребенка есть только один родитель или если один из родителей признан безвестно отсутствующим или недееспособным, либо если один из родителей лишен родительских прав, то для вступления в брак несовершенн</w:t>
      </w:r>
      <w:r>
        <w:t>о</w:t>
      </w:r>
      <w:r>
        <w:t>летнего в возрасте от 15 до 18 лет достаточно согласия одного родителя.</w:t>
      </w:r>
    </w:p>
    <w:p w:rsidR="00000000" w:rsidRDefault="00000000">
      <w:pPr>
        <w:pStyle w:val="SingleTxt"/>
        <w:rPr>
          <w:lang w:val="en-US"/>
        </w:rPr>
      </w:pPr>
      <w:r>
        <w:rPr>
          <w:lang w:val="en-US"/>
        </w:rPr>
        <w:tab/>
      </w:r>
      <w:r>
        <w:t>Даже если один из родителей или опекун не дают своего согласия на вступление несовершеннолетнего лица в брак, то суд может разрешить всту</w:t>
      </w:r>
      <w:r>
        <w:t>п</w:t>
      </w:r>
      <w:r>
        <w:t>ление в брак по заявлению одного из родителей или надзорного органа попеч</w:t>
      </w:r>
      <w:r>
        <w:t>и</w:t>
      </w:r>
      <w:r>
        <w:t>тельства. Суд разрешает вступление в брак в том случае, если этот брак отв</w:t>
      </w:r>
      <w:r>
        <w:t>е</w:t>
      </w:r>
      <w:r>
        <w:t>чает интер</w:t>
      </w:r>
      <w:r>
        <w:t>е</w:t>
      </w:r>
      <w:r>
        <w:t>сам несовершеннолетнего лица.</w:t>
      </w:r>
    </w:p>
    <w:p w:rsidR="00000000" w:rsidRDefault="00000000">
      <w:pPr>
        <w:pStyle w:val="SingleTxt"/>
      </w:pPr>
      <w:r>
        <w:rPr>
          <w:lang w:val="en-US"/>
        </w:rPr>
        <w:tab/>
      </w:r>
      <w:r>
        <w:t>С мая 2001 года министр по региональным вопросам может предоста</w:t>
      </w:r>
      <w:r>
        <w:t>в</w:t>
      </w:r>
      <w:r>
        <w:t>лять право священнослужителю церкви, прихода или нескольких приходов, п</w:t>
      </w:r>
      <w:r>
        <w:t>о</w:t>
      </w:r>
      <w:r>
        <w:t>лучившему соответствующую подготовку, выполнять функции отдела записи актов гражданского состояния, связанных с заключением брака. Священносл</w:t>
      </w:r>
      <w:r>
        <w:t>у</w:t>
      </w:r>
      <w:r>
        <w:t>житель церкви, прихода или нескольких приходов, получивший от министра по региональным вопросам такое право, приравнивается при выполнении фун</w:t>
      </w:r>
      <w:r>
        <w:t>к</w:t>
      </w:r>
      <w:r>
        <w:t>ций, связанных с заключением брака, к отделу записи актов гражданского с</w:t>
      </w:r>
      <w:r>
        <w:t>о</w:t>
      </w:r>
      <w:r>
        <w:t>стояния и имеет право регистрировать браки и выдавать свидетельства о браке. Надзор за выполнением функций, связанных с заключением брака, священн</w:t>
      </w:r>
      <w:r>
        <w:t>о</w:t>
      </w:r>
      <w:r>
        <w:t>служителем церкви, прихода или нескольких приходов осуществляет министр внутренних дел.</w:t>
      </w:r>
    </w:p>
    <w:p w:rsidR="00000000" w:rsidRDefault="00000000">
      <w:pPr>
        <w:pStyle w:val="SingleTxt"/>
        <w:rPr>
          <w:lang w:val="en-US"/>
        </w:rPr>
      </w:pPr>
      <w:r>
        <w:rPr>
          <w:lang w:val="en-US"/>
        </w:rPr>
        <w:tab/>
      </w:r>
      <w:r>
        <w:t>Нижеследующая таблица позволяет утверждать, что браки между нес</w:t>
      </w:r>
      <w:r>
        <w:t>о</w:t>
      </w:r>
      <w:r>
        <w:t>верше</w:t>
      </w:r>
      <w:r>
        <w:t>н</w:t>
      </w:r>
      <w:r>
        <w:t>нолетними являются редкими, и с годами их становится все меньше.</w:t>
      </w:r>
    </w:p>
    <w:p w:rsidR="00000000" w:rsidRDefault="00000000">
      <w:pPr>
        <w:pStyle w:val="SingleTxt"/>
        <w:spacing w:after="0" w:line="120" w:lineRule="exact"/>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2142"/>
        <w:gridCol w:w="864"/>
        <w:gridCol w:w="864"/>
        <w:gridCol w:w="54"/>
        <w:gridCol w:w="810"/>
        <w:gridCol w:w="864"/>
        <w:gridCol w:w="54"/>
        <w:gridCol w:w="810"/>
        <w:gridCol w:w="860"/>
      </w:tblGrid>
      <w:tr w:rsidR="00000000">
        <w:tblPrEx>
          <w:tblCellMar>
            <w:top w:w="0" w:type="dxa"/>
            <w:left w:w="0" w:type="dxa"/>
            <w:bottom w:w="0" w:type="dxa"/>
            <w:right w:w="0" w:type="dxa"/>
          </w:tblCellMar>
        </w:tblPrEx>
        <w:trPr>
          <w:cantSplit/>
          <w:tblHeader/>
        </w:trPr>
        <w:tc>
          <w:tcPr>
            <w:tcW w:w="2142"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lang w:val="en-US"/>
              </w:rPr>
            </w:pPr>
          </w:p>
        </w:tc>
        <w:tc>
          <w:tcPr>
            <w:tcW w:w="17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2000 год</w:t>
            </w:r>
          </w:p>
        </w:tc>
        <w:tc>
          <w:tcPr>
            <w:tcW w:w="54"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lang w:val="en-US"/>
              </w:rPr>
            </w:pPr>
          </w:p>
        </w:tc>
        <w:tc>
          <w:tcPr>
            <w:tcW w:w="167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lang w:val="en-US"/>
              </w:rPr>
            </w:pPr>
            <w:r>
              <w:rPr>
                <w:i/>
                <w:sz w:val="14"/>
                <w:lang w:val="en-US"/>
              </w:rPr>
              <w:t>2001 год</w:t>
            </w:r>
          </w:p>
        </w:tc>
        <w:tc>
          <w:tcPr>
            <w:tcW w:w="54"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lang w:val="en-US"/>
              </w:rPr>
            </w:pPr>
          </w:p>
        </w:tc>
        <w:tc>
          <w:tcPr>
            <w:tcW w:w="16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lang w:val="en-US"/>
              </w:rPr>
            </w:pPr>
            <w:r>
              <w:rPr>
                <w:i/>
                <w:sz w:val="14"/>
                <w:lang w:val="en-US"/>
              </w:rPr>
              <w:t>2002 год</w:t>
            </w:r>
          </w:p>
        </w:tc>
      </w:tr>
      <w:tr w:rsidR="00000000">
        <w:tblPrEx>
          <w:tblCellMar>
            <w:top w:w="0" w:type="dxa"/>
            <w:left w:w="0" w:type="dxa"/>
            <w:bottom w:w="0" w:type="dxa"/>
            <w:right w:w="0" w:type="dxa"/>
          </w:tblCellMar>
        </w:tblPrEx>
        <w:trPr>
          <w:tblHeader/>
        </w:trPr>
        <w:tc>
          <w:tcPr>
            <w:tcW w:w="2142" w:type="dxa"/>
            <w:vAlign w:val="bottom"/>
          </w:tcPr>
          <w:p w:rsidR="00000000" w:rsidRDefault="00000000">
            <w:pPr>
              <w:tabs>
                <w:tab w:val="left" w:pos="288"/>
                <w:tab w:val="left" w:pos="576"/>
                <w:tab w:val="left" w:pos="864"/>
                <w:tab w:val="left" w:pos="1152"/>
              </w:tabs>
              <w:spacing w:before="40" w:after="81" w:line="160" w:lineRule="exact"/>
              <w:ind w:right="43"/>
              <w:rPr>
                <w:i/>
                <w:sz w:val="14"/>
                <w:lang w:val="en-US"/>
              </w:rPr>
            </w:pPr>
          </w:p>
        </w:tc>
        <w:tc>
          <w:tcPr>
            <w:tcW w:w="86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Мужчины</w:t>
            </w:r>
          </w:p>
        </w:tc>
        <w:tc>
          <w:tcPr>
            <w:tcW w:w="86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Женщины</w:t>
            </w:r>
          </w:p>
        </w:tc>
        <w:tc>
          <w:tcPr>
            <w:tcW w:w="864"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Мужчины</w:t>
            </w:r>
          </w:p>
        </w:tc>
        <w:tc>
          <w:tcPr>
            <w:tcW w:w="86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Женщины</w:t>
            </w:r>
          </w:p>
        </w:tc>
        <w:tc>
          <w:tcPr>
            <w:tcW w:w="864" w:type="dxa"/>
            <w:gridSpan w:val="2"/>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Мужчины</w:t>
            </w:r>
          </w:p>
        </w:tc>
        <w:tc>
          <w:tcPr>
            <w:tcW w:w="86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lang w:val="en-US"/>
              </w:rPr>
            </w:pPr>
            <w:r>
              <w:rPr>
                <w:i/>
                <w:sz w:val="14"/>
                <w:lang w:val="en-US"/>
              </w:rPr>
              <w:t>Женщины</w:t>
            </w:r>
          </w:p>
        </w:tc>
      </w:tr>
      <w:tr w:rsidR="00000000">
        <w:tblPrEx>
          <w:tblCellMar>
            <w:top w:w="0" w:type="dxa"/>
            <w:left w:w="0" w:type="dxa"/>
            <w:bottom w:w="0" w:type="dxa"/>
            <w:right w:w="0" w:type="dxa"/>
          </w:tblCellMar>
        </w:tblPrEx>
        <w:trPr>
          <w:trHeight w:hRule="exact" w:val="115"/>
          <w:tblHeader/>
        </w:trPr>
        <w:tc>
          <w:tcPr>
            <w:tcW w:w="21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6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2142" w:type="dxa"/>
            <w:vAlign w:val="bottom"/>
          </w:tcPr>
          <w:p w:rsidR="00000000" w:rsidRDefault="00000000">
            <w:pPr>
              <w:spacing w:before="40" w:after="40" w:line="210" w:lineRule="exact"/>
              <w:rPr>
                <w:sz w:val="17"/>
              </w:rPr>
            </w:pPr>
            <w:r>
              <w:rPr>
                <w:sz w:val="17"/>
              </w:rPr>
              <w:t>Моложе 16 лет</w:t>
            </w:r>
          </w:p>
        </w:tc>
        <w:tc>
          <w:tcPr>
            <w:tcW w:w="864" w:type="dxa"/>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3</w:t>
            </w:r>
          </w:p>
        </w:tc>
        <w:tc>
          <w:tcPr>
            <w:tcW w:w="864" w:type="dxa"/>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0</w:t>
            </w:r>
          </w:p>
        </w:tc>
        <w:tc>
          <w:tcPr>
            <w:tcW w:w="864" w:type="dxa"/>
            <w:gridSpan w:val="2"/>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1</w:t>
            </w:r>
          </w:p>
        </w:tc>
        <w:tc>
          <w:tcPr>
            <w:tcW w:w="864" w:type="dxa"/>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0</w:t>
            </w:r>
          </w:p>
        </w:tc>
        <w:tc>
          <w:tcPr>
            <w:tcW w:w="864" w:type="dxa"/>
            <w:gridSpan w:val="2"/>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3</w:t>
            </w:r>
          </w:p>
        </w:tc>
        <w:tc>
          <w:tcPr>
            <w:tcW w:w="860" w:type="dxa"/>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0</w:t>
            </w:r>
          </w:p>
        </w:tc>
      </w:tr>
      <w:tr w:rsidR="00000000">
        <w:tblPrEx>
          <w:tblCellMar>
            <w:top w:w="0" w:type="dxa"/>
            <w:left w:w="0" w:type="dxa"/>
            <w:bottom w:w="0" w:type="dxa"/>
            <w:right w:w="0" w:type="dxa"/>
          </w:tblCellMar>
        </w:tblPrEx>
        <w:tc>
          <w:tcPr>
            <w:tcW w:w="2142" w:type="dxa"/>
            <w:vAlign w:val="bottom"/>
          </w:tcPr>
          <w:p w:rsidR="00000000" w:rsidRDefault="00000000">
            <w:pPr>
              <w:spacing w:before="40" w:after="40" w:line="210" w:lineRule="exact"/>
              <w:rPr>
                <w:sz w:val="17"/>
              </w:rPr>
            </w:pPr>
            <w:r>
              <w:rPr>
                <w:sz w:val="17"/>
              </w:rPr>
              <w:t>16 лет</w:t>
            </w:r>
          </w:p>
        </w:tc>
        <w:tc>
          <w:tcPr>
            <w:tcW w:w="864" w:type="dxa"/>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21</w:t>
            </w:r>
          </w:p>
        </w:tc>
        <w:tc>
          <w:tcPr>
            <w:tcW w:w="864" w:type="dxa"/>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0</w:t>
            </w:r>
          </w:p>
        </w:tc>
        <w:tc>
          <w:tcPr>
            <w:tcW w:w="864" w:type="dxa"/>
            <w:gridSpan w:val="2"/>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12</w:t>
            </w:r>
          </w:p>
        </w:tc>
        <w:tc>
          <w:tcPr>
            <w:tcW w:w="864" w:type="dxa"/>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0</w:t>
            </w:r>
          </w:p>
        </w:tc>
        <w:tc>
          <w:tcPr>
            <w:tcW w:w="864" w:type="dxa"/>
            <w:gridSpan w:val="2"/>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7</w:t>
            </w:r>
          </w:p>
        </w:tc>
        <w:tc>
          <w:tcPr>
            <w:tcW w:w="860" w:type="dxa"/>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1</w:t>
            </w:r>
          </w:p>
        </w:tc>
      </w:tr>
      <w:tr w:rsidR="00000000">
        <w:tblPrEx>
          <w:tblCellMar>
            <w:top w:w="0" w:type="dxa"/>
            <w:left w:w="0" w:type="dxa"/>
            <w:bottom w:w="0" w:type="dxa"/>
            <w:right w:w="0" w:type="dxa"/>
          </w:tblCellMar>
        </w:tblPrEx>
        <w:tc>
          <w:tcPr>
            <w:tcW w:w="2142" w:type="dxa"/>
            <w:tcBorders>
              <w:bottom w:val="single" w:sz="12" w:space="0" w:color="auto"/>
            </w:tcBorders>
            <w:vAlign w:val="bottom"/>
          </w:tcPr>
          <w:p w:rsidR="00000000" w:rsidRDefault="00000000">
            <w:pPr>
              <w:spacing w:before="40" w:after="40" w:line="210" w:lineRule="exact"/>
              <w:rPr>
                <w:sz w:val="17"/>
              </w:rPr>
            </w:pPr>
            <w:r>
              <w:rPr>
                <w:sz w:val="17"/>
              </w:rPr>
              <w:t>17 лет</w:t>
            </w:r>
          </w:p>
        </w:tc>
        <w:tc>
          <w:tcPr>
            <w:tcW w:w="864" w:type="dxa"/>
            <w:tcBorders>
              <w:bottom w:val="single" w:sz="12" w:space="0" w:color="auto"/>
            </w:tcBorders>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47</w:t>
            </w:r>
          </w:p>
        </w:tc>
        <w:tc>
          <w:tcPr>
            <w:tcW w:w="864" w:type="dxa"/>
            <w:tcBorders>
              <w:bottom w:val="single" w:sz="12" w:space="0" w:color="auto"/>
            </w:tcBorders>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3</w:t>
            </w:r>
          </w:p>
        </w:tc>
        <w:tc>
          <w:tcPr>
            <w:tcW w:w="864" w:type="dxa"/>
            <w:gridSpan w:val="2"/>
            <w:tcBorders>
              <w:bottom w:val="single" w:sz="12" w:space="0" w:color="auto"/>
            </w:tcBorders>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50</w:t>
            </w:r>
          </w:p>
        </w:tc>
        <w:tc>
          <w:tcPr>
            <w:tcW w:w="864" w:type="dxa"/>
            <w:tcBorders>
              <w:bottom w:val="single" w:sz="12" w:space="0" w:color="auto"/>
            </w:tcBorders>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4</w:t>
            </w:r>
          </w:p>
        </w:tc>
        <w:tc>
          <w:tcPr>
            <w:tcW w:w="864" w:type="dxa"/>
            <w:gridSpan w:val="2"/>
            <w:tcBorders>
              <w:bottom w:val="single" w:sz="12" w:space="0" w:color="auto"/>
            </w:tcBorders>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34</w:t>
            </w:r>
          </w:p>
        </w:tc>
        <w:tc>
          <w:tcPr>
            <w:tcW w:w="860" w:type="dxa"/>
            <w:tcBorders>
              <w:bottom w:val="single" w:sz="12" w:space="0" w:color="auto"/>
            </w:tcBorders>
            <w:vAlign w:val="bottom"/>
          </w:tcPr>
          <w:p w:rsidR="00000000" w:rsidRDefault="00000000">
            <w:pPr>
              <w:keepNext/>
              <w:keepLines/>
              <w:framePr w:hSpace="180" w:wrap="around" w:vAnchor="text" w:hAnchor="margin" w:y="1498"/>
              <w:autoSpaceDE w:val="0"/>
              <w:autoSpaceDN w:val="0"/>
              <w:adjustRightInd w:val="0"/>
              <w:spacing w:before="40" w:after="40" w:line="210" w:lineRule="exact"/>
              <w:ind w:left="14"/>
              <w:jc w:val="right"/>
              <w:rPr>
                <w:color w:val="000000"/>
                <w:sz w:val="17"/>
                <w:lang w:eastAsia="et-EE"/>
              </w:rPr>
            </w:pPr>
            <w:r>
              <w:rPr>
                <w:color w:val="000000"/>
                <w:sz w:val="17"/>
                <w:lang w:eastAsia="et-EE"/>
              </w:rPr>
              <w:t>2</w:t>
            </w:r>
          </w:p>
        </w:tc>
      </w:tr>
    </w:tbl>
    <w:p w:rsidR="00000000" w:rsidRDefault="00000000">
      <w:pPr>
        <w:pStyle w:val="SingleTxt"/>
        <w:rPr>
          <w:lang w:val="en-US"/>
        </w:rPr>
      </w:pPr>
    </w:p>
    <w:p w:rsidR="00000000" w:rsidRDefault="00000000">
      <w:pPr>
        <w:pStyle w:val="SingleTxt"/>
        <w:spacing w:after="0" w:line="240" w:lineRule="auto"/>
        <w:rPr>
          <w:lang w:val="en-US"/>
        </w:rPr>
      </w:pPr>
      <w:r>
        <w:rPr>
          <w:noProof/>
          <w:w w:val="100"/>
        </w:rPr>
        <w:pict>
          <v:line id="_x0000_s2053" style="position:absolute;left:0;text-align:left;z-index:3;mso-position-horizontal:absolute;mso-position-horizontal-relative:text;mso-position-vertical:absolute;mso-position-vertical-relative:text" from="210.25pt,30pt" to="282.25pt,30pt" o:allowincell="f" strokeweight=".25pt"/>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NO&gt;&gt;N0554399R&lt;&lt;ODS JOB NO&gt;&gt;</w:t>
      </w:r>
    </w:p>
    <w:p w:rsidR="00000000" w:rsidRDefault="00000000">
      <w:pPr>
        <w:pStyle w:val="CommentText"/>
      </w:pPr>
      <w:r>
        <w:t>&lt;&lt;ODS DOC SYMBOL1&gt;&gt;CEDAW/C/EST/4&lt;&lt;ODS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05-54399 (R)    200106    230106</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*0554399*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Настоящий доклад издается без официального редактирования.</w:t>
      </w:r>
    </w:p>
    <w:p w:rsidR="00000000" w:rsidRDefault="00000000">
      <w:pPr>
        <w:pStyle w:val="FootnoteText"/>
        <w:tabs>
          <w:tab w:val="clear" w:pos="418"/>
          <w:tab w:val="right" w:pos="1195"/>
          <w:tab w:val="left" w:pos="1267"/>
          <w:tab w:val="left" w:pos="1742"/>
          <w:tab w:val="left" w:pos="2218"/>
          <w:tab w:val="left" w:pos="2693"/>
        </w:tabs>
        <w:spacing w:line="120" w:lineRule="exact"/>
        <w:ind w:left="1267" w:right="1260" w:hanging="432"/>
        <w:rPr>
          <w:sz w:val="10"/>
        </w:rPr>
      </w:pP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Объединенные первоначальный, второй и третий доклады, представленные правительством Эстонии, см. в документе </w:t>
      </w:r>
      <w:r>
        <w:rPr>
          <w:lang w:val="en-US"/>
        </w:rPr>
        <w:t>CEDAW/C/EST/1-3</w:t>
      </w:r>
      <w:r>
        <w:t>, который был рассмотрен Комитетом на его двадцать шестой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CEDAW/C/EST/4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CEDAW/C/EST/4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/C/EST/4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October 2005</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3"/>
    <w:multiLevelType w:val="singleLevel"/>
    <w:tmpl w:val="965A8C32"/>
    <w:lvl w:ilvl="0">
      <w:start w:val="1"/>
      <w:numFmt w:val="bullet"/>
      <w:lvlText w:val=""/>
      <w:lvlJc w:val="left"/>
      <w:pPr>
        <w:tabs>
          <w:tab w:val="num" w:pos="643"/>
        </w:tabs>
        <w:ind w:left="643" w:hanging="360"/>
      </w:pPr>
      <w:rPr>
        <w:rFonts w:ascii="Symbol" w:hAnsi="Symbol" w:hint="default"/>
      </w:rPr>
    </w:lvl>
  </w:abstractNum>
  <w:abstractNum w:abstractNumId="5">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6">
    <w:nsid w:val="09A10E40"/>
    <w:multiLevelType w:val="multilevel"/>
    <w:tmpl w:val="4FB64BB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118D7CC6"/>
    <w:multiLevelType w:val="multilevel"/>
    <w:tmpl w:val="E4645AE0"/>
    <w:lvl w:ilvl="0">
      <w:start w:val="1"/>
      <w:numFmt w:val="decimal"/>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8">
    <w:nsid w:val="127A7AA2"/>
    <w:multiLevelType w:val="multilevel"/>
    <w:tmpl w:val="4FB64BB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10">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1">
    <w:nsid w:val="534300D5"/>
    <w:multiLevelType w:val="multilevel"/>
    <w:tmpl w:val="CBA4E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A790AD1"/>
    <w:multiLevelType w:val="multilevel"/>
    <w:tmpl w:val="51268F4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13">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14">
    <w:nsid w:val="696F1B4A"/>
    <w:multiLevelType w:val="multilevel"/>
    <w:tmpl w:val="1F7AE0D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5"/>
  </w:num>
  <w:num w:numId="3">
    <w:abstractNumId w:val="5"/>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13"/>
  </w:num>
  <w:num w:numId="13">
    <w:abstractNumId w:val="9"/>
  </w:num>
  <w:num w:numId="14">
    <w:abstractNumId w:val="12"/>
  </w:num>
  <w:num w:numId="15">
    <w:abstractNumId w:val="4"/>
  </w:num>
  <w:num w:numId="16">
    <w:abstractNumId w:val="6"/>
  </w:num>
  <w:num w:numId="17">
    <w:abstractNumId w:val="11"/>
  </w:num>
  <w:num w:numId="18">
    <w:abstractNumId w:val="8"/>
  </w:num>
  <w:num w:numId="19">
    <w:abstractNumId w:val="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activeWritingStyle w:appName="MSWord" w:lang="ru-RU" w:vendorID="1" w:dllVersion="512" w:checkStyle="1"/>
  <w:doNotTrackMoves/>
  <w:defaultTabStop w:val="475"/>
  <w:autoHyphenation/>
  <w:hyphenationZone w:val="21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1/2006 11:37:37"/>
    <w:docVar w:name="DocCategory" w:val="Doc"/>
    <w:docVar w:name="DocType" w:val="Final"/>
    <w:docVar w:name="JobNo" w:val="0554399R"/>
    <w:docVar w:name="OandT" w:val=" "/>
    <w:docVar w:name="Symbol1" w:val="CEDAW/C/EST/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pPr>
      <w:keepNext/>
      <w:spacing w:before="240" w:after="60" w:line="240" w:lineRule="auto"/>
      <w:outlineLvl w:val="0"/>
    </w:pPr>
    <w:rPr>
      <w:rFonts w:ascii="Arial" w:hAnsi="Arial"/>
      <w:b/>
      <w:spacing w:val="0"/>
      <w:w w:val="100"/>
      <w:kern w:val="32"/>
      <w:sz w:val="32"/>
    </w:rPr>
  </w:style>
  <w:style w:type="paragraph" w:styleId="Heading3">
    <w:name w:val="heading 3"/>
    <w:basedOn w:val="Normal"/>
    <w:next w:val="Normal"/>
    <w:qFormat/>
    <w:pPr>
      <w:keepNext/>
      <w:spacing w:before="240" w:after="60" w:line="240" w:lineRule="auto"/>
      <w:outlineLvl w:val="2"/>
    </w:pPr>
    <w:rPr>
      <w:rFonts w:ascii="Arial" w:hAnsi="Arial"/>
      <w:b/>
      <w:spacing w:val="0"/>
      <w:w w:val="100"/>
      <w:kern w:val="0"/>
      <w:sz w:val="26"/>
    </w:rPr>
  </w:style>
  <w:style w:type="paragraph" w:styleId="Heading8">
    <w:name w:val="heading 8"/>
    <w:basedOn w:val="Normal"/>
    <w:next w:val="Normal"/>
    <w:qFormat/>
    <w:pPr>
      <w:keepNext/>
      <w:spacing w:line="240" w:lineRule="auto"/>
      <w:jc w:val="center"/>
      <w:outlineLvl w:val="7"/>
    </w:pPr>
    <w:rPr>
      <w:b/>
      <w:spacing w:val="0"/>
      <w:w w:val="100"/>
      <w:kern w:val="0"/>
      <w:sz w:val="24"/>
      <w:lang w:val="en-GB"/>
    </w:rPr>
  </w:style>
  <w:style w:type="paragraph" w:styleId="Heading9">
    <w:name w:val="heading 9"/>
    <w:basedOn w:val="Normal"/>
    <w:next w:val="Normal"/>
    <w:qFormat/>
    <w:pPr>
      <w:keepNext/>
      <w:spacing w:line="240" w:lineRule="auto"/>
      <w:outlineLvl w:val="8"/>
    </w:pPr>
    <w:rPr>
      <w:b/>
      <w:color w:val="000000"/>
      <w:spacing w:val="0"/>
      <w:w w:val="100"/>
      <w:kern w:val="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Ch">
    <w:name w:val="_ H _Ch"/>
    <w:basedOn w:val="H1"/>
    <w:next w:val="SingleTxt"/>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customStyle="1" w:styleId="AnnexHdg">
    <w:name w:val="Annex Hdg"/>
    <w:basedOn w:val="Normal"/>
    <w:pPr>
      <w:keepNext/>
      <w:keepLines/>
      <w:suppressAutoHyphens/>
      <w:spacing w:after="120" w:line="240" w:lineRule="auto"/>
      <w:jc w:val="center"/>
    </w:pPr>
    <w:rPr>
      <w:b/>
      <w:noProof/>
      <w:spacing w:val="0"/>
      <w:w w:val="100"/>
      <w:sz w:val="18"/>
    </w:rPr>
  </w:style>
  <w:style w:type="paragraph" w:customStyle="1" w:styleId="AnnexeHdg">
    <w:name w:val="Annexe Hdg"/>
    <w:basedOn w:val="Normal"/>
    <w:pPr>
      <w:keepNext/>
      <w:keepLines/>
      <w:spacing w:after="120" w:line="240" w:lineRule="auto"/>
      <w:jc w:val="center"/>
    </w:pPr>
    <w:rPr>
      <w:b/>
      <w:i/>
      <w:spacing w:val="0"/>
      <w:w w:val="100"/>
      <w:lang w:val="fr-FR"/>
    </w:rPr>
  </w:style>
  <w:style w:type="paragraph" w:customStyle="1" w:styleId="Annexital">
    <w:name w:val="Annex ital"/>
    <w:basedOn w:val="Normal"/>
    <w:autoRedefine/>
    <w:pPr>
      <w:keepNext/>
      <w:spacing w:after="100" w:line="220" w:lineRule="exact"/>
    </w:pPr>
    <w:rPr>
      <w:i/>
      <w:sz w:val="18"/>
      <w:lang w:val="en-GB"/>
    </w:rPr>
  </w:style>
  <w:style w:type="paragraph" w:styleId="CommentText">
    <w:name w:val="annotation text"/>
    <w:basedOn w:val="Normal"/>
    <w:semiHidden/>
  </w:style>
  <w:style w:type="paragraph" w:styleId="ListBullet2">
    <w:name w:val="List Bullet 2"/>
    <w:basedOn w:val="Normal"/>
    <w:autoRedefine/>
    <w:semiHidden/>
    <w:pPr>
      <w:numPr>
        <w:numId w:val="15"/>
      </w:numPr>
      <w:spacing w:line="240" w:lineRule="auto"/>
    </w:pPr>
    <w:rPr>
      <w:spacing w:val="0"/>
      <w:w w:val="100"/>
      <w:kern w:val="0"/>
      <w:sz w:val="28"/>
    </w:rPr>
  </w:style>
  <w:style w:type="character" w:styleId="Hyperlink">
    <w:name w:val="Hyperlink"/>
    <w:semiHidden/>
    <w:rPr>
      <w:color w:val="0000FF"/>
      <w:u w:val="none"/>
    </w:rPr>
  </w:style>
  <w:style w:type="paragraph" w:styleId="NormalWeb">
    <w:name w:val="Normal (Web)"/>
    <w:basedOn w:val="Normal"/>
    <w:pPr>
      <w:spacing w:before="100" w:after="100" w:line="240" w:lineRule="auto"/>
    </w:pPr>
    <w:rPr>
      <w:spacing w:val="0"/>
      <w:w w:val="100"/>
      <w:kern w:val="0"/>
      <w:sz w:val="24"/>
      <w:lang w:val="en-US"/>
    </w:rPr>
  </w:style>
  <w:style w:type="paragraph" w:styleId="BalloonText">
    <w:name w:val="Balloon Text"/>
    <w:basedOn w:val="Normal"/>
    <w:semiHidden/>
    <w:pPr>
      <w:spacing w:line="240" w:lineRule="auto"/>
    </w:pPr>
    <w:rPr>
      <w:rFonts w:ascii="Tahoma" w:hAnsi="Tahoma"/>
      <w:spacing w:val="0"/>
      <w:w w:val="100"/>
      <w:kern w:val="0"/>
      <w:sz w:val="16"/>
    </w:rPr>
  </w:style>
  <w:style w:type="paragraph" w:styleId="BodyText">
    <w:name w:val="Body Text"/>
    <w:basedOn w:val="Normal"/>
    <w:semiHidden/>
    <w:pPr>
      <w:spacing w:after="120" w:line="240" w:lineRule="auto"/>
    </w:pPr>
    <w:rPr>
      <w:spacing w:val="0"/>
      <w:w w:val="100"/>
      <w:kern w:val="0"/>
      <w:sz w:val="28"/>
    </w:rPr>
  </w:style>
  <w:style w:type="paragraph" w:styleId="PlainText">
    <w:name w:val="Plain Text"/>
    <w:basedOn w:val="Normal"/>
    <w:semiHidden/>
    <w:pPr>
      <w:spacing w:line="240" w:lineRule="auto"/>
    </w:pPr>
    <w:rPr>
      <w:rFonts w:ascii="Courier New" w:hAnsi="Courier New"/>
      <w:spacing w:val="0"/>
      <w:w w:val="100"/>
      <w:kern w:val="0"/>
      <w:lang w:val="en-AU"/>
    </w:rPr>
  </w:style>
  <w:style w:type="paragraph" w:styleId="BodyTextIndent2">
    <w:name w:val="Body Text Indent 2"/>
    <w:basedOn w:val="Normal"/>
    <w:semiHidden/>
    <w:pPr>
      <w:spacing w:line="360" w:lineRule="auto"/>
      <w:ind w:firstLine="720"/>
      <w:jc w:val="both"/>
    </w:pPr>
    <w:rPr>
      <w:spacing w:val="0"/>
      <w:w w:val="100"/>
      <w:kern w:val="0"/>
      <w:sz w:val="24"/>
      <w:lang w:val="et-E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98</Pages>
  <Words>36253</Words>
  <Characters>206646</Characters>
  <Application>Microsoft Office Word</Application>
  <DocSecurity>4</DocSecurity>
  <Lines>1722</Lines>
  <Paragraphs>413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253775</CharactersWithSpaces>
  <SharedDoc>false</SharedDoc>
  <HLinks>
    <vt:vector size="6" baseType="variant">
      <vt:variant>
        <vt:i4>4522087</vt:i4>
      </vt:variant>
      <vt:variant>
        <vt:i4>503080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Tatyana Nikitina</dc:creator>
  <cp:keywords/>
  <dc:description/>
  <cp:lastModifiedBy>Tatyana Nikitina</cp:lastModifiedBy>
  <cp:revision>4</cp:revision>
  <cp:lastPrinted>2006-01-23T21:30:00Z</cp:lastPrinted>
  <dcterms:created xsi:type="dcterms:W3CDTF">2006-01-23T21:32:00Z</dcterms:created>
  <dcterms:modified xsi:type="dcterms:W3CDTF">2006-01-23T21:49:00Z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0554399</vt:lpwstr>
  </property>
  <property fmtid="{D5CDD505-2E9C-101B-9397-08002B2CF9AE}" pid="3" name="Symbol1">
    <vt:lpwstr>CEDAW/C/EST/4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98</vt:lpwstr>
  </property>
  <property fmtid="{D5CDD505-2E9C-101B-9397-08002B2CF9AE}" pid="8" name="Operator">
    <vt:lpwstr>Nikitina</vt:lpwstr>
  </property>
</Properties>
</file>