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5214" w:rsidRDefault="004B5214">
      <w:pPr>
        <w:spacing w:line="60" w:lineRule="exact"/>
      </w:pPr>
      <w:r>
        <w:rPr>
          <w:rStyle w:val="CommentReference"/>
          <w:rFonts w:hint="eastAsia"/>
          <w:vanish/>
        </w:rPr>
        <w:commentReference w:id="0"/>
      </w:r>
    </w:p>
    <w:p w:rsidR="004B5214" w:rsidRDefault="004B5214">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beforeLines="0" w:before="0" w:after="0"/>
        <w:ind w:left="1264" w:right="1264" w:hanging="1264"/>
        <w:jc w:val="both"/>
        <w:rPr>
          <w:rFonts w:hint="eastAsia"/>
          <w:sz w:val="22"/>
        </w:rPr>
      </w:pPr>
      <w:r>
        <w:rPr>
          <w:rFonts w:hint="eastAsia"/>
          <w:sz w:val="22"/>
        </w:rPr>
        <w:t>消除对妇女歧视委员会</w:t>
      </w:r>
    </w:p>
    <w:p w:rsidR="004B5214" w:rsidRDefault="004B5214">
      <w:pPr>
        <w:pStyle w:val="50"/>
        <w:adjustRightInd w:val="0"/>
        <w:spacing w:beforeLines="0" w:before="0" w:afterLines="50" w:after="120" w:line="312" w:lineRule="atLeast"/>
        <w:textAlignment w:val="baseline"/>
        <w:rPr>
          <w:rFonts w:eastAsia="SimHei" w:hint="eastAsia"/>
          <w:b w:val="0"/>
          <w:color w:val="FF0000"/>
          <w:kern w:val="0"/>
          <w:szCs w:val="20"/>
        </w:rPr>
      </w:pPr>
      <w:r>
        <w:rPr>
          <w:rFonts w:eastAsia="SimHei" w:hint="eastAsia"/>
          <w:b w:val="0"/>
          <w:color w:val="FF0000"/>
          <w:kern w:val="0"/>
          <w:szCs w:val="20"/>
        </w:rPr>
        <w:t>特别会议</w:t>
      </w:r>
    </w:p>
    <w:p w:rsidR="004B5214" w:rsidRDefault="004B5214">
      <w:pPr>
        <w:rPr>
          <w:rFonts w:ascii="SimHei" w:eastAsia="SimHei" w:hint="eastAsia"/>
          <w:color w:val="FF0000"/>
        </w:rPr>
      </w:pPr>
      <w:r>
        <w:rPr>
          <w:rFonts w:ascii="SimHei" w:eastAsia="SimHei" w:hint="eastAsia"/>
          <w:color w:val="FF0000"/>
        </w:rPr>
        <w:t>第5</w:t>
      </w:r>
      <w:r>
        <w:rPr>
          <w:rFonts w:ascii="SimHei" w:eastAsia="SimHei"/>
          <w:color w:val="FF0000"/>
        </w:rPr>
        <w:t>86</w:t>
      </w:r>
      <w:r>
        <w:rPr>
          <w:rFonts w:ascii="SimHei" w:eastAsia="SimHei" w:hint="eastAsia"/>
          <w:color w:val="FF0000"/>
        </w:rPr>
        <w:t>次会议简要记录</w:t>
      </w:r>
    </w:p>
    <w:p w:rsidR="004B5214" w:rsidRDefault="004B5214">
      <w:pPr>
        <w:spacing w:afterLines="50" w:after="120"/>
      </w:pPr>
      <w:r>
        <w:rPr>
          <w:rFonts w:hint="eastAsia"/>
        </w:rPr>
        <w:t>2002</w:t>
      </w:r>
      <w:r>
        <w:rPr>
          <w:rFonts w:hint="eastAsia"/>
        </w:rPr>
        <w:t>年</w:t>
      </w:r>
      <w:r>
        <w:rPr>
          <w:rFonts w:hint="eastAsia"/>
        </w:rPr>
        <w:t>8</w:t>
      </w:r>
      <w:r>
        <w:rPr>
          <w:rFonts w:hint="eastAsia"/>
        </w:rPr>
        <w:t>月</w:t>
      </w:r>
      <w:r>
        <w:rPr>
          <w:rFonts w:hint="eastAsia"/>
        </w:rPr>
        <w:t>20</w:t>
      </w:r>
      <w:r>
        <w:rPr>
          <w:rFonts w:hint="eastAsia"/>
        </w:rPr>
        <w:t>日，星期二，上午</w:t>
      </w:r>
      <w:r>
        <w:rPr>
          <w:rFonts w:hint="eastAsia"/>
        </w:rPr>
        <w:t>10</w:t>
      </w:r>
      <w:r>
        <w:rPr>
          <w:rFonts w:hint="eastAsia"/>
        </w:rPr>
        <w:t>时在纽约总部举行</w:t>
      </w:r>
    </w:p>
    <w:p w:rsidR="004B5214" w:rsidRDefault="004B5214">
      <w:pPr>
        <w:widowControl/>
        <w:tabs>
          <w:tab w:val="left" w:pos="1260"/>
          <w:tab w:val="right" w:leader="dot" w:pos="8568"/>
        </w:tabs>
        <w:adjustRightInd/>
        <w:spacing w:line="320" w:lineRule="exact"/>
        <w:ind w:right="1267"/>
        <w:jc w:val="left"/>
        <w:textAlignment w:val="auto"/>
      </w:pPr>
      <w:r>
        <w:rPr>
          <w:rFonts w:eastAsia="KaiTi_GB2312" w:hint="eastAsia"/>
          <w:color w:val="0000FF"/>
        </w:rPr>
        <w:t>主席：</w:t>
      </w:r>
      <w:r>
        <w:rPr>
          <w:rFonts w:eastAsia="KaiTi_GB2312"/>
          <w:color w:val="0000FF"/>
        </w:rPr>
        <w:tab/>
      </w:r>
      <w:r>
        <w:rPr>
          <w:rFonts w:hint="eastAsia"/>
        </w:rPr>
        <w:t>马纳洛女士（副主席）</w:t>
      </w:r>
    </w:p>
    <w:p w:rsidR="004B5214" w:rsidRDefault="004B5214">
      <w:pPr>
        <w:pStyle w:val="Date"/>
        <w:rPr>
          <w:rFonts w:hint="eastAsia"/>
        </w:rPr>
      </w:pPr>
    </w:p>
    <w:p w:rsidR="004B5214" w:rsidRDefault="004B5214">
      <w:pPr>
        <w:pStyle w:val="HCh"/>
        <w:rPr>
          <w:rFonts w:eastAsia="SimSun" w:hint="eastAsia"/>
        </w:rPr>
      </w:pPr>
      <w:r>
        <w:rPr>
          <w:rFonts w:eastAsia="SimSun" w:hint="eastAsia"/>
        </w:rPr>
        <w:t>目录</w:t>
      </w:r>
    </w:p>
    <w:p w:rsidR="004B5214" w:rsidRDefault="004B5214">
      <w:pPr>
        <w:pStyle w:val="SingleTxt"/>
        <w:rPr>
          <w:rFonts w:hint="eastAsia"/>
        </w:rPr>
      </w:pPr>
      <w:r>
        <w:rPr>
          <w:rFonts w:hint="eastAsia"/>
        </w:rPr>
        <w:t>审议缔约国根据《公约》第</w:t>
      </w:r>
      <w:r>
        <w:t>18</w:t>
      </w:r>
      <w:r>
        <w:rPr>
          <w:rFonts w:hint="eastAsia"/>
        </w:rPr>
        <w:t>条提交的报告（</w:t>
      </w:r>
      <w:r>
        <w:rPr>
          <w:rFonts w:ascii="KaiTi_GB2312" w:eastAsia="KaiTi_GB2312" w:hAnsi="SimSun" w:hint="eastAsia"/>
          <w:color w:val="0000FF"/>
        </w:rPr>
        <w:t>续</w:t>
      </w:r>
      <w:r>
        <w:rPr>
          <w:rFonts w:hint="eastAsia"/>
        </w:rPr>
        <w:t>）</w:t>
      </w:r>
    </w:p>
    <w:p w:rsidR="004B5214" w:rsidRDefault="004B5214" w:rsidP="00622FF4">
      <w:pPr>
        <w:pStyle w:val="SingleTxt"/>
        <w:ind w:leftChars="602" w:left="31680" w:firstLineChars="200" w:firstLine="31680"/>
        <w:rPr>
          <w:rFonts w:eastAsia="KaiTi_GB2312" w:hint="eastAsia"/>
          <w:color w:val="0000FF"/>
        </w:rPr>
      </w:pPr>
      <w:r>
        <w:rPr>
          <w:rFonts w:eastAsia="KaiTi_GB2312" w:hint="eastAsia"/>
          <w:color w:val="0000FF"/>
        </w:rPr>
        <w:t>匈牙利的第四和第五次合并定期报告</w:t>
      </w:r>
    </w:p>
    <w:p w:rsidR="004B5214" w:rsidRDefault="004B5214">
      <w:pPr>
        <w:pStyle w:val="50"/>
        <w:spacing w:before="240" w:after="240"/>
        <w:jc w:val="center"/>
      </w:pPr>
    </w:p>
    <w:p w:rsidR="004B5214" w:rsidRDefault="004B5214">
      <w:pPr>
        <w:spacing w:after="240" w:line="360" w:lineRule="atLeast"/>
        <w:jc w:val="center"/>
        <w:rPr>
          <w:rFonts w:eastAsia="SimHei"/>
          <w:sz w:val="28"/>
        </w:rPr>
      </w:pPr>
    </w:p>
    <w:p w:rsidR="004B5214" w:rsidRDefault="004B5214">
      <w:pPr>
        <w:spacing w:line="120" w:lineRule="exact"/>
        <w:rPr>
          <w:rFonts w:eastAsia="SimHei"/>
          <w:sz w:val="28"/>
        </w:rPr>
        <w:sectPr w:rsidR="004B5214">
          <w:headerReference w:type="even" r:id="rId8"/>
          <w:headerReference w:type="default" r:id="rId9"/>
          <w:footerReference w:type="even" r:id="rId10"/>
          <w:footerReference w:type="default" r:id="rId11"/>
          <w:headerReference w:type="first" r:id="rId12"/>
          <w:footerReference w:type="first" r:id="rId13"/>
          <w:pgSz w:w="12242" w:h="15842" w:code="54"/>
          <w:pgMar w:top="1741" w:right="1196" w:bottom="1899" w:left="1196" w:header="578" w:footer="1032" w:gutter="0"/>
          <w:pgNumType w:start="1"/>
          <w:cols w:space="425"/>
          <w:titlePg/>
        </w:sectPr>
      </w:pPr>
      <w:r>
        <w:rPr>
          <w:rFonts w:eastAsia="SimHei"/>
          <w:sz w:val="28"/>
        </w:rPr>
        <w:br w:type="page"/>
      </w:r>
    </w:p>
    <w:p w:rsidR="004B5214" w:rsidRDefault="004B5214">
      <w:pPr>
        <w:spacing w:after="180" w:line="320" w:lineRule="exact"/>
        <w:rPr>
          <w:rFonts w:eastAsia="KaiTi_GB2312" w:hint="eastAsia"/>
          <w:color w:val="0000FF"/>
        </w:rPr>
      </w:pPr>
      <w:r>
        <w:rPr>
          <w:rFonts w:eastAsia="KaiTi_GB2312" w:hint="eastAsia"/>
          <w:color w:val="0000FF"/>
        </w:rPr>
        <w:t>因阿巴卡女士缺席，副主席马纳洛女士代行主席职务。</w:t>
      </w:r>
    </w:p>
    <w:p w:rsidR="004B5214" w:rsidRDefault="004B5214">
      <w:pPr>
        <w:spacing w:after="180" w:line="320" w:lineRule="exact"/>
        <w:rPr>
          <w:rFonts w:ascii="KaiTi_GB2312" w:eastAsia="KaiTi_GB2312" w:hint="eastAsia"/>
          <w:color w:val="0000FF"/>
        </w:rPr>
      </w:pPr>
      <w:r>
        <w:rPr>
          <w:rFonts w:ascii="KaiTi_GB2312" w:eastAsia="KaiTi_GB2312" w:hint="eastAsia"/>
          <w:color w:val="0000FF"/>
        </w:rPr>
        <w:t>上午10时15分宣布开会</w:t>
      </w:r>
    </w:p>
    <w:p w:rsidR="004B5214" w:rsidRDefault="004B5214">
      <w:pPr>
        <w:spacing w:after="180" w:line="320" w:lineRule="exact"/>
        <w:rPr>
          <w:rFonts w:hint="eastAsia"/>
        </w:rPr>
      </w:pPr>
      <w:r>
        <w:rPr>
          <w:rFonts w:ascii="SimHei" w:eastAsia="SimHei" w:hint="eastAsia"/>
          <w:color w:val="FF0000"/>
        </w:rPr>
        <w:t>审议缔约国根据《公约》第18条提交的报告</w:t>
      </w:r>
      <w:r>
        <w:rPr>
          <w:rFonts w:hint="eastAsia"/>
        </w:rPr>
        <w:t>（</w:t>
      </w:r>
      <w:r>
        <w:rPr>
          <w:rFonts w:eastAsia="KaiTi_GB2312" w:hint="eastAsia"/>
          <w:color w:val="0000FF"/>
        </w:rPr>
        <w:t>续</w:t>
      </w:r>
      <w:r>
        <w:rPr>
          <w:rFonts w:hint="eastAsia"/>
        </w:rPr>
        <w:t>）</w:t>
      </w:r>
    </w:p>
    <w:p w:rsidR="004B5214" w:rsidRDefault="004B5214">
      <w:pPr>
        <w:spacing w:after="180" w:line="320" w:lineRule="exact"/>
        <w:jc w:val="left"/>
        <w:rPr>
          <w:rFonts w:ascii="KaiTi_GB2312" w:eastAsia="KaiTi_GB2312" w:hint="eastAsia"/>
          <w:color w:val="0000FF"/>
        </w:rPr>
      </w:pPr>
      <w:r>
        <w:rPr>
          <w:rFonts w:ascii="KaiTi_GB2312" w:eastAsia="KaiTi_GB2312" w:hint="eastAsia"/>
          <w:color w:val="0000FF"/>
        </w:rPr>
        <w:t>匈牙利的第四和第五次合并定期报告</w:t>
      </w:r>
      <w:r>
        <w:rPr>
          <w:rFonts w:hint="eastAsia"/>
        </w:rPr>
        <w:t>（</w:t>
      </w:r>
      <w:r>
        <w:rPr>
          <w:rFonts w:hint="eastAsia"/>
        </w:rPr>
        <w:t>CEDAW/C/HUN/4-5</w:t>
      </w:r>
      <w:r>
        <w:rPr>
          <w:rFonts w:hint="eastAsia"/>
        </w:rPr>
        <w:t>）</w:t>
      </w:r>
    </w:p>
    <w:p w:rsidR="004B5214" w:rsidRDefault="004B5214">
      <w:pPr>
        <w:tabs>
          <w:tab w:val="left" w:pos="420"/>
        </w:tabs>
        <w:spacing w:after="180" w:line="320" w:lineRule="exact"/>
        <w:rPr>
          <w:rFonts w:hint="eastAsia"/>
        </w:rPr>
      </w:pPr>
      <w:r>
        <w:rPr>
          <w:rFonts w:hint="eastAsia"/>
        </w:rPr>
        <w:t>1</w:t>
      </w:r>
      <w:r>
        <w:rPr>
          <w:rFonts w:hint="eastAsia"/>
        </w:rPr>
        <w:t>．</w:t>
      </w:r>
      <w:r>
        <w:tab/>
      </w:r>
      <w:r>
        <w:rPr>
          <w:rFonts w:hint="eastAsia"/>
        </w:rPr>
        <w:t>应主席邀请，匈牙利代表团成员在委员会议席就座。</w:t>
      </w:r>
    </w:p>
    <w:p w:rsidR="004B5214" w:rsidRDefault="004B5214">
      <w:pPr>
        <w:tabs>
          <w:tab w:val="left" w:pos="420"/>
        </w:tabs>
        <w:spacing w:after="180" w:line="320" w:lineRule="exact"/>
        <w:rPr>
          <w:rFonts w:hint="eastAsia"/>
        </w:rPr>
      </w:pPr>
      <w:r>
        <w:rPr>
          <w:rFonts w:hint="eastAsia"/>
        </w:rPr>
        <w:t>2</w:t>
      </w:r>
      <w:r>
        <w:rPr>
          <w:rFonts w:hint="eastAsia"/>
        </w:rPr>
        <w:t>．</w:t>
      </w:r>
      <w:r>
        <w:tab/>
      </w:r>
      <w:r>
        <w:rPr>
          <w:rFonts w:hint="eastAsia"/>
          <w:b/>
          <w:bCs/>
          <w:color w:val="FF0000"/>
        </w:rPr>
        <w:t>Kaponyi</w:t>
      </w:r>
      <w:r>
        <w:rPr>
          <w:rFonts w:eastAsia="SimHei" w:hint="eastAsia"/>
          <w:color w:val="FF0000"/>
        </w:rPr>
        <w:t>女士</w:t>
      </w:r>
      <w:r>
        <w:rPr>
          <w:rFonts w:hint="eastAsia"/>
        </w:rPr>
        <w:t>（匈牙利）说，匈牙利政府仍然坚定地致力于国际保护基本人权和自由，特别是促进妇女的权利。最近的选举选出的女议员人数之多是前所未有的。实际上，内务部、环境和水资源部以及福利、社会和家庭事务部的部长都由妇女担任。就业政策和劳动部刚刚设立了一个新的平等机会司，负责政府政策并协调政府促进妇女平等、残疾人康复和罗姆人就业的政策。该司还将提议制订一项新的禁止歧视法案，并制订一项新的国家行动计划。该司与法尔方案合作，正在规划一个项目，旨在为</w:t>
      </w:r>
      <w:r>
        <w:rPr>
          <w:rFonts w:hint="eastAsia"/>
        </w:rPr>
        <w:t>40</w:t>
      </w:r>
      <w:r>
        <w:rPr>
          <w:rFonts w:hint="eastAsia"/>
        </w:rPr>
        <w:t>岁以上妇女以及在休完照料子女假期后重新进入劳动力市场的妇女发展就业机会，法尔方案是针对申请成为欧洲联盟成员国的国家的援助方案。</w:t>
      </w:r>
    </w:p>
    <w:p w:rsidR="004B5214" w:rsidRDefault="004B5214">
      <w:pPr>
        <w:tabs>
          <w:tab w:val="left" w:pos="420"/>
        </w:tabs>
        <w:spacing w:after="180" w:line="320" w:lineRule="exact"/>
        <w:rPr>
          <w:rFonts w:hint="eastAsia"/>
        </w:rPr>
      </w:pPr>
      <w:r>
        <w:rPr>
          <w:rFonts w:hint="eastAsia"/>
        </w:rPr>
        <w:t>3</w:t>
      </w:r>
      <w:r>
        <w:rPr>
          <w:rFonts w:hint="eastAsia"/>
        </w:rPr>
        <w:t>．</w:t>
      </w:r>
      <w:r>
        <w:tab/>
      </w:r>
      <w:r>
        <w:rPr>
          <w:rFonts w:hint="eastAsia"/>
        </w:rPr>
        <w:t>政府认识到，单凭立法不能改变根深蒂固的社会态度，关键是让公民社会、学术界、议员和政治家都行动起来，一起致力于消除歧视并促进两性平等。对罗姆人的歧视是一个特别严重的问题，匈牙利社会的大多数人并不了解该群体的状况。</w:t>
      </w:r>
    </w:p>
    <w:p w:rsidR="004B5214" w:rsidRDefault="004B5214">
      <w:pPr>
        <w:tabs>
          <w:tab w:val="left" w:pos="420"/>
        </w:tabs>
        <w:spacing w:after="180" w:line="320" w:lineRule="exact"/>
        <w:rPr>
          <w:rFonts w:hint="eastAsia"/>
        </w:rPr>
      </w:pPr>
      <w:r>
        <w:rPr>
          <w:rFonts w:hint="eastAsia"/>
        </w:rPr>
        <w:t>4</w:t>
      </w:r>
      <w:r>
        <w:rPr>
          <w:rFonts w:hint="eastAsia"/>
        </w:rPr>
        <w:t>．</w:t>
      </w:r>
      <w:r>
        <w:tab/>
      </w:r>
      <w:r>
        <w:rPr>
          <w:rFonts w:hint="eastAsia"/>
        </w:rPr>
        <w:t>匈牙利已于</w:t>
      </w:r>
      <w:r>
        <w:rPr>
          <w:rFonts w:hint="eastAsia"/>
        </w:rPr>
        <w:t>2001</w:t>
      </w:r>
      <w:r>
        <w:rPr>
          <w:rFonts w:hint="eastAsia"/>
        </w:rPr>
        <w:t>年批准了《公约任择议定书》。它计划就暴力、贩运、卖淫和消除性别陈规定型观念发起媒体宣传活动并举行会议，以宣传《公约》及其议定书。</w:t>
      </w:r>
    </w:p>
    <w:p w:rsidR="004B5214" w:rsidRDefault="004B5214">
      <w:pPr>
        <w:tabs>
          <w:tab w:val="left" w:pos="420"/>
        </w:tabs>
        <w:spacing w:after="180" w:line="320" w:lineRule="exact"/>
        <w:rPr>
          <w:rFonts w:hint="eastAsia"/>
        </w:rPr>
      </w:pPr>
      <w:r>
        <w:rPr>
          <w:rFonts w:hint="eastAsia"/>
        </w:rPr>
        <w:t>5</w:t>
      </w:r>
      <w:r>
        <w:rPr>
          <w:rFonts w:hint="eastAsia"/>
        </w:rPr>
        <w:t>．</w:t>
      </w:r>
      <w:r>
        <w:tab/>
      </w:r>
      <w:r>
        <w:rPr>
          <w:rFonts w:hint="eastAsia"/>
          <w:b/>
          <w:bCs/>
          <w:color w:val="FF0000"/>
        </w:rPr>
        <w:t>Acar</w:t>
      </w:r>
      <w:r>
        <w:rPr>
          <w:rFonts w:eastAsia="SimHei" w:hint="eastAsia"/>
          <w:color w:val="FF0000"/>
        </w:rPr>
        <w:t>女士</w:t>
      </w:r>
      <w:r>
        <w:rPr>
          <w:rFonts w:hint="eastAsia"/>
        </w:rPr>
        <w:t>询问非政府组织在多大程度上参与拟定定期报告和起草立法，特别是有关妇女问题的立法。</w:t>
      </w:r>
    </w:p>
    <w:p w:rsidR="004B5214" w:rsidRDefault="004B5214">
      <w:pPr>
        <w:tabs>
          <w:tab w:val="left" w:pos="420"/>
        </w:tabs>
        <w:spacing w:after="180" w:line="320" w:lineRule="exact"/>
        <w:rPr>
          <w:rFonts w:hint="eastAsia"/>
        </w:rPr>
      </w:pPr>
      <w:r>
        <w:rPr>
          <w:rFonts w:hint="eastAsia"/>
        </w:rPr>
        <w:t>6</w:t>
      </w:r>
      <w:r>
        <w:rPr>
          <w:rFonts w:hint="eastAsia"/>
        </w:rPr>
        <w:t>．</w:t>
      </w:r>
      <w:r>
        <w:tab/>
      </w:r>
      <w:r>
        <w:rPr>
          <w:rFonts w:hint="eastAsia"/>
        </w:rPr>
        <w:t>她请求进一步详细说明公民权利事务议会委员（监察员）的任务和权限。迄今为止，该委员在审查或制订关于性别问题的立法方面几乎没有什么建树，她想知道现在采取了哪些做法来改善这种状况。</w:t>
      </w:r>
    </w:p>
    <w:p w:rsidR="004B5214" w:rsidRDefault="004B5214">
      <w:pPr>
        <w:tabs>
          <w:tab w:val="left" w:pos="420"/>
        </w:tabs>
        <w:spacing w:after="180" w:line="320" w:lineRule="exact"/>
        <w:rPr>
          <w:rFonts w:hint="eastAsia"/>
        </w:rPr>
      </w:pPr>
      <w:r>
        <w:rPr>
          <w:rFonts w:hint="eastAsia"/>
        </w:rPr>
        <w:t>7</w:t>
      </w:r>
      <w:r>
        <w:rPr>
          <w:rFonts w:hint="eastAsia"/>
        </w:rPr>
        <w:t>．</w:t>
      </w:r>
      <w:r>
        <w:tab/>
      </w:r>
      <w:r>
        <w:rPr>
          <w:rFonts w:hint="eastAsia"/>
        </w:rPr>
        <w:t>鉴于性别陈规定型观念非常顽固，她所关切的问题是，国家受孕政策虽然鼓励孕产，但似乎并无任何措施鼓励改变男子的角色。她询问政府的意图是什么。</w:t>
      </w:r>
    </w:p>
    <w:p w:rsidR="004B5214" w:rsidRDefault="004B5214">
      <w:pPr>
        <w:tabs>
          <w:tab w:val="left" w:pos="420"/>
        </w:tabs>
        <w:spacing w:after="180" w:line="320" w:lineRule="exact"/>
        <w:rPr>
          <w:rFonts w:hint="eastAsia"/>
        </w:rPr>
      </w:pPr>
      <w:r>
        <w:rPr>
          <w:rFonts w:hint="eastAsia"/>
        </w:rPr>
        <w:t>8</w:t>
      </w:r>
      <w:r>
        <w:rPr>
          <w:rFonts w:hint="eastAsia"/>
        </w:rPr>
        <w:t>．</w:t>
      </w:r>
      <w:r>
        <w:tab/>
      </w:r>
      <w:r>
        <w:rPr>
          <w:rFonts w:hint="eastAsia"/>
          <w:b/>
          <w:bCs/>
          <w:color w:val="FF0000"/>
        </w:rPr>
        <w:t>Ferrer</w:t>
      </w:r>
      <w:r>
        <w:rPr>
          <w:rFonts w:hint="eastAsia"/>
        </w:rPr>
        <w:t xml:space="preserve"> </w:t>
      </w:r>
      <w:r>
        <w:rPr>
          <w:rFonts w:hint="eastAsia"/>
          <w:b/>
          <w:bCs/>
          <w:color w:val="FF0000"/>
        </w:rPr>
        <w:t>Gomez</w:t>
      </w:r>
      <w:r>
        <w:rPr>
          <w:rFonts w:eastAsia="SimHei" w:hint="eastAsia"/>
          <w:color w:val="FF0000"/>
        </w:rPr>
        <w:t>女士</w:t>
      </w:r>
      <w:r>
        <w:rPr>
          <w:rFonts w:hint="eastAsia"/>
        </w:rPr>
        <w:t>注意到，妇女仍然要承担与家庭有关的一切任务，尽管她们能够承担的惟一任务是生儿育女；其他所有任务可以完全平等地由男子承担。报告强调男子和妇女在家庭中不同角色的重要性，但只字未提设想的家庭类型——是平等分享家庭权利和义务的家庭类型，还是妇女负责照料家庭、子女以及老人的家庭类型。</w:t>
      </w:r>
    </w:p>
    <w:p w:rsidR="004B5214" w:rsidRDefault="004B5214">
      <w:pPr>
        <w:tabs>
          <w:tab w:val="left" w:pos="420"/>
        </w:tabs>
        <w:spacing w:after="180" w:line="320" w:lineRule="exact"/>
        <w:rPr>
          <w:rFonts w:hint="eastAsia"/>
        </w:rPr>
      </w:pPr>
      <w:r>
        <w:rPr>
          <w:rFonts w:hint="eastAsia"/>
        </w:rPr>
        <w:t>9</w:t>
      </w:r>
      <w:r>
        <w:rPr>
          <w:rFonts w:hint="eastAsia"/>
        </w:rPr>
        <w:t>．</w:t>
      </w:r>
      <w:r>
        <w:tab/>
      </w:r>
      <w:r>
        <w:rPr>
          <w:rFonts w:hint="eastAsia"/>
        </w:rPr>
        <w:t>国家家庭政策似乎没有明确的性别重点，或者没有通过教育来改变文化陈规定型观念的计划。尽管不分性别在为照料子女的人士提供社会保障方面有一些不分性别的规定，但在实际中，男子和妇女没有分担家庭义务。现行政策似乎加强了传统的角色，而不是对之提出质疑。妇女如在工作期间抽出时间抚养子女，势必会毁掉其就业和晋升的前景。此外，家庭暴力现象日趋普遍，却几乎没有什么培训来说明如何为受害者提供援助。</w:t>
      </w:r>
    </w:p>
    <w:p w:rsidR="004B5214" w:rsidRDefault="004B5214">
      <w:pPr>
        <w:spacing w:after="180" w:line="320" w:lineRule="exact"/>
        <w:rPr>
          <w:rFonts w:hint="eastAsia"/>
        </w:rPr>
      </w:pPr>
      <w:r>
        <w:rPr>
          <w:rFonts w:hint="eastAsia"/>
        </w:rPr>
        <w:t>10</w:t>
      </w:r>
      <w:r>
        <w:rPr>
          <w:rFonts w:hint="eastAsia"/>
        </w:rPr>
        <w:t>．罗姆人尽管仅占总人口的</w:t>
      </w:r>
      <w:r>
        <w:rPr>
          <w:rFonts w:hint="eastAsia"/>
        </w:rPr>
        <w:t>10%</w:t>
      </w:r>
      <w:r>
        <w:rPr>
          <w:rFonts w:hint="eastAsia"/>
        </w:rPr>
        <w:t>，但遭受到严重歧视，他们当中有</w:t>
      </w:r>
      <w:r>
        <w:rPr>
          <w:rFonts w:hint="eastAsia"/>
        </w:rPr>
        <w:t>68%</w:t>
      </w:r>
      <w:r>
        <w:rPr>
          <w:rFonts w:hint="eastAsia"/>
        </w:rPr>
        <w:t>的人生活在贫困线以下。目前仍然没有解决这种状况的政策。她询问政府目前采取了哪些措施来制订此种政策，政府是否有计划通过奖学金方式增加罗姆女孩接受高等教育的机会。</w:t>
      </w:r>
    </w:p>
    <w:p w:rsidR="004B5214" w:rsidRDefault="004B5214">
      <w:pPr>
        <w:spacing w:after="180" w:line="320" w:lineRule="exact"/>
        <w:rPr>
          <w:rFonts w:hint="eastAsia"/>
        </w:rPr>
      </w:pPr>
      <w:r>
        <w:rPr>
          <w:rFonts w:hint="eastAsia"/>
        </w:rPr>
        <w:t>11</w:t>
      </w:r>
      <w:r>
        <w:rPr>
          <w:rFonts w:hint="eastAsia"/>
        </w:rPr>
        <w:t>．</w:t>
      </w:r>
      <w:r>
        <w:rPr>
          <w:rFonts w:hint="eastAsia"/>
          <w:b/>
          <w:bCs/>
          <w:color w:val="FF0000"/>
        </w:rPr>
        <w:t>Shin</w:t>
      </w:r>
      <w:r>
        <w:rPr>
          <w:rFonts w:eastAsia="SimHei" w:hint="eastAsia"/>
          <w:color w:val="FF0000"/>
        </w:rPr>
        <w:t>女士</w:t>
      </w:r>
      <w:r>
        <w:rPr>
          <w:rFonts w:hint="eastAsia"/>
        </w:rPr>
        <w:t>说，她仍然不理解妇女问题委员会和妇女问题处之间有什么差别。她询问社会和家庭事务部的工作人员为该处工作的比例是多少，预算又是多少。她还想了解该处作为执行《公约》的主管机构，能否提出立法的建议。如果能够的话，她询问该处处长应遵循的程序是什么。</w:t>
      </w:r>
    </w:p>
    <w:p w:rsidR="004B5214" w:rsidRDefault="004B5214">
      <w:pPr>
        <w:spacing w:after="180" w:line="320" w:lineRule="exact"/>
        <w:rPr>
          <w:rFonts w:hint="eastAsia"/>
        </w:rPr>
      </w:pPr>
      <w:r>
        <w:rPr>
          <w:rFonts w:hint="eastAsia"/>
        </w:rPr>
        <w:t>12</w:t>
      </w:r>
      <w:r>
        <w:rPr>
          <w:rFonts w:hint="eastAsia"/>
        </w:rPr>
        <w:t>．在妇女问题委员会的员额配置方面，委员会收到的两种数字相互抵触。她询问实际数字是多少，政府各部委的工作人员所占比例是多少，以及公民社会组织的代表占多大比例。她想知道委员会是纯属一个协商性机构，还是拥有决策权力。如果委员会确实拥有决策权，她询问该委员会是否能够监督各部执行它的决定，譬如通过指定部协调中心。</w:t>
      </w:r>
    </w:p>
    <w:p w:rsidR="004B5214" w:rsidRDefault="004B5214">
      <w:pPr>
        <w:spacing w:after="180" w:line="320" w:lineRule="exact"/>
        <w:rPr>
          <w:rFonts w:hint="eastAsia"/>
        </w:rPr>
      </w:pPr>
      <w:r>
        <w:rPr>
          <w:rFonts w:hint="eastAsia"/>
        </w:rPr>
        <w:t>13</w:t>
      </w:r>
      <w:r>
        <w:rPr>
          <w:rFonts w:hint="eastAsia"/>
        </w:rPr>
        <w:t>．</w:t>
      </w:r>
      <w:r>
        <w:rPr>
          <w:rFonts w:hint="eastAsia"/>
          <w:b/>
          <w:bCs/>
          <w:color w:val="FF0000"/>
        </w:rPr>
        <w:t>Tavares</w:t>
      </w:r>
      <w:r>
        <w:rPr>
          <w:rFonts w:hint="eastAsia"/>
        </w:rPr>
        <w:t xml:space="preserve"> </w:t>
      </w:r>
      <w:r>
        <w:rPr>
          <w:rFonts w:hint="eastAsia"/>
          <w:b/>
          <w:bCs/>
          <w:color w:val="FF0000"/>
        </w:rPr>
        <w:t>da</w:t>
      </w:r>
      <w:r>
        <w:rPr>
          <w:rFonts w:hint="eastAsia"/>
        </w:rPr>
        <w:t xml:space="preserve"> </w:t>
      </w:r>
      <w:r>
        <w:rPr>
          <w:rFonts w:hint="eastAsia"/>
          <w:b/>
          <w:bCs/>
          <w:color w:val="FF0000"/>
        </w:rPr>
        <w:t>Silva</w:t>
      </w:r>
      <w:r>
        <w:rPr>
          <w:rFonts w:eastAsia="SimHei" w:hint="eastAsia"/>
          <w:color w:val="FF0000"/>
        </w:rPr>
        <w:t>女士</w:t>
      </w:r>
      <w:r>
        <w:rPr>
          <w:rFonts w:hint="eastAsia"/>
        </w:rPr>
        <w:t>注意到，平等机会司以前另有其他名称；她想知道这些名称的变更是否是有意为之，是否反映了在单独全面处理平等机会问题时在处理妇女问题方面取得的惯常进展。她要求详细说明该司的确切任务，并询问该司是否负责协调和执行将性别观点纳入政府各部门工作的主流的工作。政府政策于</w:t>
      </w:r>
      <w:r>
        <w:rPr>
          <w:rFonts w:hint="eastAsia"/>
        </w:rPr>
        <w:t>1997</w:t>
      </w:r>
      <w:r>
        <w:rPr>
          <w:rFonts w:hint="eastAsia"/>
        </w:rPr>
        <w:t>年开始将性别观点纳入主流，其最后执行期限已过。她想了解执行工作做得怎样，譬如通过各部行动计划来执行的情况。</w:t>
      </w:r>
    </w:p>
    <w:p w:rsidR="004B5214" w:rsidRDefault="004B5214">
      <w:pPr>
        <w:spacing w:after="180" w:line="320" w:lineRule="exact"/>
        <w:rPr>
          <w:rFonts w:hint="eastAsia"/>
        </w:rPr>
      </w:pPr>
      <w:r>
        <w:rPr>
          <w:rFonts w:hint="eastAsia"/>
        </w:rPr>
        <w:t>14</w:t>
      </w:r>
      <w:r>
        <w:rPr>
          <w:rFonts w:hint="eastAsia"/>
        </w:rPr>
        <w:t>．她注意到该司也处理残疾人的康复问题和少数族裔——罗姆人的就业问题，她希望这并不意味着妇女被当作少数族裔对待。</w:t>
      </w:r>
    </w:p>
    <w:p w:rsidR="004B5214" w:rsidRDefault="004B5214">
      <w:pPr>
        <w:spacing w:after="180" w:line="320" w:lineRule="exact"/>
        <w:rPr>
          <w:rFonts w:hint="eastAsia"/>
        </w:rPr>
      </w:pPr>
      <w:r>
        <w:rPr>
          <w:rFonts w:hint="eastAsia"/>
        </w:rPr>
        <w:t>15</w:t>
      </w:r>
      <w:r>
        <w:rPr>
          <w:rFonts w:hint="eastAsia"/>
        </w:rPr>
        <w:t>．报告在若干概念上含糊其辞。她请求澄清特别临时措施，以便在《公约》第</w:t>
      </w:r>
      <w:r>
        <w:rPr>
          <w:rFonts w:hint="eastAsia"/>
        </w:rPr>
        <w:t>4</w:t>
      </w:r>
      <w:r>
        <w:rPr>
          <w:rFonts w:hint="eastAsia"/>
        </w:rPr>
        <w:t>条第</w:t>
      </w:r>
      <w:r>
        <w:rPr>
          <w:rFonts w:hint="eastAsia"/>
        </w:rPr>
        <w:t>2</w:t>
      </w:r>
      <w:r>
        <w:rPr>
          <w:rFonts w:hint="eastAsia"/>
        </w:rPr>
        <w:t>款的含义范围内，加速实现妇女平等。报告涉及《公约》第</w:t>
      </w:r>
      <w:r>
        <w:rPr>
          <w:rFonts w:hint="eastAsia"/>
        </w:rPr>
        <w:t>2</w:t>
      </w:r>
      <w:r>
        <w:rPr>
          <w:rFonts w:hint="eastAsia"/>
        </w:rPr>
        <w:t>条的部分使用了“积极行动”一词，这个用语表示所述的措施是特别临时措施，但事实上不然。报告还提及“积极歧视”和“消极歧视”；在她看来，歧视永远带有消极性。报告涉及《公约》第</w:t>
      </w:r>
      <w:r>
        <w:rPr>
          <w:rFonts w:hint="eastAsia"/>
        </w:rPr>
        <w:t>4</w:t>
      </w:r>
      <w:r>
        <w:rPr>
          <w:rFonts w:hint="eastAsia"/>
        </w:rPr>
        <w:t>条的部分指出，实行限额制度，换言之，采取特别措施，都将被视为非法，但该国刚好出台了这样的措施。她询问这是否意味着可对现有特别措施的合法性提出质疑。她表示，应当重新审查在这种情况下所使用的措词，或者，较好的做法是，应当采用《公约》文内使用的用语。</w:t>
      </w:r>
    </w:p>
    <w:p w:rsidR="004B5214" w:rsidRDefault="004B5214">
      <w:pPr>
        <w:spacing w:after="180" w:line="320" w:lineRule="exact"/>
        <w:rPr>
          <w:rFonts w:hint="eastAsia"/>
        </w:rPr>
      </w:pPr>
      <w:r>
        <w:rPr>
          <w:rFonts w:hint="eastAsia"/>
        </w:rPr>
        <w:t>16</w:t>
      </w:r>
      <w:r>
        <w:rPr>
          <w:rFonts w:hint="eastAsia"/>
        </w:rPr>
        <w:t>．</w:t>
      </w:r>
      <w:r>
        <w:rPr>
          <w:rFonts w:hint="eastAsia"/>
          <w:b/>
          <w:bCs/>
          <w:color w:val="FF0000"/>
        </w:rPr>
        <w:t>Melander</w:t>
      </w:r>
      <w:r>
        <w:rPr>
          <w:rFonts w:eastAsia="SimHei" w:hint="eastAsia"/>
          <w:color w:val="FF0000"/>
        </w:rPr>
        <w:t>先生</w:t>
      </w:r>
      <w:r>
        <w:rPr>
          <w:rFonts w:hint="eastAsia"/>
        </w:rPr>
        <w:t>说，他不能根据报告确定《公约》在匈牙利拥有何种法律地位，并询问法院是否可直接援用《公约》，或者是否应把《公约》纳入国内法。尽管《宪法》禁止歧视，但它对歧视这个词的定义与《公约》第</w:t>
      </w:r>
      <w:r>
        <w:rPr>
          <w:rFonts w:hint="eastAsia"/>
        </w:rPr>
        <w:t>1</w:t>
      </w:r>
      <w:r>
        <w:rPr>
          <w:rFonts w:hint="eastAsia"/>
        </w:rPr>
        <w:t>条的规定不符。他想知道是否有制定立法以修改该定义的计划，以及是否出台了让妇女认识到她们可向委员会上诉的计划。他还想知道为提高特别是高等教育领域以及司法机关和执法人员对一般人权和妇女权利的认识，在教育方面采取了哪些措施。</w:t>
      </w:r>
    </w:p>
    <w:p w:rsidR="004B5214" w:rsidRDefault="004B5214">
      <w:pPr>
        <w:spacing w:after="180" w:line="320" w:lineRule="exact"/>
        <w:rPr>
          <w:rFonts w:hint="eastAsia"/>
        </w:rPr>
      </w:pPr>
      <w:r>
        <w:rPr>
          <w:rFonts w:hint="eastAsia"/>
        </w:rPr>
        <w:t>17</w:t>
      </w:r>
      <w:r>
        <w:rPr>
          <w:rFonts w:hint="eastAsia"/>
        </w:rPr>
        <w:t>．对会前工作组所提问题的答复提及宪法法院面临的法律挑战。他请求进一步详细说明这些案例，特别是提到承认男女有自然差别的方面。</w:t>
      </w:r>
    </w:p>
    <w:p w:rsidR="004B5214" w:rsidRDefault="004B5214">
      <w:pPr>
        <w:spacing w:after="180" w:line="320" w:lineRule="exact"/>
        <w:rPr>
          <w:rFonts w:hint="eastAsia"/>
        </w:rPr>
      </w:pPr>
      <w:r>
        <w:rPr>
          <w:rFonts w:hint="eastAsia"/>
        </w:rPr>
        <w:t>18</w:t>
      </w:r>
      <w:r>
        <w:rPr>
          <w:rFonts w:hint="eastAsia"/>
        </w:rPr>
        <w:t>．</w:t>
      </w:r>
      <w:r>
        <w:rPr>
          <w:rFonts w:hint="eastAsia"/>
          <w:b/>
          <w:bCs/>
          <w:color w:val="FF0000"/>
        </w:rPr>
        <w:t>Kiss</w:t>
      </w:r>
      <w:r>
        <w:rPr>
          <w:rFonts w:eastAsia="SimHei" w:hint="eastAsia"/>
          <w:color w:val="FF0000"/>
        </w:rPr>
        <w:t>先生</w:t>
      </w:r>
      <w:r>
        <w:rPr>
          <w:rFonts w:hint="eastAsia"/>
        </w:rPr>
        <w:t>（匈牙利）说，以提高妇女地位的国家机制的名义所作的修改，实际上表明了哲学观点的变化。原先的机制一直是就业和劳动部长的咨询机构，由所邀请的非政府组织代表、学者及活动家组成；继这个机制后，组建了一个部门间委员会。现有的平等机会司是一个独立部门，直接向部长报告。该司的未来计划包括一项提案，旨在修订关于妇女问题委员会的任务和程序的法令，并在各部指定妇女事务协调中心，寻找更为民主的办法来遴选参加委员会会议的非政府组织。该司确实有权提出立法，它计划作出新的努力，通过游说议会和建立一个妇女核心小组，通过特定的禁止歧视立法。至于妇女、残疾人和罗姆人为何划为一类人，这是一个现实问题，而非政策问题，其原因是不可能就绝不是非常一般的平等机会定义达到一致。分部门直接处理残疾人关心的问题和罗姆人的就业方案，而男女平等机会部门则致力于将性别观点纳入主流。</w:t>
      </w:r>
    </w:p>
    <w:p w:rsidR="004B5214" w:rsidRDefault="004B5214">
      <w:pPr>
        <w:spacing w:after="180" w:line="340" w:lineRule="exact"/>
        <w:rPr>
          <w:rFonts w:hint="eastAsia"/>
        </w:rPr>
      </w:pPr>
      <w:r>
        <w:rPr>
          <w:rFonts w:hint="eastAsia"/>
        </w:rPr>
        <w:t>19</w:t>
      </w:r>
      <w:r>
        <w:rPr>
          <w:rFonts w:hint="eastAsia"/>
        </w:rPr>
        <w:t>．妇女问题委员会参与报告的拟定，非政府社团指定的专家提供意见；最后报告已在一次会议上提交这些组织。非政府组织将尽可能参与立法的拟定。</w:t>
      </w:r>
    </w:p>
    <w:p w:rsidR="004B5214" w:rsidRDefault="004B5214">
      <w:pPr>
        <w:spacing w:after="180" w:line="320" w:lineRule="exact"/>
        <w:rPr>
          <w:rFonts w:hint="eastAsia"/>
        </w:rPr>
      </w:pPr>
      <w:r>
        <w:rPr>
          <w:rFonts w:hint="eastAsia"/>
        </w:rPr>
        <w:t>20</w:t>
      </w:r>
      <w:r>
        <w:rPr>
          <w:rFonts w:hint="eastAsia"/>
        </w:rPr>
        <w:t>．平等机会司有八名工作人员，其中包括一名男子。该司的预算来源有若干个；</w:t>
      </w:r>
      <w:r>
        <w:rPr>
          <w:rFonts w:hint="eastAsia"/>
        </w:rPr>
        <w:t>2001</w:t>
      </w:r>
      <w:r>
        <w:rPr>
          <w:rFonts w:hint="eastAsia"/>
        </w:rPr>
        <w:t>年，包括薪资和业务费用在内的技术预算为</w:t>
      </w:r>
      <w:r>
        <w:rPr>
          <w:rFonts w:hint="eastAsia"/>
        </w:rPr>
        <w:t>2 000</w:t>
      </w:r>
      <w:r>
        <w:rPr>
          <w:rFonts w:hint="eastAsia"/>
        </w:rPr>
        <w:t>万荷兰盾（</w:t>
      </w:r>
      <w:r>
        <w:rPr>
          <w:rFonts w:hint="eastAsia"/>
        </w:rPr>
        <w:t>250</w:t>
      </w:r>
      <w:r>
        <w:rPr>
          <w:rFonts w:hint="eastAsia"/>
        </w:rPr>
        <w:t>荷兰盾相当于一美元）；</w:t>
      </w:r>
      <w:r>
        <w:rPr>
          <w:rFonts w:hint="eastAsia"/>
        </w:rPr>
        <w:t>2002</w:t>
      </w:r>
      <w:r>
        <w:rPr>
          <w:rFonts w:hint="eastAsia"/>
        </w:rPr>
        <w:t>年，这一数额削减为</w:t>
      </w:r>
      <w:r>
        <w:rPr>
          <w:rFonts w:hint="eastAsia"/>
        </w:rPr>
        <w:t>1 800</w:t>
      </w:r>
      <w:r>
        <w:rPr>
          <w:rFonts w:hint="eastAsia"/>
        </w:rPr>
        <w:t>万荷兰盾，尽管费用增加了</w:t>
      </w:r>
      <w:r>
        <w:rPr>
          <w:rFonts w:hint="eastAsia"/>
        </w:rPr>
        <w:t>150%</w:t>
      </w:r>
      <w:r>
        <w:rPr>
          <w:rFonts w:hint="eastAsia"/>
        </w:rPr>
        <w:t>。</w:t>
      </w:r>
      <w:r>
        <w:rPr>
          <w:rFonts w:hint="eastAsia"/>
        </w:rPr>
        <w:t>2000</w:t>
      </w:r>
      <w:r>
        <w:rPr>
          <w:rFonts w:hint="eastAsia"/>
        </w:rPr>
        <w:t>年的专业方案预算为</w:t>
      </w:r>
      <w:r>
        <w:rPr>
          <w:rFonts w:hint="eastAsia"/>
        </w:rPr>
        <w:t>4 000</w:t>
      </w:r>
      <w:r>
        <w:rPr>
          <w:rFonts w:hint="eastAsia"/>
        </w:rPr>
        <w:t>万荷兰盾。</w:t>
      </w:r>
      <w:r>
        <w:rPr>
          <w:rFonts w:hint="eastAsia"/>
        </w:rPr>
        <w:t>2002</w:t>
      </w:r>
      <w:r>
        <w:rPr>
          <w:rFonts w:hint="eastAsia"/>
        </w:rPr>
        <w:t>年，这一预算的计划数额将为</w:t>
      </w:r>
      <w:r>
        <w:rPr>
          <w:rFonts w:hint="eastAsia"/>
        </w:rPr>
        <w:t>2 000</w:t>
      </w:r>
      <w:r>
        <w:rPr>
          <w:rFonts w:hint="eastAsia"/>
        </w:rPr>
        <w:t>万荷兰盾，但实际支出预计将达</w:t>
      </w:r>
      <w:r>
        <w:rPr>
          <w:rFonts w:hint="eastAsia"/>
        </w:rPr>
        <w:t>2 400</w:t>
      </w:r>
      <w:r>
        <w:rPr>
          <w:rFonts w:hint="eastAsia"/>
        </w:rPr>
        <w:t>万荷兰盾。该司计划将其</w:t>
      </w:r>
      <w:r>
        <w:rPr>
          <w:rFonts w:hint="eastAsia"/>
        </w:rPr>
        <w:t>2003</w:t>
      </w:r>
      <w:r>
        <w:rPr>
          <w:rFonts w:hint="eastAsia"/>
        </w:rPr>
        <w:t>年的方案预算申请额翻一番，达到</w:t>
      </w:r>
      <w:r>
        <w:rPr>
          <w:rFonts w:hint="eastAsia"/>
        </w:rPr>
        <w:t>5 000</w:t>
      </w:r>
      <w:r>
        <w:rPr>
          <w:rFonts w:hint="eastAsia"/>
        </w:rPr>
        <w:t>万荷兰盾。通过“法尔项目”从欧洲联盟获得的资金将用于诸如使</w:t>
      </w:r>
      <w:r>
        <w:rPr>
          <w:rFonts w:hint="eastAsia"/>
        </w:rPr>
        <w:t>40</w:t>
      </w:r>
      <w:r>
        <w:rPr>
          <w:rFonts w:hint="eastAsia"/>
        </w:rPr>
        <w:t>岁以上妇女重新进入劳动力市场的特定项目；这些项目通常不直接由该司管理，而是包给非政府组织。</w:t>
      </w:r>
    </w:p>
    <w:p w:rsidR="004B5214" w:rsidRDefault="004B5214">
      <w:pPr>
        <w:spacing w:after="180" w:line="320" w:lineRule="exact"/>
        <w:rPr>
          <w:rFonts w:hint="eastAsia"/>
        </w:rPr>
      </w:pPr>
      <w:r>
        <w:rPr>
          <w:rFonts w:hint="eastAsia"/>
        </w:rPr>
        <w:t>21</w:t>
      </w:r>
      <w:r>
        <w:rPr>
          <w:rFonts w:hint="eastAsia"/>
        </w:rPr>
        <w:t>．</w:t>
      </w:r>
      <w:r>
        <w:rPr>
          <w:rFonts w:hint="eastAsia"/>
          <w:b/>
          <w:bCs/>
          <w:color w:val="FF0000"/>
        </w:rPr>
        <w:t>Ko</w:t>
      </w:r>
      <w:r>
        <w:rPr>
          <w:b/>
          <w:bCs/>
          <w:color w:val="FF0000"/>
        </w:rPr>
        <w:t>l</w:t>
      </w:r>
      <w:r>
        <w:rPr>
          <w:rFonts w:hint="eastAsia"/>
          <w:b/>
          <w:bCs/>
          <w:color w:val="FF0000"/>
        </w:rPr>
        <w:t>lonay-Lehoczkyne</w:t>
      </w:r>
      <w:r>
        <w:rPr>
          <w:rFonts w:eastAsia="SimHei" w:hint="eastAsia"/>
          <w:color w:val="FF0000"/>
        </w:rPr>
        <w:t>女士</w:t>
      </w:r>
      <w:r>
        <w:rPr>
          <w:rFonts w:hint="eastAsia"/>
        </w:rPr>
        <w:t>（匈牙利）在答复</w:t>
      </w:r>
      <w:r>
        <w:rPr>
          <w:rFonts w:hint="eastAsia"/>
        </w:rPr>
        <w:t>Melander</w:t>
      </w:r>
      <w:r>
        <w:rPr>
          <w:rFonts w:hint="eastAsia"/>
        </w:rPr>
        <w:t>先生时说，《公约》是匈牙利法律的组成部分，但没有在法院直接执行，原因是它没有确定个人权利，只是确定了缔约国为保障个人权利而确定宪法和法律框架的义务。根据匈牙利法律，只有私人才能提起诉讼。宪法法院的判例法并不总是与《公约》的精神和平等权利保持一致，但是，最近的一些判决使用的措词令人乐观。</w:t>
      </w:r>
    </w:p>
    <w:p w:rsidR="004B5214" w:rsidRDefault="004B5214">
      <w:pPr>
        <w:spacing w:after="180" w:line="320" w:lineRule="exact"/>
        <w:rPr>
          <w:rFonts w:hint="eastAsia"/>
        </w:rPr>
      </w:pPr>
      <w:r>
        <w:rPr>
          <w:rFonts w:hint="eastAsia"/>
        </w:rPr>
        <w:t>22</w:t>
      </w:r>
      <w:r>
        <w:rPr>
          <w:rFonts w:hint="eastAsia"/>
        </w:rPr>
        <w:t>．她同意</w:t>
      </w:r>
      <w:r>
        <w:rPr>
          <w:rFonts w:hint="eastAsia"/>
        </w:rPr>
        <w:t>Tavares da Silva</w:t>
      </w:r>
      <w:r>
        <w:rPr>
          <w:rFonts w:hint="eastAsia"/>
        </w:rPr>
        <w:t>女士的观点，即“积极歧视”一词并不理想，但它的使用可追溯到宪法法院</w:t>
      </w:r>
      <w:r>
        <w:rPr>
          <w:rFonts w:hint="eastAsia"/>
        </w:rPr>
        <w:t>1990</w:t>
      </w:r>
      <w:r>
        <w:rPr>
          <w:rFonts w:hint="eastAsia"/>
        </w:rPr>
        <w:t>年的一项裁决。由于对平等概念的处理死板僵化，解决这一问题时一直非常谨慎。应制订法律，承认个人需要的差别；迄今为止，立法机构尚没有勇气讨论这个问题。</w:t>
      </w:r>
    </w:p>
    <w:p w:rsidR="004B5214" w:rsidRDefault="004B5214">
      <w:pPr>
        <w:spacing w:after="180" w:line="340" w:lineRule="exact"/>
        <w:rPr>
          <w:rFonts w:hint="eastAsia"/>
        </w:rPr>
      </w:pPr>
      <w:r>
        <w:rPr>
          <w:rFonts w:hint="eastAsia"/>
        </w:rPr>
        <w:t>23</w:t>
      </w:r>
      <w:r>
        <w:rPr>
          <w:rFonts w:hint="eastAsia"/>
        </w:rPr>
        <w:t>．现已在育儿假问题上取得两项重大进展。首先，休家事假的雇员想要进修的，其免缴学费的规定对父亲和母亲没有区别。其次，对就业法的修正以及对失业者的援助的适用范围涵盖所有休育儿假的人。</w:t>
      </w:r>
    </w:p>
    <w:p w:rsidR="004B5214" w:rsidRDefault="004B5214">
      <w:pPr>
        <w:spacing w:after="180" w:line="320" w:lineRule="exact"/>
        <w:rPr>
          <w:rFonts w:hint="eastAsia"/>
        </w:rPr>
      </w:pPr>
      <w:r>
        <w:rPr>
          <w:rFonts w:hint="eastAsia"/>
        </w:rPr>
        <w:t>24</w:t>
      </w:r>
      <w:r>
        <w:rPr>
          <w:rFonts w:hint="eastAsia"/>
        </w:rPr>
        <w:t>．宪法法院在最近的一项裁决中认定，“寡妇养恤金”一词对配偶双方是区别对待的，它促进了对伴侣双方工作价值的歧视性观点。宪法法院也修改了提早退休细则的措词；而今，父母双方的任何一方，不单单是妇女，都能将参加工作以外的照料子女的时间加总到根据社会保障制度提早退休的总时间内。职业隔离十分普遍；大多数纺织工人是妇女，这种职业的名称甚至意味着工人的性别。宪法法院审议了一名男性纺织工人的案例，他在申请提早退休金时因性别原因而遭到拒绝。</w:t>
      </w:r>
    </w:p>
    <w:p w:rsidR="004B5214" w:rsidRDefault="004B5214">
      <w:pPr>
        <w:spacing w:after="180" w:line="320" w:lineRule="exact"/>
        <w:rPr>
          <w:rFonts w:hint="eastAsia"/>
        </w:rPr>
      </w:pPr>
      <w:r>
        <w:rPr>
          <w:rFonts w:hint="eastAsia"/>
        </w:rPr>
        <w:t>25</w:t>
      </w:r>
      <w:r>
        <w:rPr>
          <w:rFonts w:hint="eastAsia"/>
        </w:rPr>
        <w:t>．</w:t>
      </w:r>
      <w:r>
        <w:rPr>
          <w:rFonts w:hint="eastAsia"/>
          <w:b/>
          <w:bCs/>
          <w:color w:val="FF0000"/>
        </w:rPr>
        <w:t>Kapony</w:t>
      </w:r>
      <w:r>
        <w:rPr>
          <w:b/>
          <w:bCs/>
          <w:color w:val="FF0000"/>
        </w:rPr>
        <w:t>í</w:t>
      </w:r>
      <w:r>
        <w:rPr>
          <w:rFonts w:eastAsia="SimHei" w:hint="eastAsia"/>
          <w:color w:val="FF0000"/>
        </w:rPr>
        <w:t>女士</w:t>
      </w:r>
      <w:r>
        <w:rPr>
          <w:rFonts w:hint="eastAsia"/>
        </w:rPr>
        <w:t>（匈牙利）赞同歧视罗姆人是欧洲的耻辱这一看法。罗姆人的处境自匈牙利政治变革后实际上更趋恶化。他们当中仅有</w:t>
      </w:r>
      <w:r>
        <w:rPr>
          <w:rFonts w:hint="eastAsia"/>
        </w:rPr>
        <w:t>14%</w:t>
      </w:r>
      <w:r>
        <w:rPr>
          <w:rFonts w:hint="eastAsia"/>
        </w:rPr>
        <w:t>的人有固定住所；其余的人住在没有任何服务设施的与社会隔绝的贫民区，感染艾滋病毒的风险很高。在社会主义时代，</w:t>
      </w:r>
      <w:r>
        <w:rPr>
          <w:rFonts w:hint="eastAsia"/>
        </w:rPr>
        <w:t>60%</w:t>
      </w:r>
      <w:r>
        <w:rPr>
          <w:rFonts w:hint="eastAsia"/>
        </w:rPr>
        <w:t>－</w:t>
      </w:r>
      <w:r>
        <w:rPr>
          <w:rFonts w:hint="eastAsia"/>
        </w:rPr>
        <w:t>80%</w:t>
      </w:r>
      <w:r>
        <w:rPr>
          <w:rFonts w:hint="eastAsia"/>
        </w:rPr>
        <w:t>的罗姆男子和</w:t>
      </w:r>
      <w:r>
        <w:rPr>
          <w:rFonts w:hint="eastAsia"/>
        </w:rPr>
        <w:t>35%</w:t>
      </w:r>
      <w:r>
        <w:rPr>
          <w:rFonts w:hint="eastAsia"/>
        </w:rPr>
        <w:t>的罗姆妇女有工作；而今，在总失业率为</w:t>
      </w:r>
      <w:r>
        <w:rPr>
          <w:rFonts w:hint="eastAsia"/>
        </w:rPr>
        <w:t>6%</w:t>
      </w:r>
      <w:r>
        <w:rPr>
          <w:rFonts w:hint="eastAsia"/>
        </w:rPr>
        <w:t>的背景下，罗姆人的失业率是这一比例的数倍之高。罗姆人聚居在社会主义时代的工业崩溃的地区。。</w:t>
      </w:r>
    </w:p>
    <w:p w:rsidR="004B5214" w:rsidRDefault="004B5214">
      <w:pPr>
        <w:spacing w:after="180" w:line="320" w:lineRule="exact"/>
        <w:rPr>
          <w:rFonts w:hint="eastAsia"/>
        </w:rPr>
      </w:pPr>
      <w:r>
        <w:rPr>
          <w:rFonts w:hint="eastAsia"/>
        </w:rPr>
        <w:t>26</w:t>
      </w:r>
      <w:r>
        <w:rPr>
          <w:rFonts w:hint="eastAsia"/>
        </w:rPr>
        <w:t>．</w:t>
      </w:r>
      <w:r>
        <w:rPr>
          <w:rFonts w:hint="eastAsia"/>
        </w:rPr>
        <w:t xml:space="preserve"> </w:t>
      </w:r>
      <w:r>
        <w:rPr>
          <w:rFonts w:hint="eastAsia"/>
          <w:b/>
          <w:bCs/>
          <w:color w:val="FF0000"/>
        </w:rPr>
        <w:t>Feh</w:t>
      </w:r>
      <w:r>
        <w:rPr>
          <w:b/>
          <w:bCs/>
          <w:color w:val="FF0000"/>
        </w:rPr>
        <w:t>é</w:t>
      </w:r>
      <w:r>
        <w:rPr>
          <w:rFonts w:hint="eastAsia"/>
          <w:b/>
          <w:bCs/>
          <w:color w:val="FF0000"/>
        </w:rPr>
        <w:t>r</w:t>
      </w:r>
      <w:r>
        <w:rPr>
          <w:rFonts w:eastAsia="SimHei" w:hint="eastAsia"/>
          <w:color w:val="FF0000"/>
        </w:rPr>
        <w:t>女士</w:t>
      </w:r>
      <w:r>
        <w:rPr>
          <w:rFonts w:hint="eastAsia"/>
        </w:rPr>
        <w:t>（匈牙利）说，尽管家庭暴力在《刑法典》中未专门涉及，但根据关于性犯罪、殴打或者杀人、危害他人罪的规定，这种行为应受到惩处。政府认识到，明令禁止将传递更为强烈的讯息；在所有谋杀案中，约</w:t>
      </w:r>
      <w:r>
        <w:rPr>
          <w:rFonts w:hint="eastAsia"/>
        </w:rPr>
        <w:t>27%</w:t>
      </w:r>
      <w:r>
        <w:rPr>
          <w:rFonts w:hint="eastAsia"/>
        </w:rPr>
        <w:t>的犯罪为配偶、伴侣或者前伴侣所为。在一项调查中，将近一半的被调查者声称他们不愿意寻求警方的帮助，不相信家庭暴力申诉能够得到合宜的处置。另有一项关于发展合作的调查注意到，处理这个问题的国家当局之间缺乏高级别的合作。要做的工作还很多，但至少目前在各种论坛上提出了这个问题。在社会和家庭事务部下组建的一个委员会提出了关于修订《刑法典》和改革警务程序的提案；这些提案由一个由社会学家和心理学家组成的小组审查，他们将就对罪犯及其家属的适宜待遇另行提出建议。一些非政府组织为家庭暴力的受害者提供了援助。</w:t>
      </w:r>
      <w:r>
        <w:rPr>
          <w:rFonts w:hint="eastAsia"/>
        </w:rPr>
        <w:t>2002</w:t>
      </w:r>
      <w:r>
        <w:rPr>
          <w:rFonts w:hint="eastAsia"/>
        </w:rPr>
        <w:t>年，社会和家庭事务部从妇女人权和对妇女暴力的角度，就贩卖妇女问题为非政府组织、警官和社会工作者举办了两次培训会议；角色扮演练习迫使学员面对问题的现实。这两次会议开得非常成功，以后还将举办此类会议。</w:t>
      </w:r>
    </w:p>
    <w:p w:rsidR="004B5214" w:rsidRDefault="004B5214">
      <w:pPr>
        <w:spacing w:after="180" w:line="320" w:lineRule="exact"/>
        <w:rPr>
          <w:rFonts w:hint="eastAsia"/>
        </w:rPr>
      </w:pPr>
      <w:r>
        <w:rPr>
          <w:rFonts w:hint="eastAsia"/>
        </w:rPr>
        <w:t>27</w:t>
      </w:r>
      <w:r>
        <w:rPr>
          <w:rFonts w:hint="eastAsia"/>
        </w:rPr>
        <w:t>．</w:t>
      </w:r>
      <w:r>
        <w:rPr>
          <w:rFonts w:hint="eastAsia"/>
          <w:b/>
          <w:bCs/>
          <w:color w:val="FF0000"/>
        </w:rPr>
        <w:t>Kaponyi</w:t>
      </w:r>
      <w:r>
        <w:rPr>
          <w:rFonts w:eastAsia="SimHei" w:hint="eastAsia"/>
          <w:color w:val="FF0000"/>
        </w:rPr>
        <w:t>女士</w:t>
      </w:r>
      <w:r>
        <w:rPr>
          <w:rFonts w:hint="eastAsia"/>
        </w:rPr>
        <w:t>（匈牙利）说，《公约》的宣传工作不能令人满意，但除别的事项外，通过宣传运动、开办网站以及向非政府组织分发文书，作出了进一步的努力。政府十分重视《任择议定书》规定的控诉程序；以使匈牙利加入欧洲联盟为目的而举办的一项针对法官的培训方案，将有可能提供充足的资金，用于宣传这种程序。</w:t>
      </w:r>
    </w:p>
    <w:p w:rsidR="004B5214" w:rsidRDefault="004B5214">
      <w:pPr>
        <w:spacing w:after="180" w:line="320" w:lineRule="exact"/>
        <w:rPr>
          <w:rFonts w:hint="eastAsia"/>
        </w:rPr>
      </w:pPr>
      <w:r>
        <w:rPr>
          <w:rFonts w:hint="eastAsia"/>
        </w:rPr>
        <w:t>28</w:t>
      </w:r>
      <w:r>
        <w:rPr>
          <w:rFonts w:hint="eastAsia"/>
        </w:rPr>
        <w:t>．迄今无人向公民权利事务议会委员提起涉及侵害妇女权利的申诉，但申诉程序人所周知，并且人人都能利用这种程序。一个欧洲人权教育方案理事会已纳入全国学校教学大纲，政府致力于将人权和平等机会问题纳入到各级教育中，以期促进司法、民主公民身份以及妇女和男子之间的伙伴关系；不过，要做的工作还很多。小学经常进行人权问题教育，中学有时开展这种教育，在大学一级开设了一些人权课程；她在过去十年间就教授一门有关《公约》的课程。</w:t>
      </w:r>
    </w:p>
    <w:p w:rsidR="004B5214" w:rsidRDefault="004B5214">
      <w:pPr>
        <w:spacing w:after="180" w:line="320" w:lineRule="exact"/>
        <w:rPr>
          <w:rFonts w:hint="eastAsia"/>
        </w:rPr>
      </w:pPr>
      <w:r>
        <w:rPr>
          <w:rFonts w:hint="eastAsia"/>
        </w:rPr>
        <w:t>29</w:t>
      </w:r>
      <w:r>
        <w:rPr>
          <w:rFonts w:hint="eastAsia"/>
        </w:rPr>
        <w:t>．</w:t>
      </w:r>
      <w:r>
        <w:rPr>
          <w:rFonts w:hint="eastAsia"/>
          <w:b/>
          <w:bCs/>
          <w:color w:val="FF0000"/>
        </w:rPr>
        <w:t>Kiss</w:t>
      </w:r>
      <w:r>
        <w:rPr>
          <w:rFonts w:eastAsia="SimHei" w:hint="eastAsia"/>
          <w:color w:val="FF0000"/>
        </w:rPr>
        <w:t>先生</w:t>
      </w:r>
      <w:r>
        <w:rPr>
          <w:rFonts w:hint="eastAsia"/>
        </w:rPr>
        <w:t>（匈牙利）说，政府正准备审查国家家庭政策。政府不想干涉家庭事务，而是想在父母责任而不是孕产方面促进伙伴关系和责任分担，为公民提供作出真正选择的机会。</w:t>
      </w:r>
    </w:p>
    <w:p w:rsidR="004B5214" w:rsidRDefault="004B5214">
      <w:pPr>
        <w:spacing w:after="180" w:line="340" w:lineRule="exact"/>
        <w:rPr>
          <w:rFonts w:hint="eastAsia"/>
        </w:rPr>
      </w:pPr>
      <w:r>
        <w:rPr>
          <w:rFonts w:hint="eastAsia"/>
        </w:rPr>
        <w:t>30</w:t>
      </w:r>
      <w:r>
        <w:rPr>
          <w:rFonts w:hint="eastAsia"/>
        </w:rPr>
        <w:t>．</w:t>
      </w:r>
      <w:r>
        <w:rPr>
          <w:rFonts w:eastAsia="SimHei" w:hint="eastAsia"/>
          <w:color w:val="FF0000"/>
        </w:rPr>
        <w:t>冯淬女士</w:t>
      </w:r>
      <w:r>
        <w:rPr>
          <w:rFonts w:hint="eastAsia"/>
        </w:rPr>
        <w:t>说，妇女参加</w:t>
      </w:r>
      <w:r>
        <w:rPr>
          <w:rFonts w:hint="eastAsia"/>
        </w:rPr>
        <w:t>2002</w:t>
      </w:r>
      <w:r>
        <w:rPr>
          <w:rFonts w:hint="eastAsia"/>
        </w:rPr>
        <w:t>年</w:t>
      </w:r>
      <w:r>
        <w:rPr>
          <w:rFonts w:hint="eastAsia"/>
        </w:rPr>
        <w:t>5</w:t>
      </w:r>
      <w:r>
        <w:rPr>
          <w:rFonts w:hint="eastAsia"/>
        </w:rPr>
        <w:t>月的选举的人数增多，她对此表示欢迎。不过，报告和代表团的声明仅提到促进这种参与的个别活动；她想知道政府是否在该领域制订了一般性政策，特别是，政府计划如何解决各政党对提名女候选人一举缺乏兴趣的问题，又如何促进罗姆妇女的参与。代表团也应澄清政府对积极歧视问题的立场；《公约》第</w:t>
      </w:r>
      <w:r>
        <w:rPr>
          <w:rFonts w:hint="eastAsia"/>
        </w:rPr>
        <w:t>4</w:t>
      </w:r>
      <w:r>
        <w:rPr>
          <w:rFonts w:hint="eastAsia"/>
        </w:rPr>
        <w:t>条是加强妇女的政治作用的重要工具。她希望对此问题展开研究。</w:t>
      </w:r>
    </w:p>
    <w:p w:rsidR="004B5214" w:rsidRDefault="004B5214">
      <w:pPr>
        <w:spacing w:after="180" w:line="320" w:lineRule="exact"/>
        <w:rPr>
          <w:rFonts w:hint="eastAsia"/>
        </w:rPr>
      </w:pPr>
      <w:r>
        <w:rPr>
          <w:rFonts w:hint="eastAsia"/>
        </w:rPr>
        <w:t>31</w:t>
      </w:r>
      <w:r>
        <w:rPr>
          <w:rFonts w:hint="eastAsia"/>
        </w:rPr>
        <w:t>．</w:t>
      </w:r>
      <w:r>
        <w:rPr>
          <w:rFonts w:hint="eastAsia"/>
          <w:b/>
          <w:bCs/>
          <w:color w:val="FF0000"/>
        </w:rPr>
        <w:t>Corti</w:t>
      </w:r>
      <w:r>
        <w:rPr>
          <w:rFonts w:eastAsia="SimHei" w:hint="eastAsia"/>
          <w:color w:val="FF0000"/>
        </w:rPr>
        <w:t>女士</w:t>
      </w:r>
      <w:r>
        <w:rPr>
          <w:rFonts w:hint="eastAsia"/>
        </w:rPr>
        <w:t>说，过去十年间大学开设了一门有关《公约》的课程，她听到这一消息后感到高兴。不过，鉴于匈牙利受过高等教育的女性人口，她对妇女对政治不感兴趣，各政党不想提名女候选人这一说法感到震惊。如果匈牙利想要加入欧洲联盟，则应改善其民主体制；一半人口不积极参与政治决策，这一状况令人感到困扰。欧洲联盟成员国制订了促进妇女参与政治事务的国家机制。改善是不会自动发生的，仅仅放映影片和组织讨论会也是不够的；政府应制订一项战略，并与非政府组织一起进行宣传，争取扩大妇女的参与人数。她希望下次报告载入更多信息，说明这个问题，并且能够报告取得的积极结果。</w:t>
      </w:r>
    </w:p>
    <w:p w:rsidR="004B5214" w:rsidRDefault="004B5214">
      <w:pPr>
        <w:spacing w:after="180" w:line="320" w:lineRule="exact"/>
        <w:rPr>
          <w:rFonts w:hint="eastAsia"/>
        </w:rPr>
      </w:pPr>
      <w:r>
        <w:rPr>
          <w:rFonts w:hint="eastAsia"/>
        </w:rPr>
        <w:t>32</w:t>
      </w:r>
      <w:r>
        <w:rPr>
          <w:rFonts w:hint="eastAsia"/>
        </w:rPr>
        <w:t>．她请求澄清报告第</w:t>
      </w:r>
      <w:r>
        <w:rPr>
          <w:rFonts w:hint="eastAsia"/>
        </w:rPr>
        <w:t>17</w:t>
      </w:r>
      <w:r>
        <w:rPr>
          <w:rFonts w:hint="eastAsia"/>
        </w:rPr>
        <w:t>页的内容，即鉴于匈牙利社会的人口问题很严重，需要修改《公约》的优先事项；作为该文书的缔约方，政府应保证妇女在事实上和法律上的各方面的平等。</w:t>
      </w:r>
    </w:p>
    <w:p w:rsidR="004B5214" w:rsidRDefault="004B5214">
      <w:pPr>
        <w:spacing w:after="180" w:line="320" w:lineRule="exact"/>
        <w:rPr>
          <w:rFonts w:hint="eastAsia"/>
        </w:rPr>
      </w:pPr>
      <w:r>
        <w:rPr>
          <w:rFonts w:hint="eastAsia"/>
        </w:rPr>
        <w:t>33</w:t>
      </w:r>
      <w:r>
        <w:rPr>
          <w:rFonts w:hint="eastAsia"/>
        </w:rPr>
        <w:t>．</w:t>
      </w:r>
      <w:r>
        <w:rPr>
          <w:rFonts w:hint="eastAsia"/>
          <w:b/>
          <w:bCs/>
          <w:color w:val="FF0000"/>
        </w:rPr>
        <w:t>Gaspard</w:t>
      </w:r>
      <w:r>
        <w:rPr>
          <w:rFonts w:eastAsia="SimHei" w:hint="eastAsia"/>
          <w:color w:val="FF0000"/>
        </w:rPr>
        <w:t>女士</w:t>
      </w:r>
      <w:r>
        <w:rPr>
          <w:rFonts w:hint="eastAsia"/>
        </w:rPr>
        <w:t>表示关切的是，在打击向国外贩卖妇女活动的努力由于有关当局之间缺乏合作而受到妨碍，在这方面也没有预防这一问题的具体战略。她希望下个报告期内将取得进展。报告还指出，自</w:t>
      </w:r>
      <w:r>
        <w:rPr>
          <w:rFonts w:hint="eastAsia"/>
        </w:rPr>
        <w:t>2000</w:t>
      </w:r>
      <w:r>
        <w:rPr>
          <w:rFonts w:hint="eastAsia"/>
        </w:rPr>
        <w:t>年</w:t>
      </w:r>
      <w:r>
        <w:rPr>
          <w:rFonts w:hint="eastAsia"/>
        </w:rPr>
        <w:t>3</w:t>
      </w:r>
      <w:r>
        <w:rPr>
          <w:rFonts w:hint="eastAsia"/>
        </w:rPr>
        <w:t>月</w:t>
      </w:r>
      <w:r>
        <w:rPr>
          <w:rFonts w:hint="eastAsia"/>
        </w:rPr>
        <w:t>1</w:t>
      </w:r>
      <w:r>
        <w:rPr>
          <w:rFonts w:hint="eastAsia"/>
        </w:rPr>
        <w:t>日起，新的立法加大了对“违禁引诱行为”的处罚力度。她询问这一用语是否指妓女或皮条客；保证妓女不因法律本身成为双重受害者，并保证她们能够安全地对剥削她们的人提出起诉，这一点很重要。</w:t>
      </w:r>
    </w:p>
    <w:p w:rsidR="004B5214" w:rsidRDefault="004B5214">
      <w:pPr>
        <w:spacing w:after="180" w:line="320" w:lineRule="exact"/>
        <w:rPr>
          <w:rFonts w:hint="eastAsia"/>
        </w:rPr>
      </w:pPr>
      <w:r>
        <w:rPr>
          <w:rFonts w:hint="eastAsia"/>
        </w:rPr>
        <w:t>34</w:t>
      </w:r>
      <w:r>
        <w:rPr>
          <w:rFonts w:hint="eastAsia"/>
        </w:rPr>
        <w:t>．她也想知道，女候选人在最近的选举中当选的议员所占比例是多少；有无罗姆候选人，特别是罗姆妇女候选人参加了竞选，或者是否当选为议员；以及议会人权、少数族裔和宗教委员会妇女小组委员会是否仍然存在。</w:t>
      </w:r>
    </w:p>
    <w:p w:rsidR="004B5214" w:rsidRDefault="004B5214">
      <w:pPr>
        <w:spacing w:after="180" w:line="320" w:lineRule="exact"/>
        <w:rPr>
          <w:rFonts w:hint="eastAsia"/>
        </w:rPr>
      </w:pPr>
      <w:r>
        <w:rPr>
          <w:rFonts w:hint="eastAsia"/>
        </w:rPr>
        <w:t>35</w:t>
      </w:r>
      <w:r>
        <w:rPr>
          <w:rFonts w:hint="eastAsia"/>
        </w:rPr>
        <w:t>．</w:t>
      </w:r>
      <w:r>
        <w:rPr>
          <w:rFonts w:hint="eastAsia"/>
          <w:b/>
          <w:bCs/>
          <w:color w:val="FF0000"/>
        </w:rPr>
        <w:t>Achmad</w:t>
      </w:r>
      <w:r>
        <w:rPr>
          <w:rFonts w:eastAsia="SimHei" w:hint="eastAsia"/>
          <w:color w:val="FF0000"/>
        </w:rPr>
        <w:t>女士</w:t>
      </w:r>
      <w:r>
        <w:rPr>
          <w:rFonts w:hint="eastAsia"/>
        </w:rPr>
        <w:t>注意到，更多的妇女当选为乡村市镇当局的公职人员。最好能够提供更多的资料，说明这些地区妇女的状况。</w:t>
      </w:r>
    </w:p>
    <w:p w:rsidR="004B5214" w:rsidRDefault="004B5214">
      <w:pPr>
        <w:spacing w:after="180" w:line="320" w:lineRule="exact"/>
        <w:rPr>
          <w:rFonts w:hint="eastAsia"/>
        </w:rPr>
      </w:pPr>
      <w:r>
        <w:rPr>
          <w:rFonts w:hint="eastAsia"/>
        </w:rPr>
        <w:t>36</w:t>
      </w:r>
      <w:r>
        <w:rPr>
          <w:rFonts w:hint="eastAsia"/>
        </w:rPr>
        <w:t>．妇女在最近的选举中当选公职人员的人数之所以增加，部分原因是在提高对女性任职人数不足的认识方面作出了努力，特别是放映了影片以及举行了相关的圆桌会议。希望能够了解这些讨论是否明确提及《公约》和</w:t>
      </w:r>
      <w:r>
        <w:rPr>
          <w:rFonts w:hint="eastAsia"/>
        </w:rPr>
        <w:t>/</w:t>
      </w:r>
      <w:r>
        <w:rPr>
          <w:rFonts w:hint="eastAsia"/>
        </w:rPr>
        <w:t>或委员会的第</w:t>
      </w:r>
      <w:r>
        <w:rPr>
          <w:rFonts w:hint="eastAsia"/>
        </w:rPr>
        <w:t>23</w:t>
      </w:r>
      <w:r>
        <w:rPr>
          <w:rFonts w:hint="eastAsia"/>
        </w:rPr>
        <w:t>号一般性建议，以及匈牙利各政党是否参与。至关重要的是制订针对妇女自身及各政党的倡议，以扭转妇女对参与政治事务不感兴趣的这种趋向。她询问新成立的平等机会司是否将在近期采取这类行动，以及非政府组织是否将在就两性平等问题与各政党联络方面发挥更大作用，这些组织的专门知识意味着它们的干预会特别有效。除非各政党相信妇女能够为民主化进程作出宝贵贡献，不然，妇女的任职人数仍将不足。</w:t>
      </w:r>
    </w:p>
    <w:p w:rsidR="004B5214" w:rsidRDefault="004B5214">
      <w:pPr>
        <w:spacing w:after="180" w:line="320" w:lineRule="exact"/>
        <w:rPr>
          <w:rFonts w:hint="eastAsia"/>
        </w:rPr>
      </w:pPr>
      <w:r>
        <w:rPr>
          <w:rFonts w:hint="eastAsia"/>
        </w:rPr>
        <w:t>37</w:t>
      </w:r>
      <w:r>
        <w:rPr>
          <w:rFonts w:hint="eastAsia"/>
        </w:rPr>
        <w:t>．应赋予职业妇女和受过良好教育的妇女以权力，克服致使她们认可男人从政理所当然这一观点的社会条件。她询问政府是否将为妇女举办培训班，提高她们对参与公共生活和政治生活方面的权利和义务的认识。</w:t>
      </w:r>
    </w:p>
    <w:p w:rsidR="004B5214" w:rsidRDefault="004B5214">
      <w:pPr>
        <w:spacing w:after="180" w:line="320" w:lineRule="exact"/>
        <w:rPr>
          <w:rFonts w:hint="eastAsia"/>
        </w:rPr>
      </w:pPr>
      <w:r>
        <w:rPr>
          <w:rFonts w:hint="eastAsia"/>
        </w:rPr>
        <w:t>38</w:t>
      </w:r>
      <w:r>
        <w:rPr>
          <w:rFonts w:hint="eastAsia"/>
        </w:rPr>
        <w:t>．她希望，匈牙利的下次报告将提供更多资料，说明在全国和地区一级存在的这类问题，特别是鉴于地区一级明显缺乏两性平等机制。</w:t>
      </w:r>
    </w:p>
    <w:p w:rsidR="004B5214" w:rsidRDefault="004B5214">
      <w:pPr>
        <w:spacing w:after="180" w:line="320" w:lineRule="exact"/>
        <w:rPr>
          <w:rFonts w:hint="eastAsia"/>
        </w:rPr>
      </w:pPr>
      <w:r>
        <w:rPr>
          <w:rFonts w:hint="eastAsia"/>
        </w:rPr>
        <w:t>39</w:t>
      </w:r>
      <w:r>
        <w:rPr>
          <w:rFonts w:hint="eastAsia"/>
        </w:rPr>
        <w:t>．</w:t>
      </w:r>
      <w:r>
        <w:rPr>
          <w:rFonts w:hint="eastAsia"/>
          <w:b/>
          <w:bCs/>
          <w:color w:val="FF0000"/>
        </w:rPr>
        <w:t>Feher</w:t>
      </w:r>
      <w:r>
        <w:rPr>
          <w:rFonts w:eastAsia="SimHei" w:hint="eastAsia"/>
          <w:color w:val="FF0000"/>
        </w:rPr>
        <w:t>女士</w:t>
      </w:r>
      <w:r>
        <w:rPr>
          <w:rFonts w:hint="eastAsia"/>
        </w:rPr>
        <w:t>（匈牙利）说，匈牙利在处理对妇女暴力方面已取得长足进步。不过，要做的工作还很多，特别是在立法领域。</w:t>
      </w:r>
    </w:p>
    <w:p w:rsidR="004B5214" w:rsidRDefault="004B5214">
      <w:pPr>
        <w:spacing w:after="180" w:line="320" w:lineRule="exact"/>
        <w:rPr>
          <w:rFonts w:hint="eastAsia"/>
        </w:rPr>
      </w:pPr>
      <w:r>
        <w:rPr>
          <w:rFonts w:hint="eastAsia"/>
        </w:rPr>
        <w:t>40</w:t>
      </w:r>
      <w:r>
        <w:rPr>
          <w:rFonts w:hint="eastAsia"/>
        </w:rPr>
        <w:t>．由于卖淫具有隐秘性，难以掌握卖淫率的准确估计数字。不过，政府认识到存在着卖淫问题。</w:t>
      </w:r>
      <w:r>
        <w:rPr>
          <w:rFonts w:hint="eastAsia"/>
        </w:rPr>
        <w:t>1999</w:t>
      </w:r>
      <w:r>
        <w:rPr>
          <w:rFonts w:hint="eastAsia"/>
        </w:rPr>
        <w:t>年第七十五号法案明确界定了“容忍区”的概念，在该等区域，许可在一定限度内从事卖淫活动，此项法案暗含的思路是鼓励妓女独立于皮条客，从而根除一种剥削形式。不过，现在只设立了两个“容忍区”，而其所在的城镇缺乏必要的基础设施。因此，妓女被迫在禁止卖淫的地区从事卖淫活动；其结果是拉皮条活动增多，因为是妓女不得不依靠皮条客保护她们不被警方抓获。一项新法的草案最近已拟定，并已分发给非政府组织和政府各部。这份草案目前正由这些机构进行讨论，希望能够找到解决这个问题的可行方案。</w:t>
      </w:r>
    </w:p>
    <w:p w:rsidR="004B5214" w:rsidRDefault="004B5214">
      <w:pPr>
        <w:spacing w:after="180" w:line="320" w:lineRule="exact"/>
        <w:rPr>
          <w:rFonts w:hint="eastAsia"/>
        </w:rPr>
      </w:pPr>
      <w:r>
        <w:rPr>
          <w:rFonts w:hint="eastAsia"/>
        </w:rPr>
        <w:t>41</w:t>
      </w:r>
      <w:r>
        <w:rPr>
          <w:rFonts w:hint="eastAsia"/>
        </w:rPr>
        <w:t>．她证实，匈牙利没有针对妓女及其家庭的支助方案：这样的方案由非政府组织管理，由政府提供资金。希望这类方案将在近期更为普及。</w:t>
      </w:r>
    </w:p>
    <w:p w:rsidR="004B5214" w:rsidRDefault="004B5214">
      <w:pPr>
        <w:spacing w:after="180" w:line="320" w:lineRule="exact"/>
        <w:rPr>
          <w:rFonts w:hint="eastAsia"/>
        </w:rPr>
      </w:pPr>
      <w:r>
        <w:rPr>
          <w:rFonts w:hint="eastAsia"/>
        </w:rPr>
        <w:t>42</w:t>
      </w:r>
      <w:r>
        <w:rPr>
          <w:rFonts w:hint="eastAsia"/>
        </w:rPr>
        <w:t>．她在谈到贩运人口问题时说，对人贩子及为此类活动预备场所的人给予严厉处罚，并说匈牙利关于贩运人口的立法已经重新修订。由于匈牙利既是一个中转国，也是一个目的地国，这个问题已提到紧要议事日程上，不仅仅是在立法规定方面，而且还在对受害者和证人提供支助和保护方面。</w:t>
      </w:r>
    </w:p>
    <w:p w:rsidR="004B5214" w:rsidRDefault="004B5214">
      <w:pPr>
        <w:spacing w:after="180" w:line="330" w:lineRule="exact"/>
        <w:rPr>
          <w:rFonts w:hint="eastAsia"/>
        </w:rPr>
      </w:pPr>
      <w:r>
        <w:rPr>
          <w:rFonts w:hint="eastAsia"/>
        </w:rPr>
        <w:t>43</w:t>
      </w:r>
      <w:r>
        <w:rPr>
          <w:rFonts w:hint="eastAsia"/>
        </w:rPr>
        <w:t>．</w:t>
      </w:r>
      <w:r>
        <w:rPr>
          <w:rFonts w:hint="eastAsia"/>
          <w:b/>
          <w:bCs/>
          <w:color w:val="FF0000"/>
        </w:rPr>
        <w:t>Kiss</w:t>
      </w:r>
      <w:r>
        <w:rPr>
          <w:rFonts w:eastAsia="SimHei" w:hint="eastAsia"/>
          <w:color w:val="FF0000"/>
        </w:rPr>
        <w:t>先生</w:t>
      </w:r>
      <w:r>
        <w:rPr>
          <w:rFonts w:hint="eastAsia"/>
        </w:rPr>
        <w:t>（匈牙利）提到《公约》第</w:t>
      </w:r>
      <w:r>
        <w:rPr>
          <w:rFonts w:hint="eastAsia"/>
        </w:rPr>
        <w:t>7</w:t>
      </w:r>
      <w:r>
        <w:rPr>
          <w:rFonts w:hint="eastAsia"/>
        </w:rPr>
        <w:t>条时说，在最近的议会选举中，</w:t>
      </w:r>
      <w:r>
        <w:rPr>
          <w:rFonts w:hint="eastAsia"/>
        </w:rPr>
        <w:t>9.1%</w:t>
      </w:r>
      <w:r>
        <w:rPr>
          <w:rFonts w:hint="eastAsia"/>
        </w:rPr>
        <w:t>的成功候选人是女性，议会现任议长即是女性。妇女占政府部长的</w:t>
      </w:r>
      <w:r>
        <w:rPr>
          <w:rFonts w:hint="eastAsia"/>
        </w:rPr>
        <w:t>18.75%</w:t>
      </w:r>
      <w:r>
        <w:rPr>
          <w:rFonts w:hint="eastAsia"/>
        </w:rPr>
        <w:t>，占所谓“高级政治职位”的</w:t>
      </w:r>
      <w:r>
        <w:rPr>
          <w:rFonts w:hint="eastAsia"/>
        </w:rPr>
        <w:t>11.3%</w:t>
      </w:r>
      <w:r>
        <w:rPr>
          <w:rFonts w:hint="eastAsia"/>
        </w:rPr>
        <w:t>；地方政府议员有</w:t>
      </w:r>
      <w:r>
        <w:rPr>
          <w:rFonts w:hint="eastAsia"/>
        </w:rPr>
        <w:t>25%</w:t>
      </w:r>
      <w:r>
        <w:rPr>
          <w:rFonts w:hint="eastAsia"/>
        </w:rPr>
        <w:t>是妇女。政府计划为参加各级公共事务和政治事务的妇女举办培训班，在非政府组织的支持下，采取行动提高各政党对两性平等问题的认识，并在议会内创建一个强有力的妇女游说运动。</w:t>
      </w:r>
    </w:p>
    <w:p w:rsidR="004B5214" w:rsidRDefault="004B5214">
      <w:pPr>
        <w:spacing w:after="180" w:line="330" w:lineRule="exact"/>
        <w:rPr>
          <w:rFonts w:hint="eastAsia"/>
        </w:rPr>
      </w:pPr>
      <w:r>
        <w:rPr>
          <w:rFonts w:hint="eastAsia"/>
        </w:rPr>
        <w:t>44</w:t>
      </w:r>
      <w:r>
        <w:rPr>
          <w:rFonts w:hint="eastAsia"/>
        </w:rPr>
        <w:t>．最后，他证实在人权、少数族裔和宗教委员会的框架内重新设立了妇女问题联合小组委员会。</w:t>
      </w:r>
    </w:p>
    <w:p w:rsidR="004B5214" w:rsidRDefault="004B5214">
      <w:pPr>
        <w:spacing w:after="180" w:line="330" w:lineRule="exact"/>
        <w:rPr>
          <w:rFonts w:hint="eastAsia"/>
        </w:rPr>
      </w:pPr>
      <w:r>
        <w:rPr>
          <w:rFonts w:hint="eastAsia"/>
        </w:rPr>
        <w:t>45</w:t>
      </w:r>
      <w:r>
        <w:rPr>
          <w:rFonts w:hint="eastAsia"/>
        </w:rPr>
        <w:t>．</w:t>
      </w:r>
      <w:r>
        <w:rPr>
          <w:rFonts w:hint="eastAsia"/>
          <w:b/>
          <w:bCs/>
          <w:color w:val="FF0000"/>
        </w:rPr>
        <w:t>Kaponyi</w:t>
      </w:r>
      <w:r>
        <w:rPr>
          <w:rFonts w:eastAsia="SimHei" w:hint="eastAsia"/>
          <w:color w:val="FF0000"/>
        </w:rPr>
        <w:t>女士</w:t>
      </w:r>
      <w:r>
        <w:rPr>
          <w:rFonts w:hint="eastAsia"/>
        </w:rPr>
        <w:t>（匈牙利）同</w:t>
      </w:r>
      <w:r>
        <w:rPr>
          <w:rFonts w:hint="eastAsia"/>
        </w:rPr>
        <w:t>Corti</w:t>
      </w:r>
      <w:r>
        <w:rPr>
          <w:rFonts w:hint="eastAsia"/>
        </w:rPr>
        <w:t>女士的看法一样，她认为由于匈牙利希望加入欧洲联盟，它必须遵守哥本哈根加入标准。为此，这一标准应纳入法律规定，保证男女间事实上的平等，并修改宪法，以便能够采取特别临时措施，在公共生活和政治生活领域中实现两性平等。为鼓励妇女参与国家政治事务，匈牙利还应通过立法，协调政治和家庭义务。</w:t>
      </w:r>
    </w:p>
    <w:p w:rsidR="004B5214" w:rsidRDefault="004B5214">
      <w:pPr>
        <w:spacing w:after="180" w:line="330" w:lineRule="exact"/>
        <w:rPr>
          <w:rFonts w:hint="eastAsia"/>
        </w:rPr>
      </w:pPr>
      <w:r>
        <w:rPr>
          <w:rFonts w:hint="eastAsia"/>
        </w:rPr>
        <w:t>46</w:t>
      </w:r>
      <w:r>
        <w:rPr>
          <w:rFonts w:hint="eastAsia"/>
        </w:rPr>
        <w:t>．在支助性措施方面，匈牙利可建立一个数据库，其中包含愿意在公共事务和政治事务领域任职的妇女的姓名，为这类妇女举办培训和增加信心讲习班，并鼓励年轻人积极参与国家政治事务。</w:t>
      </w:r>
    </w:p>
    <w:p w:rsidR="004B5214" w:rsidRDefault="004B5214">
      <w:pPr>
        <w:spacing w:after="180" w:line="330" w:lineRule="exact"/>
        <w:rPr>
          <w:rFonts w:hint="eastAsia"/>
        </w:rPr>
      </w:pPr>
      <w:r>
        <w:rPr>
          <w:rFonts w:hint="eastAsia"/>
        </w:rPr>
        <w:t>47</w:t>
      </w:r>
      <w:r>
        <w:rPr>
          <w:rFonts w:hint="eastAsia"/>
        </w:rPr>
        <w:t>．罗姆妇女是因性别和种族受到双重歧视的受害者。为消除这种状况，政府组建了一个罗姆人问题部间委员会，成员由各部代表组成，大多数人是妇女。不过，在这方面要做的工作仍很多。</w:t>
      </w:r>
    </w:p>
    <w:p w:rsidR="004B5214" w:rsidRDefault="004B5214">
      <w:pPr>
        <w:spacing w:after="180" w:line="320" w:lineRule="exact"/>
        <w:rPr>
          <w:rFonts w:ascii="KaiTi_GB2312" w:eastAsia="KaiTi_GB2312" w:hint="eastAsia"/>
          <w:color w:val="0000FF"/>
        </w:rPr>
      </w:pPr>
      <w:r>
        <w:rPr>
          <w:rFonts w:ascii="KaiTi_GB2312" w:eastAsia="KaiTi_GB2312" w:hint="eastAsia"/>
          <w:color w:val="0000FF"/>
        </w:rPr>
        <w:t>下午1时散会</w:t>
      </w:r>
    </w:p>
    <w:p w:rsidR="004B5214" w:rsidRDefault="004B5214">
      <w:pPr>
        <w:sectPr w:rsidR="004B5214">
          <w:type w:val="continuous"/>
          <w:pgSz w:w="12242" w:h="15842" w:code="54"/>
          <w:pgMar w:top="1741" w:right="1196" w:bottom="1899" w:left="1196" w:header="578" w:footer="1032" w:gutter="0"/>
          <w:cols w:num="2" w:space="425"/>
          <w:titlePg/>
        </w:sectPr>
      </w:pPr>
    </w:p>
    <w:p w:rsidR="004B5214" w:rsidRDefault="004B5214">
      <w:pPr>
        <w:rPr>
          <w:rFonts w:hint="eastAsia"/>
        </w:rPr>
      </w:pPr>
    </w:p>
    <w:sectPr w:rsidR="004B5214">
      <w:type w:val="continuous"/>
      <w:pgSz w:w="12242" w:h="15842" w:code="54"/>
      <w:pgMar w:top="1741" w:right="1196" w:bottom="1899" w:left="1196" w:header="578" w:footer="1032" w:gutter="0"/>
      <w:pgNumType w:start="1"/>
      <w:cols w:space="425"/>
      <w:titlePg/>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4B5214" w:rsidRDefault="004B5214">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NO&gt;&gt;N0252949C&lt;&lt;ODS JOB NO&gt;&gt;</w:t>
      </w:r>
    </w:p>
    <w:p w:rsidR="004B5214" w:rsidRDefault="004B5214">
      <w:pPr>
        <w:pStyle w:val="CommentText"/>
      </w:pPr>
      <w:r>
        <w:t>&lt;&lt;ODS DOC SYMBOL1&gt;&gt;CEDAW/C/SR.586&lt;&lt;ODS DOC SYMBOL1&gt;&gt;</w:t>
      </w:r>
    </w:p>
    <w:p w:rsidR="004B5214" w:rsidRDefault="004B5214">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622FF4">
      <w:pPr>
        <w:spacing w:line="240" w:lineRule="auto"/>
      </w:pPr>
      <w:r>
        <w:separator/>
      </w:r>
    </w:p>
  </w:endnote>
  <w:endnote w:type="continuationSeparator" w:id="0">
    <w:p w:rsidR="00000000" w:rsidRDefault="00622FF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仿宋体">
    <w:altName w:val="黑体"/>
    <w:charset w:val="86"/>
    <w:family w:val="roman"/>
    <w:pitch w:val="variable"/>
    <w:sig w:usb0="00000001" w:usb1="080E0000" w:usb2="00000010" w:usb3="00000000" w:csb0="00040000" w:csb1="00000000"/>
  </w:font>
  <w:font w:name="STKaiti">
    <w:altName w:val="华文楷体"/>
    <w:charset w:val="86"/>
    <w:family w:val="auto"/>
    <w:pitch w:val="variable"/>
    <w:sig w:usb0="00000287" w:usb1="080F0000" w:usb2="00000010" w:usb3="00000000" w:csb0="0004009F" w:csb1="00000000"/>
  </w:font>
  <w:font w:name="KaiTi_GB2312">
    <w:altName w:val="Arial Unicode MS"/>
    <w:panose1 w:val="02010609060101010101"/>
    <w:charset w:val="86"/>
    <w:family w:val="modern"/>
    <w:pitch w:val="fixed"/>
    <w:sig w:usb0="00000001" w:usb1="080E0000" w:usb2="00000010" w:usb3="00000000" w:csb0="00040000" w:csb1="00000000"/>
  </w:font>
  <w:font w:name="Book Antiqua">
    <w:panose1 w:val="02040602050305030304"/>
    <w:charset w:val="00"/>
    <w:family w:val="roman"/>
    <w:pitch w:val="variable"/>
    <w:sig w:usb0="00000287" w:usb1="00000000" w:usb2="00000000" w:usb3="00000000" w:csb0="0000009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5214" w:rsidRDefault="004B5214">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4B5214" w:rsidRDefault="004B5214">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5214" w:rsidRDefault="004B5214">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rsidR="004B5214" w:rsidRDefault="004B5214">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5214" w:rsidRDefault="004B5214">
    <w:pPr>
      <w:pStyle w:val="Footer"/>
    </w:pPr>
  </w:p>
  <w:p w:rsidR="004B5214" w:rsidRDefault="004B5214">
    <w:pPr>
      <w:pStyle w:val="Footer"/>
      <w:pBdr>
        <w:top w:val="single" w:sz="2" w:space="0" w:color="000000"/>
      </w:pBdr>
      <w:rPr>
        <w:sz w:val="2"/>
      </w:rPr>
    </w:pPr>
  </w:p>
  <w:p w:rsidR="004B5214" w:rsidRDefault="004B5214">
    <w:pPr>
      <w:spacing w:before="60" w:after="120" w:line="240" w:lineRule="auto"/>
      <w:ind w:left="1264" w:right="1264"/>
      <w:rPr>
        <w:rFonts w:hint="eastAsia"/>
        <w:sz w:val="18"/>
      </w:rPr>
    </w:pPr>
    <w:r>
      <w:rPr>
        <w:rFonts w:hint="eastAsia"/>
        <w:sz w:val="18"/>
      </w:rPr>
      <w:t>本记录可以更正。</w:t>
    </w:r>
  </w:p>
  <w:p w:rsidR="004B5214" w:rsidRDefault="004B5214">
    <w:pPr>
      <w:spacing w:before="60" w:after="120" w:line="240" w:lineRule="auto"/>
      <w:ind w:left="1264" w:right="1264"/>
      <w:rPr>
        <w:rFonts w:hint="eastAsia"/>
        <w:sz w:val="18"/>
      </w:rPr>
    </w:pPr>
    <w:r>
      <w:rPr>
        <w:rFonts w:hint="eastAsia"/>
        <w:sz w:val="18"/>
      </w:rPr>
      <w:t>对本记录的各项更正应以一种工作语文提出。各项更正应在一份备忘录内列明，并填写在一份印发的记录上。各项更正应在</w:t>
    </w:r>
    <w:r>
      <w:rPr>
        <w:rFonts w:eastAsia="KaiTi_GB2312" w:hint="eastAsia"/>
        <w:color w:val="0000FF"/>
        <w:sz w:val="18"/>
      </w:rPr>
      <w:t>本文件印发日期后一个星期内</w:t>
    </w:r>
    <w:r>
      <w:rPr>
        <w:rFonts w:hint="eastAsia"/>
        <w:sz w:val="18"/>
      </w:rPr>
      <w:t>送交正式记录编辑科科长（联合国广场</w:t>
    </w:r>
    <w:r>
      <w:rPr>
        <w:rFonts w:hint="eastAsia"/>
        <w:sz w:val="18"/>
      </w:rPr>
      <w:t>2</w:t>
    </w:r>
    <w:r>
      <w:rPr>
        <w:rFonts w:hint="eastAsia"/>
        <w:sz w:val="18"/>
      </w:rPr>
      <w:t>号</w:t>
    </w:r>
    <w:r>
      <w:rPr>
        <w:rFonts w:hint="eastAsia"/>
        <w:sz w:val="18"/>
      </w:rPr>
      <w:t>DC2-750</w:t>
    </w:r>
    <w:r>
      <w:rPr>
        <w:rFonts w:hint="eastAsia"/>
        <w:sz w:val="18"/>
      </w:rPr>
      <w:t>室）。</w:t>
    </w:r>
  </w:p>
  <w:p w:rsidR="004B5214" w:rsidRDefault="004B5214">
    <w:pPr>
      <w:spacing w:before="60" w:after="120" w:line="240" w:lineRule="auto"/>
      <w:ind w:left="1264" w:right="1264"/>
      <w:rPr>
        <w:rFonts w:hint="eastAsia"/>
      </w:rPr>
    </w:pPr>
    <w:r>
      <w:rPr>
        <w:rFonts w:hint="eastAsia"/>
        <w:sz w:val="18"/>
      </w:rPr>
      <w:t>对本届会议各次会议记录的任何更正将并入一份更正汇编，于本届会议结束后不久印发。</w:t>
    </w:r>
  </w:p>
  <w:p w:rsidR="004B5214" w:rsidRDefault="004B5214">
    <w:pPr>
      <w:pStyle w:val="FootnoteText"/>
      <w:rPr>
        <w:rFonts w:hint="eastAsia"/>
        <w:sz w:val="21"/>
      </w:rPr>
    </w:pPr>
    <w:r>
      <w:rPr>
        <w:rFonts w:hint="eastAsia"/>
        <w:sz w:val="21"/>
      </w:rPr>
      <w:t>0</w:t>
    </w:r>
    <w:r>
      <w:rPr>
        <w:sz w:val="21"/>
      </w:rPr>
      <w:t>2</w:t>
    </w:r>
    <w:r>
      <w:rPr>
        <w:rFonts w:hint="eastAsia"/>
        <w:sz w:val="21"/>
      </w:rPr>
      <w:t>-</w:t>
    </w:r>
    <w:r>
      <w:rPr>
        <w:sz w:val="21"/>
      </w:rPr>
      <w:t>52949(C)</w:t>
    </w:r>
  </w:p>
  <w:p w:rsidR="004B5214" w:rsidRDefault="004B5214">
    <w:pPr>
      <w:pStyle w:val="FootnoteText"/>
      <w:spacing w:afterLines="50" w:after="120"/>
      <w:rPr>
        <w:rFonts w:ascii="Barcode 3 of 9 by request" w:hAnsi="Barcode 3 of 9 by request" w:hint="eastAsia"/>
        <w:b/>
        <w:bCs/>
        <w:sz w:val="21"/>
      </w:rPr>
    </w:pPr>
    <w:r>
      <w:rPr>
        <w:rFonts w:ascii="Barcode 3 of 9 by request" w:hAnsi="Barcode 3 of 9 by request" w:hint="eastAsia"/>
        <w:b/>
        <w:bCs/>
        <w:sz w:val="21"/>
      </w:rPr>
      <w:t>*0</w:t>
    </w:r>
    <w:r>
      <w:rPr>
        <w:rFonts w:ascii="Barcode 3 of 9 by request" w:hAnsi="Barcode 3 of 9 by request"/>
        <w:b/>
        <w:bCs/>
        <w:sz w:val="21"/>
      </w:rPr>
      <w:t>252949</w:t>
    </w:r>
    <w:r>
      <w:rPr>
        <w:rFonts w:ascii="Barcode 3 of 9 by request" w:hAnsi="Barcode 3 of 9 by request" w:hint="eastAsia"/>
        <w:b/>
        <w:bCs/>
        <w:sz w:val="21"/>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622FF4">
      <w:pPr>
        <w:spacing w:line="240" w:lineRule="auto"/>
      </w:pPr>
      <w:r>
        <w:separator/>
      </w:r>
    </w:p>
  </w:footnote>
  <w:footnote w:type="continuationSeparator" w:id="0">
    <w:p w:rsidR="00000000" w:rsidRDefault="00622FF4">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5214" w:rsidRDefault="004B5214">
    <w:pPr>
      <w:pStyle w:val="Header"/>
      <w:pBdr>
        <w:bottom w:val="none" w:sz="0" w:space="0" w:color="auto"/>
      </w:pBdr>
      <w:spacing w:line="60" w:lineRule="exact"/>
      <w:jc w:val="both"/>
    </w:pPr>
    <w:r>
      <w:rPr>
        <w:noProof/>
        <w:sz w:val="20"/>
      </w:rPr>
      <w:pict>
        <v:shapetype id="_x0000_t202" coordsize="21600,21600" o:spt="202" path="m,l,21600r21600,l21600,xe">
          <v:stroke joinstyle="miter"/>
          <v:path gradientshapeok="t" o:connecttype="rect"/>
        </v:shapetype>
        <v:shape id="_x0000_s2051" type="#_x0000_t202" style="position:absolute;left:0;text-align:left;margin-left:-5.8pt;margin-top:-.1pt;width:7in;height:50.4pt;z-index:1;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4B5214">
                  <w:tblPrEx>
                    <w:tblCellMar>
                      <w:top w:w="0" w:type="dxa"/>
                      <w:bottom w:w="0" w:type="dxa"/>
                    </w:tblCellMar>
                  </w:tblPrEx>
                  <w:trPr>
                    <w:trHeight w:hRule="exact" w:val="864"/>
                  </w:trPr>
                  <w:tc>
                    <w:tcPr>
                      <w:tcW w:w="4838" w:type="dxa"/>
                      <w:vAlign w:val="bottom"/>
                    </w:tcPr>
                    <w:p w:rsidR="004B5214" w:rsidRDefault="004B5214">
                      <w:pPr>
                        <w:pStyle w:val="Header"/>
                        <w:pBdr>
                          <w:bottom w:val="none" w:sz="0" w:space="0" w:color="auto"/>
                        </w:pBdr>
                        <w:spacing w:after="80"/>
                        <w:jc w:val="both"/>
                        <w:rPr>
                          <w:b/>
                        </w:rPr>
                      </w:pPr>
                      <w:r>
                        <w:rPr>
                          <w:b/>
                        </w:rPr>
                        <w:t>CEDAW/C/SR.586</w:t>
                      </w:r>
                    </w:p>
                  </w:tc>
                  <w:tc>
                    <w:tcPr>
                      <w:tcW w:w="5048" w:type="dxa"/>
                      <w:tcBorders>
                        <w:bottom w:val="single" w:sz="4" w:space="0" w:color="auto"/>
                      </w:tcBorders>
                      <w:vAlign w:val="bottom"/>
                    </w:tcPr>
                    <w:p w:rsidR="004B5214" w:rsidRDefault="004B5214">
                      <w:pPr>
                        <w:pStyle w:val="Header"/>
                        <w:pBdr>
                          <w:bottom w:val="none" w:sz="0" w:space="0" w:color="auto"/>
                        </w:pBdr>
                      </w:pPr>
                    </w:p>
                  </w:tc>
                </w:tr>
              </w:tbl>
              <w:p w:rsidR="004B5214" w:rsidRDefault="004B5214"/>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5214" w:rsidRDefault="004B5214">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52" type="#_x0000_t202" style="position:absolute;left:0;text-align:left;margin-left:-6pt;margin-top:.95pt;width:7in;height:50.4pt;z-index:2;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4B5214">
                  <w:tblPrEx>
                    <w:tblCellMar>
                      <w:top w:w="0" w:type="dxa"/>
                      <w:bottom w:w="0" w:type="dxa"/>
                    </w:tblCellMar>
                  </w:tblPrEx>
                  <w:trPr>
                    <w:trHeight w:hRule="exact" w:val="864"/>
                  </w:trPr>
                  <w:tc>
                    <w:tcPr>
                      <w:tcW w:w="4838" w:type="dxa"/>
                      <w:tcBorders>
                        <w:bottom w:val="single" w:sz="4" w:space="0" w:color="auto"/>
                      </w:tcBorders>
                      <w:vAlign w:val="bottom"/>
                    </w:tcPr>
                    <w:p w:rsidR="004B5214" w:rsidRDefault="004B5214">
                      <w:pPr>
                        <w:pStyle w:val="Header"/>
                        <w:pBdr>
                          <w:bottom w:val="none" w:sz="0" w:space="0" w:color="auto"/>
                        </w:pBdr>
                      </w:pPr>
                    </w:p>
                  </w:tc>
                  <w:tc>
                    <w:tcPr>
                      <w:tcW w:w="5048" w:type="dxa"/>
                      <w:vAlign w:val="bottom"/>
                    </w:tcPr>
                    <w:p w:rsidR="004B5214" w:rsidRDefault="004B5214">
                      <w:pPr>
                        <w:pStyle w:val="Header"/>
                        <w:pBdr>
                          <w:bottom w:val="none" w:sz="0" w:space="0" w:color="auto"/>
                        </w:pBdr>
                        <w:spacing w:after="80"/>
                        <w:jc w:val="right"/>
                        <w:rPr>
                          <w:b/>
                        </w:rPr>
                      </w:pPr>
                      <w:r>
                        <w:rPr>
                          <w:b/>
                        </w:rPr>
                        <w:t>CEDAW/C/SR.586</w:t>
                      </w:r>
                    </w:p>
                  </w:tc>
                </w:tr>
              </w:tbl>
              <w:p w:rsidR="004B5214" w:rsidRDefault="004B5214"/>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4B5214">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4B5214" w:rsidRDefault="004B5214">
          <w:pPr>
            <w:pStyle w:val="Header"/>
            <w:pBdr>
              <w:bottom w:val="none" w:sz="0" w:space="0" w:color="auto"/>
            </w:pBdr>
            <w:spacing w:after="120"/>
          </w:pPr>
        </w:p>
      </w:tc>
      <w:tc>
        <w:tcPr>
          <w:tcW w:w="1872" w:type="dxa"/>
          <w:tcBorders>
            <w:top w:val="nil"/>
            <w:left w:val="nil"/>
            <w:bottom w:val="single" w:sz="4" w:space="0" w:color="auto"/>
            <w:right w:val="nil"/>
          </w:tcBorders>
          <w:vAlign w:val="bottom"/>
        </w:tcPr>
        <w:p w:rsidR="004B5214" w:rsidRDefault="004B5214">
          <w:pPr>
            <w:pStyle w:val="HCh"/>
            <w:spacing w:after="80"/>
            <w:rPr>
              <w:rFonts w:eastAsia="SimSun"/>
              <w:color w:val="auto"/>
              <w:spacing w:val="40"/>
              <w:w w:val="96"/>
              <w:sz w:val="30"/>
            </w:rPr>
          </w:pPr>
          <w:r>
            <w:rPr>
              <w:rFonts w:eastAsia="SimSun" w:hint="eastAsia"/>
              <w:color w:val="auto"/>
              <w:spacing w:val="40"/>
              <w:w w:val="96"/>
              <w:sz w:val="30"/>
            </w:rPr>
            <w:t>联合国</w:t>
          </w:r>
        </w:p>
      </w:tc>
      <w:tc>
        <w:tcPr>
          <w:tcW w:w="245" w:type="dxa"/>
          <w:tcBorders>
            <w:top w:val="nil"/>
            <w:left w:val="nil"/>
            <w:bottom w:val="single" w:sz="4" w:space="0" w:color="auto"/>
            <w:right w:val="nil"/>
          </w:tcBorders>
          <w:vAlign w:val="bottom"/>
        </w:tcPr>
        <w:p w:rsidR="004B5214" w:rsidRDefault="004B5214">
          <w:pPr>
            <w:pStyle w:val="Header"/>
            <w:pBdr>
              <w:bottom w:val="none" w:sz="0" w:space="0" w:color="auto"/>
            </w:pBdr>
            <w:spacing w:after="120"/>
          </w:pPr>
        </w:p>
      </w:tc>
      <w:tc>
        <w:tcPr>
          <w:tcW w:w="6523" w:type="dxa"/>
          <w:gridSpan w:val="3"/>
          <w:tcBorders>
            <w:top w:val="nil"/>
            <w:left w:val="nil"/>
            <w:bottom w:val="single" w:sz="4" w:space="0" w:color="auto"/>
            <w:right w:val="nil"/>
          </w:tcBorders>
          <w:vAlign w:val="bottom"/>
        </w:tcPr>
        <w:p w:rsidR="004B5214" w:rsidRDefault="004B5214">
          <w:pPr>
            <w:spacing w:line="240" w:lineRule="auto"/>
            <w:jc w:val="right"/>
            <w:rPr>
              <w:position w:val="-4"/>
              <w:sz w:val="20"/>
            </w:rPr>
          </w:pPr>
          <w:r>
            <w:rPr>
              <w:position w:val="-4"/>
              <w:sz w:val="36"/>
            </w:rPr>
            <w:t>CEDAW</w:t>
          </w:r>
          <w:r>
            <w:rPr>
              <w:position w:val="-4"/>
            </w:rPr>
            <w:t>/C/SR.586</w:t>
          </w:r>
        </w:p>
      </w:tc>
    </w:tr>
    <w:tr w:rsidR="004B5214">
      <w:tblPrEx>
        <w:tblCellMar>
          <w:top w:w="0" w:type="dxa"/>
          <w:bottom w:w="0" w:type="dxa"/>
        </w:tblCellMar>
      </w:tblPrEx>
      <w:trPr>
        <w:trHeight w:hRule="exact" w:val="2880"/>
      </w:trPr>
      <w:tc>
        <w:tcPr>
          <w:tcW w:w="1267" w:type="dxa"/>
          <w:tcBorders>
            <w:left w:val="nil"/>
            <w:bottom w:val="single" w:sz="12" w:space="0" w:color="auto"/>
            <w:right w:val="nil"/>
          </w:tcBorders>
        </w:tcPr>
        <w:p w:rsidR="004B5214" w:rsidRDefault="004B5214">
          <w:pPr>
            <w:pStyle w:val="Header"/>
            <w:pBdr>
              <w:bottom w:val="none" w:sz="0" w:space="0" w:color="auto"/>
            </w:pBd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4B5214" w:rsidRDefault="004B5214">
          <w:pPr>
            <w:pStyle w:val="Header"/>
            <w:pBdr>
              <w:bottom w:val="none" w:sz="0" w:space="0" w:color="auto"/>
            </w:pBdr>
            <w:spacing w:before="109"/>
            <w:ind w:left="-72"/>
          </w:pPr>
        </w:p>
      </w:tc>
      <w:tc>
        <w:tcPr>
          <w:tcW w:w="5227" w:type="dxa"/>
          <w:gridSpan w:val="3"/>
          <w:tcBorders>
            <w:left w:val="nil"/>
            <w:bottom w:val="single" w:sz="12" w:space="0" w:color="auto"/>
            <w:right w:val="nil"/>
          </w:tcBorders>
        </w:tcPr>
        <w:p w:rsidR="004B5214" w:rsidRDefault="004B5214">
          <w:pPr>
            <w:pStyle w:val="XLarge"/>
            <w:spacing w:before="109" w:after="140" w:line="520" w:lineRule="exact"/>
          </w:pPr>
          <w:r>
            <w:rPr>
              <w:rFonts w:hint="eastAsia"/>
            </w:rPr>
            <w:t>消除对妇女一切形式</w:t>
          </w:r>
          <w:r>
            <w:br/>
          </w:r>
          <w:r>
            <w:rPr>
              <w:rFonts w:hint="eastAsia"/>
            </w:rPr>
            <w:t>歧视公约</w:t>
          </w:r>
        </w:p>
      </w:tc>
      <w:tc>
        <w:tcPr>
          <w:tcW w:w="245" w:type="dxa"/>
          <w:tcBorders>
            <w:left w:val="nil"/>
            <w:bottom w:val="single" w:sz="12" w:space="0" w:color="auto"/>
            <w:right w:val="nil"/>
          </w:tcBorders>
        </w:tcPr>
        <w:p w:rsidR="004B5214" w:rsidRDefault="004B5214">
          <w:pPr>
            <w:pStyle w:val="Header"/>
            <w:pBdr>
              <w:bottom w:val="none" w:sz="0" w:space="0" w:color="auto"/>
            </w:pBdr>
            <w:spacing w:before="109"/>
          </w:pPr>
        </w:p>
      </w:tc>
      <w:tc>
        <w:tcPr>
          <w:tcW w:w="3180" w:type="dxa"/>
          <w:gridSpan w:val="2"/>
          <w:tcBorders>
            <w:left w:val="nil"/>
            <w:bottom w:val="single" w:sz="12" w:space="0" w:color="auto"/>
            <w:right w:val="nil"/>
          </w:tcBorders>
        </w:tcPr>
        <w:p w:rsidR="004B5214" w:rsidRDefault="004B5214">
          <w:pPr>
            <w:spacing w:before="240" w:line="240" w:lineRule="exact"/>
          </w:pPr>
          <w:r>
            <w:t>Distr.: General</w:t>
          </w:r>
        </w:p>
        <w:p w:rsidR="004B5214" w:rsidRDefault="004B5214">
          <w:pPr>
            <w:spacing w:line="240" w:lineRule="exact"/>
          </w:pPr>
          <w:r>
            <w:t>13 May 2004</w:t>
          </w:r>
        </w:p>
        <w:p w:rsidR="004B5214" w:rsidRDefault="004B5214">
          <w:pPr>
            <w:spacing w:line="240" w:lineRule="exact"/>
          </w:pPr>
        </w:p>
        <w:p w:rsidR="004B5214" w:rsidRDefault="004B5214">
          <w:pPr>
            <w:spacing w:line="240" w:lineRule="exact"/>
          </w:pPr>
          <w:r>
            <w:t>Chinese</w:t>
          </w:r>
        </w:p>
        <w:p w:rsidR="004B5214" w:rsidRDefault="004B5214">
          <w:pPr>
            <w:spacing w:line="240" w:lineRule="exact"/>
          </w:pPr>
          <w:r>
            <w:t>Original: English</w:t>
          </w:r>
        </w:p>
      </w:tc>
    </w:tr>
  </w:tbl>
  <w:p w:rsidR="004B5214" w:rsidRDefault="004B5214">
    <w:pPr>
      <w:pStyle w:val="Header"/>
      <w:pBdr>
        <w:bottom w:val="none" w:sz="0" w:space="0" w:color="auto"/>
      </w:pBdr>
      <w:spacing w:line="60" w:lineRule="exact"/>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E1F72E8"/>
    <w:multiLevelType w:val="singleLevel"/>
    <w:tmpl w:val="E15AEEFA"/>
    <w:lvl w:ilvl="0">
      <w:start w:val="2"/>
      <w:numFmt w:val="upperLetter"/>
      <w:pStyle w:val="Title"/>
      <w:lvlText w:val="%1."/>
      <w:lvlJc w:val="left"/>
      <w:pPr>
        <w:tabs>
          <w:tab w:val="num" w:pos="420"/>
        </w:tabs>
        <w:ind w:left="420" w:hanging="420"/>
      </w:pPr>
      <w:rPr>
        <w:rFonts w:hint="default"/>
      </w:rPr>
    </w:lvl>
  </w:abstractNum>
  <w:abstractNum w:abstractNumId="1">
    <w:nsid w:val="48122572"/>
    <w:multiLevelType w:val="hybridMultilevel"/>
    <w:tmpl w:val="152CBD40"/>
    <w:lvl w:ilvl="0" w:tplc="C2A2522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4F9F54A7"/>
    <w:multiLevelType w:val="singleLevel"/>
    <w:tmpl w:val="CA0235C4"/>
    <w:lvl w:ilvl="0">
      <w:start w:val="1"/>
      <w:numFmt w:val="upperLetter"/>
      <w:pStyle w:val="Heading1"/>
      <w:lvlText w:val="%1．"/>
      <w:lvlJc w:val="left"/>
      <w:pPr>
        <w:tabs>
          <w:tab w:val="num" w:pos="345"/>
        </w:tabs>
        <w:ind w:left="345" w:hanging="345"/>
      </w:pPr>
      <w:rPr>
        <w:rFonts w:hint="eastAsia"/>
      </w:rPr>
    </w:lvl>
  </w:abstractNum>
  <w:abstractNum w:abstractNumId="3">
    <w:nsid w:val="6E0D27F8"/>
    <w:multiLevelType w:val="singleLevel"/>
    <w:tmpl w:val="B73283FE"/>
    <w:lvl w:ilvl="0">
      <w:start w:val="1"/>
      <w:numFmt w:val="upperLetter"/>
      <w:pStyle w:val="Heading4"/>
      <w:lvlText w:val="%1．"/>
      <w:lvlJc w:val="left"/>
      <w:pPr>
        <w:tabs>
          <w:tab w:val="num" w:pos="360"/>
        </w:tabs>
        <w:ind w:left="360" w:hanging="360"/>
      </w:pPr>
      <w:rPr>
        <w:rFonts w:hint="eastAsia"/>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210"/>
  <w:doNotHyphenateCaps/>
  <w:evenAndOddHeaders/>
  <w:drawingGridHorizontalSpacing w:val="120"/>
  <w:drawingGridVerticalSpacing w:val="104"/>
  <w:displayHorizontalDrawingGridEvery w:val="0"/>
  <w:displayVerticalDrawingGridEvery w:val="3"/>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B5214"/>
    <w:rsid w:val="004B5214"/>
    <w:rsid w:val="00622FF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djustRightInd w:val="0"/>
      <w:spacing w:line="312" w:lineRule="atLeast"/>
      <w:jc w:val="both"/>
      <w:textAlignment w:val="baseline"/>
    </w:pPr>
    <w:rPr>
      <w:sz w:val="21"/>
      <w:lang w:val="en-US" w:eastAsia="zh-CN"/>
    </w:rPr>
  </w:style>
  <w:style w:type="paragraph" w:styleId="Heading1">
    <w:name w:val="heading 1"/>
    <w:basedOn w:val="Normal"/>
    <w:next w:val="Normal"/>
    <w:qFormat/>
    <w:pPr>
      <w:keepNext/>
      <w:numPr>
        <w:numId w:val="1"/>
      </w:numPr>
      <w:adjustRightInd/>
      <w:spacing w:beforeLines="50" w:before="50" w:after="240" w:line="400" w:lineRule="exact"/>
      <w:ind w:left="0" w:firstLine="0"/>
      <w:textAlignment w:val="auto"/>
      <w:outlineLvl w:val="0"/>
    </w:pPr>
    <w:rPr>
      <w:rFonts w:eastAsia="SimHei"/>
      <w:kern w:val="2"/>
      <w:sz w:val="28"/>
    </w:rPr>
  </w:style>
  <w:style w:type="paragraph" w:styleId="Heading2">
    <w:name w:val="heading 2"/>
    <w:basedOn w:val="Normal"/>
    <w:next w:val="NormalIndent"/>
    <w:qFormat/>
    <w:pPr>
      <w:keepNext/>
      <w:keepLines/>
      <w:adjustRightInd/>
      <w:spacing w:before="260" w:after="260" w:line="416" w:lineRule="auto"/>
      <w:textAlignment w:val="auto"/>
      <w:outlineLvl w:val="1"/>
    </w:pPr>
    <w:rPr>
      <w:rFonts w:ascii="Arial" w:eastAsia="SimHei" w:hAnsi="Arial"/>
      <w:b/>
      <w:kern w:val="2"/>
      <w:sz w:val="32"/>
    </w:rPr>
  </w:style>
  <w:style w:type="paragraph" w:styleId="Heading3">
    <w:name w:val="heading 3"/>
    <w:basedOn w:val="Normal"/>
    <w:next w:val="NormalIndent"/>
    <w:qFormat/>
    <w:pPr>
      <w:keepNext/>
      <w:numPr>
        <w:numId w:val="2"/>
      </w:numPr>
      <w:spacing w:before="240" w:after="240" w:line="360" w:lineRule="exact"/>
      <w:ind w:left="357" w:hanging="357"/>
      <w:outlineLvl w:val="2"/>
    </w:pPr>
    <w:rPr>
      <w:rFonts w:ascii="SimHei" w:eastAsia="SimHei"/>
      <w:sz w:val="24"/>
      <w:u w:val="single"/>
    </w:rPr>
  </w:style>
  <w:style w:type="paragraph" w:styleId="Heading4">
    <w:name w:val="heading 4"/>
    <w:basedOn w:val="Normal"/>
    <w:next w:val="NormalIndent"/>
    <w:qFormat/>
    <w:pPr>
      <w:keepNext/>
      <w:numPr>
        <w:numId w:val="2"/>
      </w:numPr>
      <w:spacing w:after="240" w:line="360" w:lineRule="exact"/>
      <w:outlineLvl w:val="3"/>
    </w:pPr>
    <w:rPr>
      <w:rFonts w:ascii="SimHei" w:eastAsia="SimHei"/>
      <w:sz w:val="24"/>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styleId="NormalIndent">
    <w:name w:val="Normal Indent"/>
    <w:basedOn w:val="Normal"/>
    <w:pPr>
      <w:spacing w:line="240" w:lineRule="auto"/>
      <w:ind w:firstLine="420"/>
    </w:pPr>
    <w:rPr>
      <w:kern w:val="2"/>
    </w:rPr>
  </w:style>
  <w:style w:type="paragraph" w:customStyle="1" w:styleId="2">
    <w:name w:val="页眉2"/>
    <w:basedOn w:val="Normal"/>
    <w:pPr>
      <w:framePr w:w="6747" w:h="284" w:hRule="exact" w:hSpace="181" w:vSpace="181" w:wrap="notBeside" w:vAnchor="page" w:hAnchor="page" w:x="4310" w:y="1163" w:anchorLock="1"/>
      <w:widowControl/>
      <w:tabs>
        <w:tab w:val="left" w:pos="425"/>
      </w:tabs>
      <w:spacing w:line="300" w:lineRule="exact"/>
      <w:jc w:val="right"/>
    </w:pPr>
    <w:rPr>
      <w:color w:val="000000"/>
      <w:kern w:val="19"/>
      <w:sz w:val="19"/>
    </w:rPr>
  </w:style>
  <w:style w:type="paragraph" w:customStyle="1" w:styleId="3">
    <w:name w:val="页眉3"/>
    <w:basedOn w:val="Normal"/>
    <w:pPr>
      <w:framePr w:w="9837" w:h="85" w:hRule="exact" w:hSpace="181" w:vSpace="181" w:wrap="notBeside" w:vAnchor="page" w:hAnchor="margin" w:y="1617" w:anchorLock="1"/>
      <w:widowControl/>
      <w:pBdr>
        <w:top w:val="single" w:sz="6" w:space="1" w:color="auto"/>
      </w:pBdr>
      <w:tabs>
        <w:tab w:val="left" w:pos="425"/>
      </w:tabs>
      <w:spacing w:after="140" w:line="280" w:lineRule="exact"/>
    </w:pPr>
    <w:rPr>
      <w:color w:val="000000"/>
      <w:kern w:val="20"/>
      <w:sz w:val="20"/>
    </w:rPr>
  </w:style>
  <w:style w:type="paragraph" w:customStyle="1" w:styleId="4">
    <w:name w:val="页眉4"/>
    <w:basedOn w:val="Normal"/>
    <w:next w:val="Normal"/>
    <w:pPr>
      <w:framePr w:w="3402" w:h="2268" w:hRule="exact" w:hSpace="181" w:vSpace="181" w:wrap="notBeside" w:vAnchor="page" w:hAnchor="page" w:x="2484" w:y="1883" w:anchorLock="1"/>
      <w:widowControl/>
      <w:tabs>
        <w:tab w:val="left" w:pos="425"/>
      </w:tabs>
      <w:spacing w:after="60" w:line="340" w:lineRule="exact"/>
      <w:jc w:val="left"/>
    </w:pPr>
    <w:rPr>
      <w:rFonts w:eastAsia="SimHei"/>
      <w:b/>
      <w:color w:val="000000"/>
      <w:spacing w:val="140"/>
      <w:kern w:val="34"/>
      <w:sz w:val="34"/>
    </w:rPr>
  </w:style>
  <w:style w:type="paragraph" w:customStyle="1" w:styleId="5">
    <w:name w:val="页眉5"/>
    <w:basedOn w:val="Header"/>
    <w:pPr>
      <w:framePr w:w="3119" w:h="1985" w:hRule="exact" w:hSpace="181" w:vSpace="181" w:wrap="notBeside" w:vAnchor="page" w:hAnchor="page" w:x="7882" w:y="1883" w:anchorLock="1"/>
      <w:pBdr>
        <w:bottom w:val="none" w:sz="0" w:space="0" w:color="auto"/>
      </w:pBdr>
      <w:tabs>
        <w:tab w:val="clear" w:pos="4320"/>
        <w:tab w:val="clear" w:pos="8640"/>
      </w:tabs>
      <w:spacing w:after="60" w:line="180" w:lineRule="exact"/>
      <w:jc w:val="left"/>
    </w:pPr>
    <w:rPr>
      <w:color w:val="000000"/>
      <w:kern w:val="18"/>
    </w:rPr>
  </w:style>
  <w:style w:type="paragraph" w:styleId="Header">
    <w:name w:val="header"/>
    <w:basedOn w:val="Normal"/>
    <w:pPr>
      <w:pBdr>
        <w:bottom w:val="single" w:sz="6" w:space="1" w:color="auto"/>
      </w:pBdr>
      <w:tabs>
        <w:tab w:val="center" w:pos="4320"/>
        <w:tab w:val="right" w:pos="8640"/>
      </w:tabs>
      <w:spacing w:line="240" w:lineRule="atLeast"/>
      <w:jc w:val="center"/>
    </w:pPr>
    <w:rPr>
      <w:sz w:val="18"/>
    </w:rPr>
  </w:style>
  <w:style w:type="paragraph" w:customStyle="1" w:styleId="6">
    <w:name w:val="页眉6"/>
    <w:basedOn w:val="3"/>
    <w:pPr>
      <w:framePr w:wrap="notBeside" w:y="4452"/>
    </w:pPr>
  </w:style>
  <w:style w:type="paragraph" w:styleId="Footer">
    <w:name w:val="footer"/>
    <w:basedOn w:val="Normal"/>
    <w:pPr>
      <w:tabs>
        <w:tab w:val="center" w:pos="4320"/>
        <w:tab w:val="right" w:pos="8640"/>
      </w:tabs>
      <w:spacing w:line="240" w:lineRule="atLeast"/>
      <w:jc w:val="left"/>
    </w:pPr>
    <w:rPr>
      <w:sz w:val="18"/>
    </w:rPr>
  </w:style>
  <w:style w:type="paragraph" w:styleId="FootnoteText">
    <w:name w:val="footnote text"/>
    <w:basedOn w:val="Normal"/>
    <w:semiHidden/>
    <w:pPr>
      <w:jc w:val="left"/>
    </w:pPr>
    <w:rPr>
      <w:rFonts w:eastAsia="仿宋体"/>
      <w:sz w:val="18"/>
    </w:rPr>
  </w:style>
  <w:style w:type="character" w:styleId="PageNumber">
    <w:name w:val="page number"/>
    <w:basedOn w:val="DefaultParagraphFont"/>
  </w:style>
  <w:style w:type="character" w:styleId="FootnoteReference">
    <w:name w:val="footnote reference"/>
    <w:semiHidden/>
    <w:rPr>
      <w:vertAlign w:val="superscript"/>
    </w:rPr>
  </w:style>
  <w:style w:type="paragraph" w:styleId="Date">
    <w:name w:val="Date"/>
    <w:basedOn w:val="Normal"/>
    <w:next w:val="Normal"/>
  </w:style>
  <w:style w:type="paragraph" w:styleId="BodyTextIndent">
    <w:name w:val="Body Text Indent"/>
    <w:basedOn w:val="Normal"/>
    <w:pPr>
      <w:spacing w:after="240" w:line="360" w:lineRule="exact"/>
      <w:ind w:firstLine="425"/>
    </w:pPr>
  </w:style>
  <w:style w:type="paragraph" w:styleId="PlainText">
    <w:name w:val="Plain Text"/>
    <w:basedOn w:val="Normal"/>
    <w:pPr>
      <w:spacing w:line="240" w:lineRule="auto"/>
    </w:pPr>
    <w:rPr>
      <w:rFonts w:ascii="SimSun"/>
    </w:rPr>
  </w:style>
  <w:style w:type="paragraph" w:styleId="Caption">
    <w:name w:val="caption"/>
    <w:basedOn w:val="Normal"/>
    <w:next w:val="Normal"/>
    <w:qFormat/>
    <w:pPr>
      <w:spacing w:before="152" w:after="160"/>
    </w:pPr>
    <w:rPr>
      <w:rFonts w:ascii="Arial" w:eastAsia="SimHei" w:hAnsi="Arial"/>
    </w:rPr>
  </w:style>
  <w:style w:type="paragraph" w:styleId="BodyText">
    <w:name w:val="Body Text"/>
    <w:basedOn w:val="Normal"/>
    <w:pPr>
      <w:spacing w:line="240" w:lineRule="auto"/>
    </w:pPr>
    <w:rPr>
      <w:rFonts w:ascii="SimSun"/>
      <w:kern w:val="2"/>
      <w:sz w:val="28"/>
    </w:rPr>
  </w:style>
  <w:style w:type="paragraph" w:styleId="BlockText">
    <w:name w:val="Block Text"/>
    <w:basedOn w:val="Normal"/>
    <w:pPr>
      <w:spacing w:after="240" w:line="440" w:lineRule="exact"/>
      <w:ind w:left="794" w:right="794" w:firstLine="425"/>
    </w:pPr>
  </w:style>
  <w:style w:type="paragraph" w:styleId="BodyTextIndent3">
    <w:name w:val="Body Text Indent 3"/>
    <w:basedOn w:val="Normal"/>
    <w:pPr>
      <w:tabs>
        <w:tab w:val="left" w:pos="2079"/>
      </w:tabs>
      <w:adjustRightInd/>
      <w:spacing w:line="240" w:lineRule="auto"/>
      <w:ind w:left="942"/>
      <w:textAlignment w:val="auto"/>
    </w:pPr>
    <w:rPr>
      <w:kern w:val="2"/>
    </w:rPr>
  </w:style>
  <w:style w:type="paragraph" w:styleId="BodyTextIndent2">
    <w:name w:val="Body Text Indent 2"/>
    <w:basedOn w:val="Normal"/>
    <w:pPr>
      <w:adjustRightInd/>
      <w:spacing w:line="240" w:lineRule="auto"/>
      <w:ind w:firstLine="462"/>
      <w:textAlignment w:val="auto"/>
    </w:pPr>
    <w:rPr>
      <w:i/>
      <w:kern w:val="2"/>
    </w:rPr>
  </w:style>
  <w:style w:type="character" w:styleId="EndnoteReference">
    <w:name w:val="endnote reference"/>
    <w:semiHidden/>
    <w:rPr>
      <w:vertAlign w:val="superscript"/>
    </w:rPr>
  </w:style>
  <w:style w:type="paragraph" w:styleId="EndnoteText">
    <w:name w:val="endnote text"/>
    <w:basedOn w:val="Normal"/>
    <w:semiHidden/>
    <w:pPr>
      <w:adjustRightInd/>
      <w:snapToGrid w:val="0"/>
      <w:spacing w:line="240" w:lineRule="auto"/>
      <w:jc w:val="left"/>
      <w:textAlignment w:val="auto"/>
    </w:pPr>
    <w:rPr>
      <w:kern w:val="2"/>
    </w:rPr>
  </w:style>
  <w:style w:type="paragraph" w:styleId="TOC1">
    <w:name w:val="toc 1"/>
    <w:basedOn w:val="Normal"/>
    <w:next w:val="Normal"/>
    <w:autoRedefine/>
    <w:semiHidden/>
    <w:pPr>
      <w:tabs>
        <w:tab w:val="right" w:leader="dot" w:pos="8302"/>
      </w:tabs>
      <w:adjustRightInd/>
      <w:spacing w:line="240" w:lineRule="auto"/>
      <w:textAlignment w:val="auto"/>
    </w:pPr>
    <w:rPr>
      <w:rFonts w:eastAsia="SimHei"/>
      <w:noProof/>
      <w:kern w:val="2"/>
    </w:rPr>
  </w:style>
  <w:style w:type="paragraph" w:styleId="TOC2">
    <w:name w:val="toc 2"/>
    <w:basedOn w:val="Normal"/>
    <w:next w:val="Normal"/>
    <w:autoRedefine/>
    <w:semiHidden/>
    <w:pPr>
      <w:tabs>
        <w:tab w:val="center" w:leader="dot" w:pos="8880"/>
        <w:tab w:val="right" w:pos="9720"/>
      </w:tabs>
      <w:spacing w:after="120" w:line="320" w:lineRule="atLeast"/>
      <w:ind w:leftChars="200" w:left="420"/>
    </w:pPr>
  </w:style>
  <w:style w:type="paragraph" w:customStyle="1" w:styleId="1">
    <w:name w:val="样式1"/>
    <w:basedOn w:val="BodyText"/>
    <w:pPr>
      <w:adjustRightInd/>
      <w:ind w:firstLineChars="200" w:firstLine="420"/>
      <w:textAlignment w:val="auto"/>
    </w:pPr>
    <w:rPr>
      <w:rFonts w:ascii="Times New Roman"/>
      <w:sz w:val="21"/>
      <w:szCs w:val="24"/>
    </w:rPr>
  </w:style>
  <w:style w:type="character" w:styleId="Hyperlink">
    <w:name w:val="Hyperlink"/>
    <w:rPr>
      <w:color w:val="0000FF"/>
      <w:u w:val="none"/>
    </w:rPr>
  </w:style>
  <w:style w:type="character" w:styleId="FollowedHyperlink">
    <w:name w:val="FollowedHyperlink"/>
    <w:rPr>
      <w:color w:val="0000FF"/>
      <w:u w:val="none"/>
    </w:rPr>
  </w:style>
  <w:style w:type="paragraph" w:styleId="Title">
    <w:name w:val="Title"/>
    <w:basedOn w:val="Normal"/>
    <w:qFormat/>
    <w:pPr>
      <w:numPr>
        <w:numId w:val="3"/>
      </w:numPr>
      <w:adjustRightInd/>
      <w:spacing w:line="360" w:lineRule="auto"/>
      <w:jc w:val="center"/>
      <w:textAlignment w:val="auto"/>
    </w:pPr>
    <w:rPr>
      <w:rFonts w:eastAsia="STKaiti"/>
      <w:b/>
      <w:kern w:val="2"/>
      <w:sz w:val="24"/>
    </w:rPr>
  </w:style>
  <w:style w:type="paragraph" w:styleId="BodyText2">
    <w:name w:val="Body Text 2"/>
    <w:basedOn w:val="Normal"/>
    <w:pPr>
      <w:framePr w:w="3609" w:h="1458" w:hRule="exact" w:hSpace="181" w:wrap="auto" w:vAnchor="text" w:hAnchor="page" w:x="2511" w:y="1"/>
      <w:spacing w:line="560" w:lineRule="exact"/>
      <w:jc w:val="left"/>
    </w:pPr>
    <w:rPr>
      <w:rFonts w:eastAsia="SimHei"/>
      <w:sz w:val="40"/>
    </w:rPr>
  </w:style>
  <w:style w:type="paragraph" w:customStyle="1" w:styleId="OmniPage6">
    <w:name w:val="OmniPage #6"/>
    <w:basedOn w:val="Normal"/>
    <w:pPr>
      <w:widowControl/>
      <w:adjustRightInd/>
      <w:spacing w:line="240" w:lineRule="auto"/>
      <w:jc w:val="left"/>
      <w:textAlignment w:val="auto"/>
    </w:pPr>
    <w:rPr>
      <w:sz w:val="24"/>
      <w:lang w:val="fr-FR" w:eastAsia="en-US"/>
    </w:rPr>
  </w:style>
  <w:style w:type="paragraph" w:customStyle="1" w:styleId="OmniPage12">
    <w:name w:val="OmniPage #12"/>
    <w:basedOn w:val="Normal"/>
    <w:pPr>
      <w:widowControl/>
      <w:adjustRightInd/>
      <w:spacing w:line="240" w:lineRule="auto"/>
      <w:jc w:val="left"/>
      <w:textAlignment w:val="auto"/>
    </w:pPr>
    <w:rPr>
      <w:sz w:val="24"/>
      <w:lang w:val="fr-FR" w:eastAsia="en-US"/>
    </w:rPr>
  </w:style>
  <w:style w:type="paragraph" w:customStyle="1" w:styleId="OmniPage15">
    <w:name w:val="OmniPage #15"/>
    <w:basedOn w:val="Normal"/>
    <w:pPr>
      <w:widowControl/>
      <w:adjustRightInd/>
      <w:spacing w:line="240" w:lineRule="auto"/>
      <w:jc w:val="left"/>
      <w:textAlignment w:val="auto"/>
    </w:pPr>
    <w:rPr>
      <w:sz w:val="24"/>
      <w:lang w:val="fr-FR" w:eastAsia="en-US"/>
    </w:rPr>
  </w:style>
  <w:style w:type="paragraph" w:customStyle="1" w:styleId="OmniPage13">
    <w:name w:val="OmniPage #13"/>
    <w:basedOn w:val="Normal"/>
    <w:pPr>
      <w:widowControl/>
      <w:adjustRightInd/>
      <w:spacing w:line="240" w:lineRule="auto"/>
      <w:jc w:val="left"/>
      <w:textAlignment w:val="auto"/>
    </w:pPr>
    <w:rPr>
      <w:sz w:val="24"/>
      <w:lang w:val="fr-FR" w:eastAsia="en-US"/>
    </w:rPr>
  </w:style>
  <w:style w:type="paragraph" w:customStyle="1" w:styleId="OmniPage9">
    <w:name w:val="OmniPage #9"/>
    <w:basedOn w:val="Normal"/>
    <w:pPr>
      <w:widowControl/>
      <w:adjustRightInd/>
      <w:spacing w:line="240" w:lineRule="auto"/>
      <w:jc w:val="left"/>
      <w:textAlignment w:val="auto"/>
    </w:pPr>
    <w:rPr>
      <w:sz w:val="24"/>
      <w:lang w:val="fr-FR" w:eastAsia="en-US"/>
    </w:rPr>
  </w:style>
  <w:style w:type="paragraph" w:customStyle="1" w:styleId="OmniPage14">
    <w:name w:val="OmniPage #14"/>
    <w:basedOn w:val="Normal"/>
    <w:pPr>
      <w:widowControl/>
      <w:adjustRightInd/>
      <w:spacing w:line="240" w:lineRule="auto"/>
      <w:jc w:val="left"/>
      <w:textAlignment w:val="auto"/>
    </w:pPr>
    <w:rPr>
      <w:sz w:val="24"/>
      <w:lang w:val="fr-FR" w:eastAsia="en-US"/>
    </w:rPr>
  </w:style>
  <w:style w:type="paragraph" w:styleId="BodyText3">
    <w:name w:val="Body Text 3"/>
    <w:basedOn w:val="Normal"/>
    <w:pPr>
      <w:widowControl/>
      <w:adjustRightInd/>
      <w:spacing w:line="240" w:lineRule="auto"/>
      <w:textAlignment w:val="auto"/>
    </w:pPr>
    <w:rPr>
      <w:color w:val="000000"/>
      <w:sz w:val="24"/>
      <w:lang w:val="fr-FR" w:eastAsia="en-US"/>
    </w:rPr>
  </w:style>
  <w:style w:type="paragraph" w:customStyle="1" w:styleId="HCh">
    <w:name w:val="_ H _Ch"/>
    <w:basedOn w:val="Normal"/>
    <w:next w:val="Normal"/>
    <w:pPr>
      <w:keepNext/>
      <w:keepLines/>
      <w:widowControl/>
      <w:tabs>
        <w:tab w:val="left" w:pos="57"/>
      </w:tabs>
      <w:suppressAutoHyphens/>
      <w:adjustRightInd/>
      <w:spacing w:before="120" w:after="240" w:line="460" w:lineRule="exact"/>
      <w:jc w:val="left"/>
      <w:textAlignment w:val="auto"/>
      <w:outlineLvl w:val="0"/>
    </w:pPr>
    <w:rPr>
      <w:rFonts w:ascii="SimHei" w:eastAsia="SimHei"/>
      <w:color w:val="FF0000"/>
      <w:kern w:val="14"/>
      <w:sz w:val="28"/>
    </w:rPr>
  </w:style>
  <w:style w:type="paragraph" w:customStyle="1" w:styleId="XLarge">
    <w:name w:val="XLarge"/>
    <w:basedOn w:val="Normal"/>
    <w:pPr>
      <w:keepNext/>
      <w:keepLines/>
      <w:widowControl/>
      <w:tabs>
        <w:tab w:val="left" w:pos="57"/>
        <w:tab w:val="right" w:leader="dot" w:pos="360"/>
      </w:tabs>
      <w:suppressAutoHyphens/>
      <w:adjustRightInd/>
      <w:spacing w:line="390" w:lineRule="exact"/>
      <w:jc w:val="left"/>
      <w:textAlignment w:val="auto"/>
      <w:outlineLvl w:val="0"/>
    </w:pPr>
    <w:rPr>
      <w:rFonts w:ascii="SimHei" w:eastAsia="SimHei"/>
      <w:color w:val="FF0000"/>
      <w:kern w:val="14"/>
      <w:sz w:val="40"/>
    </w:rPr>
  </w:style>
  <w:style w:type="paragraph" w:customStyle="1" w:styleId="H1">
    <w:name w:val="_ H_1"/>
    <w:basedOn w:val="Normal"/>
    <w:next w:val="Normal"/>
    <w:pPr>
      <w:keepNext/>
      <w:keepLines/>
      <w:widowControl/>
      <w:suppressAutoHyphens/>
      <w:adjustRightInd/>
      <w:spacing w:beforeLines="50" w:before="50" w:after="240" w:line="360" w:lineRule="exact"/>
      <w:jc w:val="left"/>
      <w:textAlignment w:val="auto"/>
      <w:outlineLvl w:val="0"/>
    </w:pPr>
    <w:rPr>
      <w:rFonts w:ascii="SimHei" w:eastAsia="SimHei"/>
      <w:color w:val="FF0000"/>
      <w:kern w:val="14"/>
      <w:sz w:val="24"/>
    </w:rPr>
  </w:style>
  <w:style w:type="paragraph" w:customStyle="1" w:styleId="H23">
    <w:name w:val="_ H_2/3"/>
    <w:basedOn w:val="Normal"/>
    <w:next w:val="Normal"/>
    <w:pPr>
      <w:widowControl/>
      <w:adjustRightInd/>
      <w:spacing w:after="240" w:line="360" w:lineRule="exact"/>
      <w:jc w:val="left"/>
      <w:textAlignment w:val="auto"/>
      <w:outlineLvl w:val="1"/>
    </w:pPr>
    <w:rPr>
      <w:rFonts w:ascii="KaiTi_GB2312" w:eastAsia="KaiTi_GB2312"/>
      <w:b/>
      <w:color w:val="0000FF"/>
      <w:spacing w:val="2"/>
      <w:kern w:val="14"/>
    </w:rPr>
  </w:style>
  <w:style w:type="character" w:styleId="CommentReference">
    <w:name w:val="annotation reference"/>
    <w:semiHidden/>
    <w:rPr>
      <w:sz w:val="6"/>
    </w:rPr>
  </w:style>
  <w:style w:type="paragraph" w:styleId="CommentText">
    <w:name w:val="annotation text"/>
    <w:basedOn w:val="Normal"/>
    <w:semiHidden/>
    <w:pPr>
      <w:widowControl/>
      <w:adjustRightInd/>
      <w:spacing w:line="320" w:lineRule="exact"/>
      <w:jc w:val="left"/>
      <w:textAlignment w:val="auto"/>
    </w:pPr>
    <w:rPr>
      <w:rFonts w:ascii="SimSun"/>
      <w:kern w:val="14"/>
    </w:rPr>
  </w:style>
  <w:style w:type="paragraph" w:customStyle="1" w:styleId="50">
    <w:name w:val="正文5"/>
    <w:basedOn w:val="Normal"/>
    <w:pPr>
      <w:adjustRightInd/>
      <w:spacing w:beforeLines="100" w:before="100" w:afterLines="100" w:after="100" w:line="240" w:lineRule="auto"/>
      <w:textAlignment w:val="auto"/>
    </w:pPr>
    <w:rPr>
      <w:b/>
      <w:kern w:val="2"/>
      <w:szCs w:val="24"/>
    </w:rPr>
  </w:style>
  <w:style w:type="paragraph" w:customStyle="1" w:styleId="40">
    <w:name w:val="正文4"/>
    <w:basedOn w:val="Normal"/>
    <w:pPr>
      <w:numPr>
        <w:numId w:val="4"/>
      </w:numPr>
      <w:adjustRightInd/>
      <w:spacing w:beforeLines="50" w:before="50" w:afterLines="50" w:after="50" w:line="240" w:lineRule="auto"/>
      <w:textAlignment w:val="auto"/>
    </w:pPr>
    <w:rPr>
      <w:kern w:val="2"/>
      <w:szCs w:val="24"/>
    </w:rPr>
  </w:style>
  <w:style w:type="paragraph" w:customStyle="1" w:styleId="10">
    <w:name w:val="正文1"/>
    <w:basedOn w:val="Normal"/>
    <w:pPr>
      <w:adjustRightInd/>
      <w:spacing w:beforeLines="100" w:before="100" w:afterLines="100" w:after="100" w:line="240" w:lineRule="auto"/>
      <w:ind w:firstLineChars="200" w:firstLine="200"/>
      <w:textAlignment w:val="auto"/>
    </w:pPr>
    <w:rPr>
      <w:kern w:val="2"/>
      <w:szCs w:val="24"/>
    </w:rPr>
  </w:style>
  <w:style w:type="paragraph" w:customStyle="1" w:styleId="20">
    <w:name w:val="正文2"/>
    <w:basedOn w:val="Normal"/>
    <w:pPr>
      <w:adjustRightInd/>
      <w:spacing w:beforeLines="50" w:before="50" w:afterLines="50" w:after="50" w:line="240" w:lineRule="auto"/>
      <w:ind w:firstLineChars="200" w:firstLine="200"/>
      <w:textAlignment w:val="auto"/>
    </w:pPr>
    <w:rPr>
      <w:kern w:val="2"/>
    </w:rPr>
  </w:style>
  <w:style w:type="paragraph" w:customStyle="1" w:styleId="30">
    <w:name w:val="正文3"/>
    <w:basedOn w:val="Normal"/>
    <w:pPr>
      <w:adjustRightInd/>
      <w:spacing w:line="240" w:lineRule="auto"/>
      <w:textAlignment w:val="auto"/>
    </w:pPr>
    <w:rPr>
      <w:kern w:val="2"/>
      <w:szCs w:val="24"/>
    </w:rPr>
  </w:style>
  <w:style w:type="paragraph" w:customStyle="1" w:styleId="60">
    <w:name w:val="样式6"/>
    <w:basedOn w:val="21"/>
    <w:rPr>
      <w:sz w:val="21"/>
    </w:rPr>
  </w:style>
  <w:style w:type="paragraph" w:customStyle="1" w:styleId="21">
    <w:name w:val="样式2"/>
    <w:basedOn w:val="Normal"/>
    <w:pPr>
      <w:adjustRightInd/>
      <w:spacing w:beforeLines="50" w:before="50" w:afterLines="50" w:after="50" w:line="240" w:lineRule="auto"/>
      <w:textAlignment w:val="auto"/>
    </w:pPr>
    <w:rPr>
      <w:rFonts w:ascii="Book Antiqua" w:eastAsia="KaiTi_GB2312" w:hAnsi="Book Antiqua"/>
      <w:kern w:val="2"/>
      <w:sz w:val="24"/>
      <w:szCs w:val="24"/>
      <w:lang w:val="es-ES"/>
    </w:rPr>
  </w:style>
  <w:style w:type="paragraph" w:customStyle="1" w:styleId="SingleTxt">
    <w:name w:val="__Single Txt"/>
    <w:basedOn w:val="Normal"/>
    <w:pPr>
      <w:widowControl/>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adjustRightInd/>
      <w:spacing w:after="140" w:line="320" w:lineRule="exact"/>
      <w:ind w:left="1264" w:right="1264"/>
      <w:textAlignment w:val="auto"/>
    </w:pPr>
    <w:rPr>
      <w:rFonts w:ascii="SimSun"/>
      <w:kern w:val="14"/>
    </w:rPr>
  </w:style>
  <w:style w:type="paragraph" w:styleId="BalloonText">
    <w:name w:val="Balloon Text"/>
    <w:basedOn w:val="Normal"/>
    <w:semiHidden/>
    <w:rsid w:val="004B5214"/>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D:\WORK\&#26032;&#24314;&#25991;&#20214;&#22841;\&#26032;&#24314;&#25991;&#20214;&#22841;\un02075-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un02075-1</Template>
  <TotalTime>1</TotalTime>
  <Pages>3</Pages>
  <Words>1107</Words>
  <Characters>6310</Characters>
  <Application>Microsoft Office Word</Application>
  <DocSecurity>4</DocSecurity>
  <Lines>52</Lines>
  <Paragraphs>14</Paragraphs>
  <ScaleCrop>false</ScaleCrop>
  <HeadingPairs>
    <vt:vector size="4" baseType="variant">
      <vt:variant>
        <vt:lpstr>Title</vt:lpstr>
      </vt:variant>
      <vt:variant>
        <vt:i4>1</vt:i4>
      </vt:variant>
      <vt:variant>
        <vt:lpstr>题目</vt:lpstr>
      </vt:variant>
      <vt:variant>
        <vt:i4>1</vt:i4>
      </vt:variant>
    </vt:vector>
  </HeadingPairs>
  <TitlesOfParts>
    <vt:vector size="2" baseType="lpstr">
      <vt:lpstr>联合国</vt:lpstr>
      <vt:lpstr>联合国</vt:lpstr>
    </vt:vector>
  </TitlesOfParts>
  <Company>infoll</Company>
  <LinksUpToDate>false</LinksUpToDate>
  <CharactersWithSpaces>7403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联合国</dc:title>
  <dc:subject/>
  <dc:creator>JonMMx 2000</dc:creator>
  <cp:keywords/>
  <cp:lastModifiedBy>Dezuo CAO</cp:lastModifiedBy>
  <cp:revision>5</cp:revision>
  <cp:lastPrinted>2004-05-13T14:35:00Z</cp:lastPrinted>
  <dcterms:created xsi:type="dcterms:W3CDTF">2004-05-13T14:53:00Z</dcterms:created>
  <dcterms:modified xsi:type="dcterms:W3CDTF">2004-05-13T15:05:00Z</dcterms:modified>
</cp:coreProperties>
</file>