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43262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070806    070806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9639" w:type="dxa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6095"/>
        <w:gridCol w:w="212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427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609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12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CAT/C/GTM/CO/4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25 July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p w:rsidR="00000000" w:rsidRDefault="00000000">
      <w:r>
        <w:t>КОМИТЕТ ПРОТИВ ПЫТОК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ГВАТЕМАЛА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четвертый периодический доклад Гватемалы (САТ/С/74/Аdd.1) на своих 701-м и 704-м заседаниях, состоявшихся 4 и 5 мая 2006 года (САТ/С/SR.701 и САТ/С/SR.704), и на своем 719-м заседании, состоявшемся 17 мая 2006 года, принял следующие выводы и рекомендации.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Гватемалы, а также устную информацию, полученную от представителей государства-участника в ходе рассмотрения доклада.  Комитет благодарит представителей государства-участника за откровенный и конструктивный диалог.</w:t>
      </w:r>
    </w:p>
    <w:p w:rsidR="00000000" w:rsidRDefault="00000000">
      <w:pPr>
        <w:spacing w:line="240" w:lineRule="auto"/>
      </w:pPr>
    </w:p>
    <w:p w:rsidR="00000000" w:rsidRDefault="00000000">
      <w:r>
        <w:t>3.</w:t>
      </w:r>
      <w:r>
        <w:tab/>
        <w:t>Комитет также приветствует информацию, представленную в письменном виде Управлением по защите прав человека относительно применения в Гватемале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 усилия, предпринятые для реформирования судебной системы государства-участника, и, в частности, приветствует работу, проделанную в этой связи Отделом модернизации судебных органов.</w:t>
      </w:r>
    </w:p>
    <w:p w:rsidR="00000000" w:rsidRDefault="00000000"/>
    <w:p w:rsidR="00000000" w:rsidRDefault="00000000">
      <w:r>
        <w:t>5.</w:t>
      </w:r>
      <w:r>
        <w:tab/>
        <w:t>Комитет приветствует заявление, сделанное государством-участником 25 сентября 2003 года в соответствии со статьей 22 Конвенции, в котором он признает компетенцию Комитета получать от отдельных лиц жалобы на применение пыток.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в апреле 2006 года государство-участник представило предложение Канцелярии Генерального секретаря относительно учреждения Комиссии по расследованию деятельности незаконных формирований и тайных органов безопасности.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в сентябре 2005 года отделения Верховного комиссара Организации Объединенных Наций по правам человека в Гватемале, обладающего общим мандатом на осуществление технического сотрудничества и мониторинга.</w:t>
      </w:r>
    </w:p>
    <w:p w:rsidR="00000000" w:rsidRDefault="00000000"/>
    <w:p w:rsidR="00000000" w:rsidRDefault="00000000">
      <w:r>
        <w:t>8.</w:t>
      </w:r>
      <w:r>
        <w:tab/>
        <w:t>Комитет приветствует ратификацию Гватемалой 14 марта 2003 года Международной конвенции о защите прав всех трудящихся-мигрантов и членов их семей.</w:t>
      </w:r>
    </w:p>
    <w:p w:rsidR="00000000" w:rsidRDefault="00000000"/>
    <w:p w:rsidR="00000000" w:rsidRDefault="00000000">
      <w:r>
        <w:t>9.</w:t>
      </w:r>
      <w:r>
        <w:tab/>
        <w:t>Комитет с удовлетворением отмечает улучшение положения в области прав человека в государстве-участнике, обращая внимание, среди прочего, на тот факт, что практика насильственных исчезновений в качестве государственной политики более не существует и что прекратили поступать сообщения о существовании тайных мест содержания под стражей.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Основные проблемы,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вновь повторяет свою озабоченность, которую он уже выражал при рассмотрении предыдущих докладов, по поводу того, что государство-участник все еще не включило в Уголовный кодекс определение пытки как преступления в полном соответствии со статьями Конвенции (статьи 1 и 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в приоритетном порядке внести изменения в соответствующие положения Уголовного кодекса, в частности в статьи 201</w:t>
      </w:r>
      <w:r>
        <w:rPr>
          <w:b/>
          <w:bCs/>
        </w:rPr>
        <w:noBreakHyphen/>
        <w:t>бис и 425, с тем чтобы дать юридическое определение пытки в соответствии со статьей 1 Конвенции и криминализировать акты пыток в соответствии с пунктом 2 статьи 4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11.</w:t>
      </w:r>
      <w:r>
        <w:tab/>
        <w:t>Комитет также повторяет свою озабоченность по поводу законов и практики, которые разрешают вооруженным силам выполнять полицейские функции в рамках деятельности по предупреждению преступности и наказанию преступников.  Кроме того, он принимает к сведению тот факт, что вместо укрепления полиции государство-участник откомандировало 3 000 военнослужащих для борьбы с общеуголовными преступлениями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для укрепления национальной гражданской полиции и отменить все правовые нормы, разрешающие вооруженным силам участвовать в сугубо полицейской деятельности по предупреждению преступности, которая является прерогативой Национальной гражданской полиции.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12.</w:t>
      </w:r>
      <w:r>
        <w:tab/>
        <w:t>Комитет обеспокоен утверждениями об увеличении числа притеснений и преследований, включая угрозы, убийства и другие нарушения прав человека, в отношении правозащитников, и тем фактом, что эти акты остаются безнаказанными (статья 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для укрепления и обеспечения независимости отдела по защите правозащитников в рамках Президентской комиссии по правам человека, а также обеспечивать предупреждение нарушений и защиту правозащитников от любых новых актов насилия.  Государству-участнику также следует обеспечить своевременное, тщательное и эффективное расследование подобных актов и надлежащее наказание виновных.</w:t>
      </w:r>
    </w:p>
    <w:p w:rsidR="00000000" w:rsidRDefault="00000000"/>
    <w:p w:rsidR="00000000" w:rsidRDefault="00000000">
      <w:r>
        <w:t>13.</w:t>
      </w:r>
      <w:r>
        <w:tab/>
        <w:t>Комитет обеспокоен тем, что требование, закрепленное в пункте 3 статьи 2 Конвенции, носит весьма расплывчатый характер в законодательстве государства-участника (статья 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изменить свое законодательство, с тем чтобы закрепить в нем четко сформулированное положение о том, что приказ вышестоящего начальника или государственной власти не может служить оправданием пыток.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Комитет выражает обеспокоенность по поводу законопроекта о военной юрисдикции, представленного конгрессу в 2005 году, где предусматривается, что военным судам будут предоставлены полномочия для дел рассмотрения военнослужащих, обвиняемых в общеуголовных преступлениях (статьи 2 и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внести изменения в вышеупомянутый законопроект, с тем чтобы ограничить юрисдикцию военных судов рассмотрением дел военнослужащих, обвиняемых в преступлениях исключительно военного характера.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Комитет обеспокоен безнаказанностью в отношении большинства нарушений прав человека, совершенных в период внутреннего вооруженного конфликта, когда нерасследованными остались более 600 случаев массовых убийств, зарегистрированных Комиссией по установлению исторической истины.  Комитет с обеспокоенностью отмечает, что применение Закона 1996 года о национальном примирении стало препятствием на пути эффективного расследования дела 1982 года о массовом убийстве в местечке Дос Эррес, которое так и не сдвинулось с мертвой точки в суде из-за необоснованных с юридической точки зрения проволочек (статьи 11, 12 и 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строго применять Закон о национальном примирении, в котором четко указывается, что амнистия не распространяется на акты пыток и другие грубые нарушения прав человека, предусматривается проведение своевременного, эффективного, независимого и тщательного расследования всех актов пыток и других грубых нарушений прав человека, совершенных в ходе этого внутреннего вооруженного конфликта, и предоставление надлежащей компенсации жертвам.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</w:pPr>
      <w:r>
        <w:t>16.</w:t>
      </w:r>
      <w:r>
        <w:tab/>
        <w:t>Комитет обеспокоен многочисленными утверждениями, касающимися следующего:</w:t>
      </w:r>
    </w:p>
    <w:p w:rsidR="00000000" w:rsidRDefault="00000000">
      <w:pPr>
        <w:ind w:left="567" w:hanging="567"/>
      </w:pPr>
    </w:p>
    <w:p w:rsidR="00000000" w:rsidRDefault="00000000">
      <w:pPr>
        <w:ind w:left="1134" w:hanging="1134"/>
      </w:pPr>
      <w:r>
        <w:tab/>
        <w:t>а)</w:t>
      </w:r>
      <w:r>
        <w:tab/>
        <w:t>"социальной чистки" и убийств детей, живущих на улице и в маргинализированных районах, что зачастую включает акты пыток и жестокого обращения, а также непроведения тщательных расследований в этой связи;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b)</w:t>
      </w:r>
      <w:r>
        <w:tab/>
        <w:t>увеличения числа тяжких убийств женщин, которые зачастую сопровождаются сексуальным насилием, нанесением увечий и пытками.  Непроведение расследований подобных преступлений увеличивает страдания родных, добивающихся правосудия, которые, помимо прочего, жалуются на то, что они подвергаются дискриминации по признаку пола со стороны органов власти в период расследования и в процессе судебного разбирательства;  и</w:t>
      </w:r>
    </w:p>
    <w:p w:rsidR="00000000" w:rsidRDefault="00000000">
      <w:pPr>
        <w:ind w:left="1134" w:hanging="1134"/>
      </w:pPr>
    </w:p>
    <w:p w:rsidR="00000000" w:rsidRDefault="00000000">
      <w:pPr>
        <w:ind w:left="1134" w:hanging="1134"/>
      </w:pPr>
      <w:r>
        <w:tab/>
        <w:t>с)</w:t>
      </w:r>
      <w:r>
        <w:tab/>
        <w:t>линчевания отдельных лиц, которые нарушают правопорядок в государстве-участнике (статьи 2, 12, 13 и 16).</w:t>
      </w:r>
    </w:p>
    <w:p w:rsidR="00000000" w:rsidRDefault="00000000">
      <w:pPr>
        <w:ind w:left="1134" w:hanging="1134"/>
      </w:pPr>
    </w:p>
    <w:p w:rsidR="00000000" w:rsidRDefault="00000000">
      <w:pPr>
        <w:rPr>
          <w:b/>
          <w:bCs/>
        </w:rPr>
      </w:pPr>
      <w:r>
        <w:tab/>
      </w:r>
      <w:r>
        <w:rPr>
          <w:b/>
          <w:bCs/>
        </w:rPr>
        <w:t>В связи с этой практикой государству-участнику следует: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a)</w:t>
      </w:r>
      <w:r>
        <w:rPr>
          <w:b/>
          <w:bCs/>
        </w:rPr>
        <w:tab/>
        <w:t>принять неотложные меры для обеспечения того, чтобы лица, находящиеся под его юрисдикцией, не подвергались пыткам, бесчеловечному или унижающему достоинство обращению, и в полной мере выполнять свою обязанность по предупреждению таких деяний и обеспечивать наказание за такие акты в тех случаях, когда они совершаются частными лицами;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b)</w:t>
      </w:r>
      <w:r>
        <w:rPr>
          <w:b/>
          <w:bCs/>
        </w:rPr>
        <w:tab/>
        <w:t>обеспечивать проведение своевременного, беспристрастного и тщательного расследования без какой бы то ни было дискриминации по признаку пола, расы, социального происхождения или иных обстоятельств, а также привлечение к судебной ответственности предполагаемых виновных лиц;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c)</w:t>
      </w:r>
      <w:r>
        <w:rPr>
          <w:b/>
          <w:bCs/>
        </w:rPr>
        <w:tab/>
        <w:t>обеспечивать осуществление в полной мере Закона о комплексной защите детей и молодежи путем, в частности, выделения достаточных средств в целях гарантирования безопасности, благосостояния и развития всех детей;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pPr>
        <w:ind w:left="1134" w:hanging="1134"/>
        <w:rPr>
          <w:b/>
          <w:bCs/>
        </w:rPr>
      </w:pPr>
      <w:r>
        <w:rPr>
          <w:b/>
          <w:bCs/>
        </w:rPr>
        <w:tab/>
        <w:t>d)</w:t>
      </w:r>
      <w:r>
        <w:rPr>
          <w:b/>
          <w:bCs/>
        </w:rPr>
        <w:tab/>
        <w:t>проводить просветительские кампании и организовывать курсы профессиональной подготовки для сотрудников полиции и судебных органов с целью их ознакомления и повышения их информированности о случаях социального насилия, с тем чтобы они могли получать жалобы и надлежащим образом проводить по ним расследования.</w:t>
      </w:r>
    </w:p>
    <w:p w:rsidR="00000000" w:rsidRDefault="00000000">
      <w:pPr>
        <w:ind w:left="1134" w:hanging="1134"/>
        <w:rPr>
          <w:b/>
          <w:bCs/>
        </w:rPr>
      </w:pPr>
    </w:p>
    <w:p w:rsidR="00000000" w:rsidRDefault="00000000">
      <w:r>
        <w:t>17.</w:t>
      </w:r>
      <w:r>
        <w:tab/>
        <w:t>Комитет обеспокоен сообщениями о сексуальном насилии в отношении женщин в полицейских участках (статьи 6 и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обеспечивать, чтобы все арестованные женщины незамедлительно доставлялись к судье, а затем, в случае постановления судьи, переводились в женские центры содержания под стражей.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>Комитет обеспокоен тем, что пенитенциарная система государства-участника по</w:t>
      </w:r>
      <w:r>
        <w:noBreakHyphen/>
        <w:t>прежнему не имеет какой-либо законодательной базы, регулирующей ее функционирование (статья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закон о пенитенциарной системе в соответствии с международными стандартами в области прав человека, такими, как Минимальные стандартные правила обращения с заключенными и Свод принципов защиты всех лиц, подвергаемых задержанию или заключению в какой бы то ни было форме.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>Комитет выражает свою озабоченность по поводу существования в Уголовном кодексе положения, в настоящее время рассматриваемого Конституционным судом, которое освобождает насильника от наказания в том случае, если он женится на своей жертве (статьи 4 и 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С учетом тяжкого характера данного преступления государству-участнику следует отменить это положение и обеспечить надлежащее судебное преследование и наказание всех виновных.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>Комитет обеспокоен значительным числом лиц, содержащихся под стражей до суда, на долю которых, по расчетам государства-участника, приходится порядка 50% всех содержащихся под стражей лиц (статьи 6 и 11).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активизировать свои усилия для принятия эффективных мер, включая законодательные меры, с целью сокращения числа лиц, содержащихся под стражей до суда.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Комитет обеспокоен утверждениями о применении чрезмерной силы сотрудниками полиции во время выселения населения сельских районов, когда зачастую разрушаются дома и уничтожается личное имущество, а иногда происходит и насильственная гибель людей (статьи 2, 10, 12 и 13).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эффективные меры для предупреждения применения чрезмерной силы во время выселений;  обеспечить целенаправленную профессиональную подготовку сотрудников полиции по вопросам действий во время выселений;  и обеспечить, чтобы сообщения о принудительных выселениях тщательно расследовались, а виновные привлекались к суду.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>Комитет обеспокоен распространением высшей меры наказания на новые категории преступлений.  Как указывалось государством-участником, в настоящее время 12 человек приговорены к смертной казни, хотя на государстве-участнике в соответствии с международным правом лежит юридическая обязанность не распространять смертную казнь на новые категории преступлений.  Отказ отменить эти приговоры представляет собой одну из форм жестокого и бесчеловечного обращения или наказания (статья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привести свое законодательство в области смертной казни в полное соответствие со своими обязательствами по международному праву.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23.</w:t>
      </w:r>
      <w:r>
        <w:tab/>
        <w:t>Комитет просит государство-участник в своем следующем периодическом докладе представить подробные статистические данные, в разбивке по категориям преступлений, этнической принадлежности и полу, о жалобах, касающихся актов пыток и жестокого обращения, предположительно совершенных сотрудниками правоохранительных органов, и о соответствующих расследованиях, судебных преследованиях и приговорах в порядке уголовной и дисциплинарной ответственности.  Информация также запрашивается о любой компенсации и реабилитации, обеспечиваемых жертвам.</w:t>
      </w:r>
    </w:p>
    <w:p w:rsidR="00000000" w:rsidRDefault="00000000"/>
    <w:p w:rsidR="00000000" w:rsidRDefault="00000000">
      <w:r>
        <w:t>24.</w:t>
      </w:r>
      <w:r>
        <w:tab/>
        <w:t>Комитет призывает государство-участник рассмотреть возможность присоединения к Факультативному протоколу к Конвенции против пыток и других жестоких, бесчеловечных или унижающих достоинство видов обращения и наказания.</w:t>
      </w:r>
    </w:p>
    <w:p w:rsidR="00000000" w:rsidRDefault="00000000"/>
    <w:p w:rsidR="00000000" w:rsidRDefault="00000000">
      <w:r>
        <w:t>25.</w:t>
      </w:r>
      <w:r>
        <w:tab/>
        <w:t>В свете заверений, данных представителями государства-участника о том, что в настоящее время предпринимаются необходимые шаги для ратификации Римского статута Международного уголовного суда, Комитет призывает государство-участник ратифицировать этот документ в ближайшее время.</w:t>
      </w:r>
    </w:p>
    <w:p w:rsidR="00000000" w:rsidRDefault="00000000"/>
    <w:p w:rsidR="00000000" w:rsidRDefault="00000000">
      <w:r>
        <w:t>26.</w:t>
      </w:r>
      <w:r>
        <w:tab/>
        <w:t>Государству-участнику следует обеспечить широкое распространение своего доклада и выводов и рекомендаций Комитета с помощью официальных вебсайтов, средств массовой информации и неправительственных организаций.</w:t>
      </w:r>
    </w:p>
    <w:p w:rsidR="00000000" w:rsidRDefault="00000000"/>
    <w:p w:rsidR="00000000" w:rsidRDefault="00000000">
      <w:r>
        <w:t>27.</w:t>
      </w:r>
      <w:r>
        <w:tab/>
        <w:t>Комитет просит государство-участник в течение года представить информацию о мерах, принятых во исполнение рекомендаций Комитета, которые содержатся в пунктах 12, 15, 16 и 17 выше.</w:t>
      </w:r>
    </w:p>
    <w:p w:rsidR="00000000" w:rsidRDefault="00000000"/>
    <w:p w:rsidR="00000000" w:rsidRDefault="00000000">
      <w:r>
        <w:t>28.</w:t>
      </w:r>
      <w:r>
        <w:tab/>
        <w:t>Государству-участнику предлагается представить свой следующий периодический доклад, который будет рассмотрен в качестве шестого доклада, к 3 февраля 2011 года, дате представления шестого периодического доклада.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CAT/C/GTM/CO/4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CAT/C/GTM/CO/4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1961</Words>
  <Characters>11183</Characters>
  <Application>Microsoft Office Word</Application>
  <DocSecurity>4</DocSecurity>
  <Lines>93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0643262.doc</vt:lpstr>
    </vt:vector>
  </TitlesOfParts>
  <Company> </Company>
  <LinksUpToDate>false</LinksUpToDate>
  <CharactersWithSpaces>13733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0643262.doc</dc:title>
  <dc:subject>Klokov</dc:subject>
  <dc:creator>Tatiana Dmitrieva</dc:creator>
  <cp:keywords/>
  <dc:description/>
  <cp:lastModifiedBy>Tatiana Dmitrieva</cp:lastModifiedBy>
  <cp:revision>3</cp:revision>
  <cp:lastPrinted>2006-08-07T14:04:00Z</cp:lastPrinted>
  <dcterms:created xsi:type="dcterms:W3CDTF">2006-08-07T14:03:00Z</dcterms:created>
  <dcterms:modified xsi:type="dcterms:W3CDTF">2006-08-07T14:04:00Z</dcterms:modified>
</cp:coreProperties>
</file>